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8441"/>
      <w:bookmarkStart w:id="1" w:name="_Toc15377193"/>
      <w:bookmarkStart w:id="2" w:name="_Toc15377425"/>
      <w:bookmarkStart w:id="3" w:name="_Toc15396475"/>
      <w:bookmarkStart w:id="4" w:name="_Toc15396597"/>
      <w:bookmarkStart w:id="5" w:name="_Toc15306267"/>
      <w:bookmarkStart w:id="149" w:name="_GoBack"/>
      <w:bookmarkEnd w:id="149"/>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ind w:left="0" w:leftChars="0" w:right="0" w:rightChars="0" w:firstLine="0" w:firstLineChars="0"/>
        <w:jc w:val="center"/>
        <w:outlineLvl w:val="0"/>
        <w:rPr>
          <w:rFonts w:hint="eastAsia" w:ascii="方正小标宋简体" w:hAnsi="方正小标宋简体" w:eastAsia="方正小标宋简体" w:cs="方正小标宋简体"/>
          <w:color w:val="auto"/>
          <w:sz w:val="72"/>
          <w:szCs w:val="72"/>
          <w:highlight w:val="none"/>
        </w:rPr>
      </w:pPr>
      <w:bookmarkStart w:id="6" w:name="_Toc24460"/>
      <w:bookmarkStart w:id="7" w:name="_Toc2640"/>
      <w:bookmarkStart w:id="8" w:name="_Toc3582"/>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bookmarkEnd w:id="7"/>
      <w:bookmarkEnd w:id="8"/>
    </w:p>
    <w:p>
      <w:pPr>
        <w:adjustRightInd w:val="0"/>
        <w:snapToGrid w:val="0"/>
        <w:spacing w:line="360" w:lineRule="auto"/>
        <w:ind w:left="0" w:leftChars="0" w:right="0" w:rightChars="0" w:firstLine="0" w:firstLineChars="0"/>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9" w:name="_Toc15377194"/>
      <w:bookmarkStart w:id="10" w:name="_Toc15396476"/>
      <w:bookmarkStart w:id="11" w:name="_Toc15377426"/>
      <w:bookmarkStart w:id="12" w:name="_Toc22584"/>
      <w:bookmarkStart w:id="13" w:name="_Toc9665"/>
      <w:bookmarkStart w:id="14" w:name="_Toc24172"/>
      <w:bookmarkStart w:id="15" w:name="_Toc15396598"/>
      <w:bookmarkStart w:id="16" w:name="_Toc15378442"/>
      <w:r>
        <w:rPr>
          <w:rFonts w:hint="eastAsia" w:ascii="方正小标宋简体" w:hAnsi="方正小标宋简体" w:eastAsia="方正小标宋简体" w:cs="方正小标宋简体"/>
          <w:color w:val="auto"/>
          <w:sz w:val="72"/>
          <w:szCs w:val="72"/>
          <w:highlight w:val="none"/>
        </w:rPr>
        <w:t>四川省</w:t>
      </w:r>
      <w:bookmarkEnd w:id="5"/>
      <w:bookmarkStart w:id="17" w:name="_Toc15306268"/>
      <w:r>
        <w:rPr>
          <w:rFonts w:hint="eastAsia" w:ascii="方正小标宋简体" w:hAnsi="方正小标宋简体" w:eastAsia="方正小标宋简体" w:cs="方正小标宋简体"/>
          <w:color w:val="auto"/>
          <w:sz w:val="72"/>
          <w:szCs w:val="72"/>
          <w:highlight w:val="none"/>
          <w:lang w:eastAsia="zh-CN"/>
        </w:rPr>
        <w:t>广元市朝天区发展和改革局</w:t>
      </w:r>
      <w:r>
        <w:rPr>
          <w:rFonts w:hint="eastAsia" w:ascii="方正小标宋简体" w:hAnsi="方正小标宋简体" w:eastAsia="方正小标宋简体" w:cs="方正小标宋简体"/>
          <w:color w:val="auto"/>
          <w:sz w:val="72"/>
          <w:szCs w:val="72"/>
          <w:highlight w:val="none"/>
        </w:rPr>
        <w:t>部门决算</w:t>
      </w:r>
      <w:bookmarkEnd w:id="9"/>
      <w:bookmarkEnd w:id="10"/>
      <w:bookmarkEnd w:id="11"/>
      <w:bookmarkEnd w:id="12"/>
      <w:bookmarkEnd w:id="13"/>
      <w:bookmarkEnd w:id="14"/>
      <w:bookmarkEnd w:id="15"/>
      <w:bookmarkEnd w:id="16"/>
      <w:bookmarkEnd w:id="17"/>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adjustRightInd w:val="0"/>
        <w:snapToGrid w:val="0"/>
        <w:spacing w:line="360" w:lineRule="auto"/>
        <w:ind w:left="0" w:leftChars="0" w:firstLine="0" w:firstLineChars="0"/>
        <w:jc w:val="both"/>
        <w:outlineLvl w:val="0"/>
        <w:rPr>
          <w:rFonts w:ascii="方正小标宋简体" w:hAnsi="宋体" w:eastAsia="方正小标宋简体"/>
          <w:color w:val="auto"/>
          <w:sz w:val="52"/>
          <w:szCs w:val="52"/>
          <w:highlight w:val="none"/>
        </w:rPr>
      </w:pPr>
    </w:p>
    <w:p>
      <w:pPr>
        <w:widowControl/>
        <w:jc w:val="center"/>
        <w:rPr>
          <w:rFonts w:ascii="方正小标宋简体" w:hAnsi="宋体" w:eastAsia="方正小标宋简体"/>
          <w:color w:val="auto"/>
          <w:sz w:val="36"/>
          <w:szCs w:val="36"/>
          <w:highlight w:val="none"/>
        </w:rPr>
      </w:pPr>
      <w:r>
        <w:rPr>
          <w:rFonts w:hint="eastAsia" w:ascii="仿宋" w:hAnsi="仿宋" w:eastAsia="仿宋" w:cs="仿宋"/>
          <w:b w:val="0"/>
          <w:bCs w:val="0"/>
          <w:sz w:val="28"/>
          <w:szCs w:val="28"/>
          <w:lang w:eastAsia="zh-CN"/>
        </w:rPr>
        <w:t>公开时间：</w:t>
      </w:r>
      <w:r>
        <w:rPr>
          <w:rFonts w:hint="eastAsia" w:ascii="仿宋" w:hAnsi="仿宋" w:eastAsia="仿宋" w:cs="仿宋"/>
          <w:b w:val="0"/>
          <w:bCs w:val="0"/>
          <w:sz w:val="28"/>
          <w:szCs w:val="28"/>
          <w:lang w:val="en-US" w:eastAsia="zh-CN"/>
        </w:rPr>
        <w:t>2023年10月27日</w:t>
      </w:r>
      <w:r>
        <w:rPr>
          <w:rFonts w:ascii="方正小标宋简体" w:hAnsi="宋体" w:eastAsia="方正小标宋简体"/>
          <w:color w:val="auto"/>
          <w:sz w:val="36"/>
          <w:szCs w:val="36"/>
          <w:highlight w:val="none"/>
        </w:rPr>
        <w:br w:type="page"/>
      </w:r>
    </w:p>
    <w:sdt>
      <w:sdtPr>
        <w:rPr>
          <w:rFonts w:ascii="宋体" w:hAnsi="宋体" w:eastAsia="宋体" w:cs="Times New Roman"/>
          <w:kern w:val="2"/>
          <w:sz w:val="21"/>
          <w:szCs w:val="24"/>
          <w:lang w:val="en-US" w:eastAsia="zh-CN" w:bidi="ar-SA"/>
        </w:rPr>
        <w:id w:val="14746850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ind w:left="0" w:leftChars="0" w:right="0" w:rightChars="0" w:firstLine="0" w:firstLineChars="0"/>
            <w:jc w:val="center"/>
            <w:rPr>
              <w:rFonts w:hint="eastAsia" w:ascii="宋体" w:hAnsi="宋体" w:eastAsia="宋体" w:cs="宋体"/>
              <w:sz w:val="24"/>
              <w:szCs w:val="24"/>
              <w:lang w:eastAsia="zh-CN"/>
            </w:rPr>
          </w:pPr>
          <w:bookmarkStart w:id="18" w:name="_Toc15377196"/>
          <w:bookmarkStart w:id="19" w:name="_Toc15396599"/>
          <w:r>
            <w:fldChar w:fldCharType="begin"/>
          </w:r>
          <w:r>
            <w:instrText xml:space="preserve">TOC \o "1-3" \h \u </w:instrText>
          </w:r>
          <w:r>
            <w:fldChar w:fldCharType="separate"/>
          </w:r>
          <w:r>
            <w:rPr>
              <w:rFonts w:hint="eastAsia" w:ascii="宋体" w:hAnsi="宋体" w:eastAsia="宋体" w:cs="宋体"/>
              <w:sz w:val="24"/>
              <w:szCs w:val="24"/>
              <w:lang w:eastAsia="zh-CN"/>
            </w:rPr>
            <w:t>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录</w:t>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_Toc27275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第一部分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部门概况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_Toc17849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部门职责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_Toc17849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_Toc31950 </w:instrText>
          </w:r>
          <w:r>
            <w:rPr>
              <w:rFonts w:hint="eastAsia" w:ascii="宋体" w:hAnsi="宋体" w:eastAsia="宋体" w:cs="宋体"/>
              <w:sz w:val="24"/>
              <w:szCs w:val="24"/>
            </w:rPr>
            <w:fldChar w:fldCharType="separate"/>
          </w:r>
          <w:r>
            <w:rPr>
              <w:rFonts w:hint="eastAsia" w:ascii="宋体" w:hAnsi="宋体" w:eastAsia="宋体" w:cs="宋体"/>
              <w:sz w:val="24"/>
              <w:szCs w:val="24"/>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_Toc31950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_Toc3752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lang w:val="en-US" w:eastAsia="zh-CN"/>
            </w:rPr>
            <w:t xml:space="preserve"> 2022年度</w:t>
          </w:r>
          <w:r>
            <w:rPr>
              <w:rFonts w:hint="eastAsia" w:ascii="宋体" w:hAnsi="宋体" w:eastAsia="宋体" w:cs="宋体"/>
              <w:sz w:val="24"/>
              <w:szCs w:val="24"/>
            </w:rPr>
            <w:t>部门决算情况说明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_Toc3752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_Toc16501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eastAsia" w:ascii="宋体" w:hAnsi="宋体" w:eastAsia="宋体" w:cs="宋体"/>
              <w:sz w:val="24"/>
              <w:szCs w:val="24"/>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_Toc16501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_Toc27824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二、</w:t>
          </w:r>
          <w:r>
            <w:rPr>
              <w:rFonts w:hint="eastAsia" w:ascii="宋体" w:hAnsi="宋体" w:eastAsia="宋体" w:cs="宋体"/>
              <w:sz w:val="24"/>
              <w:szCs w:val="24"/>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_Toc27824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_Toc18188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_Toc18188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_Toc6987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_Toc6987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_Toc23910 </w:instrText>
          </w:r>
          <w:r>
            <w:rPr>
              <w:rFonts w:hint="eastAsia" w:ascii="宋体" w:hAnsi="宋体" w:eastAsia="宋体" w:cs="宋体"/>
              <w:sz w:val="24"/>
              <w:szCs w:val="24"/>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_Toc23910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_Toc32380 </w:instrText>
          </w:r>
          <w:r>
            <w:rPr>
              <w:rFonts w:hint="eastAsia" w:ascii="宋体" w:hAnsi="宋体" w:eastAsia="宋体" w:cs="宋体"/>
              <w:sz w:val="24"/>
              <w:szCs w:val="24"/>
            </w:rPr>
            <w:fldChar w:fldCharType="separate"/>
          </w:r>
          <w:r>
            <w:rPr>
              <w:rFonts w:hint="eastAsia" w:ascii="宋体" w:hAnsi="宋体" w:eastAsia="宋体" w:cs="宋体"/>
              <w:sz w:val="24"/>
              <w:szCs w:val="24"/>
            </w:rPr>
            <w:t>（一）一般公共预算财政拨款支出决算总体情况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_Toc32380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_Toc14645 </w:instrText>
          </w:r>
          <w:r>
            <w:rPr>
              <w:rFonts w:hint="eastAsia" w:ascii="宋体" w:hAnsi="宋体" w:eastAsia="宋体" w:cs="宋体"/>
              <w:sz w:val="24"/>
              <w:szCs w:val="24"/>
            </w:rPr>
            <w:fldChar w:fldCharType="separate"/>
          </w:r>
          <w:r>
            <w:rPr>
              <w:rFonts w:hint="eastAsia" w:ascii="宋体" w:hAnsi="宋体" w:eastAsia="宋体" w:cs="宋体"/>
              <w:sz w:val="24"/>
              <w:szCs w:val="24"/>
            </w:rPr>
            <w:t>（二）一般公共预算财政拨款支出决算结构情况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_Toc14645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_Toc29323 </w:instrText>
          </w:r>
          <w:r>
            <w:rPr>
              <w:rFonts w:hint="eastAsia" w:ascii="宋体" w:hAnsi="宋体" w:eastAsia="宋体" w:cs="宋体"/>
              <w:sz w:val="24"/>
              <w:szCs w:val="24"/>
            </w:rPr>
            <w:fldChar w:fldCharType="separate"/>
          </w:r>
          <w:r>
            <w:rPr>
              <w:rFonts w:hint="eastAsia" w:ascii="宋体" w:hAnsi="宋体" w:eastAsia="宋体" w:cs="宋体"/>
              <w:sz w:val="24"/>
              <w:szCs w:val="24"/>
            </w:rPr>
            <w:t>（三）一般公共预算财政拨款支出决算具体情况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_Toc29323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_Toc32692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_Toc32692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_Toc2984 </w:instrText>
          </w:r>
          <w:r>
            <w:rPr>
              <w:rFonts w:hint="eastAsia" w:ascii="宋体" w:hAnsi="宋体" w:eastAsia="宋体" w:cs="宋体"/>
              <w:sz w:val="24"/>
              <w:szCs w:val="24"/>
            </w:rPr>
            <w:fldChar w:fldCharType="separate"/>
          </w:r>
          <w:r>
            <w:rPr>
              <w:rFonts w:hint="eastAsia" w:ascii="宋体" w:hAnsi="宋体" w:eastAsia="宋体" w:cs="宋体"/>
              <w:sz w:val="24"/>
              <w:szCs w:val="24"/>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_Toc28848 </w:instrText>
          </w:r>
          <w:r>
            <w:rPr>
              <w:rFonts w:hint="eastAsia" w:ascii="宋体" w:hAnsi="宋体" w:eastAsia="宋体" w:cs="宋体"/>
              <w:sz w:val="24"/>
              <w:szCs w:val="24"/>
            </w:rPr>
            <w:fldChar w:fldCharType="separate"/>
          </w:r>
          <w:r>
            <w:rPr>
              <w:rFonts w:hint="eastAsia" w:ascii="宋体" w:hAnsi="宋体" w:eastAsia="宋体" w:cs="宋体"/>
              <w:sz w:val="24"/>
              <w:szCs w:val="24"/>
            </w:rPr>
            <w:t>（一）“三公”经费财政拨款支出决算总体情况说明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_Toc28848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_Toc32096 </w:instrText>
          </w:r>
          <w:r>
            <w:rPr>
              <w:rFonts w:hint="eastAsia" w:ascii="宋体" w:hAnsi="宋体" w:eastAsia="宋体" w:cs="宋体"/>
              <w:sz w:val="24"/>
              <w:szCs w:val="24"/>
            </w:rPr>
            <w:fldChar w:fldCharType="separate"/>
          </w:r>
          <w:r>
            <w:rPr>
              <w:rFonts w:hint="eastAsia" w:ascii="宋体" w:hAnsi="宋体" w:eastAsia="宋体" w:cs="宋体"/>
              <w:sz w:val="24"/>
              <w:szCs w:val="24"/>
            </w:rPr>
            <w:t>（二）“三公”经费财政拨款支出决算具体情况说明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_Toc32096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_Toc24744 </w:instrText>
          </w:r>
          <w:r>
            <w:rPr>
              <w:rFonts w:hint="eastAsia" w:ascii="宋体" w:hAnsi="宋体" w:eastAsia="宋体" w:cs="宋体"/>
              <w:sz w:val="24"/>
              <w:szCs w:val="24"/>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_Toc24744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_Toc9396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_Toc9396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十、</w:t>
          </w:r>
          <w:r>
            <w:rPr>
              <w:rFonts w:hint="eastAsia" w:ascii="宋体" w:hAnsi="宋体" w:eastAsia="宋体" w:cs="宋体"/>
              <w:sz w:val="24"/>
              <w:szCs w:val="24"/>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_Toc24186 </w:instrText>
          </w:r>
          <w:r>
            <w:rPr>
              <w:rFonts w:hint="eastAsia" w:ascii="宋体" w:hAnsi="宋体" w:eastAsia="宋体" w:cs="宋体"/>
              <w:sz w:val="24"/>
              <w:szCs w:val="24"/>
            </w:rPr>
            <w:fldChar w:fldCharType="separate"/>
          </w:r>
          <w:r>
            <w:rPr>
              <w:rFonts w:hint="eastAsia" w:ascii="宋体" w:hAnsi="宋体" w:eastAsia="宋体" w:cs="宋体"/>
              <w:sz w:val="24"/>
              <w:szCs w:val="24"/>
            </w:rPr>
            <w:t>（一）机关运行经费支出情况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_Toc29527 </w:instrText>
          </w:r>
          <w:r>
            <w:rPr>
              <w:rFonts w:hint="eastAsia" w:ascii="宋体" w:hAnsi="宋体" w:eastAsia="宋体" w:cs="宋体"/>
              <w:sz w:val="24"/>
              <w:szCs w:val="24"/>
            </w:rPr>
            <w:fldChar w:fldCharType="separate"/>
          </w:r>
          <w:r>
            <w:rPr>
              <w:rFonts w:hint="eastAsia" w:ascii="宋体" w:hAnsi="宋体" w:eastAsia="宋体" w:cs="宋体"/>
              <w:sz w:val="24"/>
              <w:szCs w:val="24"/>
            </w:rPr>
            <w:t>（二）政府采购支出情况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_Toc29527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_Toc17685 </w:instrText>
          </w:r>
          <w:r>
            <w:rPr>
              <w:rFonts w:hint="eastAsia" w:ascii="宋体" w:hAnsi="宋体" w:eastAsia="宋体" w:cs="宋体"/>
              <w:sz w:val="24"/>
              <w:szCs w:val="24"/>
            </w:rPr>
            <w:fldChar w:fldCharType="separate"/>
          </w:r>
          <w:r>
            <w:rPr>
              <w:rFonts w:hint="eastAsia" w:ascii="宋体" w:hAnsi="宋体" w:eastAsia="宋体" w:cs="宋体"/>
              <w:sz w:val="24"/>
              <w:szCs w:val="24"/>
            </w:rPr>
            <w:t>（三）国有资产占有使用情况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_Toc17685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_Toc22408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_Toc22408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_Toc18900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第四部分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_Toc18900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_Toc28913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第五部分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_Toc28913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_Toc6439 </w:instrText>
          </w:r>
          <w:r>
            <w:rPr>
              <w:rFonts w:hint="eastAsia" w:ascii="宋体" w:hAnsi="宋体" w:eastAsia="宋体" w:cs="宋体"/>
              <w:sz w:val="24"/>
              <w:szCs w:val="24"/>
            </w:rPr>
            <w:fldChar w:fldCharType="separate"/>
          </w: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_Toc6439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_Toc19183 </w:instrText>
          </w:r>
          <w:r>
            <w:rPr>
              <w:rFonts w:hint="eastAsia" w:ascii="宋体" w:hAnsi="宋体" w:eastAsia="宋体" w:cs="宋体"/>
              <w:sz w:val="24"/>
              <w:szCs w:val="24"/>
            </w:rPr>
            <w:fldChar w:fldCharType="separate"/>
          </w:r>
          <w:r>
            <w:rPr>
              <w:rFonts w:hint="eastAsia" w:ascii="宋体" w:hAnsi="宋体" w:eastAsia="宋体" w:cs="宋体"/>
              <w:sz w:val="24"/>
              <w:szCs w:val="24"/>
            </w:rPr>
            <w:t>二、收入决算表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_Toc19183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_Toc29513 </w:instrText>
          </w:r>
          <w:r>
            <w:rPr>
              <w:rFonts w:hint="eastAsia" w:ascii="宋体" w:hAnsi="宋体" w:eastAsia="宋体" w:cs="宋体"/>
              <w:sz w:val="24"/>
              <w:szCs w:val="24"/>
            </w:rPr>
            <w:fldChar w:fldCharType="separate"/>
          </w: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_Toc29513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_Toc19035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_Toc19035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_Toc31033 </w:instrText>
          </w:r>
          <w:r>
            <w:rPr>
              <w:rFonts w:hint="eastAsia" w:ascii="宋体" w:hAnsi="宋体" w:eastAsia="宋体" w:cs="宋体"/>
              <w:sz w:val="24"/>
              <w:szCs w:val="24"/>
            </w:rPr>
            <w:fldChar w:fldCharType="separate"/>
          </w: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_Toc31033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_Toc8976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_Toc8976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_Toc18983 </w:instrText>
          </w:r>
          <w:r>
            <w:rPr>
              <w:rFonts w:hint="eastAsia" w:ascii="宋体" w:hAnsi="宋体" w:eastAsia="宋体" w:cs="宋体"/>
              <w:sz w:val="24"/>
              <w:szCs w:val="24"/>
            </w:rPr>
            <w:fldChar w:fldCharType="separate"/>
          </w: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_Toc8976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_Toc20285 </w:instrText>
          </w:r>
          <w:r>
            <w:rPr>
              <w:rFonts w:hint="eastAsia" w:ascii="宋体" w:hAnsi="宋体" w:eastAsia="宋体" w:cs="宋体"/>
              <w:sz w:val="24"/>
              <w:szCs w:val="24"/>
            </w:rPr>
            <w:fldChar w:fldCharType="separate"/>
          </w:r>
          <w:r>
            <w:rPr>
              <w:rFonts w:hint="eastAsia" w:ascii="宋体" w:hAnsi="宋体" w:eastAsia="宋体" w:cs="宋体"/>
              <w:sz w:val="24"/>
              <w:szCs w:val="24"/>
            </w:rPr>
            <w:t>八、一般公共预算财政拨款基本支出决算表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_Toc20285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_Toc22619 </w:instrText>
          </w:r>
          <w:r>
            <w:rPr>
              <w:rFonts w:hint="eastAsia" w:ascii="宋体" w:hAnsi="宋体" w:eastAsia="宋体" w:cs="宋体"/>
              <w:sz w:val="24"/>
              <w:szCs w:val="24"/>
            </w:rPr>
            <w:fldChar w:fldCharType="separate"/>
          </w: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_Toc22619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_Toc7571 </w:instrText>
          </w:r>
          <w:r>
            <w:rPr>
              <w:rFonts w:hint="eastAsia" w:ascii="宋体" w:hAnsi="宋体" w:eastAsia="宋体" w:cs="宋体"/>
              <w:sz w:val="24"/>
              <w:szCs w:val="24"/>
            </w:rPr>
            <w:fldChar w:fldCharType="separate"/>
          </w:r>
          <w:r>
            <w:rPr>
              <w:rFonts w:hint="eastAsia" w:ascii="宋体" w:hAnsi="宋体" w:eastAsia="宋体" w:cs="宋体"/>
              <w:sz w:val="24"/>
              <w:szCs w:val="24"/>
            </w:rPr>
            <w:t>十、政府性基金预算财政拨款收入支出决算表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_Toc7571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_Toc28448 </w:instrText>
          </w:r>
          <w:r>
            <w:rPr>
              <w:rFonts w:hint="eastAsia" w:ascii="宋体" w:hAnsi="宋体" w:eastAsia="宋体" w:cs="宋体"/>
              <w:sz w:val="24"/>
              <w:szCs w:val="24"/>
            </w:rPr>
            <w:fldChar w:fldCharType="separate"/>
          </w:r>
          <w:r>
            <w:rPr>
              <w:rFonts w:hint="eastAsia" w:ascii="宋体" w:hAnsi="宋体" w:eastAsia="宋体" w:cs="宋体"/>
              <w:sz w:val="24"/>
              <w:szCs w:val="24"/>
            </w:rPr>
            <w:t>十一、</w:t>
          </w:r>
          <w:r>
            <w:rPr>
              <w:rFonts w:hint="eastAsia" w:ascii="宋体" w:hAnsi="宋体" w:eastAsia="宋体" w:cs="宋体"/>
              <w:sz w:val="24"/>
              <w:szCs w:val="24"/>
              <w:lang w:eastAsia="zh-CN"/>
            </w:rPr>
            <w:t>国有资本经营</w:t>
          </w:r>
          <w:r>
            <w:rPr>
              <w:rFonts w:hint="eastAsia" w:ascii="宋体" w:hAnsi="宋体" w:eastAsia="宋体" w:cs="宋体"/>
              <w:sz w:val="24"/>
              <w:szCs w:val="24"/>
            </w:rPr>
            <w:t>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_Toc28448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_Toc3597 </w:instrText>
          </w:r>
          <w:r>
            <w:rPr>
              <w:rFonts w:hint="eastAsia" w:ascii="宋体" w:hAnsi="宋体" w:eastAsia="宋体" w:cs="宋体"/>
              <w:sz w:val="24"/>
              <w:szCs w:val="24"/>
            </w:rPr>
            <w:fldChar w:fldCharType="separate"/>
          </w:r>
          <w:r>
            <w:rPr>
              <w:rFonts w:hint="eastAsia" w:ascii="宋体" w:hAnsi="宋体" w:eastAsia="宋体" w:cs="宋体"/>
              <w:sz w:val="24"/>
              <w:szCs w:val="24"/>
            </w:rPr>
            <w:t>十二、国有资本经营预算</w:t>
          </w:r>
          <w:r>
            <w:rPr>
              <w:rFonts w:hint="eastAsia" w:ascii="宋体" w:hAnsi="宋体" w:eastAsia="宋体" w:cs="宋体"/>
              <w:sz w:val="24"/>
              <w:szCs w:val="24"/>
              <w:lang w:eastAsia="zh-CN"/>
            </w:rPr>
            <w:t>财政拨款</w:t>
          </w:r>
          <w:r>
            <w:rPr>
              <w:rFonts w:hint="eastAsia" w:ascii="宋体" w:hAnsi="宋体" w:eastAsia="宋体" w:cs="宋体"/>
              <w:sz w:val="24"/>
              <w:szCs w:val="24"/>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_Toc3597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_Toc20729 </w:instrText>
          </w:r>
          <w:r>
            <w:rPr>
              <w:rFonts w:hint="eastAsia" w:ascii="宋体" w:hAnsi="宋体" w:eastAsia="宋体" w:cs="宋体"/>
              <w:sz w:val="24"/>
              <w:szCs w:val="24"/>
            </w:rPr>
            <w:fldChar w:fldCharType="separate"/>
          </w:r>
          <w:r>
            <w:rPr>
              <w:rFonts w:hint="eastAsia" w:ascii="宋体" w:hAnsi="宋体" w:eastAsia="宋体" w:cs="宋体"/>
              <w:sz w:val="24"/>
              <w:szCs w:val="24"/>
            </w:rPr>
            <w:t>十三、</w:t>
          </w:r>
          <w:r>
            <w:rPr>
              <w:rFonts w:hint="eastAsia" w:ascii="宋体" w:hAnsi="宋体" w:eastAsia="宋体" w:cs="宋体"/>
              <w:sz w:val="24"/>
              <w:szCs w:val="24"/>
              <w:lang w:eastAsia="zh-CN"/>
            </w:rPr>
            <w:t>财政拨款“三公”经费</w:t>
          </w:r>
          <w:r>
            <w:rPr>
              <w:rFonts w:hint="eastAsia" w:ascii="宋体" w:hAnsi="宋体" w:eastAsia="宋体" w:cs="宋体"/>
              <w:sz w:val="24"/>
              <w:szCs w:val="24"/>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_Toc20729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pPr>
        </w:p>
        <w:p>
          <w:pPr>
            <w:spacing w:before="0" w:beforeLines="0" w:after="0" w:afterLines="0" w:line="240" w:lineRule="auto"/>
            <w:ind w:left="0" w:leftChars="0" w:right="0" w:rightChars="0" w:firstLine="0" w:firstLineChars="0"/>
            <w:jc w:val="both"/>
          </w:pPr>
          <w:r>
            <w:fldChar w:fldCharType="end"/>
          </w:r>
        </w:p>
      </w:sdtContent>
    </w:sdt>
    <w:p>
      <w:pPr>
        <w:pStyle w:val="2"/>
        <w:bidi w:val="0"/>
        <w:rPr>
          <w:rFonts w:hint="eastAsia"/>
        </w:rPr>
        <w:sectPr>
          <w:footerReference r:id="rId6" w:type="first"/>
          <w:footerReference r:id="rId5" w:type="default"/>
          <w:pgSz w:w="11906" w:h="16838"/>
          <w:pgMar w:top="2098" w:right="1474" w:bottom="1984" w:left="1587" w:header="851" w:footer="1361" w:gutter="0"/>
          <w:pgBorders>
            <w:top w:val="none" w:sz="0" w:space="0"/>
            <w:left w:val="none" w:sz="0" w:space="0"/>
            <w:bottom w:val="none" w:sz="0" w:space="0"/>
            <w:right w:val="none" w:sz="0" w:space="0"/>
          </w:pgBorders>
          <w:pgNumType w:fmt="decimal" w:start="1"/>
          <w:cols w:space="0" w:num="1"/>
          <w:rtlGutter w:val="0"/>
          <w:docGrid w:type="lines" w:linePitch="439" w:charSpace="0"/>
        </w:sectPr>
      </w:pPr>
    </w:p>
    <w:p>
      <w:pPr>
        <w:pStyle w:val="2"/>
        <w:bidi w:val="0"/>
      </w:pPr>
      <w:bookmarkStart w:id="20" w:name="_Toc27275"/>
      <w:r>
        <w:rPr>
          <w:rFonts w:hint="eastAsia"/>
        </w:rPr>
        <w:t>第一部分 部门概况</w:t>
      </w:r>
      <w:bookmarkEnd w:id="18"/>
      <w:bookmarkEnd w:id="19"/>
      <w:bookmarkEnd w:id="20"/>
    </w:p>
    <w:p>
      <w:pPr>
        <w:widowControl/>
        <w:jc w:val="left"/>
        <w:rPr>
          <w:rFonts w:ascii="黑体" w:eastAsia="黑体"/>
          <w:color w:val="auto"/>
          <w:sz w:val="32"/>
          <w:szCs w:val="32"/>
          <w:highlight w:val="none"/>
        </w:rPr>
      </w:pPr>
    </w:p>
    <w:p>
      <w:pPr>
        <w:pStyle w:val="3"/>
        <w:bidi w:val="0"/>
        <w:rPr>
          <w:rFonts w:hint="eastAsia" w:eastAsia="黑体"/>
          <w:lang w:eastAsia="zh-CN"/>
        </w:rPr>
      </w:pPr>
      <w:bookmarkStart w:id="21" w:name="_Toc17849"/>
      <w:bookmarkStart w:id="22" w:name="_Toc15377197"/>
      <w:bookmarkStart w:id="23" w:name="_Toc15396600"/>
      <w:r>
        <w:rPr>
          <w:rFonts w:hint="eastAsia"/>
        </w:rPr>
        <w:t>一、</w:t>
      </w:r>
      <w:bookmarkEnd w:id="21"/>
      <w:bookmarkEnd w:id="22"/>
      <w:bookmarkEnd w:id="23"/>
      <w:bookmarkStart w:id="24" w:name="_Toc15377198"/>
      <w:bookmarkStart w:id="25" w:name="_Toc15378445"/>
      <w:r>
        <w:rPr>
          <w:rFonts w:hint="eastAsia"/>
          <w:lang w:eastAsia="zh-CN"/>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贯彻执行国家、省市国民经济和社会发展的战略、方针和政策，研究提出相应的对策措施；拟订并组织实施全区经济和社会发展战略、中长期规划和年度计划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研究分析区内外经济形势和发展情况，进行宏观经济的预测、预警。</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研究全区经济体制改革和对外开放的综合性、全局性问题及对策，提出以改革开放促进发展的建议，协调发展与改革中的重大问题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提出全区固定资产投资总规模、投资结构，编制年度投资计划；研究提出有关重大投资政策，规划重大项目和生产力布局。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研究分析全区经济结构的状况，提出全区重要经济产业的发展战略和规划，推进产业结构战略性调整和升级。</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促进城乡区域协调发展。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16" w:firstLineChars="200"/>
        <w:jc w:val="both"/>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cs="仿宋_GB2312"/>
          <w:spacing w:val="-6"/>
          <w:sz w:val="32"/>
          <w:szCs w:val="32"/>
          <w:lang w:eastAsia="zh-CN"/>
        </w:rPr>
        <w:t>（七）</w:t>
      </w:r>
      <w:r>
        <w:rPr>
          <w:rFonts w:hint="eastAsia" w:ascii="仿宋_GB2312" w:hAnsi="仿宋_GB2312" w:eastAsia="仿宋_GB2312" w:cs="仿宋_GB2312"/>
          <w:spacing w:val="-6"/>
          <w:sz w:val="32"/>
          <w:szCs w:val="32"/>
        </w:rPr>
        <w:t>推进可持续发展，负责全区节能减排的综合协调工作。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rPr>
        <w:t>负责管理指导和协调</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全区</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招标投标工作。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负责区内物资价格监测和行政事业性、涉企收费定价管理工作。</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cs="仿宋_GB2312"/>
          <w:color w:val="000000"/>
          <w:kern w:val="0"/>
          <w:sz w:val="32"/>
          <w:szCs w:val="32"/>
          <w:lang w:eastAsia="zh-CN"/>
        </w:rPr>
        <w:t>（十）</w:t>
      </w:r>
      <w:r>
        <w:rPr>
          <w:rFonts w:hint="eastAsia" w:ascii="仿宋_GB2312" w:hAnsi="仿宋_GB2312" w:eastAsia="仿宋_GB2312" w:cs="仿宋_GB2312"/>
          <w:color w:val="000000"/>
          <w:kern w:val="0"/>
          <w:sz w:val="32"/>
          <w:szCs w:val="32"/>
        </w:rPr>
        <w:t>负责全区粮食物资储备及安全管理工作。</w:t>
      </w:r>
      <w:bookmarkEnd w:id="24"/>
      <w:bookmarkEnd w:id="25"/>
    </w:p>
    <w:p>
      <w:pPr>
        <w:pStyle w:val="3"/>
        <w:bidi w:val="0"/>
      </w:pPr>
      <w:bookmarkStart w:id="26" w:name="_Toc15377200"/>
      <w:bookmarkStart w:id="27" w:name="_Toc31950"/>
      <w:bookmarkStart w:id="28" w:name="_Toc15396601"/>
      <w:r>
        <w:rPr>
          <w:rFonts w:hint="eastAsia"/>
        </w:rPr>
        <w:t>二、机构设置</w:t>
      </w:r>
      <w:bookmarkEnd w:id="26"/>
      <w:bookmarkEnd w:id="27"/>
      <w:bookmarkEnd w:id="28"/>
    </w:p>
    <w:p>
      <w:pPr>
        <w:keepNext w:val="0"/>
        <w:keepLines w:val="0"/>
        <w:widowControl/>
        <w:suppressLineNumbers w:val="0"/>
        <w:jc w:val="both"/>
        <w:textAlignment w:val="center"/>
        <w:rPr>
          <w:rFonts w:hint="eastAsia"/>
          <w:sz w:val="32"/>
          <w:szCs w:val="32"/>
        </w:rPr>
      </w:pPr>
      <w:r>
        <w:rPr>
          <w:rFonts w:hint="eastAsia"/>
          <w:lang w:eastAsia="zh-CN"/>
        </w:rPr>
        <w:t>区发改局属一级预算单位，无</w:t>
      </w:r>
      <w:r>
        <w:rPr>
          <w:rFonts w:hint="eastAsia"/>
        </w:rPr>
        <w:t>下属二级</w:t>
      </w:r>
      <w:r>
        <w:rPr>
          <w:rFonts w:hint="eastAsia"/>
          <w:lang w:eastAsia="zh-CN"/>
        </w:rPr>
        <w:t>预算</w:t>
      </w:r>
      <w:r>
        <w:rPr>
          <w:rFonts w:hint="eastAsia"/>
        </w:rPr>
        <w:t>单位</w:t>
      </w:r>
      <w:r>
        <w:rPr>
          <w:rFonts w:hint="eastAsia"/>
          <w:lang w:eastAsia="zh-CN"/>
        </w:rPr>
        <w:t>。</w:t>
      </w:r>
      <w:bookmarkStart w:id="29" w:name="_Toc15377204"/>
      <w:bookmarkStart w:id="30" w:name="_Toc15396602"/>
      <w:bookmarkStart w:id="31" w:name="_Toc3752"/>
      <w:r>
        <w:rPr>
          <w:rFonts w:hint="eastAsia"/>
          <w:lang w:eastAsia="zh-CN"/>
        </w:rPr>
        <w:t>局内设</w:t>
      </w:r>
      <w:r>
        <w:rPr>
          <w:rFonts w:hint="eastAsia"/>
          <w:lang w:val="en-US" w:eastAsia="zh-CN"/>
        </w:rPr>
        <w:t>股室10个，分别是</w:t>
      </w:r>
      <w:r>
        <w:rPr>
          <w:rFonts w:hint="eastAsia" w:ascii="仿宋_GB2312" w:hAnsi="宋体" w:eastAsia="仿宋_GB2312" w:cs="仿宋_GB2312"/>
          <w:i w:val="0"/>
          <w:color w:val="000000"/>
          <w:kern w:val="0"/>
          <w:sz w:val="32"/>
          <w:szCs w:val="32"/>
          <w:u w:val="none"/>
          <w:lang w:val="en-US" w:eastAsia="zh-CN" w:bidi="ar"/>
        </w:rPr>
        <w:t>国民经济综合和体改股</w:t>
      </w:r>
      <w:r>
        <w:rPr>
          <w:rFonts w:hint="eastAsia" w:hAnsi="宋体" w:cs="仿宋_GB2312"/>
          <w:i w:val="0"/>
          <w:color w:val="000000"/>
          <w:kern w:val="0"/>
          <w:sz w:val="32"/>
          <w:szCs w:val="32"/>
          <w:u w:val="none"/>
          <w:lang w:val="en-US" w:eastAsia="zh-CN" w:bidi="ar"/>
        </w:rPr>
        <w:t>、</w:t>
      </w:r>
      <w:r>
        <w:rPr>
          <w:rFonts w:hint="eastAsia" w:ascii="仿宋_GB2312" w:hAnsi="宋体" w:eastAsia="仿宋_GB2312" w:cs="仿宋_GB2312"/>
          <w:i w:val="0"/>
          <w:color w:val="000000"/>
          <w:kern w:val="0"/>
          <w:sz w:val="32"/>
          <w:szCs w:val="32"/>
          <w:u w:val="none"/>
          <w:lang w:val="en-US" w:eastAsia="zh-CN" w:bidi="ar"/>
        </w:rPr>
        <w:t>人事财务</w:t>
      </w:r>
      <w:r>
        <w:rPr>
          <w:rFonts w:hint="eastAsia" w:hAnsi="宋体" w:cs="仿宋_GB2312"/>
          <w:i w:val="0"/>
          <w:color w:val="000000"/>
          <w:kern w:val="0"/>
          <w:sz w:val="32"/>
          <w:szCs w:val="32"/>
          <w:u w:val="none"/>
          <w:lang w:val="en-US" w:eastAsia="zh-CN" w:bidi="ar"/>
        </w:rPr>
        <w:t>股、</w:t>
      </w:r>
      <w:r>
        <w:rPr>
          <w:rFonts w:hint="eastAsia" w:ascii="仿宋_GB2312" w:hAnsi="宋体" w:eastAsia="仿宋_GB2312" w:cs="仿宋_GB2312"/>
          <w:i w:val="0"/>
          <w:color w:val="000000"/>
          <w:kern w:val="0"/>
          <w:sz w:val="32"/>
          <w:szCs w:val="32"/>
          <w:u w:val="none"/>
          <w:lang w:val="en-US" w:eastAsia="zh-CN" w:bidi="ar"/>
        </w:rPr>
        <w:t>办</w:t>
      </w:r>
      <w:r>
        <w:rPr>
          <w:rFonts w:hint="eastAsia" w:hAnsi="宋体" w:cs="仿宋_GB2312"/>
          <w:i w:val="0"/>
          <w:color w:val="000000"/>
          <w:kern w:val="0"/>
          <w:sz w:val="32"/>
          <w:szCs w:val="32"/>
          <w:u w:val="none"/>
          <w:lang w:val="en-US" w:eastAsia="zh-CN" w:bidi="ar"/>
        </w:rPr>
        <w:t>公</w:t>
      </w:r>
      <w:r>
        <w:rPr>
          <w:rFonts w:hint="eastAsia" w:ascii="仿宋_GB2312" w:hAnsi="宋体" w:eastAsia="仿宋_GB2312" w:cs="仿宋_GB2312"/>
          <w:i w:val="0"/>
          <w:color w:val="000000"/>
          <w:kern w:val="0"/>
          <w:sz w:val="32"/>
          <w:szCs w:val="32"/>
          <w:u w:val="none"/>
          <w:lang w:val="en-US" w:eastAsia="zh-CN" w:bidi="ar"/>
        </w:rPr>
        <w:t>室</w:t>
      </w:r>
      <w:r>
        <w:rPr>
          <w:rFonts w:hint="eastAsia" w:hAnsi="宋体" w:cs="仿宋_GB2312"/>
          <w:i w:val="0"/>
          <w:color w:val="000000"/>
          <w:kern w:val="0"/>
          <w:sz w:val="32"/>
          <w:szCs w:val="32"/>
          <w:u w:val="none"/>
          <w:lang w:val="en-US" w:eastAsia="zh-CN" w:bidi="ar"/>
        </w:rPr>
        <w:t>、</w:t>
      </w:r>
      <w:r>
        <w:rPr>
          <w:rFonts w:hint="eastAsia" w:ascii="仿宋_GB2312" w:hAnsi="宋体" w:eastAsia="仿宋_GB2312" w:cs="仿宋_GB2312"/>
          <w:i w:val="0"/>
          <w:color w:val="000000"/>
          <w:kern w:val="0"/>
          <w:sz w:val="32"/>
          <w:szCs w:val="32"/>
          <w:u w:val="none"/>
          <w:lang w:val="en-US" w:eastAsia="zh-CN" w:bidi="ar"/>
        </w:rPr>
        <w:t>党办</w:t>
      </w:r>
      <w:r>
        <w:rPr>
          <w:rFonts w:hint="eastAsia" w:hAnsi="宋体" w:cs="仿宋_GB2312"/>
          <w:i w:val="0"/>
          <w:color w:val="000000"/>
          <w:kern w:val="0"/>
          <w:sz w:val="32"/>
          <w:szCs w:val="32"/>
          <w:u w:val="none"/>
          <w:lang w:val="en-US" w:eastAsia="zh-CN" w:bidi="ar"/>
        </w:rPr>
        <w:t>、</w:t>
      </w:r>
      <w:r>
        <w:rPr>
          <w:rFonts w:hint="eastAsia" w:ascii="仿宋_GB2312" w:hAnsi="宋体" w:eastAsia="仿宋_GB2312" w:cs="仿宋_GB2312"/>
          <w:i w:val="0"/>
          <w:color w:val="000000"/>
          <w:kern w:val="0"/>
          <w:sz w:val="32"/>
          <w:szCs w:val="32"/>
          <w:u w:val="none"/>
          <w:lang w:val="en-US" w:eastAsia="zh-CN" w:bidi="ar"/>
        </w:rPr>
        <w:t>产业发展和能源环资股</w:t>
      </w:r>
      <w:r>
        <w:rPr>
          <w:rFonts w:hint="eastAsia" w:hAnsi="宋体" w:cs="仿宋_GB2312"/>
          <w:i w:val="0"/>
          <w:color w:val="000000"/>
          <w:kern w:val="0"/>
          <w:sz w:val="32"/>
          <w:szCs w:val="32"/>
          <w:u w:val="none"/>
          <w:lang w:val="en-US" w:eastAsia="zh-CN" w:bidi="ar"/>
        </w:rPr>
        <w:t>、</w:t>
      </w:r>
      <w:r>
        <w:rPr>
          <w:rFonts w:hint="eastAsia" w:ascii="仿宋_GB2312" w:hAnsi="宋体" w:eastAsia="仿宋_GB2312" w:cs="仿宋_GB2312"/>
          <w:i w:val="0"/>
          <w:color w:val="000000"/>
          <w:kern w:val="0"/>
          <w:sz w:val="32"/>
          <w:szCs w:val="32"/>
          <w:u w:val="none"/>
          <w:lang w:val="en-US" w:eastAsia="zh-CN" w:bidi="ar"/>
        </w:rPr>
        <w:t>政策法规和招投标管理股</w:t>
      </w:r>
      <w:r>
        <w:rPr>
          <w:rFonts w:hint="eastAsia" w:hAnsi="宋体" w:cs="仿宋_GB2312"/>
          <w:i w:val="0"/>
          <w:color w:val="000000"/>
          <w:sz w:val="32"/>
          <w:szCs w:val="32"/>
          <w:u w:val="none"/>
          <w:lang w:eastAsia="zh-CN"/>
        </w:rPr>
        <w:t>、</w:t>
      </w:r>
      <w:r>
        <w:rPr>
          <w:rFonts w:hint="eastAsia" w:ascii="仿宋_GB2312" w:hAnsi="宋体" w:eastAsia="仿宋_GB2312" w:cs="仿宋_GB2312"/>
          <w:i w:val="0"/>
          <w:color w:val="000000"/>
          <w:kern w:val="0"/>
          <w:sz w:val="32"/>
          <w:szCs w:val="32"/>
          <w:u w:val="none"/>
          <w:lang w:val="en-US" w:eastAsia="zh-CN" w:bidi="ar"/>
        </w:rPr>
        <w:t>价格管理股</w:t>
      </w:r>
      <w:r>
        <w:rPr>
          <w:rFonts w:hint="eastAsia" w:hAnsi="宋体" w:cs="仿宋_GB2312"/>
          <w:i w:val="0"/>
          <w:color w:val="000000"/>
          <w:sz w:val="32"/>
          <w:szCs w:val="32"/>
          <w:u w:val="none"/>
          <w:lang w:eastAsia="zh-CN"/>
        </w:rPr>
        <w:t>、</w:t>
      </w:r>
      <w:r>
        <w:rPr>
          <w:rFonts w:hint="eastAsia" w:ascii="仿宋_GB2312" w:hAnsi="宋体" w:eastAsia="仿宋_GB2312" w:cs="仿宋_GB2312"/>
          <w:i w:val="0"/>
          <w:color w:val="000000"/>
          <w:kern w:val="0"/>
          <w:sz w:val="32"/>
          <w:szCs w:val="32"/>
          <w:u w:val="none"/>
          <w:lang w:val="en-US" w:eastAsia="zh-CN" w:bidi="ar"/>
        </w:rPr>
        <w:t>项目审批储备股</w:t>
      </w:r>
      <w:r>
        <w:rPr>
          <w:rFonts w:hint="eastAsia" w:hAnsi="宋体" w:cs="仿宋_GB2312"/>
          <w:i w:val="0"/>
          <w:color w:val="000000"/>
          <w:sz w:val="32"/>
          <w:szCs w:val="32"/>
          <w:u w:val="none"/>
          <w:lang w:eastAsia="zh-CN"/>
        </w:rPr>
        <w:t>、</w:t>
      </w:r>
      <w:r>
        <w:rPr>
          <w:rFonts w:hint="eastAsia" w:ascii="仿宋_GB2312" w:hAnsi="宋体" w:eastAsia="仿宋_GB2312" w:cs="仿宋_GB2312"/>
          <w:i w:val="0"/>
          <w:color w:val="000000"/>
          <w:kern w:val="0"/>
          <w:sz w:val="32"/>
          <w:szCs w:val="32"/>
          <w:u w:val="none"/>
          <w:lang w:val="en-US" w:eastAsia="zh-CN" w:bidi="ar"/>
        </w:rPr>
        <w:t>项目协调管理股</w:t>
      </w:r>
      <w:r>
        <w:rPr>
          <w:rFonts w:hint="eastAsia" w:hAnsi="宋体" w:cs="仿宋_GB2312"/>
          <w:i w:val="0"/>
          <w:color w:val="000000"/>
          <w:sz w:val="32"/>
          <w:szCs w:val="32"/>
          <w:u w:val="none"/>
          <w:lang w:eastAsia="zh-CN"/>
        </w:rPr>
        <w:t>、</w:t>
      </w:r>
      <w:r>
        <w:rPr>
          <w:rFonts w:hint="eastAsia" w:ascii="仿宋_GB2312" w:hAnsi="宋体" w:eastAsia="仿宋_GB2312" w:cs="仿宋_GB2312"/>
          <w:i w:val="0"/>
          <w:color w:val="000000"/>
          <w:kern w:val="0"/>
          <w:sz w:val="32"/>
          <w:szCs w:val="32"/>
          <w:u w:val="none"/>
          <w:lang w:val="en-US" w:eastAsia="zh-CN" w:bidi="ar"/>
        </w:rPr>
        <w:t>粮食仓储流通和调控股</w:t>
      </w:r>
      <w:r>
        <w:rPr>
          <w:rFonts w:hint="eastAsia" w:hAnsi="宋体" w:cs="仿宋_GB2312"/>
          <w:i w:val="0"/>
          <w:color w:val="000000"/>
          <w:kern w:val="0"/>
          <w:sz w:val="32"/>
          <w:szCs w:val="32"/>
          <w:u w:val="none"/>
          <w:lang w:val="en-US" w:eastAsia="zh-CN" w:bidi="ar"/>
        </w:rPr>
        <w:t>。</w:t>
      </w:r>
    </w:p>
    <w:p>
      <w:pPr>
        <w:rPr>
          <w:rFonts w:hint="eastAsia"/>
        </w:rPr>
      </w:pPr>
      <w:r>
        <w:rPr>
          <w:rFonts w:hint="eastAsia"/>
        </w:rPr>
        <w:br w:type="page"/>
      </w:r>
    </w:p>
    <w:p>
      <w:pPr>
        <w:pStyle w:val="2"/>
        <w:bidi w:val="0"/>
        <w:rPr>
          <w:color w:val="auto"/>
          <w:highlight w:val="none"/>
        </w:rPr>
      </w:pPr>
      <w:r>
        <w:rPr>
          <w:rFonts w:hint="eastAsia"/>
        </w:rPr>
        <w:t xml:space="preserve">第二部分 </w:t>
      </w:r>
      <w:r>
        <w:rPr>
          <w:rFonts w:hint="eastAsia"/>
          <w:lang w:val="en-US" w:eastAsia="zh-CN"/>
        </w:rPr>
        <w:t>2022年度</w:t>
      </w:r>
      <w:r>
        <w:rPr>
          <w:rFonts w:hint="eastAsia"/>
        </w:rPr>
        <w:t>部门决算情况说明</w:t>
      </w:r>
      <w:bookmarkEnd w:id="29"/>
      <w:bookmarkEnd w:id="30"/>
      <w:bookmarkEnd w:id="31"/>
    </w:p>
    <w:p>
      <w:pPr>
        <w:bidi w:val="0"/>
        <w:rPr>
          <w:rFonts w:hint="eastAsia"/>
          <w:lang w:val="en-US" w:eastAsia="zh-CN"/>
        </w:rPr>
      </w:pPr>
      <w:bookmarkStart w:id="32" w:name="_Toc16501"/>
      <w:bookmarkStart w:id="33" w:name="_Toc15396603"/>
      <w:bookmarkStart w:id="34" w:name="_Toc15377205"/>
    </w:p>
    <w:p>
      <w:pPr>
        <w:pStyle w:val="3"/>
        <w:pageBreakBefore w:val="0"/>
        <w:widowControl w:val="0"/>
        <w:kinsoku/>
        <w:wordWrap/>
        <w:overflowPunct/>
        <w:topLinePunct w:val="0"/>
        <w:autoSpaceDE/>
        <w:autoSpaceDN/>
        <w:bidi w:val="0"/>
        <w:adjustRightInd/>
        <w:snapToGrid/>
        <w:spacing w:line="520" w:lineRule="exact"/>
        <w:textAlignment w:val="auto"/>
      </w:pPr>
      <w:r>
        <w:rPr>
          <w:rFonts w:hint="eastAsia"/>
          <w:lang w:val="en-US" w:eastAsia="zh-CN"/>
        </w:rPr>
        <w:t>一、</w:t>
      </w:r>
      <w:r>
        <w:rPr>
          <w:rFonts w:hint="eastAsia"/>
        </w:rPr>
        <w:t>收入支出决算总体情况说明</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年度收</w:t>
      </w:r>
      <w:r>
        <w:rPr>
          <w:rFonts w:hint="eastAsia" w:ascii="仿宋_GB2312" w:hAnsi="仿宋_GB2312" w:eastAsia="仿宋_GB2312" w:cs="仿宋_GB2312"/>
          <w:lang w:eastAsia="zh-CN"/>
        </w:rPr>
        <w:t>、支</w:t>
      </w:r>
      <w:r>
        <w:rPr>
          <w:rFonts w:hint="eastAsia" w:ascii="仿宋_GB2312" w:hAnsi="仿宋_GB2312" w:eastAsia="仿宋_GB2312" w:cs="仿宋_GB2312"/>
          <w:lang w:val="en-US" w:eastAsia="zh-CN"/>
        </w:rPr>
        <w:t>682.39</w:t>
      </w:r>
      <w:r>
        <w:rPr>
          <w:rFonts w:hint="eastAsia" w:ascii="仿宋_GB2312" w:hAnsi="仿宋_GB2312" w:eastAsia="仿宋_GB2312" w:cs="仿宋_GB2312"/>
        </w:rPr>
        <w:t>万元</w:t>
      </w:r>
      <w:r>
        <w:rPr>
          <w:rFonts w:hint="eastAsia" w:ascii="仿宋_GB2312" w:hAnsi="仿宋_GB2312" w:eastAsia="仿宋_GB2312" w:cs="仿宋_GB2312"/>
          <w:lang w:eastAsia="zh-CN"/>
        </w:rPr>
        <w:t>，</w:t>
      </w:r>
      <w:r>
        <w:rPr>
          <w:rFonts w:hint="eastAsia" w:ascii="仿宋_GB2312" w:hAnsi="仿宋_GB2312" w:eastAsia="仿宋_GB2312" w:cs="仿宋_GB2312"/>
        </w:rPr>
        <w:t>与20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年相比</w:t>
      </w:r>
      <w:r>
        <w:rPr>
          <w:rFonts w:hint="eastAsia" w:ascii="仿宋_GB2312" w:hAnsi="仿宋_GB2312" w:eastAsia="仿宋_GB2312" w:cs="仿宋_GB2312"/>
          <w:lang w:eastAsia="zh-CN"/>
        </w:rPr>
        <w:t>收、支各增加</w:t>
      </w:r>
      <w:r>
        <w:rPr>
          <w:rFonts w:hint="eastAsia" w:ascii="仿宋_GB2312" w:hAnsi="仿宋_GB2312" w:eastAsia="仿宋_GB2312" w:cs="仿宋_GB2312"/>
          <w:lang w:val="en-US" w:eastAsia="zh-CN"/>
        </w:rPr>
        <w:t>187.89</w:t>
      </w:r>
      <w:r>
        <w:rPr>
          <w:rFonts w:hint="eastAsia" w:ascii="仿宋_GB2312" w:hAnsi="仿宋_GB2312" w:eastAsia="仿宋_GB2312" w:cs="仿宋_GB2312"/>
        </w:rPr>
        <w:t>万元，</w:t>
      </w:r>
      <w:r>
        <w:rPr>
          <w:rFonts w:hint="eastAsia" w:ascii="仿宋_GB2312" w:hAnsi="仿宋_GB2312" w:eastAsia="仿宋_GB2312" w:cs="仿宋_GB2312"/>
          <w:lang w:eastAsia="zh-CN"/>
        </w:rPr>
        <w:t>上升</w:t>
      </w:r>
      <w:r>
        <w:rPr>
          <w:rFonts w:hint="eastAsia" w:ascii="仿宋_GB2312" w:hAnsi="仿宋_GB2312" w:eastAsia="仿宋_GB2312" w:cs="仿宋_GB2312"/>
          <w:lang w:val="en-US" w:eastAsia="zh-CN"/>
        </w:rPr>
        <w:t>38</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主要变动原因是</w:t>
      </w:r>
      <w:r>
        <w:rPr>
          <w:rFonts w:hint="eastAsia" w:ascii="仿宋_GB2312" w:hAnsi="仿宋_GB2312" w:eastAsia="仿宋_GB2312" w:cs="仿宋_GB2312"/>
          <w:lang w:eastAsia="zh-CN"/>
        </w:rPr>
        <w:t>人员经费及项目增加</w:t>
      </w:r>
      <w:r>
        <w:rPr>
          <w:rFonts w:hint="eastAsia" w:ascii="仿宋_GB2312" w:hAnsi="仿宋_GB2312" w:eastAsia="仿宋_GB2312" w:cs="仿宋_GB2312"/>
        </w:rPr>
        <w:t>。</w:t>
      </w:r>
    </w:p>
    <w:p>
      <w:pPr>
        <w:spacing w:line="600" w:lineRule="exact"/>
        <w:ind w:left="0" w:leftChars="0" w:right="0" w:rightChars="0" w:firstLine="0" w:firstLineChars="0"/>
        <w:jc w:val="center"/>
        <w:rPr>
          <w:rFonts w:hint="eastAsia"/>
          <w:lang w:eastAsia="zh-CN"/>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align>center</wp:align>
            </wp:positionH>
            <wp:positionV relativeFrom="paragraph">
              <wp:posOffset>158115</wp:posOffset>
            </wp:positionV>
            <wp:extent cx="4806950" cy="2272030"/>
            <wp:effectExtent l="4445" t="4445" r="8255" b="9525"/>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bookmarkStart w:id="35" w:name="_Toc15396604"/>
      <w:bookmarkStart w:id="36" w:name="_Toc15377206"/>
    </w:p>
    <w:p>
      <w:pPr>
        <w:pStyle w:val="3"/>
        <w:bidi w:val="0"/>
      </w:pPr>
      <w:bookmarkStart w:id="37" w:name="_Toc27824"/>
      <w:r>
        <w:rPr>
          <w:rFonts w:hint="eastAsia"/>
          <w:lang w:eastAsia="zh-CN"/>
        </w:rPr>
        <w:t>二、</w:t>
      </w:r>
      <w:r>
        <w:rPr>
          <w:rFonts w:hint="eastAsia"/>
        </w:rPr>
        <w:t>收入决算情况说明</w:t>
      </w:r>
      <w:bookmarkEnd w:id="35"/>
      <w:bookmarkEnd w:id="36"/>
      <w:bookmarkEnd w:id="37"/>
    </w:p>
    <w:p>
      <w:pPr>
        <w:bidi w:val="0"/>
        <w:rPr>
          <w:rFonts w:hint="eastAsia" w:ascii="仿宋_GB2312" w:hAnsi="仿宋_GB2312" w:eastAsia="仿宋_GB2312" w:cs="仿宋_GB2312"/>
        </w:rPr>
      </w:pPr>
      <w:bookmarkStart w:id="38" w:name="_Toc18270"/>
      <w:bookmarkStart w:id="39" w:name="_Toc902"/>
      <w:bookmarkStart w:id="40" w:name="_Toc31753"/>
      <w:r>
        <w:rPr>
          <w:rFonts w:hint="eastAsia" w:ascii="仿宋_GB2312" w:hAnsi="仿宋_GB2312" w:eastAsia="仿宋_GB2312" w:cs="仿宋_GB2312"/>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年本年收入合计</w:t>
      </w:r>
      <w:r>
        <w:rPr>
          <w:rFonts w:hint="eastAsia" w:ascii="仿宋_GB2312" w:hAnsi="仿宋_GB2312" w:eastAsia="仿宋_GB2312" w:cs="仿宋_GB2312"/>
          <w:lang w:val="en-US" w:eastAsia="zh-CN"/>
        </w:rPr>
        <w:t>682.39</w:t>
      </w:r>
      <w:r>
        <w:rPr>
          <w:rFonts w:hint="eastAsia" w:ascii="仿宋_GB2312" w:hAnsi="仿宋_GB2312" w:eastAsia="仿宋_GB2312" w:cs="仿宋_GB2312"/>
        </w:rPr>
        <w:t>万元，</w:t>
      </w:r>
      <w:r>
        <w:rPr>
          <w:rFonts w:hint="eastAsia" w:ascii="仿宋_GB2312" w:hAnsi="仿宋_GB2312" w:eastAsia="仿宋_GB2312" w:cs="仿宋_GB2312"/>
          <w:lang w:eastAsia="zh-CN"/>
        </w:rPr>
        <w:t>其中：</w:t>
      </w:r>
      <w:r>
        <w:rPr>
          <w:rFonts w:hint="eastAsia" w:ascii="仿宋_GB2312" w:hAnsi="仿宋_GB2312" w:eastAsia="仿宋_GB2312" w:cs="仿宋_GB2312"/>
        </w:rPr>
        <w:t>一般公共预算财政拨款收入</w:t>
      </w:r>
      <w:r>
        <w:rPr>
          <w:rFonts w:hint="eastAsia" w:ascii="仿宋_GB2312" w:hAnsi="仿宋_GB2312" w:eastAsia="仿宋_GB2312" w:cs="仿宋_GB2312"/>
          <w:lang w:val="en-US" w:eastAsia="zh-CN"/>
        </w:rPr>
        <w:t>682.39</w:t>
      </w:r>
      <w:r>
        <w:rPr>
          <w:rFonts w:hint="eastAsia" w:ascii="仿宋_GB2312" w:hAnsi="仿宋_GB2312" w:eastAsia="仿宋_GB2312" w:cs="仿宋_GB2312"/>
        </w:rPr>
        <w:t>万元，占100%</w:t>
      </w:r>
      <w:bookmarkEnd w:id="38"/>
      <w:bookmarkEnd w:id="39"/>
      <w:bookmarkEnd w:id="40"/>
      <w:r>
        <w:rPr>
          <w:rFonts w:hint="eastAsia" w:ascii="仿宋_GB2312" w:hAnsi="仿宋_GB2312" w:eastAsia="仿宋_GB2312" w:cs="仿宋_GB2312"/>
          <w:lang w:eastAsia="zh-CN"/>
        </w:rPr>
        <w:t>；</w:t>
      </w:r>
      <w:r>
        <w:rPr>
          <w:rFonts w:hint="eastAsia" w:ascii="仿宋_GB2312" w:hAnsi="仿宋_GB2312" w:eastAsia="仿宋_GB2312" w:cs="仿宋_GB2312"/>
        </w:rPr>
        <w:t>政府性基金预算财政拨款收入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w:t>
      </w:r>
      <w:r>
        <w:rPr>
          <w:rFonts w:hint="eastAsia" w:ascii="仿宋_GB2312" w:hAnsi="仿宋_GB2312" w:eastAsia="仿宋_GB2312" w:cs="仿宋_GB2312"/>
          <w:lang w:eastAsia="zh-CN"/>
        </w:rPr>
        <w:t>国有资本经营预算财政拨款收入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%；上级补助收入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%；事业收入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%；经营收入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%；附属单位上缴收入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%；其他收入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w:t>
      </w:r>
    </w:p>
    <w:p>
      <w:pPr>
        <w:bidi w:val="0"/>
        <w:ind w:left="0" w:leftChars="0" w:right="0" w:rightChars="0" w:firstLine="0" w:firstLineChars="0"/>
        <w:jc w:val="center"/>
        <w:rPr>
          <w:rFonts w:hint="eastAsia"/>
          <w:b/>
          <w:bCs/>
        </w:rPr>
      </w:pPr>
      <w:r>
        <w:rPr>
          <w:rFonts w:hint="eastAsia"/>
          <w:b/>
          <w:bCs/>
        </w:rPr>
        <w:drawing>
          <wp:anchor distT="0" distB="0" distL="114300" distR="114300" simplePos="0" relativeHeight="251665408" behindDoc="0" locked="0" layoutInCell="1" allowOverlap="1">
            <wp:simplePos x="0" y="0"/>
            <wp:positionH relativeFrom="column">
              <wp:posOffset>309245</wp:posOffset>
            </wp:positionH>
            <wp:positionV relativeFrom="paragraph">
              <wp:posOffset>471805</wp:posOffset>
            </wp:positionV>
            <wp:extent cx="4926330" cy="2840990"/>
            <wp:effectExtent l="4445" t="4445" r="22225" b="1206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b/>
          <w:bCs/>
        </w:rPr>
        <w:t>（注：数据来源于财决01表</w:t>
      </w:r>
      <w:r>
        <w:rPr>
          <w:rFonts w:hint="eastAsia"/>
          <w:b/>
          <w:bCs/>
          <w:lang w:eastAsia="zh-CN"/>
        </w:rPr>
        <w:t>，仅罗列本部门涉及的收入。</w:t>
      </w:r>
      <w:r>
        <w:rPr>
          <w:rFonts w:hint="eastAsia"/>
          <w:b/>
          <w:bCs/>
        </w:rPr>
        <w:t>）</w:t>
      </w:r>
    </w:p>
    <w:p>
      <w:pPr>
        <w:spacing w:line="600" w:lineRule="exact"/>
        <w:ind w:left="0" w:leftChars="0" w:right="0" w:rightChars="0" w:firstLine="0" w:firstLineChars="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3"/>
        <w:numPr>
          <w:ilvl w:val="0"/>
          <w:numId w:val="1"/>
        </w:numPr>
        <w:bidi w:val="0"/>
      </w:pPr>
      <w:bookmarkStart w:id="41" w:name="_Toc18188"/>
      <w:bookmarkStart w:id="42" w:name="_Toc15396605"/>
      <w:bookmarkStart w:id="43" w:name="_Toc15377207"/>
      <w:r>
        <w:rPr>
          <w:rFonts w:hint="eastAsia"/>
        </w:rPr>
        <w:t>支出决算情况说明</w:t>
      </w:r>
      <w:bookmarkEnd w:id="41"/>
      <w:bookmarkEnd w:id="42"/>
      <w:bookmarkEnd w:id="43"/>
    </w:p>
    <w:p>
      <w:pPr>
        <w:bidi w:val="0"/>
        <w:rPr>
          <w:rFonts w:hint="eastAsia"/>
          <w:lang w:eastAsia="zh-CN"/>
        </w:rPr>
      </w:pPr>
      <w:r>
        <w:rPr>
          <w:rFonts w:hint="eastAsia"/>
        </w:rPr>
        <w:t>20</w:t>
      </w:r>
      <w:r>
        <w:rPr>
          <w:rFonts w:hint="eastAsia"/>
          <w:lang w:val="en-US" w:eastAsia="zh-CN"/>
        </w:rPr>
        <w:t>22</w:t>
      </w:r>
      <w:r>
        <w:rPr>
          <w:rFonts w:hint="eastAsia"/>
        </w:rPr>
        <w:t>年本年支出合计</w:t>
      </w:r>
      <w:r>
        <w:rPr>
          <w:rFonts w:hint="eastAsia"/>
          <w:lang w:val="en-US" w:eastAsia="zh-CN"/>
        </w:rPr>
        <w:t>682.39</w:t>
      </w:r>
      <w:r>
        <w:rPr>
          <w:rFonts w:hint="eastAsia"/>
        </w:rPr>
        <w:t>万元，其中：基本支出</w:t>
      </w:r>
      <w:r>
        <w:rPr>
          <w:rFonts w:hint="eastAsia"/>
          <w:lang w:val="en-US" w:eastAsia="zh-CN"/>
        </w:rPr>
        <w:t>461.85</w:t>
      </w:r>
      <w:r>
        <w:rPr>
          <w:rFonts w:hint="eastAsia"/>
        </w:rPr>
        <w:t>万元，占</w:t>
      </w:r>
      <w:r>
        <w:rPr>
          <w:rFonts w:hint="eastAsia"/>
          <w:lang w:val="en-US" w:eastAsia="zh-CN"/>
        </w:rPr>
        <w:t>68</w:t>
      </w:r>
      <w:r>
        <w:rPr>
          <w:rFonts w:hint="eastAsia"/>
        </w:rPr>
        <w:t>%；项目支出</w:t>
      </w:r>
      <w:r>
        <w:rPr>
          <w:rFonts w:hint="eastAsia"/>
          <w:lang w:val="en-US" w:eastAsia="zh-CN"/>
        </w:rPr>
        <w:t>220.54</w:t>
      </w:r>
      <w:r>
        <w:rPr>
          <w:rFonts w:hint="eastAsia"/>
        </w:rPr>
        <w:t>万元，占</w:t>
      </w:r>
      <w:r>
        <w:rPr>
          <w:rFonts w:hint="eastAsia"/>
          <w:lang w:val="en-US" w:eastAsia="zh-CN"/>
        </w:rPr>
        <w:t>32</w:t>
      </w:r>
      <w:r>
        <w:rPr>
          <w:rFonts w:hint="eastAsia"/>
        </w:rPr>
        <w:t>%</w:t>
      </w:r>
      <w:r>
        <w:rPr>
          <w:rFonts w:hint="eastAsia"/>
          <w:lang w:eastAsia="zh-CN"/>
        </w:rPr>
        <w:t>。</w:t>
      </w:r>
    </w:p>
    <w:p>
      <w:pPr>
        <w:bidi w:val="0"/>
        <w:ind w:left="0" w:leftChars="0" w:right="0" w:rightChars="0" w:firstLine="0" w:firstLineChars="0"/>
        <w:jc w:val="center"/>
        <w:rPr>
          <w:rFonts w:hint="eastAsia"/>
          <w:b/>
          <w:bCs/>
        </w:rPr>
      </w:pPr>
      <w:r>
        <w:rPr>
          <w:rFonts w:hint="eastAsia"/>
          <w:b/>
          <w:bCs/>
        </w:rPr>
        <w:drawing>
          <wp:anchor distT="0" distB="0" distL="114300" distR="114300" simplePos="0" relativeHeight="251660288" behindDoc="0" locked="0" layoutInCell="1" allowOverlap="1">
            <wp:simplePos x="0" y="0"/>
            <wp:positionH relativeFrom="column">
              <wp:posOffset>238125</wp:posOffset>
            </wp:positionH>
            <wp:positionV relativeFrom="paragraph">
              <wp:posOffset>488950</wp:posOffset>
            </wp:positionV>
            <wp:extent cx="5069205" cy="2129790"/>
            <wp:effectExtent l="4445" t="4445" r="12700" b="1841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b/>
          <w:bCs/>
        </w:rPr>
        <w:t>（注：数据来源于财决</w:t>
      </w:r>
      <w:r>
        <w:rPr>
          <w:b/>
          <w:bCs/>
        </w:rPr>
        <w:t>04</w:t>
      </w:r>
      <w:r>
        <w:rPr>
          <w:rFonts w:hint="eastAsia"/>
          <w:b/>
          <w:bCs/>
        </w:rPr>
        <w:t>表</w:t>
      </w:r>
      <w:r>
        <w:rPr>
          <w:rFonts w:hint="eastAsia"/>
          <w:b/>
          <w:bCs/>
          <w:lang w:eastAsia="zh-CN"/>
        </w:rPr>
        <w:t>，仅罗列本部门涉及的支出。</w:t>
      </w:r>
      <w:r>
        <w:rPr>
          <w:rFonts w:hint="eastAsia"/>
          <w:b/>
          <w:bCs/>
        </w:rPr>
        <w:t>）</w:t>
      </w:r>
    </w:p>
    <w:p>
      <w:pPr>
        <w:spacing w:line="600" w:lineRule="exact"/>
        <w:ind w:left="0" w:leftChars="0" w:right="0" w:rightChars="0" w:firstLine="0" w:firstLineChars="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pStyle w:val="3"/>
        <w:bidi w:val="0"/>
      </w:pPr>
      <w:bookmarkStart w:id="44" w:name="_Toc15377208"/>
      <w:bookmarkStart w:id="45" w:name="_Toc15396606"/>
      <w:bookmarkStart w:id="46" w:name="_Toc6987"/>
      <w:r>
        <w:rPr>
          <w:rFonts w:hint="eastAsia"/>
        </w:rPr>
        <w:t>四、财政拨款收入支出决算总体情况说明</w:t>
      </w:r>
      <w:bookmarkEnd w:id="44"/>
      <w:bookmarkEnd w:id="45"/>
      <w:bookmarkEnd w:id="46"/>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财政拨款收、支总计</w:t>
      </w:r>
      <w:r>
        <w:rPr>
          <w:rFonts w:hint="eastAsia" w:ascii="仿宋_GB2312" w:hAnsi="仿宋_GB2312" w:cs="仿宋_GB2312"/>
          <w:sz w:val="32"/>
          <w:szCs w:val="32"/>
          <w:lang w:val="en-US" w:eastAsia="zh-CN"/>
        </w:rPr>
        <w:t>682.39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年相比，财政拨款收</w:t>
      </w:r>
      <w:r>
        <w:rPr>
          <w:rFonts w:hint="eastAsia" w:ascii="仿宋_GB2312" w:hAnsi="仿宋_GB2312" w:eastAsia="仿宋_GB2312" w:cs="仿宋_GB2312"/>
          <w:sz w:val="32"/>
          <w:szCs w:val="32"/>
          <w:lang w:eastAsia="zh-CN"/>
        </w:rPr>
        <w:t>、支总计</w:t>
      </w:r>
      <w:r>
        <w:rPr>
          <w:rFonts w:hint="eastAsia" w:ascii="仿宋_GB2312" w:hAnsi="仿宋_GB2312" w:cs="仿宋_GB2312"/>
          <w:sz w:val="32"/>
          <w:szCs w:val="32"/>
          <w:lang w:eastAsia="zh-CN"/>
        </w:rPr>
        <w:t>增加</w:t>
      </w:r>
      <w:r>
        <w:rPr>
          <w:rFonts w:hint="eastAsia" w:ascii="仿宋_GB2312" w:hAnsi="仿宋_GB2312" w:cs="仿宋_GB2312"/>
          <w:sz w:val="32"/>
          <w:szCs w:val="32"/>
          <w:lang w:val="en-US" w:eastAsia="zh-CN"/>
        </w:rPr>
        <w:t>187.89</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上升</w:t>
      </w:r>
      <w:r>
        <w:rPr>
          <w:rFonts w:hint="eastAsia" w:ascii="仿宋_GB2312" w:hAnsi="仿宋_GB2312" w:cs="仿宋_GB2312"/>
          <w:sz w:val="32"/>
          <w:szCs w:val="32"/>
          <w:lang w:val="en-US" w:eastAsia="zh-CN"/>
        </w:rPr>
        <w:t>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主要变动原因是</w:t>
      </w:r>
      <w:r>
        <w:rPr>
          <w:rFonts w:hint="eastAsia" w:ascii="仿宋_GB2312" w:hAnsi="仿宋_GB2312" w:cs="仿宋_GB2312"/>
          <w:sz w:val="32"/>
          <w:szCs w:val="32"/>
          <w:lang w:eastAsia="zh-CN"/>
        </w:rPr>
        <w:t>人员经费及</w:t>
      </w:r>
      <w:r>
        <w:rPr>
          <w:rFonts w:hint="eastAsia" w:ascii="仿宋_GB2312" w:hAnsi="仿宋_GB2312" w:eastAsia="仿宋_GB2312" w:cs="仿宋_GB2312"/>
          <w:sz w:val="32"/>
          <w:szCs w:val="32"/>
          <w:lang w:eastAsia="zh-CN"/>
        </w:rPr>
        <w:t>项目</w:t>
      </w:r>
      <w:r>
        <w:rPr>
          <w:rFonts w:hint="eastAsia" w:ascii="仿宋_GB2312" w:hAnsi="仿宋_GB2312" w:cs="仿宋_GB2312"/>
          <w:sz w:val="32"/>
          <w:szCs w:val="32"/>
          <w:lang w:eastAsia="zh-CN"/>
        </w:rPr>
        <w:t>增加</w:t>
      </w:r>
      <w:r>
        <w:rPr>
          <w:rFonts w:hint="eastAsia" w:ascii="仿宋_GB2312" w:hAnsi="仿宋_GB2312" w:eastAsia="仿宋_GB2312" w:cs="仿宋_GB2312"/>
          <w:sz w:val="32"/>
          <w:szCs w:val="32"/>
        </w:rPr>
        <w:t>。</w:t>
      </w:r>
    </w:p>
    <w:p>
      <w:pPr>
        <w:spacing w:line="600" w:lineRule="exact"/>
        <w:ind w:firstLine="640"/>
        <w:rPr>
          <w:rFonts w:hint="eastAsia" w:ascii="仿宋_GB2312" w:hAnsi="仿宋_GB2312" w:eastAsia="仿宋_GB2312" w:cs="仿宋_GB2312"/>
          <w:sz w:val="32"/>
          <w:szCs w:val="32"/>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ind w:left="0" w:leftChars="0" w:right="0" w:rightChars="0" w:firstLine="0" w:firstLineChars="0"/>
        <w:jc w:val="center"/>
        <w:rPr>
          <w:rFonts w:ascii="仿宋" w:hAnsi="仿宋" w:eastAsia="仿宋"/>
          <w:b/>
          <w:color w:val="auto"/>
          <w:sz w:val="32"/>
          <w:szCs w:val="32"/>
          <w:highlight w:val="none"/>
        </w:rPr>
      </w:pPr>
      <w:r>
        <w:rPr>
          <w:rFonts w:hint="eastAsia" w:ascii="仿宋" w:hAnsi="仿宋" w:eastAsia="仿宋"/>
          <w:b/>
          <w:color w:val="00B050"/>
          <w:sz w:val="32"/>
          <w:szCs w:val="32"/>
        </w:rPr>
        <w:drawing>
          <wp:anchor distT="0" distB="0" distL="114300" distR="114300" simplePos="0" relativeHeight="251661312" behindDoc="0" locked="0" layoutInCell="1" allowOverlap="1">
            <wp:simplePos x="0" y="0"/>
            <wp:positionH relativeFrom="column">
              <wp:align>center</wp:align>
            </wp:positionH>
            <wp:positionV relativeFrom="paragraph">
              <wp:posOffset>71755</wp:posOffset>
            </wp:positionV>
            <wp:extent cx="4915535" cy="2320925"/>
            <wp:effectExtent l="4445" t="4445" r="13970" b="177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rPr>
        <w:t>（图4：财政拨款收、支决算总计变动情况）（柱状图）</w:t>
      </w:r>
    </w:p>
    <w:p>
      <w:pPr>
        <w:pStyle w:val="3"/>
        <w:bidi w:val="0"/>
      </w:pPr>
      <w:bookmarkStart w:id="47" w:name="_Toc15377209"/>
      <w:bookmarkStart w:id="48" w:name="_Toc23910"/>
      <w:bookmarkStart w:id="49" w:name="_Toc15396607"/>
      <w:r>
        <w:rPr>
          <w:rFonts w:hint="eastAsia"/>
        </w:rPr>
        <w:t>五、一般公共预算财政拨款支出决算情况说明</w:t>
      </w:r>
      <w:bookmarkEnd w:id="47"/>
      <w:bookmarkEnd w:id="48"/>
      <w:bookmarkEnd w:id="49"/>
    </w:p>
    <w:p>
      <w:pPr>
        <w:pStyle w:val="4"/>
        <w:bidi w:val="0"/>
        <w:rPr>
          <w:rFonts w:hint="eastAsia"/>
        </w:rPr>
      </w:pPr>
      <w:bookmarkStart w:id="50" w:name="_Toc15377210"/>
      <w:bookmarkStart w:id="51" w:name="_Toc32380"/>
      <w:r>
        <w:rPr>
          <w:rFonts w:hint="eastAsia"/>
        </w:rPr>
        <w:t>（一）一般公共预算财政拨款支出决算总体情况</w:t>
      </w:r>
      <w:bookmarkEnd w:id="50"/>
      <w:bookmarkEnd w:id="51"/>
    </w:p>
    <w:p>
      <w:pPr>
        <w:bidi w:val="0"/>
        <w:rPr>
          <w:rFonts w:hint="eastAsia" w:ascii="仿宋_GB2312" w:hAnsi="仿宋_GB2312" w:eastAsia="仿宋_GB2312" w:cs="仿宋_GB2312"/>
          <w:lang w:eastAsia="zh-CN"/>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年一般公共预算财政拨款支出</w:t>
      </w:r>
      <w:r>
        <w:rPr>
          <w:rFonts w:hint="eastAsia" w:ascii="仿宋_GB2312" w:hAnsi="仿宋_GB2312" w:eastAsia="仿宋_GB2312" w:cs="仿宋_GB2312"/>
          <w:lang w:val="en-US" w:eastAsia="zh-CN"/>
        </w:rPr>
        <w:t>682.39</w:t>
      </w:r>
      <w:r>
        <w:rPr>
          <w:rFonts w:hint="eastAsia" w:ascii="仿宋_GB2312" w:hAnsi="仿宋_GB2312" w:eastAsia="仿宋_GB2312" w:cs="仿宋_GB2312"/>
        </w:rPr>
        <w:t>万元，占本年支出合计的100%。与20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年相比，一般公共预算财政拨款</w:t>
      </w:r>
      <w:r>
        <w:rPr>
          <w:rFonts w:hint="eastAsia" w:ascii="仿宋_GB2312" w:hAnsi="仿宋_GB2312" w:eastAsia="仿宋_GB2312" w:cs="仿宋_GB2312"/>
          <w:lang w:eastAsia="zh-CN"/>
        </w:rPr>
        <w:t>增加</w:t>
      </w:r>
      <w:r>
        <w:rPr>
          <w:rFonts w:hint="eastAsia" w:ascii="仿宋_GB2312" w:hAnsi="仿宋_GB2312" w:eastAsia="仿宋_GB2312" w:cs="仿宋_GB2312"/>
          <w:lang w:val="en-US" w:eastAsia="zh-CN"/>
        </w:rPr>
        <w:t>187.89</w:t>
      </w:r>
      <w:r>
        <w:rPr>
          <w:rFonts w:hint="eastAsia" w:ascii="仿宋_GB2312" w:hAnsi="仿宋_GB2312" w:eastAsia="仿宋_GB2312" w:cs="仿宋_GB2312"/>
        </w:rPr>
        <w:t>万元，</w:t>
      </w:r>
      <w:r>
        <w:rPr>
          <w:rFonts w:hint="eastAsia" w:ascii="仿宋_GB2312" w:hAnsi="仿宋_GB2312" w:eastAsia="仿宋_GB2312" w:cs="仿宋_GB2312"/>
          <w:lang w:eastAsia="zh-CN"/>
        </w:rPr>
        <w:t>上升</w:t>
      </w:r>
      <w:r>
        <w:rPr>
          <w:rFonts w:hint="eastAsia" w:ascii="仿宋_GB2312" w:hAnsi="仿宋_GB2312" w:eastAsia="仿宋_GB2312" w:cs="仿宋_GB2312"/>
          <w:lang w:val="en-US" w:eastAsia="zh-CN"/>
        </w:rPr>
        <w:t>38</w:t>
      </w:r>
      <w:r>
        <w:rPr>
          <w:rFonts w:hint="eastAsia" w:ascii="仿宋_GB2312" w:hAnsi="仿宋_GB2312" w:eastAsia="仿宋_GB2312" w:cs="仿宋_GB2312"/>
        </w:rPr>
        <w:t>%。</w:t>
      </w:r>
      <w:r>
        <w:rPr>
          <w:rFonts w:hint="eastAsia" w:ascii="仿宋_GB2312" w:hAnsi="仿宋_GB2312" w:eastAsia="仿宋_GB2312" w:cs="仿宋_GB2312"/>
          <w:lang w:eastAsia="zh-CN"/>
        </w:rPr>
        <w:t>主要变动原因是人员经费及项目增加。</w:t>
      </w:r>
    </w:p>
    <w:p>
      <w:pPr>
        <w:spacing w:line="600" w:lineRule="exact"/>
        <w:ind w:left="0" w:leftChars="0" w:right="0" w:rightChars="0" w:firstLine="0" w:firstLineChars="0"/>
        <w:jc w:val="center"/>
        <w:rPr>
          <w:rFonts w:hint="eastAsia" w:ascii="仿宋" w:hAnsi="仿宋" w:eastAsia="仿宋"/>
          <w:b/>
          <w:color w:val="auto"/>
          <w:sz w:val="32"/>
          <w:szCs w:val="32"/>
          <w:highlight w:val="none"/>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377190</wp:posOffset>
            </wp:positionH>
            <wp:positionV relativeFrom="paragraph">
              <wp:posOffset>92075</wp:posOffset>
            </wp:positionV>
            <wp:extent cx="4786630" cy="3031490"/>
            <wp:effectExtent l="4445" t="4445" r="9525" b="1206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color w:val="auto"/>
          <w:sz w:val="32"/>
          <w:szCs w:val="32"/>
          <w:highlight w:val="none"/>
        </w:rPr>
        <w:t>（图5：一般公共预算财政拨款支出决算变动情况（柱状图）</w:t>
      </w:r>
    </w:p>
    <w:p>
      <w:pPr>
        <w:pStyle w:val="4"/>
        <w:bidi w:val="0"/>
      </w:pPr>
      <w:bookmarkStart w:id="52" w:name="_Toc14645"/>
      <w:r>
        <w:rPr>
          <w:rFonts w:hint="eastAsia"/>
        </w:rPr>
        <w:t>（二）一般公共预算财政拨款支出决算结构情况</w:t>
      </w:r>
      <w:bookmarkEnd w:id="52"/>
    </w:p>
    <w:p>
      <w:pPr>
        <w:spacing w:line="600" w:lineRule="exact"/>
        <w:ind w:firstLine="64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202</w:t>
      </w: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rPr>
        <w:t>年一般公共预算财政拨款支出</w:t>
      </w:r>
      <w:r>
        <w:rPr>
          <w:rFonts w:hint="eastAsia" w:ascii="仿宋" w:hAnsi="仿宋" w:eastAsia="仿宋" w:cs="仿宋"/>
          <w:b w:val="0"/>
          <w:bCs w:val="0"/>
          <w:color w:val="000000"/>
          <w:sz w:val="32"/>
          <w:szCs w:val="32"/>
          <w:lang w:val="en-US" w:eastAsia="zh-CN"/>
        </w:rPr>
        <w:t>682.39</w:t>
      </w:r>
      <w:r>
        <w:rPr>
          <w:rFonts w:hint="eastAsia" w:ascii="仿宋" w:hAnsi="仿宋" w:eastAsia="仿宋" w:cs="仿宋"/>
          <w:b w:val="0"/>
          <w:bCs w:val="0"/>
          <w:color w:val="000000"/>
          <w:sz w:val="32"/>
          <w:szCs w:val="32"/>
        </w:rPr>
        <w:t>万元，</w:t>
      </w:r>
      <w:r>
        <w:rPr>
          <w:rFonts w:hint="eastAsia" w:ascii="仿宋" w:hAnsi="仿宋" w:eastAsia="仿宋" w:cs="仿宋"/>
          <w:color w:val="000000"/>
          <w:sz w:val="32"/>
          <w:szCs w:val="32"/>
        </w:rPr>
        <w:t>主要用于以下方面</w:t>
      </w:r>
      <w:r>
        <w:rPr>
          <w:rFonts w:hint="eastAsia" w:ascii="仿宋" w:hAnsi="仿宋" w:eastAsia="仿宋" w:cs="仿宋"/>
          <w:color w:val="000000"/>
          <w:sz w:val="32"/>
          <w:szCs w:val="32"/>
          <w:lang w:eastAsia="zh-CN"/>
        </w:rPr>
        <w:t>：</w:t>
      </w:r>
      <w:r>
        <w:rPr>
          <w:rFonts w:hint="eastAsia" w:ascii="仿宋" w:hAnsi="仿宋" w:eastAsia="仿宋" w:cs="仿宋"/>
          <w:b/>
          <w:color w:val="000000"/>
          <w:sz w:val="32"/>
          <w:szCs w:val="32"/>
        </w:rPr>
        <w:t>一般公共服务（类）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366.59</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54</w:t>
      </w:r>
      <w:r>
        <w:rPr>
          <w:rFonts w:hint="eastAsia" w:ascii="仿宋" w:hAnsi="仿宋" w:eastAsia="仿宋" w:cs="仿宋"/>
          <w:color w:val="000000"/>
          <w:sz w:val="32"/>
          <w:szCs w:val="32"/>
        </w:rPr>
        <w:t>%；</w:t>
      </w:r>
      <w:r>
        <w:rPr>
          <w:rFonts w:hint="eastAsia" w:ascii="仿宋" w:hAnsi="仿宋" w:eastAsia="仿宋" w:cs="仿宋"/>
          <w:b/>
          <w:bCs/>
          <w:color w:val="000000"/>
          <w:sz w:val="32"/>
          <w:szCs w:val="32"/>
          <w:lang w:eastAsia="zh-CN"/>
        </w:rPr>
        <w:t>一般行政管理事务</w:t>
      </w:r>
      <w:r>
        <w:rPr>
          <w:rFonts w:hint="eastAsia" w:ascii="仿宋" w:hAnsi="仿宋" w:eastAsia="仿宋" w:cs="仿宋"/>
          <w:b/>
          <w:color w:val="000000"/>
          <w:sz w:val="32"/>
          <w:szCs w:val="32"/>
        </w:rPr>
        <w:t>（类）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1.74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0.02</w:t>
      </w:r>
      <w:r>
        <w:rPr>
          <w:rFonts w:hint="eastAsia" w:ascii="仿宋" w:hAnsi="仿宋" w:eastAsia="仿宋" w:cs="仿宋"/>
          <w:color w:val="000000"/>
          <w:sz w:val="32"/>
          <w:szCs w:val="32"/>
        </w:rPr>
        <w:t>%；</w:t>
      </w:r>
      <w:r>
        <w:rPr>
          <w:rFonts w:hint="eastAsia" w:ascii="仿宋" w:hAnsi="仿宋" w:eastAsia="仿宋" w:cs="仿宋"/>
          <w:b/>
          <w:color w:val="000000"/>
          <w:sz w:val="32"/>
          <w:szCs w:val="32"/>
        </w:rPr>
        <w:t>社会保障和就业（类）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42.67</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6.22</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卫生健康支出</w:t>
      </w:r>
      <w:r>
        <w:rPr>
          <w:rFonts w:hint="eastAsia" w:ascii="仿宋" w:hAnsi="仿宋" w:eastAsia="仿宋" w:cs="仿宋"/>
          <w:b/>
          <w:color w:val="000000"/>
          <w:sz w:val="32"/>
          <w:szCs w:val="32"/>
        </w:rPr>
        <w:t>（类）</w:t>
      </w:r>
      <w:r>
        <w:rPr>
          <w:rFonts w:hint="eastAsia" w:ascii="仿宋" w:hAnsi="仿宋" w:eastAsia="仿宋" w:cs="仿宋"/>
          <w:b w:val="0"/>
          <w:bCs w:val="0"/>
          <w:color w:val="000000"/>
          <w:sz w:val="32"/>
          <w:szCs w:val="32"/>
          <w:lang w:val="en-US" w:eastAsia="zh-CN"/>
        </w:rPr>
        <w:t>17.46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住房保障支出</w:t>
      </w:r>
      <w:r>
        <w:rPr>
          <w:rFonts w:hint="eastAsia" w:ascii="仿宋" w:hAnsi="仿宋" w:eastAsia="仿宋" w:cs="仿宋"/>
          <w:b/>
          <w:color w:val="000000"/>
          <w:sz w:val="32"/>
          <w:szCs w:val="32"/>
        </w:rPr>
        <w:t>（类）</w:t>
      </w:r>
      <w:r>
        <w:rPr>
          <w:rFonts w:hint="eastAsia" w:ascii="仿宋" w:hAnsi="仿宋" w:eastAsia="仿宋" w:cs="仿宋"/>
          <w:b w:val="0"/>
          <w:bCs/>
          <w:color w:val="000000"/>
          <w:sz w:val="32"/>
          <w:szCs w:val="32"/>
          <w:lang w:val="en-US" w:eastAsia="zh-CN"/>
        </w:rPr>
        <w:t>35.13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5.1</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b/>
          <w:bCs/>
          <w:color w:val="000000"/>
          <w:sz w:val="32"/>
          <w:szCs w:val="32"/>
          <w:lang w:val="en-US" w:eastAsia="zh-CN"/>
        </w:rPr>
        <w:t>其他发展改革事务支出</w:t>
      </w:r>
      <w:r>
        <w:rPr>
          <w:rFonts w:hint="eastAsia" w:ascii="仿宋" w:hAnsi="仿宋" w:eastAsia="仿宋" w:cs="仿宋"/>
          <w:b/>
          <w:color w:val="000000"/>
          <w:sz w:val="32"/>
          <w:szCs w:val="32"/>
        </w:rPr>
        <w:t>（类）</w:t>
      </w:r>
      <w:r>
        <w:rPr>
          <w:rFonts w:hint="eastAsia" w:ascii="仿宋" w:hAnsi="仿宋" w:eastAsia="仿宋" w:cs="仿宋"/>
          <w:b w:val="0"/>
          <w:bCs w:val="0"/>
          <w:color w:val="000000"/>
          <w:sz w:val="32"/>
          <w:szCs w:val="32"/>
          <w:lang w:val="en-US" w:eastAsia="zh-CN"/>
        </w:rPr>
        <w:t>214.9万元，占32.%；</w:t>
      </w:r>
      <w:r>
        <w:rPr>
          <w:rFonts w:hint="eastAsia" w:ascii="仿宋" w:hAnsi="仿宋" w:eastAsia="仿宋" w:cs="仿宋"/>
          <w:b/>
          <w:bCs/>
          <w:color w:val="000000"/>
          <w:sz w:val="32"/>
          <w:szCs w:val="32"/>
          <w:lang w:val="en-US" w:eastAsia="zh-CN"/>
        </w:rPr>
        <w:t>其他粮油物资事务支出（类）</w:t>
      </w:r>
      <w:r>
        <w:rPr>
          <w:rFonts w:hint="eastAsia" w:ascii="仿宋" w:hAnsi="仿宋" w:eastAsia="仿宋" w:cs="仿宋"/>
          <w:b w:val="0"/>
          <w:bCs w:val="0"/>
          <w:color w:val="000000"/>
          <w:sz w:val="32"/>
          <w:szCs w:val="32"/>
          <w:lang w:val="en-US" w:eastAsia="zh-CN"/>
        </w:rPr>
        <w:t>3.9万元，占0.06%</w:t>
      </w:r>
      <w:r>
        <w:rPr>
          <w:rFonts w:hint="eastAsia" w:ascii="仿宋" w:hAnsi="仿宋" w:eastAsia="仿宋" w:cs="仿宋"/>
          <w:b w:val="0"/>
          <w:bCs w:val="0"/>
          <w:color w:val="000000"/>
          <w:sz w:val="32"/>
          <w:szCs w:val="32"/>
        </w:rPr>
        <w:t>。</w:t>
      </w:r>
      <w:bookmarkStart w:id="53" w:name="_Toc15377212"/>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p>
    <w:p>
      <w:pPr>
        <w:spacing w:line="600" w:lineRule="exact"/>
        <w:ind w:firstLine="642" w:firstLineChars="200"/>
        <w:rPr>
          <w:rFonts w:hint="eastAsia" w:ascii="仿宋" w:hAnsi="仿宋" w:eastAsia="仿宋"/>
          <w:b/>
          <w:bCs/>
          <w:color w:val="auto"/>
          <w:sz w:val="32"/>
          <w:szCs w:val="32"/>
          <w:highlight w:val="none"/>
        </w:rPr>
      </w:pPr>
    </w:p>
    <w:p>
      <w:pPr>
        <w:spacing w:line="600" w:lineRule="exact"/>
        <w:ind w:left="0" w:leftChars="0" w:right="0" w:rightChars="0" w:firstLine="0" w:firstLineChars="0"/>
        <w:jc w:val="center"/>
        <w:rPr>
          <w:rFonts w:hint="eastAsia" w:ascii="仿宋" w:hAnsi="仿宋" w:eastAsia="仿宋"/>
          <w:b/>
          <w:color w:val="auto"/>
          <w:sz w:val="32"/>
          <w:szCs w:val="32"/>
          <w:highlight w:val="none"/>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354965</wp:posOffset>
            </wp:positionH>
            <wp:positionV relativeFrom="paragraph">
              <wp:posOffset>196215</wp:posOffset>
            </wp:positionV>
            <wp:extent cx="4897755" cy="2656205"/>
            <wp:effectExtent l="4445" t="4445" r="12700" b="635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olor w:val="auto"/>
          <w:sz w:val="32"/>
          <w:szCs w:val="32"/>
          <w:highlight w:val="none"/>
        </w:rPr>
        <w:t>（图6：一般公共预算财政拨款支出决算结构）（饼状图）</w:t>
      </w:r>
    </w:p>
    <w:p>
      <w:pPr>
        <w:pStyle w:val="4"/>
        <w:bidi w:val="0"/>
      </w:pPr>
      <w:bookmarkStart w:id="54" w:name="_Toc29323"/>
      <w:r>
        <w:rPr>
          <w:rFonts w:hint="eastAsia"/>
        </w:rPr>
        <w:t>（三）一般公共预算财政拨款支出决算具体情况</w:t>
      </w:r>
      <w:bookmarkEnd w:id="53"/>
      <w:bookmarkEnd w:id="54"/>
    </w:p>
    <w:p>
      <w:pPr>
        <w:keepNext w:val="0"/>
        <w:keepLines w:val="0"/>
        <w:pageBreakBefore w:val="0"/>
        <w:widowControl w:val="0"/>
        <w:kinsoku/>
        <w:wordWrap/>
        <w:overflowPunct/>
        <w:topLinePunct w:val="0"/>
        <w:bidi w:val="0"/>
        <w:snapToGrid/>
        <w:spacing w:line="576" w:lineRule="exact"/>
        <w:ind w:firstLine="642" w:firstLineChars="200"/>
        <w:textAlignment w:val="auto"/>
        <w:rPr>
          <w:rFonts w:hint="eastAsia" w:ascii="仿宋_GB2312" w:hAnsi="仿宋_GB2312" w:eastAsia="仿宋_GB2312" w:cs="仿宋_GB2312"/>
          <w:b/>
          <w:bCs/>
          <w:sz w:val="32"/>
          <w:szCs w:val="32"/>
        </w:rPr>
      </w:pPr>
      <w:bookmarkStart w:id="55" w:name="_Toc15377213"/>
      <w:bookmarkStart w:id="56" w:name="_Toc15377444"/>
      <w:bookmarkStart w:id="57" w:name="_Toc15378460"/>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w:t>
      </w: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年一般公共预算支出决算数为</w:t>
      </w:r>
      <w:r>
        <w:rPr>
          <w:rFonts w:hint="eastAsia" w:ascii="仿宋_GB2312" w:hAnsi="仿宋_GB2312" w:cs="仿宋_GB2312"/>
          <w:b/>
          <w:bCs/>
          <w:sz w:val="32"/>
          <w:szCs w:val="32"/>
          <w:lang w:val="en-US" w:eastAsia="zh-CN"/>
        </w:rPr>
        <w:t>682.39</w:t>
      </w:r>
      <w:r>
        <w:rPr>
          <w:rFonts w:hint="eastAsia" w:ascii="仿宋_GB2312" w:hAnsi="仿宋_GB2312" w:eastAsia="仿宋_GB2312" w:cs="仿宋_GB2312"/>
          <w:b/>
          <w:bCs/>
          <w:sz w:val="32"/>
          <w:szCs w:val="32"/>
        </w:rPr>
        <w:t>万元，完成预算</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%。其中：</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行政运行支出（2010401）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支出决算数为</w:t>
      </w:r>
      <w:r>
        <w:rPr>
          <w:rFonts w:hint="eastAsia" w:ascii="仿宋_GB2312" w:hAnsi="仿宋_GB2312" w:cs="仿宋_GB2312"/>
          <w:sz w:val="32"/>
          <w:szCs w:val="32"/>
          <w:lang w:val="en-US" w:eastAsia="zh-CN"/>
        </w:rPr>
        <w:t>164.24</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完成预算100%，决算数和预算数持平。</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2.一般行政管理事务支出（2010402）</w:t>
      </w:r>
      <w:r>
        <w:rPr>
          <w:rFonts w:hint="eastAsia" w:ascii="仿宋_GB2312" w:hAnsi="仿宋_GB2312" w:eastAsia="仿宋_GB2312" w:cs="仿宋_GB2312"/>
          <w:sz w:val="32"/>
          <w:szCs w:val="32"/>
        </w:rPr>
        <w:t>支出决算数为</w:t>
      </w:r>
      <w:r>
        <w:rPr>
          <w:rFonts w:hint="eastAsia" w:ascii="仿宋_GB2312" w:hAnsi="仿宋_GB2312" w:cs="仿宋_GB2312"/>
          <w:sz w:val="32"/>
          <w:szCs w:val="32"/>
          <w:lang w:val="en-US" w:eastAsia="zh-CN"/>
        </w:rPr>
        <w:t>1.74</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完成预算100%，决算数和预算数持平。</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3.事业运行支出（20104050）</w:t>
      </w:r>
      <w:r>
        <w:rPr>
          <w:rFonts w:hint="eastAsia" w:ascii="仿宋_GB2312" w:hAnsi="仿宋_GB2312" w:eastAsia="仿宋_GB2312" w:cs="仿宋_GB2312"/>
          <w:sz w:val="32"/>
          <w:szCs w:val="32"/>
        </w:rPr>
        <w:t>支出决算数为</w:t>
      </w:r>
      <w:r>
        <w:rPr>
          <w:rFonts w:hint="eastAsia" w:ascii="仿宋_GB2312" w:hAnsi="仿宋_GB2312" w:cs="仿宋_GB2312"/>
          <w:sz w:val="32"/>
          <w:szCs w:val="32"/>
          <w:lang w:val="en-US" w:eastAsia="zh-CN"/>
        </w:rPr>
        <w:t>202.35</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完成预算100%，决算数和预算数持平。</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4</w:t>
      </w:r>
      <w:r>
        <w:rPr>
          <w:rFonts w:hint="eastAsia" w:ascii="仿宋_GB2312" w:hAnsi="仿宋_GB2312" w:eastAsia="仿宋_GB2312" w:cs="仿宋_GB2312"/>
          <w:b/>
          <w:bCs/>
          <w:sz w:val="32"/>
          <w:szCs w:val="32"/>
        </w:rPr>
        <w:t>.其他发展与改革事务支出（2010499）</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cs="仿宋_GB2312"/>
          <w:sz w:val="32"/>
          <w:szCs w:val="32"/>
          <w:lang w:val="en-US" w:eastAsia="zh-CN"/>
        </w:rPr>
        <w:t>214.9</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%，决算数和预算数持平。</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b/>
          <w:bCs/>
          <w:sz w:val="32"/>
          <w:szCs w:val="32"/>
          <w:lang w:val="en-US" w:eastAsia="zh-CN"/>
        </w:rPr>
        <w:t>5</w:t>
      </w:r>
      <w:r>
        <w:rPr>
          <w:rFonts w:hint="eastAsia" w:ascii="仿宋_GB2312" w:hAnsi="仿宋_GB2312" w:eastAsia="仿宋_GB2312" w:cs="仿宋_GB2312"/>
          <w:b/>
          <w:bCs/>
          <w:sz w:val="32"/>
          <w:szCs w:val="32"/>
        </w:rPr>
        <w:t>.社会保障和就业支出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208</w:t>
      </w:r>
      <w:r>
        <w:rPr>
          <w:rFonts w:hint="eastAsia" w:ascii="仿宋_GB2312" w:hAnsi="仿宋_GB2312" w:eastAsia="仿宋_GB2312" w:cs="仿宋_GB2312"/>
          <w:b/>
          <w:bCs/>
          <w:sz w:val="32"/>
          <w:szCs w:val="32"/>
          <w:lang w:val="en-US" w:eastAsia="zh-CN"/>
        </w:rPr>
        <w:t>0505</w:t>
      </w:r>
      <w:r>
        <w:rPr>
          <w:rFonts w:hint="eastAsia" w:ascii="仿宋_GB2312" w:hAnsi="仿宋_GB2312" w:eastAsia="仿宋_GB2312" w:cs="仿宋_GB2312"/>
          <w:sz w:val="32"/>
          <w:szCs w:val="32"/>
        </w:rPr>
        <w:t>）：支出决算为</w:t>
      </w:r>
      <w:r>
        <w:rPr>
          <w:rFonts w:hint="eastAsia" w:ascii="仿宋_GB2312" w:hAnsi="仿宋_GB2312" w:cs="仿宋_GB2312"/>
          <w:sz w:val="32"/>
          <w:szCs w:val="32"/>
          <w:lang w:val="en-US" w:eastAsia="zh-CN"/>
        </w:rPr>
        <w:t>42.67</w:t>
      </w:r>
      <w:r>
        <w:rPr>
          <w:rFonts w:hint="eastAsia" w:ascii="仿宋_GB2312" w:hAnsi="仿宋_GB2312" w:eastAsia="仿宋_GB2312" w:cs="仿宋_GB2312"/>
          <w:spacing w:val="-6"/>
          <w:sz w:val="32"/>
          <w:szCs w:val="32"/>
        </w:rPr>
        <w:t>万元，</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%，决算数和预算数持平</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b/>
          <w:bCs/>
          <w:sz w:val="32"/>
          <w:szCs w:val="32"/>
          <w:lang w:val="en-US" w:eastAsia="zh-CN"/>
        </w:rPr>
        <w:t>6</w:t>
      </w:r>
      <w:r>
        <w:rPr>
          <w:rFonts w:hint="eastAsia" w:ascii="仿宋_GB2312" w:hAnsi="仿宋_GB2312" w:eastAsia="仿宋_GB2312" w:cs="仿宋_GB2312"/>
          <w:b/>
          <w:bCs/>
          <w:sz w:val="32"/>
          <w:szCs w:val="32"/>
        </w:rPr>
        <w:t>.医疗卫生与计划生育（2101101）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cs="仿宋_GB2312"/>
          <w:sz w:val="32"/>
          <w:szCs w:val="32"/>
          <w:lang w:val="en-US" w:eastAsia="zh-CN"/>
        </w:rPr>
        <w:t>17.46</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%，决算数和预算数持平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7</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2210201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cs="仿宋_GB2312"/>
          <w:sz w:val="32"/>
          <w:szCs w:val="32"/>
          <w:lang w:val="en-US" w:eastAsia="zh-CN"/>
        </w:rPr>
        <w:t>35.13</w:t>
      </w:r>
      <w:r>
        <w:rPr>
          <w:rFonts w:hint="eastAsia" w:ascii="仿宋_GB2312" w:hAnsi="仿宋_GB2312" w:eastAsia="仿宋_GB2312" w:cs="仿宋_GB2312"/>
          <w:sz w:val="32"/>
          <w:szCs w:val="32"/>
        </w:rPr>
        <w:t>万元，完成预算100%，决算数和预算数持平。</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8</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其</w:t>
      </w:r>
      <w:r>
        <w:rPr>
          <w:rFonts w:hint="eastAsia" w:ascii="仿宋_GB2312" w:hAnsi="仿宋_GB2312" w:cs="仿宋_GB2312"/>
          <w:b/>
          <w:bCs/>
          <w:sz w:val="32"/>
          <w:szCs w:val="32"/>
          <w:lang w:eastAsia="zh-CN"/>
        </w:rPr>
        <w:t>他粮油物资事务</w:t>
      </w:r>
      <w:r>
        <w:rPr>
          <w:rFonts w:hint="eastAsia" w:ascii="仿宋_GB2312" w:hAnsi="仿宋_GB2312" w:eastAsia="仿宋_GB2312" w:cs="仿宋_GB2312"/>
          <w:b/>
          <w:bCs/>
          <w:sz w:val="32"/>
          <w:szCs w:val="32"/>
        </w:rPr>
        <w:t>支出（2</w:t>
      </w:r>
      <w:r>
        <w:rPr>
          <w:rFonts w:hint="eastAsia" w:ascii="仿宋_GB2312" w:hAnsi="仿宋_GB2312" w:cs="仿宋_GB2312"/>
          <w:b/>
          <w:bCs/>
          <w:sz w:val="32"/>
          <w:szCs w:val="32"/>
          <w:lang w:val="en-US" w:eastAsia="zh-CN"/>
        </w:rPr>
        <w:t>20199</w:t>
      </w:r>
      <w:r>
        <w:rPr>
          <w:rFonts w:hint="eastAsia" w:ascii="仿宋_GB2312" w:hAnsi="仿宋_GB2312" w:eastAsia="仿宋_GB2312" w:cs="仿宋_GB2312"/>
          <w:sz w:val="32"/>
          <w:szCs w:val="32"/>
        </w:rPr>
        <w:t>）：支出决算为</w:t>
      </w:r>
      <w:r>
        <w:rPr>
          <w:rFonts w:hint="eastAsia" w:ascii="仿宋_GB2312" w:hAnsi="仿宋_GB2312" w:cs="仿宋_GB2312"/>
          <w:sz w:val="32"/>
          <w:szCs w:val="32"/>
          <w:lang w:val="en-US" w:eastAsia="zh-CN"/>
        </w:rPr>
        <w:t>3.9</w:t>
      </w:r>
      <w:r>
        <w:rPr>
          <w:rFonts w:hint="eastAsia" w:ascii="仿宋_GB2312" w:hAnsi="仿宋_GB2312" w:eastAsia="仿宋_GB2312" w:cs="仿宋_GB2312"/>
          <w:sz w:val="32"/>
          <w:szCs w:val="32"/>
        </w:rPr>
        <w:t>万元，完成预算100%，决算数和预算数持平。</w:t>
      </w:r>
      <w:bookmarkEnd w:id="55"/>
      <w:bookmarkEnd w:id="56"/>
      <w:bookmarkEnd w:id="57"/>
    </w:p>
    <w:p>
      <w:pPr>
        <w:pStyle w:val="3"/>
        <w:bidi w:val="0"/>
      </w:pPr>
      <w:bookmarkStart w:id="58" w:name="_Toc15377214"/>
      <w:bookmarkStart w:id="59" w:name="_Toc32692"/>
      <w:bookmarkStart w:id="60" w:name="_Toc15396608"/>
      <w:r>
        <w:rPr>
          <w:rFonts w:hint="eastAsia"/>
        </w:rPr>
        <w:t>六、一般公共预算财政拨款基本支出决算情况说明</w:t>
      </w:r>
      <w:bookmarkEnd w:id="58"/>
      <w:bookmarkEnd w:id="59"/>
      <w:bookmarkEnd w:id="60"/>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val="en-US" w:eastAsia="zh-CN"/>
        </w:rPr>
        <w:t>61.85</w:t>
      </w:r>
      <w:r>
        <w:rPr>
          <w:rFonts w:hint="eastAsia" w:ascii="仿宋_GB2312" w:hAnsi="仿宋_GB2312" w:eastAsia="仿宋_GB2312" w:cs="仿宋_GB2312"/>
          <w:color w:val="auto"/>
          <w:sz w:val="32"/>
          <w:szCs w:val="32"/>
          <w:highlight w:val="none"/>
        </w:rPr>
        <w:t>万元，其中：</w:t>
      </w:r>
    </w:p>
    <w:p>
      <w:pPr>
        <w:spacing w:line="600" w:lineRule="exact"/>
        <w:ind w:firstLine="64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cs="仿宋_GB2312"/>
          <w:color w:val="auto"/>
          <w:sz w:val="32"/>
          <w:szCs w:val="32"/>
          <w:highlight w:val="none"/>
          <w:lang w:val="en-US" w:eastAsia="zh-CN"/>
        </w:rPr>
        <w:t>427.7</w:t>
      </w:r>
      <w:r>
        <w:rPr>
          <w:rFonts w:hint="eastAsia" w:ascii="仿宋_GB2312" w:hAnsi="仿宋_GB2312" w:eastAsia="仿宋_GB2312" w:cs="仿宋_GB2312"/>
          <w:color w:val="auto"/>
          <w:sz w:val="32"/>
          <w:szCs w:val="32"/>
          <w:highlight w:val="none"/>
        </w:rPr>
        <w:t>万元，主要包括：基本工资、津贴补贴、</w:t>
      </w:r>
      <w:r>
        <w:rPr>
          <w:rFonts w:hint="eastAsia" w:ascii="仿宋_GB2312" w:hAnsi="仿宋_GB2312" w:cs="仿宋_GB2312"/>
          <w:color w:val="auto"/>
          <w:sz w:val="32"/>
          <w:szCs w:val="32"/>
          <w:highlight w:val="none"/>
          <w:lang w:eastAsia="zh-CN"/>
        </w:rPr>
        <w:t>奖金、</w:t>
      </w:r>
      <w:r>
        <w:rPr>
          <w:rFonts w:hint="eastAsia" w:ascii="仿宋_GB2312" w:hAnsi="仿宋_GB2312" w:eastAsia="仿宋_GB2312" w:cs="仿宋_GB2312"/>
          <w:color w:val="auto"/>
          <w:sz w:val="32"/>
          <w:szCs w:val="32"/>
          <w:highlight w:val="none"/>
        </w:rPr>
        <w:t>绩效工资、机关事业单位基本养老保险缴费、职业年金缴费、</w:t>
      </w:r>
      <w:r>
        <w:rPr>
          <w:rFonts w:hint="eastAsia" w:ascii="仿宋_GB2312" w:hAnsi="仿宋_GB2312" w:cs="仿宋_GB2312"/>
          <w:color w:val="auto"/>
          <w:sz w:val="32"/>
          <w:szCs w:val="32"/>
          <w:highlight w:val="none"/>
          <w:lang w:eastAsia="zh-CN"/>
        </w:rPr>
        <w:t>职工基本医疗缴费</w:t>
      </w:r>
      <w:r>
        <w:rPr>
          <w:rFonts w:hint="eastAsia" w:ascii="仿宋_GB2312" w:hAnsi="仿宋_GB2312" w:eastAsia="仿宋_GB2312" w:cs="仿宋_GB2312"/>
          <w:color w:val="auto"/>
          <w:sz w:val="32"/>
          <w:szCs w:val="32"/>
          <w:highlight w:val="none"/>
        </w:rPr>
        <w:t>、其他工资福利支出、生活补助、奖励金、住房公积金。</w:t>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日常</w:t>
      </w: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4.15</w:t>
      </w:r>
      <w:r>
        <w:rPr>
          <w:rFonts w:hint="eastAsia" w:ascii="仿宋_GB2312" w:hAnsi="仿宋_GB2312" w:eastAsia="仿宋_GB2312" w:cs="仿宋_GB2312"/>
          <w:color w:val="auto"/>
          <w:sz w:val="32"/>
          <w:szCs w:val="32"/>
          <w:highlight w:val="none"/>
        </w:rPr>
        <w:t>万元，主要包括：办公费、印刷费、水费、电费、邮电费、物业管理费、差旅费、维修（护）费、会议费、公务接待费、劳务费、工会经费、其他交通费。</w:t>
      </w:r>
    </w:p>
    <w:p>
      <w:pPr>
        <w:pStyle w:val="3"/>
        <w:bidi w:val="0"/>
      </w:pPr>
      <w:bookmarkStart w:id="61" w:name="_Toc15396609"/>
      <w:bookmarkStart w:id="62" w:name="_Toc15377215"/>
      <w:bookmarkStart w:id="63" w:name="_Toc2984"/>
      <w:r>
        <w:rPr>
          <w:rFonts w:hint="eastAsia"/>
        </w:rPr>
        <w:t>七、财政拨款“三公”经费支出决算情况说明</w:t>
      </w:r>
      <w:bookmarkEnd w:id="61"/>
      <w:bookmarkEnd w:id="62"/>
      <w:bookmarkEnd w:id="63"/>
    </w:p>
    <w:p>
      <w:pPr>
        <w:pStyle w:val="4"/>
        <w:bidi w:val="0"/>
        <w:rPr>
          <w:b w:val="0"/>
          <w:bCs/>
        </w:rPr>
      </w:pPr>
      <w:bookmarkStart w:id="64" w:name="_Toc15377216"/>
      <w:bookmarkStart w:id="65" w:name="_Toc28848"/>
      <w:r>
        <w:rPr>
          <w:rFonts w:hint="eastAsia"/>
          <w:b w:val="0"/>
          <w:bCs/>
          <w:lang w:val="zh-CN"/>
        </w:rPr>
        <w:t>（一）</w:t>
      </w:r>
      <w:r>
        <w:rPr>
          <w:rFonts w:hint="default"/>
          <w:b w:val="0"/>
          <w:bCs/>
          <w:lang w:val="zh-CN"/>
        </w:rPr>
        <w:t>“</w:t>
      </w:r>
      <w:r>
        <w:rPr>
          <w:rFonts w:hint="eastAsia"/>
          <w:b w:val="0"/>
          <w:bCs/>
          <w:lang w:val="zh-CN"/>
        </w:rPr>
        <w:t>三公</w:t>
      </w:r>
      <w:r>
        <w:rPr>
          <w:rFonts w:hint="default"/>
          <w:b w:val="0"/>
          <w:bCs/>
          <w:lang w:val="zh-CN"/>
        </w:rPr>
        <w:t>”</w:t>
      </w:r>
      <w:r>
        <w:rPr>
          <w:rFonts w:hint="eastAsia"/>
          <w:b w:val="0"/>
          <w:bCs/>
          <w:lang w:val="zh-CN"/>
        </w:rPr>
        <w:t>经费财政拨款支出决算总体情况说明</w:t>
      </w:r>
      <w:bookmarkEnd w:id="64"/>
      <w:bookmarkEnd w:id="65"/>
    </w:p>
    <w:p>
      <w:pPr>
        <w:bidi w:val="0"/>
        <w:rPr>
          <w:rFonts w:hint="eastAsia"/>
        </w:rPr>
      </w:pPr>
      <w:r>
        <w:rPr>
          <w:rFonts w:hint="eastAsia"/>
          <w:lang w:val="zh-CN"/>
        </w:rPr>
        <w:t>2022年</w:t>
      </w:r>
      <w:r>
        <w:rPr>
          <w:rFonts w:hint="default"/>
          <w:lang w:val="zh-CN"/>
        </w:rPr>
        <w:t>“</w:t>
      </w:r>
      <w:r>
        <w:rPr>
          <w:rFonts w:hint="eastAsia"/>
          <w:lang w:val="zh-CN"/>
        </w:rPr>
        <w:t>三公</w:t>
      </w:r>
      <w:r>
        <w:rPr>
          <w:rFonts w:hint="default"/>
          <w:lang w:val="zh-CN"/>
        </w:rPr>
        <w:t>”</w:t>
      </w:r>
      <w:r>
        <w:rPr>
          <w:rFonts w:hint="eastAsia"/>
          <w:lang w:val="zh-CN"/>
        </w:rPr>
        <w:t>经费财政拨款支出决算为2.76万元，完成预算100%；较上年减少0.73万元，下降20.9%。决算数</w:t>
      </w:r>
      <w:r>
        <w:rPr>
          <w:rFonts w:hint="eastAsia"/>
          <w:lang w:val="en-US"/>
        </w:rPr>
        <w:t>与预算数持平</w:t>
      </w:r>
      <w:r>
        <w:rPr>
          <w:rFonts w:hint="eastAsia"/>
          <w:lang w:val="zh-CN"/>
        </w:rPr>
        <w:t>。</w:t>
      </w:r>
    </w:p>
    <w:p>
      <w:pPr>
        <w:pStyle w:val="4"/>
        <w:bidi w:val="0"/>
        <w:rPr>
          <w:b w:val="0"/>
          <w:bCs/>
        </w:rPr>
      </w:pPr>
      <w:bookmarkStart w:id="66" w:name="_Toc32096"/>
      <w:bookmarkStart w:id="67" w:name="_Toc15377217"/>
      <w:r>
        <w:rPr>
          <w:rFonts w:hint="eastAsia"/>
          <w:b w:val="0"/>
          <w:bCs/>
        </w:rPr>
        <w:t>（二）“三公”经费财政拨款支出决算具体情况说明</w:t>
      </w:r>
      <w:bookmarkEnd w:id="66"/>
      <w:bookmarkEnd w:id="67"/>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2.76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4384" behindDoc="1" locked="0" layoutInCell="1" allowOverlap="1">
            <wp:simplePos x="0" y="0"/>
            <wp:positionH relativeFrom="column">
              <wp:align>center</wp:align>
            </wp:positionH>
            <wp:positionV relativeFrom="paragraph">
              <wp:posOffset>154940</wp:posOffset>
            </wp:positionV>
            <wp:extent cx="4786630" cy="2803525"/>
            <wp:effectExtent l="4445" t="4445" r="9525" b="1143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left="0" w:leftChars="0" w:right="0" w:rightChars="0" w:firstLine="0" w:firstLineChars="0"/>
        <w:jc w:val="center"/>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2" w:firstLineChars="200"/>
        <w:rPr>
          <w:rFonts w:hint="default" w:ascii="仿宋_GB2312" w:eastAsia="仿宋_GB2312"/>
          <w:b/>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因公出国（境）团组次。出国（境）比</w:t>
      </w:r>
      <w:r>
        <w:rPr>
          <w:rFonts w:hint="eastAsia" w:ascii="仿宋_GB2312" w:eastAsia="仿宋_GB2312"/>
          <w:color w:val="auto"/>
          <w:sz w:val="32"/>
          <w:szCs w:val="32"/>
          <w:highlight w:val="none"/>
          <w:lang w:val="en-US" w:eastAsia="zh-CN"/>
        </w:rPr>
        <w:t>202</w:t>
      </w:r>
      <w:r>
        <w:rPr>
          <w:rFonts w:hint="eastAsia" w:ascii="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年增加0次0人。</w:t>
      </w:r>
    </w:p>
    <w:p>
      <w:pPr>
        <w:spacing w:line="600" w:lineRule="exact"/>
        <w:ind w:firstLine="642" w:firstLineChars="200"/>
        <w:rPr>
          <w:rFonts w:hint="eastAsia" w:ascii="仿宋_GB2312" w:eastAsia="仿宋_GB2312"/>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公务用车购置支出</w:t>
      </w:r>
      <w:r>
        <w:rPr>
          <w:rFonts w:hint="eastAsia" w:ascii="仿宋_GB2312"/>
          <w:b/>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color w:val="auto"/>
          <w:sz w:val="32"/>
          <w:szCs w:val="32"/>
          <w:highlight w:val="none"/>
          <w:lang w:eastAsia="zh-CN"/>
        </w:rPr>
        <w:t>公务事务</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pPr>
      <w:r>
        <w:rPr>
          <w:rFonts w:hint="eastAsia" w:ascii="仿宋_GB2312" w:eastAsia="仿宋_GB2312"/>
          <w:b/>
          <w:color w:val="auto"/>
          <w:sz w:val="32"/>
          <w:szCs w:val="32"/>
          <w:highlight w:val="none"/>
        </w:rPr>
        <w:t>公务用车运行维护费支出</w:t>
      </w:r>
      <w:r>
        <w:rPr>
          <w:rFonts w:hint="eastAsia" w:ascii="仿宋_GB2312"/>
          <w:b/>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color w:val="auto"/>
          <w:sz w:val="32"/>
          <w:szCs w:val="32"/>
          <w:highlight w:val="none"/>
          <w:lang w:eastAsia="zh-CN"/>
        </w:rPr>
        <w:t>办公事务</w:t>
      </w:r>
      <w:r>
        <w:rPr>
          <w:rFonts w:hint="eastAsia" w:ascii="仿宋_GB2312" w:eastAsia="仿宋_GB2312"/>
          <w:color w:val="auto"/>
          <w:sz w:val="32"/>
          <w:szCs w:val="32"/>
          <w:highlight w:val="none"/>
        </w:rPr>
        <w:t>所需的公务用车燃料费、维修费、过路过桥费、保险费等支出。</w:t>
      </w:r>
    </w:p>
    <w:p>
      <w:pPr>
        <w:spacing w:line="600" w:lineRule="exact"/>
        <w:ind w:firstLine="642" w:firstLineChars="200"/>
        <w:rPr>
          <w:rFonts w:hint="eastAsia"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b/>
          <w:color w:val="auto"/>
          <w:sz w:val="32"/>
          <w:szCs w:val="32"/>
          <w:highlight w:val="none"/>
          <w:lang w:val="en-US" w:eastAsia="zh-CN"/>
        </w:rPr>
        <w:t>2.76</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1</w:t>
      </w:r>
      <w:r>
        <w:rPr>
          <w:rFonts w:hint="eastAsia" w:ascii="仿宋_GB2312" w:eastAsia="仿宋_GB2312"/>
          <w:color w:val="auto"/>
          <w:sz w:val="32"/>
          <w:szCs w:val="32"/>
          <w:highlight w:val="none"/>
        </w:rPr>
        <w:t>年减少</w:t>
      </w:r>
      <w:r>
        <w:rPr>
          <w:rFonts w:hint="eastAsia" w:ascii="仿宋_GB2312"/>
          <w:color w:val="auto"/>
          <w:sz w:val="32"/>
          <w:szCs w:val="32"/>
          <w:highlight w:val="none"/>
          <w:lang w:val="en-US" w:eastAsia="zh-CN"/>
        </w:rPr>
        <w:t>0.73</w:t>
      </w:r>
      <w:r>
        <w:rPr>
          <w:rFonts w:hint="eastAsia" w:ascii="仿宋_GB2312" w:eastAsia="仿宋_GB2312"/>
          <w:color w:val="auto"/>
          <w:sz w:val="32"/>
          <w:szCs w:val="32"/>
          <w:highlight w:val="none"/>
        </w:rPr>
        <w:t>万元，下降</w:t>
      </w:r>
      <w:r>
        <w:rPr>
          <w:rFonts w:hint="eastAsia" w:ascii="仿宋_GB2312"/>
          <w:color w:val="auto"/>
          <w:sz w:val="32"/>
          <w:szCs w:val="32"/>
          <w:highlight w:val="none"/>
          <w:lang w:val="en-US" w:eastAsia="zh-CN"/>
        </w:rPr>
        <w:t>20.9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color w:val="auto"/>
          <w:sz w:val="32"/>
          <w:szCs w:val="32"/>
          <w:highlight w:val="none"/>
          <w:lang w:eastAsia="zh-CN"/>
        </w:rPr>
        <w:t>厉行节约，降低</w:t>
      </w:r>
      <w:r>
        <w:rPr>
          <w:rFonts w:hint="eastAsia" w:ascii="仿宋_GB2312" w:eastAsia="仿宋_GB2312"/>
          <w:color w:val="auto"/>
          <w:sz w:val="32"/>
          <w:szCs w:val="32"/>
          <w:highlight w:val="none"/>
          <w:lang w:eastAsia="zh-CN"/>
        </w:rPr>
        <w:t>接待</w:t>
      </w:r>
      <w:r>
        <w:rPr>
          <w:rFonts w:hint="eastAsia" w:ascii="仿宋_GB2312"/>
          <w:color w:val="auto"/>
          <w:sz w:val="32"/>
          <w:szCs w:val="32"/>
          <w:highlight w:val="none"/>
          <w:lang w:eastAsia="zh-CN"/>
        </w:rPr>
        <w:t>标准及人次</w:t>
      </w:r>
      <w:r>
        <w:rPr>
          <w:rFonts w:hint="eastAsia" w:ascii="仿宋_GB2312" w:eastAsia="仿宋_GB2312"/>
          <w:color w:val="auto"/>
          <w:sz w:val="32"/>
          <w:szCs w:val="32"/>
          <w:highlight w:val="none"/>
        </w:rPr>
        <w:t>。其中：</w:t>
      </w:r>
    </w:p>
    <w:p>
      <w:pPr>
        <w:spacing w:line="600" w:lineRule="exact"/>
        <w:ind w:firstLine="642" w:firstLineChars="200"/>
        <w:rPr>
          <w:rFonts w:hint="eastAsia" w:ascii="仿宋_GB2312" w:eastAsia="仿宋_GB2312"/>
          <w:color w:val="auto"/>
          <w:sz w:val="32"/>
          <w:szCs w:val="32"/>
          <w:highlight w:val="none"/>
          <w:lang w:eastAsia="zh-CN"/>
        </w:rPr>
      </w:pPr>
      <w:r>
        <w:rPr>
          <w:rFonts w:hint="eastAsia" w:ascii="仿宋" w:hAnsi="仿宋" w:eastAsia="仿宋"/>
          <w:b/>
          <w:bCs w:val="0"/>
          <w:color w:val="auto"/>
          <w:sz w:val="32"/>
          <w:szCs w:val="32"/>
          <w:highlight w:val="none"/>
        </w:rPr>
        <w:t>国内公务接待支出</w:t>
      </w:r>
      <w:r>
        <w:rPr>
          <w:rFonts w:hint="eastAsia" w:ascii="仿宋" w:hAnsi="仿宋" w:eastAsia="仿宋"/>
          <w:b/>
          <w:bCs w:val="0"/>
          <w:color w:val="auto"/>
          <w:sz w:val="32"/>
          <w:szCs w:val="32"/>
          <w:highlight w:val="none"/>
          <w:lang w:val="en-US" w:eastAsia="zh-CN"/>
        </w:rPr>
        <w:t>2.76</w:t>
      </w:r>
      <w:r>
        <w:rPr>
          <w:rFonts w:hint="eastAsia" w:ascii="仿宋_GB2312" w:eastAsia="仿宋_GB2312"/>
          <w:b w:val="0"/>
          <w:bCs/>
          <w:color w:val="auto"/>
          <w:sz w:val="32"/>
          <w:szCs w:val="32"/>
          <w:highlight w:val="none"/>
        </w:rPr>
        <w:t>万元</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执行公务用餐费。国内公务接待</w:t>
      </w:r>
      <w:r>
        <w:rPr>
          <w:rFonts w:hint="eastAsia" w:ascii="仿宋_GB2312"/>
          <w:color w:val="auto"/>
          <w:sz w:val="32"/>
          <w:szCs w:val="32"/>
          <w:highlight w:val="none"/>
          <w:lang w:val="en-US" w:eastAsia="zh-CN"/>
        </w:rPr>
        <w:t>36</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85</w:t>
      </w:r>
      <w:r>
        <w:rPr>
          <w:rFonts w:hint="eastAsia" w:ascii="仿宋_GB2312" w:eastAsia="仿宋_GB2312"/>
          <w:color w:val="auto"/>
          <w:sz w:val="32"/>
          <w:szCs w:val="32"/>
          <w:highlight w:val="none"/>
        </w:rPr>
        <w:t>人次（不包括陪同人员），共计支出</w:t>
      </w:r>
      <w:r>
        <w:rPr>
          <w:rFonts w:hint="eastAsia" w:ascii="仿宋_GB2312"/>
          <w:color w:val="auto"/>
          <w:sz w:val="32"/>
          <w:szCs w:val="32"/>
          <w:highlight w:val="none"/>
          <w:lang w:val="en-US" w:eastAsia="zh-CN"/>
        </w:rPr>
        <w:t>2.76</w:t>
      </w:r>
      <w:r>
        <w:rPr>
          <w:rFonts w:hint="eastAsia" w:ascii="仿宋_GB2312" w:eastAsia="仿宋_GB2312"/>
          <w:color w:val="auto"/>
          <w:sz w:val="32"/>
          <w:szCs w:val="32"/>
          <w:highlight w:val="none"/>
        </w:rPr>
        <w:t>万元</w:t>
      </w:r>
      <w:bookmarkStart w:id="68" w:name="_Toc15377218"/>
      <w:bookmarkStart w:id="69" w:name="_Toc15396610"/>
      <w:r>
        <w:rPr>
          <w:rFonts w:hint="eastAsia" w:ascii="仿宋_GB2312" w:eastAsia="仿宋_GB2312"/>
          <w:color w:val="auto"/>
          <w:sz w:val="32"/>
          <w:szCs w:val="32"/>
          <w:highlight w:val="none"/>
          <w:lang w:eastAsia="zh-CN"/>
        </w:rPr>
        <w:t>。</w:t>
      </w:r>
    </w:p>
    <w:p>
      <w:pPr>
        <w:spacing w:line="600" w:lineRule="exact"/>
        <w:ind w:firstLine="642" w:firstLineChars="200"/>
        <w:rPr>
          <w:rFonts w:hint="eastAsia" w:ascii="黑体"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万元，主要用于接待</w:t>
      </w:r>
      <w:r>
        <w:rPr>
          <w:rFonts w:hint="eastAsia" w:ascii="仿宋_GB2312"/>
          <w:color w:val="auto"/>
          <w:sz w:val="32"/>
          <w:szCs w:val="32"/>
          <w:highlight w:val="none"/>
          <w:lang w:eastAsia="zh-CN"/>
        </w:rPr>
        <w:t>外事事务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3"/>
        <w:bidi w:val="0"/>
      </w:pPr>
      <w:bookmarkStart w:id="70" w:name="_Toc24744"/>
      <w:r>
        <w:rPr>
          <w:rFonts w:hint="eastAsia"/>
        </w:rPr>
        <w:t>八、政府性基金预算支出决算情况说明</w:t>
      </w:r>
      <w:bookmarkEnd w:id="68"/>
      <w:bookmarkEnd w:id="69"/>
      <w:bookmarkEnd w:id="70"/>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3"/>
        <w:bidi w:val="0"/>
      </w:pPr>
      <w:bookmarkStart w:id="71" w:name="_Toc15377219"/>
      <w:bookmarkStart w:id="72" w:name="_Toc9396"/>
      <w:bookmarkStart w:id="73" w:name="_Toc15396611"/>
      <w:r>
        <w:rPr>
          <w:rFonts w:hint="eastAsia"/>
          <w:lang w:val="en-US" w:eastAsia="zh-CN"/>
        </w:rPr>
        <w:t>九、</w:t>
      </w:r>
      <w:r>
        <w:rPr>
          <w:rFonts w:hint="eastAsia"/>
        </w:rPr>
        <w:t>国有资本经营预算支出决算情况说明</w:t>
      </w:r>
      <w:bookmarkEnd w:id="71"/>
      <w:bookmarkEnd w:id="72"/>
      <w:bookmarkEnd w:id="73"/>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74" w:name="_Toc15396612"/>
      <w:bookmarkStart w:id="75" w:name="_Toc15377221"/>
    </w:p>
    <w:p>
      <w:pPr>
        <w:pStyle w:val="3"/>
        <w:bidi w:val="0"/>
        <w:ind w:left="0" w:leftChars="0" w:firstLine="640" w:firstLineChars="200"/>
        <w:rPr>
          <w:rFonts w:hint="eastAsia"/>
        </w:rPr>
      </w:pPr>
      <w:bookmarkStart w:id="76" w:name="_Toc26362"/>
      <w:r>
        <w:rPr>
          <w:rFonts w:hint="eastAsia"/>
          <w:lang w:val="en-US" w:eastAsia="zh-CN"/>
        </w:rPr>
        <w:t>十、</w:t>
      </w:r>
      <w:r>
        <w:rPr>
          <w:rFonts w:hint="eastAsia"/>
        </w:rPr>
        <w:t>其他重要事项的情况说明</w:t>
      </w:r>
      <w:bookmarkEnd w:id="74"/>
      <w:bookmarkEnd w:id="75"/>
      <w:bookmarkEnd w:id="76"/>
    </w:p>
    <w:p>
      <w:pPr>
        <w:pStyle w:val="4"/>
        <w:bidi w:val="0"/>
      </w:pPr>
      <w:bookmarkStart w:id="77" w:name="_Toc15377222"/>
      <w:bookmarkStart w:id="78" w:name="_Toc24186"/>
      <w:r>
        <w:rPr>
          <w:rFonts w:hint="eastAsia"/>
        </w:rPr>
        <w:t>（一）机关运行经费支出情况</w:t>
      </w:r>
      <w:bookmarkEnd w:id="77"/>
      <w:bookmarkEnd w:id="78"/>
    </w:p>
    <w:p>
      <w:pPr>
        <w:spacing w:line="600" w:lineRule="exact"/>
        <w:ind w:firstLine="640" w:firstLineChars="200"/>
        <w:rPr>
          <w:rFonts w:hint="eastAsia" w:ascii="仿宋" w:hAnsi="仿宋" w:eastAsia="仿宋" w:cs="仿宋"/>
          <w:b/>
          <w:bCs w:val="0"/>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w:t>
      </w:r>
      <w:r>
        <w:rPr>
          <w:rFonts w:hint="eastAsia" w:ascii="仿宋_GB2312"/>
          <w:color w:val="auto"/>
          <w:sz w:val="32"/>
          <w:szCs w:val="32"/>
          <w:highlight w:val="none"/>
          <w:lang w:val="en-US" w:eastAsia="zh-CN"/>
        </w:rPr>
        <w:t>4.15</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1</w:t>
      </w:r>
      <w:r>
        <w:rPr>
          <w:rFonts w:hint="eastAsia" w:ascii="仿宋_GB2312" w:eastAsia="仿宋_GB2312"/>
          <w:color w:val="auto"/>
          <w:sz w:val="32"/>
          <w:szCs w:val="32"/>
          <w:highlight w:val="none"/>
        </w:rPr>
        <w:t>年</w:t>
      </w:r>
      <w:r>
        <w:rPr>
          <w:rFonts w:hint="eastAsia" w:ascii="仿宋_GB2312"/>
          <w:color w:val="auto"/>
          <w:sz w:val="32"/>
          <w:szCs w:val="32"/>
          <w:highlight w:val="none"/>
          <w:lang w:eastAsia="zh-CN"/>
        </w:rPr>
        <w:t>减少</w:t>
      </w:r>
      <w:r>
        <w:rPr>
          <w:rFonts w:hint="eastAsia" w:ascii="仿宋_GB2312"/>
          <w:color w:val="auto"/>
          <w:sz w:val="32"/>
          <w:szCs w:val="32"/>
          <w:highlight w:val="none"/>
          <w:lang w:val="en-US" w:eastAsia="zh-CN"/>
        </w:rPr>
        <w:t>4.41</w:t>
      </w:r>
      <w:r>
        <w:rPr>
          <w:rFonts w:hint="eastAsia" w:ascii="仿宋_GB2312" w:eastAsia="仿宋_GB2312"/>
          <w:color w:val="auto"/>
          <w:sz w:val="32"/>
          <w:szCs w:val="32"/>
          <w:highlight w:val="none"/>
        </w:rPr>
        <w:t>万元，</w:t>
      </w:r>
      <w:r>
        <w:rPr>
          <w:rFonts w:hint="eastAsia" w:ascii="仿宋_GB2312"/>
          <w:color w:val="auto"/>
          <w:sz w:val="32"/>
          <w:szCs w:val="32"/>
          <w:highlight w:val="none"/>
          <w:lang w:eastAsia="zh-CN"/>
        </w:rPr>
        <w:t>下降</w:t>
      </w:r>
      <w:r>
        <w:rPr>
          <w:rFonts w:hint="eastAsia" w:ascii="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color w:val="auto"/>
          <w:sz w:val="32"/>
          <w:szCs w:val="32"/>
          <w:highlight w:val="none"/>
          <w:lang w:eastAsia="zh-CN"/>
        </w:rPr>
        <w:t>厉行节约，办公经费支出减少</w:t>
      </w:r>
      <w:r>
        <w:rPr>
          <w:rFonts w:hint="eastAsia" w:ascii="仿宋_GB2312" w:eastAsia="仿宋_GB2312"/>
          <w:color w:val="auto"/>
          <w:sz w:val="32"/>
          <w:szCs w:val="32"/>
          <w:highlight w:val="none"/>
          <w:lang w:eastAsia="zh-CN"/>
        </w:rPr>
        <w:t>。</w:t>
      </w: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pStyle w:val="4"/>
        <w:bidi w:val="0"/>
      </w:pPr>
      <w:bookmarkStart w:id="79" w:name="_Toc29527"/>
      <w:bookmarkStart w:id="80" w:name="_Toc15377223"/>
      <w:r>
        <w:rPr>
          <w:rFonts w:hint="eastAsia"/>
        </w:rPr>
        <w:t>（二）政府采购支出情况</w:t>
      </w:r>
      <w:bookmarkEnd w:id="79"/>
      <w:bookmarkEnd w:id="80"/>
    </w:p>
    <w:p>
      <w:pPr>
        <w:spacing w:line="600" w:lineRule="exact"/>
        <w:ind w:firstLine="640" w:firstLineChars="200"/>
        <w:rPr>
          <w:rFonts w:hint="eastAsia" w:ascii="仿宋_GB2312" w:hAnsi="仿宋_GB2312" w:eastAsia="仿宋_GB2312" w:cs="仿宋_GB2312"/>
          <w:spacing w:val="-6"/>
          <w:sz w:val="32"/>
          <w:szCs w:val="32"/>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仿宋_GB2312" w:eastAsia="仿宋_GB2312" w:cs="仿宋_GB2312"/>
          <w:sz w:val="32"/>
          <w:szCs w:val="32"/>
        </w:rPr>
        <w:t>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万元、政府采购工程支出0万元、政府采购服务支出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lang w:eastAsia="zh-CN"/>
        </w:rPr>
        <w:t>授予中小企业合同金额</w:t>
      </w:r>
      <w:r>
        <w:rPr>
          <w:rFonts w:hint="eastAsia" w:ascii="仿宋_GB2312" w:hAnsi="仿宋_GB2312" w:eastAsia="仿宋_GB2312" w:cs="仿宋_GB2312"/>
          <w:spacing w:val="-6"/>
          <w:sz w:val="32"/>
          <w:szCs w:val="32"/>
          <w:lang w:val="en-US" w:eastAsia="zh-CN"/>
        </w:rPr>
        <w:t>0万元。</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pStyle w:val="4"/>
        <w:bidi w:val="0"/>
      </w:pPr>
      <w:bookmarkStart w:id="81" w:name="_Toc17685"/>
      <w:bookmarkStart w:id="82" w:name="_Toc15377224"/>
      <w:r>
        <w:rPr>
          <w:rFonts w:hint="eastAsia"/>
        </w:rPr>
        <w:t>（三）国有资产占有使用情况</w:t>
      </w:r>
      <w:bookmarkEnd w:id="81"/>
      <w:bookmarkEnd w:id="82"/>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Style w:val="4"/>
        <w:bidi w:val="0"/>
        <w:rPr>
          <w:rFonts w:hint="eastAsia" w:ascii="楷体" w:hAnsi="楷体" w:eastAsia="楷体" w:cs="楷体"/>
          <w:b w:val="0"/>
          <w:bCs/>
          <w:color w:val="auto"/>
          <w:sz w:val="32"/>
          <w:szCs w:val="32"/>
          <w:highlight w:val="none"/>
          <w:u w:val="none"/>
        </w:rPr>
      </w:pPr>
      <w:r>
        <w:rPr>
          <w:rFonts w:hint="eastAsia"/>
        </w:rPr>
        <w:t>（</w:t>
      </w:r>
      <w:r>
        <w:rPr>
          <w:rFonts w:hint="eastAsia"/>
          <w:lang w:eastAsia="zh-CN"/>
        </w:rPr>
        <w:t>四</w:t>
      </w:r>
      <w:r>
        <w:rPr>
          <w:rFonts w:hint="eastAsia"/>
        </w:rPr>
        <w:t>）</w:t>
      </w:r>
      <w:r>
        <w:rPr>
          <w:rFonts w:hint="eastAsia"/>
          <w:lang w:eastAsia="zh-CN"/>
        </w:rPr>
        <w:t>预算绩效管理</w:t>
      </w:r>
      <w:r>
        <w:rPr>
          <w:rFonts w:hint="eastAsia"/>
        </w:rPr>
        <w:t>情况</w:t>
      </w:r>
    </w:p>
    <w:p>
      <w:pPr>
        <w:widowControl/>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cs="仿宋_GB2312"/>
          <w:color w:val="auto"/>
          <w:sz w:val="32"/>
          <w:szCs w:val="32"/>
          <w:highlight w:val="none"/>
          <w:lang w:eastAsia="zh-CN"/>
        </w:rPr>
        <w:t>“项目前期工作激励工作经费”“山地轨道交通建设前期研究费用”</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cs="仿宋_GB2312"/>
          <w:color w:val="auto"/>
          <w:sz w:val="32"/>
          <w:szCs w:val="32"/>
          <w:highlight w:val="none"/>
          <w:lang w:eastAsia="zh-CN"/>
        </w:rPr>
        <w:t>“项目大数据中心运行维护费”“全区项目集中开工仪式工作经费”“推动县域经济发展工作经费”“</w:t>
      </w:r>
      <w:r>
        <w:rPr>
          <w:rFonts w:hint="eastAsia" w:cs="仿宋_GB2312"/>
          <w:color w:val="auto"/>
          <w:sz w:val="32"/>
          <w:szCs w:val="32"/>
          <w:highlight w:val="none"/>
          <w:lang w:eastAsia="zh-CN"/>
        </w:rPr>
        <w:t>“十四五”规划</w:t>
      </w:r>
      <w:r>
        <w:rPr>
          <w:rFonts w:hint="eastAsia" w:ascii="仿宋_GB2312" w:hAnsi="仿宋_GB2312" w:cs="仿宋_GB2312"/>
          <w:color w:val="auto"/>
          <w:sz w:val="32"/>
          <w:szCs w:val="32"/>
          <w:highlight w:val="none"/>
          <w:lang w:eastAsia="zh-CN"/>
        </w:rPr>
        <w:t>编制工作经费”“粮油应急体系建设经费”“粮安考核工作经费”“粮食行政执法和社会粮食统计调查工作经费”</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个项目开展绩效监控。</w:t>
      </w:r>
    </w:p>
    <w:p>
      <w:pPr>
        <w:bidi w:val="0"/>
        <w:rPr>
          <w:rFonts w:hint="eastAsia"/>
        </w:rPr>
      </w:pPr>
      <w:r>
        <w:rPr>
          <w:rFonts w:hint="eastAsia"/>
        </w:rPr>
        <w:t>组织对2022年度一般公共预算</w:t>
      </w:r>
      <w:r>
        <w:rPr>
          <w:rFonts w:hint="eastAsia"/>
          <w:lang w:eastAsia="zh-CN"/>
        </w:rPr>
        <w:t>部门整体绩效及项目绩效</w:t>
      </w:r>
      <w:r>
        <w:rPr>
          <w:rFonts w:hint="eastAsia"/>
        </w:rPr>
        <w:t>全面开展绩效自评，形成</w:t>
      </w:r>
      <w:r>
        <w:rPr>
          <w:rFonts w:hint="eastAsia"/>
          <w:lang w:eastAsia="zh-CN"/>
        </w:rPr>
        <w:t>《</w:t>
      </w:r>
      <w:r>
        <w:rPr>
          <w:rFonts w:hint="eastAsia"/>
          <w:lang w:val="en-US" w:eastAsia="zh-CN"/>
        </w:rPr>
        <w:t>2022年</w:t>
      </w:r>
      <w:r>
        <w:rPr>
          <w:rFonts w:hint="eastAsia"/>
          <w:lang w:eastAsia="zh-CN"/>
        </w:rPr>
        <w:t>广元市朝天区发展和改革局</w:t>
      </w:r>
      <w:r>
        <w:rPr>
          <w:rFonts w:hint="eastAsia"/>
        </w:rPr>
        <w:t>部门整体绩效自评报告</w:t>
      </w:r>
      <w:r>
        <w:rPr>
          <w:rFonts w:hint="eastAsia"/>
          <w:lang w:eastAsia="zh-CN"/>
        </w:rPr>
        <w:t>》“项目前期工作激励工作经费”</w:t>
      </w:r>
      <w:r>
        <w:rPr>
          <w:rFonts w:hint="eastAsia"/>
        </w:rPr>
        <w:t>等</w:t>
      </w:r>
      <w:r>
        <w:rPr>
          <w:rFonts w:hint="eastAsia"/>
          <w:lang w:val="en-US" w:eastAsia="zh-CN"/>
        </w:rPr>
        <w:t>6个</w:t>
      </w:r>
      <w:r>
        <w:rPr>
          <w:rFonts w:hint="eastAsia"/>
        </w:rPr>
        <w:t>专项预算项目绩效自评报告，</w:t>
      </w:r>
      <w:r>
        <w:rPr>
          <w:rFonts w:hint="eastAsia"/>
          <w:lang w:eastAsia="zh-CN"/>
        </w:rPr>
        <w:t>广元市朝天区发展和改革局</w:t>
      </w:r>
      <w:r>
        <w:rPr>
          <w:rFonts w:hint="eastAsia"/>
        </w:rPr>
        <w:t>部门整体（含部门预算项目）绩效自评得分为</w:t>
      </w:r>
      <w:r>
        <w:rPr>
          <w:rFonts w:hint="eastAsia"/>
          <w:lang w:val="en-US" w:eastAsia="zh-CN"/>
        </w:rPr>
        <w:t>98</w:t>
      </w:r>
      <w:r>
        <w:rPr>
          <w:rFonts w:hint="eastAsia"/>
        </w:rPr>
        <w:t>分</w:t>
      </w:r>
      <w:bookmarkStart w:id="83" w:name="_Toc30923"/>
      <w:bookmarkStart w:id="84" w:name="_Toc23493"/>
      <w:bookmarkStart w:id="85" w:name="_Toc12193"/>
      <w:r>
        <w:rPr>
          <w:rFonts w:hint="eastAsia"/>
          <w:lang w:eastAsia="zh-CN"/>
        </w:rPr>
        <w:t>。部门整体自评报告、项目自评报告</w:t>
      </w:r>
      <w:r>
        <w:rPr>
          <w:rFonts w:hint="eastAsia"/>
        </w:rPr>
        <w:t>见附件（第四部分）。</w:t>
      </w:r>
      <w:bookmarkEnd w:id="83"/>
      <w:bookmarkEnd w:id="84"/>
      <w:bookmarkEnd w:id="85"/>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Style w:val="2"/>
        <w:bidi w:val="0"/>
        <w:rPr>
          <w:rFonts w:hint="eastAsia"/>
        </w:rPr>
      </w:pPr>
      <w:bookmarkStart w:id="86" w:name="_Toc22408"/>
      <w:r>
        <w:rPr>
          <w:rFonts w:hint="eastAsia"/>
        </w:rPr>
        <w:t>第三部分  名词解释</w:t>
      </w:r>
      <w:bookmarkEnd w:id="86"/>
    </w:p>
    <w:p>
      <w:pPr>
        <w:keepNext w:val="0"/>
        <w:keepLines w:val="0"/>
        <w:pageBreakBefore w:val="0"/>
        <w:kinsoku/>
        <w:wordWrap/>
        <w:overflowPunct/>
        <w:topLinePunct w:val="0"/>
        <w:autoSpaceDE/>
        <w:autoSpaceDN/>
        <w:bidi w:val="0"/>
        <w:adjustRightInd/>
        <w:snapToGrid/>
        <w:spacing w:line="576" w:lineRule="exact"/>
        <w:jc w:val="both"/>
        <w:textAlignment w:val="auto"/>
        <w:rPr>
          <w:rFonts w:ascii="宋体" w:hAnsi="宋体"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kern w:val="2"/>
          <w:sz w:val="32"/>
          <w:szCs w:val="32"/>
          <w:lang w:val="en-US" w:eastAsia="zh-CN" w:bidi="ar"/>
        </w:rPr>
        <w:t>1.财政拨款收入：</w:t>
      </w:r>
      <w:r>
        <w:rPr>
          <w:rFonts w:hint="eastAsia" w:ascii="仿宋_GB2312" w:hAnsi="仿宋_GB2312" w:eastAsia="仿宋_GB2312" w:cs="仿宋_GB2312"/>
          <w:spacing w:val="0"/>
          <w:sz w:val="32"/>
          <w:szCs w:val="32"/>
        </w:rPr>
        <w:t>指单位从同级财政部门取得的财政预算资金。</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cs="仿宋_GB2312"/>
          <w:b/>
          <w:bCs/>
          <w:color w:val="000000"/>
          <w:kern w:val="2"/>
          <w:sz w:val="32"/>
          <w:szCs w:val="32"/>
          <w:lang w:val="en-US" w:eastAsia="zh-CN" w:bidi="ar"/>
        </w:rPr>
        <w:t>2</w:t>
      </w:r>
      <w:r>
        <w:rPr>
          <w:rFonts w:hint="eastAsia" w:ascii="仿宋_GB2312" w:hAnsi="仿宋_GB2312" w:eastAsia="仿宋_GB2312" w:cs="仿宋_GB2312"/>
          <w:b/>
          <w:bCs/>
          <w:color w:val="000000"/>
          <w:kern w:val="2"/>
          <w:sz w:val="32"/>
          <w:szCs w:val="32"/>
          <w:lang w:val="en-US" w:eastAsia="zh-CN" w:bidi="ar"/>
        </w:rPr>
        <w:t>.一般公共服务支出（类）</w:t>
      </w:r>
      <w:r>
        <w:rPr>
          <w:rFonts w:hint="eastAsia" w:ascii="仿宋_GB2312" w:hAnsi="仿宋_GB2312" w:cs="仿宋_GB2312"/>
          <w:b/>
          <w:bCs/>
          <w:color w:val="000000"/>
          <w:kern w:val="2"/>
          <w:sz w:val="32"/>
          <w:szCs w:val="32"/>
          <w:lang w:val="en-US" w:eastAsia="zh-CN" w:bidi="ar"/>
        </w:rPr>
        <w:t>04</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kern w:val="2"/>
          <w:sz w:val="32"/>
          <w:szCs w:val="32"/>
          <w:lang w:val="en-US" w:eastAsia="zh-CN" w:bidi="ar"/>
        </w:rPr>
        <w:t>指</w:t>
      </w:r>
      <w:r>
        <w:rPr>
          <w:rFonts w:hint="eastAsia" w:ascii="仿宋_GB2312" w:hAnsi="仿宋_GB2312" w:eastAsia="仿宋_GB2312" w:cs="仿宋_GB2312"/>
          <w:b w:val="0"/>
          <w:bCs w:val="0"/>
          <w:color w:val="000000"/>
          <w:kern w:val="2"/>
          <w:sz w:val="32"/>
          <w:szCs w:val="32"/>
          <w:lang w:val="en-US" w:eastAsia="zh-CN" w:bidi="ar"/>
        </w:rPr>
        <w:t>发展与改革事务行政运行</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sz w:val="32"/>
          <w:szCs w:val="32"/>
        </w:rPr>
        <w:t>反映行政单位（包括实行公务员管理的事业单位）的基本支出。</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b/>
          <w:bCs/>
          <w:color w:val="000000"/>
          <w:kern w:val="2"/>
          <w:sz w:val="32"/>
          <w:szCs w:val="32"/>
          <w:lang w:val="en-US" w:eastAsia="zh-CN" w:bidi="ar"/>
        </w:rPr>
        <w:t>3</w:t>
      </w:r>
      <w:r>
        <w:rPr>
          <w:rFonts w:hint="eastAsia" w:ascii="仿宋_GB2312" w:hAnsi="仿宋_GB2312" w:eastAsia="仿宋_GB2312" w:cs="仿宋_GB2312"/>
          <w:b/>
          <w:bCs/>
          <w:color w:val="000000"/>
          <w:kern w:val="2"/>
          <w:sz w:val="32"/>
          <w:szCs w:val="32"/>
          <w:lang w:val="en-US" w:eastAsia="zh-CN" w:bidi="ar"/>
        </w:rPr>
        <w:t>.一般公共服务支出（类）</w:t>
      </w:r>
      <w:r>
        <w:rPr>
          <w:rFonts w:hint="eastAsia" w:ascii="仿宋_GB2312" w:hAnsi="仿宋_GB2312" w:cs="仿宋_GB2312"/>
          <w:b/>
          <w:bCs/>
          <w:color w:val="000000"/>
          <w:kern w:val="2"/>
          <w:sz w:val="32"/>
          <w:szCs w:val="32"/>
          <w:lang w:val="en-US" w:eastAsia="zh-CN" w:bidi="ar"/>
        </w:rPr>
        <w:t>04</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02</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kern w:val="2"/>
          <w:sz w:val="32"/>
          <w:szCs w:val="32"/>
          <w:lang w:val="en-US" w:eastAsia="zh-CN" w:bidi="ar"/>
        </w:rPr>
        <w:t>指</w:t>
      </w:r>
      <w:r>
        <w:rPr>
          <w:rFonts w:hint="eastAsia" w:ascii="仿宋_GB2312" w:hAnsi="仿宋_GB2312" w:eastAsia="仿宋_GB2312" w:cs="仿宋_GB2312"/>
          <w:b w:val="0"/>
          <w:bCs w:val="0"/>
          <w:color w:val="000000"/>
          <w:kern w:val="2"/>
          <w:sz w:val="32"/>
          <w:szCs w:val="32"/>
          <w:lang w:val="en-US" w:eastAsia="zh-CN" w:bidi="ar"/>
        </w:rPr>
        <w:t>发展与改革一般行政管理事务</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sz w:val="32"/>
          <w:szCs w:val="32"/>
        </w:rPr>
        <w:t>反映行政单位（包括实行公务员管理的事业</w:t>
      </w:r>
      <w:r>
        <w:rPr>
          <w:rFonts w:hint="eastAsia" w:ascii="仿宋_GB2312" w:hAnsi="仿宋_GB2312" w:eastAsia="仿宋_GB2312" w:cs="仿宋_GB2312"/>
          <w:sz w:val="32"/>
          <w:szCs w:val="32"/>
        </w:rPr>
        <w:t>单位）未单独设置项级科目的其他项目支出。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cs="仿宋_GB2312"/>
          <w:b/>
          <w:bCs/>
          <w:color w:val="000000"/>
          <w:kern w:val="2"/>
          <w:sz w:val="32"/>
          <w:szCs w:val="32"/>
          <w:lang w:val="en-US" w:eastAsia="zh-CN" w:bidi="ar"/>
        </w:rPr>
        <w:t>4</w:t>
      </w:r>
      <w:r>
        <w:rPr>
          <w:rFonts w:hint="eastAsia" w:ascii="仿宋_GB2312" w:hAnsi="仿宋_GB2312" w:eastAsia="仿宋_GB2312" w:cs="仿宋_GB2312"/>
          <w:b/>
          <w:bCs/>
          <w:color w:val="000000"/>
          <w:kern w:val="2"/>
          <w:sz w:val="32"/>
          <w:szCs w:val="32"/>
          <w:lang w:val="en-US" w:eastAsia="zh-CN" w:bidi="ar"/>
        </w:rPr>
        <w:t>.</w:t>
      </w:r>
      <w:r>
        <w:rPr>
          <w:rFonts w:hint="eastAsia" w:ascii="仿宋_GB2312" w:hAnsi="仿宋_GB2312" w:eastAsia="仿宋_GB2312" w:cs="仿宋_GB2312"/>
          <w:b/>
          <w:bCs/>
          <w:color w:val="000000"/>
          <w:spacing w:val="-11"/>
          <w:kern w:val="2"/>
          <w:sz w:val="32"/>
          <w:szCs w:val="32"/>
          <w:lang w:val="en-US" w:eastAsia="zh-CN" w:bidi="ar"/>
        </w:rPr>
        <w:t>一般公共服务支出（类）</w:t>
      </w:r>
      <w:r>
        <w:rPr>
          <w:rFonts w:hint="eastAsia" w:ascii="仿宋_GB2312" w:hAnsi="仿宋_GB2312" w:cs="仿宋_GB2312"/>
          <w:b/>
          <w:bCs/>
          <w:color w:val="000000"/>
          <w:spacing w:val="-11"/>
          <w:kern w:val="2"/>
          <w:sz w:val="32"/>
          <w:szCs w:val="32"/>
          <w:lang w:val="en-US" w:eastAsia="zh-CN" w:bidi="ar"/>
        </w:rPr>
        <w:t>04</w:t>
      </w:r>
      <w:r>
        <w:rPr>
          <w:rFonts w:hint="eastAsia" w:ascii="仿宋_GB2312" w:hAnsi="仿宋_GB2312" w:eastAsia="仿宋_GB2312" w:cs="仿宋_GB2312"/>
          <w:b/>
          <w:bCs/>
          <w:color w:val="000000"/>
          <w:spacing w:val="-11"/>
          <w:kern w:val="2"/>
          <w:sz w:val="32"/>
          <w:szCs w:val="32"/>
          <w:lang w:val="en-US" w:eastAsia="zh-CN" w:bidi="ar"/>
        </w:rPr>
        <w:t>（款）</w:t>
      </w:r>
      <w:r>
        <w:rPr>
          <w:rFonts w:hint="eastAsia" w:ascii="仿宋_GB2312" w:hAnsi="仿宋_GB2312" w:cs="仿宋_GB2312"/>
          <w:b/>
          <w:bCs/>
          <w:color w:val="000000"/>
          <w:spacing w:val="-11"/>
          <w:kern w:val="2"/>
          <w:sz w:val="32"/>
          <w:szCs w:val="32"/>
          <w:lang w:val="en-US" w:eastAsia="zh-CN" w:bidi="ar"/>
        </w:rPr>
        <w:t>08</w:t>
      </w:r>
      <w:r>
        <w:rPr>
          <w:rFonts w:hint="eastAsia" w:ascii="仿宋_GB2312" w:hAnsi="仿宋_GB2312" w:eastAsia="仿宋_GB2312" w:cs="仿宋_GB2312"/>
          <w:b/>
          <w:bCs/>
          <w:color w:val="000000"/>
          <w:spacing w:val="-11"/>
          <w:kern w:val="2"/>
          <w:sz w:val="32"/>
          <w:szCs w:val="32"/>
          <w:lang w:val="en-US" w:eastAsia="zh-CN" w:bidi="ar"/>
        </w:rPr>
        <w:t>（项）</w:t>
      </w:r>
      <w:r>
        <w:rPr>
          <w:rFonts w:hint="eastAsia" w:ascii="仿宋_GB2312" w:hAnsi="仿宋_GB2312" w:cs="仿宋_GB2312"/>
          <w:b w:val="0"/>
          <w:bCs w:val="0"/>
          <w:color w:val="000000"/>
          <w:spacing w:val="-11"/>
          <w:kern w:val="2"/>
          <w:sz w:val="32"/>
          <w:szCs w:val="32"/>
          <w:lang w:val="en-US" w:eastAsia="zh-CN" w:bidi="ar"/>
        </w:rPr>
        <w:t>其他发展改革事务支出，指</w:t>
      </w:r>
      <w:r>
        <w:rPr>
          <w:rFonts w:hint="eastAsia" w:ascii="仿宋_GB2312" w:hAnsi="仿宋_GB2312" w:eastAsia="仿宋_GB2312" w:cs="仿宋_GB2312"/>
          <w:b w:val="0"/>
          <w:bCs w:val="0"/>
          <w:color w:val="000000"/>
          <w:spacing w:val="-11"/>
          <w:kern w:val="2"/>
          <w:sz w:val="32"/>
          <w:szCs w:val="32"/>
          <w:lang w:val="en-US" w:eastAsia="zh-CN" w:bidi="ar"/>
        </w:rPr>
        <w:t>其他发展与改革事务支出</w:t>
      </w:r>
      <w:r>
        <w:rPr>
          <w:rFonts w:hint="eastAsia" w:ascii="仿宋_GB2312" w:hAnsi="仿宋_GB2312" w:cs="仿宋_GB2312"/>
          <w:b w:val="0"/>
          <w:bCs w:val="0"/>
          <w:color w:val="000000"/>
          <w:spacing w:val="-11"/>
          <w:kern w:val="2"/>
          <w:sz w:val="32"/>
          <w:szCs w:val="32"/>
          <w:lang w:val="en-US" w:eastAsia="zh-CN" w:bidi="ar"/>
        </w:rPr>
        <w:t>，</w:t>
      </w:r>
      <w:r>
        <w:rPr>
          <w:rFonts w:hint="eastAsia" w:ascii="仿宋_GB2312" w:hAnsi="仿宋_GB2312" w:eastAsia="仿宋_GB2312" w:cs="仿宋_GB2312"/>
          <w:b w:val="0"/>
          <w:bCs w:val="0"/>
          <w:spacing w:val="-11"/>
          <w:sz w:val="32"/>
          <w:szCs w:val="32"/>
        </w:rPr>
        <w:t>反映其他发展与改革事务的支</w:t>
      </w:r>
      <w:r>
        <w:rPr>
          <w:rFonts w:hint="eastAsia" w:ascii="仿宋_GB2312" w:hAnsi="仿宋_GB2312" w:eastAsia="仿宋_GB2312" w:cs="仿宋_GB2312"/>
          <w:spacing w:val="-11"/>
          <w:sz w:val="32"/>
          <w:szCs w:val="32"/>
        </w:rPr>
        <w:t>出。</w:t>
      </w:r>
    </w:p>
    <w:p>
      <w:pPr>
        <w:keepNext w:val="0"/>
        <w:keepLines w:val="0"/>
        <w:pageBreakBefore w:val="0"/>
        <w:kinsoku/>
        <w:wordWrap/>
        <w:overflowPunct/>
        <w:topLinePunct w:val="0"/>
        <w:autoSpaceDE/>
        <w:autoSpaceDN/>
        <w:bidi w:val="0"/>
        <w:adjustRightInd/>
        <w:snapToGrid/>
        <w:spacing w:line="576" w:lineRule="exact"/>
        <w:ind w:firstLine="598" w:firstLineChars="200"/>
        <w:jc w:val="both"/>
        <w:textAlignment w:val="auto"/>
        <w:rPr>
          <w:rFonts w:hint="default" w:ascii="仿宋_GB2312" w:hAnsi="仿宋_GB2312" w:eastAsia="仿宋_GB2312" w:cs="仿宋_GB2312"/>
          <w:b w:val="0"/>
          <w:bCs w:val="0"/>
          <w:spacing w:val="-11"/>
          <w:sz w:val="32"/>
          <w:szCs w:val="32"/>
          <w:lang w:val="en-US" w:eastAsia="zh-CN"/>
        </w:rPr>
      </w:pPr>
      <w:r>
        <w:rPr>
          <w:rFonts w:hint="eastAsia" w:ascii="仿宋_GB2312" w:hAnsi="仿宋_GB2312" w:cs="仿宋_GB2312"/>
          <w:b/>
          <w:bCs/>
          <w:spacing w:val="-11"/>
          <w:sz w:val="32"/>
          <w:szCs w:val="32"/>
          <w:lang w:val="en-US" w:eastAsia="zh-CN"/>
        </w:rPr>
        <w:t>5.</w:t>
      </w:r>
      <w:r>
        <w:rPr>
          <w:rFonts w:hint="eastAsia" w:ascii="仿宋_GB2312" w:hAnsi="仿宋_GB2312" w:eastAsia="仿宋_GB2312" w:cs="仿宋_GB2312"/>
          <w:b/>
          <w:bCs/>
          <w:color w:val="000000"/>
          <w:spacing w:val="-11"/>
          <w:kern w:val="2"/>
          <w:sz w:val="32"/>
          <w:szCs w:val="32"/>
          <w:lang w:val="en-US" w:eastAsia="zh-CN" w:bidi="ar"/>
        </w:rPr>
        <w:t>一般公共服务支出（类）</w:t>
      </w:r>
      <w:r>
        <w:rPr>
          <w:rFonts w:hint="eastAsia" w:ascii="仿宋_GB2312" w:hAnsi="仿宋_GB2312" w:cs="仿宋_GB2312"/>
          <w:b/>
          <w:bCs/>
          <w:color w:val="000000"/>
          <w:spacing w:val="-11"/>
          <w:kern w:val="2"/>
          <w:sz w:val="32"/>
          <w:szCs w:val="32"/>
          <w:lang w:val="en-US" w:eastAsia="zh-CN" w:bidi="ar"/>
        </w:rPr>
        <w:t>04</w:t>
      </w:r>
      <w:r>
        <w:rPr>
          <w:rFonts w:hint="eastAsia" w:ascii="仿宋_GB2312" w:hAnsi="仿宋_GB2312" w:eastAsia="仿宋_GB2312" w:cs="仿宋_GB2312"/>
          <w:b/>
          <w:bCs/>
          <w:color w:val="000000"/>
          <w:spacing w:val="-11"/>
          <w:kern w:val="2"/>
          <w:sz w:val="32"/>
          <w:szCs w:val="32"/>
          <w:lang w:val="en-US" w:eastAsia="zh-CN" w:bidi="ar"/>
        </w:rPr>
        <w:t>（款）</w:t>
      </w:r>
      <w:r>
        <w:rPr>
          <w:rFonts w:hint="eastAsia" w:ascii="仿宋_GB2312" w:hAnsi="仿宋_GB2312" w:cs="仿宋_GB2312"/>
          <w:b/>
          <w:bCs/>
          <w:color w:val="000000"/>
          <w:spacing w:val="-11"/>
          <w:kern w:val="2"/>
          <w:sz w:val="32"/>
          <w:szCs w:val="32"/>
          <w:lang w:val="en-US" w:eastAsia="zh-CN" w:bidi="ar"/>
        </w:rPr>
        <w:t>50</w:t>
      </w:r>
      <w:r>
        <w:rPr>
          <w:rFonts w:hint="eastAsia" w:ascii="仿宋_GB2312" w:hAnsi="仿宋_GB2312" w:eastAsia="仿宋_GB2312" w:cs="仿宋_GB2312"/>
          <w:b/>
          <w:bCs/>
          <w:color w:val="000000"/>
          <w:spacing w:val="-11"/>
          <w:kern w:val="2"/>
          <w:sz w:val="32"/>
          <w:szCs w:val="32"/>
          <w:lang w:val="en-US" w:eastAsia="zh-CN" w:bidi="ar"/>
        </w:rPr>
        <w:t>（项）</w:t>
      </w:r>
      <w:r>
        <w:rPr>
          <w:rFonts w:hint="eastAsia" w:ascii="仿宋_GB2312" w:hAnsi="仿宋_GB2312" w:cs="仿宋_GB2312"/>
          <w:b w:val="0"/>
          <w:bCs w:val="0"/>
          <w:color w:val="000000"/>
          <w:spacing w:val="-11"/>
          <w:kern w:val="2"/>
          <w:sz w:val="32"/>
          <w:szCs w:val="32"/>
          <w:lang w:val="en-US" w:eastAsia="zh-CN" w:bidi="ar"/>
        </w:rPr>
        <w:t>指发展与改革事业运行，反映事业单位的基本支出。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cs="仿宋_GB2312"/>
          <w:b/>
          <w:bCs/>
          <w:color w:val="000000"/>
          <w:kern w:val="2"/>
          <w:sz w:val="32"/>
          <w:szCs w:val="32"/>
          <w:lang w:val="en-US" w:eastAsia="zh-CN" w:bidi="ar"/>
        </w:rPr>
        <w:t>6</w:t>
      </w:r>
      <w:r>
        <w:rPr>
          <w:rFonts w:hint="eastAsia" w:ascii="仿宋_GB2312" w:hAnsi="仿宋_GB2312" w:eastAsia="仿宋_GB2312" w:cs="仿宋_GB2312"/>
          <w:b/>
          <w:bCs/>
          <w:color w:val="000000"/>
          <w:kern w:val="2"/>
          <w:sz w:val="32"/>
          <w:szCs w:val="32"/>
          <w:lang w:val="en-US" w:eastAsia="zh-CN" w:bidi="ar"/>
        </w:rPr>
        <w:t>.</w:t>
      </w:r>
      <w:r>
        <w:rPr>
          <w:rFonts w:hint="eastAsia" w:ascii="仿宋_GB2312" w:hAnsi="仿宋_GB2312" w:eastAsia="仿宋_GB2312" w:cs="仿宋_GB2312"/>
          <w:b/>
          <w:bCs/>
          <w:color w:val="000000"/>
          <w:spacing w:val="-11"/>
          <w:kern w:val="2"/>
          <w:sz w:val="32"/>
          <w:szCs w:val="32"/>
          <w:lang w:val="en-US" w:eastAsia="zh-CN" w:bidi="ar"/>
        </w:rPr>
        <w:t>社会保障和就业支出（类）</w:t>
      </w:r>
      <w:r>
        <w:rPr>
          <w:rFonts w:hint="eastAsia" w:ascii="仿宋_GB2312" w:hAnsi="仿宋_GB2312" w:cs="仿宋_GB2312"/>
          <w:b/>
          <w:bCs/>
          <w:color w:val="000000"/>
          <w:spacing w:val="-11"/>
          <w:kern w:val="2"/>
          <w:sz w:val="32"/>
          <w:szCs w:val="32"/>
          <w:lang w:val="en-US" w:eastAsia="zh-CN" w:bidi="ar"/>
        </w:rPr>
        <w:t>05</w:t>
      </w:r>
      <w:r>
        <w:rPr>
          <w:rFonts w:hint="eastAsia" w:ascii="仿宋_GB2312" w:hAnsi="仿宋_GB2312" w:eastAsia="仿宋_GB2312" w:cs="仿宋_GB2312"/>
          <w:b/>
          <w:bCs/>
          <w:color w:val="000000"/>
          <w:spacing w:val="-11"/>
          <w:kern w:val="2"/>
          <w:sz w:val="32"/>
          <w:szCs w:val="32"/>
          <w:lang w:val="en-US" w:eastAsia="zh-CN" w:bidi="ar"/>
        </w:rPr>
        <w:t>（款）</w:t>
      </w:r>
      <w:r>
        <w:rPr>
          <w:rFonts w:hint="eastAsia" w:ascii="仿宋_GB2312" w:hAnsi="仿宋_GB2312" w:cs="仿宋_GB2312"/>
          <w:b/>
          <w:bCs/>
          <w:color w:val="000000"/>
          <w:spacing w:val="-11"/>
          <w:kern w:val="2"/>
          <w:sz w:val="32"/>
          <w:szCs w:val="32"/>
          <w:lang w:val="en-US" w:eastAsia="zh-CN" w:bidi="ar"/>
        </w:rPr>
        <w:t>05</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spacing w:val="-11"/>
          <w:kern w:val="2"/>
          <w:sz w:val="32"/>
          <w:szCs w:val="32"/>
          <w:lang w:val="en-US" w:eastAsia="zh-CN" w:bidi="ar"/>
        </w:rPr>
        <w:t>指</w:t>
      </w:r>
      <w:r>
        <w:rPr>
          <w:rFonts w:hint="eastAsia" w:ascii="仿宋_GB2312" w:hAnsi="仿宋_GB2312" w:eastAsia="仿宋_GB2312" w:cs="仿宋_GB2312"/>
          <w:b w:val="0"/>
          <w:bCs w:val="0"/>
          <w:color w:val="000000"/>
          <w:spacing w:val="-11"/>
          <w:kern w:val="2"/>
          <w:sz w:val="32"/>
          <w:szCs w:val="32"/>
          <w:lang w:val="en-US" w:eastAsia="zh-CN" w:bidi="ar"/>
        </w:rPr>
        <w:t>机关事业单位基本养老保险缴费支出</w:t>
      </w:r>
      <w:r>
        <w:rPr>
          <w:rFonts w:hint="eastAsia" w:ascii="仿宋_GB2312" w:hAnsi="仿宋_GB2312" w:cs="仿宋_GB2312"/>
          <w:b w:val="0"/>
          <w:bCs w:val="0"/>
          <w:color w:val="000000"/>
          <w:spacing w:val="-11"/>
          <w:kern w:val="2"/>
          <w:sz w:val="32"/>
          <w:szCs w:val="32"/>
          <w:lang w:val="en-US" w:eastAsia="zh-CN" w:bidi="ar"/>
        </w:rPr>
        <w:t>，</w:t>
      </w:r>
      <w:r>
        <w:rPr>
          <w:rFonts w:hint="eastAsia" w:ascii="仿宋_GB2312" w:hAnsi="仿宋_GB2312" w:eastAsia="仿宋_GB2312" w:cs="仿宋_GB2312"/>
          <w:spacing w:val="-11"/>
          <w:sz w:val="32"/>
          <w:szCs w:val="32"/>
        </w:rPr>
        <w:t>反映机关事业单位实施养老保险制度由单位缴纳的基本养老保险缴费支出。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b/>
          <w:bCs/>
          <w:color w:val="000000"/>
          <w:kern w:val="2"/>
          <w:sz w:val="32"/>
          <w:szCs w:val="32"/>
          <w:lang w:val="en-US" w:eastAsia="zh-CN" w:bidi="ar"/>
        </w:rPr>
        <w:t>7</w:t>
      </w:r>
      <w:r>
        <w:rPr>
          <w:rFonts w:hint="eastAsia" w:ascii="仿宋_GB2312" w:hAnsi="仿宋_GB2312" w:eastAsia="仿宋_GB2312" w:cs="仿宋_GB2312"/>
          <w:b/>
          <w:bCs/>
          <w:color w:val="000000"/>
          <w:kern w:val="2"/>
          <w:sz w:val="32"/>
          <w:szCs w:val="32"/>
          <w:lang w:val="en-US" w:eastAsia="zh-CN" w:bidi="ar"/>
        </w:rPr>
        <w:t>.住房保障支出（类）</w:t>
      </w:r>
      <w:r>
        <w:rPr>
          <w:rFonts w:hint="eastAsia" w:ascii="仿宋_GB2312" w:hAnsi="仿宋_GB2312" w:cs="仿宋_GB2312"/>
          <w:b/>
          <w:bCs/>
          <w:color w:val="000000"/>
          <w:kern w:val="2"/>
          <w:sz w:val="32"/>
          <w:szCs w:val="32"/>
          <w:lang w:val="en-US" w:eastAsia="zh-CN" w:bidi="ar"/>
        </w:rPr>
        <w:t>02</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kern w:val="2"/>
          <w:sz w:val="32"/>
          <w:szCs w:val="32"/>
          <w:lang w:val="en-US" w:eastAsia="zh-CN" w:bidi="ar"/>
        </w:rPr>
        <w:t>住房公积金，</w:t>
      </w:r>
      <w:r>
        <w:rPr>
          <w:rFonts w:hint="eastAsia" w:ascii="仿宋_GB2312" w:hAnsi="仿宋_GB2312" w:eastAsia="仿宋_GB2312" w:cs="仿宋_GB2312"/>
          <w:b w:val="0"/>
          <w:bCs w:val="0"/>
          <w:sz w:val="32"/>
          <w:szCs w:val="32"/>
        </w:rPr>
        <w:t>指</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b/>
          <w:bCs/>
          <w:color w:val="000000"/>
          <w:kern w:val="2"/>
          <w:sz w:val="32"/>
          <w:szCs w:val="32"/>
          <w:lang w:val="en-US" w:eastAsia="zh-CN" w:bidi="ar"/>
        </w:rPr>
        <w:t>8</w:t>
      </w:r>
      <w:r>
        <w:rPr>
          <w:rFonts w:hint="eastAsia" w:ascii="仿宋_GB2312" w:hAnsi="仿宋_GB2312" w:eastAsia="仿宋_GB2312" w:cs="仿宋_GB2312"/>
          <w:b/>
          <w:bCs/>
          <w:color w:val="000000"/>
          <w:kern w:val="2"/>
          <w:sz w:val="32"/>
          <w:szCs w:val="32"/>
          <w:lang w:val="en-US" w:eastAsia="zh-CN" w:bidi="ar"/>
        </w:rPr>
        <w:t>.医疗卫生与计划生育（类</w:t>
      </w:r>
      <w:r>
        <w:rPr>
          <w:rFonts w:hint="eastAsia" w:ascii="仿宋_GB2312" w:hAnsi="仿宋_GB2312" w:cs="仿宋_GB2312"/>
          <w:b/>
          <w:bCs/>
          <w:color w:val="000000"/>
          <w:kern w:val="2"/>
          <w:sz w:val="32"/>
          <w:szCs w:val="32"/>
          <w:lang w:val="en-US" w:eastAsia="zh-CN" w:bidi="ar"/>
        </w:rPr>
        <w:t>）11</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eastAsia="仿宋_GB2312" w:cs="仿宋_GB2312"/>
          <w:b w:val="0"/>
          <w:bCs w:val="0"/>
          <w:color w:val="000000"/>
          <w:kern w:val="2"/>
          <w:sz w:val="32"/>
          <w:szCs w:val="32"/>
          <w:lang w:val="en-US" w:eastAsia="zh-CN" w:bidi="ar"/>
        </w:rPr>
        <w:t>行政单位医疗</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sz w:val="32"/>
          <w:szCs w:val="32"/>
        </w:rPr>
        <w:t>指单位职工医疗保险等支出。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b/>
          <w:bCs/>
          <w:color w:val="000000"/>
          <w:kern w:val="2"/>
          <w:sz w:val="32"/>
          <w:szCs w:val="32"/>
          <w:lang w:val="en-US" w:eastAsia="zh-CN" w:bidi="ar"/>
        </w:rPr>
        <w:t>9</w:t>
      </w:r>
      <w:r>
        <w:rPr>
          <w:rFonts w:hint="eastAsia" w:ascii="仿宋_GB2312" w:hAnsi="仿宋_GB2312" w:eastAsia="仿宋_GB2312" w:cs="仿宋_GB2312"/>
          <w:b/>
          <w:bCs/>
          <w:color w:val="000000"/>
          <w:kern w:val="2"/>
          <w:sz w:val="32"/>
          <w:szCs w:val="32"/>
          <w:lang w:val="en-US" w:eastAsia="zh-CN" w:bidi="ar"/>
        </w:rPr>
        <w:t>.基本支出：</w:t>
      </w:r>
      <w:r>
        <w:rPr>
          <w:rFonts w:hint="eastAsia" w:ascii="仿宋_GB2312" w:hAnsi="仿宋_GB2312" w:eastAsia="仿宋_GB2312" w:cs="仿宋_GB2312"/>
          <w:sz w:val="32"/>
          <w:szCs w:val="32"/>
        </w:rPr>
        <w:t>指为保障机构正常运转、完成日常工作任务而发生的人员支出和公用支出。</w:t>
      </w:r>
    </w:p>
    <w:p>
      <w:pPr>
        <w:pStyle w:val="12"/>
        <w:keepNext w:val="0"/>
        <w:keepLines w:val="0"/>
        <w:pageBreakBefore w:val="0"/>
        <w:kinsoku/>
        <w:wordWrap/>
        <w:overflowPunct/>
        <w:topLinePunct w:val="0"/>
        <w:autoSpaceDE/>
        <w:autoSpaceDN/>
        <w:bidi w:val="0"/>
        <w:spacing w:line="576"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2"/>
          <w:sz w:val="32"/>
          <w:szCs w:val="32"/>
          <w:lang w:val="en-US" w:eastAsia="zh-CN" w:bidi="ar"/>
        </w:rPr>
        <w:t>1</w:t>
      </w:r>
      <w:r>
        <w:rPr>
          <w:rFonts w:hint="eastAsia" w:ascii="仿宋_GB2312" w:hAnsi="仿宋_GB2312" w:cs="仿宋_GB2312"/>
          <w:b/>
          <w:bCs/>
          <w:color w:val="000000"/>
          <w:kern w:val="2"/>
          <w:sz w:val="32"/>
          <w:szCs w:val="32"/>
          <w:lang w:val="en-US" w:eastAsia="zh-CN" w:bidi="ar"/>
        </w:rPr>
        <w:t>0</w:t>
      </w:r>
      <w:r>
        <w:rPr>
          <w:rFonts w:hint="eastAsia" w:ascii="仿宋_GB2312" w:hAnsi="仿宋_GB2312" w:eastAsia="仿宋_GB2312" w:cs="仿宋_GB2312"/>
          <w:b/>
          <w:bCs/>
          <w:color w:val="000000"/>
          <w:kern w:val="2"/>
          <w:sz w:val="32"/>
          <w:szCs w:val="32"/>
          <w:lang w:val="en-US" w:eastAsia="zh-CN" w:bidi="ar"/>
        </w:rPr>
        <w:t>.</w:t>
      </w:r>
      <w:r>
        <w:rPr>
          <w:rFonts w:hint="eastAsia" w:ascii="仿宋_GB2312" w:hAnsi="仿宋_GB2312" w:cs="仿宋_GB2312"/>
          <w:b/>
          <w:bCs/>
          <w:color w:val="000000"/>
          <w:kern w:val="2"/>
          <w:sz w:val="32"/>
          <w:szCs w:val="32"/>
          <w:lang w:val="en-US" w:eastAsia="zh-CN" w:bidi="ar"/>
        </w:rPr>
        <w:t>粮油物资储备支出</w:t>
      </w:r>
      <w:r>
        <w:rPr>
          <w:rFonts w:hint="eastAsia" w:ascii="仿宋_GB2312" w:hAnsi="仿宋_GB2312" w:eastAsia="仿宋_GB2312" w:cs="仿宋_GB2312"/>
          <w:b/>
          <w:bCs/>
          <w:color w:val="000000"/>
          <w:kern w:val="2"/>
          <w:sz w:val="32"/>
          <w:szCs w:val="32"/>
          <w:lang w:val="en-US" w:eastAsia="zh-CN" w:bidi="ar"/>
        </w:rPr>
        <w:t>（类）</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99</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eastAsia="仿宋_GB2312" w:cs="仿宋_GB2312"/>
          <w:b w:val="0"/>
          <w:bCs w:val="0"/>
          <w:color w:val="000000"/>
          <w:kern w:val="2"/>
          <w:sz w:val="32"/>
          <w:szCs w:val="32"/>
          <w:lang w:val="en-US" w:eastAsia="zh-CN" w:bidi="ar"/>
        </w:rPr>
        <w:t>其他</w:t>
      </w:r>
      <w:r>
        <w:rPr>
          <w:rFonts w:hint="eastAsia" w:ascii="仿宋_GB2312" w:hAnsi="仿宋_GB2312" w:cs="仿宋_GB2312"/>
          <w:b w:val="0"/>
          <w:bCs w:val="0"/>
          <w:color w:val="000000"/>
          <w:kern w:val="2"/>
          <w:sz w:val="32"/>
          <w:szCs w:val="32"/>
          <w:lang w:val="en-US" w:eastAsia="zh-CN" w:bidi="ar"/>
        </w:rPr>
        <w:t>粮油物资事务</w:t>
      </w:r>
      <w:r>
        <w:rPr>
          <w:rFonts w:hint="eastAsia" w:ascii="仿宋_GB2312" w:hAnsi="仿宋_GB2312" w:eastAsia="仿宋_GB2312" w:cs="仿宋_GB2312"/>
          <w:b w:val="0"/>
          <w:bCs w:val="0"/>
          <w:color w:val="000000"/>
          <w:kern w:val="2"/>
          <w:sz w:val="32"/>
          <w:szCs w:val="32"/>
          <w:lang w:val="en-US" w:eastAsia="zh-CN" w:bidi="ar"/>
        </w:rPr>
        <w:t>支出</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sz w:val="32"/>
          <w:szCs w:val="32"/>
          <w:lang w:val="en-US" w:eastAsia="zh-CN"/>
        </w:rPr>
        <w:t>指</w:t>
      </w:r>
      <w:r>
        <w:rPr>
          <w:rFonts w:hint="eastAsia" w:ascii="仿宋_GB2312" w:hAnsi="仿宋_GB2312" w:cs="仿宋_GB2312"/>
          <w:sz w:val="32"/>
          <w:szCs w:val="32"/>
          <w:lang w:val="en-US" w:eastAsia="zh-CN"/>
        </w:rPr>
        <w:t>地方性储备粮油物资事务监督管理工作</w:t>
      </w:r>
      <w:r>
        <w:rPr>
          <w:rFonts w:hint="eastAsia" w:ascii="仿宋_GB2312" w:hAnsi="仿宋_GB2312" w:eastAsia="仿宋_GB2312" w:cs="仿宋_GB2312"/>
          <w:sz w:val="32"/>
          <w:szCs w:val="32"/>
          <w:lang w:val="en-US" w:eastAsia="zh-CN"/>
        </w:rPr>
        <w:t>经</w:t>
      </w:r>
      <w:r>
        <w:rPr>
          <w:rFonts w:hint="eastAsia" w:ascii="仿宋_GB2312" w:hAnsi="仿宋_GB2312" w:cs="仿宋_GB2312"/>
          <w:sz w:val="32"/>
          <w:szCs w:val="32"/>
          <w:lang w:val="en-US" w:eastAsia="zh-CN"/>
        </w:rPr>
        <w:t>费</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w:t>
      </w:r>
      <w:r>
        <w:rPr>
          <w:rFonts w:hint="eastAsia" w:ascii="仿宋_GB2312" w:hAnsi="仿宋_GB2312" w:cs="仿宋_GB2312"/>
          <w:b/>
          <w:bCs/>
          <w:color w:val="000000"/>
          <w:kern w:val="2"/>
          <w:sz w:val="32"/>
          <w:szCs w:val="32"/>
          <w:lang w:val="en-US" w:eastAsia="zh-CN" w:bidi="ar"/>
        </w:rPr>
        <w:t>1</w:t>
      </w:r>
      <w:r>
        <w:rPr>
          <w:rFonts w:hint="eastAsia" w:ascii="仿宋_GB2312" w:hAnsi="仿宋_GB2312" w:eastAsia="仿宋_GB2312" w:cs="仿宋_GB2312"/>
          <w:b/>
          <w:bCs/>
          <w:color w:val="000000"/>
          <w:kern w:val="2"/>
          <w:sz w:val="32"/>
          <w:szCs w:val="32"/>
          <w:lang w:val="en-US" w:eastAsia="zh-CN" w:bidi="ar"/>
        </w:rPr>
        <w:t>.项目支出：</w:t>
      </w:r>
      <w:r>
        <w:rPr>
          <w:rFonts w:hint="eastAsia" w:ascii="仿宋_GB2312" w:hAnsi="仿宋_GB2312" w:eastAsia="仿宋_GB2312" w:cs="仿宋_GB2312"/>
          <w:sz w:val="32"/>
          <w:szCs w:val="32"/>
        </w:rPr>
        <w:t xml:space="preserve">指在基本支出之外为完成特定行政任务和事业发展目标所发生的支出。 </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w:t>
      </w:r>
      <w:r>
        <w:rPr>
          <w:rFonts w:hint="eastAsia" w:ascii="仿宋_GB2312" w:hAnsi="仿宋_GB2312" w:cs="仿宋_GB2312"/>
          <w:b/>
          <w:bCs/>
          <w:color w:val="000000"/>
          <w:kern w:val="2"/>
          <w:sz w:val="32"/>
          <w:szCs w:val="32"/>
          <w:lang w:val="en-US" w:eastAsia="zh-CN" w:bidi="ar"/>
        </w:rPr>
        <w:t>2</w:t>
      </w:r>
      <w:r>
        <w:rPr>
          <w:rFonts w:hint="eastAsia" w:ascii="仿宋_GB2312" w:hAnsi="仿宋_GB2312" w:eastAsia="仿宋_GB2312" w:cs="仿宋_GB2312"/>
          <w:b/>
          <w:bCs/>
          <w:color w:val="000000"/>
          <w:kern w:val="2"/>
          <w:sz w:val="32"/>
          <w:szCs w:val="32"/>
          <w:lang w:val="en-US" w:eastAsia="zh-CN" w:bidi="ar"/>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bidi w:val="0"/>
      </w:pPr>
      <w:bookmarkStart w:id="87" w:name="_Toc32667"/>
      <w:bookmarkStart w:id="88" w:name="_Toc7963"/>
      <w:bookmarkStart w:id="89" w:name="_Toc8267"/>
      <w:r>
        <w:rPr>
          <w:rFonts w:hint="eastAsia"/>
          <w:b/>
          <w:bCs/>
          <w:lang w:val="en-US" w:eastAsia="zh-CN"/>
        </w:rPr>
        <w:t>13.机关运行经费：</w:t>
      </w:r>
      <w:r>
        <w:rPr>
          <w:rFonts w:hint="eastAsi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bookmarkEnd w:id="87"/>
      <w:bookmarkEnd w:id="88"/>
      <w:bookmarkEnd w:id="89"/>
      <w:r>
        <w:rPr>
          <w:rFonts w:hint="eastAsia"/>
          <w:lang w:eastAsia="zh-CN"/>
        </w:rPr>
        <w:t>等</w:t>
      </w:r>
      <w:r>
        <w:rPr>
          <w:rFonts w:hint="eastAsia"/>
        </w:rPr>
        <w:t>其他费用。</w:t>
      </w:r>
    </w:p>
    <w:p>
      <w:pPr>
        <w:bidi w:val="0"/>
        <w:rPr>
          <w:rFonts w:hint="eastAsia"/>
        </w:rPr>
      </w:pPr>
      <w:bookmarkStart w:id="90" w:name="_Toc15396614"/>
      <w:bookmarkStart w:id="91" w:name="_Toc18900"/>
      <w:bookmarkStart w:id="92" w:name="_Toc15377226"/>
    </w:p>
    <w:p>
      <w:pPr>
        <w:pStyle w:val="6"/>
        <w:rPr>
          <w:rFonts w:hint="eastAsia"/>
        </w:rPr>
      </w:pPr>
    </w:p>
    <w:p>
      <w:pPr>
        <w:spacing w:line="600" w:lineRule="exact"/>
        <w:ind w:left="0" w:leftChars="0" w:firstLine="0" w:firstLineChars="0"/>
        <w:jc w:val="center"/>
        <w:outlineLvl w:val="0"/>
        <w:rPr>
          <w:rStyle w:val="20"/>
          <w:rFonts w:hint="eastAsia" w:ascii="黑体" w:hAnsi="黑体" w:eastAsia="黑体"/>
          <w:b w:val="0"/>
          <w:color w:val="auto"/>
          <w:highlight w:val="none"/>
          <w:lang w:eastAsia="zh-CN"/>
        </w:rPr>
      </w:pPr>
      <w:r>
        <w:rPr>
          <w:rStyle w:val="20"/>
          <w:rFonts w:hint="eastAsia"/>
        </w:rPr>
        <w:t>第四部分 附件</w:t>
      </w:r>
      <w:bookmarkEnd w:id="90"/>
      <w:bookmarkEnd w:id="91"/>
    </w:p>
    <w:p>
      <w:pPr>
        <w:widowControl/>
        <w:spacing w:line="580" w:lineRule="exact"/>
        <w:ind w:left="0" w:leftChars="0" w:firstLine="0" w:firstLineChars="0"/>
        <w:contextualSpacing/>
        <w:jc w:val="both"/>
        <w:rPr>
          <w:rFonts w:hint="eastAsia" w:ascii="宋体" w:hAnsi="宋体" w:eastAsia="宋体" w:cs="Times New Roman"/>
          <w:b/>
          <w:sz w:val="44"/>
          <w:szCs w:val="44"/>
          <w:shd w:val="clear" w:color="auto" w:fill="FFFFFF"/>
        </w:rPr>
      </w:pPr>
    </w:p>
    <w:p>
      <w:pPr>
        <w:widowControl/>
        <w:spacing w:line="580" w:lineRule="exact"/>
        <w:ind w:left="0" w:leftChars="0" w:firstLine="880" w:firstLineChars="200"/>
        <w:contextualSpacing/>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shd w:val="clear" w:color="auto" w:fill="FFFFFF"/>
        </w:rPr>
        <w:t>202</w:t>
      </w:r>
      <w:r>
        <w:rPr>
          <w:rFonts w:hint="eastAsia" w:ascii="方正小标宋简体" w:hAnsi="方正小标宋简体" w:eastAsia="方正小标宋简体" w:cs="方正小标宋简体"/>
          <w:b w:val="0"/>
          <w:bCs/>
          <w:sz w:val="44"/>
          <w:szCs w:val="44"/>
          <w:shd w:val="clear" w:color="auto" w:fill="FFFFFF"/>
          <w:lang w:val="en-US" w:eastAsia="zh-CN"/>
        </w:rPr>
        <w:t>2</w:t>
      </w:r>
      <w:r>
        <w:rPr>
          <w:rFonts w:hint="eastAsia" w:ascii="方正小标宋简体" w:hAnsi="方正小标宋简体" w:eastAsia="方正小标宋简体" w:cs="方正小标宋简体"/>
          <w:b w:val="0"/>
          <w:bCs/>
          <w:sz w:val="44"/>
          <w:szCs w:val="44"/>
          <w:shd w:val="clear" w:color="auto" w:fill="FFFFFF"/>
        </w:rPr>
        <w:t>年部门整体支出绩效自评报告</w:t>
      </w:r>
    </w:p>
    <w:p>
      <w:pPr>
        <w:widowControl/>
        <w:autoSpaceDE w:val="0"/>
        <w:adjustRightInd w:val="0"/>
        <w:snapToGrid w:val="0"/>
        <w:spacing w:line="500" w:lineRule="exact"/>
        <w:ind w:firstLine="640" w:firstLineChars="200"/>
        <w:contextualSpacing/>
        <w:jc w:val="center"/>
        <w:rPr>
          <w:rFonts w:hint="eastAsia" w:ascii="黑体" w:hAnsi="黑体" w:eastAsia="黑体" w:cs="黑体"/>
          <w:color w:val="000000"/>
          <w:kern w:val="0"/>
          <w:sz w:val="32"/>
          <w:szCs w:val="32"/>
          <w:shd w:val="clear" w:color="auto" w:fill="FFFFFF"/>
        </w:rPr>
      </w:pPr>
    </w:p>
    <w:p>
      <w:pPr>
        <w:pStyle w:val="3"/>
        <w:bidi w:val="0"/>
        <w:rPr>
          <w:rFonts w:hint="eastAsia"/>
        </w:rPr>
      </w:pPr>
      <w:bookmarkStart w:id="93" w:name="_Toc19837"/>
      <w:bookmarkStart w:id="94" w:name="_Toc29794"/>
      <w:bookmarkStart w:id="95" w:name="_Toc12657"/>
      <w:r>
        <w:rPr>
          <w:rFonts w:hint="eastAsia"/>
        </w:rPr>
        <w:t>一、部门概况</w:t>
      </w:r>
      <w:bookmarkEnd w:id="93"/>
      <w:bookmarkEnd w:id="94"/>
      <w:bookmarkEnd w:id="95"/>
    </w:p>
    <w:p>
      <w:pPr>
        <w:pStyle w:val="4"/>
        <w:bidi w:val="0"/>
        <w:ind w:left="0" w:leftChars="0" w:firstLine="640" w:firstLineChars="200"/>
        <w:rPr>
          <w:rFonts w:hint="eastAsia"/>
        </w:rPr>
      </w:pPr>
      <w:bookmarkStart w:id="96" w:name="_Toc12894"/>
      <w:bookmarkStart w:id="97" w:name="_Toc9015"/>
      <w:bookmarkStart w:id="98" w:name="_Toc7109"/>
      <w:r>
        <w:rPr>
          <w:rFonts w:hint="eastAsia"/>
        </w:rPr>
        <w:t>（一）机构组成</w:t>
      </w:r>
      <w:bookmarkEnd w:id="96"/>
      <w:bookmarkEnd w:id="97"/>
      <w:bookmarkEnd w:id="98"/>
    </w:p>
    <w:p>
      <w:pPr>
        <w:widowControl/>
        <w:autoSpaceDE w:val="0"/>
        <w:adjustRightInd w:val="0"/>
        <w:snapToGrid w:val="0"/>
        <w:spacing w:line="50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eastAsia="zh-CN"/>
        </w:rPr>
        <w:t>区发改局属财政一级预算单位，</w:t>
      </w:r>
      <w:r>
        <w:rPr>
          <w:rFonts w:hint="eastAsia" w:ascii="仿宋_GB2312" w:hAnsi="仿宋_GB2312" w:cs="仿宋_GB2312"/>
          <w:color w:val="000000"/>
          <w:kern w:val="0"/>
          <w:sz w:val="32"/>
          <w:szCs w:val="32"/>
          <w:shd w:val="clear" w:color="auto" w:fill="FFFFFF"/>
          <w:lang w:eastAsia="zh-CN"/>
        </w:rPr>
        <w:t>无</w:t>
      </w:r>
      <w:r>
        <w:rPr>
          <w:rFonts w:hint="eastAsia" w:ascii="仿宋_GB2312" w:hAnsi="仿宋_GB2312" w:eastAsia="仿宋_GB2312" w:cs="仿宋_GB2312"/>
          <w:color w:val="000000"/>
          <w:kern w:val="0"/>
          <w:sz w:val="32"/>
          <w:szCs w:val="32"/>
          <w:shd w:val="clear" w:color="auto" w:fill="FFFFFF"/>
          <w:lang w:eastAsia="zh-CN"/>
        </w:rPr>
        <w:t>下属二级单位</w:t>
      </w:r>
      <w:r>
        <w:rPr>
          <w:rFonts w:hint="eastAsia" w:ascii="仿宋_GB2312" w:hAnsi="仿宋_GB2312" w:cs="仿宋_GB2312"/>
          <w:color w:val="000000"/>
          <w:kern w:val="0"/>
          <w:sz w:val="32"/>
          <w:szCs w:val="32"/>
          <w:shd w:val="clear" w:color="auto" w:fill="FFFFFF"/>
          <w:lang w:eastAsia="zh-CN"/>
        </w:rPr>
        <w:t>。</w:t>
      </w:r>
    </w:p>
    <w:p>
      <w:pPr>
        <w:pStyle w:val="4"/>
        <w:numPr>
          <w:ilvl w:val="0"/>
          <w:numId w:val="2"/>
        </w:numPr>
        <w:bidi w:val="0"/>
        <w:rPr>
          <w:rFonts w:hint="eastAsia"/>
        </w:rPr>
      </w:pPr>
      <w:bookmarkStart w:id="99" w:name="_Toc2826"/>
      <w:bookmarkStart w:id="100" w:name="_Toc16572"/>
      <w:bookmarkStart w:id="101" w:name="_Toc15283"/>
      <w:r>
        <w:rPr>
          <w:rFonts w:hint="eastAsia"/>
        </w:rPr>
        <w:t>机构职能</w:t>
      </w:r>
      <w:bookmarkEnd w:id="99"/>
      <w:bookmarkEnd w:id="100"/>
      <w:bookmarkEnd w:id="101"/>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仿宋"/>
          <w:bCs/>
          <w:color w:val="auto"/>
          <w:sz w:val="32"/>
          <w:szCs w:val="32"/>
          <w:highlight w:val="none"/>
          <w:lang w:val="en-US" w:eastAsia="zh-CN"/>
        </w:rPr>
        <w:t>1.</w:t>
      </w:r>
      <w:r>
        <w:rPr>
          <w:rFonts w:hint="eastAsia" w:ascii="仿宋_GB2312" w:hAnsi="仿宋_GB2312" w:eastAsia="仿宋_GB2312" w:cs="仿宋_GB2312"/>
          <w:sz w:val="32"/>
          <w:szCs w:val="32"/>
        </w:rPr>
        <w:t>贯彻执行国家、省市国民经济和社会发展的战略、方针和政策，研究提出相应的对策措施；拟订并组织实施全区经济和社会发展战略、中长期规划和年度计划</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研究分析区内外经济形势和发展情况，进行宏观经济的预测、预警。</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研究全区经济体制改革和对外开放的综合性、全局性问题及对策，提出以改革开放促进发展的建议，协调发展与改革中的重大问题</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提出全区固定资产投资总规模、投资结构，编制年度投资计划；研究提出有关重大投资政策，规划重大项目和生产力布局。</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研究分析全区经济结构的状况，提出全区重要经济产业的发展战略和规划，推进产业结构战略性调整和升级。</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促进城乡区域协调发展。</w:t>
      </w:r>
    </w:p>
    <w:p>
      <w:pPr>
        <w:keepNext w:val="0"/>
        <w:keepLines w:val="0"/>
        <w:pageBreakBefore w:val="0"/>
        <w:kinsoku/>
        <w:wordWrap/>
        <w:overflowPunct/>
        <w:topLinePunct w:val="0"/>
        <w:autoSpaceDE/>
        <w:autoSpaceDN/>
        <w:bidi w:val="0"/>
        <w:spacing w:line="560" w:lineRule="exact"/>
        <w:ind w:right="0" w:firstLine="616" w:firstLineChars="200"/>
        <w:jc w:val="both"/>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rPr>
        <w:t>推进可持续发展，负责全区节能减排的综合协调工作。</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负责管理指导和协调</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全区</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招标投标工作。</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负责区内物资价格监测和行政事业性、涉企收费定价管理工作。</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负责全区粮食物资储备及安全管理工作。</w:t>
      </w:r>
      <w:r>
        <w:rPr>
          <w:rFonts w:hint="eastAsia" w:ascii="仿宋_GB2312" w:hAnsi="仿宋_GB2312" w:eastAsia="仿宋_GB2312" w:cs="仿宋_GB2312"/>
          <w:sz w:val="32"/>
          <w:szCs w:val="32"/>
        </w:rPr>
        <w:t xml:space="preserve"> </w:t>
      </w:r>
    </w:p>
    <w:p>
      <w:pPr>
        <w:pStyle w:val="4"/>
        <w:bidi w:val="0"/>
        <w:rPr>
          <w:rFonts w:hint="eastAsia"/>
        </w:rPr>
      </w:pPr>
      <w:bookmarkStart w:id="102" w:name="_Toc15386"/>
      <w:bookmarkStart w:id="103" w:name="_Toc29444"/>
      <w:bookmarkStart w:id="104" w:name="_Toc25233"/>
      <w:r>
        <w:rPr>
          <w:rFonts w:hint="eastAsia"/>
        </w:rPr>
        <w:t>（三）人员概况</w:t>
      </w:r>
      <w:bookmarkEnd w:id="102"/>
      <w:bookmarkEnd w:id="103"/>
      <w:bookmarkEnd w:id="104"/>
    </w:p>
    <w:p>
      <w:pPr>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区发改局属财政一级预算单位，</w:t>
      </w:r>
      <w:r>
        <w:rPr>
          <w:rFonts w:hint="eastAsia" w:ascii="仿宋_GB2312" w:hAnsi="仿宋_GB2312" w:cs="仿宋_GB2312"/>
          <w:sz w:val="32"/>
          <w:szCs w:val="32"/>
          <w:lang w:eastAsia="zh-CN"/>
        </w:rPr>
        <w:t>无</w:t>
      </w:r>
      <w:r>
        <w:rPr>
          <w:rFonts w:hint="eastAsia" w:ascii="仿宋_GB2312" w:hAnsi="仿宋_GB2312" w:eastAsia="仿宋_GB2312" w:cs="仿宋_GB2312"/>
          <w:sz w:val="32"/>
          <w:szCs w:val="32"/>
        </w:rPr>
        <w:t>下属二级预算单位，内设股室共</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个，总编制数3</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个，其中行政编制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个，事业编制2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个，工勤编制2个。在职人员总数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人，工勤人员3人。</w:t>
      </w:r>
    </w:p>
    <w:p>
      <w:pPr>
        <w:pStyle w:val="3"/>
        <w:bidi w:val="0"/>
        <w:rPr>
          <w:rFonts w:hint="eastAsia"/>
        </w:rPr>
      </w:pPr>
      <w:bookmarkStart w:id="105" w:name="_Toc25745"/>
      <w:bookmarkStart w:id="106" w:name="_Toc8561"/>
      <w:bookmarkStart w:id="107" w:name="_Toc20323"/>
      <w:r>
        <w:rPr>
          <w:rFonts w:hint="eastAsia"/>
        </w:rPr>
        <w:t>二、部门财政资金收支情况</w:t>
      </w:r>
      <w:bookmarkEnd w:id="105"/>
      <w:bookmarkEnd w:id="106"/>
      <w:bookmarkEnd w:id="107"/>
    </w:p>
    <w:p>
      <w:pPr>
        <w:pStyle w:val="4"/>
        <w:bidi w:val="0"/>
        <w:rPr>
          <w:rFonts w:hint="eastAsia"/>
          <w:lang w:eastAsia="zh-CN"/>
        </w:rPr>
      </w:pPr>
      <w:bookmarkStart w:id="108" w:name="_Toc3068"/>
      <w:bookmarkStart w:id="109" w:name="_Toc23306"/>
      <w:bookmarkStart w:id="110" w:name="_Toc25608"/>
      <w:r>
        <w:rPr>
          <w:rFonts w:hint="eastAsia"/>
        </w:rPr>
        <w:t>（一）部门财政资金收入情况</w:t>
      </w:r>
      <w:bookmarkEnd w:id="108"/>
      <w:bookmarkEnd w:id="109"/>
      <w:bookmarkEnd w:id="110"/>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楷体_GB2312" w:hAnsi="Times New Roman" w:eastAsia="楷体_GB2312" w:cs="Times New Roman"/>
          <w:color w:val="000000"/>
          <w:kern w:val="0"/>
          <w:sz w:val="32"/>
          <w:szCs w:val="32"/>
          <w:shd w:val="clear" w:color="auto" w:fill="FFFFFF"/>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年，本单位年初预算安排</w:t>
      </w:r>
      <w:r>
        <w:rPr>
          <w:rFonts w:hint="eastAsia" w:ascii="仿宋_GB2312" w:hAnsi="仿宋_GB2312" w:cs="仿宋_GB2312"/>
          <w:sz w:val="32"/>
          <w:szCs w:val="32"/>
          <w:lang w:val="en-US" w:eastAsia="zh-CN"/>
        </w:rPr>
        <w:t>446.29万</w:t>
      </w:r>
      <w:r>
        <w:rPr>
          <w:rFonts w:hint="eastAsia" w:ascii="仿宋_GB2312" w:hAnsi="仿宋_GB2312" w:eastAsia="仿宋_GB2312" w:cs="仿宋_GB2312"/>
          <w:sz w:val="32"/>
          <w:szCs w:val="32"/>
          <w:lang w:eastAsia="zh-CN"/>
        </w:rPr>
        <w:t>元</w:t>
      </w:r>
      <w:r>
        <w:rPr>
          <w:rFonts w:hint="eastAsia" w:ascii="仿宋_GB2312" w:hAnsi="仿宋_GB2312" w:cs="仿宋_GB2312"/>
          <w:sz w:val="32"/>
          <w:szCs w:val="32"/>
          <w:lang w:eastAsia="zh-CN"/>
        </w:rPr>
        <w:t>。年内</w:t>
      </w:r>
      <w:r>
        <w:rPr>
          <w:rFonts w:hint="eastAsia" w:ascii="仿宋_GB2312" w:hAnsi="仿宋_GB2312" w:eastAsia="仿宋_GB2312" w:cs="仿宋_GB2312"/>
          <w:sz w:val="32"/>
          <w:szCs w:val="32"/>
          <w:lang w:eastAsia="zh-CN"/>
        </w:rPr>
        <w:t>调整追加人员经费</w:t>
      </w:r>
      <w:r>
        <w:rPr>
          <w:rFonts w:hint="eastAsia" w:ascii="仿宋_GB2312" w:hAnsi="仿宋_GB2312" w:cs="仿宋_GB2312"/>
          <w:sz w:val="32"/>
          <w:szCs w:val="32"/>
          <w:lang w:val="en-US" w:eastAsia="zh-CN"/>
        </w:rPr>
        <w:t>55.56</w:t>
      </w:r>
      <w:r>
        <w:rPr>
          <w:rFonts w:hint="eastAsia" w:ascii="仿宋_GB2312" w:hAnsi="仿宋_GB2312" w:cs="仿宋_GB2312"/>
          <w:sz w:val="32"/>
          <w:szCs w:val="32"/>
          <w:lang w:eastAsia="zh-CN"/>
        </w:rPr>
        <w:t>万</w:t>
      </w:r>
      <w:r>
        <w:rPr>
          <w:rFonts w:hint="eastAsia" w:ascii="仿宋_GB2312" w:hAnsi="仿宋_GB2312" w:eastAsia="仿宋_GB2312" w:cs="仿宋_GB2312"/>
          <w:sz w:val="32"/>
          <w:szCs w:val="32"/>
          <w:lang w:val="en-US" w:eastAsia="zh-CN"/>
        </w:rPr>
        <w:t>元</w:t>
      </w:r>
      <w:r>
        <w:rPr>
          <w:rFonts w:hint="eastAsia" w:ascii="仿宋_GB2312" w:hAnsi="仿宋_GB2312" w:cs="仿宋_GB2312"/>
          <w:sz w:val="32"/>
          <w:szCs w:val="32"/>
          <w:lang w:val="en-US" w:eastAsia="zh-CN"/>
        </w:rPr>
        <w:t>、项目工作经费180.54万元。</w:t>
      </w:r>
      <w:r>
        <w:rPr>
          <w:rFonts w:hint="eastAsia" w:ascii="仿宋_GB2312" w:hAnsi="仿宋_GB2312" w:eastAsia="仿宋_GB2312" w:cs="仿宋_GB2312"/>
          <w:sz w:val="32"/>
          <w:szCs w:val="32"/>
          <w:lang w:val="en-US" w:eastAsia="zh-CN"/>
        </w:rPr>
        <w:t>全年共计预算收入</w:t>
      </w:r>
      <w:r>
        <w:rPr>
          <w:rFonts w:hint="eastAsia" w:ascii="仿宋_GB2312" w:hAnsi="仿宋_GB2312" w:cs="仿宋_GB2312"/>
          <w:sz w:val="32"/>
          <w:szCs w:val="32"/>
          <w:lang w:val="en-US" w:eastAsia="zh-CN"/>
        </w:rPr>
        <w:t>682.39万</w:t>
      </w:r>
      <w:r>
        <w:rPr>
          <w:rFonts w:hint="eastAsia" w:ascii="仿宋_GB2312" w:hAnsi="仿宋_GB2312" w:eastAsia="仿宋_GB2312" w:cs="仿宋_GB2312"/>
          <w:sz w:val="32"/>
          <w:szCs w:val="32"/>
        </w:rPr>
        <w:t>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比上年</w:t>
      </w:r>
      <w:r>
        <w:rPr>
          <w:rFonts w:hint="eastAsia" w:ascii="仿宋_GB2312" w:hAnsi="仿宋_GB2312" w:cs="仿宋_GB2312"/>
          <w:sz w:val="32"/>
          <w:szCs w:val="32"/>
          <w:lang w:val="en-US" w:eastAsia="zh-CN"/>
        </w:rPr>
        <w:t>494.5万</w:t>
      </w:r>
      <w:r>
        <w:rPr>
          <w:rFonts w:hint="eastAsia" w:ascii="仿宋_GB2312" w:hAnsi="仿宋_GB2312" w:eastAsia="仿宋_GB2312" w:cs="仿宋_GB2312"/>
          <w:sz w:val="32"/>
          <w:szCs w:val="32"/>
        </w:rPr>
        <w:t>元，</w:t>
      </w:r>
      <w:r>
        <w:rPr>
          <w:rFonts w:hint="eastAsia" w:ascii="仿宋_GB2312" w:hAnsi="仿宋_GB2312" w:cs="仿宋_GB2312"/>
          <w:sz w:val="32"/>
          <w:szCs w:val="32"/>
          <w:lang w:eastAsia="zh-CN"/>
        </w:rPr>
        <w:t>增加</w:t>
      </w:r>
      <w:r>
        <w:rPr>
          <w:rFonts w:hint="eastAsia" w:ascii="仿宋_GB2312" w:hAnsi="仿宋_GB2312" w:cs="仿宋_GB2312"/>
          <w:sz w:val="32"/>
          <w:szCs w:val="32"/>
          <w:lang w:val="en-US" w:eastAsia="zh-CN"/>
        </w:rPr>
        <w:t>187.89</w:t>
      </w:r>
      <w:r>
        <w:rPr>
          <w:rFonts w:hint="eastAsia" w:ascii="仿宋_GB2312" w:hAnsi="仿宋_GB2312" w:eastAsia="仿宋_GB2312" w:cs="仿宋_GB2312"/>
          <w:sz w:val="32"/>
          <w:szCs w:val="32"/>
        </w:rPr>
        <w:t>元，</w:t>
      </w:r>
      <w:r>
        <w:rPr>
          <w:rFonts w:hint="eastAsia" w:ascii="仿宋_GB2312" w:hAnsi="仿宋_GB2312" w:cs="仿宋_GB2312"/>
          <w:sz w:val="32"/>
          <w:szCs w:val="32"/>
          <w:lang w:eastAsia="zh-CN"/>
        </w:rPr>
        <w:t>增加</w:t>
      </w:r>
      <w:r>
        <w:rPr>
          <w:rFonts w:hint="eastAsia" w:ascii="仿宋_GB2312" w:hAnsi="仿宋_GB2312" w:cs="仿宋_GB2312"/>
          <w:sz w:val="32"/>
          <w:szCs w:val="32"/>
          <w:lang w:val="en-US" w:eastAsia="zh-CN"/>
        </w:rPr>
        <w:t>38</w:t>
      </w:r>
      <w:r>
        <w:rPr>
          <w:rFonts w:hint="eastAsia" w:ascii="仿宋_GB2312" w:hAnsi="仿宋_GB2312" w:eastAsia="仿宋_GB2312" w:cs="仿宋_GB2312"/>
          <w:sz w:val="32"/>
          <w:szCs w:val="32"/>
        </w:rPr>
        <w:t>%。</w:t>
      </w:r>
    </w:p>
    <w:p>
      <w:pPr>
        <w:pStyle w:val="4"/>
        <w:bidi w:val="0"/>
        <w:rPr>
          <w:rFonts w:hint="eastAsia"/>
        </w:rPr>
      </w:pPr>
      <w:bookmarkStart w:id="111" w:name="_Toc31931"/>
      <w:bookmarkStart w:id="112" w:name="_Toc24947"/>
      <w:bookmarkStart w:id="113" w:name="_Toc21018"/>
      <w:r>
        <w:rPr>
          <w:rFonts w:hint="eastAsia"/>
          <w:lang w:eastAsia="zh-CN"/>
        </w:rPr>
        <w:t>（二）</w:t>
      </w:r>
      <w:r>
        <w:rPr>
          <w:rFonts w:hint="eastAsia"/>
        </w:rPr>
        <w:t>部门财政资金支出情况</w:t>
      </w:r>
      <w:bookmarkEnd w:id="111"/>
      <w:bookmarkEnd w:id="112"/>
      <w:bookmarkEnd w:id="113"/>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年预算支出</w:t>
      </w:r>
      <w:r>
        <w:rPr>
          <w:rFonts w:hint="eastAsia" w:ascii="仿宋_GB2312" w:hAnsi="仿宋_GB2312" w:cs="仿宋_GB2312"/>
          <w:sz w:val="32"/>
          <w:szCs w:val="32"/>
          <w:lang w:val="en-US" w:eastAsia="zh-CN"/>
        </w:rPr>
        <w:t>682.39</w:t>
      </w:r>
      <w:r>
        <w:rPr>
          <w:rFonts w:hint="eastAsia" w:ascii="仿宋_GB2312" w:hAnsi="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其中：基本拨款支出</w:t>
      </w:r>
      <w:r>
        <w:rPr>
          <w:rFonts w:hint="eastAsia" w:ascii="仿宋_GB2312" w:hAnsi="仿宋_GB2312" w:cs="仿宋_GB2312"/>
          <w:sz w:val="32"/>
          <w:szCs w:val="32"/>
          <w:lang w:val="en-US" w:eastAsia="zh-CN"/>
        </w:rPr>
        <w:t>461.85</w:t>
      </w:r>
      <w:r>
        <w:rPr>
          <w:rFonts w:hint="eastAsia" w:ascii="仿宋_GB2312" w:hAnsi="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比上年</w:t>
      </w:r>
      <w:r>
        <w:rPr>
          <w:rFonts w:hint="eastAsia" w:ascii="仿宋_GB2312" w:hAnsi="仿宋_GB2312" w:cs="仿宋_GB2312"/>
          <w:sz w:val="32"/>
          <w:szCs w:val="32"/>
          <w:lang w:eastAsia="zh-CN"/>
        </w:rPr>
        <w:t>增加</w:t>
      </w:r>
      <w:r>
        <w:rPr>
          <w:rFonts w:hint="eastAsia" w:ascii="仿宋_GB2312" w:hAnsi="仿宋_GB2312" w:cs="仿宋_GB2312"/>
          <w:sz w:val="32"/>
          <w:szCs w:val="32"/>
          <w:lang w:val="en-US" w:eastAsia="zh-CN"/>
        </w:rPr>
        <w:t>47.2万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增加</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%、项目拨款支出</w:t>
      </w:r>
      <w:r>
        <w:rPr>
          <w:rFonts w:hint="eastAsia" w:ascii="仿宋_GB2312" w:hAnsi="仿宋_GB2312" w:cs="仿宋_GB2312"/>
          <w:sz w:val="32"/>
          <w:szCs w:val="32"/>
          <w:lang w:val="en-US" w:eastAsia="zh-CN"/>
        </w:rPr>
        <w:t>220.54</w:t>
      </w:r>
      <w:r>
        <w:rPr>
          <w:rFonts w:hint="eastAsia" w:ascii="仿宋_GB2312" w:hAnsi="仿宋_GB2312" w:cs="仿宋_GB2312"/>
          <w:sz w:val="32"/>
          <w:szCs w:val="32"/>
          <w:lang w:eastAsia="zh-CN"/>
        </w:rPr>
        <w:t>万</w:t>
      </w:r>
      <w:r>
        <w:rPr>
          <w:rFonts w:hint="eastAsia" w:ascii="仿宋_GB2312" w:hAnsi="仿宋_GB2312" w:eastAsia="仿宋_GB2312" w:cs="仿宋_GB2312"/>
          <w:sz w:val="32"/>
          <w:szCs w:val="32"/>
        </w:rPr>
        <w:t>元。比上年</w:t>
      </w:r>
      <w:r>
        <w:rPr>
          <w:rFonts w:hint="eastAsia" w:ascii="仿宋_GB2312" w:hAnsi="仿宋_GB2312" w:cs="仿宋_GB2312"/>
          <w:sz w:val="32"/>
          <w:szCs w:val="32"/>
          <w:lang w:eastAsia="zh-CN"/>
        </w:rPr>
        <w:t>增加</w:t>
      </w:r>
      <w:r>
        <w:rPr>
          <w:rFonts w:hint="eastAsia" w:ascii="仿宋_GB2312" w:hAnsi="仿宋_GB2312" w:cs="仿宋_GB2312"/>
          <w:sz w:val="32"/>
          <w:szCs w:val="32"/>
          <w:lang w:val="en-US" w:eastAsia="zh-CN"/>
        </w:rPr>
        <w:t>140.7万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增加</w:t>
      </w:r>
      <w:r>
        <w:rPr>
          <w:rFonts w:hint="eastAsia" w:ascii="仿宋_GB2312" w:hAnsi="仿宋_GB2312" w:cs="仿宋_GB2312"/>
          <w:sz w:val="32"/>
          <w:szCs w:val="32"/>
          <w:lang w:val="en-US" w:eastAsia="zh-CN"/>
        </w:rPr>
        <w:t>176</w:t>
      </w:r>
      <w:r>
        <w:rPr>
          <w:rFonts w:hint="eastAsia" w:ascii="仿宋_GB2312" w:hAnsi="仿宋_GB2312" w:eastAsia="仿宋_GB2312" w:cs="仿宋_GB2312"/>
          <w:sz w:val="32"/>
          <w:szCs w:val="32"/>
        </w:rPr>
        <w:t>%。比</w:t>
      </w:r>
      <w:r>
        <w:rPr>
          <w:rFonts w:hint="eastAsia" w:ascii="仿宋_GB2312" w:hAnsi="仿宋_GB2312" w:cs="仿宋_GB2312"/>
          <w:sz w:val="32"/>
          <w:szCs w:val="32"/>
          <w:lang w:eastAsia="zh-CN"/>
        </w:rPr>
        <w:t>上</w:t>
      </w:r>
      <w:r>
        <w:rPr>
          <w:rFonts w:hint="eastAsia" w:ascii="仿宋_GB2312" w:hAnsi="仿宋_GB2312" w:eastAsia="仿宋_GB2312" w:cs="仿宋_GB2312"/>
          <w:sz w:val="32"/>
          <w:szCs w:val="32"/>
        </w:rPr>
        <w:t>年</w:t>
      </w:r>
      <w:r>
        <w:rPr>
          <w:rFonts w:hint="eastAsia" w:ascii="仿宋_GB2312" w:hAnsi="仿宋_GB2312" w:cs="仿宋_GB2312"/>
          <w:sz w:val="32"/>
          <w:szCs w:val="32"/>
          <w:lang w:eastAsia="zh-CN"/>
        </w:rPr>
        <w:t>增加</w:t>
      </w:r>
      <w:r>
        <w:rPr>
          <w:rFonts w:hint="eastAsia" w:ascii="仿宋_GB2312" w:hAnsi="仿宋_GB2312" w:eastAsia="仿宋_GB2312" w:cs="仿宋_GB2312"/>
          <w:sz w:val="32"/>
          <w:szCs w:val="32"/>
        </w:rPr>
        <w:t>的主要原因是年内</w:t>
      </w:r>
      <w:r>
        <w:rPr>
          <w:rFonts w:hint="eastAsia" w:ascii="仿宋_GB2312" w:hAnsi="仿宋_GB2312" w:cs="仿宋_GB2312"/>
          <w:sz w:val="32"/>
          <w:szCs w:val="32"/>
          <w:lang w:eastAsia="zh-CN"/>
        </w:rPr>
        <w:t>人员经费及</w:t>
      </w:r>
      <w:r>
        <w:rPr>
          <w:rFonts w:hint="eastAsia" w:ascii="仿宋_GB2312" w:hAnsi="仿宋_GB2312" w:eastAsia="仿宋_GB2312" w:cs="仿宋_GB2312"/>
          <w:sz w:val="32"/>
          <w:szCs w:val="32"/>
        </w:rPr>
        <w:t>项目</w:t>
      </w:r>
      <w:r>
        <w:rPr>
          <w:rFonts w:hint="eastAsia" w:ascii="仿宋_GB2312" w:hAnsi="仿宋_GB2312" w:cs="仿宋_GB2312"/>
          <w:sz w:val="32"/>
          <w:szCs w:val="32"/>
          <w:lang w:eastAsia="zh-CN"/>
        </w:rPr>
        <w:t>经费增加</w:t>
      </w:r>
      <w:r>
        <w:rPr>
          <w:rFonts w:hint="eastAsia" w:ascii="仿宋_GB2312" w:hAnsi="仿宋_GB2312" w:eastAsia="仿宋_GB2312" w:cs="仿宋_GB2312"/>
          <w:sz w:val="32"/>
          <w:szCs w:val="32"/>
        </w:rPr>
        <w:t>。</w:t>
      </w:r>
    </w:p>
    <w:p>
      <w:pPr>
        <w:pStyle w:val="3"/>
        <w:bidi w:val="0"/>
        <w:rPr>
          <w:rFonts w:hint="eastAsia"/>
        </w:rPr>
      </w:pPr>
      <w:bookmarkStart w:id="114" w:name="_Toc30961"/>
      <w:bookmarkStart w:id="115" w:name="_Toc18984"/>
      <w:bookmarkStart w:id="116" w:name="_Toc4402"/>
      <w:r>
        <w:rPr>
          <w:rFonts w:hint="eastAsia"/>
        </w:rPr>
        <w:t>三、部门整体预算绩效管理情况</w:t>
      </w:r>
      <w:bookmarkEnd w:id="114"/>
      <w:bookmarkEnd w:id="115"/>
      <w:bookmarkEnd w:id="116"/>
    </w:p>
    <w:p>
      <w:pPr>
        <w:pStyle w:val="4"/>
        <w:bidi w:val="0"/>
        <w:ind w:left="0" w:leftChars="0" w:firstLine="640" w:firstLineChars="200"/>
        <w:rPr>
          <w:rFonts w:hint="eastAsia"/>
        </w:rPr>
      </w:pPr>
      <w:bookmarkStart w:id="117" w:name="_Toc30629"/>
      <w:bookmarkStart w:id="118" w:name="_Toc2321"/>
      <w:bookmarkStart w:id="119" w:name="_Toc14731"/>
      <w:r>
        <w:rPr>
          <w:rFonts w:hint="eastAsia"/>
        </w:rPr>
        <w:t>（一）部门预算项目绩效管理</w:t>
      </w:r>
      <w:bookmarkEnd w:id="117"/>
      <w:bookmarkEnd w:id="118"/>
      <w:bookmarkEnd w:id="119"/>
    </w:p>
    <w:p>
      <w:pPr>
        <w:bidi w:val="0"/>
        <w:rPr>
          <w:rFonts w:hint="eastAsia"/>
        </w:rPr>
      </w:pPr>
      <w:r>
        <w:rPr>
          <w:rFonts w:hint="eastAsia"/>
          <w:lang w:val="en-US" w:eastAsia="zh-CN"/>
        </w:rPr>
        <w:t>1.</w:t>
      </w:r>
      <w:r>
        <w:rPr>
          <w:rFonts w:hint="eastAsia"/>
          <w:lang w:eastAsia="zh-CN"/>
        </w:rPr>
        <w:t>进一步</w:t>
      </w:r>
      <w:r>
        <w:rPr>
          <w:rFonts w:hint="eastAsia"/>
        </w:rPr>
        <w:t>健全项目绩效评价管理</w:t>
      </w:r>
      <w:r>
        <w:rPr>
          <w:rFonts w:hint="eastAsia"/>
          <w:lang w:eastAsia="zh-CN"/>
        </w:rPr>
        <w:t>工作制度及管理办法</w:t>
      </w:r>
      <w:r>
        <w:rPr>
          <w:rFonts w:hint="eastAsia"/>
        </w:rPr>
        <w:t>。</w:t>
      </w:r>
      <w:r>
        <w:rPr>
          <w:rFonts w:hint="eastAsia"/>
          <w:lang w:eastAsia="zh-CN"/>
        </w:rPr>
        <w:t>健全绩效评价管理干部队伍、项目绩效评价体系、</w:t>
      </w:r>
      <w:r>
        <w:rPr>
          <w:rFonts w:hint="eastAsia"/>
        </w:rPr>
        <w:t>项目绩效目标编报质量</w:t>
      </w:r>
      <w:r>
        <w:rPr>
          <w:rFonts w:hint="eastAsia"/>
          <w:lang w:eastAsia="zh-CN"/>
        </w:rPr>
        <w:t>。进一步</w:t>
      </w:r>
      <w:r>
        <w:rPr>
          <w:rFonts w:hint="eastAsia"/>
        </w:rPr>
        <w:t>完善重大项目支出绩效评价机制，加强项目绩效信息公开。全面开展项目绩效目标执行监控，确保绩效自评结果客观、准确。</w:t>
      </w:r>
    </w:p>
    <w:p>
      <w:pPr>
        <w:bidi w:val="0"/>
        <w:rPr>
          <w:rFonts w:hint="eastAsia"/>
        </w:rPr>
      </w:pPr>
      <w:r>
        <w:rPr>
          <w:rFonts w:hint="eastAsia"/>
          <w:lang w:val="en-US" w:eastAsia="zh-CN"/>
        </w:rPr>
        <w:t>2.</w:t>
      </w:r>
      <w:r>
        <w:rPr>
          <w:rFonts w:hint="eastAsia"/>
          <w:lang w:eastAsia="zh-CN"/>
        </w:rPr>
        <w:t>严格按照人员类、特定目标类项目高质量编制年初预算、绩效目标、目标实现管理制度。在绩效管理过程中，严格监控管理，始终将资金使用与绩效目标完成、目标实现相结合，当资金使用与绩效目标完成出现偏差时给予了及时分析、处置，确保了年度内项目执行进度与预算完成有效衔接，大大提高资金使用效率，杜绝年内项目资金大量结余、项目低效和资金使用违规等行为发生，确保了项目绩效目标的全面完成。</w:t>
      </w:r>
    </w:p>
    <w:p>
      <w:pPr>
        <w:pStyle w:val="4"/>
        <w:numPr>
          <w:ilvl w:val="0"/>
          <w:numId w:val="0"/>
        </w:numPr>
        <w:bidi w:val="0"/>
        <w:ind w:firstLine="320" w:firstLineChars="100"/>
        <w:rPr>
          <w:rFonts w:hint="eastAsia"/>
        </w:rPr>
      </w:pPr>
      <w:bookmarkStart w:id="120" w:name="_Toc23081"/>
      <w:bookmarkStart w:id="121" w:name="_Toc23222"/>
      <w:bookmarkStart w:id="122" w:name="_Toc13904"/>
      <w:r>
        <w:rPr>
          <w:rFonts w:hint="eastAsia"/>
          <w:lang w:eastAsia="zh-CN"/>
        </w:rPr>
        <w:t>（二）综合管理情况</w:t>
      </w:r>
      <w:bookmarkEnd w:id="120"/>
      <w:bookmarkEnd w:id="121"/>
      <w:bookmarkEnd w:id="122"/>
    </w:p>
    <w:p>
      <w:pPr>
        <w:bidi w:val="0"/>
        <w:rPr>
          <w:rFonts w:hint="eastAsia"/>
        </w:rPr>
      </w:pPr>
      <w:r>
        <w:rPr>
          <w:rFonts w:hint="eastAsia"/>
          <w:lang w:val="en-US" w:eastAsia="zh-CN"/>
        </w:rPr>
        <w:t>1.</w:t>
      </w:r>
      <w:r>
        <w:rPr>
          <w:rFonts w:hint="eastAsia"/>
        </w:rPr>
        <w:t>一是进一步建立健全本单位资产管理的相关制度，完善资产管理信息系统，确保系统信息与账面、实物相符；二是按季度对单位固定资产的种类和数量进行清理核实，及时核销和更新资产台账；三是按月对固定资产进行计提折旧和摊销；四是按月向资产管理部门上报资产清查报表，切实提升资产管理的质量和水平。</w:t>
      </w:r>
    </w:p>
    <w:p>
      <w:pPr>
        <w:bidi w:val="0"/>
        <w:rPr>
          <w:rFonts w:hint="eastAsia"/>
        </w:rPr>
      </w:pPr>
      <w:r>
        <w:rPr>
          <w:rFonts w:hint="eastAsia"/>
          <w:lang w:val="en-US" w:eastAsia="zh-CN"/>
        </w:rPr>
        <w:t>2.</w:t>
      </w:r>
      <w:r>
        <w:rPr>
          <w:rFonts w:hint="eastAsia"/>
        </w:rPr>
        <w:t>建立健全部门内部控制制度，加强财务管理，强化财务监督，增强法纪观念，遵守规章制度，保证了财务管理有法可依、有章可循，财务工作质量水平大幅提升。</w:t>
      </w:r>
    </w:p>
    <w:p>
      <w:pPr>
        <w:bidi w:val="0"/>
        <w:rPr>
          <w:rFonts w:hint="eastAsia"/>
        </w:rPr>
      </w:pPr>
      <w:r>
        <w:rPr>
          <w:rFonts w:hint="eastAsia"/>
          <w:lang w:val="en-US" w:eastAsia="zh-CN"/>
        </w:rPr>
        <w:t>3.</w:t>
      </w:r>
      <w:r>
        <w:rPr>
          <w:rFonts w:hint="eastAsia"/>
        </w:rPr>
        <w:t>按照上级及业务主管部门的统一要求，及时在政府网站上公开预决算及绩效信息情况。</w:t>
      </w:r>
    </w:p>
    <w:p>
      <w:pPr>
        <w:bidi w:val="0"/>
        <w:rPr>
          <w:rFonts w:hint="eastAsia"/>
        </w:rPr>
      </w:pPr>
      <w:r>
        <w:rPr>
          <w:rFonts w:hint="eastAsia"/>
        </w:rPr>
        <w:t>4.积极开展部门整体支出绩效评价工作，</w:t>
      </w:r>
      <w:r>
        <w:rPr>
          <w:rFonts w:hint="eastAsia"/>
          <w:lang w:eastAsia="zh-CN"/>
        </w:rPr>
        <w:t>对财政部门针对评价结果所反馈</w:t>
      </w:r>
      <w:r>
        <w:rPr>
          <w:rFonts w:hint="eastAsia"/>
        </w:rPr>
        <w:t>的问题进行</w:t>
      </w:r>
      <w:r>
        <w:rPr>
          <w:rFonts w:hint="eastAsia"/>
          <w:lang w:eastAsia="zh-CN"/>
        </w:rPr>
        <w:t>了</w:t>
      </w:r>
      <w:r>
        <w:rPr>
          <w:rFonts w:hint="eastAsia"/>
        </w:rPr>
        <w:t>及时整改</w:t>
      </w:r>
      <w:r>
        <w:rPr>
          <w:rFonts w:hint="eastAsia"/>
          <w:lang w:eastAsia="zh-CN"/>
        </w:rPr>
        <w:t>上报</w:t>
      </w:r>
      <w:r>
        <w:rPr>
          <w:rFonts w:hint="eastAsia"/>
        </w:rPr>
        <w:t>。</w:t>
      </w:r>
    </w:p>
    <w:p>
      <w:pPr>
        <w:pStyle w:val="3"/>
        <w:bidi w:val="0"/>
        <w:rPr>
          <w:rFonts w:hint="eastAsia"/>
        </w:rPr>
      </w:pPr>
      <w:bookmarkStart w:id="123" w:name="_Toc28376"/>
      <w:bookmarkStart w:id="124" w:name="_Toc10868"/>
      <w:bookmarkStart w:id="125" w:name="_Toc19509"/>
      <w:r>
        <w:rPr>
          <w:rFonts w:hint="eastAsia"/>
        </w:rPr>
        <w:t>四、自评结论及建议</w:t>
      </w:r>
      <w:bookmarkEnd w:id="123"/>
      <w:bookmarkEnd w:id="124"/>
      <w:bookmarkEnd w:id="125"/>
    </w:p>
    <w:p>
      <w:pPr>
        <w:pStyle w:val="4"/>
        <w:bidi w:val="0"/>
        <w:rPr>
          <w:rFonts w:hint="eastAsia"/>
          <w:lang w:eastAsia="zh-CN"/>
        </w:rPr>
      </w:pPr>
      <w:bookmarkStart w:id="126" w:name="_Toc23578"/>
      <w:bookmarkStart w:id="127" w:name="_Toc15021"/>
      <w:bookmarkStart w:id="128" w:name="_Toc22456"/>
      <w:r>
        <w:rPr>
          <w:rFonts w:hint="eastAsia"/>
          <w:lang w:eastAsia="zh-CN"/>
        </w:rPr>
        <w:t>（一）自评结论</w:t>
      </w:r>
      <w:bookmarkEnd w:id="126"/>
      <w:bookmarkEnd w:id="127"/>
      <w:bookmarkEnd w:id="128"/>
    </w:p>
    <w:p>
      <w:pPr>
        <w:spacing w:line="600" w:lineRule="exact"/>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本次自评得分</w:t>
      </w:r>
      <w:r>
        <w:rPr>
          <w:rFonts w:hint="eastAsia" w:ascii="仿宋_GB2312" w:hAnsi="仿宋_GB2312" w:eastAsia="仿宋_GB2312" w:cs="仿宋_GB2312"/>
          <w:b w:val="0"/>
          <w:bCs/>
          <w:sz w:val="32"/>
          <w:szCs w:val="32"/>
          <w:lang w:val="en-US" w:eastAsia="zh-CN"/>
        </w:rPr>
        <w:t>98分，等次为优秀。</w:t>
      </w:r>
    </w:p>
    <w:p>
      <w:pPr>
        <w:pStyle w:val="4"/>
        <w:bidi w:val="0"/>
        <w:rPr>
          <w:rFonts w:hint="eastAsia"/>
        </w:rPr>
      </w:pPr>
      <w:bookmarkStart w:id="129" w:name="_Toc17646"/>
      <w:bookmarkStart w:id="130" w:name="_Toc29858"/>
      <w:bookmarkStart w:id="131" w:name="_Toc5169"/>
      <w:r>
        <w:rPr>
          <w:rFonts w:hint="eastAsia"/>
        </w:rPr>
        <w:t>（</w:t>
      </w:r>
      <w:r>
        <w:rPr>
          <w:rFonts w:hint="eastAsia"/>
          <w:lang w:eastAsia="zh-CN"/>
        </w:rPr>
        <w:t>二</w:t>
      </w:r>
      <w:r>
        <w:rPr>
          <w:rFonts w:hint="eastAsia"/>
        </w:rPr>
        <w:t>）</w:t>
      </w:r>
      <w:r>
        <w:rPr>
          <w:rFonts w:hint="eastAsia"/>
          <w:lang w:eastAsia="zh-CN"/>
        </w:rPr>
        <w:t>存在的</w:t>
      </w:r>
      <w:r>
        <w:rPr>
          <w:rFonts w:hint="eastAsia"/>
        </w:rPr>
        <w:t>主要问题</w:t>
      </w:r>
      <w:bookmarkEnd w:id="129"/>
      <w:bookmarkEnd w:id="130"/>
      <w:bookmarkEnd w:id="131"/>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1.重视程度有待加强，绩效目标设定不够精细合理；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2.绩效评价思想上存在误区，绩效评价方式比较单一，形式和内容不够全面；</w:t>
      </w:r>
    </w:p>
    <w:p>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3.项目支出绩效目标设置不够精细，指标数量不够明晰，结构不太合理。</w:t>
      </w:r>
    </w:p>
    <w:p>
      <w:pPr>
        <w:pStyle w:val="4"/>
        <w:bidi w:val="0"/>
        <w:ind w:firstLine="1440"/>
        <w:rPr>
          <w:rFonts w:hint="eastAsia" w:ascii="Times New Roman" w:hAnsi="Times New Roman"/>
          <w:b w:val="0"/>
        </w:rPr>
      </w:pPr>
      <w:bookmarkStart w:id="132" w:name="_Toc3980"/>
      <w:bookmarkStart w:id="133" w:name="_Toc23437"/>
      <w:bookmarkStart w:id="134" w:name="_Toc28668"/>
      <w:r>
        <w:rPr>
          <w:rFonts w:hint="eastAsia" w:ascii="Times New Roman" w:hAnsi="Times New Roman"/>
          <w:b w:val="0"/>
        </w:rPr>
        <w:t>（</w:t>
      </w:r>
      <w:r>
        <w:rPr>
          <w:rFonts w:hint="eastAsia" w:ascii="Times New Roman" w:hAnsi="Times New Roman"/>
          <w:b w:val="0"/>
          <w:lang w:eastAsia="zh-CN"/>
        </w:rPr>
        <w:t>三</w:t>
      </w:r>
      <w:r>
        <w:rPr>
          <w:rFonts w:hint="eastAsia" w:ascii="Times New Roman" w:hAnsi="Times New Roman"/>
          <w:b w:val="0"/>
        </w:rPr>
        <w:t>）改进的方向和具体措施</w:t>
      </w:r>
      <w:bookmarkEnd w:id="132"/>
      <w:bookmarkEnd w:id="133"/>
      <w:bookmarkEnd w:id="134"/>
    </w:p>
    <w:p>
      <w:pPr>
        <w:bidi w:val="0"/>
        <w:rPr>
          <w:rFonts w:hint="eastAsia"/>
        </w:rPr>
      </w:pPr>
      <w:r>
        <w:rPr>
          <w:rFonts w:hint="eastAsia"/>
        </w:rPr>
        <w:t>1.进一步树立正确的绩效评价观，加强绩效评价工作中的预算编制、预算管理和预算执行等基础工作建设；</w:t>
      </w:r>
    </w:p>
    <w:p>
      <w:pPr>
        <w:bidi w:val="0"/>
        <w:rPr>
          <w:rFonts w:hint="eastAsia"/>
        </w:rPr>
      </w:pPr>
      <w:r>
        <w:rPr>
          <w:rFonts w:hint="eastAsia"/>
        </w:rPr>
        <w:t>2.进一步加强财务管理，建立健全财务管理制度及体系，规范财务行为，强化绩效目标完成与预算执行相互衔接、相互促进，确保绩效目标全面完成；</w:t>
      </w:r>
    </w:p>
    <w:p>
      <w:pPr>
        <w:bidi w:val="0"/>
        <w:rPr>
          <w:rFonts w:hint="eastAsia"/>
        </w:rPr>
      </w:pPr>
      <w:r>
        <w:rPr>
          <w:rFonts w:hint="eastAsia"/>
          <w:lang w:val="en-US" w:eastAsia="zh-CN"/>
        </w:rPr>
        <w:t>3.</w:t>
      </w:r>
      <w:r>
        <w:rPr>
          <w:rFonts w:hint="eastAsia"/>
        </w:rPr>
        <w:t>加强业务培训学习，提升业务技能水平，切实提高预算编制、绩效目标设置的质量和水平。</w:t>
      </w:r>
    </w:p>
    <w:p>
      <w:pPr>
        <w:bidi w:val="0"/>
        <w:rPr>
          <w:rFonts w:hint="eastAsia"/>
        </w:rPr>
      </w:pPr>
      <w:r>
        <w:rPr>
          <w:rFonts w:hint="eastAsia"/>
        </w:rPr>
        <w:t>4.改进绩效评价工作方法。一是加强预算编制与目标设置的一致性；二是加强预算执行与绩效目标完成的一致性；三是构建合理、适当、可操作的评价体系；四是对绩效评价的结果充分</w:t>
      </w:r>
      <w:r>
        <w:rPr>
          <w:rFonts w:hint="eastAsia"/>
          <w:lang w:eastAsia="zh-CN"/>
        </w:rPr>
        <w:t>利用，为进一步提升绩效目标管理</w:t>
      </w:r>
      <w:r>
        <w:rPr>
          <w:rFonts w:hint="eastAsia"/>
        </w:rPr>
        <w:t>发挥作用。</w:t>
      </w:r>
    </w:p>
    <w:p>
      <w:pPr>
        <w:autoSpaceDE w:val="0"/>
        <w:spacing w:line="576" w:lineRule="exact"/>
        <w:ind w:firstLine="3520" w:firstLineChars="1100"/>
        <w:rPr>
          <w:rFonts w:hint="eastAsia"/>
        </w:rPr>
      </w:pPr>
    </w:p>
    <w:p>
      <w:pPr>
        <w:bidi w:val="0"/>
        <w:rPr>
          <w:rFonts w:hint="eastAsia"/>
          <w:lang w:val="zh-CN"/>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bidi w:val="0"/>
        <w:rPr>
          <w:rFonts w:hint="eastAsia"/>
        </w:rPr>
      </w:pPr>
      <w:r>
        <w:rPr>
          <w:rFonts w:hint="eastAsia"/>
          <w:lang w:val="en-US" w:eastAsia="zh-CN"/>
        </w:rPr>
        <w:t>部门预算项目支出绩效自评表（2022年度）</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5"/>
        <w:gridCol w:w="954"/>
        <w:gridCol w:w="1320"/>
        <w:gridCol w:w="424"/>
        <w:gridCol w:w="888"/>
        <w:gridCol w:w="416"/>
        <w:gridCol w:w="921"/>
        <w:gridCol w:w="613"/>
        <w:gridCol w:w="61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2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507"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3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2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2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严格执行相关政策，保障工资及时、足额发放或社保及时、足额缴纳，预算编制科学合理，减少结余资金。</w:t>
            </w:r>
          </w:p>
        </w:tc>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5.89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6.34</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6.34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5.89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6.34</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6.34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3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lang w:val="en-US" w:eastAsia="zh-CN"/>
        </w:rPr>
      </w:pPr>
      <w:r>
        <w:rPr>
          <w:rFonts w:hint="eastAsia"/>
          <w:lang w:val="en-US" w:eastAsia="zh-CN"/>
        </w:rPr>
        <w:t>部门预算项目支出绩效自评表（2022年度）</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5"/>
        <w:gridCol w:w="950"/>
        <w:gridCol w:w="1316"/>
        <w:gridCol w:w="422"/>
        <w:gridCol w:w="883"/>
        <w:gridCol w:w="417"/>
        <w:gridCol w:w="924"/>
        <w:gridCol w:w="616"/>
        <w:gridCol w:w="618"/>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2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50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3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2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8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2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严格执行相关政策，保障工资及时发放、足额发放，预算编制科学合理，减少结余资金</w:t>
            </w:r>
          </w:p>
        </w:tc>
        <w:tc>
          <w:tcPr>
            <w:tcW w:w="18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0.14</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0.14</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按时发放率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结余率（计算方法为：结余数/预算数）</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lang w:val="en-US" w:eastAsia="zh-CN"/>
        </w:rPr>
      </w:pPr>
      <w:r>
        <w:rPr>
          <w:rFonts w:hint="eastAsia"/>
          <w:lang w:val="en-US" w:eastAsia="zh-CN"/>
        </w:rPr>
        <w:t>部门预算项目支出绩效自评表（2022年度）</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5"/>
        <w:gridCol w:w="947"/>
        <w:gridCol w:w="1315"/>
        <w:gridCol w:w="422"/>
        <w:gridCol w:w="881"/>
        <w:gridCol w:w="417"/>
        <w:gridCol w:w="928"/>
        <w:gridCol w:w="616"/>
        <w:gridCol w:w="618"/>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51081221R000000033761-其他工资福利支出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1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510"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3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1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8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1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足额发放兑现完。</w:t>
            </w:r>
          </w:p>
        </w:tc>
        <w:tc>
          <w:tcPr>
            <w:tcW w:w="18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9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0.13</w:t>
            </w:r>
          </w:p>
        </w:tc>
        <w:tc>
          <w:tcPr>
            <w:tcW w:w="9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0.13</w:t>
            </w:r>
          </w:p>
        </w:tc>
        <w:tc>
          <w:tcPr>
            <w:tcW w:w="9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6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sz w:val="20"/>
          <w:szCs w:val="20"/>
          <w:lang w:val="en-US" w:eastAsia="zh-CN"/>
        </w:rPr>
      </w:pPr>
      <w:r>
        <w:rPr>
          <w:rFonts w:hint="eastAsia"/>
          <w:sz w:val="20"/>
          <w:szCs w:val="20"/>
          <w:lang w:val="en-US" w:eastAsia="zh-CN"/>
        </w:rPr>
        <w:br w:type="page"/>
      </w:r>
      <w:r>
        <w:rPr>
          <w:rStyle w:val="20"/>
          <w:rFonts w:hint="eastAsia"/>
          <w:lang w:val="en-US" w:eastAsia="zh-CN"/>
        </w:rPr>
        <w:t>部门预算项目支出绩效自评表（2022年度）</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5"/>
        <w:gridCol w:w="943"/>
        <w:gridCol w:w="1316"/>
        <w:gridCol w:w="422"/>
        <w:gridCol w:w="879"/>
        <w:gridCol w:w="417"/>
        <w:gridCol w:w="930"/>
        <w:gridCol w:w="616"/>
        <w:gridCol w:w="618"/>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1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512"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3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1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8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1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严格执行相关政策，保障工资及时发放、足额发放，预算编制科学合理，减少结余资金</w:t>
            </w:r>
          </w:p>
        </w:tc>
        <w:tc>
          <w:tcPr>
            <w:tcW w:w="18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25.20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25.20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25.20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25.20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25.20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25.20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2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6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5"/>
        <w:gridCol w:w="940"/>
        <w:gridCol w:w="1316"/>
        <w:gridCol w:w="422"/>
        <w:gridCol w:w="877"/>
        <w:gridCol w:w="417"/>
        <w:gridCol w:w="932"/>
        <w:gridCol w:w="616"/>
        <w:gridCol w:w="618"/>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513"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89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严格执行相关政策，保障工资及时发放、足额发放，预算编制科学合理，减少结余资金</w:t>
            </w:r>
          </w:p>
        </w:tc>
        <w:tc>
          <w:tcPr>
            <w:tcW w:w="189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8.37</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8.07</w:t>
            </w: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8.07</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8.37</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8.07</w:t>
            </w: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8.07</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按时发放率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结余率（计算方法为：结余数/预算数）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6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5"/>
        <w:gridCol w:w="936"/>
        <w:gridCol w:w="1316"/>
        <w:gridCol w:w="424"/>
        <w:gridCol w:w="873"/>
        <w:gridCol w:w="417"/>
        <w:gridCol w:w="935"/>
        <w:gridCol w:w="616"/>
        <w:gridCol w:w="618"/>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514"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3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8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严格执行相关政策，保障工资及时发放、足额发放，预算编制科学合理，减少结余资金</w:t>
            </w:r>
          </w:p>
        </w:tc>
        <w:tc>
          <w:tcPr>
            <w:tcW w:w="18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08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9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5.92</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5.92</w:t>
            </w:r>
          </w:p>
        </w:tc>
        <w:tc>
          <w:tcPr>
            <w:tcW w:w="9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5.92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5.92</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5.92</w:t>
            </w:r>
          </w:p>
        </w:tc>
        <w:tc>
          <w:tcPr>
            <w:tcW w:w="9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5.92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按时发放率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结余率（计算方法为：结余数/预算数）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2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60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保障单位日常运转，提高预算编制质量，严格执行预算</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0.24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0.24</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0.24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0.24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0.24</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0.24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预算编制准确率（计算方法为：∣（执行数-预算数）/预算数∣）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“三公”经费控制率[计算方法为：（三公经费实际支出数/预算安排数]×100%）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运转保障率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严格执行相关政策，保障工资及时、足额发放或社保及时、足额缴纳，预算编制科学合理，减少结余资金。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75.77</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96.33</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96.33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75.77</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96.33</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96.33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发放（缴纳）覆盖率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足额保障率（参保率）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足额兑现发放完。</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111.88</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119.40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119.40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111.88</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119.40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119.40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严格执行相关政策，保障工资及时、足额发放或社保及时、足额缴纳，预算编制科学合理，减少结余资金。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12.05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15.18</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15.18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12.05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15.18</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15.18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发放（缴纳）覆盖率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足额保障率（参保率）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严格执行相关政策，保障工资及时、足额发放或社保及时、足额缴纳，预算编制科学合理，减少结余资金。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17.73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18.93</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18.93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17.73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18.93</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18.93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严格执行相关政策，保障工资及时、足额发放或社保及时、足额缴纳，预算编制科学合理，减少结余资金。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5.75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7.41</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7.41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5.75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7.41</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7.41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发放（缴纳）覆盖率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足额保障率（参保率）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严格执行相关政策，保障工资及时、足额发放或社保及时、足额缴纳，预算编制科学合理，减少结余资金。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8.86</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9.55</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9.55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8.86</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9.55</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9.55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严格执行相关政策，保障工资及时发放、足额发放，预算编制科学合理，减少结余资金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0.50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0.50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0.50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0.50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按时发放率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结余率（计算方法为：结余数/预算数）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严格执行相关政策，保障工资及时、足额发放或社保及时、足额缴纳，预算编制科学合理，减少结余资金。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8.63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13.48</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13.48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8.63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13.48</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13.48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发放（缴纳）覆盖率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足额保障率（参保率）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严格执行相关政策，保障工资及时、足额发放或社保及时、足额缴纳，预算编制科学合理，减少结余资金。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13.30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21.64</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21.64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13.30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21.64</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21.64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发放（缴纳）覆盖率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足额保障率（参保率）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51081222R000005138220-职业年金（行政）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严格执行相关政策，保障工资及时发放、足额发放，预算编制科学合理，减少结余资金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6.78</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6.78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6.78</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6.78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按时发放率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结余率（计算方法为：结余数/预算数）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严格执行相关政策，保障工资及时发放、足额发放，预算编制科学合理，减少结余资金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64.80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64.80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64.80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64.80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64.80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64.80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按时发放率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结余率（计算方法为：结余数/预算数）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严格执行相关政策，保障工资及时发放、足额发放，预算编制科学合理，减少结余资金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10.80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10.80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10.80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10.80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10.80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10.80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按时发放率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结余率（计算方法为：结余数/预算数）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51081222R000005610129-优秀公务员奖励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足额兑现发放。</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0.30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0.30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0.30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0.30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51081222R000005610160-遗属补助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足额兑现发完。</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0.16</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0.16</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0.16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严格执行相关政策，保障工资及时发放、足额发放，预算编制科学合理，减少结余资金</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0.94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0.94</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0.94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0.94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0.94</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0.94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足额保障率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按时发放率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结余率（计算方法为：结余数/预算数）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51081222T000005610234-2021引进高层次人才经费补助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足额兑现发放完。</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提高预算编制质量，严格执行预算，保障单位日常运转。</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11.98</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11.98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11.98</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11.98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预算编制准确率（计算方法为：∣（执行数-预算数）/预算数∣）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“三公”经费控制率[计算方法为：（三公经费实际支出数/预算安排数]×100%）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运转保障率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保障单位日常运转，提高预算编制质量，严格执行预算</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18.00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18.00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18.00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18.00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18.00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18.00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预算编制准确率（计算方法为：∣（执行数-预算数）/预算数∣）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“三公”经费控制率[计算方法为：（三公经费实际支出数/预算安排数]×100%）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运转保障率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项目负责人：宋波</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保障单位日常运转，提高预算编制质量，严格执行预算</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预算编制准确率（计算方法为：∣（执行数-预算数）/预算数∣）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运转保障率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“三公”经费控制率[计算方法为：（三公经费实际支出数/预算安排数]×100%）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项目负责人：邱群云</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51081221T000000114023-推动县域经济发展工作经费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是进一步推动我区农业产业化和发展文化旅游事业年内引进项目5个；二是加大对区内工业经济给予经济及政策上优化扶持，推动工业经济发展活力，年内引进项目2个；三是扩大对外开放、年内将引进资金3亿元以上。</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完成引进资金</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亿元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完成特色工业项目</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完成特色农业项目</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特色农业项目优质率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引进资金完成率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特色工业项目优质率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2022年12月以前完成县域经济工作目标任务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成本指标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完成引进资金工作经费</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完成特色工业项目工作经费</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完成农业特色项目工作经费</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项目实施及资金引进促进带动地方经济发展</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大力提升地方群众获得感、幸福指数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生态效益指标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充分利用项目投资进一步巩固和保护地方生态环境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可持续影响指标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经济社会发展指数同步增长</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服务对象满意度指标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工众满意度</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项目负责人：高文强</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51081222T000005607993-项目大数据采集系统建设费用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完成25个信息采集点位信息采集分析统计查询，开通光纤2条，实现远程现场办公，实现远程交流和督促检查指导，确保年内完成重点项目开工建设的总体目标任务。</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开通光纤2条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确定25个信息采集点位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处</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每季度调度开工工作1次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每月远程集中办公1次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年内完成开工建设目标任务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2022年12月30日前完成信息采集统计，调度监督及目标任务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7</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成本指标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2条光纤运行维护费</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25个采集点运行维护费</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监管项目实施，推动经济发展</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通过项目监管营造良好的项目建设氛围</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生态效益指标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项目实施促进生态环境保护</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可持续影响指标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项目建设有效带动地方经济发展</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服务对象满意度指标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公众满意度</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项目负责人：高文强</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51081222T000005608043-全区项目集中开工仪式工作经费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年内每个季度组织项目集中开工1次以上，全年共计6次。</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25.50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25.50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25.50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每季度组织集中开工仪式1次以上，全年6次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场次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完成开工仪式频数，确保项目开工建设任务完成</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年内完成开工建设任务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成本指标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会务费3万元、交通费3万元、广告制作费4万元、劳务费6万元、接待费1万元、办公费3万元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通过重大项目实施，促进全区经济快速发展</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通过重大项目实施，全区交通及人居环境等基础设施得到大幅提升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生态效益指标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通过项目建设设施，生态资源得到更好的利用和保护，生态环境更加优美</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可持续影响指标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项目集中开工，推动项目建设，促进地方经济发展</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服务对象满意度指标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公众满意度</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项目负责人：杨雪峰</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51081222T000005608169-“十四五”规划编制工作经费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全面结束““十四五”规划编制”两个课题、一个专规的调研编制工作，出台我区“十四五”规划纲领性文件。</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14.48</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14.48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14.48</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14.48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调研课题数量</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调研专规数量</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出台“十四五”规划纲要文件</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“十四五”规划纲要优质率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年内完成</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月</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区“十四五”规划纲要是我区未来五年经济社会发展的纲领性文件，为我区未来五年发展绘制了蓝图，具有深远的历史意义</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定性</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优良中低差</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优良中低差</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公众满意度</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成本指标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经济成本指标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第三方机构服务费</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14.48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14.48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项目负责人：高文强</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343"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34"/>
        <w:gridCol w:w="850"/>
        <w:gridCol w:w="1760"/>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51081222T000005610608-山地轨道交通建设前期研究费用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38"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1.聘请专家实地查看山地轨道交通线路走向，并进行前期分析；</w:t>
            </w:r>
            <w:r>
              <w:rPr>
                <w:rFonts w:hint="eastAsia"/>
                <w:sz w:val="20"/>
                <w:szCs w:val="20"/>
                <w:lang w:val="en-US" w:eastAsia="zh-CN"/>
              </w:rPr>
              <w:br w:type="textWrapping"/>
            </w:r>
            <w:r>
              <w:rPr>
                <w:rFonts w:hint="eastAsia"/>
                <w:sz w:val="20"/>
                <w:szCs w:val="20"/>
                <w:lang w:val="en-US" w:eastAsia="zh-CN"/>
              </w:rPr>
              <w:t>2.委托专业机构完成规划方案研究；</w:t>
            </w:r>
            <w:r>
              <w:rPr>
                <w:rFonts w:hint="eastAsia"/>
                <w:sz w:val="20"/>
                <w:szCs w:val="20"/>
                <w:lang w:val="en-US" w:eastAsia="zh-CN"/>
              </w:rPr>
              <w:br w:type="textWrapping"/>
            </w:r>
            <w:r>
              <w:rPr>
                <w:rFonts w:hint="eastAsia"/>
                <w:sz w:val="20"/>
                <w:szCs w:val="20"/>
                <w:lang w:val="en-US" w:eastAsia="zh-CN"/>
              </w:rPr>
              <w:t>3.申报纳入《四川省山地轨道交通规划》。</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64.92</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64.92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64.92</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64.92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完成线路设计规划</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29.8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公里</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29.8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完成规划方案研究</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完成纳入《四川省山地轨道交通规划》申报任务完成率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规划方案优质率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完成时限</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促进地方经济社会发展，带动就业</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定性</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高中低</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高中低</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公众满意度</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成本指标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经济成本指标</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工作经费</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64.92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64.92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项目负责人：杨雪峰</w:t>
            </w:r>
          </w:p>
        </w:tc>
        <w:tc>
          <w:tcPr>
            <w:tcW w:w="2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531" w:type="pct"/>
        <w:tblInd w:w="-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1100"/>
        <w:gridCol w:w="1116"/>
        <w:gridCol w:w="1835"/>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51081223T000007628865-项目前期工作激励工作经费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23"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1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年内申报专项债项目42个、储备项目255个、争取省重点项目资金14亿元、项目集中开工数量132个。</w:t>
            </w:r>
          </w:p>
        </w:tc>
        <w:tc>
          <w:tcPr>
            <w:tcW w:w="16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80.00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80.00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申报专项债项目数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42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42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争取项目资金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亿元</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储备项目255个、开工123个</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378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378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质量指标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目标任务完成率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时效指标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完成时限</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月</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促进地方经济增长</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全区基础设施完善率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群众满意度</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成本指标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经济成本指标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工作经费</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80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项目负责人：袁浩</w:t>
            </w:r>
          </w:p>
        </w:tc>
        <w:tc>
          <w:tcPr>
            <w:tcW w:w="22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531" w:type="pct"/>
        <w:tblInd w:w="-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1100"/>
        <w:gridCol w:w="1116"/>
        <w:gridCol w:w="1835"/>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51081223T000008620931-粮油应急体系建设经费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23"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1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专项用于粮食应急培训及演练支出。</w:t>
            </w:r>
          </w:p>
        </w:tc>
        <w:tc>
          <w:tcPr>
            <w:tcW w:w="16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演练培训3次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场次</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40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40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确保储备粮安全</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服务对象满意度指标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成本指标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经济成本指标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工作经费</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项目负责人：田兴斌</w:t>
            </w:r>
          </w:p>
        </w:tc>
        <w:tc>
          <w:tcPr>
            <w:tcW w:w="22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531" w:type="pct"/>
        <w:tblInd w:w="-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1100"/>
        <w:gridCol w:w="1116"/>
        <w:gridCol w:w="1835"/>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51081223T000008620970-粮安考核工作经费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23"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1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专项用于粮食质量安全检测支出。</w:t>
            </w:r>
          </w:p>
        </w:tc>
        <w:tc>
          <w:tcPr>
            <w:tcW w:w="16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购置执法设备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40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40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保障粮食市场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服务对象满意度指标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成本指标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经济成本指标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设备、工作经费</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项目负责人：田兴斌</w:t>
            </w:r>
          </w:p>
        </w:tc>
        <w:tc>
          <w:tcPr>
            <w:tcW w:w="22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2"/>
        <w:bidi w:val="0"/>
        <w:rPr>
          <w:rFonts w:hint="eastAsia"/>
          <w:szCs w:val="20"/>
          <w:lang w:val="en-US" w:eastAsia="zh-CN"/>
        </w:rPr>
      </w:pPr>
      <w:r>
        <w:rPr>
          <w:rFonts w:hint="eastAsia"/>
          <w:lang w:val="en-US" w:eastAsia="zh-CN"/>
        </w:rPr>
        <w:t>部门预算项目支出绩效自评表（2022年度）</w:t>
      </w:r>
    </w:p>
    <w:tbl>
      <w:tblPr>
        <w:tblStyle w:val="15"/>
        <w:tblW w:w="5531" w:type="pct"/>
        <w:tblInd w:w="-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1100"/>
        <w:gridCol w:w="1116"/>
        <w:gridCol w:w="1835"/>
        <w:gridCol w:w="740"/>
        <w:gridCol w:w="700"/>
        <w:gridCol w:w="666"/>
        <w:gridCol w:w="850"/>
        <w:gridCol w:w="667"/>
        <w:gridCol w:w="6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项目名称</w:t>
            </w:r>
          </w:p>
        </w:tc>
        <w:tc>
          <w:tcPr>
            <w:tcW w:w="41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51081223T000008620999-粮食行政执法和社会粮食统计调查工作经费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主管部门</w:t>
            </w: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广元市朝天区发展和改革局部门</w:t>
            </w:r>
          </w:p>
        </w:tc>
        <w:tc>
          <w:tcPr>
            <w:tcW w:w="423"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1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全面负责区内粮食行政执法检查，和社会粮食统计调查工作，确保区内粮食生产、经营供给安全。</w:t>
            </w:r>
          </w:p>
        </w:tc>
        <w:tc>
          <w:tcPr>
            <w:tcW w:w="16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年初预算</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总额</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eastAsia="仿宋_GB2312"/>
                <w:sz w:val="20"/>
                <w:szCs w:val="20"/>
                <w:lang w:val="en-US" w:eastAsia="zh-CN"/>
              </w:rPr>
            </w:pPr>
            <w:r>
              <w:rPr>
                <w:rFonts w:hint="eastAsia"/>
                <w:sz w:val="20"/>
                <w:szCs w:val="20"/>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单位资金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0.00%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其他资金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1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一级指标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二级指标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三级指标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指标性质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指标值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度量单位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完成值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产出指标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数量指标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粮食行政执法检查次数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次</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24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40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40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效益指标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确保区内粮食安全稳定</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定性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高中低</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高中低</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满意度指标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服务对象满意度指标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公众满意度</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成本指标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经济成本指标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工作经费</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万元</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合计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评价结论</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 xml:space="preserve">     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存在问题</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改进措施</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0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项目负责人：田兴斌</w:t>
            </w:r>
          </w:p>
        </w:tc>
        <w:tc>
          <w:tcPr>
            <w:tcW w:w="22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sz w:val="20"/>
                <w:szCs w:val="20"/>
              </w:rPr>
            </w:pPr>
            <w:r>
              <w:rPr>
                <w:rFonts w:hint="eastAsia"/>
                <w:sz w:val="20"/>
                <w:szCs w:val="20"/>
                <w:lang w:val="en-US" w:eastAsia="zh-CN"/>
              </w:rPr>
              <w:t>财务负责人：严一丰</w:t>
            </w:r>
          </w:p>
        </w:tc>
      </w:tr>
    </w:tbl>
    <w:p>
      <w:pPr>
        <w:bidi w:val="0"/>
        <w:ind w:left="0" w:leftChars="0" w:firstLine="0" w:firstLineChars="0"/>
        <w:rPr>
          <w:rFonts w:hint="eastAsia"/>
        </w:rPr>
      </w:pPr>
    </w:p>
    <w:p>
      <w:pPr>
        <w:pStyle w:val="2"/>
        <w:bidi w:val="0"/>
        <w:ind w:left="0" w:leftChars="0" w:right="0" w:rightChars="0" w:firstLine="0" w:firstLineChars="0"/>
        <w:jc w:val="center"/>
      </w:pPr>
      <w:r>
        <w:rPr>
          <w:rFonts w:hint="eastAsia"/>
        </w:rPr>
        <w:t>广元市朝天区</w:t>
      </w:r>
      <w:r>
        <w:rPr>
          <w:rFonts w:hint="eastAsia"/>
          <w:lang w:eastAsia="zh-CN"/>
        </w:rPr>
        <w:t>发展和改革</w:t>
      </w:r>
      <w:r>
        <w:rPr>
          <w:rFonts w:hint="eastAsia"/>
        </w:rPr>
        <w:t>局</w:t>
      </w:r>
    </w:p>
    <w:p>
      <w:pPr>
        <w:pStyle w:val="2"/>
        <w:bidi w:val="0"/>
        <w:ind w:left="0" w:leftChars="0" w:right="0" w:rightChars="0" w:firstLine="0" w:firstLineChars="0"/>
        <w:jc w:val="center"/>
        <w:rPr>
          <w:rFonts w:hint="eastAsia"/>
        </w:rPr>
      </w:pPr>
      <w:r>
        <w:rPr>
          <w:rFonts w:hint="eastAsia"/>
        </w:rPr>
        <w:t>202</w:t>
      </w:r>
      <w:r>
        <w:rPr>
          <w:rFonts w:hint="eastAsia"/>
          <w:lang w:val="en-US" w:eastAsia="zh-CN"/>
        </w:rPr>
        <w:t>2</w:t>
      </w:r>
      <w:r>
        <w:rPr>
          <w:rFonts w:hint="eastAsia"/>
        </w:rPr>
        <w:t>年</w:t>
      </w:r>
      <w:r>
        <w:rPr>
          <w:rFonts w:hint="eastAsia"/>
          <w:lang w:eastAsia="zh-CN"/>
        </w:rPr>
        <w:t>项目前期</w:t>
      </w:r>
      <w:r>
        <w:rPr>
          <w:rFonts w:hint="eastAsia"/>
        </w:rPr>
        <w:t>工作</w:t>
      </w:r>
      <w:r>
        <w:rPr>
          <w:rFonts w:hint="eastAsia"/>
          <w:lang w:eastAsia="zh-CN"/>
        </w:rPr>
        <w:t>激励</w:t>
      </w:r>
      <w:r>
        <w:rPr>
          <w:rFonts w:hint="eastAsia"/>
        </w:rPr>
        <w:t>经费项目支出绩效</w:t>
      </w:r>
    </w:p>
    <w:p>
      <w:pPr>
        <w:pStyle w:val="2"/>
        <w:bidi w:val="0"/>
        <w:ind w:left="0" w:leftChars="0" w:right="0" w:rightChars="0" w:firstLine="0" w:firstLineChars="0"/>
        <w:jc w:val="center"/>
        <w:rPr>
          <w:rFonts w:hint="eastAsia"/>
        </w:rPr>
      </w:pPr>
      <w:r>
        <w:rPr>
          <w:rFonts w:hint="eastAsia"/>
        </w:rPr>
        <w:t>自评报告</w:t>
      </w:r>
    </w:p>
    <w:p>
      <w:pPr>
        <w:autoSpaceDE w:val="0"/>
        <w:spacing w:line="540" w:lineRule="exact"/>
        <w:ind w:firstLine="616" w:firstLineChars="200"/>
        <w:rPr>
          <w:rFonts w:hint="eastAsia" w:ascii="黑体" w:hAnsi="黑体" w:eastAsia="黑体" w:cs="Times New Roman"/>
          <w:spacing w:val="-6"/>
          <w:sz w:val="32"/>
          <w:szCs w:val="32"/>
        </w:rPr>
      </w:pPr>
    </w:p>
    <w:p>
      <w:pPr>
        <w:pStyle w:val="3"/>
        <w:bidi w:val="0"/>
        <w:rPr>
          <w:rFonts w:hint="eastAsia"/>
        </w:rPr>
      </w:pPr>
      <w:r>
        <w:rPr>
          <w:rFonts w:hint="eastAsia"/>
        </w:rPr>
        <w:t>一、项目概况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（一）项目资金申报及批复情况</w:t>
      </w:r>
    </w:p>
    <w:p>
      <w:pPr>
        <w:bidi w:val="0"/>
        <w:rPr>
          <w:rFonts w:hint="eastAsia"/>
        </w:rPr>
      </w:pPr>
      <w:r>
        <w:rPr>
          <w:rFonts w:hint="eastAsia"/>
          <w:lang w:eastAsia="zh-CN"/>
        </w:rPr>
        <w:t>年内区发改局向区财政申报项目前期</w:t>
      </w:r>
      <w:r>
        <w:rPr>
          <w:rFonts w:hint="eastAsia"/>
        </w:rPr>
        <w:t>工作</w:t>
      </w:r>
      <w:r>
        <w:rPr>
          <w:rFonts w:hint="eastAsia"/>
          <w:lang w:eastAsia="zh-CN"/>
        </w:rPr>
        <w:t>激励</w:t>
      </w:r>
      <w:r>
        <w:rPr>
          <w:rFonts w:hint="eastAsia"/>
        </w:rPr>
        <w:t>经费</w:t>
      </w:r>
      <w:r>
        <w:rPr>
          <w:rFonts w:hint="eastAsia"/>
          <w:lang w:val="en-US" w:eastAsia="zh-CN"/>
        </w:rPr>
        <w:t>80万元，区财政批复80万元，纳入单位全年预算。</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（二）项目绩效目标</w:t>
      </w:r>
    </w:p>
    <w:p>
      <w:pPr>
        <w:bidi w:val="0"/>
        <w:rPr>
          <w:rFonts w:hint="eastAsia"/>
        </w:rPr>
      </w:pPr>
      <w:r>
        <w:rPr>
          <w:rFonts w:hint="eastAsia"/>
        </w:rPr>
        <w:t>1</w:t>
      </w:r>
      <w:r>
        <w:rPr>
          <w:rFonts w:hint="eastAsia"/>
          <w:lang w:val="en-US" w:eastAsia="zh-CN"/>
        </w:rPr>
        <w:t>.</w:t>
      </w:r>
      <w:r>
        <w:rPr>
          <w:rFonts w:hint="eastAsia"/>
        </w:rPr>
        <w:t>年内计划</w:t>
      </w:r>
      <w:r>
        <w:rPr>
          <w:rFonts w:hint="eastAsia"/>
          <w:lang w:eastAsia="zh-CN"/>
        </w:rPr>
        <w:t>申报专项债</w:t>
      </w:r>
      <w:r>
        <w:rPr>
          <w:rFonts w:hint="eastAsia"/>
        </w:rPr>
        <w:t>项目</w:t>
      </w:r>
      <w:r>
        <w:rPr>
          <w:rFonts w:hint="eastAsia"/>
          <w:lang w:val="en-US" w:eastAsia="zh-CN"/>
        </w:rPr>
        <w:t>42</w:t>
      </w:r>
      <w:r>
        <w:rPr>
          <w:rFonts w:hint="eastAsia"/>
        </w:rPr>
        <w:t>个，资金</w:t>
      </w:r>
      <w:r>
        <w:rPr>
          <w:rFonts w:hint="eastAsia"/>
          <w:lang w:eastAsia="zh-CN"/>
        </w:rPr>
        <w:t>规模</w:t>
      </w:r>
      <w:r>
        <w:rPr>
          <w:rFonts w:hint="eastAsia"/>
          <w:lang w:val="en-US" w:eastAsia="zh-CN"/>
        </w:rPr>
        <w:t>14亿</w:t>
      </w:r>
      <w:r>
        <w:rPr>
          <w:rFonts w:hint="eastAsia"/>
        </w:rPr>
        <w:t>元，</w:t>
      </w:r>
      <w:r>
        <w:rPr>
          <w:rFonts w:hint="eastAsia"/>
          <w:lang w:eastAsia="zh-CN"/>
        </w:rPr>
        <w:t>促进地方经济增长</w:t>
      </w:r>
      <w:r>
        <w:rPr>
          <w:rFonts w:hint="eastAsia"/>
          <w:lang w:val="en-US" w:eastAsia="zh-CN"/>
        </w:rPr>
        <w:t>5%以上</w:t>
      </w:r>
      <w:r>
        <w:rPr>
          <w:rFonts w:hint="eastAsia"/>
        </w:rPr>
        <w:t>；</w:t>
      </w:r>
    </w:p>
    <w:p>
      <w:pPr>
        <w:bidi w:val="0"/>
        <w:rPr>
          <w:rFonts w:hint="eastAsia"/>
        </w:rPr>
      </w:pPr>
      <w:r>
        <w:rPr>
          <w:rFonts w:hint="eastAsia"/>
        </w:rPr>
        <w:t>2</w:t>
      </w:r>
      <w:r>
        <w:rPr>
          <w:rFonts w:hint="eastAsia"/>
          <w:lang w:val="en-US" w:eastAsia="zh-CN"/>
        </w:rPr>
        <w:t>.年内储备项目255个以上</w:t>
      </w:r>
      <w:r>
        <w:rPr>
          <w:rFonts w:hint="eastAsia"/>
        </w:rPr>
        <w:t>；</w:t>
      </w:r>
    </w:p>
    <w:p>
      <w:pPr>
        <w:bidi w:val="0"/>
        <w:rPr>
          <w:rFonts w:hint="eastAsia"/>
        </w:rPr>
      </w:pPr>
      <w:r>
        <w:rPr>
          <w:rFonts w:hint="eastAsia"/>
        </w:rPr>
        <w:t>3</w:t>
      </w:r>
      <w:r>
        <w:rPr>
          <w:rFonts w:hint="eastAsia"/>
          <w:lang w:val="en-US" w:eastAsia="zh-CN"/>
        </w:rPr>
        <w:t>.年内</w:t>
      </w:r>
      <w:r>
        <w:rPr>
          <w:rFonts w:hint="eastAsia"/>
        </w:rPr>
        <w:t>实现</w:t>
      </w:r>
      <w:r>
        <w:rPr>
          <w:rFonts w:hint="eastAsia"/>
          <w:lang w:eastAsia="zh-CN"/>
        </w:rPr>
        <w:t>项目开工数量达</w:t>
      </w:r>
      <w:r>
        <w:rPr>
          <w:rFonts w:hint="eastAsia"/>
          <w:lang w:val="en-US" w:eastAsia="zh-CN"/>
        </w:rPr>
        <w:t>132个以上</w:t>
      </w:r>
      <w:r>
        <w:rPr>
          <w:rFonts w:hint="eastAsia"/>
        </w:rPr>
        <w:t>。</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（三）项目资金申报相符性</w:t>
      </w:r>
    </w:p>
    <w:p>
      <w:pPr>
        <w:bidi w:val="0"/>
        <w:rPr>
          <w:rFonts w:hint="eastAsia"/>
        </w:rPr>
      </w:pPr>
      <w:r>
        <w:rPr>
          <w:rFonts w:hint="eastAsia"/>
          <w:lang w:eastAsia="zh-CN"/>
        </w:rPr>
        <w:t>项目前期</w:t>
      </w:r>
      <w:r>
        <w:rPr>
          <w:rFonts w:hint="eastAsia"/>
        </w:rPr>
        <w:t>工作</w:t>
      </w:r>
      <w:r>
        <w:rPr>
          <w:rFonts w:hint="eastAsia"/>
          <w:lang w:eastAsia="zh-CN"/>
        </w:rPr>
        <w:t>激励</w:t>
      </w:r>
      <w:r>
        <w:rPr>
          <w:rFonts w:hint="eastAsia"/>
        </w:rPr>
        <w:t>经费项目申报内容与具体实施内容相符、申报目标合理可行。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bidi w:val="0"/>
        <w:rPr>
          <w:rFonts w:hint="default"/>
          <w:lang w:val="en-US"/>
        </w:rPr>
      </w:pPr>
      <w:r>
        <w:rPr>
          <w:rFonts w:hint="eastAsia"/>
        </w:rPr>
        <w:t>1.</w:t>
      </w:r>
      <w:r>
        <w:rPr>
          <w:rFonts w:hint="eastAsia"/>
          <w:lang w:eastAsia="zh-CN"/>
        </w:rPr>
        <w:t>年内预算项目前期</w:t>
      </w:r>
      <w:r>
        <w:rPr>
          <w:rFonts w:hint="eastAsia"/>
        </w:rPr>
        <w:t>工作</w:t>
      </w:r>
      <w:r>
        <w:rPr>
          <w:rFonts w:hint="eastAsia"/>
          <w:lang w:eastAsia="zh-CN"/>
        </w:rPr>
        <w:t>激励</w:t>
      </w:r>
      <w:r>
        <w:rPr>
          <w:rFonts w:hint="eastAsia"/>
        </w:rPr>
        <w:t>经费</w:t>
      </w:r>
      <w:r>
        <w:rPr>
          <w:rFonts w:hint="eastAsia"/>
          <w:lang w:val="en-US" w:eastAsia="zh-CN"/>
        </w:rPr>
        <w:t>80万元，计划用于项目经费支出80万元，年内按照项目推进完成情况陆续向财政调拨项目工作经费，截止2022年底调拨</w:t>
      </w:r>
      <w:r>
        <w:rPr>
          <w:rFonts w:hint="eastAsia"/>
          <w:lang w:eastAsia="zh-CN"/>
        </w:rPr>
        <w:t>项目前期</w:t>
      </w:r>
      <w:r>
        <w:rPr>
          <w:rFonts w:hint="eastAsia"/>
        </w:rPr>
        <w:t>工作</w:t>
      </w:r>
      <w:r>
        <w:rPr>
          <w:rFonts w:hint="eastAsia"/>
          <w:lang w:eastAsia="zh-CN"/>
        </w:rPr>
        <w:t>激励</w:t>
      </w:r>
      <w:r>
        <w:rPr>
          <w:rFonts w:hint="eastAsia"/>
        </w:rPr>
        <w:t>经费</w:t>
      </w:r>
      <w:r>
        <w:rPr>
          <w:rFonts w:hint="eastAsia"/>
          <w:lang w:val="en-US" w:eastAsia="zh-CN"/>
        </w:rPr>
        <w:t>80万元，资金拨付到位率为100%。</w:t>
      </w:r>
    </w:p>
    <w:p>
      <w:pPr>
        <w:bidi w:val="0"/>
        <w:rPr>
          <w:rFonts w:hint="eastAsia"/>
        </w:rPr>
      </w:pPr>
      <w:r>
        <w:rPr>
          <w:rFonts w:hint="eastAsia"/>
        </w:rPr>
        <w:t>2.</w:t>
      </w:r>
      <w:r>
        <w:rPr>
          <w:rFonts w:hint="eastAsia"/>
          <w:lang w:eastAsia="zh-CN"/>
        </w:rPr>
        <w:t>项目前期</w:t>
      </w:r>
      <w:r>
        <w:rPr>
          <w:rFonts w:hint="eastAsia"/>
        </w:rPr>
        <w:t>工作</w:t>
      </w:r>
      <w:r>
        <w:rPr>
          <w:rFonts w:hint="eastAsia"/>
          <w:lang w:eastAsia="zh-CN"/>
        </w:rPr>
        <w:t>激励</w:t>
      </w:r>
      <w:r>
        <w:rPr>
          <w:rFonts w:hint="eastAsia"/>
        </w:rPr>
        <w:t>经费</w:t>
      </w:r>
      <w:r>
        <w:rPr>
          <w:rFonts w:hint="eastAsia"/>
          <w:lang w:eastAsia="zh-CN"/>
        </w:rPr>
        <w:t>预算</w:t>
      </w:r>
      <w:r>
        <w:rPr>
          <w:rFonts w:hint="eastAsia"/>
          <w:lang w:val="en-US" w:eastAsia="zh-CN"/>
        </w:rPr>
        <w:t>80万元，年内累计调拨80万元。用于支付</w:t>
      </w:r>
      <w:r>
        <w:rPr>
          <w:rFonts w:hint="eastAsia"/>
          <w:lang w:eastAsia="zh-CN"/>
        </w:rPr>
        <w:t>项目前期</w:t>
      </w:r>
      <w:r>
        <w:rPr>
          <w:rFonts w:hint="eastAsia"/>
        </w:rPr>
        <w:t>工作</w:t>
      </w:r>
      <w:r>
        <w:rPr>
          <w:rFonts w:hint="eastAsia"/>
          <w:lang w:eastAsia="zh-CN"/>
        </w:rPr>
        <w:t>激励</w:t>
      </w:r>
      <w:r>
        <w:rPr>
          <w:rFonts w:hint="eastAsia"/>
        </w:rPr>
        <w:t>经费</w:t>
      </w:r>
      <w:r>
        <w:rPr>
          <w:rFonts w:hint="eastAsia"/>
          <w:lang w:val="en-US" w:eastAsia="zh-CN"/>
        </w:rPr>
        <w:t>80万元，其中：宣传片制作及资料印刷费25万元、差旅费8万元、办公费15万元、交通费8万元、咨询服务费24万元。</w:t>
      </w:r>
      <w:r>
        <w:rPr>
          <w:rFonts w:hint="eastAsia"/>
        </w:rPr>
        <w:t>资</w:t>
      </w:r>
      <w:r>
        <w:rPr>
          <w:rFonts w:hint="eastAsia"/>
          <w:lang w:eastAsia="zh-CN"/>
        </w:rPr>
        <w:t>金</w:t>
      </w:r>
      <w:r>
        <w:rPr>
          <w:rFonts w:hint="eastAsia"/>
        </w:rPr>
        <w:t>支付依据合规合法，资金支付与预算相符。</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bidi w:val="0"/>
        <w:rPr>
          <w:rFonts w:hint="eastAsia"/>
          <w:lang w:eastAsia="zh-CN"/>
        </w:rPr>
      </w:pPr>
      <w:r>
        <w:rPr>
          <w:rFonts w:hint="eastAsia"/>
          <w:lang w:eastAsia="zh-CN"/>
        </w:rPr>
        <w:t>进一步健全了</w:t>
      </w:r>
      <w:r>
        <w:rPr>
          <w:rFonts w:hint="eastAsia"/>
        </w:rPr>
        <w:t>项目财务管理制度</w:t>
      </w:r>
      <w:r>
        <w:rPr>
          <w:rFonts w:hint="eastAsia"/>
          <w:lang w:eastAsia="zh-CN"/>
        </w:rPr>
        <w:t>，进一步加强项目资金规范管理，进一步规范</w:t>
      </w:r>
      <w:r>
        <w:rPr>
          <w:rFonts w:hint="eastAsia"/>
        </w:rPr>
        <w:t>会计核算及账务处理。</w:t>
      </w:r>
      <w:r>
        <w:rPr>
          <w:rFonts w:hint="eastAsia"/>
          <w:lang w:eastAsia="zh-CN"/>
        </w:rPr>
        <w:t>确保项目资金专款专用。</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bidi w:val="0"/>
        <w:rPr>
          <w:rFonts w:hint="eastAsia"/>
          <w:lang w:eastAsia="zh-CN"/>
        </w:rPr>
      </w:pPr>
      <w:r>
        <w:rPr>
          <w:rFonts w:hint="eastAsia"/>
          <w:lang w:eastAsia="zh-CN"/>
        </w:rPr>
        <w:t>东西部扶贫协作工作经费项目由局分管领导牵头抓落实，国民经济综合股、财务室负责具体工作。</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bidi w:val="0"/>
        <w:rPr>
          <w:rFonts w:hint="eastAsia"/>
        </w:rPr>
      </w:pPr>
      <w:r>
        <w:rPr>
          <w:rFonts w:hint="eastAsia"/>
        </w:rPr>
        <w:t>1.数量指标：年内</w:t>
      </w:r>
      <w:r>
        <w:rPr>
          <w:rFonts w:hint="eastAsia"/>
          <w:lang w:eastAsia="zh-CN"/>
        </w:rPr>
        <w:t>申报专项债</w:t>
      </w:r>
      <w:r>
        <w:rPr>
          <w:rFonts w:hint="eastAsia"/>
        </w:rPr>
        <w:t>项目</w:t>
      </w:r>
      <w:r>
        <w:rPr>
          <w:rFonts w:hint="eastAsia"/>
          <w:lang w:val="en-US" w:eastAsia="zh-CN"/>
        </w:rPr>
        <w:t>42</w:t>
      </w:r>
      <w:r>
        <w:rPr>
          <w:rFonts w:hint="eastAsia"/>
        </w:rPr>
        <w:t>个、</w:t>
      </w:r>
      <w:r>
        <w:rPr>
          <w:rFonts w:hint="eastAsia"/>
          <w:lang w:eastAsia="zh-CN"/>
        </w:rPr>
        <w:t>储备项目</w:t>
      </w:r>
      <w:r>
        <w:rPr>
          <w:rFonts w:hint="eastAsia"/>
          <w:lang w:val="en-US" w:eastAsia="zh-CN"/>
        </w:rPr>
        <w:t>255个、争取省重点项目资金14亿元、项目开工数量132个</w:t>
      </w:r>
      <w:r>
        <w:rPr>
          <w:rFonts w:hint="eastAsia"/>
        </w:rPr>
        <w:t>。</w:t>
      </w:r>
    </w:p>
    <w:p>
      <w:pPr>
        <w:bidi w:val="0"/>
        <w:rPr>
          <w:rFonts w:hint="eastAsia"/>
        </w:rPr>
      </w:pPr>
      <w:r>
        <w:rPr>
          <w:rFonts w:hint="eastAsia"/>
        </w:rPr>
        <w:t>2.质量指标：项目到位率、资金到位率100%。</w:t>
      </w:r>
    </w:p>
    <w:p>
      <w:pPr>
        <w:bidi w:val="0"/>
        <w:rPr>
          <w:rFonts w:hint="eastAsia"/>
        </w:rPr>
      </w:pPr>
      <w:r>
        <w:rPr>
          <w:rFonts w:hint="eastAsia"/>
        </w:rPr>
        <w:t>3.时效指标</w:t>
      </w:r>
      <w:r>
        <w:rPr>
          <w:rFonts w:hint="eastAsia"/>
          <w:lang w:eastAsia="zh-CN"/>
        </w:rPr>
        <w:t>：年内预算执行及绩效目标</w:t>
      </w:r>
      <w:r>
        <w:rPr>
          <w:rFonts w:hint="eastAsia"/>
        </w:rPr>
        <w:t>任务完成率100%。</w:t>
      </w:r>
    </w:p>
    <w:p>
      <w:pPr>
        <w:bidi w:val="0"/>
        <w:rPr>
          <w:rFonts w:hint="eastAsia"/>
        </w:rPr>
      </w:pPr>
      <w:r>
        <w:rPr>
          <w:rFonts w:hint="eastAsia"/>
        </w:rPr>
        <w:t>4.成本指标</w:t>
      </w:r>
      <w:r>
        <w:rPr>
          <w:rFonts w:hint="eastAsia"/>
          <w:lang w:eastAsia="zh-CN"/>
        </w:rPr>
        <w:t>：项目前期工作激励</w:t>
      </w:r>
      <w:r>
        <w:rPr>
          <w:rFonts w:hint="eastAsia"/>
        </w:rPr>
        <w:t>工作经费</w:t>
      </w:r>
      <w:r>
        <w:rPr>
          <w:rFonts w:hint="eastAsia"/>
          <w:lang w:val="en-US" w:eastAsia="zh-CN"/>
        </w:rPr>
        <w:t>80</w:t>
      </w:r>
      <w:r>
        <w:rPr>
          <w:rFonts w:hint="eastAsia"/>
        </w:rPr>
        <w:t>万元，经费使用率100%。</w:t>
      </w:r>
    </w:p>
    <w:p>
      <w:pPr>
        <w:autoSpaceDE w:val="0"/>
        <w:spacing w:line="540" w:lineRule="exact"/>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bidi w:val="0"/>
        <w:rPr>
          <w:rFonts w:hint="eastAsia"/>
        </w:rPr>
      </w:pPr>
      <w:r>
        <w:rPr>
          <w:rFonts w:hint="eastAsia"/>
          <w:lang w:val="en-US" w:eastAsia="zh-CN"/>
        </w:rPr>
        <w:t>1</w:t>
      </w:r>
      <w:r>
        <w:rPr>
          <w:rFonts w:hint="eastAsia"/>
        </w:rPr>
        <w:t>.经济效益</w:t>
      </w:r>
      <w:r>
        <w:rPr>
          <w:rFonts w:hint="eastAsia"/>
          <w:lang w:eastAsia="zh-CN"/>
        </w:rPr>
        <w:t>：促进地方经济增长</w:t>
      </w:r>
      <w:r>
        <w:rPr>
          <w:rFonts w:hint="eastAsia"/>
          <w:lang w:val="en-US" w:eastAsia="zh-CN"/>
        </w:rPr>
        <w:t>5%以上。</w:t>
      </w:r>
    </w:p>
    <w:p>
      <w:pPr>
        <w:bidi w:val="0"/>
        <w:rPr>
          <w:rFonts w:hint="eastAsia"/>
        </w:rPr>
      </w:pPr>
      <w:r>
        <w:rPr>
          <w:rFonts w:hint="eastAsia"/>
          <w:lang w:val="en-US" w:eastAsia="zh-CN"/>
        </w:rPr>
        <w:t>2</w:t>
      </w:r>
      <w:r>
        <w:rPr>
          <w:rFonts w:hint="eastAsia"/>
        </w:rPr>
        <w:t>.社会效益</w:t>
      </w:r>
      <w:r>
        <w:rPr>
          <w:rFonts w:hint="eastAsia"/>
          <w:lang w:eastAsia="zh-CN"/>
        </w:rPr>
        <w:t>：推动了全区基础设施建设及经济社会发展</w:t>
      </w:r>
      <w:r>
        <w:rPr>
          <w:rFonts w:hint="eastAsia"/>
        </w:rPr>
        <w:t>。</w:t>
      </w:r>
    </w:p>
    <w:p>
      <w:pPr>
        <w:bidi w:val="0"/>
        <w:rPr>
          <w:rFonts w:hint="eastAsia"/>
        </w:rPr>
      </w:pPr>
      <w:r>
        <w:rPr>
          <w:rFonts w:hint="eastAsia"/>
          <w:lang w:val="en-US" w:eastAsia="zh-CN"/>
        </w:rPr>
        <w:t>3</w:t>
      </w:r>
      <w:r>
        <w:rPr>
          <w:rFonts w:hint="eastAsia"/>
        </w:rPr>
        <w:t>.生态效益</w:t>
      </w:r>
      <w:r>
        <w:rPr>
          <w:rFonts w:hint="eastAsia"/>
          <w:lang w:eastAsia="zh-CN"/>
        </w:rPr>
        <w:t>：项目实施，与生态环境保护相结合。</w:t>
      </w:r>
    </w:p>
    <w:p>
      <w:pPr>
        <w:bidi w:val="0"/>
        <w:rPr>
          <w:rFonts w:hint="eastAsia"/>
          <w:lang w:val="en-US" w:eastAsia="zh-CN"/>
        </w:rPr>
      </w:pPr>
      <w:r>
        <w:rPr>
          <w:rFonts w:hint="eastAsia"/>
          <w:lang w:val="en-US" w:eastAsia="zh-CN"/>
        </w:rPr>
        <w:t>4.可持续影响：争取项目资金投入，为全区经济社会发展具有重大的历史意义。</w:t>
      </w:r>
    </w:p>
    <w:p>
      <w:pPr>
        <w:bidi w:val="0"/>
        <w:rPr>
          <w:rFonts w:hint="eastAsia"/>
        </w:rPr>
      </w:pPr>
      <w:r>
        <w:rPr>
          <w:rFonts w:hint="eastAsia"/>
          <w:lang w:val="en-US" w:eastAsia="zh-CN"/>
        </w:rPr>
        <w:t>5</w:t>
      </w:r>
      <w:r>
        <w:rPr>
          <w:rFonts w:hint="eastAsia"/>
        </w:rPr>
        <w:t>.满意度指标完成情况分析</w:t>
      </w:r>
      <w:r>
        <w:rPr>
          <w:rFonts w:hint="eastAsia"/>
          <w:lang w:eastAsia="zh-CN"/>
        </w:rPr>
        <w:t>：服务对象</w:t>
      </w:r>
      <w:r>
        <w:rPr>
          <w:rFonts w:hint="eastAsia"/>
        </w:rPr>
        <w:t>满意度≧</w:t>
      </w:r>
      <w:r>
        <w:rPr>
          <w:rFonts w:hint="eastAsia"/>
          <w:lang w:val="en-US" w:eastAsia="zh-CN"/>
        </w:rPr>
        <w:t>98</w:t>
      </w:r>
      <w:r>
        <w:rPr>
          <w:rFonts w:hint="eastAsia"/>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spacing w:line="600" w:lineRule="exact"/>
        <w:rPr>
          <w:rFonts w:hint="eastAsia" w:ascii="仿宋_GB2312" w:hAnsi="仿宋_GB2312" w:eastAsia="仿宋_GB2312" w:cs="仿宋_GB2312"/>
          <w:b w:val="0"/>
          <w:bCs/>
          <w:sz w:val="32"/>
          <w:szCs w:val="32"/>
        </w:rPr>
      </w:pPr>
      <w:r>
        <w:rPr>
          <w:rFonts w:hint="eastAsia" w:ascii="楷体_GB2312" w:hAnsi="Times New Roman" w:eastAsia="楷体_GB2312" w:cs="Times New Roman"/>
          <w:bCs/>
          <w:spacing w:val="-6"/>
          <w:sz w:val="32"/>
          <w:szCs w:val="32"/>
        </w:rPr>
        <w:t>（一）存在的问题</w:t>
      </w:r>
      <w:r>
        <w:rPr>
          <w:rFonts w:hint="eastAsia" w:ascii="仿宋_GB2312" w:hAnsi="仿宋_GB2312" w:eastAsia="仿宋_GB2312" w:cs="仿宋_GB2312"/>
          <w:b w:val="0"/>
          <w:bCs/>
          <w:sz w:val="32"/>
          <w:szCs w:val="32"/>
        </w:rPr>
        <w:t xml:space="preserve"> </w:t>
      </w:r>
    </w:p>
    <w:p>
      <w:pPr>
        <w:bidi w:val="0"/>
        <w:rPr>
          <w:rFonts w:hint="eastAsia"/>
        </w:rPr>
      </w:pPr>
      <w:r>
        <w:rPr>
          <w:rFonts w:hint="eastAsia"/>
        </w:rPr>
        <w:t>1.重视程度有待加强，绩效目标设定不够精细合理；</w:t>
      </w:r>
    </w:p>
    <w:p>
      <w:pPr>
        <w:bidi w:val="0"/>
        <w:rPr>
          <w:rFonts w:hint="eastAsia"/>
        </w:rPr>
      </w:pPr>
      <w:r>
        <w:rPr>
          <w:rFonts w:hint="eastAsia"/>
        </w:rPr>
        <w:t>2.绩效评价思想上存在误区，绩效评价方式比较单一，形式和内容不够全面；</w:t>
      </w:r>
    </w:p>
    <w:p>
      <w:pPr>
        <w:bidi w:val="0"/>
        <w:rPr>
          <w:rFonts w:hint="eastAsia"/>
        </w:rPr>
      </w:pPr>
      <w:r>
        <w:rPr>
          <w:rFonts w:hint="eastAsia"/>
        </w:rPr>
        <w:t>3.项目支出绩效目标设置不够精细，指标数量不够明晰，结构不太合理。</w:t>
      </w:r>
    </w:p>
    <w:p>
      <w:pPr>
        <w:numPr>
          <w:ilvl w:val="0"/>
          <w:numId w:val="0"/>
        </w:numPr>
        <w:autoSpaceDE w:val="0"/>
        <w:spacing w:line="540" w:lineRule="exact"/>
        <w:ind w:firstLine="616" w:firstLineChars="200"/>
        <w:rPr>
          <w:rFonts w:hint="eastAsia" w:ascii="楷体" w:hAnsi="楷体" w:eastAsia="楷体" w:cs="楷体"/>
          <w:bCs/>
          <w:spacing w:val="-6"/>
          <w:sz w:val="32"/>
          <w:szCs w:val="32"/>
        </w:rPr>
      </w:pPr>
      <w:r>
        <w:rPr>
          <w:rFonts w:hint="eastAsia" w:ascii="楷体" w:hAnsi="楷体" w:eastAsia="楷体" w:cs="楷体"/>
          <w:bCs/>
          <w:spacing w:val="-6"/>
          <w:sz w:val="32"/>
          <w:szCs w:val="32"/>
          <w:lang w:val="en-US" w:eastAsia="zh-CN"/>
        </w:rPr>
        <w:t>（二）</w:t>
      </w:r>
      <w:r>
        <w:rPr>
          <w:rFonts w:hint="eastAsia" w:ascii="楷体" w:hAnsi="楷体" w:eastAsia="楷体" w:cs="楷体"/>
          <w:bCs/>
          <w:spacing w:val="-6"/>
          <w:sz w:val="32"/>
          <w:szCs w:val="32"/>
        </w:rPr>
        <w:t>相关建议</w:t>
      </w:r>
    </w:p>
    <w:p>
      <w:pPr>
        <w:bidi w:val="0"/>
        <w:rPr>
          <w:rFonts w:hint="eastAsia"/>
          <w:lang w:val="en-US" w:eastAsia="zh-CN"/>
        </w:rPr>
      </w:pPr>
      <w:r>
        <w:rPr>
          <w:rFonts w:hint="eastAsia"/>
          <w:lang w:val="en-US" w:eastAsia="zh-CN"/>
        </w:rPr>
        <w:t>1.建议业务主管部门加强对单位、部门的业务知识的培训，同时加强对单位、部门的调研指导；</w:t>
      </w:r>
    </w:p>
    <w:p>
      <w:pPr>
        <w:bidi w:val="0"/>
        <w:rPr>
          <w:rFonts w:hint="eastAsia"/>
          <w:lang w:val="en-US" w:eastAsia="zh-CN"/>
        </w:rPr>
      </w:pPr>
      <w:r>
        <w:rPr>
          <w:rFonts w:hint="eastAsia"/>
          <w:lang w:val="en-US" w:eastAsia="zh-CN"/>
        </w:rPr>
        <w:t>2.建议业务主管部门给单位、部门传递更强信号，提高单位级领导班子及集体对绩效管理工作的重视程度。</w:t>
      </w:r>
    </w:p>
    <w:p>
      <w:pPr>
        <w:bidi w:val="0"/>
        <w:rPr>
          <w:rFonts w:hint="eastAsia"/>
          <w:lang w:val="en-US" w:eastAsia="zh-CN"/>
        </w:rPr>
      </w:pPr>
    </w:p>
    <w:p>
      <w:pPr>
        <w:pStyle w:val="23"/>
        <w:ind w:firstLine="924" w:firstLineChars="300"/>
        <w:rPr>
          <w:rFonts w:hint="eastAsia" w:ascii="仿宋_GB2312" w:hAnsi="仿宋_GB2312" w:eastAsia="仿宋_GB2312" w:cs="仿宋_GB2312"/>
          <w:spacing w:val="-6"/>
          <w:sz w:val="32"/>
          <w:szCs w:val="32"/>
          <w:lang w:val="en-US" w:eastAsia="zh-CN"/>
        </w:rPr>
      </w:pPr>
    </w:p>
    <w:p>
      <w:pPr>
        <w:pStyle w:val="23"/>
        <w:ind w:firstLine="924" w:firstLineChars="300"/>
        <w:rPr>
          <w:rFonts w:hint="eastAsia" w:ascii="仿宋_GB2312" w:hAnsi="仿宋_GB2312" w:eastAsia="仿宋_GB2312" w:cs="仿宋_GB2312"/>
          <w:spacing w:val="-6"/>
          <w:sz w:val="32"/>
          <w:szCs w:val="32"/>
          <w:lang w:val="en-US" w:eastAsia="zh-CN"/>
        </w:rPr>
      </w:pPr>
    </w:p>
    <w:p>
      <w:pPr>
        <w:pStyle w:val="23"/>
        <w:ind w:firstLine="924" w:firstLineChars="300"/>
        <w:rPr>
          <w:rFonts w:hint="eastAsia" w:ascii="仿宋_GB2312" w:hAnsi="仿宋_GB2312" w:eastAsia="仿宋_GB2312" w:cs="仿宋_GB2312"/>
          <w:spacing w:val="-6"/>
          <w:sz w:val="32"/>
          <w:szCs w:val="32"/>
          <w:lang w:val="en-US" w:eastAsia="zh-CN"/>
        </w:rPr>
      </w:pPr>
    </w:p>
    <w:p>
      <w:pPr>
        <w:pStyle w:val="23"/>
        <w:ind w:firstLine="924" w:firstLineChars="300"/>
        <w:rPr>
          <w:rFonts w:hint="eastAsia" w:ascii="仿宋_GB2312" w:hAnsi="仿宋_GB2312" w:eastAsia="仿宋_GB2312" w:cs="仿宋_GB2312"/>
          <w:spacing w:val="-6"/>
          <w:sz w:val="32"/>
          <w:szCs w:val="32"/>
          <w:lang w:val="en-US" w:eastAsia="zh-CN"/>
        </w:rPr>
      </w:pPr>
    </w:p>
    <w:p>
      <w:pPr>
        <w:pStyle w:val="23"/>
        <w:rPr>
          <w:rFonts w:hint="eastAsia" w:ascii="仿宋_GB2312" w:hAnsi="仿宋_GB2312" w:eastAsia="仿宋_GB2312" w:cs="仿宋_GB2312"/>
          <w:spacing w:val="-6"/>
          <w:sz w:val="32"/>
          <w:szCs w:val="32"/>
          <w:lang w:val="en-US" w:eastAsia="zh-CN"/>
        </w:rPr>
      </w:pPr>
    </w:p>
    <w:p>
      <w:pPr>
        <w:widowControl/>
        <w:adjustRightInd w:val="0"/>
        <w:snapToGrid w:val="0"/>
        <w:spacing w:line="580" w:lineRule="exact"/>
        <w:ind w:left="0" w:leftChars="0" w:firstLine="0" w:firstLineChars="0"/>
        <w:contextualSpacing/>
        <w:jc w:val="left"/>
        <w:rPr>
          <w:rFonts w:hint="eastAsia" w:ascii="黑体" w:hAnsi="黑体" w:eastAsia="黑体" w:cs="黑体"/>
          <w:kern w:val="0"/>
          <w:sz w:val="32"/>
          <w:szCs w:val="32"/>
          <w:shd w:val="clear" w:color="auto" w:fill="FFFFFF"/>
          <w:lang w:val="zh-CN"/>
        </w:rPr>
      </w:pPr>
    </w:p>
    <w:tbl>
      <w:tblPr>
        <w:tblStyle w:val="16"/>
        <w:tblpPr w:leftFromText="180" w:rightFromText="180" w:vertAnchor="text" w:tblpX="10427" w:tblpY="-6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651" w:type="dxa"/>
          </w:tcPr>
          <w:p>
            <w:pPr>
              <w:pStyle w:val="6"/>
              <w:spacing w:before="93"/>
              <w:rPr>
                <w:rFonts w:hint="eastAsia"/>
                <w:vertAlign w:val="baseline"/>
              </w:rPr>
            </w:pPr>
          </w:p>
        </w:tc>
      </w:tr>
    </w:tbl>
    <w:tbl>
      <w:tblPr>
        <w:tblStyle w:val="16"/>
        <w:tblpPr w:leftFromText="180" w:rightFromText="180" w:vertAnchor="text" w:tblpX="10427" w:tblpY="-16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06" w:type="dxa"/>
          </w:tcPr>
          <w:p>
            <w:pPr>
              <w:pStyle w:val="6"/>
              <w:spacing w:before="93"/>
              <w:rPr>
                <w:rFonts w:hint="eastAsia"/>
                <w:vertAlign w:val="baseline"/>
              </w:rPr>
            </w:pPr>
          </w:p>
        </w:tc>
      </w:tr>
    </w:tbl>
    <w:p>
      <w:pPr>
        <w:keepNext w:val="0"/>
        <w:keepLines w:val="0"/>
        <w:pageBreakBefore w:val="0"/>
        <w:widowControl w:val="0"/>
        <w:kinsoku/>
        <w:wordWrap/>
        <w:overflowPunct/>
        <w:topLinePunct w:val="0"/>
        <w:autoSpaceDE w:val="0"/>
        <w:autoSpaceDN/>
        <w:bidi w:val="0"/>
        <w:adjustRightInd/>
        <w:snapToGrid/>
        <w:spacing w:line="576" w:lineRule="exact"/>
        <w:ind w:right="0" w:rightChars="0" w:firstLine="2140" w:firstLineChars="500"/>
        <w:jc w:val="both"/>
        <w:textAlignment w:val="auto"/>
        <w:rPr>
          <w:rFonts w:hint="eastAsia" w:ascii="方正小标宋简体" w:hAnsi="方正小标宋简体" w:eastAsia="方正小标宋简体" w:cs="方正小标宋简体"/>
          <w:b w:val="0"/>
          <w:bCs/>
          <w:color w:val="000000"/>
          <w:spacing w:val="-6"/>
          <w:kern w:val="0"/>
          <w:sz w:val="44"/>
          <w:szCs w:val="44"/>
          <w:lang w:eastAsia="zh-CN"/>
        </w:rPr>
      </w:pPr>
      <w:r>
        <w:rPr>
          <w:rFonts w:hint="eastAsia" w:ascii="方正小标宋简体" w:hAnsi="方正小标宋简体" w:eastAsia="方正小标宋简体" w:cs="方正小标宋简体"/>
          <w:b w:val="0"/>
          <w:bCs/>
          <w:color w:val="000000"/>
          <w:spacing w:val="-6"/>
          <w:kern w:val="0"/>
          <w:sz w:val="44"/>
          <w:szCs w:val="44"/>
          <w:lang w:eastAsia="zh-CN"/>
        </w:rPr>
        <w:t>广元市朝天区发展和改革局</w:t>
      </w:r>
    </w:p>
    <w:p>
      <w:pPr>
        <w:keepNext w:val="0"/>
        <w:keepLines w:val="0"/>
        <w:pageBreakBefore w:val="0"/>
        <w:widowControl w:val="0"/>
        <w:kinsoku/>
        <w:wordWrap/>
        <w:overflowPunct/>
        <w:topLinePunct w:val="0"/>
        <w:autoSpaceDE w:val="0"/>
        <w:autoSpaceDN/>
        <w:bidi w:val="0"/>
        <w:adjustRightInd/>
        <w:snapToGrid/>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20</w:t>
      </w:r>
      <w:r>
        <w:rPr>
          <w:rFonts w:hint="eastAsia" w:ascii="方正小标宋简体" w:hAnsi="方正小标宋简体" w:eastAsia="方正小标宋简体" w:cs="方正小标宋简体"/>
          <w:b w:val="0"/>
          <w:bCs/>
          <w:color w:val="000000"/>
          <w:spacing w:val="-6"/>
          <w:kern w:val="0"/>
          <w:sz w:val="44"/>
          <w:szCs w:val="44"/>
          <w:lang w:val="en-US" w:eastAsia="zh-CN"/>
        </w:rPr>
        <w:t>22</w:t>
      </w:r>
      <w:r>
        <w:rPr>
          <w:rFonts w:hint="eastAsia" w:ascii="方正小标宋简体" w:hAnsi="方正小标宋简体" w:eastAsia="方正小标宋简体" w:cs="方正小标宋简体"/>
          <w:b w:val="0"/>
          <w:bCs/>
          <w:color w:val="000000"/>
          <w:spacing w:val="-6"/>
          <w:kern w:val="0"/>
          <w:sz w:val="44"/>
          <w:szCs w:val="44"/>
        </w:rPr>
        <w:t>年</w:t>
      </w:r>
      <w:r>
        <w:rPr>
          <w:rFonts w:hint="eastAsia" w:ascii="方正小标宋简体" w:hAnsi="方正小标宋简体" w:eastAsia="方正小标宋简体" w:cs="方正小标宋简体"/>
          <w:b w:val="0"/>
          <w:bCs/>
          <w:color w:val="000000"/>
          <w:spacing w:val="-6"/>
          <w:kern w:val="0"/>
          <w:sz w:val="44"/>
          <w:szCs w:val="44"/>
          <w:lang w:eastAsia="zh-CN"/>
        </w:rPr>
        <w:t>“十四五”规划编制工作经费</w:t>
      </w:r>
      <w:r>
        <w:rPr>
          <w:rFonts w:hint="eastAsia" w:ascii="方正小标宋简体" w:hAnsi="方正小标宋简体" w:eastAsia="方正小标宋简体" w:cs="方正小标宋简体"/>
          <w:b w:val="0"/>
          <w:bCs/>
          <w:color w:val="000000"/>
          <w:spacing w:val="-6"/>
          <w:kern w:val="0"/>
          <w:sz w:val="44"/>
          <w:szCs w:val="44"/>
        </w:rPr>
        <w:t>项目</w:t>
      </w:r>
      <w:r>
        <w:rPr>
          <w:rFonts w:hint="eastAsia" w:ascii="方正小标宋简体" w:hAnsi="方正小标宋简体" w:eastAsia="方正小标宋简体" w:cs="方正小标宋简体"/>
          <w:b w:val="0"/>
          <w:bCs/>
          <w:color w:val="000000"/>
          <w:spacing w:val="-6"/>
          <w:kern w:val="0"/>
          <w:sz w:val="44"/>
          <w:szCs w:val="44"/>
          <w:lang w:eastAsia="zh-CN"/>
        </w:rPr>
        <w:t>支出</w:t>
      </w:r>
      <w:r>
        <w:rPr>
          <w:rFonts w:hint="eastAsia" w:ascii="方正小标宋简体" w:hAnsi="方正小标宋简体" w:eastAsia="方正小标宋简体" w:cs="方正小标宋简体"/>
          <w:b w:val="0"/>
          <w:bCs/>
          <w:color w:val="000000"/>
          <w:spacing w:val="-6"/>
          <w:kern w:val="0"/>
          <w:sz w:val="44"/>
          <w:szCs w:val="44"/>
        </w:rPr>
        <w:t>绩效自评报告</w:t>
      </w:r>
    </w:p>
    <w:p>
      <w:pPr>
        <w:keepNext w:val="0"/>
        <w:keepLines w:val="0"/>
        <w:pageBreakBefore w:val="0"/>
        <w:kinsoku/>
        <w:wordWrap/>
        <w:overflowPunct/>
        <w:topLinePunct w:val="0"/>
        <w:bidi w:val="0"/>
        <w:adjustRightInd/>
        <w:snapToGrid/>
        <w:spacing w:line="576" w:lineRule="exact"/>
        <w:ind w:left="0" w:leftChars="0" w:right="0" w:rightChars="0" w:firstLine="0" w:firstLineChars="0"/>
        <w:jc w:val="center"/>
        <w:textAlignment w:val="auto"/>
        <w:rPr>
          <w:rFonts w:hint="eastAsia" w:ascii="楷体_GB2312" w:hAnsi="楷体_GB2312" w:eastAsia="楷体_GB2312" w:cs="楷体_GB2312"/>
          <w:sz w:val="32"/>
          <w:szCs w:val="32"/>
        </w:rPr>
      </w:pPr>
    </w:p>
    <w:p>
      <w:pPr>
        <w:numPr>
          <w:ilvl w:val="0"/>
          <w:numId w:val="0"/>
        </w:numPr>
        <w:autoSpaceDE w:val="0"/>
        <w:spacing w:line="540" w:lineRule="exact"/>
        <w:ind w:firstLine="640" w:firstLineChars="200"/>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lang w:eastAsia="zh-CN"/>
        </w:rPr>
        <w:t>一、</w:t>
      </w:r>
      <w:r>
        <w:rPr>
          <w:rFonts w:hint="eastAsia" w:ascii="黑体" w:hAnsi="黑体" w:eastAsia="黑体" w:cs="黑体"/>
          <w:b w:val="0"/>
          <w:bCs w:val="0"/>
          <w:color w:val="333333"/>
          <w:sz w:val="32"/>
          <w:szCs w:val="32"/>
          <w:shd w:val="clear" w:color="auto" w:fill="FFFFFF"/>
        </w:rPr>
        <w:t>项目概况</w:t>
      </w:r>
    </w:p>
    <w:p>
      <w:pPr>
        <w:numPr>
          <w:ilvl w:val="0"/>
          <w:numId w:val="0"/>
        </w:num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（一）项目资金申报及批复情况</w:t>
      </w:r>
    </w:p>
    <w:p>
      <w:pPr>
        <w:bidi w:val="0"/>
        <w:rPr>
          <w:rFonts w:hint="eastAsia"/>
        </w:rPr>
      </w:pPr>
      <w:r>
        <w:rPr>
          <w:rFonts w:hint="eastAsia"/>
          <w:lang w:eastAsia="zh-CN"/>
        </w:rPr>
        <w:t>年初区发改局向区财政申报“十四五”规划编制工作经费</w:t>
      </w:r>
      <w:r>
        <w:rPr>
          <w:rFonts w:hint="eastAsia"/>
          <w:lang w:val="en-US" w:eastAsia="zh-CN"/>
        </w:rPr>
        <w:t>14.48万元，区财政批复14.48万元，纳入单位年初预算。</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（二）项目绩效目标</w:t>
      </w:r>
    </w:p>
    <w:p>
      <w:pPr>
        <w:bidi w:val="0"/>
        <w:rPr>
          <w:rFonts w:hint="eastAsia"/>
          <w:lang w:eastAsia="zh-CN"/>
        </w:rPr>
      </w:pPr>
      <w:r>
        <w:rPr>
          <w:rFonts w:hint="eastAsia"/>
          <w:lang w:val="en-US" w:eastAsia="zh-CN"/>
        </w:rPr>
        <w:t>1.去年已</w:t>
      </w:r>
      <w:r>
        <w:rPr>
          <w:rFonts w:hint="eastAsia"/>
          <w:lang w:eastAsia="zh-CN"/>
        </w:rPr>
        <w:t>出台</w:t>
      </w:r>
      <w:r>
        <w:rPr>
          <w:rFonts w:hint="eastAsia"/>
        </w:rPr>
        <w:t>1个五年目标纲要（十三篇、三十八章）</w:t>
      </w:r>
      <w:r>
        <w:rPr>
          <w:rFonts w:hint="eastAsia"/>
          <w:lang w:eastAsia="zh-CN"/>
        </w:rPr>
        <w:t>。</w:t>
      </w:r>
    </w:p>
    <w:p>
      <w:pPr>
        <w:bidi w:val="0"/>
        <w:rPr>
          <w:rFonts w:hint="eastAsia"/>
        </w:rPr>
      </w:pPr>
      <w:r>
        <w:rPr>
          <w:rFonts w:hint="eastAsia"/>
          <w:lang w:val="en-US" w:eastAsia="zh-CN"/>
        </w:rPr>
        <w:t>2.去年5月份已出台</w:t>
      </w:r>
      <w:r>
        <w:rPr>
          <w:rFonts w:hint="eastAsia"/>
        </w:rPr>
        <w:t>1个专规、</w:t>
      </w:r>
      <w:r>
        <w:rPr>
          <w:rFonts w:hint="eastAsia"/>
          <w:lang w:eastAsia="zh-CN"/>
        </w:rPr>
        <w:t>完成</w:t>
      </w:r>
      <w:r>
        <w:rPr>
          <w:rFonts w:hint="eastAsia"/>
        </w:rPr>
        <w:t>2个课题</w:t>
      </w:r>
      <w:r>
        <w:rPr>
          <w:rFonts w:hint="eastAsia"/>
          <w:lang w:eastAsia="zh-CN"/>
        </w:rPr>
        <w:t>调研</w:t>
      </w:r>
      <w:r>
        <w:rPr>
          <w:rFonts w:hint="eastAsia"/>
        </w:rPr>
        <w:t>。</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（三）项目资金申报相符性</w:t>
      </w:r>
    </w:p>
    <w:p>
      <w:pPr>
        <w:bidi w:val="0"/>
        <w:rPr>
          <w:rFonts w:hint="eastAsia"/>
        </w:rPr>
      </w:pPr>
      <w:r>
        <w:rPr>
          <w:rFonts w:hint="eastAsia"/>
          <w:lang w:eastAsia="zh-CN"/>
        </w:rPr>
        <w:t>“十四五”规划编制工作经费</w:t>
      </w:r>
      <w:r>
        <w:rPr>
          <w:rFonts w:hint="eastAsia"/>
        </w:rPr>
        <w:t>项目申报内容与具体实施内容相符、申报目标是否合理可行。</w:t>
      </w: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二、项目资金管理情况</w:t>
      </w:r>
    </w:p>
    <w:p>
      <w:pPr>
        <w:keepNext w:val="0"/>
        <w:keepLines w:val="0"/>
        <w:pageBreakBefore w:val="0"/>
        <w:numPr>
          <w:ilvl w:val="0"/>
          <w:numId w:val="0"/>
        </w:numPr>
        <w:kinsoku/>
        <w:wordWrap/>
        <w:overflowPunct/>
        <w:topLinePunct w:val="0"/>
        <w:autoSpaceDE w:val="0"/>
        <w:bidi w:val="0"/>
        <w:adjustRightInd/>
        <w:snapToGrid/>
        <w:spacing w:line="576" w:lineRule="exact"/>
        <w:ind w:firstLine="616" w:firstLineChars="200"/>
        <w:textAlignment w:val="auto"/>
        <w:rPr>
          <w:rFonts w:hint="eastAsia" w:ascii="楷体_GB2312" w:hAnsi="楷体_GB2312" w:eastAsia="楷体_GB2312" w:cs="楷体_GB2312"/>
          <w:bCs/>
          <w:spacing w:val="-6"/>
          <w:sz w:val="32"/>
          <w:szCs w:val="32"/>
          <w:lang w:val="en-US" w:eastAsia="zh-CN"/>
        </w:rPr>
      </w:pPr>
      <w:r>
        <w:rPr>
          <w:rFonts w:hint="eastAsia" w:ascii="楷体_GB2312" w:hAnsi="楷体_GB2312" w:eastAsia="楷体_GB2312" w:cs="楷体_GB2312"/>
          <w:bCs/>
          <w:spacing w:val="-6"/>
          <w:sz w:val="32"/>
          <w:szCs w:val="32"/>
          <w:lang w:val="en-US" w:eastAsia="zh-CN"/>
        </w:rPr>
        <w:t>（一）项目资金到位情况</w:t>
      </w:r>
    </w:p>
    <w:p>
      <w:pPr>
        <w:bidi w:val="0"/>
        <w:rPr>
          <w:rFonts w:hint="eastAsia"/>
        </w:rPr>
      </w:pPr>
      <w:r>
        <w:rPr>
          <w:rFonts w:hint="eastAsia"/>
        </w:rPr>
        <w:t>202</w:t>
      </w:r>
      <w:r>
        <w:rPr>
          <w:rFonts w:hint="eastAsia"/>
          <w:lang w:val="en-US" w:eastAsia="zh-CN"/>
        </w:rPr>
        <w:t>2</w:t>
      </w:r>
      <w:r>
        <w:rPr>
          <w:rFonts w:hint="eastAsia"/>
        </w:rPr>
        <w:t>年度</w:t>
      </w:r>
      <w:r>
        <w:rPr>
          <w:rFonts w:hint="eastAsia"/>
          <w:lang w:eastAsia="zh-CN"/>
        </w:rPr>
        <w:t>区</w:t>
      </w:r>
      <w:r>
        <w:rPr>
          <w:rFonts w:hint="eastAsia"/>
        </w:rPr>
        <w:t>财政</w:t>
      </w:r>
      <w:r>
        <w:rPr>
          <w:rFonts w:hint="eastAsia"/>
          <w:lang w:eastAsia="zh-CN"/>
        </w:rPr>
        <w:t>拨付</w:t>
      </w:r>
      <w:r>
        <w:rPr>
          <w:rFonts w:hint="eastAsia"/>
        </w:rPr>
        <w:t>“十四五”编制规划经费</w:t>
      </w:r>
      <w:r>
        <w:rPr>
          <w:rFonts w:hint="eastAsia"/>
          <w:lang w:val="en-US" w:eastAsia="zh-CN"/>
        </w:rPr>
        <w:t>14.48</w:t>
      </w:r>
      <w:r>
        <w:rPr>
          <w:rFonts w:hint="eastAsia"/>
        </w:rPr>
        <w:t>万元，资金到位率100%。</w:t>
      </w:r>
    </w:p>
    <w:p>
      <w:pPr>
        <w:keepNext w:val="0"/>
        <w:keepLines w:val="0"/>
        <w:pageBreakBefore w:val="0"/>
        <w:kinsoku/>
        <w:wordWrap/>
        <w:overflowPunct/>
        <w:topLinePunct w:val="0"/>
        <w:bidi w:val="0"/>
        <w:adjustRightInd/>
        <w:snapToGrid/>
        <w:spacing w:line="576" w:lineRule="exact"/>
        <w:ind w:firstLine="616" w:firstLineChars="200"/>
        <w:textAlignment w:val="auto"/>
        <w:rPr>
          <w:rFonts w:hint="eastAsia" w:ascii="仿宋" w:hAnsi="仿宋" w:eastAsia="仿宋_GB2312" w:cs="仿宋"/>
          <w:b w:val="0"/>
          <w:bCs w:val="0"/>
          <w:kern w:val="0"/>
          <w:sz w:val="32"/>
          <w:szCs w:val="32"/>
        </w:rPr>
      </w:pPr>
      <w:r>
        <w:rPr>
          <w:rFonts w:hint="eastAsia" w:ascii="楷体_GB2312" w:hAnsi="楷体_GB2312" w:eastAsia="楷体_GB2312" w:cs="楷体_GB2312"/>
          <w:bCs/>
          <w:spacing w:val="-6"/>
          <w:sz w:val="32"/>
          <w:szCs w:val="32"/>
          <w:lang w:val="en-US" w:eastAsia="zh-CN"/>
        </w:rPr>
        <w:t>（二）项目资金执行情况</w:t>
      </w:r>
    </w:p>
    <w:p>
      <w:pPr>
        <w:bidi w:val="0"/>
        <w:rPr>
          <w:rFonts w:hint="eastAsia"/>
        </w:rPr>
      </w:pPr>
      <w:r>
        <w:rPr>
          <w:rFonts w:hint="eastAsia"/>
        </w:rPr>
        <w:t>全年支付“十四五”</w:t>
      </w:r>
      <w:r>
        <w:rPr>
          <w:rFonts w:hint="eastAsia"/>
          <w:lang w:eastAsia="zh-CN"/>
        </w:rPr>
        <w:t>规划</w:t>
      </w:r>
      <w:r>
        <w:rPr>
          <w:rFonts w:hint="eastAsia"/>
        </w:rPr>
        <w:t>编制三方机构服务费</w:t>
      </w:r>
      <w:r>
        <w:rPr>
          <w:rFonts w:hint="eastAsia"/>
          <w:lang w:val="en-US" w:eastAsia="zh-CN"/>
        </w:rPr>
        <w:t>14.8</w:t>
      </w:r>
      <w:r>
        <w:rPr>
          <w:rFonts w:hint="eastAsia"/>
        </w:rPr>
        <w:t>万元，资金支付率100%。</w:t>
      </w:r>
    </w:p>
    <w:p>
      <w:pPr>
        <w:keepNext w:val="0"/>
        <w:keepLines w:val="0"/>
        <w:pageBreakBefore w:val="0"/>
        <w:numPr>
          <w:ilvl w:val="0"/>
          <w:numId w:val="0"/>
        </w:numPr>
        <w:kinsoku/>
        <w:wordWrap/>
        <w:overflowPunct/>
        <w:topLinePunct w:val="0"/>
        <w:autoSpaceDE w:val="0"/>
        <w:bidi w:val="0"/>
        <w:adjustRightInd/>
        <w:snapToGrid/>
        <w:spacing w:line="576" w:lineRule="exact"/>
        <w:ind w:firstLine="616" w:firstLineChars="200"/>
        <w:textAlignment w:val="auto"/>
        <w:rPr>
          <w:rFonts w:hint="eastAsia" w:ascii="楷体_GB2312" w:hAnsi="楷体_GB2312" w:eastAsia="楷体_GB2312" w:cs="楷体_GB2312"/>
          <w:bCs/>
          <w:spacing w:val="-6"/>
          <w:sz w:val="32"/>
          <w:szCs w:val="32"/>
          <w:lang w:val="en-US" w:eastAsia="zh-CN"/>
        </w:rPr>
      </w:pPr>
      <w:r>
        <w:rPr>
          <w:rFonts w:hint="eastAsia" w:ascii="楷体_GB2312" w:hAnsi="楷体_GB2312" w:eastAsia="楷体_GB2312" w:cs="楷体_GB2312"/>
          <w:bCs/>
          <w:spacing w:val="-6"/>
          <w:sz w:val="32"/>
          <w:szCs w:val="32"/>
          <w:lang w:val="en-US" w:eastAsia="zh-CN"/>
        </w:rPr>
        <w:t>（三）项目资金管理情况</w:t>
      </w:r>
    </w:p>
    <w:p>
      <w:pPr>
        <w:bidi w:val="0"/>
        <w:rPr>
          <w:rFonts w:hint="eastAsia"/>
        </w:rPr>
      </w:pPr>
      <w:r>
        <w:rPr>
          <w:rFonts w:hint="eastAsia"/>
        </w:rPr>
        <w:t>按照省市区对“十四五”编制规划的统一要求，确保</w:t>
      </w:r>
      <w:r>
        <w:rPr>
          <w:rFonts w:hint="eastAsia"/>
          <w:lang w:eastAsia="zh-CN"/>
        </w:rPr>
        <w:t>项目</w:t>
      </w:r>
      <w:r>
        <w:rPr>
          <w:rFonts w:hint="eastAsia"/>
        </w:rPr>
        <w:t>经费保障到位</w:t>
      </w:r>
      <w:r>
        <w:rPr>
          <w:rFonts w:hint="eastAsia"/>
          <w:lang w:eastAsia="zh-CN"/>
        </w:rPr>
        <w:t>的原则</w:t>
      </w:r>
      <w:r>
        <w:rPr>
          <w:rFonts w:hint="eastAsia"/>
        </w:rPr>
        <w:t>，加强</w:t>
      </w:r>
      <w:r>
        <w:rPr>
          <w:rFonts w:hint="eastAsia"/>
          <w:lang w:eastAsia="zh-CN"/>
        </w:rPr>
        <w:t>项目进度</w:t>
      </w:r>
      <w:r>
        <w:rPr>
          <w:rFonts w:hint="eastAsia"/>
        </w:rPr>
        <w:t>监督检查，确保项目</w:t>
      </w:r>
      <w:r>
        <w:rPr>
          <w:rFonts w:hint="eastAsia"/>
          <w:lang w:eastAsia="zh-CN"/>
        </w:rPr>
        <w:t>资金预算执行与项目推进紧密衔接</w:t>
      </w:r>
      <w:r>
        <w:rPr>
          <w:rFonts w:hint="eastAsia"/>
        </w:rPr>
        <w:t>。</w:t>
      </w:r>
      <w:r>
        <w:rPr>
          <w:rFonts w:hint="eastAsia"/>
          <w:lang w:eastAsia="zh-CN"/>
        </w:rPr>
        <w:t>同时</w:t>
      </w:r>
      <w:r>
        <w:rPr>
          <w:rFonts w:hint="eastAsia"/>
        </w:rPr>
        <w:t>加强专项资金管理</w:t>
      </w:r>
      <w:r>
        <w:rPr>
          <w:rFonts w:hint="eastAsia"/>
          <w:lang w:eastAsia="zh-CN"/>
        </w:rPr>
        <w:t>，严格审核审批，</w:t>
      </w:r>
      <w:r>
        <w:rPr>
          <w:rFonts w:hint="eastAsia"/>
        </w:rPr>
        <w:t>确保项目资金专款专用，提高资金使用</w:t>
      </w:r>
      <w:r>
        <w:rPr>
          <w:rFonts w:hint="eastAsia"/>
          <w:lang w:eastAsia="zh-CN"/>
        </w:rPr>
        <w:t>效</w:t>
      </w:r>
      <w:r>
        <w:rPr>
          <w:rFonts w:hint="eastAsia"/>
        </w:rPr>
        <w:t>率</w:t>
      </w:r>
      <w:r>
        <w:rPr>
          <w:rFonts w:hint="eastAsia"/>
          <w:lang w:eastAsia="zh-CN"/>
        </w:rPr>
        <w:t>，确保项目如期完成</w:t>
      </w:r>
      <w:r>
        <w:rPr>
          <w:rFonts w:hint="eastAsia"/>
        </w:rPr>
        <w:t>。</w:t>
      </w:r>
    </w:p>
    <w:p>
      <w:pPr>
        <w:keepNext w:val="0"/>
        <w:keepLines w:val="0"/>
        <w:pageBreakBefore w:val="0"/>
        <w:numPr>
          <w:ilvl w:val="0"/>
          <w:numId w:val="0"/>
        </w:numPr>
        <w:kinsoku/>
        <w:wordWrap/>
        <w:overflowPunct/>
        <w:topLinePunct w:val="0"/>
        <w:autoSpaceDE w:val="0"/>
        <w:bidi w:val="0"/>
        <w:adjustRightInd/>
        <w:snapToGrid/>
        <w:spacing w:line="576" w:lineRule="exact"/>
        <w:ind w:firstLine="616" w:firstLineChars="200"/>
        <w:textAlignment w:val="auto"/>
        <w:rPr>
          <w:rFonts w:hint="eastAsia" w:ascii="楷体_GB2312" w:hAnsi="楷体_GB2312" w:eastAsia="楷体_GB2312" w:cs="楷体_GB2312"/>
          <w:bCs/>
          <w:spacing w:val="-6"/>
          <w:sz w:val="32"/>
          <w:szCs w:val="32"/>
          <w:lang w:val="en-US" w:eastAsia="zh-CN"/>
        </w:rPr>
      </w:pPr>
      <w:r>
        <w:rPr>
          <w:rFonts w:hint="eastAsia" w:ascii="楷体_GB2312" w:hAnsi="楷体_GB2312" w:eastAsia="楷体_GB2312" w:cs="楷体_GB2312"/>
          <w:bCs/>
          <w:spacing w:val="-6"/>
          <w:sz w:val="32"/>
          <w:szCs w:val="32"/>
          <w:lang w:val="en-US" w:eastAsia="zh-CN"/>
        </w:rPr>
        <w:t>（四）项目组织实施情况</w:t>
      </w:r>
    </w:p>
    <w:p>
      <w:pPr>
        <w:bidi w:val="0"/>
        <w:rPr>
          <w:rFonts w:hint="eastAsia"/>
        </w:rPr>
      </w:pPr>
      <w:r>
        <w:rPr>
          <w:rFonts w:hint="eastAsia"/>
          <w:lang w:eastAsia="zh-CN"/>
        </w:rPr>
        <w:t>该项目由局党组书记亲自挂帅督战，</w:t>
      </w:r>
      <w:r>
        <w:rPr>
          <w:rFonts w:hint="eastAsia"/>
        </w:rPr>
        <w:t>国民经济综合股负责具体</w:t>
      </w:r>
      <w:r>
        <w:rPr>
          <w:rFonts w:hint="eastAsia"/>
          <w:lang w:eastAsia="zh-CN"/>
        </w:rPr>
        <w:t>实施，年初通过局党组工作会议研究</w:t>
      </w:r>
      <w:r>
        <w:rPr>
          <w:rFonts w:hint="eastAsia"/>
        </w:rPr>
        <w:t>制定了</w:t>
      </w:r>
      <w:r>
        <w:rPr>
          <w:rFonts w:hint="eastAsia"/>
          <w:lang w:eastAsia="zh-CN"/>
        </w:rPr>
        <w:t>“十四五”规划编制工作制度，出台了</w:t>
      </w:r>
      <w:r>
        <w:rPr>
          <w:rFonts w:hint="eastAsia"/>
        </w:rPr>
        <w:t>工作计划、</w:t>
      </w:r>
      <w:r>
        <w:rPr>
          <w:rFonts w:hint="eastAsia"/>
          <w:lang w:eastAsia="zh-CN"/>
        </w:rPr>
        <w:t>确立了</w:t>
      </w:r>
      <w:r>
        <w:rPr>
          <w:rFonts w:hint="eastAsia"/>
        </w:rPr>
        <w:t>工作目标</w:t>
      </w:r>
      <w:r>
        <w:rPr>
          <w:rFonts w:hint="eastAsia"/>
          <w:lang w:eastAsia="zh-CN"/>
        </w:rPr>
        <w:t>、形成了</w:t>
      </w:r>
      <w:r>
        <w:rPr>
          <w:rFonts w:hint="eastAsia"/>
        </w:rPr>
        <w:t>具体实施方案</w:t>
      </w:r>
      <w:r>
        <w:rPr>
          <w:rFonts w:hint="eastAsia"/>
          <w:lang w:eastAsia="zh-CN"/>
        </w:rPr>
        <w:t>，通过全局干部共同努力，以及相关单位、部门的密切配合，圆满的完成了“十四五”规划编制目标任务。</w:t>
      </w: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lang w:eastAsia="zh-CN"/>
        </w:rPr>
        <w:t>三</w:t>
      </w:r>
      <w:r>
        <w:rPr>
          <w:rFonts w:hint="eastAsia" w:ascii="黑体" w:hAnsi="黑体" w:eastAsia="黑体" w:cs="黑体"/>
          <w:b w:val="0"/>
          <w:bCs w:val="0"/>
          <w:color w:val="333333"/>
          <w:sz w:val="32"/>
          <w:szCs w:val="32"/>
          <w:shd w:val="clear" w:color="auto" w:fill="FFFFFF"/>
        </w:rPr>
        <w:t>、项目绩效情况</w:t>
      </w:r>
    </w:p>
    <w:p>
      <w:pPr>
        <w:keepNext w:val="0"/>
        <w:keepLines w:val="0"/>
        <w:pageBreakBefore w:val="0"/>
        <w:numPr>
          <w:ilvl w:val="0"/>
          <w:numId w:val="0"/>
        </w:numPr>
        <w:kinsoku/>
        <w:wordWrap/>
        <w:overflowPunct/>
        <w:topLinePunct w:val="0"/>
        <w:autoSpaceDE w:val="0"/>
        <w:bidi w:val="0"/>
        <w:adjustRightInd/>
        <w:snapToGrid/>
        <w:spacing w:line="576" w:lineRule="exact"/>
        <w:ind w:firstLine="616" w:firstLineChars="200"/>
        <w:textAlignment w:val="auto"/>
        <w:rPr>
          <w:rFonts w:hint="eastAsia" w:ascii="楷体_GB2312" w:hAnsi="楷体_GB2312" w:eastAsia="楷体_GB2312" w:cs="楷体_GB2312"/>
          <w:bCs/>
          <w:spacing w:val="-6"/>
          <w:sz w:val="32"/>
          <w:szCs w:val="32"/>
          <w:lang w:val="en-US" w:eastAsia="zh-CN"/>
        </w:rPr>
      </w:pPr>
      <w:r>
        <w:rPr>
          <w:rFonts w:hint="eastAsia" w:ascii="楷体_GB2312" w:hAnsi="楷体_GB2312" w:eastAsia="楷体_GB2312" w:cs="楷体_GB2312"/>
          <w:bCs/>
          <w:spacing w:val="-6"/>
          <w:sz w:val="32"/>
          <w:szCs w:val="32"/>
          <w:lang w:val="en-US" w:eastAsia="zh-CN"/>
        </w:rPr>
        <w:t>（一）项目完成情况分析</w:t>
      </w:r>
    </w:p>
    <w:p>
      <w:pPr>
        <w:bidi w:val="0"/>
        <w:rPr>
          <w:rFonts w:hint="eastAsia"/>
        </w:rPr>
      </w:pPr>
      <w:r>
        <w:rPr>
          <w:rFonts w:hint="eastAsia"/>
        </w:rPr>
        <w:t>1.数量指标</w:t>
      </w:r>
      <w:r>
        <w:rPr>
          <w:rFonts w:hint="eastAsia"/>
          <w:lang w:eastAsia="zh-CN"/>
        </w:rPr>
        <w:t>：</w:t>
      </w:r>
      <w:r>
        <w:rPr>
          <w:rFonts w:hint="eastAsia"/>
        </w:rPr>
        <w:t>完成</w:t>
      </w:r>
      <w:r>
        <w:rPr>
          <w:rFonts w:hint="eastAsia"/>
          <w:lang w:eastAsia="zh-CN"/>
        </w:rPr>
        <w:t>出台</w:t>
      </w:r>
      <w:r>
        <w:rPr>
          <w:rFonts w:hint="eastAsia"/>
        </w:rPr>
        <w:t>1个五年目标纲要（十三篇、三十八章）1个专规、2个课题。</w:t>
      </w:r>
    </w:p>
    <w:p>
      <w:pPr>
        <w:bidi w:val="0"/>
        <w:rPr>
          <w:rFonts w:hint="eastAsia"/>
        </w:rPr>
      </w:pPr>
      <w:r>
        <w:rPr>
          <w:rFonts w:hint="eastAsia"/>
        </w:rPr>
        <w:t>2.质量指标</w:t>
      </w:r>
      <w:r>
        <w:rPr>
          <w:rFonts w:hint="eastAsia"/>
          <w:lang w:eastAsia="zh-CN"/>
        </w:rPr>
        <w:t>：</w:t>
      </w:r>
      <w:r>
        <w:rPr>
          <w:rFonts w:hint="eastAsia"/>
        </w:rPr>
        <w:t>已在区七届人大六次会议审议通过。</w:t>
      </w:r>
    </w:p>
    <w:p>
      <w:pPr>
        <w:bidi w:val="0"/>
        <w:rPr>
          <w:rFonts w:hint="eastAsia"/>
        </w:rPr>
      </w:pPr>
      <w:r>
        <w:rPr>
          <w:rFonts w:hint="eastAsia"/>
        </w:rPr>
        <w:t>3.时效指标</w:t>
      </w:r>
      <w:r>
        <w:rPr>
          <w:rFonts w:hint="eastAsia"/>
          <w:lang w:eastAsia="zh-CN"/>
        </w:rPr>
        <w:t>：年内完成预算执行及绩效目标</w:t>
      </w:r>
      <w:r>
        <w:rPr>
          <w:rFonts w:hint="eastAsia"/>
        </w:rPr>
        <w:t>任务。</w:t>
      </w:r>
    </w:p>
    <w:p>
      <w:pPr>
        <w:bidi w:val="0"/>
        <w:rPr>
          <w:rFonts w:hint="eastAsia"/>
        </w:rPr>
      </w:pPr>
      <w:r>
        <w:rPr>
          <w:rFonts w:hint="eastAsia"/>
        </w:rPr>
        <w:t>4.成本指标</w:t>
      </w:r>
      <w:r>
        <w:rPr>
          <w:rFonts w:hint="eastAsia"/>
          <w:lang w:eastAsia="zh-CN"/>
        </w:rPr>
        <w:t>：</w:t>
      </w:r>
      <w:r>
        <w:rPr>
          <w:rFonts w:hint="eastAsia"/>
        </w:rPr>
        <w:t>全年发生“十四五”编制工作经费</w:t>
      </w:r>
      <w:r>
        <w:rPr>
          <w:rFonts w:hint="eastAsia"/>
          <w:lang w:val="en-US" w:eastAsia="zh-CN"/>
        </w:rPr>
        <w:t>14.48</w:t>
      </w:r>
      <w:r>
        <w:rPr>
          <w:rFonts w:hint="eastAsia"/>
        </w:rPr>
        <w:t>万元，经费使用率100%。</w:t>
      </w:r>
    </w:p>
    <w:p>
      <w:pPr>
        <w:bidi w:val="0"/>
        <w:rPr>
          <w:rFonts w:hint="eastAsia"/>
        </w:rPr>
      </w:pPr>
      <w:r>
        <w:rPr>
          <w:rFonts w:hint="eastAsia"/>
        </w:rPr>
        <w:t>4.经济效益</w:t>
      </w:r>
      <w:r>
        <w:rPr>
          <w:rFonts w:hint="eastAsia"/>
          <w:lang w:eastAsia="zh-CN"/>
        </w:rPr>
        <w:t>：</w:t>
      </w:r>
      <w:r>
        <w:rPr>
          <w:rFonts w:hint="eastAsia"/>
        </w:rPr>
        <w:t>为全区未来五年经济发展指明了方向、规划了蓝图。</w:t>
      </w:r>
    </w:p>
    <w:p>
      <w:pPr>
        <w:bidi w:val="0"/>
        <w:rPr>
          <w:rFonts w:hint="eastAsia"/>
        </w:rPr>
      </w:pPr>
      <w:r>
        <w:rPr>
          <w:rFonts w:hint="eastAsia"/>
        </w:rPr>
        <w:t>5.社会效益</w:t>
      </w:r>
      <w:r>
        <w:rPr>
          <w:rFonts w:hint="eastAsia"/>
          <w:lang w:eastAsia="zh-CN"/>
        </w:rPr>
        <w:t>：</w:t>
      </w:r>
      <w:r>
        <w:rPr>
          <w:rFonts w:hint="eastAsia"/>
        </w:rPr>
        <w:t>确立我区未来五年经济社会发展的总纲领。</w:t>
      </w:r>
    </w:p>
    <w:p>
      <w:pPr>
        <w:bidi w:val="0"/>
        <w:rPr>
          <w:rFonts w:hint="eastAsia"/>
        </w:rPr>
      </w:pPr>
      <w:r>
        <w:rPr>
          <w:rFonts w:hint="eastAsia"/>
        </w:rPr>
        <w:t>6.生态效益</w:t>
      </w:r>
      <w:r>
        <w:rPr>
          <w:rFonts w:hint="eastAsia"/>
          <w:lang w:eastAsia="zh-CN"/>
        </w:rPr>
        <w:t>：规划内容包含了生态环境保护范畴</w:t>
      </w:r>
      <w:r>
        <w:rPr>
          <w:rFonts w:hint="eastAsia"/>
        </w:rPr>
        <w:t>。</w:t>
      </w:r>
    </w:p>
    <w:p>
      <w:pPr>
        <w:bidi w:val="0"/>
        <w:rPr>
          <w:rFonts w:hint="eastAsia"/>
          <w:lang w:val="en-US" w:eastAsia="zh-CN"/>
        </w:rPr>
      </w:pPr>
      <w:r>
        <w:rPr>
          <w:rFonts w:hint="eastAsia"/>
          <w:lang w:val="en-US" w:eastAsia="zh-CN"/>
        </w:rPr>
        <w:t>7.可持续影响：明确了我区未来五年经济社会发展宏伟目标、重大任务和重要举措，并对二〇三五年远景目标进行展望，是政府履行职责的重要依据，是市场主体的行为导向，是全区人民建设生态文明繁荣和谐现代化新朝天的宏伟蓝图和行动纲领。</w:t>
      </w:r>
    </w:p>
    <w:p>
      <w:pPr>
        <w:bidi w:val="0"/>
        <w:rPr>
          <w:rFonts w:hint="eastAsia"/>
        </w:rPr>
      </w:pPr>
      <w:r>
        <w:rPr>
          <w:rFonts w:hint="eastAsia"/>
        </w:rPr>
        <w:t>8.满意度指标完成情况分析。满意度100%。</w:t>
      </w:r>
    </w:p>
    <w:p>
      <w:pPr>
        <w:keepNext w:val="0"/>
        <w:keepLines w:val="0"/>
        <w:pageBreakBefore w:val="0"/>
        <w:numPr>
          <w:ilvl w:val="0"/>
          <w:numId w:val="0"/>
        </w:numPr>
        <w:kinsoku/>
        <w:wordWrap/>
        <w:overflowPunct/>
        <w:topLinePunct w:val="0"/>
        <w:autoSpaceDE w:val="0"/>
        <w:bidi w:val="0"/>
        <w:adjustRightInd/>
        <w:snapToGrid/>
        <w:spacing w:line="576" w:lineRule="exact"/>
        <w:ind w:firstLine="616" w:firstLineChars="200"/>
        <w:textAlignment w:val="auto"/>
        <w:rPr>
          <w:rFonts w:hint="eastAsia" w:ascii="楷体_GB2312" w:hAnsi="楷体_GB2312" w:eastAsia="楷体_GB2312" w:cs="楷体_GB2312"/>
          <w:bCs/>
          <w:spacing w:val="-6"/>
          <w:sz w:val="32"/>
          <w:szCs w:val="32"/>
          <w:lang w:val="en-US" w:eastAsia="zh-CN"/>
        </w:rPr>
      </w:pPr>
      <w:r>
        <w:rPr>
          <w:rFonts w:hint="eastAsia" w:ascii="楷体_GB2312" w:hAnsi="楷体_GB2312" w:eastAsia="楷体_GB2312" w:cs="楷体_GB2312"/>
          <w:bCs/>
          <w:spacing w:val="-6"/>
          <w:sz w:val="32"/>
          <w:szCs w:val="32"/>
          <w:lang w:val="en-US" w:eastAsia="zh-CN"/>
        </w:rPr>
        <w:t>（二）项目效益情况分析</w:t>
      </w:r>
    </w:p>
    <w:p>
      <w:pPr>
        <w:bidi w:val="0"/>
        <w:rPr>
          <w:rFonts w:hint="eastAsia"/>
        </w:rPr>
      </w:pPr>
      <w:r>
        <w:rPr>
          <w:rFonts w:hint="eastAsia"/>
        </w:rPr>
        <w:t>通过项目实施，明确了我区未来五年经济社会发展宏伟目标、重大任务和重要举措，并对</w:t>
      </w:r>
      <w:r>
        <w:rPr>
          <w:rFonts w:hint="eastAsia"/>
          <w:lang w:eastAsia="zh-CN"/>
        </w:rPr>
        <w:t>二〇三五年远景目标</w:t>
      </w:r>
      <w:r>
        <w:rPr>
          <w:rFonts w:hint="eastAsia"/>
        </w:rPr>
        <w:t>进行展望，为建设生态文明繁荣和谐现代化新朝天绘制了路径和蓝图。</w:t>
      </w:r>
    </w:p>
    <w:p>
      <w:pPr>
        <w:keepNext w:val="0"/>
        <w:keepLines w:val="0"/>
        <w:pageBreakBefore w:val="0"/>
        <w:kinsoku/>
        <w:wordWrap/>
        <w:overflowPunct/>
        <w:topLinePunct w:val="0"/>
        <w:bidi w:val="0"/>
        <w:adjustRightInd/>
        <w:snapToGrid/>
        <w:spacing w:line="576" w:lineRule="exact"/>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lang w:eastAsia="zh-CN"/>
        </w:rPr>
        <w:t>四、</w:t>
      </w:r>
      <w:r>
        <w:rPr>
          <w:rFonts w:hint="eastAsia" w:ascii="黑体" w:hAnsi="黑体" w:eastAsia="黑体" w:cs="黑体"/>
          <w:b w:val="0"/>
          <w:bCs w:val="0"/>
          <w:color w:val="333333"/>
          <w:sz w:val="32"/>
          <w:szCs w:val="32"/>
          <w:shd w:val="clear" w:color="auto" w:fill="FFFFFF"/>
        </w:rPr>
        <w:t>问题及建议</w:t>
      </w:r>
    </w:p>
    <w:p>
      <w:pPr>
        <w:keepNext w:val="0"/>
        <w:keepLines w:val="0"/>
        <w:pageBreakBefore w:val="0"/>
        <w:numPr>
          <w:ilvl w:val="0"/>
          <w:numId w:val="0"/>
        </w:numPr>
        <w:kinsoku/>
        <w:wordWrap/>
        <w:overflowPunct/>
        <w:topLinePunct w:val="0"/>
        <w:autoSpaceDE w:val="0"/>
        <w:bidi w:val="0"/>
        <w:adjustRightInd/>
        <w:snapToGrid/>
        <w:spacing w:line="576" w:lineRule="exact"/>
        <w:ind w:firstLine="616" w:firstLineChars="200"/>
        <w:textAlignment w:val="auto"/>
        <w:rPr>
          <w:rFonts w:hint="eastAsia" w:ascii="楷体_GB2312" w:hAnsi="楷体_GB2312" w:eastAsia="楷体_GB2312" w:cs="楷体_GB2312"/>
          <w:bCs/>
          <w:spacing w:val="-6"/>
          <w:sz w:val="32"/>
          <w:szCs w:val="32"/>
          <w:lang w:val="en-US" w:eastAsia="zh-CN"/>
        </w:rPr>
      </w:pPr>
      <w:r>
        <w:rPr>
          <w:rFonts w:hint="eastAsia" w:ascii="楷体_GB2312" w:hAnsi="楷体_GB2312" w:eastAsia="楷体_GB2312" w:cs="楷体_GB2312"/>
          <w:bCs/>
          <w:spacing w:val="-6"/>
          <w:sz w:val="32"/>
          <w:szCs w:val="32"/>
          <w:lang w:val="en-US" w:eastAsia="zh-CN"/>
        </w:rPr>
        <w:t>（一）存在的问题</w:t>
      </w:r>
    </w:p>
    <w:p>
      <w:pPr>
        <w:bidi w:val="0"/>
        <w:rPr>
          <w:rFonts w:hint="eastAsia"/>
        </w:rPr>
      </w:pPr>
      <w:r>
        <w:rPr>
          <w:rFonts w:hint="eastAsia"/>
        </w:rPr>
        <w:t>1.重视程度有待加强，绩效目标设定不够精细合理；</w:t>
      </w:r>
    </w:p>
    <w:p>
      <w:pPr>
        <w:bidi w:val="0"/>
        <w:rPr>
          <w:rFonts w:hint="eastAsia"/>
        </w:rPr>
      </w:pPr>
      <w:r>
        <w:rPr>
          <w:rFonts w:hint="eastAsia"/>
        </w:rPr>
        <w:t>2.绩效评价思想上存在误区，绩效评价方式比较单一，形式和内容不够全面；</w:t>
      </w:r>
    </w:p>
    <w:p>
      <w:pPr>
        <w:bidi w:val="0"/>
        <w:rPr>
          <w:rFonts w:hint="eastAsia"/>
        </w:rPr>
      </w:pPr>
      <w:r>
        <w:rPr>
          <w:rFonts w:hint="eastAsia"/>
        </w:rPr>
        <w:t>3.项目支出绩效目标设置不够精细，指标数量不够明晰，结构不太合理。</w:t>
      </w:r>
    </w:p>
    <w:p>
      <w:pPr>
        <w:keepNext w:val="0"/>
        <w:keepLines w:val="0"/>
        <w:pageBreakBefore w:val="0"/>
        <w:numPr>
          <w:ilvl w:val="0"/>
          <w:numId w:val="0"/>
        </w:numPr>
        <w:kinsoku/>
        <w:wordWrap/>
        <w:overflowPunct/>
        <w:topLinePunct w:val="0"/>
        <w:autoSpaceDE w:val="0"/>
        <w:bidi w:val="0"/>
        <w:adjustRightInd/>
        <w:snapToGrid/>
        <w:spacing w:line="576" w:lineRule="exact"/>
        <w:ind w:firstLine="616" w:firstLineChars="200"/>
        <w:textAlignment w:val="auto"/>
        <w:rPr>
          <w:rFonts w:hint="eastAsia" w:ascii="楷体_GB2312" w:hAnsi="楷体_GB2312" w:eastAsia="楷体_GB2312" w:cs="楷体_GB2312"/>
          <w:bCs/>
          <w:spacing w:val="-6"/>
          <w:sz w:val="32"/>
          <w:szCs w:val="32"/>
        </w:rPr>
      </w:pPr>
      <w:r>
        <w:rPr>
          <w:rFonts w:hint="eastAsia" w:ascii="楷体_GB2312" w:hAnsi="楷体_GB2312" w:eastAsia="楷体_GB2312" w:cs="楷体_GB2312"/>
          <w:bCs/>
          <w:spacing w:val="-6"/>
          <w:sz w:val="32"/>
          <w:szCs w:val="32"/>
          <w:lang w:val="en-US" w:eastAsia="zh-CN"/>
        </w:rPr>
        <w:t>（二）</w:t>
      </w:r>
      <w:r>
        <w:rPr>
          <w:rFonts w:hint="eastAsia" w:ascii="楷体_GB2312" w:hAnsi="楷体_GB2312" w:eastAsia="楷体_GB2312" w:cs="楷体_GB2312"/>
          <w:bCs/>
          <w:spacing w:val="-6"/>
          <w:sz w:val="32"/>
          <w:szCs w:val="32"/>
        </w:rPr>
        <w:t>相关建议</w:t>
      </w:r>
    </w:p>
    <w:p>
      <w:pPr>
        <w:bidi w:val="0"/>
        <w:rPr>
          <w:rFonts w:hint="eastAsia"/>
          <w:lang w:val="en-US" w:eastAsia="zh-CN"/>
        </w:rPr>
      </w:pPr>
      <w:r>
        <w:rPr>
          <w:rFonts w:hint="eastAsia"/>
          <w:lang w:val="en-US" w:eastAsia="zh-CN"/>
        </w:rPr>
        <w:t>1.建议业务主管部门加强对单位、部门的业务知识的培训，同时加强对单位、部门的调研指导；</w:t>
      </w:r>
    </w:p>
    <w:p>
      <w:pPr>
        <w:bidi w:val="0"/>
        <w:rPr>
          <w:rFonts w:hint="eastAsia" w:ascii="方正大标宋简体" w:hAnsi="??" w:eastAsia="方正大标宋简体" w:cs="Times New Roman"/>
          <w:b w:val="0"/>
          <w:bCs/>
          <w:color w:val="000000"/>
          <w:spacing w:val="-6"/>
          <w:kern w:val="0"/>
          <w:sz w:val="44"/>
          <w:szCs w:val="44"/>
          <w:lang w:eastAsia="zh-CN"/>
        </w:rPr>
      </w:pPr>
      <w:r>
        <w:rPr>
          <w:rFonts w:hint="eastAsia"/>
          <w:lang w:val="en-US" w:eastAsia="zh-CN"/>
        </w:rPr>
        <w:t>2.建议业务主管部门给单位、部门传递更强信号，提高单位级领导班子及集体对绩效管理工作的重视程度。</w:t>
      </w:r>
    </w:p>
    <w:p>
      <w:pPr>
        <w:autoSpaceDE w:val="0"/>
        <w:spacing w:line="540" w:lineRule="exact"/>
        <w:ind w:left="0" w:leftChars="0" w:right="0" w:rightChars="0" w:firstLine="0" w:firstLineChars="0"/>
        <w:jc w:val="center"/>
        <w:rPr>
          <w:rFonts w:hint="eastAsia" w:ascii="方正大标宋简体" w:hAnsi="??" w:eastAsia="方正大标宋简体" w:cs="Times New Roman"/>
          <w:b w:val="0"/>
          <w:bCs/>
          <w:color w:val="000000"/>
          <w:spacing w:val="-6"/>
          <w:kern w:val="0"/>
          <w:sz w:val="44"/>
          <w:szCs w:val="44"/>
          <w:lang w:eastAsia="zh-CN"/>
        </w:rPr>
      </w:pPr>
      <w:r>
        <w:rPr>
          <w:rFonts w:hint="eastAsia" w:ascii="方正大标宋简体" w:hAnsi="??" w:eastAsia="方正大标宋简体" w:cs="Times New Roman"/>
          <w:b w:val="0"/>
          <w:bCs/>
          <w:color w:val="000000"/>
          <w:spacing w:val="-6"/>
          <w:kern w:val="0"/>
          <w:sz w:val="44"/>
          <w:szCs w:val="44"/>
          <w:lang w:eastAsia="zh-CN"/>
        </w:rPr>
        <w:t>广元市朝天区发展和改革局</w:t>
      </w:r>
    </w:p>
    <w:p>
      <w:pPr>
        <w:autoSpaceDE w:val="0"/>
        <w:spacing w:line="540" w:lineRule="exact"/>
        <w:ind w:left="0" w:leftChars="0" w:right="0" w:rightChars="0" w:firstLine="0" w:firstLineChars="0"/>
        <w:jc w:val="center"/>
        <w:rPr>
          <w:rFonts w:hint="eastAsia" w:ascii="方正大标宋简体" w:hAnsi="??" w:eastAsia="方正大标宋简体" w:cs="Times New Roman"/>
          <w:b w:val="0"/>
          <w:bCs/>
          <w:color w:val="000000"/>
          <w:spacing w:val="-6"/>
          <w:kern w:val="0"/>
          <w:sz w:val="44"/>
          <w:szCs w:val="44"/>
        </w:rPr>
      </w:pPr>
      <w:r>
        <w:rPr>
          <w:rFonts w:hint="eastAsia" w:ascii="方正大标宋简体" w:hAnsi="??" w:eastAsia="方正大标宋简体" w:cs="Times New Roman"/>
          <w:b w:val="0"/>
          <w:bCs/>
          <w:color w:val="000000"/>
          <w:spacing w:val="-6"/>
          <w:kern w:val="0"/>
          <w:sz w:val="44"/>
          <w:szCs w:val="44"/>
        </w:rPr>
        <w:t>20</w:t>
      </w:r>
      <w:r>
        <w:rPr>
          <w:rFonts w:hint="eastAsia" w:ascii="方正大标宋简体" w:hAnsi="??" w:eastAsia="方正大标宋简体" w:cs="Times New Roman"/>
          <w:b w:val="0"/>
          <w:bCs/>
          <w:color w:val="000000"/>
          <w:spacing w:val="-6"/>
          <w:kern w:val="0"/>
          <w:sz w:val="44"/>
          <w:szCs w:val="44"/>
          <w:lang w:val="en-US" w:eastAsia="zh-CN"/>
        </w:rPr>
        <w:t>22</w:t>
      </w:r>
      <w:r>
        <w:rPr>
          <w:rFonts w:hint="eastAsia" w:ascii="方正大标宋简体" w:hAnsi="??" w:eastAsia="方正大标宋简体" w:cs="Times New Roman"/>
          <w:b w:val="0"/>
          <w:bCs/>
          <w:color w:val="000000"/>
          <w:spacing w:val="-6"/>
          <w:kern w:val="0"/>
          <w:sz w:val="44"/>
          <w:szCs w:val="44"/>
        </w:rPr>
        <w:t>年</w:t>
      </w:r>
      <w:r>
        <w:rPr>
          <w:rFonts w:hint="eastAsia" w:ascii="方正大标宋简体" w:hAnsi="??" w:eastAsia="方正大标宋简体" w:cs="Times New Roman"/>
          <w:b w:val="0"/>
          <w:bCs/>
          <w:color w:val="000000"/>
          <w:spacing w:val="-6"/>
          <w:kern w:val="0"/>
          <w:sz w:val="44"/>
          <w:szCs w:val="44"/>
          <w:lang w:eastAsia="zh-CN"/>
        </w:rPr>
        <w:t>推动县域经济发展工作经费</w:t>
      </w:r>
      <w:r>
        <w:rPr>
          <w:rFonts w:hint="eastAsia" w:ascii="方正大标宋简体" w:hAnsi="??" w:eastAsia="方正大标宋简体" w:cs="Times New Roman"/>
          <w:b w:val="0"/>
          <w:bCs/>
          <w:color w:val="000000"/>
          <w:spacing w:val="-6"/>
          <w:kern w:val="0"/>
          <w:sz w:val="44"/>
          <w:szCs w:val="44"/>
        </w:rPr>
        <w:t>项目支出</w:t>
      </w:r>
    </w:p>
    <w:p>
      <w:pPr>
        <w:autoSpaceDE w:val="0"/>
        <w:spacing w:line="540" w:lineRule="exact"/>
        <w:ind w:left="0" w:leftChars="0" w:right="0" w:rightChars="0" w:firstLine="0" w:firstLineChars="0"/>
        <w:jc w:val="center"/>
        <w:rPr>
          <w:rFonts w:hint="eastAsia" w:ascii="方正大标宋简体" w:hAnsi="??" w:eastAsia="方正大标宋简体" w:cs="Times New Roman"/>
          <w:b w:val="0"/>
          <w:bCs/>
          <w:color w:val="000000"/>
          <w:spacing w:val="-6"/>
          <w:kern w:val="0"/>
          <w:sz w:val="44"/>
          <w:szCs w:val="44"/>
        </w:rPr>
      </w:pPr>
      <w:r>
        <w:rPr>
          <w:rFonts w:hint="eastAsia" w:ascii="方正大标宋简体" w:hAnsi="??" w:eastAsia="方正大标宋简体" w:cs="Times New Roman"/>
          <w:b w:val="0"/>
          <w:bCs/>
          <w:color w:val="000000"/>
          <w:spacing w:val="-6"/>
          <w:kern w:val="0"/>
          <w:sz w:val="44"/>
          <w:szCs w:val="44"/>
        </w:rPr>
        <w:t>绩效自评报告</w:t>
      </w:r>
    </w:p>
    <w:p>
      <w:pPr>
        <w:autoSpaceDE w:val="0"/>
        <w:spacing w:line="540" w:lineRule="exact"/>
        <w:jc w:val="both"/>
        <w:rPr>
          <w:rFonts w:hint="eastAsia" w:ascii="宋体" w:hAnsi="Times New Roman" w:eastAsia="宋体" w:cs="Times New Roman"/>
          <w:spacing w:val="-6"/>
          <w:szCs w:val="21"/>
        </w:rPr>
      </w:pP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黑体" w:hAnsi="黑体" w:eastAsia="黑体" w:cs="Times New Roman"/>
          <w:spacing w:val="-6"/>
          <w:sz w:val="32"/>
          <w:szCs w:val="32"/>
        </w:rPr>
        <w:t>一、项目概况</w:t>
      </w:r>
    </w:p>
    <w:p>
      <w:pPr>
        <w:autoSpaceDE w:val="0"/>
        <w:spacing w:line="540" w:lineRule="exact"/>
        <w:ind w:firstLine="616" w:firstLineChars="200"/>
        <w:rPr>
          <w:rFonts w:hint="eastAsia" w:ascii="楷体" w:hAnsi="楷体" w:eastAsia="楷体" w:cs="楷体"/>
          <w:spacing w:val="-6"/>
          <w:sz w:val="32"/>
          <w:szCs w:val="32"/>
          <w:lang w:eastAsia="zh-CN"/>
        </w:rPr>
      </w:pPr>
      <w:r>
        <w:rPr>
          <w:rFonts w:hint="eastAsia" w:ascii="楷体" w:hAnsi="楷体" w:eastAsia="楷体" w:cs="楷体"/>
          <w:spacing w:val="-6"/>
          <w:sz w:val="32"/>
          <w:szCs w:val="32"/>
          <w:lang w:eastAsia="zh-CN"/>
        </w:rPr>
        <w:t>（一）项目资金申报及批复情况</w:t>
      </w:r>
    </w:p>
    <w:p>
      <w:pPr>
        <w:bidi w:val="0"/>
        <w:rPr>
          <w:rFonts w:hint="eastAsia"/>
        </w:rPr>
      </w:pPr>
      <w:r>
        <w:rPr>
          <w:rFonts w:hint="eastAsia"/>
          <w:lang w:eastAsia="zh-CN"/>
        </w:rPr>
        <w:t>年初区发改局向区财政申报推动县域经济工作经费</w:t>
      </w:r>
      <w:r>
        <w:rPr>
          <w:rFonts w:hint="eastAsia"/>
          <w:lang w:val="en-US" w:eastAsia="zh-CN"/>
        </w:rPr>
        <w:t>5万元，区财政批准5万元，纳入本单位年初预算。</w:t>
      </w:r>
    </w:p>
    <w:p>
      <w:pPr>
        <w:numPr>
          <w:ilvl w:val="0"/>
          <w:numId w:val="0"/>
        </w:numPr>
        <w:autoSpaceDE w:val="0"/>
        <w:spacing w:line="540" w:lineRule="exact"/>
        <w:ind w:firstLine="616" w:firstLineChars="200"/>
        <w:rPr>
          <w:rFonts w:hint="eastAsia" w:ascii="楷体" w:hAnsi="楷体" w:eastAsia="楷体" w:cs="楷体"/>
          <w:bCs/>
          <w:spacing w:val="-6"/>
          <w:sz w:val="32"/>
          <w:szCs w:val="32"/>
        </w:rPr>
      </w:pPr>
      <w:r>
        <w:rPr>
          <w:rFonts w:hint="eastAsia" w:ascii="楷体" w:hAnsi="楷体" w:eastAsia="楷体" w:cs="楷体"/>
          <w:bCs/>
          <w:spacing w:val="-6"/>
          <w:sz w:val="32"/>
          <w:szCs w:val="32"/>
          <w:lang w:eastAsia="zh-CN"/>
        </w:rPr>
        <w:t>（二）</w:t>
      </w:r>
      <w:r>
        <w:rPr>
          <w:rFonts w:hint="eastAsia" w:ascii="楷体" w:hAnsi="楷体" w:eastAsia="楷体" w:cs="楷体"/>
          <w:bCs/>
          <w:spacing w:val="-6"/>
          <w:sz w:val="32"/>
          <w:szCs w:val="32"/>
        </w:rPr>
        <w:t>项目绩效目标</w:t>
      </w:r>
    </w:p>
    <w:p>
      <w:pPr>
        <w:bidi w:val="0"/>
        <w:rPr>
          <w:rFonts w:hint="eastAsia"/>
        </w:rPr>
      </w:pPr>
      <w:r>
        <w:rPr>
          <w:rFonts w:hint="eastAsia"/>
          <w:lang w:eastAsia="zh-CN"/>
        </w:rPr>
        <w:t>区发改局</w:t>
      </w:r>
      <w:r>
        <w:rPr>
          <w:rFonts w:hint="eastAsia"/>
          <w:lang w:val="en-US" w:eastAsia="zh-CN"/>
        </w:rPr>
        <w:t>2022年</w:t>
      </w:r>
      <w:r>
        <w:rPr>
          <w:rFonts w:hint="eastAsia"/>
          <w:lang w:eastAsia="zh-CN"/>
        </w:rPr>
        <w:t>计划向中央省争取预算内项目</w:t>
      </w:r>
      <w:r>
        <w:rPr>
          <w:rFonts w:hint="eastAsia"/>
          <w:lang w:val="en-US" w:eastAsia="zh-CN"/>
        </w:rPr>
        <w:t>10个、3500万元。年内实际完成向上争取项目10个，完成争取项目资金3602万元。</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（三）项目资金申报相符性</w:t>
      </w:r>
    </w:p>
    <w:p>
      <w:pPr>
        <w:bidi w:val="0"/>
        <w:rPr>
          <w:rFonts w:hint="eastAsia" w:ascii="仿宋_GB2312" w:hAnsi="Times New Roman" w:eastAsia="仿宋_GB2312" w:cs="Times New Roman"/>
          <w:spacing w:val="-6"/>
          <w:szCs w:val="32"/>
        </w:rPr>
      </w:pPr>
      <w:r>
        <w:rPr>
          <w:rFonts w:hint="eastAsia"/>
          <w:lang w:eastAsia="zh-CN"/>
        </w:rPr>
        <w:t>推动县域经济工作经费</w:t>
      </w:r>
      <w:r>
        <w:rPr>
          <w:rFonts w:hint="eastAsia"/>
        </w:rPr>
        <w:t>项目申报内容与具体实施内容相符、申报目标合理可行。</w:t>
      </w:r>
    </w:p>
    <w:p>
      <w:pPr>
        <w:pStyle w:val="3"/>
        <w:numPr>
          <w:ilvl w:val="0"/>
          <w:numId w:val="3"/>
        </w:numPr>
        <w:bidi w:val="0"/>
        <w:rPr>
          <w:rFonts w:hint="eastAsia"/>
        </w:rPr>
      </w:pPr>
      <w:r>
        <w:rPr>
          <w:rFonts w:hint="eastAsia"/>
        </w:rPr>
        <w:t>项目实施及管理情况</w:t>
      </w:r>
    </w:p>
    <w:p>
      <w:pPr>
        <w:pStyle w:val="4"/>
        <w:bidi w:val="0"/>
        <w:rPr>
          <w:rFonts w:hint="eastAsia"/>
        </w:rPr>
      </w:pPr>
      <w:r>
        <w:rPr>
          <w:rFonts w:hint="eastAsia"/>
        </w:rPr>
        <w:t>（一）项目资金到位情况</w:t>
      </w:r>
    </w:p>
    <w:p>
      <w:pPr>
        <w:bidi w:val="0"/>
        <w:rPr>
          <w:rFonts w:hint="eastAsia"/>
          <w:lang w:val="en-US" w:eastAsia="zh-CN"/>
        </w:rPr>
      </w:pPr>
      <w:r>
        <w:rPr>
          <w:rFonts w:hint="eastAsia"/>
          <w:lang w:val="en-US" w:eastAsia="zh-CN"/>
        </w:rPr>
        <w:t>2022年度区财政下达推动县域经济发展工作经费5万元，资金到位率100%。</w:t>
      </w:r>
    </w:p>
    <w:p>
      <w:pPr>
        <w:pStyle w:val="4"/>
        <w:bidi w:val="0"/>
        <w:rPr>
          <w:rFonts w:hint="eastAsia"/>
          <w:lang w:val="en-US" w:eastAsia="zh-CN"/>
        </w:rPr>
      </w:pPr>
      <w:r>
        <w:rPr>
          <w:rFonts w:hint="eastAsia"/>
          <w:lang w:val="en-US" w:eastAsia="zh-CN"/>
        </w:rPr>
        <w:t>（二）项目资金执行情况。</w:t>
      </w:r>
    </w:p>
    <w:p>
      <w:pPr>
        <w:bidi w:val="0"/>
        <w:rPr>
          <w:rFonts w:hint="eastAsia"/>
          <w:lang w:val="en-US" w:eastAsia="zh-CN"/>
        </w:rPr>
      </w:pPr>
      <w:r>
        <w:rPr>
          <w:rFonts w:hint="eastAsia"/>
          <w:lang w:val="en-US" w:eastAsia="zh-CN"/>
        </w:rPr>
        <w:t>全年支付项目争取办公费0.6万元、印刷费2.1万元、差旅费2.3万元。资金支付率100%。</w:t>
      </w:r>
    </w:p>
    <w:p>
      <w:pPr>
        <w:pStyle w:val="4"/>
        <w:bidi w:val="0"/>
        <w:rPr>
          <w:rFonts w:hint="eastAsia"/>
          <w:lang w:val="en-US" w:eastAsia="zh-CN"/>
        </w:rPr>
      </w:pPr>
      <w:r>
        <w:rPr>
          <w:rFonts w:hint="eastAsia"/>
          <w:lang w:val="en-US" w:eastAsia="zh-CN"/>
        </w:rPr>
        <w:t>（三）项目资金管理情况</w:t>
      </w:r>
    </w:p>
    <w:p>
      <w:pPr>
        <w:bidi w:val="0"/>
        <w:rPr>
          <w:rFonts w:hint="eastAsia"/>
          <w:lang w:val="en-US" w:eastAsia="zh-CN"/>
        </w:rPr>
      </w:pPr>
      <w:r>
        <w:rPr>
          <w:rFonts w:hint="eastAsia"/>
          <w:lang w:val="en-US" w:eastAsia="zh-CN"/>
        </w:rPr>
        <w:t>在项目争取过程中，不断加强项目资金监管，对项目资金的使用，严格审核审批流程，始终坚持项目资金预算执行与项目进度紧密衔接。确保项目资金专款专用，进一步提高资金使用效率，确保项目绩效目标完成。</w:t>
      </w:r>
    </w:p>
    <w:p>
      <w:pPr>
        <w:pStyle w:val="3"/>
        <w:bidi w:val="0"/>
        <w:rPr>
          <w:rFonts w:hint="eastAsia"/>
          <w:lang w:val="en-US" w:eastAsia="zh-CN"/>
        </w:rPr>
      </w:pPr>
      <w:r>
        <w:rPr>
          <w:rFonts w:hint="eastAsia"/>
          <w:lang w:val="en-US" w:eastAsia="zh-CN"/>
        </w:rPr>
        <w:t>三、项目绩效情况</w:t>
      </w:r>
    </w:p>
    <w:p>
      <w:pPr>
        <w:pStyle w:val="4"/>
        <w:bidi w:val="0"/>
        <w:rPr>
          <w:rFonts w:hint="eastAsia"/>
        </w:rPr>
      </w:pPr>
      <w:r>
        <w:rPr>
          <w:rFonts w:hint="eastAsia"/>
        </w:rPr>
        <w:t>（一）项目完成情况分析</w:t>
      </w:r>
    </w:p>
    <w:p>
      <w:pPr>
        <w:bidi w:val="0"/>
        <w:rPr>
          <w:rFonts w:hint="default"/>
          <w:lang w:val="en-US" w:eastAsia="zh-CN"/>
        </w:rPr>
      </w:pPr>
      <w:r>
        <w:rPr>
          <w:rFonts w:hint="eastAsia"/>
        </w:rPr>
        <w:t>1.数量指标</w:t>
      </w:r>
      <w:r>
        <w:rPr>
          <w:rFonts w:hint="eastAsia"/>
          <w:lang w:eastAsia="zh-CN"/>
        </w:rPr>
        <w:t>：向上争取预算内项目</w:t>
      </w:r>
      <w:r>
        <w:rPr>
          <w:rFonts w:hint="eastAsia"/>
          <w:lang w:val="en-US" w:eastAsia="zh-CN"/>
        </w:rPr>
        <w:t>10个、项目资金3500万元。</w:t>
      </w:r>
    </w:p>
    <w:p>
      <w:pPr>
        <w:bidi w:val="0"/>
        <w:rPr>
          <w:rFonts w:hint="eastAsia"/>
        </w:rPr>
      </w:pPr>
      <w:r>
        <w:rPr>
          <w:rFonts w:hint="eastAsia"/>
        </w:rPr>
        <w:t>2.质量指标</w:t>
      </w:r>
      <w:r>
        <w:rPr>
          <w:rFonts w:hint="eastAsia"/>
          <w:lang w:eastAsia="zh-CN"/>
        </w:rPr>
        <w:t>：项目到位率、资金到位率</w:t>
      </w:r>
      <w:r>
        <w:rPr>
          <w:rFonts w:hint="eastAsia"/>
          <w:lang w:val="en-US" w:eastAsia="zh-CN"/>
        </w:rPr>
        <w:t>100%</w:t>
      </w:r>
      <w:r>
        <w:rPr>
          <w:rFonts w:hint="eastAsia"/>
        </w:rPr>
        <w:t>。</w:t>
      </w:r>
    </w:p>
    <w:p>
      <w:pPr>
        <w:bidi w:val="0"/>
        <w:rPr>
          <w:rFonts w:hint="eastAsia"/>
        </w:rPr>
      </w:pPr>
      <w:r>
        <w:rPr>
          <w:rFonts w:hint="eastAsia"/>
        </w:rPr>
        <w:t>3.时效指标</w:t>
      </w:r>
      <w:r>
        <w:rPr>
          <w:rFonts w:hint="eastAsia"/>
          <w:lang w:eastAsia="zh-CN"/>
        </w:rPr>
        <w:t>：</w:t>
      </w:r>
      <w:r>
        <w:rPr>
          <w:rFonts w:hint="eastAsia"/>
        </w:rPr>
        <w:t>经费保障到位率100%，编制任务完成率100%。</w:t>
      </w:r>
    </w:p>
    <w:p>
      <w:pPr>
        <w:bidi w:val="0"/>
        <w:rPr>
          <w:rFonts w:hint="eastAsia"/>
        </w:rPr>
      </w:pPr>
      <w:r>
        <w:rPr>
          <w:rFonts w:hint="eastAsia"/>
        </w:rPr>
        <w:t>4.成本指标</w:t>
      </w:r>
      <w:r>
        <w:rPr>
          <w:rFonts w:hint="eastAsia"/>
          <w:lang w:eastAsia="zh-CN"/>
        </w:rPr>
        <w:t>：</w:t>
      </w:r>
      <w:r>
        <w:rPr>
          <w:rFonts w:hint="eastAsia"/>
        </w:rPr>
        <w:t>全年发生</w:t>
      </w:r>
      <w:r>
        <w:rPr>
          <w:rFonts w:hint="eastAsia"/>
          <w:lang w:eastAsia="zh-CN"/>
        </w:rPr>
        <w:t>推动县域经济发展</w:t>
      </w:r>
      <w:r>
        <w:rPr>
          <w:rFonts w:hint="eastAsia"/>
        </w:rPr>
        <w:t>工作经费</w:t>
      </w:r>
      <w:r>
        <w:rPr>
          <w:rFonts w:hint="eastAsia"/>
          <w:lang w:val="en-US" w:eastAsia="zh-CN"/>
        </w:rPr>
        <w:t>5</w:t>
      </w:r>
      <w:r>
        <w:rPr>
          <w:rFonts w:hint="eastAsia"/>
        </w:rPr>
        <w:t>万元，经费使用率100%。</w:t>
      </w:r>
    </w:p>
    <w:p>
      <w:pPr>
        <w:bidi w:val="0"/>
        <w:rPr>
          <w:rFonts w:hint="eastAsia"/>
        </w:rPr>
      </w:pPr>
      <w:r>
        <w:rPr>
          <w:rFonts w:hint="eastAsia"/>
        </w:rPr>
        <w:t>4.经济效益</w:t>
      </w:r>
      <w:r>
        <w:rPr>
          <w:rFonts w:hint="eastAsia"/>
          <w:lang w:eastAsia="zh-CN"/>
        </w:rPr>
        <w:t>：推动了全区基础设施建设及经济社会发展</w:t>
      </w:r>
      <w:r>
        <w:rPr>
          <w:rFonts w:hint="eastAsia"/>
        </w:rPr>
        <w:t>。</w:t>
      </w:r>
    </w:p>
    <w:p>
      <w:pPr>
        <w:bidi w:val="0"/>
        <w:rPr>
          <w:rFonts w:hint="eastAsia"/>
        </w:rPr>
      </w:pPr>
      <w:r>
        <w:rPr>
          <w:rFonts w:hint="eastAsia"/>
        </w:rPr>
        <w:t>5.社会效益</w:t>
      </w:r>
      <w:r>
        <w:rPr>
          <w:rFonts w:hint="eastAsia"/>
          <w:lang w:eastAsia="zh-CN"/>
        </w:rPr>
        <w:t>：基础设施进一步改善</w:t>
      </w:r>
      <w:r>
        <w:rPr>
          <w:rFonts w:hint="eastAsia"/>
        </w:rPr>
        <w:t>。</w:t>
      </w:r>
    </w:p>
    <w:p>
      <w:pPr>
        <w:bidi w:val="0"/>
        <w:rPr>
          <w:rFonts w:hint="eastAsia"/>
        </w:rPr>
      </w:pPr>
      <w:r>
        <w:rPr>
          <w:rFonts w:hint="eastAsia"/>
        </w:rPr>
        <w:t>6.生态效益</w:t>
      </w:r>
      <w:r>
        <w:rPr>
          <w:rFonts w:hint="eastAsia"/>
          <w:lang w:eastAsia="zh-CN"/>
        </w:rPr>
        <w:t>：项目实施，与生态环境保护相结合。</w:t>
      </w:r>
    </w:p>
    <w:p>
      <w:pPr>
        <w:bidi w:val="0"/>
        <w:rPr>
          <w:rFonts w:hint="eastAsia"/>
        </w:rPr>
      </w:pPr>
      <w:r>
        <w:rPr>
          <w:rFonts w:hint="eastAsia"/>
        </w:rPr>
        <w:t>7.可持续影响</w:t>
      </w:r>
      <w:r>
        <w:rPr>
          <w:rFonts w:hint="eastAsia"/>
          <w:lang w:eastAsia="zh-CN"/>
        </w:rPr>
        <w:t>：争取项目资金投入，为全区经济社会发展，基础设施改善，提高人民群众获得感，具有现实意义。</w:t>
      </w:r>
    </w:p>
    <w:p>
      <w:pPr>
        <w:bidi w:val="0"/>
        <w:rPr>
          <w:rFonts w:hint="eastAsia"/>
        </w:rPr>
      </w:pPr>
      <w:r>
        <w:rPr>
          <w:rFonts w:hint="eastAsia"/>
        </w:rPr>
        <w:t>8.满意度指标完成情况分析</w:t>
      </w:r>
      <w:r>
        <w:rPr>
          <w:rFonts w:hint="eastAsia"/>
          <w:lang w:eastAsia="zh-CN"/>
        </w:rPr>
        <w:t>：社会</w:t>
      </w:r>
      <w:r>
        <w:rPr>
          <w:rFonts w:hint="eastAsia"/>
        </w:rPr>
        <w:t>满意度≧</w:t>
      </w:r>
      <w:r>
        <w:rPr>
          <w:rFonts w:hint="eastAsia"/>
          <w:lang w:val="en-US" w:eastAsia="zh-CN"/>
        </w:rPr>
        <w:t>98</w:t>
      </w:r>
      <w:r>
        <w:rPr>
          <w:rFonts w:hint="eastAsia"/>
        </w:rPr>
        <w:t>%。</w:t>
      </w:r>
    </w:p>
    <w:p>
      <w:pPr>
        <w:pStyle w:val="4"/>
        <w:bidi w:val="0"/>
        <w:rPr>
          <w:rFonts w:hint="eastAsia"/>
        </w:rPr>
      </w:pPr>
      <w:r>
        <w:rPr>
          <w:rFonts w:hint="eastAsia"/>
        </w:rPr>
        <w:t>（二）项目效益情况分析</w:t>
      </w:r>
    </w:p>
    <w:p>
      <w:pPr>
        <w:bidi w:val="0"/>
        <w:rPr>
          <w:rFonts w:hint="eastAsia"/>
        </w:rPr>
      </w:pPr>
      <w:r>
        <w:rPr>
          <w:rFonts w:hint="eastAsia"/>
        </w:rPr>
        <w:t>通过项目实施，</w:t>
      </w:r>
      <w:r>
        <w:rPr>
          <w:rFonts w:hint="eastAsia"/>
          <w:lang w:eastAsia="zh-CN"/>
        </w:rPr>
        <w:t>对全区经济社会发展起到了重要作用，为今后持续发力奠定了基础和遵循</w:t>
      </w:r>
      <w:r>
        <w:rPr>
          <w:rFonts w:hint="eastAsia"/>
        </w:rPr>
        <w:t>。</w:t>
      </w:r>
    </w:p>
    <w:p>
      <w:pPr>
        <w:pStyle w:val="3"/>
        <w:bidi w:val="0"/>
        <w:rPr>
          <w:rFonts w:hint="eastAsia"/>
        </w:rPr>
      </w:pPr>
      <w:r>
        <w:rPr>
          <w:rFonts w:hint="eastAsia"/>
          <w:lang w:eastAsia="zh-CN"/>
        </w:rPr>
        <w:t>四、</w:t>
      </w:r>
      <w:r>
        <w:rPr>
          <w:rFonts w:hint="eastAsia"/>
        </w:rPr>
        <w:t>问题及建议</w:t>
      </w:r>
    </w:p>
    <w:p>
      <w:pPr>
        <w:pStyle w:val="4"/>
        <w:bidi w:val="0"/>
        <w:rPr>
          <w:rFonts w:hint="eastAsia"/>
        </w:rPr>
      </w:pPr>
      <w:r>
        <w:rPr>
          <w:rFonts w:hint="eastAsia"/>
        </w:rPr>
        <w:t>（一）存在的问题</w:t>
      </w:r>
    </w:p>
    <w:p>
      <w:pPr>
        <w:bidi w:val="0"/>
        <w:rPr>
          <w:rFonts w:hint="eastAsia"/>
        </w:rPr>
      </w:pPr>
      <w:r>
        <w:rPr>
          <w:rFonts w:hint="eastAsia"/>
        </w:rPr>
        <w:t>1.重视程度有待加强，绩效目标设定不够精细合理；</w:t>
      </w:r>
    </w:p>
    <w:p>
      <w:pPr>
        <w:bidi w:val="0"/>
        <w:rPr>
          <w:rFonts w:hint="eastAsia"/>
        </w:rPr>
      </w:pPr>
      <w:r>
        <w:rPr>
          <w:rFonts w:hint="eastAsia"/>
        </w:rPr>
        <w:t>2.绩效评价思想上存在误区，绩效评价方式比较单一，形式和内容不够全面；</w:t>
      </w:r>
    </w:p>
    <w:p>
      <w:pPr>
        <w:bidi w:val="0"/>
        <w:rPr>
          <w:rFonts w:hint="eastAsia"/>
        </w:rPr>
      </w:pPr>
      <w:r>
        <w:rPr>
          <w:rFonts w:hint="eastAsia"/>
        </w:rPr>
        <w:t>3.项目支出绩效目标设置不够精细，指标数量不够明晰，结构不太合理。</w:t>
      </w:r>
    </w:p>
    <w:p>
      <w:pPr>
        <w:pStyle w:val="4"/>
        <w:bidi w:val="0"/>
        <w:rPr>
          <w:rFonts w:hint="eastAsia"/>
        </w:rPr>
      </w:pPr>
      <w:r>
        <w:rPr>
          <w:rFonts w:hint="eastAsia"/>
          <w:lang w:val="en-US" w:eastAsia="zh-CN"/>
        </w:rPr>
        <w:t>（二）</w:t>
      </w:r>
      <w:r>
        <w:rPr>
          <w:rFonts w:hint="eastAsia"/>
        </w:rPr>
        <w:t>相关建议</w:t>
      </w:r>
    </w:p>
    <w:p>
      <w:pPr>
        <w:bidi w:val="0"/>
        <w:rPr>
          <w:rFonts w:hint="eastAsia"/>
          <w:lang w:val="en-US" w:eastAsia="zh-CN"/>
        </w:rPr>
      </w:pPr>
      <w:r>
        <w:rPr>
          <w:rFonts w:hint="eastAsia"/>
          <w:lang w:val="en-US" w:eastAsia="zh-CN"/>
        </w:rPr>
        <w:t>1.建议业务主管部门加强对单位、部门的业务知识的培训，同时加强对单位、部门的调研指导；</w:t>
      </w:r>
    </w:p>
    <w:p>
      <w:pPr>
        <w:bidi w:val="0"/>
        <w:rPr>
          <w:rFonts w:hint="eastAsia"/>
          <w:lang w:val="en-US" w:eastAsia="zh-CN"/>
        </w:rPr>
      </w:pPr>
      <w:r>
        <w:rPr>
          <w:rFonts w:hint="eastAsia"/>
          <w:lang w:val="en-US" w:eastAsia="zh-CN"/>
        </w:rPr>
        <w:t>2.建议业务主管部门给单位、部门传递更强信号，提高单位级领导班子及集体对绩效管理工作的重视程度。</w:t>
      </w:r>
    </w:p>
    <w:p>
      <w:pPr>
        <w:spacing w:line="600" w:lineRule="exact"/>
        <w:rPr>
          <w:rFonts w:hint="eastAsia" w:ascii="仿宋_GB2312" w:hAnsi="仿宋_GB2312" w:eastAsia="仿宋_GB2312" w:cs="仿宋_GB2312"/>
          <w:b w:val="0"/>
          <w:bCs/>
          <w:sz w:val="32"/>
          <w:szCs w:val="32"/>
        </w:rPr>
      </w:pPr>
    </w:p>
    <w:p>
      <w:pPr>
        <w:autoSpaceDE w:val="0"/>
        <w:spacing w:line="580" w:lineRule="exact"/>
        <w:ind w:left="0" w:leftChars="0" w:firstLine="0" w:firstLineChars="0"/>
        <w:rPr>
          <w:rFonts w:ascii="仿宋_GB2312" w:hAnsi="仿宋_GB2312" w:eastAsia="仿宋_GB2312" w:cs="仿宋_GB2312"/>
          <w:bCs/>
          <w:spacing w:val="-6"/>
          <w:sz w:val="32"/>
          <w:szCs w:val="32"/>
        </w:rPr>
      </w:pPr>
    </w:p>
    <w:p>
      <w:pPr>
        <w:pStyle w:val="6"/>
        <w:spacing w:before="93"/>
        <w:rPr>
          <w:color w:val="FF0000"/>
        </w:rPr>
      </w:pPr>
    </w:p>
    <w:p>
      <w:pPr>
        <w:pStyle w:val="6"/>
        <w:spacing w:before="93"/>
        <w:rPr>
          <w:color w:val="FF0000"/>
          <w:lang w:val="zh-CN"/>
        </w:rPr>
      </w:pPr>
    </w:p>
    <w:p>
      <w:pPr>
        <w:pStyle w:val="6"/>
        <w:spacing w:before="93"/>
        <w:rPr>
          <w:color w:val="FF0000"/>
          <w:lang w:val="zh-CN"/>
        </w:rPr>
      </w:pPr>
    </w:p>
    <w:p>
      <w:pPr>
        <w:pStyle w:val="6"/>
        <w:spacing w:before="93"/>
        <w:rPr>
          <w:color w:val="FF0000"/>
          <w:lang w:val="zh-CN"/>
        </w:rPr>
      </w:pPr>
    </w:p>
    <w:p>
      <w:pPr>
        <w:pStyle w:val="6"/>
        <w:spacing w:before="93"/>
        <w:rPr>
          <w:color w:val="FF0000"/>
          <w:lang w:val="zh-CN"/>
        </w:rPr>
      </w:pPr>
    </w:p>
    <w:p>
      <w:pPr>
        <w:pStyle w:val="6"/>
        <w:spacing w:before="93"/>
        <w:ind w:left="0" w:leftChars="0" w:firstLine="0" w:firstLineChars="0"/>
        <w:rPr>
          <w:color w:val="FF0000"/>
          <w:lang w:val="zh-CN"/>
        </w:rPr>
      </w:pPr>
    </w:p>
    <w:p>
      <w:pPr>
        <w:pStyle w:val="23"/>
        <w:rPr>
          <w:rFonts w:hint="eastAsia"/>
          <w:lang w:eastAsia="zh-CN"/>
        </w:rPr>
      </w:pPr>
    </w:p>
    <w:p>
      <w:pPr>
        <w:pStyle w:val="2"/>
        <w:bidi w:val="0"/>
        <w:rPr>
          <w:rFonts w:hint="eastAsia"/>
          <w:lang w:eastAsia="zh-CN"/>
        </w:rPr>
      </w:pPr>
      <w:r>
        <w:rPr>
          <w:rFonts w:hint="eastAsia"/>
          <w:lang w:eastAsia="zh-CN"/>
        </w:rPr>
        <w:t>广元市朝天区发展和改革局</w:t>
      </w:r>
    </w:p>
    <w:p>
      <w:pPr>
        <w:pStyle w:val="2"/>
        <w:bidi w:val="0"/>
        <w:rPr>
          <w:rFonts w:hint="eastAsia"/>
        </w:rPr>
      </w:pPr>
      <w:r>
        <w:rPr>
          <w:rFonts w:hint="eastAsia"/>
        </w:rPr>
        <w:t>20</w:t>
      </w:r>
      <w:r>
        <w:rPr>
          <w:rFonts w:hint="eastAsia"/>
          <w:lang w:val="en-US" w:eastAsia="zh-CN"/>
        </w:rPr>
        <w:t>22</w:t>
      </w:r>
      <w:r>
        <w:rPr>
          <w:rFonts w:hint="eastAsia"/>
        </w:rPr>
        <w:t>年</w:t>
      </w:r>
      <w:r>
        <w:rPr>
          <w:rFonts w:hint="eastAsia"/>
          <w:lang w:eastAsia="zh-CN"/>
        </w:rPr>
        <w:t>项目大数据中心运行维护工作经费</w:t>
      </w:r>
      <w:r>
        <w:rPr>
          <w:rFonts w:hint="eastAsia"/>
        </w:rPr>
        <w:t>项目支出绩效自评报告</w:t>
      </w:r>
    </w:p>
    <w:p>
      <w:pPr>
        <w:autoSpaceDE w:val="0"/>
        <w:spacing w:line="540" w:lineRule="exact"/>
        <w:ind w:left="0" w:leftChars="0" w:firstLine="0" w:firstLineChars="0"/>
        <w:jc w:val="both"/>
        <w:rPr>
          <w:rFonts w:hint="eastAsia" w:ascii="宋体" w:hAnsi="Times New Roman" w:eastAsia="宋体" w:cs="Times New Roman"/>
          <w:spacing w:val="-6"/>
          <w:szCs w:val="21"/>
        </w:rPr>
      </w:pPr>
    </w:p>
    <w:p>
      <w:pPr>
        <w:pStyle w:val="3"/>
        <w:bidi w:val="0"/>
        <w:rPr>
          <w:rFonts w:hint="eastAsia"/>
        </w:rPr>
      </w:pPr>
      <w:r>
        <w:rPr>
          <w:rFonts w:hint="eastAsia"/>
        </w:rPr>
        <w:t>一、项目概况</w:t>
      </w:r>
    </w:p>
    <w:p>
      <w:pPr>
        <w:pStyle w:val="4"/>
        <w:numPr>
          <w:ilvl w:val="0"/>
          <w:numId w:val="4"/>
        </w:numPr>
        <w:bidi w:val="0"/>
        <w:rPr>
          <w:rFonts w:hint="eastAsia"/>
        </w:rPr>
      </w:pPr>
      <w:r>
        <w:rPr>
          <w:rFonts w:hint="eastAsia"/>
        </w:rPr>
        <w:t>项目资金申报及批复情况</w:t>
      </w:r>
    </w:p>
    <w:p>
      <w:pPr>
        <w:bidi w:val="0"/>
        <w:rPr>
          <w:rFonts w:hint="eastAsia"/>
        </w:rPr>
      </w:pPr>
      <w:r>
        <w:rPr>
          <w:rFonts w:hint="eastAsia"/>
          <w:lang w:eastAsia="zh-CN"/>
        </w:rPr>
        <w:t>年初区发改局向区财政申报项目大数据中心运行维护费</w:t>
      </w:r>
      <w:r>
        <w:rPr>
          <w:rFonts w:hint="eastAsia"/>
          <w:lang w:val="en-US" w:eastAsia="zh-CN"/>
        </w:rPr>
        <w:t>25万元，区财政批准25万元，纳入本单位年初预算。</w:t>
      </w:r>
    </w:p>
    <w:p>
      <w:pPr>
        <w:pStyle w:val="4"/>
        <w:numPr>
          <w:ilvl w:val="0"/>
          <w:numId w:val="4"/>
        </w:numPr>
        <w:bidi w:val="0"/>
        <w:rPr>
          <w:rFonts w:hint="eastAsia"/>
        </w:rPr>
      </w:pPr>
      <w:r>
        <w:rPr>
          <w:rFonts w:hint="eastAsia"/>
        </w:rPr>
        <w:t>项目绩效目标</w:t>
      </w:r>
    </w:p>
    <w:p>
      <w:pPr>
        <w:bidi w:val="0"/>
        <w:rPr>
          <w:rFonts w:hint="eastAsia"/>
        </w:rPr>
      </w:pPr>
      <w:r>
        <w:rPr>
          <w:rFonts w:hint="eastAsia"/>
        </w:rPr>
        <w:t>1</w:t>
      </w:r>
      <w:r>
        <w:rPr>
          <w:rFonts w:hint="eastAsia"/>
          <w:lang w:val="en-US" w:eastAsia="zh-CN"/>
        </w:rPr>
        <w:t>.</w:t>
      </w:r>
      <w:r>
        <w:rPr>
          <w:rFonts w:hint="eastAsia"/>
        </w:rPr>
        <w:t>全年确定25个信息采集点位，调整更换4个点位，开通光纤2条；</w:t>
      </w:r>
    </w:p>
    <w:p>
      <w:pPr>
        <w:bidi w:val="0"/>
        <w:rPr>
          <w:rFonts w:hint="eastAsia"/>
        </w:rPr>
      </w:pPr>
      <w:r>
        <w:rPr>
          <w:rFonts w:hint="eastAsia"/>
        </w:rPr>
        <w:t>2</w:t>
      </w:r>
      <w:r>
        <w:rPr>
          <w:rFonts w:hint="eastAsia"/>
          <w:lang w:val="en-US" w:eastAsia="zh-CN"/>
        </w:rPr>
        <w:t>.</w:t>
      </w:r>
      <w:r>
        <w:rPr>
          <w:rFonts w:hint="eastAsia"/>
        </w:rPr>
        <w:t>实现全区重点项目建设全过程监管，做到实时管理，查询、汇总、统计、分析，并通过大数据中心实时反映项目状况；</w:t>
      </w:r>
    </w:p>
    <w:p>
      <w:pPr>
        <w:bidi w:val="0"/>
        <w:rPr>
          <w:rFonts w:hint="eastAsia"/>
        </w:rPr>
      </w:pPr>
      <w:r>
        <w:rPr>
          <w:rFonts w:hint="eastAsia"/>
        </w:rPr>
        <w:t>3</w:t>
      </w:r>
      <w:r>
        <w:rPr>
          <w:rFonts w:hint="eastAsia"/>
          <w:lang w:val="en-US" w:eastAsia="zh-CN"/>
        </w:rPr>
        <w:t>.</w:t>
      </w:r>
      <w:r>
        <w:rPr>
          <w:rFonts w:hint="eastAsia"/>
        </w:rPr>
        <w:t>实现了远程现场办公，通过远程监控，视频回传，实现远程视频交流，领导不到现场就可查看和听取项目建设汇报确保项目如期、安全、优质高效推进提供了强有力的保障。</w:t>
      </w:r>
    </w:p>
    <w:p>
      <w:pPr>
        <w:pStyle w:val="4"/>
        <w:bidi w:val="0"/>
        <w:rPr>
          <w:rFonts w:hint="eastAsia"/>
        </w:rPr>
      </w:pPr>
      <w:r>
        <w:rPr>
          <w:rFonts w:hint="eastAsia"/>
        </w:rPr>
        <w:t>（三）项目资金申报相符性</w:t>
      </w:r>
    </w:p>
    <w:p>
      <w:pPr>
        <w:bidi w:val="0"/>
        <w:rPr>
          <w:rFonts w:hint="eastAsia"/>
        </w:rPr>
      </w:pPr>
      <w:r>
        <w:rPr>
          <w:rFonts w:hint="eastAsia"/>
          <w:lang w:eastAsia="zh-CN"/>
        </w:rPr>
        <w:t>项目大数据中心运行维护费</w:t>
      </w:r>
      <w:r>
        <w:rPr>
          <w:rFonts w:hint="eastAsia"/>
        </w:rPr>
        <w:t>项目申报内容与具体实施内容相符、申报目标合理可行。</w:t>
      </w:r>
    </w:p>
    <w:p>
      <w:pPr>
        <w:pStyle w:val="3"/>
        <w:bidi w:val="0"/>
        <w:rPr>
          <w:rFonts w:hint="eastAsia"/>
        </w:rPr>
      </w:pPr>
      <w:r>
        <w:rPr>
          <w:rFonts w:hint="eastAsia"/>
        </w:rPr>
        <w:t>二、项目实施及管理情况</w:t>
      </w:r>
    </w:p>
    <w:p>
      <w:pPr>
        <w:pStyle w:val="4"/>
        <w:bidi w:val="0"/>
        <w:rPr>
          <w:rFonts w:hint="eastAsia"/>
        </w:rPr>
      </w:pPr>
      <w:r>
        <w:rPr>
          <w:rFonts w:hint="eastAsia"/>
        </w:rPr>
        <w:t>（一）资金计划、到位及使用情况</w:t>
      </w:r>
    </w:p>
    <w:p>
      <w:pPr>
        <w:bidi w:val="0"/>
        <w:rPr>
          <w:rFonts w:hint="default"/>
          <w:lang w:val="en-US" w:eastAsia="zh-CN"/>
        </w:rPr>
      </w:pPr>
      <w:r>
        <w:rPr>
          <w:rFonts w:hint="eastAsia"/>
          <w:lang w:eastAsia="zh-CN"/>
        </w:rPr>
        <w:t>1.年初预算项目大数据中心运行维护工作经费</w:t>
      </w:r>
      <w:r>
        <w:rPr>
          <w:rFonts w:hint="eastAsia"/>
          <w:lang w:val="en-US" w:eastAsia="zh-CN"/>
        </w:rPr>
        <w:t>25万元，计划用于项目经费支出25万元，年内按照项目推进完成情况陆续向财政调拨项目工作经费，截止2022年底项目大数据中心运行维护工作经费25万元，资金拨付到位率为100%。</w:t>
      </w:r>
    </w:p>
    <w:p>
      <w:pPr>
        <w:bidi w:val="0"/>
        <w:rPr>
          <w:rFonts w:hint="eastAsia"/>
          <w:lang w:eastAsia="zh-CN"/>
        </w:rPr>
      </w:pPr>
      <w:r>
        <w:rPr>
          <w:rFonts w:hint="eastAsia"/>
          <w:lang w:eastAsia="zh-CN"/>
        </w:rPr>
        <w:t>2.项目大数据中心运行维护费项目年初预算</w:t>
      </w:r>
      <w:r>
        <w:rPr>
          <w:rFonts w:hint="eastAsia"/>
          <w:lang w:val="en-US" w:eastAsia="zh-CN"/>
        </w:rPr>
        <w:t>25万元，年内累计调拨25万元。用于支付项目大数据中心运行维护25万元，其中：维修费15.61万元、邮电费4.39万元、电费1.2万元、劳务费3.8万元。</w:t>
      </w:r>
      <w:r>
        <w:rPr>
          <w:rFonts w:hint="eastAsia"/>
          <w:lang w:eastAsia="zh-CN"/>
        </w:rPr>
        <w:t>资金支付依据合规合法，资金支付与预算相符。</w:t>
      </w:r>
    </w:p>
    <w:p>
      <w:pPr>
        <w:pStyle w:val="4"/>
        <w:bidi w:val="0"/>
        <w:rPr>
          <w:rFonts w:hint="eastAsia"/>
        </w:rPr>
      </w:pPr>
      <w:r>
        <w:rPr>
          <w:rFonts w:hint="eastAsia"/>
        </w:rPr>
        <w:t>（二）项目财务管理情况</w:t>
      </w:r>
    </w:p>
    <w:p>
      <w:pPr>
        <w:bidi w:val="0"/>
        <w:rPr>
          <w:rFonts w:hint="eastAsia"/>
          <w:lang w:eastAsia="zh-CN"/>
        </w:rPr>
      </w:pPr>
      <w:r>
        <w:rPr>
          <w:rFonts w:hint="eastAsia"/>
          <w:lang w:eastAsia="zh-CN"/>
        </w:rPr>
        <w:t>进一步健全项目财务管理制度，进一步加强项目资金规范管理，进一步规范会计核算及账务处理。确保项目资金专款专用。</w:t>
      </w:r>
    </w:p>
    <w:p>
      <w:pPr>
        <w:pStyle w:val="4"/>
        <w:bidi w:val="0"/>
        <w:rPr>
          <w:rFonts w:hint="eastAsia"/>
        </w:rPr>
      </w:pPr>
      <w:r>
        <w:rPr>
          <w:rFonts w:hint="eastAsia"/>
        </w:rPr>
        <w:t>（三）项目组织实施情况</w:t>
      </w:r>
    </w:p>
    <w:p>
      <w:pPr>
        <w:bidi w:val="0"/>
        <w:rPr>
          <w:rFonts w:hint="eastAsia"/>
          <w:lang w:eastAsia="zh-CN"/>
        </w:rPr>
      </w:pPr>
      <w:r>
        <w:rPr>
          <w:rFonts w:hint="eastAsia"/>
          <w:lang w:eastAsia="zh-CN"/>
        </w:rPr>
        <w:t>项目大数据中心运行维护费项目由局分管领导牵头抓落实，由项目中心、财务室负责具体工作。</w:t>
      </w:r>
    </w:p>
    <w:p>
      <w:pPr>
        <w:pStyle w:val="3"/>
        <w:bidi w:val="0"/>
        <w:rPr>
          <w:rFonts w:hint="eastAsia"/>
        </w:rPr>
      </w:pPr>
      <w:r>
        <w:rPr>
          <w:rFonts w:hint="eastAsia"/>
        </w:rPr>
        <w:t>三、项目绩效情况</w:t>
      </w:r>
      <w:r>
        <w:rPr>
          <w:rFonts w:hint="eastAsia"/>
        </w:rPr>
        <w:tab/>
      </w:r>
    </w:p>
    <w:p>
      <w:pPr>
        <w:pStyle w:val="4"/>
        <w:bidi w:val="0"/>
        <w:rPr>
          <w:rFonts w:hint="eastAsia"/>
        </w:rPr>
      </w:pPr>
      <w:r>
        <w:rPr>
          <w:rFonts w:hint="eastAsia"/>
        </w:rPr>
        <w:t>（一）项目完成情况</w:t>
      </w:r>
    </w:p>
    <w:p>
      <w:pPr>
        <w:bidi w:val="0"/>
        <w:rPr>
          <w:rFonts w:hint="default"/>
          <w:lang w:val="en-US" w:eastAsia="zh-CN"/>
        </w:rPr>
      </w:pPr>
      <w:r>
        <w:rPr>
          <w:rFonts w:hint="eastAsia"/>
        </w:rPr>
        <w:t>1.数量指标</w:t>
      </w:r>
      <w:r>
        <w:rPr>
          <w:rFonts w:hint="eastAsia"/>
          <w:lang w:eastAsia="zh-CN"/>
        </w:rPr>
        <w:t>：</w:t>
      </w:r>
      <w:r>
        <w:rPr>
          <w:rFonts w:hint="eastAsia"/>
        </w:rPr>
        <w:t>确定25个信息采集点位，调整更换4个点位，开通光纤2条；</w:t>
      </w:r>
    </w:p>
    <w:p>
      <w:pPr>
        <w:bidi w:val="0"/>
        <w:rPr>
          <w:rFonts w:hint="eastAsia"/>
        </w:rPr>
      </w:pPr>
      <w:r>
        <w:rPr>
          <w:rFonts w:hint="eastAsia"/>
        </w:rPr>
        <w:t>2.质量指标</w:t>
      </w:r>
      <w:r>
        <w:rPr>
          <w:rFonts w:hint="eastAsia"/>
          <w:lang w:eastAsia="zh-CN"/>
        </w:rPr>
        <w:t>：项目完成率、资金到位率</w:t>
      </w:r>
      <w:r>
        <w:rPr>
          <w:rFonts w:hint="eastAsia"/>
          <w:lang w:val="en-US" w:eastAsia="zh-CN"/>
        </w:rPr>
        <w:t>100%；</w:t>
      </w:r>
    </w:p>
    <w:p>
      <w:pPr>
        <w:bidi w:val="0"/>
        <w:rPr>
          <w:rFonts w:hint="eastAsia"/>
          <w:lang w:eastAsia="zh-CN"/>
        </w:rPr>
      </w:pPr>
      <w:r>
        <w:rPr>
          <w:rFonts w:hint="eastAsia"/>
        </w:rPr>
        <w:t>3.时效指标</w:t>
      </w:r>
      <w:r>
        <w:rPr>
          <w:rFonts w:hint="eastAsia"/>
          <w:lang w:eastAsia="zh-CN"/>
        </w:rPr>
        <w:t>：年内完成预算执行及绩效目标任务；</w:t>
      </w:r>
    </w:p>
    <w:p>
      <w:pPr>
        <w:bidi w:val="0"/>
        <w:rPr>
          <w:rFonts w:hint="eastAsia"/>
        </w:rPr>
      </w:pPr>
      <w:r>
        <w:rPr>
          <w:rFonts w:hint="eastAsia"/>
        </w:rPr>
        <w:t>4.成本指标</w:t>
      </w:r>
      <w:r>
        <w:rPr>
          <w:rFonts w:hint="eastAsia"/>
          <w:lang w:eastAsia="zh-CN"/>
        </w:rPr>
        <w:t>：</w:t>
      </w:r>
      <w:r>
        <w:rPr>
          <w:rFonts w:hint="eastAsia"/>
        </w:rPr>
        <w:t>全年发生</w:t>
      </w:r>
      <w:r>
        <w:rPr>
          <w:rFonts w:hint="eastAsia"/>
          <w:lang w:eastAsia="zh-CN"/>
        </w:rPr>
        <w:t>大数据中心运行维护</w:t>
      </w:r>
      <w:r>
        <w:rPr>
          <w:rFonts w:hint="eastAsia"/>
        </w:rPr>
        <w:t>工作经费</w:t>
      </w:r>
      <w:r>
        <w:rPr>
          <w:rFonts w:hint="eastAsia"/>
          <w:lang w:val="en-US" w:eastAsia="zh-CN"/>
        </w:rPr>
        <w:t>25</w:t>
      </w:r>
      <w:r>
        <w:rPr>
          <w:rFonts w:hint="eastAsia"/>
        </w:rPr>
        <w:t>万元，经费使用率100%。</w:t>
      </w:r>
    </w:p>
    <w:p>
      <w:pPr>
        <w:pStyle w:val="4"/>
        <w:bidi w:val="0"/>
        <w:rPr>
          <w:rFonts w:hint="eastAsia"/>
        </w:rPr>
      </w:pPr>
      <w:r>
        <w:rPr>
          <w:rFonts w:hint="eastAsia"/>
        </w:rPr>
        <w:t>（二）项目效益情况</w:t>
      </w:r>
    </w:p>
    <w:p>
      <w:pPr>
        <w:bidi w:val="0"/>
        <w:rPr>
          <w:rFonts w:hint="eastAsia"/>
        </w:rPr>
      </w:pPr>
      <w:r>
        <w:rPr>
          <w:rFonts w:hint="eastAsia"/>
          <w:lang w:val="en-US" w:eastAsia="zh-CN"/>
        </w:rPr>
        <w:t>1</w:t>
      </w:r>
      <w:r>
        <w:rPr>
          <w:rFonts w:hint="eastAsia"/>
        </w:rPr>
        <w:t>.经济效益</w:t>
      </w:r>
      <w:r>
        <w:rPr>
          <w:rFonts w:hint="eastAsia"/>
          <w:lang w:eastAsia="zh-CN"/>
        </w:rPr>
        <w:t>：促进了全区经济快速发展</w:t>
      </w:r>
      <w:r>
        <w:rPr>
          <w:rFonts w:hint="eastAsia"/>
        </w:rPr>
        <w:t>。</w:t>
      </w:r>
    </w:p>
    <w:p>
      <w:pPr>
        <w:bidi w:val="0"/>
        <w:rPr>
          <w:rFonts w:hint="eastAsia"/>
        </w:rPr>
      </w:pPr>
      <w:r>
        <w:rPr>
          <w:rFonts w:hint="eastAsia"/>
          <w:lang w:val="en-US" w:eastAsia="zh-CN"/>
        </w:rPr>
        <w:t>2</w:t>
      </w:r>
      <w:r>
        <w:rPr>
          <w:rFonts w:hint="eastAsia"/>
        </w:rPr>
        <w:t>.社会效益</w:t>
      </w:r>
      <w:r>
        <w:rPr>
          <w:rFonts w:hint="eastAsia"/>
          <w:lang w:eastAsia="zh-CN"/>
        </w:rPr>
        <w:t>：加强项目监督，促进项目建设，全区基础设施进一步改善</w:t>
      </w:r>
      <w:r>
        <w:rPr>
          <w:rFonts w:hint="eastAsia"/>
        </w:rPr>
        <w:t>。</w:t>
      </w:r>
    </w:p>
    <w:p>
      <w:pPr>
        <w:bidi w:val="0"/>
        <w:rPr>
          <w:rFonts w:hint="eastAsia"/>
          <w:lang w:eastAsia="zh-CN"/>
        </w:rPr>
      </w:pPr>
      <w:r>
        <w:rPr>
          <w:rFonts w:hint="eastAsia"/>
          <w:lang w:val="en-US" w:eastAsia="zh-CN"/>
        </w:rPr>
        <w:t>3</w:t>
      </w:r>
      <w:r>
        <w:rPr>
          <w:rFonts w:hint="eastAsia"/>
          <w:lang w:eastAsia="zh-CN"/>
        </w:rPr>
        <w:t>.生态效益：项目实施，与生态环境保护相结合。</w:t>
      </w:r>
    </w:p>
    <w:p>
      <w:pPr>
        <w:bidi w:val="0"/>
        <w:rPr>
          <w:rFonts w:hint="eastAsia"/>
          <w:lang w:eastAsia="zh-CN"/>
        </w:rPr>
      </w:pPr>
      <w:r>
        <w:rPr>
          <w:rFonts w:hint="eastAsia"/>
          <w:lang w:val="en-US" w:eastAsia="zh-CN"/>
        </w:rPr>
        <w:t>4</w:t>
      </w:r>
      <w:r>
        <w:rPr>
          <w:rFonts w:hint="eastAsia"/>
          <w:lang w:eastAsia="zh-CN"/>
        </w:rPr>
        <w:t>.可持续影响：促进项目建设，为全区经济发展，基础设施改善，提高人民群众获得感，具有重要意义。</w:t>
      </w:r>
    </w:p>
    <w:p>
      <w:pPr>
        <w:bidi w:val="0"/>
        <w:rPr>
          <w:rFonts w:hint="eastAsia"/>
          <w:lang w:eastAsia="zh-CN"/>
        </w:rPr>
      </w:pPr>
      <w:r>
        <w:rPr>
          <w:rFonts w:hint="eastAsia"/>
          <w:lang w:val="en-US" w:eastAsia="zh-CN"/>
        </w:rPr>
        <w:t>5</w:t>
      </w:r>
      <w:r>
        <w:rPr>
          <w:rFonts w:hint="eastAsia"/>
          <w:lang w:eastAsia="zh-CN"/>
        </w:rPr>
        <w:t>.满意度指标完成情况分析：服务对象满意度≧</w:t>
      </w:r>
      <w:r>
        <w:rPr>
          <w:rFonts w:hint="eastAsia"/>
          <w:lang w:val="en-US" w:eastAsia="zh-CN"/>
        </w:rPr>
        <w:t>98</w:t>
      </w:r>
      <w:r>
        <w:rPr>
          <w:rFonts w:hint="eastAsia"/>
          <w:lang w:eastAsia="zh-CN"/>
        </w:rPr>
        <w:t>%。</w:t>
      </w:r>
    </w:p>
    <w:p>
      <w:pPr>
        <w:pStyle w:val="3"/>
        <w:bidi w:val="0"/>
        <w:rPr>
          <w:rFonts w:hint="eastAsia"/>
          <w:lang w:eastAsia="zh-CN"/>
        </w:rPr>
      </w:pPr>
      <w:r>
        <w:rPr>
          <w:rFonts w:hint="eastAsia"/>
          <w:lang w:eastAsia="zh-CN"/>
        </w:rPr>
        <w:t>四、问题及建议</w:t>
      </w:r>
    </w:p>
    <w:p>
      <w:pPr>
        <w:pStyle w:val="4"/>
        <w:bidi w:val="0"/>
        <w:rPr>
          <w:rFonts w:hint="eastAsia"/>
          <w:lang w:eastAsia="zh-CN"/>
        </w:rPr>
      </w:pPr>
      <w:r>
        <w:rPr>
          <w:rFonts w:hint="eastAsia"/>
          <w:lang w:eastAsia="zh-CN"/>
        </w:rPr>
        <w:t xml:space="preserve">（一）存在的问题 </w:t>
      </w:r>
    </w:p>
    <w:p>
      <w:pPr>
        <w:bidi w:val="0"/>
        <w:rPr>
          <w:rFonts w:hint="eastAsia"/>
        </w:rPr>
      </w:pPr>
      <w:r>
        <w:rPr>
          <w:rFonts w:hint="eastAsia"/>
        </w:rPr>
        <w:t>1.重视程度有待加强，绩效目标设定不够精细合理；</w:t>
      </w:r>
    </w:p>
    <w:p>
      <w:pPr>
        <w:bidi w:val="0"/>
        <w:rPr>
          <w:rFonts w:hint="eastAsia"/>
        </w:rPr>
      </w:pPr>
      <w:r>
        <w:rPr>
          <w:rFonts w:hint="eastAsia"/>
        </w:rPr>
        <w:t>2.绩效评价思想上存在误区，绩效评价方式比较单一，形式和内容不够全面；</w:t>
      </w:r>
    </w:p>
    <w:p>
      <w:pPr>
        <w:bidi w:val="0"/>
        <w:rPr>
          <w:rFonts w:hint="eastAsia"/>
        </w:rPr>
      </w:pPr>
      <w:r>
        <w:rPr>
          <w:rFonts w:hint="eastAsia"/>
        </w:rPr>
        <w:t>3.项目支出绩效目标设置不够精细，指标数量不够明晰，结构不太合理。</w:t>
      </w:r>
    </w:p>
    <w:p>
      <w:pPr>
        <w:pStyle w:val="4"/>
        <w:bidi w:val="0"/>
        <w:rPr>
          <w:rFonts w:hint="eastAsia"/>
          <w:lang w:eastAsia="zh-CN"/>
        </w:rPr>
      </w:pPr>
      <w:r>
        <w:rPr>
          <w:rFonts w:hint="eastAsia"/>
          <w:lang w:val="en-US" w:eastAsia="zh-CN"/>
        </w:rPr>
        <w:t>（二）</w:t>
      </w:r>
      <w:r>
        <w:rPr>
          <w:rFonts w:hint="eastAsia"/>
          <w:lang w:eastAsia="zh-CN"/>
        </w:rPr>
        <w:t>相关建议</w:t>
      </w:r>
    </w:p>
    <w:p>
      <w:pPr>
        <w:bidi w:val="0"/>
        <w:rPr>
          <w:rFonts w:hint="eastAsia"/>
          <w:lang w:val="en-US" w:eastAsia="zh-CN"/>
        </w:rPr>
      </w:pPr>
      <w:r>
        <w:rPr>
          <w:rFonts w:hint="eastAsia"/>
          <w:lang w:val="en-US" w:eastAsia="zh-CN"/>
        </w:rPr>
        <w:t>1.建议业务主管部门加强对单位、部门的业务知识的培训，同时加强对单位、部门的调研指导；</w:t>
      </w:r>
    </w:p>
    <w:p>
      <w:pPr>
        <w:bidi w:val="0"/>
        <w:rPr>
          <w:rFonts w:hint="eastAsia"/>
          <w:lang w:val="en-US" w:eastAsia="zh-CN"/>
        </w:rPr>
      </w:pPr>
      <w:r>
        <w:rPr>
          <w:rFonts w:hint="eastAsia"/>
          <w:lang w:val="en-US" w:eastAsia="zh-CN"/>
        </w:rPr>
        <w:t>2.建议业务主管部门给单位、部门传递更强信号，提高单位级领导班子及集体对绩效管理工作的重视程度。</w:t>
      </w:r>
    </w:p>
    <w:p>
      <w:pPr>
        <w:spacing w:line="600" w:lineRule="exact"/>
        <w:rPr>
          <w:rFonts w:hint="eastAsia" w:ascii="仿宋_GB2312" w:hAnsi="仿宋_GB2312" w:eastAsia="仿宋_GB2312" w:cs="仿宋_GB2312"/>
          <w:b w:val="0"/>
          <w:bCs/>
          <w:sz w:val="32"/>
          <w:szCs w:val="32"/>
          <w:lang w:val="en-US" w:eastAsia="zh-CN"/>
        </w:rPr>
      </w:pPr>
    </w:p>
    <w:p>
      <w:pPr>
        <w:pStyle w:val="23"/>
        <w:rPr>
          <w:rFonts w:hint="eastAsia" w:ascii="仿宋_GB2312" w:hAnsi="仿宋_GB2312" w:eastAsia="仿宋_GB2312" w:cs="仿宋_GB2312"/>
          <w:spacing w:val="-6"/>
          <w:sz w:val="32"/>
          <w:szCs w:val="32"/>
          <w:lang w:val="en-US" w:eastAsia="zh-CN"/>
        </w:rPr>
      </w:pPr>
    </w:p>
    <w:p>
      <w:pPr>
        <w:pStyle w:val="23"/>
        <w:rPr>
          <w:rFonts w:hint="eastAsia"/>
          <w:lang w:eastAsia="zh-CN"/>
        </w:rPr>
      </w:pPr>
    </w:p>
    <w:p>
      <w:pPr>
        <w:pStyle w:val="2"/>
        <w:bidi w:val="0"/>
        <w:rPr>
          <w:rFonts w:hint="eastAsia"/>
          <w:lang w:eastAsia="zh-CN"/>
        </w:rPr>
      </w:pPr>
      <w:r>
        <w:rPr>
          <w:rFonts w:hint="eastAsia"/>
          <w:lang w:eastAsia="zh-CN"/>
        </w:rPr>
        <w:t>广元市朝天区发展和改革局</w:t>
      </w:r>
    </w:p>
    <w:p>
      <w:pPr>
        <w:pStyle w:val="2"/>
        <w:bidi w:val="0"/>
        <w:rPr>
          <w:rFonts w:hint="eastAsia"/>
          <w:lang w:eastAsia="zh-CN"/>
        </w:rPr>
      </w:pPr>
      <w:r>
        <w:rPr>
          <w:rFonts w:hint="eastAsia"/>
        </w:rPr>
        <w:t>20</w:t>
      </w:r>
      <w:r>
        <w:rPr>
          <w:rFonts w:hint="eastAsia"/>
          <w:lang w:val="en-US" w:eastAsia="zh-CN"/>
        </w:rPr>
        <w:t>22</w:t>
      </w:r>
      <w:r>
        <w:rPr>
          <w:rFonts w:hint="eastAsia"/>
        </w:rPr>
        <w:t>年</w:t>
      </w:r>
      <w:r>
        <w:rPr>
          <w:rFonts w:hint="eastAsia"/>
          <w:lang w:eastAsia="zh-CN"/>
        </w:rPr>
        <w:t>全区项目集中开工仪式工作经费</w:t>
      </w:r>
      <w:r>
        <w:rPr>
          <w:rFonts w:hint="eastAsia"/>
        </w:rPr>
        <w:t>项目支出绩效自评</w:t>
      </w:r>
      <w:r>
        <w:rPr>
          <w:rFonts w:hint="eastAsia"/>
          <w:lang w:eastAsia="zh-CN"/>
        </w:rPr>
        <w:t>报告</w:t>
      </w:r>
    </w:p>
    <w:p>
      <w:pPr>
        <w:bidi w:val="0"/>
        <w:rPr>
          <w:rFonts w:hint="eastAsia"/>
          <w:lang w:eastAsia="zh-CN"/>
        </w:rPr>
      </w:pPr>
    </w:p>
    <w:p>
      <w:pPr>
        <w:pStyle w:val="3"/>
        <w:bidi w:val="0"/>
        <w:rPr>
          <w:rFonts w:hint="eastAsia"/>
        </w:rPr>
      </w:pPr>
      <w:r>
        <w:rPr>
          <w:rFonts w:hint="eastAsia"/>
          <w:lang w:eastAsia="zh-CN"/>
        </w:rPr>
        <w:t>一、</w:t>
      </w:r>
      <w:r>
        <w:rPr>
          <w:rFonts w:hint="eastAsia"/>
        </w:rPr>
        <w:t>项目概况项目的概况</w:t>
      </w:r>
    </w:p>
    <w:p>
      <w:pPr>
        <w:pStyle w:val="4"/>
        <w:bidi w:val="0"/>
        <w:rPr>
          <w:rFonts w:hint="eastAsia"/>
        </w:rPr>
      </w:pPr>
      <w:r>
        <w:rPr>
          <w:rFonts w:hint="eastAsia"/>
          <w:lang w:eastAsia="zh-CN"/>
        </w:rPr>
        <w:t>（一）项目申报及批复情况</w:t>
      </w:r>
    </w:p>
    <w:p>
      <w:pPr>
        <w:bidi w:val="0"/>
        <w:rPr>
          <w:rFonts w:hint="eastAsia"/>
        </w:rPr>
      </w:pPr>
      <w:r>
        <w:rPr>
          <w:rFonts w:hint="eastAsia"/>
          <w:lang w:eastAsia="zh-CN"/>
        </w:rPr>
        <w:t>年初区发改局向区财政申报全区项目集中开工仪式工作经费</w:t>
      </w:r>
      <w:r>
        <w:rPr>
          <w:rFonts w:hint="eastAsia"/>
          <w:lang w:val="en-US" w:eastAsia="zh-CN"/>
        </w:rPr>
        <w:t>25.5万元，区财政批准25.5万元，纳入本单位年初预算。</w:t>
      </w:r>
    </w:p>
    <w:p>
      <w:pPr>
        <w:pStyle w:val="4"/>
        <w:bidi w:val="0"/>
        <w:rPr>
          <w:rFonts w:hint="eastAsia"/>
        </w:rPr>
      </w:pPr>
      <w:r>
        <w:rPr>
          <w:rFonts w:hint="eastAsia"/>
        </w:rPr>
        <w:t>（</w:t>
      </w:r>
      <w:r>
        <w:rPr>
          <w:rFonts w:hint="eastAsia"/>
          <w:lang w:eastAsia="zh-CN"/>
        </w:rPr>
        <w:t>二</w:t>
      </w:r>
      <w:r>
        <w:rPr>
          <w:rFonts w:hint="eastAsia"/>
        </w:rPr>
        <w:t>）项目绩效目标</w:t>
      </w:r>
    </w:p>
    <w:p>
      <w:pPr>
        <w:bidi w:val="0"/>
        <w:rPr>
          <w:rFonts w:hint="eastAsia"/>
          <w:lang w:val="en-US" w:eastAsia="zh-CN"/>
        </w:rPr>
      </w:pPr>
      <w:r>
        <w:rPr>
          <w:rFonts w:hint="eastAsia"/>
          <w:lang w:val="en-US" w:eastAsia="zh-CN"/>
        </w:rPr>
        <w:t>该项目绩效总目标是促进全区项目引进和投资项目按季度集中开工，通过开工建设增强我区项目投资规模，促进基础设施建设，推动地方就业和经济社会发展。全年组织项目集中开工仪式6批次，78个项目开工建设，完成总投资85亿元，完成年度计划投资40亿元的212%。</w:t>
      </w:r>
    </w:p>
    <w:p>
      <w:pPr>
        <w:pStyle w:val="4"/>
        <w:bidi w:val="0"/>
        <w:rPr>
          <w:rFonts w:hint="eastAsia"/>
        </w:rPr>
      </w:pPr>
      <w:r>
        <w:rPr>
          <w:rFonts w:hint="eastAsia"/>
        </w:rPr>
        <w:t>（三）项目资金申报相符性</w:t>
      </w:r>
    </w:p>
    <w:p>
      <w:pPr>
        <w:bidi w:val="0"/>
        <w:rPr>
          <w:rFonts w:hint="eastAsia"/>
        </w:rPr>
      </w:pPr>
      <w:r>
        <w:rPr>
          <w:rFonts w:hint="eastAsia"/>
          <w:lang w:eastAsia="zh-CN"/>
        </w:rPr>
        <w:t>全区项目集中开工仪式工作经费</w:t>
      </w:r>
      <w:r>
        <w:rPr>
          <w:rFonts w:hint="eastAsia"/>
        </w:rPr>
        <w:t>项目申报内容与具体实施内容相符、申报目标合理可行。</w:t>
      </w:r>
    </w:p>
    <w:p>
      <w:pPr>
        <w:pStyle w:val="3"/>
        <w:bidi w:val="0"/>
        <w:rPr>
          <w:rFonts w:hint="eastAsia"/>
          <w:lang w:val="en-US" w:eastAsia="zh-CN"/>
        </w:rPr>
      </w:pPr>
      <w:r>
        <w:rPr>
          <w:rFonts w:hint="eastAsia"/>
          <w:lang w:val="en-US" w:eastAsia="zh-CN"/>
        </w:rPr>
        <w:t>二、项目实施及管理情况</w:t>
      </w:r>
    </w:p>
    <w:p>
      <w:pPr>
        <w:pStyle w:val="4"/>
        <w:bidi w:val="0"/>
        <w:rPr>
          <w:rFonts w:hint="eastAsia"/>
          <w:lang w:val="en-US" w:eastAsia="zh-CN"/>
        </w:rPr>
      </w:pPr>
      <w:r>
        <w:rPr>
          <w:rFonts w:hint="eastAsia"/>
          <w:lang w:val="en-US" w:eastAsia="zh-CN"/>
        </w:rPr>
        <w:t>（一）资金到位情况</w:t>
      </w:r>
    </w:p>
    <w:p>
      <w:pPr>
        <w:bidi w:val="0"/>
        <w:rPr>
          <w:rFonts w:hint="eastAsia"/>
          <w:lang w:val="en-US" w:eastAsia="zh-CN"/>
        </w:rPr>
      </w:pPr>
      <w:r>
        <w:rPr>
          <w:rFonts w:hint="eastAsia"/>
          <w:lang w:val="en-US" w:eastAsia="zh-CN"/>
        </w:rPr>
        <w:t>2022年度该项目区财政预算项目工作经费25.5万元，资金到位率100%。</w:t>
      </w:r>
    </w:p>
    <w:p>
      <w:pPr>
        <w:pStyle w:val="4"/>
        <w:bidi w:val="0"/>
        <w:rPr>
          <w:rFonts w:hint="eastAsia"/>
          <w:lang w:val="en-US" w:eastAsia="zh-CN"/>
        </w:rPr>
      </w:pPr>
      <w:r>
        <w:rPr>
          <w:rFonts w:hint="eastAsia"/>
          <w:lang w:val="en-US" w:eastAsia="zh-CN"/>
        </w:rPr>
        <w:t>（二）预算资金执行情况</w:t>
      </w:r>
    </w:p>
    <w:p>
      <w:pPr>
        <w:bidi w:val="0"/>
        <w:rPr>
          <w:lang w:val="en-US" w:eastAsia="zh-CN"/>
        </w:rPr>
      </w:pPr>
      <w:r>
        <w:rPr>
          <w:rFonts w:hint="eastAsia"/>
          <w:lang w:val="en-US" w:eastAsia="zh-CN"/>
        </w:rPr>
        <w:t>2022年累计支付项目集中开工项目工作经费25.5万元，其中：印刷费4.85万元、劳务费14.77万元、其他交通费用5.88万元。资金支付率100%。</w:t>
      </w:r>
    </w:p>
    <w:p>
      <w:pPr>
        <w:pStyle w:val="4"/>
        <w:bidi w:val="0"/>
        <w:rPr>
          <w:rFonts w:hint="eastAsia"/>
          <w:lang w:val="en-US" w:eastAsia="zh-CN"/>
        </w:rPr>
      </w:pPr>
      <w:r>
        <w:rPr>
          <w:rFonts w:hint="eastAsia"/>
          <w:lang w:val="en-US" w:eastAsia="zh-CN"/>
        </w:rPr>
        <w:t>（三）项目资金规范运行情况</w:t>
      </w:r>
    </w:p>
    <w:p>
      <w:pPr>
        <w:bidi w:val="0"/>
        <w:rPr>
          <w:rFonts w:hint="eastAsia"/>
          <w:lang w:val="en-US" w:eastAsia="zh-CN"/>
        </w:rPr>
      </w:pPr>
      <w:r>
        <w:rPr>
          <w:rFonts w:hint="eastAsia"/>
          <w:lang w:val="en-US" w:eastAsia="zh-CN"/>
        </w:rPr>
        <w:t>一是规范管理；二是规范申报、审核、审批流程；三是专款专用。</w:t>
      </w:r>
    </w:p>
    <w:p>
      <w:pPr>
        <w:pStyle w:val="4"/>
        <w:bidi w:val="0"/>
        <w:rPr>
          <w:rFonts w:hint="eastAsia"/>
          <w:lang w:val="en-US" w:eastAsia="zh-CN"/>
        </w:rPr>
      </w:pPr>
      <w:r>
        <w:rPr>
          <w:rFonts w:hint="eastAsia"/>
          <w:lang w:val="en-US" w:eastAsia="zh-CN"/>
        </w:rPr>
        <w:t>（四）财务管理情况</w:t>
      </w:r>
    </w:p>
    <w:p>
      <w:pPr>
        <w:bidi w:val="0"/>
        <w:rPr>
          <w:rFonts w:hint="eastAsia"/>
          <w:lang w:val="en-US" w:eastAsia="zh-CN"/>
        </w:rPr>
      </w:pPr>
      <w:r>
        <w:rPr>
          <w:rFonts w:hint="eastAsia"/>
          <w:lang w:val="en-US" w:eastAsia="zh-CN"/>
        </w:rPr>
        <w:t>按照财务管理制度，项目集中开工仪式项目工作经费已足额支付，无截留、挤占、挪用、虚列支出等情况，较好地发挥了项目工作经费使用效益和社会效益，达到了项目所设立的绩效目标。</w:t>
      </w:r>
    </w:p>
    <w:p>
      <w:pPr>
        <w:pStyle w:val="4"/>
        <w:bidi w:val="0"/>
        <w:rPr>
          <w:rFonts w:hint="eastAsia"/>
          <w:lang w:val="en-US" w:eastAsia="zh-CN"/>
        </w:rPr>
      </w:pPr>
      <w:r>
        <w:rPr>
          <w:rFonts w:hint="eastAsia"/>
          <w:lang w:val="en-US" w:eastAsia="zh-CN"/>
        </w:rPr>
        <w:t>（五）项目组织实施情况</w:t>
      </w:r>
    </w:p>
    <w:p>
      <w:pPr>
        <w:bidi w:val="0"/>
        <w:rPr>
          <w:lang w:val="en-US" w:eastAsia="zh-CN"/>
        </w:rPr>
      </w:pPr>
      <w:r>
        <w:rPr>
          <w:lang w:val="en-US" w:eastAsia="zh-CN"/>
        </w:rPr>
        <w:t>项目经费严格按照单位的财务制度和预算支出范围使用</w:t>
      </w:r>
      <w:r>
        <w:rPr>
          <w:rFonts w:hint="eastAsia"/>
          <w:lang w:val="en-US" w:eastAsia="zh-CN"/>
        </w:rPr>
        <w:t>，</w:t>
      </w:r>
      <w:r>
        <w:rPr>
          <w:lang w:val="en-US" w:eastAsia="zh-CN"/>
        </w:rPr>
        <w:t>各项</w:t>
      </w:r>
      <w:r>
        <w:rPr>
          <w:rFonts w:hint="eastAsia"/>
          <w:lang w:val="en-US" w:eastAsia="zh-CN"/>
        </w:rPr>
        <w:t>实施</w:t>
      </w:r>
      <w:r>
        <w:rPr>
          <w:lang w:val="en-US" w:eastAsia="zh-CN"/>
        </w:rPr>
        <w:t>目单位制定了</w:t>
      </w:r>
      <w:r>
        <w:rPr>
          <w:rFonts w:hint="eastAsia"/>
          <w:lang w:val="en-US" w:eastAsia="zh-CN"/>
        </w:rPr>
        <w:t>相关规定</w:t>
      </w:r>
      <w:r>
        <w:rPr>
          <w:lang w:val="en-US" w:eastAsia="zh-CN"/>
        </w:rPr>
        <w:t>、工作职责，保证项目的实施。落实专人负责具体工作、制定了详细的工作目标、工作计划</w:t>
      </w:r>
      <w:r>
        <w:rPr>
          <w:rFonts w:hint="eastAsia"/>
          <w:lang w:val="en-US" w:eastAsia="zh-CN"/>
        </w:rPr>
        <w:t>和</w:t>
      </w:r>
      <w:r>
        <w:rPr>
          <w:lang w:val="en-US" w:eastAsia="zh-CN"/>
        </w:rPr>
        <w:t>具体实施方案</w:t>
      </w:r>
      <w:r>
        <w:rPr>
          <w:rFonts w:hint="eastAsia"/>
          <w:lang w:val="en-US" w:eastAsia="zh-CN"/>
        </w:rPr>
        <w:t>，</w:t>
      </w:r>
      <w:r>
        <w:rPr>
          <w:lang w:val="en-US" w:eastAsia="zh-CN"/>
        </w:rPr>
        <w:t>定期进行工作考核，及时总结经验，发现工作中存在的问题，以便进一步改进。</w:t>
      </w:r>
    </w:p>
    <w:p>
      <w:pPr>
        <w:pStyle w:val="3"/>
        <w:bidi w:val="0"/>
        <w:rPr>
          <w:rFonts w:hint="eastAsia"/>
          <w:lang w:val="en-US" w:eastAsia="zh-CN"/>
        </w:rPr>
      </w:pPr>
      <w:r>
        <w:rPr>
          <w:rFonts w:hint="eastAsia"/>
          <w:lang w:val="en-US" w:eastAsia="zh-CN"/>
        </w:rPr>
        <w:t>三、项目绩效情况</w:t>
      </w:r>
    </w:p>
    <w:p>
      <w:pPr>
        <w:pStyle w:val="4"/>
        <w:bidi w:val="0"/>
        <w:rPr>
          <w:rFonts w:hint="eastAsia"/>
          <w:lang w:val="en-US" w:eastAsia="zh-CN"/>
        </w:rPr>
      </w:pPr>
      <w:r>
        <w:rPr>
          <w:rFonts w:hint="eastAsia"/>
          <w:lang w:val="en-US" w:eastAsia="zh-CN"/>
        </w:rPr>
        <w:t>（一）项目完成情况</w:t>
      </w:r>
    </w:p>
    <w:p>
      <w:pPr>
        <w:ind w:left="0" w:leftChars="0" w:firstLine="640" w:firstLineChars="200"/>
        <w:rPr>
          <w:rFonts w:hint="eastAsia" w:ascii="仿宋" w:hAnsi="仿宋" w:eastAsia="仿宋_GB2312" w:cs="仿宋"/>
          <w:kern w:val="0"/>
          <w:sz w:val="32"/>
          <w:szCs w:val="32"/>
        </w:rPr>
      </w:pPr>
      <w:r>
        <w:rPr>
          <w:rFonts w:hint="eastAsia" w:ascii="仿宋" w:hAnsi="仿宋" w:eastAsia="仿宋_GB2312" w:cs="仿宋"/>
          <w:kern w:val="0"/>
          <w:sz w:val="32"/>
          <w:szCs w:val="32"/>
        </w:rPr>
        <w:t>1.产出指标完成情况分析</w:t>
      </w:r>
    </w:p>
    <w:p>
      <w:pPr>
        <w:bidi w:val="0"/>
        <w:rPr>
          <w:lang w:val="en-US" w:eastAsia="zh-CN"/>
        </w:rPr>
      </w:pPr>
      <w:r>
        <w:rPr>
          <w:rFonts w:hint="eastAsia"/>
          <w:lang w:val="en-US" w:eastAsia="zh-CN"/>
        </w:rPr>
        <w:t>（1）数量指标：全年组织项目集中开工仪式6次，实现项目总投资75亿元；</w:t>
      </w:r>
    </w:p>
    <w:p>
      <w:pPr>
        <w:bidi w:val="0"/>
        <w:rPr>
          <w:rFonts w:hint="eastAsia"/>
          <w:lang w:val="en-US" w:eastAsia="zh-CN"/>
        </w:rPr>
      </w:pPr>
      <w:r>
        <w:rPr>
          <w:rFonts w:hint="eastAsia"/>
          <w:lang w:val="en-US" w:eastAsia="zh-CN"/>
        </w:rPr>
        <w:t>（2）质量指标：符合条件申报对象覆盖率100%；</w:t>
      </w:r>
    </w:p>
    <w:p>
      <w:pPr>
        <w:bidi w:val="0"/>
        <w:rPr>
          <w:rFonts w:hint="eastAsia"/>
          <w:lang w:val="en-US" w:eastAsia="zh-CN"/>
        </w:rPr>
      </w:pPr>
      <w:r>
        <w:rPr>
          <w:rFonts w:hint="eastAsia"/>
          <w:lang w:val="en-US" w:eastAsia="zh-CN"/>
        </w:rPr>
        <w:t>（3）时效指标：年内完成预算执行及绩效目标任务。</w:t>
      </w:r>
    </w:p>
    <w:p>
      <w:pPr>
        <w:ind w:left="0" w:leftChars="0" w:firstLine="640" w:firstLineChars="200"/>
        <w:rPr>
          <w:rFonts w:hint="eastAsia" w:ascii="仿宋" w:hAnsi="仿宋" w:eastAsia="仿宋_GB2312" w:cs="仿宋"/>
          <w:kern w:val="0"/>
          <w:sz w:val="32"/>
          <w:szCs w:val="32"/>
        </w:rPr>
      </w:pPr>
      <w:r>
        <w:rPr>
          <w:rFonts w:hint="eastAsia" w:ascii="仿宋" w:hAnsi="仿宋" w:eastAsia="仿宋_GB2312" w:cs="仿宋"/>
          <w:kern w:val="0"/>
          <w:sz w:val="32"/>
          <w:szCs w:val="32"/>
        </w:rPr>
        <w:t>2.效益指标完成情况分析</w:t>
      </w:r>
    </w:p>
    <w:p>
      <w:pPr>
        <w:bidi w:val="0"/>
        <w:rPr>
          <w:rFonts w:hint="eastAsia"/>
        </w:rPr>
      </w:pPr>
      <w:r>
        <w:rPr>
          <w:rFonts w:hint="eastAsia"/>
        </w:rPr>
        <w:t>（1）经济效益</w:t>
      </w:r>
      <w:r>
        <w:rPr>
          <w:rFonts w:hint="eastAsia"/>
          <w:lang w:eastAsia="zh-CN"/>
        </w:rPr>
        <w:t>：</w:t>
      </w:r>
      <w:r>
        <w:rPr>
          <w:rFonts w:hint="eastAsia"/>
        </w:rPr>
        <w:t>全区实现</w:t>
      </w:r>
      <w:r>
        <w:rPr>
          <w:rFonts w:hint="eastAsia"/>
          <w:lang w:eastAsia="zh-CN"/>
        </w:rPr>
        <w:t>项目总投资</w:t>
      </w:r>
      <w:r>
        <w:rPr>
          <w:rFonts w:hint="eastAsia"/>
          <w:lang w:val="en-US" w:eastAsia="zh-CN"/>
        </w:rPr>
        <w:t>75</w:t>
      </w:r>
      <w:r>
        <w:rPr>
          <w:rFonts w:hint="eastAsia"/>
        </w:rPr>
        <w:t>亿元。</w:t>
      </w:r>
    </w:p>
    <w:p>
      <w:pPr>
        <w:bidi w:val="0"/>
        <w:rPr>
          <w:rFonts w:hint="eastAsia"/>
        </w:rPr>
      </w:pPr>
      <w:r>
        <w:rPr>
          <w:rFonts w:hint="eastAsia"/>
        </w:rPr>
        <w:t>（2）社会效益</w:t>
      </w:r>
      <w:r>
        <w:rPr>
          <w:rFonts w:hint="eastAsia"/>
          <w:lang w:eastAsia="zh-CN"/>
        </w:rPr>
        <w:t>：</w:t>
      </w:r>
      <w:r>
        <w:rPr>
          <w:rFonts w:hint="eastAsia"/>
        </w:rPr>
        <w:t>推动提升基础设施建设，促进就业，带动生产，促进经济社会高速发展。</w:t>
      </w:r>
    </w:p>
    <w:p>
      <w:pPr>
        <w:bidi w:val="0"/>
        <w:rPr>
          <w:rFonts w:hint="eastAsia"/>
        </w:rPr>
      </w:pPr>
      <w:r>
        <w:rPr>
          <w:rFonts w:hint="eastAsia"/>
        </w:rPr>
        <w:t>（3）生态效益</w:t>
      </w:r>
      <w:r>
        <w:rPr>
          <w:rFonts w:hint="eastAsia"/>
          <w:lang w:eastAsia="zh-CN"/>
        </w:rPr>
        <w:t>：</w:t>
      </w:r>
      <w:r>
        <w:rPr>
          <w:rFonts w:hint="eastAsia"/>
        </w:rPr>
        <w:t>无环境污染事件，生态效益良好。</w:t>
      </w:r>
    </w:p>
    <w:p>
      <w:pPr>
        <w:bidi w:val="0"/>
        <w:rPr>
          <w:rFonts w:hint="eastAsia"/>
        </w:rPr>
      </w:pPr>
      <w:r>
        <w:rPr>
          <w:rFonts w:hint="eastAsia"/>
        </w:rPr>
        <w:t>（4）可持续影响</w:t>
      </w:r>
      <w:r>
        <w:rPr>
          <w:rFonts w:hint="eastAsia"/>
          <w:lang w:eastAsia="zh-CN"/>
        </w:rPr>
        <w:t>：</w:t>
      </w:r>
      <w:r>
        <w:rPr>
          <w:rFonts w:hint="eastAsia"/>
        </w:rPr>
        <w:t>促进经济发展，促进基础设施建设，带动发展，促进增收，进一步改善民生，促进社会和谐和繁荣稳定。</w:t>
      </w:r>
    </w:p>
    <w:p>
      <w:pPr>
        <w:bidi w:val="0"/>
        <w:rPr>
          <w:rFonts w:hint="eastAsia"/>
        </w:rPr>
      </w:pPr>
      <w:r>
        <w:rPr>
          <w:rFonts w:hint="eastAsia"/>
        </w:rPr>
        <w:t>3.满意度指标完成情况分析</w:t>
      </w:r>
      <w:r>
        <w:rPr>
          <w:rFonts w:hint="eastAsia"/>
          <w:lang w:eastAsia="zh-CN"/>
        </w:rPr>
        <w:t>：</w:t>
      </w:r>
      <w:r>
        <w:rPr>
          <w:rFonts w:hint="eastAsia"/>
          <w:lang w:val="en-US" w:eastAsia="zh-CN"/>
        </w:rPr>
        <w:t>服务对象</w:t>
      </w:r>
      <w:r>
        <w:rPr>
          <w:rFonts w:hint="eastAsia"/>
        </w:rPr>
        <w:t>满意度≧</w:t>
      </w:r>
      <w:r>
        <w:rPr>
          <w:rFonts w:hint="eastAsia"/>
          <w:lang w:val="en-US" w:eastAsia="zh-CN"/>
        </w:rPr>
        <w:t>98</w:t>
      </w:r>
      <w:r>
        <w:rPr>
          <w:rFonts w:hint="eastAsia"/>
        </w:rPr>
        <w:t>%。</w:t>
      </w:r>
    </w:p>
    <w:p>
      <w:pPr>
        <w:pStyle w:val="4"/>
        <w:bidi w:val="0"/>
        <w:rPr>
          <w:rFonts w:hint="eastAsia"/>
        </w:rPr>
      </w:pPr>
      <w:r>
        <w:rPr>
          <w:rFonts w:hint="eastAsia"/>
        </w:rPr>
        <w:t>（二）项目效益情况</w:t>
      </w:r>
    </w:p>
    <w:p>
      <w:pPr>
        <w:bidi w:val="0"/>
        <w:rPr>
          <w:rFonts w:hint="eastAsia"/>
        </w:rPr>
      </w:pPr>
      <w:r>
        <w:rPr>
          <w:rFonts w:hint="eastAsia"/>
          <w:lang w:val="en-US" w:eastAsia="zh-CN"/>
        </w:rPr>
        <w:t>通过项目引进和项目集中开工仪式的促进，促进了全区基础设施建设规模和档次，促进了投资企业的广泛入驻和投资兴业，促进了地方经济的高速发展，促进了社会就业增收，全年实现项目总投资规模达75亿元</w:t>
      </w:r>
      <w:r>
        <w:rPr>
          <w:rFonts w:hint="default"/>
          <w:lang w:eastAsia="zh-CN"/>
        </w:rPr>
        <w:t>。</w:t>
      </w:r>
    </w:p>
    <w:p>
      <w:pPr>
        <w:pStyle w:val="3"/>
        <w:bidi w:val="0"/>
        <w:rPr>
          <w:rFonts w:hint="eastAsia"/>
        </w:rPr>
      </w:pPr>
      <w:r>
        <w:rPr>
          <w:rFonts w:hint="eastAsia"/>
        </w:rPr>
        <w:t>四、问题及建议</w:t>
      </w:r>
    </w:p>
    <w:p>
      <w:pPr>
        <w:pStyle w:val="4"/>
        <w:bidi w:val="0"/>
        <w:rPr>
          <w:rFonts w:hint="eastAsia"/>
        </w:rPr>
      </w:pPr>
      <w:r>
        <w:rPr>
          <w:rFonts w:hint="eastAsia"/>
        </w:rPr>
        <w:t>（一）存在的问题</w:t>
      </w:r>
    </w:p>
    <w:p>
      <w:pPr>
        <w:bidi w:val="0"/>
        <w:rPr>
          <w:rFonts w:hint="eastAsia"/>
        </w:rPr>
      </w:pPr>
      <w:r>
        <w:rPr>
          <w:rFonts w:hint="eastAsia"/>
        </w:rPr>
        <w:t>1.重视程度有待加强，绩效目标设定不够精细合理；</w:t>
      </w:r>
    </w:p>
    <w:p>
      <w:pPr>
        <w:bidi w:val="0"/>
        <w:rPr>
          <w:rFonts w:hint="eastAsia"/>
        </w:rPr>
      </w:pPr>
      <w:r>
        <w:rPr>
          <w:rFonts w:hint="eastAsia"/>
        </w:rPr>
        <w:t>2.绩效评价思想上存在误区，绩效评价方式比较单一，形式和内容不够全面；</w:t>
      </w:r>
    </w:p>
    <w:p>
      <w:pPr>
        <w:bidi w:val="0"/>
        <w:rPr>
          <w:rFonts w:hint="eastAsia"/>
        </w:rPr>
      </w:pPr>
      <w:r>
        <w:rPr>
          <w:rFonts w:hint="eastAsia"/>
        </w:rPr>
        <w:t>3.项目支出绩效目标设置不够精细，指标数量不够明晰，结构不太合理。</w:t>
      </w:r>
    </w:p>
    <w:p>
      <w:pPr>
        <w:pStyle w:val="4"/>
        <w:bidi w:val="0"/>
        <w:rPr>
          <w:rFonts w:hint="eastAsia"/>
        </w:rPr>
      </w:pPr>
      <w:r>
        <w:rPr>
          <w:rFonts w:hint="eastAsia"/>
          <w:lang w:val="en-US" w:eastAsia="zh-CN"/>
        </w:rPr>
        <w:t>（二）</w:t>
      </w:r>
      <w:r>
        <w:rPr>
          <w:rFonts w:hint="eastAsia"/>
        </w:rPr>
        <w:t>相关建议</w:t>
      </w:r>
    </w:p>
    <w:p>
      <w:pPr>
        <w:bidi w:val="0"/>
        <w:rPr>
          <w:rFonts w:hint="eastAsia"/>
          <w:lang w:val="en-US" w:eastAsia="zh-CN"/>
        </w:rPr>
      </w:pPr>
      <w:r>
        <w:rPr>
          <w:rFonts w:hint="eastAsia"/>
          <w:lang w:val="en-US" w:eastAsia="zh-CN"/>
        </w:rPr>
        <w:t>1.建议业务主管部门加强对单位、部门的业务知识的培训，同时加强对单位、部门的调研指导；</w:t>
      </w:r>
    </w:p>
    <w:p>
      <w:pPr>
        <w:bidi w:val="0"/>
        <w:rPr>
          <w:rFonts w:hint="eastAsia"/>
          <w:lang w:val="en-US" w:eastAsia="zh-CN"/>
        </w:rPr>
      </w:pPr>
      <w:r>
        <w:rPr>
          <w:rFonts w:hint="eastAsia"/>
          <w:lang w:val="en-US" w:eastAsia="zh-CN"/>
        </w:rPr>
        <w:t>2.建议业务主管部门给单位、部门传递更强信号，提高单位级领导班子及集体对绩效管理工作的重视程度；</w:t>
      </w:r>
    </w:p>
    <w:p>
      <w:pPr>
        <w:bidi w:val="0"/>
        <w:rPr>
          <w:rFonts w:hint="eastAsia"/>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autoSpaceDE w:val="0"/>
        <w:spacing w:line="540" w:lineRule="exact"/>
        <w:ind w:left="0" w:leftChars="0" w:firstLine="0" w:firstLineChars="0"/>
        <w:jc w:val="center"/>
        <w:rPr>
          <w:rFonts w:hint="eastAsia" w:ascii="方正大标宋简体" w:hAnsi="??" w:eastAsia="方正大标宋简体" w:cs="Times New Roman"/>
          <w:b w:val="0"/>
          <w:bCs/>
          <w:color w:val="000000"/>
          <w:spacing w:val="-6"/>
          <w:kern w:val="0"/>
          <w:sz w:val="44"/>
          <w:szCs w:val="44"/>
        </w:rPr>
      </w:pPr>
      <w:bookmarkStart w:id="135" w:name="_Toc28913"/>
      <w:bookmarkStart w:id="136" w:name="_Toc15396618"/>
    </w:p>
    <w:p>
      <w:pPr>
        <w:pStyle w:val="2"/>
        <w:bidi w:val="0"/>
        <w:rPr>
          <w:rFonts w:hint="eastAsia"/>
          <w:lang w:eastAsia="zh-CN"/>
        </w:rPr>
      </w:pPr>
      <w:r>
        <w:rPr>
          <w:rFonts w:hint="eastAsia"/>
          <w:lang w:eastAsia="zh-CN"/>
        </w:rPr>
        <w:t>广元市朝天区发展和改革局</w:t>
      </w:r>
    </w:p>
    <w:p>
      <w:pPr>
        <w:pStyle w:val="2"/>
        <w:bidi w:val="0"/>
        <w:rPr>
          <w:rFonts w:hint="eastAsia"/>
          <w:lang w:eastAsia="zh-CN"/>
        </w:rPr>
      </w:pPr>
      <w:r>
        <w:rPr>
          <w:rFonts w:hint="eastAsia"/>
        </w:rPr>
        <w:t>20</w:t>
      </w:r>
      <w:r>
        <w:rPr>
          <w:rFonts w:hint="eastAsia"/>
          <w:lang w:val="en-US" w:eastAsia="zh-CN"/>
        </w:rPr>
        <w:t>22</w:t>
      </w:r>
      <w:r>
        <w:rPr>
          <w:rFonts w:hint="eastAsia"/>
        </w:rPr>
        <w:t>年</w:t>
      </w:r>
      <w:r>
        <w:rPr>
          <w:rFonts w:hint="eastAsia"/>
          <w:lang w:eastAsia="zh-CN"/>
        </w:rPr>
        <w:t>山地轨道交通建设前期研究费用</w:t>
      </w:r>
    </w:p>
    <w:p>
      <w:pPr>
        <w:pStyle w:val="2"/>
        <w:bidi w:val="0"/>
        <w:rPr>
          <w:rFonts w:hint="eastAsia"/>
          <w:lang w:eastAsia="zh-CN"/>
        </w:rPr>
      </w:pPr>
      <w:r>
        <w:rPr>
          <w:rFonts w:hint="eastAsia"/>
        </w:rPr>
        <w:t>项目支出绩效自评</w:t>
      </w:r>
      <w:r>
        <w:rPr>
          <w:rFonts w:hint="eastAsia"/>
          <w:lang w:eastAsia="zh-CN"/>
        </w:rPr>
        <w:t>报告</w:t>
      </w:r>
    </w:p>
    <w:p>
      <w:pPr>
        <w:widowControl/>
        <w:numPr>
          <w:ilvl w:val="0"/>
          <w:numId w:val="0"/>
        </w:numPr>
        <w:shd w:val="clear" w:color="auto" w:fill="FFFFFF"/>
        <w:spacing w:line="580" w:lineRule="atLeast"/>
        <w:jc w:val="left"/>
        <w:rPr>
          <w:rFonts w:hint="eastAsia" w:ascii="黑体" w:hAnsi="黑体" w:eastAsia="黑体" w:cs="Times New Roman"/>
          <w:spacing w:val="-6"/>
          <w:sz w:val="32"/>
          <w:szCs w:val="32"/>
          <w:lang w:eastAsia="zh-CN"/>
        </w:rPr>
      </w:pPr>
    </w:p>
    <w:p>
      <w:pPr>
        <w:pStyle w:val="3"/>
        <w:bidi w:val="0"/>
        <w:rPr>
          <w:rFonts w:hint="eastAsia"/>
        </w:rPr>
      </w:pPr>
      <w:r>
        <w:rPr>
          <w:rFonts w:hint="eastAsia"/>
          <w:lang w:eastAsia="zh-CN"/>
        </w:rPr>
        <w:t>一、</w:t>
      </w:r>
      <w:r>
        <w:rPr>
          <w:rFonts w:hint="eastAsia"/>
        </w:rPr>
        <w:t>项目概况项目的概况</w:t>
      </w:r>
    </w:p>
    <w:p>
      <w:pPr>
        <w:pStyle w:val="4"/>
        <w:bidi w:val="0"/>
        <w:rPr>
          <w:rFonts w:hint="eastAsia"/>
        </w:rPr>
      </w:pPr>
      <w:r>
        <w:rPr>
          <w:rFonts w:hint="eastAsia"/>
          <w:lang w:eastAsia="zh-CN"/>
        </w:rPr>
        <w:t>（一）项目申报及批复情况</w:t>
      </w:r>
    </w:p>
    <w:p>
      <w:pPr>
        <w:numPr>
          <w:ilvl w:val="0"/>
          <w:numId w:val="0"/>
        </w:numPr>
        <w:autoSpaceDE w:val="0"/>
        <w:spacing w:line="540" w:lineRule="exact"/>
        <w:ind w:firstLine="616" w:firstLineChars="200"/>
        <w:rPr>
          <w:rFonts w:hint="eastAsia" w:ascii="仿宋_GB2312" w:hAnsi="仿宋_GB2312" w:eastAsia="仿宋_GB2312" w:cs="仿宋_GB2312"/>
          <w:kern w:val="0"/>
          <w:sz w:val="32"/>
          <w:szCs w:val="32"/>
        </w:rPr>
      </w:pPr>
      <w:r>
        <w:rPr>
          <w:rFonts w:hint="eastAsia" w:ascii="仿宋_GB2312" w:hAnsi="Times New Roman" w:eastAsia="仿宋_GB2312" w:cs="Times New Roman"/>
          <w:spacing w:val="-6"/>
          <w:sz w:val="32"/>
          <w:szCs w:val="32"/>
          <w:lang w:eastAsia="zh-CN"/>
        </w:rPr>
        <w:t>年初区发改局向区财政申报</w:t>
      </w:r>
      <w:r>
        <w:rPr>
          <w:rFonts w:hint="eastAsia" w:ascii="仿宋_GB2312" w:cs="Times New Roman"/>
          <w:spacing w:val="-6"/>
          <w:sz w:val="32"/>
          <w:szCs w:val="32"/>
          <w:lang w:eastAsia="zh-CN"/>
        </w:rPr>
        <w:t>山地轨道交通建设前期研究</w:t>
      </w:r>
      <w:r>
        <w:rPr>
          <w:rFonts w:hint="eastAsia" w:ascii="仿宋_GB2312" w:hAnsi="Times New Roman" w:eastAsia="仿宋_GB2312" w:cs="Times New Roman"/>
          <w:spacing w:val="-6"/>
          <w:sz w:val="32"/>
          <w:szCs w:val="32"/>
          <w:lang w:eastAsia="zh-CN"/>
        </w:rPr>
        <w:t>费</w:t>
      </w:r>
      <w:r>
        <w:rPr>
          <w:rFonts w:hint="eastAsia" w:ascii="仿宋_GB2312" w:cs="Times New Roman"/>
          <w:spacing w:val="-6"/>
          <w:sz w:val="32"/>
          <w:szCs w:val="32"/>
          <w:lang w:eastAsia="zh-CN"/>
        </w:rPr>
        <w:t>用项目</w:t>
      </w:r>
      <w:r>
        <w:rPr>
          <w:rFonts w:hint="eastAsia" w:ascii="仿宋_GB2312" w:cs="Times New Roman"/>
          <w:spacing w:val="-6"/>
          <w:sz w:val="32"/>
          <w:szCs w:val="32"/>
          <w:lang w:val="en-US" w:eastAsia="zh-CN"/>
        </w:rPr>
        <w:t>64.92</w:t>
      </w:r>
      <w:r>
        <w:rPr>
          <w:rFonts w:hint="eastAsia" w:ascii="仿宋_GB2312" w:hAnsi="Times New Roman" w:eastAsia="仿宋_GB2312" w:cs="Times New Roman"/>
          <w:spacing w:val="-6"/>
          <w:sz w:val="32"/>
          <w:szCs w:val="32"/>
          <w:lang w:val="en-US" w:eastAsia="zh-CN"/>
        </w:rPr>
        <w:t>万元，区财政批准</w:t>
      </w:r>
      <w:r>
        <w:rPr>
          <w:rFonts w:hint="eastAsia" w:ascii="仿宋_GB2312" w:cs="Times New Roman"/>
          <w:spacing w:val="-6"/>
          <w:sz w:val="32"/>
          <w:szCs w:val="32"/>
          <w:lang w:val="en-US" w:eastAsia="zh-CN"/>
        </w:rPr>
        <w:t>64.92</w:t>
      </w:r>
      <w:r>
        <w:rPr>
          <w:rFonts w:hint="eastAsia" w:ascii="仿宋_GB2312" w:hAnsi="Times New Roman" w:eastAsia="仿宋_GB2312" w:cs="Times New Roman"/>
          <w:spacing w:val="-6"/>
          <w:sz w:val="32"/>
          <w:szCs w:val="32"/>
          <w:lang w:val="en-US" w:eastAsia="zh-CN"/>
        </w:rPr>
        <w:t>万元，纳入本单位年初预算。</w:t>
      </w:r>
    </w:p>
    <w:p>
      <w:pPr>
        <w:pStyle w:val="4"/>
        <w:bidi w:val="0"/>
        <w:rPr>
          <w:rFonts w:hint="eastAsia"/>
        </w:rPr>
      </w:pPr>
      <w:r>
        <w:rPr>
          <w:rFonts w:hint="eastAsia"/>
        </w:rPr>
        <w:t>（</w:t>
      </w:r>
      <w:r>
        <w:rPr>
          <w:rFonts w:hint="eastAsia"/>
          <w:lang w:eastAsia="zh-CN"/>
        </w:rPr>
        <w:t>二</w:t>
      </w:r>
      <w:r>
        <w:rPr>
          <w:rFonts w:hint="eastAsia"/>
        </w:rPr>
        <w:t>）项目绩效目标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Chars="0" w:right="0" w:rightChars="0" w:firstLine="640" w:firstLineChars="200"/>
        <w:jc w:val="left"/>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聘请专家实地查看山地轨道交通线路走向，并进行前期分析</w:t>
      </w:r>
      <w:r>
        <w:rPr>
          <w:rFonts w:hint="eastAsia" w:ascii="仿宋_GB2312" w:hAnsi="仿宋_GB2312" w:cs="仿宋_GB2312"/>
          <w:color w:val="000000"/>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Chars="0" w:right="0" w:rightChars="0" w:firstLine="640" w:firstLineChars="200"/>
        <w:jc w:val="left"/>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委托专业机构完成规划方案研究</w:t>
      </w:r>
      <w:r>
        <w:rPr>
          <w:rFonts w:hint="eastAsia" w:ascii="仿宋_GB2312" w:hAnsi="仿宋_GB2312" w:cs="仿宋_GB2312"/>
          <w:color w:val="000000"/>
          <w:sz w:val="32"/>
          <w:szCs w:val="32"/>
          <w:lang w:eastAsia="zh-CN"/>
        </w:rPr>
        <w:t>；</w:t>
      </w:r>
    </w:p>
    <w:p>
      <w:pPr>
        <w:numPr>
          <w:ilvl w:val="0"/>
          <w:numId w:val="0"/>
        </w:numPr>
        <w:autoSpaceDE w:val="0"/>
        <w:spacing w:line="540" w:lineRule="exact"/>
        <w:ind w:leftChars="0" w:firstLine="640" w:firstLineChars="200"/>
        <w:jc w:val="left"/>
        <w:rPr>
          <w:rFonts w:hint="eastAsia" w:ascii="仿宋" w:hAnsi="仿宋" w:eastAsia="仿宋_GB2312" w:cs="仿宋"/>
          <w:kern w:val="0"/>
          <w:sz w:val="32"/>
          <w:szCs w:val="32"/>
          <w:lang w:val="en-US" w:eastAsia="zh-CN" w:bidi="ar-SA"/>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申报纳入《四川省山地轨道交通规划》。</w:t>
      </w:r>
    </w:p>
    <w:p>
      <w:pPr>
        <w:pStyle w:val="4"/>
        <w:bidi w:val="0"/>
        <w:rPr>
          <w:rFonts w:hint="eastAsia"/>
        </w:rPr>
      </w:pPr>
      <w:r>
        <w:rPr>
          <w:rFonts w:hint="eastAsia"/>
        </w:rPr>
        <w:t>（三）项目资金申报相符性</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cs="Times New Roman"/>
          <w:spacing w:val="-6"/>
          <w:sz w:val="32"/>
          <w:szCs w:val="32"/>
          <w:lang w:eastAsia="zh-CN"/>
        </w:rPr>
        <w:t>申报山地轨道交通建设前期研究</w:t>
      </w:r>
      <w:r>
        <w:rPr>
          <w:rFonts w:hint="eastAsia" w:ascii="仿宋_GB2312" w:hAnsi="Times New Roman" w:eastAsia="仿宋_GB2312" w:cs="Times New Roman"/>
          <w:spacing w:val="-6"/>
          <w:sz w:val="32"/>
          <w:szCs w:val="32"/>
          <w:lang w:eastAsia="zh-CN"/>
        </w:rPr>
        <w:t>费</w:t>
      </w:r>
      <w:r>
        <w:rPr>
          <w:rFonts w:hint="eastAsia" w:ascii="仿宋_GB2312" w:cs="Times New Roman"/>
          <w:spacing w:val="-6"/>
          <w:sz w:val="32"/>
          <w:szCs w:val="32"/>
          <w:lang w:eastAsia="zh-CN"/>
        </w:rPr>
        <w:t>用项目</w:t>
      </w:r>
      <w:r>
        <w:rPr>
          <w:rFonts w:hint="eastAsia" w:ascii="仿宋_GB2312" w:hAnsi="Times New Roman" w:eastAsia="仿宋_GB2312" w:cs="Times New Roman"/>
          <w:spacing w:val="-6"/>
          <w:sz w:val="32"/>
          <w:szCs w:val="32"/>
        </w:rPr>
        <w:t>内容与具体实施内容相符、目标合理可行。</w:t>
      </w:r>
    </w:p>
    <w:p>
      <w:pPr>
        <w:pStyle w:val="3"/>
        <w:bidi w:val="0"/>
        <w:rPr>
          <w:rFonts w:hint="eastAsia"/>
          <w:lang w:val="en-US" w:eastAsia="zh-CN"/>
        </w:rPr>
      </w:pPr>
      <w:r>
        <w:rPr>
          <w:rFonts w:hint="eastAsia"/>
          <w:lang w:val="en-US" w:eastAsia="zh-CN"/>
        </w:rPr>
        <w:t>二、项目实施及管理情况</w:t>
      </w:r>
    </w:p>
    <w:p>
      <w:pPr>
        <w:pStyle w:val="4"/>
        <w:bidi w:val="0"/>
        <w:rPr>
          <w:rFonts w:hint="eastAsia"/>
          <w:lang w:val="en-US" w:eastAsia="zh-CN"/>
        </w:rPr>
      </w:pPr>
      <w:r>
        <w:rPr>
          <w:rFonts w:hint="eastAsia"/>
          <w:lang w:val="en-US" w:eastAsia="zh-CN"/>
        </w:rPr>
        <w:t>（一）资金到位情况</w:t>
      </w:r>
    </w:p>
    <w:p>
      <w:pPr>
        <w:bidi w:val="0"/>
        <w:rPr>
          <w:rFonts w:hint="eastAsia"/>
          <w:lang w:val="en-US" w:eastAsia="zh-CN"/>
        </w:rPr>
      </w:pPr>
      <w:r>
        <w:rPr>
          <w:rFonts w:hint="eastAsia"/>
          <w:lang w:val="en-US" w:eastAsia="zh-CN"/>
        </w:rPr>
        <w:t>2022年度该项目区财政预算项目工作经费64.92万元，资金到位率100%。</w:t>
      </w:r>
    </w:p>
    <w:p>
      <w:pPr>
        <w:pStyle w:val="4"/>
        <w:bidi w:val="0"/>
        <w:rPr>
          <w:rFonts w:hint="eastAsia"/>
          <w:lang w:val="en-US" w:eastAsia="zh-CN"/>
        </w:rPr>
      </w:pPr>
      <w:r>
        <w:rPr>
          <w:rFonts w:hint="eastAsia"/>
          <w:lang w:val="en-US" w:eastAsia="zh-CN"/>
        </w:rPr>
        <w:t>（二）预算资金执行情况</w:t>
      </w:r>
    </w:p>
    <w:p>
      <w:pPr>
        <w:bidi w:val="0"/>
        <w:rPr>
          <w:lang w:val="en-US" w:eastAsia="zh-CN"/>
        </w:rPr>
      </w:pPr>
      <w:r>
        <w:rPr>
          <w:rFonts w:hint="eastAsia"/>
          <w:lang w:val="en-US" w:eastAsia="zh-CN"/>
        </w:rPr>
        <w:t>2022年累计支付</w:t>
      </w:r>
      <w:r>
        <w:rPr>
          <w:rFonts w:hint="eastAsia"/>
          <w:lang w:eastAsia="zh-CN"/>
        </w:rPr>
        <w:t>山地轨道交通建设前期研究费用项目</w:t>
      </w:r>
      <w:r>
        <w:rPr>
          <w:rFonts w:hint="eastAsia"/>
          <w:lang w:val="en-US" w:eastAsia="zh-CN"/>
        </w:rPr>
        <w:t>64.92万元，其中：印刷费3.56万元、劳务费19.86万元、其他交通费用2.2万元、差旅费6.8万元、委托业务费28万元、办公费4.5万元。资金支付率100%。</w:t>
      </w:r>
    </w:p>
    <w:p>
      <w:pPr>
        <w:pStyle w:val="4"/>
        <w:bidi w:val="0"/>
        <w:rPr>
          <w:rFonts w:hint="eastAsia"/>
          <w:lang w:val="en-US" w:eastAsia="zh-CN"/>
        </w:rPr>
      </w:pPr>
      <w:r>
        <w:rPr>
          <w:rFonts w:hint="eastAsia"/>
          <w:lang w:val="en-US" w:eastAsia="zh-CN"/>
        </w:rPr>
        <w:t>（三）项目资金规范运行情况</w:t>
      </w:r>
    </w:p>
    <w:p>
      <w:pPr>
        <w:bidi w:val="0"/>
        <w:rPr>
          <w:rFonts w:hint="eastAsia"/>
          <w:lang w:val="en-US" w:eastAsia="zh-CN"/>
        </w:rPr>
      </w:pPr>
      <w:r>
        <w:rPr>
          <w:rFonts w:hint="eastAsia"/>
          <w:lang w:val="en-US" w:eastAsia="zh-CN"/>
        </w:rPr>
        <w:t>一是规范管理；二是规范申报、审核、审批流程；三是专款专用。</w:t>
      </w:r>
    </w:p>
    <w:p>
      <w:pPr>
        <w:pStyle w:val="4"/>
        <w:bidi w:val="0"/>
        <w:rPr>
          <w:rFonts w:hint="eastAsia"/>
          <w:lang w:val="en-US" w:eastAsia="zh-CN"/>
        </w:rPr>
      </w:pPr>
      <w:r>
        <w:rPr>
          <w:rFonts w:hint="eastAsia"/>
          <w:lang w:val="en-US" w:eastAsia="zh-CN"/>
        </w:rPr>
        <w:t>（四）财务管理情况</w:t>
      </w:r>
    </w:p>
    <w:p>
      <w:pPr>
        <w:bidi w:val="0"/>
        <w:rPr>
          <w:rFonts w:hint="eastAsia"/>
          <w:lang w:val="en-US" w:eastAsia="zh-CN"/>
        </w:rPr>
      </w:pPr>
      <w:r>
        <w:rPr>
          <w:rFonts w:hint="eastAsia"/>
          <w:lang w:val="en-US" w:eastAsia="zh-CN"/>
        </w:rPr>
        <w:t>按照财务管理制度，</w:t>
      </w:r>
      <w:r>
        <w:rPr>
          <w:rFonts w:hint="eastAsia"/>
          <w:lang w:eastAsia="zh-CN"/>
        </w:rPr>
        <w:t>山地轨道交通建设前期研究费用项目</w:t>
      </w:r>
      <w:r>
        <w:rPr>
          <w:rFonts w:hint="eastAsia"/>
          <w:lang w:val="en-US" w:eastAsia="zh-CN"/>
        </w:rPr>
        <w:t>已足额支付，无截留、挤占、挪用、虚列支出等情况，较好地发挥了项目工作经费使用效益和社会效益，达到了项目所设立的绩效目标。</w:t>
      </w:r>
    </w:p>
    <w:p>
      <w:pPr>
        <w:pStyle w:val="4"/>
        <w:bidi w:val="0"/>
        <w:rPr>
          <w:rFonts w:hint="eastAsia"/>
          <w:lang w:val="en-US" w:eastAsia="zh-CN"/>
        </w:rPr>
      </w:pPr>
      <w:r>
        <w:rPr>
          <w:rFonts w:hint="eastAsia"/>
          <w:lang w:val="en-US" w:eastAsia="zh-CN"/>
        </w:rPr>
        <w:t>（五）项目组织实施情况</w:t>
      </w:r>
    </w:p>
    <w:p>
      <w:pPr>
        <w:bidi w:val="0"/>
        <w:rPr>
          <w:lang w:val="en-US" w:eastAsia="zh-CN"/>
        </w:rPr>
      </w:pPr>
      <w:r>
        <w:rPr>
          <w:lang w:val="en-US" w:eastAsia="zh-CN"/>
        </w:rPr>
        <w:t>项目经费严格按照单位的财务制度和预算支出范围使用</w:t>
      </w:r>
      <w:r>
        <w:rPr>
          <w:rFonts w:hint="eastAsia"/>
          <w:lang w:val="en-US" w:eastAsia="zh-CN"/>
        </w:rPr>
        <w:t>，</w:t>
      </w:r>
      <w:r>
        <w:rPr>
          <w:lang w:val="en-US" w:eastAsia="zh-CN"/>
        </w:rPr>
        <w:t>各项</w:t>
      </w:r>
      <w:r>
        <w:rPr>
          <w:rFonts w:hint="eastAsia"/>
          <w:lang w:val="en-US" w:eastAsia="zh-CN"/>
        </w:rPr>
        <w:t>实施</w:t>
      </w:r>
      <w:r>
        <w:rPr>
          <w:lang w:val="en-US" w:eastAsia="zh-CN"/>
        </w:rPr>
        <w:t>目单位制定了</w:t>
      </w:r>
      <w:r>
        <w:rPr>
          <w:rFonts w:hint="eastAsia"/>
          <w:lang w:val="en-US" w:eastAsia="zh-CN"/>
        </w:rPr>
        <w:t>相关规定</w:t>
      </w:r>
      <w:r>
        <w:rPr>
          <w:lang w:val="en-US" w:eastAsia="zh-CN"/>
        </w:rPr>
        <w:t>、工作职责，保证项目的实施。落实专人负责具体工作、制定了详细的工作目标、工作计划</w:t>
      </w:r>
      <w:r>
        <w:rPr>
          <w:rFonts w:hint="eastAsia"/>
          <w:lang w:val="en-US" w:eastAsia="zh-CN"/>
        </w:rPr>
        <w:t>和</w:t>
      </w:r>
      <w:r>
        <w:rPr>
          <w:lang w:val="en-US" w:eastAsia="zh-CN"/>
        </w:rPr>
        <w:t>具体实施方案</w:t>
      </w:r>
      <w:r>
        <w:rPr>
          <w:rFonts w:hint="eastAsia"/>
          <w:lang w:val="en-US" w:eastAsia="zh-CN"/>
        </w:rPr>
        <w:t>，</w:t>
      </w:r>
      <w:r>
        <w:rPr>
          <w:lang w:val="en-US" w:eastAsia="zh-CN"/>
        </w:rPr>
        <w:t>定期进行工作考核，及时总结经验，发现工作中存在的问题，以便进一步改进。</w:t>
      </w:r>
    </w:p>
    <w:p>
      <w:pPr>
        <w:pStyle w:val="3"/>
        <w:bidi w:val="0"/>
        <w:rPr>
          <w:rFonts w:hint="eastAsia"/>
          <w:lang w:val="en-US" w:eastAsia="zh-CN"/>
        </w:rPr>
      </w:pPr>
      <w:r>
        <w:rPr>
          <w:rFonts w:hint="eastAsia"/>
          <w:lang w:val="en-US" w:eastAsia="zh-CN"/>
        </w:rPr>
        <w:t>三、项目绩效情况</w:t>
      </w:r>
    </w:p>
    <w:p>
      <w:pPr>
        <w:pStyle w:val="4"/>
        <w:bidi w:val="0"/>
        <w:rPr>
          <w:rFonts w:hint="eastAsia"/>
          <w:lang w:val="en-US" w:eastAsia="zh-CN"/>
        </w:rPr>
      </w:pPr>
      <w:r>
        <w:rPr>
          <w:rFonts w:hint="eastAsia"/>
          <w:lang w:val="en-US" w:eastAsia="zh-CN"/>
        </w:rPr>
        <w:t>（一）项目完成情况</w:t>
      </w:r>
    </w:p>
    <w:p>
      <w:pPr>
        <w:bidi w:val="0"/>
        <w:rPr>
          <w:rFonts w:hint="eastAsia"/>
          <w:lang w:val="en-US" w:eastAsia="zh-CN"/>
        </w:rPr>
      </w:pPr>
      <w:r>
        <w:rPr>
          <w:rFonts w:hint="eastAsia"/>
          <w:lang w:val="en-US" w:eastAsia="zh-CN"/>
        </w:rPr>
        <w:t>1.产出指标完成情况分析</w:t>
      </w:r>
    </w:p>
    <w:p>
      <w:pPr>
        <w:bidi w:val="0"/>
        <w:rPr>
          <w:rFonts w:hint="eastAsia"/>
          <w:lang w:val="en-US" w:eastAsia="zh-CN"/>
        </w:rPr>
      </w:pPr>
      <w:r>
        <w:rPr>
          <w:rFonts w:hint="eastAsia"/>
          <w:lang w:val="en-US" w:eastAsia="zh-CN"/>
        </w:rPr>
        <w:t>（1）数量指标：一是聘请专家实地察看山地轨道交通线路走向，并进行前期分析；二是委托专业机构完成规划方案研究；三是完成申报纳入《四川省山地轨道交通规划》；</w:t>
      </w:r>
    </w:p>
    <w:p>
      <w:pPr>
        <w:bidi w:val="0"/>
        <w:rPr>
          <w:rFonts w:hint="eastAsia"/>
          <w:lang w:val="en-US" w:eastAsia="zh-CN"/>
        </w:rPr>
      </w:pPr>
      <w:r>
        <w:rPr>
          <w:rFonts w:hint="eastAsia"/>
          <w:lang w:val="en-US" w:eastAsia="zh-CN"/>
        </w:rPr>
        <w:t>（2）质量指标：前期规划科学性、合理性、实用性率达98%；</w:t>
      </w:r>
    </w:p>
    <w:p>
      <w:pPr>
        <w:bidi w:val="0"/>
        <w:rPr>
          <w:rFonts w:hint="eastAsia"/>
          <w:lang w:val="en-US" w:eastAsia="zh-CN"/>
        </w:rPr>
      </w:pPr>
      <w:r>
        <w:rPr>
          <w:rFonts w:hint="eastAsia"/>
          <w:lang w:val="en-US" w:eastAsia="zh-CN"/>
        </w:rPr>
        <w:t>（3）时效指标：年内完成预算执行及绩效目标任务。</w:t>
      </w:r>
    </w:p>
    <w:p>
      <w:pPr>
        <w:ind w:left="0" w:leftChars="0" w:firstLine="640" w:firstLineChars="200"/>
        <w:rPr>
          <w:rFonts w:hint="eastAsia" w:ascii="仿宋" w:hAnsi="仿宋" w:eastAsia="仿宋_GB2312" w:cs="仿宋"/>
          <w:kern w:val="0"/>
          <w:sz w:val="32"/>
          <w:szCs w:val="32"/>
        </w:rPr>
      </w:pPr>
      <w:r>
        <w:rPr>
          <w:rFonts w:hint="eastAsia" w:ascii="仿宋" w:hAnsi="仿宋" w:eastAsia="仿宋_GB2312" w:cs="仿宋"/>
          <w:kern w:val="0"/>
          <w:sz w:val="32"/>
          <w:szCs w:val="32"/>
        </w:rPr>
        <w:t>2.效益指标完成情况分析</w:t>
      </w:r>
    </w:p>
    <w:p>
      <w:pPr>
        <w:ind w:left="0" w:leftChars="0" w:firstLine="640" w:firstLineChars="200"/>
        <w:rPr>
          <w:rFonts w:hint="eastAsia" w:ascii="仿宋" w:hAnsi="仿宋" w:eastAsia="仿宋_GB2312" w:cs="仿宋"/>
          <w:kern w:val="0"/>
          <w:sz w:val="32"/>
          <w:szCs w:val="32"/>
        </w:rPr>
      </w:pPr>
      <w:r>
        <w:rPr>
          <w:rFonts w:hint="eastAsia" w:ascii="仿宋" w:hAnsi="仿宋" w:eastAsia="仿宋_GB2312" w:cs="仿宋"/>
          <w:kern w:val="0"/>
          <w:sz w:val="32"/>
          <w:szCs w:val="32"/>
        </w:rPr>
        <w:t>（1）经济效益</w:t>
      </w:r>
      <w:r>
        <w:rPr>
          <w:rFonts w:hint="eastAsia" w:ascii="仿宋" w:hAnsi="仿宋" w:cs="仿宋"/>
          <w:kern w:val="0"/>
          <w:sz w:val="32"/>
          <w:szCs w:val="32"/>
          <w:lang w:eastAsia="zh-CN"/>
        </w:rPr>
        <w:t>：</w:t>
      </w:r>
      <w:r>
        <w:rPr>
          <w:rFonts w:hint="eastAsia" w:ascii="仿宋" w:hAnsi="仿宋" w:cs="仿宋"/>
          <w:kern w:val="0"/>
          <w:sz w:val="32"/>
          <w:szCs w:val="32"/>
          <w:lang w:val="en-US" w:eastAsia="zh-CN"/>
        </w:rPr>
        <w:t>项目一旦实施将大幅度带动地方经济增长。</w:t>
      </w:r>
    </w:p>
    <w:p>
      <w:pPr>
        <w:ind w:left="0" w:leftChars="0" w:firstLine="640" w:firstLineChars="200"/>
        <w:rPr>
          <w:rFonts w:hint="eastAsia" w:ascii="仿宋" w:hAnsi="仿宋" w:eastAsia="仿宋_GB2312" w:cs="仿宋"/>
          <w:kern w:val="0"/>
          <w:sz w:val="32"/>
          <w:szCs w:val="32"/>
        </w:rPr>
      </w:pPr>
      <w:r>
        <w:rPr>
          <w:rFonts w:hint="eastAsia" w:ascii="仿宋" w:hAnsi="仿宋" w:eastAsia="仿宋_GB2312" w:cs="仿宋"/>
          <w:kern w:val="0"/>
          <w:sz w:val="32"/>
          <w:szCs w:val="32"/>
        </w:rPr>
        <w:t>（2）社会效益</w:t>
      </w:r>
      <w:r>
        <w:rPr>
          <w:rFonts w:hint="eastAsia" w:ascii="仿宋" w:hAnsi="仿宋" w:cs="仿宋"/>
          <w:kern w:val="0"/>
          <w:sz w:val="32"/>
          <w:szCs w:val="32"/>
          <w:lang w:eastAsia="zh-CN"/>
        </w:rPr>
        <w:t>：</w:t>
      </w:r>
      <w:r>
        <w:rPr>
          <w:rFonts w:hint="eastAsia" w:ascii="仿宋" w:hAnsi="仿宋" w:eastAsia="仿宋_GB2312" w:cs="仿宋"/>
          <w:kern w:val="0"/>
          <w:sz w:val="32"/>
          <w:szCs w:val="32"/>
        </w:rPr>
        <w:t>推动提升基础设施建设，促进就业，带动生产，促进经济社会高速发展。</w:t>
      </w:r>
    </w:p>
    <w:p>
      <w:pPr>
        <w:ind w:firstLine="640" w:firstLineChars="200"/>
        <w:rPr>
          <w:rFonts w:hint="eastAsia" w:ascii="仿宋" w:hAnsi="仿宋" w:eastAsia="仿宋_GB2312" w:cs="仿宋"/>
          <w:kern w:val="0"/>
          <w:sz w:val="32"/>
          <w:szCs w:val="32"/>
        </w:rPr>
      </w:pPr>
      <w:r>
        <w:rPr>
          <w:rFonts w:hint="eastAsia" w:ascii="仿宋" w:hAnsi="仿宋" w:eastAsia="仿宋_GB2312" w:cs="仿宋"/>
          <w:kern w:val="0"/>
          <w:sz w:val="32"/>
          <w:szCs w:val="32"/>
        </w:rPr>
        <w:t>（3）生态效益</w:t>
      </w:r>
      <w:r>
        <w:rPr>
          <w:rFonts w:hint="eastAsia" w:ascii="仿宋" w:hAnsi="仿宋" w:cs="仿宋"/>
          <w:kern w:val="0"/>
          <w:sz w:val="32"/>
          <w:szCs w:val="32"/>
          <w:lang w:eastAsia="zh-CN"/>
        </w:rPr>
        <w:t>：</w:t>
      </w:r>
      <w:r>
        <w:rPr>
          <w:rFonts w:hint="eastAsia" w:ascii="仿宋" w:hAnsi="仿宋" w:eastAsia="仿宋_GB2312" w:cs="仿宋"/>
          <w:kern w:val="0"/>
          <w:sz w:val="32"/>
          <w:szCs w:val="32"/>
        </w:rPr>
        <w:t>无环境污染事件，生态效益良好。</w:t>
      </w:r>
    </w:p>
    <w:p>
      <w:pPr>
        <w:ind w:firstLine="640" w:firstLineChars="200"/>
        <w:rPr>
          <w:rFonts w:hint="eastAsia" w:ascii="仿宋" w:hAnsi="仿宋" w:eastAsia="仿宋_GB2312" w:cs="仿宋"/>
          <w:kern w:val="0"/>
          <w:sz w:val="32"/>
          <w:szCs w:val="32"/>
        </w:rPr>
      </w:pPr>
      <w:r>
        <w:rPr>
          <w:rFonts w:hint="eastAsia" w:ascii="仿宋" w:hAnsi="仿宋" w:eastAsia="仿宋_GB2312" w:cs="仿宋"/>
          <w:kern w:val="0"/>
          <w:sz w:val="32"/>
          <w:szCs w:val="32"/>
        </w:rPr>
        <w:t>（4）可持续影响</w:t>
      </w:r>
      <w:r>
        <w:rPr>
          <w:rFonts w:hint="eastAsia" w:ascii="仿宋" w:hAnsi="仿宋" w:cs="仿宋"/>
          <w:kern w:val="0"/>
          <w:sz w:val="32"/>
          <w:szCs w:val="32"/>
          <w:lang w:eastAsia="zh-CN"/>
        </w:rPr>
        <w:t>：</w:t>
      </w:r>
      <w:r>
        <w:rPr>
          <w:rFonts w:hint="eastAsia" w:ascii="仿宋" w:hAnsi="仿宋" w:eastAsia="仿宋_GB2312" w:cs="仿宋"/>
          <w:kern w:val="0"/>
          <w:sz w:val="32"/>
          <w:szCs w:val="32"/>
        </w:rPr>
        <w:t>促进经济发展，促进基础设施建设，带动发展，促进增收，进一步改善民生，促进社会和谐和繁荣稳定。</w:t>
      </w:r>
    </w:p>
    <w:p>
      <w:pPr>
        <w:ind w:left="0" w:leftChars="0" w:firstLine="640" w:firstLineChars="200"/>
        <w:rPr>
          <w:rFonts w:hint="eastAsia" w:ascii="仿宋" w:hAnsi="仿宋" w:eastAsia="仿宋_GB2312" w:cs="仿宋"/>
          <w:kern w:val="0"/>
          <w:sz w:val="32"/>
          <w:szCs w:val="32"/>
        </w:rPr>
      </w:pPr>
      <w:r>
        <w:rPr>
          <w:rFonts w:hint="eastAsia" w:ascii="仿宋" w:hAnsi="仿宋" w:eastAsia="仿宋_GB2312" w:cs="仿宋"/>
          <w:kern w:val="0"/>
          <w:sz w:val="32"/>
          <w:szCs w:val="32"/>
        </w:rPr>
        <w:t>3.满意度指标完成情况分析</w:t>
      </w:r>
      <w:r>
        <w:rPr>
          <w:rFonts w:hint="eastAsia" w:ascii="仿宋" w:hAnsi="仿宋" w:cs="仿宋"/>
          <w:kern w:val="0"/>
          <w:sz w:val="32"/>
          <w:szCs w:val="32"/>
          <w:lang w:eastAsia="zh-CN"/>
        </w:rPr>
        <w:t>：</w:t>
      </w:r>
      <w:r>
        <w:rPr>
          <w:rFonts w:hint="eastAsia" w:ascii="仿宋" w:hAnsi="仿宋" w:eastAsia="仿宋_GB2312" w:cs="仿宋"/>
          <w:kern w:val="0"/>
          <w:sz w:val="32"/>
          <w:szCs w:val="32"/>
          <w:lang w:val="en-US" w:eastAsia="zh-CN"/>
        </w:rPr>
        <w:t>服务对象</w:t>
      </w:r>
      <w:r>
        <w:rPr>
          <w:rFonts w:hint="eastAsia" w:ascii="仿宋" w:hAnsi="仿宋" w:eastAsia="仿宋_GB2312" w:cs="仿宋"/>
          <w:kern w:val="0"/>
          <w:sz w:val="32"/>
          <w:szCs w:val="32"/>
        </w:rPr>
        <w:t>满意度</w:t>
      </w:r>
      <w:r>
        <w:rPr>
          <w:rFonts w:hint="eastAsia" w:ascii="宋体" w:hAnsi="宋体" w:eastAsia="宋体" w:cs="宋体"/>
          <w:kern w:val="0"/>
          <w:sz w:val="32"/>
          <w:szCs w:val="32"/>
        </w:rPr>
        <w:t>≧</w:t>
      </w:r>
      <w:r>
        <w:rPr>
          <w:rFonts w:hint="eastAsia" w:ascii="仿宋" w:hAnsi="仿宋" w:eastAsia="仿宋_GB2312" w:cs="仿宋"/>
          <w:kern w:val="0"/>
          <w:sz w:val="32"/>
          <w:szCs w:val="32"/>
          <w:lang w:val="en-US" w:eastAsia="zh-CN"/>
        </w:rPr>
        <w:t>98</w:t>
      </w:r>
      <w:r>
        <w:rPr>
          <w:rFonts w:hint="eastAsia" w:ascii="仿宋" w:hAnsi="仿宋" w:eastAsia="仿宋_GB2312" w:cs="仿宋"/>
          <w:kern w:val="0"/>
          <w:sz w:val="32"/>
          <w:szCs w:val="32"/>
        </w:rPr>
        <w:t>%。</w:t>
      </w:r>
    </w:p>
    <w:p>
      <w:pPr>
        <w:pStyle w:val="4"/>
        <w:bidi w:val="0"/>
        <w:rPr>
          <w:rFonts w:hint="eastAsia"/>
        </w:rPr>
      </w:pPr>
      <w:r>
        <w:rPr>
          <w:rFonts w:hint="eastAsia"/>
        </w:rPr>
        <w:t>（二）项目效益情况</w:t>
      </w:r>
    </w:p>
    <w:p>
      <w:pPr>
        <w:ind w:firstLine="640" w:firstLineChars="200"/>
        <w:rPr>
          <w:rFonts w:hint="eastAsia" w:ascii="仿宋" w:hAnsi="仿宋" w:eastAsia="仿宋_GB2312" w:cs="仿宋"/>
          <w:kern w:val="0"/>
          <w:sz w:val="32"/>
          <w:szCs w:val="32"/>
        </w:rPr>
      </w:pPr>
      <w:r>
        <w:rPr>
          <w:rFonts w:hint="eastAsia" w:ascii="仿宋" w:hAnsi="仿宋" w:cs="仿宋"/>
          <w:kern w:val="0"/>
          <w:sz w:val="32"/>
          <w:szCs w:val="32"/>
          <w:lang w:val="en-US" w:eastAsia="zh-CN"/>
        </w:rPr>
        <w:t>项目一旦实施将</w:t>
      </w:r>
      <w:r>
        <w:rPr>
          <w:rFonts w:hint="eastAsia" w:ascii="仿宋" w:hAnsi="仿宋" w:eastAsia="仿宋_GB2312" w:cs="仿宋"/>
          <w:kern w:val="0"/>
          <w:sz w:val="32"/>
          <w:szCs w:val="32"/>
          <w:lang w:val="en-US" w:eastAsia="zh-CN"/>
        </w:rPr>
        <w:t>促进了</w:t>
      </w:r>
      <w:r>
        <w:rPr>
          <w:rFonts w:hint="eastAsia" w:ascii="仿宋" w:hAnsi="仿宋" w:cs="仿宋"/>
          <w:kern w:val="0"/>
          <w:sz w:val="32"/>
          <w:szCs w:val="32"/>
          <w:lang w:val="en-US" w:eastAsia="zh-CN"/>
        </w:rPr>
        <w:t>曾家山旅游景区</w:t>
      </w:r>
      <w:r>
        <w:rPr>
          <w:rFonts w:hint="eastAsia" w:ascii="仿宋" w:hAnsi="仿宋" w:eastAsia="仿宋_GB2312" w:cs="仿宋"/>
          <w:kern w:val="0"/>
          <w:sz w:val="32"/>
          <w:szCs w:val="32"/>
          <w:lang w:val="en-US" w:eastAsia="zh-CN"/>
        </w:rPr>
        <w:t>基础设施建设规模和档次，</w:t>
      </w:r>
      <w:r>
        <w:rPr>
          <w:rFonts w:hint="eastAsia" w:ascii="仿宋" w:hAnsi="仿宋" w:cs="仿宋"/>
          <w:kern w:val="0"/>
          <w:sz w:val="32"/>
          <w:szCs w:val="32"/>
          <w:lang w:val="en-US" w:eastAsia="zh-CN"/>
        </w:rPr>
        <w:t>带动</w:t>
      </w:r>
      <w:r>
        <w:rPr>
          <w:rFonts w:hint="eastAsia" w:ascii="仿宋" w:hAnsi="仿宋" w:eastAsia="仿宋_GB2312" w:cs="仿宋"/>
          <w:kern w:val="0"/>
          <w:sz w:val="32"/>
          <w:szCs w:val="32"/>
          <w:lang w:val="en-US" w:eastAsia="zh-CN"/>
        </w:rPr>
        <w:t>地方经济的高速发展，促进了社会就业增收</w:t>
      </w:r>
      <w:r>
        <w:rPr>
          <w:rFonts w:hint="default" w:ascii="仿宋" w:hAnsi="仿宋" w:eastAsia="仿宋_GB2312" w:cs="仿宋"/>
          <w:kern w:val="0"/>
          <w:sz w:val="32"/>
          <w:szCs w:val="32"/>
          <w:lang w:eastAsia="zh-CN"/>
        </w:rPr>
        <w:t>。</w:t>
      </w:r>
    </w:p>
    <w:p>
      <w:pPr>
        <w:pStyle w:val="3"/>
        <w:bidi w:val="0"/>
        <w:rPr>
          <w:rFonts w:hint="eastAsia"/>
        </w:rPr>
      </w:pPr>
      <w:r>
        <w:rPr>
          <w:rFonts w:hint="eastAsia"/>
        </w:rPr>
        <w:t>四、问题及建议</w:t>
      </w:r>
    </w:p>
    <w:p>
      <w:pPr>
        <w:pStyle w:val="4"/>
        <w:bidi w:val="0"/>
        <w:rPr>
          <w:rFonts w:hint="eastAsia"/>
        </w:rPr>
      </w:pPr>
      <w:r>
        <w:rPr>
          <w:rFonts w:hint="eastAsia"/>
        </w:rPr>
        <w:t>（一）存在的问题</w:t>
      </w:r>
    </w:p>
    <w:p>
      <w:pPr>
        <w:spacing w:line="60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1.重视程度有待加强，绩效目标设定不够精细合理；</w:t>
      </w:r>
    </w:p>
    <w:p>
      <w:pPr>
        <w:spacing w:line="60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2.绩效评价思想上存在误区，绩效评价方式比较单一，形式和内容不够全面；</w:t>
      </w:r>
    </w:p>
    <w:p>
      <w:pPr>
        <w:spacing w:line="60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3.项目支出绩效目标设置不够精细，指标数量不够明晰，结构不太合理。</w:t>
      </w:r>
    </w:p>
    <w:p>
      <w:pPr>
        <w:pStyle w:val="4"/>
        <w:bidi w:val="0"/>
        <w:rPr>
          <w:rFonts w:hint="eastAsia"/>
        </w:rPr>
      </w:pPr>
      <w:r>
        <w:rPr>
          <w:rFonts w:hint="eastAsia"/>
          <w:lang w:val="en-US" w:eastAsia="zh-CN"/>
        </w:rPr>
        <w:t>（二）</w:t>
      </w:r>
      <w:r>
        <w:rPr>
          <w:rFonts w:hint="eastAsia"/>
        </w:rPr>
        <w:t>相关建议</w:t>
      </w:r>
    </w:p>
    <w:p>
      <w:pPr>
        <w:bidi w:val="0"/>
        <w:rPr>
          <w:rFonts w:hint="eastAsia"/>
          <w:lang w:val="en-US" w:eastAsia="zh-CN"/>
        </w:rPr>
      </w:pPr>
      <w:r>
        <w:rPr>
          <w:rFonts w:hint="eastAsia"/>
          <w:lang w:val="en-US" w:eastAsia="zh-CN"/>
        </w:rPr>
        <w:t>1.建议业务主管部门加强对单位、部门的业务知识的培训，同时加强对单位、部门的调研指导；</w:t>
      </w:r>
    </w:p>
    <w:p>
      <w:pPr>
        <w:bidi w:val="0"/>
        <w:rPr>
          <w:rFonts w:hint="eastAsia"/>
          <w:lang w:val="en-US" w:eastAsia="zh-CN"/>
        </w:rPr>
      </w:pPr>
      <w:r>
        <w:rPr>
          <w:rFonts w:hint="eastAsia"/>
          <w:lang w:val="en-US" w:eastAsia="zh-CN"/>
        </w:rPr>
        <w:t>2.建议业务主管部门给单位、部门传递更强信号，提高单位级领导班子及集体对绩效管理工作的重视程度；</w:t>
      </w: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pStyle w:val="6"/>
        <w:ind w:left="0" w:leftChars="0" w:firstLine="0" w:firstLineChars="0"/>
        <w:rPr>
          <w:rFonts w:hint="eastAsia" w:ascii="黑体" w:hAnsi="黑体" w:eastAsia="黑体" w:cs="黑体"/>
          <w:b w:val="0"/>
          <w:bCs/>
          <w:sz w:val="32"/>
          <w:szCs w:val="32"/>
          <w:lang w:val="en-US" w:eastAsia="zh-CN"/>
        </w:rPr>
      </w:pPr>
    </w:p>
    <w:p>
      <w:pPr>
        <w:ind w:left="0" w:leftChars="0" w:firstLine="0" w:firstLineChars="0"/>
        <w:rPr>
          <w:rFonts w:hint="eastAsia"/>
        </w:rPr>
      </w:pPr>
    </w:p>
    <w:p>
      <w:pPr>
        <w:ind w:left="0" w:leftChars="0" w:firstLine="0" w:firstLineChars="0"/>
        <w:rPr>
          <w:rFonts w:hint="eastAsia"/>
        </w:rPr>
      </w:pPr>
    </w:p>
    <w:p>
      <w:pPr>
        <w:pStyle w:val="2"/>
        <w:bidi w:val="0"/>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rPr>
        <w:t xml:space="preserve">第五部分 </w:t>
      </w:r>
      <w:r>
        <w:rPr>
          <w:rFonts w:hint="eastAsia" w:ascii="黑体" w:hAnsi="黑体" w:eastAsia="黑体" w:cs="黑体"/>
          <w:lang w:val="en-US" w:eastAsia="zh-CN"/>
        </w:rPr>
        <w:t xml:space="preserve"> </w:t>
      </w:r>
      <w:r>
        <w:rPr>
          <w:rFonts w:hint="eastAsia" w:ascii="黑体" w:hAnsi="黑体" w:eastAsia="黑体" w:cs="黑体"/>
        </w:rPr>
        <w:t>附表</w:t>
      </w:r>
      <w:bookmarkEnd w:id="135"/>
    </w:p>
    <w:p>
      <w:pPr>
        <w:bidi w:val="0"/>
        <w:rPr>
          <w:rFonts w:hint="eastAsia"/>
        </w:rPr>
      </w:pPr>
      <w:bookmarkStart w:id="137" w:name="_Toc6439"/>
    </w:p>
    <w:p>
      <w:pPr>
        <w:pStyle w:val="3"/>
        <w:bidi w:val="0"/>
        <w:rPr>
          <w:rFonts w:hint="eastAsia"/>
        </w:rPr>
      </w:pPr>
      <w:r>
        <w:rPr>
          <w:rFonts w:hint="eastAsia"/>
        </w:rPr>
        <w:t>一、收入支出决算总表</w:t>
      </w:r>
      <w:bookmarkEnd w:id="137"/>
    </w:p>
    <w:p>
      <w:pPr>
        <w:pStyle w:val="3"/>
        <w:bidi w:val="0"/>
        <w:rPr>
          <w:rFonts w:hint="eastAsia"/>
        </w:rPr>
      </w:pPr>
      <w:bookmarkStart w:id="138" w:name="_Toc19183"/>
      <w:r>
        <w:rPr>
          <w:rFonts w:hint="eastAsia"/>
        </w:rPr>
        <w:t>二、收入决算表</w:t>
      </w:r>
      <w:bookmarkEnd w:id="138"/>
    </w:p>
    <w:p>
      <w:pPr>
        <w:pStyle w:val="3"/>
        <w:bidi w:val="0"/>
        <w:rPr>
          <w:rFonts w:hint="eastAsia"/>
        </w:rPr>
      </w:pPr>
      <w:bookmarkStart w:id="139" w:name="_Toc29513"/>
      <w:r>
        <w:rPr>
          <w:rFonts w:hint="eastAsia"/>
        </w:rPr>
        <w:t>三、支出决算表</w:t>
      </w:r>
      <w:bookmarkEnd w:id="139"/>
    </w:p>
    <w:p>
      <w:pPr>
        <w:pStyle w:val="3"/>
        <w:bidi w:val="0"/>
        <w:rPr>
          <w:rFonts w:hint="eastAsia"/>
        </w:rPr>
      </w:pPr>
      <w:bookmarkStart w:id="140" w:name="_Toc19035"/>
      <w:r>
        <w:rPr>
          <w:rFonts w:hint="eastAsia"/>
        </w:rPr>
        <w:t>四、财政拨款收入支出决算总表</w:t>
      </w:r>
      <w:bookmarkEnd w:id="140"/>
    </w:p>
    <w:p>
      <w:pPr>
        <w:pStyle w:val="3"/>
        <w:bidi w:val="0"/>
        <w:rPr>
          <w:rFonts w:hint="eastAsia"/>
        </w:rPr>
      </w:pPr>
      <w:bookmarkStart w:id="141" w:name="_Toc31033"/>
      <w:r>
        <w:rPr>
          <w:rFonts w:hint="eastAsia"/>
        </w:rPr>
        <w:t>五、财政拨款支出决算明细表</w:t>
      </w:r>
      <w:bookmarkEnd w:id="141"/>
    </w:p>
    <w:p>
      <w:pPr>
        <w:pStyle w:val="3"/>
        <w:bidi w:val="0"/>
        <w:rPr>
          <w:rFonts w:hint="eastAsia"/>
        </w:rPr>
      </w:pPr>
      <w:bookmarkStart w:id="142" w:name="_Toc8976"/>
      <w:r>
        <w:rPr>
          <w:rFonts w:hint="eastAsia"/>
        </w:rPr>
        <w:t>六、一般公共预算财政拨款支出决算表</w:t>
      </w:r>
      <w:bookmarkEnd w:id="142"/>
    </w:p>
    <w:p>
      <w:pPr>
        <w:pStyle w:val="3"/>
        <w:bidi w:val="0"/>
        <w:rPr>
          <w:rFonts w:hint="eastAsia"/>
        </w:rPr>
      </w:pPr>
      <w:bookmarkStart w:id="143" w:name="_Toc20285"/>
      <w:r>
        <w:rPr>
          <w:rFonts w:hint="eastAsia"/>
          <w:lang w:val="en-US" w:eastAsia="zh-CN"/>
        </w:rPr>
        <w:t>七、一般公共预算财政拨款支出决算明细表</w:t>
      </w:r>
    </w:p>
    <w:p>
      <w:pPr>
        <w:pStyle w:val="3"/>
        <w:bidi w:val="0"/>
        <w:rPr>
          <w:rFonts w:hint="eastAsia"/>
        </w:rPr>
      </w:pPr>
      <w:r>
        <w:rPr>
          <w:rFonts w:hint="eastAsia"/>
        </w:rPr>
        <w:t>八、一般公共预算财政拨款基本支出决算表</w:t>
      </w:r>
      <w:bookmarkEnd w:id="143"/>
    </w:p>
    <w:p>
      <w:pPr>
        <w:pStyle w:val="3"/>
        <w:bidi w:val="0"/>
        <w:rPr>
          <w:rFonts w:hint="eastAsia"/>
        </w:rPr>
      </w:pPr>
      <w:bookmarkStart w:id="144" w:name="_Toc22619"/>
      <w:r>
        <w:rPr>
          <w:rFonts w:hint="eastAsia"/>
        </w:rPr>
        <w:t>九、一般公共预算财政拨款项目支出决算表</w:t>
      </w:r>
      <w:bookmarkEnd w:id="144"/>
    </w:p>
    <w:p>
      <w:pPr>
        <w:pStyle w:val="3"/>
        <w:bidi w:val="0"/>
        <w:rPr>
          <w:rFonts w:hint="eastAsia"/>
        </w:rPr>
      </w:pPr>
      <w:bookmarkStart w:id="145" w:name="_Toc7571"/>
      <w:r>
        <w:rPr>
          <w:rFonts w:hint="eastAsia"/>
        </w:rPr>
        <w:t>十、政府性基金预算财政拨款收入支出决算表</w:t>
      </w:r>
      <w:bookmarkEnd w:id="145"/>
    </w:p>
    <w:p>
      <w:pPr>
        <w:pStyle w:val="3"/>
        <w:bidi w:val="0"/>
        <w:rPr>
          <w:rFonts w:hint="eastAsia"/>
        </w:rPr>
      </w:pPr>
      <w:bookmarkStart w:id="146" w:name="_Toc28448"/>
      <w:r>
        <w:rPr>
          <w:rFonts w:hint="eastAsia"/>
        </w:rPr>
        <w:t>十一、国有资本经营预算</w:t>
      </w:r>
      <w:r>
        <w:rPr>
          <w:rFonts w:hint="eastAsia"/>
          <w:lang w:eastAsia="zh-CN"/>
        </w:rPr>
        <w:t>财政拨款收入</w:t>
      </w:r>
      <w:r>
        <w:rPr>
          <w:rFonts w:hint="eastAsia"/>
        </w:rPr>
        <w:t>支出决算表</w:t>
      </w:r>
      <w:bookmarkEnd w:id="146"/>
    </w:p>
    <w:p>
      <w:pPr>
        <w:pStyle w:val="3"/>
        <w:bidi w:val="0"/>
        <w:rPr>
          <w:rFonts w:hint="eastAsia"/>
        </w:rPr>
      </w:pPr>
      <w:bookmarkStart w:id="147" w:name="_Toc3597"/>
      <w:r>
        <w:rPr>
          <w:rFonts w:hint="eastAsia"/>
        </w:rPr>
        <w:t>十二、</w:t>
      </w:r>
      <w:bookmarkEnd w:id="147"/>
      <w:r>
        <w:rPr>
          <w:rFonts w:hint="eastAsia"/>
          <w:lang w:eastAsia="zh-CN"/>
        </w:rPr>
        <w:t>国有资本经营预算财政拨款支出决算表</w:t>
      </w:r>
    </w:p>
    <w:p>
      <w:pPr>
        <w:pStyle w:val="3"/>
        <w:bidi w:val="0"/>
        <w:rPr>
          <w:rFonts w:hint="eastAsia"/>
          <w:lang w:eastAsia="zh-CN"/>
        </w:rPr>
      </w:pPr>
      <w:bookmarkStart w:id="148" w:name="_Toc20729"/>
      <w:r>
        <w:rPr>
          <w:rFonts w:hint="eastAsia"/>
        </w:rPr>
        <w:t>十三、财政拨款“三公”经费支出决算表</w:t>
      </w:r>
      <w:bookmarkEnd w:id="92"/>
      <w:bookmarkEnd w:id="136"/>
      <w:bookmarkEnd w:id="148"/>
    </w:p>
    <w:sectPr>
      <w:footerReference r:id="rId9" w:type="first"/>
      <w:headerReference r:id="rId7" w:type="default"/>
      <w:footerReference r:id="rId8" w:type="default"/>
      <w:pgSz w:w="11906" w:h="16838"/>
      <w:pgMar w:top="2098" w:right="1474" w:bottom="1984" w:left="1587" w:header="851" w:footer="1417" w:gutter="0"/>
      <w:pgBorders>
        <w:top w:val="none" w:sz="0" w:space="0"/>
        <w:left w:val="none" w:sz="0" w:space="0"/>
        <w:bottom w:val="none" w:sz="0" w:space="0"/>
        <w:right w:val="none" w:sz="0" w:space="0"/>
      </w:pgBorders>
      <w:pgNumType w:fmt="decimal" w:start="1"/>
      <w:cols w:space="0" w:num="1"/>
      <w:titlePg/>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Wingdings 2">
    <w:panose1 w:val="05020102010507070707"/>
    <w:charset w:val="00"/>
    <w:family w:val="auto"/>
    <w:pitch w:val="default"/>
    <w:sig w:usb0="00000000" w:usb1="00000000" w:usb2="00000000" w:usb3="00000000" w:csb0="80000000" w:csb1="00000000"/>
  </w:font>
  <w:font w:name="楷体">
    <w:altName w:val="方正楷体_GBK"/>
    <w:panose1 w:val="02010609060101010101"/>
    <w:charset w:val="86"/>
    <w:family w:val="auto"/>
    <w:pitch w:val="default"/>
    <w:sig w:usb0="00000000" w:usb1="00000000" w:usb2="00000016"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
    <w:altName w:val="Mangal"/>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108"/>
        <w:tab w:val="clear" w:pos="4153"/>
      </w:tabs>
      <w:rPr>
        <w:rFonts w:hint="eastAsia" w:eastAsia="仿宋_GB2312"/>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jc w:val="both"/>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fldChar w:fldCharType="begin"/>
                          </w:r>
                          <w:r>
                            <w:rPr>
                              <w:rFonts w:hint="eastAsia" w:ascii="Times New Roman" w:hAnsi="Times New Roman" w:cs="Times New Roman"/>
                              <w:sz w:val="28"/>
                              <w:szCs w:val="28"/>
                              <w:lang w:val="en-US" w:eastAsia="zh-CN"/>
                            </w:rPr>
                            <w:instrText xml:space="preserve"> PAGE  \* MERGEFORMAT </w:instrText>
                          </w:r>
                          <w:r>
                            <w:rPr>
                              <w:rFonts w:hint="eastAsia" w:ascii="Times New Roman" w:hAnsi="Times New Roman" w:cs="Times New Roman"/>
                              <w:sz w:val="28"/>
                              <w:szCs w:val="28"/>
                              <w:lang w:val="en-US" w:eastAsia="zh-CN"/>
                            </w:rPr>
                            <w:fldChar w:fldCharType="separate"/>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fldChar w:fldCharType="begin"/>
                    </w:r>
                    <w:r>
                      <w:rPr>
                        <w:rFonts w:hint="eastAsia" w:ascii="Times New Roman" w:hAnsi="Times New Roman" w:cs="Times New Roman"/>
                        <w:sz w:val="28"/>
                        <w:szCs w:val="28"/>
                        <w:lang w:val="en-US" w:eastAsia="zh-CN"/>
                      </w:rPr>
                      <w:instrText xml:space="preserve"> PAGE  \* MERGEFORMAT </w:instrText>
                    </w:r>
                    <w:r>
                      <w:rPr>
                        <w:rFonts w:hint="eastAsia" w:ascii="Times New Roman" w:hAnsi="Times New Roman" w:cs="Times New Roman"/>
                        <w:sz w:val="28"/>
                        <w:szCs w:val="28"/>
                        <w:lang w:val="en-US" w:eastAsia="zh-CN"/>
                      </w:rPr>
                      <w:fldChar w:fldCharType="separate"/>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fldChar w:fldCharType="begin"/>
                          </w:r>
                          <w:r>
                            <w:rPr>
                              <w:rFonts w:hint="eastAsia" w:ascii="Times New Roman" w:hAnsi="Times New Roman" w:cs="Times New Roman"/>
                              <w:sz w:val="28"/>
                              <w:szCs w:val="28"/>
                              <w:lang w:val="en-US" w:eastAsia="zh-CN"/>
                            </w:rPr>
                            <w:instrText xml:space="preserve"> PAGE  \* MERGEFORMAT </w:instrText>
                          </w:r>
                          <w:r>
                            <w:rPr>
                              <w:rFonts w:hint="eastAsia" w:ascii="Times New Roman" w:hAnsi="Times New Roman" w:cs="Times New Roman"/>
                              <w:sz w:val="28"/>
                              <w:szCs w:val="28"/>
                              <w:lang w:val="en-US" w:eastAsia="zh-CN"/>
                            </w:rPr>
                            <w:fldChar w:fldCharType="separate"/>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fldChar w:fldCharType="begin"/>
                    </w:r>
                    <w:r>
                      <w:rPr>
                        <w:rFonts w:hint="eastAsia" w:ascii="Times New Roman" w:hAnsi="Times New Roman" w:cs="Times New Roman"/>
                        <w:sz w:val="28"/>
                        <w:szCs w:val="28"/>
                        <w:lang w:val="en-US" w:eastAsia="zh-CN"/>
                      </w:rPr>
                      <w:instrText xml:space="preserve"> PAGE  \* MERGEFORMAT </w:instrText>
                    </w:r>
                    <w:r>
                      <w:rPr>
                        <w:rFonts w:hint="eastAsia" w:ascii="Times New Roman" w:hAnsi="Times New Roman" w:cs="Times New Roman"/>
                        <w:sz w:val="28"/>
                        <w:szCs w:val="28"/>
                        <w:lang w:val="en-US" w:eastAsia="zh-CN"/>
                      </w:rPr>
                      <w:fldChar w:fldCharType="separate"/>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85115"/>
    <w:multiLevelType w:val="singleLevel"/>
    <w:tmpl w:val="9A685115"/>
    <w:lvl w:ilvl="0" w:tentative="0">
      <w:start w:val="2"/>
      <w:numFmt w:val="chineseCounting"/>
      <w:suff w:val="nothing"/>
      <w:lvlText w:val="%1、"/>
      <w:lvlJc w:val="left"/>
      <w:rPr>
        <w:rFonts w:hint="eastAsia"/>
      </w:rPr>
    </w:lvl>
  </w:abstractNum>
  <w:abstractNum w:abstractNumId="1">
    <w:nsid w:val="A6ABBDEE"/>
    <w:multiLevelType w:val="singleLevel"/>
    <w:tmpl w:val="A6ABBDEE"/>
    <w:lvl w:ilvl="0" w:tentative="0">
      <w:start w:val="1"/>
      <w:numFmt w:val="chineseCounting"/>
      <w:suff w:val="nothing"/>
      <w:lvlText w:val="（%1）"/>
      <w:lvlJc w:val="left"/>
      <w:pPr>
        <w:ind w:left="14"/>
      </w:pPr>
      <w:rPr>
        <w:rFonts w:hint="eastAsia"/>
      </w:rPr>
    </w:lvl>
  </w:abstractNum>
  <w:abstractNum w:abstractNumId="2">
    <w:nsid w:val="18CF5266"/>
    <w:multiLevelType w:val="singleLevel"/>
    <w:tmpl w:val="18CF5266"/>
    <w:lvl w:ilvl="0" w:tentative="0">
      <w:start w:val="2"/>
      <w:numFmt w:val="chineseCounting"/>
      <w:suff w:val="nothing"/>
      <w:lvlText w:val="（%1）"/>
      <w:lvlJc w:val="left"/>
      <w:rPr>
        <w:rFonts w:hint="eastAsia"/>
      </w:rPr>
    </w:lvl>
  </w:abstractNum>
  <w:abstractNum w:abstractNumId="3">
    <w:nsid w:val="365A3C74"/>
    <w:multiLevelType w:val="singleLevel"/>
    <w:tmpl w:val="365A3C74"/>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22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81F62"/>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1A2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2D7"/>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6943"/>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C0BE0"/>
    <w:rsid w:val="012A0989"/>
    <w:rsid w:val="01562C2D"/>
    <w:rsid w:val="017D237E"/>
    <w:rsid w:val="017D614D"/>
    <w:rsid w:val="01FC748B"/>
    <w:rsid w:val="02014773"/>
    <w:rsid w:val="021C29C7"/>
    <w:rsid w:val="02293D79"/>
    <w:rsid w:val="02644677"/>
    <w:rsid w:val="026E42E0"/>
    <w:rsid w:val="02D40DC6"/>
    <w:rsid w:val="03070C1E"/>
    <w:rsid w:val="03536E0E"/>
    <w:rsid w:val="038D35D1"/>
    <w:rsid w:val="03A24A21"/>
    <w:rsid w:val="03E7777A"/>
    <w:rsid w:val="03F73578"/>
    <w:rsid w:val="04784101"/>
    <w:rsid w:val="049A225F"/>
    <w:rsid w:val="049E5B69"/>
    <w:rsid w:val="04B94ECB"/>
    <w:rsid w:val="04D70E27"/>
    <w:rsid w:val="04FF229E"/>
    <w:rsid w:val="0511189C"/>
    <w:rsid w:val="05153ABB"/>
    <w:rsid w:val="053B1A72"/>
    <w:rsid w:val="05451E0C"/>
    <w:rsid w:val="054F5A6C"/>
    <w:rsid w:val="055A1641"/>
    <w:rsid w:val="05A85BFA"/>
    <w:rsid w:val="05C04DF3"/>
    <w:rsid w:val="05C72146"/>
    <w:rsid w:val="05F7621A"/>
    <w:rsid w:val="066E0107"/>
    <w:rsid w:val="067575AB"/>
    <w:rsid w:val="06A84EEF"/>
    <w:rsid w:val="06BA4A98"/>
    <w:rsid w:val="06BC2051"/>
    <w:rsid w:val="072A5902"/>
    <w:rsid w:val="07340ADC"/>
    <w:rsid w:val="073F4A62"/>
    <w:rsid w:val="076C1C3E"/>
    <w:rsid w:val="07996F6E"/>
    <w:rsid w:val="07D57174"/>
    <w:rsid w:val="07DB0C2F"/>
    <w:rsid w:val="08702488"/>
    <w:rsid w:val="0885365E"/>
    <w:rsid w:val="088B4FD4"/>
    <w:rsid w:val="08D14CB7"/>
    <w:rsid w:val="08E21B49"/>
    <w:rsid w:val="090078B2"/>
    <w:rsid w:val="095771C5"/>
    <w:rsid w:val="09595CA6"/>
    <w:rsid w:val="09A602B3"/>
    <w:rsid w:val="0A2032A3"/>
    <w:rsid w:val="0A390A59"/>
    <w:rsid w:val="0AC012A3"/>
    <w:rsid w:val="0ACA7A9D"/>
    <w:rsid w:val="0B2A17B7"/>
    <w:rsid w:val="0B4D62CA"/>
    <w:rsid w:val="0B626571"/>
    <w:rsid w:val="0BC419DA"/>
    <w:rsid w:val="0BC50A72"/>
    <w:rsid w:val="0BF210EA"/>
    <w:rsid w:val="0C4A000E"/>
    <w:rsid w:val="0C53424B"/>
    <w:rsid w:val="0C9532A4"/>
    <w:rsid w:val="0CA25E5E"/>
    <w:rsid w:val="0CD10852"/>
    <w:rsid w:val="0D142080"/>
    <w:rsid w:val="0D372F0B"/>
    <w:rsid w:val="0D4C401D"/>
    <w:rsid w:val="0D5943C3"/>
    <w:rsid w:val="0D9C1B3D"/>
    <w:rsid w:val="0DB30DF6"/>
    <w:rsid w:val="0DBD0513"/>
    <w:rsid w:val="0DCA7ED0"/>
    <w:rsid w:val="0DE10621"/>
    <w:rsid w:val="0DF73A01"/>
    <w:rsid w:val="0E3B2427"/>
    <w:rsid w:val="0E6A77F2"/>
    <w:rsid w:val="0E992CF7"/>
    <w:rsid w:val="0EB14CF1"/>
    <w:rsid w:val="0EC35C2E"/>
    <w:rsid w:val="0EFF5696"/>
    <w:rsid w:val="0F0F7410"/>
    <w:rsid w:val="0F870A59"/>
    <w:rsid w:val="0F895CEC"/>
    <w:rsid w:val="0FAB7138"/>
    <w:rsid w:val="0FB00135"/>
    <w:rsid w:val="0FB103FC"/>
    <w:rsid w:val="10071870"/>
    <w:rsid w:val="101860EC"/>
    <w:rsid w:val="10413292"/>
    <w:rsid w:val="10850A97"/>
    <w:rsid w:val="10C055FF"/>
    <w:rsid w:val="10D00DAB"/>
    <w:rsid w:val="112D550A"/>
    <w:rsid w:val="117C6E5A"/>
    <w:rsid w:val="118107EC"/>
    <w:rsid w:val="11AE4016"/>
    <w:rsid w:val="11B15721"/>
    <w:rsid w:val="11B87BB9"/>
    <w:rsid w:val="11E43503"/>
    <w:rsid w:val="123077D7"/>
    <w:rsid w:val="12557610"/>
    <w:rsid w:val="12700CF2"/>
    <w:rsid w:val="128D5046"/>
    <w:rsid w:val="12A46623"/>
    <w:rsid w:val="12D1335A"/>
    <w:rsid w:val="12F37F05"/>
    <w:rsid w:val="12F77F92"/>
    <w:rsid w:val="137631C3"/>
    <w:rsid w:val="13897791"/>
    <w:rsid w:val="13D50BC4"/>
    <w:rsid w:val="14293776"/>
    <w:rsid w:val="148541EE"/>
    <w:rsid w:val="14EC7429"/>
    <w:rsid w:val="154C316C"/>
    <w:rsid w:val="15681AFE"/>
    <w:rsid w:val="15831486"/>
    <w:rsid w:val="15A4727D"/>
    <w:rsid w:val="15B66837"/>
    <w:rsid w:val="15CD447E"/>
    <w:rsid w:val="1618304E"/>
    <w:rsid w:val="16295BDE"/>
    <w:rsid w:val="163C1EED"/>
    <w:rsid w:val="16685F04"/>
    <w:rsid w:val="166D233F"/>
    <w:rsid w:val="16726912"/>
    <w:rsid w:val="16750EBC"/>
    <w:rsid w:val="16B9240D"/>
    <w:rsid w:val="16BB723D"/>
    <w:rsid w:val="16CB6312"/>
    <w:rsid w:val="17065A2F"/>
    <w:rsid w:val="171E6442"/>
    <w:rsid w:val="174D4F79"/>
    <w:rsid w:val="174F1950"/>
    <w:rsid w:val="1766644C"/>
    <w:rsid w:val="17CF0771"/>
    <w:rsid w:val="17F30319"/>
    <w:rsid w:val="188E3A9B"/>
    <w:rsid w:val="18A46A59"/>
    <w:rsid w:val="18AB30CD"/>
    <w:rsid w:val="18B52DD6"/>
    <w:rsid w:val="18D06104"/>
    <w:rsid w:val="18DC421D"/>
    <w:rsid w:val="19076BF7"/>
    <w:rsid w:val="19434886"/>
    <w:rsid w:val="19A2405A"/>
    <w:rsid w:val="19A27FE7"/>
    <w:rsid w:val="19E2561F"/>
    <w:rsid w:val="1A361CF4"/>
    <w:rsid w:val="1A4103FC"/>
    <w:rsid w:val="1A5F3E44"/>
    <w:rsid w:val="1A785670"/>
    <w:rsid w:val="1A864F87"/>
    <w:rsid w:val="1B422CD5"/>
    <w:rsid w:val="1B6D3662"/>
    <w:rsid w:val="1B8A571B"/>
    <w:rsid w:val="1B917B2A"/>
    <w:rsid w:val="1B9E2247"/>
    <w:rsid w:val="1BE8440E"/>
    <w:rsid w:val="1C0B727F"/>
    <w:rsid w:val="1C0C771B"/>
    <w:rsid w:val="1C681A65"/>
    <w:rsid w:val="1D155CEE"/>
    <w:rsid w:val="1D8D60CF"/>
    <w:rsid w:val="1DA32AC2"/>
    <w:rsid w:val="1DFA25BE"/>
    <w:rsid w:val="1E430A8F"/>
    <w:rsid w:val="1E591D1A"/>
    <w:rsid w:val="1E5D7F77"/>
    <w:rsid w:val="1E7F595E"/>
    <w:rsid w:val="1E9F255E"/>
    <w:rsid w:val="1ECD0317"/>
    <w:rsid w:val="1ED11DCD"/>
    <w:rsid w:val="1EF12684"/>
    <w:rsid w:val="1EF81C6E"/>
    <w:rsid w:val="1F092464"/>
    <w:rsid w:val="1F0D396C"/>
    <w:rsid w:val="1F164995"/>
    <w:rsid w:val="1F8616A8"/>
    <w:rsid w:val="1F981479"/>
    <w:rsid w:val="1FA57990"/>
    <w:rsid w:val="1FC34680"/>
    <w:rsid w:val="20043B32"/>
    <w:rsid w:val="20196340"/>
    <w:rsid w:val="203E1903"/>
    <w:rsid w:val="20661098"/>
    <w:rsid w:val="207C6812"/>
    <w:rsid w:val="21083C35"/>
    <w:rsid w:val="21246D4B"/>
    <w:rsid w:val="21256ADF"/>
    <w:rsid w:val="21321E93"/>
    <w:rsid w:val="215A2410"/>
    <w:rsid w:val="215D400B"/>
    <w:rsid w:val="219746CE"/>
    <w:rsid w:val="21A2432F"/>
    <w:rsid w:val="21B245C4"/>
    <w:rsid w:val="2249551C"/>
    <w:rsid w:val="22A3543A"/>
    <w:rsid w:val="22AA3478"/>
    <w:rsid w:val="231E0661"/>
    <w:rsid w:val="232132C2"/>
    <w:rsid w:val="23654758"/>
    <w:rsid w:val="237A7F73"/>
    <w:rsid w:val="23860B96"/>
    <w:rsid w:val="23B05355"/>
    <w:rsid w:val="23F3504A"/>
    <w:rsid w:val="240371BF"/>
    <w:rsid w:val="2433251E"/>
    <w:rsid w:val="2438146A"/>
    <w:rsid w:val="24407DF2"/>
    <w:rsid w:val="24553EB9"/>
    <w:rsid w:val="24575689"/>
    <w:rsid w:val="24725679"/>
    <w:rsid w:val="24B324D0"/>
    <w:rsid w:val="25114AD7"/>
    <w:rsid w:val="25922D9E"/>
    <w:rsid w:val="25A733C4"/>
    <w:rsid w:val="26270419"/>
    <w:rsid w:val="262775FD"/>
    <w:rsid w:val="263C0693"/>
    <w:rsid w:val="26592BBE"/>
    <w:rsid w:val="265A664E"/>
    <w:rsid w:val="26BA34D0"/>
    <w:rsid w:val="26E306E5"/>
    <w:rsid w:val="270D0F81"/>
    <w:rsid w:val="276F31A3"/>
    <w:rsid w:val="277167F5"/>
    <w:rsid w:val="278E663F"/>
    <w:rsid w:val="279E2E15"/>
    <w:rsid w:val="27C7133E"/>
    <w:rsid w:val="27D22BB5"/>
    <w:rsid w:val="2810627B"/>
    <w:rsid w:val="284D302B"/>
    <w:rsid w:val="286604D8"/>
    <w:rsid w:val="2869201D"/>
    <w:rsid w:val="28A27C17"/>
    <w:rsid w:val="28B42D36"/>
    <w:rsid w:val="28D948BF"/>
    <w:rsid w:val="29142CBC"/>
    <w:rsid w:val="292E4CA7"/>
    <w:rsid w:val="29A0362E"/>
    <w:rsid w:val="29A109BC"/>
    <w:rsid w:val="29A94D25"/>
    <w:rsid w:val="29B6075C"/>
    <w:rsid w:val="29BE5C79"/>
    <w:rsid w:val="29FD04D3"/>
    <w:rsid w:val="2A285C83"/>
    <w:rsid w:val="2A587AE6"/>
    <w:rsid w:val="2A717EA6"/>
    <w:rsid w:val="2B074BFF"/>
    <w:rsid w:val="2B1020EE"/>
    <w:rsid w:val="2B6B65B7"/>
    <w:rsid w:val="2B7E04D9"/>
    <w:rsid w:val="2BC977B4"/>
    <w:rsid w:val="2BFE6777"/>
    <w:rsid w:val="2C2A633C"/>
    <w:rsid w:val="2C4C53A8"/>
    <w:rsid w:val="2C887938"/>
    <w:rsid w:val="2C8A61B5"/>
    <w:rsid w:val="2CBE4D9B"/>
    <w:rsid w:val="2CD252C1"/>
    <w:rsid w:val="2CD31625"/>
    <w:rsid w:val="2D142369"/>
    <w:rsid w:val="2D2D1DD1"/>
    <w:rsid w:val="2D71020A"/>
    <w:rsid w:val="2D806606"/>
    <w:rsid w:val="2D823D61"/>
    <w:rsid w:val="2DB15AF7"/>
    <w:rsid w:val="2DCE076A"/>
    <w:rsid w:val="2DF04E50"/>
    <w:rsid w:val="2DF24188"/>
    <w:rsid w:val="2DF24B92"/>
    <w:rsid w:val="2DF8136A"/>
    <w:rsid w:val="2E0C1292"/>
    <w:rsid w:val="2E6E3CFB"/>
    <w:rsid w:val="2E7D79F3"/>
    <w:rsid w:val="2EFD0648"/>
    <w:rsid w:val="2F2E04A5"/>
    <w:rsid w:val="2F553B82"/>
    <w:rsid w:val="2F5A1D85"/>
    <w:rsid w:val="2F601896"/>
    <w:rsid w:val="2F6A44C2"/>
    <w:rsid w:val="2FD1009E"/>
    <w:rsid w:val="2FE7356B"/>
    <w:rsid w:val="30CB2040"/>
    <w:rsid w:val="30F77FD8"/>
    <w:rsid w:val="310C0C59"/>
    <w:rsid w:val="310F5453"/>
    <w:rsid w:val="311F33A2"/>
    <w:rsid w:val="313B4368"/>
    <w:rsid w:val="31794E91"/>
    <w:rsid w:val="319F7F4E"/>
    <w:rsid w:val="31D71BB7"/>
    <w:rsid w:val="32100904"/>
    <w:rsid w:val="32157FF2"/>
    <w:rsid w:val="322007B0"/>
    <w:rsid w:val="322F6902"/>
    <w:rsid w:val="32333292"/>
    <w:rsid w:val="32ED60E6"/>
    <w:rsid w:val="33207A35"/>
    <w:rsid w:val="34075FE9"/>
    <w:rsid w:val="346449C5"/>
    <w:rsid w:val="349A7205"/>
    <w:rsid w:val="35374E47"/>
    <w:rsid w:val="358931C8"/>
    <w:rsid w:val="359F7AA1"/>
    <w:rsid w:val="35C661CB"/>
    <w:rsid w:val="35DC21CF"/>
    <w:rsid w:val="360235C1"/>
    <w:rsid w:val="36374E98"/>
    <w:rsid w:val="36591D51"/>
    <w:rsid w:val="369112C2"/>
    <w:rsid w:val="36AA5135"/>
    <w:rsid w:val="36AB44F2"/>
    <w:rsid w:val="36AD3E38"/>
    <w:rsid w:val="36C505C0"/>
    <w:rsid w:val="36FA2F09"/>
    <w:rsid w:val="37030298"/>
    <w:rsid w:val="37532CCC"/>
    <w:rsid w:val="376B773B"/>
    <w:rsid w:val="37E16F03"/>
    <w:rsid w:val="38387570"/>
    <w:rsid w:val="383E051C"/>
    <w:rsid w:val="38463812"/>
    <w:rsid w:val="3884237F"/>
    <w:rsid w:val="38B94138"/>
    <w:rsid w:val="38DD3F57"/>
    <w:rsid w:val="38E71907"/>
    <w:rsid w:val="395376B0"/>
    <w:rsid w:val="396A05FC"/>
    <w:rsid w:val="39D864CC"/>
    <w:rsid w:val="39E60BE9"/>
    <w:rsid w:val="39E82BB3"/>
    <w:rsid w:val="39F41558"/>
    <w:rsid w:val="3A1B417C"/>
    <w:rsid w:val="3A4F49E1"/>
    <w:rsid w:val="3A54162D"/>
    <w:rsid w:val="3A75774A"/>
    <w:rsid w:val="3A780240"/>
    <w:rsid w:val="3A96260F"/>
    <w:rsid w:val="3AAA4098"/>
    <w:rsid w:val="3B0A0908"/>
    <w:rsid w:val="3B3809CB"/>
    <w:rsid w:val="3B542821"/>
    <w:rsid w:val="3B896353"/>
    <w:rsid w:val="3B9D2A65"/>
    <w:rsid w:val="3BBD1E1E"/>
    <w:rsid w:val="3BCC317C"/>
    <w:rsid w:val="3BF53E16"/>
    <w:rsid w:val="3BF70E8C"/>
    <w:rsid w:val="3C0E2679"/>
    <w:rsid w:val="3C2925E9"/>
    <w:rsid w:val="3C5739F9"/>
    <w:rsid w:val="3C94070A"/>
    <w:rsid w:val="3C9A25AD"/>
    <w:rsid w:val="3CA8487C"/>
    <w:rsid w:val="3CCA6088"/>
    <w:rsid w:val="3D000214"/>
    <w:rsid w:val="3D8A4880"/>
    <w:rsid w:val="3D98207C"/>
    <w:rsid w:val="3DDC2A2F"/>
    <w:rsid w:val="3DFF0210"/>
    <w:rsid w:val="3E1A5306"/>
    <w:rsid w:val="3E353EED"/>
    <w:rsid w:val="3E391AAE"/>
    <w:rsid w:val="3E4900E7"/>
    <w:rsid w:val="3E846EBC"/>
    <w:rsid w:val="3E974BA8"/>
    <w:rsid w:val="3EAA24B9"/>
    <w:rsid w:val="3EB32D5D"/>
    <w:rsid w:val="3F055AFB"/>
    <w:rsid w:val="3F201F18"/>
    <w:rsid w:val="3F6054C6"/>
    <w:rsid w:val="3F8D3533"/>
    <w:rsid w:val="3FA0645E"/>
    <w:rsid w:val="3FE94909"/>
    <w:rsid w:val="40013D05"/>
    <w:rsid w:val="40093884"/>
    <w:rsid w:val="40167CB3"/>
    <w:rsid w:val="410C5900"/>
    <w:rsid w:val="41B415CD"/>
    <w:rsid w:val="41D03370"/>
    <w:rsid w:val="41F52311"/>
    <w:rsid w:val="425025C6"/>
    <w:rsid w:val="428269A0"/>
    <w:rsid w:val="42977566"/>
    <w:rsid w:val="42A764C5"/>
    <w:rsid w:val="42B60ED1"/>
    <w:rsid w:val="42BD6A4B"/>
    <w:rsid w:val="42E91D9F"/>
    <w:rsid w:val="4315398C"/>
    <w:rsid w:val="432E715D"/>
    <w:rsid w:val="436F170D"/>
    <w:rsid w:val="43813731"/>
    <w:rsid w:val="43B96DFE"/>
    <w:rsid w:val="43BD0C0D"/>
    <w:rsid w:val="43D9531B"/>
    <w:rsid w:val="44207EBE"/>
    <w:rsid w:val="443076C3"/>
    <w:rsid w:val="443B1A01"/>
    <w:rsid w:val="447A02DD"/>
    <w:rsid w:val="449511F9"/>
    <w:rsid w:val="44A771C7"/>
    <w:rsid w:val="44D66F02"/>
    <w:rsid w:val="44DE1D54"/>
    <w:rsid w:val="44E268DA"/>
    <w:rsid w:val="450B7F4D"/>
    <w:rsid w:val="452B1116"/>
    <w:rsid w:val="455530C7"/>
    <w:rsid w:val="45715FB8"/>
    <w:rsid w:val="45BE23EF"/>
    <w:rsid w:val="4622744D"/>
    <w:rsid w:val="464078D3"/>
    <w:rsid w:val="4646138E"/>
    <w:rsid w:val="46DB13AA"/>
    <w:rsid w:val="47147C8B"/>
    <w:rsid w:val="472B2331"/>
    <w:rsid w:val="476A2E5A"/>
    <w:rsid w:val="47743CD8"/>
    <w:rsid w:val="478921F5"/>
    <w:rsid w:val="478D5088"/>
    <w:rsid w:val="47A56CCF"/>
    <w:rsid w:val="47CF53B3"/>
    <w:rsid w:val="47D242E5"/>
    <w:rsid w:val="486C641C"/>
    <w:rsid w:val="487970CD"/>
    <w:rsid w:val="48896476"/>
    <w:rsid w:val="488F68F0"/>
    <w:rsid w:val="48BF71D5"/>
    <w:rsid w:val="48D82045"/>
    <w:rsid w:val="48EC3D42"/>
    <w:rsid w:val="49494F00"/>
    <w:rsid w:val="495A7B67"/>
    <w:rsid w:val="49747070"/>
    <w:rsid w:val="49883A6B"/>
    <w:rsid w:val="49CD05C3"/>
    <w:rsid w:val="49D7054F"/>
    <w:rsid w:val="4A3B3E6F"/>
    <w:rsid w:val="4A532998"/>
    <w:rsid w:val="4A567E05"/>
    <w:rsid w:val="4A627F82"/>
    <w:rsid w:val="4A710EFC"/>
    <w:rsid w:val="4A875AD1"/>
    <w:rsid w:val="4AA96FA0"/>
    <w:rsid w:val="4ABB2F02"/>
    <w:rsid w:val="4AC214EB"/>
    <w:rsid w:val="4AF55761"/>
    <w:rsid w:val="4B005387"/>
    <w:rsid w:val="4B09298A"/>
    <w:rsid w:val="4B2D3436"/>
    <w:rsid w:val="4B4F25DA"/>
    <w:rsid w:val="4B553899"/>
    <w:rsid w:val="4BE068DB"/>
    <w:rsid w:val="4BE317B3"/>
    <w:rsid w:val="4C6B152E"/>
    <w:rsid w:val="4CC8211F"/>
    <w:rsid w:val="4CD75BB6"/>
    <w:rsid w:val="4CF87F00"/>
    <w:rsid w:val="4D577224"/>
    <w:rsid w:val="4D793243"/>
    <w:rsid w:val="4D90722C"/>
    <w:rsid w:val="4D9C2F2D"/>
    <w:rsid w:val="4DB8285C"/>
    <w:rsid w:val="4DD4775C"/>
    <w:rsid w:val="4DF02C21"/>
    <w:rsid w:val="4E2D4BE1"/>
    <w:rsid w:val="4E393586"/>
    <w:rsid w:val="4E6C36B7"/>
    <w:rsid w:val="4E712EFA"/>
    <w:rsid w:val="4E7520E4"/>
    <w:rsid w:val="4EAB630A"/>
    <w:rsid w:val="4ECE2238"/>
    <w:rsid w:val="4EE92CB2"/>
    <w:rsid w:val="4EEE3337"/>
    <w:rsid w:val="4F775197"/>
    <w:rsid w:val="4F7B22CD"/>
    <w:rsid w:val="4F8C2F1C"/>
    <w:rsid w:val="4F9D1D60"/>
    <w:rsid w:val="4FCC21D8"/>
    <w:rsid w:val="4FF260E2"/>
    <w:rsid w:val="50173A5C"/>
    <w:rsid w:val="503A1792"/>
    <w:rsid w:val="50624832"/>
    <w:rsid w:val="5072031B"/>
    <w:rsid w:val="509A49F0"/>
    <w:rsid w:val="50EA605B"/>
    <w:rsid w:val="50FA12FF"/>
    <w:rsid w:val="51750D79"/>
    <w:rsid w:val="51791EEB"/>
    <w:rsid w:val="51E63A25"/>
    <w:rsid w:val="51E73F50"/>
    <w:rsid w:val="527903F5"/>
    <w:rsid w:val="52BD6977"/>
    <w:rsid w:val="52C31527"/>
    <w:rsid w:val="52D74925"/>
    <w:rsid w:val="52DC0984"/>
    <w:rsid w:val="534B69FB"/>
    <w:rsid w:val="5361482E"/>
    <w:rsid w:val="53AE40CE"/>
    <w:rsid w:val="53E255A0"/>
    <w:rsid w:val="53E350D7"/>
    <w:rsid w:val="53E36AC3"/>
    <w:rsid w:val="53EB5313"/>
    <w:rsid w:val="53FB308C"/>
    <w:rsid w:val="541505F1"/>
    <w:rsid w:val="542F2607"/>
    <w:rsid w:val="54471D37"/>
    <w:rsid w:val="544872B4"/>
    <w:rsid w:val="544D50D9"/>
    <w:rsid w:val="54641D9D"/>
    <w:rsid w:val="550A74B1"/>
    <w:rsid w:val="556F788D"/>
    <w:rsid w:val="56252ED4"/>
    <w:rsid w:val="56AE5C4F"/>
    <w:rsid w:val="56AF79C4"/>
    <w:rsid w:val="56BA24C5"/>
    <w:rsid w:val="56F51D94"/>
    <w:rsid w:val="574A7412"/>
    <w:rsid w:val="578647C5"/>
    <w:rsid w:val="57B04668"/>
    <w:rsid w:val="57CC1B6A"/>
    <w:rsid w:val="57DB023E"/>
    <w:rsid w:val="582232DD"/>
    <w:rsid w:val="587873A1"/>
    <w:rsid w:val="587A0405"/>
    <w:rsid w:val="589D5B99"/>
    <w:rsid w:val="58AE7E2B"/>
    <w:rsid w:val="58F135AA"/>
    <w:rsid w:val="59044615"/>
    <w:rsid w:val="590470D0"/>
    <w:rsid w:val="59292138"/>
    <w:rsid w:val="59B57AB7"/>
    <w:rsid w:val="59EA1BD8"/>
    <w:rsid w:val="5A023B97"/>
    <w:rsid w:val="5A566962"/>
    <w:rsid w:val="5A821D2C"/>
    <w:rsid w:val="5AC36177"/>
    <w:rsid w:val="5AF92295"/>
    <w:rsid w:val="5AFC32B1"/>
    <w:rsid w:val="5B003C0F"/>
    <w:rsid w:val="5B7D3E40"/>
    <w:rsid w:val="5BB84ABA"/>
    <w:rsid w:val="5BED3C02"/>
    <w:rsid w:val="5BF1653A"/>
    <w:rsid w:val="5C0E2225"/>
    <w:rsid w:val="5C62791E"/>
    <w:rsid w:val="5C677510"/>
    <w:rsid w:val="5C762060"/>
    <w:rsid w:val="5CAC0D97"/>
    <w:rsid w:val="5CD71FC4"/>
    <w:rsid w:val="5D2604C7"/>
    <w:rsid w:val="5D392D35"/>
    <w:rsid w:val="5D4E06D0"/>
    <w:rsid w:val="5D553ADA"/>
    <w:rsid w:val="5D63417B"/>
    <w:rsid w:val="5D8D11F8"/>
    <w:rsid w:val="5DDE1A54"/>
    <w:rsid w:val="5DFC31B0"/>
    <w:rsid w:val="5E345B18"/>
    <w:rsid w:val="5F1F0576"/>
    <w:rsid w:val="5F2A342A"/>
    <w:rsid w:val="5F923DCE"/>
    <w:rsid w:val="5FB05672"/>
    <w:rsid w:val="5FE570CA"/>
    <w:rsid w:val="5FF311A7"/>
    <w:rsid w:val="606C3347"/>
    <w:rsid w:val="61073B28"/>
    <w:rsid w:val="611B4D6D"/>
    <w:rsid w:val="612F744A"/>
    <w:rsid w:val="619012B7"/>
    <w:rsid w:val="622E2E60"/>
    <w:rsid w:val="62445ADC"/>
    <w:rsid w:val="628A36FF"/>
    <w:rsid w:val="628C698F"/>
    <w:rsid w:val="62D63B90"/>
    <w:rsid w:val="62F42376"/>
    <w:rsid w:val="632873F2"/>
    <w:rsid w:val="6367429A"/>
    <w:rsid w:val="63754A1B"/>
    <w:rsid w:val="63A70753"/>
    <w:rsid w:val="63ED71B0"/>
    <w:rsid w:val="63F37C15"/>
    <w:rsid w:val="64205AE1"/>
    <w:rsid w:val="64504D2E"/>
    <w:rsid w:val="648A46E4"/>
    <w:rsid w:val="649410BE"/>
    <w:rsid w:val="651C72B0"/>
    <w:rsid w:val="65221F74"/>
    <w:rsid w:val="65242442"/>
    <w:rsid w:val="652C12F7"/>
    <w:rsid w:val="65731CAE"/>
    <w:rsid w:val="660122F3"/>
    <w:rsid w:val="66376316"/>
    <w:rsid w:val="66915262"/>
    <w:rsid w:val="66C33EDD"/>
    <w:rsid w:val="66C53466"/>
    <w:rsid w:val="66DD6769"/>
    <w:rsid w:val="66FD73EF"/>
    <w:rsid w:val="67544B35"/>
    <w:rsid w:val="67604923"/>
    <w:rsid w:val="67B85767"/>
    <w:rsid w:val="67BC1058"/>
    <w:rsid w:val="67FC3B23"/>
    <w:rsid w:val="68152516"/>
    <w:rsid w:val="683926A8"/>
    <w:rsid w:val="68531405"/>
    <w:rsid w:val="688A17C5"/>
    <w:rsid w:val="68B03FED"/>
    <w:rsid w:val="68D400D8"/>
    <w:rsid w:val="68ED27E7"/>
    <w:rsid w:val="690A6908"/>
    <w:rsid w:val="69274384"/>
    <w:rsid w:val="69277897"/>
    <w:rsid w:val="693A47FC"/>
    <w:rsid w:val="69946DAD"/>
    <w:rsid w:val="69E97A2E"/>
    <w:rsid w:val="6A0740E0"/>
    <w:rsid w:val="6A3672A7"/>
    <w:rsid w:val="6A3E4C35"/>
    <w:rsid w:val="6A42015E"/>
    <w:rsid w:val="6A7A2B85"/>
    <w:rsid w:val="6AD7787B"/>
    <w:rsid w:val="6AE2497F"/>
    <w:rsid w:val="6AF028C5"/>
    <w:rsid w:val="6AFB3C45"/>
    <w:rsid w:val="6B4A332B"/>
    <w:rsid w:val="6B60619E"/>
    <w:rsid w:val="6B8912D0"/>
    <w:rsid w:val="6BA442DD"/>
    <w:rsid w:val="6BCD57CB"/>
    <w:rsid w:val="6C2E10E7"/>
    <w:rsid w:val="6C391B0D"/>
    <w:rsid w:val="6C411580"/>
    <w:rsid w:val="6C4A05C8"/>
    <w:rsid w:val="6C5C6C49"/>
    <w:rsid w:val="6C6C46CF"/>
    <w:rsid w:val="6C8956A7"/>
    <w:rsid w:val="6CB00A5F"/>
    <w:rsid w:val="6CBB6F39"/>
    <w:rsid w:val="6CC37ADF"/>
    <w:rsid w:val="6CD81D64"/>
    <w:rsid w:val="6CFD3D9C"/>
    <w:rsid w:val="6D056D88"/>
    <w:rsid w:val="6D0E68AB"/>
    <w:rsid w:val="6D13615B"/>
    <w:rsid w:val="6D9B26A3"/>
    <w:rsid w:val="6E7E3605"/>
    <w:rsid w:val="6EBE3777"/>
    <w:rsid w:val="6ED70525"/>
    <w:rsid w:val="6EFA19D4"/>
    <w:rsid w:val="6F0309DE"/>
    <w:rsid w:val="6F3230FE"/>
    <w:rsid w:val="6F55769C"/>
    <w:rsid w:val="6FF5CC65"/>
    <w:rsid w:val="702C69F7"/>
    <w:rsid w:val="7053007F"/>
    <w:rsid w:val="709427D5"/>
    <w:rsid w:val="70D80585"/>
    <w:rsid w:val="71090D38"/>
    <w:rsid w:val="71122B35"/>
    <w:rsid w:val="71287C29"/>
    <w:rsid w:val="7133745D"/>
    <w:rsid w:val="71445C1A"/>
    <w:rsid w:val="715C0E4B"/>
    <w:rsid w:val="71B96C45"/>
    <w:rsid w:val="71FE06CE"/>
    <w:rsid w:val="72194E62"/>
    <w:rsid w:val="72734D90"/>
    <w:rsid w:val="728A1E32"/>
    <w:rsid w:val="72FD0776"/>
    <w:rsid w:val="733B74E1"/>
    <w:rsid w:val="73484CAB"/>
    <w:rsid w:val="73877AC8"/>
    <w:rsid w:val="73A74B01"/>
    <w:rsid w:val="73AD73D5"/>
    <w:rsid w:val="73B6EB34"/>
    <w:rsid w:val="73BE471D"/>
    <w:rsid w:val="73D0523D"/>
    <w:rsid w:val="73D77352"/>
    <w:rsid w:val="73D9089C"/>
    <w:rsid w:val="740F6B94"/>
    <w:rsid w:val="74BA57D2"/>
    <w:rsid w:val="75284F15"/>
    <w:rsid w:val="756F3599"/>
    <w:rsid w:val="758474AB"/>
    <w:rsid w:val="75C246F5"/>
    <w:rsid w:val="75C946C8"/>
    <w:rsid w:val="76105F0C"/>
    <w:rsid w:val="76271A1F"/>
    <w:rsid w:val="76457A3B"/>
    <w:rsid w:val="765F422A"/>
    <w:rsid w:val="76651C26"/>
    <w:rsid w:val="768317F7"/>
    <w:rsid w:val="76934DC0"/>
    <w:rsid w:val="76AC798B"/>
    <w:rsid w:val="76C37D85"/>
    <w:rsid w:val="76F679B7"/>
    <w:rsid w:val="77036546"/>
    <w:rsid w:val="770D59E8"/>
    <w:rsid w:val="777D3C34"/>
    <w:rsid w:val="77B37656"/>
    <w:rsid w:val="77CE4490"/>
    <w:rsid w:val="77D01FEC"/>
    <w:rsid w:val="77D64F07"/>
    <w:rsid w:val="77D84854"/>
    <w:rsid w:val="77F43418"/>
    <w:rsid w:val="784058AB"/>
    <w:rsid w:val="789321A8"/>
    <w:rsid w:val="78AA2E96"/>
    <w:rsid w:val="78BA4842"/>
    <w:rsid w:val="78FB188C"/>
    <w:rsid w:val="7927224B"/>
    <w:rsid w:val="792A0C9E"/>
    <w:rsid w:val="79301661"/>
    <w:rsid w:val="79496EA3"/>
    <w:rsid w:val="795B3873"/>
    <w:rsid w:val="796B468C"/>
    <w:rsid w:val="79994B66"/>
    <w:rsid w:val="79A313E4"/>
    <w:rsid w:val="79A75202"/>
    <w:rsid w:val="79C478F8"/>
    <w:rsid w:val="79DD4BA7"/>
    <w:rsid w:val="79DE77A8"/>
    <w:rsid w:val="79DF0BD6"/>
    <w:rsid w:val="79EE5BA4"/>
    <w:rsid w:val="79F07734"/>
    <w:rsid w:val="79FE6DB9"/>
    <w:rsid w:val="7A456F99"/>
    <w:rsid w:val="7A5D37D1"/>
    <w:rsid w:val="7A633442"/>
    <w:rsid w:val="7A696317"/>
    <w:rsid w:val="7A894339"/>
    <w:rsid w:val="7AF26E04"/>
    <w:rsid w:val="7AF45EAA"/>
    <w:rsid w:val="7B364826"/>
    <w:rsid w:val="7B542EFE"/>
    <w:rsid w:val="7BAE7D2C"/>
    <w:rsid w:val="7C083774"/>
    <w:rsid w:val="7C117066"/>
    <w:rsid w:val="7C1F3677"/>
    <w:rsid w:val="7C566DF5"/>
    <w:rsid w:val="7C684EB3"/>
    <w:rsid w:val="7C8968E1"/>
    <w:rsid w:val="7D035D55"/>
    <w:rsid w:val="7D1D78B2"/>
    <w:rsid w:val="7D821FA4"/>
    <w:rsid w:val="7DAC0DCF"/>
    <w:rsid w:val="7DD65FF7"/>
    <w:rsid w:val="7E024A8C"/>
    <w:rsid w:val="7E1A215E"/>
    <w:rsid w:val="7E520F33"/>
    <w:rsid w:val="7E5956A9"/>
    <w:rsid w:val="7E5A1E5C"/>
    <w:rsid w:val="7E6814AC"/>
    <w:rsid w:val="7E877211"/>
    <w:rsid w:val="7EC15CDF"/>
    <w:rsid w:val="7ED62CA1"/>
    <w:rsid w:val="7EEF11D3"/>
    <w:rsid w:val="7F5D1964"/>
    <w:rsid w:val="7FA30C79"/>
    <w:rsid w:val="7FC96657"/>
    <w:rsid w:val="AFBE6DCD"/>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144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20"/>
    <w:qFormat/>
    <w:uiPriority w:val="9"/>
    <w:pPr>
      <w:keepNext w:val="0"/>
      <w:keepLines w:val="0"/>
      <w:spacing w:line="576" w:lineRule="exact"/>
      <w:ind w:firstLine="0" w:firstLineChars="0"/>
      <w:jc w:val="center"/>
      <w:outlineLvl w:val="0"/>
    </w:pPr>
    <w:rPr>
      <w:rFonts w:ascii="方正公文小标宋" w:hAnsi="方正公文小标宋" w:eastAsia="方正小标宋简体" w:cs="方正公文小标宋"/>
      <w:bCs/>
      <w:kern w:val="44"/>
      <w:sz w:val="44"/>
      <w:szCs w:val="44"/>
    </w:rPr>
  </w:style>
  <w:style w:type="paragraph" w:styleId="3">
    <w:name w:val="heading 2"/>
    <w:basedOn w:val="1"/>
    <w:next w:val="1"/>
    <w:link w:val="21"/>
    <w:unhideWhenUsed/>
    <w:qFormat/>
    <w:uiPriority w:val="9"/>
    <w:pPr>
      <w:keepNext w:val="0"/>
      <w:keepLines w:val="0"/>
      <w:spacing w:line="576" w:lineRule="exact"/>
      <w:ind w:firstLine="1440" w:firstLineChars="200"/>
      <w:jc w:val="left"/>
      <w:outlineLvl w:val="1"/>
    </w:pPr>
    <w:rPr>
      <w:rFonts w:ascii="黑体" w:hAnsi="黑体" w:eastAsia="黑体" w:cs="黑体"/>
      <w:bCs/>
    </w:rPr>
  </w:style>
  <w:style w:type="paragraph" w:styleId="4">
    <w:name w:val="heading 3"/>
    <w:basedOn w:val="1"/>
    <w:next w:val="1"/>
    <w:link w:val="22"/>
    <w:unhideWhenUsed/>
    <w:qFormat/>
    <w:uiPriority w:val="9"/>
    <w:pPr>
      <w:keepNext w:val="0"/>
      <w:keepLines w:val="0"/>
      <w:spacing w:line="576" w:lineRule="exact"/>
      <w:ind w:firstLine="1440" w:firstLineChars="200"/>
      <w:outlineLvl w:val="2"/>
    </w:pPr>
    <w:rPr>
      <w:rFonts w:ascii="楷体_GB2312" w:hAnsi="楷体_GB2312" w:eastAsia="楷体_GB2312" w:cs="楷体_GB2312"/>
      <w:bCs/>
    </w:rPr>
  </w:style>
  <w:style w:type="paragraph" w:styleId="5">
    <w:name w:val="heading 4"/>
    <w:basedOn w:val="1"/>
    <w:next w:val="1"/>
    <w:unhideWhenUsed/>
    <w:qFormat/>
    <w:uiPriority w:val="9"/>
    <w:pPr>
      <w:keepNext w:val="0"/>
      <w:keepLines w:val="0"/>
      <w:spacing w:beforeLines="0" w:beforeAutospacing="0" w:afterLines="0" w:afterAutospacing="0" w:line="576" w:lineRule="exact"/>
      <w:ind w:firstLine="540" w:firstLineChars="200"/>
      <w:outlineLvl w:val="3"/>
    </w:pPr>
    <w:rPr>
      <w:b/>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9"/>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99"/>
    <w:pPr>
      <w:ind w:left="200" w:leftChars="200" w:hanging="200" w:hangingChars="200"/>
    </w:pPr>
    <w:rPr>
      <w:szCs w:val="22"/>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标题 1 Char"/>
    <w:basedOn w:val="17"/>
    <w:link w:val="2"/>
    <w:qFormat/>
    <w:uiPriority w:val="9"/>
    <w:rPr>
      <w:rFonts w:ascii="方正公文小标宋" w:hAnsi="方正公文小标宋" w:eastAsia="方正小标宋简体" w:cs="方正公文小标宋"/>
      <w:bCs/>
      <w:kern w:val="44"/>
      <w:sz w:val="44"/>
      <w:szCs w:val="44"/>
    </w:rPr>
  </w:style>
  <w:style w:type="character" w:customStyle="1" w:styleId="21">
    <w:name w:val="标题 2 Char"/>
    <w:basedOn w:val="17"/>
    <w:link w:val="3"/>
    <w:qFormat/>
    <w:uiPriority w:val="9"/>
    <w:rPr>
      <w:rFonts w:ascii="黑体" w:hAnsi="黑体" w:eastAsia="黑体" w:cs="黑体"/>
      <w:bCs/>
      <w:kern w:val="2"/>
      <w:sz w:val="32"/>
      <w:szCs w:val="32"/>
    </w:rPr>
  </w:style>
  <w:style w:type="character" w:customStyle="1" w:styleId="22">
    <w:name w:val="标题 3 Char"/>
    <w:basedOn w:val="17"/>
    <w:link w:val="4"/>
    <w:qFormat/>
    <w:uiPriority w:val="9"/>
    <w:rPr>
      <w:rFonts w:ascii="楷体_GB2312" w:hAnsi="楷体_GB2312" w:eastAsia="楷体_GB2312" w:cs="楷体_GB2312"/>
      <w:bCs/>
      <w:kern w:val="2"/>
      <w:sz w:val="32"/>
      <w:szCs w:val="32"/>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4">
    <w:name w:val="Header Char"/>
    <w:basedOn w:val="17"/>
    <w:semiHidden/>
    <w:qFormat/>
    <w:uiPriority w:val="99"/>
    <w:rPr>
      <w:rFonts w:ascii="Times New Roman" w:hAnsi="Times New Roman"/>
      <w:sz w:val="18"/>
      <w:szCs w:val="18"/>
    </w:rPr>
  </w:style>
  <w:style w:type="character" w:customStyle="1" w:styleId="25">
    <w:name w:val="页眉 Char"/>
    <w:link w:val="10"/>
    <w:semiHidden/>
    <w:qFormat/>
    <w:locked/>
    <w:uiPriority w:val="99"/>
    <w:rPr>
      <w:sz w:val="18"/>
    </w:rPr>
  </w:style>
  <w:style w:type="character" w:customStyle="1" w:styleId="26">
    <w:name w:val="Footer Char"/>
    <w:basedOn w:val="17"/>
    <w:semiHidden/>
    <w:qFormat/>
    <w:uiPriority w:val="99"/>
    <w:rPr>
      <w:rFonts w:ascii="Times New Roman" w:hAnsi="Times New Roman"/>
      <w:sz w:val="18"/>
      <w:szCs w:val="18"/>
    </w:rPr>
  </w:style>
  <w:style w:type="character" w:customStyle="1" w:styleId="27">
    <w:name w:val="页脚 Char"/>
    <w:link w:val="9"/>
    <w:qFormat/>
    <w:locked/>
    <w:uiPriority w:val="99"/>
    <w:rPr>
      <w:sz w:val="18"/>
    </w:rPr>
  </w:style>
  <w:style w:type="character" w:customStyle="1" w:styleId="28">
    <w:name w:val="Body Text Char"/>
    <w:basedOn w:val="17"/>
    <w:semiHidden/>
    <w:qFormat/>
    <w:uiPriority w:val="99"/>
    <w:rPr>
      <w:rFonts w:ascii="Times New Roman" w:hAnsi="Times New Roman"/>
      <w:szCs w:val="24"/>
    </w:rPr>
  </w:style>
  <w:style w:type="character" w:customStyle="1" w:styleId="29">
    <w:name w:val="正文文本 Char"/>
    <w:link w:val="6"/>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8"/>
    <w:semiHidden/>
    <w:qFormat/>
    <w:uiPriority w:val="99"/>
    <w:rPr>
      <w:rFonts w:ascii="Times New Roman" w:hAnsi="Times New Roman"/>
      <w:kern w:val="2"/>
      <w:sz w:val="18"/>
      <w:szCs w:val="18"/>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01"/>
    <w:basedOn w:val="17"/>
    <w:qFormat/>
    <w:uiPriority w:val="0"/>
    <w:rPr>
      <w:rFonts w:hint="eastAsia" w:ascii="宋体" w:hAnsi="宋体" w:eastAsia="宋体" w:cs="宋体"/>
      <w:color w:val="000000"/>
      <w:sz w:val="24"/>
      <w:szCs w:val="24"/>
      <w:u w:val="none"/>
    </w:rPr>
  </w:style>
  <w:style w:type="character" w:customStyle="1" w:styleId="35">
    <w:name w:val="font71"/>
    <w:basedOn w:val="17"/>
    <w:qFormat/>
    <w:uiPriority w:val="0"/>
    <w:rPr>
      <w:rFonts w:hint="default" w:ascii="Times New Roman" w:hAnsi="Times New Roman" w:cs="Times New Roman"/>
      <w:color w:val="000000"/>
      <w:sz w:val="24"/>
      <w:szCs w:val="24"/>
      <w:u w:val="none"/>
    </w:rPr>
  </w:style>
  <w:style w:type="character" w:customStyle="1" w:styleId="36">
    <w:name w:val="font11"/>
    <w:basedOn w:val="17"/>
    <w:qFormat/>
    <w:uiPriority w:val="0"/>
    <w:rPr>
      <w:rFonts w:hint="eastAsia" w:ascii="宋体" w:hAnsi="宋体" w:eastAsia="宋体" w:cs="宋体"/>
      <w:b/>
      <w:bCs/>
      <w:color w:val="000000"/>
      <w:sz w:val="18"/>
      <w:szCs w:val="18"/>
      <w:u w:val="none"/>
    </w:rPr>
  </w:style>
  <w:style w:type="character" w:customStyle="1" w:styleId="37">
    <w:name w:val="font81"/>
    <w:basedOn w:val="17"/>
    <w:qFormat/>
    <w:uiPriority w:val="0"/>
    <w:rPr>
      <w:rFonts w:hint="eastAsia" w:ascii="宋体" w:hAnsi="宋体" w:eastAsia="宋体" w:cs="宋体"/>
      <w:color w:val="000000"/>
      <w:sz w:val="16"/>
      <w:szCs w:val="16"/>
      <w:u w:val="none"/>
    </w:rPr>
  </w:style>
  <w:style w:type="character" w:customStyle="1" w:styleId="38">
    <w:name w:val="font31"/>
    <w:basedOn w:val="17"/>
    <w:qFormat/>
    <w:uiPriority w:val="0"/>
    <w:rPr>
      <w:rFonts w:hint="eastAsia" w:ascii="宋体" w:hAnsi="宋体" w:eastAsia="宋体" w:cs="宋体"/>
      <w:color w:val="000000"/>
      <w:sz w:val="18"/>
      <w:szCs w:val="18"/>
      <w:u w:val="none"/>
    </w:rPr>
  </w:style>
  <w:style w:type="character" w:customStyle="1" w:styleId="39">
    <w:name w:val="font61"/>
    <w:basedOn w:val="17"/>
    <w:qFormat/>
    <w:uiPriority w:val="0"/>
    <w:rPr>
      <w:rFonts w:ascii="宋体" w:hAnsi="宋体" w:eastAsia="宋体" w:cs="宋体"/>
      <w:color w:val="000000"/>
      <w:sz w:val="18"/>
      <w:szCs w:val="18"/>
      <w:u w:val="none"/>
    </w:rPr>
  </w:style>
  <w:style w:type="character" w:customStyle="1" w:styleId="40">
    <w:name w:val="font41"/>
    <w:basedOn w:val="17"/>
    <w:qFormat/>
    <w:uiPriority w:val="0"/>
    <w:rPr>
      <w:rFonts w:ascii="Wingdings 2" w:hAnsi="Wingdings 2" w:eastAsia="Wingdings 2" w:cs="Wingdings 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a:t>收、支决算总计变动情况图</a:t>
            </a:r>
            <a:endParaRPr sz="1200"/>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682.39</c:v>
                </c:pt>
              </c:numCache>
            </c:numRef>
          </c:val>
        </c:ser>
        <c:ser>
          <c:idx val="1"/>
          <c:order val="1"/>
          <c:tx>
            <c:strRef>
              <c:f>Sheet1!$C$1</c:f>
              <c:strCache>
                <c:ptCount val="1"/>
                <c:pt idx="0">
                  <c:v>2021年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494.5</c:v>
                </c:pt>
              </c:numCache>
            </c:numRef>
          </c:val>
        </c:ser>
        <c:dLbls>
          <c:showLegendKey val="false"/>
          <c:showVal val="true"/>
          <c:showCatName val="false"/>
          <c:showSerName val="false"/>
          <c:showPercent val="false"/>
          <c:showBubbleSize val="false"/>
        </c:dLbls>
        <c:gapWidth val="423"/>
        <c:overlap val="-100"/>
        <c:axId val="36641408"/>
        <c:axId val="366472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641408"/>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7296"/>
        <c:crosses val="autoZero"/>
        <c:auto val="true"/>
        <c:lblAlgn val="ctr"/>
        <c:lblOffset val="100"/>
        <c:noMultiLvlLbl val="false"/>
      </c:catAx>
      <c:valAx>
        <c:axId val="3664729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1408"/>
        <c:crosses val="autoZero"/>
        <c:crossBetween val="between"/>
      </c:valAx>
      <c:spPr>
        <a:noFill/>
        <a:ln>
          <a:noFill/>
        </a:ln>
        <a:effectLst/>
      </c:spPr>
    </c:plotArea>
    <c:legend>
      <c:legendPos val="b"/>
      <c:layout>
        <c:manualLayout>
          <c:xMode val="edge"/>
          <c:yMode val="edge"/>
          <c:x val="0.396875"/>
          <c:y val="0.914881297046902"/>
          <c:w val="0.264125"/>
          <c:h val="0.06195715112912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r>
              <a:rPr lang="en-US" altLang="zh-CN"/>
              <a:t>                     </a:t>
            </a:r>
            <a:r>
              <a:rPr sz="1200"/>
              <a:t>单位：万元</a:t>
            </a:r>
            <a:endParaRPr sz="1200"/>
          </a:p>
        </c:rich>
      </c:tx>
      <c:layout>
        <c:manualLayout>
          <c:xMode val="edge"/>
          <c:yMode val="edge"/>
          <c:x val="0.335201954865603"/>
          <c:y val="0.00794491525423729"/>
        </c:manualLayout>
      </c:layout>
      <c:overlay val="false"/>
      <c:spPr>
        <a:noFill/>
        <a:ln>
          <a:noFill/>
        </a:ln>
        <a:effectLst/>
      </c:spPr>
    </c:title>
    <c:autoTitleDeleted val="false"/>
    <c:plotArea>
      <c:layout/>
      <c:pieChart>
        <c:varyColors val="true"/>
        <c:ser>
          <c:idx val="0"/>
          <c:order val="0"/>
          <c:tx>
            <c:strRef>
              <c:f>Sheet1!$B$1</c:f>
              <c:strCache>
                <c:ptCount val="1"/>
                <c:pt idx="0">
                  <c:v>收入决算结构图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682.39</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494.5</c:v>
                </c:pt>
                <c:pt idx="1">
                  <c:v>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00386697602474865"/>
          <c:y val="0.62405063291139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r>
              <a:rPr lang="en-US" altLang="zh-CN"/>
              <a:t>               </a:t>
            </a:r>
            <a:r>
              <a:rPr lang="en-US" altLang="zh-CN" sz="1200"/>
              <a:t> </a:t>
            </a:r>
            <a:r>
              <a:rPr altLang="en-US" sz="1200"/>
              <a:t>单位：万元</a:t>
            </a:r>
            <a:endParaRPr lang="en-US" altLang="en-US" sz="1200"/>
          </a:p>
        </c:rich>
      </c:tx>
      <c:layout>
        <c:manualLayout>
          <c:xMode val="edge"/>
          <c:yMode val="edge"/>
          <c:x val="0.372125"/>
          <c:y val="0.025974025974026"/>
        </c:manualLayout>
      </c:layout>
      <c:overlay val="false"/>
      <c:spPr>
        <a:noFill/>
        <a:ln>
          <a:noFill/>
        </a:ln>
        <a:effectLst/>
      </c:spPr>
    </c:title>
    <c:autoTitleDeleted val="false"/>
    <c:plotArea>
      <c:layout>
        <c:manualLayout>
          <c:layoutTarget val="inner"/>
          <c:xMode val="edge"/>
          <c:yMode val="edge"/>
          <c:x val="0.326325"/>
          <c:y val="0.193311688311688"/>
          <c:w val="0.35035"/>
          <c:h val="0.606666666666667"/>
        </c:manualLayout>
      </c:layout>
      <c:pieChart>
        <c:varyColors val="true"/>
        <c:ser>
          <c:idx val="0"/>
          <c:order val="0"/>
          <c:tx>
            <c:strRef>
              <c:f>Sheet1!$B$1</c:f>
              <c:strCache>
                <c:ptCount val="1"/>
                <c:pt idx="0">
                  <c:v>支出决算结构图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461.85</c:v>
                </c:pt>
                <c:pt idx="1">
                  <c:v>220.54</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manualLayout>
          <c:layoutTarget val="inner"/>
          <c:xMode val="edge"/>
          <c:yMode val="edge"/>
          <c:x val="0.0792662446712311"/>
          <c:y val="0.266990291262136"/>
          <c:w val="0.890246738147526"/>
          <c:h val="0.517815533980583"/>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2022</c:v>
                </c:pt>
                <c:pt idx="1">
                  <c:v>2021</c:v>
                </c:pt>
              </c:numCache>
            </c:numRef>
          </c:cat>
          <c:val>
            <c:numRef>
              <c:f>Sheet1!$B$2:$B$3</c:f>
              <c:numCache>
                <c:formatCode>General</c:formatCode>
                <c:ptCount val="2"/>
                <c:pt idx="0">
                  <c:v>682.39</c:v>
                </c:pt>
                <c:pt idx="1">
                  <c:v>494.5</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2022</c:v>
                </c:pt>
                <c:pt idx="1">
                  <c:v>2021</c:v>
                </c:pt>
              </c:numCache>
            </c:numRef>
          </c:cat>
          <c:val>
            <c:numRef>
              <c:f>Sheet1!$C$2:$C$3</c:f>
              <c:numCache>
                <c:formatCode>General</c:formatCode>
                <c:ptCount val="2"/>
                <c:pt idx="0">
                  <c:v>682.39</c:v>
                </c:pt>
                <c:pt idx="1">
                  <c:v>494.5</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numRef>
              <c:f>Sheet1!$A$2:$A$3</c:f>
              <c:numCache>
                <c:formatCode>General</c:formatCode>
                <c:ptCount val="2"/>
                <c:pt idx="0">
                  <c:v>2022</c:v>
                </c:pt>
                <c:pt idx="1">
                  <c:v>2021</c:v>
                </c:pt>
              </c:numCache>
            </c:num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36600832"/>
        <c:axId val="36610816"/>
      </c:barChart>
      <c:catAx>
        <c:axId val="3660083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10816"/>
        <c:crosses val="autoZero"/>
        <c:auto val="true"/>
        <c:lblAlgn val="ctr"/>
        <c:lblOffset val="100"/>
        <c:noMultiLvlLbl val="false"/>
      </c:catAx>
      <c:valAx>
        <c:axId val="3661081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0083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manualLayout>
          <c:layoutTarget val="inner"/>
          <c:xMode val="edge"/>
          <c:yMode val="edge"/>
          <c:x val="0.0705226850623508"/>
          <c:y val="0.252827817343946"/>
          <c:w val="0.900291854603343"/>
          <c:h val="0.605781315458735"/>
        </c:manualLayout>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682.39</c:v>
                </c:pt>
              </c:numCache>
            </c:numRef>
          </c:val>
        </c:ser>
        <c:ser>
          <c:idx val="1"/>
          <c:order val="1"/>
          <c:tx>
            <c:strRef>
              <c:f>Sheet1!$C$1</c:f>
              <c:strCache>
                <c:ptCount val="1"/>
                <c:pt idx="0">
                  <c:v>2021年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494.5</c:v>
                </c:pt>
              </c:numCache>
            </c:numRef>
          </c:val>
        </c:ser>
        <c:dLbls>
          <c:showLegendKey val="false"/>
          <c:showVal val="true"/>
          <c:showCatName val="false"/>
          <c:showSerName val="false"/>
          <c:showPercent val="false"/>
          <c:showBubbleSize val="false"/>
        </c:dLbls>
        <c:gapWidth val="388"/>
        <c:overlap val="-100"/>
        <c:axId val="36641408"/>
        <c:axId val="366472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641408"/>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7296"/>
        <c:crosses val="autoZero"/>
        <c:auto val="true"/>
        <c:lblAlgn val="ctr"/>
        <c:lblOffset val="100"/>
        <c:noMultiLvlLbl val="false"/>
      </c:catAx>
      <c:valAx>
        <c:axId val="3664729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1408"/>
        <c:crosses val="autoZero"/>
        <c:crossBetween val="between"/>
      </c:valAx>
      <c:spPr>
        <a:noFill/>
        <a:ln>
          <a:noFill/>
        </a:ln>
        <a:effectLst/>
      </c:spPr>
    </c:plotArea>
    <c:legend>
      <c:legendPos val="b"/>
      <c:layout>
        <c:manualLayout>
          <c:xMode val="edge"/>
          <c:yMode val="edge"/>
          <c:x val="0.396875"/>
          <c:y val="0.914881297046902"/>
          <c:w val="0.264125"/>
          <c:h val="0.06195715112912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一般公共服务</c:v>
                </c:pt>
                <c:pt idx="1">
                  <c:v>发展改革事务</c:v>
                </c:pt>
                <c:pt idx="2">
                  <c:v>社会保障和就业</c:v>
                </c:pt>
                <c:pt idx="3">
                  <c:v>卫生健康支出</c:v>
                </c:pt>
                <c:pt idx="4">
                  <c:v>住房保障支出</c:v>
                </c:pt>
                <c:pt idx="5">
                  <c:v>一般行政管理事务</c:v>
                </c:pt>
                <c:pt idx="6">
                  <c:v>其他粮油物资事务支出</c:v>
                </c:pt>
              </c:strCache>
            </c:strRef>
          </c:cat>
          <c:val>
            <c:numRef>
              <c:f>Sheet1!$B$2:$B$8</c:f>
              <c:numCache>
                <c:formatCode>General</c:formatCode>
                <c:ptCount val="7"/>
                <c:pt idx="0">
                  <c:v>366.59</c:v>
                </c:pt>
                <c:pt idx="1">
                  <c:v>214.9</c:v>
                </c:pt>
                <c:pt idx="2">
                  <c:v>42.67</c:v>
                </c:pt>
                <c:pt idx="3">
                  <c:v>17.46</c:v>
                </c:pt>
                <c:pt idx="4">
                  <c:v>35.13</c:v>
                </c:pt>
                <c:pt idx="5">
                  <c:v>1.74</c:v>
                </c:pt>
                <c:pt idx="6">
                  <c:v>3.9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1200"/>
          </a:p>
        </c:rich>
      </c:tx>
      <c:layout/>
      <c:overlay val="false"/>
      <c:spPr>
        <a:noFill/>
        <a:ln>
          <a:noFill/>
        </a:ln>
        <a:effectLst/>
      </c:spPr>
    </c:title>
    <c:autoTitleDeleted val="false"/>
    <c:plotArea>
      <c:layout/>
      <c:pieChart>
        <c:varyColors val="true"/>
        <c:ser>
          <c:idx val="0"/>
          <c:order val="0"/>
          <c:tx>
            <c:strRef>
              <c:f>Sheet1!$B$1</c:f>
              <c:strCache>
                <c:ptCount val="1"/>
                <c:pt idx="0">
                  <c:v>“三公”经费财政拨款支出决算结构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0">
                  <c:v>0</c:v>
                </c:pt>
                <c:pt idx="1">
                  <c:v>0</c:v>
                </c:pt>
                <c:pt idx="2" c:formatCode="0%">
                  <c:v>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83</Pages>
  <Words>30448</Words>
  <Characters>35436</Characters>
  <Lines>61</Lines>
  <Paragraphs>17</Paragraphs>
  <TotalTime>6</TotalTime>
  <ScaleCrop>false</ScaleCrop>
  <LinksUpToDate>false</LinksUpToDate>
  <CharactersWithSpaces>35762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2022-08-08T17:11:00Z</cp:lastPrinted>
  <dcterms:modified xsi:type="dcterms:W3CDTF">2025-01-09T16:37:37Z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0D5447EA31C84A5EAE9C2B7D0D6EFFCB_13</vt:lpwstr>
  </property>
</Properties>
</file>