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68" w:name="_GoBack"/>
      <w:bookmarkEnd w:id="68"/>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78441"/>
      <w:bookmarkStart w:id="4" w:name="_Toc15377425"/>
      <w:bookmarkStart w:id="5" w:name="_Toc15396475"/>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8442"/>
      <w:bookmarkStart w:id="9" w:name="_Toc15377194"/>
      <w:bookmarkStart w:id="10" w:name="_Toc15396476"/>
      <w:r>
        <w:rPr>
          <w:rFonts w:hint="eastAsia" w:ascii="方正小标宋简体" w:hAnsi="宋体" w:eastAsia="方正小标宋简体"/>
          <w:color w:val="000000"/>
          <w:sz w:val="72"/>
          <w:szCs w:val="72"/>
        </w:rPr>
        <w:t>四川省广元市朝天区</w:t>
      </w:r>
      <w:bookmarkEnd w:id="0"/>
      <w:bookmarkStart w:id="11" w:name="_Toc15306268"/>
      <w:r>
        <w:rPr>
          <w:rFonts w:hint="eastAsia" w:ascii="方正小标宋简体" w:hAnsi="宋体" w:eastAsia="方正小标宋简体"/>
          <w:color w:val="000000"/>
          <w:sz w:val="72"/>
          <w:szCs w:val="72"/>
        </w:rPr>
        <w:t>直属机关党建事务中心</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w:t>
      </w:r>
      <w:r>
        <w:t>2021</w:t>
      </w:r>
      <w:r>
        <w:rPr>
          <w:rFonts w:hint="eastAsia"/>
        </w:rPr>
        <w:t>年 9月30 日</w:t>
      </w:r>
    </w:p>
    <w:p/>
    <w:p>
      <w:pPr>
        <w:pStyle w:val="10"/>
      </w:pPr>
      <w:r>
        <w:fldChar w:fldCharType="begin"/>
      </w:r>
      <w:r>
        <w:instrText xml:space="preserve"> HYPERLINK \l "_Toc15396599" </w:instrText>
      </w:r>
      <w:r>
        <w:fldChar w:fldCharType="separate"/>
      </w:r>
      <w:r>
        <w:rPr>
          <w:rStyle w:val="16"/>
          <w:rFonts w:hint="eastAsia"/>
          <w:color w:val="auto"/>
        </w:rPr>
        <w:t>第一部分</w:t>
      </w:r>
      <w:r>
        <w:rPr>
          <w:rStyle w:val="16"/>
          <w:color w:val="auto"/>
        </w:rPr>
        <w:t xml:space="preserve"> </w:t>
      </w:r>
      <w:r>
        <w:rPr>
          <w:rStyle w:val="16"/>
          <w:rFonts w:hint="eastAsia"/>
          <w:color w:val="auto"/>
        </w:rPr>
        <w:t>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w:t>
      </w:r>
      <w:r>
        <w:rPr>
          <w:rStyle w:val="16"/>
          <w:rFonts w:hint="eastAsia"/>
          <w:color w:val="auto"/>
        </w:rPr>
        <w:t>20年度部门决算情况说明</w:t>
      </w:r>
      <w:r>
        <w:tab/>
      </w:r>
      <w:r>
        <w:fldChar w:fldCharType="end"/>
      </w:r>
      <w:r>
        <w:rPr>
          <w:rFonts w:hint="eastAsia"/>
        </w:rPr>
        <w:t>9</w:t>
      </w:r>
    </w:p>
    <w:p>
      <w:pPr>
        <w:pStyle w:val="11"/>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9</w:t>
      </w:r>
    </w:p>
    <w:p>
      <w:pPr>
        <w:pStyle w:val="11"/>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9</w:t>
      </w:r>
    </w:p>
    <w:p>
      <w:pPr>
        <w:pStyle w:val="11"/>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bCs/>
          <w:color w:val="auto"/>
          <w:sz w:val="28"/>
          <w:szCs w:val="28"/>
        </w:rPr>
        <w:t>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bCs/>
          <w:color w:val="auto"/>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bCs/>
          <w:color w:val="auto"/>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bCs/>
          <w:color w:val="auto"/>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hint="eastAsia" w:ascii="仿宋" w:hAnsi="仿宋" w:eastAsia="仿宋"/>
          <w:bCs/>
          <w:color w:val="auto"/>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bCs/>
          <w:color w:val="auto"/>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bCs/>
          <w:color w:val="auto"/>
          <w:sz w:val="28"/>
          <w:szCs w:val="28"/>
        </w:rPr>
        <w:t>九、</w:t>
      </w:r>
      <w:r>
        <w:rPr>
          <w:rStyle w:val="16"/>
          <w:rFonts w:hint="eastAsia" w:ascii="仿宋" w:hAnsi="仿宋" w:eastAsia="仿宋"/>
          <w:color w:val="auto"/>
          <w:sz w:val="28"/>
          <w:szCs w:val="28"/>
        </w:rPr>
        <w:t>国</w:t>
      </w:r>
      <w:r>
        <w:rPr>
          <w:rStyle w:val="16"/>
          <w:rFonts w:hint="eastAsia" w:ascii="仿宋" w:hAnsi="仿宋" w:eastAsia="仿宋"/>
          <w:bCs/>
          <w:color w:val="auto"/>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1"/>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bCs/>
          <w:color w:val="auto"/>
          <w:sz w:val="28"/>
          <w:szCs w:val="28"/>
        </w:rPr>
        <w:t>、其他重要事项的情况说明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0"/>
      </w:pPr>
      <w:r>
        <w:fldChar w:fldCharType="begin"/>
      </w:r>
      <w:r>
        <w:instrText xml:space="preserve"> HYPERLINK \l "_Toc15396613" </w:instrText>
      </w:r>
      <w:r>
        <w:fldChar w:fldCharType="separate"/>
      </w:r>
      <w:r>
        <w:rPr>
          <w:rStyle w:val="16"/>
          <w:rFonts w:hint="eastAsia"/>
          <w:bCs/>
          <w:color w:val="auto"/>
          <w:kern w:val="44"/>
        </w:rPr>
        <w:t>第三部分</w:t>
      </w:r>
      <w:r>
        <w:rPr>
          <w:rStyle w:val="16"/>
          <w:color w:val="auto"/>
        </w:rPr>
        <w:t xml:space="preserve"> </w:t>
      </w:r>
      <w:r>
        <w:rPr>
          <w:rStyle w:val="16"/>
          <w:rFonts w:hint="eastAsia"/>
          <w:color w:val="auto"/>
        </w:rPr>
        <w:t>名</w:t>
      </w:r>
      <w:r>
        <w:rPr>
          <w:rStyle w:val="16"/>
          <w:rFonts w:hint="eastAsia"/>
          <w:bCs/>
          <w:color w:val="auto"/>
          <w:kern w:val="44"/>
        </w:rPr>
        <w:t>词解释</w:t>
      </w:r>
      <w:r>
        <w:tab/>
      </w:r>
      <w:r>
        <w:rPr>
          <w:rFonts w:hint="eastAsia"/>
        </w:rPr>
        <w:t>2</w:t>
      </w:r>
      <w:r>
        <w:rPr>
          <w:rFonts w:hint="eastAsia"/>
        </w:rPr>
        <w:fldChar w:fldCharType="end"/>
      </w:r>
      <w:r>
        <w:rPr>
          <w:rFonts w:hint="eastAsia"/>
        </w:rPr>
        <w:t>4</w:t>
      </w:r>
    </w:p>
    <w:p>
      <w:pPr>
        <w:pStyle w:val="10"/>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w:t>
      </w:r>
      <w:r>
        <w:rPr>
          <w:rStyle w:val="16"/>
          <w:bCs/>
          <w:color w:val="auto"/>
          <w:kern w:val="44"/>
        </w:rPr>
        <w:t xml:space="preserve"> </w:t>
      </w:r>
      <w:r>
        <w:rPr>
          <w:rStyle w:val="16"/>
          <w:rFonts w:hint="eastAsia"/>
          <w:bCs/>
          <w:color w:val="auto"/>
          <w:kern w:val="44"/>
        </w:rPr>
        <w:t>附件</w:t>
      </w:r>
      <w:r>
        <w:tab/>
      </w:r>
      <w:r>
        <w:rPr>
          <w:rFonts w:hint="eastAsia"/>
        </w:rPr>
        <w:t>2</w:t>
      </w:r>
      <w:r>
        <w:rPr>
          <w:rFonts w:hint="eastAsia"/>
        </w:rPr>
        <w:fldChar w:fldCharType="end"/>
      </w:r>
      <w:r>
        <w:rPr>
          <w:rFonts w:hint="eastAsia"/>
        </w:rPr>
        <w:t>7</w:t>
      </w:r>
    </w:p>
    <w:p>
      <w:pPr>
        <w:pStyle w:val="11"/>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1</w:t>
      </w:r>
    </w:p>
    <w:p>
      <w:pPr>
        <w:pStyle w:val="10"/>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w:t>
      </w:r>
      <w:r>
        <w:rPr>
          <w:rStyle w:val="16"/>
          <w:bCs/>
          <w:color w:val="auto"/>
          <w:kern w:val="44"/>
        </w:rPr>
        <w:t xml:space="preserve"> </w:t>
      </w:r>
      <w:r>
        <w:rPr>
          <w:rStyle w:val="16"/>
          <w:rFonts w:hint="eastAsia"/>
          <w:bCs/>
          <w:color w:val="auto"/>
          <w:kern w:val="44"/>
        </w:rPr>
        <w:t>附表</w:t>
      </w:r>
      <w:r>
        <w:tab/>
      </w:r>
      <w:r>
        <w:rPr>
          <w:rFonts w:hint="eastAsia"/>
        </w:rPr>
        <w:t>4</w:t>
      </w:r>
      <w:r>
        <w:rPr>
          <w:rFonts w:hint="eastAsia"/>
        </w:rPr>
        <w:fldChar w:fldCharType="end"/>
      </w:r>
      <w:r>
        <w:rPr>
          <w:rFonts w:hint="eastAsia"/>
        </w:rPr>
        <w:t>7</w:t>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hint="eastAsia" w:ascii="仿宋" w:hAnsi="仿宋" w:eastAsia="仿宋"/>
          <w:sz w:val="28"/>
          <w:szCs w:val="28"/>
        </w:rPr>
        <w:t>47</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pPr>
      <w:r>
        <w:rPr>
          <w:rStyle w:val="16"/>
          <w:rFonts w:hint="eastAsia" w:ascii="仿宋" w:hAnsi="仿宋" w:eastAsia="仿宋"/>
          <w:color w:val="auto"/>
          <w:sz w:val="28"/>
          <w:szCs w:val="28"/>
        </w:rPr>
        <w:t>十四、国有资本经营预算财政拨款支出决算表</w:t>
      </w:r>
      <w:r>
        <w:rPr>
          <w:rFonts w:ascii="仿宋" w:hAnsi="仿宋" w:eastAsia="仿宋"/>
          <w:sz w:val="28"/>
          <w:szCs w:val="28"/>
        </w:rPr>
        <w:tab/>
      </w:r>
      <w:r>
        <w:rPr>
          <w:rFonts w:hint="eastAsia" w:ascii="仿宋" w:hAnsi="仿宋" w:eastAsia="仿宋"/>
          <w:sz w:val="28"/>
          <w:szCs w:val="28"/>
        </w:rPr>
        <w:t>47</w:t>
      </w:r>
    </w:p>
    <w:p>
      <w:pPr>
        <w:widowControl/>
        <w:tabs>
          <w:tab w:val="left" w:pos="3471"/>
          <w:tab w:val="center" w:pos="4213"/>
        </w:tabs>
        <w:jc w:val="center"/>
        <w:rPr>
          <w:rStyle w:val="30"/>
          <w:rFonts w:ascii="方正小标宋简体" w:hAnsi="宋体" w:eastAsia="方正小标宋简体"/>
          <w:b w:val="0"/>
          <w:bCs w:val="0"/>
          <w:color w:val="000000"/>
          <w:kern w:val="2"/>
          <w:sz w:val="36"/>
          <w:szCs w:val="36"/>
        </w:rPr>
      </w:pPr>
      <w:r>
        <w:rPr>
          <w:rFonts w:ascii="仿宋" w:hAnsi="仿宋" w:eastAsia="仿宋"/>
          <w:b/>
          <w:sz w:val="24"/>
        </w:rPr>
        <w:br w:type="page"/>
      </w:r>
      <w:r>
        <w:rPr>
          <w:rFonts w:hint="eastAsia" w:ascii="黑体" w:hAnsi="黑体" w:eastAsia="黑体"/>
          <w:sz w:val="44"/>
          <w:szCs w:val="44"/>
        </w:rPr>
        <w:t>第一部分</w:t>
      </w:r>
      <w:r>
        <w:rPr>
          <w:rFonts w:ascii="黑体" w:hAnsi="黑体" w:eastAsia="黑体"/>
        </w:rPr>
        <w:t xml:space="preserve"> </w:t>
      </w:r>
      <w:r>
        <w:rPr>
          <w:rStyle w:val="30"/>
          <w:rFonts w:hint="eastAsia" w:ascii="黑体" w:hAnsi="黑体" w:eastAsia="黑体"/>
        </w:rPr>
        <w:t>部门概况</w:t>
      </w:r>
    </w:p>
    <w:p>
      <w:pPr>
        <w:pStyle w:val="4"/>
        <w:ind w:firstLine="640" w:firstLineChars="200"/>
        <w:rPr>
          <w:rFonts w:ascii="仿宋" w:hAnsi="仿宋" w:eastAsia="仿宋"/>
          <w:b w:val="0"/>
          <w:bCs w:val="0"/>
        </w:rPr>
      </w:pPr>
      <w:bookmarkStart w:id="12" w:name="_Toc15377197"/>
      <w:bookmarkStart w:id="13" w:name="_Toc15396600"/>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2"/>
      <w:bookmarkEnd w:id="13"/>
    </w:p>
    <w:p>
      <w:pPr>
        <w:spacing w:line="540" w:lineRule="exact"/>
        <w:ind w:firstLine="642" w:firstLineChars="200"/>
        <w:rPr>
          <w:rFonts w:ascii="仿宋_GB2312" w:eastAsia="仿宋_GB2312"/>
          <w:sz w:val="32"/>
          <w:szCs w:val="32"/>
        </w:rPr>
      </w:pPr>
      <w:r>
        <w:rPr>
          <w:rFonts w:hint="eastAsia" w:ascii="楷体_GB2312" w:hAnsi="楷体_GB2312" w:eastAsia="楷体_GB2312" w:cs="楷体_GB2312"/>
          <w:b/>
          <w:bCs/>
          <w:sz w:val="32"/>
          <w:szCs w:val="32"/>
        </w:rPr>
        <w:t>(一)基本职能：</w:t>
      </w:r>
      <w:r>
        <w:rPr>
          <w:rFonts w:hint="eastAsia" w:ascii="仿宋_GB2312" w:hAnsi="楷体_GB2312" w:eastAsia="仿宋_GB2312" w:cs="楷体_GB2312"/>
          <w:bCs/>
          <w:sz w:val="32"/>
          <w:szCs w:val="32"/>
        </w:rPr>
        <w:t>区直属机关党建事务中心是区委直属的正科级参公事业单位，</w:t>
      </w:r>
      <w:r>
        <w:rPr>
          <w:rFonts w:hint="eastAsia" w:ascii="仿宋_GB2312" w:eastAsia="仿宋_GB2312"/>
          <w:sz w:val="32"/>
          <w:szCs w:val="32"/>
        </w:rPr>
        <w:t>共有编制数7个（主任1名、副主任2名、参公编制2名、事业编制2名），内设办公室、党建指导督查股和干部驻村协调办公室，主要工作职能是督促指导区级部门单位机关党建、统筹干部驻村帮扶和完成区委交办的其他工作事项。</w:t>
      </w:r>
    </w:p>
    <w:p>
      <w:pPr>
        <w:spacing w:line="540" w:lineRule="exact"/>
        <w:ind w:firstLine="642" w:firstLineChars="200"/>
        <w:rPr>
          <w:rFonts w:ascii="楷体_GB2312" w:hAnsi="楷体_GB2312" w:eastAsia="楷体_GB2312" w:cs="楷体_GB2312"/>
          <w:bCs/>
          <w:sz w:val="32"/>
          <w:szCs w:val="32"/>
        </w:rPr>
      </w:pPr>
      <w:r>
        <w:rPr>
          <w:rFonts w:hint="eastAsia" w:ascii="楷体_GB2312" w:hAnsi="楷体_GB2312" w:eastAsia="楷体_GB2312" w:cs="楷体_GB2312"/>
          <w:b/>
          <w:bCs/>
          <w:sz w:val="32"/>
          <w:szCs w:val="32"/>
        </w:rPr>
        <w:t>主要工作：</w:t>
      </w:r>
      <w:r>
        <w:rPr>
          <w:rFonts w:hint="eastAsia" w:ascii="仿宋_GB2312" w:hAnsi="仿宋" w:eastAsia="仿宋_GB2312"/>
          <w:sz w:val="32"/>
          <w:szCs w:val="32"/>
        </w:rPr>
        <w:t>机关党的建设和精准脱贫干部驻村帮扶工作。</w:t>
      </w:r>
    </w:p>
    <w:p>
      <w:pPr>
        <w:spacing w:line="540" w:lineRule="exact"/>
        <w:ind w:firstLine="803" w:firstLineChars="250"/>
        <w:rPr>
          <w:rFonts w:ascii="楷体_GB2312" w:hAnsi="楷体_GB2312" w:eastAsia="楷体_GB2312" w:cs="楷体_GB2312"/>
          <w:b/>
          <w:bCs/>
          <w:sz w:val="32"/>
          <w:szCs w:val="32"/>
        </w:rPr>
      </w:pPr>
      <w:bookmarkStart w:id="14" w:name="_Toc15377200"/>
      <w:bookmarkStart w:id="15" w:name="_Toc15396601"/>
      <w:r>
        <w:rPr>
          <w:rFonts w:hint="eastAsia" w:ascii="楷体_GB2312" w:hAnsi="楷体_GB2312" w:eastAsia="楷体_GB2312" w:cs="楷体_GB2312"/>
          <w:b/>
          <w:bCs/>
          <w:sz w:val="32"/>
          <w:szCs w:val="32"/>
        </w:rPr>
        <w:t>(二)2020年重点工作完成情况</w:t>
      </w:r>
    </w:p>
    <w:p>
      <w:pPr>
        <w:widowControl/>
        <w:spacing w:line="576" w:lineRule="exact"/>
        <w:ind w:firstLine="800" w:firstLineChars="250"/>
        <w:jc w:val="left"/>
        <w:rPr>
          <w:rFonts w:ascii="楷体_GB2312" w:hAnsi="仿宋" w:eastAsia="楷体_GB2312"/>
          <w:sz w:val="32"/>
          <w:szCs w:val="32"/>
        </w:rPr>
      </w:pPr>
      <w:r>
        <w:rPr>
          <w:rFonts w:hint="eastAsia" w:ascii="楷体_GB2312" w:hAnsi="仿宋" w:eastAsia="楷体_GB2312"/>
          <w:sz w:val="32"/>
          <w:szCs w:val="32"/>
        </w:rPr>
        <w:t>1.以标准化规范化建设为载体，提升机关党建工作上档升级</w:t>
      </w:r>
    </w:p>
    <w:p>
      <w:pPr>
        <w:spacing w:line="576" w:lineRule="exact"/>
        <w:ind w:firstLine="645"/>
        <w:rPr>
          <w:rFonts w:ascii="仿宋_GB2312" w:eastAsia="仿宋_GB2312"/>
          <w:sz w:val="32"/>
          <w:szCs w:val="32"/>
        </w:rPr>
      </w:pPr>
      <w:r>
        <w:rPr>
          <w:rFonts w:hint="eastAsia" w:ascii="仿宋_GB2312" w:hAnsi="仿宋_GB2312" w:eastAsia="仿宋_GB2312" w:cs="仿宋_GB2312"/>
          <w:b/>
          <w:bCs/>
          <w:color w:val="000000"/>
          <w:sz w:val="32"/>
          <w:szCs w:val="32"/>
        </w:rPr>
        <w:t>①.紧扣政治建设这一关键，压紧压实党建责任，抓实机关党建工作成效。</w:t>
      </w:r>
      <w:r>
        <w:rPr>
          <w:rFonts w:hint="eastAsia" w:ascii="仿宋_GB2312" w:hAnsi="仿宋_GB2312" w:eastAsia="仿宋_GB2312" w:cs="仿宋_GB2312"/>
          <w:b/>
          <w:bCs/>
          <w:sz w:val="32"/>
          <w:szCs w:val="32"/>
        </w:rPr>
        <w:t>一是</w:t>
      </w:r>
      <w:r>
        <w:rPr>
          <w:rFonts w:hint="eastAsia" w:ascii="仿宋_GB2312" w:hAnsi="黑体" w:eastAsia="仿宋_GB2312"/>
          <w:sz w:val="32"/>
          <w:szCs w:val="32"/>
        </w:rPr>
        <w:t>持续深入贯彻落实习近平新时代中国特色社会主义思想、党的十九大和十九届四中、五中全会及省市区委全会精神,扎实推进“两学一做”，巩固深化“不忘初心、牢记使命”主题教育成果，</w:t>
      </w:r>
      <w:r>
        <w:rPr>
          <w:rFonts w:hint="eastAsia" w:ascii="仿宋_GB2312" w:eastAsia="仿宋_GB2312"/>
          <w:sz w:val="32"/>
          <w:szCs w:val="32"/>
        </w:rPr>
        <w:t>认真学习贯彻《</w:t>
      </w:r>
      <w:r>
        <w:rPr>
          <w:rFonts w:hint="eastAsia" w:ascii="仿宋_GB2312" w:eastAsia="仿宋_GB2312"/>
          <w:sz w:val="32"/>
          <w:szCs w:val="32"/>
          <w:lang w:eastAsia="zh-CN"/>
        </w:rPr>
        <w:t>中国共产党章程</w:t>
      </w:r>
      <w:r>
        <w:rPr>
          <w:rFonts w:hint="eastAsia" w:ascii="仿宋_GB2312" w:eastAsia="仿宋_GB2312"/>
          <w:sz w:val="32"/>
          <w:szCs w:val="32"/>
        </w:rPr>
        <w:t>》《中国共产党支部工作条例(试行)》《中国共产党党和国家机关基层组织工作条例》（以下简称《条例》）。通过召开工委会、中心主任办公会等专题学习研讨《条例》4次，购买200册《条例》赠送区直机关各部门单位主要负责人和基层党组织书记，将《条例》作为各类培训班重点内容，采取学习研究、培训辅导、原文阅读等方式倒逼全区基层党组织和党员干部全覆盖学习。</w:t>
      </w:r>
      <w:r>
        <w:rPr>
          <w:rFonts w:hint="eastAsia" w:ascii="仿宋_GB2312" w:hAnsi="仿宋_GB2312" w:eastAsia="仿宋_GB2312" w:cs="仿宋_GB2312"/>
          <w:b/>
          <w:bCs/>
          <w:sz w:val="32"/>
          <w:szCs w:val="32"/>
        </w:rPr>
        <w:t>二是</w:t>
      </w:r>
      <w:r>
        <w:rPr>
          <w:rFonts w:hint="eastAsia" w:ascii="仿宋_GB2312" w:eastAsia="仿宋_GB2312"/>
          <w:sz w:val="32"/>
          <w:szCs w:val="32"/>
        </w:rPr>
        <w:t>推行落实“三张清单”。编印下发</w:t>
      </w:r>
      <w:r>
        <w:rPr>
          <w:rFonts w:hint="eastAsia" w:ascii="仿宋_GB2312" w:eastAsia="仿宋_GB2312"/>
          <w:bCs/>
          <w:sz w:val="32"/>
          <w:szCs w:val="32"/>
        </w:rPr>
        <w:t>《全区机关单位党组（党委）、机关党委（党总支）、基层党支部抓机关党建责任清单、任务清单》，</w:t>
      </w:r>
      <w:r>
        <w:rPr>
          <w:rFonts w:hint="eastAsia" w:ascii="仿宋_GB2312" w:eastAsia="仿宋_GB2312"/>
          <w:sz w:val="32"/>
          <w:szCs w:val="32"/>
        </w:rPr>
        <w:t>分层分级督促64个</w:t>
      </w:r>
      <w:r>
        <w:rPr>
          <w:rFonts w:ascii="仿宋_GB2312" w:eastAsia="仿宋_GB2312"/>
          <w:sz w:val="32"/>
          <w:szCs w:val="32"/>
        </w:rPr>
        <w:t>机关单位党组（党委）、机关党委（党总支）、</w:t>
      </w:r>
      <w:r>
        <w:rPr>
          <w:rFonts w:hint="eastAsia" w:ascii="仿宋_GB2312" w:eastAsia="仿宋_GB2312"/>
          <w:sz w:val="32"/>
          <w:szCs w:val="32"/>
        </w:rPr>
        <w:t>基层</w:t>
      </w:r>
      <w:r>
        <w:rPr>
          <w:rFonts w:ascii="仿宋_GB2312" w:eastAsia="仿宋_GB2312"/>
          <w:sz w:val="32"/>
          <w:szCs w:val="32"/>
        </w:rPr>
        <w:t>党支部</w:t>
      </w:r>
      <w:r>
        <w:rPr>
          <w:rFonts w:hint="eastAsia" w:ascii="仿宋_GB2312" w:eastAsia="仿宋_GB2312"/>
          <w:sz w:val="32"/>
          <w:szCs w:val="32"/>
        </w:rPr>
        <w:t>抓机关党建责任</w:t>
      </w:r>
      <w:r>
        <w:rPr>
          <w:rFonts w:ascii="仿宋_GB2312" w:eastAsia="仿宋_GB2312"/>
          <w:sz w:val="32"/>
          <w:szCs w:val="32"/>
        </w:rPr>
        <w:t>清单</w:t>
      </w:r>
      <w:r>
        <w:rPr>
          <w:rFonts w:hint="eastAsia" w:ascii="仿宋_GB2312" w:eastAsia="仿宋_GB2312"/>
          <w:sz w:val="32"/>
          <w:szCs w:val="32"/>
        </w:rPr>
        <w:t>、任务清单和问题清单，指导督促党组（党委）全面履行从严治党主体责任。</w:t>
      </w:r>
      <w:r>
        <w:rPr>
          <w:rFonts w:hint="eastAsia" w:ascii="仿宋_GB2312" w:hAnsi="仿宋_GB2312" w:eastAsia="仿宋_GB2312" w:cs="仿宋_GB2312"/>
          <w:bCs/>
          <w:color w:val="000000"/>
          <w:sz w:val="32"/>
          <w:szCs w:val="32"/>
        </w:rPr>
        <w:t>扎实开展了区级部门单位党组（党委）书记抓党建工作述职评议和基层党组织及书记考评“一述三评”工作</w:t>
      </w:r>
      <w:r>
        <w:rPr>
          <w:rFonts w:hint="eastAsia" w:ascii="仿宋_GB2312" w:eastAsia="仿宋_GB2312"/>
          <w:sz w:val="32"/>
          <w:szCs w:val="32"/>
        </w:rPr>
        <w:t>，点对点反馈点评意见、因地制宜研制整改方案并督促限时整改落实。</w:t>
      </w:r>
      <w:r>
        <w:rPr>
          <w:rFonts w:hint="eastAsia" w:ascii="仿宋_GB2312" w:hAnsi="仿宋_GB2312" w:eastAsia="仿宋_GB2312" w:cs="仿宋_GB2312"/>
          <w:b/>
          <w:bCs/>
          <w:sz w:val="32"/>
          <w:szCs w:val="32"/>
        </w:rPr>
        <w:t>三是</w:t>
      </w:r>
      <w:r>
        <w:rPr>
          <w:rFonts w:hint="eastAsia" w:ascii="仿宋_GB2312" w:eastAsia="仿宋_GB2312"/>
          <w:sz w:val="32"/>
          <w:szCs w:val="32"/>
        </w:rPr>
        <w:t>巩固主题教育成果。深入落实《关于巩固深化“不忘初心、牢记使命”主题教育成果的意见》，制定推进落实清单，全面梳理机关党建制度，探索建立健全机关党委、机关纪委运行规则，建立健全党员领导干部双重组织生活提醒督促制度，机关党建工作定期提醒、定期督查办法，推动巩固深化“不忘初心、牢记使命”主题教育成果各项任务落地见效，有效提升机关党建制度化水平。</w:t>
      </w:r>
    </w:p>
    <w:p>
      <w:pPr>
        <w:spacing w:line="576" w:lineRule="exact"/>
        <w:ind w:firstLine="642" w:firstLineChars="200"/>
        <w:rPr>
          <w:rFonts w:ascii="仿宋_GB2312" w:eastAsia="仿宋_GB2312"/>
          <w:sz w:val="32"/>
          <w:szCs w:val="32"/>
        </w:rPr>
      </w:pPr>
      <w:r>
        <w:rPr>
          <w:rFonts w:hint="eastAsia" w:ascii="仿宋_GB2312" w:hAnsi="仿宋_GB2312" w:eastAsia="仿宋_GB2312" w:cs="仿宋_GB2312"/>
          <w:b/>
          <w:bCs/>
          <w:color w:val="000000"/>
          <w:sz w:val="32"/>
          <w:szCs w:val="32"/>
        </w:rPr>
        <w:t>②.夯实基层基础，实施“红色堡垒”工程，提升党建工作质量。</w:t>
      </w:r>
      <w:r>
        <w:rPr>
          <w:rFonts w:hint="eastAsia" w:ascii="仿宋_GB2312" w:hAnsi="仿宋_GB2312" w:eastAsia="仿宋_GB2312" w:cs="仿宋_GB2312"/>
          <w:b/>
          <w:bCs/>
          <w:sz w:val="32"/>
          <w:szCs w:val="32"/>
        </w:rPr>
        <w:t>一是</w:t>
      </w:r>
      <w:r>
        <w:rPr>
          <w:rFonts w:hint="eastAsia" w:ascii="仿宋_GB2312" w:eastAsia="仿宋_GB2312"/>
          <w:sz w:val="32"/>
          <w:szCs w:val="32"/>
        </w:rPr>
        <w:t>年初高点开局起步。精心研制区直机关基层党组织标准化规范化建设《方案》《指标清单》，细化设置8个项目56项具体建设指标。高标准召开机关党建调研会、座谈会、推进会，实现全区64个机关基层党组织动员部署全覆盖。</w:t>
      </w:r>
      <w:r>
        <w:rPr>
          <w:rFonts w:hint="eastAsia" w:ascii="仿宋_GB2312" w:hAnsi="仿宋_GB2312" w:eastAsia="仿宋_GB2312" w:cs="仿宋_GB2312"/>
          <w:b/>
          <w:bCs/>
          <w:sz w:val="32"/>
          <w:szCs w:val="32"/>
        </w:rPr>
        <w:t>二是</w:t>
      </w:r>
      <w:r>
        <w:rPr>
          <w:rFonts w:hint="eastAsia" w:ascii="仿宋_GB2312" w:eastAsia="仿宋_GB2312"/>
          <w:sz w:val="32"/>
          <w:szCs w:val="32"/>
        </w:rPr>
        <w:t>健全建强组织体系。突出应建尽建、设置规范、隶属明晰，新建机关党委12个，党总支部1个，直属党支部9个，联合党支部1个，临时项目党支部2个，调整和撤销党支部2个。14个机关党委(除区市场监督管理局)单独配备专职机关党委书记， 50个直属党支部（党总支）书记均由单位党员主要负责人担任。规范设置党委（党建）办公室19个，统筹调配100余名优秀党员专兼职党务工作，建党99周年表扬先进基层党组织23个、优秀党务工作者26人、优秀共产党员31人，慰问困难党员22人。</w:t>
      </w:r>
      <w:r>
        <w:rPr>
          <w:rFonts w:hint="eastAsia" w:ascii="仿宋_GB2312" w:hAnsi="仿宋_GB2312" w:eastAsia="仿宋_GB2312" w:cs="仿宋_GB2312"/>
          <w:b/>
          <w:bCs/>
          <w:sz w:val="32"/>
          <w:szCs w:val="32"/>
        </w:rPr>
        <w:t>三是</w:t>
      </w:r>
      <w:r>
        <w:rPr>
          <w:rFonts w:hint="eastAsia" w:ascii="仿宋_GB2312" w:eastAsia="仿宋_GB2312"/>
          <w:sz w:val="32"/>
          <w:szCs w:val="32"/>
        </w:rPr>
        <w:t>规范组织生活。创新实施“提示+清单+台账”工作机制，着力事前完单、事中兑单，事后验单三环节，刚性执行“红色星期五”主题党日制度，坚持每月重点工作提示，创新开展重温入党志愿书、鼓励过党员政治生日、党员志愿服务等组织活动，相关动态信息多次被四川机关党建网刊发。</w:t>
      </w:r>
      <w:r>
        <w:rPr>
          <w:rFonts w:hint="eastAsia" w:ascii="仿宋_GB2312" w:eastAsia="仿宋_GB2312"/>
          <w:b/>
          <w:bCs/>
          <w:sz w:val="32"/>
          <w:szCs w:val="32"/>
        </w:rPr>
        <w:t>四是</w:t>
      </w:r>
      <w:r>
        <w:rPr>
          <w:rFonts w:hint="eastAsia" w:ascii="仿宋_GB2312" w:eastAsia="仿宋_GB2312"/>
          <w:sz w:val="32"/>
          <w:szCs w:val="32"/>
        </w:rPr>
        <w:t>严格党员教育管理。全覆盖梳理党员档案、组织关系，</w:t>
      </w:r>
      <w:r>
        <w:rPr>
          <w:rFonts w:hint="eastAsia" w:ascii="仿宋_GB2312" w:hAnsi="仿宋_GB2312" w:eastAsia="仿宋_GB2312" w:cs="仿宋_GB2312"/>
          <w:bCs/>
          <w:color w:val="000000"/>
          <w:sz w:val="32"/>
          <w:szCs w:val="32"/>
        </w:rPr>
        <w:t>严把发展党员“入口”关，</w:t>
      </w:r>
      <w:r>
        <w:rPr>
          <w:rFonts w:hint="eastAsia" w:ascii="仿宋_GB2312" w:eastAsia="仿宋_GB2312"/>
          <w:sz w:val="32"/>
          <w:szCs w:val="32"/>
        </w:rPr>
        <w:t>先后举办入党积极分子、党务干部培训班2期，发展新党员43人，预备党员转正49人，严格按标准审核党费基数核算，按时间节点完成了党费收缴，发动区直机关党员干部支持疫情防控捐款18万余元。</w:t>
      </w:r>
      <w:r>
        <w:rPr>
          <w:rFonts w:hint="eastAsia" w:ascii="仿宋_GB2312" w:hAnsi="仿宋_GB2312" w:eastAsia="仿宋_GB2312" w:cs="仿宋_GB2312"/>
          <w:b/>
          <w:bCs/>
          <w:sz w:val="32"/>
          <w:szCs w:val="32"/>
        </w:rPr>
        <w:t>五是</w:t>
      </w:r>
      <w:r>
        <w:rPr>
          <w:rFonts w:hint="eastAsia" w:ascii="仿宋_GB2312" w:eastAsia="仿宋_GB2312"/>
          <w:sz w:val="32"/>
          <w:szCs w:val="32"/>
        </w:rPr>
        <w:t>创新品牌建设。按照“7+N”标准，指导区级部门单位新建和完善党员活动阵地45个，建设有主题、分版块的机关文化27个，打造了“清风明月、铁军护航”、“栈道检察”、“ 党建引领促发展、文旅融合惠民生”等21个机关党建品牌精品项目，机关面貌焕然一新，凝聚力、战斗力显著增强，有效助推部门单位中心工作。</w:t>
      </w:r>
      <w:r>
        <w:rPr>
          <w:rFonts w:hint="eastAsia" w:ascii="仿宋_GB2312" w:eastAsia="仿宋_GB2312"/>
          <w:b/>
          <w:bCs/>
          <w:sz w:val="32"/>
          <w:szCs w:val="32"/>
        </w:rPr>
        <w:t>六是</w:t>
      </w:r>
      <w:r>
        <w:rPr>
          <w:rFonts w:hint="eastAsia" w:ascii="仿宋_GB2312" w:eastAsia="仿宋_GB2312"/>
          <w:sz w:val="32"/>
          <w:szCs w:val="32"/>
        </w:rPr>
        <w:t>严实验收考核。组建验收考核组，严格按照标准进行验收并综合评定等次，本年度建设机关党建示范党组织19个，先进党组织43个，达标党组织17个，为实现“抓两头带中间，推动后进赶先进、中间争先进、先进更前进”的三年先进党组织全覆盖建设目标夯实了基础。</w:t>
      </w:r>
    </w:p>
    <w:p>
      <w:pPr>
        <w:spacing w:line="576" w:lineRule="exact"/>
        <w:ind w:firstLine="640" w:firstLineChars="200"/>
        <w:rPr>
          <w:rFonts w:ascii="楷体_GB2312" w:hAnsi="仿宋" w:eastAsia="楷体_GB2312"/>
          <w:sz w:val="32"/>
          <w:szCs w:val="32"/>
        </w:rPr>
      </w:pPr>
      <w:r>
        <w:rPr>
          <w:rFonts w:hint="eastAsia" w:ascii="楷体_GB2312" w:hAnsi="仿宋" w:eastAsia="楷体_GB2312"/>
          <w:sz w:val="32"/>
          <w:szCs w:val="32"/>
        </w:rPr>
        <w:t>2.严格落实“四个不摘”要求，巩固驻村帮扶协调工作成效</w:t>
      </w:r>
    </w:p>
    <w:p>
      <w:pPr>
        <w:spacing w:line="576" w:lineRule="exact"/>
        <w:ind w:firstLine="642" w:firstLineChars="200"/>
        <w:rPr>
          <w:rFonts w:ascii="仿宋_GB2312" w:hAnsi="仿宋_GB2312" w:eastAsia="仿宋_GB2312" w:cs="仿宋_GB2312"/>
          <w:spacing w:val="-10"/>
          <w:sz w:val="32"/>
          <w:szCs w:val="32"/>
        </w:rPr>
      </w:pPr>
      <w:r>
        <w:rPr>
          <w:rFonts w:hint="eastAsia" w:ascii="楷体_GB2312" w:hAnsi="楷体_GB2312" w:eastAsia="楷体_GB2312" w:cs="楷体_GB2312"/>
          <w:b/>
          <w:bCs/>
          <w:sz w:val="32"/>
          <w:szCs w:val="32"/>
        </w:rPr>
        <w:t>①.</w:t>
      </w:r>
      <w:r>
        <w:rPr>
          <w:rFonts w:hint="eastAsia" w:ascii="仿宋_GB2312" w:hAnsi="仿宋_GB2312" w:eastAsia="仿宋_GB2312" w:cs="仿宋_GB2312"/>
          <w:b/>
          <w:bCs/>
          <w:sz w:val="32"/>
          <w:szCs w:val="32"/>
        </w:rPr>
        <w:t>精准管理，确保驻村帮扶力量责任不脱劲不松。一是</w:t>
      </w:r>
      <w:r>
        <w:rPr>
          <w:rFonts w:hint="eastAsia" w:ascii="仿宋_GB2312" w:hAnsi="仿宋_GB2312" w:eastAsia="仿宋_GB2312" w:cs="仿宋_GB2312"/>
          <w:sz w:val="32"/>
          <w:szCs w:val="32"/>
        </w:rPr>
        <w:t>稳定力量明确责任。结合村建制改革方案，及时调整更新帮扶力量台账，对村级建制调整改革后的帮扶力量进行了责任明确，杜绝了帮扶力量缺位、空位。印发了《广元市朝天区县级以上领导联系贫困村非贫困村方案》，确保了各帮扶部门责任不脱，力量不减。</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逗硬督查倒逼落实。健全督查机制，坚持常督长督，全年开展3次以实地走访和电话抽查等方式集中对全区原214个村的帮扶力量履职情况进行了暗访督查，对发现的问题在全区脱贫攻坚大会等多渠道进行了通报，明确整改时限已全部“清零”。同时约谈</w:t>
      </w:r>
      <w:r>
        <w:rPr>
          <w:rFonts w:hint="eastAsia" w:ascii="仿宋_GB2312" w:hAnsi="仿宋_GB2312" w:eastAsia="仿宋_GB2312" w:cs="仿宋_GB2312"/>
          <w:color w:val="000000"/>
          <w:sz w:val="32"/>
          <w:szCs w:val="32"/>
        </w:rPr>
        <w:t>了7个单</w:t>
      </w:r>
      <w:r>
        <w:rPr>
          <w:rFonts w:hint="eastAsia" w:ascii="仿宋_GB2312" w:hAnsi="仿宋_GB2312" w:eastAsia="仿宋_GB2312" w:cs="仿宋_GB2312"/>
          <w:sz w:val="32"/>
          <w:szCs w:val="32"/>
        </w:rPr>
        <w:t>位的驻村第一书记和分管领导。</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强化培训提升能力。年初，对今年新任非贫困村驻村工作队员进行了岗前培训暨谈心谈话，同时督促207个帮扶单位对帮扶责任人全覆盖进行了1次培训和谈心谈话。</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②.牵头抓总，确保驻村帮扶各项重点工作落地落实。一是</w:t>
      </w:r>
      <w:r>
        <w:rPr>
          <w:rFonts w:hint="eastAsia" w:ascii="仿宋_GB2312" w:hAnsi="仿宋_GB2312" w:eastAsia="仿宋_GB2312" w:cs="仿宋_GB2312"/>
          <w:sz w:val="32"/>
          <w:szCs w:val="32"/>
        </w:rPr>
        <w:t>抓实问题整改。下发了《关于开展历年来帮扶方面问题整改销号工作“回头看”的紧急通知》，督促各帮扶单位对照问题清单所反映帮扶上的问题类型，举一反三，扎实开展帮扶方面问题整改销号“回头看”工作，确保历年来脱贫攻坚检查中发现的108个问题全面整改销号。</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抓实“以购代扶”活动。印发了《关于进一步在驻村帮扶工作中深化“以购代扶”活动的通知》，督促各帮扶单位主动认领任务，积极开展“以购代扶”活动，全年累计完成532.1万余元，超市下任务228.3万元。</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抓实“大回访”活动。全面落实省脱贫攻坚领导小组办公室《关于印发〈开展驻村帮扶“大回访”工作方案〉的通知》（川脱贫办发〔2020〕63号）要求，共组织206人参加了“大回访”活动，累计回访120个村3014户（其中贫困户2621户），收集问题204个、建议390条。</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③.注重宣传，确保驻村帮扶工作创先争优氛围越浓厚。</w:t>
      </w:r>
      <w:r>
        <w:rPr>
          <w:rFonts w:hint="eastAsia" w:ascii="仿宋_GB2312" w:hAnsi="仿宋_GB2312" w:eastAsia="仿宋_GB2312" w:cs="仿宋_GB2312"/>
          <w:sz w:val="32"/>
          <w:szCs w:val="32"/>
        </w:rPr>
        <w:t>紧紧围绕讲好朝天脱贫攻坚故事，按照市驻村办《关于收集干部驻村帮扶典型材料的通知》要求，及时总结提炼全区脱贫攻坚驻村帮扶好的做法、好的经验、好的成果，报送先进典型事例集体10篇，并向省直机关党建网、学习强国平台和朝天区门户网推送采纳信息15条。积极推荐各级帮扶力量先进典型，全年被省委省政府表彰市区级先进帮扶单位2个，市区级优秀驻村工作队员2人；被市委市政府表彰脱贫攻坚驻村帮扶先进单位14个，优秀驻村工作队员18人。我区被省委省政府表彰为脱贫攻坚“五个一”帮扶先进县区。</w:t>
      </w:r>
    </w:p>
    <w:p>
      <w:pPr>
        <w:spacing w:line="576" w:lineRule="exact"/>
        <w:ind w:firstLine="640" w:firstLineChars="200"/>
        <w:rPr>
          <w:rFonts w:ascii="楷体_GB2312" w:hAnsi="楷体_GB2312" w:eastAsia="楷体_GB2312" w:cs="楷体_GB2312"/>
          <w:sz w:val="32"/>
          <w:szCs w:val="32"/>
        </w:rPr>
      </w:pPr>
      <w:r>
        <w:rPr>
          <w:rFonts w:hint="eastAsia" w:ascii="楷体_GB2312" w:hAnsi="仿宋" w:eastAsia="楷体_GB2312"/>
          <w:sz w:val="32"/>
          <w:szCs w:val="32"/>
        </w:rPr>
        <w:t>3.围绕大局</w:t>
      </w:r>
      <w:r>
        <w:rPr>
          <w:rFonts w:hint="eastAsia" w:ascii="楷体_GB2312" w:hAnsi="楷体_GB2312" w:eastAsia="楷体_GB2312" w:cs="楷体_GB2312"/>
          <w:sz w:val="32"/>
          <w:szCs w:val="32"/>
        </w:rPr>
        <w:t>助力区委中心工作</w:t>
      </w:r>
    </w:p>
    <w:p>
      <w:pPr>
        <w:spacing w:line="576" w:lineRule="exact"/>
        <w:ind w:firstLine="642" w:firstLineChars="200"/>
        <w:rPr>
          <w:rFonts w:ascii="仿宋_GB2312" w:eastAsia="仿宋_GB2312"/>
          <w:sz w:val="32"/>
          <w:szCs w:val="32"/>
        </w:rPr>
      </w:pPr>
      <w:r>
        <w:rPr>
          <w:rFonts w:hint="eastAsia" w:ascii="仿宋_GB2312" w:hAnsi="仿宋_GB2312" w:eastAsia="仿宋_GB2312" w:cs="仿宋_GB2312"/>
          <w:b/>
          <w:bCs/>
          <w:sz w:val="32"/>
          <w:szCs w:val="32"/>
        </w:rPr>
        <w:t>①.新冠肺炎疫情防控工作及复工复产。一是</w:t>
      </w:r>
      <w:r>
        <w:rPr>
          <w:rFonts w:hint="eastAsia" w:ascii="仿宋_GB2312" w:hAnsi="仿宋_GB2312" w:eastAsia="仿宋_GB2312" w:cs="仿宋_GB2312"/>
          <w:sz w:val="32"/>
          <w:szCs w:val="32"/>
        </w:rPr>
        <w:t>加强公职人员疫情防控管理。</w:t>
      </w:r>
      <w:r>
        <w:rPr>
          <w:rFonts w:hint="eastAsia" w:ascii="仿宋_GB2312" w:eastAsia="仿宋_GB2312"/>
          <w:sz w:val="32"/>
          <w:szCs w:val="32"/>
        </w:rPr>
        <w:t>研究出台了《返岗上班防控指导指南》，落实专人负责全区公职人员疫情防控、出入境人员信息统计的各类报表汇总、整理、上报，同时做好了集中公休假、国庆和中秋假行程报告的各类报表汇总、整理、上报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加强机关单位办公场所和中心城区老旧楼栋疫情防控工作。</w:t>
      </w:r>
      <w:r>
        <w:rPr>
          <w:rFonts w:hint="eastAsia" w:ascii="仿宋_GB2312" w:eastAsia="仿宋_GB2312"/>
          <w:sz w:val="32"/>
          <w:szCs w:val="32"/>
        </w:rPr>
        <w:t>采取不定时抽查和夜间暗访等形式，深入各单位办公区域、中心城区老旧楼栋督促指导值班值守等措施落实情况，严格中心城区有效防控措施。</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加强党员突击队志愿服务。</w:t>
      </w:r>
      <w:r>
        <w:rPr>
          <w:rFonts w:hint="eastAsia" w:ascii="仿宋_GB2312" w:eastAsia="仿宋_GB2312"/>
          <w:sz w:val="32"/>
          <w:szCs w:val="32"/>
        </w:rPr>
        <w:t>分口组建了7支党员突击支队，分片负责中心城区疫情防控工作的政策宣传、人员劝导、疫情排查等工作，得到了社会好评。</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组织开展了全区企事业单位复工复产疫情防控措施落实情况的专项检查。</w:t>
      </w:r>
      <w:r>
        <w:rPr>
          <w:rFonts w:hint="eastAsia" w:ascii="仿宋_GB2312" w:eastAsia="仿宋_GB2312"/>
          <w:sz w:val="32"/>
          <w:szCs w:val="32"/>
        </w:rPr>
        <w:t>根据省应对新型冠状病毒肺炎疫情应急指挥部办公室《关开展企事业单位复工复产疫情防控措施落实情况专线检查的通知》，组织各党政机关及企业开展了有序复工复产，确保了疫情防控和经济社会发展两不误。</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督促全区党政机关安装疫情防控门岗系统。</w:t>
      </w:r>
      <w:r>
        <w:rPr>
          <w:rFonts w:hint="eastAsia" w:ascii="仿宋_GB2312" w:eastAsia="仿宋_GB2312"/>
          <w:sz w:val="32"/>
          <w:szCs w:val="32"/>
        </w:rPr>
        <w:t>根据区应对新型冠状病毒肺炎疫情应急指挥部办公室《关于转发&lt;广元市应对新型冠状病毒肺炎疫情应急指挥部办公室关于做好广元健康通等疫情健康信息码分级分类场景应用的通知&gt;的通知》（广朝应对疫情指办发〔2020〕55号）要求，督促</w:t>
      </w:r>
      <w:r>
        <w:rPr>
          <w:rFonts w:hint="eastAsia" w:ascii="仿宋_GB2312" w:eastAsia="仿宋_GB2312"/>
          <w:color w:val="000000"/>
          <w:sz w:val="32"/>
          <w:szCs w:val="32"/>
        </w:rPr>
        <w:t>全区57个党</w:t>
      </w:r>
      <w:r>
        <w:rPr>
          <w:rFonts w:hint="eastAsia" w:ascii="仿宋_GB2312" w:eastAsia="仿宋_GB2312"/>
          <w:sz w:val="32"/>
          <w:szCs w:val="32"/>
        </w:rPr>
        <w:t>政机关全覆盖安装了门岗系统。</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②.党员志愿服务工作。</w:t>
      </w:r>
      <w:r>
        <w:rPr>
          <w:rFonts w:hint="eastAsia" w:ascii="仿宋_GB2312" w:hAnsi="仿宋_GB2312" w:eastAsia="仿宋_GB2312" w:cs="仿宋_GB2312"/>
          <w:sz w:val="32"/>
          <w:szCs w:val="32"/>
        </w:rPr>
        <w:t>年初，分口分系统组建了10支党员志愿服务队，分段分片做好中心城区党员志愿服务。在疫情防控期间做好文明劝导，政策宣传，同时在全国文明城市创建、天府旅游名县验收和森林防灭火、非洲猪瘟防控等期间积极开展志愿服务7批次共计9000余人次。组织区级部门党员干部1000余人次，参加2020年四川花卉（果类）生态旅游节分会场暨第五届四川·朝天核桃文化旅游节开幕式和第二届美丽中国田园博览会2020年“中国农民丰收节”广元庆丰收活动。</w:t>
      </w:r>
    </w:p>
    <w:p>
      <w:pPr>
        <w:spacing w:line="576" w:lineRule="exact"/>
        <w:ind w:firstLine="642" w:firstLineChars="200"/>
        <w:rPr>
          <w:rFonts w:ascii="仿宋_GB2312" w:eastAsia="仿宋_GB2312"/>
          <w:sz w:val="32"/>
          <w:szCs w:val="32"/>
        </w:rPr>
      </w:pPr>
      <w:r>
        <w:rPr>
          <w:rFonts w:hint="eastAsia" w:ascii="仿宋_GB2312" w:hAnsi="仿宋_GB2312" w:eastAsia="仿宋_GB2312" w:cs="仿宋_GB2312"/>
          <w:b/>
          <w:bCs/>
          <w:sz w:val="32"/>
          <w:szCs w:val="32"/>
        </w:rPr>
        <w:t>③.机关党员干部“五进”行动。</w:t>
      </w:r>
      <w:r>
        <w:rPr>
          <w:rFonts w:hint="eastAsia" w:ascii="仿宋_GB2312" w:eastAsia="仿宋_GB2312"/>
          <w:sz w:val="32"/>
          <w:szCs w:val="32"/>
        </w:rPr>
        <w:t>大力统筹推进机关党员干部“五进”行动。按照区委的统一安排部署，在疫情防控和经济社会发展复工复产期间组织了全区3000余人次党员干部深入开展进农村、进企业、进项目、进社区、进学校“五进”行动，在决胜“双重任务”、打赢“两场硬仗”的实践中解难题、抓落实。认真贯彻落实习近平总书记关于“坚决制止餐饮浪费行为”的重要指示精神,制定《关于带头制止餐饮浪费的倡议书》，引领机关党员干部在厉行节约、反对浪费上走在前作表率。</w:t>
      </w:r>
    </w:p>
    <w:p>
      <w:pPr>
        <w:spacing w:line="576" w:lineRule="exact"/>
        <w:ind w:firstLine="640" w:firstLineChars="200"/>
        <w:rPr>
          <w:rFonts w:ascii="楷体_GB2312" w:hAnsi="黑体" w:eastAsia="楷体_GB2312" w:cs="黑体"/>
          <w:sz w:val="32"/>
          <w:szCs w:val="32"/>
        </w:rPr>
      </w:pPr>
      <w:r>
        <w:rPr>
          <w:rFonts w:hint="eastAsia" w:ascii="楷体_GB2312" w:hAnsi="黑体" w:eastAsia="楷体_GB2312" w:cs="黑体"/>
          <w:sz w:val="32"/>
          <w:szCs w:val="32"/>
        </w:rPr>
        <w:t>4.坚持齐抓共管，顺利完成各项工作任务。</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kern w:val="0"/>
          <w:sz w:val="32"/>
          <w:szCs w:val="32"/>
        </w:rPr>
        <w:t>狠抓宣传思想、意识形态工作，始终坚持以上率下，牢牢守住意识形态“主阵地”，审定印发</w:t>
      </w:r>
      <w:r>
        <w:rPr>
          <w:rFonts w:hint="eastAsia" w:ascii="仿宋_GB2312" w:hAnsi="仿宋_GB2312" w:eastAsia="仿宋_GB2312" w:cs="仿宋_GB2312"/>
          <w:bCs/>
          <w:sz w:val="32"/>
          <w:szCs w:val="32"/>
        </w:rPr>
        <w:t>《区直属机关党建事务中心意识形态工作规范化建设清单》</w:t>
      </w:r>
      <w:r>
        <w:rPr>
          <w:rFonts w:hint="eastAsia" w:ascii="仿宋_GB2312" w:hAnsi="仿宋_GB2312" w:eastAsia="仿宋_GB2312" w:cs="仿宋_GB2312"/>
          <w:kern w:val="0"/>
          <w:sz w:val="32"/>
          <w:szCs w:val="32"/>
        </w:rPr>
        <w:t>。严格落实“四个纳入”，主持召开专题中心事务会4次会分析研判，主持召开中心理论学习中心组会议学习研讨10余次。班子成员先后到所联系村和所在党支部宣讲习近平新时代中国特色社会主义思想和党的十九届五中全会精神3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强化廉洁意识，巩固党风廉政建设。</w:t>
      </w:r>
      <w:r>
        <w:rPr>
          <w:rFonts w:hint="eastAsia" w:ascii="仿宋_GB2312" w:hAnsi="仿宋" w:eastAsia="仿宋_GB2312"/>
          <w:sz w:val="32"/>
          <w:szCs w:val="32"/>
        </w:rPr>
        <w:t>严格按照党风廉政建设责任制要求，全面落实了党组（党委）的主体责任和纪委的监督责任，</w:t>
      </w:r>
      <w:r>
        <w:rPr>
          <w:rFonts w:hint="eastAsia" w:ascii="仿宋_GB2312" w:eastAsia="仿宋_GB2312"/>
          <w:sz w:val="32"/>
          <w:szCs w:val="32"/>
        </w:rPr>
        <w:t>营造履职尽责、廉洁自律、风清气正的学习和工作环境</w:t>
      </w:r>
      <w:r>
        <w:rPr>
          <w:rFonts w:hint="eastAsia" w:ascii="仿宋_GB2312" w:hAnsi="仿宋" w:eastAsia="仿宋_GB2312"/>
          <w:sz w:val="32"/>
          <w:szCs w:val="32"/>
        </w:rPr>
        <w:t>。</w:t>
      </w:r>
      <w:r>
        <w:rPr>
          <w:rFonts w:hint="eastAsia" w:ascii="仿宋_GB2312" w:hAnsi="仿宋_GB2312" w:eastAsia="仿宋_GB2312" w:cs="仿宋_GB2312"/>
          <w:sz w:val="32"/>
          <w:szCs w:val="32"/>
        </w:rPr>
        <w:t>中心多次召开</w:t>
      </w:r>
      <w:r>
        <w:rPr>
          <w:rFonts w:hint="eastAsia" w:ascii="仿宋_GB2312" w:hAnsi="仿宋_GB2312" w:eastAsia="仿宋_GB2312" w:cs="仿宋_GB2312"/>
          <w:bCs/>
          <w:sz w:val="32"/>
          <w:szCs w:val="32"/>
        </w:rPr>
        <w:t>纪检监察工作</w:t>
      </w:r>
      <w:r>
        <w:rPr>
          <w:rFonts w:hint="eastAsia" w:ascii="仿宋_GB2312" w:hAnsi="仿宋_GB2312" w:eastAsia="仿宋_GB2312" w:cs="仿宋_GB2312"/>
          <w:sz w:val="32"/>
          <w:szCs w:val="32"/>
        </w:rPr>
        <w:t>、警示教育暨深化“以案促改”工作专题会议进行学习教育，常态化</w:t>
      </w:r>
      <w:r>
        <w:rPr>
          <w:rFonts w:hint="eastAsia" w:ascii="仿宋_GB2312" w:hAnsi="仿宋" w:eastAsia="仿宋_GB2312"/>
          <w:sz w:val="32"/>
          <w:szCs w:val="32"/>
        </w:rPr>
        <w:t>做好</w:t>
      </w:r>
      <w:r>
        <w:rPr>
          <w:rFonts w:ascii="仿宋_GB2312" w:eastAsia="仿宋_GB2312"/>
          <w:sz w:val="32"/>
          <w:szCs w:val="32"/>
        </w:rPr>
        <w:t>警示警醒暨谈心谈</w:t>
      </w:r>
      <w:r>
        <w:rPr>
          <w:rFonts w:hint="eastAsia" w:ascii="仿宋_GB2312" w:eastAsia="仿宋_GB2312"/>
          <w:sz w:val="32"/>
          <w:szCs w:val="32"/>
        </w:rPr>
        <w:t>话工作，进一步规范了党内政治生活，使警示教育常态化</w:t>
      </w:r>
      <w:r>
        <w:rPr>
          <w:rFonts w:hint="eastAsia" w:ascii="仿宋_GB2312" w:hAnsi="仿宋_GB2312" w:eastAsia="仿宋_GB2312" w:cs="仿宋_GB2312"/>
          <w:sz w:val="32"/>
          <w:szCs w:val="32"/>
        </w:rPr>
        <w:t>。编印了</w:t>
      </w:r>
      <w:r>
        <w:rPr>
          <w:rFonts w:hint="eastAsia" w:ascii="仿宋_GB2312" w:hAnsi="仿宋_GB2312" w:eastAsia="仿宋_GB2312" w:cs="仿宋_GB2312"/>
          <w:bCs/>
          <w:sz w:val="32"/>
          <w:szCs w:val="32"/>
        </w:rPr>
        <w:t>《“新四股歪风”问题专项整治工作任务清单》《严重违纪违法案“以案促改”工作任务清单》，建立健全全体干部职工廉政档案。</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依法全面履行办事职能，着力规范依法执政行为。明责压责，编印</w:t>
      </w:r>
      <w:r>
        <w:rPr>
          <w:rFonts w:hint="eastAsia" w:ascii="仿宋_GB2312" w:hAnsi="仿宋_GB2312" w:eastAsia="仿宋_GB2312" w:cs="仿宋_GB2312"/>
          <w:bCs/>
          <w:sz w:val="32"/>
          <w:szCs w:val="32"/>
        </w:rPr>
        <w:t>《区直属机关党建事务中心机关单位班子、党支部责任清单、任务清单》《区直属机关党建事务中心班子抓党建问题清单、机关党支部抓党建问题清单》等责任清单。</w:t>
      </w:r>
      <w:r>
        <w:rPr>
          <w:rFonts w:hint="eastAsia" w:ascii="仿宋_GB2312" w:eastAsia="仿宋_GB2312"/>
          <w:sz w:val="32"/>
          <w:szCs w:val="32"/>
        </w:rPr>
        <w:t>组织学习了《中华人民共和国宪法》、《中华人民共和国监察法》、《中国共产党党内监督条例》等法律法规，</w:t>
      </w:r>
      <w:r>
        <w:rPr>
          <w:rFonts w:hint="eastAsia" w:ascii="仿宋_GB2312" w:hAnsi="仿宋_GB2312" w:eastAsia="仿宋_GB2312" w:cs="仿宋_GB2312"/>
          <w:sz w:val="32"/>
          <w:szCs w:val="32"/>
        </w:rPr>
        <w:t>积极统筹组织干部参加《中国共产党纪律处分条例》</w:t>
      </w:r>
      <w:r>
        <w:rPr>
          <w:rFonts w:hint="eastAsia" w:ascii="仿宋_GB2312" w:hAnsi="仿宋_GB2312" w:eastAsia="仿宋_GB2312" w:cs="仿宋_GB2312"/>
          <w:sz w:val="32"/>
          <w:szCs w:val="32"/>
          <w:lang w:eastAsia="zh-CN"/>
        </w:rPr>
        <w:t>《党委（党组）落实全面从严治党主体责任规定》</w:t>
      </w:r>
      <w:r>
        <w:rPr>
          <w:rFonts w:hint="eastAsia" w:ascii="仿宋_GB2312" w:hAnsi="仿宋_GB2312" w:eastAsia="仿宋_GB2312" w:cs="仿宋_GB2312"/>
          <w:sz w:val="32"/>
          <w:szCs w:val="32"/>
        </w:rPr>
        <w:t>《中国共产党问责条例》《中华人民共和国公职人员政务处分法》《</w:t>
      </w:r>
      <w:r>
        <w:rPr>
          <w:rFonts w:ascii="仿宋_GB2312" w:hAnsi="仿宋_GB2312" w:eastAsia="仿宋_GB2312" w:cs="仿宋_GB2312"/>
          <w:sz w:val="32"/>
          <w:szCs w:val="32"/>
        </w:rPr>
        <w:t>中华人民共和国民法典</w:t>
      </w:r>
      <w:r>
        <w:rPr>
          <w:rFonts w:hint="eastAsia" w:ascii="仿宋_GB2312" w:hAnsi="仿宋_GB2312" w:eastAsia="仿宋_GB2312" w:cs="仿宋_GB2312"/>
          <w:sz w:val="32"/>
          <w:szCs w:val="32"/>
        </w:rPr>
        <w:t>》等相关法律知识考试。</w:t>
      </w:r>
      <w:r>
        <w:rPr>
          <w:rFonts w:hint="eastAsia" w:ascii="仿宋_GB2312" w:eastAsia="仿宋_GB2312"/>
          <w:sz w:val="32"/>
          <w:szCs w:val="32"/>
        </w:rPr>
        <w:t>进一步提升了干部职工的法治意识和法治观念，提高了依法决策、依法行政、依法管理的能力和水平。</w:t>
      </w:r>
      <w:r>
        <w:rPr>
          <w:rFonts w:hint="eastAsia" w:ascii="仿宋_GB2312" w:hAnsi="仿宋_GB2312" w:eastAsia="仿宋_GB2312" w:cs="仿宋_GB2312"/>
          <w:b/>
          <w:bCs/>
          <w:sz w:val="32"/>
          <w:szCs w:val="32"/>
        </w:rPr>
        <w:t>四是</w:t>
      </w:r>
      <w:r>
        <w:rPr>
          <w:rFonts w:hint="eastAsia" w:ascii="仿宋_GB2312" w:eastAsia="仿宋_GB2312"/>
          <w:bCs/>
          <w:sz w:val="32"/>
          <w:szCs w:val="32"/>
        </w:rPr>
        <w:t>做好原白钟村驻村帮扶工作，中心领导定期下村调查研究，找问题、教方法，指导建强村两委班子，帮助解决实际难题。帮扶干部常态走村入户和电话联系，了解情况、宣讲政策、鼓励务工、规划发展，特别是指导疫情防控复工复产事宜，巩固脱贫成果，助力小康生活。我中心</w:t>
      </w:r>
      <w:r>
        <w:rPr>
          <w:rFonts w:hint="eastAsia" w:ascii="仿宋_GB2312" w:hAnsi="仿宋_GB2312" w:eastAsia="仿宋_GB2312" w:cs="仿宋_GB2312"/>
          <w:sz w:val="32"/>
          <w:szCs w:val="32"/>
        </w:rPr>
        <w:t>被市委市政府表彰为驻村帮扶先进单位。</w:t>
      </w:r>
      <w:r>
        <w:rPr>
          <w:rFonts w:hint="eastAsia" w:ascii="仿宋_GB2312" w:eastAsia="仿宋_GB2312"/>
          <w:b/>
          <w:sz w:val="32"/>
          <w:szCs w:val="32"/>
        </w:rPr>
        <w:t>五</w:t>
      </w:r>
      <w:r>
        <w:rPr>
          <w:rFonts w:hint="eastAsia" w:ascii="仿宋_GB2312" w:hAnsi="仿宋_GB2312" w:eastAsia="仿宋_GB2312" w:cs="仿宋_GB2312"/>
          <w:b/>
          <w:color w:val="000000"/>
          <w:sz w:val="32"/>
          <w:szCs w:val="32"/>
        </w:rPr>
        <w:t>是</w:t>
      </w:r>
      <w:r>
        <w:rPr>
          <w:rFonts w:hint="eastAsia" w:ascii="仿宋_GB2312" w:hAnsi="仿宋_GB2312" w:eastAsia="仿宋_GB2312" w:cs="仿宋_GB2312"/>
          <w:color w:val="000000"/>
          <w:sz w:val="32"/>
          <w:szCs w:val="32"/>
        </w:rPr>
        <w:t>完成区委交办的其他工作。</w:t>
      </w:r>
      <w:r>
        <w:rPr>
          <w:rFonts w:hint="eastAsia" w:ascii="仿宋_GB2312" w:hAnsi="仿宋_GB2312" w:eastAsia="仿宋_GB2312" w:cs="仿宋_GB2312"/>
          <w:sz w:val="32"/>
          <w:szCs w:val="32"/>
        </w:rPr>
        <w:t>抽借1名干部参与区委巡查工作，派出1名业务骨干参与凉山州布拖县脱贫攻坚挂牌督战。</w:t>
      </w:r>
      <w:r>
        <w:rPr>
          <w:rFonts w:hint="eastAsia" w:ascii="仿宋_GB2312" w:hAnsi="仿宋_GB2312" w:eastAsia="仿宋_GB2312" w:cs="仿宋_GB2312"/>
          <w:b/>
          <w:bCs/>
          <w:color w:val="000000"/>
          <w:sz w:val="32"/>
          <w:szCs w:val="32"/>
        </w:rPr>
        <w:t>六是</w:t>
      </w:r>
      <w:r>
        <w:rPr>
          <w:rFonts w:hint="eastAsia" w:ascii="仿宋_GB2312" w:hAnsi="仿宋_GB2312" w:eastAsia="仿宋_GB2312" w:cs="仿宋_GB2312"/>
          <w:sz w:val="32"/>
          <w:szCs w:val="32"/>
        </w:rPr>
        <w:t>统筹推进深化改革、应急管理、综治维稳、网络管理、安全生产、防灾减灾、机构编制、档案管理、节能、统计、保密、群团、城乡环境综合治理等工作</w:t>
      </w:r>
      <w:r>
        <w:rPr>
          <w:rFonts w:hint="eastAsia" w:ascii="仿宋_GB2312" w:hAnsi="仿宋_GB2312" w:eastAsia="仿宋_GB2312" w:cs="仿宋_GB2312"/>
          <w:bCs/>
          <w:sz w:val="32"/>
          <w:szCs w:val="32"/>
        </w:rPr>
        <w:t>，按照中央、省、市和区委相关部署，积极按质按量完成区委、区政府交办的各项工作任务</w:t>
      </w:r>
      <w:r>
        <w:rPr>
          <w:rFonts w:hint="eastAsia" w:ascii="仿宋_GB2312" w:hAnsi="仿宋_GB2312" w:eastAsia="仿宋_GB2312" w:cs="仿宋_GB2312"/>
          <w:color w:val="000000"/>
          <w:sz w:val="32"/>
          <w:szCs w:val="32"/>
        </w:rPr>
        <w:t>。</w:t>
      </w:r>
    </w:p>
    <w:bookmarkEnd w:id="14"/>
    <w:bookmarkEnd w:id="15"/>
    <w:p>
      <w:pPr>
        <w:pStyle w:val="3"/>
        <w:ind w:right="440"/>
        <w:jc w:val="right"/>
        <w:rPr>
          <w:rStyle w:val="17"/>
          <w:rFonts w:ascii="黑体" w:hAnsi="黑体" w:eastAsia="黑体"/>
          <w:b w:val="0"/>
          <w:bCs w:val="0"/>
        </w:rPr>
      </w:pPr>
      <w:bookmarkStart w:id="16" w:name="_Toc15396602"/>
      <w:bookmarkStart w:id="17" w:name="_Toc15377204"/>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w:t>
      </w:r>
      <w:r>
        <w:rPr>
          <w:rStyle w:val="17"/>
          <w:rFonts w:hint="eastAsia" w:ascii="黑体" w:hAnsi="黑体" w:eastAsia="黑体"/>
          <w:b w:val="0"/>
          <w:bCs w:val="0"/>
        </w:rPr>
        <w:t>20年度部门决算情况说明</w:t>
      </w:r>
      <w:bookmarkEnd w:id="16"/>
      <w:bookmarkEnd w:id="17"/>
    </w:p>
    <w:p/>
    <w:p>
      <w:pPr>
        <w:pStyle w:val="27"/>
        <w:numPr>
          <w:ilvl w:val="0"/>
          <w:numId w:val="1"/>
        </w:numPr>
        <w:spacing w:line="600" w:lineRule="exact"/>
        <w:ind w:firstLineChars="0"/>
        <w:outlineLvl w:val="1"/>
        <w:rPr>
          <w:rStyle w:val="18"/>
          <w:rFonts w:ascii="黑体" w:hAnsi="黑体" w:eastAsia="黑体"/>
          <w:b w:val="0"/>
        </w:rPr>
      </w:pPr>
      <w:bookmarkStart w:id="18" w:name="_Toc15377205"/>
      <w:bookmarkStart w:id="19"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18"/>
      <w:bookmarkEnd w:id="19"/>
    </w:p>
    <w:p>
      <w:pPr>
        <w:spacing w:line="600" w:lineRule="exact"/>
        <w:ind w:firstLine="640" w:firstLineChars="200"/>
        <w:rPr>
          <w:rFonts w:ascii="仿宋_GB2312" w:eastAsia="仿宋_GB2312"/>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20年度收、支总计125.78万元。与</w:t>
      </w:r>
      <w:r>
        <w:rPr>
          <w:rFonts w:ascii="仿宋" w:hAnsi="仿宋" w:eastAsia="仿宋"/>
          <w:color w:val="000000"/>
          <w:sz w:val="32"/>
          <w:szCs w:val="32"/>
        </w:rPr>
        <w:t>201</w:t>
      </w:r>
      <w:r>
        <w:rPr>
          <w:rFonts w:hint="eastAsia" w:ascii="仿宋" w:hAnsi="仿宋" w:eastAsia="仿宋"/>
          <w:color w:val="000000"/>
          <w:sz w:val="32"/>
          <w:szCs w:val="32"/>
        </w:rPr>
        <w:t>9年相比，收、支总计各增加32.9万元，增加35%。主要变动原因是人员增加，经费支出增加。</w:t>
      </w:r>
    </w:p>
    <w:p>
      <w:pPr>
        <w:pStyle w:val="27"/>
        <w:numPr>
          <w:ilvl w:val="0"/>
          <w:numId w:val="1"/>
        </w:numPr>
        <w:spacing w:line="600" w:lineRule="exact"/>
        <w:ind w:firstLineChars="0"/>
        <w:outlineLvl w:val="1"/>
        <w:rPr>
          <w:rStyle w:val="18"/>
          <w:rFonts w:ascii="黑体" w:hAnsi="黑体" w:eastAsia="黑体"/>
          <w:b w:val="0"/>
        </w:rPr>
      </w:pPr>
      <w:bookmarkStart w:id="20" w:name="_Toc15377206"/>
      <w:bookmarkStart w:id="21"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20"/>
      <w:bookmarkEnd w:id="21"/>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20年本年收入合计125.78万元，其中：一般公共预算财政拨款收入125.78万元，占100</w:t>
      </w:r>
      <w:r>
        <w:rPr>
          <w:rFonts w:ascii="仿宋" w:hAnsi="仿宋" w:eastAsia="仿宋"/>
          <w:color w:val="000000"/>
          <w:sz w:val="32"/>
          <w:szCs w:val="32"/>
        </w:rPr>
        <w:t>%</w:t>
      </w:r>
      <w:r>
        <w:rPr>
          <w:rFonts w:hint="eastAsia" w:ascii="仿宋" w:hAnsi="仿宋" w:eastAsia="仿宋"/>
          <w:color w:val="000000"/>
          <w:sz w:val="32"/>
          <w:szCs w:val="32"/>
        </w:rPr>
        <w:t>；上年财政拨款结转和结余0万元，占0%。</w:t>
      </w:r>
    </w:p>
    <w:p>
      <w:pPr>
        <w:pStyle w:val="27"/>
        <w:numPr>
          <w:ilvl w:val="0"/>
          <w:numId w:val="1"/>
        </w:numPr>
        <w:spacing w:line="600" w:lineRule="exact"/>
        <w:ind w:firstLineChars="0"/>
        <w:outlineLvl w:val="1"/>
        <w:rPr>
          <w:rStyle w:val="18"/>
          <w:rFonts w:ascii="黑体" w:hAnsi="黑体" w:eastAsia="黑体"/>
          <w:b w:val="0"/>
        </w:rPr>
      </w:pPr>
      <w:bookmarkStart w:id="22" w:name="_Toc15377207"/>
      <w:bookmarkStart w:id="23"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22"/>
      <w:bookmarkEnd w:id="23"/>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w:t>
      </w:r>
      <w:r>
        <w:rPr>
          <w:rFonts w:hint="eastAsia" w:ascii="仿宋" w:hAnsi="仿宋" w:eastAsia="仿宋"/>
          <w:color w:val="000000"/>
          <w:sz w:val="32"/>
          <w:szCs w:val="32"/>
        </w:rPr>
        <w:t>20年本年支出合计125.78万元，其中：基本支出103.08万元，占82</w:t>
      </w:r>
      <w:r>
        <w:rPr>
          <w:rFonts w:ascii="仿宋" w:hAnsi="仿宋" w:eastAsia="仿宋"/>
          <w:color w:val="000000"/>
          <w:sz w:val="32"/>
          <w:szCs w:val="32"/>
        </w:rPr>
        <w:t>%</w:t>
      </w:r>
      <w:r>
        <w:rPr>
          <w:rFonts w:hint="eastAsia" w:ascii="仿宋" w:hAnsi="仿宋" w:eastAsia="仿宋"/>
          <w:color w:val="000000"/>
          <w:sz w:val="32"/>
          <w:szCs w:val="32"/>
        </w:rPr>
        <w:t>；项目支出22.7万元，占18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18"/>
          <w:rFonts w:ascii="黑体" w:hAnsi="黑体" w:eastAsia="黑体"/>
          <w:b w:val="0"/>
        </w:rPr>
      </w:pPr>
      <w:bookmarkStart w:id="24" w:name="_Toc15396606"/>
      <w:bookmarkStart w:id="25" w:name="_Toc15377208"/>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20年财政拨款收、支总计125.78万元。与</w:t>
      </w:r>
      <w:r>
        <w:rPr>
          <w:rFonts w:ascii="仿宋" w:hAnsi="仿宋" w:eastAsia="仿宋"/>
          <w:color w:val="000000"/>
          <w:sz w:val="32"/>
          <w:szCs w:val="32"/>
        </w:rPr>
        <w:t>201</w:t>
      </w:r>
      <w:r>
        <w:rPr>
          <w:rFonts w:hint="eastAsia" w:ascii="仿宋" w:hAnsi="仿宋" w:eastAsia="仿宋"/>
          <w:color w:val="000000"/>
          <w:sz w:val="32"/>
          <w:szCs w:val="32"/>
        </w:rPr>
        <w:t>9年相比，财政拨款收、支总计各增加32.9万元，增加35%。主要变动原因是人员，经费支出增加。</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pPr>
        <w:spacing w:line="600" w:lineRule="exact"/>
        <w:ind w:firstLine="640" w:firstLineChars="200"/>
        <w:outlineLvl w:val="1"/>
        <w:rPr>
          <w:rStyle w:val="18"/>
          <w:rFonts w:ascii="黑体" w:hAnsi="黑体" w:eastAsia="黑体"/>
          <w:b w:val="0"/>
        </w:rPr>
      </w:pPr>
      <w:bookmarkStart w:id="26" w:name="_Toc15377209"/>
      <w:bookmarkStart w:id="2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bookmarkEnd w:id="2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20年一般公共预算财政拨款支出125.78万元，占本年支出合计的100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9年相比，一般公共预算财政拨款增加32.9万元，增加35</w:t>
      </w:r>
      <w:r>
        <w:rPr>
          <w:rFonts w:ascii="仿宋" w:hAnsi="仿宋" w:eastAsia="仿宋"/>
          <w:color w:val="000000"/>
          <w:sz w:val="32"/>
          <w:szCs w:val="32"/>
        </w:rPr>
        <w:t>%</w:t>
      </w:r>
      <w:r>
        <w:rPr>
          <w:rFonts w:hint="eastAsia" w:ascii="仿宋" w:hAnsi="仿宋" w:eastAsia="仿宋"/>
          <w:color w:val="000000"/>
          <w:sz w:val="32"/>
          <w:szCs w:val="32"/>
        </w:rPr>
        <w:t>。主要变动原因是和人员增加，经费支出增加。（图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2" w:firstLineChars="200"/>
        <w:outlineLvl w:val="2"/>
        <w:rPr>
          <w:rFonts w:ascii="仿宋" w:hAnsi="仿宋" w:eastAsia="仿宋"/>
          <w:b/>
          <w:color w:val="000000"/>
          <w:sz w:val="32"/>
          <w:szCs w:val="32"/>
        </w:rPr>
      </w:pPr>
      <w:bookmarkStart w:id="29" w:name="_Toc15377211"/>
      <w:r>
        <w:rPr>
          <w:rFonts w:hint="eastAsia" w:ascii="仿宋" w:hAnsi="仿宋" w:eastAsia="仿宋"/>
          <w:b/>
          <w:color w:val="000000"/>
          <w:sz w:val="32"/>
          <w:szCs w:val="32"/>
        </w:rPr>
        <w:t>（二）一般公共预算财政拨款支出决算结构情况</w:t>
      </w:r>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20年一般公共预算财政拨款支出125.78万元，主要用于以下方面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支出106.84万元，占84.9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支出8.59万元，占6.8</w:t>
      </w:r>
      <w:r>
        <w:rPr>
          <w:rFonts w:ascii="仿宋" w:hAnsi="仿宋" w:eastAsia="仿宋"/>
          <w:color w:val="000000"/>
          <w:sz w:val="32"/>
          <w:szCs w:val="32"/>
        </w:rPr>
        <w:t>%</w:t>
      </w:r>
      <w:r>
        <w:rPr>
          <w:rFonts w:hint="eastAsia" w:ascii="仿宋" w:hAnsi="仿宋" w:eastAsia="仿宋"/>
          <w:color w:val="000000"/>
          <w:sz w:val="32"/>
          <w:szCs w:val="32"/>
        </w:rPr>
        <w:t>；医疗卫生支出4.14万元，占3.3</w:t>
      </w:r>
      <w:r>
        <w:rPr>
          <w:rFonts w:ascii="仿宋" w:hAnsi="仿宋" w:eastAsia="仿宋"/>
          <w:color w:val="000000"/>
          <w:sz w:val="32"/>
          <w:szCs w:val="32"/>
        </w:rPr>
        <w:t>%</w:t>
      </w:r>
      <w:r>
        <w:rPr>
          <w:rFonts w:hint="eastAsia" w:ascii="仿宋" w:hAnsi="仿宋" w:eastAsia="仿宋"/>
          <w:color w:val="000000"/>
          <w:sz w:val="32"/>
          <w:szCs w:val="32"/>
        </w:rPr>
        <w:t>；住房保障支出6.21万元，占5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（罗列全部功能分类科目，至类级。）</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0" w:name="_Toc15377212"/>
      <w:r>
        <w:rPr>
          <w:rFonts w:hint="eastAsia" w:ascii="仿宋" w:hAnsi="仿宋" w:eastAsia="仿宋"/>
          <w:b/>
          <w:color w:val="000000"/>
          <w:sz w:val="32"/>
          <w:szCs w:val="32"/>
        </w:rPr>
        <w:t>（三）一般公共预算财政拨款支出决算具体情况</w:t>
      </w:r>
      <w:bookmarkEnd w:id="30"/>
    </w:p>
    <w:p>
      <w:pPr>
        <w:spacing w:line="600" w:lineRule="exact"/>
        <w:ind w:firstLine="642" w:firstLineChars="200"/>
        <w:outlineLvl w:val="2"/>
        <w:rPr>
          <w:rFonts w:ascii="仿宋" w:hAnsi="仿宋" w:eastAsia="仿宋"/>
          <w:color w:val="FF0000"/>
          <w:sz w:val="32"/>
          <w:szCs w:val="32"/>
        </w:rPr>
      </w:pPr>
      <w:bookmarkStart w:id="31" w:name="_Toc15377444"/>
      <w:bookmarkStart w:id="32" w:name="_Toc15378460"/>
      <w:bookmarkStart w:id="33" w:name="_Toc15377213"/>
      <w:r>
        <w:rPr>
          <w:rFonts w:ascii="仿宋" w:hAnsi="仿宋" w:eastAsia="仿宋"/>
          <w:b/>
          <w:color w:val="000000"/>
          <w:sz w:val="32"/>
          <w:szCs w:val="32"/>
        </w:rPr>
        <w:t>20</w:t>
      </w:r>
      <w:r>
        <w:rPr>
          <w:rFonts w:hint="eastAsia" w:ascii="仿宋" w:hAnsi="仿宋" w:eastAsia="仿宋"/>
          <w:b/>
          <w:color w:val="000000"/>
          <w:sz w:val="32"/>
          <w:szCs w:val="32"/>
        </w:rPr>
        <w:t>20年一般公共预算支出决算数为125.78万元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1"/>
      <w:bookmarkEnd w:id="32"/>
      <w:bookmarkEnd w:id="33"/>
    </w:p>
    <w:p>
      <w:pPr>
        <w:numPr>
          <w:ilvl w:val="0"/>
          <w:numId w:val="2"/>
        </w:num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一般公共服务（类）20131（款）01（项）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支出决算为72.59万元，完成预算100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一般公共服务（类）20131（款）02（项）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支出决算为34.25万元，完成预算100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 w:val="0"/>
          <w:color w:val="000000"/>
          <w:sz w:val="32"/>
          <w:szCs w:val="32"/>
        </w:rPr>
      </w:pPr>
      <w:r>
        <w:rPr>
          <w:rStyle w:val="15"/>
          <w:rFonts w:hint="eastAsia" w:ascii="仿宋" w:hAnsi="仿宋" w:eastAsia="仿宋"/>
          <w:bCs/>
          <w:color w:val="000000"/>
          <w:sz w:val="32"/>
          <w:szCs w:val="32"/>
        </w:rPr>
        <w:t>3.住房保障（类）22102（款）01（项）：</w:t>
      </w:r>
      <w:r>
        <w:rPr>
          <w:rStyle w:val="15"/>
          <w:rFonts w:hint="eastAsia" w:ascii="仿宋" w:hAnsi="仿宋" w:eastAsia="仿宋"/>
          <w:b w:val="0"/>
          <w:color w:val="000000"/>
          <w:sz w:val="32"/>
          <w:szCs w:val="32"/>
        </w:rPr>
        <w:t>支出决算数为6.21万元，完成预算100%。</w:t>
      </w:r>
    </w:p>
    <w:p>
      <w:p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4</w:t>
      </w:r>
      <w:r>
        <w:rPr>
          <w:rStyle w:val="15"/>
          <w:rFonts w:ascii="仿宋" w:hAnsi="仿宋" w:eastAsia="仿宋"/>
          <w:bCs/>
          <w:color w:val="000000"/>
          <w:sz w:val="32"/>
          <w:szCs w:val="32"/>
        </w:rPr>
        <w:t>.</w:t>
      </w:r>
      <w:r>
        <w:rPr>
          <w:rStyle w:val="15"/>
          <w:rFonts w:hint="eastAsia" w:ascii="仿宋" w:hAnsi="仿宋" w:eastAsia="仿宋"/>
          <w:color w:val="000000"/>
          <w:sz w:val="32"/>
          <w:szCs w:val="32"/>
        </w:rPr>
        <w:t>机关事业单位养老保险缴费</w:t>
      </w:r>
      <w:r>
        <w:rPr>
          <w:rStyle w:val="15"/>
          <w:rFonts w:hint="eastAsia" w:ascii="仿宋" w:hAnsi="仿宋" w:eastAsia="仿宋"/>
          <w:bCs/>
          <w:color w:val="000000"/>
          <w:sz w:val="32"/>
          <w:szCs w:val="32"/>
        </w:rPr>
        <w:t>（类）20805（款）05（项）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支出决算为8.59万元，完成预算100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医疗卫生与计划生育（类）21011（款）01（项）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支出决算为4.14万元，完成预算100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18"/>
        </w:rPr>
      </w:pPr>
      <w:bookmarkStart w:id="34" w:name="_Toc15377214"/>
      <w:bookmarkStart w:id="3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34"/>
      <w:bookmarkEnd w:id="35"/>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区直属机关党建事务中心</w:t>
      </w: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20年一般公共预算财政拨款基本支出103.08万元，其中：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sz w:val="32"/>
          <w:szCs w:val="32"/>
        </w:rPr>
        <w:t>92.86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sz w:val="32"/>
          <w:szCs w:val="32"/>
        </w:rPr>
        <w:t>10.22万</w:t>
      </w:r>
      <w:r>
        <w:rPr>
          <w:rFonts w:hint="eastAsia" w:ascii="仿宋" w:hAnsi="仿宋" w:eastAsia="仿宋"/>
          <w:color w:val="000000"/>
          <w:sz w:val="32"/>
          <w:szCs w:val="32"/>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spacing w:line="600" w:lineRule="exact"/>
        <w:ind w:firstLine="640" w:firstLineChars="200"/>
        <w:outlineLvl w:val="1"/>
        <w:rPr>
          <w:rStyle w:val="18"/>
          <w:rFonts w:ascii="黑体" w:hAnsi="黑体" w:eastAsia="黑体"/>
          <w:b w:val="0"/>
        </w:rPr>
      </w:pPr>
      <w:bookmarkStart w:id="36" w:name="_Toc15396609"/>
      <w:bookmarkStart w:id="37" w:name="_Toc15377215"/>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color w:val="000000"/>
          <w:sz w:val="32"/>
          <w:szCs w:val="32"/>
        </w:rPr>
      </w:pPr>
      <w:bookmarkStart w:id="38" w:name="_Toc15377216"/>
      <w:r>
        <w:rPr>
          <w:rFonts w:hint="eastAsia" w:ascii="仿宋" w:hAnsi="仿宋" w:eastAsia="仿宋"/>
          <w:b/>
          <w:color w:val="000000"/>
          <w:sz w:val="32"/>
          <w:szCs w:val="32"/>
        </w:rPr>
        <w:t>（一）“三公”经费财政拨款支出决算总体情况说明</w:t>
      </w:r>
      <w:bookmarkEnd w:id="3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20年“三公”经费财政拨款支出决算为0.27万元，完成预算100</w:t>
      </w:r>
      <w:r>
        <w:rPr>
          <w:rFonts w:ascii="仿宋" w:hAnsi="仿宋" w:eastAsia="仿宋"/>
          <w:color w:val="000000"/>
          <w:sz w:val="32"/>
          <w:szCs w:val="32"/>
        </w:rPr>
        <w:t>%</w:t>
      </w:r>
      <w:r>
        <w:rPr>
          <w:rFonts w:hint="eastAsia" w:ascii="仿宋" w:hAnsi="仿宋" w:eastAsia="仿宋"/>
          <w:color w:val="000000"/>
          <w:sz w:val="32"/>
          <w:szCs w:val="32"/>
        </w:rPr>
        <w:t>，决算数等于预算数。主要原因是严格按照“三公”经费执行。</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39" w:name="_Toc15377217"/>
      <w:r>
        <w:rPr>
          <w:rFonts w:hint="eastAsia" w:ascii="仿宋" w:hAnsi="仿宋" w:eastAsia="仿宋"/>
          <w:b/>
          <w:color w:val="000000"/>
          <w:sz w:val="32"/>
          <w:szCs w:val="32"/>
        </w:rPr>
        <w:t>（二）“三公”经费财政拨款支出决算具体情况说明</w:t>
      </w:r>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20年“三公”经费财政拨款支出决算中，因公出国（境）费支出决算0万元；公务用车购置及运行维护费支出决算0万元；公务接待费支出决算0.27万元，占100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因公出国（境）经费支出0</w:t>
      </w:r>
      <w:r>
        <w:rPr>
          <w:rFonts w:hint="eastAsia" w:ascii="仿宋_GB2312" w:eastAsia="仿宋_GB2312"/>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公务用车购置及运行维护费支出0</w:t>
      </w:r>
      <w:r>
        <w:rPr>
          <w:rFonts w:hint="eastAsia" w:ascii="仿宋_GB2312" w:eastAsia="仿宋_GB2312"/>
          <w:color w:val="000000"/>
          <w:sz w:val="32"/>
          <w:szCs w:val="32"/>
        </w:rPr>
        <w:t>万元</w:t>
      </w:r>
      <w:r>
        <w:rPr>
          <w:rFonts w:ascii="仿宋_GB2312" w:eastAsia="仿宋_GB2312"/>
          <w:color w:val="000000"/>
          <w:sz w:val="32"/>
          <w:szCs w:val="32"/>
        </w:rPr>
        <w:t>,</w:t>
      </w:r>
    </w:p>
    <w:p>
      <w:pPr>
        <w:spacing w:line="600" w:lineRule="exact"/>
        <w:ind w:firstLine="642" w:firstLineChars="200"/>
        <w:rPr>
          <w:rFonts w:ascii="仿宋_GB2312" w:eastAsia="仿宋_GB2312"/>
          <w:b/>
          <w:color w:val="000000"/>
          <w:sz w:val="32"/>
          <w:szCs w:val="32"/>
        </w:rPr>
      </w:pPr>
      <w:r>
        <w:rPr>
          <w:rFonts w:hint="eastAsia" w:ascii="仿宋_GB2312" w:eastAsia="仿宋_GB2312"/>
          <w:b/>
          <w:bCs/>
          <w:color w:val="000000"/>
          <w:sz w:val="32"/>
          <w:szCs w:val="32"/>
        </w:rPr>
        <w:t>其中</w:t>
      </w:r>
      <w:r>
        <w:rPr>
          <w:rFonts w:hint="eastAsia" w:ascii="仿宋_GB2312" w:eastAsia="仿宋_GB2312"/>
          <w:color w:val="000000"/>
          <w:sz w:val="32"/>
          <w:szCs w:val="32"/>
        </w:rPr>
        <w:t>：</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pPr>
        <w:spacing w:line="600" w:lineRule="exact"/>
        <w:ind w:firstLine="1615" w:firstLineChars="503"/>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0.27万元，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9年减少0.01万元，下降3.6</w:t>
      </w:r>
      <w:r>
        <w:rPr>
          <w:rFonts w:ascii="仿宋_GB2312" w:eastAsia="仿宋_GB2312"/>
          <w:color w:val="000000"/>
          <w:sz w:val="32"/>
          <w:szCs w:val="32"/>
        </w:rPr>
        <w:t>%</w:t>
      </w:r>
      <w:r>
        <w:rPr>
          <w:rFonts w:hint="eastAsia" w:ascii="仿宋_GB2312" w:eastAsia="仿宋_GB2312"/>
          <w:color w:val="000000"/>
          <w:sz w:val="32"/>
          <w:szCs w:val="32"/>
        </w:rPr>
        <w:t>。主要原因是按照</w:t>
      </w:r>
      <w:r>
        <w:rPr>
          <w:rFonts w:hint="eastAsia" w:ascii="仿宋_GB2312" w:eastAsia="仿宋_GB2312"/>
          <w:color w:val="000000"/>
          <w:sz w:val="32"/>
          <w:szCs w:val="32"/>
          <w:lang w:eastAsia="zh-CN"/>
        </w:rPr>
        <w:t>中央八项规定</w:t>
      </w:r>
      <w:r>
        <w:rPr>
          <w:rFonts w:hint="eastAsia" w:ascii="仿宋_GB2312" w:eastAsia="仿宋_GB2312"/>
          <w:color w:val="000000"/>
          <w:sz w:val="32"/>
          <w:szCs w:val="32"/>
        </w:rPr>
        <w:t>严格控制。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主要用于执行公务、开展业务活动开支的交通费、住宿费、用餐费等。国内公务接待6批次，46人次（不包括陪同人员），共计支出0.27万元。其中：</w:t>
      </w:r>
    </w:p>
    <w:p>
      <w:pPr>
        <w:spacing w:line="600" w:lineRule="exact"/>
        <w:ind w:firstLine="640" w:firstLineChars="200"/>
        <w:rPr>
          <w:rFonts w:ascii="仿宋_GB2312" w:eastAsia="仿宋_GB2312"/>
          <w:bCs/>
          <w:color w:val="000000"/>
          <w:sz w:val="32"/>
          <w:szCs w:val="32"/>
        </w:rPr>
      </w:pPr>
      <w:r>
        <w:rPr>
          <w:rFonts w:hint="eastAsia" w:ascii="仿宋" w:hAnsi="仿宋" w:eastAsia="仿宋"/>
          <w:bCs/>
          <w:color w:val="000000"/>
          <w:sz w:val="32"/>
          <w:szCs w:val="32"/>
        </w:rPr>
        <w:t>外事接待支出0</w:t>
      </w:r>
      <w:r>
        <w:rPr>
          <w:rFonts w:hint="eastAsia" w:ascii="仿宋_GB2312" w:eastAsia="仿宋_GB2312"/>
          <w:bCs/>
          <w:color w:val="000000"/>
          <w:sz w:val="32"/>
          <w:szCs w:val="32"/>
        </w:rPr>
        <w:t>万元，</w:t>
      </w:r>
    </w:p>
    <w:p>
      <w:pPr>
        <w:spacing w:line="600" w:lineRule="exact"/>
        <w:ind w:firstLine="640"/>
        <w:rPr>
          <w:rFonts w:ascii="仿宋_GB2312" w:eastAsia="仿宋_GB2312"/>
          <w:color w:val="000000"/>
          <w:sz w:val="32"/>
          <w:szCs w:val="32"/>
        </w:rPr>
      </w:pPr>
      <w:r>
        <w:rPr>
          <w:rFonts w:hint="eastAsia" w:ascii="仿宋" w:hAnsi="仿宋" w:eastAsia="仿宋"/>
          <w:bCs/>
          <w:color w:val="000000"/>
          <w:sz w:val="32"/>
          <w:szCs w:val="32"/>
        </w:rPr>
        <w:t>其他国内公务接待支出</w:t>
      </w:r>
      <w:r>
        <w:rPr>
          <w:rFonts w:hint="eastAsia" w:ascii="仿宋" w:hAnsi="仿宋" w:eastAsia="仿宋"/>
          <w:color w:val="000000"/>
          <w:sz w:val="32"/>
          <w:szCs w:val="32"/>
        </w:rPr>
        <w:t>0.27</w:t>
      </w:r>
      <w:r>
        <w:rPr>
          <w:rFonts w:hint="eastAsia" w:ascii="仿宋_GB2312" w:eastAsia="仿宋_GB2312"/>
          <w:color w:val="000000"/>
          <w:sz w:val="32"/>
          <w:szCs w:val="32"/>
        </w:rPr>
        <w:t>万元，主要用于公务活动接待。</w:t>
      </w:r>
    </w:p>
    <w:p>
      <w:pPr>
        <w:spacing w:line="600" w:lineRule="exact"/>
        <w:ind w:firstLine="640" w:firstLineChars="200"/>
        <w:outlineLvl w:val="1"/>
        <w:rPr>
          <w:rStyle w:val="18"/>
          <w:rFonts w:ascii="黑体" w:hAnsi="黑体" w:eastAsia="黑体"/>
        </w:rPr>
      </w:pPr>
      <w:bookmarkStart w:id="40" w:name="_Toc15396610"/>
      <w:bookmarkStart w:id="41" w:name="_Toc15377218"/>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20年政府性基金预算拨款支出0万元。</w:t>
      </w:r>
    </w:p>
    <w:p>
      <w:pPr>
        <w:spacing w:line="600" w:lineRule="exact"/>
        <w:ind w:firstLine="640" w:firstLineChars="200"/>
        <w:outlineLvl w:val="1"/>
        <w:rPr>
          <w:rStyle w:val="18"/>
          <w:rFonts w:ascii="黑体" w:hAnsi="黑体" w:eastAsia="黑体"/>
          <w:b w:val="0"/>
        </w:rPr>
      </w:pPr>
      <w:bookmarkStart w:id="42" w:name="_Toc15377219"/>
      <w:bookmarkStart w:id="43" w:name="_Toc15396611"/>
      <w:r>
        <w:rPr>
          <w:rStyle w:val="18"/>
          <w:rFonts w:hint="eastAsia" w:ascii="黑体" w:hAnsi="黑体" w:eastAsia="黑体"/>
          <w:b w:val="0"/>
        </w:rPr>
        <w:t>九、国有资本经营预算支出决算情况说明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20年国有资本经营预算拨款支出0万元。</w:t>
      </w:r>
    </w:p>
    <w:p>
      <w:pPr>
        <w:pStyle w:val="27"/>
        <w:numPr>
          <w:ilvl w:val="0"/>
          <w:numId w:val="3"/>
        </w:numPr>
        <w:spacing w:line="580" w:lineRule="exact"/>
        <w:ind w:firstLineChars="0"/>
        <w:rPr>
          <w:rStyle w:val="18"/>
          <w:rFonts w:ascii="黑体" w:hAnsi="黑体" w:eastAsia="黑体"/>
          <w:b w:val="0"/>
        </w:rPr>
      </w:pPr>
      <w:r>
        <w:rPr>
          <w:rStyle w:val="18"/>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广元市朝天区直属机关党建事务中心在年初预算编制阶段，组织对每个项目开展了预算事前绩效评估，对3个项目编制了绩效目标，预算执行过程中，选取3个项目开展绩效监控，年终执行完毕后，对3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20年部门整体支出开展绩效自评，从评价情况来看为机关党建工作和脱贫攻坚帮扶工作提供了有力保障。</w:t>
      </w:r>
    </w:p>
    <w:p>
      <w:pPr>
        <w:widowControl/>
        <w:spacing w:line="540" w:lineRule="exact"/>
        <w:ind w:firstLine="480"/>
        <w:rPr>
          <w:rFonts w:ascii="仿宋_GB2312" w:hAnsi="微软雅黑" w:eastAsia="仿宋_GB2312" w:cs="宋体"/>
          <w:color w:val="333333"/>
          <w:kern w:val="0"/>
          <w:sz w:val="32"/>
          <w:szCs w:val="32"/>
        </w:rPr>
      </w:pPr>
      <w:r>
        <w:rPr>
          <w:rFonts w:hint="eastAsia" w:ascii="仿宋" w:hAnsi="仿宋" w:eastAsia="仿宋" w:cs="楷体_GB2312"/>
          <w:b/>
          <w:bCs/>
          <w:sz w:val="32"/>
          <w:szCs w:val="32"/>
        </w:rPr>
        <w:t>（二）项目绩效目标完成情况。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1.机关党建工作经费项目绩效目标完成情况综述。项目全年预算数6万元，执行数为6万元，完成预算的100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微软雅黑" w:eastAsia="仿宋_GB2312" w:cs="宋体"/>
          <w:color w:val="333333"/>
          <w:kern w:val="0"/>
          <w:sz w:val="32"/>
          <w:szCs w:val="32"/>
        </w:rPr>
        <w:t>把机关党建各项工作抓实抓细抓到位，推动了机关基层党组织全面过硬全面进步。</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2.脱贫攻坚帮扶工作项目绩效目标完成情况综述。项目全年预算数6万元，执行数为6万元，完成预算的100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微软雅黑" w:eastAsia="仿宋_GB2312" w:cs="宋体"/>
          <w:color w:val="333333"/>
          <w:kern w:val="0"/>
          <w:sz w:val="32"/>
          <w:szCs w:val="32"/>
        </w:rPr>
        <w:t>结合乡镇区划调整及强村并组，及时调整“六个一”帮扶力量，确保帮扶工作不脱帮、不脱钩，全力打赢脱贫攻坚收官战。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疫情防控工作项目绩效目标完成情况综述。项目全年预算数3万元，执行数为3万元，完成预算的100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。通过项目实施，加强了对公职人员疫情防控管理和机关单位办公场所及中心城区老旧楼栋疫情防控工作。</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黑体" w:hAnsi="黑体" w:eastAsia="黑体" w:cs="宋体"/>
                <w:bCs/>
                <w:color w:val="000000"/>
                <w:kern w:val="0"/>
                <w:sz w:val="36"/>
                <w:szCs w:val="36"/>
              </w:rPr>
            </w:pPr>
          </w:p>
          <w:p>
            <w:pPr>
              <w:pStyle w:val="27"/>
              <w:widowControl/>
              <w:ind w:firstLine="0" w:firstLineChars="0"/>
              <w:textAlignment w:val="center"/>
              <w:rPr>
                <w:rFonts w:ascii="黑体" w:hAnsi="黑体" w:eastAsia="黑体" w:cs="宋体"/>
                <w:bCs/>
                <w:color w:val="000000"/>
                <w:kern w:val="0"/>
                <w:sz w:val="36"/>
                <w:szCs w:val="36"/>
              </w:rPr>
            </w:pPr>
          </w:p>
          <w:p>
            <w:pPr>
              <w:pStyle w:val="27"/>
              <w:widowControl/>
              <w:ind w:firstLine="0" w:firstLineChars="0"/>
              <w:jc w:val="center"/>
              <w:textAlignment w:val="center"/>
              <w:rPr>
                <w:rFonts w:ascii="黑体" w:hAnsi="黑体" w:eastAsia="黑体" w:cs="宋体"/>
                <w:bCs/>
                <w:color w:val="000000"/>
                <w:kern w:val="0"/>
                <w:sz w:val="36"/>
                <w:szCs w:val="36"/>
              </w:rPr>
            </w:pPr>
          </w:p>
          <w:p>
            <w:pPr>
              <w:pStyle w:val="27"/>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机关党建工作经费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广元市朝天区直属机关党建事务中心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r>
      <w:tr>
        <w:tblPrEx>
          <w:tblCellMar>
            <w:top w:w="0" w:type="dxa"/>
            <w:left w:w="0" w:type="dxa"/>
            <w:bottom w:w="0" w:type="dxa"/>
            <w:right w:w="0" w:type="dxa"/>
          </w:tblCellMar>
        </w:tblPrEx>
        <w:trPr>
          <w:trHeight w:val="2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r>
      <w:tr>
        <w:tblPrEx>
          <w:tblCellMar>
            <w:top w:w="0" w:type="dxa"/>
            <w:left w:w="0" w:type="dxa"/>
            <w:bottom w:w="0" w:type="dxa"/>
            <w:right w:w="0" w:type="dxa"/>
          </w:tblCellMar>
        </w:tblPrEx>
        <w:trPr>
          <w:trHeight w:val="12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40" w:lineRule="exact"/>
              <w:rPr>
                <w:rFonts w:ascii="仿宋" w:hAnsi="仿宋" w:eastAsia="仿宋" w:cs="宋体"/>
                <w:bCs/>
                <w:color w:val="333333"/>
                <w:kern w:val="0"/>
                <w:sz w:val="24"/>
              </w:rPr>
            </w:pPr>
            <w:r>
              <w:rPr>
                <w:rFonts w:hint="eastAsia" w:ascii="仿宋" w:hAnsi="仿宋" w:eastAsia="仿宋" w:cs="宋体"/>
                <w:bCs/>
                <w:color w:val="333333"/>
                <w:kern w:val="0"/>
                <w:sz w:val="24"/>
              </w:rPr>
              <w:t>1.带头做到“两个维护”，推进模范机关建设。</w:t>
            </w:r>
          </w:p>
          <w:p>
            <w:pPr>
              <w:widowControl/>
              <w:spacing w:line="540" w:lineRule="exact"/>
              <w:rPr>
                <w:rFonts w:ascii="仿宋" w:hAnsi="仿宋" w:eastAsia="仿宋" w:cs="宋体"/>
                <w:bCs/>
                <w:color w:val="333333"/>
                <w:kern w:val="0"/>
                <w:sz w:val="24"/>
              </w:rPr>
            </w:pPr>
            <w:r>
              <w:rPr>
                <w:rFonts w:hint="eastAsia" w:ascii="仿宋" w:hAnsi="仿宋" w:eastAsia="仿宋" w:cs="宋体"/>
                <w:bCs/>
                <w:color w:val="333333"/>
                <w:kern w:val="0"/>
                <w:sz w:val="24"/>
              </w:rPr>
              <w:t>2.以提升组织力为重点，锻造坚强有力的机关基层党组织。</w:t>
            </w:r>
          </w:p>
          <w:p>
            <w:pPr>
              <w:widowControl/>
              <w:spacing w:line="540" w:lineRule="exact"/>
              <w:rPr>
                <w:rFonts w:ascii="仿宋" w:hAnsi="仿宋" w:eastAsia="仿宋" w:cs="宋体"/>
                <w:color w:val="333333"/>
                <w:kern w:val="0"/>
                <w:sz w:val="24"/>
              </w:rPr>
            </w:pPr>
            <w:r>
              <w:rPr>
                <w:rFonts w:hint="eastAsia" w:ascii="仿宋" w:hAnsi="仿宋" w:eastAsia="仿宋" w:cs="宋体"/>
                <w:bCs/>
                <w:color w:val="333333"/>
                <w:kern w:val="0"/>
                <w:sz w:val="24"/>
              </w:rPr>
              <w:t>3.压实全面从严治党责任，加强对机关党建工作的领导。</w:t>
            </w:r>
          </w:p>
          <w:p>
            <w:pPr>
              <w:widowControl/>
              <w:spacing w:line="540" w:lineRule="exact"/>
              <w:rPr>
                <w:rFonts w:ascii="仿宋" w:hAnsi="仿宋" w:eastAsia="仿宋" w:cs="宋体"/>
                <w:color w:val="333333"/>
                <w:kern w:val="0"/>
                <w:sz w:val="24"/>
              </w:rPr>
            </w:pPr>
          </w:p>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ind w:firstLine="480" w:firstLineChars="200"/>
              <w:rPr>
                <w:rFonts w:ascii="仿宋_GB2312" w:hAnsi="仿宋" w:eastAsia="仿宋_GB2312"/>
                <w:sz w:val="24"/>
              </w:rPr>
            </w:pPr>
            <w:r>
              <w:rPr>
                <w:rFonts w:hint="eastAsia" w:ascii="仿宋_GB2312" w:hAnsi="仿宋" w:eastAsia="仿宋_GB2312"/>
                <w:sz w:val="24"/>
              </w:rPr>
              <w:t>一是建成区直机关标准化规范化建设示范单位15个，先进基层党组织37个，区直机关基层党组织凝聚力、战斗力进一步增强，机关党建质量水平明显提升。二是举办入党积极分子和拟发展对象培训班，全年新发展党员43人。三是完成区直机关党组（党委）书记落实全面从严治党抓党建工作的述职和基层党组织书记“一述三评”。</w:t>
            </w:r>
          </w:p>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按文件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r>
      <w:tr>
        <w:tblPrEx>
          <w:tblCellMar>
            <w:top w:w="0" w:type="dxa"/>
            <w:left w:w="0" w:type="dxa"/>
            <w:bottom w:w="0" w:type="dxa"/>
            <w:right w:w="0" w:type="dxa"/>
          </w:tblCellMar>
        </w:tblPrEx>
        <w:trPr>
          <w:trHeight w:val="101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rPr>
            </w:pPr>
            <w:r>
              <w:rPr>
                <w:rFonts w:ascii="仿宋" w:hAnsi="仿宋" w:eastAsia="仿宋" w:cs="仿宋_GB2312"/>
                <w:color w:val="000000"/>
                <w:kern w:val="0"/>
                <w:sz w:val="20"/>
                <w:szCs w:val="20"/>
              </w:rPr>
              <w:t xml:space="preserve">推进简政放权，强化事中 </w:t>
            </w:r>
          </w:p>
          <w:p>
            <w:pPr>
              <w:widowControl/>
              <w:jc w:val="left"/>
              <w:rPr>
                <w:rFonts w:ascii="仿宋" w:hAnsi="仿宋" w:eastAsia="仿宋"/>
              </w:rPr>
            </w:pPr>
            <w:r>
              <w:rPr>
                <w:rFonts w:hint="eastAsia" w:ascii="仿宋" w:hAnsi="仿宋" w:eastAsia="仿宋" w:cs="仿宋_GB2312"/>
                <w:color w:val="000000"/>
                <w:kern w:val="0"/>
                <w:sz w:val="20"/>
                <w:szCs w:val="20"/>
              </w:rPr>
              <w:t xml:space="preserve">事后监管、提升政务服务 </w:t>
            </w:r>
          </w:p>
          <w:p>
            <w:pPr>
              <w:widowControl/>
              <w:jc w:val="left"/>
              <w:rPr>
                <w:rFonts w:ascii="仿宋" w:hAnsi="仿宋" w:eastAsia="仿宋"/>
              </w:rPr>
            </w:pPr>
            <w:r>
              <w:rPr>
                <w:rFonts w:hint="eastAsia" w:ascii="仿宋" w:hAnsi="仿宋" w:eastAsia="仿宋" w:cs="仿宋_GB2312"/>
                <w:color w:val="000000"/>
                <w:kern w:val="0"/>
                <w:sz w:val="20"/>
                <w:szCs w:val="20"/>
              </w:rPr>
              <w:t>水平</w:t>
            </w:r>
          </w:p>
          <w:p>
            <w:pPr>
              <w:widowControl/>
              <w:jc w:val="center"/>
              <w:textAlignment w:val="center"/>
              <w:rPr>
                <w:rFonts w:ascii="仿宋" w:hAnsi="仿宋" w:eastAsia="仿宋"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r>
      <w:tr>
        <w:tblPrEx>
          <w:tblCellMar>
            <w:top w:w="0" w:type="dxa"/>
            <w:left w:w="0" w:type="dxa"/>
            <w:bottom w:w="0" w:type="dxa"/>
            <w:right w:w="0" w:type="dxa"/>
          </w:tblCellMar>
        </w:tblPrEx>
        <w:trPr>
          <w:trHeight w:val="8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党员干部及人民群众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95%</w:t>
            </w:r>
          </w:p>
        </w:tc>
      </w:tr>
    </w:tbl>
    <w:p>
      <w:pPr>
        <w:spacing w:line="240" w:lineRule="exact"/>
        <w:rPr>
          <w:rFonts w:ascii="Calibri" w:hAnsi="Calibri"/>
        </w:rPr>
      </w:pPr>
    </w:p>
    <w:tbl>
      <w:tblPr>
        <w:tblStyle w:val="13"/>
        <w:tblpPr w:leftFromText="180" w:rightFromText="180" w:vertAnchor="text" w:horzAnchor="page" w:tblpXSpec="center" w:tblpY="423"/>
        <w:tblOverlap w:val="never"/>
        <w:tblW w:w="9840" w:type="dxa"/>
        <w:tblInd w:w="0" w:type="dxa"/>
        <w:tblLayout w:type="fixed"/>
        <w:tblCellMar>
          <w:top w:w="0" w:type="dxa"/>
          <w:left w:w="0" w:type="dxa"/>
          <w:bottom w:w="0" w:type="dxa"/>
          <w:right w:w="0" w:type="dxa"/>
        </w:tblCellMar>
      </w:tblPr>
      <w:tblGrid>
        <w:gridCol w:w="385"/>
        <w:gridCol w:w="1350"/>
        <w:gridCol w:w="1013"/>
        <w:gridCol w:w="2363"/>
        <w:gridCol w:w="2365"/>
        <w:gridCol w:w="2364"/>
      </w:tblGrid>
      <w:tr>
        <w:tblPrEx>
          <w:tblCellMar>
            <w:top w:w="0" w:type="dxa"/>
            <w:left w:w="0" w:type="dxa"/>
            <w:bottom w:w="0" w:type="dxa"/>
            <w:right w:w="0" w:type="dxa"/>
          </w:tblCellMar>
        </w:tblPrEx>
        <w:trPr>
          <w:trHeight w:val="90" w:hRule="atLeast"/>
        </w:trPr>
        <w:tc>
          <w:tcPr>
            <w:tcW w:w="9840" w:type="dxa"/>
            <w:gridSpan w:val="6"/>
            <w:tcMar>
              <w:top w:w="15" w:type="dxa"/>
              <w:left w:w="15" w:type="dxa"/>
              <w:bottom w:w="0" w:type="dxa"/>
              <w:right w:w="15" w:type="dxa"/>
            </w:tcMar>
            <w:vAlign w:val="center"/>
          </w:tcPr>
          <w:p>
            <w:pPr>
              <w:pStyle w:val="27"/>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90" w:hRule="atLeast"/>
        </w:trPr>
        <w:tc>
          <w:tcPr>
            <w:tcW w:w="27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0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脱贫攻坚工作经费</w:t>
            </w:r>
          </w:p>
        </w:tc>
      </w:tr>
      <w:tr>
        <w:tblPrEx>
          <w:tblCellMar>
            <w:top w:w="0" w:type="dxa"/>
            <w:left w:w="0" w:type="dxa"/>
            <w:bottom w:w="0" w:type="dxa"/>
            <w:right w:w="0" w:type="dxa"/>
          </w:tblCellMar>
        </w:tblPrEx>
        <w:trPr>
          <w:trHeight w:val="90" w:hRule="atLeast"/>
        </w:trPr>
        <w:tc>
          <w:tcPr>
            <w:tcW w:w="27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0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广元市朝天区直属机关党建事务中心</w:t>
            </w:r>
          </w:p>
        </w:tc>
      </w:tr>
      <w:tr>
        <w:tblPrEx>
          <w:tblCellMar>
            <w:top w:w="0" w:type="dxa"/>
            <w:left w:w="0" w:type="dxa"/>
            <w:bottom w:w="0" w:type="dxa"/>
            <w:right w:w="0" w:type="dxa"/>
          </w:tblCellMar>
        </w:tblPrEx>
        <w:trPr>
          <w:trHeight w:val="90" w:hRule="atLeast"/>
        </w:trPr>
        <w:tc>
          <w:tcPr>
            <w:tcW w:w="3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3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90" w:hRule="atLeast"/>
        </w:trPr>
        <w:tc>
          <w:tcPr>
            <w:tcW w:w="3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2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472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333333"/>
                <w:kern w:val="0"/>
                <w:sz w:val="24"/>
              </w:rPr>
              <w:t>结合乡镇区划调整及强村并组，及时调整“六个一”帮扶力量，确保帮扶工作不脱帮、不脱钩。持续开展干部驻村帮扶工作问题整改清理行动，常态开展暗访督查、以购代扶等工作，全面压实驻村帮扶责任，助力打赢脱贫攻坚收官战。</w:t>
            </w:r>
          </w:p>
        </w:tc>
        <w:tc>
          <w:tcPr>
            <w:tcW w:w="47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ind w:firstLine="482"/>
              <w:rPr>
                <w:rFonts w:ascii="仿宋" w:hAnsi="仿宋" w:eastAsia="仿宋" w:cs="宋体"/>
                <w:color w:val="333333"/>
                <w:kern w:val="0"/>
                <w:sz w:val="24"/>
              </w:rPr>
            </w:pPr>
            <w:r>
              <w:rPr>
                <w:rFonts w:hint="eastAsia" w:ascii="仿宋" w:hAnsi="仿宋" w:eastAsia="仿宋" w:cs="宋体"/>
                <w:color w:val="333333"/>
                <w:kern w:val="0"/>
                <w:sz w:val="24"/>
              </w:rPr>
              <w:t>结合乡镇区划调整及强村并组，及时调整“六个一”帮扶力量，确保帮扶工作不脱帮、不脱钩。持续开展干部驻村帮扶工作问题整改清理行动，常态开展暗访督查、以购代扶等工作，全面压实驻村帮扶责任，助力打赢脱贫攻坚收官战。年内举办1期非贫困村新任驻村工作队员培训班1期。</w:t>
            </w:r>
          </w:p>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90" w:hRule="atLeast"/>
        </w:trPr>
        <w:tc>
          <w:tcPr>
            <w:tcW w:w="3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按文件</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rPr>
            </w:pPr>
            <w:r>
              <w:rPr>
                <w:rFonts w:ascii="仿宋" w:hAnsi="仿宋" w:eastAsia="仿宋" w:cs="仿宋_GB2312"/>
                <w:color w:val="000000"/>
                <w:kern w:val="0"/>
                <w:sz w:val="20"/>
                <w:szCs w:val="20"/>
              </w:rPr>
              <w:t xml:space="preserve">推进简政放权，强化事中 </w:t>
            </w:r>
          </w:p>
          <w:p>
            <w:pPr>
              <w:widowControl/>
              <w:jc w:val="left"/>
              <w:rPr>
                <w:rFonts w:ascii="仿宋" w:hAnsi="仿宋" w:eastAsia="仿宋"/>
              </w:rPr>
            </w:pPr>
            <w:r>
              <w:rPr>
                <w:rFonts w:hint="eastAsia" w:ascii="仿宋" w:hAnsi="仿宋" w:eastAsia="仿宋" w:cs="仿宋_GB2312"/>
                <w:color w:val="000000"/>
                <w:kern w:val="0"/>
                <w:sz w:val="20"/>
                <w:szCs w:val="20"/>
              </w:rPr>
              <w:t xml:space="preserve">事后监管、提升政务服务 </w:t>
            </w:r>
          </w:p>
          <w:p>
            <w:pPr>
              <w:widowControl/>
              <w:jc w:val="left"/>
              <w:rPr>
                <w:rFonts w:ascii="仿宋" w:hAnsi="仿宋" w:eastAsia="仿宋"/>
              </w:rPr>
            </w:pPr>
            <w:r>
              <w:rPr>
                <w:rFonts w:hint="eastAsia" w:ascii="仿宋" w:hAnsi="仿宋" w:eastAsia="仿宋" w:cs="仿宋_GB2312"/>
                <w:color w:val="000000"/>
                <w:kern w:val="0"/>
                <w:sz w:val="20"/>
                <w:szCs w:val="20"/>
              </w:rPr>
              <w:t>水平</w:t>
            </w:r>
          </w:p>
          <w:p>
            <w:pPr>
              <w:widowControl/>
              <w:jc w:val="center"/>
              <w:textAlignment w:val="center"/>
              <w:rPr>
                <w:rFonts w:ascii="仿宋" w:hAnsi="仿宋" w:eastAsia="仿宋" w:cs="宋体"/>
                <w:color w:val="000000"/>
                <w:sz w:val="24"/>
              </w:rPr>
            </w:pP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服务对象满意度指标</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党员干部及人民群众</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90%</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95%</w:t>
            </w:r>
          </w:p>
        </w:tc>
      </w:tr>
      <w:tr>
        <w:tblPrEx>
          <w:tblCellMar>
            <w:top w:w="0" w:type="dxa"/>
            <w:left w:w="0" w:type="dxa"/>
            <w:bottom w:w="0" w:type="dxa"/>
            <w:right w:w="0" w:type="dxa"/>
          </w:tblCellMar>
        </w:tblPrEx>
        <w:trPr>
          <w:trHeight w:val="90" w:hRule="atLeast"/>
        </w:trPr>
        <w:tc>
          <w:tcPr>
            <w:tcW w:w="9840" w:type="dxa"/>
            <w:gridSpan w:val="6"/>
            <w:tcMar>
              <w:top w:w="15" w:type="dxa"/>
              <w:left w:w="15" w:type="dxa"/>
              <w:bottom w:w="0" w:type="dxa"/>
              <w:right w:w="15" w:type="dxa"/>
            </w:tcMar>
            <w:vAlign w:val="center"/>
          </w:tcPr>
          <w:p>
            <w:pPr>
              <w:pStyle w:val="27"/>
              <w:widowControl/>
              <w:ind w:firstLine="0" w:firstLineChars="0"/>
              <w:textAlignment w:val="center"/>
              <w:rPr>
                <w:rFonts w:ascii="宋体" w:cs="宋体"/>
                <w:color w:val="000000"/>
                <w:sz w:val="36"/>
                <w:szCs w:val="36"/>
              </w:rPr>
            </w:pPr>
          </w:p>
        </w:tc>
      </w:tr>
    </w:tbl>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疫情防控工作经费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广元市朝天区直属机关党建事务中心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r>
      <w:tr>
        <w:tblPrEx>
          <w:tblCellMar>
            <w:top w:w="0" w:type="dxa"/>
            <w:left w:w="0" w:type="dxa"/>
            <w:bottom w:w="0" w:type="dxa"/>
            <w:right w:w="0" w:type="dxa"/>
          </w:tblCellMar>
        </w:tblPrEx>
        <w:trPr>
          <w:trHeight w:val="2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r>
      <w:tr>
        <w:tblPrEx>
          <w:tblCellMar>
            <w:top w:w="0" w:type="dxa"/>
            <w:left w:w="0" w:type="dxa"/>
            <w:bottom w:w="0" w:type="dxa"/>
            <w:right w:w="0" w:type="dxa"/>
          </w:tblCellMar>
        </w:tblPrEx>
        <w:trPr>
          <w:trHeight w:val="12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ind w:firstLine="480" w:firstLineChars="200"/>
              <w:rPr>
                <w:rFonts w:ascii="仿宋_GB2312" w:hAnsi="仿宋_GB2312" w:eastAsia="仿宋_GB2312" w:cs="仿宋_GB2312"/>
                <w:sz w:val="24"/>
              </w:rPr>
            </w:pPr>
            <w:r>
              <w:rPr>
                <w:rFonts w:hint="eastAsia" w:ascii="仿宋" w:hAnsi="仿宋" w:eastAsia="仿宋" w:cs="宋体"/>
                <w:bCs/>
                <w:color w:val="333333"/>
                <w:kern w:val="0"/>
                <w:sz w:val="24"/>
              </w:rPr>
              <w:t>1.</w:t>
            </w:r>
            <w:r>
              <w:rPr>
                <w:rFonts w:hint="eastAsia" w:ascii="仿宋_GB2312" w:hAnsi="仿宋_GB2312" w:eastAsia="仿宋_GB2312" w:cs="仿宋_GB2312"/>
                <w:sz w:val="24"/>
              </w:rPr>
              <w:t>加强对公职人员疫情防控管理。</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2.机关单位办公场所及中心城区老旧楼栋疫情防控工作。</w:t>
            </w:r>
          </w:p>
          <w:p>
            <w:pPr>
              <w:widowControl/>
              <w:spacing w:line="540" w:lineRule="exact"/>
              <w:rPr>
                <w:rFonts w:ascii="仿宋" w:hAnsi="仿宋" w:eastAsia="仿宋" w:cs="宋体"/>
                <w:color w:val="333333"/>
                <w:kern w:val="0"/>
                <w:sz w:val="24"/>
              </w:rPr>
            </w:pPr>
          </w:p>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cs="宋体"/>
                <w:color w:val="000000"/>
                <w:sz w:val="24"/>
              </w:rPr>
            </w:pPr>
            <w:r>
              <w:rPr>
                <w:rFonts w:hint="eastAsia" w:ascii="仿宋_GB2312" w:hAnsi="仿宋_GB2312" w:eastAsia="仿宋_GB2312" w:cs="仿宋_GB2312"/>
                <w:b/>
                <w:bCs/>
                <w:sz w:val="24"/>
              </w:rPr>
              <w:t>一是</w:t>
            </w:r>
            <w:r>
              <w:rPr>
                <w:rFonts w:hint="eastAsia" w:ascii="仿宋_GB2312" w:hAnsi="仿宋_GB2312" w:eastAsia="仿宋_GB2312" w:cs="仿宋_GB2312"/>
                <w:sz w:val="24"/>
              </w:rPr>
              <w:t>加强公职人员疫情防控管理</w:t>
            </w:r>
            <w:r>
              <w:rPr>
                <w:rFonts w:hint="eastAsia" w:ascii="仿宋_GB2312" w:hAnsi="仿宋_GB2312" w:eastAsia="仿宋_GB2312" w:cs="仿宋_GB2312"/>
                <w:sz w:val="32"/>
                <w:szCs w:val="32"/>
              </w:rPr>
              <w:t>。</w:t>
            </w:r>
            <w:r>
              <w:rPr>
                <w:rFonts w:hint="eastAsia" w:ascii="仿宋_GB2312" w:hAnsi="仿宋_GB2312" w:eastAsia="仿宋_GB2312" w:cs="仿宋_GB2312"/>
                <w:b/>
                <w:bCs/>
                <w:sz w:val="24"/>
              </w:rPr>
              <w:t>二是</w:t>
            </w:r>
            <w:r>
              <w:rPr>
                <w:rFonts w:hint="eastAsia" w:ascii="仿宋_GB2312" w:hAnsi="仿宋_GB2312" w:eastAsia="仿宋_GB2312" w:cs="仿宋_GB2312"/>
                <w:sz w:val="24"/>
              </w:rPr>
              <w:t>加强机关单位办公场所和中心城区老旧楼栋疫情防控工作。</w:t>
            </w:r>
            <w:r>
              <w:rPr>
                <w:rFonts w:hint="eastAsia" w:ascii="仿宋_GB2312" w:hAnsi="仿宋_GB2312" w:eastAsia="仿宋_GB2312" w:cs="仿宋_GB2312"/>
                <w:b/>
                <w:bCs/>
                <w:sz w:val="24"/>
              </w:rPr>
              <w:t>三是</w:t>
            </w:r>
            <w:r>
              <w:rPr>
                <w:rFonts w:hint="eastAsia" w:ascii="仿宋_GB2312" w:hAnsi="仿宋_GB2312" w:eastAsia="仿宋_GB2312" w:cs="仿宋_GB2312"/>
                <w:sz w:val="24"/>
              </w:rPr>
              <w:t>加强党员突击队志愿服务。</w:t>
            </w:r>
            <w:r>
              <w:rPr>
                <w:rFonts w:hint="eastAsia" w:ascii="仿宋_GB2312" w:hAnsi="仿宋_GB2312" w:eastAsia="仿宋_GB2312" w:cs="仿宋_GB2312"/>
                <w:b/>
                <w:bCs/>
                <w:sz w:val="24"/>
              </w:rPr>
              <w:t>四是</w:t>
            </w:r>
            <w:r>
              <w:rPr>
                <w:rFonts w:hint="eastAsia" w:ascii="仿宋_GB2312" w:hAnsi="仿宋_GB2312" w:eastAsia="仿宋_GB2312" w:cs="仿宋_GB2312"/>
                <w:sz w:val="24"/>
              </w:rPr>
              <w:t>组织开展了全区企事业单位复工复产疫情防控措施落实情况的专项检查。</w:t>
            </w:r>
            <w:r>
              <w:rPr>
                <w:rFonts w:hint="eastAsia" w:ascii="仿宋_GB2312" w:hAnsi="仿宋_GB2312" w:eastAsia="仿宋_GB2312" w:cs="仿宋_GB2312"/>
                <w:b/>
                <w:bCs/>
                <w:sz w:val="24"/>
              </w:rPr>
              <w:t>五是</w:t>
            </w:r>
            <w:r>
              <w:rPr>
                <w:rFonts w:hint="eastAsia" w:ascii="仿宋_GB2312" w:hAnsi="仿宋_GB2312" w:eastAsia="仿宋_GB2312" w:cs="仿宋_GB2312"/>
                <w:sz w:val="24"/>
              </w:rPr>
              <w:t>督促全区党政机关安装疫情防控门岗系统。</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按文件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r>
      <w:tr>
        <w:tblPrEx>
          <w:tblCellMar>
            <w:top w:w="0" w:type="dxa"/>
            <w:left w:w="0" w:type="dxa"/>
            <w:bottom w:w="0" w:type="dxa"/>
            <w:right w:w="0" w:type="dxa"/>
          </w:tblCellMar>
        </w:tblPrEx>
        <w:trPr>
          <w:trHeight w:val="101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rPr>
            </w:pPr>
            <w:r>
              <w:rPr>
                <w:rFonts w:ascii="仿宋" w:hAnsi="仿宋" w:eastAsia="仿宋" w:cs="仿宋_GB2312"/>
                <w:color w:val="000000"/>
                <w:kern w:val="0"/>
                <w:sz w:val="20"/>
                <w:szCs w:val="20"/>
              </w:rPr>
              <w:t xml:space="preserve">推进简政放权，强化事中 </w:t>
            </w:r>
          </w:p>
          <w:p>
            <w:pPr>
              <w:widowControl/>
              <w:jc w:val="left"/>
              <w:rPr>
                <w:rFonts w:ascii="仿宋" w:hAnsi="仿宋" w:eastAsia="仿宋"/>
              </w:rPr>
            </w:pPr>
            <w:r>
              <w:rPr>
                <w:rFonts w:hint="eastAsia" w:ascii="仿宋" w:hAnsi="仿宋" w:eastAsia="仿宋" w:cs="仿宋_GB2312"/>
                <w:color w:val="000000"/>
                <w:kern w:val="0"/>
                <w:sz w:val="20"/>
                <w:szCs w:val="20"/>
              </w:rPr>
              <w:t xml:space="preserve">事后监管、提升政务服务 </w:t>
            </w:r>
          </w:p>
          <w:p>
            <w:pPr>
              <w:widowControl/>
              <w:jc w:val="left"/>
              <w:rPr>
                <w:rFonts w:ascii="仿宋" w:hAnsi="仿宋" w:eastAsia="仿宋"/>
              </w:rPr>
            </w:pPr>
            <w:r>
              <w:rPr>
                <w:rFonts w:hint="eastAsia" w:ascii="仿宋" w:hAnsi="仿宋" w:eastAsia="仿宋" w:cs="仿宋_GB2312"/>
                <w:color w:val="000000"/>
                <w:kern w:val="0"/>
                <w:sz w:val="20"/>
                <w:szCs w:val="20"/>
              </w:rPr>
              <w:t>水平</w:t>
            </w:r>
          </w:p>
          <w:p>
            <w:pPr>
              <w:widowControl/>
              <w:jc w:val="center"/>
              <w:textAlignment w:val="center"/>
              <w:rPr>
                <w:rFonts w:ascii="仿宋" w:hAnsi="仿宋" w:eastAsia="仿宋"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r>
      <w:tr>
        <w:tblPrEx>
          <w:tblCellMar>
            <w:top w:w="0" w:type="dxa"/>
            <w:left w:w="0" w:type="dxa"/>
            <w:bottom w:w="0" w:type="dxa"/>
            <w:right w:w="0" w:type="dxa"/>
          </w:tblCellMar>
        </w:tblPrEx>
        <w:trPr>
          <w:trHeight w:val="8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党员干部及人民群众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95%</w:t>
            </w:r>
          </w:p>
        </w:tc>
      </w:tr>
    </w:tbl>
    <w:p>
      <w:pPr>
        <w:spacing w:line="580" w:lineRule="exact"/>
        <w:ind w:firstLine="642" w:firstLineChars="200"/>
        <w:rPr>
          <w:rFonts w:ascii="仿宋" w:hAnsi="仿宋" w:eastAsia="仿宋" w:cs="楷体_GB2312"/>
          <w:b/>
          <w:bCs/>
          <w:sz w:val="32"/>
          <w:szCs w:val="32"/>
        </w:rPr>
      </w:pPr>
    </w:p>
    <w:p>
      <w:pPr>
        <w:spacing w:line="580" w:lineRule="exact"/>
        <w:ind w:firstLine="642" w:firstLineChars="200"/>
        <w:rPr>
          <w:rFonts w:ascii="仿宋" w:hAnsi="仿宋" w:eastAsia="仿宋" w:cs="楷体_GB2312"/>
          <w:b/>
          <w:bCs/>
          <w:sz w:val="32"/>
          <w:szCs w:val="32"/>
        </w:rPr>
      </w:pPr>
    </w:p>
    <w:p>
      <w:pPr>
        <w:spacing w:line="580" w:lineRule="exact"/>
        <w:ind w:firstLine="642" w:firstLineChars="200"/>
        <w:rPr>
          <w:rFonts w:ascii="仿宋" w:hAnsi="仿宋" w:eastAsia="仿宋" w:cs="楷体_GB2312"/>
          <w:b/>
          <w:bCs/>
          <w:sz w:val="32"/>
          <w:szCs w:val="32"/>
        </w:rPr>
      </w:pPr>
    </w:p>
    <w:p>
      <w:pPr>
        <w:spacing w:line="580" w:lineRule="exact"/>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20年部门整体支出绩效评价情况开展自评，《广元市朝天区直属机关党建事务中心</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8"/>
          <w:rFonts w:ascii="黑体" w:hAnsi="黑体" w:eastAsia="黑体"/>
        </w:rPr>
      </w:pPr>
      <w:bookmarkStart w:id="44" w:name="_Toc15396612"/>
      <w:bookmarkStart w:id="45" w:name="_Toc15377221"/>
      <w:r>
        <w:rPr>
          <w:rFonts w:hint="eastAsia" w:ascii="黑体" w:hAnsi="黑体" w:eastAsia="黑体"/>
          <w:color w:val="000000"/>
          <w:sz w:val="32"/>
          <w:szCs w:val="32"/>
        </w:rPr>
        <w:t>十</w:t>
      </w:r>
      <w:r>
        <w:rPr>
          <w:rStyle w:val="18"/>
          <w:rFonts w:hint="eastAsia" w:ascii="黑体" w:hAnsi="黑体" w:eastAsia="黑体"/>
        </w:rPr>
        <w:t>一、</w:t>
      </w:r>
      <w:r>
        <w:rPr>
          <w:rStyle w:val="18"/>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color w:val="000000"/>
          <w:sz w:val="32"/>
          <w:szCs w:val="32"/>
        </w:rPr>
      </w:pPr>
      <w:bookmarkStart w:id="46" w:name="_Toc15377222"/>
      <w:r>
        <w:rPr>
          <w:rFonts w:hint="eastAsia" w:ascii="仿宋" w:hAnsi="仿宋" w:eastAsia="仿宋"/>
          <w:b/>
          <w:color w:val="000000"/>
          <w:sz w:val="32"/>
          <w:szCs w:val="32"/>
        </w:rPr>
        <w:t>（一）机关运行经费支出情况</w:t>
      </w:r>
      <w:bookmarkEnd w:id="46"/>
    </w:p>
    <w:p>
      <w:pPr>
        <w:spacing w:line="580" w:lineRule="exact"/>
        <w:ind w:firstLine="640" w:firstLineChars="200"/>
        <w:rPr>
          <w:rFonts w:ascii="仿宋" w:hAnsi="仿宋" w:eastAsia="仿宋"/>
          <w:sz w:val="32"/>
          <w:szCs w:val="32"/>
        </w:rPr>
      </w:pPr>
      <w:r>
        <w:rPr>
          <w:rFonts w:ascii="仿宋_GB2312" w:eastAsia="仿宋_GB2312"/>
          <w:sz w:val="32"/>
          <w:szCs w:val="32"/>
        </w:rPr>
        <w:t>20</w:t>
      </w:r>
      <w:r>
        <w:rPr>
          <w:rFonts w:hint="eastAsia" w:ascii="仿宋_GB2312" w:eastAsia="仿宋_GB2312"/>
          <w:sz w:val="32"/>
          <w:szCs w:val="32"/>
        </w:rPr>
        <w:t>20年，广元市朝天区直属机关党建事务中心机关运行经费支出72.59万元，比</w:t>
      </w:r>
      <w:r>
        <w:rPr>
          <w:rFonts w:ascii="仿宋_GB2312" w:eastAsia="仿宋_GB2312"/>
          <w:sz w:val="32"/>
          <w:szCs w:val="32"/>
        </w:rPr>
        <w:t>20</w:t>
      </w:r>
      <w:r>
        <w:rPr>
          <w:rFonts w:hint="eastAsia" w:ascii="仿宋_GB2312" w:eastAsia="仿宋_GB2312"/>
          <w:sz w:val="32"/>
          <w:szCs w:val="32"/>
        </w:rPr>
        <w:t>19年减少2.73万元，减少3.6</w:t>
      </w:r>
      <w:r>
        <w:rPr>
          <w:rFonts w:ascii="仿宋_GB2312" w:eastAsia="仿宋_GB2312"/>
          <w:sz w:val="32"/>
          <w:szCs w:val="32"/>
        </w:rPr>
        <w:t>%</w:t>
      </w:r>
      <w:r>
        <w:rPr>
          <w:rFonts w:hint="eastAsia" w:ascii="仿宋_GB2312" w:eastAsia="仿宋_GB2312"/>
          <w:sz w:val="32"/>
          <w:szCs w:val="32"/>
        </w:rPr>
        <w:t>主要原因</w:t>
      </w:r>
      <w:r>
        <w:rPr>
          <w:rFonts w:hint="eastAsia" w:ascii="仿宋" w:hAnsi="仿宋" w:eastAsia="仿宋"/>
          <w:sz w:val="32"/>
          <w:szCs w:val="32"/>
        </w:rPr>
        <w:t>是认真贯彻落实中央八项规定精神和厉行节约的要求，从严控制公用经费开支。</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7" w:name="_Toc15377223"/>
      <w:r>
        <w:rPr>
          <w:rFonts w:hint="eastAsia" w:ascii="仿宋" w:hAnsi="仿宋" w:eastAsia="仿宋"/>
          <w:b/>
          <w:color w:val="000000"/>
          <w:sz w:val="32"/>
          <w:szCs w:val="32"/>
        </w:rPr>
        <w:t>（二）政府采购支出情况</w:t>
      </w:r>
      <w:bookmarkEnd w:id="4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20年，广元市朝天区直属机关党建事务中心政府采购支出总额0万元。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8" w:name="_Toc15377224"/>
      <w:r>
        <w:rPr>
          <w:rFonts w:hint="eastAsia" w:ascii="仿宋" w:hAnsi="仿宋" w:eastAsia="仿宋"/>
          <w:b/>
          <w:color w:val="000000"/>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日，广元市朝天区直属机关党建事务中心共有车辆0辆。</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center"/>
        <w:rPr>
          <w:rStyle w:val="17"/>
          <w:rFonts w:ascii="黑体" w:hAnsi="黑体" w:eastAsia="黑体"/>
          <w:b w:val="0"/>
          <w:bCs w:val="0"/>
          <w:color w:val="000000"/>
          <w:kern w:val="2"/>
        </w:rPr>
      </w:pPr>
      <w:r>
        <w:rPr>
          <w:rFonts w:ascii="仿宋_GB2312" w:eastAsia="仿宋_GB2312"/>
          <w:b/>
          <w:color w:val="000000"/>
          <w:sz w:val="32"/>
          <w:szCs w:val="32"/>
        </w:rPr>
        <w:br w:type="page"/>
      </w:r>
      <w:bookmarkStart w:id="49" w:name="_Toc15396614"/>
      <w:bookmarkStart w:id="50" w:name="_Toc15377226"/>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49"/>
    </w:p>
    <w:p>
      <w:pPr>
        <w:spacing w:line="600" w:lineRule="exact"/>
        <w:jc w:val="center"/>
        <w:outlineLvl w:val="0"/>
        <w:rPr>
          <w:rStyle w:val="17"/>
        </w:rPr>
      </w:pPr>
    </w:p>
    <w:p>
      <w:pPr>
        <w:pStyle w:val="4"/>
        <w:rPr>
          <w:rStyle w:val="17"/>
          <w:rFonts w:ascii="仿宋" w:hAnsi="仿宋" w:eastAsia="仿宋"/>
          <w:b w:val="0"/>
          <w:bCs w:val="0"/>
          <w:sz w:val="32"/>
          <w:szCs w:val="32"/>
        </w:rPr>
      </w:pPr>
      <w:bookmarkStart w:id="51" w:name="_Toc15396615"/>
      <w:r>
        <w:rPr>
          <w:rStyle w:val="17"/>
          <w:rFonts w:hint="eastAsia" w:ascii="仿宋" w:hAnsi="仿宋" w:eastAsia="仿宋"/>
          <w:b w:val="0"/>
          <w:bCs w:val="0"/>
          <w:sz w:val="32"/>
          <w:szCs w:val="32"/>
        </w:rPr>
        <w:t>附件</w:t>
      </w:r>
      <w:r>
        <w:rPr>
          <w:rStyle w:val="17"/>
          <w:rFonts w:ascii="仿宋" w:hAnsi="仿宋" w:eastAsia="仿宋"/>
          <w:b w:val="0"/>
          <w:bCs w:val="0"/>
          <w:sz w:val="32"/>
          <w:szCs w:val="32"/>
        </w:rPr>
        <w:t>1</w:t>
      </w:r>
      <w:bookmarkEnd w:id="51"/>
    </w:p>
    <w:p>
      <w:pPr>
        <w:spacing w:line="600" w:lineRule="exact"/>
        <w:jc w:val="center"/>
        <w:outlineLvl w:val="0"/>
        <w:rPr>
          <w:rFonts w:ascii="黑体" w:hAnsi="黑体" w:eastAsia="黑体" w:cs="方正小标宋简体"/>
          <w:sz w:val="36"/>
          <w:szCs w:val="36"/>
        </w:rPr>
      </w:pPr>
      <w:bookmarkStart w:id="52" w:name="_Toc15396616"/>
      <w:r>
        <w:rPr>
          <w:rFonts w:hint="eastAsia" w:ascii="黑体" w:hAnsi="黑体" w:eastAsia="黑体" w:cs="方正小标宋简体"/>
          <w:sz w:val="36"/>
          <w:szCs w:val="36"/>
        </w:rPr>
        <w:t>广元市朝天区直属机关党建事务心</w:t>
      </w:r>
    </w:p>
    <w:p>
      <w:pPr>
        <w:spacing w:line="600" w:lineRule="exact"/>
        <w:jc w:val="center"/>
        <w:outlineLvl w:val="0"/>
        <w:rPr>
          <w:rFonts w:ascii="黑体" w:hAnsi="黑体" w:eastAsia="黑体" w:cs="方正小标宋简体"/>
          <w:sz w:val="36"/>
          <w:szCs w:val="36"/>
        </w:rPr>
      </w:pPr>
      <w:r>
        <w:rPr>
          <w:rFonts w:ascii="黑体" w:hAnsi="黑体" w:eastAsia="黑体" w:cs="方正小标宋简体"/>
          <w:sz w:val="36"/>
          <w:szCs w:val="36"/>
        </w:rPr>
        <w:t>20</w:t>
      </w:r>
      <w:r>
        <w:rPr>
          <w:rFonts w:hint="eastAsia" w:ascii="黑体" w:hAnsi="黑体" w:eastAsia="黑体" w:cs="方正小标宋简体"/>
          <w:sz w:val="36"/>
          <w:szCs w:val="36"/>
        </w:rPr>
        <w:t>20年部门整体支出绩效评价报告</w:t>
      </w:r>
      <w:bookmarkEnd w:id="52"/>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2" w:firstLineChars="200"/>
        <w:rPr>
          <w:rFonts w:ascii="仿宋" w:hAnsi="仿宋" w:eastAsia="仿宋" w:cs="仿宋_GB2312"/>
          <w:sz w:val="32"/>
          <w:szCs w:val="32"/>
        </w:rPr>
      </w:pPr>
      <w:r>
        <w:rPr>
          <w:rFonts w:hint="eastAsia" w:ascii="仿宋" w:hAnsi="仿宋" w:eastAsia="仿宋" w:cs="仿宋_GB2312"/>
          <w:b/>
          <w:bCs/>
          <w:sz w:val="32"/>
          <w:szCs w:val="32"/>
        </w:rPr>
        <w:t>（一）机构组成</w:t>
      </w:r>
      <w:r>
        <w:rPr>
          <w:rFonts w:hint="eastAsia" w:ascii="仿宋" w:hAnsi="仿宋" w:eastAsia="仿宋" w:cs="仿宋_GB2312"/>
          <w:sz w:val="32"/>
          <w:szCs w:val="32"/>
        </w:rPr>
        <w:t>：我中心设有办公室，区驻村帮扶协调小组办公室。</w:t>
      </w:r>
    </w:p>
    <w:p>
      <w:pPr>
        <w:spacing w:line="560" w:lineRule="exact"/>
        <w:ind w:firstLine="642" w:firstLineChars="200"/>
        <w:rPr>
          <w:rFonts w:ascii="仿宋" w:hAnsi="仿宋" w:eastAsia="仿宋" w:cs="仿宋_GB2312"/>
          <w:b/>
          <w:bCs/>
          <w:sz w:val="32"/>
          <w:szCs w:val="32"/>
        </w:rPr>
      </w:pPr>
      <w:r>
        <w:rPr>
          <w:rFonts w:hint="eastAsia" w:ascii="仿宋" w:hAnsi="仿宋" w:eastAsia="仿宋" w:cs="仿宋_GB2312"/>
          <w:b/>
          <w:bCs/>
          <w:sz w:val="32"/>
          <w:szCs w:val="32"/>
        </w:rPr>
        <w:t>（二）机构职能：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1.督促区直机关、区属企事业单位基层党组织对区委决议、决定和重要工作部署的贯彻落实。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2.分类指导区直机关、区属企事业单位基层党组织抓好党的政治、思想、组织、作风及制度建设；指导区直机关党员干部职工的政治理论学习，会同有关部门组织开展党员干部培训。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3.督促指导区直机关、区属企事业单位基层党组织学习贯彻执行《中国共产党章程》《中国共产党党和国家机关基层组织工作条例》等党内规章制度。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4.做好区直机关党员的教育引导、党内统计、组织关系接转、党费收缴、党员志愿服务、党内表彰激励关怀等日常事务工作。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5.协助区委相关部门做好区直机关、区属企事业单位基层党组织党建业务指导、党组（党委）书记抓党建工作述职等;配合做好区直属基层党组织及党员的考核、评先、评优及表彰工作。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6.统筹做好干部帮扶工作协调、服务、考核。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7.完成区委交办的其他任务。</w:t>
      </w:r>
    </w:p>
    <w:p>
      <w:pPr>
        <w:spacing w:line="580" w:lineRule="exact"/>
        <w:ind w:firstLine="481" w:firstLineChars="150"/>
        <w:rPr>
          <w:rFonts w:ascii="仿宋" w:hAnsi="仿宋" w:eastAsia="仿宋" w:cs="仿宋_GB2312"/>
          <w:sz w:val="32"/>
          <w:szCs w:val="32"/>
        </w:rPr>
      </w:pPr>
      <w:r>
        <w:rPr>
          <w:rFonts w:hint="eastAsia" w:ascii="仿宋" w:hAnsi="仿宋" w:eastAsia="仿宋" w:cs="仿宋_GB2312"/>
          <w:b/>
          <w:bCs/>
          <w:sz w:val="32"/>
          <w:szCs w:val="32"/>
        </w:rPr>
        <w:t>（三）人员概况：</w:t>
      </w:r>
      <w:r>
        <w:rPr>
          <w:rFonts w:hint="eastAsia" w:ascii="仿宋" w:hAnsi="仿宋" w:eastAsia="仿宋" w:cs="仿宋_GB2312"/>
          <w:sz w:val="32"/>
          <w:szCs w:val="32"/>
        </w:rPr>
        <w:t>我中心编制人数8人，其中公务员5人，事业干部2人，行政工勤人员1人，志愿者1人。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（一）部门财政资金收入情况：2020年区直属机关党建事务中心本年收入125.78万元，其中财政拨款收入125.78万元。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（二）部门财政资金支出情况：本年支出合计125.78万元。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widowControl/>
        <w:shd w:val="clear" w:color="auto" w:fill="FFFFFF"/>
        <w:spacing w:line="60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1、根据财政管理体制改革要求，中心计财股要认真做好部门预算的编制工作，各业务股室要积极予以配合。按照“量入为出”、“突出重点、兼顾一般”的原则合理制定年度部门预算，经委领导审议通过后上报区财政局。要牢固树立“过紧日子”的思想 ，精心组织预算执行，强化预算约束，认真贯彻落实党政机关</w:t>
      </w:r>
      <w:r>
        <w:rPr>
          <w:rFonts w:hint="default" w:ascii="仿宋_GB2312" w:hAnsi="仿宋" w:eastAsia="仿宋_GB2312" w:cs="仿宋_GB2312"/>
          <w:sz w:val="32"/>
          <w:szCs w:val="32"/>
          <w:lang w:val="en"/>
        </w:rPr>
        <w:t>厉行节约</w:t>
      </w:r>
      <w:r>
        <w:rPr>
          <w:rFonts w:hint="eastAsia" w:ascii="仿宋_GB2312" w:hAnsi="仿宋" w:eastAsia="仿宋_GB2312" w:cs="仿宋_GB2312"/>
          <w:sz w:val="32"/>
          <w:szCs w:val="32"/>
        </w:rPr>
        <w:t>的规定，压缩运行经费、会议及公务接待等支出，切实做到</w:t>
      </w:r>
      <w:r>
        <w:rPr>
          <w:rFonts w:hint="eastAsia" w:ascii="仿宋_GB2312" w:hAnsi="仿宋" w:eastAsia="仿宋_GB2312" w:cs="仿宋_GB2312"/>
          <w:sz w:val="32"/>
          <w:szCs w:val="32"/>
          <w:lang w:eastAsia="zh-CN"/>
        </w:rPr>
        <w:t>“三公”经费</w:t>
      </w:r>
      <w:r>
        <w:rPr>
          <w:rFonts w:hint="eastAsia" w:ascii="仿宋_GB2312" w:hAnsi="仿宋" w:eastAsia="仿宋_GB2312" w:cs="仿宋_GB2312"/>
          <w:sz w:val="32"/>
          <w:szCs w:val="32"/>
        </w:rPr>
        <w:t>支出较上年只减不增。采取有效措施，强化财务管理，优化支出结构，压减一般开支，降低行政运行成本，保证重点支出，努力增收节支，确保年度预算收支任务圆满完成。</w:t>
      </w:r>
    </w:p>
    <w:p>
      <w:pPr>
        <w:widowControl/>
        <w:shd w:val="clear" w:color="auto" w:fill="FFFFFF"/>
        <w:spacing w:line="60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2、部门预算一经确定，即严格遵照执行，要树立“先计划、后支出”的预算概念，确保全年预算的顺利执行。对超预算的开支、计划财务股有权拒付。</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1、进一步完善专项资金管理制度。认真贯彻执行《会计法》与《预算法》完善财政补助结构，减少专项补助比例，提高财力性补助，促进预算的规范和效益。</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2.进一步加强专项资金的管理监督。对专项资金的使用单位应进行严格审核，减少或避免“先安排资金，后论证项目”等盲目预算的现象出现。</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3.健全内控机制，确保专款专用。单位要认真审查项目立项的相关资料，根据项目实施进度及时拨付资金，避免资金闲置、截留。</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中心开展的预算绩效评价的项目达到了预期效果，产生了较好的社会效益，对在绩效评价中发现的问题，单位提出整改意见并限期整改。更重要的是逐步改变了长期以来“重分配轻监督、重使用轻效益”的现象，有效减少和防止盲目用款、无效支出及盲目支出等行为的发生，使资金的运行更加合理高效。</w:t>
      </w:r>
    </w:p>
    <w:p>
      <w:pPr>
        <w:spacing w:line="6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600" w:lineRule="exact"/>
        <w:ind w:firstLine="640" w:firstLineChars="200"/>
        <w:rPr>
          <w:rFonts w:ascii="仿宋" w:hAnsi="仿宋" w:eastAsia="仿宋" w:cs="仿宋_GB2312"/>
          <w:sz w:val="32"/>
          <w:szCs w:val="32"/>
        </w:rPr>
      </w:pPr>
      <w:r>
        <w:rPr>
          <w:rFonts w:hint="eastAsia" w:ascii="仿宋_GB2312" w:hAnsi="仿宋" w:eastAsia="仿宋_GB2312" w:cs="仿宋_GB2312"/>
          <w:sz w:val="32"/>
          <w:szCs w:val="32"/>
        </w:rPr>
        <w:t>（一）评价结论。严格执行财务管理法律法规，强化项</w:t>
      </w:r>
      <w:r>
        <w:rPr>
          <w:rFonts w:hint="eastAsia" w:ascii="仿宋" w:hAnsi="仿宋" w:eastAsia="仿宋" w:cs="仿宋_GB2312"/>
          <w:sz w:val="32"/>
          <w:szCs w:val="32"/>
        </w:rPr>
        <w:t>目资金管理和使用。以区财政局资金支付相关管理为准绳，同时结合实际制定了《财务管理制度》等制度，加强项目资金的管理和监督，杜觉违规违法事件的发生。预算支出保障了我中心的日常运转，认真履行了职能职责，完成了区委、区政府下达的各项目标任务。</w:t>
      </w:r>
    </w:p>
    <w:p>
      <w:pPr>
        <w:spacing w:line="58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（二）存在问题。一是各项工作力度还有待进一步加强。二是（业务）经费投入仍然不足，制约了各项工作业务开展。</w:t>
      </w:r>
    </w:p>
    <w:p>
      <w:pPr>
        <w:pStyle w:val="12"/>
        <w:widowControl/>
        <w:shd w:val="clear" w:color="auto" w:fill="FFFFFF"/>
        <w:spacing w:beforeAutospacing="0" w:afterAutospacing="0" w:line="33" w:lineRule="atLeast"/>
        <w:ind w:firstLine="320" w:firstLineChars="100"/>
        <w:jc w:val="both"/>
        <w:rPr>
          <w:rFonts w:ascii="仿宋" w:hAnsi="仿宋" w:eastAsia="仿宋" w:cs="仿宋_GB2312"/>
          <w:sz w:val="32"/>
        </w:rPr>
      </w:pPr>
      <w:r>
        <w:rPr>
          <w:rFonts w:hint="eastAsia" w:ascii="仿宋" w:hAnsi="仿宋" w:eastAsia="仿宋" w:cs="仿宋_GB2312"/>
          <w:sz w:val="32"/>
        </w:rPr>
        <w:t>（三）改进建议。</w:t>
      </w:r>
    </w:p>
    <w:p>
      <w:pPr>
        <w:pStyle w:val="12"/>
        <w:widowControl/>
        <w:shd w:val="clear" w:color="auto" w:fill="FFFFFF"/>
        <w:spacing w:beforeAutospacing="0" w:afterAutospacing="0" w:line="33" w:lineRule="atLeast"/>
        <w:ind w:firstLine="640" w:firstLineChars="200"/>
        <w:jc w:val="both"/>
        <w:rPr>
          <w:rFonts w:ascii="仿宋" w:hAnsi="仿宋" w:eastAsia="仿宋" w:cs="仿宋_GB2312"/>
          <w:kern w:val="2"/>
          <w:sz w:val="32"/>
        </w:rPr>
      </w:pPr>
      <w:r>
        <w:rPr>
          <w:rFonts w:hint="eastAsia" w:ascii="仿宋" w:hAnsi="仿宋" w:eastAsia="仿宋" w:cs="仿宋_GB2312"/>
          <w:kern w:val="2"/>
          <w:sz w:val="32"/>
        </w:rPr>
        <w:t>1、细化预算编制工作，认真做好预算的编制。</w:t>
      </w:r>
    </w:p>
    <w:p>
      <w:pPr>
        <w:pStyle w:val="12"/>
        <w:widowControl/>
        <w:shd w:val="clear" w:color="auto" w:fill="FFFFFF"/>
        <w:spacing w:beforeAutospacing="0" w:afterAutospacing="0" w:line="33" w:lineRule="atLeast"/>
        <w:ind w:firstLine="640" w:firstLineChars="200"/>
        <w:jc w:val="both"/>
        <w:rPr>
          <w:rFonts w:ascii="仿宋" w:hAnsi="仿宋" w:eastAsia="仿宋" w:cs="仿宋_GB2312"/>
          <w:kern w:val="2"/>
          <w:sz w:val="32"/>
        </w:rPr>
      </w:pPr>
      <w:r>
        <w:rPr>
          <w:rFonts w:hint="eastAsia" w:ascii="仿宋" w:hAnsi="仿宋" w:eastAsia="仿宋" w:cs="仿宋_GB2312"/>
          <w:kern w:val="2"/>
          <w:sz w:val="32"/>
        </w:rPr>
        <w:t>进一步加强单位内部机构各股室的预算管理意识，严格按照预算编制的相关制度和要求，公用经费根据单位的年度工作重点和项目专项工作规划，本着“勤俭节约、保障运转”的原则进行预算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pStyle w:val="12"/>
        <w:widowControl/>
        <w:shd w:val="clear" w:color="auto" w:fill="FFFFFF"/>
        <w:spacing w:beforeAutospacing="0" w:afterAutospacing="0" w:line="33" w:lineRule="atLeast"/>
        <w:ind w:firstLine="640" w:firstLineChars="200"/>
        <w:jc w:val="both"/>
        <w:rPr>
          <w:rFonts w:ascii="仿宋" w:hAnsi="仿宋" w:eastAsia="仿宋" w:cs="仿宋_GB2312"/>
          <w:kern w:val="2"/>
          <w:sz w:val="32"/>
        </w:rPr>
      </w:pPr>
      <w:r>
        <w:rPr>
          <w:rFonts w:hint="eastAsia" w:ascii="仿宋" w:hAnsi="仿宋" w:eastAsia="仿宋" w:cs="仿宋_GB2312"/>
          <w:kern w:val="2"/>
          <w:sz w:val="32"/>
        </w:rPr>
        <w:t>2、加强财务管理，严格财务审核。在费用报账时，按照预算规定的费用项目和用途进行资金使用的审核，严格按照费用的使用用途列报，同时严格费用支出内容进行财务核算，预算金额内严格控制费用的支出，杜绝超支现象的发生。</w:t>
      </w:r>
    </w:p>
    <w:p>
      <w:pPr>
        <w:pStyle w:val="12"/>
        <w:widowControl/>
        <w:shd w:val="clear" w:color="auto" w:fill="FFFFFF"/>
        <w:spacing w:beforeAutospacing="0" w:afterAutospacing="0" w:line="33" w:lineRule="atLeast"/>
        <w:ind w:firstLine="640" w:firstLineChars="200"/>
        <w:jc w:val="both"/>
        <w:rPr>
          <w:rFonts w:ascii="仿宋" w:hAnsi="仿宋" w:eastAsia="仿宋" w:cs="仿宋_GB2312"/>
          <w:kern w:val="2"/>
          <w:sz w:val="32"/>
        </w:rPr>
      </w:pPr>
      <w:r>
        <w:rPr>
          <w:rFonts w:hint="eastAsia" w:ascii="仿宋" w:hAnsi="仿宋" w:eastAsia="仿宋" w:cs="仿宋_GB2312"/>
          <w:kern w:val="2"/>
          <w:sz w:val="32"/>
        </w:rPr>
        <w:t>3、遵循预算管理原则。按照程序预算调整追加，逐级申报；结余资金调整用途的按照预算调整追加程序逐级申报报批，做到资金支付、预算先行，确保资金使用按照预算项目和使用用途执行，杜绝费用项目之间调剂使用现象的发生。</w:t>
      </w:r>
    </w:p>
    <w:p>
      <w:pPr>
        <w:pStyle w:val="12"/>
        <w:widowControl/>
        <w:shd w:val="clear" w:color="auto" w:fill="FFFFFF"/>
        <w:spacing w:beforeAutospacing="0" w:afterAutospacing="0" w:line="33" w:lineRule="atLeast"/>
        <w:ind w:firstLine="640" w:firstLineChars="200"/>
        <w:jc w:val="both"/>
        <w:rPr>
          <w:rFonts w:ascii="仿宋" w:hAnsi="仿宋" w:eastAsia="仿宋" w:cs="仿宋_GB2312"/>
          <w:sz w:val="32"/>
        </w:rPr>
      </w:pPr>
      <w:r>
        <w:rPr>
          <w:rFonts w:hint="eastAsia" w:ascii="仿宋" w:hAnsi="仿宋" w:eastAsia="仿宋" w:cs="仿宋_GB2312"/>
          <w:kern w:val="2"/>
          <w:sz w:val="32"/>
        </w:rPr>
        <w:t>4、进一步严控</w:t>
      </w:r>
      <w:r>
        <w:rPr>
          <w:rFonts w:hint="eastAsia" w:ascii="仿宋" w:hAnsi="仿宋" w:eastAsia="仿宋" w:cs="仿宋_GB2312"/>
          <w:kern w:val="2"/>
          <w:sz w:val="32"/>
          <w:lang w:eastAsia="zh-CN"/>
        </w:rPr>
        <w:t>“三公”经费</w:t>
      </w:r>
      <w:r>
        <w:rPr>
          <w:rFonts w:hint="eastAsia" w:ascii="仿宋" w:hAnsi="仿宋" w:eastAsia="仿宋" w:cs="仿宋_GB2312"/>
          <w:kern w:val="2"/>
          <w:sz w:val="32"/>
        </w:rPr>
        <w:t>支出，严控</w:t>
      </w:r>
      <w:r>
        <w:rPr>
          <w:rFonts w:hint="eastAsia" w:ascii="仿宋" w:hAnsi="仿宋" w:eastAsia="仿宋" w:cs="仿宋_GB2312"/>
          <w:kern w:val="2"/>
          <w:sz w:val="32"/>
          <w:lang w:eastAsia="zh-CN"/>
        </w:rPr>
        <w:t>“三公”经费</w:t>
      </w:r>
      <w:r>
        <w:rPr>
          <w:rFonts w:hint="eastAsia" w:ascii="仿宋" w:hAnsi="仿宋" w:eastAsia="仿宋" w:cs="仿宋_GB2312"/>
          <w:kern w:val="2"/>
          <w:sz w:val="32"/>
        </w:rPr>
        <w:t>的规模和比例及</w:t>
      </w:r>
      <w:r>
        <w:rPr>
          <w:rFonts w:hint="eastAsia" w:ascii="仿宋" w:hAnsi="仿宋" w:eastAsia="仿宋" w:cs="仿宋_GB2312"/>
          <w:kern w:val="2"/>
          <w:sz w:val="32"/>
          <w:lang w:eastAsia="zh-CN"/>
        </w:rPr>
        <w:t>“三公”经费</w:t>
      </w:r>
      <w:r>
        <w:rPr>
          <w:rFonts w:hint="eastAsia" w:ascii="仿宋" w:hAnsi="仿宋" w:eastAsia="仿宋" w:cs="仿宋_GB2312"/>
          <w:kern w:val="2"/>
          <w:sz w:val="32"/>
        </w:rPr>
        <w:t>支出的审核审批流程，杜绝挪用和挤占其他预算资金行为；进一步细化</w:t>
      </w:r>
      <w:r>
        <w:rPr>
          <w:rFonts w:hint="eastAsia" w:ascii="仿宋" w:hAnsi="仿宋" w:eastAsia="仿宋" w:cs="仿宋_GB2312"/>
          <w:kern w:val="2"/>
          <w:sz w:val="32"/>
          <w:lang w:eastAsia="zh-CN"/>
        </w:rPr>
        <w:t>“三公”经费</w:t>
      </w:r>
      <w:r>
        <w:rPr>
          <w:rFonts w:hint="eastAsia" w:ascii="仿宋" w:hAnsi="仿宋" w:eastAsia="仿宋" w:cs="仿宋_GB2312"/>
          <w:kern w:val="2"/>
          <w:sz w:val="32"/>
        </w:rPr>
        <w:t>的管理。</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Style w:val="17"/>
          <w:rFonts w:ascii="仿宋" w:hAnsi="仿宋" w:eastAsia="仿宋"/>
          <w:b w:val="0"/>
          <w:bCs w:val="0"/>
          <w:sz w:val="32"/>
          <w:szCs w:val="32"/>
        </w:rPr>
      </w:pPr>
      <w:r>
        <w:rPr>
          <w:rFonts w:ascii="仿宋_GB2312" w:hAnsi="仿宋_GB2312" w:eastAsia="仿宋_GB2312" w:cs="仿宋_GB2312"/>
          <w:sz w:val="32"/>
          <w:szCs w:val="32"/>
        </w:rPr>
        <w:br w:type="page"/>
      </w:r>
      <w:bookmarkStart w:id="53" w:name="_Toc15396617"/>
      <w:r>
        <w:rPr>
          <w:rStyle w:val="17"/>
          <w:rFonts w:hint="eastAsia" w:ascii="仿宋" w:hAnsi="仿宋" w:eastAsia="仿宋"/>
          <w:b w:val="0"/>
          <w:bCs w:val="0"/>
          <w:sz w:val="32"/>
          <w:szCs w:val="32"/>
        </w:rPr>
        <w:t>附件</w:t>
      </w:r>
      <w:r>
        <w:rPr>
          <w:rStyle w:val="17"/>
          <w:rFonts w:ascii="仿宋" w:hAnsi="仿宋" w:eastAsia="仿宋"/>
          <w:b w:val="0"/>
          <w:bCs w:val="0"/>
          <w:sz w:val="32"/>
          <w:szCs w:val="32"/>
        </w:rPr>
        <w:t>2</w:t>
      </w:r>
      <w:bookmarkEnd w:id="53"/>
    </w:p>
    <w:p>
      <w:pPr>
        <w:spacing w:line="580" w:lineRule="exact"/>
        <w:jc w:val="center"/>
        <w:rPr>
          <w:rFonts w:ascii="黑体" w:hAnsi="黑体" w:eastAsia="黑体" w:cs="方正小标宋简体"/>
          <w:w w:val="86"/>
          <w:sz w:val="44"/>
          <w:szCs w:val="44"/>
        </w:rPr>
      </w:pPr>
      <w:r>
        <w:rPr>
          <w:rFonts w:ascii="黑体" w:hAnsi="黑体" w:eastAsia="黑体" w:cs="方正小标宋简体"/>
          <w:w w:val="86"/>
          <w:sz w:val="44"/>
          <w:szCs w:val="44"/>
        </w:rPr>
        <w:t>20</w:t>
      </w:r>
      <w:r>
        <w:rPr>
          <w:rFonts w:hint="eastAsia" w:ascii="黑体" w:hAnsi="黑体" w:eastAsia="黑体" w:cs="方正小标宋简体"/>
          <w:w w:val="86"/>
          <w:sz w:val="44"/>
          <w:szCs w:val="44"/>
        </w:rPr>
        <w:t>20年机关党建工作经费项目支出绩效评价报告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widowControl/>
        <w:jc w:val="left"/>
      </w:pPr>
      <w:r>
        <w:rPr>
          <w:rFonts w:ascii="仿宋_GB2312" w:hAnsi="宋体" w:eastAsia="仿宋_GB2312" w:cs="仿宋_GB2312"/>
          <w:color w:val="333333"/>
          <w:kern w:val="0"/>
          <w:sz w:val="31"/>
          <w:szCs w:val="31"/>
        </w:rPr>
        <w:t xml:space="preserve">根据项目申报相关要求，严格按照预算管理及自下而上、逐 </w:t>
      </w:r>
    </w:p>
    <w:p>
      <w:pPr>
        <w:widowControl/>
        <w:jc w:val="left"/>
      </w:pPr>
      <w:r>
        <w:rPr>
          <w:rFonts w:hint="eastAsia" w:ascii="仿宋_GB2312" w:hAnsi="宋体" w:eastAsia="仿宋_GB2312" w:cs="仿宋_GB2312"/>
          <w:color w:val="333333"/>
          <w:kern w:val="0"/>
          <w:sz w:val="31"/>
          <w:szCs w:val="31"/>
        </w:rPr>
        <w:t>级根据需要，编制项目支出计划。在对各项目申报材料和项目支出预算合理性、可行性和必要性进行审核的基础上，按照部门预算管理程序和要求编制项目支出预算。在项目组织的过程中能做到有依有据，合理合法，监管与审核并重，项目组织程序有序，有利于保障和提高项目实施效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pPr>
      <w:r>
        <w:rPr>
          <w:rFonts w:hint="eastAsia" w:ascii="仿宋" w:hAnsi="仿宋" w:eastAsia="仿宋" w:cs="仿宋_GB2312"/>
          <w:sz w:val="32"/>
          <w:szCs w:val="32"/>
        </w:rPr>
        <w:t>（一）评价结论</w:t>
      </w:r>
      <w:bookmarkStart w:id="54" w:name="_Toc15396618"/>
      <w:r>
        <w:rPr>
          <w:rFonts w:hint="eastAsia" w:ascii="仿宋" w:hAnsi="仿宋" w:eastAsia="仿宋" w:cs="仿宋_GB2312"/>
          <w:sz w:val="32"/>
          <w:szCs w:val="32"/>
        </w:rPr>
        <w:t>：</w:t>
      </w:r>
      <w:r>
        <w:rPr>
          <w:rFonts w:ascii="仿宋_GB2312" w:hAnsi="宋体" w:eastAsia="仿宋_GB2312" w:cs="仿宋_GB2312"/>
          <w:color w:val="333333"/>
          <w:kern w:val="0"/>
          <w:sz w:val="31"/>
          <w:szCs w:val="31"/>
        </w:rPr>
        <w:t>总体上看，我</w:t>
      </w:r>
      <w:r>
        <w:rPr>
          <w:rFonts w:hint="eastAsia" w:ascii="仿宋_GB2312" w:hAnsi="宋体" w:eastAsia="仿宋_GB2312" w:cs="仿宋_GB2312"/>
          <w:color w:val="333333"/>
          <w:kern w:val="0"/>
          <w:sz w:val="31"/>
          <w:szCs w:val="31"/>
        </w:rPr>
        <w:t>中心</w:t>
      </w:r>
      <w:r>
        <w:rPr>
          <w:rFonts w:ascii="仿宋_GB2312" w:hAnsi="宋体" w:eastAsia="仿宋_GB2312" w:cs="仿宋_GB2312"/>
          <w:color w:val="333333"/>
          <w:kern w:val="0"/>
          <w:sz w:val="31"/>
          <w:szCs w:val="31"/>
        </w:rPr>
        <w:t xml:space="preserve">内部控制制度较为规范健全。项目总预算 </w:t>
      </w:r>
      <w:r>
        <w:rPr>
          <w:rFonts w:hint="eastAsia" w:ascii="仿宋_GB2312" w:hAnsi="宋体" w:eastAsia="仿宋_GB2312" w:cs="仿宋_GB2312"/>
          <w:color w:val="333333"/>
          <w:kern w:val="0"/>
          <w:sz w:val="31"/>
          <w:szCs w:val="31"/>
        </w:rPr>
        <w:t xml:space="preserve">6万元，总支出6万元。资金到位率 100％，资金使用率 100％。项目资金使用均按照年度预算批复的用途使用。 </w:t>
      </w:r>
    </w:p>
    <w:p>
      <w:pPr>
        <w:widowControl/>
        <w:ind w:firstLine="620" w:firstLineChars="200"/>
        <w:jc w:val="left"/>
      </w:pPr>
      <w:r>
        <w:rPr>
          <w:rFonts w:hint="eastAsia" w:ascii="仿宋_GB2312" w:hAnsi="仿宋_GB2312" w:eastAsia="仿宋_GB2312" w:cs="仿宋_GB2312"/>
          <w:color w:val="000000"/>
          <w:kern w:val="0"/>
          <w:sz w:val="31"/>
          <w:szCs w:val="31"/>
        </w:rPr>
        <w:t>（二）项目绩效情况</w:t>
      </w:r>
      <w:r>
        <w:rPr>
          <w:rFonts w:hint="eastAsia" w:ascii="楷体_GB2312" w:hAnsi="宋体" w:eastAsia="楷体_GB2312" w:cs="楷体_GB2312"/>
          <w:color w:val="000000"/>
          <w:kern w:val="0"/>
          <w:sz w:val="31"/>
          <w:szCs w:val="31"/>
        </w:rPr>
        <w:t xml:space="preserve"> </w:t>
      </w:r>
    </w:p>
    <w:p>
      <w:pPr>
        <w:widowControl/>
        <w:ind w:firstLine="620" w:firstLineChars="200"/>
        <w:jc w:val="left"/>
      </w:pPr>
      <w:r>
        <w:rPr>
          <w:rFonts w:hint="eastAsia" w:ascii="仿宋_GB2312" w:hAnsi="宋体" w:eastAsia="仿宋_GB2312" w:cs="仿宋_GB2312"/>
          <w:color w:val="000000"/>
          <w:kern w:val="0"/>
          <w:sz w:val="31"/>
          <w:szCs w:val="31"/>
        </w:rPr>
        <w:t xml:space="preserve">（1）项目绩效目标完成情况分析。 </w:t>
      </w:r>
    </w:p>
    <w:p>
      <w:pPr>
        <w:ind w:firstLine="620" w:firstLineChars="200"/>
        <w:jc w:val="left"/>
      </w:pPr>
      <w:r>
        <w:rPr>
          <w:rFonts w:hint="eastAsia" w:ascii="仿宋_GB2312" w:hAnsi="宋体" w:eastAsia="仿宋_GB2312" w:cs="仿宋_GB2312"/>
          <w:color w:val="000000"/>
          <w:kern w:val="0"/>
          <w:sz w:val="31"/>
          <w:szCs w:val="31"/>
        </w:rPr>
        <w:t>①项目成本（预算）控制情况。 本项目预算6万元, 全部用于我中心机关党建工作。</w:t>
      </w:r>
    </w:p>
    <w:p>
      <w:pPr>
        <w:ind w:firstLine="620" w:firstLineChars="200"/>
        <w:jc w:val="left"/>
      </w:pPr>
      <w:r>
        <w:rPr>
          <w:rFonts w:hint="eastAsia" w:ascii="仿宋_GB2312" w:hAnsi="宋体" w:eastAsia="仿宋_GB2312" w:cs="仿宋_GB2312"/>
          <w:color w:val="000000"/>
          <w:kern w:val="0"/>
          <w:sz w:val="31"/>
          <w:szCs w:val="31"/>
        </w:rPr>
        <w:t xml:space="preserve">②项目成本（预算）节约情况。 2020年度该项目的预算为 6万元，实际支出6 万元。 </w:t>
      </w:r>
    </w:p>
    <w:p>
      <w:pPr>
        <w:spacing w:line="560" w:lineRule="exact"/>
        <w:ind w:firstLine="620" w:firstLineChars="200"/>
        <w:rPr>
          <w:rFonts w:ascii="仿宋_GB2312" w:hAnsi="仿宋" w:eastAsia="仿宋_GB2312"/>
          <w:sz w:val="32"/>
          <w:szCs w:val="32"/>
        </w:rPr>
      </w:pPr>
      <w:r>
        <w:rPr>
          <w:rFonts w:hint="eastAsia" w:ascii="仿宋_GB2312" w:hAnsi="宋体" w:eastAsia="仿宋_GB2312" w:cs="仿宋_GB2312"/>
          <w:color w:val="000000"/>
          <w:kern w:val="0"/>
          <w:sz w:val="31"/>
          <w:szCs w:val="31"/>
        </w:rPr>
        <w:t>③项目的效率性分析。 该项目到 2020年底已完成了预期工作目标。项目完成质量较好，</w:t>
      </w:r>
      <w:r>
        <w:rPr>
          <w:rFonts w:hint="eastAsia" w:ascii="仿宋_GB2312" w:hAnsi="仿宋" w:eastAsia="仿宋_GB2312"/>
          <w:sz w:val="32"/>
          <w:szCs w:val="32"/>
        </w:rPr>
        <w:t>直机关标准化规范化建设取得很好的成绩，入党积极分子和拟发展对象等能力得到提升。</w:t>
      </w:r>
      <w:r>
        <w:rPr>
          <w:rFonts w:hint="eastAsia" w:ascii="仿宋_GB2312" w:hAnsi="宋体" w:eastAsia="仿宋_GB2312" w:cs="仿宋_GB2312"/>
          <w:color w:val="000000"/>
          <w:kern w:val="0"/>
          <w:sz w:val="31"/>
          <w:szCs w:val="31"/>
        </w:rPr>
        <w:t xml:space="preserve">2020年度项目绩效目标全部完成。 </w:t>
      </w:r>
    </w:p>
    <w:p>
      <w:pPr>
        <w:widowControl/>
        <w:ind w:firstLine="620" w:firstLineChars="200"/>
        <w:jc w:val="left"/>
      </w:pPr>
      <w:r>
        <w:rPr>
          <w:rFonts w:ascii="黑体" w:hAnsi="宋体" w:eastAsia="黑体" w:cs="黑体"/>
          <w:color w:val="000000"/>
          <w:kern w:val="0"/>
          <w:sz w:val="31"/>
          <w:szCs w:val="31"/>
        </w:rPr>
        <w:t xml:space="preserve">三、存在主要问题 </w:t>
      </w:r>
    </w:p>
    <w:p>
      <w:pPr>
        <w:widowControl/>
        <w:ind w:firstLine="620" w:firstLineChars="200"/>
        <w:jc w:val="left"/>
      </w:pPr>
      <w:r>
        <w:rPr>
          <w:rFonts w:hint="eastAsia" w:ascii="仿宋_GB2312" w:hAnsi="宋体" w:eastAsia="仿宋_GB2312" w:cs="仿宋_GB2312"/>
          <w:color w:val="333333"/>
          <w:kern w:val="0"/>
          <w:sz w:val="31"/>
          <w:szCs w:val="31"/>
        </w:rPr>
        <w:t xml:space="preserve">1、绩效目标设立不够明确、细化和量化； </w:t>
      </w:r>
    </w:p>
    <w:p>
      <w:pPr>
        <w:widowControl/>
        <w:ind w:firstLine="620" w:firstLineChars="200"/>
        <w:jc w:val="left"/>
      </w:pPr>
      <w:r>
        <w:rPr>
          <w:rFonts w:hint="eastAsia" w:ascii="仿宋_GB2312" w:hAnsi="宋体" w:eastAsia="仿宋_GB2312" w:cs="仿宋_GB2312"/>
          <w:color w:val="000000"/>
          <w:kern w:val="0"/>
          <w:sz w:val="31"/>
          <w:szCs w:val="31"/>
        </w:rPr>
        <w:t>2、</w:t>
      </w:r>
      <w:r>
        <w:rPr>
          <w:rFonts w:hint="eastAsia" w:ascii="仿宋_GB2312" w:hAnsi="宋体" w:eastAsia="仿宋_GB2312" w:cs="仿宋_GB2312"/>
          <w:color w:val="333333"/>
          <w:kern w:val="0"/>
          <w:sz w:val="31"/>
          <w:szCs w:val="31"/>
        </w:rPr>
        <w:t xml:space="preserve">专项资金管理制度不够健全。虽然我中心财务管理制度总体 上较为健全，制定了合法、合规、完整的业务管理制度，但暂时 还未制订专门的项目资金管理办法。 </w:t>
      </w:r>
    </w:p>
    <w:p>
      <w:pPr>
        <w:widowControl/>
        <w:ind w:firstLine="620" w:firstLineChars="200"/>
        <w:jc w:val="left"/>
      </w:pPr>
      <w:r>
        <w:rPr>
          <w:rFonts w:hint="eastAsia" w:ascii="黑体" w:hAnsi="宋体" w:eastAsia="黑体" w:cs="黑体"/>
          <w:color w:val="000000"/>
          <w:kern w:val="0"/>
          <w:sz w:val="31"/>
          <w:szCs w:val="31"/>
        </w:rPr>
        <w:t xml:space="preserve">四、相关措施建议 </w:t>
      </w:r>
    </w:p>
    <w:p>
      <w:pPr>
        <w:widowControl/>
        <w:ind w:firstLine="620" w:firstLineChars="200"/>
        <w:jc w:val="left"/>
      </w:pPr>
      <w:r>
        <w:rPr>
          <w:rFonts w:hint="eastAsia" w:ascii="仿宋_GB2312" w:hAnsi="宋体" w:eastAsia="仿宋_GB2312" w:cs="仿宋_GB2312"/>
          <w:color w:val="000000"/>
          <w:kern w:val="0"/>
          <w:sz w:val="31"/>
          <w:szCs w:val="31"/>
        </w:rPr>
        <w:t xml:space="preserve">1、进一步健全和完善财务管理制度及内部控制制度，创新管理手段，用新思路、新方法，改进完善财务管理方法。 </w:t>
      </w:r>
    </w:p>
    <w:p>
      <w:pPr>
        <w:widowControl/>
        <w:ind w:firstLine="620" w:firstLineChars="200"/>
        <w:jc w:val="left"/>
      </w:pPr>
      <w:r>
        <w:rPr>
          <w:rFonts w:hint="eastAsia" w:ascii="仿宋_GB2312" w:hAnsi="宋体" w:eastAsia="仿宋_GB2312" w:cs="仿宋_GB2312"/>
          <w:color w:val="000000"/>
          <w:kern w:val="0"/>
          <w:sz w:val="31"/>
          <w:szCs w:val="31"/>
        </w:rPr>
        <w:t>2、按照财政支出绩效管理的要求，建立科学的财政资金效益 考评制度体系，不断提高财政资金使用管理的水平和效率。</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 xml:space="preserve">     </w:t>
      </w:r>
    </w:p>
    <w:p>
      <w:pPr>
        <w:tabs>
          <w:tab w:val="left" w:pos="2720"/>
        </w:tabs>
        <w:spacing w:line="500" w:lineRule="exact"/>
        <w:ind w:right="-110"/>
        <w:rPr>
          <w:rFonts w:ascii="仿宋" w:hAnsi="仿宋" w:eastAsia="仿宋"/>
          <w:b/>
          <w:bCs/>
          <w:sz w:val="32"/>
          <w:szCs w:val="32"/>
        </w:rPr>
      </w:pPr>
    </w:p>
    <w:p>
      <w:pPr>
        <w:pStyle w:val="2"/>
        <w:spacing w:before="93"/>
      </w:pPr>
    </w:p>
    <w:p>
      <w:pPr>
        <w:pStyle w:val="2"/>
        <w:spacing w:before="93"/>
      </w:pPr>
    </w:p>
    <w:p>
      <w:pPr>
        <w:pStyle w:val="2"/>
        <w:spacing w:before="93"/>
      </w:pP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广元市朝天区直属机关党建事务中心</w:t>
      </w:r>
    </w:p>
    <w:p>
      <w:pPr>
        <w:tabs>
          <w:tab w:val="left" w:pos="2720"/>
        </w:tabs>
        <w:spacing w:line="500" w:lineRule="exact"/>
        <w:ind w:right="-110"/>
        <w:jc w:val="center"/>
        <w:rPr>
          <w:rFonts w:ascii="仿宋" w:hAnsi="仿宋" w:eastAsia="仿宋"/>
          <w:sz w:val="32"/>
          <w:szCs w:val="32"/>
        </w:rPr>
      </w:pPr>
      <w:r>
        <w:rPr>
          <w:rFonts w:hint="eastAsia" w:ascii="仿宋" w:hAnsi="仿宋" w:eastAsia="仿宋"/>
          <w:b/>
          <w:bCs/>
          <w:sz w:val="32"/>
          <w:szCs w:val="32"/>
        </w:rPr>
        <w:t>机关党建工作专项资金</w:t>
      </w:r>
      <w:r>
        <w:rPr>
          <w:rFonts w:ascii="仿宋" w:hAnsi="仿宋" w:eastAsia="仿宋"/>
          <w:b/>
          <w:bCs/>
          <w:sz w:val="32"/>
          <w:szCs w:val="32"/>
        </w:rPr>
        <w:t>绩效评价指标评分表</w:t>
      </w:r>
    </w:p>
    <w:tbl>
      <w:tblPr>
        <w:tblStyle w:val="13"/>
        <w:tblW w:w="9519" w:type="dxa"/>
        <w:jc w:val="center"/>
        <w:tblLayout w:type="fixed"/>
        <w:tblCellMar>
          <w:top w:w="0" w:type="dxa"/>
          <w:left w:w="108" w:type="dxa"/>
          <w:bottom w:w="0" w:type="dxa"/>
          <w:right w:w="108" w:type="dxa"/>
        </w:tblCellMar>
      </w:tblPr>
      <w:tblGrid>
        <w:gridCol w:w="616"/>
        <w:gridCol w:w="486"/>
        <w:gridCol w:w="626"/>
        <w:gridCol w:w="562"/>
        <w:gridCol w:w="824"/>
        <w:gridCol w:w="495"/>
        <w:gridCol w:w="2429"/>
        <w:gridCol w:w="2972"/>
        <w:gridCol w:w="509"/>
      </w:tblGrid>
      <w:tr>
        <w:tblPrEx>
          <w:tblCellMar>
            <w:top w:w="0" w:type="dxa"/>
            <w:left w:w="108" w:type="dxa"/>
            <w:bottom w:w="0" w:type="dxa"/>
            <w:right w:w="108" w:type="dxa"/>
          </w:tblCellMar>
        </w:tblPrEx>
        <w:trPr>
          <w:trHeight w:val="46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一级</w:t>
            </w:r>
          </w:p>
          <w:p>
            <w:pPr>
              <w:widowControl/>
              <w:spacing w:line="180" w:lineRule="exact"/>
              <w:jc w:val="center"/>
              <w:rPr>
                <w:bCs/>
                <w:kern w:val="0"/>
                <w:sz w:val="18"/>
                <w:szCs w:val="18"/>
              </w:rPr>
            </w:pPr>
            <w:r>
              <w:rPr>
                <w:bCs/>
                <w:kern w:val="0"/>
                <w:sz w:val="18"/>
                <w:szCs w:val="18"/>
              </w:rPr>
              <w:t>指标</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29" w:leftChars="-14" w:right="-113" w:rightChars="-54"/>
              <w:rPr>
                <w:kern w:val="0"/>
                <w:sz w:val="18"/>
                <w:szCs w:val="18"/>
              </w:rPr>
            </w:pPr>
            <w:r>
              <w:rPr>
                <w:kern w:val="0"/>
                <w:sz w:val="18"/>
                <w:szCs w:val="18"/>
              </w:rPr>
              <w:t>分值</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二级指标</w:t>
            </w:r>
          </w:p>
        </w:tc>
        <w:tc>
          <w:tcPr>
            <w:tcW w:w="562" w:type="dxa"/>
            <w:tcBorders>
              <w:top w:val="single" w:color="auto" w:sz="4" w:space="0"/>
              <w:left w:val="nil"/>
              <w:bottom w:val="nil"/>
              <w:right w:val="single" w:color="auto" w:sz="4" w:space="0"/>
            </w:tcBorders>
            <w:vAlign w:val="center"/>
          </w:tcPr>
          <w:p>
            <w:pPr>
              <w:widowControl/>
              <w:spacing w:line="180" w:lineRule="exact"/>
              <w:ind w:right="-67" w:rightChars="-32"/>
              <w:jc w:val="center"/>
              <w:rPr>
                <w:bCs/>
                <w:kern w:val="0"/>
                <w:sz w:val="18"/>
                <w:szCs w:val="18"/>
              </w:rPr>
            </w:pPr>
            <w:r>
              <w:rPr>
                <w:bCs/>
                <w:kern w:val="0"/>
                <w:sz w:val="18"/>
                <w:szCs w:val="18"/>
              </w:rPr>
              <w:t>分值</w:t>
            </w:r>
          </w:p>
        </w:tc>
        <w:tc>
          <w:tcPr>
            <w:tcW w:w="824"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三级指标</w:t>
            </w:r>
          </w:p>
        </w:tc>
        <w:tc>
          <w:tcPr>
            <w:tcW w:w="495" w:type="dxa"/>
            <w:tcBorders>
              <w:top w:val="single" w:color="auto" w:sz="4" w:space="0"/>
              <w:left w:val="nil"/>
              <w:bottom w:val="nil"/>
              <w:right w:val="single" w:color="auto" w:sz="4" w:space="0"/>
            </w:tcBorders>
            <w:vAlign w:val="center"/>
          </w:tcPr>
          <w:p>
            <w:pPr>
              <w:widowControl/>
              <w:spacing w:line="180" w:lineRule="exact"/>
              <w:ind w:right="-218" w:rightChars="-104"/>
              <w:rPr>
                <w:bCs/>
                <w:kern w:val="0"/>
                <w:sz w:val="18"/>
                <w:szCs w:val="18"/>
              </w:rPr>
            </w:pPr>
            <w:r>
              <w:rPr>
                <w:bCs/>
                <w:kern w:val="0"/>
                <w:sz w:val="18"/>
                <w:szCs w:val="18"/>
              </w:rPr>
              <w:t>分值</w:t>
            </w:r>
          </w:p>
        </w:tc>
        <w:tc>
          <w:tcPr>
            <w:tcW w:w="242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指标解释</w:t>
            </w:r>
          </w:p>
        </w:tc>
        <w:tc>
          <w:tcPr>
            <w:tcW w:w="2972"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评价标准</w:t>
            </w:r>
          </w:p>
        </w:tc>
        <w:tc>
          <w:tcPr>
            <w:tcW w:w="50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得分</w:t>
            </w:r>
          </w:p>
        </w:tc>
      </w:tr>
      <w:tr>
        <w:tblPrEx>
          <w:tblCellMar>
            <w:top w:w="0" w:type="dxa"/>
            <w:left w:w="108" w:type="dxa"/>
            <w:bottom w:w="0" w:type="dxa"/>
            <w:right w:w="108" w:type="dxa"/>
          </w:tblCellMar>
        </w:tblPrEx>
        <w:trPr>
          <w:trHeight w:val="391" w:hRule="atLeast"/>
          <w:jc w:val="center"/>
        </w:trPr>
        <w:tc>
          <w:tcPr>
            <w:tcW w:w="6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决策</w:t>
            </w:r>
          </w:p>
        </w:tc>
        <w:tc>
          <w:tcPr>
            <w:tcW w:w="48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20</w:t>
            </w:r>
          </w:p>
        </w:tc>
        <w:tc>
          <w:tcPr>
            <w:tcW w:w="626"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项目目标</w:t>
            </w:r>
          </w:p>
        </w:tc>
        <w:tc>
          <w:tcPr>
            <w:tcW w:w="562"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目标</w:t>
            </w:r>
          </w:p>
          <w:p>
            <w:pPr>
              <w:widowControl/>
              <w:spacing w:line="180" w:lineRule="exact"/>
              <w:jc w:val="center"/>
              <w:rPr>
                <w:kern w:val="0"/>
                <w:sz w:val="18"/>
                <w:szCs w:val="18"/>
              </w:rPr>
            </w:pPr>
            <w:r>
              <w:rPr>
                <w:kern w:val="0"/>
                <w:sz w:val="18"/>
                <w:szCs w:val="18"/>
              </w:rPr>
              <w:t>内容</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2429" w:type="dxa"/>
            <w:tcBorders>
              <w:top w:val="single" w:color="auto" w:sz="4" w:space="0"/>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目标是否明确、细化、量化</w:t>
            </w:r>
            <w:r>
              <w:rPr>
                <w:rFonts w:hint="eastAsia"/>
                <w:kern w:val="0"/>
                <w:sz w:val="18"/>
                <w:szCs w:val="18"/>
              </w:rPr>
              <w:t>。</w:t>
            </w:r>
          </w:p>
        </w:tc>
        <w:tc>
          <w:tcPr>
            <w:tcW w:w="2972" w:type="dxa"/>
            <w:tcBorders>
              <w:top w:val="single" w:color="auto" w:sz="4" w:space="0"/>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目标明确（1分），目标细化（1分），目标量化（2分）。</w:t>
            </w:r>
          </w:p>
        </w:tc>
        <w:tc>
          <w:tcPr>
            <w:tcW w:w="509"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739"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决策过程</w:t>
            </w:r>
          </w:p>
        </w:tc>
        <w:tc>
          <w:tcPr>
            <w:tcW w:w="56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依据</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项目是否符合经济社会发展规划和部门年度工作计划；是否根据需要制定中长期实施规划。</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项目符合经济社会发展规划和部门年度工作计划（2分），根据需要制定中长期实施规划（1分）。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834"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程序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项目是否符合申报条件；申报、批复程序是否符合相关管理办法；项目调整是否履行相应手续。</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项目符合申报条件（2分），申报、批复程序符合相关管理办法（2分），项目实施调整履行相应手续（1分）。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915"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资金分配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办法</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是否根据需要制定相关资金管理办法，并在管理办法中明确资金分配办法；资金分配因素是否全面、合理。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办法健全、规范（1分），因素选择全面、合理（1分）。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390"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结果</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6</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资金分配是否符合相关管理办法；分配结果是否合理。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项目符合相关分配办法（2分），资金分配合理（4分）。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6</w:t>
            </w:r>
          </w:p>
        </w:tc>
      </w:tr>
      <w:tr>
        <w:tblPrEx>
          <w:tblCellMar>
            <w:top w:w="0" w:type="dxa"/>
            <w:left w:w="108" w:type="dxa"/>
            <w:bottom w:w="0" w:type="dxa"/>
            <w:right w:w="108" w:type="dxa"/>
          </w:tblCellMar>
        </w:tblPrEx>
        <w:trPr>
          <w:trHeight w:val="504"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管理</w:t>
            </w:r>
          </w:p>
        </w:tc>
        <w:tc>
          <w:tcPr>
            <w:tcW w:w="48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25</w:t>
            </w: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资金到位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到位率</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实际到位/计划到位×100%</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根据项目实际到位资金占计划的比重计算得分（3分）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68"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资金是否及时到位；若未及时到位，是否影响项目进度。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及时到位（2分），未及时到位但未影响项目进度（1.5分），未及时到位并影响项目进度（0-1分）。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86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资金管理</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资金</w:t>
            </w:r>
          </w:p>
          <w:p>
            <w:pPr>
              <w:widowControl/>
              <w:spacing w:line="180" w:lineRule="exact"/>
              <w:jc w:val="center"/>
              <w:rPr>
                <w:kern w:val="0"/>
                <w:sz w:val="18"/>
                <w:szCs w:val="18"/>
              </w:rPr>
            </w:pPr>
            <w:r>
              <w:rPr>
                <w:kern w:val="0"/>
                <w:sz w:val="18"/>
                <w:szCs w:val="18"/>
              </w:rPr>
              <w:t>使用</w:t>
            </w:r>
          </w:p>
        </w:tc>
        <w:tc>
          <w:tcPr>
            <w:tcW w:w="495"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7</w:t>
            </w:r>
          </w:p>
        </w:tc>
        <w:tc>
          <w:tcPr>
            <w:tcW w:w="2429" w:type="dxa"/>
            <w:tcBorders>
              <w:top w:val="nil"/>
              <w:left w:val="nil"/>
              <w:bottom w:val="single" w:color="auto" w:sz="4" w:space="0"/>
              <w:right w:val="single" w:color="auto" w:sz="4" w:space="0"/>
            </w:tcBorders>
            <w:vAlign w:val="center"/>
          </w:tcPr>
          <w:p>
            <w:pPr>
              <w:widowControl/>
              <w:spacing w:line="180" w:lineRule="exact"/>
              <w:rPr>
                <w:spacing w:val="-6"/>
                <w:kern w:val="0"/>
                <w:sz w:val="18"/>
                <w:szCs w:val="18"/>
              </w:rPr>
            </w:pPr>
            <w:r>
              <w:rPr>
                <w:spacing w:val="-6"/>
                <w:kern w:val="0"/>
                <w:sz w:val="18"/>
                <w:szCs w:val="18"/>
              </w:rPr>
              <w:t>是否存在支出依据不合规、虚列项目支出的情况；是否存在截留、挤占、挪用项目资金情况；是否存在超标准开支情况。</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虚列（套取）扣4-7分，支出依据不合规扣1分，截留、挤占、挪用扣3-6分，超标准开支扣2-5分。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7</w:t>
            </w:r>
          </w:p>
        </w:tc>
      </w:tr>
      <w:tr>
        <w:tblPrEx>
          <w:tblCellMar>
            <w:top w:w="0" w:type="dxa"/>
            <w:left w:w="108" w:type="dxa"/>
            <w:bottom w:w="0" w:type="dxa"/>
            <w:right w:w="108" w:type="dxa"/>
          </w:tblCellMar>
        </w:tblPrEx>
        <w:trPr>
          <w:trHeight w:val="523"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财务</w:t>
            </w:r>
          </w:p>
          <w:p>
            <w:pPr>
              <w:widowControl/>
              <w:spacing w:line="180" w:lineRule="exact"/>
              <w:jc w:val="center"/>
              <w:rPr>
                <w:kern w:val="0"/>
                <w:sz w:val="18"/>
                <w:szCs w:val="18"/>
              </w:rPr>
            </w:pPr>
            <w:r>
              <w:rPr>
                <w:kern w:val="0"/>
                <w:sz w:val="18"/>
                <w:szCs w:val="18"/>
              </w:rPr>
              <w:t>管理</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资金管理、费用支出等制度是否健全，是否严格执行；会计核算是否规范</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财务制度健全（1分），严格执行制度（1分），会计核算规范（1分）。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50"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组织实施</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组织</w:t>
            </w:r>
          </w:p>
          <w:p>
            <w:pPr>
              <w:widowControl/>
              <w:spacing w:line="180" w:lineRule="exact"/>
              <w:jc w:val="center"/>
              <w:rPr>
                <w:kern w:val="0"/>
                <w:sz w:val="18"/>
                <w:szCs w:val="18"/>
              </w:rPr>
            </w:pPr>
            <w:r>
              <w:rPr>
                <w:kern w:val="0"/>
                <w:sz w:val="18"/>
                <w:szCs w:val="18"/>
              </w:rPr>
              <w:t>机构</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1</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机构是否健全、分工是否明确。</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机构健全、分工明确（1分）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1</w:t>
            </w:r>
          </w:p>
        </w:tc>
      </w:tr>
      <w:tr>
        <w:tblPrEx>
          <w:tblCellMar>
            <w:top w:w="0" w:type="dxa"/>
            <w:left w:w="108" w:type="dxa"/>
            <w:bottom w:w="0" w:type="dxa"/>
            <w:right w:w="108" w:type="dxa"/>
          </w:tblCellMar>
        </w:tblPrEx>
        <w:trPr>
          <w:trHeight w:val="766"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管理</w:t>
            </w:r>
          </w:p>
          <w:p>
            <w:pPr>
              <w:widowControl/>
              <w:spacing w:line="180" w:lineRule="exact"/>
              <w:jc w:val="center"/>
              <w:rPr>
                <w:kern w:val="0"/>
                <w:sz w:val="18"/>
                <w:szCs w:val="18"/>
              </w:rPr>
            </w:pPr>
            <w:r>
              <w:rPr>
                <w:kern w:val="0"/>
                <w:sz w:val="18"/>
                <w:szCs w:val="18"/>
              </w:rPr>
              <w:t>制度</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9</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是否建立健全项目管理制度；是否严格执行相关项目管理制度。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建立健全项目管理制度（2分），严格执行相关项目管理制度（7分</w:t>
            </w:r>
            <w:r>
              <w:rPr>
                <w:rFonts w:hint="eastAsia"/>
                <w:kern w:val="0"/>
                <w:sz w:val="18"/>
                <w:szCs w:val="18"/>
              </w:rPr>
              <w:t>）</w:t>
            </w:r>
            <w:r>
              <w:rPr>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9</w:t>
            </w:r>
          </w:p>
        </w:tc>
      </w:tr>
      <w:tr>
        <w:tblPrEx>
          <w:tblCellMar>
            <w:top w:w="0" w:type="dxa"/>
            <w:left w:w="108" w:type="dxa"/>
            <w:bottom w:w="0" w:type="dxa"/>
            <w:right w:w="108" w:type="dxa"/>
          </w:tblCellMar>
        </w:tblPrEx>
        <w:trPr>
          <w:trHeight w:val="442"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绩效</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55</w:t>
            </w: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项目产出</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15</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数量</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5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项目产出数量是否达到绩效目标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对照绩效目标评价产出数量（5分）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质量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4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项目产出质量是否达到绩效目标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对照绩效目标评价产出质量（4分）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项目产出时效是否达到绩效目标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对照绩效目标评价产出时效（3分）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成本</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项目产出成本是否按绩效目标控制</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对照绩效目标评价产出成本（3分）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项目效果</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经济</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项目实施是否产生直接或间接经济效益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对照绩效目标评价经济效益（8分）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社会</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项目实施是否产生社会综合效益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对照绩效目标评价社会效益（8分）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28"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环境</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项目实施是否对环境产生积极或消极影响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对照绩效目标评价环境效益（8分）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6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可持续影响</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项目实施对人、自然、资源是否带来可持续影响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对照绩效目标评价可持续影响（8分）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服务对象满意度</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项目预期服务对象对项目实施的满意程度</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对照绩效目标评价服务对象满意度（8分）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tcBorders>
              <w:top w:val="nil"/>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总分</w:t>
            </w:r>
          </w:p>
        </w:tc>
        <w:tc>
          <w:tcPr>
            <w:tcW w:w="486"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626"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62"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824"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495"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2429"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2972"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09"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100</w:t>
            </w:r>
          </w:p>
        </w:tc>
      </w:tr>
    </w:tbl>
    <w:p>
      <w:pPr>
        <w:tabs>
          <w:tab w:val="left" w:pos="2720"/>
        </w:tabs>
        <w:ind w:right="640"/>
        <w:rPr>
          <w:sz w:val="18"/>
          <w:szCs w:val="18"/>
        </w:rPr>
      </w:pPr>
      <w:r>
        <w:rPr>
          <w:sz w:val="18"/>
          <w:szCs w:val="18"/>
        </w:rPr>
        <w:t>说明：评分95-100分为优秀，85-94.9分为良好，70-84.9分为合格，70分以下为不合格。</w:t>
      </w:r>
    </w:p>
    <w:p>
      <w:pPr>
        <w:spacing w:line="580" w:lineRule="exact"/>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w:t>
      </w:r>
      <w:r>
        <w:rPr>
          <w:rFonts w:hint="eastAsia" w:ascii="黑体" w:hAnsi="黑体" w:eastAsia="黑体" w:cs="方正小标宋简体"/>
          <w:sz w:val="44"/>
          <w:szCs w:val="44"/>
        </w:rPr>
        <w:t>20年脱贫攻坚帮扶工作项目支出绩效评价报告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widowControl/>
        <w:ind w:firstLine="620" w:firstLineChars="200"/>
        <w:jc w:val="left"/>
      </w:pPr>
      <w:r>
        <w:rPr>
          <w:rFonts w:ascii="仿宋_GB2312" w:hAnsi="宋体" w:eastAsia="仿宋_GB2312" w:cs="仿宋_GB2312"/>
          <w:color w:val="333333"/>
          <w:kern w:val="0"/>
          <w:sz w:val="31"/>
          <w:szCs w:val="31"/>
        </w:rPr>
        <w:t>根据项目申报相关要求，严格按照预算管理及自下而上、逐</w:t>
      </w:r>
      <w:r>
        <w:rPr>
          <w:rFonts w:hint="eastAsia" w:ascii="仿宋_GB2312" w:hAnsi="宋体" w:eastAsia="仿宋_GB2312" w:cs="仿宋_GB2312"/>
          <w:color w:val="333333"/>
          <w:kern w:val="0"/>
          <w:sz w:val="31"/>
          <w:szCs w:val="31"/>
        </w:rPr>
        <w:t>级根据需要，编制项目支出计划。在对各项目申报材料和项目支出预算合理性、可行性和必要性进行审核的基础上，按照部门预算管理程序和要求编制项目支出预算。在项目组织的过程中能做到有依有据，合理合法，监管与审核并重，项目组织程序有序，有利于保障和提高项目实施效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pPr>
      <w:r>
        <w:rPr>
          <w:rFonts w:hint="eastAsia" w:ascii="仿宋" w:hAnsi="仿宋" w:eastAsia="仿宋" w:cs="仿宋_GB2312"/>
          <w:sz w:val="32"/>
          <w:szCs w:val="32"/>
        </w:rPr>
        <w:t>（一）评价结论：</w:t>
      </w:r>
      <w:r>
        <w:rPr>
          <w:rFonts w:ascii="仿宋_GB2312" w:hAnsi="宋体" w:eastAsia="仿宋_GB2312" w:cs="仿宋_GB2312"/>
          <w:color w:val="333333"/>
          <w:kern w:val="0"/>
          <w:sz w:val="31"/>
          <w:szCs w:val="31"/>
        </w:rPr>
        <w:t>总体上看，我</w:t>
      </w:r>
      <w:r>
        <w:rPr>
          <w:rFonts w:hint="eastAsia" w:ascii="仿宋_GB2312" w:hAnsi="宋体" w:eastAsia="仿宋_GB2312" w:cs="仿宋_GB2312"/>
          <w:color w:val="333333"/>
          <w:kern w:val="0"/>
          <w:sz w:val="31"/>
          <w:szCs w:val="31"/>
        </w:rPr>
        <w:t>中心</w:t>
      </w:r>
      <w:r>
        <w:rPr>
          <w:rFonts w:ascii="仿宋_GB2312" w:hAnsi="宋体" w:eastAsia="仿宋_GB2312" w:cs="仿宋_GB2312"/>
          <w:color w:val="333333"/>
          <w:kern w:val="0"/>
          <w:sz w:val="31"/>
          <w:szCs w:val="31"/>
        </w:rPr>
        <w:t xml:space="preserve">内部控制制度较为规范健全。项目总预算 </w:t>
      </w:r>
      <w:r>
        <w:rPr>
          <w:rFonts w:hint="eastAsia" w:ascii="仿宋_GB2312" w:hAnsi="宋体" w:eastAsia="仿宋_GB2312" w:cs="仿宋_GB2312"/>
          <w:color w:val="333333"/>
          <w:kern w:val="0"/>
          <w:sz w:val="31"/>
          <w:szCs w:val="31"/>
        </w:rPr>
        <w:t xml:space="preserve">6万元，总支出6万元。资金到位率 100％，资金使用率 100％。项目资金使用均按照年度预算批复的用途使用。 </w:t>
      </w:r>
    </w:p>
    <w:p>
      <w:pPr>
        <w:widowControl/>
        <w:ind w:firstLine="465" w:firstLineChars="150"/>
        <w:jc w:val="left"/>
      </w:pPr>
      <w:r>
        <w:rPr>
          <w:rFonts w:hint="eastAsia" w:ascii="仿宋_GB2312" w:hAnsi="仿宋_GB2312" w:eastAsia="仿宋_GB2312" w:cs="仿宋_GB2312"/>
          <w:color w:val="000000"/>
          <w:kern w:val="0"/>
          <w:sz w:val="31"/>
          <w:szCs w:val="31"/>
        </w:rPr>
        <w:t>（二）项目绩效情况</w:t>
      </w:r>
      <w:r>
        <w:rPr>
          <w:rFonts w:hint="eastAsia" w:ascii="楷体_GB2312" w:hAnsi="宋体" w:eastAsia="楷体_GB2312" w:cs="楷体_GB2312"/>
          <w:color w:val="000000"/>
          <w:kern w:val="0"/>
          <w:sz w:val="31"/>
          <w:szCs w:val="31"/>
        </w:rPr>
        <w:t xml:space="preserve"> </w:t>
      </w:r>
    </w:p>
    <w:p>
      <w:pPr>
        <w:widowControl/>
        <w:ind w:firstLine="465" w:firstLineChars="150"/>
        <w:jc w:val="left"/>
      </w:pPr>
      <w:r>
        <w:rPr>
          <w:rFonts w:hint="eastAsia" w:ascii="仿宋_GB2312" w:hAnsi="宋体" w:eastAsia="仿宋_GB2312" w:cs="仿宋_GB2312"/>
          <w:color w:val="000000"/>
          <w:kern w:val="0"/>
          <w:sz w:val="31"/>
          <w:szCs w:val="31"/>
        </w:rPr>
        <w:t xml:space="preserve">（1）项目绩效目标完成情况分析。 </w:t>
      </w:r>
    </w:p>
    <w:p>
      <w:pPr>
        <w:ind w:firstLine="620" w:firstLineChars="200"/>
        <w:jc w:val="left"/>
      </w:pPr>
      <w:r>
        <w:rPr>
          <w:rFonts w:hint="eastAsia" w:ascii="仿宋_GB2312" w:hAnsi="宋体" w:eastAsia="仿宋_GB2312" w:cs="仿宋_GB2312"/>
          <w:color w:val="000000"/>
          <w:kern w:val="0"/>
          <w:sz w:val="31"/>
          <w:szCs w:val="31"/>
        </w:rPr>
        <w:t xml:space="preserve">①项目成本（预算）控制情况。 本项目预算6万元, 全部用于脱贫攻坚帮扶工作。 </w:t>
      </w:r>
    </w:p>
    <w:p>
      <w:pPr>
        <w:ind w:firstLine="620" w:firstLineChars="200"/>
        <w:jc w:val="left"/>
      </w:pPr>
      <w:r>
        <w:rPr>
          <w:rFonts w:hint="eastAsia" w:ascii="仿宋_GB2312" w:hAnsi="宋体" w:eastAsia="仿宋_GB2312" w:cs="仿宋_GB2312"/>
          <w:color w:val="000000"/>
          <w:kern w:val="0"/>
          <w:sz w:val="31"/>
          <w:szCs w:val="31"/>
        </w:rPr>
        <w:t xml:space="preserve">②项目成本（预算）节约情况。 2020 年度该项目的预算为6万元，实际支出6万元。 </w:t>
      </w:r>
    </w:p>
    <w:p>
      <w:pPr>
        <w:spacing w:line="560" w:lineRule="exact"/>
        <w:ind w:firstLine="620" w:firstLineChars="200"/>
        <w:rPr>
          <w:rFonts w:ascii="仿宋_GB2312" w:hAnsi="仿宋" w:eastAsia="仿宋_GB2312"/>
          <w:sz w:val="32"/>
          <w:szCs w:val="32"/>
        </w:rPr>
      </w:pPr>
      <w:r>
        <w:rPr>
          <w:rFonts w:hint="eastAsia" w:ascii="仿宋_GB2312" w:hAnsi="宋体" w:eastAsia="仿宋_GB2312" w:cs="仿宋_GB2312"/>
          <w:color w:val="000000"/>
          <w:kern w:val="0"/>
          <w:sz w:val="31"/>
          <w:szCs w:val="31"/>
        </w:rPr>
        <w:t>③项目的效率性分析。 该项目到 2020 年底已完成了预期工作目标。项目完成质量较好，</w:t>
      </w:r>
      <w:r>
        <w:rPr>
          <w:rFonts w:hint="eastAsia" w:ascii="仿宋_GB2312" w:hAnsi="仿宋" w:eastAsia="仿宋_GB2312"/>
          <w:sz w:val="32"/>
          <w:szCs w:val="32"/>
        </w:rPr>
        <w:t>一是及时调整更新帮扶力量台账，对村级建制调整改革后的帮扶力量进行了责任明确，杜绝了帮扶力量缺位、空位。二是对驻村工作队进行业务培训，提高了业务能力。三是全面督查，对发现的问题进行了通报，并限时进行了整改，确保全区驻村帮扶工作顺利完成。</w:t>
      </w:r>
      <w:r>
        <w:rPr>
          <w:rFonts w:hint="eastAsia" w:ascii="仿宋_GB2312" w:hAnsi="宋体" w:eastAsia="仿宋_GB2312" w:cs="仿宋_GB2312"/>
          <w:color w:val="000000"/>
          <w:kern w:val="0"/>
          <w:sz w:val="31"/>
          <w:szCs w:val="31"/>
        </w:rPr>
        <w:t xml:space="preserve"> 2020 年度项目绩效目标全部完成。 </w:t>
      </w:r>
    </w:p>
    <w:p>
      <w:pPr>
        <w:widowControl/>
        <w:ind w:firstLine="620" w:firstLineChars="200"/>
        <w:jc w:val="left"/>
      </w:pPr>
      <w:r>
        <w:rPr>
          <w:rFonts w:ascii="黑体" w:hAnsi="宋体" w:eastAsia="黑体" w:cs="黑体"/>
          <w:color w:val="000000"/>
          <w:kern w:val="0"/>
          <w:sz w:val="31"/>
          <w:szCs w:val="31"/>
        </w:rPr>
        <w:t xml:space="preserve">三、存在主要问题 </w:t>
      </w:r>
    </w:p>
    <w:p>
      <w:pPr>
        <w:widowControl/>
        <w:ind w:firstLine="620" w:firstLineChars="200"/>
        <w:jc w:val="left"/>
      </w:pPr>
      <w:r>
        <w:rPr>
          <w:rFonts w:hint="eastAsia" w:ascii="仿宋_GB2312" w:hAnsi="宋体" w:eastAsia="仿宋_GB2312" w:cs="仿宋_GB2312"/>
          <w:color w:val="333333"/>
          <w:kern w:val="0"/>
          <w:sz w:val="31"/>
          <w:szCs w:val="31"/>
        </w:rPr>
        <w:t xml:space="preserve">1、绩效目标设立不够明确、细化和量化； </w:t>
      </w:r>
    </w:p>
    <w:p>
      <w:pPr>
        <w:widowControl/>
        <w:ind w:firstLine="620" w:firstLineChars="200"/>
        <w:jc w:val="left"/>
      </w:pPr>
      <w:r>
        <w:rPr>
          <w:rFonts w:hint="eastAsia" w:ascii="仿宋_GB2312" w:hAnsi="宋体" w:eastAsia="仿宋_GB2312" w:cs="仿宋_GB2312"/>
          <w:color w:val="000000"/>
          <w:kern w:val="0"/>
          <w:sz w:val="31"/>
          <w:szCs w:val="31"/>
        </w:rPr>
        <w:t>2、</w:t>
      </w:r>
      <w:r>
        <w:rPr>
          <w:rFonts w:hint="eastAsia" w:ascii="仿宋_GB2312" w:hAnsi="宋体" w:eastAsia="仿宋_GB2312" w:cs="仿宋_GB2312"/>
          <w:color w:val="333333"/>
          <w:kern w:val="0"/>
          <w:sz w:val="31"/>
          <w:szCs w:val="31"/>
        </w:rPr>
        <w:t xml:space="preserve">专项资金管理制度不够健全。虽然我中心财务管理制度总体 上较为健全，制定了合法、合规、完整的业务管理制度，但暂时还未制订专门的项目资金管理办法。 </w:t>
      </w:r>
    </w:p>
    <w:p>
      <w:pPr>
        <w:widowControl/>
        <w:ind w:firstLine="620" w:firstLineChars="200"/>
        <w:jc w:val="left"/>
      </w:pPr>
      <w:r>
        <w:rPr>
          <w:rFonts w:hint="eastAsia" w:ascii="黑体" w:hAnsi="宋体" w:eastAsia="黑体" w:cs="黑体"/>
          <w:color w:val="000000"/>
          <w:kern w:val="0"/>
          <w:sz w:val="31"/>
          <w:szCs w:val="31"/>
        </w:rPr>
        <w:t xml:space="preserve">四、相关措施建议 </w:t>
      </w:r>
    </w:p>
    <w:p>
      <w:pPr>
        <w:widowControl/>
        <w:ind w:firstLine="620" w:firstLineChars="200"/>
        <w:jc w:val="left"/>
      </w:pPr>
      <w:r>
        <w:rPr>
          <w:rFonts w:hint="eastAsia" w:ascii="仿宋_GB2312" w:hAnsi="宋体" w:eastAsia="仿宋_GB2312" w:cs="仿宋_GB2312"/>
          <w:color w:val="000000"/>
          <w:kern w:val="0"/>
          <w:sz w:val="31"/>
          <w:szCs w:val="31"/>
        </w:rPr>
        <w:t xml:space="preserve">1、进一步健全和完善财务管理制度及内部控制制度，创新管 理手段，用新思路、新方法，改进完善财务管理方法。 </w:t>
      </w:r>
    </w:p>
    <w:p>
      <w:pPr>
        <w:widowControl/>
        <w:ind w:firstLine="465" w:firstLineChars="150"/>
        <w:jc w:val="left"/>
      </w:pPr>
      <w:r>
        <w:rPr>
          <w:rFonts w:hint="eastAsia" w:ascii="仿宋_GB2312" w:hAnsi="宋体" w:eastAsia="仿宋_GB2312" w:cs="仿宋_GB2312"/>
          <w:color w:val="000000"/>
          <w:kern w:val="0"/>
          <w:sz w:val="31"/>
          <w:szCs w:val="31"/>
        </w:rPr>
        <w:t>2、按照财政支出绩效管理的要求，建立科学的财政资金效益 考评制度体系，不断提高财政资金使用管理的水平和效率。</w:t>
      </w: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tabs>
          <w:tab w:val="left" w:pos="2720"/>
        </w:tabs>
        <w:spacing w:line="500" w:lineRule="exact"/>
        <w:ind w:right="-110"/>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广元市朝天区直属机关党建事务中心</w:t>
      </w: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脱贫攻坚帮扶工作专项资金</w:t>
      </w:r>
      <w:r>
        <w:rPr>
          <w:rFonts w:ascii="仿宋" w:hAnsi="仿宋" w:eastAsia="仿宋"/>
          <w:b/>
          <w:bCs/>
          <w:sz w:val="32"/>
          <w:szCs w:val="32"/>
        </w:rPr>
        <w:t>绩效评价指标评分表</w:t>
      </w:r>
    </w:p>
    <w:tbl>
      <w:tblPr>
        <w:tblStyle w:val="13"/>
        <w:tblW w:w="9519" w:type="dxa"/>
        <w:jc w:val="center"/>
        <w:tblLayout w:type="fixed"/>
        <w:tblCellMar>
          <w:top w:w="0" w:type="dxa"/>
          <w:left w:w="108" w:type="dxa"/>
          <w:bottom w:w="0" w:type="dxa"/>
          <w:right w:w="108" w:type="dxa"/>
        </w:tblCellMar>
      </w:tblPr>
      <w:tblGrid>
        <w:gridCol w:w="616"/>
        <w:gridCol w:w="486"/>
        <w:gridCol w:w="626"/>
        <w:gridCol w:w="562"/>
        <w:gridCol w:w="824"/>
        <w:gridCol w:w="495"/>
        <w:gridCol w:w="2429"/>
        <w:gridCol w:w="2972"/>
        <w:gridCol w:w="509"/>
      </w:tblGrid>
      <w:tr>
        <w:tblPrEx>
          <w:tblCellMar>
            <w:top w:w="0" w:type="dxa"/>
            <w:left w:w="108" w:type="dxa"/>
            <w:bottom w:w="0" w:type="dxa"/>
            <w:right w:w="108" w:type="dxa"/>
          </w:tblCellMar>
        </w:tblPrEx>
        <w:trPr>
          <w:trHeight w:val="46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一级</w:t>
            </w:r>
          </w:p>
          <w:p>
            <w:pPr>
              <w:widowControl/>
              <w:spacing w:line="180" w:lineRule="exact"/>
              <w:jc w:val="center"/>
              <w:rPr>
                <w:bCs/>
                <w:kern w:val="0"/>
                <w:sz w:val="18"/>
                <w:szCs w:val="18"/>
              </w:rPr>
            </w:pPr>
            <w:r>
              <w:rPr>
                <w:bCs/>
                <w:kern w:val="0"/>
                <w:sz w:val="18"/>
                <w:szCs w:val="18"/>
              </w:rPr>
              <w:t>指标</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29" w:leftChars="-14" w:right="-113" w:rightChars="-54"/>
              <w:rPr>
                <w:kern w:val="0"/>
                <w:sz w:val="18"/>
                <w:szCs w:val="18"/>
              </w:rPr>
            </w:pPr>
            <w:r>
              <w:rPr>
                <w:kern w:val="0"/>
                <w:sz w:val="18"/>
                <w:szCs w:val="18"/>
              </w:rPr>
              <w:t>分值</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二级指标</w:t>
            </w:r>
          </w:p>
        </w:tc>
        <w:tc>
          <w:tcPr>
            <w:tcW w:w="562" w:type="dxa"/>
            <w:tcBorders>
              <w:top w:val="single" w:color="auto" w:sz="4" w:space="0"/>
              <w:left w:val="nil"/>
              <w:bottom w:val="nil"/>
              <w:right w:val="single" w:color="auto" w:sz="4" w:space="0"/>
            </w:tcBorders>
            <w:vAlign w:val="center"/>
          </w:tcPr>
          <w:p>
            <w:pPr>
              <w:widowControl/>
              <w:spacing w:line="180" w:lineRule="exact"/>
              <w:ind w:right="-67" w:rightChars="-32"/>
              <w:jc w:val="center"/>
              <w:rPr>
                <w:bCs/>
                <w:kern w:val="0"/>
                <w:sz w:val="18"/>
                <w:szCs w:val="18"/>
              </w:rPr>
            </w:pPr>
            <w:r>
              <w:rPr>
                <w:bCs/>
                <w:kern w:val="0"/>
                <w:sz w:val="18"/>
                <w:szCs w:val="18"/>
              </w:rPr>
              <w:t>分值</w:t>
            </w:r>
          </w:p>
        </w:tc>
        <w:tc>
          <w:tcPr>
            <w:tcW w:w="824"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三级指标</w:t>
            </w:r>
          </w:p>
        </w:tc>
        <w:tc>
          <w:tcPr>
            <w:tcW w:w="495" w:type="dxa"/>
            <w:tcBorders>
              <w:top w:val="single" w:color="auto" w:sz="4" w:space="0"/>
              <w:left w:val="nil"/>
              <w:bottom w:val="nil"/>
              <w:right w:val="single" w:color="auto" w:sz="4" w:space="0"/>
            </w:tcBorders>
            <w:vAlign w:val="center"/>
          </w:tcPr>
          <w:p>
            <w:pPr>
              <w:widowControl/>
              <w:spacing w:line="180" w:lineRule="exact"/>
              <w:ind w:right="-218" w:rightChars="-104"/>
              <w:rPr>
                <w:bCs/>
                <w:kern w:val="0"/>
                <w:sz w:val="18"/>
                <w:szCs w:val="18"/>
              </w:rPr>
            </w:pPr>
            <w:r>
              <w:rPr>
                <w:bCs/>
                <w:kern w:val="0"/>
                <w:sz w:val="18"/>
                <w:szCs w:val="18"/>
              </w:rPr>
              <w:t>分值</w:t>
            </w:r>
          </w:p>
        </w:tc>
        <w:tc>
          <w:tcPr>
            <w:tcW w:w="242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指标解释</w:t>
            </w:r>
          </w:p>
        </w:tc>
        <w:tc>
          <w:tcPr>
            <w:tcW w:w="2972"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评价标准</w:t>
            </w:r>
          </w:p>
        </w:tc>
        <w:tc>
          <w:tcPr>
            <w:tcW w:w="50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得分</w:t>
            </w:r>
          </w:p>
        </w:tc>
      </w:tr>
      <w:tr>
        <w:tblPrEx>
          <w:tblCellMar>
            <w:top w:w="0" w:type="dxa"/>
            <w:left w:w="108" w:type="dxa"/>
            <w:bottom w:w="0" w:type="dxa"/>
            <w:right w:w="108" w:type="dxa"/>
          </w:tblCellMar>
        </w:tblPrEx>
        <w:trPr>
          <w:trHeight w:val="391" w:hRule="atLeast"/>
          <w:jc w:val="center"/>
        </w:trPr>
        <w:tc>
          <w:tcPr>
            <w:tcW w:w="6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决策</w:t>
            </w:r>
          </w:p>
        </w:tc>
        <w:tc>
          <w:tcPr>
            <w:tcW w:w="48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20</w:t>
            </w:r>
          </w:p>
        </w:tc>
        <w:tc>
          <w:tcPr>
            <w:tcW w:w="626"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项目目标</w:t>
            </w:r>
          </w:p>
        </w:tc>
        <w:tc>
          <w:tcPr>
            <w:tcW w:w="562"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目标</w:t>
            </w:r>
          </w:p>
          <w:p>
            <w:pPr>
              <w:widowControl/>
              <w:spacing w:line="180" w:lineRule="exact"/>
              <w:jc w:val="center"/>
              <w:rPr>
                <w:kern w:val="0"/>
                <w:sz w:val="18"/>
                <w:szCs w:val="18"/>
              </w:rPr>
            </w:pPr>
            <w:r>
              <w:rPr>
                <w:kern w:val="0"/>
                <w:sz w:val="18"/>
                <w:szCs w:val="18"/>
              </w:rPr>
              <w:t>内容</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2429" w:type="dxa"/>
            <w:tcBorders>
              <w:top w:val="single" w:color="auto" w:sz="4" w:space="0"/>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目标是否明确、细化、量化</w:t>
            </w:r>
            <w:r>
              <w:rPr>
                <w:rFonts w:hint="eastAsia"/>
                <w:kern w:val="0"/>
                <w:sz w:val="18"/>
                <w:szCs w:val="18"/>
              </w:rPr>
              <w:t>。</w:t>
            </w:r>
          </w:p>
        </w:tc>
        <w:tc>
          <w:tcPr>
            <w:tcW w:w="2972" w:type="dxa"/>
            <w:tcBorders>
              <w:top w:val="single" w:color="auto" w:sz="4" w:space="0"/>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目标明确（1分），目标细化（1分），目标量化（2分）。</w:t>
            </w:r>
          </w:p>
        </w:tc>
        <w:tc>
          <w:tcPr>
            <w:tcW w:w="509"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739"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决策过程</w:t>
            </w:r>
          </w:p>
        </w:tc>
        <w:tc>
          <w:tcPr>
            <w:tcW w:w="56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依据</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项目是否符合经济社会发展规划和部门年度工作计划；是否根据需要制定中长期实施规划。</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项目符合经济社会发展规划和部门年度工作计划（2分），根据需要制定中长期实施规划（1分）。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834"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程序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项目是否符合申报条件；申报、批复程序是否符合相关管理办法；项目调整是否履行相应手续。</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项目符合申报条件（2分），申报、批复程序符合相关管理办法（2分），项目实施调整履行相应手续（1分）。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915"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资金分配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办法</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是否根据需要制定相关资金管理办法，并在管理办法中明确资金分配办法；资金分配因素是否全面、合理。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办法健全、规范（1分），因素选择全面、合理（1分）。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390"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结果</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6</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资金分配是否符合相关管理办法；分配结果是否合理。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项目符合相关分配办法（2分），资金分配合理（4分）。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6</w:t>
            </w:r>
          </w:p>
        </w:tc>
      </w:tr>
      <w:tr>
        <w:tblPrEx>
          <w:tblCellMar>
            <w:top w:w="0" w:type="dxa"/>
            <w:left w:w="108" w:type="dxa"/>
            <w:bottom w:w="0" w:type="dxa"/>
            <w:right w:w="108" w:type="dxa"/>
          </w:tblCellMar>
        </w:tblPrEx>
        <w:trPr>
          <w:trHeight w:val="504"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管理</w:t>
            </w:r>
          </w:p>
        </w:tc>
        <w:tc>
          <w:tcPr>
            <w:tcW w:w="48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25</w:t>
            </w: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资金到位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到位率</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实际到位/计划到位×100%</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根据项目实际到位资金占计划的比重计算得分（3分）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68"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资金是否及时到位；若未及时到位，是否影响项目进度。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及时到位（2分），未及时到位但未影响项目进度（1.5分），未及时到位并影响项目进度（0-1分）。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86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资金管理</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资金</w:t>
            </w:r>
          </w:p>
          <w:p>
            <w:pPr>
              <w:widowControl/>
              <w:spacing w:line="180" w:lineRule="exact"/>
              <w:jc w:val="center"/>
              <w:rPr>
                <w:kern w:val="0"/>
                <w:sz w:val="18"/>
                <w:szCs w:val="18"/>
              </w:rPr>
            </w:pPr>
            <w:r>
              <w:rPr>
                <w:kern w:val="0"/>
                <w:sz w:val="18"/>
                <w:szCs w:val="18"/>
              </w:rPr>
              <w:t>使用</w:t>
            </w:r>
          </w:p>
        </w:tc>
        <w:tc>
          <w:tcPr>
            <w:tcW w:w="495"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7</w:t>
            </w:r>
          </w:p>
        </w:tc>
        <w:tc>
          <w:tcPr>
            <w:tcW w:w="2429" w:type="dxa"/>
            <w:tcBorders>
              <w:top w:val="nil"/>
              <w:left w:val="nil"/>
              <w:bottom w:val="single" w:color="auto" w:sz="4" w:space="0"/>
              <w:right w:val="single" w:color="auto" w:sz="4" w:space="0"/>
            </w:tcBorders>
            <w:vAlign w:val="center"/>
          </w:tcPr>
          <w:p>
            <w:pPr>
              <w:widowControl/>
              <w:spacing w:line="180" w:lineRule="exact"/>
              <w:rPr>
                <w:spacing w:val="-6"/>
                <w:kern w:val="0"/>
                <w:sz w:val="18"/>
                <w:szCs w:val="18"/>
              </w:rPr>
            </w:pPr>
            <w:r>
              <w:rPr>
                <w:spacing w:val="-6"/>
                <w:kern w:val="0"/>
                <w:sz w:val="18"/>
                <w:szCs w:val="18"/>
              </w:rPr>
              <w:t>是否存在支出依据不合规、虚列项目支出的情况；是否存在截留、挤占、挪用项目资金情况；是否存在超标准开支情况。</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虚列（套取）扣4-7分，支出依据不合规扣1分，截留、挤占、挪用扣3-6分，超标准开支扣2-5分。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7</w:t>
            </w:r>
          </w:p>
        </w:tc>
      </w:tr>
      <w:tr>
        <w:tblPrEx>
          <w:tblCellMar>
            <w:top w:w="0" w:type="dxa"/>
            <w:left w:w="108" w:type="dxa"/>
            <w:bottom w:w="0" w:type="dxa"/>
            <w:right w:w="108" w:type="dxa"/>
          </w:tblCellMar>
        </w:tblPrEx>
        <w:trPr>
          <w:trHeight w:val="523"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财务</w:t>
            </w:r>
          </w:p>
          <w:p>
            <w:pPr>
              <w:widowControl/>
              <w:spacing w:line="180" w:lineRule="exact"/>
              <w:jc w:val="center"/>
              <w:rPr>
                <w:kern w:val="0"/>
                <w:sz w:val="18"/>
                <w:szCs w:val="18"/>
              </w:rPr>
            </w:pPr>
            <w:r>
              <w:rPr>
                <w:kern w:val="0"/>
                <w:sz w:val="18"/>
                <w:szCs w:val="18"/>
              </w:rPr>
              <w:t>管理</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资金管理、费用支出等制度是否健全，是否严格执行；会计核算是否规范</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财务制度健全（1分），严格执行制度（1分），会计核算规范（1分）。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50"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组织实施</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组织</w:t>
            </w:r>
          </w:p>
          <w:p>
            <w:pPr>
              <w:widowControl/>
              <w:spacing w:line="180" w:lineRule="exact"/>
              <w:jc w:val="center"/>
              <w:rPr>
                <w:kern w:val="0"/>
                <w:sz w:val="18"/>
                <w:szCs w:val="18"/>
              </w:rPr>
            </w:pPr>
            <w:r>
              <w:rPr>
                <w:kern w:val="0"/>
                <w:sz w:val="18"/>
                <w:szCs w:val="18"/>
              </w:rPr>
              <w:t>机构</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1</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机构是否健全、分工是否明确。</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机构健全、分工明确（1分）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1</w:t>
            </w:r>
          </w:p>
        </w:tc>
      </w:tr>
      <w:tr>
        <w:tblPrEx>
          <w:tblCellMar>
            <w:top w:w="0" w:type="dxa"/>
            <w:left w:w="108" w:type="dxa"/>
            <w:bottom w:w="0" w:type="dxa"/>
            <w:right w:w="108" w:type="dxa"/>
          </w:tblCellMar>
        </w:tblPrEx>
        <w:trPr>
          <w:trHeight w:val="766"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管理</w:t>
            </w:r>
          </w:p>
          <w:p>
            <w:pPr>
              <w:widowControl/>
              <w:spacing w:line="180" w:lineRule="exact"/>
              <w:jc w:val="center"/>
              <w:rPr>
                <w:kern w:val="0"/>
                <w:sz w:val="18"/>
                <w:szCs w:val="18"/>
              </w:rPr>
            </w:pPr>
            <w:r>
              <w:rPr>
                <w:kern w:val="0"/>
                <w:sz w:val="18"/>
                <w:szCs w:val="18"/>
              </w:rPr>
              <w:t>制度</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9</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是否建立健全项目管理制度；是否严格执行相关项目管理制度。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建立健全项目管理制度（2分），严格执行相关项目管理制度（7分</w:t>
            </w:r>
            <w:r>
              <w:rPr>
                <w:rFonts w:hint="eastAsia"/>
                <w:kern w:val="0"/>
                <w:sz w:val="18"/>
                <w:szCs w:val="18"/>
              </w:rPr>
              <w:t>）</w:t>
            </w:r>
            <w:r>
              <w:rPr>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9</w:t>
            </w:r>
          </w:p>
        </w:tc>
      </w:tr>
      <w:tr>
        <w:tblPrEx>
          <w:tblCellMar>
            <w:top w:w="0" w:type="dxa"/>
            <w:left w:w="108" w:type="dxa"/>
            <w:bottom w:w="0" w:type="dxa"/>
            <w:right w:w="108" w:type="dxa"/>
          </w:tblCellMar>
        </w:tblPrEx>
        <w:trPr>
          <w:trHeight w:val="442"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绩效</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55</w:t>
            </w: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项目产出</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15</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数量</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5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项目产出数量是否达到绩效目标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对照绩效目标评价产出数量（5分）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质量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4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项目产出质量是否达到绩效目标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对照绩效目标评价产出质量（4分）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项目产出时效是否达到绩效目标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对照绩效目标评价产出时效（3分）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成本</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项目产出成本是否按绩效目标控制</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对照绩效目标评价产出成本（3分）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项目效果</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经济</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项目实施是否产生直接或间接经济效益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对照绩效目标评价经济效益（8分）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社会</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项目实施是否产生社会综合效益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对照绩效目标评价社会效益（8分）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28"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环境</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项目实施是否对环境产生积极或消极影响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对照绩效目标评价环境效益（8分）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6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可持续影响</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项目实施对人、自然、资源是否带来可持续影响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对照绩效目标评价可持续影响（8分）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服务对象满意度</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项目预期服务对象对项目实施的满意程度</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对照绩效目标评价服务对象满意度（8分）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tcBorders>
              <w:top w:val="nil"/>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总分</w:t>
            </w:r>
          </w:p>
        </w:tc>
        <w:tc>
          <w:tcPr>
            <w:tcW w:w="486"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626"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62"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824"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495"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2429"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2972"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09"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100</w:t>
            </w:r>
          </w:p>
        </w:tc>
      </w:tr>
    </w:tbl>
    <w:p>
      <w:pPr>
        <w:tabs>
          <w:tab w:val="left" w:pos="2720"/>
        </w:tabs>
        <w:ind w:right="640"/>
        <w:rPr>
          <w:sz w:val="18"/>
          <w:szCs w:val="18"/>
        </w:rPr>
      </w:pPr>
      <w:r>
        <w:rPr>
          <w:sz w:val="18"/>
          <w:szCs w:val="18"/>
        </w:rPr>
        <w:t>说明：评分95-100分为优秀，85-94.9分为良好，70-84.9分为合格，70分以下为不合格。</w:t>
      </w:r>
    </w:p>
    <w:p>
      <w:pPr>
        <w:spacing w:line="580" w:lineRule="exact"/>
        <w:jc w:val="center"/>
        <w:rPr>
          <w:rFonts w:ascii="黑体" w:hAnsi="黑体" w:eastAsia="黑体" w:cs="方正小标宋简体"/>
          <w:w w:val="86"/>
          <w:sz w:val="44"/>
          <w:szCs w:val="44"/>
        </w:rPr>
      </w:pPr>
      <w:r>
        <w:rPr>
          <w:rFonts w:ascii="黑体" w:hAnsi="黑体" w:eastAsia="黑体" w:cs="方正小标宋简体"/>
          <w:w w:val="86"/>
          <w:sz w:val="44"/>
          <w:szCs w:val="44"/>
        </w:rPr>
        <w:t>20</w:t>
      </w:r>
      <w:r>
        <w:rPr>
          <w:rFonts w:hint="eastAsia" w:ascii="黑体" w:hAnsi="黑体" w:eastAsia="黑体" w:cs="方正小标宋简体"/>
          <w:w w:val="86"/>
          <w:sz w:val="44"/>
          <w:szCs w:val="44"/>
        </w:rPr>
        <w:t>20年疫情防控工作经费项目支出绩效评价报告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widowControl/>
        <w:jc w:val="left"/>
      </w:pPr>
      <w:r>
        <w:rPr>
          <w:rFonts w:ascii="仿宋_GB2312" w:hAnsi="宋体" w:eastAsia="仿宋_GB2312" w:cs="仿宋_GB2312"/>
          <w:color w:val="333333"/>
          <w:kern w:val="0"/>
          <w:sz w:val="31"/>
          <w:szCs w:val="31"/>
        </w:rPr>
        <w:t xml:space="preserve">根据项目申报相关要求，严格按照预算管理及自下而上、逐 </w:t>
      </w:r>
    </w:p>
    <w:p>
      <w:pPr>
        <w:widowControl/>
        <w:jc w:val="left"/>
      </w:pPr>
      <w:r>
        <w:rPr>
          <w:rFonts w:hint="eastAsia" w:ascii="仿宋_GB2312" w:hAnsi="宋体" w:eastAsia="仿宋_GB2312" w:cs="仿宋_GB2312"/>
          <w:color w:val="333333"/>
          <w:kern w:val="0"/>
          <w:sz w:val="31"/>
          <w:szCs w:val="31"/>
        </w:rPr>
        <w:t>级根据需要，编制项目支出计划。在对各项目申报材料和项目支出预算合理性、可行性和必要性进行审核的基础上，按照部门预算管理程序和要求编制项目支出预算。在项目组织的过程中能做到有依有据，合理合法，监管与审核并重，项目组织程序有序，有利于保障和提高项目实施效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pPr>
      <w:r>
        <w:rPr>
          <w:rFonts w:hint="eastAsia" w:ascii="仿宋" w:hAnsi="仿宋" w:eastAsia="仿宋" w:cs="仿宋_GB2312"/>
          <w:sz w:val="32"/>
          <w:szCs w:val="32"/>
        </w:rPr>
        <w:t>（一）评价结论：</w:t>
      </w:r>
      <w:r>
        <w:rPr>
          <w:rFonts w:ascii="仿宋_GB2312" w:hAnsi="宋体" w:eastAsia="仿宋_GB2312" w:cs="仿宋_GB2312"/>
          <w:color w:val="333333"/>
          <w:kern w:val="0"/>
          <w:sz w:val="31"/>
          <w:szCs w:val="31"/>
        </w:rPr>
        <w:t>总体上看，我</w:t>
      </w:r>
      <w:r>
        <w:rPr>
          <w:rFonts w:hint="eastAsia" w:ascii="仿宋_GB2312" w:hAnsi="宋体" w:eastAsia="仿宋_GB2312" w:cs="仿宋_GB2312"/>
          <w:color w:val="333333"/>
          <w:kern w:val="0"/>
          <w:sz w:val="31"/>
          <w:szCs w:val="31"/>
        </w:rPr>
        <w:t>中心</w:t>
      </w:r>
      <w:r>
        <w:rPr>
          <w:rFonts w:ascii="仿宋_GB2312" w:hAnsi="宋体" w:eastAsia="仿宋_GB2312" w:cs="仿宋_GB2312"/>
          <w:color w:val="333333"/>
          <w:kern w:val="0"/>
          <w:sz w:val="31"/>
          <w:szCs w:val="31"/>
        </w:rPr>
        <w:t>内部控制制度较为规范健全。项目总预算</w:t>
      </w:r>
      <w:r>
        <w:rPr>
          <w:rFonts w:hint="eastAsia" w:ascii="仿宋_GB2312" w:hAnsi="宋体" w:eastAsia="仿宋_GB2312" w:cs="仿宋_GB2312"/>
          <w:color w:val="333333"/>
          <w:kern w:val="0"/>
          <w:sz w:val="31"/>
          <w:szCs w:val="31"/>
        </w:rPr>
        <w:t xml:space="preserve">3万元，总支出3万元。资金到位率 100％，资金使用率 100％。项目资金使用均按照年度预算批复的用途使用。 </w:t>
      </w:r>
    </w:p>
    <w:p>
      <w:pPr>
        <w:widowControl/>
        <w:ind w:firstLine="620" w:firstLineChars="200"/>
        <w:jc w:val="left"/>
      </w:pPr>
      <w:r>
        <w:rPr>
          <w:rFonts w:hint="eastAsia" w:ascii="仿宋_GB2312" w:hAnsi="仿宋_GB2312" w:eastAsia="仿宋_GB2312" w:cs="仿宋_GB2312"/>
          <w:color w:val="000000"/>
          <w:kern w:val="0"/>
          <w:sz w:val="31"/>
          <w:szCs w:val="31"/>
        </w:rPr>
        <w:t>（二）项目绩效情况</w:t>
      </w:r>
      <w:r>
        <w:rPr>
          <w:rFonts w:hint="eastAsia" w:ascii="楷体_GB2312" w:hAnsi="宋体" w:eastAsia="楷体_GB2312" w:cs="楷体_GB2312"/>
          <w:color w:val="000000"/>
          <w:kern w:val="0"/>
          <w:sz w:val="31"/>
          <w:szCs w:val="31"/>
        </w:rPr>
        <w:t xml:space="preserve"> </w:t>
      </w:r>
    </w:p>
    <w:p>
      <w:pPr>
        <w:widowControl/>
        <w:ind w:firstLine="620" w:firstLineChars="200"/>
        <w:jc w:val="left"/>
      </w:pPr>
      <w:r>
        <w:rPr>
          <w:rFonts w:hint="eastAsia" w:ascii="仿宋_GB2312" w:hAnsi="宋体" w:eastAsia="仿宋_GB2312" w:cs="仿宋_GB2312"/>
          <w:color w:val="000000"/>
          <w:kern w:val="0"/>
          <w:sz w:val="31"/>
          <w:szCs w:val="31"/>
        </w:rPr>
        <w:t xml:space="preserve">（1）项目绩效目标完成情况分析。 </w:t>
      </w:r>
    </w:p>
    <w:p>
      <w:pPr>
        <w:ind w:firstLine="620" w:firstLineChars="200"/>
        <w:jc w:val="left"/>
      </w:pPr>
      <w:r>
        <w:rPr>
          <w:rFonts w:hint="eastAsia" w:ascii="仿宋_GB2312" w:hAnsi="宋体" w:eastAsia="仿宋_GB2312" w:cs="仿宋_GB2312"/>
          <w:color w:val="000000"/>
          <w:kern w:val="0"/>
          <w:sz w:val="31"/>
          <w:szCs w:val="31"/>
        </w:rPr>
        <w:t>①项目成本（预算）控制情况。 本项目预算3万元, 全部用于区直机关</w:t>
      </w:r>
      <w:r>
        <w:rPr>
          <w:rFonts w:hint="eastAsia" w:ascii="仿宋_GB2312" w:hAnsi="仿宋_GB2312" w:eastAsia="仿宋_GB2312" w:cs="仿宋_GB2312"/>
          <w:sz w:val="32"/>
          <w:szCs w:val="32"/>
        </w:rPr>
        <w:t>公职人员疫情防控管理</w:t>
      </w:r>
      <w:r>
        <w:rPr>
          <w:rFonts w:hint="eastAsia" w:ascii="仿宋_GB2312" w:hAnsi="宋体" w:eastAsia="仿宋_GB2312" w:cs="仿宋_GB2312"/>
          <w:color w:val="000000"/>
          <w:kern w:val="0"/>
          <w:sz w:val="31"/>
          <w:szCs w:val="31"/>
        </w:rPr>
        <w:t>工作、</w:t>
      </w:r>
      <w:r>
        <w:rPr>
          <w:rFonts w:hint="eastAsia" w:ascii="仿宋_GB2312" w:hAnsi="仿宋_GB2312" w:eastAsia="仿宋_GB2312" w:cs="仿宋_GB2312"/>
          <w:sz w:val="32"/>
          <w:szCs w:val="32"/>
        </w:rPr>
        <w:t>机关单位办公场所和中心城区老旧楼栋疫情防控工作</w:t>
      </w:r>
      <w:r>
        <w:rPr>
          <w:rFonts w:hint="eastAsia" w:ascii="仿宋_GB2312" w:hAnsi="宋体" w:eastAsia="仿宋_GB2312" w:cs="仿宋_GB2312"/>
          <w:color w:val="000000"/>
          <w:kern w:val="0"/>
          <w:sz w:val="31"/>
          <w:szCs w:val="31"/>
        </w:rPr>
        <w:t>。</w:t>
      </w:r>
    </w:p>
    <w:p>
      <w:pPr>
        <w:ind w:firstLine="620" w:firstLineChars="200"/>
        <w:jc w:val="left"/>
      </w:pPr>
      <w:r>
        <w:rPr>
          <w:rFonts w:hint="eastAsia" w:ascii="仿宋_GB2312" w:hAnsi="宋体" w:eastAsia="仿宋_GB2312" w:cs="仿宋_GB2312"/>
          <w:color w:val="000000"/>
          <w:kern w:val="0"/>
          <w:sz w:val="31"/>
          <w:szCs w:val="31"/>
        </w:rPr>
        <w:t xml:space="preserve">②项目成本（预算）节约情况。 2020年度该项目的预算为 3万元，实际支出3 万元。 </w:t>
      </w:r>
    </w:p>
    <w:p>
      <w:pPr>
        <w:spacing w:line="560" w:lineRule="exact"/>
        <w:ind w:firstLine="620" w:firstLineChars="200"/>
        <w:rPr>
          <w:rFonts w:ascii="仿宋_GB2312" w:hAnsi="仿宋" w:eastAsia="仿宋_GB2312"/>
          <w:sz w:val="32"/>
          <w:szCs w:val="32"/>
        </w:rPr>
      </w:pPr>
      <w:r>
        <w:rPr>
          <w:rFonts w:hint="eastAsia" w:ascii="仿宋_GB2312" w:hAnsi="宋体" w:eastAsia="仿宋_GB2312" w:cs="仿宋_GB2312"/>
          <w:color w:val="000000"/>
          <w:kern w:val="0"/>
          <w:sz w:val="31"/>
          <w:szCs w:val="31"/>
        </w:rPr>
        <w:t>③项目的效率性分析。 该项目到 2020年底已完成了预期工作目标。项目完成质量较好，毫不松懈的抓好了常态化疫情防控，</w:t>
      </w:r>
      <w:r>
        <w:rPr>
          <w:rFonts w:hint="eastAsia" w:ascii="仿宋_GB2312" w:eastAsia="仿宋_GB2312"/>
          <w:sz w:val="32"/>
          <w:szCs w:val="32"/>
        </w:rPr>
        <w:t>确保了疫情防控和经济社会发展两不误。</w:t>
      </w:r>
      <w:r>
        <w:rPr>
          <w:rFonts w:hint="eastAsia" w:ascii="仿宋_GB2312" w:hAnsi="宋体" w:eastAsia="仿宋_GB2312" w:cs="仿宋_GB2312"/>
          <w:color w:val="000000"/>
          <w:kern w:val="0"/>
          <w:sz w:val="31"/>
          <w:szCs w:val="31"/>
        </w:rPr>
        <w:t xml:space="preserve">2020年度项目绩效目标全部完成。 </w:t>
      </w:r>
    </w:p>
    <w:p>
      <w:pPr>
        <w:widowControl/>
        <w:ind w:firstLine="620" w:firstLineChars="200"/>
        <w:jc w:val="left"/>
      </w:pPr>
      <w:r>
        <w:rPr>
          <w:rFonts w:ascii="黑体" w:hAnsi="宋体" w:eastAsia="黑体" w:cs="黑体"/>
          <w:color w:val="000000"/>
          <w:kern w:val="0"/>
          <w:sz w:val="31"/>
          <w:szCs w:val="31"/>
        </w:rPr>
        <w:t xml:space="preserve">三、存在主要问题 </w:t>
      </w:r>
    </w:p>
    <w:p>
      <w:pPr>
        <w:widowControl/>
        <w:ind w:firstLine="620" w:firstLineChars="200"/>
        <w:jc w:val="left"/>
      </w:pPr>
      <w:r>
        <w:rPr>
          <w:rFonts w:hint="eastAsia" w:ascii="仿宋_GB2312" w:hAnsi="宋体" w:eastAsia="仿宋_GB2312" w:cs="仿宋_GB2312"/>
          <w:color w:val="333333"/>
          <w:kern w:val="0"/>
          <w:sz w:val="31"/>
          <w:szCs w:val="31"/>
        </w:rPr>
        <w:t xml:space="preserve">1、绩效目标设立不够明确、细化和量化； </w:t>
      </w:r>
    </w:p>
    <w:p>
      <w:pPr>
        <w:widowControl/>
        <w:ind w:firstLine="620" w:firstLineChars="200"/>
        <w:jc w:val="left"/>
      </w:pPr>
      <w:r>
        <w:rPr>
          <w:rFonts w:hint="eastAsia" w:ascii="仿宋_GB2312" w:hAnsi="宋体" w:eastAsia="仿宋_GB2312" w:cs="仿宋_GB2312"/>
          <w:color w:val="000000"/>
          <w:kern w:val="0"/>
          <w:sz w:val="31"/>
          <w:szCs w:val="31"/>
        </w:rPr>
        <w:t>2、</w:t>
      </w:r>
      <w:r>
        <w:rPr>
          <w:rFonts w:hint="eastAsia" w:ascii="仿宋_GB2312" w:hAnsi="宋体" w:eastAsia="仿宋_GB2312" w:cs="仿宋_GB2312"/>
          <w:color w:val="333333"/>
          <w:kern w:val="0"/>
          <w:sz w:val="31"/>
          <w:szCs w:val="31"/>
        </w:rPr>
        <w:t xml:space="preserve">专项资金管理制度不够健全。虽然我中心财务管理制度总体 上较为健全，制定了合法、合规、完整的业务管理制度，但暂时 还未制订专门的项目资金管理办法。 </w:t>
      </w:r>
    </w:p>
    <w:p>
      <w:pPr>
        <w:widowControl/>
        <w:ind w:firstLine="620" w:firstLineChars="200"/>
        <w:jc w:val="left"/>
      </w:pPr>
      <w:r>
        <w:rPr>
          <w:rFonts w:hint="eastAsia" w:ascii="黑体" w:hAnsi="宋体" w:eastAsia="黑体" w:cs="黑体"/>
          <w:color w:val="000000"/>
          <w:kern w:val="0"/>
          <w:sz w:val="31"/>
          <w:szCs w:val="31"/>
        </w:rPr>
        <w:t xml:space="preserve">四、相关措施建议 </w:t>
      </w:r>
    </w:p>
    <w:p>
      <w:pPr>
        <w:widowControl/>
        <w:ind w:firstLine="620" w:firstLineChars="200"/>
        <w:jc w:val="left"/>
      </w:pPr>
      <w:r>
        <w:rPr>
          <w:rFonts w:hint="eastAsia" w:ascii="仿宋_GB2312" w:hAnsi="宋体" w:eastAsia="仿宋_GB2312" w:cs="仿宋_GB2312"/>
          <w:color w:val="000000"/>
          <w:kern w:val="0"/>
          <w:sz w:val="31"/>
          <w:szCs w:val="31"/>
        </w:rPr>
        <w:t xml:space="preserve">1、进一步健全和完善财务管理制度及内部控制制度，创新管理手段，用新思路、新方法，改进完善财务管理方法。 </w:t>
      </w:r>
    </w:p>
    <w:p>
      <w:pPr>
        <w:widowControl/>
        <w:ind w:firstLine="620" w:firstLineChars="200"/>
        <w:jc w:val="left"/>
      </w:pPr>
      <w:r>
        <w:rPr>
          <w:rFonts w:hint="eastAsia" w:ascii="仿宋_GB2312" w:hAnsi="宋体" w:eastAsia="仿宋_GB2312" w:cs="仿宋_GB2312"/>
          <w:color w:val="000000"/>
          <w:kern w:val="0"/>
          <w:sz w:val="31"/>
          <w:szCs w:val="31"/>
        </w:rPr>
        <w:t>2、按照财政支出绩效管理的要求，建立科学的财政资金效益 考评制度体系，不断提高财政资金使用管理的水平和效率。</w:t>
      </w:r>
    </w:p>
    <w:p>
      <w:pPr>
        <w:spacing w:line="600" w:lineRule="exact"/>
        <w:jc w:val="center"/>
        <w:outlineLvl w:val="0"/>
        <w:rPr>
          <w:rFonts w:ascii="黑体" w:hAnsi="黑体" w:eastAsia="黑体"/>
          <w:color w:val="000000"/>
          <w:sz w:val="44"/>
          <w:szCs w:val="44"/>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广元市朝天区直属机关党建事务中心</w:t>
      </w: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疫情防控工作专项资金</w:t>
      </w:r>
      <w:r>
        <w:rPr>
          <w:rFonts w:ascii="仿宋" w:hAnsi="仿宋" w:eastAsia="仿宋"/>
          <w:b/>
          <w:bCs/>
          <w:sz w:val="32"/>
          <w:szCs w:val="32"/>
        </w:rPr>
        <w:t>绩效评价指标评分表</w:t>
      </w:r>
    </w:p>
    <w:tbl>
      <w:tblPr>
        <w:tblStyle w:val="13"/>
        <w:tblW w:w="9519" w:type="dxa"/>
        <w:jc w:val="center"/>
        <w:tblLayout w:type="fixed"/>
        <w:tblCellMar>
          <w:top w:w="0" w:type="dxa"/>
          <w:left w:w="108" w:type="dxa"/>
          <w:bottom w:w="0" w:type="dxa"/>
          <w:right w:w="108" w:type="dxa"/>
        </w:tblCellMar>
      </w:tblPr>
      <w:tblGrid>
        <w:gridCol w:w="616"/>
        <w:gridCol w:w="486"/>
        <w:gridCol w:w="626"/>
        <w:gridCol w:w="562"/>
        <w:gridCol w:w="824"/>
        <w:gridCol w:w="495"/>
        <w:gridCol w:w="2429"/>
        <w:gridCol w:w="2972"/>
        <w:gridCol w:w="509"/>
      </w:tblGrid>
      <w:tr>
        <w:tblPrEx>
          <w:tblCellMar>
            <w:top w:w="0" w:type="dxa"/>
            <w:left w:w="108" w:type="dxa"/>
            <w:bottom w:w="0" w:type="dxa"/>
            <w:right w:w="108" w:type="dxa"/>
          </w:tblCellMar>
        </w:tblPrEx>
        <w:trPr>
          <w:trHeight w:val="46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一级</w:t>
            </w:r>
          </w:p>
          <w:p>
            <w:pPr>
              <w:widowControl/>
              <w:spacing w:line="180" w:lineRule="exact"/>
              <w:jc w:val="center"/>
              <w:rPr>
                <w:bCs/>
                <w:kern w:val="0"/>
                <w:sz w:val="18"/>
                <w:szCs w:val="18"/>
              </w:rPr>
            </w:pPr>
            <w:r>
              <w:rPr>
                <w:bCs/>
                <w:kern w:val="0"/>
                <w:sz w:val="18"/>
                <w:szCs w:val="18"/>
              </w:rPr>
              <w:t>指标</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29" w:leftChars="-14" w:right="-113" w:rightChars="-54"/>
              <w:rPr>
                <w:kern w:val="0"/>
                <w:sz w:val="18"/>
                <w:szCs w:val="18"/>
              </w:rPr>
            </w:pPr>
            <w:r>
              <w:rPr>
                <w:kern w:val="0"/>
                <w:sz w:val="18"/>
                <w:szCs w:val="18"/>
              </w:rPr>
              <w:t>分值</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二级指标</w:t>
            </w:r>
          </w:p>
        </w:tc>
        <w:tc>
          <w:tcPr>
            <w:tcW w:w="562" w:type="dxa"/>
            <w:tcBorders>
              <w:top w:val="single" w:color="auto" w:sz="4" w:space="0"/>
              <w:left w:val="nil"/>
              <w:bottom w:val="nil"/>
              <w:right w:val="single" w:color="auto" w:sz="4" w:space="0"/>
            </w:tcBorders>
            <w:vAlign w:val="center"/>
          </w:tcPr>
          <w:p>
            <w:pPr>
              <w:widowControl/>
              <w:spacing w:line="180" w:lineRule="exact"/>
              <w:ind w:right="-67" w:rightChars="-32"/>
              <w:jc w:val="center"/>
              <w:rPr>
                <w:bCs/>
                <w:kern w:val="0"/>
                <w:sz w:val="18"/>
                <w:szCs w:val="18"/>
              </w:rPr>
            </w:pPr>
            <w:r>
              <w:rPr>
                <w:bCs/>
                <w:kern w:val="0"/>
                <w:sz w:val="18"/>
                <w:szCs w:val="18"/>
              </w:rPr>
              <w:t>分值</w:t>
            </w:r>
          </w:p>
        </w:tc>
        <w:tc>
          <w:tcPr>
            <w:tcW w:w="824"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三级指标</w:t>
            </w:r>
          </w:p>
        </w:tc>
        <w:tc>
          <w:tcPr>
            <w:tcW w:w="495" w:type="dxa"/>
            <w:tcBorders>
              <w:top w:val="single" w:color="auto" w:sz="4" w:space="0"/>
              <w:left w:val="nil"/>
              <w:bottom w:val="nil"/>
              <w:right w:val="single" w:color="auto" w:sz="4" w:space="0"/>
            </w:tcBorders>
            <w:vAlign w:val="center"/>
          </w:tcPr>
          <w:p>
            <w:pPr>
              <w:widowControl/>
              <w:spacing w:line="180" w:lineRule="exact"/>
              <w:ind w:right="-218" w:rightChars="-104"/>
              <w:rPr>
                <w:bCs/>
                <w:kern w:val="0"/>
                <w:sz w:val="18"/>
                <w:szCs w:val="18"/>
              </w:rPr>
            </w:pPr>
            <w:r>
              <w:rPr>
                <w:bCs/>
                <w:kern w:val="0"/>
                <w:sz w:val="18"/>
                <w:szCs w:val="18"/>
              </w:rPr>
              <w:t>分值</w:t>
            </w:r>
          </w:p>
        </w:tc>
        <w:tc>
          <w:tcPr>
            <w:tcW w:w="242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指标解释</w:t>
            </w:r>
          </w:p>
        </w:tc>
        <w:tc>
          <w:tcPr>
            <w:tcW w:w="2972"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评价标准</w:t>
            </w:r>
          </w:p>
        </w:tc>
        <w:tc>
          <w:tcPr>
            <w:tcW w:w="50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得分</w:t>
            </w:r>
          </w:p>
        </w:tc>
      </w:tr>
      <w:tr>
        <w:tblPrEx>
          <w:tblCellMar>
            <w:top w:w="0" w:type="dxa"/>
            <w:left w:w="108" w:type="dxa"/>
            <w:bottom w:w="0" w:type="dxa"/>
            <w:right w:w="108" w:type="dxa"/>
          </w:tblCellMar>
        </w:tblPrEx>
        <w:trPr>
          <w:trHeight w:val="391" w:hRule="atLeast"/>
          <w:jc w:val="center"/>
        </w:trPr>
        <w:tc>
          <w:tcPr>
            <w:tcW w:w="6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决策</w:t>
            </w:r>
          </w:p>
        </w:tc>
        <w:tc>
          <w:tcPr>
            <w:tcW w:w="48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20</w:t>
            </w:r>
          </w:p>
        </w:tc>
        <w:tc>
          <w:tcPr>
            <w:tcW w:w="626"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项目目标</w:t>
            </w:r>
          </w:p>
        </w:tc>
        <w:tc>
          <w:tcPr>
            <w:tcW w:w="562"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目标</w:t>
            </w:r>
          </w:p>
          <w:p>
            <w:pPr>
              <w:widowControl/>
              <w:spacing w:line="180" w:lineRule="exact"/>
              <w:jc w:val="center"/>
              <w:rPr>
                <w:kern w:val="0"/>
                <w:sz w:val="18"/>
                <w:szCs w:val="18"/>
              </w:rPr>
            </w:pPr>
            <w:r>
              <w:rPr>
                <w:kern w:val="0"/>
                <w:sz w:val="18"/>
                <w:szCs w:val="18"/>
              </w:rPr>
              <w:t>内容</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2429" w:type="dxa"/>
            <w:tcBorders>
              <w:top w:val="single" w:color="auto" w:sz="4" w:space="0"/>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目标是否明确、细化、量化</w:t>
            </w:r>
            <w:r>
              <w:rPr>
                <w:rFonts w:hint="eastAsia"/>
                <w:kern w:val="0"/>
                <w:sz w:val="18"/>
                <w:szCs w:val="18"/>
              </w:rPr>
              <w:t>。</w:t>
            </w:r>
          </w:p>
        </w:tc>
        <w:tc>
          <w:tcPr>
            <w:tcW w:w="2972" w:type="dxa"/>
            <w:tcBorders>
              <w:top w:val="single" w:color="auto" w:sz="4" w:space="0"/>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目标明确（1分），目标细化（1分），目标量化（2分）。</w:t>
            </w:r>
          </w:p>
        </w:tc>
        <w:tc>
          <w:tcPr>
            <w:tcW w:w="509"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739"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决策过程</w:t>
            </w:r>
          </w:p>
        </w:tc>
        <w:tc>
          <w:tcPr>
            <w:tcW w:w="56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依据</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项目是否符合经济社会发展规划和部门年度工作计划；是否根据需要制定中长期实施规划。</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项目符合经济社会发展规划和部门年度工作计划（2分），根据需要制定中长期实施规划（1分）。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834"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程序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项目是否符合申报条件；申报、批复程序是否符合相关管理办法；项目调整是否履行相应手续。</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项目符合申报条件（2分），申报、批复程序符合相关管理办法（2分），项目实施调整履行相应手续（1分）。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915"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资金分配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办法</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是否根据需要制定相关资金管理办法，并在管理办法中明确资金分配办法；资金分配因素是否全面、合理。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办法健全、规范（1分），因素选择全面、合理（1分）。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390"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结果</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6</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资金分配是否符合相关管理办法；分配结果是否合理。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项目符合相关分配办法（2分），资金分配合理（4分）。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6</w:t>
            </w:r>
          </w:p>
        </w:tc>
      </w:tr>
      <w:tr>
        <w:tblPrEx>
          <w:tblCellMar>
            <w:top w:w="0" w:type="dxa"/>
            <w:left w:w="108" w:type="dxa"/>
            <w:bottom w:w="0" w:type="dxa"/>
            <w:right w:w="108" w:type="dxa"/>
          </w:tblCellMar>
        </w:tblPrEx>
        <w:trPr>
          <w:trHeight w:val="504"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管理</w:t>
            </w:r>
          </w:p>
        </w:tc>
        <w:tc>
          <w:tcPr>
            <w:tcW w:w="48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25</w:t>
            </w: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资金到位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到位率</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实际到位/计划到位×100%</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根据项目实际到位资金占计划的比重计算得分（3分）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68"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资金是否及时到位；若未及时到位，是否影响项目进度。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及时到位（2分），未及时到位但未影响项目进度（1.5分），未及时到位并影响项目进度（0-1分）。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86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资金管理</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资金</w:t>
            </w:r>
          </w:p>
          <w:p>
            <w:pPr>
              <w:widowControl/>
              <w:spacing w:line="180" w:lineRule="exact"/>
              <w:jc w:val="center"/>
              <w:rPr>
                <w:kern w:val="0"/>
                <w:sz w:val="18"/>
                <w:szCs w:val="18"/>
              </w:rPr>
            </w:pPr>
            <w:r>
              <w:rPr>
                <w:kern w:val="0"/>
                <w:sz w:val="18"/>
                <w:szCs w:val="18"/>
              </w:rPr>
              <w:t>使用</w:t>
            </w:r>
          </w:p>
        </w:tc>
        <w:tc>
          <w:tcPr>
            <w:tcW w:w="495"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7</w:t>
            </w:r>
          </w:p>
        </w:tc>
        <w:tc>
          <w:tcPr>
            <w:tcW w:w="2429" w:type="dxa"/>
            <w:tcBorders>
              <w:top w:val="nil"/>
              <w:left w:val="nil"/>
              <w:bottom w:val="single" w:color="auto" w:sz="4" w:space="0"/>
              <w:right w:val="single" w:color="auto" w:sz="4" w:space="0"/>
            </w:tcBorders>
            <w:vAlign w:val="center"/>
          </w:tcPr>
          <w:p>
            <w:pPr>
              <w:widowControl/>
              <w:spacing w:line="180" w:lineRule="exact"/>
              <w:rPr>
                <w:spacing w:val="-6"/>
                <w:kern w:val="0"/>
                <w:sz w:val="18"/>
                <w:szCs w:val="18"/>
              </w:rPr>
            </w:pPr>
            <w:r>
              <w:rPr>
                <w:spacing w:val="-6"/>
                <w:kern w:val="0"/>
                <w:sz w:val="18"/>
                <w:szCs w:val="18"/>
              </w:rPr>
              <w:t>是否存在支出依据不合规、虚列项目支出的情况；是否存在截留、挤占、挪用项目资金情况；是否存在超标准开支情况。</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虚列（套取）扣4-7分，支出依据不合规扣1分，截留、挤占、挪用扣3-6分，超标准开支扣2-5分。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7</w:t>
            </w:r>
          </w:p>
        </w:tc>
      </w:tr>
      <w:tr>
        <w:tblPrEx>
          <w:tblCellMar>
            <w:top w:w="0" w:type="dxa"/>
            <w:left w:w="108" w:type="dxa"/>
            <w:bottom w:w="0" w:type="dxa"/>
            <w:right w:w="108" w:type="dxa"/>
          </w:tblCellMar>
        </w:tblPrEx>
        <w:trPr>
          <w:trHeight w:val="523"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财务</w:t>
            </w:r>
          </w:p>
          <w:p>
            <w:pPr>
              <w:widowControl/>
              <w:spacing w:line="180" w:lineRule="exact"/>
              <w:jc w:val="center"/>
              <w:rPr>
                <w:kern w:val="0"/>
                <w:sz w:val="18"/>
                <w:szCs w:val="18"/>
              </w:rPr>
            </w:pPr>
            <w:r>
              <w:rPr>
                <w:kern w:val="0"/>
                <w:sz w:val="18"/>
                <w:szCs w:val="18"/>
              </w:rPr>
              <w:t>管理</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资金管理、费用支出等制度是否健全，是否严格执行；会计核算是否规范</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财务制度健全（1分），严格执行制度（1分），会计核算规范（1分）。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50"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组织实施</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组织</w:t>
            </w:r>
          </w:p>
          <w:p>
            <w:pPr>
              <w:widowControl/>
              <w:spacing w:line="180" w:lineRule="exact"/>
              <w:jc w:val="center"/>
              <w:rPr>
                <w:kern w:val="0"/>
                <w:sz w:val="18"/>
                <w:szCs w:val="18"/>
              </w:rPr>
            </w:pPr>
            <w:r>
              <w:rPr>
                <w:kern w:val="0"/>
                <w:sz w:val="18"/>
                <w:szCs w:val="18"/>
              </w:rPr>
              <w:t>机构</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1</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机构是否健全、分工是否明确。</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机构健全、分工明确（1分）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1</w:t>
            </w:r>
          </w:p>
        </w:tc>
      </w:tr>
      <w:tr>
        <w:tblPrEx>
          <w:tblCellMar>
            <w:top w:w="0" w:type="dxa"/>
            <w:left w:w="108" w:type="dxa"/>
            <w:bottom w:w="0" w:type="dxa"/>
            <w:right w:w="108" w:type="dxa"/>
          </w:tblCellMar>
        </w:tblPrEx>
        <w:trPr>
          <w:trHeight w:val="766"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管理</w:t>
            </w:r>
          </w:p>
          <w:p>
            <w:pPr>
              <w:widowControl/>
              <w:spacing w:line="180" w:lineRule="exact"/>
              <w:jc w:val="center"/>
              <w:rPr>
                <w:kern w:val="0"/>
                <w:sz w:val="18"/>
                <w:szCs w:val="18"/>
              </w:rPr>
            </w:pPr>
            <w:r>
              <w:rPr>
                <w:kern w:val="0"/>
                <w:sz w:val="18"/>
                <w:szCs w:val="18"/>
              </w:rPr>
              <w:t>制度</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9</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是否建立健全项目管理制度；是否严格执行相关项目管理制度。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建立健全项目管理制度（2分），严格执行相关项目管理制度（7分</w:t>
            </w:r>
            <w:r>
              <w:rPr>
                <w:rFonts w:hint="eastAsia"/>
                <w:kern w:val="0"/>
                <w:sz w:val="18"/>
                <w:szCs w:val="18"/>
              </w:rPr>
              <w:t>）</w:t>
            </w:r>
            <w:r>
              <w:rPr>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9</w:t>
            </w:r>
          </w:p>
        </w:tc>
      </w:tr>
      <w:tr>
        <w:tblPrEx>
          <w:tblCellMar>
            <w:top w:w="0" w:type="dxa"/>
            <w:left w:w="108" w:type="dxa"/>
            <w:bottom w:w="0" w:type="dxa"/>
            <w:right w:w="108" w:type="dxa"/>
          </w:tblCellMar>
        </w:tblPrEx>
        <w:trPr>
          <w:trHeight w:val="442"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绩效</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55</w:t>
            </w: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项目产出</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15</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数量</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5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项目产出数量是否达到绩效目标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对照绩效目标评价产出数量（5分）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质量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4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项目产出质量是否达到绩效目标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对照绩效目标评价产出质量（4分）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项目产出时效是否达到绩效目标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对照绩效目标评价产出时效（3分）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成本</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项目产出成本是否按绩效目标控制</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对照绩效目标评价产出成本（3分）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项目效果</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经济</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项目实施是否产生直接或间接经济效益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对照绩效目标评价经济效益（8分）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社会</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项目实施是否产生社会综合效益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对照绩效目标评价社会效益（8分）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28"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环境</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项目实施是否对环境产生积极或消极影响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对照绩效目标评价环境效益（8分）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6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可持续影响</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项目实施对人、自然、资源是否带来可持续影响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对照绩效目标评价可持续影响（8分）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服务对象满意度</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项目预期服务对象对项目实施的满意程度</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对照绩效目标评价服务对象满意度（8分）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tcBorders>
              <w:top w:val="nil"/>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总分</w:t>
            </w:r>
          </w:p>
        </w:tc>
        <w:tc>
          <w:tcPr>
            <w:tcW w:w="486"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626"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62"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824"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495"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2429"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2972"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09"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100</w:t>
            </w:r>
          </w:p>
        </w:tc>
      </w:tr>
    </w:tbl>
    <w:p>
      <w:pPr>
        <w:tabs>
          <w:tab w:val="left" w:pos="2720"/>
        </w:tabs>
        <w:ind w:right="640"/>
        <w:rPr>
          <w:sz w:val="18"/>
          <w:szCs w:val="18"/>
        </w:rPr>
      </w:pPr>
      <w:r>
        <w:rPr>
          <w:sz w:val="18"/>
          <w:szCs w:val="18"/>
        </w:rPr>
        <w:t>说明：评分95-100分为优秀，85-94.9分为良好，70-84.9分为合格，70分以下为不合格。</w:t>
      </w:r>
    </w:p>
    <w:p>
      <w:pPr>
        <w:spacing w:line="600" w:lineRule="exact"/>
        <w:jc w:val="center"/>
        <w:outlineLvl w:val="0"/>
        <w:rPr>
          <w:rFonts w:ascii="黑体" w:hAnsi="黑体" w:eastAsia="黑体"/>
          <w:color w:val="000000"/>
          <w:sz w:val="44"/>
          <w:szCs w:val="44"/>
        </w:rPr>
      </w:pPr>
    </w:p>
    <w:p>
      <w:pPr>
        <w:spacing w:line="600" w:lineRule="exact"/>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0"/>
      <w:bookmarkEnd w:id="54"/>
    </w:p>
    <w:p>
      <w:pPr>
        <w:pStyle w:val="4"/>
        <w:rPr>
          <w:rFonts w:ascii="仿宋" w:hAnsi="仿宋" w:eastAsia="仿宋"/>
          <w:color w:val="000000"/>
        </w:rPr>
      </w:pPr>
      <w:bookmarkStart w:id="55"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55"/>
    </w:p>
    <w:p>
      <w:pPr>
        <w:pStyle w:val="4"/>
        <w:rPr>
          <w:rFonts w:ascii="仿宋" w:hAnsi="仿宋" w:eastAsia="仿宋"/>
          <w:color w:val="000000"/>
        </w:rPr>
      </w:pPr>
      <w:bookmarkStart w:id="56"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56"/>
    </w:p>
    <w:p>
      <w:pPr>
        <w:pStyle w:val="4"/>
        <w:rPr>
          <w:rFonts w:ascii="仿宋" w:hAnsi="仿宋" w:eastAsia="仿宋"/>
          <w:color w:val="000000"/>
        </w:rPr>
      </w:pPr>
      <w:bookmarkStart w:id="57"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57"/>
    </w:p>
    <w:p>
      <w:pPr>
        <w:pStyle w:val="4"/>
        <w:rPr>
          <w:rFonts w:ascii="仿宋" w:hAnsi="仿宋" w:eastAsia="仿宋"/>
          <w:b w:val="0"/>
          <w:color w:val="000000"/>
        </w:rPr>
      </w:pPr>
      <w:bookmarkStart w:id="58"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58"/>
    </w:p>
    <w:p>
      <w:pPr>
        <w:pStyle w:val="4"/>
        <w:rPr>
          <w:rFonts w:ascii="仿宋" w:hAnsi="仿宋" w:eastAsia="仿宋"/>
          <w:color w:val="000000"/>
        </w:rPr>
      </w:pPr>
      <w:bookmarkStart w:id="59"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bookmarkEnd w:id="59"/>
    </w:p>
    <w:p>
      <w:pPr>
        <w:pStyle w:val="4"/>
        <w:rPr>
          <w:rFonts w:ascii="仿宋" w:hAnsi="仿宋" w:eastAsia="仿宋"/>
          <w:color w:val="000000"/>
        </w:rPr>
      </w:pPr>
      <w:bookmarkStart w:id="60" w:name="_Toc1539662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0"/>
    </w:p>
    <w:p>
      <w:pPr>
        <w:pStyle w:val="4"/>
        <w:rPr>
          <w:rFonts w:ascii="仿宋" w:hAnsi="仿宋" w:eastAsia="仿宋"/>
          <w:color w:val="000000"/>
        </w:rPr>
      </w:pPr>
      <w:bookmarkStart w:id="61"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1"/>
    </w:p>
    <w:p>
      <w:pPr>
        <w:pStyle w:val="4"/>
        <w:rPr>
          <w:rFonts w:ascii="仿宋" w:hAnsi="仿宋" w:eastAsia="仿宋"/>
          <w:color w:val="000000"/>
        </w:rPr>
      </w:pPr>
      <w:bookmarkStart w:id="62"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2"/>
    </w:p>
    <w:p>
      <w:pPr>
        <w:pStyle w:val="4"/>
        <w:rPr>
          <w:rFonts w:ascii="仿宋" w:hAnsi="仿宋" w:eastAsia="仿宋"/>
          <w:color w:val="000000"/>
        </w:rPr>
      </w:pPr>
      <w:bookmarkStart w:id="63"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3"/>
    </w:p>
    <w:p>
      <w:pPr>
        <w:pStyle w:val="4"/>
        <w:rPr>
          <w:rFonts w:ascii="仿宋" w:hAnsi="仿宋" w:eastAsia="仿宋"/>
          <w:color w:val="000000"/>
        </w:rPr>
      </w:pPr>
      <w:bookmarkStart w:id="64"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4"/>
    </w:p>
    <w:p>
      <w:pPr>
        <w:pStyle w:val="4"/>
        <w:rPr>
          <w:rFonts w:ascii="仿宋" w:hAnsi="仿宋" w:eastAsia="仿宋"/>
          <w:color w:val="000000"/>
        </w:rPr>
      </w:pPr>
      <w:bookmarkStart w:id="65"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65"/>
    </w:p>
    <w:p>
      <w:pPr>
        <w:pStyle w:val="4"/>
        <w:rPr>
          <w:rFonts w:ascii="仿宋" w:hAnsi="仿宋" w:eastAsia="仿宋"/>
          <w:color w:val="000000"/>
        </w:rPr>
      </w:pPr>
      <w:bookmarkStart w:id="66"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66"/>
    </w:p>
    <w:p>
      <w:pPr>
        <w:pStyle w:val="4"/>
        <w:rPr>
          <w:rStyle w:val="18"/>
          <w:rFonts w:ascii="仿宋" w:hAnsi="仿宋" w:eastAsia="仿宋"/>
          <w:b w:val="0"/>
          <w:bCs w:val="0"/>
        </w:rPr>
      </w:pPr>
      <w:bookmarkStart w:id="67"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有资本经营预算财政拨款收入支出决算表</w:t>
      </w:r>
      <w:bookmarkEnd w:id="67"/>
    </w:p>
    <w:p>
      <w:pPr>
        <w:pStyle w:val="4"/>
        <w:rPr>
          <w:rStyle w:val="18"/>
          <w:rFonts w:ascii="仿宋" w:hAnsi="仿宋" w:eastAsia="仿宋"/>
          <w:b w:val="0"/>
          <w:bCs w:val="0"/>
        </w:rPr>
      </w:pPr>
      <w:r>
        <w:rPr>
          <w:rFonts w:hint="eastAsia" w:ascii="仿宋" w:hAnsi="仿宋" w:eastAsia="仿宋"/>
          <w:b w:val="0"/>
        </w:rPr>
        <w:t>十四</w:t>
      </w:r>
      <w:r>
        <w:rPr>
          <w:rFonts w:hint="eastAsia" w:ascii="仿宋" w:hAnsi="仿宋" w:eastAsia="仿宋"/>
        </w:rPr>
        <w:t>、</w:t>
      </w:r>
      <w:r>
        <w:rPr>
          <w:rFonts w:hint="eastAsia" w:ascii="仿宋" w:hAnsi="仿宋" w:eastAsia="仿宋"/>
          <w:b w:val="0"/>
          <w:color w:val="000000"/>
        </w:rPr>
        <w:t>国</w:t>
      </w:r>
      <w:r>
        <w:rPr>
          <w:rStyle w:val="18"/>
          <w:rFonts w:hint="eastAsia" w:ascii="仿宋" w:hAnsi="仿宋" w:eastAsia="仿宋"/>
          <w:b w:val="0"/>
          <w:bCs w:val="0"/>
        </w:rPr>
        <w:t>有资本经营预算财政拨款支出决算表</w:t>
      </w:r>
    </w:p>
    <w:p>
      <w:pPr>
        <w:rPr>
          <w:rFonts w:ascii="仿宋" w:hAnsi="仿宋" w:eastAsia="仿宋"/>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en-US"/>
      </w:rPr>
      <w:fldChar w:fldCharType="begin"/>
    </w:r>
    <w:r>
      <w:instrText xml:space="preserve">PAGE   \* MERGEFORMAT</w:instrText>
    </w:r>
    <w:r>
      <w:rPr>
        <w:lang w:val="en-US"/>
      </w:rPr>
      <w:fldChar w:fldCharType="separate"/>
    </w:r>
    <w:r>
      <w:rPr>
        <w:lang w:val="zh-CN"/>
      </w:rPr>
      <w:t>14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3">
    <w:nsid w:val="623251F9"/>
    <w:multiLevelType w:val="singleLevel"/>
    <w:tmpl w:val="623251F9"/>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5919"/>
    <w:rsid w:val="000222C6"/>
    <w:rsid w:val="00022752"/>
    <w:rsid w:val="0002549F"/>
    <w:rsid w:val="000334F3"/>
    <w:rsid w:val="0006487A"/>
    <w:rsid w:val="00065F8F"/>
    <w:rsid w:val="00074B7B"/>
    <w:rsid w:val="00074F5F"/>
    <w:rsid w:val="000768F2"/>
    <w:rsid w:val="0008254F"/>
    <w:rsid w:val="00084332"/>
    <w:rsid w:val="0009184B"/>
    <w:rsid w:val="00093F22"/>
    <w:rsid w:val="0009593C"/>
    <w:rsid w:val="000B047F"/>
    <w:rsid w:val="000B3F68"/>
    <w:rsid w:val="000B5923"/>
    <w:rsid w:val="000B5A48"/>
    <w:rsid w:val="000B6FF3"/>
    <w:rsid w:val="000C3467"/>
    <w:rsid w:val="000C3CA6"/>
    <w:rsid w:val="000D1267"/>
    <w:rsid w:val="000D1D50"/>
    <w:rsid w:val="000D5782"/>
    <w:rsid w:val="000E3740"/>
    <w:rsid w:val="000E6613"/>
    <w:rsid w:val="000E7119"/>
    <w:rsid w:val="000F2F82"/>
    <w:rsid w:val="00114E9B"/>
    <w:rsid w:val="001338FB"/>
    <w:rsid w:val="0014729F"/>
    <w:rsid w:val="00157BAB"/>
    <w:rsid w:val="001654D1"/>
    <w:rsid w:val="001779F4"/>
    <w:rsid w:val="0018106D"/>
    <w:rsid w:val="00186BD0"/>
    <w:rsid w:val="001877A7"/>
    <w:rsid w:val="00191536"/>
    <w:rsid w:val="00195B44"/>
    <w:rsid w:val="00196687"/>
    <w:rsid w:val="001C0962"/>
    <w:rsid w:val="001D7531"/>
    <w:rsid w:val="001D7E81"/>
    <w:rsid w:val="001E1A3D"/>
    <w:rsid w:val="001E737D"/>
    <w:rsid w:val="001F0592"/>
    <w:rsid w:val="001F693E"/>
    <w:rsid w:val="001F7506"/>
    <w:rsid w:val="002006CD"/>
    <w:rsid w:val="00202B36"/>
    <w:rsid w:val="00204B7A"/>
    <w:rsid w:val="0020756C"/>
    <w:rsid w:val="0021101A"/>
    <w:rsid w:val="0021390C"/>
    <w:rsid w:val="00220536"/>
    <w:rsid w:val="00235629"/>
    <w:rsid w:val="002572E3"/>
    <w:rsid w:val="00260C38"/>
    <w:rsid w:val="002616C0"/>
    <w:rsid w:val="002662AA"/>
    <w:rsid w:val="00280496"/>
    <w:rsid w:val="00287C38"/>
    <w:rsid w:val="00295495"/>
    <w:rsid w:val="00296D64"/>
    <w:rsid w:val="002B2613"/>
    <w:rsid w:val="002B344C"/>
    <w:rsid w:val="002C1B3B"/>
    <w:rsid w:val="002F1818"/>
    <w:rsid w:val="002F567B"/>
    <w:rsid w:val="002F73D0"/>
    <w:rsid w:val="003216A9"/>
    <w:rsid w:val="003230C9"/>
    <w:rsid w:val="0035783D"/>
    <w:rsid w:val="0037013F"/>
    <w:rsid w:val="00376C5A"/>
    <w:rsid w:val="00376FFF"/>
    <w:rsid w:val="00377370"/>
    <w:rsid w:val="00380C92"/>
    <w:rsid w:val="003A40EC"/>
    <w:rsid w:val="003A484F"/>
    <w:rsid w:val="003B0BE0"/>
    <w:rsid w:val="003B0C1B"/>
    <w:rsid w:val="003B688C"/>
    <w:rsid w:val="003B7829"/>
    <w:rsid w:val="003C0291"/>
    <w:rsid w:val="003C0C71"/>
    <w:rsid w:val="003C39AE"/>
    <w:rsid w:val="003C7B60"/>
    <w:rsid w:val="003D1FB2"/>
    <w:rsid w:val="003D66DA"/>
    <w:rsid w:val="003E1310"/>
    <w:rsid w:val="003E6F55"/>
    <w:rsid w:val="00406254"/>
    <w:rsid w:val="004223DE"/>
    <w:rsid w:val="00430D8A"/>
    <w:rsid w:val="00434489"/>
    <w:rsid w:val="00437085"/>
    <w:rsid w:val="00441517"/>
    <w:rsid w:val="00443880"/>
    <w:rsid w:val="004464F4"/>
    <w:rsid w:val="00466453"/>
    <w:rsid w:val="00471401"/>
    <w:rsid w:val="00473F31"/>
    <w:rsid w:val="0048263A"/>
    <w:rsid w:val="00487E5D"/>
    <w:rsid w:val="004A0822"/>
    <w:rsid w:val="004A5FC0"/>
    <w:rsid w:val="004A711F"/>
    <w:rsid w:val="004B199D"/>
    <w:rsid w:val="004B4690"/>
    <w:rsid w:val="004C6B47"/>
    <w:rsid w:val="004E0A2D"/>
    <w:rsid w:val="004E206B"/>
    <w:rsid w:val="004E6DF7"/>
    <w:rsid w:val="004F0FBD"/>
    <w:rsid w:val="004F2582"/>
    <w:rsid w:val="00505A47"/>
    <w:rsid w:val="00512FDA"/>
    <w:rsid w:val="00520DA0"/>
    <w:rsid w:val="00544B29"/>
    <w:rsid w:val="005511EF"/>
    <w:rsid w:val="005664BB"/>
    <w:rsid w:val="0057245C"/>
    <w:rsid w:val="0057481D"/>
    <w:rsid w:val="00576BCD"/>
    <w:rsid w:val="0058486E"/>
    <w:rsid w:val="00594584"/>
    <w:rsid w:val="005D1C8B"/>
    <w:rsid w:val="005D5CED"/>
    <w:rsid w:val="005F0FC4"/>
    <w:rsid w:val="005F1A4C"/>
    <w:rsid w:val="00600BE3"/>
    <w:rsid w:val="00605688"/>
    <w:rsid w:val="006067B0"/>
    <w:rsid w:val="006070AF"/>
    <w:rsid w:val="00607E6C"/>
    <w:rsid w:val="006101B1"/>
    <w:rsid w:val="00614404"/>
    <w:rsid w:val="00614E44"/>
    <w:rsid w:val="00622830"/>
    <w:rsid w:val="00630AEF"/>
    <w:rsid w:val="006325F8"/>
    <w:rsid w:val="00634C9A"/>
    <w:rsid w:val="006440E4"/>
    <w:rsid w:val="0064466D"/>
    <w:rsid w:val="00656E69"/>
    <w:rsid w:val="0066343B"/>
    <w:rsid w:val="00664777"/>
    <w:rsid w:val="00671BDD"/>
    <w:rsid w:val="006748A4"/>
    <w:rsid w:val="00675EC4"/>
    <w:rsid w:val="00683E73"/>
    <w:rsid w:val="006A3141"/>
    <w:rsid w:val="006A5E34"/>
    <w:rsid w:val="006B2422"/>
    <w:rsid w:val="006B2B9A"/>
    <w:rsid w:val="006C1937"/>
    <w:rsid w:val="006D66CF"/>
    <w:rsid w:val="006F020C"/>
    <w:rsid w:val="006F0E18"/>
    <w:rsid w:val="007043BA"/>
    <w:rsid w:val="00711C25"/>
    <w:rsid w:val="007127B7"/>
    <w:rsid w:val="00713B76"/>
    <w:rsid w:val="00717621"/>
    <w:rsid w:val="007416B6"/>
    <w:rsid w:val="00746F48"/>
    <w:rsid w:val="0075404D"/>
    <w:rsid w:val="0076182A"/>
    <w:rsid w:val="00762BAE"/>
    <w:rsid w:val="00767B7E"/>
    <w:rsid w:val="007770C3"/>
    <w:rsid w:val="00784D24"/>
    <w:rsid w:val="00785FBA"/>
    <w:rsid w:val="00786E4A"/>
    <w:rsid w:val="007875EB"/>
    <w:rsid w:val="0079426B"/>
    <w:rsid w:val="00797FAD"/>
    <w:rsid w:val="007A66C9"/>
    <w:rsid w:val="007B2B9D"/>
    <w:rsid w:val="007D312A"/>
    <w:rsid w:val="007D3F19"/>
    <w:rsid w:val="007D72CE"/>
    <w:rsid w:val="007E2073"/>
    <w:rsid w:val="007E23B0"/>
    <w:rsid w:val="007E75E5"/>
    <w:rsid w:val="007F1991"/>
    <w:rsid w:val="007F2C2F"/>
    <w:rsid w:val="007F55FC"/>
    <w:rsid w:val="007F5665"/>
    <w:rsid w:val="00800112"/>
    <w:rsid w:val="008253BB"/>
    <w:rsid w:val="0083706E"/>
    <w:rsid w:val="008423A5"/>
    <w:rsid w:val="00850625"/>
    <w:rsid w:val="00853718"/>
    <w:rsid w:val="00855221"/>
    <w:rsid w:val="00860645"/>
    <w:rsid w:val="00861AF1"/>
    <w:rsid w:val="00866849"/>
    <w:rsid w:val="00871F71"/>
    <w:rsid w:val="00885AF4"/>
    <w:rsid w:val="008939CD"/>
    <w:rsid w:val="008B768C"/>
    <w:rsid w:val="008C4DB1"/>
    <w:rsid w:val="008C4EAF"/>
    <w:rsid w:val="008C5176"/>
    <w:rsid w:val="008C7FD0"/>
    <w:rsid w:val="008E1DE7"/>
    <w:rsid w:val="008E707C"/>
    <w:rsid w:val="008F0DBC"/>
    <w:rsid w:val="00900B08"/>
    <w:rsid w:val="00902155"/>
    <w:rsid w:val="00902FA3"/>
    <w:rsid w:val="00923564"/>
    <w:rsid w:val="0092392E"/>
    <w:rsid w:val="009315F9"/>
    <w:rsid w:val="00932759"/>
    <w:rsid w:val="00946945"/>
    <w:rsid w:val="00947A80"/>
    <w:rsid w:val="00951248"/>
    <w:rsid w:val="0095152F"/>
    <w:rsid w:val="00953307"/>
    <w:rsid w:val="00954C49"/>
    <w:rsid w:val="0097099F"/>
    <w:rsid w:val="00971997"/>
    <w:rsid w:val="00971FFC"/>
    <w:rsid w:val="00981E37"/>
    <w:rsid w:val="0098660A"/>
    <w:rsid w:val="00987E5D"/>
    <w:rsid w:val="009931C3"/>
    <w:rsid w:val="009A7BD4"/>
    <w:rsid w:val="009B2C43"/>
    <w:rsid w:val="009B4EAE"/>
    <w:rsid w:val="009B7573"/>
    <w:rsid w:val="009B7AA9"/>
    <w:rsid w:val="009C22F4"/>
    <w:rsid w:val="009C2E98"/>
    <w:rsid w:val="009D3447"/>
    <w:rsid w:val="009D4711"/>
    <w:rsid w:val="009F1185"/>
    <w:rsid w:val="009F1811"/>
    <w:rsid w:val="009F18CD"/>
    <w:rsid w:val="009F26D6"/>
    <w:rsid w:val="009F2A13"/>
    <w:rsid w:val="00A04EB0"/>
    <w:rsid w:val="00A13CC1"/>
    <w:rsid w:val="00A16847"/>
    <w:rsid w:val="00A20AF6"/>
    <w:rsid w:val="00A237D8"/>
    <w:rsid w:val="00A268C4"/>
    <w:rsid w:val="00A307CD"/>
    <w:rsid w:val="00A32459"/>
    <w:rsid w:val="00A40A00"/>
    <w:rsid w:val="00A4142F"/>
    <w:rsid w:val="00A56DF2"/>
    <w:rsid w:val="00A6006A"/>
    <w:rsid w:val="00A67AB5"/>
    <w:rsid w:val="00A73D73"/>
    <w:rsid w:val="00A91760"/>
    <w:rsid w:val="00A93B00"/>
    <w:rsid w:val="00A93C21"/>
    <w:rsid w:val="00A943AB"/>
    <w:rsid w:val="00AA4C91"/>
    <w:rsid w:val="00AC0521"/>
    <w:rsid w:val="00AC171F"/>
    <w:rsid w:val="00AC3C6A"/>
    <w:rsid w:val="00AD5620"/>
    <w:rsid w:val="00AD7C1B"/>
    <w:rsid w:val="00AE16BA"/>
    <w:rsid w:val="00AE1EBE"/>
    <w:rsid w:val="00AF43AB"/>
    <w:rsid w:val="00B03C9D"/>
    <w:rsid w:val="00B060AE"/>
    <w:rsid w:val="00B10517"/>
    <w:rsid w:val="00B14E76"/>
    <w:rsid w:val="00B161B8"/>
    <w:rsid w:val="00B2048C"/>
    <w:rsid w:val="00B21B8A"/>
    <w:rsid w:val="00B310B9"/>
    <w:rsid w:val="00B35F3F"/>
    <w:rsid w:val="00B36CBB"/>
    <w:rsid w:val="00B41E32"/>
    <w:rsid w:val="00B425E0"/>
    <w:rsid w:val="00B440AA"/>
    <w:rsid w:val="00B44B70"/>
    <w:rsid w:val="00B53C56"/>
    <w:rsid w:val="00B61221"/>
    <w:rsid w:val="00B63A94"/>
    <w:rsid w:val="00B77EA6"/>
    <w:rsid w:val="00B81598"/>
    <w:rsid w:val="00B841F1"/>
    <w:rsid w:val="00B944D6"/>
    <w:rsid w:val="00BB4DF0"/>
    <w:rsid w:val="00BB60B1"/>
    <w:rsid w:val="00BC289F"/>
    <w:rsid w:val="00BC5361"/>
    <w:rsid w:val="00BC5460"/>
    <w:rsid w:val="00BC6B50"/>
    <w:rsid w:val="00BD0E25"/>
    <w:rsid w:val="00BD376A"/>
    <w:rsid w:val="00BE33A6"/>
    <w:rsid w:val="00BE74D2"/>
    <w:rsid w:val="00BF5BD6"/>
    <w:rsid w:val="00C03E31"/>
    <w:rsid w:val="00C2686C"/>
    <w:rsid w:val="00C33E72"/>
    <w:rsid w:val="00C354B2"/>
    <w:rsid w:val="00C35554"/>
    <w:rsid w:val="00C42709"/>
    <w:rsid w:val="00C42C9C"/>
    <w:rsid w:val="00C533CC"/>
    <w:rsid w:val="00C5751C"/>
    <w:rsid w:val="00C608AA"/>
    <w:rsid w:val="00C61BFC"/>
    <w:rsid w:val="00C62B85"/>
    <w:rsid w:val="00C65438"/>
    <w:rsid w:val="00C65751"/>
    <w:rsid w:val="00C67015"/>
    <w:rsid w:val="00C91CBB"/>
    <w:rsid w:val="00CB2CA9"/>
    <w:rsid w:val="00CC09B6"/>
    <w:rsid w:val="00CC3957"/>
    <w:rsid w:val="00CC3F13"/>
    <w:rsid w:val="00CC666F"/>
    <w:rsid w:val="00CD1E3F"/>
    <w:rsid w:val="00CE44F6"/>
    <w:rsid w:val="00CE49DA"/>
    <w:rsid w:val="00CE6B8B"/>
    <w:rsid w:val="00CE7B61"/>
    <w:rsid w:val="00D00095"/>
    <w:rsid w:val="00D20620"/>
    <w:rsid w:val="00D26091"/>
    <w:rsid w:val="00D34E7C"/>
    <w:rsid w:val="00D35489"/>
    <w:rsid w:val="00D44115"/>
    <w:rsid w:val="00D51276"/>
    <w:rsid w:val="00D7035F"/>
    <w:rsid w:val="00D774B9"/>
    <w:rsid w:val="00D80A12"/>
    <w:rsid w:val="00D91049"/>
    <w:rsid w:val="00D95762"/>
    <w:rsid w:val="00DA65AC"/>
    <w:rsid w:val="00DB0F51"/>
    <w:rsid w:val="00DB1913"/>
    <w:rsid w:val="00DC410D"/>
    <w:rsid w:val="00DC68CA"/>
    <w:rsid w:val="00DC7CBA"/>
    <w:rsid w:val="00DD5DB8"/>
    <w:rsid w:val="00DD73B7"/>
    <w:rsid w:val="00DF28BC"/>
    <w:rsid w:val="00DF34B9"/>
    <w:rsid w:val="00DF49D3"/>
    <w:rsid w:val="00E01053"/>
    <w:rsid w:val="00E07ACF"/>
    <w:rsid w:val="00E331A1"/>
    <w:rsid w:val="00E33202"/>
    <w:rsid w:val="00E336A9"/>
    <w:rsid w:val="00E50624"/>
    <w:rsid w:val="00E568DF"/>
    <w:rsid w:val="00E64269"/>
    <w:rsid w:val="00E76136"/>
    <w:rsid w:val="00E82267"/>
    <w:rsid w:val="00EA010F"/>
    <w:rsid w:val="00EA30F5"/>
    <w:rsid w:val="00EB311A"/>
    <w:rsid w:val="00EC671F"/>
    <w:rsid w:val="00ED1B63"/>
    <w:rsid w:val="00ED3C1F"/>
    <w:rsid w:val="00ED4085"/>
    <w:rsid w:val="00ED420E"/>
    <w:rsid w:val="00ED7762"/>
    <w:rsid w:val="00EE2F57"/>
    <w:rsid w:val="00EF4C34"/>
    <w:rsid w:val="00EF77C6"/>
    <w:rsid w:val="00F05438"/>
    <w:rsid w:val="00F07AA4"/>
    <w:rsid w:val="00F1361C"/>
    <w:rsid w:val="00F14202"/>
    <w:rsid w:val="00F160C7"/>
    <w:rsid w:val="00F36D8F"/>
    <w:rsid w:val="00F417B1"/>
    <w:rsid w:val="00F602DF"/>
    <w:rsid w:val="00F636E0"/>
    <w:rsid w:val="00F767F0"/>
    <w:rsid w:val="00F81FD9"/>
    <w:rsid w:val="00F841AA"/>
    <w:rsid w:val="00F97D83"/>
    <w:rsid w:val="00FA23E8"/>
    <w:rsid w:val="00FB5DFE"/>
    <w:rsid w:val="00FD26D3"/>
    <w:rsid w:val="00FD3CC1"/>
    <w:rsid w:val="00FE38ED"/>
    <w:rsid w:val="00FF1E02"/>
    <w:rsid w:val="00FF30B4"/>
    <w:rsid w:val="00FF445E"/>
    <w:rsid w:val="024C6DA2"/>
    <w:rsid w:val="02842A21"/>
    <w:rsid w:val="05CF5FB6"/>
    <w:rsid w:val="060F5350"/>
    <w:rsid w:val="06B30731"/>
    <w:rsid w:val="0747783D"/>
    <w:rsid w:val="0B0029DF"/>
    <w:rsid w:val="0BBF09A7"/>
    <w:rsid w:val="0DA37AD7"/>
    <w:rsid w:val="0EF24B9C"/>
    <w:rsid w:val="0F254C59"/>
    <w:rsid w:val="1047350F"/>
    <w:rsid w:val="10C055FF"/>
    <w:rsid w:val="12086A7E"/>
    <w:rsid w:val="14D16536"/>
    <w:rsid w:val="16BB723D"/>
    <w:rsid w:val="18A10E32"/>
    <w:rsid w:val="19823417"/>
    <w:rsid w:val="1AC436A5"/>
    <w:rsid w:val="1B510A77"/>
    <w:rsid w:val="1CFD30F9"/>
    <w:rsid w:val="1D4428C2"/>
    <w:rsid w:val="1DE23460"/>
    <w:rsid w:val="21F406A5"/>
    <w:rsid w:val="227961D0"/>
    <w:rsid w:val="240329DB"/>
    <w:rsid w:val="240371BF"/>
    <w:rsid w:val="24E37664"/>
    <w:rsid w:val="254060EA"/>
    <w:rsid w:val="26AD02EC"/>
    <w:rsid w:val="26DA1B73"/>
    <w:rsid w:val="26ED64F3"/>
    <w:rsid w:val="27BF2C7C"/>
    <w:rsid w:val="29FD04D3"/>
    <w:rsid w:val="2C7B1C42"/>
    <w:rsid w:val="2DD30925"/>
    <w:rsid w:val="302F7440"/>
    <w:rsid w:val="319F7F4E"/>
    <w:rsid w:val="31A93221"/>
    <w:rsid w:val="31B377A9"/>
    <w:rsid w:val="32AC3078"/>
    <w:rsid w:val="32C048AD"/>
    <w:rsid w:val="33874E4D"/>
    <w:rsid w:val="3516142C"/>
    <w:rsid w:val="35454624"/>
    <w:rsid w:val="35DB4A62"/>
    <w:rsid w:val="36A67C49"/>
    <w:rsid w:val="377B2773"/>
    <w:rsid w:val="37B13876"/>
    <w:rsid w:val="38E1792D"/>
    <w:rsid w:val="39E832BE"/>
    <w:rsid w:val="3B70026D"/>
    <w:rsid w:val="3EAA1C92"/>
    <w:rsid w:val="3EF571E6"/>
    <w:rsid w:val="3F2341F8"/>
    <w:rsid w:val="408168D4"/>
    <w:rsid w:val="422A3CD9"/>
    <w:rsid w:val="431C2C1E"/>
    <w:rsid w:val="43312868"/>
    <w:rsid w:val="445F1D29"/>
    <w:rsid w:val="461B735D"/>
    <w:rsid w:val="475C0AFE"/>
    <w:rsid w:val="4892570C"/>
    <w:rsid w:val="48A272F3"/>
    <w:rsid w:val="48D06480"/>
    <w:rsid w:val="4A9A0CF8"/>
    <w:rsid w:val="4BE647AE"/>
    <w:rsid w:val="4FAB7475"/>
    <w:rsid w:val="4FB34D4C"/>
    <w:rsid w:val="542775A9"/>
    <w:rsid w:val="548A72F6"/>
    <w:rsid w:val="5728367B"/>
    <w:rsid w:val="59111F77"/>
    <w:rsid w:val="59443440"/>
    <w:rsid w:val="597C03A2"/>
    <w:rsid w:val="5AB07477"/>
    <w:rsid w:val="5B1B5921"/>
    <w:rsid w:val="5B475F2B"/>
    <w:rsid w:val="5CA733A4"/>
    <w:rsid w:val="5CF008E9"/>
    <w:rsid w:val="5D1C3088"/>
    <w:rsid w:val="60AE5E91"/>
    <w:rsid w:val="61401CA4"/>
    <w:rsid w:val="65D65180"/>
    <w:rsid w:val="676407EF"/>
    <w:rsid w:val="698A1218"/>
    <w:rsid w:val="69A40F4D"/>
    <w:rsid w:val="6ACC655D"/>
    <w:rsid w:val="6CBA0E5F"/>
    <w:rsid w:val="6EEA5E27"/>
    <w:rsid w:val="70134D20"/>
    <w:rsid w:val="713067C8"/>
    <w:rsid w:val="7290694B"/>
    <w:rsid w:val="733D11F6"/>
    <w:rsid w:val="77473FC1"/>
    <w:rsid w:val="77CA6AFF"/>
    <w:rsid w:val="79BB431F"/>
    <w:rsid w:val="7A28023D"/>
    <w:rsid w:val="7A7D7E03"/>
    <w:rsid w:val="7DF745CE"/>
    <w:rsid w:val="7EA62075"/>
    <w:rsid w:val="7F5050F0"/>
    <w:rsid w:val="FBD368EC"/>
    <w:rsid w:val="FFF7ED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9"/>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39"/>
    <w:pPr>
      <w:tabs>
        <w:tab w:val="right" w:leader="dot" w:pos="8296"/>
      </w:tabs>
      <w:ind w:left="420" w:leftChars="200"/>
    </w:pPr>
  </w:style>
  <w:style w:type="paragraph" w:styleId="12">
    <w:name w:val="Normal (Web)"/>
    <w:basedOn w:val="1"/>
    <w:qFormat/>
    <w:uiPriority w:val="99"/>
    <w:pPr>
      <w:spacing w:beforeAutospacing="1" w:afterAutospacing="1"/>
      <w:jc w:val="left"/>
    </w:pPr>
    <w:rPr>
      <w:kern w:val="0"/>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3"/>
    <w:qFormat/>
    <w:locked/>
    <w:uiPriority w:val="9"/>
    <w:rPr>
      <w:rFonts w:ascii="Times New Roman" w:hAnsi="Times New Roman" w:cs="Times New Roman"/>
      <w:b/>
      <w:bCs/>
      <w:kern w:val="44"/>
      <w:sz w:val="44"/>
      <w:szCs w:val="44"/>
    </w:rPr>
  </w:style>
  <w:style w:type="character" w:customStyle="1" w:styleId="18">
    <w:name w:val="标题 2 Char"/>
    <w:basedOn w:val="14"/>
    <w:link w:val="4"/>
    <w:qFormat/>
    <w:locked/>
    <w:uiPriority w:val="9"/>
    <w:rPr>
      <w:rFonts w:ascii="Cambria" w:hAnsi="Cambria" w:eastAsia="宋体" w:cs="Times New Roman"/>
      <w:b/>
      <w:bCs/>
      <w:kern w:val="2"/>
      <w:sz w:val="32"/>
      <w:szCs w:val="32"/>
    </w:rPr>
  </w:style>
  <w:style w:type="character" w:customStyle="1" w:styleId="19">
    <w:name w:val="标题 3 Char"/>
    <w:basedOn w:val="14"/>
    <w:link w:val="5"/>
    <w:qFormat/>
    <w:locked/>
    <w:uiPriority w:val="99"/>
    <w:rPr>
      <w:rFonts w:ascii="Times New Roman" w:hAnsi="Times New Roman" w:cs="Times New Roman"/>
      <w:b/>
      <w:bCs/>
      <w:kern w:val="2"/>
      <w:sz w:val="32"/>
      <w:szCs w:val="32"/>
    </w:rPr>
  </w:style>
  <w:style w:type="character" w:customStyle="1" w:styleId="20">
    <w:name w:val="Body Text Char"/>
    <w:basedOn w:val="14"/>
    <w:link w:val="2"/>
    <w:semiHidden/>
    <w:qFormat/>
    <w:uiPriority w:val="99"/>
    <w:rPr>
      <w:rFonts w:ascii="Times New Roman" w:hAnsi="Times New Roman" w:cs="Times New Roman"/>
      <w:sz w:val="24"/>
      <w:szCs w:val="24"/>
    </w:rPr>
  </w:style>
  <w:style w:type="character" w:customStyle="1" w:styleId="21">
    <w:name w:val="Footer Char"/>
    <w:basedOn w:val="14"/>
    <w:link w:val="8"/>
    <w:semiHidden/>
    <w:qFormat/>
    <w:uiPriority w:val="99"/>
    <w:rPr>
      <w:rFonts w:ascii="Times New Roman" w:hAnsi="Times New Roman" w:cs="Times New Roman"/>
      <w:sz w:val="18"/>
      <w:szCs w:val="18"/>
    </w:rPr>
  </w:style>
  <w:style w:type="character" w:customStyle="1" w:styleId="22">
    <w:name w:val="Header Char"/>
    <w:basedOn w:val="14"/>
    <w:link w:val="9"/>
    <w:semiHidden/>
    <w:qFormat/>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批注框文本 Char"/>
    <w:basedOn w:val="14"/>
    <w:link w:val="7"/>
    <w:semiHidden/>
    <w:qFormat/>
    <w:locked/>
    <w:uiPriority w:val="99"/>
    <w:rPr>
      <w:rFonts w:ascii="Times New Roman" w:hAnsi="Times New Roman" w:cs="Times New Roman"/>
      <w:kern w:val="2"/>
      <w:sz w:val="18"/>
      <w:szCs w:val="18"/>
    </w:rPr>
  </w:style>
  <w:style w:type="character" w:customStyle="1" w:styleId="30">
    <w:name w:val="Char Char6"/>
    <w:basedOn w:val="14"/>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3062</Words>
  <Characters>17459</Characters>
  <Lines>145</Lines>
  <Paragraphs>40</Paragraphs>
  <TotalTime>976</TotalTime>
  <ScaleCrop>false</ScaleCrop>
  <LinksUpToDate>false</LinksUpToDate>
  <CharactersWithSpaces>20481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2019-09-12T08:56:00Z</dcterms:created>
  <dc:creator>张彬茜</dc:creator>
  <cp:lastModifiedBy>user</cp:lastModifiedBy>
  <cp:lastPrinted>2021-09-10T10:02:00Z</cp:lastPrinted>
  <dcterms:modified xsi:type="dcterms:W3CDTF">2025-01-09T11:00:18Z</dcterms:modified>
  <dc:title>四川省***</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