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124" w:name="_GoBack"/>
      <w:bookmarkEnd w:id="124"/>
      <w:bookmarkStart w:id="0" w:name="_Toc15377425"/>
      <w:bookmarkStart w:id="1" w:name="_Toc15396597"/>
      <w:bookmarkStart w:id="2" w:name="_Toc15396475"/>
      <w:bookmarkStart w:id="3" w:name="_Toc15378441"/>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896"/>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77194"/>
      <w:bookmarkStart w:id="9" w:name="_Toc15306268"/>
      <w:bookmarkStart w:id="10" w:name="_Toc15396598"/>
      <w:bookmarkStart w:id="11" w:name="_Toc15396476"/>
      <w:bookmarkStart w:id="12" w:name="_Toc24188"/>
      <w:bookmarkStart w:id="13" w:name="_Toc15377426"/>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2"/>
          <w:szCs w:val="72"/>
          <w:highlight w:val="none"/>
          <w:lang w:val="en-US" w:eastAsia="zh-CN"/>
        </w:rPr>
        <w:t>广元市自然资源局朝天区分局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jc w:val="both"/>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1"/>
        <w:rPr>
          <w:rFonts w:hint="eastAsia"/>
          <w:color w:val="auto"/>
          <w:highlight w:val="none"/>
        </w:rPr>
      </w:pPr>
    </w:p>
    <w:p>
      <w:pPr>
        <w:pStyle w:val="11"/>
        <w:jc w:val="both"/>
        <w:rPr>
          <w:rFonts w:hint="eastAsia"/>
          <w:color w:val="auto"/>
          <w:highlight w:val="none"/>
        </w:rPr>
      </w:pPr>
    </w:p>
    <w:p>
      <w:pPr>
        <w:pStyle w:val="11"/>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27 </w:t>
      </w:r>
      <w:r>
        <w:rPr>
          <w:rFonts w:hint="eastAsia"/>
          <w:color w:val="auto"/>
          <w:highlight w:val="none"/>
        </w:rPr>
        <w:t>日</w:t>
      </w:r>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rPr>
          <w:color w:val="auto"/>
          <w:highlight w:val="none"/>
        </w:rPr>
      </w:pPr>
    </w:p>
    <w:sdt>
      <w:sdtPr>
        <w:rPr>
          <w:rFonts w:ascii="宋体" w:hAnsi="宋体" w:eastAsia="宋体" w:cs="Times New Roman"/>
          <w:kern w:val="2"/>
          <w:sz w:val="21"/>
          <w:szCs w:val="24"/>
          <w:lang w:val="en-US" w:eastAsia="zh-CN" w:bidi="ar-SA"/>
        </w:rPr>
        <w:id w:val="14745807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77196"/>
          <w:bookmarkStart w:id="15" w:name="_Toc15396599"/>
          <w:r>
            <w:fldChar w:fldCharType="begin"/>
          </w:r>
          <w:r>
            <w:instrText xml:space="preserve">TOC \o "1-3" \h \u </w:instrText>
          </w:r>
          <w:r>
            <w:fldChar w:fldCharType="separate"/>
          </w:r>
        </w:p>
        <w:p>
          <w:pPr>
            <w:pStyle w:val="41"/>
            <w:tabs>
              <w:tab w:val="right" w:leader="dot" w:pos="8306"/>
            </w:tabs>
          </w:pPr>
          <w:r>
            <w:fldChar w:fldCharType="begin"/>
          </w:r>
          <w:r>
            <w:instrText xml:space="preserve"> HYPERLINK \l _Toc14798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_Toc14798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_Toc13704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_Toc13704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_Toc13498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_Toc13498 \h </w:instrText>
          </w:r>
          <w:r>
            <w:fldChar w:fldCharType="separate"/>
          </w:r>
          <w:r>
            <w:t>6</w:t>
          </w:r>
          <w:r>
            <w:fldChar w:fldCharType="end"/>
          </w:r>
          <w:r>
            <w:fldChar w:fldCharType="end"/>
          </w:r>
        </w:p>
        <w:p>
          <w:pPr>
            <w:pStyle w:val="41"/>
            <w:tabs>
              <w:tab w:val="right" w:leader="dot" w:pos="8306"/>
            </w:tabs>
          </w:pPr>
          <w:r>
            <w:fldChar w:fldCharType="begin"/>
          </w:r>
          <w:r>
            <w:instrText xml:space="preserve"> HYPERLINK \l _Toc19893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_Toc19893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_Toc13826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_Toc13826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_Toc16020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_Toc16020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_Toc5269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_Toc5269 \h </w:instrText>
          </w:r>
          <w:r>
            <w:fldChar w:fldCharType="separate"/>
          </w:r>
          <w:r>
            <w:t>8</w:t>
          </w:r>
          <w:r>
            <w:fldChar w:fldCharType="end"/>
          </w:r>
          <w:r>
            <w:fldChar w:fldCharType="end"/>
          </w:r>
        </w:p>
        <w:p>
          <w:pPr>
            <w:pStyle w:val="42"/>
            <w:tabs>
              <w:tab w:val="right" w:leader="dot" w:pos="8306"/>
            </w:tabs>
          </w:pPr>
          <w:r>
            <w:fldChar w:fldCharType="begin"/>
          </w:r>
          <w:r>
            <w:instrText xml:space="preserve"> HYPERLINK \l _Toc23196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_Toc23196 \h </w:instrText>
          </w:r>
          <w:r>
            <w:fldChar w:fldCharType="separate"/>
          </w:r>
          <w:r>
            <w:t>8</w:t>
          </w:r>
          <w:r>
            <w:fldChar w:fldCharType="end"/>
          </w:r>
          <w:r>
            <w:fldChar w:fldCharType="end"/>
          </w:r>
        </w:p>
        <w:p>
          <w:pPr>
            <w:pStyle w:val="42"/>
            <w:tabs>
              <w:tab w:val="right" w:leader="dot" w:pos="8306"/>
            </w:tabs>
          </w:pPr>
          <w:r>
            <w:fldChar w:fldCharType="begin"/>
          </w:r>
          <w:r>
            <w:instrText xml:space="preserve"> HYPERLINK \l _Toc24816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_Toc24816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_Toc1342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_Toc1342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_Toc12131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_Toc12131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_Toc29939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_Toc29939 \h </w:instrText>
          </w:r>
          <w:r>
            <w:fldChar w:fldCharType="separate"/>
          </w:r>
          <w:r>
            <w:t>10</w:t>
          </w:r>
          <w:r>
            <w:fldChar w:fldCharType="end"/>
          </w:r>
          <w:r>
            <w:fldChar w:fldCharType="end"/>
          </w:r>
        </w:p>
        <w:p>
          <w:pPr>
            <w:pStyle w:val="42"/>
            <w:tabs>
              <w:tab w:val="right" w:leader="dot" w:pos="8306"/>
            </w:tabs>
          </w:pPr>
          <w:r>
            <w:fldChar w:fldCharType="begin"/>
          </w:r>
          <w:r>
            <w:instrText xml:space="preserve"> HYPERLINK \l _Toc11962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_Toc11962 \h </w:instrText>
          </w:r>
          <w:r>
            <w:fldChar w:fldCharType="separate"/>
          </w:r>
          <w:r>
            <w:t>12</w:t>
          </w:r>
          <w:r>
            <w:fldChar w:fldCharType="end"/>
          </w:r>
          <w:r>
            <w:fldChar w:fldCharType="end"/>
          </w:r>
        </w:p>
        <w:p>
          <w:pPr>
            <w:pStyle w:val="42"/>
            <w:tabs>
              <w:tab w:val="right" w:leader="dot" w:pos="8306"/>
            </w:tabs>
          </w:pPr>
          <w:r>
            <w:fldChar w:fldCharType="begin"/>
          </w:r>
          <w:r>
            <w:instrText xml:space="preserve"> HYPERLINK \l _Toc1202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_Toc1202 \h </w:instrText>
          </w:r>
          <w:r>
            <w:fldChar w:fldCharType="separate"/>
          </w:r>
          <w:r>
            <w:t>12</w:t>
          </w:r>
          <w:r>
            <w:fldChar w:fldCharType="end"/>
          </w:r>
          <w:r>
            <w:fldChar w:fldCharType="end"/>
          </w:r>
        </w:p>
        <w:p>
          <w:pPr>
            <w:pStyle w:val="43"/>
            <w:tabs>
              <w:tab w:val="right" w:leader="dot" w:pos="8306"/>
            </w:tabs>
          </w:pPr>
          <w:r>
            <w:fldChar w:fldCharType="begin"/>
          </w:r>
          <w:r>
            <w:instrText xml:space="preserve"> HYPERLINK \l _Toc9988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_Toc9988 \h </w:instrText>
          </w:r>
          <w:r>
            <w:fldChar w:fldCharType="separate"/>
          </w:r>
          <w:r>
            <w:t>12</w:t>
          </w:r>
          <w:r>
            <w:fldChar w:fldCharType="end"/>
          </w:r>
          <w:r>
            <w:fldChar w:fldCharType="end"/>
          </w:r>
        </w:p>
        <w:p>
          <w:pPr>
            <w:pStyle w:val="43"/>
            <w:tabs>
              <w:tab w:val="right" w:leader="dot" w:pos="8306"/>
            </w:tabs>
          </w:pPr>
          <w:r>
            <w:fldChar w:fldCharType="begin"/>
          </w:r>
          <w:r>
            <w:instrText xml:space="preserve"> HYPERLINK \l _Toc23244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_Toc23244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_Toc6377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_Toc6377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_Toc5413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_Toc5413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_Toc29671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_Toc29671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_Toc14261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_Toc14261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_Toc31934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_Toc31934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_Toc10809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_Toc10809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_Toc25138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_Toc25138 \h </w:instrText>
          </w:r>
          <w:r>
            <w:fldChar w:fldCharType="separate"/>
          </w:r>
          <w:r>
            <w:t>15</w:t>
          </w:r>
          <w:r>
            <w:fldChar w:fldCharType="end"/>
          </w:r>
          <w:r>
            <w:fldChar w:fldCharType="end"/>
          </w:r>
        </w:p>
        <w:p>
          <w:pPr>
            <w:pStyle w:val="41"/>
            <w:tabs>
              <w:tab w:val="right" w:leader="dot" w:pos="8306"/>
            </w:tabs>
          </w:pPr>
          <w:r>
            <w:fldChar w:fldCharType="begin"/>
          </w:r>
          <w:r>
            <w:instrText xml:space="preserve"> HYPERLINK \l _Toc5756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_Toc5756 \h </w:instrText>
          </w:r>
          <w:r>
            <w:fldChar w:fldCharType="separate"/>
          </w:r>
          <w:r>
            <w:t>17</w:t>
          </w:r>
          <w:r>
            <w:fldChar w:fldCharType="end"/>
          </w:r>
          <w:r>
            <w:fldChar w:fldCharType="end"/>
          </w:r>
        </w:p>
        <w:p>
          <w:pPr>
            <w:pStyle w:val="41"/>
            <w:tabs>
              <w:tab w:val="right" w:leader="dot" w:pos="8306"/>
            </w:tabs>
          </w:pPr>
          <w:r>
            <w:fldChar w:fldCharType="begin"/>
          </w:r>
          <w:r>
            <w:instrText xml:space="preserve"> HYPERLINK \l _Toc19627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_Toc19627 \h </w:instrText>
          </w:r>
          <w:r>
            <w:fldChar w:fldCharType="separate"/>
          </w:r>
          <w:r>
            <w:t>21</w:t>
          </w:r>
          <w:r>
            <w:fldChar w:fldCharType="end"/>
          </w:r>
          <w:r>
            <w:fldChar w:fldCharType="end"/>
          </w:r>
        </w:p>
        <w:p>
          <w:pPr>
            <w:pStyle w:val="41"/>
            <w:tabs>
              <w:tab w:val="right" w:leader="dot" w:pos="8306"/>
            </w:tabs>
          </w:pPr>
          <w:r>
            <w:fldChar w:fldCharType="begin"/>
          </w:r>
          <w:r>
            <w:instrText xml:space="preserve"> HYPERLINK \l _Toc14821 </w:instrText>
          </w:r>
          <w:r>
            <w:fldChar w:fldCharType="separate"/>
          </w:r>
          <w:r>
            <w:rPr>
              <w:rFonts w:hint="eastAsia" w:ascii="黑体" w:hAnsi="黑体" w:eastAsia="黑体" w:cs="黑体"/>
              <w:szCs w:val="32"/>
              <w:highlight w:val="none"/>
            </w:rPr>
            <w:t>附件</w:t>
          </w:r>
          <w:r>
            <w:tab/>
          </w:r>
          <w:r>
            <w:fldChar w:fldCharType="begin"/>
          </w:r>
          <w:r>
            <w:instrText xml:space="preserve"> PAGEREF _Toc14821 \h </w:instrText>
          </w:r>
          <w:r>
            <w:fldChar w:fldCharType="separate"/>
          </w:r>
          <w:r>
            <w:t>21</w:t>
          </w:r>
          <w:r>
            <w:fldChar w:fldCharType="end"/>
          </w:r>
          <w:r>
            <w:fldChar w:fldCharType="end"/>
          </w:r>
        </w:p>
        <w:p>
          <w:pPr>
            <w:pStyle w:val="41"/>
            <w:tabs>
              <w:tab w:val="right" w:leader="dot" w:pos="8306"/>
            </w:tabs>
          </w:pPr>
          <w:r>
            <w:fldChar w:fldCharType="begin"/>
          </w:r>
          <w:r>
            <w:instrText xml:space="preserve"> HYPERLINK \l _Toc26642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_Toc26642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_Toc19568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_Toc19568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_Toc8538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_Toc8538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_Toc28798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_Toc28798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_Toc23962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_Toc23962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_Toc31267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_Toc31267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_Toc24222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_Toc24222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_Toc4568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_Toc4568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_Toc26970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_Toc26970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_Toc5558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_Toc5558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_Toc9385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_Toc9385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_Toc30126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_Toc30126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_Toc6964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_Toc6964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_Toc27222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_Toc27222 \h </w:instrText>
          </w:r>
          <w:r>
            <w:fldChar w:fldCharType="separate"/>
          </w:r>
          <w:r>
            <w:t>126</w:t>
          </w:r>
          <w:r>
            <w:fldChar w:fldCharType="end"/>
          </w:r>
          <w:r>
            <w:fldChar w:fldCharType="end"/>
          </w:r>
        </w:p>
        <w:p>
          <w:r>
            <w:fldChar w:fldCharType="end"/>
          </w:r>
        </w:p>
      </w:sdtContent>
    </w:sdt>
    <w:p>
      <w:pPr>
        <w:widowControl/>
        <w:spacing w:line="440" w:lineRule="exact"/>
        <w:jc w:val="center"/>
        <w:rPr>
          <w:rStyle w:val="27"/>
          <w:rFonts w:ascii="黑体" w:hAnsi="黑体" w:eastAsia="黑体"/>
          <w:b/>
          <w:bCs w:val="0"/>
          <w:color w:val="auto"/>
          <w:highlight w:val="none"/>
        </w:rPr>
      </w:pPr>
      <w:bookmarkStart w:id="16" w:name="_Toc14798"/>
      <w:r>
        <w:rPr>
          <w:rStyle w:val="27"/>
          <w:rFonts w:hint="eastAsia" w:ascii="黑体" w:hAnsi="黑体" w:eastAsia="黑体"/>
          <w:b w:val="0"/>
          <w:bCs w:val="0"/>
          <w:color w:val="auto"/>
          <w:highlight w:val="none"/>
        </w:rPr>
        <w:t>第一部分 部门概况</w:t>
      </w:r>
      <w:bookmarkEnd w:id="14"/>
      <w:bookmarkEnd w:id="15"/>
      <w:bookmarkEnd w:id="16"/>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bookmarkStart w:id="17" w:name="_Toc13704"/>
      <w:r>
        <w:rPr>
          <w:rFonts w:hint="eastAsia" w:ascii="黑体" w:hAnsi="黑体" w:eastAsia="黑体"/>
          <w:b w:val="0"/>
          <w:color w:val="auto"/>
          <w:highlight w:val="none"/>
          <w:lang w:eastAsia="zh-CN"/>
        </w:rPr>
        <w:t>部门职责</w:t>
      </w:r>
      <w:bookmarkEnd w:id="17"/>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负责全区矿产资源管理工作。负责矿产资源储量管理及压覆矿产资源审核报批。负责矿业权管理。会同有关部门承担保护性开釆的特定矿种、优势矿产的调控及相关管理工作。监督指导矿产资源合理利用和保护。</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配合国家、省对县区政府落实党中央、国务院关于自然资源和国土空间规划的重大方针政策、决策部署及法律法规执行情况进行督察。按照市委、市政府安排，组织实施自然资源督察相关工作。查处全区自然资源开发利用、国土空间规划、城乡规划、测绘等领域重大违法案件。</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14、负责测绘地理信息管理。负责基础测绘和测绘行业管理。监督管理全区测绘地理信息成果、市场秩序、测绘基准和系统。负责地理信息公共服务管理和测量标志保护。</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15、负责职责范围内的安全生产和职业健康、生态环境保护、审批服务便民化等工作。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16、完成区委、区政府交办的其他任务。</w:t>
      </w:r>
    </w:p>
    <w:p>
      <w:pPr>
        <w:pStyle w:val="3"/>
        <w:rPr>
          <w:rFonts w:ascii="仿宋" w:hAnsi="仿宋" w:eastAsia="仿宋"/>
          <w:color w:val="auto"/>
          <w:sz w:val="32"/>
          <w:szCs w:val="32"/>
          <w:highlight w:val="none"/>
        </w:rPr>
      </w:pPr>
      <w:bookmarkStart w:id="18" w:name="_Toc15396601"/>
      <w:bookmarkStart w:id="19" w:name="_Toc15377200"/>
      <w:bookmarkStart w:id="20" w:name="_Toc13498"/>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8"/>
      <w:bookmarkEnd w:id="19"/>
      <w:bookmarkEnd w:id="20"/>
    </w:p>
    <w:p>
      <w:pPr>
        <w:ind w:firstLine="800" w:firstLineChars="250"/>
        <w:rPr>
          <w:rFonts w:hint="eastAsia" w:ascii="仿宋" w:hAnsi="仿宋" w:eastAsia="仿宋"/>
          <w:color w:val="auto"/>
          <w:kern w:val="0"/>
          <w:sz w:val="32"/>
          <w:szCs w:val="32"/>
          <w:highlight w:val="none"/>
          <w:lang w:eastAsia="zh-CN"/>
        </w:rPr>
      </w:pPr>
      <w:r>
        <w:rPr>
          <w:rFonts w:hint="eastAsia" w:ascii="仿宋" w:hAnsi="仿宋" w:eastAsia="仿宋"/>
          <w:color w:val="auto"/>
          <w:sz w:val="32"/>
          <w:szCs w:val="32"/>
          <w:highlight w:val="none"/>
        </w:rPr>
        <w:t>广元市自然资源局朝天区分局下属二级单位</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1</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部门内部设</w:t>
      </w:r>
      <w:r>
        <w:rPr>
          <w:rFonts w:hint="eastAsia" w:ascii="仿宋" w:hAnsi="仿宋" w:eastAsia="仿宋" w:cs="Times New Roman"/>
          <w:color w:val="auto"/>
          <w:sz w:val="32"/>
          <w:szCs w:val="32"/>
          <w:highlight w:val="none"/>
          <w:lang w:val="en-US" w:eastAsia="zh-CN"/>
        </w:rPr>
        <w:t>置办公室、行政审批工作组、政策法规与执法监管工作组、调查监测与确权登记工作组、自然资源所有者权益和审计工作组、自然资源开发利用工作组、国土空间规划工作组、国土空间用途管制工作组、国土空间生态修复工作组、规划管理工作组、耕地保护监督工作组、矿产资源管理工作组（安全生产办公室）、地质灾害防治工作组、测绘地理信息管理工作组、督察信访工作组、财务与资金运用工作组、人事工作组、党建工作组。</w:t>
      </w:r>
    </w:p>
    <w:p>
      <w:pPr>
        <w:pStyle w:val="2"/>
        <w:ind w:right="440"/>
        <w:jc w:val="center"/>
        <w:rPr>
          <w:rStyle w:val="27"/>
          <w:rFonts w:ascii="黑体" w:hAnsi="黑体" w:eastAsia="黑体"/>
          <w:b w:val="0"/>
          <w:bCs/>
          <w:color w:val="auto"/>
          <w:highlight w:val="none"/>
        </w:rPr>
      </w:pPr>
      <w:bookmarkStart w:id="21" w:name="_Toc15396602"/>
      <w:bookmarkStart w:id="22" w:name="_Toc19893"/>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21"/>
      <w:bookmarkEnd w:id="22"/>
      <w:bookmarkEnd w:id="23"/>
    </w:p>
    <w:p>
      <w:pPr>
        <w:rPr>
          <w:color w:val="auto"/>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4" w:name="_Toc15377205"/>
      <w:bookmarkStart w:id="25" w:name="_Toc13826"/>
      <w:bookmarkStart w:id="26"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1301.46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项目减少</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173355</wp:posOffset>
            </wp:positionH>
            <wp:positionV relativeFrom="page">
              <wp:posOffset>5829300</wp:posOffset>
            </wp:positionV>
            <wp:extent cx="5045710" cy="2068195"/>
            <wp:effectExtent l="4445" t="4445" r="17145" b="2286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hint="eastAsia" w:ascii="仿宋_GB2312" w:eastAsia="仿宋_GB2312"/>
          <w:color w:val="auto"/>
          <w:sz w:val="32"/>
          <w:szCs w:val="32"/>
          <w:highlight w:val="none"/>
          <w:lang w:eastAsia="zh-CN"/>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7" w:name="_Toc15396604"/>
      <w:bookmarkStart w:id="28" w:name="_Toc16020"/>
      <w:bookmarkStart w:id="29"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ascii="仿宋" w:hAnsi="仿宋" w:eastAsia="仿宋"/>
          <w:color w:val="auto"/>
          <w:sz w:val="32"/>
          <w:szCs w:val="32"/>
          <w:highlight w:val="none"/>
        </w:rPr>
      </w:pPr>
      <w:bookmarkStart w:id="30" w:name="_Toc381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3880.68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0"/>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168910</wp:posOffset>
            </wp:positionH>
            <wp:positionV relativeFrom="page">
              <wp:posOffset>1798955</wp:posOffset>
            </wp:positionV>
            <wp:extent cx="4950460" cy="2131695"/>
            <wp:effectExtent l="4445" t="4445" r="17145" b="1651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31" w:name="_Toc5269"/>
      <w:bookmarkStart w:id="32" w:name="_Toc15377207"/>
      <w:bookmarkStart w:id="33"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rPr>
          <w:rFonts w:hint="eastAsia" w:ascii="仿宋" w:hAnsi="仿宋" w:eastAsia="仿宋"/>
          <w:color w:val="auto"/>
          <w:sz w:val="32"/>
          <w:szCs w:val="32"/>
          <w:highlight w:val="none"/>
          <w:lang w:eastAsia="zh-CN"/>
        </w:rPr>
      </w:pPr>
      <w:bookmarkStart w:id="34" w:name="_Toc1678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851.73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7460.78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310515</wp:posOffset>
            </wp:positionH>
            <wp:positionV relativeFrom="page">
              <wp:posOffset>5632450</wp:posOffset>
            </wp:positionV>
            <wp:extent cx="3998595" cy="1771650"/>
            <wp:effectExtent l="5080" t="4445" r="1587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8"/>
          <w:rFonts w:ascii="黑体" w:hAnsi="黑体" w:eastAsia="黑体"/>
          <w:b w:val="0"/>
          <w:color w:val="auto"/>
          <w:highlight w:val="none"/>
        </w:rPr>
      </w:pPr>
      <w:bookmarkStart w:id="35" w:name="_Toc15377208"/>
      <w:bookmarkStart w:id="36" w:name="_Toc15396606"/>
      <w:bookmarkStart w:id="37" w:name="_Toc2319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1301.46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项目减少。</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397510</wp:posOffset>
            </wp:positionH>
            <wp:positionV relativeFrom="page">
              <wp:posOffset>962660</wp:posOffset>
            </wp:positionV>
            <wp:extent cx="4504690" cy="2089150"/>
            <wp:effectExtent l="4445" t="4445" r="5715" b="209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8"/>
          <w:rFonts w:ascii="黑体" w:hAnsi="黑体" w:eastAsia="黑体"/>
          <w:b w:val="0"/>
          <w:color w:val="auto"/>
          <w:highlight w:val="none"/>
        </w:rPr>
      </w:pPr>
      <w:bookmarkStart w:id="38" w:name="_Toc24816"/>
      <w:bookmarkStart w:id="39" w:name="_Toc15377209"/>
      <w:bookmarkStart w:id="40"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2" w:firstLineChars="200"/>
        <w:outlineLvl w:val="2"/>
        <w:rPr>
          <w:rFonts w:ascii="仿宋" w:hAnsi="仿宋" w:eastAsia="仿宋"/>
          <w:b/>
          <w:color w:val="auto"/>
          <w:sz w:val="32"/>
          <w:szCs w:val="32"/>
          <w:highlight w:val="none"/>
        </w:rPr>
      </w:pPr>
      <w:bookmarkStart w:id="41" w:name="_Toc15377210"/>
      <w:bookmarkStart w:id="42" w:name="_Toc1342"/>
      <w:r>
        <w:rPr>
          <w:rFonts w:hint="eastAsia" w:ascii="仿宋" w:hAnsi="仿宋" w:eastAsia="仿宋"/>
          <w:b/>
          <w:color w:val="auto"/>
          <w:sz w:val="32"/>
          <w:szCs w:val="32"/>
          <w:highlight w:val="none"/>
        </w:rPr>
        <w:t>（一）一般公共预算财政拨款支出决算总体情况</w:t>
      </w:r>
      <w:bookmarkEnd w:id="41"/>
      <w:bookmarkEnd w:id="42"/>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53.3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160.98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w:t>
      </w:r>
    </w:p>
    <w:p>
      <w:pPr>
        <w:spacing w:line="600" w:lineRule="exact"/>
        <w:ind w:firstLine="642" w:firstLineChars="200"/>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353060</wp:posOffset>
            </wp:positionH>
            <wp:positionV relativeFrom="page">
              <wp:posOffset>5840730</wp:posOffset>
            </wp:positionV>
            <wp:extent cx="4600575" cy="1951990"/>
            <wp:effectExtent l="5080" t="5080" r="4445"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2" w:firstLineChars="200"/>
        <w:outlineLvl w:val="2"/>
        <w:rPr>
          <w:rFonts w:ascii="仿宋" w:hAnsi="仿宋" w:eastAsia="仿宋"/>
          <w:b/>
          <w:color w:val="auto"/>
          <w:sz w:val="32"/>
          <w:szCs w:val="32"/>
          <w:highlight w:val="none"/>
        </w:rPr>
      </w:pPr>
      <w:bookmarkStart w:id="43" w:name="_Toc12131"/>
      <w:bookmarkStart w:id="44" w:name="_Toc15377211"/>
      <w:r>
        <w:rPr>
          <w:rFonts w:hint="eastAsia" w:ascii="仿宋" w:hAnsi="仿宋" w:eastAsia="仿宋"/>
          <w:b/>
          <w:color w:val="auto"/>
          <w:sz w:val="32"/>
          <w:szCs w:val="32"/>
          <w:highlight w:val="none"/>
        </w:rPr>
        <w:t>（二）一般公共预算财政拨款支出决算结构情况</w:t>
      </w:r>
      <w:bookmarkEnd w:id="43"/>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92.55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26.42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54.78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lang w:val="zh-CN" w:eastAsia="zh-CN"/>
        </w:rPr>
        <w:t>%；</w:t>
      </w:r>
      <w:r>
        <w:rPr>
          <w:rFonts w:hint="eastAsia" w:ascii="仿宋" w:hAnsi="仿宋" w:eastAsia="仿宋"/>
          <w:b/>
          <w:bCs/>
          <w:color w:val="auto"/>
          <w:sz w:val="32"/>
          <w:szCs w:val="32"/>
          <w:highlight w:val="none"/>
          <w:lang w:val="zh-CN" w:eastAsia="zh-CN"/>
        </w:rPr>
        <w:t>自然资源海洋气象等支出</w:t>
      </w:r>
      <w:r>
        <w:rPr>
          <w:rFonts w:hint="eastAsia" w:ascii="仿宋" w:hAnsi="仿宋" w:eastAsia="仿宋"/>
          <w:color w:val="auto"/>
          <w:sz w:val="32"/>
          <w:szCs w:val="32"/>
          <w:highlight w:val="none"/>
          <w:lang w:val="zh-CN" w:eastAsia="zh-CN"/>
        </w:rPr>
        <w:t>2,097.04万元，占47.3%；</w:t>
      </w:r>
      <w:r>
        <w:rPr>
          <w:rFonts w:hint="eastAsia" w:ascii="仿宋" w:hAnsi="仿宋" w:eastAsia="仿宋"/>
          <w:b/>
          <w:bCs/>
          <w:color w:val="auto"/>
          <w:sz w:val="32"/>
          <w:szCs w:val="32"/>
          <w:highlight w:val="none"/>
          <w:lang w:val="zh-CN" w:eastAsia="zh-CN"/>
        </w:rPr>
        <w:t>灾害防治及应急管理支出</w:t>
      </w:r>
      <w:r>
        <w:rPr>
          <w:rFonts w:hint="eastAsia" w:ascii="仿宋" w:hAnsi="仿宋" w:eastAsia="仿宋"/>
          <w:color w:val="auto"/>
          <w:sz w:val="32"/>
          <w:szCs w:val="32"/>
          <w:highlight w:val="none"/>
          <w:lang w:val="zh-CN" w:eastAsia="zh-CN"/>
        </w:rPr>
        <w:t>2,161.04万元，占48.8%；。</w:t>
      </w: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293370</wp:posOffset>
            </wp:positionH>
            <wp:positionV relativeFrom="page">
              <wp:posOffset>2126615</wp:posOffset>
            </wp:positionV>
            <wp:extent cx="4625340" cy="2265680"/>
            <wp:effectExtent l="4445" t="4445" r="18415"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2" w:firstLineChars="200"/>
        <w:outlineLvl w:val="2"/>
        <w:rPr>
          <w:rFonts w:ascii="仿宋" w:hAnsi="仿宋" w:eastAsia="仿宋"/>
          <w:b/>
          <w:color w:val="auto"/>
          <w:sz w:val="32"/>
          <w:szCs w:val="32"/>
          <w:highlight w:val="none"/>
        </w:rPr>
      </w:pPr>
      <w:bookmarkStart w:id="45" w:name="_Toc29939"/>
      <w:bookmarkStart w:id="46" w:name="_Toc15377212"/>
      <w:r>
        <w:rPr>
          <w:rFonts w:hint="eastAsia" w:ascii="仿宋" w:hAnsi="仿宋" w:eastAsia="仿宋"/>
          <w:b/>
          <w:color w:val="auto"/>
          <w:sz w:val="32"/>
          <w:szCs w:val="32"/>
          <w:highlight w:val="none"/>
        </w:rPr>
        <w:t>（三）一般公共预算财政拨款支出决算具体情况</w:t>
      </w:r>
      <w:bookmarkEnd w:id="45"/>
      <w:bookmarkEnd w:id="46"/>
    </w:p>
    <w:p>
      <w:pPr>
        <w:spacing w:line="600" w:lineRule="exact"/>
        <w:ind w:firstLine="642" w:firstLineChars="200"/>
        <w:outlineLvl w:val="2"/>
        <w:rPr>
          <w:rFonts w:hint="eastAsia" w:ascii="仿宋" w:hAnsi="仿宋" w:eastAsia="仿宋"/>
          <w:color w:val="auto"/>
          <w:sz w:val="32"/>
          <w:szCs w:val="32"/>
          <w:highlight w:val="none"/>
          <w:lang w:eastAsia="zh-CN"/>
        </w:rPr>
      </w:pPr>
      <w:bookmarkStart w:id="47" w:name="_Toc15377444"/>
      <w:bookmarkStart w:id="48" w:name="_Toc15377213"/>
      <w:bookmarkStart w:id="49" w:name="_Toc15378460"/>
      <w:bookmarkStart w:id="50" w:name="_Toc31928"/>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4431.83</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7"/>
      <w:bookmarkEnd w:id="48"/>
      <w:bookmarkEnd w:id="49"/>
      <w:bookmarkEnd w:id="50"/>
    </w:p>
    <w:p>
      <w:pPr>
        <w:spacing w:line="600" w:lineRule="exact"/>
        <w:ind w:firstLine="642"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2080505</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53.43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2"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机关事业单位职业年金缴费支出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2080506</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9.94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2"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2080801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29.18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行政单位医疗</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2101101</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11.11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2" w:firstLineChars="200"/>
        <w:rPr>
          <w:rStyle w:val="16"/>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2101102</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15.31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6.自然资源海洋气象等支出（类）自然资源事务（款）行政运行（项）2200101：</w:t>
      </w:r>
      <w:r>
        <w:rPr>
          <w:rStyle w:val="16"/>
          <w:rFonts w:hint="eastAsia" w:ascii="仿宋" w:hAnsi="仿宋" w:eastAsia="仿宋"/>
          <w:b w:val="0"/>
          <w:bCs/>
          <w:color w:val="auto"/>
          <w:sz w:val="32"/>
          <w:szCs w:val="32"/>
          <w:highlight w:val="none"/>
          <w:lang w:val="en-US" w:eastAsia="zh-CN"/>
        </w:rPr>
        <w:t>支出决算为249.22万元，完成预算100%。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7.自然资源海洋气象等支出（类）自然资源事务（款）一般行政管理事务（项）2200102：</w:t>
      </w:r>
      <w:r>
        <w:rPr>
          <w:rStyle w:val="16"/>
          <w:rFonts w:hint="eastAsia" w:ascii="仿宋" w:hAnsi="仿宋" w:eastAsia="仿宋"/>
          <w:b w:val="0"/>
          <w:bCs/>
          <w:color w:val="auto"/>
          <w:sz w:val="32"/>
          <w:szCs w:val="32"/>
          <w:highlight w:val="none"/>
          <w:lang w:val="en-US" w:eastAsia="zh-CN"/>
        </w:rPr>
        <w:t>支出决算为73.70万元，完成预算100%。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8.自然资源海洋气象等支出（类）自然资源事务（款）机关服务（项）2200103</w:t>
      </w:r>
      <w:r>
        <w:rPr>
          <w:rStyle w:val="16"/>
          <w:rFonts w:hint="eastAsia" w:ascii="仿宋" w:hAnsi="仿宋" w:eastAsia="仿宋"/>
          <w:b w:val="0"/>
          <w:bCs/>
          <w:color w:val="auto"/>
          <w:sz w:val="32"/>
          <w:szCs w:val="32"/>
          <w:highlight w:val="none"/>
          <w:lang w:val="en-US" w:eastAsia="zh-CN"/>
        </w:rPr>
        <w:t>：支出决算为323.75万元，完成预算100%。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9.自然资源海洋气象等支出（类）自然资源事务（款）自然资源利用与保护（项）2200106：</w:t>
      </w:r>
      <w:r>
        <w:rPr>
          <w:rStyle w:val="16"/>
          <w:rFonts w:hint="eastAsia" w:ascii="仿宋" w:hAnsi="仿宋" w:eastAsia="仿宋"/>
          <w:b w:val="0"/>
          <w:bCs/>
          <w:color w:val="auto"/>
          <w:sz w:val="32"/>
          <w:szCs w:val="32"/>
          <w:highlight w:val="none"/>
          <w:lang w:val="en-US" w:eastAsia="zh-CN"/>
        </w:rPr>
        <w:t>支出决算为818.70万元，完成预算100%。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10.自然资源海洋气象等支出（类）自然资源事务（款）地质勘察与矿产资源管理（项）2200114：</w:t>
      </w:r>
      <w:r>
        <w:rPr>
          <w:rStyle w:val="16"/>
          <w:rFonts w:hint="eastAsia" w:ascii="仿宋" w:hAnsi="仿宋" w:eastAsia="仿宋"/>
          <w:b w:val="0"/>
          <w:bCs/>
          <w:color w:val="auto"/>
          <w:sz w:val="32"/>
          <w:szCs w:val="32"/>
          <w:highlight w:val="none"/>
          <w:lang w:val="en-US" w:eastAsia="zh-CN"/>
        </w:rPr>
        <w:t>支出决算为316.19万元，完成预算100%。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11.自然资源海洋气象等支出（类）自然资源事务（款）事业运行（项）2200150：</w:t>
      </w:r>
      <w:r>
        <w:rPr>
          <w:rStyle w:val="16"/>
          <w:rFonts w:hint="eastAsia" w:ascii="仿宋" w:hAnsi="仿宋" w:eastAsia="仿宋"/>
          <w:b w:val="0"/>
          <w:bCs/>
          <w:color w:val="auto"/>
          <w:sz w:val="32"/>
          <w:szCs w:val="32"/>
          <w:highlight w:val="none"/>
          <w:lang w:val="en-US" w:eastAsia="zh-CN"/>
        </w:rPr>
        <w:t>支出决算为105.01万元，完成预算100%。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12.自然资源海洋气象等支出（类）自然资源事务（款）其他自然资源事务支出（项）2200199：</w:t>
      </w:r>
      <w:r>
        <w:rPr>
          <w:rStyle w:val="16"/>
          <w:rFonts w:hint="eastAsia" w:ascii="仿宋" w:hAnsi="仿宋" w:eastAsia="仿宋"/>
          <w:b w:val="0"/>
          <w:bCs/>
          <w:color w:val="auto"/>
          <w:sz w:val="32"/>
          <w:szCs w:val="32"/>
          <w:highlight w:val="none"/>
          <w:lang w:val="en-US" w:eastAsia="zh-CN"/>
        </w:rPr>
        <w:t>支出决算为210.47万元，完成预算100%。</w:t>
      </w:r>
    </w:p>
    <w:p>
      <w:pPr>
        <w:pStyle w:val="5"/>
        <w:ind w:firstLine="642"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13.住房保障支出（类）住房改革支出（款）住房公积金（项）2210201：</w:t>
      </w:r>
      <w:r>
        <w:rPr>
          <w:rStyle w:val="16"/>
          <w:rFonts w:hint="eastAsia" w:ascii="仿宋" w:hAnsi="仿宋" w:eastAsia="仿宋"/>
          <w:b w:val="0"/>
          <w:bCs/>
          <w:color w:val="auto"/>
          <w:sz w:val="32"/>
          <w:szCs w:val="32"/>
          <w:highlight w:val="none"/>
          <w:lang w:val="en-US" w:eastAsia="zh-CN"/>
        </w:rPr>
        <w:t>支出决算为54.78万元，完成预算100%。</w:t>
      </w:r>
    </w:p>
    <w:p>
      <w:pPr>
        <w:pStyle w:val="5"/>
        <w:ind w:firstLine="642" w:firstLineChars="200"/>
        <w:rPr>
          <w:rFonts w:ascii="仿宋" w:hAnsi="仿宋" w:eastAsia="仿宋"/>
          <w:b/>
          <w:color w:val="auto"/>
          <w:sz w:val="32"/>
          <w:szCs w:val="32"/>
          <w:highlight w:val="none"/>
        </w:rPr>
      </w:pPr>
      <w:r>
        <w:rPr>
          <w:rStyle w:val="16"/>
          <w:rFonts w:hint="eastAsia" w:ascii="仿宋" w:hAnsi="仿宋" w:eastAsia="仿宋"/>
          <w:b/>
          <w:bCs w:val="0"/>
          <w:color w:val="auto"/>
          <w:sz w:val="32"/>
          <w:szCs w:val="32"/>
          <w:highlight w:val="none"/>
          <w:lang w:val="en-US" w:eastAsia="zh-CN"/>
        </w:rPr>
        <w:t>14.灾害防治及应急管理支出（类）自然灾害防治（款）地质灾害防治（项）2240601：</w:t>
      </w:r>
      <w:r>
        <w:rPr>
          <w:rStyle w:val="16"/>
          <w:rFonts w:hint="eastAsia" w:ascii="仿宋" w:hAnsi="仿宋" w:eastAsia="仿宋"/>
          <w:b w:val="0"/>
          <w:bCs/>
          <w:color w:val="auto"/>
          <w:sz w:val="32"/>
          <w:szCs w:val="32"/>
          <w:highlight w:val="none"/>
          <w:lang w:val="en-US" w:eastAsia="zh-CN"/>
        </w:rPr>
        <w:t>支出决算为2161.04万元，完成预算100%。</w:t>
      </w:r>
    </w:p>
    <w:p>
      <w:pPr>
        <w:tabs>
          <w:tab w:val="right" w:pos="8306"/>
        </w:tabs>
        <w:spacing w:line="600" w:lineRule="exact"/>
        <w:ind w:firstLine="640"/>
        <w:outlineLvl w:val="1"/>
        <w:rPr>
          <w:rStyle w:val="28"/>
          <w:color w:val="auto"/>
          <w:highlight w:val="none"/>
        </w:rPr>
      </w:pPr>
      <w:bookmarkStart w:id="51" w:name="_Toc15396608"/>
      <w:bookmarkStart w:id="52" w:name="_Toc15377214"/>
      <w:bookmarkStart w:id="53" w:name="_Toc1196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1"/>
      <w:bookmarkEnd w:id="52"/>
      <w:bookmarkEnd w:id="53"/>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851.73</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790.36</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其他社会保障缴费、其他工资福利支出、抚恤金、生活补助、奖励金、住房公积金。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61.37</w:t>
      </w:r>
      <w:r>
        <w:rPr>
          <w:rFonts w:hint="eastAsia" w:ascii="仿宋" w:hAnsi="仿宋" w:eastAsia="仿宋"/>
          <w:color w:val="auto"/>
          <w:sz w:val="32"/>
          <w:szCs w:val="32"/>
          <w:highlight w:val="none"/>
        </w:rPr>
        <w:t>万元，主要包括：办公费、印刷费、咨询费、手续费、水费、电费、邮电费、差旅费、会议费、培训费、公务接待费、劳务费、其他交通费。</w:t>
      </w:r>
    </w:p>
    <w:p>
      <w:pPr>
        <w:spacing w:line="600" w:lineRule="exact"/>
        <w:ind w:firstLine="640"/>
        <w:outlineLvl w:val="1"/>
        <w:rPr>
          <w:rStyle w:val="28"/>
          <w:rFonts w:ascii="黑体" w:hAnsi="黑体" w:eastAsia="黑体"/>
          <w:b w:val="0"/>
          <w:color w:val="auto"/>
          <w:highlight w:val="none"/>
        </w:rPr>
      </w:pPr>
      <w:bookmarkStart w:id="54" w:name="_Toc15396609"/>
      <w:bookmarkStart w:id="55" w:name="_Toc15377215"/>
      <w:bookmarkStart w:id="56" w:name="_Toc1202"/>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bookmarkStart w:id="58" w:name="_Toc9988"/>
      <w:r>
        <w:rPr>
          <w:rFonts w:hint="eastAsia" w:ascii="仿宋" w:hAnsi="仿宋" w:eastAsia="仿宋"/>
          <w:b/>
          <w:color w:val="auto"/>
          <w:sz w:val="32"/>
          <w:szCs w:val="32"/>
          <w:highlight w:val="none"/>
        </w:rPr>
        <w:t>（一）“三公”经费财政拨款支出决算总体情况说明</w:t>
      </w:r>
      <w:bookmarkEnd w:id="57"/>
      <w:bookmarkEnd w:id="5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7.4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减少0.01万元，下降0.1%。</w:t>
      </w:r>
      <w:r>
        <w:rPr>
          <w:rFonts w:hint="eastAsia" w:ascii="仿宋" w:hAnsi="仿宋" w:eastAsia="仿宋"/>
          <w:color w:val="auto"/>
          <w:sz w:val="32"/>
          <w:szCs w:val="32"/>
          <w:highlight w:val="none"/>
        </w:rPr>
        <w:t>决算数与预算数持平的主要原因是严格执行中央八项规定，压缩开支。</w:t>
      </w:r>
    </w:p>
    <w:p>
      <w:pPr>
        <w:spacing w:line="600" w:lineRule="exact"/>
        <w:ind w:firstLine="640"/>
        <w:outlineLvl w:val="2"/>
        <w:rPr>
          <w:rFonts w:ascii="仿宋" w:hAnsi="仿宋" w:eastAsia="仿宋"/>
          <w:b/>
          <w:color w:val="auto"/>
          <w:sz w:val="32"/>
          <w:szCs w:val="32"/>
          <w:highlight w:val="none"/>
        </w:rPr>
      </w:pPr>
      <w:bookmarkStart w:id="59" w:name="_Toc23244"/>
      <w:bookmarkStart w:id="60" w:name="_Toc15377217"/>
      <w:r>
        <w:rPr>
          <w:rFonts w:hint="eastAsia" w:ascii="仿宋" w:hAnsi="仿宋" w:eastAsia="仿宋"/>
          <w:b/>
          <w:color w:val="auto"/>
          <w:sz w:val="32"/>
          <w:szCs w:val="32"/>
          <w:highlight w:val="none"/>
        </w:rPr>
        <w:t>（二）“三公”经费财政拨款支出决算具体情况说明</w:t>
      </w:r>
      <w:bookmarkEnd w:id="59"/>
      <w:bookmarkEnd w:id="60"/>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6432" behindDoc="0" locked="0" layoutInCell="1" allowOverlap="1">
            <wp:simplePos x="0" y="0"/>
            <wp:positionH relativeFrom="column">
              <wp:posOffset>583565</wp:posOffset>
            </wp:positionH>
            <wp:positionV relativeFrom="page">
              <wp:posOffset>3333115</wp:posOffset>
            </wp:positionV>
            <wp:extent cx="4177030" cy="2268855"/>
            <wp:effectExtent l="4445" t="4445" r="9525" b="1270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hAnsi="Times New Roman" w:eastAsia="仿宋_GB2312" w:cs="Times New Roman"/>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7.4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Times New Roman" w:eastAsia="仿宋_GB2312" w:cs="Times New Roman"/>
          <w:color w:val="auto"/>
          <w:sz w:val="32"/>
          <w:szCs w:val="32"/>
          <w:highlight w:val="none"/>
        </w:rPr>
        <w:t>严格执行中央八项规定，压缩开支。</w:t>
      </w:r>
      <w:r>
        <w:rPr>
          <w:rFonts w:hint="eastAsia" w:ascii="仿宋_GB2312" w:eastAsia="仿宋_GB2312"/>
          <w:color w:val="auto"/>
          <w:sz w:val="32"/>
          <w:szCs w:val="32"/>
          <w:highlight w:val="none"/>
        </w:rPr>
        <w:t>其中：</w:t>
      </w:r>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国内公务接待支出</w:t>
      </w:r>
      <w:r>
        <w:rPr>
          <w:rFonts w:hint="eastAsia" w:ascii="仿宋_GB2312" w:hAnsi="Times New Roman" w:eastAsia="仿宋_GB2312" w:cs="Times New Roman"/>
          <w:color w:val="auto"/>
          <w:sz w:val="32"/>
          <w:szCs w:val="32"/>
          <w:highlight w:val="none"/>
          <w:lang w:val="en-US" w:eastAsia="zh-CN"/>
        </w:rPr>
        <w:t>7.4</w:t>
      </w:r>
      <w:r>
        <w:rPr>
          <w:rFonts w:hint="eastAsia" w:ascii="仿宋_GB2312" w:hAnsi="Times New Roman" w:eastAsia="仿宋_GB2312" w:cs="Times New Roman"/>
          <w:color w:val="auto"/>
          <w:sz w:val="32"/>
          <w:szCs w:val="32"/>
          <w:highlight w:val="none"/>
        </w:rPr>
        <w:t>万元，主要用于执行公务、开展业务活动开支的住宿费、用餐费等。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1235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具体内容包括：</w:t>
      </w:r>
      <w:r>
        <w:rPr>
          <w:rFonts w:hint="eastAsia" w:ascii="仿宋_GB2312" w:eastAsia="仿宋_GB2312"/>
          <w:color w:val="auto"/>
          <w:sz w:val="32"/>
          <w:szCs w:val="32"/>
          <w:highlight w:val="none"/>
          <w:lang w:val="en-US" w:eastAsia="zh-CN"/>
        </w:rPr>
        <w:t>市局用途管制科对接工作2800元（接待7批次42人次）；市地籍地政事务中心对接工作5050元（接待11批次79人次）；市局空间规划科对接工作3876元（接待8批次59人次）；市局办公室对接工作7436元（接待13批次120人次）；市地环站对接工作16390元（接待21批次282人次）；市不动产登记中心对接工作5000元（接待10批次80人次）；市财务科对接工作900元（接待2批次13人次）；市局机关党办对接工作1650元（接待3批次27人次）；市执法大队对接工作4600元（接待10批次74人次）；市生态修复科对接工作2770元（接待5批次46人次）；利州局对接工作2340元（接待4批次39人次）；剑阁局对接工作1020元（接待2批次16人次）；旺苍局对接工作540元（接待1批次8人次）；苍溪局对接工作1200元（接待2批次18人次）；市局开展调研及督导检查等工作15248元（接待17批次280人次）；省厅确权登记局局长调研工作840元（接待1批次14人次）；省厅第二督导组督导调研工作1440元（接待2批次23人次）；省厅行政审批处调研工作900元（接待1批次15人次）。</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61" w:name="_Toc15377218"/>
      <w:bookmarkStart w:id="62" w:name="_Toc15396610"/>
    </w:p>
    <w:p>
      <w:pPr>
        <w:spacing w:line="600" w:lineRule="exact"/>
        <w:ind w:firstLine="640"/>
        <w:outlineLvl w:val="1"/>
        <w:rPr>
          <w:rStyle w:val="28"/>
          <w:rFonts w:ascii="黑体" w:hAnsi="黑体" w:eastAsia="黑体"/>
          <w:color w:val="auto"/>
          <w:highlight w:val="none"/>
        </w:rPr>
      </w:pPr>
      <w:bookmarkStart w:id="63" w:name="_Toc6377"/>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3880.68</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64" w:name="_Toc15377219"/>
      <w:bookmarkStart w:id="65" w:name="_Toc15396611"/>
      <w:bookmarkStart w:id="66" w:name="_Toc5413"/>
      <w:r>
        <w:rPr>
          <w:rStyle w:val="28"/>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hint="eastAsia" w:ascii="黑体" w:hAnsi="黑体" w:eastAsia="黑体"/>
          <w:b w:val="0"/>
          <w:color w:val="auto"/>
          <w:highlight w:val="none"/>
        </w:rPr>
      </w:pPr>
      <w:bookmarkStart w:id="67" w:name="_Toc15377221"/>
      <w:bookmarkStart w:id="68" w:name="_Toc15396612"/>
      <w:bookmarkStart w:id="69" w:name="_Toc29671"/>
      <w:r>
        <w:rPr>
          <w:rStyle w:val="28"/>
          <w:rFonts w:hint="eastAsia" w:ascii="黑体" w:hAnsi="黑体" w:eastAsia="黑体"/>
          <w:b w:val="0"/>
          <w:color w:val="auto"/>
          <w:highlight w:val="none"/>
        </w:rPr>
        <w:t>其他重要事项的情况说明</w:t>
      </w:r>
      <w:bookmarkEnd w:id="67"/>
      <w:bookmarkEnd w:id="68"/>
      <w:bookmarkEnd w:id="69"/>
    </w:p>
    <w:p>
      <w:pPr>
        <w:spacing w:line="600" w:lineRule="exact"/>
        <w:ind w:firstLine="642" w:firstLineChars="200"/>
        <w:outlineLvl w:val="2"/>
        <w:rPr>
          <w:rFonts w:ascii="仿宋" w:hAnsi="仿宋" w:eastAsia="仿宋"/>
          <w:color w:val="auto"/>
          <w:sz w:val="32"/>
          <w:szCs w:val="32"/>
          <w:highlight w:val="none"/>
        </w:rPr>
      </w:pPr>
      <w:bookmarkStart w:id="70" w:name="_Toc15377222"/>
      <w:bookmarkStart w:id="71" w:name="_Toc14261"/>
      <w:r>
        <w:rPr>
          <w:rFonts w:hint="eastAsia" w:ascii="仿宋" w:hAnsi="仿宋" w:eastAsia="仿宋"/>
          <w:b/>
          <w:color w:val="auto"/>
          <w:sz w:val="32"/>
          <w:szCs w:val="32"/>
          <w:highlight w:val="none"/>
        </w:rPr>
        <w:t>（一）机关运行经费支出情况</w:t>
      </w:r>
      <w:bookmarkEnd w:id="70"/>
      <w:bookmarkEnd w:id="71"/>
    </w:p>
    <w:p>
      <w:pPr>
        <w:spacing w:line="560" w:lineRule="exact"/>
        <w:ind w:firstLine="640" w:firstLineChars="200"/>
        <w:rPr>
          <w:rFonts w:hint="eastAsia" w:ascii="仿宋_GB2312" w:hAnsi="Times New Roman" w:eastAsia="仿宋_GB2312" w:cs="Times New Roman"/>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61.37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2.36</w:t>
      </w:r>
      <w:r>
        <w:rPr>
          <w:rFonts w:hint="eastAsia" w:ascii="仿宋_GB2312" w:hAnsi="Times New Roman" w:eastAsia="仿宋_GB2312" w:cs="Times New Roman"/>
          <w:color w:val="auto"/>
          <w:sz w:val="32"/>
          <w:szCs w:val="32"/>
          <w:highlight w:val="none"/>
        </w:rPr>
        <w:t>万元，下降</w:t>
      </w:r>
      <w:r>
        <w:rPr>
          <w:rFonts w:hint="eastAsia" w:ascii="仿宋_GB2312" w:hAnsi="Times New Roman" w:eastAsia="仿宋_GB2312" w:cs="Times New Roman"/>
          <w:color w:val="auto"/>
          <w:sz w:val="32"/>
          <w:szCs w:val="32"/>
          <w:highlight w:val="none"/>
          <w:lang w:val="en-US" w:eastAsia="zh-CN"/>
        </w:rPr>
        <w:t>3.7</w:t>
      </w:r>
      <w:r>
        <w:rPr>
          <w:rFonts w:hint="eastAsia" w:ascii="仿宋_GB2312" w:hAnsi="Times New Roman" w:eastAsia="仿宋_GB2312" w:cs="Times New Roman"/>
          <w:color w:val="auto"/>
          <w:sz w:val="32"/>
          <w:szCs w:val="32"/>
          <w:highlight w:val="none"/>
        </w:rPr>
        <w:t>%。主要原因是严格执行相关规定，压缩开支。</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2" w:name="_Toc15377223"/>
      <w:bookmarkStart w:id="73" w:name="_Toc31934"/>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4" w:name="_Toc10809"/>
      <w:bookmarkStart w:id="75" w:name="_Toc15377224"/>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6" w:name="_Toc25138"/>
      <w:r>
        <w:rPr>
          <w:rFonts w:hint="eastAsia" w:ascii="仿宋" w:hAnsi="仿宋" w:eastAsia="仿宋"/>
          <w:b/>
          <w:color w:val="auto"/>
          <w:sz w:val="32"/>
          <w:szCs w:val="32"/>
          <w:highlight w:val="none"/>
        </w:rPr>
        <w:t>（四）预算绩效管理情况</w:t>
      </w:r>
      <w:bookmarkEnd w:id="76"/>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土地报征</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广元市自然资源局朝天区分局</w:t>
      </w:r>
      <w:r>
        <w:rPr>
          <w:rFonts w:hint="eastAsia" w:ascii="仿宋_GB2312" w:hAnsi="仿宋_GB2312" w:eastAsia="仿宋_GB2312" w:cs="仿宋_GB2312"/>
          <w:color w:val="auto"/>
          <w:sz w:val="32"/>
          <w:szCs w:val="32"/>
          <w:highlight w:val="none"/>
        </w:rPr>
        <w:t>部门整体绩效自评报告、2022年第一批中央地质灾害防治补助资金</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2022年第三批地质灾害防治补助资金(省级)</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val="en-US" w:eastAsia="zh-CN"/>
        </w:rPr>
        <w:t>广元市自然资源局朝天区分局</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eastAsia="仿宋_GB2312" w:cs="仿宋_GB2312"/>
          <w:color w:val="auto"/>
          <w:sz w:val="32"/>
          <w:szCs w:val="32"/>
          <w:highlight w:val="none"/>
          <w:lang w:val="en-US" w:eastAsia="zh-CN"/>
        </w:rPr>
        <w:t>97.56</w:t>
      </w:r>
      <w:r>
        <w:rPr>
          <w:rFonts w:hint="eastAsia" w:ascii="仿宋_GB2312" w:hAnsi="仿宋_GB2312" w:eastAsia="仿宋_GB2312" w:cs="仿宋_GB2312"/>
          <w:color w:val="auto"/>
          <w:sz w:val="32"/>
          <w:szCs w:val="32"/>
          <w:highlight w:val="none"/>
        </w:rPr>
        <w:t>分，绩效自评综述：</w:t>
      </w:r>
      <w:r>
        <w:rPr>
          <w:rFonts w:hint="eastAsia" w:ascii="Arial Narrow" w:hAnsi="Arial Narrow" w:eastAsia="仿宋"/>
          <w:color w:val="auto"/>
          <w:sz w:val="32"/>
          <w:highlight w:val="none"/>
        </w:rPr>
        <w:t>广元市自然资源局朝天区分</w:t>
      </w:r>
      <w:r>
        <w:rPr>
          <w:rFonts w:hint="eastAsia" w:ascii="仿宋_GB2312" w:hAnsi="仿宋_GB2312" w:eastAsia="仿宋_GB2312" w:cs="仿宋_GB2312"/>
          <w:color w:val="auto"/>
          <w:sz w:val="32"/>
          <w:szCs w:val="32"/>
          <w:highlight w:val="none"/>
        </w:rPr>
        <w:t>局202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Arial Narrow" w:hAnsi="Arial Narrow" w:eastAsia="仿宋"/>
          <w:color w:val="auto"/>
          <w:sz w:val="32"/>
          <w:highlight w:val="none"/>
        </w:rPr>
        <w:t>部门支出较规范、合理，符合财政预算资金的相关制度和办法。部门制度建立健全且执行情况良好，较好的履行了部门基本职能，完成了年度重点任务工作</w:t>
      </w:r>
      <w:r>
        <w:rPr>
          <w:rFonts w:hint="eastAsia" w:ascii="仿宋_GB2312" w:hAnsi="仿宋_GB2312" w:eastAsia="仿宋_GB2312" w:cs="仿宋_GB2312"/>
          <w:color w:val="auto"/>
          <w:sz w:val="32"/>
          <w:szCs w:val="32"/>
          <w:highlight w:val="none"/>
        </w:rPr>
        <w:t>；2022年第一批中央地质灾害防治补助资金</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2022年第三批地质灾害防治补助资金(省级)</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管理规范，流程符合规定，按照要求提前完成项目建设内容，超额完成项目绩效指标。</w:t>
      </w:r>
      <w:r>
        <w:rPr>
          <w:rFonts w:hint="eastAsia" w:ascii="仿宋_GB2312" w:hAnsi="仿宋_GB2312" w:eastAsia="仿宋_GB2312" w:cs="仿宋_GB2312"/>
          <w:color w:val="auto"/>
          <w:sz w:val="32"/>
          <w:szCs w:val="32"/>
        </w:rPr>
        <w:t>由于区财政紧张，部分项目实施后，资金没有及时拨付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项目总体绩效评价好</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77" w:name="_Toc15396613"/>
      <w:bookmarkStart w:id="78" w:name="_Toc5756"/>
      <w:bookmarkStart w:id="79"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2080505</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指机关事业单位实施养老保险制度由单位缴纳的基本养老保险费支出。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机关事业单位职业年金缴费支出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2080506</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机关事业单位实施养老保险制度由单位实际缴纳的职业年金支出。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抚恤</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死亡抚恤</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2080801</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指按规定用于烈士和牺牲、病故人员家属的一次性和定期抚恤金、丧葬补助费以及烈士褒扬金。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行政单位医疗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2101101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指财政部门安排的行政单位基本医疗保险缴费经费。</w:t>
      </w:r>
    </w:p>
    <w:p>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事业单位医疗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2101102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指财政部门安排的事业单位基本医疗保险缴费经费。</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9.自然资源海洋气象等支出（类）自然资源事务（款）行政运行（项）2200101：指行政单位（包括实行公务员管理的事业单位）的基本支出。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10.自然资源海洋气象等支出（类）自然资源事务（款）一般行政管理事务（项）2200102：指行政单位（包括实行公务员管理的事业单位）为单独设置项级科目的其他项目支出。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11.自然资源海洋气象等支出（类）自然资源事务（款）机关服务（项）2200103：指行政单位（包括实行公务员管理的事业单位）提供后勤服务的各类后勤服务中心、医务室等附属事业单位的支出。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12.自然资源海洋气象等支出（类）自然资源事务（款）自然资源利用与保护（项）2200106：指用于自然资源有偿使用与合理开发利用，国土空间生态修复，国土整治，耕地保护等方面的支出。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13.自然资源海洋气象等支出（类）自然资源事务（款）地质勘察与矿产资源管理（项）2200114：指用于地质勘察行业和地址工作管理，矿业权管理、矿产资源合理利用和保护等方面的支出。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14.自然资源海洋气象等支出（类）自然资源事务（款）事业运行（项）2200150：指事业单位的基本支出。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15.自然资源海洋气象等支出（类）自然资源事务（款）其他自然资源事务支出（项）2200199：指除上述项目以外其他用于自然资源事务方面的支出。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16.住房保障支出（类）住房改革支出（款）住房公积金（项）2210201：指行政事业单位按人力资源和社会保障部、财政部规定的基本工资和津贴补贴以及规定比例为职工缴纳的住房公积金。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17.灾害防治及应急管理支出（类）自然灾害防治（款）地质灾害防治（项）2240601：指防治地质灾害方面的支出。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7"/>
          <w:rFonts w:hint="eastAsia" w:ascii="黑体" w:hAnsi="黑体" w:eastAsia="黑体"/>
          <w:b w:val="0"/>
          <w:color w:val="auto"/>
          <w:highlight w:val="none"/>
          <w:lang w:eastAsia="zh-CN"/>
        </w:rPr>
      </w:pPr>
      <w:bookmarkStart w:id="80" w:name="_Toc15377226"/>
      <w:r>
        <w:rPr>
          <w:rFonts w:ascii="宋体"/>
          <w:b/>
          <w:color w:val="auto"/>
          <w:sz w:val="44"/>
          <w:szCs w:val="44"/>
          <w:highlight w:val="none"/>
        </w:rPr>
        <w:br w:type="page"/>
      </w:r>
      <w:bookmarkStart w:id="81" w:name="_Toc15396614"/>
      <w:bookmarkStart w:id="82" w:name="_Toc19627"/>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81"/>
      <w:bookmarkEnd w:id="8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83" w:name="_Toc14821"/>
      <w:r>
        <w:rPr>
          <w:rFonts w:hint="eastAsia" w:ascii="黑体" w:hAnsi="黑体" w:eastAsia="黑体" w:cs="黑体"/>
          <w:color w:val="auto"/>
          <w:sz w:val="32"/>
          <w:szCs w:val="32"/>
          <w:highlight w:val="none"/>
        </w:rPr>
        <w:t>附件</w:t>
      </w:r>
      <w:bookmarkEnd w:id="83"/>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b/>
          <w:color w:val="auto"/>
          <w:sz w:val="32"/>
          <w:szCs w:val="32"/>
          <w:highlight w:val="none"/>
          <w:shd w:val="clear" w:color="auto" w:fill="FFFFFF"/>
          <w:lang w:val="en-US" w:eastAsia="zh-CN"/>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广元市自然资源局朝天区分局</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snapToGrid w:val="0"/>
        <w:spacing w:line="520" w:lineRule="exact"/>
        <w:ind w:firstLine="640" w:firstLineChars="200"/>
        <w:rPr>
          <w:rFonts w:hint="eastAsia" w:ascii="楷体_GB2312" w:hAnsi="楷体_GB2312" w:eastAsia="楷体_GB2312" w:cs="楷体_GB2312"/>
          <w:b w:val="0"/>
          <w:bCs/>
          <w:color w:val="auto"/>
          <w:spacing w:val="-6"/>
          <w:w w:val="99"/>
          <w:sz w:val="32"/>
          <w:szCs w:val="32"/>
          <w:lang w:val="en-US" w:eastAsia="zh-CN"/>
        </w:rPr>
      </w:pPr>
      <w:r>
        <w:rPr>
          <w:rFonts w:hint="eastAsia" w:ascii="仿宋_GB2312" w:hAnsi="仿宋" w:eastAsia="仿宋_GB2312"/>
          <w:color w:val="auto"/>
          <w:sz w:val="32"/>
          <w:szCs w:val="32"/>
        </w:rPr>
        <w:t>广元市自然资源局朝天区分局下属二级单位4个，其中行政单位0个，参照公务员法管理的事业单位1个，其他事业单位3个。</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负责全区自然资源资产使用工作。建立全民所有自然资源资产统计制度，负责全民所有自然资源资产核算。编制全民所有自然资源资产负债表，依照有关标准组织考核。按照规定权限，制定全民所有自然资源资产划</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出让、作价出资和土地储备政策，合理配置全民所有自然资源资产。负责自然资源资产价值评估管理，依法收</w:t>
      </w:r>
      <w:r>
        <w:rPr>
          <w:rFonts w:hint="eastAsia" w:ascii="仿宋_GB2312" w:hAnsi="仿宋" w:eastAsia="仿宋_GB2312"/>
          <w:color w:val="auto"/>
          <w:sz w:val="32"/>
          <w:szCs w:val="32"/>
          <w:lang w:val="en-US" w:eastAsia="zh-CN"/>
        </w:rPr>
        <w:t>清</w:t>
      </w:r>
      <w:r>
        <w:rPr>
          <w:rFonts w:hint="eastAsia" w:ascii="仿宋_GB2312" w:hAnsi="仿宋" w:eastAsia="仿宋_GB2312"/>
          <w:color w:val="auto"/>
          <w:sz w:val="32"/>
          <w:szCs w:val="32"/>
        </w:rPr>
        <w:t>相关资产收益。</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负责全区矿产资源管理工作。负责矿产资源储量管理及压覆矿产资源审核报批。负责矿业权管理。会同有关部门承担保护性开釆的特定矿种、优势矿产的调控及相关管理工作。监督指导矿产资源合理利用和保护。</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配合国家、省对县区政府落实党中央、国务院关于自然资源和国土空间规划的重大方针政策、决策部署及法律法规执行情况进行督察。按照市委、市政府安排，组织实施自然资源督察相关工作。查处全区自然资源开发利用、囯土空间规划、城乡规划、测绘等领域重大违法案件。</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负责测绘地理信息管理。负责基础测绘和测绘行业管理。监督管理全区测绘地理信息成果、市场秩序、测绘基准和系统。负责地理信息公共服务管理和测量标志保护。</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负责职责范围内的安全生产和职业健康、生态环境保护、审批服务便民化等工作。</w:t>
      </w:r>
    </w:p>
    <w:p>
      <w:pPr>
        <w:pStyle w:val="5"/>
        <w:numPr>
          <w:ilvl w:val="0"/>
          <w:numId w:val="0"/>
        </w:num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rPr>
        <w:t>完成区委、区政府交办的其他任务。</w:t>
      </w:r>
    </w:p>
    <w:p>
      <w:pPr>
        <w:numPr>
          <w:ilvl w:val="0"/>
          <w:numId w:val="0"/>
        </w:numPr>
        <w:snapToGrid w:val="0"/>
        <w:spacing w:line="520" w:lineRule="exact"/>
        <w:ind w:firstLine="640" w:firstLineChars="200"/>
        <w:rPr>
          <w:rFonts w:hint="eastAsia"/>
          <w:color w:val="auto"/>
          <w:lang w:val="zh-CN"/>
        </w:rPr>
      </w:pPr>
      <w:r>
        <w:rPr>
          <w:rFonts w:hint="eastAsia" w:ascii="仿宋_GB2312" w:hAnsi="仿宋" w:eastAsia="仿宋_GB2312"/>
          <w:color w:val="auto"/>
          <w:sz w:val="32"/>
          <w:szCs w:val="32"/>
          <w:lang w:val="en-US" w:eastAsia="zh-CN"/>
        </w:rPr>
        <w:t>人员概况：</w:t>
      </w:r>
      <w:r>
        <w:rPr>
          <w:rFonts w:hint="eastAsia" w:ascii="仿宋_GB2312" w:hAnsi="仿宋" w:eastAsia="仿宋_GB2312"/>
          <w:color w:val="auto"/>
          <w:sz w:val="32"/>
          <w:szCs w:val="32"/>
        </w:rPr>
        <w:t>广元市自然资源局朝天区分局</w:t>
      </w:r>
      <w:r>
        <w:rPr>
          <w:rFonts w:hint="eastAsia" w:ascii="仿宋_GB2312" w:hAnsi="仿宋" w:eastAsia="仿宋_GB2312"/>
          <w:color w:val="auto"/>
          <w:sz w:val="32"/>
          <w:szCs w:val="32"/>
          <w:lang w:val="en-US" w:eastAsia="zh-CN"/>
        </w:rPr>
        <w:t>2022年末实有人数78人，其中行政编制6人，参公编制13人，事业编制29人，年末其他人员30人。</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1.坚定理想信念，加强政治理论学习。</w:t>
      </w:r>
      <w:r>
        <w:rPr>
          <w:rFonts w:hint="eastAsia" w:ascii="仿宋_GB2312" w:hAnsi="仿宋" w:eastAsia="仿宋_GB2312" w:cs="Times New Roman"/>
          <w:color w:val="auto"/>
          <w:sz w:val="32"/>
          <w:szCs w:val="32"/>
          <w:lang w:val="en-US" w:eastAsia="zh-CN"/>
        </w:rPr>
        <w:t>依托学习强国、四川观察、川观新闻、四川在线、天府通办、微朝天等学习平台，组织干部职工系统学习习近平新时代中国特色社会主义思想和党的十九大、二十大精神，深刻领会习近平总书记系列重要讲话和来川视察重要指示精神、省第十二次党代会精神和党中央国务院、省委、市委、市局党委、区委各项决策部署，忠诚拥护“两个确立”，切实增强“四个意识”，坚定“四个自信”，做到“两个维护”，不断提高政治判断力、政治领悟力、政治执行力。全年组织集中学习9次、中心组理论学习12次，党组书记及班子成员讲党课12人次，开展党的二十大精神专题学习3次。</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2.坚持争先进位，超额完成自然资源各项指标。</w:t>
      </w:r>
      <w:r>
        <w:rPr>
          <w:rFonts w:hint="eastAsia" w:ascii="仿宋_GB2312" w:hAnsi="仿宋" w:eastAsia="仿宋_GB2312" w:cs="Times New Roman"/>
          <w:color w:val="auto"/>
          <w:sz w:val="32"/>
          <w:szCs w:val="32"/>
          <w:lang w:val="en-US" w:eastAsia="zh-CN"/>
        </w:rPr>
        <w:t>完成固定资产投资1.8亿元，占目标任务1.5亿元的120%；向上争取到位资金2.3亿元，占目标任务0.9亿元的255%；完成非税收入7.3亿元，占目标任务6.0亿元的121%；招商引资签约资金2.6亿元，占目标任务2.5亿元的104%。</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3.坚持规划先行，优化国土空间开发保护格局。</w:t>
      </w:r>
      <w:r>
        <w:rPr>
          <w:rFonts w:hint="eastAsia" w:ascii="仿宋_GB2312" w:hAnsi="仿宋" w:eastAsia="仿宋_GB2312" w:cs="Times New Roman"/>
          <w:color w:val="auto"/>
          <w:sz w:val="32"/>
          <w:szCs w:val="32"/>
          <w:lang w:val="en-US" w:eastAsia="zh-CN"/>
        </w:rPr>
        <w:t>一是按时上报“三区三线”划定成果，并通过自然资源部批准执行。二是编制完成了《曾家山农旅文康融合发展片区国土空间总体规划》、《朝天核桃农文旅融合发展片区国土空间总体规划》、《中子农工旅融合发展片区国土空间总体规划》、《羊木农商融合发展片区国土空间总体规划》，实现乡镇片区规划全覆盖。三是整体推进全区14项专项规划编制，启动13个，编制完成9个，形成初稿4个。</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4.严格保护耕地，夯实粮食安全基础。</w:t>
      </w:r>
      <w:r>
        <w:rPr>
          <w:rFonts w:hint="eastAsia" w:ascii="仿宋_GB2312" w:hAnsi="仿宋" w:eastAsia="仿宋_GB2312" w:cs="Times New Roman"/>
          <w:color w:val="auto"/>
          <w:sz w:val="32"/>
          <w:szCs w:val="32"/>
          <w:lang w:val="en-US" w:eastAsia="zh-CN"/>
        </w:rPr>
        <w:t>一是运用“三调”成果，对自然资源部下发的610个图斑、面积3337亩进行了举证，并通过审核。二是制定《朝天区县级党政领导干部耕地保护工作责任清单》、《朝天区全面推行田长制实施方案》，为严格管理提供了遵循。三是根据《2022年度耕地保护党政同责考评细则》，完成了2022年度耕地保护党政同责考核。四是超额完成2021年度耕地“进出平衡”整改恢复任务，通过省级审查面积3735亩，占2021年度目标任务的123％。整改恢复2022年度耕地进出平衡814亩，通过审核688亩，全面完成市下目标任务。</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5.坚持精准保障，推进经济高质量发展</w:t>
      </w:r>
      <w:r>
        <w:rPr>
          <w:rFonts w:hint="eastAsia" w:ascii="仿宋_GB2312" w:hAnsi="仿宋" w:eastAsia="仿宋_GB2312" w:cs="Times New Roman"/>
          <w:color w:val="auto"/>
          <w:sz w:val="32"/>
          <w:szCs w:val="32"/>
          <w:lang w:val="en-US" w:eastAsia="zh-CN"/>
        </w:rPr>
        <w:t>。一是上报7个批次用地及省道410线单独选址项目，报征面积915亩。二是编制完成中子镇中部片区、望远山片区、两河至曾家片区成片开发方案，审查备案33宗、240亩设施农业用地。三是按照批准的《朝天区2022年度国有建设用地供应计划》，审定供地方案27宗，出让土地（含划拨）1305亩，实现收益5亿元。四是按照《朝天区2022年度“批而未供处置”攻坚方案》，完成批而未供处置808亩，占目标任务的178%，全市排位第一。</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6.坚持生态优先，全面推进矿产资源管理和生态修复工作。</w:t>
      </w:r>
      <w:r>
        <w:rPr>
          <w:rFonts w:hint="eastAsia" w:ascii="仿宋_GB2312" w:hAnsi="仿宋" w:eastAsia="仿宋_GB2312" w:cs="Times New Roman"/>
          <w:color w:val="auto"/>
          <w:sz w:val="32"/>
          <w:szCs w:val="32"/>
          <w:lang w:val="en-US" w:eastAsia="zh-CN"/>
        </w:rPr>
        <w:t>一是制定《朝天区第四轮矿产资源总体规划》，办理探、采矿权延续2起，有序推进朝天区曹家沟—张家沟大型天然沥青矿“探转采”，完成朝天区槽湾头石灰岩矿资源储量勘查，探明地质储量约7500万吨，勘查成果已上报市局评审。二是清理各类保护区和生态红线范围内矿业权8个，按照“一矿一策”制定了《朝天区矿业权退出方案》，现已上报市政府备案。三是制定了《朝天区矿山生态修复问题排查整治实施方案》，完成废弃矿山生态修复2处，开工历史遗留矿山生态修复项目2处，拟修复面积5.61公顷。四是核查省级下发历史遗留矿山图斑，确认未治理18个，面积13.83公顷。</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7.坚持以人为本，抓实地质灾害防治工作。</w:t>
      </w:r>
      <w:r>
        <w:rPr>
          <w:rFonts w:hint="eastAsia" w:ascii="仿宋_GB2312" w:hAnsi="仿宋" w:eastAsia="仿宋_GB2312" w:cs="Times New Roman"/>
          <w:color w:val="auto"/>
          <w:sz w:val="32"/>
          <w:szCs w:val="32"/>
          <w:lang w:val="en-US" w:eastAsia="zh-CN"/>
        </w:rPr>
        <w:t>全力打好防范化解自然资源重大风险攻坚战，全年排查、巡查疑似地灾隐患点600余个。开展宣传培训演练110场次，发布监测预警预报信息133次，发布橙色、黄色预警信息2900余条。汛期组织地灾隐患点转移避让66户141人。全年销号隐患点20处，实施地灾治理项目4批次15处，完成工程治理7处，排危除险5处，避险搬迁1处。全年通过“人技结合”实现了地质灾害“零伤亡”。</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8.优化营商环境，持续提升自然资源为民服务能力。</w:t>
      </w:r>
      <w:r>
        <w:rPr>
          <w:rFonts w:hint="eastAsia" w:ascii="仿宋_GB2312" w:hAnsi="仿宋" w:eastAsia="仿宋_GB2312" w:cs="Times New Roman"/>
          <w:color w:val="auto"/>
          <w:sz w:val="32"/>
          <w:szCs w:val="32"/>
          <w:lang w:val="en-US" w:eastAsia="zh-CN"/>
        </w:rPr>
        <w:t>一是推进不动产登记“放管服”改革，全年受理不动产登记3829件，颁发不动产权证书3489本。启动“交地即交证”、“交房即交证”工作，开辟绿色通道办理登记23件，彻底解决朝天城区“明月新城”涉及1000余户问题楼盘办证问题。二是深化工程建设项目审批制度改革，办理制发工程建设项目各类证书45件，全面完成区域评估，形成最终成果并上传工改系统。三是持续做优规划服务，积极开展项目联审，出具建设项目规划及用地红线图80件，完成61批次项目内审。</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9.坚持质量至上，持续推进自然资源各类项目。</w:t>
      </w:r>
      <w:r>
        <w:rPr>
          <w:rFonts w:hint="eastAsia" w:ascii="仿宋_GB2312" w:hAnsi="仿宋" w:eastAsia="仿宋_GB2312" w:cs="Times New Roman"/>
          <w:color w:val="auto"/>
          <w:sz w:val="32"/>
          <w:szCs w:val="32"/>
          <w:lang w:val="en-US" w:eastAsia="zh-CN"/>
        </w:rPr>
        <w:t>一是完成18个城乡建设用地增减挂钩项目施工和验收，取得指标确认函7个，实现节余指标674亩。推动节余指标成功流转，流转1143亩，交易金额3.43亿元，全年回收流转资金2.28亿元。新编制增减挂钩项目8个，规划面积2259亩，项目涵盖朝天、羊木、沙河、曾家（4个项目）、两河口共5个乡镇。二是编制完成了《朝天区曾家镇全域土地综合整治试点项目工作方案》和《朝天区曾家镇全域土地综合整治试点实施方案》，现在市级核验。</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10.强化依法行政，扎实推进法治政府创建。</w:t>
      </w:r>
      <w:r>
        <w:rPr>
          <w:rFonts w:hint="eastAsia" w:ascii="仿宋_GB2312" w:hAnsi="仿宋" w:eastAsia="仿宋_GB2312" w:cs="Times New Roman"/>
          <w:color w:val="auto"/>
          <w:sz w:val="32"/>
          <w:szCs w:val="32"/>
          <w:lang w:val="en-US" w:eastAsia="zh-CN"/>
        </w:rPr>
        <w:t>制定《朝天区自然资源系统法治政府建设实施方案（2021—2025年）》，召开推进会安排部署各项工作。依法开展自然资源巡查465次，发现制止自然资源违法违规行为11起。完成2018年至2021年四川省建设项目占用基本农田核实、2021年耕地流出重点问题整治、2022年度耕地卫片核查等工作，累计审查7000个图斑。开展农村乱占耕地建房问题1.5万个补充图斑核查工作，尚未发现新增“顶风违建”问题。核查国务院大督查反馈问题线索33个，整改销号27个，其余6个正在通过完善农转用手续实现整改。</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11.强化法治宣传，优化法治环境。</w:t>
      </w:r>
      <w:r>
        <w:rPr>
          <w:rFonts w:hint="eastAsia" w:ascii="仿宋_GB2312" w:hAnsi="仿宋" w:eastAsia="仿宋_GB2312" w:cs="Times New Roman"/>
          <w:color w:val="auto"/>
          <w:sz w:val="32"/>
          <w:szCs w:val="32"/>
          <w:lang w:val="en-US" w:eastAsia="zh-CN"/>
        </w:rPr>
        <w:t>制定《朝天区自然资源分局法治宣传教育第八个五年规划（2021-2025）》，落实各项普法工作任务，通过“4.22世界地球日”、“6月安全生产月”、“6.25土地日”、“12.4宪法宣传周”等重要宣传时点，宣传自然资源各类法律、法规和政策。全年累计发放各类宣传单、宣传册4000余份，宣传手袋200余个，营造了良好的自然资源法治氛围。</w:t>
      </w:r>
    </w:p>
    <w:p>
      <w:pPr>
        <w:numPr>
          <w:ilvl w:val="0"/>
          <w:numId w:val="0"/>
        </w:numPr>
        <w:snapToGrid w:val="0"/>
        <w:spacing w:line="520" w:lineRule="exact"/>
        <w:ind w:firstLine="642"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12.抓好信访维稳，切实提高信访业务规范化水平</w:t>
      </w:r>
      <w:r>
        <w:rPr>
          <w:rFonts w:hint="eastAsia" w:ascii="仿宋_GB2312" w:hAnsi="仿宋" w:eastAsia="仿宋_GB2312" w:cs="Times New Roman"/>
          <w:color w:val="auto"/>
          <w:sz w:val="32"/>
          <w:szCs w:val="32"/>
          <w:lang w:val="en-US" w:eastAsia="zh-CN"/>
        </w:rPr>
        <w:t>。严格按程序做好信访回复，实现办结率100%，息诉止访率100%。制定党的二十大、春节、国庆等重点时段信访维稳工作方案，落实班子成员轮流值班接访，全年未发生重大、越级上访或极端上访。完成上级自然资源督察反馈蔬菜农业园区非农化非粮化、占用基本农田违规建房、土地违规抵押融资等问题整改工作。</w:t>
      </w:r>
    </w:p>
    <w:p>
      <w:pPr>
        <w:numPr>
          <w:ilvl w:val="0"/>
          <w:numId w:val="0"/>
        </w:numPr>
        <w:snapToGrid w:val="0"/>
        <w:spacing w:line="520" w:lineRule="exact"/>
        <w:ind w:firstLine="642" w:firstLineChars="200"/>
        <w:rPr>
          <w:rFonts w:hint="eastAsia"/>
          <w:color w:val="auto"/>
          <w:lang w:val="zh-CN"/>
        </w:rPr>
      </w:pPr>
      <w:r>
        <w:rPr>
          <w:rFonts w:hint="eastAsia" w:ascii="仿宋_GB2312" w:hAnsi="仿宋" w:eastAsia="仿宋_GB2312" w:cs="Times New Roman"/>
          <w:b/>
          <w:bCs/>
          <w:color w:val="auto"/>
          <w:sz w:val="32"/>
          <w:szCs w:val="32"/>
          <w:lang w:val="en-US" w:eastAsia="zh-CN"/>
        </w:rPr>
        <w:t>13.推进扫黑除恶专项斗争长效常治。</w:t>
      </w:r>
      <w:r>
        <w:rPr>
          <w:rFonts w:hint="eastAsia" w:ascii="仿宋_GB2312" w:hAnsi="仿宋" w:eastAsia="仿宋_GB2312" w:cs="Times New Roman"/>
          <w:color w:val="auto"/>
          <w:sz w:val="32"/>
          <w:szCs w:val="32"/>
          <w:lang w:val="en-US" w:eastAsia="zh-CN"/>
        </w:rPr>
        <w:t>继续保持对自然资源领域各类违法违规行为高压严管态势，坚持打早打小打苗头，对可能存在涉黑涉恶涉乱等违法违规行为加强线索摸排力度，累计开展巡查300余次，整治自然资源领域行业乱象16起,责令退还土地88.66亩，处罚款88.44万元。</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numPr>
          <w:ilvl w:val="0"/>
          <w:numId w:val="0"/>
        </w:numPr>
        <w:snapToGrid w:val="0"/>
        <w:spacing w:line="520" w:lineRule="exact"/>
        <w:ind w:firstLine="640" w:firstLineChars="200"/>
        <w:rPr>
          <w:rFonts w:hint="eastAsia" w:ascii="仿宋_GB2312" w:hAnsi="仿宋" w:eastAsia="仿宋_GB2312" w:cs="Times New Roman"/>
          <w:color w:val="auto"/>
          <w:sz w:val="32"/>
          <w:szCs w:val="32"/>
          <w:lang w:val="zh-CN" w:eastAsia="zh-CN"/>
        </w:rPr>
      </w:pPr>
      <w:r>
        <w:rPr>
          <w:rFonts w:hint="eastAsia" w:ascii="仿宋_GB2312" w:hAnsi="仿宋" w:eastAsia="仿宋_GB2312" w:cs="Times New Roman"/>
          <w:b w:val="0"/>
          <w:bCs w:val="0"/>
          <w:color w:val="auto"/>
          <w:sz w:val="32"/>
          <w:szCs w:val="32"/>
          <w:lang w:val="en-US" w:eastAsia="zh-CN"/>
        </w:rPr>
        <w:t>目标1：2022年在编人员全年工资福利及养老保险、公积金、医疗保险、生育险、绩效工资、交通补助，保障2人遗嘱补助人员的遗嘱补助发放；日常办公设备用品采购、水、电、气、邮电费等一系列的开支；目标2：完成土地报征工作，确保项目用地；目标3：完成土地增减挂钩项目并流转成功，促进地方收入；目标4：及时缴纳新增建设用地有偿使用费，确保用地批复及时到位，保障项目用地</w:t>
      </w:r>
      <w:r>
        <w:rPr>
          <w:rFonts w:hint="eastAsia" w:ascii="仿宋_GB2312" w:hAnsi="仿宋" w:eastAsia="仿宋_GB2312" w:cs="Times New Roman"/>
          <w:color w:val="auto"/>
          <w:sz w:val="32"/>
          <w:szCs w:val="32"/>
          <w:lang w:val="en-US" w:eastAsia="zh-CN"/>
        </w:rPr>
        <w:t>需求。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numPr>
          <w:ilvl w:val="0"/>
          <w:numId w:val="0"/>
        </w:numPr>
        <w:snapToGrid w:val="0"/>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2022年度部门总体收入8312.51万元，其中：一般公共预算财政拨款收入4431.84万元；政府性基金预算财政拨款收入3880.67万元。</w:t>
      </w:r>
    </w:p>
    <w:p>
      <w:pPr>
        <w:numPr>
          <w:ilvl w:val="0"/>
          <w:numId w:val="0"/>
        </w:numPr>
        <w:snapToGrid w:val="0"/>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2.部门总体支出情况</w:t>
      </w:r>
    </w:p>
    <w:p>
      <w:pPr>
        <w:numPr>
          <w:ilvl w:val="0"/>
          <w:numId w:val="0"/>
        </w:numPr>
        <w:snapToGrid w:val="0"/>
        <w:spacing w:line="520" w:lineRule="exact"/>
        <w:ind w:firstLine="640" w:firstLineChars="200"/>
        <w:rPr>
          <w:rFonts w:hint="eastAsia"/>
          <w:color w:val="auto"/>
          <w:lang w:val="en-US" w:eastAsia="zh-CN"/>
        </w:rPr>
      </w:pPr>
      <w:r>
        <w:rPr>
          <w:rFonts w:hint="eastAsia" w:ascii="仿宋_GB2312" w:hAnsi="仿宋" w:eastAsia="仿宋_GB2312" w:cs="Times New Roman"/>
          <w:color w:val="auto"/>
          <w:kern w:val="2"/>
          <w:sz w:val="32"/>
          <w:szCs w:val="32"/>
          <w:lang w:val="en-US" w:eastAsia="zh-CN" w:bidi="ar-SA"/>
        </w:rPr>
        <w:t>2022年部门总体支出8312.51万元，支出主要分为基本支出和项目支出。基本支出851.73万元，其中：工资福利支出759.36万元；商品和服务支出61.37万元；对个人和家庭的补助31万元。项目支出7460.78万元，其中：商品和服务支出73.7万元；资本性支出7387.08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5"/>
        <w:numPr>
          <w:ilvl w:val="0"/>
          <w:numId w:val="0"/>
        </w:numPr>
        <w:ind w:firstLine="600" w:firstLineChars="200"/>
        <w:rPr>
          <w:rFonts w:hint="default"/>
          <w:color w:val="auto"/>
          <w:lang w:val="en-US" w:eastAsia="zh-CN"/>
        </w:rPr>
      </w:pPr>
      <w:r>
        <w:rPr>
          <w:rFonts w:hint="eastAsia"/>
          <w:color w:val="auto"/>
          <w:lang w:val="en-US" w:eastAsia="zh-CN"/>
        </w:rPr>
        <w:t>2022年无结转结余。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numPr>
          <w:ilvl w:val="0"/>
          <w:numId w:val="0"/>
        </w:numPr>
        <w:snapToGrid w:val="0"/>
        <w:spacing w:line="52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Times New Roman"/>
          <w:color w:val="auto"/>
          <w:kern w:val="2"/>
          <w:sz w:val="32"/>
          <w:szCs w:val="32"/>
          <w:lang w:val="en-US" w:eastAsia="zh-CN" w:bidi="ar-SA"/>
        </w:rPr>
        <w:t>2022年度部门财政拨款收入总计为8312.51万元，其中：一般公共预算财政拨款收入4431.84万元；政府性基金预算财政拨款收入3880.67万元。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numPr>
          <w:ilvl w:val="0"/>
          <w:numId w:val="0"/>
        </w:numPr>
        <w:snapToGrid w:val="0"/>
        <w:spacing w:line="52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Times New Roman"/>
          <w:color w:val="auto"/>
          <w:kern w:val="2"/>
          <w:sz w:val="32"/>
          <w:szCs w:val="32"/>
          <w:lang w:val="en-US" w:eastAsia="zh-CN" w:bidi="ar-SA"/>
        </w:rPr>
        <w:t>2022年财政拨款支出8312.51万元，支出主要分为基本支出和项目支出。基本支出851.73万元，其中：工资福利支出759.36万元；商品和服务支出61.37万元；对个人和家庭的补助31万元。项目支出7460.78万元，其中：商品和服务支出73.7万元；资本性支出7387.08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5"/>
        <w:numPr>
          <w:ilvl w:val="0"/>
          <w:numId w:val="0"/>
        </w:numPr>
        <w:ind w:firstLine="600" w:firstLineChars="200"/>
        <w:rPr>
          <w:rFonts w:hint="eastAsia" w:ascii="黑体" w:hAnsi="宋体" w:eastAsia="黑体" w:cs="宋体"/>
          <w:color w:val="auto"/>
          <w:kern w:val="0"/>
          <w:sz w:val="32"/>
          <w:szCs w:val="32"/>
          <w:highlight w:val="none"/>
          <w:shd w:val="clear" w:color="auto" w:fill="FFFFFF"/>
        </w:rPr>
      </w:pPr>
      <w:r>
        <w:rPr>
          <w:rFonts w:hint="eastAsia"/>
          <w:color w:val="auto"/>
          <w:lang w:val="en-US" w:eastAsia="zh-CN"/>
        </w:rPr>
        <w:t>2022年部门财政拨款无结转结余。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auto"/>
          <w:spacing w:val="-6"/>
          <w:w w:val="99"/>
          <w:kern w:val="0"/>
          <w:sz w:val="32"/>
          <w:szCs w:val="32"/>
          <w:shd w:val="clear" w:color="auto" w:fill="FFFFFF"/>
          <w:lang w:val="en-US" w:eastAsia="zh-CN"/>
        </w:rPr>
      </w:pPr>
      <w:r>
        <w:rPr>
          <w:rFonts w:hint="eastAsia" w:ascii="仿宋_GB2312" w:hAnsi="Times New Roman" w:eastAsia="仿宋_GB2312" w:cs="Times New Roman"/>
          <w:color w:val="auto"/>
          <w:spacing w:val="-6"/>
          <w:w w:val="99"/>
          <w:kern w:val="0"/>
          <w:sz w:val="32"/>
          <w:szCs w:val="32"/>
          <w:shd w:val="clear" w:color="auto" w:fill="FFFFFF"/>
          <w:lang w:val="en-US" w:eastAsia="zh-CN"/>
        </w:rPr>
        <w:t>人员类项目。保障2022年在编人员全年工资福利及养老保险、公积金、医疗保险、生育险、绩效工资、交通补助，保障2人遗嘱补助人员的遗嘱补助发放。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firstLine="608" w:firstLineChars="200"/>
        <w:textAlignment w:val="auto"/>
        <w:rPr>
          <w:rFonts w:hint="eastAsia" w:ascii="仿宋_GB2312" w:hAnsi="Times New Roman" w:eastAsia="仿宋_GB2312" w:cs="Times New Roman"/>
          <w:color w:val="auto"/>
          <w:spacing w:val="-6"/>
          <w:w w:val="99"/>
          <w:kern w:val="0"/>
          <w:sz w:val="32"/>
          <w:szCs w:val="32"/>
          <w:shd w:val="clear" w:color="auto" w:fill="FFFFFF"/>
          <w:lang w:val="en-US" w:eastAsia="zh-CN"/>
        </w:rPr>
      </w:pPr>
      <w:r>
        <w:rPr>
          <w:rFonts w:hint="eastAsia" w:ascii="仿宋_GB2312" w:hAnsi="Times New Roman" w:eastAsia="仿宋_GB2312" w:cs="Times New Roman"/>
          <w:color w:val="auto"/>
          <w:spacing w:val="-6"/>
          <w:w w:val="99"/>
          <w:kern w:val="0"/>
          <w:sz w:val="32"/>
          <w:szCs w:val="32"/>
          <w:shd w:val="clear" w:color="auto" w:fill="FFFFFF"/>
          <w:lang w:val="en-US" w:eastAsia="zh-CN"/>
        </w:rPr>
        <w:t>保障日常办公设备用品采购、水、电、气、邮电费等一系列的开支。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曾家镇土地增减挂钩项目指标流转截至目前，项目已按照省厅批复按质按量完成，已于2021年5月与四川天府新区眉山管理委员会签订《城乡建设用增减挂钩节余指标流转协议》。</w:t>
      </w:r>
    </w:p>
    <w:p>
      <w:pPr>
        <w:autoSpaceDE w:val="0"/>
        <w:adjustRightInd w:val="0"/>
        <w:snapToGrid w:val="0"/>
        <w:spacing w:line="560" w:lineRule="exact"/>
        <w:ind w:firstLine="720"/>
        <w:rPr>
          <w:rFonts w:hint="eastAsia"/>
          <w:color w:val="auto"/>
          <w:lang w:val="en-US" w:eastAsia="zh-CN"/>
        </w:rPr>
      </w:pPr>
      <w:r>
        <w:rPr>
          <w:rFonts w:hint="eastAsia" w:ascii="仿宋_GB2312" w:hAnsi="仿宋_GB2312" w:eastAsia="仿宋_GB2312" w:cs="仿宋_GB2312"/>
          <w:color w:val="auto"/>
          <w:sz w:val="32"/>
          <w:szCs w:val="32"/>
          <w:lang w:val="en-US" w:eastAsia="zh-CN"/>
        </w:rPr>
        <w:t>东溪河镇土地增减挂钩项目已按照省厅批复按质按量完成，已于2017年10月广元市政府与仁寿</w:t>
      </w:r>
      <w:r>
        <w:rPr>
          <w:rFonts w:hint="eastAsia" w:ascii="仿宋_GB2312" w:hAnsi="宋体" w:eastAsia="仿宋_GB2312" w:cs="Times New Roman"/>
          <w:color w:val="auto"/>
          <w:w w:val="99"/>
          <w:sz w:val="32"/>
          <w:szCs w:val="32"/>
        </w:rPr>
        <w:t>县政府签订《深化城乡建设用地增减挂钩政策支持脱贫攻坚合作协议》。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土地报征项目开</w:t>
      </w:r>
      <w:r>
        <w:rPr>
          <w:rFonts w:hint="eastAsia" w:ascii="仿宋_GB2312" w:hAnsi="仿宋_GB2312" w:eastAsia="仿宋_GB2312" w:cs="仿宋_GB2312"/>
          <w:color w:val="auto"/>
          <w:sz w:val="32"/>
          <w:szCs w:val="32"/>
          <w:lang w:val="en-US" w:eastAsia="zh-CN"/>
        </w:rPr>
        <w:t>展2021年度1-7批次用地土地报征组卷、项目选址方案、规划指标落实方案等编制工作，取得</w:t>
      </w:r>
      <w:r>
        <w:rPr>
          <w:rFonts w:hint="eastAsia" w:ascii="仿宋_GB2312" w:hAnsi="仿宋_GB2312" w:eastAsia="仿宋_GB2312" w:cs="仿宋_GB2312"/>
          <w:b w:val="0"/>
          <w:bCs w:val="0"/>
          <w:color w:val="auto"/>
          <w:sz w:val="32"/>
          <w:szCs w:val="32"/>
          <w:lang w:val="en-US" w:eastAsia="zh-CN"/>
        </w:rPr>
        <w:t>第3、5、7批次项目的批复，合计20.4384公顷土地征收为国家所有，作为我区建设用地。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2021年第3、5批次建设用地新增建设用地土地有偿使用费项目及时入库项目资金，取得省政府批文，保障七盘关超级服务区项目用地。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2021年第5、7批次建设用地耕地占用税项目完成2021年度第5、7批次建设用地耕地占用税的缴纳，取得四川省人民政府关于第5、7批次建设用地的批复。对照项目计划目标，我区的批次建设用地耕地占用税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2022年第1、2、3、5、7、9批次建设用地被征地农民社保资金项目完成2022年第1、2、3、5、7、9批次建设用地被征地农民社保资金项目预存工作，保护被征地需安置人员的合法利益，完成征地报批前置程序。对照项目计划目标，我区的批次建设用地被征地农民社保资金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土地征地费用（2021年第3批次）完成2021年第3批次建设用地被征地农民社保资金项目预存工作，保护被征地需安置人员的合法利益，完成征地报批前置程序。对照项目计划目标，我区的批次建设用地被征地农民社保资金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集体农用地及未利用地转为集体建设用地耕地占用税项目完成朝天区集体农用地及未利用地转为集体建设用地耕地占用税的缴纳，取得四川省人民政府关于朝天区集体农用地及未利用地转为集体建设用地的批复。对照项目计划目标，我区的集体农用地及未利用地转为集体建设用地耕地占用税项目均全部完成任务。</w:t>
      </w:r>
    </w:p>
    <w:p>
      <w:pPr>
        <w:pStyle w:val="5"/>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2022年朝天区地质灾害工程治理项目申报实施15处治理工程或排危除险项目，合计资金1586万元。对照项目计划目标，我区的地质灾害防治一般债券项目均全部完成任务。</w:t>
      </w:r>
    </w:p>
    <w:p>
      <w:pPr>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2022年第三批地质灾害防治补助资金（省级）项目2022年省级地质灾害防治专项资金申报实施群测群防专兼职监测114处、治理工程1处、避险搬迁20户。对照项目计划目标，我区的地质灾害防治项目均全部完成任务。</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2022年第一批中央地质灾害防治补助资金项目开展1个地质灾害群专结合监测预警项目，开展地质灾害隐患点治理工程2个，核销地质灾害隐患数量2处。</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朝天区槽湾头石灰岩矿资源储量勘查项目已提交符合自然资源主管部门要求的朝天区槽湾头石灰岩矿资源储量勘查报告及相应的附图、附表、附件，已完成全部勘查工作</w:t>
      </w:r>
      <w:r>
        <w:rPr>
          <w:rFonts w:hint="eastAsia" w:ascii="仿宋_GB2312" w:hAnsi="宋体" w:eastAsia="仿宋_GB2312" w:cs="Times New Roman"/>
          <w:color w:val="auto"/>
          <w:w w:val="99"/>
          <w:sz w:val="32"/>
          <w:szCs w:val="32"/>
          <w:lang w:eastAsia="zh-CN"/>
        </w:rPr>
        <w:t>并通过了专家组评审，已报上级自然资源部门备案。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autoSpaceDE w:val="0"/>
        <w:adjustRightInd w:val="0"/>
        <w:snapToGrid w:val="0"/>
        <w:spacing w:line="560" w:lineRule="exact"/>
        <w:ind w:firstLine="640" w:firstLineChars="200"/>
        <w:contextualSpacing/>
        <w:jc w:val="left"/>
        <w:rPr>
          <w:rFonts w:hint="eastAsia" w:ascii="仿宋_GB2312" w:eastAsia="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严格按照人员类、特定目标类项目高质量编制年初预算、绩效目标、目标实现管理制度。在绩效管理过程中，严格监控管理，始终将资金使用与绩效目标完成、目标实现相结合，当资金使用与绩效目标完成出现偏差时给予了及时分析、处置，确保了年度内项目执行进度与预算完成有效衔接，大大提高资金使用效率，杜绝年内项目资金资金大量结余、项目低效和资金使用违规等行为发生，确保了项目绩效目标的全面完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kinsoku/>
        <w:wordWrap/>
        <w:overflowPunct/>
        <w:topLinePunct w:val="0"/>
        <w:autoSpaceDN/>
        <w:bidi w:val="0"/>
        <w:spacing w:line="576" w:lineRule="exact"/>
        <w:ind w:firstLine="608" w:firstLineChars="200"/>
        <w:textAlignment w:val="auto"/>
        <w:rPr>
          <w:rFonts w:hint="eastAsia" w:ascii="仿宋_GB2312" w:hAnsi="仿宋_GB2312" w:eastAsia="仿宋_GB2312" w:cs="仿宋_GB2312"/>
          <w:b w:val="0"/>
          <w:bCs/>
          <w:color w:val="auto"/>
          <w:spacing w:val="-6"/>
          <w:w w:val="99"/>
          <w:sz w:val="32"/>
          <w:szCs w:val="32"/>
          <w:lang w:val="en-US" w:eastAsia="zh-CN"/>
        </w:rPr>
      </w:pPr>
      <w:r>
        <w:rPr>
          <w:rFonts w:hint="eastAsia" w:ascii="仿宋_GB2312" w:hAnsi="仿宋_GB2312" w:eastAsia="仿宋_GB2312" w:cs="仿宋_GB2312"/>
          <w:b w:val="0"/>
          <w:bCs/>
          <w:color w:val="auto"/>
          <w:spacing w:val="-6"/>
          <w:w w:val="99"/>
          <w:sz w:val="32"/>
          <w:szCs w:val="32"/>
          <w:lang w:val="en-US" w:eastAsia="zh-CN"/>
        </w:rPr>
        <w:t>本次财务审核结果将作为部门预算绩效管理考核以及下一年度项目预算申报的重要依据。按要求将部门整体绩效自评情况和自行组织的评价情况向社会公开。</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auto"/>
          <w:spacing w:val="-6"/>
          <w:w w:val="99"/>
          <w:kern w:val="0"/>
          <w:sz w:val="32"/>
          <w:szCs w:val="32"/>
          <w:shd w:val="clear" w:color="auto" w:fill="FFFFFF"/>
        </w:rPr>
      </w:pPr>
      <w:r>
        <w:rPr>
          <w:rFonts w:hint="eastAsia" w:ascii="楷体_GB2312" w:hAnsi="楷体_GB2312" w:eastAsia="楷体_GB2312" w:cs="楷体_GB2312"/>
          <w:b w:val="0"/>
          <w:bCs/>
          <w:color w:val="auto"/>
          <w:spacing w:val="-6"/>
          <w:w w:val="99"/>
          <w:sz w:val="32"/>
          <w:szCs w:val="32"/>
          <w:lang w:val="en-US" w:eastAsia="zh-CN"/>
        </w:rPr>
        <w:t>2022年</w:t>
      </w:r>
      <w:r>
        <w:rPr>
          <w:rFonts w:hint="eastAsia" w:ascii="仿宋_GB2312" w:hAnsi="Times New Roman" w:eastAsia="仿宋_GB2312" w:cs="Times New Roman"/>
          <w:color w:val="auto"/>
          <w:spacing w:val="-6"/>
          <w:w w:val="99"/>
          <w:kern w:val="0"/>
          <w:sz w:val="32"/>
          <w:szCs w:val="32"/>
          <w:shd w:val="clear" w:color="auto" w:fill="FFFFFF"/>
        </w:rPr>
        <w:t>部门整体支出自评</w:t>
      </w:r>
      <w:r>
        <w:rPr>
          <w:rFonts w:hint="eastAsia" w:ascii="仿宋_GB2312" w:hAnsi="Times New Roman" w:eastAsia="仿宋_GB2312" w:cs="Times New Roman"/>
          <w:color w:val="auto"/>
          <w:spacing w:val="-6"/>
          <w:w w:val="99"/>
          <w:kern w:val="0"/>
          <w:sz w:val="32"/>
          <w:szCs w:val="32"/>
          <w:shd w:val="clear" w:color="auto" w:fill="FFFFFF"/>
          <w:lang w:val="en-US" w:eastAsia="zh-CN"/>
        </w:rPr>
        <w:t>情况良好</w:t>
      </w:r>
      <w:r>
        <w:rPr>
          <w:rFonts w:hint="eastAsia" w:ascii="仿宋_GB2312" w:hAnsi="Times New Roman" w:eastAsia="仿宋_GB2312" w:cs="Times New Roman"/>
          <w:color w:val="auto"/>
          <w:spacing w:val="-6"/>
          <w:w w:val="99"/>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hint="eastAsia"/>
          <w:color w:val="auto"/>
          <w:lang w:val="zh-CN"/>
        </w:rPr>
      </w:pPr>
      <w:r>
        <w:rPr>
          <w:rFonts w:hint="eastAsia" w:ascii="Arial Narrow" w:hAnsi="Arial Narrow" w:eastAsia="仿宋"/>
          <w:color w:val="auto"/>
          <w:sz w:val="32"/>
          <w:highlight w:val="none"/>
        </w:rPr>
        <w:t>总体上看，广元市自然资源局朝天区分局</w:t>
      </w:r>
      <w:r>
        <w:rPr>
          <w:rFonts w:hint="eastAsia" w:ascii="Arial Narrow" w:hAnsi="Arial Narrow" w:eastAsia="仿宋" w:cs="Times New Roman"/>
          <w:color w:val="auto"/>
          <w:sz w:val="32"/>
          <w:highlight w:val="none"/>
        </w:rPr>
        <w:t>202</w:t>
      </w:r>
      <w:r>
        <w:rPr>
          <w:rFonts w:hint="eastAsia" w:ascii="Arial Narrow" w:hAnsi="Arial Narrow" w:eastAsia="仿宋" w:cs="Times New Roman"/>
          <w:color w:val="auto"/>
          <w:sz w:val="32"/>
          <w:highlight w:val="none"/>
          <w:lang w:val="en-US" w:eastAsia="zh-CN"/>
        </w:rPr>
        <w:t>2</w:t>
      </w:r>
      <w:r>
        <w:rPr>
          <w:rFonts w:hint="eastAsia" w:ascii="Arial Narrow" w:hAnsi="Arial Narrow" w:eastAsia="仿宋"/>
          <w:color w:val="auto"/>
          <w:sz w:val="32"/>
          <w:highlight w:val="none"/>
        </w:rPr>
        <w:t>年部门支出较规范、合理，符合财政预算资金的相关制度和办法。部门制度建立健全且执行情况良好，较好的履行了部门基本职能，完成了年度重点任务工作。</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hint="eastAsia"/>
          <w:color w:val="auto"/>
          <w:lang w:val="zh-CN"/>
        </w:rPr>
      </w:pPr>
      <w:r>
        <w:rPr>
          <w:rFonts w:hint="eastAsia" w:ascii="Arial Narrow" w:hAnsi="Arial Narrow" w:eastAsia="仿宋"/>
          <w:color w:val="auto"/>
          <w:sz w:val="32"/>
          <w:highlight w:val="none"/>
        </w:rPr>
        <w:t>一是部门财力有限，综合财力不足；</w:t>
      </w:r>
      <w:r>
        <w:rPr>
          <w:rFonts w:hint="eastAsia" w:ascii="Arial Narrow" w:hAnsi="Arial Narrow" w:eastAsia="仿宋"/>
          <w:color w:val="auto"/>
          <w:sz w:val="32"/>
          <w:highlight w:val="none"/>
          <w:lang w:val="en-US" w:eastAsia="zh-CN"/>
        </w:rPr>
        <w:t>二</w:t>
      </w:r>
      <w:r>
        <w:rPr>
          <w:rFonts w:hint="eastAsia" w:ascii="Arial Narrow" w:hAnsi="Arial Narrow" w:eastAsia="仿宋"/>
          <w:color w:val="auto"/>
          <w:sz w:val="32"/>
          <w:highlight w:val="none"/>
        </w:rPr>
        <w:t>是项目工期短、跨行业、跨部门实施，工程施工、监理、实施管理等都具有新的情况，新的问题出现，给项目的实施带来一定的难度。</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Arial Narrow" w:hAnsi="Arial Narrow" w:eastAsia="仿宋"/>
          <w:color w:val="auto"/>
          <w:sz w:val="32"/>
          <w:highlight w:val="none"/>
        </w:rPr>
      </w:pPr>
      <w:r>
        <w:rPr>
          <w:rFonts w:hint="eastAsia" w:ascii="Arial Narrow" w:hAnsi="Arial Narrow" w:eastAsia="仿宋"/>
          <w:color w:val="auto"/>
          <w:sz w:val="32"/>
          <w:highlight w:val="none"/>
        </w:rPr>
        <w:t>一是加大对部门的资金支持；二是建议地方项目配套资金到位；三是加大项目申报、管理、验收方面的业务培训，增强企业和主管部门的业务水平，提高项目争取质量。</w:t>
      </w: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color w:val="auto"/>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hAnsi="宋体" w:cs="宋体"/>
          <w:color w:val="auto"/>
          <w:kern w:val="0"/>
          <w:sz w:val="32"/>
          <w:szCs w:val="32"/>
          <w:highlight w:val="none"/>
          <w:shd w:val="clear" w:color="auto" w:fill="FFFFFF"/>
          <w:lang w:val="zh-CN"/>
        </w:rPr>
      </w:pPr>
    </w:p>
    <w:p>
      <w:pPr>
        <w:rPr>
          <w:rFonts w:hint="eastAsia"/>
          <w:color w:val="auto"/>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4"/>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013"/>
        <w:gridCol w:w="1748"/>
        <w:gridCol w:w="2236"/>
        <w:gridCol w:w="741"/>
        <w:gridCol w:w="1653"/>
        <w:gridCol w:w="741"/>
        <w:gridCol w:w="1085"/>
        <w:gridCol w:w="576"/>
        <w:gridCol w:w="576"/>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该项目为人员类项目，主要保障部门30名定补聘用人员工资及保险缴纳。2022年，该预算项目资金按月支付，及时足额发放，预算执行率100%，年末无资金结余情况。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严格执行相关政策，保障补助及时足额发放，预算编制科学合理，减少结余资金。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该项目为人员类项目，对个人和家庭的补助，该预算项目资金按时支付，及时足额发放，预算执行率100%，年末无资金结余情况。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该项目为人员类项目，主要保障部门2名遗属生活补助。2022年，该预算项目资金按月支付，及时足额发放，预算执行率100%，年末无资金结余情况。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该项目为人员类项目，主要保障05年以前退休人员医疗保险按时缴纳，2022年，该预算项目资金按时支付，足额发放，预算执行率100%，年末无资金结余情况。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w:t>
            </w:r>
            <w:r>
              <w:rPr>
                <w:rFonts w:hint="eastAsia" w:ascii="宋体" w:hAnsi="宋体" w:cs="宋体"/>
                <w:i w:val="0"/>
                <w:iCs w:val="0"/>
                <w:color w:val="000000"/>
                <w:kern w:val="0"/>
                <w:sz w:val="18"/>
                <w:szCs w:val="18"/>
                <w:u w:val="none"/>
                <w:lang w:val="en-US" w:eastAsia="zh-CN" w:bidi="ar"/>
              </w:rPr>
              <w:t>运转</w:t>
            </w:r>
            <w:r>
              <w:rPr>
                <w:rFonts w:ascii="宋体" w:hAnsi="宋体" w:eastAsia="宋体" w:cs="宋体"/>
                <w:i w:val="0"/>
                <w:iCs w:val="0"/>
                <w:color w:val="000000"/>
                <w:kern w:val="0"/>
                <w:sz w:val="18"/>
                <w:szCs w:val="18"/>
                <w:u w:val="none"/>
                <w:lang w:val="en-US" w:eastAsia="zh-CN" w:bidi="ar"/>
              </w:rPr>
              <w:t>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该项目为人员类项目，主要保障部门人员职业年金。2022年，该预算项目资金按月支付，及时足额发放，预算执行率100%，年末无资金结余情况。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51081222T000005689671-2020年地质灾害防治中央补助资金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2020年地质灾害防治中央补助资金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该项目为特定目标类项目，为2020年地质灾害防治中央补助资金，2022年，该预算项目资金有序支付，预算执行率100%，年末无资金结余情况。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2020年地质灾害防治中央补助资金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51081222T000005689793-地质灾害综合防治体系建设补助资金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地质灾害综合防治体系建设补助资金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该项目为特定目标类项目，地质灾害综合防治体系建设补助资金，2022年，该预算项目资金有序支付，预算执行率100%，年末无资金结余情况。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地质灾害综合防治体系建设补助资金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51081222T000005689949-2020年第五批省级和2021年中央地质灾害防治补助资金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2020年第五批省级和2021年中央地质灾害防治补助资金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该项目为特定目标类项目，2020年第五批省级和2021年中央地质灾害防治补助资金，2022年，该预算项目资金有序支付，预算执行率100%，年末无资金结余情况。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2020年第五批省级和2021年中央地质灾害防治补助资金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51081222T000005690466-2017年第一批土地整理项目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2017年第一批土地整理项目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该项目为特定目标类项目，2017年第一批土地整理项目，2022年，该预算项目资金有序支付，预算执行率100%，年末无资金结余情况。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2017年第一批土地整理项目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51081222T000005690495-土地治理项目后期整改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土地治理项目后期整改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该项目为特定目标类项目，土地治理项目后期整改，2022年，该预算项目资金有序支付，预算执行率100%，年末无资金结余情况。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土地治理项目后期整改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131.54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51081222T000005692399-土地整治项目新增耕地核定工作经费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土地整治项目新增耕地核定工作经费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该项目为特定目标类项目，土地整治项目新增耕地核定工作经费，2022年，该预算项目资金有序支付，预算执行率100%，年末无资金结余情况。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土地整治项目新增耕地核定工作经费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73.33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51081222T000005692451-落实修改《广元市土地利用总体规划方案（2006-2020年）工作经费和技术服务单位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落实修改《广元市土地利用总体规划方案（2006-2020年）工作经费和技术服务单位</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该项目为特定目标类项目，落实修改《广元市土地利用总体规划方案（2006-2020年）工作经费和技术服务单位，2022年，该预算项目资金有序支付，预算执行率100%，年末无资金结余情况。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落实修改《广元市土地利用总体规划方案（2006-2020年）工作经费和技术服务单位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项目负责人：王宏东</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51081222T000005692540-开展2020年度全区耕地质量等别年度更新与评价工作经费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开展2020年度全区耕地质量等别年度更新与评价工作经费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该项目为特定目标类项目，开展2020年度全区耕地质量等别年度更新与评价工作经费，2022年，该预算项目资金有序支付，预算执行率100%，年末无资金结余情况。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开展2020年度全区耕地质量等别年度更新与评价工作经费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51081222T000005692919-项目竣工勘界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项目竣工勘界</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该项目为特定目标类项目，项目竣工勘界，2022年，该预算项目资金有序支付，预算执行率100%，年末无资金结余情况。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项目竣工勘界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项目负责人：饶雯森</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51081222T000005692974-11个项目验收整改相关工作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11个项目验收整改相关工作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该项目为特定目标类项目，11个项目验收整改相关工作，2022年，该预算项目资金有序支付，预算执行率100%，年末无资金结余情况。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11个项目验收整改相关工作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51081222T000005693046-土地整理区耕地田坎核实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土地整理区耕地田坎核实</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该项目为特定目标类项目，土地整理区耕地田坎核实，2022年，该预算项目资金有序支付，预算执行率100%，年末无资金结余情况。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土地整理区耕地田坎核实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51081222T000005693152-建设用地土地利用总体规划局部调整工作经费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建设用地土地利用总体规划局部调整工作经费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该项目为特定目标类项目，建设用地土地利用总体规划局部调整工作经费，2022年，该预算项目资金有序支付，预算执行率100%，年末无资金结余情况。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建设用地土地利用总体规划局部调整工作经费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项目负责人：王宏东</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51081222T000005693504-朝天区村分类技术服务费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朝天区村分类技术服务费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该项目为特定目标类项目，朝天区村分类技术服务费，2022年，该预算项目资金有序支付，预算执行率100%，年末无资金结余情况。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朝天区村分类技术服务费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项目负责人：庞斌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51081222T000005693608-2021年乡村振兴重点村驻村工作队（含第一书记）工作经费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2021年乡村振兴重点村驻村工作队（含第一书记）工作经费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该项目为运转类项目，主要用于乡村振兴重点村驻村工作队（含第一书记）工作经费，2022年，该预算项目资金有序支付，预算执行率100%，年末无资金结余情况。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51081222T000005778510-曾家镇增减挂钩项目节余指标流转回购资金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原建设用地复垦成耕地，用于城镇建新区占补平衡指标。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该项目为特定目标类项目，原建设用地复垦成耕地，用于城镇建新区占补平衡指标，2022年，该预算项目资金有序支付，预算执行率100%，年末无资金结余情况。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完成目标批次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完成及时性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流转指标回购款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预计实现收入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提升实施区域经济发展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对地方长远影响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用地单位满意度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项目负责人：胡守国</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51081222T000005928085-土地报征费用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完成2021年度1-7批次用地土地报征组卷、项目选址方案、规划指标落实方案等编制工作。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该项目为特定目标类项目，完成2021年度1-7批次用地土地报征组卷、项目选址方案、规划指标落实方案等编制工作，2022年，该预算项目资金有序支付，预算执行率100%，年末无资金结余情况。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完成项目批次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完成及时性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报征土地所需的资金量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预计实现土地价款收入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提升实施区域经济发展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对地方长远影响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用地单位满意度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51081222T000006313401-原东溪河镇增减挂钩试点项目节余指标流转回购资金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原东溪河镇增减挂钩试点项目节余指标流转回购资金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该项目为特定目标类项目，原东溪河镇增减挂钩试点项目节余指标流转回购资金，2022年，该预算项目资金有序支付，预算执行率100%，年末无资金结余情况。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113.84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项目负责人：胡守国</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51081222T000006313658-2022年第一批中央地质灾害防治补助资金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2022年第一批中央地质灾害防治补助资金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该项目为特定目标类项目，2022年第一批中央地质灾害防治补助资金，2022年，该预算项目资金有序支付，预算执行率100%，年末无资金结余情况。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139.55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51081222T000006380750-朝天区2021年第5批次建设用地耕地占用税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朝天区2021年第5批次建设用地耕地占用税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该项目为特定目标类项目，朝天区2021年第5批次建设用地耕地占用税，2022年，该预算项目资金有序支付，预算执行率100%，年末无资金结余情况。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51081222T000006380888-朝天区2021年第7批次建设用地耕地占用税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朝天区2021年第7批次建设用地耕地占用税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该项目为特定目标类项目，朝天区2021年第7批次建设用地耕地占用税，2022年，该预算项目资金有序支付，预算执行率100%，年末无资金结余情况。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167.41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51081222T000006700966-朝天区2021年第3批次建设用地新增建设用地土地有偿使用费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朝天区2021年第3批次建设用地新增建设用地土地有偿使用费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该项目为特定目标类项目，朝天区2021年第3批次建设用地新增建设用地土地有偿使用费，2022年，该预算项目资金有序支付，预算执行率100%，年末无资金结余情况。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51081222T000006857718-土地征地费用（2021年第3批次）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土地征地费用（2021年第3批次）</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该项目为特定目标类项目，2021年第3批次土地征地费用，2022年，该预算项目资金有序支付，预算执行率100%，年末无资金结余情况。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51081222T000006896631-重点生态保护修复治理资金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重点生态保护修复治理资金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该项目为特定目标类项目，重点生态保护修复治理资金，2022年，该预算项目资金有序支付，预算执行率100%，年末无资金结余情况。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项目负责人：钟林汗</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51081222T000006957319-朝天区槽湾头石灰岩矿资源储量勘查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朝天区槽湾头石灰岩矿资源储量勘查</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该项目为特定目标类项目，朝天区槽湾头石灰岩矿资源储量勘查，2022年，该预算项目资金有序支付，预算执行率100%，年末无资金结余情况。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项目负责人：杨必刚</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51081222T000006981823-自然资源分局办公用房租赁费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自然资源分局办公用房租赁费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该项目为特定目标类项目，自然资源分局办公用房租赁费，2022年，该预算项目资金有序支付，预算执行率100%，年末无资金结余情况。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51081222T000007017759-2022年朝天区地质灾害工程治理项目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2022年朝天区地质灾害工程治理项目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该项目为特定目标类项目，2022年朝天区地质灾害工程治理，2022年，该预算项目资金有序支付，预算执行率100%，年末无资金结余情况。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51081222T000007215301-2022年第三批地质灾害防治补助资金（省级）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2022年第三批地质灾害防治补助资金（省级）</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该项目为特定目标类项目，2022年第三批地质灾害防治补助资金（省级），2022年，该预算项目资金有序支付，预算执行率100%，年末无资金结余情况。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97.26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51081222T000007274810-朝天区2022年第五批次建设用地被征地农民社会保险资金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朝天区2022年第五批次建设用地被征地农民社会保险资金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该项目为特定目标类项目，2022年第五批次建设用地被征地农民社会保险资金，2022年，该预算项目资金有序支付，预算执行率100%，年末无资金结余情况。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577.95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51081222T000007274822-朝天区2022年第七批次建设用地被征地农民社会保险资金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朝天区2022年第七批次建设用地被征地农民社会保险资金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该项目为特定目标类项目，2022年第七批次建设用地被征地农民社会保险资金，2022年，该预算项目资金有序支付，预算执行率100%，年末无资金结余情况。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291.53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51081222T000007274831-朝天区2022年第二批次建设用地被征地农民社会保险资金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朝天区2022年第二批次建设用地被征地农民社会保险资金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该项目为特定目标类项目，2022年第二批次建设用地被征地农民社会保险资金，2022年，该预算项目资金有序支付，预算执行率100%，年末无资金结余情况。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51081222T000007298367-朝天区2022年第五批次建设用地被征地农民社保资金（2）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朝天区2022年第五批次建设用地被征地农民社保资金（2）</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该项目为特定目标类项目，2022年第五批次建设用地被征地农民社保资金，2022年，该预算项目资金有序支付，预算执行率100%，年末无资金结余情况。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713.57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51081222T000007311135-朝天区2022年第一批次建设用地被征地农民社保资金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朝天区2022年第一批次建设用地被征地农民社保资金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该项目为特定目标类项目，2022年第一批次建设用地被征地农民社保资金，2022年，该预算项目资金有序支付，预算执行率100%，年末无资金结余情况。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356.78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51081222T000007311140-朝天区2022年第三批次建设用地被征地农民社保资金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朝天区2022年第三批次建设用地被征地农民社保资金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该项目为特定目标类项目，2022年第三批次建设用地被征地农民社保资金，2022年该预算项目资金有序支付，预算执行率100%，年末无资金结余情况。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211.32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51081222T000007318389-2020年省级矿山生态修复项目资金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2020年省级矿山生态修复项目资金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该项目为特定目标类项目，2020年省级矿山生态修复项目资金，2022年，该预算项目资金有序支付，预算执行率100%，年末无资金结余情况。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233.47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233.47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223.47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项目负责人：钟林汗</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51081223T000007852690-朝天区2022年第9批次建设用地被征地农民社会保险资金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朝天区2022年第9批次建设用地被征地农民社会保险资金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该项目为特定目标类项目，2022年第9批次建设用地被征地农民社会保险资金，2022年，该预算项目资金有序支付，预算执行率100%，年末无资金结余情况。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528.42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51081223T000008676338-朝天区集体农用地及未利用地转为集体建设用地耕地占用税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朝天区集体农用地及未利用地转为集体建设用地耕地占用税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该项目为特定目标类项目，朝天区集体农用地及未利用地转为集体建设用地耕地占用税，2022年，该预算项目资金有序支付，预算执行率100%，年末无资金结余情况。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bl>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sectPr>
          <w:pgSz w:w="16838" w:h="11906" w:orient="landscape"/>
          <w:pgMar w:top="1803" w:right="1440" w:bottom="1803" w:left="1440" w:header="851" w:footer="992" w:gutter="0"/>
          <w:cols w:space="0" w:num="1"/>
          <w:titlePg/>
          <w:rtlGutter w:val="0"/>
          <w:docGrid w:type="lines" w:linePitch="319" w:charSpace="0"/>
        </w:sectPr>
      </w:pPr>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3"/>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2022年专项资金预算项目绩效自评报告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color w:val="auto"/>
          <w:w w:val="99"/>
          <w:sz w:val="32"/>
          <w:szCs w:val="32"/>
        </w:rPr>
      </w:pPr>
      <w:r>
        <w:rPr>
          <w:rFonts w:hint="eastAsia" w:ascii="黑体" w:hAnsi="黑体" w:eastAsia="黑体" w:cs="Times New Roman"/>
          <w:color w:val="auto"/>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（一）项目基本情况。</w:t>
      </w:r>
    </w:p>
    <w:p>
      <w:pPr>
        <w:spacing w:line="360" w:lineRule="auto"/>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Times New Roman"/>
          <w:b w:val="0"/>
          <w:bCs w:val="0"/>
          <w:color w:val="auto"/>
          <w:w w:val="99"/>
          <w:sz w:val="32"/>
          <w:szCs w:val="32"/>
        </w:rPr>
        <w:t>1．</w:t>
      </w:r>
      <w:r>
        <w:rPr>
          <w:rFonts w:hint="eastAsia" w:ascii="仿宋_GB2312" w:hAnsi="仿宋_GB2312" w:eastAsia="仿宋_GB2312" w:cs="仿宋_GB2312"/>
          <w:b w:val="0"/>
          <w:bCs w:val="0"/>
          <w:color w:val="auto"/>
          <w:sz w:val="32"/>
          <w:szCs w:val="32"/>
          <w:lang w:val="en-US" w:eastAsia="zh-CN"/>
        </w:rPr>
        <w:t>项目申报情况。</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向省市主管部门申报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两批次地质灾害防治专项资金，其中：第一批地质灾害防治专项资金申报实施2处治理工程、1个地质灾害群专结合监测预警项目，合计资金332万元；第二批地质灾害防治专项资金申报实施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合计资金243.04万元。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两个批次</w:t>
      </w:r>
      <w:r>
        <w:rPr>
          <w:rFonts w:hint="eastAsia" w:ascii="仿宋_GB2312" w:hAnsi="仿宋_GB2312" w:eastAsia="仿宋_GB2312" w:cs="仿宋_GB2312"/>
          <w:color w:val="auto"/>
          <w:sz w:val="32"/>
          <w:szCs w:val="32"/>
          <w:lang w:eastAsia="zh-CN"/>
        </w:rPr>
        <w:t>地灾项目合计申报金额</w:t>
      </w:r>
      <w:r>
        <w:rPr>
          <w:rFonts w:hint="eastAsia" w:ascii="仿宋_GB2312" w:hAnsi="仿宋_GB2312" w:eastAsia="仿宋_GB2312" w:cs="仿宋_GB2312"/>
          <w:color w:val="auto"/>
          <w:sz w:val="32"/>
          <w:szCs w:val="32"/>
          <w:lang w:val="en-US" w:eastAsia="zh-CN"/>
        </w:rPr>
        <w:t>575.04万元</w:t>
      </w:r>
      <w:r>
        <w:rPr>
          <w:rFonts w:hint="eastAsia" w:ascii="仿宋_GB2312" w:hAnsi="仿宋_GB2312" w:eastAsia="仿宋_GB2312" w:cs="仿宋_GB2312"/>
          <w:color w:val="auto"/>
          <w:sz w:val="32"/>
          <w:szCs w:val="32"/>
        </w:rPr>
        <w:t>。</w:t>
      </w:r>
    </w:p>
    <w:p>
      <w:pPr>
        <w:numPr>
          <w:ilvl w:val="0"/>
          <w:numId w:val="9"/>
        </w:numPr>
        <w:spacing w:line="360" w:lineRule="auto"/>
        <w:ind w:firstLine="632"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cs="Times New Roman"/>
          <w:color w:val="auto"/>
          <w:w w:val="99"/>
          <w:sz w:val="32"/>
          <w:szCs w:val="32"/>
        </w:rPr>
        <w:t>项目立项、资金申报的依据。</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①广元市财政局</w:t>
      </w:r>
      <w:r>
        <w:rPr>
          <w:rFonts w:hint="eastAsia" w:ascii="仿宋_GB2312" w:hAnsi="仿宋_GB2312" w:eastAsia="仿宋_GB2312" w:cs="仿宋_GB2312"/>
          <w:color w:val="auto"/>
          <w:sz w:val="32"/>
          <w:szCs w:val="32"/>
          <w:lang w:val="en-US" w:eastAsia="zh-CN"/>
        </w:rPr>
        <w:t xml:space="preserve"> 广元市自然资源局</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2022年第一批中央地质灾害补助资金预算的通知》（广财资环〔2022〕2号）：2处治理工程、1个地质灾害群专结合监测预警项目，合计资金332万元。</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②广元市财政局  广元市自然资源局《关于下达2022年第三批地质灾害防治补助资金（省级）预算的通知》（广财资环〔2022〕45号）：实施实施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资金243.04万元。</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账、财务制度健全，专款专用，未发生截留、挪用项目资金现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我区第一批次项目实际实施了2处治理工程、1个地质灾害群专结合监测预警项目；第二批次实际实施了</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实际实施的项目</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，项目申报内容与具体实施内容相符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表明我区的申报目标</w:t>
      </w:r>
      <w:r>
        <w:rPr>
          <w:rFonts w:hint="eastAsia" w:ascii="仿宋_GB2312" w:hAnsi="仿宋_GB2312" w:eastAsia="仿宋_GB2312" w:cs="仿宋_GB2312"/>
          <w:color w:val="auto"/>
          <w:sz w:val="32"/>
          <w:szCs w:val="32"/>
          <w:lang w:eastAsia="zh-CN"/>
        </w:rPr>
        <w:t>科学</w:t>
      </w:r>
      <w:r>
        <w:rPr>
          <w:rFonts w:hint="eastAsia" w:ascii="仿宋_GB2312" w:hAnsi="仿宋_GB2312" w:eastAsia="仿宋_GB2312" w:cs="仿宋_GB2312"/>
          <w:color w:val="auto"/>
          <w:sz w:val="32"/>
          <w:szCs w:val="32"/>
        </w:rPr>
        <w:t>合理可行。</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资金分配的原则及考虑因素。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由于省、市行业主管</w:t>
      </w:r>
      <w:r>
        <w:rPr>
          <w:rFonts w:hint="eastAsia" w:ascii="仿宋_GB2312" w:hAnsi="宋体" w:eastAsia="仿宋_GB2312" w:cs="Times New Roman"/>
          <w:color w:val="auto"/>
          <w:w w:val="99"/>
          <w:sz w:val="32"/>
          <w:szCs w:val="32"/>
          <w:lang w:val="en-US" w:eastAsia="zh-CN"/>
        </w:rPr>
        <w:t>和财政部门已经将资金下达到每个具体的项目名称上，因此区本级不再进行资金分配。在实施项目时，依据专业施工图设计单位提供的专业预算，提交区财评中心进行财政评审，各类费用均按照财评费用执行。</w:t>
      </w:r>
    </w:p>
    <w:p>
      <w:p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（二）项目绩效目标。</w:t>
      </w:r>
    </w:p>
    <w:p>
      <w:pPr>
        <w:spacing w:line="360" w:lineRule="auto"/>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1.第一批次项目。</w:t>
      </w:r>
      <w:r>
        <w:rPr>
          <w:rFonts w:hint="eastAsia" w:ascii="仿宋_GB2312" w:hAnsi="仿宋_GB2312" w:eastAsia="仿宋_GB2312" w:cs="仿宋_GB2312"/>
          <w:color w:val="auto"/>
          <w:sz w:val="32"/>
          <w:szCs w:val="32"/>
          <w:lang w:val="en-US" w:eastAsia="zh-CN"/>
        </w:rPr>
        <w:t>开展1个地质灾害群专结合监测预警项目，开展地质灾害隐患点治理工程2个，开展地质灾害隐患点培训和演练覆盖率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2022年度实施方案100%，项目实施后保护财产1250万元，地质灾害预警预报能力较过去五年有较大提升，核销地质灾害隐患数量2处，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仿宋_GB2312" w:hAnsi="仿宋_GB2312" w:eastAsia="仿宋_GB2312" w:cs="仿宋_GB2312"/>
          <w:b/>
          <w:bCs/>
          <w:color w:val="auto"/>
          <w:sz w:val="32"/>
          <w:szCs w:val="32"/>
          <w:lang w:val="en-US" w:eastAsia="zh-CN"/>
        </w:rPr>
        <w:t>2.第二批次项目。</w:t>
      </w:r>
      <w:r>
        <w:rPr>
          <w:rFonts w:hint="eastAsia" w:ascii="仿宋_GB2312" w:hAnsi="仿宋_GB2312" w:eastAsia="仿宋_GB2312" w:cs="仿宋_GB2312"/>
          <w:color w:val="auto"/>
          <w:sz w:val="32"/>
          <w:szCs w:val="32"/>
          <w:lang w:val="en-US" w:eastAsia="zh-CN"/>
        </w:rPr>
        <w:t>开展群测群防专职监测114处，开展地质灾害隐患点治理工程1个，开展地质灾害隐患点避险搬迁20处，开展地质灾害隐患点培训和演练覆盖率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2022年度实施方案100%，项目实施后保护财产600万元，地质灾害预警预报能力较过去五年有提升，核销地质灾害隐患数量1处，项目实施后保护人数68人，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由财务与资金运用工作组和地环站对照项目预算和绩效目标</w:t>
      </w:r>
      <w:r>
        <w:rPr>
          <w:rFonts w:hint="eastAsia" w:ascii="仿宋_GB2312" w:hAnsi="宋体" w:eastAsia="仿宋_GB2312" w:cs="Times New Roman"/>
          <w:color w:val="auto"/>
          <w:w w:val="99"/>
          <w:sz w:val="32"/>
          <w:szCs w:val="32"/>
          <w:lang w:val="en-US" w:eastAsia="zh-CN"/>
        </w:rPr>
        <w:t>评分方法及分值</w:t>
      </w:r>
      <w:r>
        <w:rPr>
          <w:rFonts w:hint="eastAsia" w:ascii="仿宋_GB2312" w:hAnsi="宋体" w:eastAsia="仿宋_GB2312" w:cs="Times New Roman"/>
          <w:color w:val="auto"/>
          <w:w w:val="99"/>
          <w:sz w:val="32"/>
          <w:szCs w:val="32"/>
          <w:lang w:eastAsia="zh-CN"/>
        </w:rPr>
        <w:t>，</w:t>
      </w:r>
      <w:r>
        <w:rPr>
          <w:rFonts w:hint="eastAsia" w:ascii="仿宋_GB2312" w:hAnsi="宋体" w:eastAsia="仿宋_GB2312" w:cs="Times New Roman"/>
          <w:color w:val="auto"/>
          <w:w w:val="99"/>
          <w:sz w:val="32"/>
          <w:szCs w:val="32"/>
          <w:lang w:val="en-US" w:eastAsia="zh-CN"/>
        </w:rPr>
        <w:t>逐一核对，开展项目自评。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二、项目资金申报及使用情况</w:t>
      </w:r>
    </w:p>
    <w:p>
      <w:p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向省市主管部门申报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两批次地质灾害防治专项资金，其中：第一批地质灾害防治专项资金申报实施2处治理工程、1个地质灾害群专结合监测预警项目，合计资金332万元；第二批地质灾害防治专项资金申报实施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合计资金243.04万元。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w:t>
      </w:r>
    </w:p>
    <w:p>
      <w:pPr>
        <w:numPr>
          <w:ilvl w:val="0"/>
          <w:numId w:val="0"/>
        </w:numPr>
        <w:spacing w:line="360" w:lineRule="auto"/>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资金计划及到位</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广元市财政局</w:t>
      </w:r>
      <w:r>
        <w:rPr>
          <w:rFonts w:hint="eastAsia" w:ascii="仿宋_GB2312" w:hAnsi="仿宋_GB2312" w:eastAsia="仿宋_GB2312" w:cs="仿宋_GB2312"/>
          <w:color w:val="auto"/>
          <w:sz w:val="32"/>
          <w:szCs w:val="32"/>
          <w:lang w:val="en-US" w:eastAsia="zh-CN"/>
        </w:rPr>
        <w:t xml:space="preserve"> 广元市自然资源局</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2022年第一批中央地质灾害补助资金预算的通知》（广财资环〔2022〕2号）：2处治理工程、1个地质灾害群专结合监测预警项目，合计资金332万元。广元市财政局  广元市自然资源局《关于下达2022年第三批地质灾害防治补助资金（省级）预算的通知》（广财资环〔2022〕45号）：实施实施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资金243.04万元。</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通过自查，项目资金</w:t>
      </w:r>
      <w:r>
        <w:rPr>
          <w:rFonts w:hint="eastAsia" w:ascii="仿宋_GB2312" w:hAnsi="仿宋_GB2312" w:eastAsia="仿宋_GB2312" w:cs="仿宋_GB2312"/>
          <w:color w:val="auto"/>
          <w:sz w:val="32"/>
          <w:szCs w:val="32"/>
          <w:lang w:val="en-US" w:eastAsia="zh-CN"/>
        </w:rPr>
        <w:t>575.04万元</w:t>
      </w:r>
      <w:r>
        <w:rPr>
          <w:rFonts w:hint="eastAsia" w:ascii="仿宋_GB2312" w:hAnsi="仿宋_GB2312" w:eastAsia="仿宋_GB2312" w:cs="仿宋_GB2312"/>
          <w:color w:val="auto"/>
          <w:sz w:val="32"/>
          <w:szCs w:val="32"/>
          <w:lang w:eastAsia="zh-CN"/>
        </w:rPr>
        <w:t>到位及时，资金到位率100%。</w:t>
      </w:r>
    </w:p>
    <w:p>
      <w:pPr>
        <w:spacing w:line="360" w:lineRule="auto"/>
        <w:ind w:firstLine="642" w:firstLineChars="200"/>
        <w:rPr>
          <w:rFonts w:hint="eastAsia" w:ascii="仿宋_GB2312" w:hAnsi="仿宋_GB2312" w:eastAsia="仿宋_GB2312" w:cs="仿宋_GB2312"/>
          <w:color w:val="auto"/>
          <w:sz w:val="32"/>
          <w:szCs w:val="32"/>
          <w:lang w:val="en-US" w:eastAsia="zh-CN"/>
        </w:rPr>
      </w:pPr>
      <w:bookmarkStart w:id="84" w:name="bookmark25"/>
      <w:bookmarkEnd w:id="84"/>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资金使用</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截至目前，所有下达任务项目均已完工投入使用，实际完成投资575.04万元，</w:t>
      </w:r>
      <w:r>
        <w:rPr>
          <w:rFonts w:hint="eastAsia" w:ascii="仿宋_GB2312" w:hAnsi="仿宋_GB2312" w:eastAsia="仿宋_GB2312" w:cs="仿宋_GB2312"/>
          <w:color w:val="auto"/>
          <w:sz w:val="32"/>
          <w:szCs w:val="32"/>
          <w:lang w:eastAsia="zh-CN"/>
        </w:rPr>
        <w:t>已拨付</w:t>
      </w:r>
      <w:r>
        <w:rPr>
          <w:rFonts w:hint="eastAsia" w:ascii="仿宋_GB2312" w:hAnsi="仿宋_GB2312" w:eastAsia="仿宋_GB2312" w:cs="仿宋_GB2312"/>
          <w:color w:val="auto"/>
          <w:sz w:val="32"/>
          <w:szCs w:val="32"/>
          <w:lang w:val="en-US" w:eastAsia="zh-CN"/>
        </w:rPr>
        <w:t>236.81</w:t>
      </w:r>
      <w:r>
        <w:rPr>
          <w:rFonts w:hint="eastAsia" w:ascii="仿宋_GB2312" w:hAnsi="仿宋_GB2312" w:eastAsia="仿宋_GB2312" w:cs="仿宋_GB2312"/>
          <w:color w:val="auto"/>
          <w:sz w:val="32"/>
          <w:szCs w:val="32"/>
          <w:lang w:eastAsia="zh-CN"/>
        </w:rPr>
        <w:t>万元。资金开支范围主要是直接工程费用、监理费用、工程勘查费用、工程设计费用、财评费用、审计</w:t>
      </w:r>
      <w:r>
        <w:rPr>
          <w:rFonts w:hint="eastAsia" w:ascii="仿宋_GB2312" w:hAnsi="仿宋_GB2312" w:eastAsia="仿宋_GB2312" w:cs="仿宋_GB2312"/>
          <w:color w:val="auto"/>
          <w:sz w:val="32"/>
          <w:szCs w:val="32"/>
          <w:lang w:val="en-US" w:eastAsia="zh-CN"/>
        </w:rPr>
        <w:t>费用、专家验收费用、监测费用、检验检测费用以及占用林地的补赔偿费用</w:t>
      </w:r>
      <w:r>
        <w:rPr>
          <w:rFonts w:hint="eastAsia" w:ascii="仿宋_GB2312" w:hAnsi="仿宋_GB2312" w:eastAsia="仿宋_GB2312" w:cs="仿宋_GB2312"/>
          <w:color w:val="auto"/>
          <w:sz w:val="32"/>
          <w:szCs w:val="32"/>
          <w:lang w:eastAsia="zh-CN"/>
        </w:rPr>
        <w:t>等国家</w:t>
      </w:r>
      <w:r>
        <w:rPr>
          <w:rFonts w:hint="eastAsia" w:ascii="仿宋_GB2312" w:hAnsi="仿宋_GB2312" w:eastAsia="仿宋_GB2312" w:cs="仿宋_GB2312"/>
          <w:color w:val="auto"/>
          <w:sz w:val="32"/>
          <w:szCs w:val="32"/>
          <w:lang w:val="en-US" w:eastAsia="zh-CN"/>
        </w:rPr>
        <w:t>法律法规</w:t>
      </w:r>
      <w:r>
        <w:rPr>
          <w:rFonts w:hint="eastAsia" w:ascii="仿宋_GB2312" w:hAnsi="仿宋_GB2312" w:eastAsia="仿宋_GB2312" w:cs="仿宋_GB2312"/>
          <w:color w:val="auto"/>
          <w:sz w:val="32"/>
          <w:szCs w:val="32"/>
          <w:lang w:eastAsia="zh-CN"/>
        </w:rPr>
        <w:t>等规定的开支范围，支付标准按照财评后招标金额及审计结果进行，支付进度按照工程完成工程量的80%、工程结算审计后拨付9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%、资金预留</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%作为质量保证金、质量保质期满再予以全额拨付。项目资金所有支出均按照相关规定严格进行，支付依据合规合法，资金支付与预算相符。</w:t>
      </w:r>
      <w:r>
        <w:rPr>
          <w:rFonts w:hint="eastAsia" w:ascii="仿宋_GB2312" w:hAnsi="仿宋_GB2312" w:eastAsia="仿宋_GB2312" w:cs="仿宋_GB2312"/>
          <w:color w:val="auto"/>
          <w:sz w:val="32"/>
          <w:szCs w:val="32"/>
          <w:lang w:val="en-US" w:eastAsia="zh-CN"/>
        </w:rPr>
        <w:t>目前专项资金存在暂时结存资金现象，是因为完工项目正在进行工程结算审计，按照项目和资金管理规定以及合同约定，所有项目在完工后只能</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80%的款项，待工程结算审计完成后支付95%的款项，质保期满无治理问题支付100%，符合国家相关规定。</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在财务管理上，严格执行区级报账制度，报账科目严格按照《财务管理办法》设置，具体的报账方式、资金拨付由施工单位根据工程进度提出申请，经工程监理单位、建设单位的现场代表、工程负责人和财务负责人审查签字后，报单位分管财务负责人审批，并签发拨付意见，交由区财政支付中心转账支付。项目资金严格按照工程进度拨付，施工过程中按已建工程量的80%拨付，工程完工后通过工程验收，进行项目结算审计，出具了项目结算审计报告拨付97%，预留3%资金作为质量保证金，质量保质期满再予以全额拨付。我区实施的项目严格执行了财务管理制度，财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三、项目实施及管理情况</w:t>
      </w:r>
    </w:p>
    <w:p>
      <w:p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p>
    <w:p>
      <w:pPr>
        <w:spacing w:line="360" w:lineRule="auto"/>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在项目管理上，均建立有项目组织机构，推行目标管理责任制。</w:t>
      </w:r>
      <w:bookmarkStart w:id="85" w:name="_Toc99784138"/>
      <w:r>
        <w:rPr>
          <w:rFonts w:hint="eastAsia" w:ascii="仿宋_GB2312" w:hAnsi="仿宋_GB2312" w:eastAsia="仿宋_GB2312" w:cs="仿宋_GB2312"/>
          <w:color w:val="auto"/>
          <w:sz w:val="32"/>
          <w:szCs w:val="32"/>
          <w:lang w:val="en-US" w:eastAsia="zh-CN"/>
        </w:rPr>
        <w:t>成立了以分管副区长为组</w:t>
      </w:r>
      <w:bookmarkStart w:id="86" w:name="_Toc185912501"/>
      <w:r>
        <w:rPr>
          <w:rFonts w:hint="eastAsia" w:ascii="仿宋_GB2312" w:hAnsi="仿宋_GB2312" w:eastAsia="仿宋_GB2312" w:cs="仿宋_GB2312"/>
          <w:color w:val="auto"/>
          <w:sz w:val="32"/>
          <w:szCs w:val="32"/>
          <w:lang w:val="en-US" w:eastAsia="zh-CN"/>
        </w:rPr>
        <w:t>长的区地质灾害治理工作领导小组，负责项目实施的全面协调督促工作，下设了以区自然资源分局局长、项目所在乡镇主要领导任副组长</w:t>
      </w:r>
      <w:bookmarkEnd w:id="85"/>
      <w:r>
        <w:rPr>
          <w:rFonts w:hint="eastAsia" w:ascii="仿宋_GB2312" w:hAnsi="仿宋_GB2312" w:eastAsia="仿宋_GB2312" w:cs="仿宋_GB2312"/>
          <w:color w:val="auto"/>
          <w:sz w:val="32"/>
          <w:szCs w:val="32"/>
          <w:lang w:val="en-US" w:eastAsia="zh-CN"/>
        </w:rPr>
        <w:t>的指挥部，负责项目实施的组织、现场管理和协调工作。</w:t>
      </w:r>
      <w:bookmarkEnd w:id="86"/>
      <w:bookmarkStart w:id="87" w:name="_Toc185912503"/>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在项目的具体实施流程上。</w:t>
      </w:r>
      <w:bookmarkEnd w:id="87"/>
      <w:r>
        <w:rPr>
          <w:rFonts w:hint="eastAsia" w:ascii="仿宋_GB2312" w:hAnsi="仿宋_GB2312" w:eastAsia="仿宋_GB2312" w:cs="仿宋_GB2312"/>
          <w:b/>
          <w:bCs/>
          <w:color w:val="auto"/>
          <w:sz w:val="32"/>
          <w:szCs w:val="32"/>
          <w:lang w:val="en-US" w:eastAsia="zh-CN"/>
        </w:rPr>
        <w:t>严格按照国家规定的所有项目流程开展项目建设，具体为：</w:t>
      </w:r>
      <w:r>
        <w:rPr>
          <w:rFonts w:hint="eastAsia" w:ascii="仿宋_GB2312" w:hAnsi="仿宋_GB2312" w:eastAsia="仿宋_GB2312" w:cs="仿宋_GB2312"/>
          <w:color w:val="auto"/>
          <w:sz w:val="32"/>
          <w:szCs w:val="32"/>
          <w:lang w:val="en-US" w:eastAsia="zh-CN"/>
        </w:rPr>
        <w:t>在专业机构提出对地灾隐患点实施项目建设的建议上，再聘请专家开展现场踏勘，进一步确认开展项目建设的必要性和初步建设内容；确定勘查设计单位开展勘查设计工作；以施工图设计报告或排危除险设计方案向省厅申报纳入中省财政资金支持项目范围；自然资源厅组织专家进行必要性和建设内容合理性审查通过后，进入全省地灾项目的储备库和项目库；省市下达项目实施通知和资金补助金额；进行项目立项、财评和投资计划的下达工作；开展项目施工、监理等单位的招投标工作；实施项目建设；项目完工后组织专家初验；开展项目工程结算审计；对初验项目进行为期一个水文年度质量监测并提交工程建设质量效果监测报告；组织专家开展项目终验；进行项目财务决算；完工项目移交当地乡镇政府管理；整理项目资料归档。</w:t>
      </w:r>
    </w:p>
    <w:p>
      <w:pPr>
        <w:keepNext w:val="0"/>
        <w:keepLines w:val="0"/>
        <w:pageBreakBefore w:val="0"/>
        <w:numPr>
          <w:ilvl w:val="0"/>
          <w:numId w:val="10"/>
        </w:numPr>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项目管理情况。</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工程的实施按照省自然资源厅《四川省地质灾害防治项目管理办法》和《广元市地质灾害综合防治体系建设项目和资金管理暂行办法》等有关规定，制定了“两办法、六制度”。“两办法”即项目实施管理办法、资金管理办法；“六制度”即项目公示制度、项目法人制度、项目招标投标制度、项目合同制、项目监理制度、项目廉政建设制度。具体如下：</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一是实行项目法人责任制。由区自然资源分局全面负责项目的建设和管理。由项目法人对项目的策划、资金筹措、建设实施、运行管理实行全过程负责。</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二是实行合同管理制度。对工程的勘察、设计、施工、监理均签定书面合同，并依据法律法规及项目合同对项目进行组织、指导、协调、监督，实现项目目标控制，控制项目顺利实施。</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三是工程建设实行公开招投标制。根据国家发展改革委办公厅《关于进一步做好必须招标的工程项目规定》、《政府采购货物和服务招标投标管理办法》（财政部令第87号）、四川省财政厅《关于规范政府采购工程项目采购执行管理有关事项的通知》（川财采﹝2020﹞4号、5号、6号）、广元市朝天区财政局《关于转发四川省政府采购品分类目录（2021年版）的通知》等有关规定，严格按照项目建设基本程序，遵循公开、公平、公正和诚实信用的原则实施招投标制，确保项目的工程质量，降低工程造价，提高投资效益。</w:t>
      </w:r>
    </w:p>
    <w:p>
      <w:pPr>
        <w:keepNext w:val="0"/>
        <w:keepLines w:val="0"/>
        <w:pageBreakBefore w:val="0"/>
        <w:numPr>
          <w:ilvl w:val="0"/>
          <w:numId w:val="10"/>
        </w:numPr>
        <w:kinsoku/>
        <w:wordWrap/>
        <w:overflowPunct/>
        <w:topLinePunct w:val="0"/>
        <w:autoSpaceDE w:val="0"/>
        <w:autoSpaceDN/>
        <w:bidi w:val="0"/>
        <w:adjustRightInd w:val="0"/>
        <w:snapToGrid w:val="0"/>
        <w:spacing w:line="560" w:lineRule="exact"/>
        <w:ind w:left="0" w:leftChars="0" w:firstLine="720" w:firstLineChars="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一是工程建设实行工程监理制。由项目业主、施工方、监理单位直接参加的“三方”管理制度，是连接项目法人责任制度、工程招投标制和加强政府宏观管理的中间环节。实行工程监理制，有利于项目严格遵守建设程序，控制好本项目进度、投资、质量目标，加强项目管理的专业性与科学性，提高项目的经济效益和社会效益。二是与项目施工单位签订了廉政责任书，预防在工程项目中发生腐败现象。三是在施工合同中明确了项目质量、保质期、项目班子成员的出勤及考核、处理办法等内容。四是定期不定期对工程和项目班子成员进行检查，确保工程质量。五是对项目工程材料和隐蔽工程严格执行检测和现场收方制度。六是项目工程建设内容和质量实行专家验收制度。截至目前，没有发生因工程质量导致的项目验收不合格、投诉、质量事故等现象。</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黑体" w:hAnsi="黑体" w:eastAsia="黑体" w:cs="Times New Roman"/>
          <w:color w:val="auto"/>
          <w:w w:val="99"/>
          <w:sz w:val="32"/>
          <w:szCs w:val="32"/>
        </w:rPr>
        <w:t>四、项目绩效情况</w:t>
      </w:r>
      <w:r>
        <w:rPr>
          <w:rFonts w:hint="eastAsia" w:ascii="仿宋_GB2312" w:hAnsi="宋体" w:eastAsia="仿宋_GB2312" w:cs="Times New Roman"/>
          <w:color w:val="auto"/>
          <w:w w:val="99"/>
          <w:sz w:val="32"/>
          <w:szCs w:val="32"/>
        </w:rPr>
        <w:tab/>
      </w:r>
    </w:p>
    <w:p>
      <w:pPr>
        <w:spacing w:line="360" w:lineRule="auto"/>
        <w:ind w:firstLine="634" w:firstLineChars="200"/>
        <w:rPr>
          <w:rFonts w:hint="eastAsia" w:ascii="仿宋_GB2312" w:hAnsi="仿宋_GB2312" w:eastAsia="仿宋_GB2312" w:cs="仿宋_GB2312"/>
          <w:color w:val="auto"/>
          <w:sz w:val="32"/>
          <w:szCs w:val="32"/>
          <w:lang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sz w:val="32"/>
          <w:szCs w:val="32"/>
          <w:lang w:val="en-US" w:eastAsia="zh-CN"/>
        </w:rPr>
        <w:t>我区第一批次项目实际实施第一批地质灾害防治专项资金申报实施2处治理工程、1个地质灾害群专结合监测预警项目；第二批地质灾害防治专项资金申报实施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对照项目计划目标，</w:t>
      </w:r>
      <w:r>
        <w:rPr>
          <w:rFonts w:hint="eastAsia" w:ascii="仿宋_GB2312" w:hAnsi="仿宋_GB2312" w:eastAsia="仿宋_GB2312" w:cs="仿宋_GB2312"/>
          <w:color w:val="auto"/>
          <w:sz w:val="32"/>
          <w:szCs w:val="32"/>
          <w:lang w:eastAsia="zh-CN"/>
        </w:rPr>
        <w:t>我区的地质灾害防治项目均</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完成任务。</w:t>
      </w:r>
    </w:p>
    <w:p>
      <w:pPr>
        <w:numPr>
          <w:ilvl w:val="0"/>
          <w:numId w:val="11"/>
        </w:num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项目效益情况。</w:t>
      </w:r>
    </w:p>
    <w:p>
      <w:pPr>
        <w:numPr>
          <w:ilvl w:val="0"/>
          <w:numId w:val="0"/>
        </w:num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1.</w:t>
      </w:r>
      <w:r>
        <w:rPr>
          <w:rFonts w:hint="eastAsia" w:ascii="方正楷体简体" w:hAnsi="方正楷体简体" w:eastAsia="方正楷体简体" w:cs="方正楷体简体"/>
          <w:b/>
          <w:bCs/>
          <w:color w:val="auto"/>
          <w:sz w:val="32"/>
          <w:szCs w:val="32"/>
        </w:rPr>
        <w:t>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防治工程的建设可以弥补因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灾害导致的农田、果园受灾不能正常生产</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造成的损失，使农田、果园尽快进入正常生产阶段，创造经济作物价值。确保附近农户居住环境的整体功能得到正常运转，通往外部的交通干线可以保持稳定和畅通，土地资源可以得到保护，显示出突出的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滑坡体上、滑坡前后缘影响区的建筑物安全可以得到保障，可以确保滑坡危害区范围内人民生命财产安全，减少人员因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灾害伤亡不能参加劳动而减少的劳动收入损失。</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滑坡灾害防治工程的实施，改善了当地的</w:t>
      </w:r>
      <w:r>
        <w:rPr>
          <w:rFonts w:hint="eastAsia" w:ascii="仿宋_GB2312" w:hAnsi="仿宋_GB2312" w:eastAsia="仿宋_GB2312" w:cs="仿宋_GB2312"/>
          <w:color w:val="auto"/>
          <w:sz w:val="32"/>
          <w:szCs w:val="32"/>
          <w:lang w:eastAsia="zh-CN"/>
        </w:rPr>
        <w:t>生产生活</w:t>
      </w:r>
      <w:r>
        <w:rPr>
          <w:rFonts w:hint="eastAsia" w:ascii="仿宋_GB2312" w:hAnsi="仿宋_GB2312" w:eastAsia="仿宋_GB2312" w:cs="仿宋_GB2312"/>
          <w:color w:val="auto"/>
          <w:sz w:val="32"/>
          <w:szCs w:val="32"/>
        </w:rPr>
        <w:t>安全环境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使得投资环境吸引力增加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土地增值等一系列下游产业增值活动带来收益，而且滑坡治理后，能稳定</w:t>
      </w:r>
      <w:r>
        <w:rPr>
          <w:rFonts w:hint="eastAsia" w:ascii="仿宋_GB2312" w:hAnsi="仿宋_GB2312" w:eastAsia="仿宋_GB2312" w:cs="仿宋_GB2312"/>
          <w:color w:val="auto"/>
          <w:sz w:val="32"/>
          <w:szCs w:val="32"/>
          <w:lang w:eastAsia="zh-CN"/>
        </w:rPr>
        <w:t>人民群众</w:t>
      </w:r>
      <w:r>
        <w:rPr>
          <w:rFonts w:hint="eastAsia" w:ascii="仿宋_GB2312" w:hAnsi="仿宋_GB2312" w:eastAsia="仿宋_GB2312" w:cs="仿宋_GB2312"/>
          <w:color w:val="auto"/>
          <w:sz w:val="32"/>
          <w:szCs w:val="32"/>
        </w:rPr>
        <w:t>的心态，使生产、生活有序进行，安定人心，创造潜在的更大社会效益。</w:t>
      </w:r>
      <w:bookmarkStart w:id="88" w:name="_Toc185924650"/>
      <w:bookmarkStart w:id="89" w:name="_Toc71645331"/>
      <w:bookmarkStart w:id="90" w:name="_Toc185912582"/>
    </w:p>
    <w:p>
      <w:p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2.</w:t>
      </w:r>
      <w:r>
        <w:rPr>
          <w:rFonts w:hint="eastAsia" w:ascii="方正楷体简体" w:hAnsi="方正楷体简体" w:eastAsia="方正楷体简体" w:cs="方正楷体简体"/>
          <w:b/>
          <w:bCs/>
          <w:color w:val="auto"/>
          <w:sz w:val="32"/>
          <w:szCs w:val="32"/>
        </w:rPr>
        <w:t>生态环境效益</w:t>
      </w:r>
      <w:bookmarkEnd w:id="88"/>
      <w:bookmarkEnd w:id="89"/>
      <w:bookmarkEnd w:id="90"/>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效益体现的是自然资本积累，是人类赖以生存和发展的基础，生态效益多以公共品和准公共品服务流形式出现。滑坡治理后，能够有效的遏制滑坡、泥石流等地质灾害危害，有效的控制地质环境恶化趋势，为土地复垦和开发创造良好的地质环境条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工程及植被恢复措施逐渐发挥作用，遏制了滑坡、泥石流等的发生，减少松散物源的补给，成为保护耕地农田免遭</w:t>
      </w:r>
      <w:r>
        <w:rPr>
          <w:rFonts w:hint="eastAsia" w:ascii="仿宋_GB2312" w:hAnsi="仿宋_GB2312" w:eastAsia="仿宋_GB2312" w:cs="仿宋_GB2312"/>
          <w:color w:val="auto"/>
          <w:sz w:val="32"/>
          <w:szCs w:val="32"/>
          <w:lang w:eastAsia="zh-CN"/>
        </w:rPr>
        <w:t>损</w:t>
      </w:r>
      <w:r>
        <w:rPr>
          <w:rFonts w:hint="eastAsia" w:ascii="仿宋_GB2312" w:hAnsi="仿宋_GB2312" w:eastAsia="仿宋_GB2312" w:cs="仿宋_GB2312"/>
          <w:color w:val="auto"/>
          <w:sz w:val="32"/>
          <w:szCs w:val="32"/>
        </w:rPr>
        <w:t>害的有力保障，加固拦挡工程，延长使用寿命，减少地质灾害发生</w:t>
      </w:r>
      <w:r>
        <w:rPr>
          <w:rFonts w:hint="eastAsia" w:ascii="仿宋_GB2312" w:hAnsi="仿宋_GB2312" w:eastAsia="仿宋_GB2312" w:cs="仿宋_GB2312"/>
          <w:color w:val="auto"/>
          <w:sz w:val="32"/>
          <w:szCs w:val="32"/>
          <w:lang w:eastAsia="zh-CN"/>
        </w:rPr>
        <w:t>机</w:t>
      </w:r>
      <w:r>
        <w:rPr>
          <w:rFonts w:hint="eastAsia" w:ascii="仿宋_GB2312" w:hAnsi="仿宋_GB2312" w:eastAsia="仿宋_GB2312" w:cs="仿宋_GB2312"/>
          <w:color w:val="auto"/>
          <w:sz w:val="32"/>
          <w:szCs w:val="32"/>
        </w:rPr>
        <w:t>率。</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有效增加保土、保肥、涵养水源的能力，降低水体浑浊度，提高水体质量。生态环境明显改善，土壤有机质，森林覆盖率明显提高，可改善降雨降雪对土壤的水力侵蚀，推动水</w:t>
      </w: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rPr>
        <w:t>保持工作的积极运行，耕地、农田的抗灾能力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农业生态系统的稳定性明显提高。</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有效防止了水体流失的规模，使地表浅层的适应能力增加，限制了地质环境的进一步恶化，为生物提高良好的生存条件，使失去平衡的生态系统得以修复。</w:t>
      </w:r>
      <w:bookmarkStart w:id="91" w:name="_Toc71645333"/>
      <w:bookmarkStart w:id="92" w:name="_Toc185912583"/>
      <w:bookmarkStart w:id="93" w:name="_Toc185924651"/>
    </w:p>
    <w:p>
      <w:p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3.</w:t>
      </w:r>
      <w:r>
        <w:rPr>
          <w:rFonts w:hint="eastAsia" w:ascii="方正楷体简体" w:hAnsi="方正楷体简体" w:eastAsia="方正楷体简体" w:cs="方正楷体简体"/>
          <w:b/>
          <w:bCs/>
          <w:color w:val="auto"/>
          <w:sz w:val="32"/>
          <w:szCs w:val="32"/>
        </w:rPr>
        <w:t>经济效益</w:t>
      </w:r>
      <w:bookmarkEnd w:id="91"/>
      <w:bookmarkEnd w:id="92"/>
      <w:bookmarkEnd w:id="93"/>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经济效益包括直接效益和间接效益两部分。直接效益主要为防治工程所避免的地质灾害可能造成的经济损失，间接效益主要为因地质灾害得到治理而避免的周边地区国民经济巨大影响和损失。经初步调查统计，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年实施的地质灾害体系建设项目，隐患点如发生可能造成的经济损失将达到</w:t>
      </w:r>
      <w:r>
        <w:rPr>
          <w:rFonts w:hint="eastAsia" w:ascii="仿宋_GB2312" w:hAnsi="仿宋_GB2312" w:eastAsia="仿宋_GB2312" w:cs="仿宋_GB2312"/>
          <w:color w:val="auto"/>
          <w:sz w:val="32"/>
          <w:szCs w:val="32"/>
          <w:lang w:val="en-US" w:eastAsia="zh-CN"/>
        </w:rPr>
        <w:t>1850万</w:t>
      </w:r>
      <w:r>
        <w:rPr>
          <w:rFonts w:hint="eastAsia" w:ascii="仿宋_GB2312" w:hAnsi="仿宋_GB2312" w:eastAsia="仿宋_GB2312" w:cs="仿宋_GB2312"/>
          <w:color w:val="auto"/>
          <w:sz w:val="32"/>
          <w:szCs w:val="32"/>
        </w:rPr>
        <w:t>元，而财政投入资金为</w:t>
      </w:r>
      <w:r>
        <w:rPr>
          <w:rFonts w:hint="eastAsia" w:ascii="仿宋_GB2312" w:hAnsi="仿宋_GB2312" w:eastAsia="仿宋_GB2312" w:cs="仿宋_GB2312"/>
          <w:color w:val="auto"/>
          <w:sz w:val="32"/>
          <w:szCs w:val="32"/>
          <w:lang w:val="en-US" w:eastAsia="zh-CN"/>
        </w:rPr>
        <w:t>575.04</w:t>
      </w:r>
      <w:r>
        <w:rPr>
          <w:rFonts w:hint="eastAsia" w:ascii="仿宋_GB2312" w:hAnsi="仿宋_GB2312" w:eastAsia="仿宋_GB2312" w:cs="仿宋_GB2312"/>
          <w:color w:val="auto"/>
          <w:sz w:val="32"/>
          <w:szCs w:val="32"/>
        </w:rPr>
        <w:t>万元，按相对收益计算，产出比为1：</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，由此可见，体系建设项目具有良好的经济效益。另外，治理工程还具有难以估算和量化的间接效益，有利于社会的安定和经济的可持续发展。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p>
    <w:p>
      <w:pPr>
        <w:spacing w:line="360" w:lineRule="auto"/>
        <w:ind w:firstLine="640" w:firstLineChars="200"/>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管理规范，流程符合规定，按照要求提前完成项目建设内容，超额完成项目绩效指标。</w:t>
      </w:r>
      <w:r>
        <w:rPr>
          <w:rFonts w:hint="eastAsia" w:ascii="仿宋_GB2312" w:hAnsi="仿宋_GB2312" w:eastAsia="仿宋_GB2312" w:cs="仿宋_GB2312"/>
          <w:color w:val="auto"/>
          <w:sz w:val="32"/>
          <w:szCs w:val="32"/>
        </w:rPr>
        <w:t>由于区财政紧张，部分项目实施后，资金没有及时拨付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项目总体绩效评价好。</w:t>
      </w:r>
    </w:p>
    <w:p>
      <w:pPr>
        <w:numPr>
          <w:ilvl w:val="0"/>
          <w:numId w:val="0"/>
        </w:num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lang w:eastAsia="zh-CN"/>
        </w:rPr>
        <w:t>（</w:t>
      </w:r>
      <w:r>
        <w:rPr>
          <w:rFonts w:hint="eastAsia" w:ascii="楷体_GB2312" w:hAnsi="宋体" w:eastAsia="楷体_GB2312" w:cs="Times New Roman"/>
          <w:b/>
          <w:color w:val="auto"/>
          <w:w w:val="99"/>
          <w:sz w:val="32"/>
          <w:szCs w:val="32"/>
          <w:lang w:val="en-US" w:eastAsia="zh-CN"/>
        </w:rPr>
        <w:t>二</w:t>
      </w:r>
      <w:r>
        <w:rPr>
          <w:rFonts w:hint="eastAsia" w:ascii="楷体_GB2312" w:hAnsi="宋体" w:eastAsia="楷体_GB2312" w:cs="Times New Roman"/>
          <w:b/>
          <w:color w:val="auto"/>
          <w:w w:val="99"/>
          <w:sz w:val="32"/>
          <w:szCs w:val="32"/>
          <w:lang w:eastAsia="zh-CN"/>
        </w:rPr>
        <w:t>）</w:t>
      </w:r>
      <w:r>
        <w:rPr>
          <w:rFonts w:hint="eastAsia" w:ascii="楷体_GB2312" w:hAnsi="宋体" w:eastAsia="楷体_GB2312" w:cs="Times New Roman"/>
          <w:b/>
          <w:color w:val="auto"/>
          <w:w w:val="99"/>
          <w:sz w:val="32"/>
          <w:szCs w:val="32"/>
        </w:rPr>
        <w:t>存在的问题。</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一是在项目实施过程中，项目区大部分群众对占地补偿、附着物赔付等事项期望值较高，导致协调工作难度逐年加大，一定程度上增加和影响了项目正常的施工进度。</w:t>
      </w:r>
      <w:bookmarkStart w:id="94" w:name="_Toc99784188"/>
      <w:bookmarkStart w:id="95" w:name="_Toc185912586"/>
      <w:r>
        <w:rPr>
          <w:rFonts w:hint="eastAsia" w:ascii="仿宋_GB2312" w:hAnsi="仿宋_GB2312" w:eastAsia="仿宋_GB2312" w:cs="仿宋_GB2312"/>
          <w:color w:val="auto"/>
          <w:sz w:val="32"/>
          <w:szCs w:val="32"/>
          <w:lang w:eastAsia="zh-CN"/>
        </w:rPr>
        <w:t>由于群众对其根本目的认识不到位，致使工程进度缓慢；对群众的宣传引导不够深入，出现阻挠工程施工等现象；由于工程队施工、取土、运料进场等给当地老百姓造成一定的影响，并与乡政府承担的工作有交叉关系，致使施工单位与乡镇政府和老百姓在一些事情上纠缠不清，影响工程进度</w:t>
      </w:r>
      <w:bookmarkEnd w:id="94"/>
      <w:r>
        <w:rPr>
          <w:rFonts w:hint="eastAsia" w:ascii="仿宋_GB2312" w:hAnsi="仿宋_GB2312" w:eastAsia="仿宋_GB2312" w:cs="仿宋_GB2312"/>
          <w:color w:val="auto"/>
          <w:sz w:val="32"/>
          <w:szCs w:val="32"/>
          <w:lang w:eastAsia="zh-CN"/>
        </w:rPr>
        <w:t>。</w:t>
      </w:r>
      <w:bookmarkEnd w:id="95"/>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CN"/>
        </w:rPr>
        <w:t>部分项目未完成工程结算审计，按照项目管理规定，资金还不能全部拨付。</w:t>
      </w:r>
    </w:p>
    <w:p>
      <w:pPr>
        <w:numPr>
          <w:ilvl w:val="0"/>
          <w:numId w:val="11"/>
        </w:numPr>
        <w:spacing w:line="360" w:lineRule="auto"/>
        <w:ind w:left="0" w:leftChars="0"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相关建议。</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主要是适当延长开展项目绩效评价的期限。</w:t>
      </w:r>
      <w:r>
        <w:rPr>
          <w:rFonts w:hint="eastAsia" w:ascii="仿宋_GB2312" w:hAnsi="仿宋_GB2312" w:eastAsia="仿宋_GB2312" w:cs="仿宋_GB2312"/>
          <w:color w:val="auto"/>
          <w:sz w:val="32"/>
          <w:szCs w:val="32"/>
          <w:lang w:val="en-US" w:eastAsia="zh-CN"/>
        </w:rPr>
        <w:t>一个项目从下达任务，开始招投标，开展施工建设，完工后进行项目验收，到最后完成工程结算审计，一般需要2至3年的时间；而开展绩效评价一般是下达任务1年就开始，有时甚至是几个月就开始，时间太短。</w:t>
      </w:r>
    </w:p>
    <w:p>
      <w:pPr>
        <w:spacing w:line="580" w:lineRule="exact"/>
        <w:rPr>
          <w:rStyle w:val="27"/>
          <w:rFonts w:ascii="黑体" w:hAnsi="黑体" w:eastAsia="黑体"/>
          <w:b w:val="0"/>
          <w:color w:val="auto"/>
          <w:highlight w:val="none"/>
        </w:rPr>
      </w:pPr>
    </w:p>
    <w:p>
      <w:pPr>
        <w:widowControl/>
        <w:jc w:val="left"/>
        <w:rPr>
          <w:rStyle w:val="27"/>
          <w:rFonts w:ascii="黑体" w:hAnsi="黑体" w:eastAsia="黑体"/>
          <w:b w:val="0"/>
          <w:color w:val="auto"/>
          <w:highlight w:val="none"/>
        </w:rPr>
      </w:pPr>
      <w:r>
        <w:rPr>
          <w:rStyle w:val="27"/>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96" w:name="_Toc26642"/>
      <w:bookmarkStart w:id="97" w:name="_Toc15396618"/>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80"/>
      <w:bookmarkEnd w:id="96"/>
      <w:bookmarkEnd w:id="97"/>
      <w:bookmarkStart w:id="98" w:name="_Toc15396619"/>
    </w:p>
    <w:p>
      <w:pPr>
        <w:pStyle w:val="3"/>
        <w:rPr>
          <w:rFonts w:ascii="仿宋" w:hAnsi="仿宋" w:eastAsia="仿宋"/>
          <w:color w:val="auto"/>
          <w:highlight w:val="none"/>
        </w:rPr>
      </w:pPr>
      <w:bookmarkStart w:id="99" w:name="_Toc19568"/>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98"/>
      <w:bookmarkEnd w:id="99"/>
    </w:p>
    <w:p>
      <w:pPr>
        <w:pStyle w:val="3"/>
        <w:rPr>
          <w:rFonts w:ascii="仿宋" w:hAnsi="仿宋" w:eastAsia="仿宋"/>
          <w:color w:val="auto"/>
          <w:highlight w:val="none"/>
        </w:rPr>
      </w:pPr>
      <w:bookmarkStart w:id="100" w:name="_Toc8538"/>
      <w:bookmarkStart w:id="101"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00"/>
      <w:bookmarkEnd w:id="101"/>
    </w:p>
    <w:p>
      <w:pPr>
        <w:pStyle w:val="3"/>
        <w:rPr>
          <w:rFonts w:ascii="仿宋" w:hAnsi="仿宋" w:eastAsia="仿宋"/>
          <w:color w:val="auto"/>
          <w:highlight w:val="none"/>
        </w:rPr>
      </w:pPr>
      <w:bookmarkStart w:id="102" w:name="_Toc28798"/>
      <w:bookmarkStart w:id="103"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02"/>
      <w:bookmarkEnd w:id="103"/>
    </w:p>
    <w:p>
      <w:pPr>
        <w:pStyle w:val="3"/>
        <w:rPr>
          <w:rFonts w:ascii="仿宋" w:hAnsi="仿宋" w:eastAsia="仿宋"/>
          <w:b w:val="0"/>
          <w:color w:val="auto"/>
          <w:highlight w:val="none"/>
        </w:rPr>
      </w:pPr>
      <w:bookmarkStart w:id="104" w:name="_Toc23962"/>
      <w:bookmarkStart w:id="105"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4"/>
      <w:bookmarkEnd w:id="105"/>
    </w:p>
    <w:p>
      <w:pPr>
        <w:pStyle w:val="3"/>
        <w:rPr>
          <w:rStyle w:val="28"/>
          <w:rFonts w:ascii="仿宋" w:hAnsi="仿宋" w:eastAsia="仿宋"/>
          <w:b w:val="0"/>
          <w:bCs w:val="0"/>
          <w:color w:val="auto"/>
          <w:highlight w:val="none"/>
        </w:rPr>
      </w:pPr>
      <w:bookmarkStart w:id="106" w:name="_Toc31267"/>
      <w:bookmarkStart w:id="107"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6"/>
      <w:bookmarkEnd w:id="107"/>
      <w:bookmarkStart w:id="108" w:name="_Toc15396624"/>
    </w:p>
    <w:p>
      <w:pPr>
        <w:pStyle w:val="3"/>
        <w:rPr>
          <w:rFonts w:ascii="仿宋" w:hAnsi="仿宋" w:eastAsia="仿宋"/>
          <w:color w:val="auto"/>
          <w:highlight w:val="none"/>
        </w:rPr>
      </w:pPr>
      <w:bookmarkStart w:id="109" w:name="_Toc24222"/>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08"/>
      <w:bookmarkEnd w:id="109"/>
    </w:p>
    <w:p>
      <w:pPr>
        <w:pStyle w:val="3"/>
        <w:rPr>
          <w:rFonts w:ascii="仿宋" w:hAnsi="仿宋" w:eastAsia="仿宋"/>
          <w:color w:val="auto"/>
          <w:highlight w:val="none"/>
        </w:rPr>
      </w:pPr>
      <w:bookmarkStart w:id="110" w:name="_Toc4568"/>
      <w:bookmarkStart w:id="111"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10"/>
      <w:bookmarkEnd w:id="111"/>
    </w:p>
    <w:p>
      <w:pPr>
        <w:pStyle w:val="3"/>
        <w:rPr>
          <w:rFonts w:ascii="仿宋" w:hAnsi="仿宋" w:eastAsia="仿宋"/>
          <w:color w:val="auto"/>
          <w:highlight w:val="none"/>
        </w:rPr>
      </w:pPr>
      <w:bookmarkStart w:id="112" w:name="_Toc26970"/>
      <w:bookmarkStart w:id="113"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12"/>
      <w:bookmarkEnd w:id="113"/>
    </w:p>
    <w:p>
      <w:pPr>
        <w:pStyle w:val="3"/>
        <w:rPr>
          <w:rFonts w:ascii="仿宋" w:hAnsi="仿宋" w:eastAsia="仿宋"/>
          <w:color w:val="auto"/>
          <w:highlight w:val="none"/>
        </w:rPr>
      </w:pPr>
      <w:bookmarkStart w:id="114" w:name="_Toc5558"/>
      <w:bookmarkStart w:id="115"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4"/>
      <w:bookmarkEnd w:id="115"/>
    </w:p>
    <w:p>
      <w:pPr>
        <w:pStyle w:val="3"/>
        <w:rPr>
          <w:rFonts w:ascii="仿宋" w:hAnsi="仿宋" w:eastAsia="仿宋"/>
          <w:color w:val="auto"/>
          <w:highlight w:val="none"/>
        </w:rPr>
      </w:pPr>
      <w:bookmarkStart w:id="116" w:name="_Toc15396628"/>
      <w:bookmarkStart w:id="117" w:name="_Toc9385"/>
      <w:r>
        <w:rPr>
          <w:rStyle w:val="28"/>
          <w:rFonts w:hint="eastAsia" w:ascii="仿宋" w:hAnsi="仿宋" w:eastAsia="仿宋"/>
          <w:b w:val="0"/>
          <w:bCs w:val="0"/>
          <w:color w:val="auto"/>
          <w:highlight w:val="none"/>
        </w:rPr>
        <w:t>十、</w:t>
      </w:r>
      <w:bookmarkEnd w:id="116"/>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7"/>
    </w:p>
    <w:p>
      <w:pPr>
        <w:pStyle w:val="3"/>
        <w:rPr>
          <w:rFonts w:ascii="仿宋" w:hAnsi="仿宋" w:eastAsia="仿宋"/>
          <w:color w:val="auto"/>
          <w:highlight w:val="none"/>
        </w:rPr>
      </w:pPr>
      <w:bookmarkStart w:id="118" w:name="_Toc15396629"/>
      <w:bookmarkStart w:id="119" w:name="_Toc30126"/>
      <w:r>
        <w:rPr>
          <w:rStyle w:val="28"/>
          <w:rFonts w:hint="eastAsia" w:ascii="仿宋" w:hAnsi="仿宋" w:eastAsia="仿宋"/>
          <w:b w:val="0"/>
          <w:bCs w:val="0"/>
          <w:color w:val="auto"/>
          <w:highlight w:val="none"/>
        </w:rPr>
        <w:t>十一、</w:t>
      </w:r>
      <w:bookmarkEnd w:id="118"/>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19"/>
    </w:p>
    <w:p>
      <w:pPr>
        <w:pStyle w:val="3"/>
        <w:rPr>
          <w:rFonts w:ascii="仿宋" w:hAnsi="仿宋" w:eastAsia="仿宋"/>
          <w:color w:val="auto"/>
          <w:highlight w:val="none"/>
        </w:rPr>
      </w:pPr>
      <w:bookmarkStart w:id="120" w:name="_Toc15396630"/>
      <w:bookmarkStart w:id="121" w:name="_Toc6964"/>
      <w:r>
        <w:rPr>
          <w:rStyle w:val="28"/>
          <w:rFonts w:hint="eastAsia" w:ascii="仿宋" w:hAnsi="仿宋" w:eastAsia="仿宋"/>
          <w:b w:val="0"/>
          <w:bCs w:val="0"/>
          <w:color w:val="auto"/>
          <w:highlight w:val="none"/>
        </w:rPr>
        <w:t>十二、</w:t>
      </w:r>
      <w:bookmarkEnd w:id="120"/>
      <w:r>
        <w:rPr>
          <w:rStyle w:val="28"/>
          <w:rFonts w:hint="eastAsia" w:ascii="仿宋" w:hAnsi="仿宋" w:eastAsia="仿宋"/>
          <w:b w:val="0"/>
          <w:bCs w:val="0"/>
          <w:color w:val="auto"/>
          <w:highlight w:val="none"/>
          <w:lang w:eastAsia="zh-CN"/>
        </w:rPr>
        <w:t>国有资本经营预算财政拨款支出决算表</w:t>
      </w:r>
      <w:bookmarkEnd w:id="121"/>
    </w:p>
    <w:p>
      <w:pPr>
        <w:pStyle w:val="3"/>
        <w:rPr>
          <w:rFonts w:hint="eastAsia" w:eastAsia="仿宋"/>
          <w:color w:val="auto"/>
          <w:highlight w:val="none"/>
          <w:lang w:eastAsia="zh-CN"/>
        </w:rPr>
      </w:pPr>
      <w:bookmarkStart w:id="122" w:name="_Toc15396631"/>
      <w:bookmarkStart w:id="123" w:name="_Toc27222"/>
      <w:r>
        <w:rPr>
          <w:rStyle w:val="28"/>
          <w:rFonts w:hint="eastAsia" w:ascii="仿宋" w:hAnsi="仿宋" w:eastAsia="仿宋"/>
          <w:b w:val="0"/>
          <w:bCs w:val="0"/>
          <w:color w:val="auto"/>
          <w:highlight w:val="none"/>
        </w:rPr>
        <w:t>十三、</w:t>
      </w:r>
      <w:bookmarkEnd w:id="122"/>
      <w:r>
        <w:rPr>
          <w:rStyle w:val="28"/>
          <w:rFonts w:hint="eastAsia" w:ascii="仿宋" w:hAnsi="仿宋" w:eastAsia="仿宋"/>
          <w:b w:val="0"/>
          <w:bCs w:val="0"/>
          <w:color w:val="auto"/>
          <w:highlight w:val="none"/>
          <w:lang w:eastAsia="zh-CN"/>
        </w:rPr>
        <w:t>财政拨款“三公”经费支出决算表</w:t>
      </w:r>
      <w:bookmarkEnd w:id="12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简体">
    <w:altName w:val="宋体"/>
    <w:panose1 w:val="02010601030101010101"/>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0A49"/>
    <w:multiLevelType w:val="singleLevel"/>
    <w:tmpl w:val="B6080A49"/>
    <w:lvl w:ilvl="0" w:tentative="0">
      <w:start w:val="2"/>
      <w:numFmt w:val="chineseCounting"/>
      <w:suff w:val="nothing"/>
      <w:lvlText w:val="（%1）"/>
      <w:lvlJc w:val="left"/>
      <w:rPr>
        <w:rFonts w:hint="eastAsia"/>
        <w:b/>
        <w:bCs/>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0FF82AE"/>
    <w:multiLevelType w:val="singleLevel"/>
    <w:tmpl w:val="F0FF82AE"/>
    <w:lvl w:ilvl="0" w:tentative="0">
      <w:start w:val="2"/>
      <w:numFmt w:val="decimal"/>
      <w:suff w:val="nothing"/>
      <w:lvlText w:val="%1．"/>
      <w:lvlJc w:val="left"/>
    </w:lvl>
  </w:abstractNum>
  <w:abstractNum w:abstractNumId="5">
    <w:nsid w:val="F2F302B9"/>
    <w:multiLevelType w:val="singleLevel"/>
    <w:tmpl w:val="F2F302B9"/>
    <w:lvl w:ilvl="0" w:tentative="0">
      <w:start w:val="1"/>
      <w:numFmt w:val="chineseCounting"/>
      <w:suff w:val="nothing"/>
      <w:lvlText w:val="%1、"/>
      <w:lvlJc w:val="left"/>
      <w:rPr>
        <w:rFonts w:hint="eastAsia"/>
      </w:rPr>
    </w:lvl>
  </w:abstractNum>
  <w:abstractNum w:abstractNumId="6">
    <w:nsid w:val="FFF674BC"/>
    <w:multiLevelType w:val="singleLevel"/>
    <w:tmpl w:val="FFF674BC"/>
    <w:lvl w:ilvl="0" w:tentative="0">
      <w:start w:val="1"/>
      <w:numFmt w:val="chineseCounting"/>
      <w:suff w:val="nothing"/>
      <w:lvlText w:val="%1、"/>
      <w:lvlJc w:val="left"/>
      <w:rPr>
        <w:rFonts w:hint="eastAsia"/>
      </w:rPr>
    </w:lvl>
  </w:abstractNum>
  <w:abstractNum w:abstractNumId="7">
    <w:nsid w:val="10D3CCE8"/>
    <w:multiLevelType w:val="singleLevel"/>
    <w:tmpl w:val="10D3CCE8"/>
    <w:lvl w:ilvl="0" w:tentative="0">
      <w:start w:val="1"/>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6FA8779"/>
    <w:multiLevelType w:val="singleLevel"/>
    <w:tmpl w:val="26FA8779"/>
    <w:lvl w:ilvl="0" w:tentative="0">
      <w:start w:val="2"/>
      <w:numFmt w:val="chineseCounting"/>
      <w:suff w:val="nothing"/>
      <w:lvlText w:val="（%1）"/>
      <w:lvlJc w:val="left"/>
      <w:rPr>
        <w:rFonts w:hint="eastAsia"/>
      </w:rPr>
    </w:lvl>
  </w:abstractNum>
  <w:abstractNum w:abstractNumId="10">
    <w:nsid w:val="3067F12D"/>
    <w:multiLevelType w:val="singleLevel"/>
    <w:tmpl w:val="3067F12D"/>
    <w:lvl w:ilvl="0" w:tentative="0">
      <w:start w:val="2"/>
      <w:numFmt w:val="chineseCounting"/>
      <w:suff w:val="nothing"/>
      <w:lvlText w:val="（%1）"/>
      <w:lvlJc w:val="left"/>
      <w:rPr>
        <w:rFonts w:hint="eastAsia"/>
      </w:rPr>
    </w:lvl>
  </w:abstractNum>
  <w:num w:numId="1">
    <w:abstractNumId w:val="5"/>
  </w:num>
  <w:num w:numId="2">
    <w:abstractNumId w:val="8"/>
  </w:num>
  <w:num w:numId="3">
    <w:abstractNumId w:val="1"/>
  </w:num>
  <w:num w:numId="4">
    <w:abstractNumId w:val="3"/>
  </w:num>
  <w:num w:numId="5">
    <w:abstractNumId w:val="6"/>
  </w:num>
  <w:num w:numId="6">
    <w:abstractNumId w:val="7"/>
  </w:num>
  <w:num w:numId="7">
    <w:abstractNumId w:val="2"/>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2561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3F4"/>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6C6F"/>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B5A1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7E6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59EB"/>
    <w:rsid w:val="00F81FD9"/>
    <w:rsid w:val="00F841AA"/>
    <w:rsid w:val="00F84A94"/>
    <w:rsid w:val="00F87E96"/>
    <w:rsid w:val="00FA23E8"/>
    <w:rsid w:val="00FD3CC1"/>
    <w:rsid w:val="00FF1E02"/>
    <w:rsid w:val="00FF30B4"/>
    <w:rsid w:val="0100390C"/>
    <w:rsid w:val="015975B8"/>
    <w:rsid w:val="018207C5"/>
    <w:rsid w:val="01A249C3"/>
    <w:rsid w:val="01FB0577"/>
    <w:rsid w:val="02117D9A"/>
    <w:rsid w:val="02143E91"/>
    <w:rsid w:val="02704AC1"/>
    <w:rsid w:val="02FC45A7"/>
    <w:rsid w:val="03190CB5"/>
    <w:rsid w:val="03455F4E"/>
    <w:rsid w:val="039667A9"/>
    <w:rsid w:val="04B36EE7"/>
    <w:rsid w:val="04F512AE"/>
    <w:rsid w:val="04FC6AE0"/>
    <w:rsid w:val="05241B93"/>
    <w:rsid w:val="05242382"/>
    <w:rsid w:val="05597A8E"/>
    <w:rsid w:val="056337B3"/>
    <w:rsid w:val="05C23886"/>
    <w:rsid w:val="066E0107"/>
    <w:rsid w:val="06932D0E"/>
    <w:rsid w:val="076F3599"/>
    <w:rsid w:val="078D1C71"/>
    <w:rsid w:val="0797489E"/>
    <w:rsid w:val="07996F6E"/>
    <w:rsid w:val="07B92A66"/>
    <w:rsid w:val="07F27D26"/>
    <w:rsid w:val="07F85586"/>
    <w:rsid w:val="087D3A94"/>
    <w:rsid w:val="089A0A5C"/>
    <w:rsid w:val="08C97472"/>
    <w:rsid w:val="09BA4874"/>
    <w:rsid w:val="0A2032A3"/>
    <w:rsid w:val="0A261F09"/>
    <w:rsid w:val="0A3B3C06"/>
    <w:rsid w:val="0A6A629A"/>
    <w:rsid w:val="0AD656DD"/>
    <w:rsid w:val="0B1C57E6"/>
    <w:rsid w:val="0B5E54A2"/>
    <w:rsid w:val="0B7F5D75"/>
    <w:rsid w:val="0B867103"/>
    <w:rsid w:val="0C0C12FB"/>
    <w:rsid w:val="0C2D57D1"/>
    <w:rsid w:val="0C6311F3"/>
    <w:rsid w:val="0CAC0DEC"/>
    <w:rsid w:val="0CAE6912"/>
    <w:rsid w:val="0D110C4F"/>
    <w:rsid w:val="0D7C256C"/>
    <w:rsid w:val="0D927FE1"/>
    <w:rsid w:val="0D95362E"/>
    <w:rsid w:val="0DE16873"/>
    <w:rsid w:val="0E1529C0"/>
    <w:rsid w:val="0E2826F4"/>
    <w:rsid w:val="0E7B0A75"/>
    <w:rsid w:val="0E9953A0"/>
    <w:rsid w:val="0EAC50D3"/>
    <w:rsid w:val="0F1D1B2D"/>
    <w:rsid w:val="0F98263C"/>
    <w:rsid w:val="0FE268D2"/>
    <w:rsid w:val="10044A9B"/>
    <w:rsid w:val="101860EC"/>
    <w:rsid w:val="104355C3"/>
    <w:rsid w:val="106F63B8"/>
    <w:rsid w:val="108856CC"/>
    <w:rsid w:val="10C055FF"/>
    <w:rsid w:val="10F16DCD"/>
    <w:rsid w:val="11365128"/>
    <w:rsid w:val="118107EC"/>
    <w:rsid w:val="11A13318"/>
    <w:rsid w:val="11D02E86"/>
    <w:rsid w:val="121D3BF2"/>
    <w:rsid w:val="121F3E0E"/>
    <w:rsid w:val="12350BBF"/>
    <w:rsid w:val="12606625"/>
    <w:rsid w:val="127E0B34"/>
    <w:rsid w:val="12BE53D5"/>
    <w:rsid w:val="12C329EB"/>
    <w:rsid w:val="13076D7C"/>
    <w:rsid w:val="130C4392"/>
    <w:rsid w:val="13A97E33"/>
    <w:rsid w:val="13D36C5E"/>
    <w:rsid w:val="13D50BC4"/>
    <w:rsid w:val="13EE1CEA"/>
    <w:rsid w:val="14DF4838"/>
    <w:rsid w:val="157E0E4B"/>
    <w:rsid w:val="157E709D"/>
    <w:rsid w:val="1686445B"/>
    <w:rsid w:val="16BB723D"/>
    <w:rsid w:val="17681DB3"/>
    <w:rsid w:val="177B3894"/>
    <w:rsid w:val="18187335"/>
    <w:rsid w:val="1844012A"/>
    <w:rsid w:val="188D1AD1"/>
    <w:rsid w:val="18DA0A8E"/>
    <w:rsid w:val="199C5D44"/>
    <w:rsid w:val="19CC487B"/>
    <w:rsid w:val="1A2B77F4"/>
    <w:rsid w:val="1A3D12D5"/>
    <w:rsid w:val="1A78055F"/>
    <w:rsid w:val="1A845156"/>
    <w:rsid w:val="1A8B64E4"/>
    <w:rsid w:val="1A9A04D5"/>
    <w:rsid w:val="1B065B6B"/>
    <w:rsid w:val="1BE22134"/>
    <w:rsid w:val="1BE8440E"/>
    <w:rsid w:val="1BF9747E"/>
    <w:rsid w:val="1C4E5A1B"/>
    <w:rsid w:val="1C6012AB"/>
    <w:rsid w:val="1C654B13"/>
    <w:rsid w:val="1CEB326A"/>
    <w:rsid w:val="1D155CEE"/>
    <w:rsid w:val="1D230C56"/>
    <w:rsid w:val="1D8F1E47"/>
    <w:rsid w:val="1DA33B45"/>
    <w:rsid w:val="1DB16262"/>
    <w:rsid w:val="1DCC309C"/>
    <w:rsid w:val="1E0D5462"/>
    <w:rsid w:val="1E401394"/>
    <w:rsid w:val="1EED151B"/>
    <w:rsid w:val="1EFA3C38"/>
    <w:rsid w:val="1EFF2FFD"/>
    <w:rsid w:val="1F071EB1"/>
    <w:rsid w:val="1F2111C5"/>
    <w:rsid w:val="1F745799"/>
    <w:rsid w:val="1FB65DB1"/>
    <w:rsid w:val="1FC14756"/>
    <w:rsid w:val="1FF35744"/>
    <w:rsid w:val="20020FF7"/>
    <w:rsid w:val="20A51982"/>
    <w:rsid w:val="20A976C4"/>
    <w:rsid w:val="20CF69FF"/>
    <w:rsid w:val="21025026"/>
    <w:rsid w:val="21130FE1"/>
    <w:rsid w:val="21837F15"/>
    <w:rsid w:val="222039B6"/>
    <w:rsid w:val="2221328A"/>
    <w:rsid w:val="223631D9"/>
    <w:rsid w:val="23130E25"/>
    <w:rsid w:val="23243032"/>
    <w:rsid w:val="23860B96"/>
    <w:rsid w:val="23865A9B"/>
    <w:rsid w:val="23AD1279"/>
    <w:rsid w:val="240371BF"/>
    <w:rsid w:val="241906BD"/>
    <w:rsid w:val="24286B52"/>
    <w:rsid w:val="246C2EE2"/>
    <w:rsid w:val="2483647E"/>
    <w:rsid w:val="252C4420"/>
    <w:rsid w:val="25585215"/>
    <w:rsid w:val="25836610"/>
    <w:rsid w:val="26655E3B"/>
    <w:rsid w:val="26D20F15"/>
    <w:rsid w:val="273677D8"/>
    <w:rsid w:val="273F48DE"/>
    <w:rsid w:val="27741C91"/>
    <w:rsid w:val="286839C1"/>
    <w:rsid w:val="289724F8"/>
    <w:rsid w:val="289C366A"/>
    <w:rsid w:val="291E0523"/>
    <w:rsid w:val="296A3769"/>
    <w:rsid w:val="296F0D7F"/>
    <w:rsid w:val="29A22F02"/>
    <w:rsid w:val="29A70519"/>
    <w:rsid w:val="29B91F93"/>
    <w:rsid w:val="29C235A5"/>
    <w:rsid w:val="29D07A70"/>
    <w:rsid w:val="29EB48A9"/>
    <w:rsid w:val="29FD04D3"/>
    <w:rsid w:val="29FF65A7"/>
    <w:rsid w:val="2A473AAA"/>
    <w:rsid w:val="2A77613D"/>
    <w:rsid w:val="2BBA09D7"/>
    <w:rsid w:val="2BFF63EA"/>
    <w:rsid w:val="2C1520B2"/>
    <w:rsid w:val="2C8A61B5"/>
    <w:rsid w:val="2CF03F85"/>
    <w:rsid w:val="2CF75313"/>
    <w:rsid w:val="2D102879"/>
    <w:rsid w:val="2D2D342B"/>
    <w:rsid w:val="2DF04E50"/>
    <w:rsid w:val="2DF857E7"/>
    <w:rsid w:val="2F040D46"/>
    <w:rsid w:val="2F7013AD"/>
    <w:rsid w:val="31684A32"/>
    <w:rsid w:val="319F7F4E"/>
    <w:rsid w:val="31A16155"/>
    <w:rsid w:val="31AD68E8"/>
    <w:rsid w:val="320F75A3"/>
    <w:rsid w:val="324E3C27"/>
    <w:rsid w:val="3304709D"/>
    <w:rsid w:val="3364747B"/>
    <w:rsid w:val="339715FE"/>
    <w:rsid w:val="33D97E69"/>
    <w:rsid w:val="33F141E5"/>
    <w:rsid w:val="33FE167D"/>
    <w:rsid w:val="33FE4808"/>
    <w:rsid w:val="34367069"/>
    <w:rsid w:val="348E2A01"/>
    <w:rsid w:val="34A11EC2"/>
    <w:rsid w:val="34BD5094"/>
    <w:rsid w:val="350727B3"/>
    <w:rsid w:val="353F3CFB"/>
    <w:rsid w:val="35E14DB3"/>
    <w:rsid w:val="36730100"/>
    <w:rsid w:val="36AA5135"/>
    <w:rsid w:val="376D39B2"/>
    <w:rsid w:val="37757EA8"/>
    <w:rsid w:val="37C31F61"/>
    <w:rsid w:val="37E16F03"/>
    <w:rsid w:val="37FF59C4"/>
    <w:rsid w:val="38066D52"/>
    <w:rsid w:val="387D5266"/>
    <w:rsid w:val="3894610C"/>
    <w:rsid w:val="38D469F0"/>
    <w:rsid w:val="39290F4A"/>
    <w:rsid w:val="39730417"/>
    <w:rsid w:val="39822409"/>
    <w:rsid w:val="39A131D7"/>
    <w:rsid w:val="3A105C66"/>
    <w:rsid w:val="3A1219DE"/>
    <w:rsid w:val="3A241712"/>
    <w:rsid w:val="3A39340F"/>
    <w:rsid w:val="3A8A1F72"/>
    <w:rsid w:val="3AB72586"/>
    <w:rsid w:val="3B27770B"/>
    <w:rsid w:val="3B3360B0"/>
    <w:rsid w:val="3B424545"/>
    <w:rsid w:val="3B8B0D18"/>
    <w:rsid w:val="3BA7203F"/>
    <w:rsid w:val="3BD17677"/>
    <w:rsid w:val="3BFC46F4"/>
    <w:rsid w:val="3C067321"/>
    <w:rsid w:val="3C300842"/>
    <w:rsid w:val="3C7F70D3"/>
    <w:rsid w:val="3C8A1D00"/>
    <w:rsid w:val="3CBD0327"/>
    <w:rsid w:val="3D0D46DF"/>
    <w:rsid w:val="3D874491"/>
    <w:rsid w:val="3D98207C"/>
    <w:rsid w:val="3DA52B6A"/>
    <w:rsid w:val="3E2E2B5F"/>
    <w:rsid w:val="3E78745D"/>
    <w:rsid w:val="3EE85404"/>
    <w:rsid w:val="3F0044FB"/>
    <w:rsid w:val="3F43088C"/>
    <w:rsid w:val="3F5B5BD6"/>
    <w:rsid w:val="3F696545"/>
    <w:rsid w:val="3FD40F4B"/>
    <w:rsid w:val="3FFF47B3"/>
    <w:rsid w:val="403E177F"/>
    <w:rsid w:val="405D772B"/>
    <w:rsid w:val="40721429"/>
    <w:rsid w:val="408A49C4"/>
    <w:rsid w:val="409A0980"/>
    <w:rsid w:val="41652D3C"/>
    <w:rsid w:val="41BD2B78"/>
    <w:rsid w:val="41CC4B69"/>
    <w:rsid w:val="41F63994"/>
    <w:rsid w:val="41FF1EED"/>
    <w:rsid w:val="421B789E"/>
    <w:rsid w:val="42B44B9E"/>
    <w:rsid w:val="42CF2B62"/>
    <w:rsid w:val="42D737C5"/>
    <w:rsid w:val="430F11B1"/>
    <w:rsid w:val="4374370A"/>
    <w:rsid w:val="440F51E1"/>
    <w:rsid w:val="4436276D"/>
    <w:rsid w:val="444255B6"/>
    <w:rsid w:val="44BE2E8F"/>
    <w:rsid w:val="44E268DA"/>
    <w:rsid w:val="451E1B7F"/>
    <w:rsid w:val="451E56DB"/>
    <w:rsid w:val="45806396"/>
    <w:rsid w:val="45912351"/>
    <w:rsid w:val="459E4A6E"/>
    <w:rsid w:val="45E701C3"/>
    <w:rsid w:val="460A3EB2"/>
    <w:rsid w:val="4688639A"/>
    <w:rsid w:val="4698770F"/>
    <w:rsid w:val="46A95479"/>
    <w:rsid w:val="46E2098A"/>
    <w:rsid w:val="47501D98"/>
    <w:rsid w:val="47D12ED9"/>
    <w:rsid w:val="47F210A1"/>
    <w:rsid w:val="4812529F"/>
    <w:rsid w:val="48847F4B"/>
    <w:rsid w:val="48B30830"/>
    <w:rsid w:val="48BC5937"/>
    <w:rsid w:val="48C42A3E"/>
    <w:rsid w:val="494B6CBB"/>
    <w:rsid w:val="495C67D2"/>
    <w:rsid w:val="497A75A0"/>
    <w:rsid w:val="49900B72"/>
    <w:rsid w:val="49A60395"/>
    <w:rsid w:val="49B93C25"/>
    <w:rsid w:val="4A2409E6"/>
    <w:rsid w:val="4A3E05CE"/>
    <w:rsid w:val="4A4756D4"/>
    <w:rsid w:val="4A627F82"/>
    <w:rsid w:val="4A7A18F2"/>
    <w:rsid w:val="4A8E50B1"/>
    <w:rsid w:val="4A9621B8"/>
    <w:rsid w:val="4AB663B6"/>
    <w:rsid w:val="4ABB1C1E"/>
    <w:rsid w:val="4B0E749A"/>
    <w:rsid w:val="4B447E66"/>
    <w:rsid w:val="4B4F25DA"/>
    <w:rsid w:val="4B5160DF"/>
    <w:rsid w:val="4B9A7A86"/>
    <w:rsid w:val="4B9F509C"/>
    <w:rsid w:val="4BB750D4"/>
    <w:rsid w:val="4BE068DB"/>
    <w:rsid w:val="4C1A4723"/>
    <w:rsid w:val="4C207F8B"/>
    <w:rsid w:val="4C2D08FA"/>
    <w:rsid w:val="4C2D26A8"/>
    <w:rsid w:val="4C883D82"/>
    <w:rsid w:val="4CBA03DF"/>
    <w:rsid w:val="4D111FCA"/>
    <w:rsid w:val="4D577224"/>
    <w:rsid w:val="4D5C3245"/>
    <w:rsid w:val="4D6D5452"/>
    <w:rsid w:val="4DB940B2"/>
    <w:rsid w:val="4E21623C"/>
    <w:rsid w:val="4E25355A"/>
    <w:rsid w:val="4E487C6D"/>
    <w:rsid w:val="4E547486"/>
    <w:rsid w:val="4E992277"/>
    <w:rsid w:val="4EAB630A"/>
    <w:rsid w:val="4ECE2238"/>
    <w:rsid w:val="4F691C49"/>
    <w:rsid w:val="4F774384"/>
    <w:rsid w:val="4F9C201E"/>
    <w:rsid w:val="501716A5"/>
    <w:rsid w:val="50615016"/>
    <w:rsid w:val="50DB6B76"/>
    <w:rsid w:val="50FD6AED"/>
    <w:rsid w:val="5201260D"/>
    <w:rsid w:val="523D116B"/>
    <w:rsid w:val="524D5852"/>
    <w:rsid w:val="526A01B2"/>
    <w:rsid w:val="526F57C8"/>
    <w:rsid w:val="52B0193D"/>
    <w:rsid w:val="53081779"/>
    <w:rsid w:val="53503D5C"/>
    <w:rsid w:val="537A08C9"/>
    <w:rsid w:val="537E6D0A"/>
    <w:rsid w:val="539354E6"/>
    <w:rsid w:val="544113E6"/>
    <w:rsid w:val="54501031"/>
    <w:rsid w:val="546000A4"/>
    <w:rsid w:val="54612935"/>
    <w:rsid w:val="54755CE7"/>
    <w:rsid w:val="54947768"/>
    <w:rsid w:val="54E104D3"/>
    <w:rsid w:val="55273856"/>
    <w:rsid w:val="55911EF9"/>
    <w:rsid w:val="5673166F"/>
    <w:rsid w:val="56E85B49"/>
    <w:rsid w:val="56FB3ACE"/>
    <w:rsid w:val="576C677A"/>
    <w:rsid w:val="57F64296"/>
    <w:rsid w:val="585316E8"/>
    <w:rsid w:val="587D0513"/>
    <w:rsid w:val="59036C6A"/>
    <w:rsid w:val="59DF45AE"/>
    <w:rsid w:val="59EF5441"/>
    <w:rsid w:val="5A117165"/>
    <w:rsid w:val="5A6220B6"/>
    <w:rsid w:val="5AF92295"/>
    <w:rsid w:val="5B5A2D8E"/>
    <w:rsid w:val="5B631C42"/>
    <w:rsid w:val="5B773940"/>
    <w:rsid w:val="5B81656C"/>
    <w:rsid w:val="5C7F2AAC"/>
    <w:rsid w:val="5C9127DF"/>
    <w:rsid w:val="5CD71FC4"/>
    <w:rsid w:val="5DAD7A63"/>
    <w:rsid w:val="5DC50992"/>
    <w:rsid w:val="5DCF35BF"/>
    <w:rsid w:val="5DDC3F2E"/>
    <w:rsid w:val="5E082F75"/>
    <w:rsid w:val="5EB50A07"/>
    <w:rsid w:val="5EF05EE3"/>
    <w:rsid w:val="5F1D65AC"/>
    <w:rsid w:val="5F5E109E"/>
    <w:rsid w:val="5FEC48FC"/>
    <w:rsid w:val="5FF6457D"/>
    <w:rsid w:val="5FFE018B"/>
    <w:rsid w:val="600F05EB"/>
    <w:rsid w:val="60805044"/>
    <w:rsid w:val="60FF065F"/>
    <w:rsid w:val="6155202D"/>
    <w:rsid w:val="61695AD8"/>
    <w:rsid w:val="616D381B"/>
    <w:rsid w:val="61DF3FED"/>
    <w:rsid w:val="62EF025F"/>
    <w:rsid w:val="636C18B0"/>
    <w:rsid w:val="63911317"/>
    <w:rsid w:val="63FE4BFE"/>
    <w:rsid w:val="64542A70"/>
    <w:rsid w:val="64A05CB5"/>
    <w:rsid w:val="64A5151D"/>
    <w:rsid w:val="64EF2799"/>
    <w:rsid w:val="65A73073"/>
    <w:rsid w:val="660404C6"/>
    <w:rsid w:val="66081D64"/>
    <w:rsid w:val="6612673F"/>
    <w:rsid w:val="662841B4"/>
    <w:rsid w:val="66C67529"/>
    <w:rsid w:val="66E75E1D"/>
    <w:rsid w:val="670F7122"/>
    <w:rsid w:val="6848469A"/>
    <w:rsid w:val="687E630D"/>
    <w:rsid w:val="68815DFE"/>
    <w:rsid w:val="69020CEC"/>
    <w:rsid w:val="692C5D69"/>
    <w:rsid w:val="69DB153D"/>
    <w:rsid w:val="69E46644"/>
    <w:rsid w:val="69F06D97"/>
    <w:rsid w:val="6A184540"/>
    <w:rsid w:val="6A1D1B56"/>
    <w:rsid w:val="6A8D2838"/>
    <w:rsid w:val="6AA63F92"/>
    <w:rsid w:val="6AD22940"/>
    <w:rsid w:val="6AF723A7"/>
    <w:rsid w:val="6B785296"/>
    <w:rsid w:val="6C3118E9"/>
    <w:rsid w:val="6C4A05C8"/>
    <w:rsid w:val="6C8E2897"/>
    <w:rsid w:val="6CD96208"/>
    <w:rsid w:val="6D0D7C60"/>
    <w:rsid w:val="6D266F73"/>
    <w:rsid w:val="6D413DAD"/>
    <w:rsid w:val="6D4573FA"/>
    <w:rsid w:val="6D673814"/>
    <w:rsid w:val="6D7E0B5E"/>
    <w:rsid w:val="6D8A7502"/>
    <w:rsid w:val="6E5F44EB"/>
    <w:rsid w:val="6E623FDB"/>
    <w:rsid w:val="6E7E3605"/>
    <w:rsid w:val="6E9D3265"/>
    <w:rsid w:val="6EB56801"/>
    <w:rsid w:val="6F806E0F"/>
    <w:rsid w:val="6F9603E0"/>
    <w:rsid w:val="6FF5CC65"/>
    <w:rsid w:val="703F45D4"/>
    <w:rsid w:val="70741DA4"/>
    <w:rsid w:val="70B86135"/>
    <w:rsid w:val="711A6DEF"/>
    <w:rsid w:val="715C0E4B"/>
    <w:rsid w:val="71600CA6"/>
    <w:rsid w:val="717464FF"/>
    <w:rsid w:val="71950224"/>
    <w:rsid w:val="71CA25C3"/>
    <w:rsid w:val="71F47640"/>
    <w:rsid w:val="720A0C12"/>
    <w:rsid w:val="72734D90"/>
    <w:rsid w:val="727662A7"/>
    <w:rsid w:val="731C41B1"/>
    <w:rsid w:val="7363682B"/>
    <w:rsid w:val="73691968"/>
    <w:rsid w:val="7395275D"/>
    <w:rsid w:val="73AD73D5"/>
    <w:rsid w:val="73B6EB34"/>
    <w:rsid w:val="744731E5"/>
    <w:rsid w:val="7447614D"/>
    <w:rsid w:val="748719CF"/>
    <w:rsid w:val="749649DF"/>
    <w:rsid w:val="74C72DEA"/>
    <w:rsid w:val="74DD43BC"/>
    <w:rsid w:val="74F02341"/>
    <w:rsid w:val="75864A53"/>
    <w:rsid w:val="75C45096"/>
    <w:rsid w:val="76592168"/>
    <w:rsid w:val="76944F4E"/>
    <w:rsid w:val="76C770D1"/>
    <w:rsid w:val="76E3355F"/>
    <w:rsid w:val="773A5AF5"/>
    <w:rsid w:val="77782277"/>
    <w:rsid w:val="777A2396"/>
    <w:rsid w:val="778769C8"/>
    <w:rsid w:val="78782D79"/>
    <w:rsid w:val="78C87131"/>
    <w:rsid w:val="79132AA2"/>
    <w:rsid w:val="792151BF"/>
    <w:rsid w:val="79DC7338"/>
    <w:rsid w:val="79EE5BA4"/>
    <w:rsid w:val="79F0693F"/>
    <w:rsid w:val="7A04063C"/>
    <w:rsid w:val="7A894339"/>
    <w:rsid w:val="7ADD5115"/>
    <w:rsid w:val="7AE2272C"/>
    <w:rsid w:val="7B5D37BF"/>
    <w:rsid w:val="7B7F441F"/>
    <w:rsid w:val="7B8C6B3B"/>
    <w:rsid w:val="7BA45C33"/>
    <w:rsid w:val="7C751C73"/>
    <w:rsid w:val="7C7C270C"/>
    <w:rsid w:val="7CA12173"/>
    <w:rsid w:val="7D254B52"/>
    <w:rsid w:val="7E6B0C8A"/>
    <w:rsid w:val="7E9F0934"/>
    <w:rsid w:val="7EEF11D3"/>
    <w:rsid w:val="7F25708B"/>
    <w:rsid w:val="7F853FCE"/>
    <w:rsid w:val="7FA30C79"/>
    <w:rsid w:val="7FAC155A"/>
    <w:rsid w:val="7FB7269E"/>
    <w:rsid w:val="7FC96657"/>
    <w:rsid w:val="D8D6DB89"/>
    <w:rsid w:val="DB6F4CAB"/>
    <w:rsid w:val="DF6F9789"/>
    <w:rsid w:val="E7BF6F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next w:val="1"/>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4">
    <w:name w:val="font21"/>
    <w:basedOn w:val="15"/>
    <w:qFormat/>
    <w:uiPriority w:val="0"/>
    <w:rPr>
      <w:rFonts w:hint="eastAsia" w:ascii="宋体" w:hAnsi="宋体" w:eastAsia="宋体" w:cs="宋体"/>
      <w:color w:val="000000"/>
      <w:sz w:val="24"/>
      <w:szCs w:val="24"/>
      <w:u w:val="none"/>
    </w:rPr>
  </w:style>
  <w:style w:type="character" w:customStyle="1" w:styleId="35">
    <w:name w:val="font51"/>
    <w:basedOn w:val="15"/>
    <w:qFormat/>
    <w:uiPriority w:val="0"/>
    <w:rPr>
      <w:rFonts w:hint="default" w:ascii="Times New Roman" w:hAnsi="Times New Roman" w:cs="Times New Roman"/>
      <w:color w:val="000000"/>
      <w:sz w:val="24"/>
      <w:szCs w:val="24"/>
      <w:u w:val="none"/>
    </w:rPr>
  </w:style>
  <w:style w:type="character" w:customStyle="1" w:styleId="36">
    <w:name w:val="font41"/>
    <w:basedOn w:val="15"/>
    <w:qFormat/>
    <w:uiPriority w:val="0"/>
    <w:rPr>
      <w:rFonts w:hint="eastAsia" w:ascii="宋体" w:hAnsi="宋体" w:eastAsia="宋体" w:cs="宋体"/>
      <w:b/>
      <w:bCs/>
      <w:color w:val="000000"/>
      <w:sz w:val="18"/>
      <w:szCs w:val="18"/>
      <w:u w:val="none"/>
    </w:rPr>
  </w:style>
  <w:style w:type="character" w:customStyle="1" w:styleId="37">
    <w:name w:val="font61"/>
    <w:basedOn w:val="15"/>
    <w:qFormat/>
    <w:uiPriority w:val="0"/>
    <w:rPr>
      <w:rFonts w:hint="eastAsia" w:ascii="宋体" w:hAnsi="宋体" w:eastAsia="宋体" w:cs="宋体"/>
      <w:color w:val="000000"/>
      <w:sz w:val="16"/>
      <w:szCs w:val="16"/>
      <w:u w:val="none"/>
    </w:rPr>
  </w:style>
  <w:style w:type="character" w:customStyle="1" w:styleId="38">
    <w:name w:val="font31"/>
    <w:basedOn w:val="15"/>
    <w:qFormat/>
    <w:uiPriority w:val="0"/>
    <w:rPr>
      <w:rFonts w:hint="eastAsia" w:ascii="宋体" w:hAnsi="宋体" w:eastAsia="宋体" w:cs="宋体"/>
      <w:color w:val="000000"/>
      <w:sz w:val="18"/>
      <w:szCs w:val="18"/>
      <w:u w:val="none"/>
    </w:rPr>
  </w:style>
  <w:style w:type="character" w:customStyle="1" w:styleId="39">
    <w:name w:val="font71"/>
    <w:basedOn w:val="15"/>
    <w:qFormat/>
    <w:uiPriority w:val="0"/>
    <w:rPr>
      <w:rFonts w:hint="eastAsia" w:ascii="宋体" w:hAnsi="宋体" w:eastAsia="宋体" w:cs="宋体"/>
      <w:color w:val="000000"/>
      <w:sz w:val="24"/>
      <w:szCs w:val="24"/>
      <w:u w:val="none"/>
    </w:rPr>
  </w:style>
  <w:style w:type="character" w:customStyle="1" w:styleId="40">
    <w:name w:val="15"/>
    <w:basedOn w:val="15"/>
    <w:qFormat/>
    <w:uiPriority w:val="0"/>
    <w:rPr>
      <w:rFonts w:hint="default" w:ascii="Times New Roman" w:hAnsi="Times New Roman" w:cs="Times New Roman"/>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346218893452525"/>
          <c:y val="0.220356991075223"/>
          <c:w val="0.930345494080696"/>
          <c:h val="0.638631534211645"/>
        </c:manualLayout>
      </c:layout>
      <c:barChart>
        <c:barDir val="col"/>
        <c:grouping val="clustered"/>
        <c:varyColors val="false"/>
        <c:ser>
          <c:idx val="1"/>
          <c:order val="0"/>
          <c:tx>
            <c:strRef>
              <c:f>Sheet1!$B$1</c:f>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9613.97</c:v>
                </c:pt>
                <c:pt idx="1">
                  <c:v>8312.51</c:v>
                </c:pt>
              </c:numCache>
            </c:numRef>
          </c:val>
        </c:ser>
        <c:dLbls>
          <c:showLegendKey val="false"/>
          <c:showVal val="true"/>
          <c:showCatName val="false"/>
          <c:showSerName val="false"/>
          <c:showPercent val="false"/>
          <c:showBubbleSize val="false"/>
        </c:dLbls>
        <c:gapWidth val="246"/>
        <c:overlap val="-28"/>
        <c:axId val="380473290"/>
        <c:axId val="199068502"/>
      </c:barChart>
      <c:catAx>
        <c:axId val="38047329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9068502"/>
        <c:crosses val="autoZero"/>
        <c:auto val="true"/>
        <c:lblAlgn val="ctr"/>
        <c:lblOffset val="100"/>
        <c:noMultiLvlLbl val="false"/>
      </c:catAx>
      <c:valAx>
        <c:axId val="199068502"/>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047329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numFmt formatCode="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eparator>;</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851.73</c:v>
                </c:pt>
                <c:pt idx="1">
                  <c:v>7460.78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manualLayout>
          <c:xMode val="edge"/>
          <c:yMode val="edge"/>
          <c:x val="0.31848499285374"/>
          <c:y val="0.043010752688172"/>
        </c:manualLayout>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numFmt formatCode="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eparator>;</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c:v>
                </c:pt>
                <c:pt idx="1">
                  <c:v>政府性基金预算</c:v>
                </c:pt>
              </c:strCache>
            </c:strRef>
          </c:cat>
          <c:val>
            <c:numRef>
              <c:f>Sheet1!$B$2:$B$5</c:f>
              <c:numCache>
                <c:formatCode>General</c:formatCode>
                <c:ptCount val="4"/>
                <c:pt idx="0">
                  <c:v>4431.83</c:v>
                </c:pt>
                <c:pt idx="1">
                  <c:v>3880.68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4270.85</c:v>
                </c:pt>
                <c:pt idx="1">
                  <c:v>4431.83</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numRef>
              <c:f>Sheet1!$A$2:$A$5</c:f>
              <c:numCache>
                <c:formatCode>General</c:formatCode>
                <c:ptCount val="4"/>
                <c:pt idx="0">
                  <c:v>2021</c:v>
                </c:pt>
                <c:pt idx="1">
                  <c:v>2022</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46"/>
        <c:overlap val="-28"/>
        <c:axId val="804188918"/>
        <c:axId val="404999546"/>
      </c:barChart>
      <c:catAx>
        <c:axId val="80418891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4999546"/>
        <c:crosses val="autoZero"/>
        <c:auto val="true"/>
        <c:lblAlgn val="ctr"/>
        <c:lblOffset val="100"/>
        <c:noMultiLvlLbl val="false"/>
      </c:catAx>
      <c:valAx>
        <c:axId val="404999546"/>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418891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manualLayout>
          <c:xMode val="edge"/>
          <c:yMode val="edge"/>
          <c:x val="0.188888888888889"/>
          <c:y val="0.060832791151594"/>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9613.97</c:v>
                </c:pt>
                <c:pt idx="1">
                  <c:v>8312.51</c:v>
                </c:pt>
              </c:numCache>
            </c:numRef>
          </c:val>
        </c:ser>
        <c:ser>
          <c:idx val="1"/>
          <c:order val="1"/>
          <c:tx>
            <c:strRef>
              <c:f>Sheet1!$C$1</c:f>
              <c:strCache>
                <c:ptCount val="1"/>
                <c:pt idx="0">
                  <c:v>支出</c:v>
                </c:pt>
              </c:strCache>
            </c:strRef>
          </c:tx>
          <c:spPr>
            <a:solidFill>
              <a:schemeClr val="accent2"/>
            </a:solidFill>
            <a:ln>
              <a:noFill/>
            </a:ln>
            <a:effectLst/>
          </c:spPr>
          <c:invertIfNegative val="false"/>
          <c:dLbls>
            <c:dLbl>
              <c:idx val="0"/>
              <c:layout>
                <c:manualLayout>
                  <c:x val="0.0944099378881988"/>
                  <c:y val="-0.16265452179570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0351966873706"/>
                  <c:y val="-0.043266102797657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Sheet1!$C$2:$C$5</c:f>
              <c:numCache>
                <c:formatCode>General</c:formatCode>
                <c:ptCount val="4"/>
                <c:pt idx="0">
                  <c:v>9613.97</c:v>
                </c:pt>
                <c:pt idx="1">
                  <c:v>8312.51</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46"/>
        <c:overlap val="-28"/>
        <c:axId val="401680598"/>
        <c:axId val="325810950"/>
      </c:barChart>
      <c:catAx>
        <c:axId val="40168059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5810950"/>
        <c:crosses val="autoZero"/>
        <c:auto val="true"/>
        <c:lblAlgn val="ctr"/>
        <c:lblOffset val="100"/>
        <c:noMultiLvlLbl val="false"/>
      </c:catAx>
      <c:valAx>
        <c:axId val="325810950"/>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1680598"/>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manualLayout>
          <c:xMode val="edge"/>
          <c:yMode val="edge"/>
          <c:x val="0.140462807348486"/>
          <c:y val="0.0109825735527855"/>
        </c:manualLayout>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Lbls>
            <c:dLbl>
              <c:idx val="0"/>
              <c:layout>
                <c:manualLayout>
                  <c:x val="-0.0697681781833339"/>
                  <c:y val="0.0020019379132541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0710638885055885"/>
                      <c:h val="0.103922918100482"/>
                    </c:manualLayout>
                  </c15:layout>
                </c:ext>
              </c:extLst>
            </c:dLbl>
            <c:dLbl>
              <c:idx val="1"/>
              <c:layout>
                <c:manualLayout>
                  <c:x val="0.0337728502880704"/>
                  <c:y val="-0.033016574850741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780902428112091"/>
                  <c:y val="0.07114480342367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住房保障支出</c:v>
                </c:pt>
                <c:pt idx="3">
                  <c:v>自然资源海洋气象等支出</c:v>
                </c:pt>
                <c:pt idx="4">
                  <c:v>灾害防治及应急管理支出</c:v>
                </c:pt>
              </c:strCache>
            </c:strRef>
          </c:cat>
          <c:val>
            <c:numRef>
              <c:f>Sheet1!$B$2:$B$6</c:f>
              <c:numCache>
                <c:formatCode>General</c:formatCode>
                <c:ptCount val="5"/>
                <c:pt idx="0">
                  <c:v>92.56</c:v>
                </c:pt>
                <c:pt idx="1">
                  <c:v>26.42</c:v>
                </c:pt>
                <c:pt idx="2">
                  <c:v>54.78</c:v>
                </c:pt>
                <c:pt idx="3">
                  <c:v>2097.04</c:v>
                </c:pt>
                <c:pt idx="4">
                  <c:v>2161.04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c:v>
                </c:pt>
              </c:strCache>
            </c:strRef>
          </c:cat>
          <c:val>
            <c:numRef>
              <c:f>Sheet1!$B$2:$B$5</c:f>
              <c:numCache>
                <c:formatCode>General</c:formatCode>
                <c:ptCount val="4"/>
                <c:pt idx="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egendEntry>
        <c:idx val="1"/>
        <c:delete val="true"/>
      </c:legendEntry>
      <c:legendEntry>
        <c:idx val="2"/>
        <c:delete val="true"/>
      </c:legendEntry>
      <c:legendEntry>
        <c:idx val="3"/>
        <c:delete val="true"/>
      </c:legendEntry>
      <c:layout>
        <c:manualLayout>
          <c:xMode val="edge"/>
          <c:yMode val="edge"/>
          <c:x val="0.743691091517178"/>
          <c:y val="0.44360481388189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128</Pages>
  <Words>49099</Words>
  <Characters>58341</Characters>
  <Lines>61</Lines>
  <Paragraphs>17</Paragraphs>
  <TotalTime>8</TotalTime>
  <ScaleCrop>false</ScaleCrop>
  <LinksUpToDate>false</LinksUpToDate>
  <CharactersWithSpaces>58432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2025-01-10T17:15:52Z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EB750977FA5745CFBC1E246C7198DEAF_13</vt:lpwstr>
  </property>
</Properties>
</file>