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color w:val="auto"/>
          <w:spacing w:val="20"/>
          <w:sz w:val="52"/>
          <w:szCs w:val="52"/>
        </w:rPr>
      </w:pPr>
      <w:bookmarkStart w:id="15" w:name="_GoBack"/>
      <w:bookmarkEnd w:id="15"/>
    </w:p>
    <w:p>
      <w:pPr>
        <w:jc w:val="center"/>
        <w:rPr>
          <w:rFonts w:ascii="方正小标宋简体" w:hAnsi="方正小标宋简体" w:eastAsia="方正小标宋简体" w:cs="方正小标宋简体"/>
          <w:color w:val="auto"/>
          <w:spacing w:val="20"/>
          <w:sz w:val="80"/>
          <w:szCs w:val="80"/>
        </w:rPr>
      </w:pPr>
      <w:r>
        <w:rPr>
          <w:rFonts w:hint="eastAsia" w:ascii="方正小标宋简体" w:hAnsi="方正小标宋简体" w:eastAsia="方正小标宋简体" w:cs="方正小标宋简体"/>
          <w:color w:val="auto"/>
          <w:spacing w:val="20"/>
          <w:sz w:val="80"/>
          <w:szCs w:val="80"/>
          <w:lang w:eastAsia="zh-CN"/>
        </w:rPr>
        <w:t>云雾山</w:t>
      </w:r>
      <w:r>
        <w:rPr>
          <w:rFonts w:hint="eastAsia" w:ascii="方正小标宋简体" w:hAnsi="方正小标宋简体" w:eastAsia="方正小标宋简体" w:cs="方正小标宋简体"/>
          <w:color w:val="auto"/>
          <w:spacing w:val="20"/>
          <w:sz w:val="80"/>
          <w:szCs w:val="80"/>
        </w:rPr>
        <w:t>镇</w:t>
      </w:r>
      <w:r>
        <w:rPr>
          <w:rFonts w:hint="eastAsia" w:ascii="方正小标宋简体" w:hAnsi="方正小标宋简体" w:eastAsia="方正小标宋简体" w:cs="方正小标宋简体"/>
          <w:color w:val="auto"/>
          <w:spacing w:val="20"/>
          <w:sz w:val="80"/>
          <w:szCs w:val="80"/>
          <w:lang w:eastAsia="zh-CN"/>
        </w:rPr>
        <w:t>基层</w:t>
      </w:r>
      <w:r>
        <w:rPr>
          <w:rFonts w:hint="eastAsia" w:ascii="方正小标宋简体" w:hAnsi="方正小标宋简体" w:eastAsia="方正小标宋简体" w:cs="方正小标宋简体"/>
          <w:color w:val="auto"/>
          <w:spacing w:val="20"/>
          <w:sz w:val="80"/>
          <w:szCs w:val="80"/>
        </w:rPr>
        <w:t>政务公开标准目录</w:t>
      </w:r>
    </w:p>
    <w:p>
      <w:pPr>
        <w:spacing w:line="1520" w:lineRule="exact"/>
        <w:rPr>
          <w:rFonts w:ascii="华文中宋" w:hAnsi="华文中宋" w:eastAsia="华文中宋"/>
          <w:color w:val="auto"/>
          <w:spacing w:val="20"/>
          <w:sz w:val="52"/>
          <w:szCs w:val="52"/>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jc w:val="center"/>
        <w:rPr>
          <w:rFonts w:ascii="Times New Roman" w:hAnsi="Times New Roman" w:eastAsia="方正小标宋_GBK"/>
          <w:color w:val="auto"/>
          <w:sz w:val="28"/>
          <w:szCs w:val="28"/>
        </w:rPr>
      </w:pPr>
    </w:p>
    <w:p>
      <w:pPr>
        <w:rPr>
          <w:rFonts w:ascii="Times New Roman" w:hAnsi="Times New Roman" w:eastAsia="方正小标宋_GBK"/>
          <w:color w:val="auto"/>
          <w:sz w:val="48"/>
          <w:szCs w:val="48"/>
        </w:rPr>
      </w:pPr>
    </w:p>
    <w:p>
      <w:pPr>
        <w:jc w:val="center"/>
        <w:rPr>
          <w:rStyle w:val="10"/>
          <w:rFonts w:ascii="黑体" w:hAnsi="方正小标宋_GBK" w:eastAsia="黑体"/>
          <w:color w:val="auto"/>
          <w:sz w:val="30"/>
          <w:szCs w:val="30"/>
        </w:rPr>
      </w:pPr>
      <w:r>
        <w:rPr>
          <w:rFonts w:hint="eastAsia" w:ascii="Times New Roman" w:hAnsi="Times New Roman" w:eastAsia="华文中宋"/>
          <w:color w:val="auto"/>
          <w:sz w:val="48"/>
          <w:szCs w:val="48"/>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6</w:t>
      </w:r>
      <w:r>
        <w:rPr>
          <w:rFonts w:ascii="Times New Roman" w:hAnsi="华文中宋" w:eastAsia="华文中宋"/>
          <w:color w:val="auto"/>
          <w:sz w:val="48"/>
          <w:szCs w:val="48"/>
        </w:rPr>
        <w:t>月</w:t>
      </w:r>
    </w:p>
    <w:p>
      <w:pPr>
        <w:rPr>
          <w:color w:val="auto"/>
        </w:rPr>
      </w:pPr>
    </w:p>
    <w:p>
      <w:pPr>
        <w:pStyle w:val="5"/>
        <w:tabs>
          <w:tab w:val="right" w:leader="dot" w:pos="14280"/>
          <w:tab w:val="clear" w:pos="14760"/>
        </w:tabs>
        <w:rPr>
          <w:rFonts w:ascii="Times New Roman" w:hAnsi="Times New Roman" w:eastAsia="黑体"/>
          <w:color w:val="auto"/>
          <w:sz w:val="30"/>
          <w:szCs w:val="30"/>
        </w:rPr>
        <w:sectPr>
          <w:pgSz w:w="16838" w:h="11906" w:orient="landscape"/>
          <w:pgMar w:top="1474" w:right="1247" w:bottom="1417" w:left="1247" w:header="851" w:footer="992" w:gutter="0"/>
          <w:pgNumType w:fmt="numberInDash"/>
          <w:cols w:space="720" w:num="1"/>
          <w:titlePg/>
          <w:docGrid w:type="lines" w:linePitch="312" w:charSpace="0"/>
        </w:sectPr>
      </w:pPr>
    </w:p>
    <w:p>
      <w:pPr>
        <w:pStyle w:val="5"/>
        <w:tabs>
          <w:tab w:val="right" w:leader="dot" w:pos="14344"/>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begin"/>
      </w:r>
      <w:r>
        <w:rPr>
          <w:rStyle w:val="10"/>
          <w:rFonts w:ascii="Times New Roman" w:hAnsi="Times New Roman" w:eastAsia="仿宋_GB2312"/>
          <w:color w:val="auto"/>
          <w:sz w:val="28"/>
          <w:szCs w:val="28"/>
        </w:rPr>
        <w:instrText xml:space="preserve"> TOC \o "1-3" \h \z \u </w:instrText>
      </w:r>
      <w:r>
        <w:rPr>
          <w:rFonts w:ascii="Times New Roman" w:hAnsi="Times New Roman" w:eastAsia="仿宋_GB2312"/>
          <w:color w:val="auto"/>
          <w:sz w:val="28"/>
          <w:szCs w:val="28"/>
        </w:rPr>
        <w:fldChar w:fldCharType="separate"/>
      </w:r>
      <w:r>
        <w:rPr>
          <w:color w:val="auto"/>
        </w:rPr>
        <w:fldChar w:fldCharType="begin"/>
      </w:r>
      <w:r>
        <w:rPr>
          <w:color w:val="auto"/>
        </w:rPr>
        <w:instrText xml:space="preserve"> HYPERLINK \l "_Toc22932" </w:instrText>
      </w:r>
      <w:r>
        <w:rPr>
          <w:color w:val="auto"/>
        </w:rPr>
        <w:fldChar w:fldCharType="separate"/>
      </w:r>
      <w:r>
        <w:rPr>
          <w:rFonts w:ascii="Times New Roman" w:hAnsi="Times New Roman" w:eastAsia="仿宋_GB2312"/>
          <w:bCs/>
          <w:color w:val="auto"/>
          <w:sz w:val="28"/>
          <w:szCs w:val="28"/>
        </w:rPr>
        <w:t>（一）重大建设项目领域基层政务公开标准目录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_Toc22932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"_Toc22622" </w:instrText>
      </w:r>
      <w:r>
        <w:rPr>
          <w:color w:val="auto"/>
        </w:rPr>
        <w:fldChar w:fldCharType="separate"/>
      </w:r>
      <w:r>
        <w:rPr>
          <w:rFonts w:ascii="Times New Roman" w:hAnsi="Times New Roman" w:eastAsia="仿宋_GB2312"/>
          <w:color w:val="auto"/>
          <w:sz w:val="28"/>
          <w:szCs w:val="28"/>
        </w:rPr>
        <w:t>（二）</w:t>
      </w:r>
      <w:r>
        <w:rPr>
          <w:rFonts w:hint="eastAsia" w:ascii="Times New Roman" w:hAnsi="Times New Roman" w:eastAsia="仿宋_GB2312"/>
          <w:color w:val="auto"/>
          <w:sz w:val="28"/>
          <w:szCs w:val="28"/>
          <w:lang w:eastAsia="zh-CN"/>
        </w:rPr>
        <w:t>社会保险</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"_Toc8670" </w:instrText>
      </w:r>
      <w:r>
        <w:rPr>
          <w:color w:val="auto"/>
        </w:rPr>
        <w:fldChar w:fldCharType="separate"/>
      </w:r>
      <w:r>
        <w:rPr>
          <w:rFonts w:ascii="Times New Roman" w:hAnsi="Times New Roman" w:eastAsia="仿宋_GB2312"/>
          <w:color w:val="auto"/>
          <w:sz w:val="28"/>
          <w:szCs w:val="28"/>
        </w:rPr>
        <w:t>（三）社会救助领域基层政务公开标准目录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"_Toc28918" </w:instrText>
      </w:r>
      <w:r>
        <w:rPr>
          <w:color w:val="auto"/>
        </w:rPr>
        <w:fldChar w:fldCharType="separate"/>
      </w:r>
      <w:r>
        <w:rPr>
          <w:rFonts w:ascii="Times New Roman" w:hAnsi="Times New Roman" w:eastAsia="仿宋_GB2312"/>
          <w:color w:val="auto"/>
          <w:sz w:val="28"/>
          <w:szCs w:val="28"/>
        </w:rPr>
        <w:t>（四）养老服务领域基层政务公开标准目录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8</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"_Toc18777" </w:instrText>
      </w:r>
      <w:r>
        <w:rPr>
          <w:color w:val="auto"/>
        </w:rPr>
        <w:fldChar w:fldCharType="separate"/>
      </w:r>
      <w:r>
        <w:rPr>
          <w:rFonts w:ascii="Times New Roman" w:hAnsi="Times New Roman" w:eastAsia="仿宋_GB2312"/>
          <w:color w:val="auto"/>
          <w:sz w:val="28"/>
          <w:szCs w:val="28"/>
        </w:rPr>
        <w:t>（五）公共法律服务领域基层政务公开标准目录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9</w:t>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"_Toc21986" </w:instrText>
      </w:r>
      <w:r>
        <w:rPr>
          <w:color w:val="auto"/>
        </w:rPr>
        <w:fldChar w:fldCharType="separate"/>
      </w:r>
      <w:r>
        <w:rPr>
          <w:rFonts w:ascii="Times New Roman" w:hAnsi="Times New Roman" w:eastAsia="仿宋_GB2312"/>
          <w:color w:val="auto"/>
          <w:sz w:val="28"/>
          <w:szCs w:val="28"/>
        </w:rPr>
        <w:t>（六）财政预决算领域基层政务公开标准目录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_Toc21986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11</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"_Toc31519" </w:instrText>
      </w:r>
      <w:r>
        <w:rPr>
          <w:color w:val="auto"/>
        </w:rPr>
        <w:fldChar w:fldCharType="separate"/>
      </w:r>
      <w:r>
        <w:rPr>
          <w:rFonts w:ascii="Times New Roman" w:hAnsi="Times New Roman" w:eastAsia="仿宋_GB2312"/>
          <w:color w:val="auto"/>
          <w:sz w:val="28"/>
          <w:szCs w:val="28"/>
        </w:rPr>
        <w:t>（七）就业领域基层政务公开标准目录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_Toc31519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14</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ascii="Times New Roman" w:hAnsi="Times New Roman" w:eastAsia="仿宋_GB2312"/>
          <w:color w:val="auto"/>
          <w:sz w:val="28"/>
          <w:szCs w:val="28"/>
        </w:rPr>
      </w:pPr>
      <w:r>
        <w:rPr>
          <w:color w:val="auto"/>
        </w:rPr>
        <w:fldChar w:fldCharType="begin"/>
      </w:r>
      <w:r>
        <w:rPr>
          <w:color w:val="auto"/>
        </w:rPr>
        <w:instrText xml:space="preserve"> HYPERLINK \l "_Toc18188" </w:instrText>
      </w:r>
      <w:r>
        <w:rPr>
          <w:color w:val="auto"/>
        </w:rPr>
        <w:fldChar w:fldCharType="separate"/>
      </w:r>
      <w:r>
        <w:rPr>
          <w:rFonts w:ascii="Times New Roman" w:hAnsi="Times New Roman" w:eastAsia="仿宋_GB2312"/>
          <w:color w:val="auto"/>
          <w:sz w:val="28"/>
          <w:szCs w:val="28"/>
        </w:rPr>
        <w:t>（八）生态环境领域基层政务公开标准目录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_Toc18188 </w:instrText>
      </w:r>
      <w:r>
        <w:rPr>
          <w:rFonts w:ascii="Times New Roman" w:hAnsi="Times New Roman" w:eastAsia="仿宋_GB2312"/>
          <w:color w:val="auto"/>
          <w:sz w:val="28"/>
          <w:szCs w:val="28"/>
        </w:rPr>
        <w:fldChar w:fldCharType="separate"/>
      </w:r>
      <w:r>
        <w:rPr>
          <w:rFonts w:ascii="Times New Roman" w:hAnsi="Times New Roman" w:eastAsia="仿宋_GB2312"/>
          <w:color w:val="auto"/>
          <w:sz w:val="28"/>
          <w:szCs w:val="28"/>
        </w:rPr>
        <w:t>16</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"_Toc7112" </w:instrText>
      </w:r>
      <w:r>
        <w:rPr>
          <w:color w:val="auto"/>
        </w:rPr>
        <w:fldChar w:fldCharType="separate"/>
      </w:r>
      <w:r>
        <w:rPr>
          <w:rFonts w:ascii="Times New Roman" w:hAnsi="Times New Roman" w:eastAsia="仿宋_GB2312"/>
          <w:color w:val="auto"/>
          <w:sz w:val="28"/>
          <w:szCs w:val="28"/>
        </w:rPr>
        <w:t>（九）国有土地上房屋征收与补偿领域基层政务公开标准目录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"_Toc29112" </w:instrText>
      </w:r>
      <w:r>
        <w:rPr>
          <w:color w:val="auto"/>
        </w:rPr>
        <w:fldChar w:fldCharType="separate"/>
      </w:r>
      <w:r>
        <w:rPr>
          <w:rFonts w:ascii="Times New Roman" w:hAnsi="Times New Roman" w:eastAsia="仿宋_GB2312"/>
          <w:color w:val="auto"/>
          <w:sz w:val="28"/>
          <w:szCs w:val="28"/>
        </w:rPr>
        <w:t>（十）农村危房改造领域基层政务公开标准目录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1</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"_Toc14954" </w:instrText>
      </w:r>
      <w:r>
        <w:rPr>
          <w:color w:val="auto"/>
        </w:rPr>
        <w:fldChar w:fldCharType="separate"/>
      </w:r>
      <w:r>
        <w:rPr>
          <w:rFonts w:ascii="Times New Roman" w:hAnsi="Times New Roman" w:eastAsia="仿宋_GB2312"/>
          <w:color w:val="auto"/>
          <w:sz w:val="28"/>
          <w:szCs w:val="28"/>
        </w:rPr>
        <w:t>（十一）涉农补贴领域基层政务公开标准目录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"_Toc27649" </w:instrText>
      </w:r>
      <w:r>
        <w:rPr>
          <w:color w:val="auto"/>
        </w:rPr>
        <w:fldChar w:fldCharType="separate"/>
      </w:r>
      <w:r>
        <w:rPr>
          <w:rFonts w:ascii="Times New Roman" w:hAnsi="Times New Roman" w:eastAsia="仿宋_GB2312"/>
          <w:color w:val="auto"/>
          <w:sz w:val="28"/>
          <w:szCs w:val="28"/>
        </w:rPr>
        <w:t>（十二）公共文化服务领域基层政务公开标准目录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color w:val="auto"/>
        </w:rPr>
        <w:sectPr>
          <w:footerReference r:id="rId4" w:type="first"/>
          <w:footerReference r:id="rId3" w:type="default"/>
          <w:pgSz w:w="16838" w:h="11906" w:orient="landscape"/>
          <w:pgMar w:top="1474" w:right="1247" w:bottom="1417" w:left="1247" w:header="851" w:footer="992" w:gutter="0"/>
          <w:pgNumType w:fmt="numberInDash" w:start="1"/>
          <w:cols w:space="720" w:num="1"/>
          <w:titlePg/>
          <w:docGrid w:type="lines" w:linePitch="312" w:charSpace="0"/>
        </w:sectPr>
      </w:pP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"_Toc12965" </w:instrText>
      </w:r>
      <w:r>
        <w:rPr>
          <w:color w:val="auto"/>
        </w:rPr>
        <w:fldChar w:fldCharType="separate"/>
      </w:r>
      <w:r>
        <w:rPr>
          <w:rFonts w:ascii="Times New Roman" w:hAnsi="Times New Roman" w:eastAsia="仿宋_GB2312"/>
          <w:color w:val="auto"/>
          <w:sz w:val="28"/>
          <w:szCs w:val="28"/>
        </w:rPr>
        <w:t>（十三）卫生健康领域基层政务公开标准目录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4</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"_Toc4397" </w:instrText>
      </w:r>
      <w:r>
        <w:rPr>
          <w:color w:val="auto"/>
        </w:rPr>
        <w:fldChar w:fldCharType="separate"/>
      </w:r>
      <w:r>
        <w:rPr>
          <w:rFonts w:ascii="Times New Roman" w:hAnsi="Times New Roman" w:eastAsia="仿宋_GB2312"/>
          <w:color w:val="auto"/>
          <w:sz w:val="28"/>
          <w:szCs w:val="28"/>
        </w:rPr>
        <w:t>（十四）安全生产领域基层政务公开标准目录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6</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"_Toc28063" </w:instrText>
      </w:r>
      <w:r>
        <w:rPr>
          <w:color w:val="auto"/>
        </w:rPr>
        <w:fldChar w:fldCharType="separate"/>
      </w:r>
      <w:r>
        <w:rPr>
          <w:rFonts w:ascii="Times New Roman" w:hAnsi="Times New Roman" w:eastAsia="仿宋_GB2312"/>
          <w:color w:val="auto"/>
          <w:sz w:val="28"/>
          <w:szCs w:val="28"/>
        </w:rPr>
        <w:t>（十五）</w:t>
      </w:r>
      <w:r>
        <w:rPr>
          <w:rFonts w:hint="eastAsia" w:ascii="Times New Roman" w:hAnsi="Times New Roman" w:eastAsia="仿宋_GB2312"/>
          <w:color w:val="auto"/>
          <w:sz w:val="28"/>
          <w:szCs w:val="28"/>
        </w:rPr>
        <w:t>乡村振兴</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2</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9</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"_Toc1888" </w:instrText>
      </w:r>
      <w:r>
        <w:rPr>
          <w:color w:val="auto"/>
        </w:rPr>
        <w:fldChar w:fldCharType="separate"/>
      </w:r>
      <w:r>
        <w:rPr>
          <w:rFonts w:ascii="Times New Roman" w:hAnsi="Times New Roman" w:eastAsia="仿宋_GB2312"/>
          <w:color w:val="auto"/>
          <w:sz w:val="28"/>
          <w:szCs w:val="28"/>
        </w:rPr>
        <w:t>（十六）</w:t>
      </w:r>
      <w:r>
        <w:rPr>
          <w:rFonts w:hint="eastAsia" w:ascii="Times New Roman" w:hAnsi="Times New Roman" w:eastAsia="仿宋_GB2312"/>
          <w:color w:val="auto"/>
          <w:sz w:val="28"/>
          <w:szCs w:val="28"/>
        </w:rPr>
        <w:t>义务教育</w:t>
      </w:r>
      <w:r>
        <w:rPr>
          <w:rFonts w:ascii="Times New Roman" w:hAnsi="Times New Roman" w:eastAsia="仿宋_GB2312"/>
          <w:color w:val="auto"/>
          <w:sz w:val="28"/>
          <w:szCs w:val="28"/>
        </w:rPr>
        <w:t>领域基层政务公开标准目录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2</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"_Toc8061" </w:instrText>
      </w:r>
      <w:r>
        <w:rPr>
          <w:color w:val="auto"/>
        </w:rPr>
        <w:fldChar w:fldCharType="separate"/>
      </w:r>
      <w:r>
        <w:rPr>
          <w:rFonts w:ascii="Times New Roman" w:hAnsi="Times New Roman" w:eastAsia="仿宋_GB2312"/>
          <w:color w:val="auto"/>
          <w:sz w:val="28"/>
          <w:szCs w:val="28"/>
        </w:rPr>
        <w:t>（十七）</w:t>
      </w:r>
      <w:r>
        <w:rPr>
          <w:rFonts w:hint="eastAsia" w:ascii="Times New Roman" w:hAnsi="Times New Roman" w:eastAsia="仿宋_GB2312"/>
          <w:color w:val="auto"/>
          <w:sz w:val="28"/>
          <w:szCs w:val="28"/>
        </w:rPr>
        <w:t>市政服务领域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begin"/>
      </w:r>
      <w:r>
        <w:rPr>
          <w:rFonts w:ascii="Times New Roman" w:hAnsi="Times New Roman" w:eastAsia="仿宋_GB2312"/>
          <w:color w:val="auto"/>
          <w:sz w:val="28"/>
          <w:szCs w:val="28"/>
        </w:rPr>
        <w:instrText xml:space="preserve"> PAGEREF _Toc8061 </w:instrText>
      </w:r>
      <w:r>
        <w:rPr>
          <w:rFonts w:ascii="Times New Roman" w:hAnsi="Times New Roman" w:eastAsia="仿宋_GB2312"/>
          <w:color w:val="auto"/>
          <w:sz w:val="28"/>
          <w:szCs w:val="28"/>
        </w:rPr>
        <w:fldChar w:fldCharType="separate"/>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"_Toc13306" </w:instrText>
      </w:r>
      <w:r>
        <w:rPr>
          <w:color w:val="auto"/>
        </w:rPr>
        <w:fldChar w:fldCharType="separate"/>
      </w:r>
      <w:r>
        <w:rPr>
          <w:rFonts w:ascii="Times New Roman" w:hAnsi="Times New Roman" w:eastAsia="仿宋_GB2312"/>
          <w:color w:val="auto"/>
          <w:sz w:val="28"/>
          <w:szCs w:val="28"/>
        </w:rPr>
        <w:t>（十八）</w:t>
      </w:r>
      <w:r>
        <w:rPr>
          <w:rFonts w:hint="eastAsia" w:ascii="Times New Roman" w:hAnsi="Times New Roman" w:eastAsia="仿宋_GB2312"/>
          <w:color w:val="auto"/>
          <w:sz w:val="28"/>
          <w:szCs w:val="28"/>
        </w:rPr>
        <w:t>食品药品监督领域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34</w:t>
      </w:r>
    </w:p>
    <w:p>
      <w:pPr>
        <w:pStyle w:val="5"/>
        <w:tabs>
          <w:tab w:val="right" w:leader="dot" w:pos="14344"/>
          <w:tab w:val="clear" w:pos="14760"/>
        </w:tabs>
        <w:rPr>
          <w:rFonts w:hint="default" w:ascii="Times New Roman" w:hAnsi="Times New Roman" w:eastAsia="仿宋_GB2312"/>
          <w:color w:val="auto"/>
          <w:sz w:val="28"/>
          <w:szCs w:val="28"/>
          <w:lang w:val="en-US" w:eastAsia="zh-CN"/>
        </w:rPr>
      </w:pPr>
      <w:r>
        <w:rPr>
          <w:color w:val="auto"/>
        </w:rPr>
        <w:fldChar w:fldCharType="begin"/>
      </w:r>
      <w:r>
        <w:rPr>
          <w:color w:val="auto"/>
        </w:rPr>
        <w:instrText xml:space="preserve"> HYPERLINK \l "_Toc31030" </w:instrText>
      </w:r>
      <w:r>
        <w:rPr>
          <w:color w:val="auto"/>
        </w:rPr>
        <w:fldChar w:fldCharType="separate"/>
      </w:r>
      <w:r>
        <w:rPr>
          <w:rFonts w:ascii="Times New Roman" w:hAnsi="Times New Roman" w:eastAsia="仿宋_GB2312"/>
          <w:color w:val="auto"/>
          <w:sz w:val="28"/>
          <w:szCs w:val="28"/>
        </w:rPr>
        <w:t>（十九）</w:t>
      </w:r>
      <w:r>
        <w:rPr>
          <w:rFonts w:hint="eastAsia" w:ascii="Times New Roman" w:hAnsi="Times New Roman" w:eastAsia="仿宋_GB2312"/>
          <w:color w:val="auto"/>
          <w:sz w:val="28"/>
          <w:szCs w:val="28"/>
        </w:rPr>
        <w:t>自然资源领域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35</w:t>
      </w:r>
    </w:p>
    <w:p>
      <w:pPr>
        <w:pStyle w:val="5"/>
        <w:tabs>
          <w:tab w:val="right" w:leader="dot" w:pos="14344"/>
          <w:tab w:val="clear" w:pos="14760"/>
        </w:tabs>
        <w:rPr>
          <w:rFonts w:hint="eastAsia" w:ascii="Times New Roman" w:hAnsi="Times New Roman" w:eastAsia="仿宋_GB2312"/>
          <w:color w:val="auto"/>
          <w:sz w:val="28"/>
          <w:szCs w:val="28"/>
          <w:lang w:val="en-US" w:eastAsia="zh-CN"/>
        </w:rPr>
      </w:pPr>
      <w:r>
        <w:rPr>
          <w:color w:val="auto"/>
        </w:rPr>
        <w:fldChar w:fldCharType="begin"/>
      </w:r>
      <w:r>
        <w:rPr>
          <w:color w:val="auto"/>
        </w:rPr>
        <w:instrText xml:space="preserve"> HYPERLINK \l "_Toc5596" </w:instrText>
      </w:r>
      <w:r>
        <w:rPr>
          <w:color w:val="auto"/>
        </w:rPr>
        <w:fldChar w:fldCharType="separate"/>
      </w:r>
      <w:r>
        <w:rPr>
          <w:rFonts w:ascii="Times New Roman" w:hAnsi="Times New Roman" w:eastAsia="仿宋_GB2312"/>
          <w:color w:val="auto"/>
          <w:sz w:val="28"/>
          <w:szCs w:val="28"/>
        </w:rPr>
        <w:t>（二十）</w:t>
      </w:r>
      <w:r>
        <w:rPr>
          <w:rFonts w:hint="eastAsia" w:ascii="Times New Roman" w:hAnsi="Times New Roman" w:eastAsia="仿宋_GB2312"/>
          <w:color w:val="auto"/>
          <w:sz w:val="28"/>
          <w:szCs w:val="28"/>
        </w:rPr>
        <w:t>户籍管理领域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3</w:t>
      </w: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lang w:val="en-US" w:eastAsia="zh-CN"/>
        </w:rPr>
        <w:t>7</w:t>
      </w:r>
    </w:p>
    <w:p>
      <w:pPr>
        <w:pStyle w:val="5"/>
        <w:tabs>
          <w:tab w:val="right" w:leader="dot" w:pos="14280"/>
          <w:tab w:val="clear" w:pos="14760"/>
        </w:tabs>
        <w:rPr>
          <w:rFonts w:ascii="Times New Roman" w:hAnsi="Times New Roman" w:eastAsia="仿宋_GB2312"/>
          <w:color w:val="auto"/>
          <w:sz w:val="28"/>
          <w:szCs w:val="28"/>
        </w:rPr>
      </w:pPr>
      <w:r>
        <w:rPr>
          <w:rFonts w:ascii="Times New Roman" w:hAnsi="Times New Roman" w:eastAsia="仿宋_GB2312"/>
          <w:color w:val="auto"/>
          <w:sz w:val="28"/>
          <w:szCs w:val="28"/>
        </w:rPr>
        <w:fldChar w:fldCharType="end"/>
      </w:r>
      <w:r>
        <w:rPr>
          <w:rFonts w:hint="eastAsia" w:ascii="Times New Roman" w:hAnsi="Times New Roman" w:eastAsia="仿宋_GB2312"/>
          <w:color w:val="auto"/>
          <w:sz w:val="28"/>
          <w:szCs w:val="28"/>
        </w:rPr>
        <w:t>（二十一）救灾生产领域</w:t>
      </w:r>
      <w:r>
        <w:rPr>
          <w:rFonts w:ascii="Times New Roman" w:hAnsi="Times New Roman" w:eastAsia="仿宋_GB2312"/>
          <w:color w:val="auto"/>
          <w:sz w:val="28"/>
          <w:szCs w:val="28"/>
        </w:rPr>
        <w:t>基层政务公开标准目录</w:t>
      </w:r>
      <w:r>
        <w:rPr>
          <w:rFonts w:ascii="Times New Roman" w:hAnsi="Times New Roman" w:eastAsia="仿宋_GB2312"/>
          <w:color w:val="auto"/>
          <w:sz w:val="28"/>
          <w:szCs w:val="28"/>
        </w:rPr>
        <w:tab/>
      </w:r>
      <w:r>
        <w:rPr>
          <w:rFonts w:hint="eastAsia" w:ascii="Times New Roman" w:hAnsi="Times New Roman" w:eastAsia="仿宋_GB2312"/>
          <w:color w:val="auto"/>
          <w:sz w:val="28"/>
          <w:szCs w:val="28"/>
          <w:lang w:val="en-US" w:eastAsia="zh-CN"/>
        </w:rPr>
        <w:t>51</w:t>
      </w:r>
    </w:p>
    <w:p>
      <w:pPr>
        <w:pStyle w:val="3"/>
        <w:spacing w:before="0" w:after="0" w:line="240" w:lineRule="auto"/>
        <w:jc w:val="center"/>
        <w:rPr>
          <w:rFonts w:hint="eastAsia" w:ascii="方正小标宋简体" w:hAnsi="方正小标宋简体" w:eastAsia="方正小标宋简体" w:cs="方正小标宋简体"/>
          <w:b w:val="0"/>
          <w:bCs w:val="0"/>
          <w:color w:val="auto"/>
        </w:rPr>
        <w:sectPr>
          <w:footerReference r:id="rId6" w:type="first"/>
          <w:footerReference r:id="rId5" w:type="default"/>
          <w:pgSz w:w="16838" w:h="11906" w:orient="landscape"/>
          <w:pgMar w:top="1474" w:right="1247" w:bottom="1417" w:left="1247" w:header="851" w:footer="992" w:gutter="0"/>
          <w:pgNumType w:fmt="numberInDash" w:start="1"/>
          <w:cols w:space="720" w:num="1"/>
          <w:docGrid w:type="lines" w:linePitch="312" w:charSpace="0"/>
        </w:sectPr>
      </w:pPr>
      <w:bookmarkStart w:id="0" w:name="_Toc22932"/>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787"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369"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344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32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153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80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公开渠道和载体</w:t>
            </w:r>
          </w:p>
        </w:tc>
        <w:tc>
          <w:tcPr>
            <w:tcW w:w="180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632" w:type="dxa"/>
            <w:gridSpan w:val="2"/>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olor w:val="auto"/>
                <w:kern w:val="0"/>
                <w:sz w:val="22"/>
              </w:rPr>
            </w:pPr>
          </w:p>
        </w:tc>
        <w:tc>
          <w:tcPr>
            <w:tcW w:w="90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887"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2369" w:type="dxa"/>
            <w:vMerge w:val="continue"/>
            <w:vAlign w:val="center"/>
          </w:tcPr>
          <w:p>
            <w:pPr>
              <w:widowControl/>
              <w:jc w:val="left"/>
              <w:rPr>
                <w:rFonts w:ascii="Times New Roman" w:hAnsi="Times New Roman" w:eastAsia="黑体"/>
                <w:color w:val="auto"/>
                <w:kern w:val="0"/>
                <w:sz w:val="22"/>
              </w:rPr>
            </w:pPr>
          </w:p>
        </w:tc>
        <w:tc>
          <w:tcPr>
            <w:tcW w:w="3445" w:type="dxa"/>
            <w:vMerge w:val="continue"/>
            <w:vAlign w:val="center"/>
          </w:tcPr>
          <w:p>
            <w:pPr>
              <w:widowControl/>
              <w:jc w:val="left"/>
              <w:rPr>
                <w:rFonts w:ascii="Times New Roman" w:hAnsi="Times New Roman" w:eastAsia="黑体"/>
                <w:color w:val="auto"/>
                <w:kern w:val="0"/>
                <w:sz w:val="22"/>
              </w:rPr>
            </w:pPr>
          </w:p>
        </w:tc>
        <w:tc>
          <w:tcPr>
            <w:tcW w:w="1320" w:type="dxa"/>
            <w:vMerge w:val="continue"/>
            <w:vAlign w:val="center"/>
          </w:tcPr>
          <w:p>
            <w:pPr>
              <w:widowControl/>
              <w:jc w:val="left"/>
              <w:rPr>
                <w:rFonts w:ascii="Times New Roman" w:hAnsi="Times New Roman" w:eastAsia="黑体"/>
                <w:color w:val="auto"/>
                <w:kern w:val="0"/>
                <w:sz w:val="22"/>
              </w:rPr>
            </w:pPr>
          </w:p>
        </w:tc>
        <w:tc>
          <w:tcPr>
            <w:tcW w:w="1530" w:type="dxa"/>
            <w:vMerge w:val="continue"/>
            <w:vAlign w:val="center"/>
          </w:tcPr>
          <w:p>
            <w:pPr>
              <w:widowControl/>
              <w:jc w:val="left"/>
              <w:rPr>
                <w:rFonts w:ascii="Times New Roman" w:hAnsi="Times New Roman" w:eastAsia="黑体"/>
                <w:color w:val="auto"/>
                <w:kern w:val="0"/>
                <w:sz w:val="22"/>
              </w:rPr>
            </w:pPr>
          </w:p>
        </w:tc>
        <w:tc>
          <w:tcPr>
            <w:tcW w:w="1800" w:type="dxa"/>
            <w:vMerge w:val="continue"/>
            <w:vAlign w:val="center"/>
          </w:tcPr>
          <w:p>
            <w:pPr>
              <w:widowControl/>
              <w:jc w:val="left"/>
              <w:rPr>
                <w:rFonts w:ascii="Times New Roman" w:hAnsi="Times New Roman" w:eastAsia="黑体"/>
                <w:color w:val="auto"/>
                <w:kern w:val="0"/>
                <w:sz w:val="22"/>
              </w:rPr>
            </w:pPr>
          </w:p>
        </w:tc>
        <w:tc>
          <w:tcPr>
            <w:tcW w:w="91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89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主动</w:t>
            </w:r>
          </w:p>
        </w:tc>
        <w:tc>
          <w:tcPr>
            <w:tcW w:w="816" w:type="dxa"/>
            <w:vAlign w:val="center"/>
          </w:tcPr>
          <w:p>
            <w:pPr>
              <w:widowControl/>
              <w:jc w:val="center"/>
              <w:rPr>
                <w:rFonts w:ascii="Times New Roman" w:hAnsi="Times New Roman" w:eastAsia="黑体"/>
                <w:color w:val="auto"/>
                <w:kern w:val="0"/>
                <w:sz w:val="22"/>
              </w:rPr>
            </w:pPr>
            <w:r>
              <w:rPr>
                <w:rFonts w:hint="eastAsia"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施工管理服务</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项目业主单位及其主要负责人信息，项目主管部门信息，项目设计、施工、监理单位及其主要负责人信息等。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质量安全监督</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项目质量安全监督机构及其联系方式，质量安全问题整改情况等。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竣工有关信息</w:t>
            </w:r>
          </w:p>
        </w:tc>
        <w:tc>
          <w:tcPr>
            <w:tcW w:w="887"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竣工验收审批（备案）</w:t>
            </w:r>
          </w:p>
        </w:tc>
        <w:tc>
          <w:tcPr>
            <w:tcW w:w="2369"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项目竣工验收时间、竣工验收结果等。</w:t>
            </w:r>
          </w:p>
        </w:tc>
        <w:tc>
          <w:tcPr>
            <w:tcW w:w="344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《政府信息公开条例》《</w:t>
            </w:r>
            <w:r>
              <w:rPr>
                <w:rFonts w:hint="eastAsia" w:ascii="仿宋_GB2312" w:hAnsi="仿宋_GB2312" w:eastAsia="仿宋_GB2312" w:cs="仿宋_GB2312"/>
                <w:color w:val="auto"/>
                <w:kern w:val="0"/>
                <w:sz w:val="24"/>
                <w:szCs w:val="24"/>
                <w:lang w:eastAsia="zh-CN" w:bidi="ar"/>
              </w:rPr>
              <w:t>关于全面推进政务公开工作的意见</w:t>
            </w:r>
            <w:r>
              <w:rPr>
                <w:rFonts w:hint="eastAsia" w:ascii="仿宋_GB2312" w:hAnsi="仿宋_GB2312" w:eastAsia="仿宋_GB2312" w:cs="仿宋_GB2312"/>
                <w:color w:val="auto"/>
                <w:kern w:val="0"/>
                <w:sz w:val="24"/>
                <w:szCs w:val="24"/>
                <w:lang w:bidi="ar"/>
              </w:rPr>
              <w:t>》《关于推进重大建设项目批准和实施领域政府信息公开的意见》</w:t>
            </w:r>
          </w:p>
        </w:tc>
        <w:tc>
          <w:tcPr>
            <w:tcW w:w="132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530"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914"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894" w:type="dxa"/>
            <w:vAlign w:val="center"/>
          </w:tcPr>
          <w:p>
            <w:pPr>
              <w:jc w:val="center"/>
              <w:rPr>
                <w:rFonts w:hint="eastAsia" w:ascii="仿宋_GB2312" w:hAnsi="仿宋_GB2312" w:eastAsia="仿宋_GB2312" w:cs="仿宋_GB2312"/>
                <w:color w:val="auto"/>
                <w:sz w:val="24"/>
                <w:szCs w:val="24"/>
              </w:rPr>
            </w:pPr>
          </w:p>
        </w:tc>
        <w:tc>
          <w:tcPr>
            <w:tcW w:w="81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16" w:type="dxa"/>
            <w:vAlign w:val="center"/>
          </w:tcPr>
          <w:p>
            <w:pPr>
              <w:jc w:val="center"/>
              <w:rPr>
                <w:rFonts w:hint="eastAsia" w:ascii="仿宋_GB2312" w:hAnsi="仿宋_GB2312" w:eastAsia="仿宋_GB2312" w:cs="仿宋_GB2312"/>
                <w:color w:val="auto"/>
                <w:sz w:val="24"/>
                <w:szCs w:val="24"/>
              </w:rPr>
            </w:pPr>
          </w:p>
        </w:tc>
      </w:tr>
    </w:tbl>
    <w:p>
      <w:pPr>
        <w:rPr>
          <w:rFonts w:ascii="Times New Roman" w:hAnsi="Times New Roman" w:eastAsia="方正小标宋_GBK"/>
          <w:color w:val="auto"/>
          <w:sz w:val="28"/>
          <w:szCs w:val="28"/>
        </w:rPr>
      </w:pPr>
    </w:p>
    <w:p>
      <w:pPr>
        <w:pStyle w:val="3"/>
        <w:pageBreakBefore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rPr>
        <w:sectPr>
          <w:footerReference r:id="rId7" w:type="default"/>
          <w:pgSz w:w="16838" w:h="11906" w:orient="landscape"/>
          <w:pgMar w:top="1474" w:right="1247" w:bottom="1417" w:left="1247" w:header="851" w:footer="992" w:gutter="0"/>
          <w:pgNumType w:fmt="numberInDash" w:start="1"/>
          <w:cols w:space="720" w:num="1"/>
          <w:docGrid w:type="lines" w:linePitch="312" w:charSpace="0"/>
        </w:sectPr>
      </w:pPr>
      <w:bookmarkStart w:id="1" w:name="_Toc8670"/>
    </w:p>
    <w:p>
      <w:pPr>
        <w:pStyle w:val="3"/>
        <w:pageBreakBefore w:val="0"/>
        <w:kinsoku/>
        <w:wordWrap/>
        <w:overflowPunct/>
        <w:topLinePunct w:val="0"/>
        <w:autoSpaceDE/>
        <w:autoSpaceDN/>
        <w:bidi w:val="0"/>
        <w:adjustRightInd/>
        <w:snapToGrid/>
        <w:spacing w:before="0" w:after="0" w:line="240" w:lineRule="auto"/>
        <w:jc w:val="center"/>
        <w:textAlignment w:val="auto"/>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）社会</w:t>
      </w:r>
      <w:r>
        <w:rPr>
          <w:rFonts w:hint="eastAsia" w:ascii="方正小标宋简体" w:hAnsi="方正小标宋简体" w:eastAsia="方正小标宋简体" w:cs="方正小标宋简体"/>
          <w:b w:val="0"/>
          <w:bCs w:val="0"/>
          <w:color w:val="auto"/>
          <w:lang w:eastAsia="zh-CN"/>
        </w:rPr>
        <w:t>保险</w:t>
      </w:r>
      <w:r>
        <w:rPr>
          <w:rFonts w:hint="eastAsia" w:ascii="方正小标宋简体" w:hAnsi="方正小标宋简体" w:eastAsia="方正小标宋简体" w:cs="方正小标宋简体"/>
          <w:b w:val="0"/>
          <w:bCs w:val="0"/>
          <w:color w:val="auto"/>
        </w:rPr>
        <w:t>领域基层政务公开标准目录</w:t>
      </w:r>
    </w:p>
    <w:tbl>
      <w:tblPr>
        <w:tblStyle w:val="6"/>
        <w:tblpPr w:leftFromText="180" w:rightFromText="180" w:vertAnchor="text" w:horzAnchor="page" w:tblpX="849" w:tblpY="1317"/>
        <w:tblOverlap w:val="never"/>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0"/>
        <w:gridCol w:w="346"/>
        <w:gridCol w:w="2122"/>
        <w:gridCol w:w="2286"/>
        <w:gridCol w:w="1978"/>
        <w:gridCol w:w="1363"/>
        <w:gridCol w:w="1014"/>
        <w:gridCol w:w="1489"/>
        <w:gridCol w:w="735"/>
        <w:gridCol w:w="38"/>
        <w:gridCol w:w="669"/>
        <w:gridCol w:w="527"/>
        <w:gridCol w:w="3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noWrap/>
            <w:vAlign w:val="center"/>
          </w:tcPr>
          <w:p>
            <w:pPr>
              <w:widowControl/>
              <w:jc w:val="center"/>
              <w:rPr>
                <w:rFonts w:ascii="黑体" w:hAnsi="Times New Roman" w:eastAsia="黑体"/>
                <w:color w:val="auto"/>
                <w:kern w:val="0"/>
                <w:sz w:val="24"/>
                <w:szCs w:val="24"/>
              </w:rPr>
            </w:pPr>
            <w:r>
              <w:rPr>
                <w:rFonts w:ascii="Times New Roman" w:hAnsi="Times New Roman" w:eastAsia="黑体"/>
                <w:color w:val="auto"/>
                <w:kern w:val="0"/>
                <w:sz w:val="22"/>
              </w:rPr>
              <w:t>序号</w:t>
            </w:r>
          </w:p>
        </w:tc>
        <w:tc>
          <w:tcPr>
            <w:tcW w:w="3648"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公开事项</w:t>
            </w:r>
          </w:p>
        </w:tc>
        <w:tc>
          <w:tcPr>
            <w:tcW w:w="2286"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公开内容（要素）</w:t>
            </w:r>
          </w:p>
        </w:tc>
        <w:tc>
          <w:tcPr>
            <w:tcW w:w="1978"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公开依据</w:t>
            </w:r>
          </w:p>
        </w:tc>
        <w:tc>
          <w:tcPr>
            <w:tcW w:w="1363"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公开时限</w:t>
            </w:r>
          </w:p>
        </w:tc>
        <w:tc>
          <w:tcPr>
            <w:tcW w:w="1014" w:type="dxa"/>
            <w:vMerge w:val="restart"/>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公开主体</w:t>
            </w:r>
          </w:p>
        </w:tc>
        <w:tc>
          <w:tcPr>
            <w:tcW w:w="1489" w:type="dxa"/>
            <w:vMerge w:val="restart"/>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载体</w:t>
            </w:r>
          </w:p>
        </w:tc>
        <w:tc>
          <w:tcPr>
            <w:tcW w:w="1442"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公开对象</w:t>
            </w:r>
          </w:p>
        </w:tc>
        <w:tc>
          <w:tcPr>
            <w:tcW w:w="1315" w:type="dxa"/>
            <w:gridSpan w:val="3"/>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noWrap/>
            <w:vAlign w:val="center"/>
          </w:tcPr>
          <w:p>
            <w:pPr>
              <w:widowControl/>
              <w:jc w:val="center"/>
              <w:rPr>
                <w:rFonts w:ascii="Times New Roman" w:hAnsi="Times New Roman"/>
                <w:color w:val="auto"/>
                <w:kern w:val="0"/>
                <w:sz w:val="16"/>
                <w:szCs w:val="16"/>
              </w:rPr>
            </w:pPr>
          </w:p>
        </w:tc>
        <w:tc>
          <w:tcPr>
            <w:tcW w:w="1526"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一级事项</w:t>
            </w:r>
          </w:p>
        </w:tc>
        <w:tc>
          <w:tcPr>
            <w:tcW w:w="2122" w:type="dxa"/>
            <w:shd w:val="clear" w:color="auto" w:fill="auto"/>
            <w:noWrap/>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事项</w:t>
            </w:r>
          </w:p>
        </w:tc>
        <w:tc>
          <w:tcPr>
            <w:tcW w:w="2286"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978"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363"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014" w:type="dxa"/>
            <w:vMerge w:val="continue"/>
            <w:shd w:val="clear" w:color="auto" w:fill="auto"/>
            <w:noWrap/>
            <w:vAlign w:val="center"/>
          </w:tcPr>
          <w:p>
            <w:pPr>
              <w:widowControl/>
              <w:jc w:val="center"/>
              <w:rPr>
                <w:rFonts w:ascii="黑体" w:hAnsi="宋体" w:eastAsia="黑体" w:cs="宋体"/>
                <w:color w:val="auto"/>
                <w:kern w:val="0"/>
                <w:sz w:val="24"/>
                <w:szCs w:val="24"/>
              </w:rPr>
            </w:pPr>
          </w:p>
        </w:tc>
        <w:tc>
          <w:tcPr>
            <w:tcW w:w="1489" w:type="dxa"/>
            <w:vMerge w:val="continue"/>
            <w:shd w:val="clear" w:color="auto" w:fill="auto"/>
            <w:noWrap/>
            <w:vAlign w:val="center"/>
          </w:tcPr>
          <w:p>
            <w:pPr>
              <w:widowControl/>
              <w:rPr>
                <w:rFonts w:ascii="黑体" w:hAnsi="宋体" w:eastAsia="黑体" w:cs="宋体"/>
                <w:color w:val="auto"/>
                <w:kern w:val="0"/>
                <w:sz w:val="24"/>
                <w:szCs w:val="24"/>
              </w:rPr>
            </w:pPr>
          </w:p>
        </w:tc>
        <w:tc>
          <w:tcPr>
            <w:tcW w:w="735"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全社会</w:t>
            </w:r>
          </w:p>
        </w:tc>
        <w:tc>
          <w:tcPr>
            <w:tcW w:w="707"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特定群众</w:t>
            </w:r>
          </w:p>
        </w:tc>
        <w:tc>
          <w:tcPr>
            <w:tcW w:w="527" w:type="dxa"/>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主动</w:t>
            </w:r>
          </w:p>
        </w:tc>
        <w:tc>
          <w:tcPr>
            <w:tcW w:w="788" w:type="dxa"/>
            <w:gridSpan w:val="2"/>
            <w:shd w:val="clear" w:color="auto" w:fill="auto"/>
            <w:noWrap/>
            <w:vAlign w:val="center"/>
          </w:tcPr>
          <w:p>
            <w:pPr>
              <w:widowControl/>
              <w:jc w:val="center"/>
              <w:rPr>
                <w:rFonts w:ascii="黑体" w:hAnsi="宋体" w:eastAsia="黑体" w:cs="宋体"/>
                <w:color w:val="auto"/>
                <w:kern w:val="0"/>
                <w:sz w:val="24"/>
                <w:szCs w:val="24"/>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6"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1</w:t>
            </w:r>
          </w:p>
        </w:tc>
        <w:tc>
          <w:tcPr>
            <w:tcW w:w="1180" w:type="dxa"/>
            <w:vMerge w:val="restart"/>
            <w:shd w:val="clear" w:color="auto" w:fill="auto"/>
            <w:noWrap/>
            <w:vAlign w:val="center"/>
          </w:tcPr>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社会</w:t>
            </w:r>
          </w:p>
          <w:p>
            <w:pPr>
              <w:jc w:val="center"/>
              <w:rPr>
                <w:rFonts w:hint="eastAsia" w:ascii="仿宋_GB2312" w:hAnsi="宋体" w:eastAsia="仿宋_GB2312"/>
                <w:color w:val="auto"/>
                <w:sz w:val="24"/>
                <w:szCs w:val="24"/>
              </w:rPr>
            </w:pPr>
            <w:r>
              <w:rPr>
                <w:rFonts w:hint="eastAsia" w:ascii="仿宋_GB2312" w:hAnsi="宋体" w:eastAsia="仿宋_GB2312"/>
                <w:color w:val="auto"/>
                <w:sz w:val="24"/>
                <w:szCs w:val="24"/>
              </w:rPr>
              <w:t>保险</w:t>
            </w:r>
          </w:p>
          <w:p>
            <w:pPr>
              <w:jc w:val="center"/>
              <w:rPr>
                <w:rFonts w:ascii="仿宋_GB2312" w:hAnsi="宋体" w:eastAsia="仿宋_GB2312"/>
                <w:color w:val="auto"/>
                <w:sz w:val="24"/>
                <w:szCs w:val="24"/>
              </w:rPr>
            </w:pPr>
            <w:r>
              <w:rPr>
                <w:rFonts w:hint="eastAsia" w:ascii="仿宋_GB2312" w:hAnsi="宋体" w:eastAsia="仿宋_GB2312"/>
                <w:color w:val="auto"/>
                <w:sz w:val="24"/>
                <w:szCs w:val="24"/>
              </w:rPr>
              <w:t>登记</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机关事业单位社会保险登记</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《政府信息公开条例》《社会保险法》《国务院关于机关事业单位工作人员养老保险制度改革的决定》</w:t>
            </w: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参保单位注销</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p>
            <w:pPr>
              <w:rPr>
                <w:rFonts w:ascii="仿宋_GB2312" w:hAnsi="宋体" w:eastAsia="仿宋_GB2312"/>
                <w:color w:val="auto"/>
                <w:sz w:val="24"/>
                <w:szCs w:val="24"/>
              </w:rPr>
            </w:pP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职工参保登记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540" w:type="dxa"/>
            <w:shd w:val="clear" w:color="auto" w:fill="auto"/>
            <w:noWrap/>
            <w:vAlign w:val="center"/>
          </w:tcPr>
          <w:p>
            <w:pPr>
              <w:rPr>
                <w:rFonts w:ascii="仿宋_GB2312" w:hAnsi="宋体" w:eastAsia="仿宋_GB2312"/>
                <w:color w:val="auto"/>
                <w:sz w:val="24"/>
                <w:szCs w:val="24"/>
              </w:rPr>
            </w:pPr>
            <w:r>
              <w:rPr>
                <w:rFonts w:ascii="仿宋_GB2312" w:hAnsi="宋体" w:eastAsia="仿宋_GB2312"/>
                <w:color w:val="auto"/>
                <w:sz w:val="24"/>
                <w:szCs w:val="24"/>
              </w:rPr>
              <w:t>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color w:val="auto"/>
                <w:sz w:val="24"/>
                <w:szCs w:val="24"/>
              </w:rPr>
            </w:pPr>
            <w:r>
              <w:rPr>
                <w:rFonts w:hint="eastAsia" w:ascii="仿宋_GB2312" w:hAnsi="宋体" w:eastAsia="仿宋_GB2312"/>
                <w:color w:val="auto"/>
                <w:sz w:val="24"/>
                <w:szCs w:val="24"/>
              </w:rPr>
              <w:t>企业社会保险登记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54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灵活就业人员、企业职工基本养老保险参保登记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个人基本信息变更</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9</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养老保险待遇发放账户维护申请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0</w:t>
            </w:r>
          </w:p>
        </w:tc>
        <w:tc>
          <w:tcPr>
            <w:tcW w:w="1180"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社会保险缴费申报</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缴费人员增减申报</w:t>
            </w:r>
          </w:p>
        </w:tc>
        <w:tc>
          <w:tcPr>
            <w:tcW w:w="2286"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p>
            <w:pPr>
              <w:rPr>
                <w:rFonts w:ascii="仿宋_GB2312" w:hAnsi="宋体" w:eastAsia="仿宋_GB2312"/>
                <w:color w:val="auto"/>
                <w:sz w:val="24"/>
                <w:szCs w:val="24"/>
              </w:rPr>
            </w:pPr>
          </w:p>
        </w:tc>
        <w:tc>
          <w:tcPr>
            <w:tcW w:w="1363"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p>
            <w:pPr>
              <w:rPr>
                <w:rFonts w:ascii="仿宋_GB2312" w:hAnsi="宋体" w:eastAsia="仿宋_GB2312"/>
                <w:color w:val="auto"/>
                <w:sz w:val="24"/>
                <w:szCs w:val="24"/>
              </w:rPr>
            </w:pPr>
          </w:p>
        </w:tc>
        <w:tc>
          <w:tcPr>
            <w:tcW w:w="1014" w:type="dxa"/>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社会保险参保缴费记录查询</w:t>
            </w: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单位参保证明查询打印</w:t>
            </w: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《政府信息公开条例》《社会保险法》《社会保险费征缴暂行条例》</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ign w:val="center"/>
          </w:tcPr>
          <w:p>
            <w:pPr>
              <w:rPr>
                <w:rFonts w:hint="eastAsia" w:ascii="仿宋_GB2312" w:hAnsi="宋体" w:eastAsia="仿宋_GB2312"/>
                <w:color w:val="auto"/>
                <w:sz w:val="24"/>
                <w:szCs w:val="24"/>
                <w:lang w:eastAsia="zh-CN"/>
              </w:rPr>
            </w:pPr>
            <w:r>
              <w:rPr>
                <w:rFonts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个人权益记录查询打印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城乡居民养老保险待遇申领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暂停养老保险待遇申请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恢复养老保险待遇申请</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16</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个人账户一次性待遇申领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17</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丧葬补助金、抚恤金申领</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18</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居民养老保险注销登记</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19</w:t>
            </w:r>
          </w:p>
        </w:tc>
        <w:tc>
          <w:tcPr>
            <w:tcW w:w="1180"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社会保障卡服务</w:t>
            </w:r>
          </w:p>
        </w:tc>
        <w:tc>
          <w:tcPr>
            <w:tcW w:w="2468" w:type="dxa"/>
            <w:gridSpan w:val="2"/>
            <w:shd w:val="clear" w:color="auto" w:fill="auto"/>
            <w:noWrap/>
            <w:vAlign w:val="center"/>
          </w:tcPr>
          <w:p>
            <w:pPr>
              <w:rPr>
                <w:rFonts w:ascii="仿宋_GB2312" w:hAnsi="宋体" w:eastAsia="仿宋_GB2312"/>
                <w:color w:val="auto"/>
                <w:sz w:val="24"/>
                <w:szCs w:val="24"/>
              </w:rPr>
            </w:pPr>
          </w:p>
        </w:tc>
        <w:tc>
          <w:tcPr>
            <w:tcW w:w="2286"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事项名称、事项简述、办理材料、办理方式、办理时限、结果送达、收费依据及标准、办事时间、办理机构及地点、咨询查询途径、监督投诉渠道</w:t>
            </w:r>
          </w:p>
        </w:tc>
        <w:tc>
          <w:tcPr>
            <w:tcW w:w="1978"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《政府信息公开条例》《社会保险法》《人力资源和社会保障部关于印发“中华人民共和国社会保障卡”管理办法的通知》</w:t>
            </w:r>
          </w:p>
        </w:tc>
        <w:tc>
          <w:tcPr>
            <w:tcW w:w="1363"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公开事项信息形成或变更之日起20个工作日内公开</w:t>
            </w:r>
          </w:p>
        </w:tc>
        <w:tc>
          <w:tcPr>
            <w:tcW w:w="1014" w:type="dxa"/>
            <w:vMerge w:val="restart"/>
            <w:shd w:val="clear" w:color="auto" w:fill="auto"/>
            <w:noWrap/>
            <w:vAlign w:val="center"/>
          </w:tcPr>
          <w:p>
            <w:pPr>
              <w:jc w:val="center"/>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89" w:type="dxa"/>
            <w:vMerge w:val="restart"/>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■便民服务中心</w:t>
            </w:r>
          </w:p>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20</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社会保障卡启用（含社会保障卡银行账户激活）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21</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社会保障卡应用状态查询</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22</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社会保障卡信息变更（非关键信息）</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23</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社会保障卡密码修改与重置</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24</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社会保障卡挂失与解挂</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40" w:type="dxa"/>
            <w:shd w:val="clear" w:color="auto" w:fill="auto"/>
            <w:noWrap/>
            <w:vAlign w:val="center"/>
          </w:tcPr>
          <w:p>
            <w:pP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25</w:t>
            </w:r>
          </w:p>
        </w:tc>
        <w:tc>
          <w:tcPr>
            <w:tcW w:w="1180" w:type="dxa"/>
            <w:vMerge w:val="continue"/>
            <w:shd w:val="clear" w:color="auto" w:fill="auto"/>
            <w:noWrap/>
            <w:vAlign w:val="center"/>
          </w:tcPr>
          <w:p>
            <w:pPr>
              <w:rPr>
                <w:rFonts w:ascii="仿宋_GB2312" w:hAnsi="宋体" w:eastAsia="仿宋_GB2312"/>
                <w:color w:val="auto"/>
                <w:sz w:val="24"/>
                <w:szCs w:val="24"/>
              </w:rPr>
            </w:pPr>
          </w:p>
        </w:tc>
        <w:tc>
          <w:tcPr>
            <w:tcW w:w="2468"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社会保障卡参保地转移</w:t>
            </w:r>
          </w:p>
        </w:tc>
        <w:tc>
          <w:tcPr>
            <w:tcW w:w="2286" w:type="dxa"/>
            <w:vMerge w:val="continue"/>
            <w:shd w:val="clear" w:color="auto" w:fill="auto"/>
            <w:noWrap/>
            <w:vAlign w:val="center"/>
          </w:tcPr>
          <w:p>
            <w:pPr>
              <w:rPr>
                <w:rFonts w:ascii="仿宋_GB2312" w:hAnsi="宋体" w:eastAsia="仿宋_GB2312"/>
                <w:color w:val="auto"/>
                <w:sz w:val="24"/>
                <w:szCs w:val="24"/>
              </w:rPr>
            </w:pPr>
          </w:p>
        </w:tc>
        <w:tc>
          <w:tcPr>
            <w:tcW w:w="1978" w:type="dxa"/>
            <w:vMerge w:val="continue"/>
            <w:shd w:val="clear" w:color="auto" w:fill="auto"/>
            <w:noWrap/>
            <w:vAlign w:val="center"/>
          </w:tcPr>
          <w:p>
            <w:pPr>
              <w:rPr>
                <w:rFonts w:ascii="仿宋_GB2312" w:hAnsi="宋体" w:eastAsia="仿宋_GB2312"/>
                <w:color w:val="auto"/>
                <w:sz w:val="24"/>
                <w:szCs w:val="24"/>
              </w:rPr>
            </w:pPr>
          </w:p>
        </w:tc>
        <w:tc>
          <w:tcPr>
            <w:tcW w:w="1363" w:type="dxa"/>
            <w:vMerge w:val="continue"/>
            <w:shd w:val="clear" w:color="auto" w:fill="auto"/>
            <w:noWrap/>
            <w:vAlign w:val="center"/>
          </w:tcPr>
          <w:p>
            <w:pPr>
              <w:rPr>
                <w:rFonts w:ascii="仿宋_GB2312" w:hAnsi="宋体" w:eastAsia="仿宋_GB2312"/>
                <w:color w:val="auto"/>
                <w:sz w:val="24"/>
                <w:szCs w:val="24"/>
              </w:rPr>
            </w:pPr>
          </w:p>
        </w:tc>
        <w:tc>
          <w:tcPr>
            <w:tcW w:w="1014" w:type="dxa"/>
            <w:vMerge w:val="continue"/>
            <w:shd w:val="clear" w:color="auto" w:fill="auto"/>
            <w:noWrap/>
            <w:vAlign w:val="center"/>
          </w:tcPr>
          <w:p>
            <w:pPr>
              <w:jc w:val="center"/>
              <w:rPr>
                <w:rFonts w:ascii="仿宋_GB2312" w:hAnsi="宋体" w:eastAsia="仿宋_GB2312"/>
                <w:color w:val="auto"/>
                <w:sz w:val="24"/>
                <w:szCs w:val="24"/>
              </w:rPr>
            </w:pPr>
          </w:p>
        </w:tc>
        <w:tc>
          <w:tcPr>
            <w:tcW w:w="1489" w:type="dxa"/>
            <w:vMerge w:val="continue"/>
            <w:shd w:val="clear" w:color="auto" w:fill="auto"/>
            <w:noWrap/>
            <w:vAlign w:val="center"/>
          </w:tcPr>
          <w:p>
            <w:pPr>
              <w:rPr>
                <w:rFonts w:ascii="仿宋_GB2312" w:hAnsi="宋体" w:eastAsia="仿宋_GB2312"/>
                <w:color w:val="auto"/>
                <w:sz w:val="24"/>
                <w:szCs w:val="24"/>
              </w:rPr>
            </w:pPr>
          </w:p>
        </w:tc>
        <w:tc>
          <w:tcPr>
            <w:tcW w:w="773"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669" w:type="dxa"/>
            <w:shd w:val="clear" w:color="auto" w:fill="auto"/>
            <w:noWrap/>
            <w:vAlign w:val="center"/>
          </w:tcPr>
          <w:p>
            <w:pPr>
              <w:rPr>
                <w:rFonts w:ascii="仿宋_GB2312" w:hAnsi="宋体" w:eastAsia="仿宋_GB2312"/>
                <w:color w:val="auto"/>
                <w:sz w:val="24"/>
                <w:szCs w:val="24"/>
              </w:rPr>
            </w:pPr>
          </w:p>
        </w:tc>
        <w:tc>
          <w:tcPr>
            <w:tcW w:w="565" w:type="dxa"/>
            <w:gridSpan w:val="2"/>
            <w:shd w:val="clear" w:color="auto" w:fill="auto"/>
            <w:noWrap/>
            <w:vAlign w:val="center"/>
          </w:tcPr>
          <w:p>
            <w:pPr>
              <w:rPr>
                <w:rFonts w:ascii="仿宋_GB2312" w:hAnsi="宋体" w:eastAsia="仿宋_GB2312"/>
                <w:color w:val="auto"/>
                <w:sz w:val="24"/>
                <w:szCs w:val="24"/>
              </w:rPr>
            </w:pPr>
            <w:r>
              <w:rPr>
                <w:rFonts w:hint="eastAsia" w:ascii="仿宋_GB2312" w:hAnsi="宋体" w:eastAsia="仿宋_GB2312"/>
                <w:color w:val="auto"/>
                <w:sz w:val="24"/>
                <w:szCs w:val="24"/>
              </w:rPr>
              <w:t>√</w:t>
            </w:r>
          </w:p>
        </w:tc>
        <w:tc>
          <w:tcPr>
            <w:tcW w:w="750" w:type="dxa"/>
            <w:shd w:val="clear" w:color="auto" w:fill="auto"/>
            <w:noWrap/>
            <w:vAlign w:val="center"/>
          </w:tcPr>
          <w:p>
            <w:pPr>
              <w:rPr>
                <w:rFonts w:ascii="仿宋_GB2312" w:hAnsi="宋体" w:eastAsia="仿宋_GB2312"/>
                <w:color w:val="auto"/>
                <w:sz w:val="24"/>
                <w:szCs w:val="24"/>
              </w:rPr>
            </w:pPr>
          </w:p>
        </w:tc>
      </w:tr>
    </w:tbl>
    <w:p>
      <w:pPr>
        <w:rPr>
          <w:rFonts w:hint="eastAsia"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）社会救助领域基层政务公开标准目录</w:t>
      </w:r>
      <w:bookmarkEnd w:id="1"/>
    </w:p>
    <w:tbl>
      <w:tblPr>
        <w:tblStyle w:val="6"/>
        <w:tblW w:w="15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834"/>
        <w:gridCol w:w="1159"/>
        <w:gridCol w:w="3016"/>
        <w:gridCol w:w="2357"/>
        <w:gridCol w:w="1658"/>
        <w:gridCol w:w="2010"/>
        <w:gridCol w:w="157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1993"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3016"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7"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8"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公开时限</w:t>
            </w:r>
          </w:p>
        </w:tc>
        <w:tc>
          <w:tcPr>
            <w:tcW w:w="2010"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公开主体</w:t>
            </w:r>
          </w:p>
        </w:tc>
        <w:tc>
          <w:tcPr>
            <w:tcW w:w="1575" w:type="dxa"/>
            <w:vMerge w:val="restart"/>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438"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202" w:type="dxa"/>
            <w:gridSpan w:val="2"/>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7" w:type="dxa"/>
            <w:vMerge w:val="continue"/>
            <w:vAlign w:val="center"/>
          </w:tcPr>
          <w:p>
            <w:pPr>
              <w:widowControl/>
              <w:jc w:val="center"/>
              <w:rPr>
                <w:rFonts w:ascii="Times New Roman" w:hAnsi="Times New Roman" w:eastAsia="黑体"/>
                <w:color w:val="auto"/>
                <w:kern w:val="0"/>
                <w:sz w:val="22"/>
              </w:rPr>
            </w:pPr>
          </w:p>
        </w:tc>
        <w:tc>
          <w:tcPr>
            <w:tcW w:w="834"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一级事项</w:t>
            </w:r>
          </w:p>
        </w:tc>
        <w:tc>
          <w:tcPr>
            <w:tcW w:w="1159"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二级</w:t>
            </w:r>
          </w:p>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3016" w:type="dxa"/>
            <w:vMerge w:val="continue"/>
            <w:vAlign w:val="center"/>
          </w:tcPr>
          <w:p>
            <w:pPr>
              <w:widowControl/>
              <w:jc w:val="center"/>
              <w:rPr>
                <w:rFonts w:ascii="Times New Roman" w:hAnsi="Times New Roman" w:eastAsia="黑体"/>
                <w:color w:val="auto"/>
                <w:kern w:val="0"/>
                <w:sz w:val="22"/>
              </w:rPr>
            </w:pPr>
          </w:p>
        </w:tc>
        <w:tc>
          <w:tcPr>
            <w:tcW w:w="2357" w:type="dxa"/>
            <w:vMerge w:val="continue"/>
            <w:vAlign w:val="center"/>
          </w:tcPr>
          <w:p>
            <w:pPr>
              <w:widowControl/>
              <w:jc w:val="center"/>
              <w:rPr>
                <w:rFonts w:ascii="Times New Roman" w:hAnsi="Times New Roman" w:eastAsia="黑体"/>
                <w:color w:val="auto"/>
                <w:kern w:val="0"/>
                <w:sz w:val="22"/>
              </w:rPr>
            </w:pPr>
          </w:p>
        </w:tc>
        <w:tc>
          <w:tcPr>
            <w:tcW w:w="1658" w:type="dxa"/>
            <w:vMerge w:val="continue"/>
            <w:vAlign w:val="center"/>
          </w:tcPr>
          <w:p>
            <w:pPr>
              <w:widowControl/>
              <w:jc w:val="center"/>
              <w:rPr>
                <w:rFonts w:ascii="Times New Roman" w:hAnsi="Times New Roman" w:eastAsia="黑体"/>
                <w:color w:val="auto"/>
                <w:kern w:val="0"/>
                <w:sz w:val="22"/>
              </w:rPr>
            </w:pPr>
          </w:p>
        </w:tc>
        <w:tc>
          <w:tcPr>
            <w:tcW w:w="2010" w:type="dxa"/>
            <w:vMerge w:val="continue"/>
            <w:vAlign w:val="center"/>
          </w:tcPr>
          <w:p>
            <w:pPr>
              <w:widowControl/>
              <w:jc w:val="center"/>
              <w:rPr>
                <w:rFonts w:ascii="Times New Roman" w:hAnsi="Times New Roman" w:eastAsia="黑体"/>
                <w:color w:val="auto"/>
                <w:kern w:val="0"/>
                <w:sz w:val="22"/>
              </w:rPr>
            </w:pPr>
          </w:p>
        </w:tc>
        <w:tc>
          <w:tcPr>
            <w:tcW w:w="1575" w:type="dxa"/>
            <w:vMerge w:val="continue"/>
            <w:vAlign w:val="center"/>
          </w:tcPr>
          <w:p>
            <w:pPr>
              <w:widowControl/>
              <w:rPr>
                <w:rFonts w:ascii="Times New Roman" w:hAnsi="Times New Roman" w:eastAsia="黑体"/>
                <w:color w:val="auto"/>
                <w:kern w:val="0"/>
                <w:sz w:val="22"/>
              </w:rPr>
            </w:pPr>
          </w:p>
        </w:tc>
        <w:tc>
          <w:tcPr>
            <w:tcW w:w="733"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705"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82"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720" w:type="dxa"/>
            <w:vAlign w:val="center"/>
          </w:tcPr>
          <w:p>
            <w:pPr>
              <w:widowControl/>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《四川省特困人员救助供养工作规程》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特困人员名单及相关信息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34" w:type="dxa"/>
            <w:vMerge w:val="restart"/>
            <w:vAlign w:val="center"/>
          </w:tcPr>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最低生活保障</w:t>
            </w:r>
          </w:p>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《四川省最低生活保障工作规程》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低保对象名单及相关信息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34"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w:t>
            </w: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《四川省医疗救助工作规程》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办理事项、办理条件、救助供养标准、申请材料、办理流程、办理时间、地点、联系方式</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审核信息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初审对象名单及相关信息、终止供养名单</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34" w:type="dxa"/>
            <w:vMerge w:val="continue"/>
            <w:vAlign w:val="center"/>
          </w:tcPr>
          <w:p>
            <w:pPr>
              <w:widowControl/>
              <w:jc w:val="center"/>
              <w:textAlignment w:val="center"/>
              <w:rPr>
                <w:rFonts w:ascii="仿宋_GB2312" w:hAnsi="仿宋_GB2312" w:eastAsia="仿宋_GB2312" w:cs="仿宋_GB2312"/>
                <w:color w:val="auto"/>
                <w:sz w:val="24"/>
                <w:szCs w:val="24"/>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审批信息</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医疗救助人员名单及相关信息</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34" w:type="dxa"/>
            <w:vMerge w:val="restart"/>
            <w:vAlign w:val="center"/>
          </w:tcPr>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hint="eastAsia" w:ascii="仿宋_GB2312" w:hAnsi="仿宋_GB2312" w:eastAsia="仿宋_GB2312" w:cs="仿宋_GB2312"/>
                <w:color w:val="auto"/>
                <w:kern w:val="0"/>
                <w:sz w:val="24"/>
                <w:szCs w:val="24"/>
                <w:lang w:bidi="ar"/>
              </w:rPr>
            </w:pPr>
          </w:p>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w:t>
            </w:r>
          </w:p>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政策法规文件</w:t>
            </w:r>
          </w:p>
        </w:tc>
        <w:tc>
          <w:tcPr>
            <w:tcW w:w="301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《四川省临时救助工作规程》</w:t>
            </w:r>
          </w:p>
        </w:tc>
        <w:tc>
          <w:tcPr>
            <w:tcW w:w="235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制定或获取信息之日起10个工作日内</w:t>
            </w:r>
          </w:p>
        </w:tc>
        <w:tc>
          <w:tcPr>
            <w:tcW w:w="201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14</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办事指南</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根据</w:t>
            </w:r>
            <w:r>
              <w:rPr>
                <w:rFonts w:hint="eastAsia" w:ascii="仿宋_GB2312" w:hAnsi="仿宋_GB2312" w:eastAsia="仿宋_GB2312" w:cs="仿宋_GB2312"/>
                <w:color w:val="auto"/>
                <w:kern w:val="0"/>
                <w:sz w:val="24"/>
                <w:szCs w:val="24"/>
                <w:lang w:eastAsia="zh-CN" w:bidi="ar"/>
              </w:rPr>
              <w:t>曾家</w:t>
            </w:r>
            <w:r>
              <w:rPr>
                <w:rFonts w:hint="eastAsia" w:ascii="仿宋_GB2312" w:hAnsi="仿宋_GB2312" w:eastAsia="仿宋_GB2312" w:cs="仿宋_GB2312"/>
                <w:color w:val="auto"/>
                <w:kern w:val="0"/>
                <w:sz w:val="24"/>
                <w:szCs w:val="24"/>
                <w:lang w:bidi="ar"/>
              </w:rPr>
              <w:t>镇困难群众临时救助实施细则的通知</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15</w:t>
            </w:r>
          </w:p>
        </w:tc>
        <w:tc>
          <w:tcPr>
            <w:tcW w:w="834" w:type="dxa"/>
            <w:vMerge w:val="continue"/>
            <w:vAlign w:val="center"/>
          </w:tcPr>
          <w:p>
            <w:pPr>
              <w:widowControl/>
              <w:jc w:val="center"/>
              <w:textAlignment w:val="center"/>
              <w:rPr>
                <w:rFonts w:ascii="仿宋_GB2312" w:hAnsi="仿宋_GB2312" w:eastAsia="仿宋_GB2312" w:cs="仿宋_GB2312"/>
                <w:color w:val="auto"/>
                <w:kern w:val="0"/>
                <w:sz w:val="24"/>
                <w:szCs w:val="24"/>
                <w:lang w:bidi="ar"/>
              </w:rPr>
            </w:pP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审核审批信息</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临时救助人员花名册及相关信息</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制定或获取信息之日起10-15个工作日内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r>
              <w:rPr>
                <w:rFonts w:hint="eastAsia" w:ascii="仿宋_GB2312" w:hAnsi="仿宋_GB2312" w:eastAsia="仿宋_GB2312" w:cs="仿宋_GB2312"/>
                <w:color w:val="auto"/>
                <w:sz w:val="24"/>
                <w:szCs w:val="24"/>
              </w:rPr>
              <w:t>政务公开栏</w:t>
            </w:r>
          </w:p>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■便民服务中心</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6" w:hRule="atLeast"/>
          <w:jc w:val="center"/>
        </w:trPr>
        <w:tc>
          <w:tcPr>
            <w:tcW w:w="70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34"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w:t>
            </w:r>
          </w:p>
        </w:tc>
        <w:tc>
          <w:tcPr>
            <w:tcW w:w="1159"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社会救助财政资金发放明细</w:t>
            </w:r>
          </w:p>
        </w:tc>
        <w:tc>
          <w:tcPr>
            <w:tcW w:w="3016"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特困人员救助供养、城乡低保、高龄补贴、困难残疾人补贴、重度残疾人护理补贴等资金发放明细</w:t>
            </w:r>
          </w:p>
        </w:tc>
        <w:tc>
          <w:tcPr>
            <w:tcW w:w="2357"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《信息公开条例》及相关规定</w:t>
            </w:r>
          </w:p>
        </w:tc>
        <w:tc>
          <w:tcPr>
            <w:tcW w:w="1658"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制定或获取信息之日起11个工作日内</w:t>
            </w:r>
          </w:p>
        </w:tc>
        <w:tc>
          <w:tcPr>
            <w:tcW w:w="2010"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575" w:type="dxa"/>
            <w:vAlign w:val="center"/>
          </w:tcPr>
          <w:p>
            <w:pPr>
              <w:widowControl/>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■村务公开栏</w:t>
            </w:r>
            <w:r>
              <w:rPr>
                <w:rFonts w:hint="eastAsia" w:ascii="仿宋_GB2312" w:hAnsi="仿宋_GB2312" w:eastAsia="仿宋_GB2312" w:cs="仿宋_GB2312"/>
                <w:color w:val="auto"/>
                <w:sz w:val="24"/>
                <w:szCs w:val="24"/>
              </w:rPr>
              <w:t>（电子屏）</w:t>
            </w:r>
          </w:p>
        </w:tc>
        <w:tc>
          <w:tcPr>
            <w:tcW w:w="733"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05" w:type="dxa"/>
            <w:vAlign w:val="center"/>
          </w:tcPr>
          <w:p>
            <w:pPr>
              <w:jc w:val="center"/>
              <w:rPr>
                <w:rFonts w:ascii="仿宋_GB2312" w:hAnsi="仿宋_GB2312" w:eastAsia="仿宋_GB2312" w:cs="仿宋_GB2312"/>
                <w:color w:val="auto"/>
                <w:sz w:val="24"/>
                <w:szCs w:val="24"/>
              </w:rPr>
            </w:pPr>
          </w:p>
        </w:tc>
        <w:tc>
          <w:tcPr>
            <w:tcW w:w="482" w:type="dxa"/>
            <w:vAlign w:val="center"/>
          </w:tcPr>
          <w:p>
            <w:pPr>
              <w:widowControl/>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2" w:name="_Toc2891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）养老服务领域基层政务公开标准目录</w:t>
      </w:r>
      <w:bookmarkEnd w:id="2"/>
    </w:p>
    <w:tbl>
      <w:tblPr>
        <w:tblStyle w:val="6"/>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8"/>
        <w:gridCol w:w="1988"/>
        <w:gridCol w:w="614"/>
        <w:gridCol w:w="706"/>
        <w:gridCol w:w="7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9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24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88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5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主体</w:t>
            </w:r>
          </w:p>
        </w:tc>
        <w:tc>
          <w:tcPr>
            <w:tcW w:w="198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32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81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8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2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248" w:type="dxa"/>
            <w:vMerge w:val="continue"/>
            <w:vAlign w:val="center"/>
          </w:tcPr>
          <w:p>
            <w:pPr>
              <w:widowControl/>
              <w:jc w:val="center"/>
              <w:rPr>
                <w:rFonts w:ascii="黑体" w:hAnsi="黑体" w:eastAsia="黑体" w:cs="黑体"/>
                <w:color w:val="auto"/>
                <w:kern w:val="0"/>
                <w:sz w:val="22"/>
              </w:rPr>
            </w:pPr>
          </w:p>
        </w:tc>
        <w:tc>
          <w:tcPr>
            <w:tcW w:w="1885" w:type="dxa"/>
            <w:vMerge w:val="continue"/>
            <w:vAlign w:val="center"/>
          </w:tcPr>
          <w:p>
            <w:pPr>
              <w:widowControl/>
              <w:jc w:val="center"/>
              <w:rPr>
                <w:rFonts w:ascii="黑体" w:hAnsi="黑体" w:eastAsia="黑体" w:cs="黑体"/>
                <w:color w:val="auto"/>
                <w:kern w:val="0"/>
                <w:sz w:val="22"/>
              </w:rPr>
            </w:pPr>
          </w:p>
        </w:tc>
        <w:tc>
          <w:tcPr>
            <w:tcW w:w="1340" w:type="dxa"/>
            <w:vMerge w:val="continue"/>
            <w:vAlign w:val="center"/>
          </w:tcPr>
          <w:p>
            <w:pPr>
              <w:widowControl/>
              <w:jc w:val="center"/>
              <w:rPr>
                <w:rFonts w:ascii="黑体" w:hAnsi="黑体" w:eastAsia="黑体" w:cs="黑体"/>
                <w:color w:val="auto"/>
                <w:kern w:val="0"/>
                <w:sz w:val="22"/>
              </w:rPr>
            </w:pPr>
          </w:p>
        </w:tc>
        <w:tc>
          <w:tcPr>
            <w:tcW w:w="1158" w:type="dxa"/>
            <w:vMerge w:val="continue"/>
            <w:vAlign w:val="center"/>
          </w:tcPr>
          <w:p>
            <w:pPr>
              <w:widowControl/>
              <w:jc w:val="center"/>
              <w:rPr>
                <w:rFonts w:ascii="黑体" w:hAnsi="黑体" w:eastAsia="黑体" w:cs="黑体"/>
                <w:color w:val="auto"/>
                <w:kern w:val="0"/>
                <w:sz w:val="22"/>
              </w:rPr>
            </w:pPr>
          </w:p>
        </w:tc>
        <w:tc>
          <w:tcPr>
            <w:tcW w:w="1988" w:type="dxa"/>
            <w:vMerge w:val="continue"/>
            <w:vAlign w:val="center"/>
          </w:tcPr>
          <w:p>
            <w:pPr>
              <w:widowControl/>
              <w:jc w:val="center"/>
              <w:rPr>
                <w:rFonts w:ascii="黑体" w:hAnsi="黑体" w:eastAsia="黑体" w:cs="黑体"/>
                <w:color w:val="auto"/>
                <w:kern w:val="0"/>
                <w:sz w:val="22"/>
              </w:rPr>
            </w:pPr>
          </w:p>
        </w:tc>
        <w:tc>
          <w:tcPr>
            <w:tcW w:w="61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9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10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w:t>
            </w: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办事指南</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办理事项、办理条件、救助供养标准、申请材料、办理流程、办理时间、地点、联系方式</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审核信息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初审对象名单及相关信息、终止供养名单</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高龄补贴人员及相关信息</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56" w:type="dxa"/>
            <w:vMerge w:val="continue"/>
            <w:vAlign w:val="center"/>
          </w:tcPr>
          <w:p>
            <w:pPr>
              <w:jc w:val="center"/>
              <w:rPr>
                <w:rFonts w:ascii="仿宋_GB2312" w:hAnsi="仿宋_GB2312" w:eastAsia="仿宋_GB2312" w:cs="仿宋_GB2312"/>
                <w:color w:val="auto"/>
                <w:sz w:val="24"/>
                <w:szCs w:val="24"/>
              </w:rPr>
            </w:pPr>
          </w:p>
        </w:tc>
        <w:tc>
          <w:tcPr>
            <w:tcW w:w="123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发放信息</w:t>
            </w:r>
          </w:p>
        </w:tc>
        <w:tc>
          <w:tcPr>
            <w:tcW w:w="224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发放时间、对象及金额</w:t>
            </w:r>
          </w:p>
        </w:tc>
        <w:tc>
          <w:tcPr>
            <w:tcW w:w="188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制定或获取信息之日起10个工作日内</w:t>
            </w:r>
          </w:p>
        </w:tc>
        <w:tc>
          <w:tcPr>
            <w:tcW w:w="11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98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1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6" w:type="dxa"/>
            <w:vAlign w:val="center"/>
          </w:tcPr>
          <w:p>
            <w:pPr>
              <w:jc w:val="center"/>
              <w:rPr>
                <w:rFonts w:ascii="仿宋_GB2312" w:hAnsi="仿宋_GB2312" w:eastAsia="仿宋_GB2312" w:cs="仿宋_GB2312"/>
                <w:color w:val="auto"/>
                <w:sz w:val="24"/>
                <w:szCs w:val="24"/>
              </w:rPr>
            </w:pPr>
          </w:p>
        </w:tc>
        <w:tc>
          <w:tcPr>
            <w:tcW w:w="7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23"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3" w:name="_Toc1877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）公共法律服务领域基层政务公开标准目录</w:t>
      </w:r>
      <w:bookmarkEnd w:id="3"/>
    </w:p>
    <w:tbl>
      <w:tblPr>
        <w:tblStyle w:val="6"/>
        <w:tblW w:w="15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941"/>
        <w:gridCol w:w="1254"/>
        <w:gridCol w:w="2374"/>
        <w:gridCol w:w="2181"/>
        <w:gridCol w:w="1245"/>
        <w:gridCol w:w="1250"/>
        <w:gridCol w:w="2536"/>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3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218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4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5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53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4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6" w:type="dxa"/>
            <w:vMerge w:val="continue"/>
            <w:vAlign w:val="center"/>
          </w:tcPr>
          <w:p>
            <w:pPr>
              <w:widowControl/>
              <w:jc w:val="center"/>
              <w:rPr>
                <w:rFonts w:ascii="黑体" w:hAnsi="黑体" w:eastAsia="黑体" w:cs="黑体"/>
                <w:color w:val="auto"/>
                <w:kern w:val="0"/>
                <w:sz w:val="22"/>
              </w:rPr>
            </w:pPr>
          </w:p>
        </w:tc>
        <w:tc>
          <w:tcPr>
            <w:tcW w:w="94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54" w:type="dxa"/>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2374" w:type="dxa"/>
            <w:vMerge w:val="continue"/>
            <w:vAlign w:val="center"/>
          </w:tcPr>
          <w:p>
            <w:pPr>
              <w:widowControl/>
              <w:jc w:val="center"/>
              <w:rPr>
                <w:rFonts w:ascii="黑体" w:hAnsi="黑体" w:eastAsia="黑体" w:cs="黑体"/>
                <w:color w:val="auto"/>
                <w:kern w:val="0"/>
                <w:sz w:val="22"/>
              </w:rPr>
            </w:pPr>
          </w:p>
        </w:tc>
        <w:tc>
          <w:tcPr>
            <w:tcW w:w="2181" w:type="dxa"/>
            <w:vMerge w:val="continue"/>
            <w:vAlign w:val="center"/>
          </w:tcPr>
          <w:p>
            <w:pPr>
              <w:widowControl/>
              <w:jc w:val="center"/>
              <w:rPr>
                <w:rFonts w:ascii="黑体" w:hAnsi="黑体" w:eastAsia="黑体" w:cs="黑体"/>
                <w:color w:val="auto"/>
                <w:kern w:val="0"/>
                <w:sz w:val="22"/>
              </w:rPr>
            </w:pPr>
          </w:p>
        </w:tc>
        <w:tc>
          <w:tcPr>
            <w:tcW w:w="1245" w:type="dxa"/>
            <w:vMerge w:val="continue"/>
            <w:vAlign w:val="center"/>
          </w:tcPr>
          <w:p>
            <w:pPr>
              <w:widowControl/>
              <w:jc w:val="center"/>
              <w:rPr>
                <w:rFonts w:ascii="黑体" w:hAnsi="黑体" w:eastAsia="黑体" w:cs="黑体"/>
                <w:color w:val="auto"/>
                <w:kern w:val="0"/>
                <w:sz w:val="22"/>
              </w:rPr>
            </w:pPr>
          </w:p>
        </w:tc>
        <w:tc>
          <w:tcPr>
            <w:tcW w:w="1250" w:type="dxa"/>
            <w:vMerge w:val="continue"/>
            <w:vAlign w:val="center"/>
          </w:tcPr>
          <w:p>
            <w:pPr>
              <w:widowControl/>
              <w:jc w:val="center"/>
              <w:rPr>
                <w:rFonts w:ascii="黑体" w:hAnsi="黑体" w:eastAsia="黑体" w:cs="黑体"/>
                <w:color w:val="auto"/>
                <w:kern w:val="0"/>
                <w:sz w:val="22"/>
              </w:rPr>
            </w:pPr>
          </w:p>
        </w:tc>
        <w:tc>
          <w:tcPr>
            <w:tcW w:w="2536" w:type="dxa"/>
            <w:vMerge w:val="continue"/>
            <w:vAlign w:val="center"/>
          </w:tcPr>
          <w:p>
            <w:pPr>
              <w:widowControl/>
              <w:rPr>
                <w:rFonts w:ascii="黑体" w:hAnsi="黑体" w:eastAsia="黑体" w:cs="黑体"/>
                <w:color w:val="auto"/>
                <w:kern w:val="0"/>
                <w:sz w:val="22"/>
              </w:rPr>
            </w:pPr>
          </w:p>
        </w:tc>
        <w:tc>
          <w:tcPr>
            <w:tcW w:w="71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4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80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4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23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181" w:type="dxa"/>
            <w:vMerge w:val="restart"/>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《中共中央、国务院转发&lt;中央宣传部、司法部关于在公民中开展法治宣传教育的第八个五年规划2021－2025年）&gt;》、省、市、区“八五”普法规划</w:t>
            </w:r>
          </w:p>
        </w:tc>
        <w:tc>
          <w:tcPr>
            <w:tcW w:w="124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41" w:type="dxa"/>
            <w:vMerge w:val="continue"/>
            <w:vAlign w:val="center"/>
          </w:tcPr>
          <w:p>
            <w:pPr>
              <w:jc w:val="center"/>
              <w:rPr>
                <w:rFonts w:ascii="仿宋_GB2312" w:hAnsi="仿宋_GB2312" w:eastAsia="仿宋_GB2312" w:cs="仿宋_GB2312"/>
                <w:color w:val="auto"/>
                <w:sz w:val="24"/>
                <w:szCs w:val="24"/>
              </w:rPr>
            </w:pP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181" w:type="dxa"/>
            <w:vMerge w:val="continue"/>
            <w:vAlign w:val="center"/>
          </w:tcPr>
          <w:p>
            <w:pPr>
              <w:jc w:val="center"/>
              <w:rPr>
                <w:rFonts w:ascii="仿宋_GB2312" w:hAnsi="仿宋_GB2312" w:eastAsia="仿宋_GB2312" w:cs="仿宋_GB2312"/>
                <w:color w:val="auto"/>
                <w:sz w:val="24"/>
                <w:szCs w:val="24"/>
              </w:rPr>
            </w:pP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法律咨询服务</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6"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4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25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2374" w:type="dxa"/>
            <w:vAlign w:val="center"/>
          </w:tcPr>
          <w:p>
            <w:pPr>
              <w:tabs>
                <w:tab w:val="center" w:pos="4153"/>
                <w:tab w:val="right" w:pos="8306"/>
              </w:tabs>
              <w:snapToGrid w:val="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8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24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及时公开</w:t>
            </w:r>
          </w:p>
        </w:tc>
        <w:tc>
          <w:tcPr>
            <w:tcW w:w="125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3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■“村村响”广播</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widowControl/>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71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9" w:type="dxa"/>
            <w:vAlign w:val="center"/>
          </w:tcPr>
          <w:p>
            <w:pPr>
              <w:jc w:val="center"/>
              <w:rPr>
                <w:rFonts w:ascii="仿宋_GB2312" w:hAnsi="仿宋_GB2312" w:eastAsia="仿宋_GB2312" w:cs="仿宋_GB2312"/>
                <w:color w:val="auto"/>
                <w:sz w:val="24"/>
                <w:szCs w:val="24"/>
              </w:rPr>
            </w:pPr>
          </w:p>
        </w:tc>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01" w:type="dxa"/>
            <w:vAlign w:val="center"/>
          </w:tcPr>
          <w:p>
            <w:pPr>
              <w:jc w:val="center"/>
              <w:rPr>
                <w:rFonts w:ascii="仿宋_GB2312" w:hAnsi="仿宋_GB2312" w:eastAsia="仿宋_GB2312" w:cs="仿宋_GB2312"/>
                <w:color w:val="auto"/>
                <w:sz w:val="24"/>
                <w:szCs w:val="24"/>
              </w:rPr>
            </w:pPr>
          </w:p>
        </w:tc>
      </w:tr>
    </w:tbl>
    <w:p>
      <w:pPr>
        <w:jc w:val="center"/>
        <w:rPr>
          <w:rFonts w:ascii="仿宋_GB2312" w:hAnsi="仿宋_GB2312" w:eastAsia="仿宋_GB2312" w:cs="仿宋_GB2312"/>
          <w:color w:val="auto"/>
          <w:sz w:val="24"/>
          <w:szCs w:val="24"/>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4" w:name="_Toc21986"/>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六</w:t>
      </w:r>
      <w:r>
        <w:rPr>
          <w:rFonts w:hint="eastAsia" w:ascii="方正小标宋简体" w:hAnsi="方正小标宋简体" w:eastAsia="方正小标宋简体" w:cs="方正小标宋简体"/>
          <w:b w:val="0"/>
          <w:bCs w:val="0"/>
          <w:color w:val="auto"/>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33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490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tc>
        <w:tc>
          <w:tcPr>
            <w:tcW w:w="163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23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08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24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ascii="黑体" w:hAnsi="黑体" w:eastAsia="黑体" w:cs="黑体"/>
                <w:color w:val="auto"/>
                <w:kern w:val="0"/>
                <w:sz w:val="22"/>
              </w:rPr>
            </w:pPr>
          </w:p>
        </w:tc>
        <w:tc>
          <w:tcPr>
            <w:tcW w:w="65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67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4905" w:type="dxa"/>
            <w:vMerge w:val="continue"/>
            <w:vAlign w:val="center"/>
          </w:tcPr>
          <w:p>
            <w:pPr>
              <w:widowControl/>
              <w:jc w:val="left"/>
              <w:rPr>
                <w:rFonts w:ascii="黑体" w:hAnsi="黑体" w:eastAsia="黑体" w:cs="黑体"/>
                <w:color w:val="auto"/>
                <w:kern w:val="0"/>
                <w:sz w:val="22"/>
              </w:rPr>
            </w:pPr>
          </w:p>
        </w:tc>
        <w:tc>
          <w:tcPr>
            <w:tcW w:w="1635" w:type="dxa"/>
            <w:vMerge w:val="continue"/>
            <w:vAlign w:val="center"/>
          </w:tcPr>
          <w:p>
            <w:pPr>
              <w:widowControl/>
              <w:jc w:val="left"/>
              <w:rPr>
                <w:rFonts w:ascii="黑体" w:hAnsi="黑体" w:eastAsia="黑体" w:cs="黑体"/>
                <w:color w:val="auto"/>
                <w:kern w:val="0"/>
                <w:sz w:val="22"/>
              </w:rPr>
            </w:pPr>
          </w:p>
        </w:tc>
        <w:tc>
          <w:tcPr>
            <w:tcW w:w="1230" w:type="dxa"/>
            <w:vMerge w:val="continue"/>
            <w:vAlign w:val="center"/>
          </w:tcPr>
          <w:p>
            <w:pPr>
              <w:widowControl/>
              <w:jc w:val="left"/>
              <w:rPr>
                <w:rFonts w:ascii="黑体" w:hAnsi="黑体" w:eastAsia="黑体" w:cs="黑体"/>
                <w:color w:val="auto"/>
                <w:kern w:val="0"/>
                <w:sz w:val="22"/>
              </w:rPr>
            </w:pPr>
          </w:p>
        </w:tc>
        <w:tc>
          <w:tcPr>
            <w:tcW w:w="1170" w:type="dxa"/>
            <w:vMerge w:val="continue"/>
            <w:vAlign w:val="center"/>
          </w:tcPr>
          <w:p>
            <w:pPr>
              <w:widowControl/>
              <w:jc w:val="left"/>
              <w:rPr>
                <w:rFonts w:ascii="黑体" w:hAnsi="黑体" w:eastAsia="黑体" w:cs="黑体"/>
                <w:color w:val="auto"/>
                <w:kern w:val="0"/>
                <w:sz w:val="22"/>
              </w:rPr>
            </w:pPr>
          </w:p>
        </w:tc>
        <w:tc>
          <w:tcPr>
            <w:tcW w:w="1080" w:type="dxa"/>
            <w:vMerge w:val="continue"/>
            <w:vAlign w:val="center"/>
          </w:tcPr>
          <w:p>
            <w:pPr>
              <w:widowControl/>
              <w:jc w:val="left"/>
              <w:rPr>
                <w:rFonts w:ascii="黑体" w:hAnsi="黑体" w:eastAsia="黑体" w:cs="黑体"/>
                <w:color w:val="auto"/>
                <w:kern w:val="0"/>
                <w:sz w:val="22"/>
              </w:rPr>
            </w:pPr>
          </w:p>
        </w:tc>
        <w:tc>
          <w:tcPr>
            <w:tcW w:w="51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35"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4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98"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本部门职责、机构设置情况、预算收支增减变化、机关运行经费安排以及政府采购（主要包括部门政府采购预算总金额和货物、工程、服务采购的预算金额）等情况的说明， </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p>
            <w:pPr>
              <w:widowControl/>
              <w:jc w:val="center"/>
              <w:textAlignment w:val="center"/>
              <w:rPr>
                <w:rFonts w:hint="eastAsia" w:ascii="仿宋_GB2312" w:hAnsi="仿宋_GB2312" w:eastAsia="仿宋_GB2312" w:cs="仿宋_GB2312"/>
                <w:color w:val="auto"/>
                <w:sz w:val="24"/>
                <w:szCs w:val="24"/>
              </w:rPr>
            </w:pPr>
          </w:p>
          <w:p>
            <w:pPr>
              <w:widowControl/>
              <w:jc w:val="center"/>
              <w:textAlignment w:val="center"/>
              <w:rPr>
                <w:rFonts w:hint="eastAsia" w:ascii="仿宋_GB2312" w:hAnsi="仿宋_GB2312" w:eastAsia="仿宋_GB2312" w:cs="仿宋_GB2312"/>
                <w:color w:val="auto"/>
                <w:sz w:val="24"/>
                <w:szCs w:val="24"/>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w:t>
            </w:r>
            <w:r>
              <w:rPr>
                <w:rFonts w:hint="eastAsia" w:ascii="仿宋_GB2312" w:hAnsi="仿宋_GB2312" w:eastAsia="仿宋_GB2312" w:cs="仿宋_GB2312"/>
                <w:color w:val="auto"/>
                <w:sz w:val="24"/>
                <w:szCs w:val="24"/>
                <w:lang w:eastAsia="zh-CN"/>
              </w:rPr>
              <w:t>《财政部关于印发〈地方预决算公开操作规程〉的通知》</w:t>
            </w:r>
            <w:r>
              <w:rPr>
                <w:rFonts w:hint="eastAsia" w:ascii="仿宋_GB2312" w:hAnsi="仿宋_GB2312" w:eastAsia="仿宋_GB2312" w:cs="仿宋_GB2312"/>
                <w:color w:val="auto"/>
                <w:sz w:val="24"/>
                <w:szCs w:val="24"/>
              </w:rPr>
              <w: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5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67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123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17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1080" w:type="dxa"/>
            <w:vMerge w:val="continue"/>
            <w:vAlign w:val="center"/>
          </w:tcPr>
          <w:p>
            <w:pPr>
              <w:widowControl/>
              <w:textAlignment w:val="center"/>
              <w:rPr>
                <w:rFonts w:hint="eastAsia" w:ascii="仿宋_GB2312" w:hAnsi="仿宋_GB2312" w:eastAsia="仿宋_GB2312" w:cs="仿宋_GB2312"/>
                <w:color w:val="auto"/>
                <w:sz w:val="24"/>
                <w:szCs w:val="24"/>
              </w:rPr>
            </w:pPr>
          </w:p>
        </w:tc>
        <w:tc>
          <w:tcPr>
            <w:tcW w:w="510"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35"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c>
          <w:tcPr>
            <w:tcW w:w="798" w:type="dxa"/>
            <w:vMerge w:val="continue"/>
            <w:vAlign w:val="center"/>
          </w:tcPr>
          <w:p>
            <w:pPr>
              <w:widowControl/>
              <w:jc w:val="center"/>
              <w:textAlignment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5" w:name="_Toc31519"/>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）就业领域基层政务公开标准目录</w:t>
      </w:r>
      <w:bookmarkEnd w:id="5"/>
    </w:p>
    <w:tbl>
      <w:tblPr>
        <w:tblStyle w:val="6"/>
        <w:tblW w:w="15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644"/>
        <w:gridCol w:w="3164"/>
        <w:gridCol w:w="2815"/>
        <w:gridCol w:w="1786"/>
        <w:gridCol w:w="1264"/>
        <w:gridCol w:w="1227"/>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64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815"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78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6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2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2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blHeader/>
          <w:jc w:val="center"/>
        </w:trPr>
        <w:tc>
          <w:tcPr>
            <w:tcW w:w="561" w:type="dxa"/>
            <w:vMerge w:val="continue"/>
            <w:vAlign w:val="center"/>
          </w:tcPr>
          <w:p>
            <w:pPr>
              <w:widowControl/>
              <w:jc w:val="center"/>
              <w:rPr>
                <w:rFonts w:ascii="黑体" w:hAnsi="黑体" w:eastAsia="黑体" w:cs="黑体"/>
                <w:color w:val="auto"/>
                <w:kern w:val="0"/>
                <w:sz w:val="22"/>
              </w:rPr>
            </w:pPr>
          </w:p>
        </w:tc>
        <w:tc>
          <w:tcPr>
            <w:tcW w:w="1644" w:type="dxa"/>
            <w:vMerge w:val="continue"/>
            <w:vAlign w:val="center"/>
          </w:tcPr>
          <w:p>
            <w:pPr>
              <w:widowControl/>
              <w:jc w:val="center"/>
              <w:rPr>
                <w:rFonts w:ascii="黑体" w:hAnsi="黑体" w:eastAsia="黑体" w:cs="黑体"/>
                <w:color w:val="auto"/>
                <w:kern w:val="0"/>
                <w:sz w:val="22"/>
              </w:rPr>
            </w:pPr>
          </w:p>
        </w:tc>
        <w:tc>
          <w:tcPr>
            <w:tcW w:w="3164" w:type="dxa"/>
            <w:vMerge w:val="continue"/>
            <w:vAlign w:val="center"/>
          </w:tcPr>
          <w:p>
            <w:pPr>
              <w:widowControl/>
              <w:jc w:val="left"/>
              <w:rPr>
                <w:rFonts w:ascii="黑体" w:hAnsi="黑体" w:eastAsia="黑体" w:cs="黑体"/>
                <w:color w:val="auto"/>
                <w:kern w:val="0"/>
                <w:sz w:val="22"/>
              </w:rPr>
            </w:pPr>
          </w:p>
        </w:tc>
        <w:tc>
          <w:tcPr>
            <w:tcW w:w="2815" w:type="dxa"/>
            <w:vMerge w:val="continue"/>
            <w:vAlign w:val="center"/>
          </w:tcPr>
          <w:p>
            <w:pPr>
              <w:widowControl/>
              <w:jc w:val="left"/>
              <w:rPr>
                <w:rFonts w:ascii="黑体" w:hAnsi="黑体" w:eastAsia="黑体" w:cs="黑体"/>
                <w:color w:val="auto"/>
                <w:kern w:val="0"/>
                <w:sz w:val="22"/>
              </w:rPr>
            </w:pPr>
          </w:p>
        </w:tc>
        <w:tc>
          <w:tcPr>
            <w:tcW w:w="1786" w:type="dxa"/>
            <w:vMerge w:val="continue"/>
            <w:vAlign w:val="center"/>
          </w:tcPr>
          <w:p>
            <w:pPr>
              <w:widowControl/>
              <w:jc w:val="left"/>
              <w:rPr>
                <w:rFonts w:ascii="黑体" w:hAnsi="黑体" w:eastAsia="黑体" w:cs="黑体"/>
                <w:color w:val="auto"/>
                <w:kern w:val="0"/>
                <w:sz w:val="22"/>
              </w:rPr>
            </w:pPr>
          </w:p>
        </w:tc>
        <w:tc>
          <w:tcPr>
            <w:tcW w:w="1264" w:type="dxa"/>
            <w:vMerge w:val="continue"/>
            <w:vAlign w:val="center"/>
          </w:tcPr>
          <w:p>
            <w:pPr>
              <w:widowControl/>
              <w:jc w:val="left"/>
              <w:rPr>
                <w:rFonts w:ascii="黑体" w:hAnsi="黑体" w:eastAsia="黑体" w:cs="黑体"/>
                <w:color w:val="auto"/>
                <w:kern w:val="0"/>
                <w:sz w:val="22"/>
              </w:rPr>
            </w:pPr>
          </w:p>
        </w:tc>
        <w:tc>
          <w:tcPr>
            <w:tcW w:w="1227" w:type="dxa"/>
            <w:vMerge w:val="continue"/>
            <w:vAlign w:val="center"/>
          </w:tcPr>
          <w:p>
            <w:pPr>
              <w:widowControl/>
              <w:jc w:val="left"/>
              <w:rPr>
                <w:rFonts w:ascii="黑体" w:hAnsi="黑体" w:eastAsia="黑体" w:cs="黑体"/>
                <w:color w:val="auto"/>
                <w:kern w:val="0"/>
                <w:sz w:val="22"/>
              </w:rPr>
            </w:pPr>
          </w:p>
        </w:tc>
        <w:tc>
          <w:tcPr>
            <w:tcW w:w="61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1</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职业介绍、职业指导和创业开业指导</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服务内容、服务对象、提交材料、服务时间、服务地点（方式）、咨询电话、服务内容</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公开事项信息形成或变更之日起21个工作日内公开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2</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公共就业服务专项活动</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活动通知、活动时间、参与方式、相关材料、活动地址、咨询电话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3</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就业信息服务</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就业创业政策项目、对象范围、政策申请条件、政策申请材料、办理流程、办理地点（方式）、咨询电话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《政府信息公开条例》、《就业服务与就业管理规定》意见》</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4</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就业失业登记</w:t>
            </w:r>
          </w:p>
        </w:tc>
        <w:tc>
          <w:tcPr>
            <w:tcW w:w="3164"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《政府信息公开条例》、《就业服务与就业管理规定》、《关于印发&lt;四川省就业和失业登记办法&gt;和&lt;四川省就业失业登记证管理办法&gt;的通知》</w:t>
            </w:r>
          </w:p>
        </w:tc>
        <w:tc>
          <w:tcPr>
            <w:tcW w:w="178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center"/>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5</w:t>
            </w:r>
          </w:p>
        </w:tc>
        <w:tc>
          <w:tcPr>
            <w:tcW w:w="164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创业服务</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《政府信息公开条例》、《国务院关于做好当前和今后一段时期就业创业工作的意见》、《财政厅人力资源社会保障厅关于印发中央和省级就业创业补助资金管理办法的通知》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r>
              <w:rPr>
                <w:rFonts w:hint="eastAsia" w:ascii="仿宋_GB2312" w:hAnsi="宋体" w:eastAsia="仿宋_GB2312" w:cs="仿宋_GB2312"/>
                <w:color w:val="auto"/>
                <w:kern w:val="0"/>
                <w:sz w:val="24"/>
                <w:szCs w:val="24"/>
                <w:lang w:val="en-US" w:eastAsia="zh-CN" w:bidi="ar"/>
              </w:rPr>
              <w:t>6</w:t>
            </w:r>
          </w:p>
        </w:tc>
        <w:tc>
          <w:tcPr>
            <w:tcW w:w="164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职业培训</w:t>
            </w:r>
          </w:p>
        </w:tc>
        <w:tc>
          <w:tcPr>
            <w:tcW w:w="3164" w:type="dxa"/>
            <w:vAlign w:val="center"/>
          </w:tcPr>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对象范围、申请人权利和义务、申请条件、申请材料、办理流程、办理时限、办理地点（方式）、办理结果告知方式、咨询电话</w:t>
            </w:r>
          </w:p>
        </w:tc>
        <w:tc>
          <w:tcPr>
            <w:tcW w:w="2815"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《政府信息公开条例》、《关于印发&lt;四川省就业创业培训管理办法&gt; 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786"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公开事项信息形成或变更之日起20个工作日内公开</w:t>
            </w:r>
          </w:p>
        </w:tc>
        <w:tc>
          <w:tcPr>
            <w:tcW w:w="1264" w:type="dxa"/>
            <w:vAlign w:val="center"/>
          </w:tcPr>
          <w:p>
            <w:pPr>
              <w:widowControl/>
              <w:jc w:val="center"/>
              <w:textAlignment w:val="center"/>
              <w:rPr>
                <w:rFonts w:ascii="仿宋_GB2312" w:hAnsi="宋体"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27" w:type="dxa"/>
            <w:vAlign w:val="center"/>
          </w:tcPr>
          <w:p>
            <w:pPr>
              <w:widowControl/>
              <w:jc w:val="left"/>
              <w:textAlignment w:val="center"/>
              <w:rPr>
                <w:rFonts w:hint="eastAsia" w:ascii="仿宋_GB2312" w:hAnsi="宋体" w:eastAsia="仿宋_GB2312" w:cs="仿宋_GB2312"/>
                <w:color w:val="auto"/>
                <w:kern w:val="0"/>
                <w:sz w:val="24"/>
                <w:szCs w:val="24"/>
                <w:lang w:eastAsia="zh-CN" w:bidi="ar"/>
              </w:rPr>
            </w:pPr>
          </w:p>
          <w:p>
            <w:pPr>
              <w:widowControl/>
              <w:jc w:val="left"/>
              <w:textAlignment w:val="center"/>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■便民服务中心</w:t>
            </w:r>
          </w:p>
        </w:tc>
        <w:tc>
          <w:tcPr>
            <w:tcW w:w="61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宋体" w:eastAsia="仿宋_GB2312" w:cs="仿宋_GB2312"/>
                <w:color w:val="auto"/>
                <w:kern w:val="0"/>
                <w:sz w:val="24"/>
                <w:szCs w:val="24"/>
                <w:lang w:bidi="ar"/>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6" w:name="_Toc18188"/>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八</w:t>
      </w:r>
      <w:r>
        <w:rPr>
          <w:rFonts w:hint="eastAsia" w:ascii="方正小标宋简体" w:hAnsi="方正小标宋简体" w:eastAsia="方正小标宋简体" w:cs="方正小标宋简体"/>
          <w:b w:val="0"/>
          <w:bCs w:val="0"/>
          <w:color w:val="auto"/>
        </w:rPr>
        <w:t>）</w:t>
      </w:r>
      <w:bookmarkEnd w:id="6"/>
      <w:bookmarkStart w:id="7" w:name="_Toc14954"/>
      <w:r>
        <w:rPr>
          <w:rFonts w:hint="eastAsia" w:ascii="方正小标宋简体" w:hAnsi="方正小标宋简体" w:eastAsia="方正小标宋简体" w:cs="方正小标宋简体"/>
          <w:b w:val="0"/>
          <w:bCs w:val="0"/>
          <w:color w:val="auto"/>
        </w:rPr>
        <w:t>生态环境领域基层政务公开标准目录</w:t>
      </w:r>
      <w:bookmarkEnd w:id="7"/>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72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3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7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62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0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39" w:type="dxa"/>
            <w:vMerge w:val="continue"/>
            <w:vAlign w:val="center"/>
          </w:tcPr>
          <w:p>
            <w:pPr>
              <w:widowControl/>
              <w:jc w:val="center"/>
              <w:rPr>
                <w:rFonts w:ascii="黑体" w:hAnsi="黑体" w:eastAsia="黑体" w:cs="黑体"/>
                <w:color w:val="auto"/>
                <w:kern w:val="0"/>
                <w:sz w:val="22"/>
              </w:rPr>
            </w:pPr>
          </w:p>
        </w:tc>
        <w:tc>
          <w:tcPr>
            <w:tcW w:w="270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center"/>
              <w:rPr>
                <w:rFonts w:ascii="黑体" w:hAnsi="黑体" w:eastAsia="黑体" w:cs="黑体"/>
                <w:color w:val="auto"/>
                <w:kern w:val="0"/>
                <w:sz w:val="22"/>
              </w:rPr>
            </w:pPr>
          </w:p>
        </w:tc>
        <w:tc>
          <w:tcPr>
            <w:tcW w:w="720" w:type="dxa"/>
            <w:vMerge w:val="continue"/>
            <w:vAlign w:val="center"/>
          </w:tcPr>
          <w:p>
            <w:pPr>
              <w:widowControl/>
              <w:jc w:val="center"/>
              <w:rPr>
                <w:rFonts w:ascii="黑体" w:hAnsi="黑体" w:eastAsia="黑体" w:cs="黑体"/>
                <w:color w:val="auto"/>
                <w:kern w:val="0"/>
                <w:sz w:val="22"/>
              </w:rPr>
            </w:pPr>
          </w:p>
        </w:tc>
        <w:tc>
          <w:tcPr>
            <w:tcW w:w="1620"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生态环境保护政策与业务咨询答复函</w:t>
            </w:r>
          </w:p>
        </w:tc>
        <w:tc>
          <w:tcPr>
            <w:tcW w:w="27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w:t>
            </w:r>
          </w:p>
        </w:tc>
        <w:tc>
          <w:tcPr>
            <w:tcW w:w="162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Merge w:val="restart"/>
            <w:vAlign w:val="center"/>
          </w:tcPr>
          <w:p>
            <w:pPr>
              <w:jc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p/>
        </w:tc>
        <w:tc>
          <w:tcPr>
            <w:tcW w:w="1620" w:type="dxa"/>
            <w:vMerge w:val="restart"/>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jc w:val="center"/>
              <w:rPr>
                <w:rFonts w:ascii="仿宋_GB2312" w:hAnsi="仿宋_GB2312" w:eastAsia="仿宋_GB2312" w:cs="仿宋_GB2312"/>
                <w:color w:val="auto"/>
                <w:sz w:val="24"/>
                <w:szCs w:val="24"/>
              </w:rPr>
            </w:pPr>
          </w:p>
        </w:tc>
        <w:tc>
          <w:tcPr>
            <w:tcW w:w="720" w:type="dxa"/>
            <w:vMerge w:val="continue"/>
            <w:vAlign w:val="center"/>
          </w:tcPr>
          <w:p>
            <w:pPr>
              <w:jc w:val="center"/>
              <w:rPr>
                <w:rFonts w:ascii="仿宋_GB2312" w:hAnsi="仿宋_GB2312" w:eastAsia="仿宋_GB2312" w:cs="仿宋_GB2312"/>
                <w:color w:val="auto"/>
                <w:sz w:val="24"/>
                <w:szCs w:val="24"/>
              </w:rPr>
            </w:pPr>
          </w:p>
        </w:tc>
        <w:tc>
          <w:tcPr>
            <w:tcW w:w="1620" w:type="dxa"/>
            <w:vMerge w:val="continue"/>
            <w:vAlign w:val="center"/>
          </w:tcPr>
          <w:p>
            <w:pPr>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jc w:val="center"/>
              <w:rPr>
                <w:rFonts w:ascii="仿宋_GB2312" w:hAnsi="仿宋_GB2312" w:eastAsia="仿宋_GB2312" w:cs="仿宋_GB2312"/>
                <w:color w:val="auto"/>
                <w:sz w:val="24"/>
                <w:szCs w:val="24"/>
              </w:rPr>
            </w:pPr>
          </w:p>
        </w:tc>
        <w:tc>
          <w:tcPr>
            <w:tcW w:w="100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生态环境污染举报咨询</w:t>
            </w:r>
          </w:p>
        </w:tc>
        <w:tc>
          <w:tcPr>
            <w:tcW w:w="273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生态环境举报、咨询电话号码</w:t>
            </w:r>
          </w:p>
        </w:tc>
        <w:tc>
          <w:tcPr>
            <w:tcW w:w="27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《环境保护法》《政府信息公开条例》《环境信访办法》</w:t>
            </w:r>
          </w:p>
        </w:tc>
        <w:tc>
          <w:tcPr>
            <w:tcW w:w="16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2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jc w:val="left"/>
              <w:rPr>
                <w:rFonts w:ascii="仿宋_GB2312" w:hAnsi="仿宋_GB2312" w:eastAsia="仿宋_GB2312" w:cs="仿宋_GB2312"/>
                <w:color w:val="auto"/>
                <w:sz w:val="24"/>
                <w:szCs w:val="24"/>
              </w:rPr>
            </w:pP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ascii="仿宋_GB2312" w:hAnsi="仿宋_GB2312" w:eastAsia="仿宋_GB2312" w:cs="仿宋_GB2312"/>
                <w:color w:val="auto"/>
                <w:sz w:val="24"/>
                <w:szCs w:val="24"/>
              </w:rPr>
            </w:pP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bl>
    <w:p>
      <w:pPr>
        <w:pStyle w:val="3"/>
        <w:spacing w:before="0" w:after="0" w:line="240" w:lineRule="auto"/>
        <w:jc w:val="both"/>
        <w:rPr>
          <w:rFonts w:ascii="方正小标宋简体" w:hAnsi="方正小标宋简体" w:eastAsia="方正小标宋简体" w:cs="方正小标宋简体"/>
          <w:b w:val="0"/>
          <w:bCs w:val="0"/>
          <w:color w:val="auto"/>
        </w:rPr>
      </w:pPr>
    </w:p>
    <w:p>
      <w:pPr>
        <w:rPr>
          <w:color w:val="auto"/>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8" w:name="_Toc12965"/>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）国有土地上房屋征收与补偿领域基层政务公开标准目录</w:t>
      </w:r>
      <w:bookmarkEnd w:id="8"/>
    </w:p>
    <w:p>
      <w:pPr>
        <w:rPr>
          <w:color w:val="auto"/>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32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60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326"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3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60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800" w:type="dxa"/>
            <w:vMerge w:val="continue"/>
            <w:vAlign w:val="center"/>
          </w:tcPr>
          <w:p>
            <w:pPr>
              <w:widowControl/>
              <w:jc w:val="center"/>
              <w:rPr>
                <w:rFonts w:ascii="黑体" w:hAnsi="黑体" w:eastAsia="黑体" w:cs="黑体"/>
                <w:color w:val="auto"/>
                <w:kern w:val="0"/>
                <w:sz w:val="22"/>
              </w:rPr>
            </w:pPr>
          </w:p>
        </w:tc>
        <w:tc>
          <w:tcPr>
            <w:tcW w:w="3240" w:type="dxa"/>
            <w:vMerge w:val="continue"/>
            <w:vAlign w:val="center"/>
          </w:tcPr>
          <w:p>
            <w:pPr>
              <w:widowControl/>
              <w:jc w:val="center"/>
              <w:rPr>
                <w:rFonts w:ascii="黑体" w:hAnsi="黑体" w:eastAsia="黑体" w:cs="黑体"/>
                <w:color w:val="auto"/>
                <w:kern w:val="0"/>
                <w:sz w:val="22"/>
              </w:rPr>
            </w:pPr>
          </w:p>
        </w:tc>
        <w:tc>
          <w:tcPr>
            <w:tcW w:w="1608" w:type="dxa"/>
            <w:vMerge w:val="continue"/>
            <w:vAlign w:val="center"/>
          </w:tcPr>
          <w:p>
            <w:pPr>
              <w:widowControl/>
              <w:jc w:val="center"/>
              <w:rPr>
                <w:rFonts w:ascii="黑体" w:hAnsi="黑体" w:eastAsia="黑体" w:cs="黑体"/>
                <w:color w:val="auto"/>
                <w:kern w:val="0"/>
                <w:sz w:val="22"/>
              </w:rPr>
            </w:pPr>
          </w:p>
        </w:tc>
        <w:tc>
          <w:tcPr>
            <w:tcW w:w="1326" w:type="dxa"/>
            <w:vMerge w:val="continue"/>
            <w:vAlign w:val="center"/>
          </w:tcPr>
          <w:p>
            <w:pPr>
              <w:widowControl/>
              <w:jc w:val="center"/>
              <w:rPr>
                <w:rFonts w:ascii="黑体" w:hAnsi="黑体" w:eastAsia="黑体" w:cs="黑体"/>
                <w:color w:val="auto"/>
                <w:kern w:val="0"/>
                <w:sz w:val="22"/>
              </w:rPr>
            </w:pPr>
          </w:p>
        </w:tc>
        <w:tc>
          <w:tcPr>
            <w:tcW w:w="1328"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88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评估</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被征收房屋评估</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分户的初步评估结果。</w:t>
            </w:r>
          </w:p>
        </w:tc>
        <w:tc>
          <w:tcPr>
            <w:tcW w:w="324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补偿</w:t>
            </w: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分户补偿情况</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分户补偿结果。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■政务公开栏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■拟拆迁区域</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9" w:name="_Toc4397"/>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w:t>
      </w:r>
      <w:r>
        <w:rPr>
          <w:rFonts w:hint="eastAsia" w:ascii="方正小标宋简体" w:hAnsi="方正小标宋简体" w:eastAsia="方正小标宋简体" w:cs="方正小标宋简体"/>
          <w:b w:val="0"/>
          <w:bCs w:val="0"/>
          <w:color w:val="auto"/>
        </w:rPr>
        <w:t>）农村危房改造领域基层政务公开标准目录</w:t>
      </w:r>
      <w:bookmarkEnd w:id="9"/>
    </w:p>
    <w:p>
      <w:pPr>
        <w:rPr>
          <w:color w:val="auto"/>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123"/>
        <w:gridCol w:w="1649"/>
        <w:gridCol w:w="3428"/>
        <w:gridCol w:w="1332"/>
        <w:gridCol w:w="1213"/>
        <w:gridCol w:w="1491"/>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023"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64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42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33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1"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29"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12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1649" w:type="dxa"/>
            <w:vMerge w:val="continue"/>
            <w:vAlign w:val="center"/>
          </w:tcPr>
          <w:p>
            <w:pPr>
              <w:widowControl/>
              <w:jc w:val="left"/>
              <w:rPr>
                <w:rFonts w:ascii="黑体" w:hAnsi="黑体" w:eastAsia="黑体" w:cs="黑体"/>
                <w:color w:val="auto"/>
                <w:kern w:val="0"/>
                <w:sz w:val="22"/>
              </w:rPr>
            </w:pPr>
          </w:p>
        </w:tc>
        <w:tc>
          <w:tcPr>
            <w:tcW w:w="3428" w:type="dxa"/>
            <w:vMerge w:val="continue"/>
            <w:vAlign w:val="center"/>
          </w:tcPr>
          <w:p>
            <w:pPr>
              <w:widowControl/>
              <w:jc w:val="left"/>
              <w:rPr>
                <w:rFonts w:ascii="黑体" w:hAnsi="黑体" w:eastAsia="黑体" w:cs="黑体"/>
                <w:color w:val="auto"/>
                <w:kern w:val="0"/>
                <w:sz w:val="22"/>
              </w:rPr>
            </w:pPr>
          </w:p>
        </w:tc>
        <w:tc>
          <w:tcPr>
            <w:tcW w:w="1332" w:type="dxa"/>
            <w:vMerge w:val="continue"/>
            <w:vAlign w:val="center"/>
          </w:tcPr>
          <w:p>
            <w:pPr>
              <w:widowControl/>
              <w:jc w:val="left"/>
              <w:rPr>
                <w:rFonts w:ascii="黑体" w:hAnsi="黑体" w:eastAsia="黑体" w:cs="黑体"/>
                <w:color w:val="auto"/>
                <w:kern w:val="0"/>
                <w:sz w:val="22"/>
              </w:rPr>
            </w:pPr>
          </w:p>
        </w:tc>
        <w:tc>
          <w:tcPr>
            <w:tcW w:w="1213" w:type="dxa"/>
            <w:vMerge w:val="continue"/>
            <w:vAlign w:val="center"/>
          </w:tcPr>
          <w:p>
            <w:pPr>
              <w:widowControl/>
              <w:jc w:val="left"/>
              <w:rPr>
                <w:rFonts w:ascii="黑体" w:hAnsi="黑体" w:eastAsia="黑体" w:cs="黑体"/>
                <w:color w:val="auto"/>
                <w:kern w:val="0"/>
                <w:sz w:val="22"/>
              </w:rPr>
            </w:pPr>
          </w:p>
        </w:tc>
        <w:tc>
          <w:tcPr>
            <w:tcW w:w="1491" w:type="dxa"/>
            <w:vMerge w:val="continue"/>
            <w:vAlign w:val="center"/>
          </w:tcPr>
          <w:p>
            <w:pPr>
              <w:widowControl/>
              <w:jc w:val="left"/>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649"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33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64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332"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21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1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123"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649"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33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21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1"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p>
            <w:pPr>
              <w:widowControl/>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（电子屏）</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bookmarkStart w:id="10" w:name="_Toc28063"/>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一</w:t>
      </w:r>
      <w:r>
        <w:rPr>
          <w:rFonts w:hint="eastAsia" w:ascii="方正小标宋简体" w:hAnsi="方正小标宋简体" w:eastAsia="方正小标宋简体" w:cs="方正小标宋简体"/>
          <w:b w:val="0"/>
          <w:bCs w:val="0"/>
          <w:color w:val="auto"/>
        </w:rPr>
        <w:t>）涉农补贴领域基层政务公开标准目录</w:t>
      </w:r>
      <w:bookmarkEnd w:id="10"/>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473"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753"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auto"/>
                <w:kern w:val="0"/>
                <w:sz w:val="22"/>
              </w:rPr>
            </w:pPr>
          </w:p>
        </w:tc>
        <w:tc>
          <w:tcPr>
            <w:tcW w:w="652"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《农业机械化促进法》、《农业生产发展资金管理办法》、《2021-2023年农机购置补贴实施指导意见》（农办计财〔2021〕8号）</w:t>
            </w:r>
          </w:p>
        </w:tc>
        <w:tc>
          <w:tcPr>
            <w:tcW w:w="198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强制扑杀补助</w:t>
            </w:r>
          </w:p>
        </w:tc>
        <w:tc>
          <w:tcPr>
            <w:tcW w:w="3775"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政策依据；</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申请指南：补贴范围及对象、补贴标准、申请程序、申请材料、咨询电话等；</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补贴结果；</w:t>
            </w:r>
          </w:p>
          <w:p>
            <w:pPr>
              <w:widowControl/>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《动物防疫法》、《动物防疫等补助经费管理办法》(财农〔2017〕43号)</w:t>
            </w:r>
          </w:p>
        </w:tc>
        <w:tc>
          <w:tcPr>
            <w:tcW w:w="1982"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widowControl/>
              <w:jc w:val="center"/>
              <w:textAlignment w:val="top"/>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4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jc w:val="center"/>
              <w:rPr>
                <w:rFonts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 xml:space="preserve"> √</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1" w:name="_Toc1888"/>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二</w:t>
      </w:r>
      <w:r>
        <w:rPr>
          <w:rFonts w:hint="eastAsia" w:ascii="方正小标宋简体" w:hAnsi="方正小标宋简体" w:eastAsia="方正小标宋简体" w:cs="方正小标宋简体"/>
          <w:b w:val="0"/>
          <w:bCs w:val="0"/>
          <w:color w:val="auto"/>
        </w:rPr>
        <w:t>）公共文化服务领域基层政务公开标准目录</w:t>
      </w:r>
      <w:bookmarkEnd w:id="11"/>
    </w:p>
    <w:tbl>
      <w:tblPr>
        <w:tblStyle w:val="6"/>
        <w:tblW w:w="15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63"/>
        <w:gridCol w:w="1146"/>
        <w:gridCol w:w="2468"/>
        <w:gridCol w:w="3694"/>
        <w:gridCol w:w="1404"/>
        <w:gridCol w:w="1035"/>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序号</w:t>
            </w:r>
          </w:p>
        </w:tc>
        <w:tc>
          <w:tcPr>
            <w:tcW w:w="190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公开事项</w:t>
            </w:r>
          </w:p>
        </w:tc>
        <w:tc>
          <w:tcPr>
            <w:tcW w:w="2468"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公开内容（要素）</w:t>
            </w:r>
          </w:p>
        </w:tc>
        <w:tc>
          <w:tcPr>
            <w:tcW w:w="369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公开依据</w:t>
            </w:r>
          </w:p>
        </w:tc>
        <w:tc>
          <w:tcPr>
            <w:tcW w:w="1404"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公开时限</w:t>
            </w:r>
          </w:p>
        </w:tc>
        <w:tc>
          <w:tcPr>
            <w:tcW w:w="1035"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公开主体</w:t>
            </w:r>
          </w:p>
        </w:tc>
        <w:tc>
          <w:tcPr>
            <w:tcW w:w="1440" w:type="dxa"/>
            <w:vMerge w:val="restart"/>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公开渠道和载体</w:t>
            </w:r>
          </w:p>
        </w:tc>
        <w:tc>
          <w:tcPr>
            <w:tcW w:w="1429"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公开对象</w:t>
            </w:r>
          </w:p>
        </w:tc>
        <w:tc>
          <w:tcPr>
            <w:tcW w:w="1271" w:type="dxa"/>
            <w:gridSpan w:val="2"/>
            <w:vAlign w:val="center"/>
          </w:tcPr>
          <w:p>
            <w:pPr>
              <w:widowControl/>
              <w:jc w:val="center"/>
              <w:rPr>
                <w:rFonts w:ascii="Times New Roman" w:hAnsi="Times New Roman"/>
                <w:color w:val="auto"/>
                <w:kern w:val="0"/>
                <w:sz w:val="22"/>
              </w:rPr>
            </w:pPr>
            <w:r>
              <w:rPr>
                <w:rFonts w:ascii="Times New Roman" w:hAnsi="Times New Roman"/>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Merge w:val="continue"/>
            <w:vAlign w:val="center"/>
          </w:tcPr>
          <w:p>
            <w:pPr>
              <w:widowControl/>
              <w:jc w:val="left"/>
              <w:rPr>
                <w:rFonts w:ascii="Times New Roman" w:hAnsi="Times New Roman"/>
                <w:color w:val="auto"/>
                <w:kern w:val="0"/>
                <w:sz w:val="22"/>
              </w:rPr>
            </w:pPr>
          </w:p>
        </w:tc>
        <w:tc>
          <w:tcPr>
            <w:tcW w:w="763"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一级事项</w:t>
            </w:r>
          </w:p>
        </w:tc>
        <w:tc>
          <w:tcPr>
            <w:tcW w:w="1146"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二级事项</w:t>
            </w:r>
          </w:p>
        </w:tc>
        <w:tc>
          <w:tcPr>
            <w:tcW w:w="2468" w:type="dxa"/>
            <w:vMerge w:val="continue"/>
            <w:vAlign w:val="center"/>
          </w:tcPr>
          <w:p>
            <w:pPr>
              <w:widowControl/>
              <w:jc w:val="left"/>
              <w:rPr>
                <w:rFonts w:ascii="Times New Roman" w:hAnsi="Times New Roman"/>
                <w:color w:val="auto"/>
                <w:kern w:val="0"/>
                <w:sz w:val="22"/>
              </w:rPr>
            </w:pPr>
          </w:p>
        </w:tc>
        <w:tc>
          <w:tcPr>
            <w:tcW w:w="3694" w:type="dxa"/>
            <w:vMerge w:val="continue"/>
            <w:vAlign w:val="center"/>
          </w:tcPr>
          <w:p>
            <w:pPr>
              <w:widowControl/>
              <w:jc w:val="left"/>
              <w:rPr>
                <w:rFonts w:ascii="Times New Roman" w:hAnsi="Times New Roman"/>
                <w:color w:val="auto"/>
                <w:kern w:val="0"/>
                <w:sz w:val="22"/>
              </w:rPr>
            </w:pPr>
          </w:p>
        </w:tc>
        <w:tc>
          <w:tcPr>
            <w:tcW w:w="1404" w:type="dxa"/>
            <w:vMerge w:val="continue"/>
            <w:vAlign w:val="center"/>
          </w:tcPr>
          <w:p>
            <w:pPr>
              <w:widowControl/>
              <w:jc w:val="left"/>
              <w:rPr>
                <w:rFonts w:ascii="Times New Roman" w:hAnsi="Times New Roman"/>
                <w:color w:val="auto"/>
                <w:kern w:val="0"/>
                <w:sz w:val="22"/>
              </w:rPr>
            </w:pPr>
          </w:p>
        </w:tc>
        <w:tc>
          <w:tcPr>
            <w:tcW w:w="1035" w:type="dxa"/>
            <w:vMerge w:val="continue"/>
            <w:vAlign w:val="center"/>
          </w:tcPr>
          <w:p>
            <w:pPr>
              <w:widowControl/>
              <w:jc w:val="left"/>
              <w:rPr>
                <w:rFonts w:ascii="Times New Roman" w:hAnsi="Times New Roman"/>
                <w:color w:val="auto"/>
                <w:kern w:val="0"/>
                <w:sz w:val="22"/>
              </w:rPr>
            </w:pPr>
          </w:p>
        </w:tc>
        <w:tc>
          <w:tcPr>
            <w:tcW w:w="14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全社会</w:t>
            </w:r>
          </w:p>
        </w:tc>
        <w:tc>
          <w:tcPr>
            <w:tcW w:w="709"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特定群众</w:t>
            </w:r>
          </w:p>
        </w:tc>
        <w:tc>
          <w:tcPr>
            <w:tcW w:w="551"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主动</w:t>
            </w:r>
          </w:p>
        </w:tc>
        <w:tc>
          <w:tcPr>
            <w:tcW w:w="720" w:type="dxa"/>
            <w:vAlign w:val="center"/>
          </w:tcPr>
          <w:p>
            <w:pPr>
              <w:widowControl/>
              <w:jc w:val="center"/>
              <w:rPr>
                <w:rFonts w:ascii="Times New Roman" w:hAnsi="Times New Roman"/>
                <w:color w:val="auto"/>
                <w:kern w:val="0"/>
                <w:sz w:val="22"/>
              </w:rPr>
            </w:pPr>
            <w:r>
              <w:rPr>
                <w:rFonts w:ascii="Times New Roman" w:hAnsi="Times New Roman"/>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63"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146"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246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1.机构名称；</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2.开放时间；</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3.机构地址；</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4.联系电话；</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369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40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0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4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2" w:name="_Toc8061"/>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三</w:t>
      </w:r>
      <w:r>
        <w:rPr>
          <w:rFonts w:hint="eastAsia" w:ascii="方正小标宋简体" w:hAnsi="方正小标宋简体" w:eastAsia="方正小标宋简体" w:cs="方正小标宋简体"/>
          <w:b w:val="0"/>
          <w:bCs w:val="0"/>
          <w:color w:val="auto"/>
        </w:rPr>
        <w:t>）卫生健康领域基层政务公开标准目录</w:t>
      </w:r>
      <w:bookmarkEnd w:id="12"/>
    </w:p>
    <w:tbl>
      <w:tblPr>
        <w:tblStyle w:val="6"/>
        <w:tblW w:w="15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82"/>
        <w:gridCol w:w="1213"/>
        <w:gridCol w:w="1991"/>
        <w:gridCol w:w="3638"/>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195"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1991" w:type="dxa"/>
            <w:vMerge w:val="restart"/>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（要素）</w:t>
            </w:r>
          </w:p>
        </w:tc>
        <w:tc>
          <w:tcPr>
            <w:tcW w:w="36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58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77"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138"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316"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74" w:type="dxa"/>
            <w:vMerge w:val="continue"/>
            <w:vAlign w:val="center"/>
          </w:tcPr>
          <w:p>
            <w:pPr>
              <w:widowControl/>
              <w:jc w:val="center"/>
              <w:rPr>
                <w:rFonts w:ascii="黑体" w:hAnsi="黑体" w:eastAsia="黑体" w:cs="黑体"/>
                <w:color w:val="auto"/>
                <w:kern w:val="0"/>
                <w:sz w:val="22"/>
              </w:rPr>
            </w:pPr>
          </w:p>
        </w:tc>
        <w:tc>
          <w:tcPr>
            <w:tcW w:w="98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213"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991" w:type="dxa"/>
            <w:vMerge w:val="continue"/>
            <w:vAlign w:val="center"/>
          </w:tcPr>
          <w:p>
            <w:pPr>
              <w:widowControl/>
              <w:jc w:val="center"/>
              <w:rPr>
                <w:rFonts w:ascii="黑体" w:hAnsi="黑体" w:eastAsia="黑体" w:cs="黑体"/>
                <w:color w:val="auto"/>
                <w:kern w:val="0"/>
                <w:sz w:val="22"/>
              </w:rPr>
            </w:pPr>
          </w:p>
        </w:tc>
        <w:tc>
          <w:tcPr>
            <w:tcW w:w="3638" w:type="dxa"/>
            <w:vMerge w:val="continue"/>
            <w:vAlign w:val="center"/>
          </w:tcPr>
          <w:p>
            <w:pPr>
              <w:widowControl/>
              <w:jc w:val="center"/>
              <w:rPr>
                <w:rFonts w:ascii="黑体" w:hAnsi="黑体" w:eastAsia="黑体" w:cs="黑体"/>
                <w:color w:val="auto"/>
                <w:kern w:val="0"/>
                <w:sz w:val="22"/>
              </w:rPr>
            </w:pPr>
          </w:p>
        </w:tc>
        <w:tc>
          <w:tcPr>
            <w:tcW w:w="1582" w:type="dxa"/>
            <w:vMerge w:val="continue"/>
            <w:vAlign w:val="center"/>
          </w:tcPr>
          <w:p>
            <w:pPr>
              <w:widowControl/>
              <w:jc w:val="center"/>
              <w:rPr>
                <w:rFonts w:ascii="黑体" w:hAnsi="黑体" w:eastAsia="黑体" w:cs="黑体"/>
                <w:color w:val="auto"/>
                <w:kern w:val="0"/>
                <w:sz w:val="22"/>
              </w:rPr>
            </w:pPr>
          </w:p>
        </w:tc>
        <w:tc>
          <w:tcPr>
            <w:tcW w:w="1177" w:type="dxa"/>
            <w:vMerge w:val="continue"/>
            <w:vAlign w:val="center"/>
          </w:tcPr>
          <w:p>
            <w:pPr>
              <w:widowControl/>
              <w:jc w:val="center"/>
              <w:rPr>
                <w:rFonts w:ascii="黑体" w:hAnsi="黑体" w:eastAsia="黑体" w:cs="黑体"/>
                <w:color w:val="auto"/>
                <w:kern w:val="0"/>
                <w:sz w:val="22"/>
              </w:rPr>
            </w:pPr>
          </w:p>
        </w:tc>
        <w:tc>
          <w:tcPr>
            <w:tcW w:w="1138" w:type="dxa"/>
            <w:vMerge w:val="continue"/>
            <w:vAlign w:val="center"/>
          </w:tcPr>
          <w:p>
            <w:pPr>
              <w:widowControl/>
              <w:jc w:val="center"/>
              <w:rPr>
                <w:rFonts w:ascii="黑体" w:hAnsi="黑体" w:eastAsia="黑体" w:cs="黑体"/>
                <w:color w:val="auto"/>
                <w:kern w:val="0"/>
                <w:sz w:val="22"/>
              </w:rPr>
            </w:pP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596"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w:t>
            </w:r>
          </w:p>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再生育申报</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符合再生育政策条件</w:t>
            </w:r>
          </w:p>
        </w:tc>
        <w:tc>
          <w:tcPr>
            <w:tcW w:w="36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根据2016年1月22日四川省第十二届人民代表大会常务委员会第二十一次会议《关于修改〈四川省人口与计划生育条例〉的决定》第六次修正</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574"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补办《独生子女父母光荣证》</w:t>
            </w:r>
          </w:p>
        </w:tc>
        <w:tc>
          <w:tcPr>
            <w:tcW w:w="1991"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补办依据、补办条件、申请材料、办理基本流程、办理方式等相关信息。</w:t>
            </w:r>
          </w:p>
        </w:tc>
        <w:tc>
          <w:tcPr>
            <w:tcW w:w="3638" w:type="dxa"/>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《中华人民共和国人口与计划生育法》</w:t>
            </w:r>
          </w:p>
        </w:tc>
        <w:tc>
          <w:tcPr>
            <w:tcW w:w="15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textAlignment w:val="center"/>
              <w:rPr>
                <w:rFonts w:ascii="仿宋_GB2312" w:hAnsi="仿宋_GB2312" w:eastAsia="仿宋_GB2312" w:cs="仿宋_GB2312"/>
                <w:color w:val="auto"/>
                <w:sz w:val="24"/>
                <w:szCs w:val="24"/>
              </w:rPr>
            </w:pPr>
          </w:p>
        </w:tc>
        <w:tc>
          <w:tcPr>
            <w:tcW w:w="596"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left"/>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计划生育免费技术服务申请</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免费技术服务申请条件、政策文件等相关信息。</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jc w:val="center"/>
        </w:trPr>
        <w:tc>
          <w:tcPr>
            <w:tcW w:w="57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82"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213" w:type="dxa"/>
            <w:vAlign w:val="center"/>
          </w:tcPr>
          <w:p>
            <w:pPr>
              <w:widowControl/>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病残儿医学鉴定初次受理</w:t>
            </w:r>
          </w:p>
        </w:tc>
        <w:tc>
          <w:tcPr>
            <w:tcW w:w="199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申请表及应具备资料、</w:t>
            </w:r>
            <w:r>
              <w:rPr>
                <w:rFonts w:hint="eastAsia" w:ascii="仿宋_GB2312" w:hAnsi="仿宋_GB2312" w:eastAsia="仿宋_GB2312" w:cs="仿宋_GB2312"/>
                <w:color w:val="auto"/>
                <w:kern w:val="0"/>
                <w:sz w:val="24"/>
                <w:szCs w:val="24"/>
                <w:lang w:bidi="ar"/>
              </w:rPr>
              <w:t>鉴定时间、鉴定机构</w:t>
            </w:r>
          </w:p>
        </w:tc>
        <w:tc>
          <w:tcPr>
            <w:tcW w:w="36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p>
        </w:tc>
        <w:tc>
          <w:tcPr>
            <w:tcW w:w="59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213"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计划生育家庭特别扶助对象申报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办理依据、办理条件、申请材料、办理基本流程、办理方式、公开受理、审核、审批、送达等相关信息</w:t>
            </w:r>
          </w:p>
        </w:tc>
        <w:tc>
          <w:tcPr>
            <w:tcW w:w="36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办理条件、办理基本流程等相关信息</w:t>
            </w: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4"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9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213"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991"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spacing w:line="280" w:lineRule="exact"/>
              <w:jc w:val="center"/>
              <w:rPr>
                <w:rFonts w:ascii="仿宋_GB2312" w:hAnsi="仿宋_GB2312" w:eastAsia="仿宋_GB2312" w:cs="仿宋_GB2312"/>
                <w:color w:val="auto"/>
                <w:sz w:val="24"/>
                <w:szCs w:val="24"/>
              </w:rPr>
            </w:pPr>
          </w:p>
        </w:tc>
        <w:tc>
          <w:tcPr>
            <w:tcW w:w="3638" w:type="dxa"/>
            <w:vAlign w:val="center"/>
          </w:tcPr>
          <w:p>
            <w:pPr>
              <w:widowControl/>
              <w:spacing w:line="280" w:lineRule="exact"/>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138"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spacing w:line="28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3" w:name="_Toc13306"/>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四</w:t>
      </w:r>
      <w:r>
        <w:rPr>
          <w:rFonts w:hint="eastAsia" w:ascii="方正小标宋简体" w:hAnsi="方正小标宋简体" w:eastAsia="方正小标宋简体" w:cs="方正小标宋简体"/>
          <w:b w:val="0"/>
          <w:bCs w:val="0"/>
          <w:color w:val="auto"/>
        </w:rPr>
        <w:t>）安全生产领域基层政务公开标准目录</w:t>
      </w:r>
      <w:bookmarkEnd w:id="13"/>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198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27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227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11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149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38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widowControl/>
              <w:jc w:val="center"/>
              <w:rPr>
                <w:rFonts w:ascii="黑体" w:hAnsi="黑体" w:eastAsia="黑体" w:cs="黑体"/>
                <w:color w:val="auto"/>
                <w:kern w:val="0"/>
                <w:sz w:val="22"/>
              </w:rPr>
            </w:pPr>
          </w:p>
        </w:tc>
        <w:tc>
          <w:tcPr>
            <w:tcW w:w="90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一级事项</w:t>
            </w:r>
          </w:p>
        </w:tc>
        <w:tc>
          <w:tcPr>
            <w:tcW w:w="10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二级事项</w:t>
            </w:r>
          </w:p>
        </w:tc>
        <w:tc>
          <w:tcPr>
            <w:tcW w:w="2770" w:type="dxa"/>
            <w:vMerge w:val="continue"/>
            <w:vAlign w:val="center"/>
          </w:tcPr>
          <w:p>
            <w:pPr>
              <w:widowControl/>
              <w:jc w:val="center"/>
              <w:rPr>
                <w:rFonts w:ascii="黑体" w:hAnsi="黑体" w:eastAsia="黑体" w:cs="黑体"/>
                <w:color w:val="auto"/>
                <w:kern w:val="0"/>
                <w:sz w:val="22"/>
              </w:rPr>
            </w:pPr>
          </w:p>
        </w:tc>
        <w:tc>
          <w:tcPr>
            <w:tcW w:w="2270"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119" w:type="dxa"/>
            <w:vMerge w:val="continue"/>
            <w:vAlign w:val="center"/>
          </w:tcPr>
          <w:p>
            <w:pPr>
              <w:widowControl/>
              <w:jc w:val="center"/>
              <w:rPr>
                <w:rFonts w:ascii="黑体" w:hAnsi="黑体" w:eastAsia="黑体" w:cs="黑体"/>
                <w:color w:val="auto"/>
                <w:kern w:val="0"/>
                <w:sz w:val="22"/>
              </w:rPr>
            </w:pPr>
          </w:p>
        </w:tc>
        <w:tc>
          <w:tcPr>
            <w:tcW w:w="1492" w:type="dxa"/>
            <w:vMerge w:val="continue"/>
            <w:vAlign w:val="center"/>
          </w:tcPr>
          <w:p>
            <w:pPr>
              <w:widowControl/>
              <w:rPr>
                <w:rFonts w:ascii="黑体" w:hAnsi="黑体" w:eastAsia="黑体" w:cs="黑体"/>
                <w:color w:val="auto"/>
                <w:kern w:val="0"/>
                <w:sz w:val="22"/>
              </w:rPr>
            </w:pPr>
          </w:p>
        </w:tc>
        <w:tc>
          <w:tcPr>
            <w:tcW w:w="664"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法规</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restart"/>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Merge w:val="continue"/>
            <w:vAlign w:val="center"/>
          </w:tcPr>
          <w:p>
            <w:pPr>
              <w:rPr>
                <w:rFonts w:ascii="仿宋_GB2312" w:hAnsi="仿宋_GB2312" w:eastAsia="仿宋_GB2312" w:cs="仿宋_GB2312"/>
                <w:color w:val="auto"/>
                <w:sz w:val="24"/>
                <w:szCs w:val="24"/>
              </w:rPr>
            </w:pP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Merge w:val="restar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w:t>
            </w:r>
            <w:r>
              <w:rPr>
                <w:rFonts w:hint="eastAsia" w:ascii="仿宋_GB2312" w:hAnsi="仿宋_GB2312" w:eastAsia="仿宋_GB2312" w:cs="仿宋_GB2312"/>
                <w:bCs/>
                <w:color w:val="auto"/>
                <w:sz w:val="24"/>
                <w:szCs w:val="24"/>
                <w:lang w:eastAsia="zh-CN"/>
              </w:rPr>
              <w:t>关于全面推进政务公开工作的意见</w:t>
            </w:r>
            <w:r>
              <w:rPr>
                <w:rFonts w:hint="eastAsia" w:ascii="仿宋_GB2312" w:hAnsi="仿宋_GB2312" w:eastAsia="仿宋_GB2312" w:cs="仿宋_GB2312"/>
                <w:bCs/>
                <w:color w:val="auto"/>
                <w:sz w:val="24"/>
                <w:szCs w:val="24"/>
              </w:rPr>
              <w:t>》</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2"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900" w:type="dxa"/>
            <w:vMerge w:val="continue"/>
            <w:vAlign w:val="center"/>
          </w:tcPr>
          <w:p>
            <w:pPr>
              <w:jc w:val="center"/>
              <w:rPr>
                <w:rFonts w:ascii="仿宋_GB2312" w:hAnsi="仿宋_GB2312" w:eastAsia="仿宋_GB2312" w:cs="仿宋_GB2312"/>
                <w:color w:val="auto"/>
                <w:sz w:val="24"/>
                <w:szCs w:val="24"/>
              </w:rPr>
            </w:pP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w:t>
            </w:r>
          </w:p>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通报</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■政务公开栏</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492"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■“村村响”广播  </w:t>
            </w:r>
          </w:p>
        </w:tc>
        <w:tc>
          <w:tcPr>
            <w:tcW w:w="664"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c>
          <w:tcPr>
            <w:tcW w:w="720" w:type="dxa"/>
            <w:vAlign w:val="center"/>
          </w:tcPr>
          <w:p>
            <w:pPr>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jc w:val="center"/>
              <w:rPr>
                <w:rFonts w:ascii="仿宋_GB2312" w:hAnsi="仿宋_GB2312" w:eastAsia="仿宋_GB2312" w:cs="仿宋_GB2312"/>
                <w:bCs/>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bookmarkStart w:id="14" w:name="_Toc5596"/>
    </w:p>
    <w:p>
      <w:pPr>
        <w:pStyle w:val="3"/>
        <w:spacing w:before="0" w:after="0" w:line="240" w:lineRule="auto"/>
        <w:jc w:val="center"/>
        <w:rPr>
          <w:rFonts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五</w:t>
      </w:r>
      <w:r>
        <w:rPr>
          <w:rFonts w:hint="eastAsia" w:ascii="方正小标宋简体" w:hAnsi="方正小标宋简体" w:eastAsia="方正小标宋简体" w:cs="方正小标宋简体"/>
          <w:b w:val="0"/>
          <w:bCs w:val="0"/>
          <w:color w:val="auto"/>
        </w:rPr>
        <w:t>）乡村振兴领域基层政务公开标准目录</w:t>
      </w:r>
      <w:bookmarkEnd w:id="14"/>
    </w:p>
    <w:tbl>
      <w:tblPr>
        <w:tblStyle w:val="6"/>
        <w:tblW w:w="1515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2"/>
        <w:gridCol w:w="1364"/>
        <w:gridCol w:w="2550"/>
        <w:gridCol w:w="1636"/>
        <w:gridCol w:w="1350"/>
        <w:gridCol w:w="1364"/>
        <w:gridCol w:w="2250"/>
        <w:gridCol w:w="955"/>
        <w:gridCol w:w="722"/>
        <w:gridCol w:w="73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2266"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5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1636"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5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9" w:type="dxa"/>
            <w:vMerge w:val="continue"/>
            <w:shd w:val="clear" w:color="auto" w:fill="auto"/>
            <w:vAlign w:val="center"/>
          </w:tcPr>
          <w:p>
            <w:pPr>
              <w:rPr>
                <w:rFonts w:ascii="Times New Roman" w:hAnsi="Times New Roman"/>
                <w:color w:val="auto"/>
                <w:sz w:val="20"/>
                <w:szCs w:val="20"/>
              </w:rPr>
            </w:pPr>
          </w:p>
        </w:tc>
        <w:tc>
          <w:tcPr>
            <w:tcW w:w="90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一级事项</w:t>
            </w:r>
          </w:p>
        </w:tc>
        <w:tc>
          <w:tcPr>
            <w:tcW w:w="1364"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二级事项</w:t>
            </w:r>
          </w:p>
        </w:tc>
        <w:tc>
          <w:tcPr>
            <w:tcW w:w="2550" w:type="dxa"/>
            <w:vMerge w:val="continue"/>
            <w:shd w:val="clear" w:color="auto" w:fill="auto"/>
            <w:vAlign w:val="center"/>
          </w:tcPr>
          <w:p>
            <w:pPr>
              <w:rPr>
                <w:rFonts w:ascii="Times New Roman" w:hAnsi="Times New Roman"/>
                <w:color w:val="auto"/>
                <w:sz w:val="20"/>
                <w:szCs w:val="20"/>
              </w:rPr>
            </w:pPr>
          </w:p>
        </w:tc>
        <w:tc>
          <w:tcPr>
            <w:tcW w:w="1636"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791"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1</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政策文件</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行政法规、规章</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·中央及地方政府涉及乡村振兴领域的行政法规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·中央及地方政府涉及乡村振兴领域的规章</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2</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规范性文件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·各级政府及部门涉及乡村振兴领域的规范性文件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3</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其他政策文件</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·涉及乡村振兴领域其他政策文件</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4</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监测对象人口识别</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·识别标准（国定标准、省定标准）</w:t>
            </w:r>
          </w:p>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·识别结果(监测户名单、数量)</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《中央农村工作领导小组关于健全防止返贫动态监测和帮扶机制的指导意见》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5</w:t>
            </w:r>
          </w:p>
        </w:tc>
        <w:tc>
          <w:tcPr>
            <w:tcW w:w="902" w:type="dxa"/>
            <w:vMerge w:val="restart"/>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乡村振兴资金</w:t>
            </w:r>
          </w:p>
          <w:p>
            <w:pPr>
              <w:rPr>
                <w:rFonts w:hint="eastAsia" w:ascii="仿宋_GB2312" w:hAnsi="仿宋_GB2312" w:eastAsia="仿宋_GB2312" w:cs="仿宋_GB2312"/>
                <w:color w:val="auto"/>
                <w:sz w:val="24"/>
                <w:szCs w:val="24"/>
                <w:lang w:eastAsia="zh-CN"/>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年度计划</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·计划安排情况（资金计划批复文件）</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·计划完成情况（项目建设完成、资金使用、绩效目标实现情况等）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信息形成（变更）10个工作日内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6</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小额信贷</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·小额信贷的贷款对象、用途、额度、期限、利率等情况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·享受扶贫贴息贷款的企业、专业合作社等经营主体的名称、贷款额度、期限、贴息规模和带农增收机制等情况</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每年底前集中公布1次当年情况</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7</w:t>
            </w:r>
          </w:p>
        </w:tc>
        <w:tc>
          <w:tcPr>
            <w:tcW w:w="902" w:type="dxa"/>
            <w:vMerge w:val="continue"/>
            <w:shd w:val="clear" w:color="auto" w:fill="auto"/>
            <w:vAlign w:val="center"/>
          </w:tcPr>
          <w:p>
            <w:pPr>
              <w:rPr>
                <w:rFonts w:hint="eastAsia" w:ascii="仿宋_GB2312" w:hAnsi="仿宋_GB2312" w:eastAsia="仿宋_GB2312" w:cs="仿宋_GB2312"/>
                <w:color w:val="auto"/>
                <w:sz w:val="24"/>
                <w:szCs w:val="24"/>
              </w:rPr>
            </w:pP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东西部扶贫协作财政支援资金使用情况</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项目名称、实施地点、资金规模、实施单位、带贫减贫机制、绩效目标</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8</w:t>
            </w:r>
          </w:p>
        </w:tc>
        <w:tc>
          <w:tcPr>
            <w:tcW w:w="902"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项目实施</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·乡村振兴项目实施前情况（包括项目名称、资金来源、实施期限、绩效目标、实施单位及责任人、受益对象和带贫减贫机制等）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·乡村振兴项目实施后情况（包括资金使用、项目实施结果、检查验收结果、绩效目标实现情况等）</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《国务院扶贫办、财政部关于完善扶贫资金项目公告公示制度的指导意见》</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shd w:val="clear" w:color="auto" w:fill="auto"/>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bidi="ar"/>
              </w:rPr>
              <w:t>9</w:t>
            </w:r>
          </w:p>
        </w:tc>
        <w:tc>
          <w:tcPr>
            <w:tcW w:w="90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监督管理</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监督举报</w:t>
            </w:r>
          </w:p>
        </w:tc>
        <w:tc>
          <w:tcPr>
            <w:tcW w:w="25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监督电话（0839-12317）</w:t>
            </w:r>
          </w:p>
        </w:tc>
        <w:tc>
          <w:tcPr>
            <w:tcW w:w="1636"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《政府信息公开条例》</w:t>
            </w:r>
          </w:p>
        </w:tc>
        <w:tc>
          <w:tcPr>
            <w:tcW w:w="13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信息形成（变更）5个工作日内</w:t>
            </w:r>
          </w:p>
        </w:tc>
        <w:tc>
          <w:tcPr>
            <w:tcW w:w="1364"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r>
              <w:rPr>
                <w:rFonts w:hint="eastAsia" w:ascii="仿宋_GB2312" w:hAnsi="仿宋_GB2312" w:eastAsia="仿宋_GB2312" w:cs="仿宋_GB2312"/>
                <w:color w:val="auto"/>
                <w:sz w:val="24"/>
                <w:szCs w:val="24"/>
                <w:lang w:bidi="ar"/>
              </w:rPr>
              <w:t xml:space="preserve">     </w:t>
            </w:r>
          </w:p>
        </w:tc>
        <w:tc>
          <w:tcPr>
            <w:tcW w:w="955"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22"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c>
          <w:tcPr>
            <w:tcW w:w="737"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w:t>
            </w:r>
          </w:p>
        </w:tc>
        <w:tc>
          <w:tcPr>
            <w:tcW w:w="791" w:type="dxa"/>
            <w:shd w:val="clear" w:color="auto" w:fill="auto"/>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bidi="ar"/>
              </w:rPr>
              <w:t>　</w:t>
            </w:r>
          </w:p>
        </w:tc>
      </w:tr>
    </w:tbl>
    <w:p>
      <w:pPr>
        <w:rPr>
          <w:color w:val="auto"/>
        </w:rPr>
      </w:pPr>
      <w:r>
        <w:rPr>
          <w:color w:val="auto"/>
        </w:rPr>
        <w:br w:type="page"/>
      </w:r>
    </w:p>
    <w:p>
      <w:pPr>
        <w:pStyle w:val="3"/>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lang w:eastAsia="zh-CN"/>
        </w:rPr>
        <w:t>（十六）</w:t>
      </w:r>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ind w:left="0" w:leftChars="0" w:right="0" w:rightChars="0"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78"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250" w:type="dxa"/>
            <w:shd w:val="clear" w:color="auto" w:fill="auto"/>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722" w:type="dxa"/>
            <w:shd w:val="clear" w:color="auto" w:fill="auto"/>
            <w:vAlign w:val="center"/>
          </w:tcPr>
          <w:p>
            <w:pPr>
              <w:jc w:val="center"/>
              <w:rPr>
                <w:rFonts w:hint="eastAsia" w:ascii="仿宋_GB2312" w:hAnsi="仿宋_GB2312" w:eastAsia="仿宋_GB2312" w:cs="仿宋_GB2312"/>
                <w:color w:val="auto"/>
                <w:kern w:val="0"/>
                <w:sz w:val="24"/>
                <w:szCs w:val="24"/>
                <w:lang w:bidi="ar"/>
              </w:rPr>
            </w:pPr>
          </w:p>
        </w:tc>
        <w:tc>
          <w:tcPr>
            <w:tcW w:w="737" w:type="dxa"/>
            <w:shd w:val="clear" w:color="auto" w:fill="auto"/>
            <w:vAlign w:val="center"/>
          </w:tcPr>
          <w:p>
            <w:pPr>
              <w:widowControl/>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w:t>
            </w:r>
          </w:p>
        </w:tc>
        <w:tc>
          <w:tcPr>
            <w:tcW w:w="918" w:type="dxa"/>
            <w:shd w:val="clear" w:color="auto" w:fill="auto"/>
            <w:vAlign w:val="center"/>
          </w:tcPr>
          <w:p>
            <w:pPr>
              <w:widowControl/>
              <w:jc w:val="center"/>
              <w:rPr>
                <w:rFonts w:hint="eastAsia" w:ascii="仿宋_GB2312" w:hAnsi="仿宋_GB2312" w:eastAsia="仿宋_GB2312" w:cs="仿宋_GB2312"/>
                <w:color w:val="auto"/>
                <w:kern w:val="0"/>
                <w:sz w:val="24"/>
                <w:szCs w:val="24"/>
                <w:lang w:bidi="ar"/>
              </w:rPr>
            </w:pP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七</w:t>
      </w:r>
      <w:r>
        <w:rPr>
          <w:rFonts w:hint="eastAsia" w:ascii="方正小标宋简体" w:hAnsi="方正小标宋简体" w:eastAsia="方正小标宋简体" w:cs="方正小标宋简体"/>
          <w:b w:val="0"/>
          <w:bCs w:val="0"/>
          <w:color w:val="auto"/>
        </w:rPr>
        <w:t>）市政服务领域基层政务公开标准目录</w:t>
      </w:r>
    </w:p>
    <w:tbl>
      <w:tblPr>
        <w:tblStyle w:val="6"/>
        <w:tblW w:w="14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699"/>
        <w:gridCol w:w="1561"/>
        <w:gridCol w:w="2515"/>
        <w:gridCol w:w="2351"/>
        <w:gridCol w:w="1657"/>
        <w:gridCol w:w="947"/>
        <w:gridCol w:w="1264"/>
        <w:gridCol w:w="890"/>
        <w:gridCol w:w="689"/>
        <w:gridCol w:w="452"/>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blHeader/>
          <w:jc w:val="center"/>
        </w:trPr>
        <w:tc>
          <w:tcPr>
            <w:tcW w:w="542"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序号</w:t>
            </w:r>
          </w:p>
        </w:tc>
        <w:tc>
          <w:tcPr>
            <w:tcW w:w="226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公开事项</w:t>
            </w:r>
          </w:p>
        </w:tc>
        <w:tc>
          <w:tcPr>
            <w:tcW w:w="2515"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公开内容（要素）</w:t>
            </w:r>
          </w:p>
        </w:tc>
        <w:tc>
          <w:tcPr>
            <w:tcW w:w="2351"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公开依据</w:t>
            </w:r>
          </w:p>
        </w:tc>
        <w:tc>
          <w:tcPr>
            <w:tcW w:w="1657"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时限</w:t>
            </w:r>
          </w:p>
        </w:tc>
        <w:tc>
          <w:tcPr>
            <w:tcW w:w="947"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主体</w:t>
            </w:r>
          </w:p>
        </w:tc>
        <w:tc>
          <w:tcPr>
            <w:tcW w:w="1264" w:type="dxa"/>
            <w:vMerge w:val="restart"/>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公开渠道和</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载体</w:t>
            </w:r>
          </w:p>
        </w:tc>
        <w:tc>
          <w:tcPr>
            <w:tcW w:w="1579"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公开对象</w:t>
            </w:r>
          </w:p>
        </w:tc>
        <w:tc>
          <w:tcPr>
            <w:tcW w:w="1360" w:type="dxa"/>
            <w:gridSpan w:val="2"/>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jc w:val="center"/>
        </w:trPr>
        <w:tc>
          <w:tcPr>
            <w:tcW w:w="542"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69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一级</w:t>
            </w:r>
          </w:p>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事项</w:t>
            </w:r>
          </w:p>
        </w:tc>
        <w:tc>
          <w:tcPr>
            <w:tcW w:w="1561"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二级事项</w:t>
            </w:r>
          </w:p>
        </w:tc>
        <w:tc>
          <w:tcPr>
            <w:tcW w:w="2515"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2351"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657"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947"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1264" w:type="dxa"/>
            <w:vMerge w:val="continue"/>
            <w:shd w:val="clear" w:color="auto" w:fill="auto"/>
            <w:vAlign w:val="center"/>
          </w:tcPr>
          <w:p>
            <w:pPr>
              <w:widowControl/>
              <w:spacing w:line="240" w:lineRule="exact"/>
              <w:jc w:val="left"/>
              <w:rPr>
                <w:rFonts w:ascii="Times New Roman" w:hAnsi="Times New Roman" w:eastAsia="黑体"/>
                <w:color w:val="auto"/>
                <w:kern w:val="0"/>
                <w:sz w:val="22"/>
              </w:rPr>
            </w:pPr>
          </w:p>
        </w:tc>
        <w:tc>
          <w:tcPr>
            <w:tcW w:w="890"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全社会</w:t>
            </w:r>
          </w:p>
        </w:tc>
        <w:tc>
          <w:tcPr>
            <w:tcW w:w="689"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特定群众</w:t>
            </w:r>
          </w:p>
        </w:tc>
        <w:tc>
          <w:tcPr>
            <w:tcW w:w="452"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主动</w:t>
            </w:r>
          </w:p>
        </w:tc>
        <w:tc>
          <w:tcPr>
            <w:tcW w:w="908" w:type="dxa"/>
            <w:shd w:val="clear" w:color="auto" w:fill="auto"/>
            <w:vAlign w:val="center"/>
          </w:tcPr>
          <w:p>
            <w:pPr>
              <w:widowControl/>
              <w:spacing w:line="240" w:lineRule="exact"/>
              <w:jc w:val="center"/>
              <w:rPr>
                <w:rFonts w:ascii="Times New Roman" w:hAnsi="Times New Roman" w:eastAsia="黑体"/>
                <w:color w:val="auto"/>
                <w:kern w:val="0"/>
                <w:sz w:val="22"/>
              </w:rPr>
            </w:pPr>
            <w:r>
              <w:rPr>
                <w:rFonts w:ascii="Times New Roman" w:hAnsi="Times New Roman" w:eastAsia="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9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56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燃气管理</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瓶装燃气、管道燃气服务企业名单、联系人、咨询电话等。</w:t>
            </w:r>
          </w:p>
        </w:tc>
        <w:tc>
          <w:tcPr>
            <w:tcW w:w="235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165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94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p>
            <w:pPr>
              <w:rPr>
                <w:rFonts w:hint="eastAsia"/>
              </w:rPr>
            </w:pPr>
          </w:p>
        </w:tc>
        <w:tc>
          <w:tcPr>
            <w:tcW w:w="126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■便民服务中心</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燃气收费标准及依据，停气通知等。</w:t>
            </w:r>
          </w:p>
        </w:tc>
        <w:tc>
          <w:tcPr>
            <w:tcW w:w="235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165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9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w:t>
            </w: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天然气用户新（扩）装业务办理。</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《城镇燃气管理条例》（国务院令第583号）、《四川省燃气管理条例》第三章、第四章</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26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■便民服务中心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瓶装燃气经营企业申请燃气经营许可证核发。</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54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9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56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燃气经营者改动市政燃气设施审批。</w:t>
            </w:r>
          </w:p>
        </w:tc>
        <w:tc>
          <w:tcPr>
            <w:tcW w:w="2515"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申请条件、申请材料、申请流程、法定依据等内容。</w:t>
            </w:r>
          </w:p>
        </w:tc>
        <w:tc>
          <w:tcPr>
            <w:tcW w:w="2351"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《城镇燃气管理条例》</w:t>
            </w:r>
          </w:p>
        </w:tc>
        <w:tc>
          <w:tcPr>
            <w:tcW w:w="165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信息形成（变更）5个工作日内</w:t>
            </w:r>
          </w:p>
        </w:tc>
        <w:tc>
          <w:tcPr>
            <w:tcW w:w="94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126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p>
        </w:tc>
        <w:tc>
          <w:tcPr>
            <w:tcW w:w="890"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68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452"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908"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pP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十八</w:t>
      </w:r>
      <w:r>
        <w:rPr>
          <w:rFonts w:hint="eastAsia" w:ascii="方正小标宋简体" w:hAnsi="方正小标宋简体" w:eastAsia="方正小标宋简体" w:cs="方正小标宋简体"/>
          <w:b w:val="0"/>
          <w:bCs w:val="0"/>
          <w:color w:val="auto"/>
        </w:rPr>
        <w:t>）食品药品监督领域基层政务公开标准目录</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spacing w:line="30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公共服务</w:t>
            </w: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食品安全应急处置</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应急组织机构及职责、应急保障、监测预警、应急响应、热点问题落实情况等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《政府信息公开条例》《关于全面推进政务公开工作的意见》 </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食品药品投诉举报管理制度和政策、受理投诉举报的途径等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《政府信息公开条例》、《关于全面推进政务公开工作的意见》《食品药品投诉举报管理办法》</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spacing w:line="30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spacing w:line="300" w:lineRule="exact"/>
              <w:jc w:val="left"/>
              <w:rPr>
                <w:rFonts w:hint="eastAsia" w:ascii="仿宋_GB2312" w:hAnsi="仿宋_GB2312" w:eastAsia="仿宋_GB2312" w:cs="仿宋_GB2312"/>
                <w:color w:val="auto"/>
                <w:sz w:val="24"/>
                <w:szCs w:val="24"/>
              </w:rPr>
            </w:pPr>
          </w:p>
        </w:tc>
        <w:tc>
          <w:tcPr>
            <w:tcW w:w="900" w:type="dxa"/>
            <w:vAlign w:val="center"/>
          </w:tcPr>
          <w:p>
            <w:pPr>
              <w:spacing w:line="3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食品用药安全宣传活动</w:t>
            </w:r>
          </w:p>
        </w:tc>
        <w:tc>
          <w:tcPr>
            <w:tcW w:w="1980" w:type="dxa"/>
            <w:vAlign w:val="center"/>
          </w:tcPr>
          <w:p>
            <w:pPr>
              <w:spacing w:line="3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活动时间、活动地点、活动形式、活动主题和内容等</w:t>
            </w:r>
          </w:p>
        </w:tc>
        <w:tc>
          <w:tcPr>
            <w:tcW w:w="198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《政府信息公开条例》、《关于全面推进政务公开工作的意见》</w:t>
            </w:r>
          </w:p>
        </w:tc>
        <w:tc>
          <w:tcPr>
            <w:tcW w:w="126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信息形成之日起7个工作日内</w:t>
            </w:r>
          </w:p>
        </w:tc>
        <w:tc>
          <w:tcPr>
            <w:tcW w:w="1440" w:type="dxa"/>
            <w:vAlign w:val="center"/>
          </w:tcPr>
          <w:p>
            <w:pPr>
              <w:spacing w:line="3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520" w:type="dxa"/>
            <w:vAlign w:val="center"/>
          </w:tcPr>
          <w:p>
            <w:pPr>
              <w:widowControl/>
              <w:spacing w:line="300" w:lineRule="exact"/>
              <w:jc w:val="center"/>
              <w:rPr>
                <w:rFonts w:hint="eastAsia" w:ascii="仿宋_GB2312" w:hAnsi="仿宋_GB2312" w:eastAsia="仿宋_GB2312" w:cs="仿宋_GB2312"/>
                <w:color w:val="auto"/>
                <w:kern w:val="0"/>
                <w:sz w:val="24"/>
                <w:szCs w:val="24"/>
                <w:shd w:val="clear" w:color="auto" w:fill="FFFFFF"/>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政务公开</w:t>
            </w:r>
            <w:r>
              <w:rPr>
                <w:rFonts w:hint="eastAsia" w:ascii="仿宋_GB2312" w:hAnsi="仿宋_GB2312" w:eastAsia="仿宋_GB2312" w:cs="仿宋_GB2312"/>
                <w:color w:val="auto"/>
                <w:sz w:val="24"/>
                <w:szCs w:val="24"/>
              </w:rPr>
              <w:t>栏</w:t>
            </w:r>
          </w:p>
        </w:tc>
        <w:tc>
          <w:tcPr>
            <w:tcW w:w="720"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09"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p>
        </w:tc>
        <w:tc>
          <w:tcPr>
            <w:tcW w:w="551" w:type="dxa"/>
            <w:vAlign w:val="center"/>
          </w:tcPr>
          <w:p>
            <w:pPr>
              <w:spacing w:line="300" w:lineRule="exact"/>
              <w:jc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w:t>
            </w:r>
          </w:p>
        </w:tc>
        <w:tc>
          <w:tcPr>
            <w:tcW w:w="720" w:type="dxa"/>
            <w:vAlign w:val="center"/>
          </w:tcPr>
          <w:p>
            <w:pPr>
              <w:spacing w:line="300" w:lineRule="exact"/>
              <w:jc w:val="center"/>
              <w:rPr>
                <w:rFonts w:hint="eastAsia" w:ascii="仿宋_GB2312" w:hAnsi="仿宋_GB2312" w:eastAsia="仿宋_GB2312" w:cs="仿宋_GB2312"/>
                <w:color w:val="auto"/>
                <w:sz w:val="24"/>
                <w:szCs w:val="24"/>
              </w:rPr>
            </w:pPr>
          </w:p>
        </w:tc>
      </w:tr>
    </w:tbl>
    <w:p>
      <w:pPr>
        <w:pStyle w:val="3"/>
        <w:spacing w:before="0" w:after="0" w:line="240" w:lineRule="auto"/>
        <w:jc w:val="center"/>
        <w:rPr>
          <w:rFonts w:ascii="方正小标宋简体" w:hAnsi="方正小标宋简体" w:eastAsia="方正小标宋简体" w:cs="方正小标宋简体"/>
          <w:b w:val="0"/>
          <w:bCs w:val="0"/>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（十</w:t>
      </w:r>
      <w:r>
        <w:rPr>
          <w:rFonts w:hint="eastAsia" w:ascii="方正小标宋简体" w:hAnsi="方正小标宋简体" w:eastAsia="方正小标宋简体" w:cs="方正小标宋简体"/>
          <w:b w:val="0"/>
          <w:bCs w:val="0"/>
          <w:color w:val="auto"/>
          <w:lang w:eastAsia="zh-CN"/>
        </w:rPr>
        <w:t>九</w:t>
      </w:r>
      <w:r>
        <w:rPr>
          <w:rFonts w:hint="eastAsia" w:ascii="方正小标宋简体" w:hAnsi="方正小标宋简体" w:eastAsia="方正小标宋简体" w:cs="方正小标宋简体"/>
          <w:b w:val="0"/>
          <w:bCs w:val="0"/>
          <w:color w:val="auto"/>
        </w:rPr>
        <w:t>）自然资源领域基层政务公开标准目录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68"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国土空间规划</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编制</w:t>
            </w:r>
          </w:p>
        </w:tc>
        <w:tc>
          <w:tcPr>
            <w:tcW w:w="1364"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村庄规划</w:t>
            </w:r>
          </w:p>
        </w:tc>
        <w:tc>
          <w:tcPr>
            <w:tcW w:w="2509"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批前公示：规划草案 (涉密信息、法律法规 规定不予公开的除外)</w:t>
            </w:r>
          </w:p>
        </w:tc>
        <w:tc>
          <w:tcPr>
            <w:tcW w:w="2086"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《土地管理法》《城乡规划 法》《政府信息公开条例》</w:t>
            </w:r>
          </w:p>
        </w:tc>
        <w:tc>
          <w:tcPr>
            <w:tcW w:w="1541" w:type="dxa"/>
            <w:vAlign w:val="center"/>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批前公示时间不 得少于 30 日</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农村集体经济组织兴办企业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批复文件(建设使用集 体所有土地决定书等)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w:t>
            </w:r>
          </w:p>
        </w:tc>
        <w:tc>
          <w:tcPr>
            <w:tcW w:w="968"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用地</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w:t>
            </w:r>
          </w:p>
        </w:tc>
        <w:tc>
          <w:tcPr>
            <w:tcW w:w="1364"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乡《镇)村公共设施、公益事业</w:t>
            </w: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建设用地审核</w:t>
            </w:r>
          </w:p>
        </w:tc>
        <w:tc>
          <w:tcPr>
            <w:tcW w:w="2509"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审批结果信息和相关 批复文件(划拨决定书 等)</w:t>
            </w:r>
          </w:p>
        </w:tc>
        <w:tc>
          <w:tcPr>
            <w:tcW w:w="2086"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hint="eastAsia" w:ascii="仿宋_GB2312" w:hAnsi="仿宋_GB2312" w:eastAsia="仿宋_GB2312" w:cs="仿宋_GB2312"/>
                <w:color w:val="auto"/>
                <w:sz w:val="24"/>
                <w:szCs w:val="24"/>
              </w:rPr>
            </w:pPr>
          </w:p>
          <w:p>
            <w:pPr>
              <w:widowControl/>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637" w:type="dxa"/>
            <w:vAlign w:val="center"/>
          </w:tcPr>
          <w:p>
            <w:pPr>
              <w:widowControl/>
              <w:spacing w:line="360" w:lineRule="exact"/>
              <w:jc w:val="left"/>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z w:val="24"/>
                <w:szCs w:val="24"/>
              </w:rPr>
              <w:t>■村公示栏（电子屏）</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09"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c>
          <w:tcPr>
            <w:tcW w:w="551" w:type="dxa"/>
            <w:vAlign w:val="center"/>
          </w:tcPr>
          <w:p>
            <w:pPr>
              <w:widowControl/>
              <w:spacing w:line="36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position w:val="1"/>
                <w:sz w:val="24"/>
                <w:szCs w:val="24"/>
              </w:rPr>
              <w:t>√</w:t>
            </w:r>
          </w:p>
        </w:tc>
        <w:tc>
          <w:tcPr>
            <w:tcW w:w="720" w:type="dxa"/>
            <w:vAlign w:val="center"/>
          </w:tcPr>
          <w:p>
            <w:pPr>
              <w:widowControl/>
              <w:spacing w:line="360" w:lineRule="exact"/>
              <w:jc w:val="center"/>
              <w:rPr>
                <w:rFonts w:hint="eastAsia" w:ascii="仿宋_GB2312" w:hAnsi="仿宋_GB2312" w:eastAsia="仿宋_GB2312" w:cs="仿宋_GB2312"/>
                <w:color w:val="auto"/>
                <w:kern w:val="0"/>
                <w:sz w:val="24"/>
                <w:szCs w:val="24"/>
              </w:rPr>
            </w:pPr>
          </w:p>
        </w:tc>
      </w:tr>
    </w:tbl>
    <w:p>
      <w:pPr>
        <w:rPr>
          <w:color w:val="auto"/>
        </w:rPr>
      </w:pPr>
    </w:p>
    <w:p>
      <w:pPr>
        <w:rPr>
          <w:rFonts w:hint="eastAsia"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br w:type="page"/>
      </w:r>
    </w:p>
    <w:p>
      <w:pPr>
        <w:pStyle w:val="3"/>
        <w:spacing w:before="0" w:after="0" w:line="240" w:lineRule="auto"/>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（二十）户籍管理领域基层政务公开标准目录</w:t>
      </w:r>
    </w:p>
    <w:tbl>
      <w:tblPr>
        <w:tblStyle w:val="6"/>
        <w:tblpPr w:leftFromText="180" w:rightFromText="180" w:vertAnchor="text" w:horzAnchor="page" w:tblpX="1606" w:tblpY="1409"/>
        <w:tblOverlap w:val="never"/>
        <w:tblW w:w="14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89"/>
        <w:gridCol w:w="900"/>
        <w:gridCol w:w="4136"/>
        <w:gridCol w:w="1245"/>
        <w:gridCol w:w="1065"/>
        <w:gridCol w:w="934"/>
        <w:gridCol w:w="1346"/>
        <w:gridCol w:w="994"/>
        <w:gridCol w:w="709"/>
        <w:gridCol w:w="55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Merge w:val="restart"/>
            <w:vAlign w:val="center"/>
          </w:tcPr>
          <w:p>
            <w:pPr>
              <w:widowControl/>
              <w:spacing w:line="240" w:lineRule="atLeast"/>
              <w:jc w:val="center"/>
              <w:rPr>
                <w:rFonts w:ascii="Times New Roman" w:hAnsi="Times New Roman"/>
                <w:color w:val="auto"/>
                <w:kern w:val="0"/>
                <w:sz w:val="22"/>
              </w:rPr>
            </w:pPr>
            <w:r>
              <w:rPr>
                <w:rFonts w:ascii="Times New Roman" w:hAnsi="宋体"/>
                <w:color w:val="auto"/>
                <w:kern w:val="0"/>
                <w:sz w:val="22"/>
              </w:rPr>
              <w:t>序号</w:t>
            </w:r>
          </w:p>
        </w:tc>
        <w:tc>
          <w:tcPr>
            <w:tcW w:w="1789"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413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24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065"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934"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346" w:type="dxa"/>
            <w:vMerge w:val="restart"/>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613" w:type="dxa"/>
            <w:gridSpan w:val="2"/>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51" w:type="dxa"/>
            <w:vMerge w:val="continue"/>
            <w:vAlign w:val="center"/>
          </w:tcPr>
          <w:p>
            <w:pPr>
              <w:widowControl/>
              <w:spacing w:line="240" w:lineRule="atLeast"/>
              <w:jc w:val="left"/>
              <w:rPr>
                <w:rFonts w:ascii="Times New Roman" w:hAnsi="Times New Roman"/>
                <w:color w:val="auto"/>
                <w:kern w:val="0"/>
                <w:sz w:val="22"/>
              </w:rPr>
            </w:pPr>
          </w:p>
        </w:tc>
        <w:tc>
          <w:tcPr>
            <w:tcW w:w="88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4136" w:type="dxa"/>
            <w:vMerge w:val="continue"/>
            <w:vAlign w:val="center"/>
          </w:tcPr>
          <w:p>
            <w:pPr>
              <w:widowControl/>
              <w:spacing w:line="240" w:lineRule="atLeast"/>
              <w:rPr>
                <w:rFonts w:ascii="黑体" w:hAnsi="宋体" w:eastAsia="黑体" w:cs="宋体"/>
                <w:color w:val="auto"/>
                <w:kern w:val="0"/>
                <w:sz w:val="22"/>
              </w:rPr>
            </w:pPr>
          </w:p>
        </w:tc>
        <w:tc>
          <w:tcPr>
            <w:tcW w:w="1245" w:type="dxa"/>
            <w:vMerge w:val="continue"/>
            <w:vAlign w:val="center"/>
          </w:tcPr>
          <w:p>
            <w:pPr>
              <w:widowControl/>
              <w:spacing w:line="240" w:lineRule="atLeast"/>
              <w:jc w:val="left"/>
              <w:rPr>
                <w:rFonts w:ascii="黑体" w:hAnsi="宋体" w:eastAsia="黑体" w:cs="宋体"/>
                <w:color w:val="auto"/>
                <w:kern w:val="0"/>
                <w:sz w:val="22"/>
              </w:rPr>
            </w:pPr>
          </w:p>
        </w:tc>
        <w:tc>
          <w:tcPr>
            <w:tcW w:w="1065" w:type="dxa"/>
            <w:vMerge w:val="continue"/>
            <w:vAlign w:val="center"/>
          </w:tcPr>
          <w:p>
            <w:pPr>
              <w:widowControl/>
              <w:spacing w:line="240" w:lineRule="atLeast"/>
              <w:jc w:val="left"/>
              <w:rPr>
                <w:rFonts w:ascii="黑体" w:hAnsi="宋体" w:eastAsia="黑体" w:cs="宋体"/>
                <w:color w:val="auto"/>
                <w:kern w:val="0"/>
                <w:sz w:val="22"/>
              </w:rPr>
            </w:pPr>
          </w:p>
        </w:tc>
        <w:tc>
          <w:tcPr>
            <w:tcW w:w="934" w:type="dxa"/>
            <w:vMerge w:val="continue"/>
            <w:vAlign w:val="center"/>
          </w:tcPr>
          <w:p>
            <w:pPr>
              <w:widowControl/>
              <w:spacing w:line="240" w:lineRule="atLeast"/>
              <w:jc w:val="left"/>
              <w:rPr>
                <w:rFonts w:ascii="黑体" w:hAnsi="宋体" w:eastAsia="黑体" w:cs="宋体"/>
                <w:color w:val="auto"/>
                <w:kern w:val="0"/>
                <w:sz w:val="22"/>
              </w:rPr>
            </w:pPr>
          </w:p>
        </w:tc>
        <w:tc>
          <w:tcPr>
            <w:tcW w:w="1346" w:type="dxa"/>
            <w:vMerge w:val="continue"/>
            <w:vAlign w:val="center"/>
          </w:tcPr>
          <w:p>
            <w:pPr>
              <w:widowControl/>
              <w:spacing w:line="240" w:lineRule="atLeast"/>
              <w:jc w:val="left"/>
              <w:rPr>
                <w:rFonts w:ascii="黑体" w:hAnsi="宋体" w:eastAsia="黑体" w:cs="宋体"/>
                <w:color w:val="auto"/>
                <w:kern w:val="0"/>
                <w:sz w:val="22"/>
              </w:rPr>
            </w:pPr>
          </w:p>
        </w:tc>
        <w:tc>
          <w:tcPr>
            <w:tcW w:w="994"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1062" w:type="dxa"/>
            <w:vAlign w:val="center"/>
          </w:tcPr>
          <w:p>
            <w:pPr>
              <w:widowControl/>
              <w:spacing w:line="240" w:lineRule="atLeas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89"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900"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办理条件：年≦1周岁公民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出生医学证明及计划生育证明（国内出生入户登记需提供此材料）</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shd w:val="clear" w:color="auto" w:fill="FFFFFF"/>
              </w:rPr>
              <w:t>卫计部门出具的出生证明（无出生医学证明的国内出生入户登记需提供此材料）3、亲子亲缘鉴定书（无出生医学证明的国内出生入户登记需提供此材料）4、申明及父母双方身份证（选取父母姓氏之外的出生登记需提供此材料）5、民族确认书（父母民族不一致的出生登记需提供此材料）6、现役军人身份证件以及其子女祖父母或外祖父母户口簿（父母均为现役军人申报出生户口登记需提供此材料）7、居民户口簿（办理户口登记、项目变更、注销需提供此材料）8、司法翻译件、父(母)及子女回国(境)使用的中国护照或者中华人民共和国旅行证（国外出生的中国婴幼儿申报户口登记需提供此材料）9、父母双方结婚证 10、卫生部门化验后出具的新生儿血型单 注：以上所需资料均需原件。</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p>
            <w:pPr>
              <w:widowControl/>
              <w:spacing w:line="360" w:lineRule="exact"/>
              <w:jc w:val="center"/>
              <w:textAlignment w:val="center"/>
              <w:rPr>
                <w:rFonts w:hint="eastAsia" w:ascii="仿宋_GB2312" w:hAnsi="仿宋_GB2312" w:eastAsia="仿宋_GB2312" w:cs="仿宋_GB2312"/>
                <w:color w:val="auto"/>
                <w:sz w:val="24"/>
                <w:szCs w:val="24"/>
              </w:rPr>
            </w:pP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注销登记</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死亡注销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死亡证明、死亡公民居民户口簿和居民身份证、申报义务人身份证（申报死亡注销户口需提供此材料）2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shd w:val="clear" w:color="auto" w:fill="FFFFFF"/>
              </w:rPr>
              <w:t>人民法院死刑判决书或宣告死亡判决书、被执行死刑或者宣告死亡公民居民户口簿和居民身份证、申报义务人身份证（执行死刑或宣告死亡注销户口的申报义务人需提供此材料）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服现役注销</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办理条件：办理了户口登记，同时申请人的户籍档案在四川省内且档案可查询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入伍通知书及本人户口簿（申报参军注销户口需提供此材料）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：不收费</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1"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迁移登记</w:t>
            </w:r>
          </w:p>
        </w:tc>
        <w:tc>
          <w:tcPr>
            <w:tcW w:w="900"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迁出、迁入登记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办理条件：公民离开户口登记地到另一居住地实际长期居住，符合户口迁移政策，申请材料真实齐全且合法有效</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申请人居民身份证（交复印件）2、房屋产权证（房屋所有权人申请入户提供）3、结婚证（夫妻投靠入户提供）4、直系亲属关系证明（直系亲属投靠入户提供）5、录取新生名册（新生录取迁入提供）6、录取通知书（录取新生提供）7、户口迁移证（录取新生或已经在原籍地办理（高校毕业生入户提供）8、报到证（高校毕业生提供）9、毕业证（高校毕业生入户提供）10、接收单位证明（高校毕业生入户提供11、住宅房屋租赁合同（务工经商入户申请人提供）12、学校证明（在校生入户提供）13、集体户首页（入人才中心集体户、公共集体户、单位集体户申人提供）14、各市（州）人民政府结合本地实际要求提交的其他材料15、准迁证（需要办理户口迁移证的申请人提供）</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spacing w:line="3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《户口登记条例》、《中华人民共和国政府信息公开条例》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4"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户口登记项目变更更正</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办理条件：1、父母离婚、再婚的未成年子女2、依法被收养或者收养关系变更的3、姓名或姓名的谐音违背公序良俗的4、名字中含有冷僻字5、户口登记机关认定可以变更的其他情形</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姓名变更申请及本人户口簿（变更户口登记姓名需提供此材料）2、居民户口簿（办理户口登记、项目变更、注销需提供此材料）3、出生医学证明及计划生育证明（国内出生入户登记需提供此材料）4、卫计部门出具的出生证明（无出生医学证明的国内出生入户登记需提供此材料）5、亲子亲缘鉴定书（无出生医学证明的国内出生入户登记需提供此材料）6、收养登记证（父母信息明确时办理收养入户的需提供此材料）7、申明及父母双方身份证复印件（选取父母姓氏之外的出生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办理条件：实施变性手术的公民</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性别鉴定证明和公证部门出具的公证书,或者司法鉴定部门出具的证明以及本人户口簿（户口性别变更登记需提供此材料）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《公安部关于公民手术变性后变更户口登记性别项目有关问题的批复》、《政府信息公开条例》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民族成份变更、更正</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办理条件：符合《中国公民民族成份登记管理办法》（国家民宗委、公安部[2015]2号令，民族成份必须以国家正式认定的民族族称为准，任何人不得以国家未确定的族称作为自己的民族成份</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更改民族成份证明书及本人户口簿（变更民族成份户口登记需提供此材料）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《中国公民民族成份登记管理办法》、《政府信息公开条例》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7"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暂住登记及居住证管理</w:t>
            </w:r>
          </w:p>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暂住登记</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numPr>
                <w:ilvl w:val="0"/>
                <w:numId w:val="1"/>
              </w:numPr>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《户口登记条例》、《政府信息公开条例》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所需材料： </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shd w:val="clear" w:color="auto" w:fill="FFFFFF"/>
              </w:rPr>
              <w:t>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2"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p>
            <w:pPr>
              <w:widowControl/>
              <w:spacing w:line="360" w:lineRule="exact"/>
              <w:textAlignment w:val="center"/>
              <w:rPr>
                <w:rFonts w:hint="eastAsia" w:ascii="仿宋_GB2312" w:hAnsi="仿宋_GB2312" w:eastAsia="仿宋_GB2312" w:cs="仿宋_GB2312"/>
                <w:color w:val="auto"/>
                <w:sz w:val="24"/>
                <w:szCs w:val="24"/>
              </w:rPr>
            </w:pP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889" w:type="dxa"/>
            <w:vMerge w:val="continue"/>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居住证签注</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办理条件：公民离开常住户口所在地，到其他城市居住半年以上，符合有合法稳定就业、合法稳定住所、满足条件之一的，可以按规定申领居住证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p>
          <w:p>
            <w:pPr>
              <w:widowControl/>
              <w:spacing w:line="360" w:lineRule="exact"/>
              <w:textAlignment w:val="center"/>
              <w:rPr>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1、居民身份证2、房屋产权证明材料（居住自有住房申请人提供）3、 房屋租赁合同（租赁住宅用房的申请人提交）4、就业证明（连续就业的申请人提供，包括录用或聘用通知书；劳动合同书和近6个月连续缴纳城镇职工社保清单）5、就读证明（学生申请人提交）</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shd w:val="clear" w:color="auto" w:fill="FFFFFF"/>
              </w:rPr>
              <w:t>居住证申领表7、工商营业执照（连续就业中从事生产经营的申请人提供）8、 房屋登记备案凭证（办理了房屋租赁登记备案的申请人提供）9、用人单位或学校的住宿证明（住单位或学校宿舍的申请人提供）10、本人照片1张11、学生证（连续就读申请人提供）12、商品房买卖合同及契税完税证明（暂未取得产权证的连续居住类申请人提供）13、各市（州）人民政府结合本地实际要求提交的其他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办理时限：无</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：不收费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《居住证暂行条例》、《政府信息公开条例》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889" w:type="dxa"/>
            <w:vMerge w:val="restart"/>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居民身份管理</w:t>
            </w: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居民身份证申领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、不收费（首次领居民身份证）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8"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居民身份证换、补领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《常住人口登记表》（集体户）原件、居民身份证原件（换证人员）2、人像信息辅助证明材料3、人像信息辅助证明材料</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办理时限：90日个工作日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收费依据及标准 ：国家发展改革委、财政部关于居民身份证收费标准及有关问题的通知》（发改价格[2003]2322号）规定、每证20元（换领）、每证40元（损坏、丢失补领）       </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76" w:hRule="atLeas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889" w:type="dxa"/>
            <w:vMerge w:val="continue"/>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临时居民身份证申领、换领、补领</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办理条件：1、中国公民应当自年满十六周岁之日起三个月内，向常住户口所在地的公安机关申请领取居民身份证 2、未满十六周岁的公民，由监护人代为申请领取居民身份证3、居住在中华人民共和国境内的中国公民，在申请领取、换领、补领居民身份证期间，急需使用居民身份证的，可以申领临时居民身份证4、未满十六周岁的公民，由监护人代为申领临时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w:t>
            </w:r>
            <w:r>
              <w:rPr>
                <w:rFonts w:hint="eastAsia" w:ascii="仿宋_GB2312" w:hAnsi="仿宋_GB2312" w:eastAsia="仿宋_GB2312" w:cs="仿宋_GB2312"/>
                <w:color w:val="auto"/>
                <w:sz w:val="24"/>
                <w:szCs w:val="24"/>
                <w:shd w:val="clear" w:color="auto" w:fill="FFFFFF"/>
              </w:rPr>
              <w:t>《居民户口簿》或 《常住人口登记表》（集体户）原件、居民身份证原件（换证人员）</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办理时限：0个工作日</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：国家发展改革委、财政部关于居民身份证收费标准及有关问题的通知》（发改价格[2003]2322号）规定每证10元</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《临时居民身份证管理办法》、《政府信息公开条例》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889" w:type="dxa"/>
            <w:vAlign w:val="center"/>
          </w:tcPr>
          <w:p>
            <w:pPr>
              <w:widowControl/>
              <w:spacing w:line="360" w:lineRule="exact"/>
              <w:textAlignment w:val="center"/>
              <w:rPr>
                <w:rFonts w:hint="eastAsia" w:ascii="仿宋_GB2312" w:hAnsi="仿宋_GB2312" w:eastAsia="仿宋_GB2312" w:cs="仿宋_GB2312"/>
                <w:color w:val="auto"/>
                <w:sz w:val="24"/>
                <w:szCs w:val="24"/>
              </w:rPr>
            </w:pPr>
          </w:p>
        </w:tc>
        <w:tc>
          <w:tcPr>
            <w:tcW w:w="900"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异地申请换、补领居民身份证</w:t>
            </w:r>
          </w:p>
        </w:tc>
        <w:tc>
          <w:tcPr>
            <w:tcW w:w="4136"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受理部门：乡镇派出所</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办理条件：在我省合法稳定就业、就学、居住的外省籍居民，申请换领、补领居民身份证，由其常住户口所在地公安机关委托我省居住地公安机关受理居民身份证。 </w:t>
            </w:r>
            <w:r>
              <w:rPr>
                <w:rFonts w:hint="eastAsia" w:ascii="仿宋_GB2312" w:hAnsi="仿宋_GB2312" w:eastAsia="仿宋_GB2312" w:cs="仿宋_GB2312"/>
                <w:color w:val="auto"/>
                <w:sz w:val="24"/>
                <w:szCs w:val="24"/>
              </w:rPr>
              <w:cr/>
            </w:r>
            <w:r>
              <w:rPr>
                <w:rFonts w:hint="eastAsia" w:ascii="仿宋_GB2312" w:hAnsi="仿宋_GB2312" w:eastAsia="仿宋_GB2312" w:cs="仿宋_GB2312"/>
                <w:color w:val="auto"/>
                <w:sz w:val="24"/>
                <w:szCs w:val="24"/>
              </w:rPr>
              <w:t>未满十六周岁的公民，由监护人代为申请领取居民身份证</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办理流程：</w:t>
            </w:r>
            <w:r>
              <w:rPr>
                <w:rFonts w:hint="eastAsia" w:ascii="仿宋_GB2312" w:hAnsi="仿宋_GB2312" w:eastAsia="仿宋_GB2312" w:cs="仿宋_GB2312"/>
                <w:color w:val="auto"/>
                <w:sz w:val="24"/>
                <w:szCs w:val="24"/>
                <w:shd w:val="clear" w:color="auto" w:fill="FFFFFF"/>
              </w:rPr>
              <w:t>申请→受理→审查→办理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所需材料：1、</w:t>
            </w:r>
            <w:r>
              <w:rPr>
                <w:rFonts w:hint="eastAsia" w:ascii="仿宋_GB2312" w:hAnsi="仿宋_GB2312" w:eastAsia="仿宋_GB2312" w:cs="仿宋_GB2312"/>
                <w:color w:val="auto"/>
                <w:sz w:val="24"/>
                <w:szCs w:val="24"/>
                <w:shd w:val="clear" w:color="auto" w:fill="FFFFFF"/>
              </w:rPr>
              <w:t>办理了居住证的，持居住证办理。申请换领证件的除提供以上相应材料外，还需提供原居民身份证2、在四川省警务综合平台（一标三实模块）登记为实有人口的，持本人《居民户口簿》或居民身份证办理。申请换领证件的除提供以上相应材料外，还需提供原居民身份证3就业、就学、居住证明。申请换领证件的除提供以上相应材料外，还需提供原居民身份证4、人像信息辅助证明5、人像信息辅助证明</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办理时限：90个工作日</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收费依据及标准 ：国家发展改革委、财政部关于居民身份证收费标准及有关问题的通知》（发改价格[2003]2322号）规定每证20元（换领）</w:t>
            </w:r>
          </w:p>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每证40元（损坏、丢失补领）</w:t>
            </w:r>
          </w:p>
        </w:tc>
        <w:tc>
          <w:tcPr>
            <w:tcW w:w="124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《居民身份证法》、《公安部关于印发&lt;关于建立居民身份证异地受理挂失申报和丢失招领制度的意见&gt;的通知》、《政府信息公开条例》</w:t>
            </w:r>
          </w:p>
        </w:tc>
        <w:tc>
          <w:tcPr>
            <w:tcW w:w="1065" w:type="dxa"/>
            <w:vAlign w:val="center"/>
          </w:tcPr>
          <w:p>
            <w:pPr>
              <w:widowControl/>
              <w:spacing w:line="360" w:lineRule="exac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形成或者变更之日起20个工作日内予以公开</w:t>
            </w:r>
          </w:p>
        </w:tc>
        <w:tc>
          <w:tcPr>
            <w:tcW w:w="93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1346" w:type="dxa"/>
            <w:vAlign w:val="center"/>
          </w:tcPr>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widowControl/>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994"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spacing w:line="360" w:lineRule="exact"/>
              <w:rPr>
                <w:rFonts w:hint="eastAsia" w:ascii="仿宋_GB2312" w:hAnsi="仿宋_GB2312" w:eastAsia="仿宋_GB2312" w:cs="仿宋_GB2312"/>
                <w:color w:val="auto"/>
                <w:sz w:val="24"/>
                <w:szCs w:val="24"/>
              </w:rPr>
            </w:pPr>
          </w:p>
        </w:tc>
        <w:tc>
          <w:tcPr>
            <w:tcW w:w="551" w:type="dxa"/>
            <w:vAlign w:val="center"/>
          </w:tcPr>
          <w:p>
            <w:pPr>
              <w:widowControl/>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062" w:type="dxa"/>
            <w:vAlign w:val="center"/>
          </w:tcPr>
          <w:p>
            <w:pPr>
              <w:widowControl/>
              <w:spacing w:line="360" w:lineRule="exact"/>
              <w:rPr>
                <w:rFonts w:hint="eastAsia" w:ascii="仿宋_GB2312" w:hAnsi="仿宋_GB2312" w:eastAsia="仿宋_GB2312" w:cs="仿宋_GB2312"/>
                <w:color w:val="auto"/>
                <w:sz w:val="24"/>
                <w:szCs w:val="24"/>
              </w:rPr>
            </w:pPr>
          </w:p>
        </w:tc>
      </w:tr>
    </w:tbl>
    <w:p>
      <w:pPr>
        <w:pStyle w:val="3"/>
        <w:spacing w:before="0" w:after="0" w:line="240" w:lineRule="auto"/>
        <w:jc w:val="center"/>
        <w:rPr>
          <w:color w:val="auto"/>
        </w:rPr>
      </w:pPr>
      <w:r>
        <w:rPr>
          <w:rFonts w:hint="eastAsia" w:ascii="方正小标宋简体" w:hAnsi="方正小标宋简体" w:eastAsia="方正小标宋简体" w:cs="方正小标宋简体"/>
          <w:b w:val="0"/>
          <w:bCs w:val="0"/>
          <w:color w:val="auto"/>
        </w:rPr>
        <w:t>（</w:t>
      </w:r>
      <w:r>
        <w:rPr>
          <w:rFonts w:hint="eastAsia" w:ascii="方正小标宋简体" w:hAnsi="方正小标宋简体" w:eastAsia="方正小标宋简体" w:cs="方正小标宋简体"/>
          <w:b w:val="0"/>
          <w:bCs w:val="0"/>
          <w:color w:val="auto"/>
          <w:lang w:eastAsia="zh-CN"/>
        </w:rPr>
        <w:t>二十一</w:t>
      </w:r>
      <w:r>
        <w:rPr>
          <w:rFonts w:hint="eastAsia" w:ascii="方正小标宋简体" w:hAnsi="方正小标宋简体" w:eastAsia="方正小标宋简体" w:cs="方正小标宋简体"/>
          <w:b w:val="0"/>
          <w:bCs w:val="0"/>
          <w:color w:val="auto"/>
        </w:rPr>
        <w:t>）救灾生产领域基层政务公开标准目录</w:t>
      </w:r>
    </w:p>
    <w:tbl>
      <w:tblPr>
        <w:tblStyle w:val="6"/>
        <w:tblpPr w:leftFromText="180" w:rightFromText="180" w:vertAnchor="text" w:horzAnchor="page" w:tblpX="935" w:tblpY="39"/>
        <w:tblOverlap w:val="never"/>
        <w:tblW w:w="15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992"/>
        <w:gridCol w:w="1362"/>
        <w:gridCol w:w="3169"/>
        <w:gridCol w:w="1589"/>
        <w:gridCol w:w="1800"/>
        <w:gridCol w:w="1234"/>
        <w:gridCol w:w="2062"/>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513"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序号</w:t>
            </w:r>
          </w:p>
        </w:tc>
        <w:tc>
          <w:tcPr>
            <w:tcW w:w="2354"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公开事项</w:t>
            </w:r>
          </w:p>
        </w:tc>
        <w:tc>
          <w:tcPr>
            <w:tcW w:w="316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公开内容（要素）</w:t>
            </w:r>
          </w:p>
        </w:tc>
        <w:tc>
          <w:tcPr>
            <w:tcW w:w="1589"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公开时限</w:t>
            </w:r>
          </w:p>
        </w:tc>
        <w:tc>
          <w:tcPr>
            <w:tcW w:w="1234"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公开主体</w:t>
            </w:r>
          </w:p>
        </w:tc>
        <w:tc>
          <w:tcPr>
            <w:tcW w:w="2062" w:type="dxa"/>
            <w:vMerge w:val="restart"/>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97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公开对象</w:t>
            </w:r>
          </w:p>
        </w:tc>
        <w:tc>
          <w:tcPr>
            <w:tcW w:w="1440" w:type="dxa"/>
            <w:gridSpan w:val="2"/>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13" w:type="dxa"/>
            <w:vMerge w:val="continue"/>
            <w:vAlign w:val="center"/>
          </w:tcPr>
          <w:p>
            <w:pPr>
              <w:widowControl/>
              <w:jc w:val="center"/>
              <w:rPr>
                <w:rFonts w:ascii="黑体" w:hAnsi="黑体" w:eastAsia="黑体" w:cs="黑体"/>
                <w:color w:val="auto"/>
                <w:kern w:val="0"/>
                <w:sz w:val="22"/>
              </w:rPr>
            </w:pPr>
          </w:p>
        </w:tc>
        <w:tc>
          <w:tcPr>
            <w:tcW w:w="99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1362"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事项</w:t>
            </w:r>
          </w:p>
        </w:tc>
        <w:tc>
          <w:tcPr>
            <w:tcW w:w="3169" w:type="dxa"/>
            <w:vMerge w:val="continue"/>
            <w:vAlign w:val="center"/>
          </w:tcPr>
          <w:p>
            <w:pPr>
              <w:widowControl/>
              <w:jc w:val="center"/>
              <w:rPr>
                <w:rFonts w:ascii="黑体" w:hAnsi="黑体" w:eastAsia="黑体" w:cs="黑体"/>
                <w:color w:val="auto"/>
                <w:kern w:val="0"/>
                <w:sz w:val="22"/>
              </w:rPr>
            </w:pPr>
          </w:p>
        </w:tc>
        <w:tc>
          <w:tcPr>
            <w:tcW w:w="1589" w:type="dxa"/>
            <w:vMerge w:val="continue"/>
            <w:vAlign w:val="center"/>
          </w:tcPr>
          <w:p>
            <w:pPr>
              <w:widowControl/>
              <w:jc w:val="center"/>
              <w:rPr>
                <w:rFonts w:ascii="黑体" w:hAnsi="黑体" w:eastAsia="黑体" w:cs="黑体"/>
                <w:color w:val="auto"/>
                <w:kern w:val="0"/>
                <w:sz w:val="22"/>
              </w:rPr>
            </w:pPr>
          </w:p>
        </w:tc>
        <w:tc>
          <w:tcPr>
            <w:tcW w:w="1800" w:type="dxa"/>
            <w:vMerge w:val="continue"/>
            <w:vAlign w:val="center"/>
          </w:tcPr>
          <w:p>
            <w:pPr>
              <w:widowControl/>
              <w:jc w:val="center"/>
              <w:rPr>
                <w:rFonts w:ascii="黑体" w:hAnsi="黑体" w:eastAsia="黑体" w:cs="黑体"/>
                <w:color w:val="auto"/>
                <w:kern w:val="0"/>
                <w:sz w:val="22"/>
              </w:rPr>
            </w:pPr>
          </w:p>
        </w:tc>
        <w:tc>
          <w:tcPr>
            <w:tcW w:w="1234" w:type="dxa"/>
            <w:vMerge w:val="continue"/>
            <w:vAlign w:val="center"/>
          </w:tcPr>
          <w:p>
            <w:pPr>
              <w:widowControl/>
              <w:jc w:val="center"/>
              <w:rPr>
                <w:rFonts w:ascii="黑体" w:hAnsi="黑体" w:eastAsia="黑体" w:cs="黑体"/>
                <w:color w:val="auto"/>
                <w:kern w:val="0"/>
                <w:sz w:val="22"/>
              </w:rPr>
            </w:pPr>
          </w:p>
        </w:tc>
        <w:tc>
          <w:tcPr>
            <w:tcW w:w="2062" w:type="dxa"/>
            <w:vMerge w:val="continue"/>
            <w:vAlign w:val="center"/>
          </w:tcPr>
          <w:p>
            <w:pPr>
              <w:widowControl/>
              <w:rPr>
                <w:rFonts w:ascii="黑体" w:hAnsi="黑体" w:eastAsia="黑体" w:cs="黑体"/>
                <w:color w:val="auto"/>
                <w:kern w:val="0"/>
                <w:sz w:val="22"/>
              </w:rPr>
            </w:pPr>
          </w:p>
        </w:tc>
        <w:tc>
          <w:tcPr>
            <w:tcW w:w="39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全社会</w:t>
            </w:r>
          </w:p>
        </w:tc>
        <w:tc>
          <w:tcPr>
            <w:tcW w:w="58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特定群众</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vAlign w:val="center"/>
          </w:tcPr>
          <w:p>
            <w:pPr>
              <w:widowControl/>
              <w:jc w:val="center"/>
              <w:rPr>
                <w:rFonts w:ascii="黑体" w:hAnsi="黑体" w:eastAsia="黑体" w:cs="黑体"/>
                <w:color w:val="auto"/>
                <w:kern w:val="0"/>
                <w:sz w:val="22"/>
              </w:rPr>
            </w:pPr>
            <w:r>
              <w:rPr>
                <w:rFonts w:hint="eastAsia" w:ascii="黑体" w:hAnsi="黑体" w:eastAsia="黑体" w:cs="黑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政策</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文件</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部门和地方规章</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与救灾有关的部门和地方规章、规范性文件</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救灾领域有关的国家标准、行业标准、地方标准等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备灾</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灾害信息员队伍</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乡级灾害信息员工作职责和办公电话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预警信息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气象、地震等单位发布的预警信息</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■“村村响”广播</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p>
        </w:tc>
        <w:tc>
          <w:tcPr>
            <w:tcW w:w="992" w:type="dxa"/>
            <w:vMerge w:val="restart"/>
            <w:vAlign w:val="center"/>
          </w:tcPr>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pStyle w:val="2"/>
              <w:rPr>
                <w:rFonts w:hint="eastAsia" w:ascii="仿宋_GB2312" w:hAnsi="仿宋_GB2312" w:eastAsia="仿宋_GB2312" w:cs="仿宋_GB2312"/>
                <w:bCs/>
                <w:color w:val="auto"/>
                <w:sz w:val="24"/>
                <w:szCs w:val="24"/>
              </w:rPr>
            </w:pPr>
          </w:p>
          <w:p>
            <w:pPr>
              <w:rPr>
                <w:rFonts w:hint="eastAsia"/>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灾后</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灾情核定信息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本行政区域内因自然灾害造成的损失情况（受灾时间、灾害种类、受灾范围、灾害造成的损失等）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■村公示栏（电子屏）</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12</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救助审定信息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自然灾害救助（6类）的救助对象、申报材料、办理程序及时限等</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14</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因灾过渡期生活救助标准、过渡期生活救助对象评议结果公示（灾民姓名、受灾情况、拟救助金额、监督举报电话）过渡期生活救助对象确定（灾民姓名、受灾情况、救助金额、监督举报电话)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15</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居民住房恢复重建救助标准（居民因灾倒房、损房恢复重建具体救助标准）居民住房恢复重建救助对象评议结果公示（公开灾民姓名、受灾情况、拟救助标准、监督举报电话）</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《政府信息公开条例》、《自然灾害救助条例》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■村公示栏（电子屏）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16</w:t>
            </w:r>
          </w:p>
        </w:tc>
        <w:tc>
          <w:tcPr>
            <w:tcW w:w="992" w:type="dxa"/>
            <w:vMerge w:val="restart"/>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款物</w:t>
            </w:r>
          </w:p>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管理</w:t>
            </w: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捐赠款物信息</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年度捐赠款物信息以及款物使用情况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13"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17</w:t>
            </w:r>
          </w:p>
        </w:tc>
        <w:tc>
          <w:tcPr>
            <w:tcW w:w="992" w:type="dxa"/>
            <w:vMerge w:val="continue"/>
            <w:vAlign w:val="center"/>
          </w:tcPr>
          <w:p>
            <w:pPr>
              <w:jc w:val="center"/>
              <w:rPr>
                <w:rFonts w:hint="eastAsia" w:ascii="仿宋_GB2312" w:hAnsi="仿宋_GB2312" w:eastAsia="仿宋_GB2312" w:cs="仿宋_GB2312"/>
                <w:bCs/>
                <w:color w:val="auto"/>
                <w:sz w:val="24"/>
                <w:szCs w:val="24"/>
              </w:rPr>
            </w:pPr>
          </w:p>
        </w:tc>
        <w:tc>
          <w:tcPr>
            <w:tcW w:w="1362"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年度款物使用情况</w:t>
            </w:r>
          </w:p>
        </w:tc>
        <w:tc>
          <w:tcPr>
            <w:tcW w:w="316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年度救灾资金和救灾物资等使用情况</w:t>
            </w:r>
          </w:p>
        </w:tc>
        <w:tc>
          <w:tcPr>
            <w:tcW w:w="1589"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234" w:type="dxa"/>
            <w:vAlign w:val="center"/>
          </w:tcPr>
          <w:p>
            <w:pPr>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kern w:val="0"/>
                <w:sz w:val="24"/>
                <w:szCs w:val="24"/>
                <w:lang w:eastAsia="zh-CN" w:bidi="ar"/>
              </w:rPr>
              <w:t>云雾山</w:t>
            </w:r>
            <w:r>
              <w:rPr>
                <w:rFonts w:hint="eastAsia" w:ascii="仿宋_GB2312" w:hAnsi="仿宋_GB2312" w:eastAsia="仿宋_GB2312" w:cs="仿宋_GB2312"/>
                <w:color w:val="auto"/>
                <w:kern w:val="0"/>
                <w:sz w:val="24"/>
                <w:szCs w:val="24"/>
                <w:lang w:bidi="ar"/>
              </w:rPr>
              <w:t>镇人民政府</w:t>
            </w:r>
          </w:p>
        </w:tc>
        <w:tc>
          <w:tcPr>
            <w:tcW w:w="2062" w:type="dxa"/>
            <w:vAlign w:val="center"/>
          </w:tcPr>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w:t>
            </w:r>
          </w:p>
          <w:p>
            <w:pPr>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■政务公开栏 </w:t>
            </w:r>
          </w:p>
        </w:tc>
        <w:tc>
          <w:tcPr>
            <w:tcW w:w="39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58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rPr>
          <w:color w:val="auto"/>
        </w:rPr>
      </w:pPr>
    </w:p>
    <w:p>
      <w:pPr>
        <w:rPr>
          <w:color w:val="auto"/>
          <w:sz w:val="16"/>
          <w:szCs w:val="16"/>
        </w:rPr>
      </w:pPr>
    </w:p>
    <w:sectPr>
      <w:footerReference r:id="rId8" w:type="default"/>
      <w:pgSz w:w="16838" w:h="11906" w:orient="landscape"/>
      <w:pgMar w:top="1474" w:right="1247" w:bottom="1417"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Pr>
    </w:pPr>
    <w:r>
      <w:rPr>
        <w:sz w:val="18"/>
      </w:rPr>
      <mc:AlternateContent>
        <mc:Choice Requires="wps">
          <w:drawing>
            <wp:anchor distT="0" distB="0" distL="114300" distR="114300" simplePos="0" relativeHeight="251661312" behindDoc="0" locked="0" layoutInCell="1" allowOverlap="1">
              <wp:simplePos x="0" y="0"/>
              <wp:positionH relativeFrom="margin">
                <wp:posOffset>8499475</wp:posOffset>
              </wp:positionH>
              <wp:positionV relativeFrom="paragraph">
                <wp:posOffset>-52705</wp:posOffset>
              </wp:positionV>
              <wp:extent cx="608965" cy="31115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60896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69.25pt;margin-top:-4.15pt;height:24.5pt;width:47.95pt;mso-position-horizontal-relative:margin;z-index:251661312;mso-width-relative:page;mso-height-relative:page;" filled="f" stroked="f" coordsize="21600,21600" o:gfxdata="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rFM9edgAAAALAQAADwAAAAAAAAABACAAAAA4AAAAZHJzL2Rvd25y&#10;ZXYueG1sUEsBAhQAFAAAAAgAh07iQA2qrRUhAgAAKQQAAA4AAAAAAAAAAQAgAAAAPQEAAGRycy9l&#10;Mm9Eb2MueG1sUEsFBgAAAAAGAAYAWQEAANAFAAAAAA==&#10;">
              <v:fill on="f" focussize="0,0"/>
              <v:stroke on="f" weight="0.5pt"/>
              <v:imagedata o:title=""/>
              <o:lock v:ext="edit" aspectratio="f"/>
              <v:textbox inset="0mm,0mm,0mm,0mm">
                <w:txbxContent>
                  <w:p>
                    <w:pPr>
                      <w:pStyle w:val="2"/>
                      <w:jc w:val="center"/>
                      <w:rPr>
                        <w:rFonts w:hint="eastAsia" w:eastAsia="宋体"/>
                        <w:sz w:val="22"/>
                        <w:szCs w:val="22"/>
                        <w:lang w:eastAsia="zh-CN"/>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p>
                </w:txbxContent>
              </v:textbox>
            </v:shape>
          </w:pict>
        </mc:Fallback>
      </mc:AlternateContent>
    </w:r>
  </w:p>
  <w:p>
    <w:pPr>
      <w:pStyle w:val="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8AB7"/>
    <w:multiLevelType w:val="singleLevel"/>
    <w:tmpl w:val="A8528A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ODkwN2YwZmI4MTUzYTgyZDM2NGM4OWJkNzQwMDAifQ=="/>
  </w:docVars>
  <w:rsids>
    <w:rsidRoot w:val="17977D9A"/>
    <w:rsid w:val="003D3F29"/>
    <w:rsid w:val="005E1ACE"/>
    <w:rsid w:val="006E06FA"/>
    <w:rsid w:val="00D9392C"/>
    <w:rsid w:val="00E90713"/>
    <w:rsid w:val="00ED2A9A"/>
    <w:rsid w:val="00F45349"/>
    <w:rsid w:val="057C0E44"/>
    <w:rsid w:val="06C75E70"/>
    <w:rsid w:val="077F6D90"/>
    <w:rsid w:val="0872408A"/>
    <w:rsid w:val="09E82BFE"/>
    <w:rsid w:val="0A773AA0"/>
    <w:rsid w:val="0AE562A3"/>
    <w:rsid w:val="0B27341F"/>
    <w:rsid w:val="0BD672FD"/>
    <w:rsid w:val="0BDE0CED"/>
    <w:rsid w:val="0CA24A03"/>
    <w:rsid w:val="0FEF6BDF"/>
    <w:rsid w:val="10A8335E"/>
    <w:rsid w:val="10F51F65"/>
    <w:rsid w:val="114875E1"/>
    <w:rsid w:val="11605668"/>
    <w:rsid w:val="119D7928"/>
    <w:rsid w:val="1246606B"/>
    <w:rsid w:val="13FC0916"/>
    <w:rsid w:val="164E0CC3"/>
    <w:rsid w:val="17977D9A"/>
    <w:rsid w:val="19684CC1"/>
    <w:rsid w:val="1A2C70C8"/>
    <w:rsid w:val="1ABD1DF6"/>
    <w:rsid w:val="1B281F85"/>
    <w:rsid w:val="1B777ECA"/>
    <w:rsid w:val="1E316291"/>
    <w:rsid w:val="1E7769E3"/>
    <w:rsid w:val="1F851DA7"/>
    <w:rsid w:val="20655155"/>
    <w:rsid w:val="207541D8"/>
    <w:rsid w:val="22436110"/>
    <w:rsid w:val="230A01C2"/>
    <w:rsid w:val="23300063"/>
    <w:rsid w:val="2492207B"/>
    <w:rsid w:val="258364F5"/>
    <w:rsid w:val="292A2A37"/>
    <w:rsid w:val="2ACC21F5"/>
    <w:rsid w:val="2BD56553"/>
    <w:rsid w:val="2C402F86"/>
    <w:rsid w:val="2D8E231A"/>
    <w:rsid w:val="2DA61BA5"/>
    <w:rsid w:val="2E5B1AB0"/>
    <w:rsid w:val="2F111526"/>
    <w:rsid w:val="2F4F0435"/>
    <w:rsid w:val="32111337"/>
    <w:rsid w:val="328C29A2"/>
    <w:rsid w:val="338A7183"/>
    <w:rsid w:val="34853B4C"/>
    <w:rsid w:val="35F0106C"/>
    <w:rsid w:val="363970E8"/>
    <w:rsid w:val="38345799"/>
    <w:rsid w:val="38632173"/>
    <w:rsid w:val="38746C80"/>
    <w:rsid w:val="39432A9D"/>
    <w:rsid w:val="3B5DA188"/>
    <w:rsid w:val="3CDB1168"/>
    <w:rsid w:val="3DA340AD"/>
    <w:rsid w:val="3F0B5072"/>
    <w:rsid w:val="3F6FCBDF"/>
    <w:rsid w:val="421978CA"/>
    <w:rsid w:val="433052A7"/>
    <w:rsid w:val="439F71AD"/>
    <w:rsid w:val="43D877F5"/>
    <w:rsid w:val="45004A74"/>
    <w:rsid w:val="455548AF"/>
    <w:rsid w:val="45CF48FD"/>
    <w:rsid w:val="46D56B29"/>
    <w:rsid w:val="47065415"/>
    <w:rsid w:val="470B6D81"/>
    <w:rsid w:val="488A3088"/>
    <w:rsid w:val="49952D5B"/>
    <w:rsid w:val="4BBE2018"/>
    <w:rsid w:val="4CA25630"/>
    <w:rsid w:val="4D2B30E6"/>
    <w:rsid w:val="4D7649CB"/>
    <w:rsid w:val="4F3C7CC8"/>
    <w:rsid w:val="51D94C86"/>
    <w:rsid w:val="525E7D7E"/>
    <w:rsid w:val="57C47717"/>
    <w:rsid w:val="58063E5D"/>
    <w:rsid w:val="58EB61BE"/>
    <w:rsid w:val="59091929"/>
    <w:rsid w:val="5B432C78"/>
    <w:rsid w:val="5BFBE4D6"/>
    <w:rsid w:val="5CAA0666"/>
    <w:rsid w:val="5CC94030"/>
    <w:rsid w:val="5EB727AE"/>
    <w:rsid w:val="5F8D2ACA"/>
    <w:rsid w:val="60DC2575"/>
    <w:rsid w:val="623A5FD8"/>
    <w:rsid w:val="6435414E"/>
    <w:rsid w:val="645026DE"/>
    <w:rsid w:val="646F3FAB"/>
    <w:rsid w:val="64855828"/>
    <w:rsid w:val="65C47F74"/>
    <w:rsid w:val="670F3391"/>
    <w:rsid w:val="6754691A"/>
    <w:rsid w:val="68FB4111"/>
    <w:rsid w:val="692A0C26"/>
    <w:rsid w:val="69837D68"/>
    <w:rsid w:val="69A270AA"/>
    <w:rsid w:val="6A6126EA"/>
    <w:rsid w:val="6AD20069"/>
    <w:rsid w:val="6B890C95"/>
    <w:rsid w:val="6CBD30CE"/>
    <w:rsid w:val="6CD214CA"/>
    <w:rsid w:val="6D1604AD"/>
    <w:rsid w:val="6E712785"/>
    <w:rsid w:val="6EC53796"/>
    <w:rsid w:val="6F121541"/>
    <w:rsid w:val="6F2F6FE1"/>
    <w:rsid w:val="74A41B92"/>
    <w:rsid w:val="753D2069"/>
    <w:rsid w:val="75AA6588"/>
    <w:rsid w:val="75C92AE0"/>
    <w:rsid w:val="77917FAD"/>
    <w:rsid w:val="780C775B"/>
    <w:rsid w:val="79060D5B"/>
    <w:rsid w:val="79C028D6"/>
    <w:rsid w:val="7A256506"/>
    <w:rsid w:val="7AD85D51"/>
    <w:rsid w:val="7B1B6C9F"/>
    <w:rsid w:val="7BBB0CCE"/>
    <w:rsid w:val="7C826819"/>
    <w:rsid w:val="7CC848BB"/>
    <w:rsid w:val="7E6334EA"/>
    <w:rsid w:val="7F4A6A57"/>
    <w:rsid w:val="7F985AAF"/>
    <w:rsid w:val="7FBB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15"/>
    <w:basedOn w:val="7"/>
    <w:qFormat/>
    <w:uiPriority w:val="0"/>
    <w:rPr>
      <w:rFonts w:hint="default" w:ascii="Times New Roman" w:hAnsi="Times New Roman" w:cs="Times New Roman"/>
    </w:rPr>
  </w:style>
  <w:style w:type="character" w:customStyle="1" w:styleId="13">
    <w:name w:val="10"/>
    <w:basedOn w:val="7"/>
    <w:qFormat/>
    <w:uiPriority w:val="0"/>
    <w:rPr>
      <w:rFonts w:hint="default" w:ascii="Times New Roman" w:hAnsi="Times New Roman" w:cs="Times New Roman"/>
    </w:rPr>
  </w:style>
  <w:style w:type="character" w:customStyle="1" w:styleId="14">
    <w:name w:val="font11"/>
    <w:basedOn w:val="7"/>
    <w:qFormat/>
    <w:uiPriority w:val="0"/>
    <w:rPr>
      <w:rFonts w:hint="eastAsia" w:ascii="仿宋" w:hAnsi="仿宋" w:eastAsia="仿宋" w:cs="仿宋"/>
      <w:color w:val="000000"/>
      <w:sz w:val="22"/>
      <w:szCs w:val="22"/>
      <w:u w:val="none"/>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21585</Words>
  <Characters>21901</Characters>
  <Lines>239</Lines>
  <Paragraphs>67</Paragraphs>
  <TotalTime>12</TotalTime>
  <ScaleCrop>false</ScaleCrop>
  <LinksUpToDate>false</LinksUpToDate>
  <CharactersWithSpaces>22389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2023-07-05T16:56:00Z</dcterms:created>
  <dc:creator>超超</dc:creator>
  <cp:lastModifiedBy>user</cp:lastModifiedBy>
  <dcterms:modified xsi:type="dcterms:W3CDTF">2025-02-05T14:56:35Z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D9E2DF6DE2CB4EC4A690EB76B622822E_13</vt:lpwstr>
  </property>
</Properties>
</file>