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19" w:name="_GoBack"/>
      <w:bookmarkEnd w:id="19"/>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96597"/>
      <w:bookmarkStart w:id="5" w:name="_Toc15377425"/>
      <w:r>
        <w:rPr>
          <w:rFonts w:ascii="黑体" w:hAnsi="黑体" w:eastAsia="黑体"/>
          <w:color w:val="000000"/>
          <w:sz w:val="72"/>
          <w:szCs w:val="72"/>
        </w:rPr>
        <w:t>20</w:t>
      </w:r>
      <w:r>
        <w:rPr>
          <w:rFonts w:hint="eastAsia" w:ascii="黑体" w:hAnsi="黑体" w:eastAsia="黑体"/>
          <w:color w:val="000000"/>
          <w:sz w:val="72"/>
          <w:szCs w:val="72"/>
          <w:lang w:val="en-US" w:eastAsia="zh-CN"/>
        </w:rPr>
        <w:t>22</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广元市朝天区    商务局部门决算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sectPr>
          <w:headerReference r:id="rId3" w:type="default"/>
          <w:footerReference r:id="rId4" w:type="default"/>
          <w:pgSz w:w="11906" w:h="16838"/>
          <w:pgMar w:top="1440" w:right="1746" w:bottom="1440" w:left="1746" w:header="851" w:footer="992" w:gutter="0"/>
          <w:pgNumType w:start="1"/>
          <w:cols w:space="0" w:num="1"/>
          <w:titlePg/>
          <w:docGrid w:type="lines" w:linePitch="312" w:charSpace="0"/>
        </w:sectPr>
      </w:pPr>
    </w:p>
    <w:p>
      <w:pPr>
        <w:widowControl/>
        <w:jc w:val="center"/>
        <w:rPr>
          <w:rFonts w:ascii="黑体" w:hAnsi="黑体" w:eastAsia="黑体"/>
          <w:color w:val="auto"/>
          <w:sz w:val="48"/>
          <w:szCs w:val="48"/>
          <w:highlight w:val="none"/>
        </w:rPr>
      </w:pPr>
      <w:bookmarkStart w:id="12" w:name="_Toc15396599"/>
      <w:bookmarkStart w:id="13" w:name="_Toc15377196"/>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6"/>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p>
    <w:p>
      <w:pPr>
        <w:rPr>
          <w:color w:val="auto"/>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lang w:val="en-US" w:eastAsia="zh-CN"/>
        </w:rPr>
        <w:t xml:space="preserve">第一部分 部门概况 </w:t>
      </w:r>
      <w:r>
        <w:rPr>
          <w:rFonts w:hint="eastAsia"/>
          <w:color w:val="auto"/>
          <w:sz w:val="24"/>
          <w:highlight w:val="none"/>
          <w:lang w:eastAsia="zh-CN"/>
        </w:rPr>
        <w:t>—————————————————————————</w:t>
      </w:r>
      <w:r>
        <w:rPr>
          <w:rFonts w:hint="eastAsia"/>
          <w:color w:val="auto"/>
          <w:sz w:val="24"/>
          <w:highlight w:val="none"/>
          <w:lang w:val="en-US" w:eastAsia="zh-CN"/>
        </w:rPr>
        <w:t>1</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1</w:t>
      </w:r>
    </w:p>
    <w:p>
      <w:pPr>
        <w:pStyle w:val="19"/>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color w:val="auto"/>
          <w:sz w:val="24"/>
          <w:highlight w:val="none"/>
          <w:lang w:val="en-US" w:eastAsia="zh-CN"/>
        </w:rPr>
      </w:pPr>
      <w:r>
        <w:rPr>
          <w:rFonts w:hint="eastAsia"/>
          <w:color w:val="auto"/>
          <w:sz w:val="24"/>
          <w:highlight w:val="none"/>
          <w:lang w:val="en-US" w:eastAsia="zh-CN"/>
        </w:rPr>
        <w:t>1、主要职能———————————————————————————1</w:t>
      </w:r>
    </w:p>
    <w:p>
      <w:pPr>
        <w:pStyle w:val="19"/>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color w:val="auto"/>
          <w:sz w:val="24"/>
          <w:highlight w:val="none"/>
          <w:lang w:val="en-US" w:eastAsia="zh-CN"/>
        </w:rPr>
      </w:pPr>
      <w:r>
        <w:rPr>
          <w:rFonts w:hint="eastAsia"/>
          <w:color w:val="auto"/>
          <w:sz w:val="24"/>
          <w:highlight w:val="none"/>
          <w:lang w:val="en-US" w:eastAsia="zh-CN"/>
        </w:rPr>
        <w:t xml:space="preserve">2、重点工作完成情况  </w:t>
      </w:r>
      <w:r>
        <w:rPr>
          <w:rFonts w:hint="eastAsia"/>
          <w:color w:val="auto"/>
          <w:sz w:val="24"/>
          <w:highlight w:val="none"/>
          <w:lang w:eastAsia="zh-CN"/>
        </w:rPr>
        <w:t>——————————————————————</w:t>
      </w:r>
      <w:r>
        <w:rPr>
          <w:rFonts w:hint="eastAsia"/>
          <w:color w:val="auto"/>
          <w:sz w:val="24"/>
          <w:highlight w:val="none"/>
          <w:lang w:val="en-US" w:eastAsia="zh-CN"/>
        </w:rPr>
        <w:t>3</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imes New Roman"/>
          <w:color w:val="auto"/>
          <w:kern w:val="2"/>
          <w:sz w:val="24"/>
          <w:szCs w:val="28"/>
          <w:highlight w:val="none"/>
          <w:lang w:val="en-US" w:eastAsia="zh-CN" w:bidi="ar-SA"/>
        </w:rPr>
      </w:pPr>
      <w:r>
        <w:rPr>
          <w:rFonts w:hint="eastAsia"/>
          <w:color w:val="auto"/>
          <w:sz w:val="24"/>
          <w:highlight w:val="none"/>
        </w:rPr>
        <w:t>二、机构设置</w:t>
      </w:r>
      <w:r>
        <w:rPr>
          <w:rFonts w:hint="eastAsia"/>
          <w:color w:val="auto"/>
          <w:sz w:val="24"/>
          <w:highlight w:val="none"/>
          <w:lang w:eastAsia="zh-CN"/>
        </w:rPr>
        <w:t>———————————————————————————</w:t>
      </w:r>
      <w:r>
        <w:rPr>
          <w:rFonts w:hint="eastAsia"/>
          <w:color w:val="auto"/>
          <w:sz w:val="24"/>
          <w:highlight w:val="none"/>
          <w:lang w:val="en-US" w:eastAsia="zh-CN"/>
        </w:rPr>
        <w:t>6</w:t>
      </w:r>
      <w:r>
        <w:rPr>
          <w:rFonts w:hint="eastAsia" w:ascii="仿宋" w:hAnsi="仿宋" w:eastAsia="仿宋" w:cs="Times New Roman"/>
          <w:color w:val="auto"/>
          <w:kern w:val="2"/>
          <w:sz w:val="24"/>
          <w:szCs w:val="28"/>
          <w:highlight w:val="none"/>
          <w:lang w:val="en-US" w:eastAsia="zh-CN" w:bidi="ar-SA"/>
        </w:rPr>
        <w:t>第二部分2022年度部门决算情况说明 —————————————————6</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一、收入支出决算总体情况说明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6</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b w:val="0"/>
          <w:bCs w:val="0"/>
          <w:color w:val="auto"/>
          <w:sz w:val="24"/>
          <w:highlight w:val="none"/>
        </w:rPr>
      </w:pPr>
      <w:r>
        <w:rPr>
          <w:rFonts w:hint="eastAsia"/>
          <w:color w:val="auto"/>
          <w:sz w:val="24"/>
          <w:highlight w:val="none"/>
        </w:rPr>
        <w:t>二、收入决算情况说明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7</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三、支出决算情况说明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8</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8</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9</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13</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13</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15</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15</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十、</w:t>
      </w:r>
      <w:r>
        <w:rPr>
          <w:rFonts w:hint="eastAsia" w:ascii="Times New Roman" w:hAnsi="Times New Roman" w:cs="Times New Roman"/>
          <w:color w:val="auto"/>
          <w:sz w:val="24"/>
          <w:highlight w:val="none"/>
        </w:rPr>
        <w:t>其他重要事项的情况说明</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1、机关运行经费支出情况</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 xml:space="preserve">2、政府采购支出情况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default"/>
          <w:lang w:val="en-US" w:eastAsia="zh-CN"/>
        </w:rPr>
      </w:pPr>
      <w:r>
        <w:rPr>
          <w:rFonts w:hint="eastAsia" w:ascii="Times New Roman" w:hAnsi="Times New Roman" w:cs="Times New Roman"/>
          <w:color w:val="auto"/>
          <w:sz w:val="24"/>
          <w:highlight w:val="none"/>
          <w:lang w:val="en-US" w:eastAsia="zh-CN"/>
        </w:rPr>
        <w:t xml:space="preserve">3、国有资产占有使用情况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9"/>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default"/>
          <w:lang w:val="en-US" w:eastAsia="zh-CN"/>
        </w:rPr>
      </w:pP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预算绩效管理情况</w:t>
      </w:r>
      <w:r>
        <w:rPr>
          <w:rFonts w:hint="eastAsia"/>
          <w:color w:val="auto"/>
          <w:sz w:val="24"/>
          <w:highlight w:val="none"/>
          <w:lang w:eastAsia="zh-CN"/>
        </w:rPr>
        <w:t>—</w:t>
      </w:r>
      <w:r>
        <w:rPr>
          <w:rFonts w:hint="eastAsia" w:ascii="Times New Roman" w:hAnsi="Times New Roman" w:cs="Times New Roman"/>
          <w:color w:val="auto"/>
          <w:sz w:val="24"/>
          <w:highlight w:val="none"/>
          <w:lang w:eastAsia="zh-CN"/>
        </w:rPr>
        <w:t>—</w:t>
      </w:r>
      <w:r>
        <w:rPr>
          <w:rFonts w:hint="eastAsia"/>
          <w:color w:val="auto"/>
          <w:sz w:val="24"/>
          <w:highlight w:val="none"/>
          <w:lang w:eastAsia="zh-CN"/>
        </w:rPr>
        <w:t>————————————————————</w:t>
      </w:r>
      <w:r>
        <w:rPr>
          <w:rFonts w:hint="eastAsia"/>
          <w:color w:val="auto"/>
          <w:sz w:val="24"/>
          <w:highlight w:val="none"/>
          <w:lang w:val="en-US" w:eastAsia="zh-CN"/>
        </w:rPr>
        <w:t>15</w:t>
      </w:r>
    </w:p>
    <w:p>
      <w:pPr>
        <w:pStyle w:val="16"/>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17</w:t>
      </w:r>
    </w:p>
    <w:p>
      <w:pPr>
        <w:pStyle w:val="16"/>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21</w:t>
      </w:r>
    </w:p>
    <w:p>
      <w:pPr>
        <w:keepNext w:val="0"/>
        <w:keepLines w:val="0"/>
        <w:pageBreakBefore w:val="0"/>
        <w:widowControl w:val="0"/>
        <w:kinsoku/>
        <w:wordWrap/>
        <w:overflowPunct/>
        <w:topLinePunct w:val="0"/>
        <w:autoSpaceDE/>
        <w:autoSpaceDN/>
        <w:bidi w:val="0"/>
        <w:spacing w:line="540" w:lineRule="exact"/>
        <w:textAlignment w:val="auto"/>
        <w:rPr>
          <w:rFonts w:hint="default"/>
          <w:color w:val="auto"/>
          <w:sz w:val="24"/>
          <w:highlight w:val="none"/>
          <w:lang w:val="en-US" w:eastAsia="zh-CN"/>
        </w:rPr>
      </w:pPr>
      <w:r>
        <w:rPr>
          <w:rFonts w:hint="eastAsia"/>
          <w:color w:val="auto"/>
          <w:sz w:val="24"/>
          <w:highlight w:val="none"/>
          <w:lang w:val="en-US" w:eastAsia="zh-CN"/>
        </w:rPr>
        <w:t xml:space="preserve">  一、2022年度部门整体绩效自评报告</w:t>
      </w:r>
      <w:r>
        <w:rPr>
          <w:rFonts w:hint="eastAsia"/>
          <w:color w:val="auto"/>
          <w:sz w:val="24"/>
          <w:highlight w:val="none"/>
          <w:lang w:eastAsia="zh-CN"/>
        </w:rPr>
        <w:t>—</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21</w:t>
      </w:r>
    </w:p>
    <w:p>
      <w:pPr>
        <w:pStyle w:val="16"/>
        <w:keepNext w:val="0"/>
        <w:keepLines w:val="0"/>
        <w:pageBreakBefore w:val="0"/>
        <w:kinsoku/>
        <w:wordWrap/>
        <w:overflowPunct/>
        <w:topLinePunct w:val="0"/>
        <w:autoSpaceDE/>
        <w:autoSpaceDN/>
        <w:bidi w:val="0"/>
        <w:adjustRightInd w:val="0"/>
        <w:snapToGrid w:val="0"/>
        <w:spacing w:before="0" w:line="540" w:lineRule="exact"/>
        <w:jc w:val="left"/>
        <w:textAlignment w:val="auto"/>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114</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十、政府性基金预算财政拨款收入支出决算表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十一、国有资本经营预算财政拨款收入支出决算表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十二、国有资本经营预算财政拨款支出决算表</w:t>
      </w:r>
    </w:p>
    <w:p>
      <w:pPr>
        <w:pStyle w:val="19"/>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十三、财政拨款“三公”经费支出决算表</w:t>
      </w:r>
    </w:p>
    <w:p>
      <w:pPr>
        <w:pStyle w:val="2"/>
        <w:jc w:val="left"/>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pPr>
        <w:pStyle w:val="2"/>
        <w:ind w:right="440"/>
        <w:jc w:val="center"/>
        <w:rPr>
          <w:rFonts w:ascii="黑体" w:hAnsi="黑体" w:eastAsia="黑体"/>
          <w:b w:val="0"/>
          <w:color w:val="000000"/>
        </w:rPr>
      </w:pPr>
      <w:r>
        <w:rPr>
          <w:rFonts w:hint="eastAsia" w:ascii="黑体" w:hAnsi="黑体" w:eastAsia="黑体"/>
          <w:b w:val="0"/>
          <w:color w:val="000000"/>
        </w:rPr>
        <w:t>第一部分  部门概况</w:t>
      </w:r>
    </w:p>
    <w:p>
      <w:pPr>
        <w:pStyle w:val="3"/>
        <w:ind w:firstLine="640" w:firstLineChars="200"/>
        <w:rPr>
          <w:rStyle w:val="39"/>
          <w:rFonts w:hint="default" w:ascii="仿宋" w:hAnsi="仿宋" w:eastAsia="黑体"/>
          <w:b w:val="0"/>
          <w:bCs w:val="0"/>
          <w:lang w:val="en-US" w:eastAsia="zh-CN"/>
        </w:rPr>
      </w:pPr>
      <w:r>
        <w:rPr>
          <w:rFonts w:hint="eastAsia" w:ascii="黑体" w:hAnsi="黑体" w:eastAsia="黑体"/>
          <w:b w:val="0"/>
          <w:color w:val="000000"/>
        </w:rPr>
        <w:t>一、</w:t>
      </w:r>
      <w:r>
        <w:rPr>
          <w:rFonts w:hint="eastAsia" w:ascii="黑体" w:hAnsi="黑体" w:eastAsia="黑体"/>
          <w:b w:val="0"/>
          <w:color w:val="000000"/>
          <w:lang w:val="en-US" w:eastAsia="zh-CN"/>
        </w:rPr>
        <w:t>部门职能</w:t>
      </w:r>
    </w:p>
    <w:p>
      <w:pPr>
        <w:snapToGrid w:val="0"/>
        <w:spacing w:line="600" w:lineRule="exact"/>
        <w:ind w:firstLine="642" w:firstLineChars="200"/>
        <w:rPr>
          <w:rFonts w:ascii="仿宋" w:hAnsi="仿宋" w:eastAsia="仿宋"/>
          <w:b/>
          <w:bCs w:val="0"/>
          <w:color w:val="000000"/>
          <w:sz w:val="32"/>
          <w:szCs w:val="32"/>
        </w:rPr>
      </w:pPr>
      <w:r>
        <w:rPr>
          <w:rFonts w:hint="eastAsia" w:ascii="仿宋" w:hAnsi="仿宋" w:eastAsia="仿宋"/>
          <w:b/>
          <w:bCs w:val="0"/>
          <w:color w:val="000000"/>
          <w:sz w:val="32"/>
          <w:szCs w:val="32"/>
        </w:rPr>
        <w:t>（一）主要职能。</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贯彻执行国家、省、市、区有关国内外贸易和服务贸易工作的法律、法规和方针、政策以及区委、区政府有关内、外贸工作的重大决策；拟订全区内、外贸的发展战略、中长期发展规划和政策，并组织实施。</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拟订年度内、外贸运行调控目标和指导性计划、措施并组织实施，统计、分析和发布重要商务信息，参与协调商务运行中涉及财政、金融、税务、统计等领域的政策问题。</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负责推进流通产业结构调整，研究流通企业改革的相关政策并组织实施，负责商贸服务业行业管理，提出促进商贸企业发展的政策建议，推动流通标准化和连锁经营、商业特许经营、物流配送、电子商务等现代流通方式的发展。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牵头协调整顿和规范我区市场经济秩序工作,组织推动追溯体系建设。参与组织打击商务领域侵犯知识产权、商业欺诈等工作，推动商务领域信用建设，指导商业信用销售，建立市场诚信公共服务平台，对特殊流通行业进行监督管理。协同有关部门做好商贸企业食品卫生、服务质量、商品质量的监督管理工作。</w:t>
      </w:r>
    </w:p>
    <w:p>
      <w:pPr>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促进城乡市场发展，负责制订、指导大宗商品批发市场规划和城市商业网点规划，指导商业体系建设、社区商业工作；按规定权限对兴办商品市场、设立拍卖行、加油站进行资格审查准入，并依法监督；推进农村市场体系建设，组织实施农村现代流通网络工程；管理市级市场物业；负责指导、协调全区县、区商贸业的经济发展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负责制订全区物流业发展规划和政策措施，研究全市物流业改革发展的重大问题，对物流业重大项目进行跟踪。 </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对报废汽车和旧机动车、废旧金属材料等特种物质的流通进行管理；加强对商贸企业国有资产运营、管理和监督。</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负责对外贸易工作，指导企业开拓多元化国际市场，负责组织实施重要工业品、原材料和重要农产品进出口总量计划工作；负责管理机电产品、高新技术产品进出口工作；指导和协调加工贸易工作，负责出口加工区的指导协调和审核、报批等工作；推进进出口贸易标准化工作，依法监督技术引进、设备进口、国家限制出口技术的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负责涉及世贸组织规则的相关工作， 承担组织协调反倾销、反补贴、反垄断保障措施及其他与进出口公平贸易相关工作的责任，建立进出口公平贸易预警机制，组织产业损害调查，指导协调产业安全应对工作及国外对我市出口商品的反倾销、反补贴保障措施的应诉相关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负责拟订服务贸易发展规划并开展相关工作；负责会同有关部门制定促进我区服务外包发展的规划、政策并组织实施，推动服务外包示范城市建设，促进服务外包产业发展。 </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牵头拟订全区商贸服务业发展规划并组织、协调开展相关工作。负责研究制订药品流通行业发展规划、行业标准和有关政策。</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指导商贸系统的安全生产、信访、维稳工作；组织实施全系统社会主义精神文明建设工作。 </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负责推进、指导、协调、监督本部门、本系统的政府信息公开工作。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承办区人民政府交办的其它事项。</w:t>
      </w:r>
    </w:p>
    <w:p>
      <w:pPr>
        <w:spacing w:line="560" w:lineRule="exact"/>
        <w:ind w:firstLine="642" w:firstLineChars="200"/>
        <w:outlineLvl w:val="1"/>
        <w:rPr>
          <w:rFonts w:ascii="仿宋" w:hAnsi="仿宋" w:eastAsia="仿宋"/>
          <w:b/>
          <w:bCs w:val="0"/>
          <w:color w:val="000000"/>
          <w:sz w:val="32"/>
          <w:szCs w:val="32"/>
        </w:rPr>
      </w:pPr>
      <w:r>
        <w:rPr>
          <w:rFonts w:hint="eastAsia" w:ascii="仿宋" w:hAnsi="仿宋" w:eastAsia="仿宋"/>
          <w:b/>
          <w:bCs w:val="0"/>
          <w:color w:val="000000"/>
          <w:sz w:val="32"/>
          <w:szCs w:val="32"/>
        </w:rPr>
        <w:t>（二）</w:t>
      </w:r>
      <w:r>
        <w:rPr>
          <w:rFonts w:ascii="仿宋" w:hAnsi="仿宋" w:eastAsia="仿宋"/>
          <w:b/>
          <w:bCs w:val="0"/>
          <w:color w:val="000000"/>
          <w:sz w:val="32"/>
          <w:szCs w:val="32"/>
        </w:rPr>
        <w:t>20</w:t>
      </w:r>
      <w:r>
        <w:rPr>
          <w:rFonts w:hint="eastAsia" w:ascii="仿宋" w:hAnsi="仿宋" w:eastAsia="仿宋"/>
          <w:b/>
          <w:bCs w:val="0"/>
          <w:color w:val="000000"/>
          <w:sz w:val="32"/>
          <w:szCs w:val="32"/>
          <w:lang w:val="en-US" w:eastAsia="zh-CN"/>
        </w:rPr>
        <w:t>22</w:t>
      </w:r>
      <w:r>
        <w:rPr>
          <w:rFonts w:hint="eastAsia" w:ascii="仿宋" w:hAnsi="仿宋" w:eastAsia="仿宋"/>
          <w:b/>
          <w:bCs w:val="0"/>
          <w:color w:val="000000"/>
          <w:sz w:val="32"/>
          <w:szCs w:val="32"/>
        </w:rPr>
        <w:t>年重点工作完成情况。</w:t>
      </w:r>
    </w:p>
    <w:p>
      <w:pPr>
        <w:spacing w:line="576"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Malgun Gothic Semilight" w:hAnsi="Malgun Gothic Semilight" w:eastAsia="Malgun Gothic Semilight" w:cs="Malgun Gothic Semilight"/>
          <w:color w:val="000000"/>
          <w:sz w:val="32"/>
          <w:szCs w:val="32"/>
          <w:u w:val="none"/>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2022年，我局主要承担市下经济指标5项。</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社会消费品零售总额</w:t>
      </w:r>
      <w:r>
        <w:rPr>
          <w:rFonts w:hint="eastAsia" w:ascii="仿宋" w:hAnsi="仿宋" w:eastAsia="仿宋" w:cs="仿宋"/>
          <w:color w:val="auto"/>
          <w:kern w:val="2"/>
          <w:sz w:val="32"/>
          <w:szCs w:val="32"/>
          <w:lang w:val="en-US" w:eastAsia="zh-CN" w:bidi="ar-SA"/>
        </w:rPr>
        <w:t>（市下目标8.2%）</w:t>
      </w:r>
      <w:r>
        <w:rPr>
          <w:rFonts w:hint="eastAsia" w:ascii="仿宋" w:hAnsi="仿宋" w:eastAsia="仿宋" w:cs="仿宋"/>
          <w:color w:val="000000" w:themeColor="text1"/>
          <w:sz w:val="32"/>
          <w:szCs w:val="32"/>
          <w:lang w:val="en-US" w:eastAsia="zh-CN"/>
          <w14:textFill>
            <w14:solidFill>
              <w14:schemeClr w14:val="tx1"/>
            </w14:solidFill>
          </w14:textFill>
        </w:rPr>
        <w:t>，全年</w:t>
      </w:r>
      <w:r>
        <w:rPr>
          <w:rFonts w:hint="eastAsia" w:ascii="仿宋" w:hAnsi="仿宋" w:eastAsia="仿宋" w:cs="仿宋"/>
          <w:color w:val="auto"/>
          <w:kern w:val="2"/>
          <w:sz w:val="32"/>
          <w:szCs w:val="32"/>
          <w:lang w:val="en-US" w:eastAsia="zh-CN" w:bidi="ar-SA"/>
        </w:rPr>
        <w:t>实现24.98亿元，同比增长-1.1%，排全市第三位。</w:t>
      </w: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服务业增加值</w:t>
      </w:r>
      <w:r>
        <w:rPr>
          <w:rFonts w:hint="eastAsia" w:ascii="仿宋" w:hAnsi="仿宋" w:eastAsia="仿宋" w:cs="仿宋"/>
          <w:sz w:val="32"/>
          <w:szCs w:val="32"/>
        </w:rPr>
        <w:t>（市下目标7.6%）。</w:t>
      </w:r>
      <w:r>
        <w:rPr>
          <w:rFonts w:hint="eastAsia" w:ascii="仿宋" w:hAnsi="仿宋" w:eastAsia="仿宋" w:cs="仿宋"/>
          <w:sz w:val="32"/>
          <w:szCs w:val="32"/>
          <w:lang w:eastAsia="zh-CN"/>
        </w:rPr>
        <w:t>全年</w:t>
      </w:r>
      <w:r>
        <w:rPr>
          <w:rFonts w:hint="eastAsia" w:ascii="仿宋" w:hAnsi="仿宋" w:eastAsia="仿宋" w:cs="仿宋"/>
          <w:sz w:val="32"/>
          <w:szCs w:val="32"/>
        </w:rPr>
        <w:t>实现26.87亿元，同比增长5%，排全市第三位。</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sz w:val="32"/>
          <w:szCs w:val="32"/>
          <w:lang w:val="en-US" w:eastAsia="zh-CN"/>
          <w14:textFill>
            <w14:solidFill>
              <w14:schemeClr w14:val="tx1"/>
            </w14:solidFill>
          </w14:textFill>
        </w:rPr>
        <w:t>外贸进出口总额</w:t>
      </w:r>
      <w:r>
        <w:rPr>
          <w:rFonts w:hint="eastAsia" w:ascii="仿宋" w:hAnsi="仿宋" w:eastAsia="仿宋" w:cs="仿宋"/>
          <w:color w:val="auto"/>
          <w:kern w:val="2"/>
          <w:sz w:val="32"/>
          <w:szCs w:val="32"/>
          <w:lang w:val="en-US" w:eastAsia="zh-CN" w:bidi="ar-SA"/>
        </w:rPr>
        <w:t>（市下目标1700万元）。实际完成1190万元，占全年目标的70%。</w:t>
      </w:r>
      <w:r>
        <w:rPr>
          <w:rFonts w:hint="eastAsia" w:ascii="仿宋" w:hAnsi="仿宋" w:eastAsia="仿宋" w:cs="仿宋"/>
          <w:b/>
          <w:bCs/>
          <w:color w:val="000000" w:themeColor="text1"/>
          <w:sz w:val="32"/>
          <w:szCs w:val="32"/>
          <w:lang w:val="en-US" w:eastAsia="zh-CN"/>
          <w14:textFill>
            <w14:solidFill>
              <w14:schemeClr w14:val="tx1"/>
            </w14:solidFill>
          </w14:textFill>
        </w:rPr>
        <w:t>四是</w:t>
      </w:r>
      <w:r>
        <w:rPr>
          <w:rFonts w:hint="eastAsia" w:ascii="仿宋" w:hAnsi="仿宋" w:eastAsia="仿宋" w:cs="仿宋"/>
          <w:color w:val="000000" w:themeColor="text1"/>
          <w:sz w:val="32"/>
          <w:szCs w:val="32"/>
          <w:lang w:val="en-US" w:eastAsia="zh-CN"/>
          <w14:textFill>
            <w14:solidFill>
              <w14:schemeClr w14:val="tx1"/>
            </w14:solidFill>
          </w14:textFill>
        </w:rPr>
        <w:t>实际到位外资</w:t>
      </w:r>
      <w:r>
        <w:rPr>
          <w:rFonts w:hint="eastAsia" w:ascii="仿宋" w:hAnsi="仿宋" w:eastAsia="仿宋" w:cs="仿宋"/>
          <w:sz w:val="32"/>
          <w:szCs w:val="32"/>
        </w:rPr>
        <w:t>（市下目标400万美元）。实际到位</w:t>
      </w:r>
      <w:r>
        <w:rPr>
          <w:rFonts w:hint="eastAsia" w:ascii="仿宋" w:hAnsi="仿宋" w:eastAsia="仿宋" w:cs="仿宋"/>
          <w:sz w:val="32"/>
          <w:szCs w:val="32"/>
          <w:lang w:val="en-US" w:eastAsia="zh-CN"/>
        </w:rPr>
        <w:t>375</w:t>
      </w:r>
      <w:r>
        <w:rPr>
          <w:rFonts w:hint="eastAsia" w:ascii="仿宋" w:hAnsi="仿宋" w:eastAsia="仿宋" w:cs="仿宋"/>
          <w:sz w:val="32"/>
          <w:szCs w:val="32"/>
        </w:rPr>
        <w:t>万美元，完成目标任务的</w:t>
      </w:r>
      <w:r>
        <w:rPr>
          <w:rFonts w:hint="eastAsia" w:ascii="仿宋" w:hAnsi="仿宋" w:eastAsia="仿宋" w:cs="仿宋"/>
          <w:sz w:val="32"/>
          <w:szCs w:val="32"/>
          <w:lang w:val="en-US" w:eastAsia="zh-CN"/>
        </w:rPr>
        <w:t>93.75</w:t>
      </w:r>
      <w:r>
        <w:rPr>
          <w:rFonts w:hint="eastAsia" w:ascii="仿宋" w:hAnsi="仿宋" w:eastAsia="仿宋" w:cs="仿宋"/>
          <w:sz w:val="32"/>
          <w:szCs w:val="32"/>
        </w:rPr>
        <w:t>%。</w:t>
      </w:r>
      <w:r>
        <w:rPr>
          <w:rFonts w:hint="eastAsia" w:ascii="仿宋" w:hAnsi="仿宋" w:eastAsia="仿宋" w:cs="仿宋"/>
          <w:b/>
          <w:bCs/>
          <w:color w:val="000000" w:themeColor="text1"/>
          <w:sz w:val="32"/>
          <w:szCs w:val="32"/>
          <w:lang w:val="en-US" w:eastAsia="zh-CN"/>
          <w14:textFill>
            <w14:solidFill>
              <w14:schemeClr w14:val="tx1"/>
            </w14:solidFill>
          </w14:textFill>
        </w:rPr>
        <w:t>五是</w:t>
      </w:r>
      <w:r>
        <w:rPr>
          <w:rFonts w:hint="eastAsia" w:ascii="仿宋" w:hAnsi="仿宋" w:eastAsia="仿宋" w:cs="仿宋"/>
          <w:color w:val="000000" w:themeColor="text1"/>
          <w:sz w:val="32"/>
          <w:szCs w:val="32"/>
          <w:lang w:val="en-US" w:eastAsia="zh-CN"/>
          <w14:textFill>
            <w14:solidFill>
              <w14:schemeClr w14:val="tx1"/>
            </w14:solidFill>
          </w14:textFill>
        </w:rPr>
        <w:t>企业入库</w:t>
      </w:r>
      <w:r>
        <w:rPr>
          <w:rFonts w:hint="eastAsia" w:ascii="仿宋" w:hAnsi="仿宋" w:eastAsia="仿宋" w:cs="仿宋"/>
          <w:sz w:val="32"/>
          <w:szCs w:val="32"/>
        </w:rPr>
        <w:t>（市下规上服务业企业2家、限上商贸企业2家）。</w:t>
      </w:r>
      <w:r>
        <w:rPr>
          <w:rFonts w:hint="eastAsia" w:ascii="仿宋" w:hAnsi="仿宋" w:eastAsia="仿宋" w:cs="仿宋"/>
          <w:sz w:val="32"/>
          <w:szCs w:val="32"/>
          <w:lang w:eastAsia="zh-CN"/>
        </w:rPr>
        <w:t>实际</w:t>
      </w:r>
      <w:r>
        <w:rPr>
          <w:rFonts w:hint="eastAsia" w:ascii="仿宋" w:hAnsi="仿宋" w:eastAsia="仿宋" w:cs="仿宋"/>
          <w:sz w:val="32"/>
          <w:szCs w:val="32"/>
        </w:rPr>
        <w:t>入库批零住餐企业</w:t>
      </w:r>
      <w:r>
        <w:rPr>
          <w:rFonts w:hint="eastAsia" w:ascii="仿宋" w:hAnsi="仿宋" w:eastAsia="仿宋" w:cs="仿宋"/>
          <w:sz w:val="32"/>
          <w:szCs w:val="32"/>
          <w:lang w:val="en-US" w:eastAsia="zh-CN"/>
        </w:rPr>
        <w:t>4</w:t>
      </w:r>
      <w:r>
        <w:rPr>
          <w:rFonts w:hint="eastAsia" w:ascii="仿宋" w:hAnsi="仿宋" w:eastAsia="仿宋" w:cs="仿宋"/>
          <w:sz w:val="32"/>
          <w:szCs w:val="32"/>
        </w:rPr>
        <w:t>家、规上服务业企业</w:t>
      </w:r>
      <w:r>
        <w:rPr>
          <w:rFonts w:hint="eastAsia" w:ascii="仿宋" w:hAnsi="仿宋" w:eastAsia="仿宋" w:cs="仿宋"/>
          <w:sz w:val="32"/>
          <w:szCs w:val="32"/>
          <w:lang w:val="en-US" w:eastAsia="zh-CN"/>
        </w:rPr>
        <w:t>2</w:t>
      </w:r>
      <w:r>
        <w:rPr>
          <w:rFonts w:hint="eastAsia" w:ascii="仿宋" w:hAnsi="仿宋" w:eastAsia="仿宋" w:cs="仿宋"/>
          <w:sz w:val="32"/>
          <w:szCs w:val="32"/>
        </w:rPr>
        <w:t>家</w:t>
      </w:r>
      <w:r>
        <w:rPr>
          <w:rFonts w:hint="eastAsia" w:ascii="仿宋" w:hAnsi="仿宋" w:eastAsia="仿宋" w:cs="仿宋"/>
          <w:sz w:val="32"/>
          <w:szCs w:val="32"/>
          <w:lang w:eastAsia="zh-CN"/>
        </w:rPr>
        <w:t>，</w:t>
      </w:r>
      <w:r>
        <w:rPr>
          <w:rFonts w:hint="eastAsia" w:ascii="仿宋" w:hAnsi="仿宋" w:eastAsia="仿宋" w:cs="仿宋"/>
          <w:sz w:val="32"/>
          <w:szCs w:val="32"/>
        </w:rPr>
        <w:t>超额完成全年目标任务。</w:t>
      </w:r>
      <w:r>
        <w:rPr>
          <w:rFonts w:hint="eastAsia" w:ascii="仿宋" w:hAnsi="仿宋" w:eastAsia="仿宋" w:cs="仿宋"/>
          <w:color w:val="000000" w:themeColor="text1"/>
          <w:sz w:val="32"/>
          <w:szCs w:val="32"/>
          <w:lang w:val="en-US" w:eastAsia="zh-CN"/>
          <w14:textFill>
            <w14:solidFill>
              <w14:schemeClr w14:val="tx1"/>
            </w14:solidFill>
          </w14:textFill>
        </w:rPr>
        <w:t>另外，完成固定资产投资</w:t>
      </w:r>
      <w:r>
        <w:rPr>
          <w:rFonts w:hint="eastAsia" w:ascii="仿宋" w:hAnsi="仿宋" w:eastAsia="仿宋" w:cs="仿宋"/>
          <w:sz w:val="32"/>
          <w:szCs w:val="32"/>
        </w:rPr>
        <w:t>7466</w:t>
      </w:r>
      <w:r>
        <w:rPr>
          <w:rFonts w:hint="eastAsia" w:ascii="仿宋" w:hAnsi="仿宋" w:eastAsia="仿宋" w:cs="仿宋"/>
          <w:color w:val="000000" w:themeColor="text1"/>
          <w:sz w:val="32"/>
          <w:szCs w:val="32"/>
          <w:lang w:val="en-US" w:eastAsia="zh-CN"/>
          <w14:textFill>
            <w14:solidFill>
              <w14:schemeClr w14:val="tx1"/>
            </w14:solidFill>
          </w14:textFill>
        </w:rPr>
        <w:t>万元，签约招商引资项目3个，签约资金2.6亿元；累计完成向上争取资金145.68万元。</w:t>
      </w:r>
    </w:p>
    <w:p>
      <w:pPr>
        <w:pStyle w:val="17"/>
        <w:spacing w:after="0" w:line="576" w:lineRule="exact"/>
        <w:ind w:firstLine="960" w:firstLineChars="300"/>
        <w:jc w:val="both"/>
        <w:rPr>
          <w:rFonts w:ascii="仿宋" w:hAnsi="仿宋" w:eastAsia="仿宋" w:cs="仿宋"/>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抓项目建设，全面提升商贸服务业发展水平。</w:t>
      </w:r>
      <w:r>
        <w:rPr>
          <w:rFonts w:hint="eastAsia" w:ascii="仿宋" w:hAnsi="仿宋" w:eastAsia="仿宋" w:cs="仿宋"/>
          <w:sz w:val="32"/>
          <w:szCs w:val="32"/>
        </w:rPr>
        <w:t>全年入库广元市朝天区大巴口LNG加气站</w:t>
      </w:r>
      <w:r>
        <w:rPr>
          <w:rFonts w:hint="eastAsia" w:ascii="仿宋" w:hAnsi="仿宋" w:eastAsia="仿宋" w:cs="仿宋"/>
          <w:sz w:val="32"/>
          <w:szCs w:val="32"/>
          <w:lang w:eastAsia="zh-CN"/>
        </w:rPr>
        <w:t>等</w:t>
      </w:r>
      <w:r>
        <w:rPr>
          <w:rFonts w:hint="eastAsia" w:ascii="仿宋" w:hAnsi="仿宋" w:eastAsia="仿宋" w:cs="仿宋"/>
          <w:sz w:val="32"/>
          <w:szCs w:val="32"/>
        </w:rPr>
        <w:t>项目4个，签约招商引资项目3个。制定了《朝天区县域商业建设行动项目申报方案》，申报了专项债券朝天区智慧城市基础设施建设</w:t>
      </w:r>
      <w:r>
        <w:rPr>
          <w:rFonts w:hint="eastAsia" w:ascii="仿宋" w:hAnsi="仿宋" w:eastAsia="仿宋" w:cs="仿宋"/>
          <w:sz w:val="32"/>
          <w:szCs w:val="32"/>
          <w:lang w:eastAsia="zh-CN"/>
        </w:rPr>
        <w:t>等</w:t>
      </w:r>
      <w:r>
        <w:rPr>
          <w:rFonts w:hint="eastAsia" w:ascii="仿宋" w:hAnsi="仿宋" w:eastAsia="仿宋" w:cs="仿宋"/>
          <w:sz w:val="32"/>
          <w:szCs w:val="32"/>
        </w:rPr>
        <w:t>项目</w:t>
      </w:r>
      <w:r>
        <w:rPr>
          <w:rFonts w:hint="eastAsia" w:ascii="仿宋" w:hAnsi="仿宋" w:eastAsia="仿宋" w:cs="仿宋"/>
          <w:sz w:val="32"/>
          <w:szCs w:val="32"/>
          <w:lang w:val="en-US" w:eastAsia="zh-CN"/>
        </w:rPr>
        <w:t>3个</w:t>
      </w:r>
      <w:r>
        <w:rPr>
          <w:rFonts w:hint="eastAsia" w:ascii="仿宋" w:hAnsi="仿宋" w:eastAsia="仿宋" w:cs="仿宋"/>
          <w:sz w:val="32"/>
          <w:szCs w:val="32"/>
        </w:rPr>
        <w:t>，储备商贸物流和服务业项目13个。大巴口建材物流园LNG加气站项目全面竣工并投入使用、机动车检验检测项目操作车间已经建设完成，两个项目总投资1.1亿元。曾家山文体旅游集聚区项目建设进入扫尾阶段，</w:t>
      </w:r>
      <w:r>
        <w:rPr>
          <w:rFonts w:hint="eastAsia" w:ascii="仿宋" w:hAnsi="仿宋" w:eastAsia="仿宋" w:cs="仿宋"/>
          <w:sz w:val="32"/>
          <w:szCs w:val="32"/>
          <w:lang w:val="zh-CN"/>
        </w:rPr>
        <w:t>累计</w:t>
      </w:r>
      <w:r>
        <w:rPr>
          <w:rFonts w:hint="eastAsia" w:ascii="仿宋" w:hAnsi="仿宋" w:eastAsia="仿宋" w:cs="仿宋"/>
          <w:sz w:val="32"/>
          <w:szCs w:val="32"/>
        </w:rPr>
        <w:t>完成投资2200万元，占项目总投资额2700万元的81.48%。</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抓消费促进，持续刺激消费推动经济稳定增长。</w:t>
      </w:r>
      <w:r>
        <w:rPr>
          <w:rFonts w:hint="eastAsia" w:ascii="仿宋" w:hAnsi="仿宋" w:eastAsia="仿宋" w:cs="仿宋"/>
          <w:sz w:val="32"/>
          <w:szCs w:val="32"/>
        </w:rPr>
        <w:t>举办“乐享朝天 消费惠民”政府消费券发放活动，累计发放消费券1</w:t>
      </w:r>
      <w:r>
        <w:rPr>
          <w:rFonts w:hint="eastAsia" w:ascii="仿宋" w:hAnsi="仿宋" w:eastAsia="仿宋" w:cs="仿宋"/>
          <w:sz w:val="32"/>
          <w:szCs w:val="32"/>
          <w:lang w:val="en-US" w:eastAsia="zh-CN"/>
        </w:rPr>
        <w:t>76</w:t>
      </w:r>
      <w:r>
        <w:rPr>
          <w:rFonts w:hint="eastAsia" w:ascii="仿宋" w:hAnsi="仿宋" w:eastAsia="仿宋" w:cs="仿宋"/>
          <w:sz w:val="32"/>
          <w:szCs w:val="32"/>
        </w:rPr>
        <w:t>万元，直接带动消费近千万元。召开企业困难问题化解协商会2次，梳理上报企业困难问题12个，</w:t>
      </w:r>
      <w:r>
        <w:rPr>
          <w:rFonts w:hint="eastAsia" w:ascii="仿宋" w:hAnsi="仿宋" w:eastAsia="仿宋" w:cs="仿宋"/>
          <w:sz w:val="32"/>
          <w:szCs w:val="32"/>
          <w:lang w:eastAsia="zh-CN"/>
        </w:rPr>
        <w:t>截至目前</w:t>
      </w:r>
      <w:r>
        <w:rPr>
          <w:rFonts w:hint="eastAsia" w:ascii="仿宋" w:hAnsi="仿宋" w:eastAsia="仿宋" w:cs="仿宋"/>
          <w:sz w:val="32"/>
          <w:szCs w:val="32"/>
        </w:rPr>
        <w:t>已解决6个。举办“迎春购物月”“朝天造特色产品展”等惠民促销活动8次。开展“朝天造”特色产品展、2022东西部消费协作成果展暨朝天电商产品展等本地展销活动6次，组织本地农特产品企业参加2022第九届中国（杭州）国际电子商务博览会、第八届四川农业博览会等各类市场拓展活动10余次，在杭州市滨江区举办“2022滨江-朝天东西部协作朝天农特产品杭州滨江区专场展会”。组织了10家名优企业、60余类特色产品参加广元女儿节美食嘉年华。东西部协作消费协作项目建设全部完工，分别在朝天区、广元城区、滨江区举办东西部协作展会4次</w:t>
      </w:r>
      <w:r>
        <w:rPr>
          <w:rFonts w:hint="eastAsia" w:ascii="仿宋" w:hAnsi="仿宋" w:eastAsia="仿宋" w:cs="仿宋"/>
          <w:sz w:val="32"/>
          <w:szCs w:val="32"/>
          <w:lang w:eastAsia="zh-CN"/>
        </w:rPr>
        <w:t>，</w:t>
      </w:r>
      <w:r>
        <w:rPr>
          <w:rFonts w:hint="eastAsia" w:ascii="仿宋" w:hAnsi="仿宋" w:eastAsia="仿宋" w:cs="仿宋"/>
          <w:sz w:val="32"/>
          <w:szCs w:val="32"/>
        </w:rPr>
        <w:t>朝天农特产品全年在东部地区销售1.0164亿元。组织企业参加2022川货电商节活动、2022广元直播电商节等线上展销活动，广元秦川印象生态有限公司荣获市级“十佳电商企业”、中子宇杰月饼荣获市级“十佳电商产品”。</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抓市场主体培育，不断优化市场供应壮大市场规模。</w:t>
      </w:r>
      <w:r>
        <w:rPr>
          <w:rFonts w:hint="eastAsia" w:ascii="仿宋" w:hAnsi="仿宋" w:eastAsia="仿宋" w:cs="仿宋"/>
          <w:sz w:val="32"/>
          <w:szCs w:val="32"/>
        </w:rPr>
        <w:t>严格落实《朝天区“四上”企业培育奖励办法》，共兑现限上企业入库奖励资金18万元,累计入库限上商贸企业4家、规上服务业企业2家。开展曾家汉王老街、荣乐古街、五坊街等特色商业街区提升打造</w:t>
      </w:r>
      <w:r>
        <w:rPr>
          <w:rFonts w:hint="eastAsia" w:ascii="仿宋" w:hAnsi="仿宋" w:eastAsia="仿宋" w:cs="仿宋"/>
          <w:sz w:val="32"/>
          <w:szCs w:val="32"/>
          <w:lang w:eastAsia="zh-CN"/>
        </w:rPr>
        <w:t>，</w:t>
      </w:r>
      <w:r>
        <w:rPr>
          <w:rFonts w:hint="eastAsia" w:ascii="仿宋" w:hAnsi="仿宋" w:eastAsia="仿宋" w:cs="仿宋"/>
          <w:sz w:val="32"/>
          <w:szCs w:val="32"/>
        </w:rPr>
        <w:t>打造了一批“曾家山菜系”示范店和“到曾家山必尝菜品”</w:t>
      </w:r>
      <w:r>
        <w:rPr>
          <w:rFonts w:hint="eastAsia" w:ascii="仿宋" w:hAnsi="仿宋" w:eastAsia="仿宋" w:cs="仿宋"/>
          <w:sz w:val="32"/>
          <w:szCs w:val="32"/>
          <w:lang w:eastAsia="zh-CN"/>
        </w:rPr>
        <w:t>，</w:t>
      </w:r>
      <w:r>
        <w:rPr>
          <w:rFonts w:hint="eastAsia" w:ascii="仿宋" w:hAnsi="仿宋" w:eastAsia="仿宋" w:cs="仿宋"/>
          <w:sz w:val="32"/>
          <w:szCs w:val="32"/>
        </w:rPr>
        <w:t>积极组织厨师、家政人员参加广元市第九届职业技能竞赛中式烹饪、家政服务比赛并取得不错的成绩。</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抓外向型经济发展，</w:t>
      </w:r>
      <w:r>
        <w:rPr>
          <w:rFonts w:hint="eastAsia" w:ascii="仿宋" w:hAnsi="仿宋" w:eastAsia="仿宋" w:cs="仿宋"/>
          <w:sz w:val="32"/>
          <w:szCs w:val="32"/>
        </w:rPr>
        <w:t>全力提升外向型经济发展水平。我区现有出口实绩企业2家，</w:t>
      </w:r>
      <w:r>
        <w:rPr>
          <w:rFonts w:hint="eastAsia" w:ascii="仿宋" w:hAnsi="仿宋" w:eastAsia="仿宋" w:cs="仿宋"/>
          <w:sz w:val="32"/>
          <w:szCs w:val="32"/>
          <w:lang w:val="en-US" w:eastAsia="zh-CN"/>
        </w:rPr>
        <w:t>2022年</w:t>
      </w:r>
      <w:r>
        <w:rPr>
          <w:rFonts w:hint="eastAsia" w:ascii="仿宋" w:hAnsi="仿宋" w:eastAsia="仿宋" w:cs="仿宋"/>
          <w:sz w:val="32"/>
          <w:szCs w:val="32"/>
        </w:rPr>
        <w:t>新增外贸出口备案企业</w:t>
      </w:r>
      <w:r>
        <w:rPr>
          <w:rFonts w:hint="eastAsia" w:ascii="仿宋" w:hAnsi="仿宋" w:eastAsia="仿宋" w:cs="仿宋"/>
          <w:sz w:val="32"/>
          <w:szCs w:val="32"/>
          <w:lang w:val="en-US" w:eastAsia="zh-CN"/>
        </w:rPr>
        <w:t>1家，</w:t>
      </w:r>
      <w:r>
        <w:rPr>
          <w:rFonts w:hint="eastAsia" w:ascii="仿宋" w:hAnsi="仿宋" w:eastAsia="仿宋" w:cs="仿宋"/>
          <w:sz w:val="32"/>
          <w:szCs w:val="32"/>
          <w:lang w:eastAsia="zh-CN"/>
        </w:rPr>
        <w:t>累计</w:t>
      </w:r>
      <w:r>
        <w:rPr>
          <w:rFonts w:hint="eastAsia" w:ascii="仿宋" w:hAnsi="仿宋" w:eastAsia="仿宋" w:cs="仿宋"/>
          <w:sz w:val="32"/>
          <w:szCs w:val="32"/>
        </w:rPr>
        <w:t>外贸出口备案企业</w:t>
      </w:r>
      <w:r>
        <w:rPr>
          <w:rFonts w:hint="eastAsia" w:ascii="仿宋" w:hAnsi="仿宋" w:eastAsia="仿宋" w:cs="仿宋"/>
          <w:sz w:val="32"/>
          <w:szCs w:val="32"/>
          <w:lang w:eastAsia="zh-CN"/>
        </w:rPr>
        <w:t>达</w:t>
      </w:r>
      <w:r>
        <w:rPr>
          <w:rFonts w:hint="eastAsia" w:ascii="仿宋" w:hAnsi="仿宋" w:eastAsia="仿宋" w:cs="仿宋"/>
          <w:sz w:val="32"/>
          <w:szCs w:val="32"/>
        </w:rPr>
        <w:t>10家、外商投资企业1家。受疫情以及国际大环境影响，外贸企业在资金周转、产品升级、出口转内销等受到限制，外贸出口总额</w:t>
      </w:r>
      <w:r>
        <w:rPr>
          <w:rFonts w:hint="eastAsia" w:ascii="仿宋" w:hAnsi="仿宋" w:eastAsia="仿宋" w:cs="仿宋"/>
          <w:sz w:val="32"/>
          <w:szCs w:val="32"/>
          <w:lang w:eastAsia="zh-CN"/>
        </w:rPr>
        <w:t>有所</w:t>
      </w:r>
      <w:r>
        <w:rPr>
          <w:rFonts w:hint="eastAsia" w:ascii="仿宋" w:hAnsi="仿宋" w:eastAsia="仿宋" w:cs="仿宋"/>
          <w:sz w:val="32"/>
          <w:szCs w:val="32"/>
        </w:rPr>
        <w:t>下滑。主动融入成渝双城经济圈建设，开展朝天优质农产品进成渝社区宣传活动6次，产品进入成都40多个社区。</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抓统筹协调，持续推动现代服务业高质量发展。</w:t>
      </w:r>
      <w:r>
        <w:rPr>
          <w:rFonts w:hint="eastAsia" w:ascii="仿宋" w:hAnsi="仿宋" w:eastAsia="仿宋" w:cs="仿宋"/>
          <w:sz w:val="32"/>
          <w:szCs w:val="32"/>
        </w:rPr>
        <w:t>一是充分发挥第三产业牵头部门作用，高质量完成《朝天区“十四五”现代服务业发展规划（2021-2025）》《朝天区“十四五”现代物流业发展规划（2021-2025）》，召开服务业经济指标调度会5次。二是全面完成商贸领域疫情防控任务。三是建立了稳定的市场保供机制。编制《朝天区影响生活必需品市场稳定突发事件应急预案》，建立了以广客源商贸有限公司等3家企业为区级生活必需品保供企业、2</w:t>
      </w:r>
      <w:r>
        <w:rPr>
          <w:rFonts w:hint="eastAsia" w:ascii="仿宋" w:hAnsi="仿宋" w:eastAsia="仿宋" w:cs="仿宋"/>
          <w:sz w:val="32"/>
          <w:szCs w:val="32"/>
          <w:lang w:val="en-US" w:eastAsia="zh-CN"/>
        </w:rPr>
        <w:t>6</w:t>
      </w:r>
      <w:r>
        <w:rPr>
          <w:rFonts w:hint="eastAsia" w:ascii="仿宋" w:hAnsi="仿宋" w:eastAsia="仿宋" w:cs="仿宋"/>
          <w:sz w:val="32"/>
          <w:szCs w:val="32"/>
        </w:rPr>
        <w:t>家乡镇保供企业为支撑的全区生活必需品重点保供体系，保障</w:t>
      </w:r>
      <w:r>
        <w:rPr>
          <w:rFonts w:hint="eastAsia" w:ascii="仿宋" w:hAnsi="仿宋" w:eastAsia="仿宋" w:cs="仿宋"/>
          <w:sz w:val="32"/>
          <w:szCs w:val="32"/>
          <w:lang w:eastAsia="zh-CN"/>
        </w:rPr>
        <w:t>了疫情期间和冰雪等极端条件下</w:t>
      </w:r>
      <w:r>
        <w:rPr>
          <w:rFonts w:hint="eastAsia" w:ascii="仿宋" w:hAnsi="仿宋" w:eastAsia="仿宋" w:cs="仿宋"/>
          <w:sz w:val="32"/>
          <w:szCs w:val="32"/>
        </w:rPr>
        <w:t>人民群众基本生活需求，维护市场稳定。</w:t>
      </w:r>
    </w:p>
    <w:p>
      <w:pPr>
        <w:snapToGrid w:val="0"/>
        <w:spacing w:line="600" w:lineRule="exact"/>
        <w:ind w:firstLine="642" w:firstLineChars="200"/>
        <w:rPr>
          <w:rStyle w:val="39"/>
          <w:rFonts w:ascii="黑体" w:hAnsi="黑体" w:eastAsia="黑体"/>
          <w:b w:val="0"/>
          <w:bCs w:val="0"/>
        </w:rPr>
      </w:pPr>
      <w:r>
        <w:rPr>
          <w:rFonts w:hint="eastAsia" w:ascii="黑体" w:hAnsi="黑体" w:eastAsia="黑体" w:cs="黑体"/>
          <w:b/>
          <w:bCs w:val="0"/>
          <w:color w:val="000000"/>
          <w:sz w:val="32"/>
          <w:szCs w:val="32"/>
          <w:lang w:val="en-US" w:eastAsia="zh-CN"/>
        </w:rPr>
        <w:t xml:space="preserve">二、机构设置 </w:t>
      </w:r>
    </w:p>
    <w:p>
      <w:pPr>
        <w:spacing w:line="600" w:lineRule="exact"/>
        <w:ind w:firstLine="640" w:firstLineChars="200"/>
        <w:rPr>
          <w:sz w:val="32"/>
          <w:szCs w:val="32"/>
        </w:rPr>
      </w:pPr>
      <w:r>
        <w:rPr>
          <w:rFonts w:hint="eastAsia" w:ascii="仿宋" w:hAnsi="仿宋" w:eastAsia="仿宋"/>
          <w:color w:val="000000"/>
          <w:sz w:val="32"/>
          <w:szCs w:val="32"/>
        </w:rPr>
        <w:t>区商务局内设机构：办公室、政策法规股、服务业发展协调股、市场体系建设股、市场运行调节股、外资外贸外经股6个股室。总编制15名，其中行政编制6名，</w:t>
      </w:r>
      <w:r>
        <w:rPr>
          <w:rFonts w:hint="eastAsia" w:ascii="仿宋" w:hAnsi="仿宋" w:eastAsia="仿宋"/>
          <w:color w:val="auto"/>
          <w:sz w:val="32"/>
          <w:szCs w:val="32"/>
          <w:u w:val="none"/>
          <w:lang w:val="en-US" w:eastAsia="zh-CN"/>
        </w:rPr>
        <w:t>机关工勤</w:t>
      </w:r>
      <w:r>
        <w:rPr>
          <w:rFonts w:hint="eastAsia" w:ascii="仿宋" w:hAnsi="仿宋" w:eastAsia="仿宋"/>
          <w:color w:val="auto"/>
          <w:sz w:val="32"/>
          <w:szCs w:val="32"/>
          <w:u w:val="none"/>
        </w:rPr>
        <w:t>编制1名，事业</w:t>
      </w:r>
      <w:r>
        <w:rPr>
          <w:rFonts w:hint="eastAsia" w:ascii="仿宋" w:hAnsi="仿宋" w:eastAsia="仿宋"/>
          <w:color w:val="000000"/>
          <w:sz w:val="32"/>
          <w:szCs w:val="32"/>
        </w:rPr>
        <w:t>编制8名。单位现实有人员1</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人，其中行政人员</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人，事业人员8人</w:t>
      </w:r>
      <w:r>
        <w:rPr>
          <w:rFonts w:hint="eastAsia" w:ascii="仿宋" w:hAnsi="仿宋" w:eastAsia="仿宋"/>
          <w:color w:val="000000"/>
          <w:sz w:val="32"/>
          <w:szCs w:val="32"/>
          <w:lang w:val="en-US" w:eastAsia="zh-CN"/>
        </w:rPr>
        <w:t>。</w:t>
      </w:r>
      <w:r>
        <w:rPr>
          <w:rFonts w:hint="eastAsia" w:ascii="仿宋" w:hAnsi="仿宋" w:eastAsia="仿宋"/>
          <w:color w:val="auto"/>
          <w:sz w:val="32"/>
          <w:szCs w:val="32"/>
          <w:u w:val="none"/>
        </w:rPr>
        <w:t>另遗嘱补人员</w:t>
      </w:r>
      <w:r>
        <w:rPr>
          <w:rFonts w:hint="eastAsia" w:ascii="仿宋" w:hAnsi="仿宋" w:eastAsia="仿宋"/>
          <w:color w:val="auto"/>
          <w:sz w:val="32"/>
          <w:szCs w:val="32"/>
          <w:u w:val="none"/>
          <w:lang w:val="en-US" w:eastAsia="zh-CN"/>
        </w:rPr>
        <w:t>1</w:t>
      </w:r>
      <w:r>
        <w:rPr>
          <w:rFonts w:hint="eastAsia" w:ascii="仿宋" w:hAnsi="仿宋" w:eastAsia="仿宋"/>
          <w:color w:val="auto"/>
          <w:sz w:val="32"/>
          <w:szCs w:val="32"/>
          <w:u w:val="none"/>
        </w:rPr>
        <w:t>人。</w:t>
      </w:r>
    </w:p>
    <w:p>
      <w:pPr>
        <w:pStyle w:val="2"/>
        <w:ind w:right="440"/>
        <w:jc w:val="right"/>
      </w:pPr>
      <w:r>
        <w:rPr>
          <w:rFonts w:hint="eastAsia" w:ascii="黑体" w:hAnsi="黑体" w:eastAsia="黑体"/>
          <w:b w:val="0"/>
          <w:color w:val="000000"/>
        </w:rPr>
        <w:t>第二部分</w:t>
      </w:r>
      <w:r>
        <w:rPr>
          <w:rFonts w:ascii="黑体" w:hAnsi="黑体" w:eastAsia="黑体"/>
          <w:color w:val="000000"/>
        </w:rPr>
        <w:t xml:space="preserve"> </w:t>
      </w:r>
      <w:r>
        <w:rPr>
          <w:rStyle w:val="38"/>
          <w:rFonts w:ascii="黑体" w:hAnsi="黑体" w:eastAsia="黑体"/>
          <w:b w:val="0"/>
          <w:bCs w:val="0"/>
        </w:rPr>
        <w:t>20</w:t>
      </w:r>
      <w:r>
        <w:rPr>
          <w:rStyle w:val="38"/>
          <w:rFonts w:hint="eastAsia" w:ascii="黑体" w:hAnsi="黑体" w:eastAsia="黑体"/>
          <w:b w:val="0"/>
          <w:bCs w:val="0"/>
          <w:lang w:val="en-US" w:eastAsia="zh-CN"/>
        </w:rPr>
        <w:t>22</w:t>
      </w:r>
      <w:r>
        <w:rPr>
          <w:rStyle w:val="38"/>
          <w:rFonts w:hint="eastAsia" w:ascii="黑体" w:hAnsi="黑体" w:eastAsia="黑体"/>
          <w:b w:val="0"/>
          <w:bCs w:val="0"/>
        </w:rPr>
        <w:t>年度部门决算情况说明</w:t>
      </w:r>
    </w:p>
    <w:p>
      <w:pPr>
        <w:pStyle w:val="37"/>
        <w:numPr>
          <w:ilvl w:val="0"/>
          <w:numId w:val="0"/>
        </w:numPr>
        <w:spacing w:line="600" w:lineRule="exact"/>
        <w:ind w:left="640" w:leftChars="0"/>
        <w:outlineLvl w:val="1"/>
        <w:rPr>
          <w:rFonts w:hint="eastAsia" w:ascii="仿宋" w:hAnsi="仿宋" w:eastAsia="仿宋"/>
          <w:sz w:val="32"/>
          <w:lang w:eastAsia="zh-CN"/>
        </w:rPr>
      </w:pP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39"/>
          <w:rFonts w:hint="eastAsia" w:ascii="黑体" w:hAnsi="黑体" w:eastAsia="黑体"/>
          <w:b w:val="0"/>
        </w:rPr>
        <w:t>入支出决算总体情况说明</w:t>
      </w:r>
    </w:p>
    <w:p>
      <w:pPr>
        <w:spacing w:line="600" w:lineRule="exact"/>
        <w:ind w:firstLine="640" w:firstLineChars="200"/>
        <w:jc w:val="left"/>
        <w:rPr>
          <w:rFonts w:hint="eastAsia" w:ascii="仿宋" w:hAnsi="仿宋" w:eastAsia="仿宋"/>
          <w:color w:val="auto"/>
          <w:sz w:val="32"/>
          <w:szCs w:val="32"/>
          <w:u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分别为1953.38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（含</w:t>
      </w:r>
      <w:r>
        <w:rPr>
          <w:rFonts w:hint="eastAsia" w:ascii="仿宋" w:hAnsi="仿宋" w:eastAsia="仿宋"/>
          <w:color w:val="auto"/>
          <w:sz w:val="32"/>
          <w:szCs w:val="32"/>
          <w:highlight w:val="none"/>
          <w:lang w:val="en-US" w:eastAsia="zh-CN"/>
        </w:rPr>
        <w:t>2022年初结转结余240.28万元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年相比，收、支总计增加</w:t>
      </w:r>
      <w:r>
        <w:rPr>
          <w:rFonts w:hint="eastAsia" w:ascii="仿宋" w:hAnsi="仿宋" w:eastAsia="仿宋"/>
          <w:color w:val="auto"/>
          <w:sz w:val="32"/>
          <w:szCs w:val="32"/>
          <w:highlight w:val="none"/>
          <w:lang w:val="en-US" w:eastAsia="zh-CN"/>
        </w:rPr>
        <w:t>916.48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88.39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sz w:val="32"/>
          <w:szCs w:val="32"/>
          <w:u w:val="none"/>
        </w:rPr>
        <w:t>主要增加原因：一是人员经费增加，如</w:t>
      </w:r>
      <w:r>
        <w:rPr>
          <w:rFonts w:hint="eastAsia" w:ascii="仿宋" w:hAnsi="仿宋" w:eastAsia="仿宋" w:cs="仿宋"/>
          <w:sz w:val="32"/>
          <w:szCs w:val="32"/>
          <w:u w:val="none"/>
          <w:lang w:eastAsia="zh-CN"/>
        </w:rPr>
        <w:t>调资</w:t>
      </w:r>
      <w:r>
        <w:rPr>
          <w:rFonts w:hint="eastAsia" w:ascii="仿宋" w:hAnsi="仿宋" w:eastAsia="仿宋" w:cs="仿宋"/>
          <w:sz w:val="32"/>
          <w:szCs w:val="32"/>
          <w:u w:val="none"/>
        </w:rPr>
        <w:t>、保险及公积金</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二</w:t>
      </w:r>
      <w:r>
        <w:rPr>
          <w:rFonts w:hint="eastAsia" w:ascii="仿宋" w:hAnsi="仿宋" w:eastAsia="仿宋" w:cs="仿宋"/>
          <w:sz w:val="32"/>
          <w:szCs w:val="32"/>
          <w:u w:val="none"/>
        </w:rPr>
        <w:t>是项目资金增加</w:t>
      </w:r>
      <w:r>
        <w:rPr>
          <w:rFonts w:hint="eastAsia" w:ascii="仿宋" w:hAnsi="仿宋" w:eastAsia="仿宋" w:cs="仿宋"/>
          <w:color w:val="auto"/>
          <w:sz w:val="32"/>
          <w:szCs w:val="32"/>
          <w:u w:val="none"/>
        </w:rPr>
        <w:t>，如2022年东西部协作扶贫项目130.84万元、国家电子商务进农村综合示范县项目380万元、第二批省级内贸流通服务业务发展专项资金656.97万元、天府旅游名县奖励资金15万元、“乐享朝天、消费惠民”消费促进活动170.59万元</w:t>
      </w:r>
      <w:r>
        <w:rPr>
          <w:rFonts w:hint="eastAsia" w:ascii="仿宋" w:hAnsi="仿宋" w:eastAsia="仿宋" w:cs="仿宋"/>
          <w:color w:val="auto"/>
          <w:sz w:val="32"/>
          <w:szCs w:val="32"/>
          <w:u w:val="none"/>
          <w:lang w:val="en-US" w:eastAsia="zh-CN"/>
        </w:rPr>
        <w:t>等。</w:t>
      </w:r>
    </w:p>
    <w:p>
      <w:pPr>
        <w:rPr>
          <w:rFonts w:hint="eastAsia"/>
          <w:lang w:eastAsia="zh-CN"/>
        </w:rPr>
      </w:pPr>
    </w:p>
    <w:p>
      <w:pPr>
        <w:pStyle w:val="28"/>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0"/>
        <w:ind w:left="0" w:leftChars="0" w:firstLine="0" w:firstLineChars="0"/>
        <w:jc w:val="center"/>
        <w:rPr>
          <w:color w:val="FF0000"/>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color w:val="auto"/>
          <w:sz w:val="32"/>
          <w:szCs w:val="32"/>
        </w:rPr>
        <w:t>（柱状图）</w:t>
      </w:r>
    </w:p>
    <w:p>
      <w:pPr>
        <w:pStyle w:val="37"/>
        <w:numPr>
          <w:ilvl w:val="0"/>
          <w:numId w:val="0"/>
        </w:numPr>
        <w:spacing w:line="600" w:lineRule="exact"/>
        <w:ind w:left="640" w:leftChars="0"/>
        <w:outlineLvl w:val="1"/>
        <w:rPr>
          <w:rStyle w:val="39"/>
          <w:rFonts w:ascii="黑体" w:hAnsi="黑体" w:eastAsia="黑体"/>
          <w:b w:val="0"/>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39"/>
          <w:rFonts w:hint="eastAsia" w:ascii="黑体" w:hAnsi="黑体" w:eastAsia="黑体"/>
          <w:b w:val="0"/>
        </w:rPr>
        <w:t>入决算情况说明</w:t>
      </w:r>
    </w:p>
    <w:p>
      <w:pPr>
        <w:pStyle w:val="18"/>
        <w:ind w:left="0" w:leftChars="0" w:firstLine="640" w:firstLineChars="200"/>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年本年收入合计</w:t>
      </w:r>
      <w:r>
        <w:rPr>
          <w:rFonts w:hint="eastAsia" w:ascii="仿宋" w:hAnsi="仿宋" w:eastAsia="仿宋"/>
          <w:sz w:val="32"/>
          <w:szCs w:val="32"/>
          <w:lang w:val="en-US" w:eastAsia="zh-CN"/>
        </w:rPr>
        <w:t>1713.10</w:t>
      </w:r>
      <w:r>
        <w:rPr>
          <w:rFonts w:hint="eastAsia" w:ascii="仿宋" w:hAnsi="仿宋" w:eastAsia="仿宋"/>
          <w:color w:val="000000"/>
          <w:sz w:val="32"/>
          <w:szCs w:val="32"/>
        </w:rPr>
        <w:t>万元，其中：一般公共预算财政拨款收入</w:t>
      </w:r>
      <w:r>
        <w:rPr>
          <w:rFonts w:hint="eastAsia" w:ascii="仿宋" w:hAnsi="仿宋" w:eastAsia="仿宋"/>
          <w:sz w:val="32"/>
          <w:szCs w:val="32"/>
          <w:lang w:val="en-US" w:eastAsia="zh-CN"/>
        </w:rPr>
        <w:t>1713.10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pStyle w:val="10"/>
      </w:pPr>
    </w:p>
    <w:p>
      <w:pPr>
        <w:widowControl/>
        <w:jc w:val="center"/>
        <w:rPr>
          <w:rFonts w:ascii="宋体" w:hAnsi="宋体" w:cs="宋体"/>
          <w:kern w:val="0"/>
          <w:sz w:val="24"/>
        </w:rPr>
      </w:pPr>
      <w:r>
        <w:drawing>
          <wp:inline distT="0" distB="0" distL="114300" distR="114300">
            <wp:extent cx="4810125" cy="3105150"/>
            <wp:effectExtent l="4445" t="4445" r="5080"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jc w:val="center"/>
      </w:pPr>
      <w:r>
        <w:rPr>
          <w:rFonts w:hint="eastAsia" w:ascii="仿宋" w:hAnsi="仿宋" w:eastAsia="仿宋"/>
          <w:color w:val="000000"/>
          <w:sz w:val="32"/>
          <w:szCs w:val="32"/>
        </w:rPr>
        <w:t>（图2：收入决算结构图）</w:t>
      </w:r>
      <w:r>
        <w:rPr>
          <w:rFonts w:hint="eastAsia" w:ascii="仿宋" w:hAnsi="仿宋" w:eastAsia="仿宋"/>
          <w:color w:val="auto"/>
          <w:sz w:val="32"/>
          <w:szCs w:val="32"/>
        </w:rPr>
        <w:t>（饼状图）</w:t>
      </w:r>
    </w:p>
    <w:p>
      <w:pPr>
        <w:pStyle w:val="37"/>
        <w:numPr>
          <w:ilvl w:val="0"/>
          <w:numId w:val="0"/>
        </w:numPr>
        <w:spacing w:line="600" w:lineRule="exact"/>
        <w:ind w:left="640" w:leftChars="0"/>
        <w:outlineLvl w:val="1"/>
        <w:rPr>
          <w:rFonts w:hint="eastAsia" w:ascii="仿宋" w:hAnsi="仿宋" w:eastAsia="仿宋"/>
          <w:color w:val="000000"/>
          <w:sz w:val="32"/>
          <w:szCs w:val="32"/>
          <w:lang w:val="en-US" w:eastAsia="zh-CN"/>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39"/>
          <w:rFonts w:hint="eastAsia" w:ascii="黑体" w:hAnsi="黑体" w:eastAsia="黑体"/>
          <w:b w:val="0"/>
        </w:rPr>
        <w:t>出决算情况说明</w:t>
      </w:r>
      <w:r>
        <w:rPr>
          <w:rFonts w:hint="eastAsia" w:ascii="仿宋" w:hAnsi="仿宋" w:eastAsia="仿宋"/>
          <w:color w:val="000000"/>
          <w:sz w:val="32"/>
          <w:szCs w:val="32"/>
          <w:lang w:val="en-US" w:eastAsia="zh-CN"/>
        </w:rPr>
        <w:t xml:space="preserve">  </w:t>
      </w:r>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年本年支出合计</w:t>
      </w:r>
      <w:r>
        <w:rPr>
          <w:rFonts w:hint="eastAsia" w:ascii="仿宋" w:hAnsi="仿宋" w:eastAsia="仿宋"/>
          <w:sz w:val="32"/>
          <w:szCs w:val="32"/>
          <w:lang w:val="en-US" w:eastAsia="zh-CN"/>
        </w:rPr>
        <w:t>1953.38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243.49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12.47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1709.89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87.53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jc w:val="center"/>
        <w:rPr>
          <w:rFonts w:hint="eastAsia" w:ascii="仿宋" w:hAnsi="仿宋" w:eastAsia="仿宋"/>
          <w:sz w:val="32"/>
          <w:szCs w:val="32"/>
        </w:rPr>
      </w:pPr>
      <w:r>
        <w:drawing>
          <wp:inline distT="0" distB="0" distL="114300" distR="114300">
            <wp:extent cx="4572000" cy="2743200"/>
            <wp:effectExtent l="4445" t="4445" r="14605" b="1460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color w:val="FF0000"/>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r>
        <w:rPr>
          <w:rFonts w:hint="eastAsia" w:ascii="仿宋" w:hAnsi="仿宋" w:eastAsia="仿宋"/>
          <w:color w:val="auto"/>
          <w:sz w:val="32"/>
          <w:szCs w:val="32"/>
        </w:rPr>
        <w:t>（饼状图）</w:t>
      </w:r>
    </w:p>
    <w:p>
      <w:pPr>
        <w:spacing w:line="600" w:lineRule="exact"/>
        <w:ind w:firstLine="640" w:firstLineChars="200"/>
        <w:outlineLvl w:val="1"/>
        <w:rPr>
          <w:rStyle w:val="39"/>
          <w:rFonts w:ascii="黑体" w:hAnsi="黑体" w:eastAsia="黑体"/>
          <w:b w:val="0"/>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财</w:t>
      </w:r>
      <w:r>
        <w:rPr>
          <w:rStyle w:val="39"/>
          <w:rFonts w:hint="eastAsia" w:ascii="黑体" w:hAnsi="黑体" w:eastAsia="黑体"/>
          <w:b w:val="0"/>
        </w:rPr>
        <w:t>政拨款收入支出决算总体情况说明</w:t>
      </w:r>
    </w:p>
    <w:p>
      <w:pPr>
        <w:ind w:firstLine="640" w:firstLineChars="200"/>
        <w:rPr>
          <w:b/>
          <w:bCs/>
        </w:rPr>
      </w:pPr>
      <w:r>
        <w:rPr>
          <w:rFonts w:hint="eastAsia" w:ascii="仿宋" w:hAnsi="仿宋" w:eastAsia="仿宋"/>
          <w:sz w:val="32"/>
          <w:szCs w:val="32"/>
          <w:u w:val="none"/>
          <w:lang w:val="en-US" w:eastAsia="zh-CN"/>
        </w:rPr>
        <w:t>2</w:t>
      </w:r>
      <w:r>
        <w:rPr>
          <w:rFonts w:ascii="仿宋" w:hAnsi="仿宋" w:eastAsia="仿宋"/>
          <w:sz w:val="32"/>
          <w:szCs w:val="32"/>
          <w:u w:val="none"/>
        </w:rPr>
        <w:t>0</w:t>
      </w:r>
      <w:r>
        <w:rPr>
          <w:rFonts w:hint="eastAsia" w:ascii="仿宋" w:hAnsi="仿宋" w:eastAsia="仿宋"/>
          <w:sz w:val="32"/>
          <w:szCs w:val="32"/>
          <w:u w:val="none"/>
          <w:lang w:val="en-US" w:eastAsia="zh-CN"/>
        </w:rPr>
        <w:t>22</w:t>
      </w:r>
      <w:r>
        <w:rPr>
          <w:rFonts w:hint="eastAsia" w:ascii="仿宋" w:hAnsi="仿宋" w:eastAsia="仿宋"/>
          <w:sz w:val="32"/>
          <w:szCs w:val="32"/>
          <w:u w:val="none"/>
        </w:rPr>
        <w:t>年财政拨款</w:t>
      </w:r>
      <w:r>
        <w:rPr>
          <w:rFonts w:hint="eastAsia" w:ascii="仿宋" w:hAnsi="仿宋" w:eastAsia="仿宋"/>
          <w:sz w:val="32"/>
          <w:szCs w:val="32"/>
          <w:u w:val="none"/>
          <w:lang w:val="en-US" w:eastAsia="zh-CN"/>
        </w:rPr>
        <w:t>收、支总计分别为1953.38</w:t>
      </w:r>
      <w:r>
        <w:rPr>
          <w:rFonts w:hint="eastAsia" w:ascii="仿宋" w:hAnsi="仿宋" w:eastAsia="仿宋"/>
          <w:sz w:val="32"/>
          <w:szCs w:val="32"/>
          <w:u w:val="none"/>
        </w:rPr>
        <w:t>万元</w:t>
      </w:r>
      <w:r>
        <w:rPr>
          <w:rFonts w:hint="eastAsia" w:ascii="仿宋" w:hAnsi="仿宋" w:eastAsia="仿宋"/>
          <w:sz w:val="32"/>
          <w:szCs w:val="32"/>
          <w:u w:val="none"/>
          <w:lang w:eastAsia="zh-CN"/>
        </w:rPr>
        <w:t>。与2021年收、支总计相比，财政拨款收、支</w:t>
      </w:r>
      <w:r>
        <w:rPr>
          <w:rFonts w:hint="eastAsia" w:ascii="仿宋" w:hAnsi="仿宋" w:eastAsia="仿宋"/>
          <w:sz w:val="32"/>
          <w:szCs w:val="32"/>
          <w:u w:val="none"/>
          <w:lang w:val="en-US" w:eastAsia="zh-CN"/>
        </w:rPr>
        <w:t>各</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916.5万元，</w:t>
      </w:r>
      <w:r>
        <w:rPr>
          <w:rFonts w:hint="eastAsia" w:ascii="仿宋" w:hAnsi="仿宋" w:eastAsia="仿宋"/>
          <w:color w:val="000000"/>
          <w:sz w:val="32"/>
          <w:szCs w:val="32"/>
          <w:u w:val="none"/>
          <w:lang w:val="en-US" w:eastAsia="zh-CN"/>
        </w:rPr>
        <w:t>增长</w:t>
      </w:r>
      <w:r>
        <w:rPr>
          <w:rFonts w:hint="eastAsia" w:ascii="仿宋" w:hAnsi="仿宋" w:eastAsia="仿宋"/>
          <w:sz w:val="32"/>
          <w:szCs w:val="32"/>
          <w:u w:val="none"/>
          <w:lang w:val="en-US" w:eastAsia="zh-CN"/>
        </w:rPr>
        <w:t>88.39%，</w:t>
      </w:r>
      <w:r>
        <w:rPr>
          <w:rFonts w:hint="eastAsia" w:ascii="仿宋" w:hAnsi="仿宋" w:eastAsia="仿宋" w:cs="仿宋"/>
          <w:sz w:val="32"/>
          <w:szCs w:val="32"/>
          <w:u w:val="none"/>
        </w:rPr>
        <w:t>主要增加原因：一是人员经费增加，如</w:t>
      </w:r>
      <w:r>
        <w:rPr>
          <w:rFonts w:hint="eastAsia" w:ascii="仿宋" w:hAnsi="仿宋" w:eastAsia="仿宋" w:cs="仿宋"/>
          <w:sz w:val="32"/>
          <w:szCs w:val="32"/>
          <w:u w:val="none"/>
          <w:lang w:eastAsia="zh-CN"/>
        </w:rPr>
        <w:t>调资</w:t>
      </w:r>
      <w:r>
        <w:rPr>
          <w:rFonts w:hint="eastAsia" w:ascii="仿宋" w:hAnsi="仿宋" w:eastAsia="仿宋" w:cs="仿宋"/>
          <w:sz w:val="32"/>
          <w:szCs w:val="32"/>
          <w:u w:val="none"/>
        </w:rPr>
        <w:t>、保险及公积金</w:t>
      </w:r>
      <w:r>
        <w:rPr>
          <w:rFonts w:hint="eastAsia" w:ascii="仿宋" w:hAnsi="仿宋" w:eastAsia="仿宋" w:cs="仿宋"/>
          <w:sz w:val="32"/>
          <w:szCs w:val="32"/>
          <w:u w:val="none"/>
          <w:lang w:eastAsia="zh-CN"/>
        </w:rPr>
        <w:t>；二是项目资金增加，如2022年东西部协作扶贫项目130.84万元、国家电子商务进农村综合示范县项目380万元、第二批省级内贸流通服务业务发展专项资金656.97万元、天府旅游名县奖励资金15万元、“乐享朝天、消费惠民”消费促进活动170.59万元等。</w:t>
      </w:r>
    </w:p>
    <w:p>
      <w:pPr>
        <w:widowControl/>
        <w:jc w:val="center"/>
        <w:rPr>
          <w:rFonts w:ascii="宋体" w:hAnsi="宋体" w:cs="宋体"/>
          <w:kern w:val="0"/>
          <w:sz w:val="24"/>
        </w:rPr>
      </w:pPr>
      <w:r>
        <w:drawing>
          <wp:inline distT="0" distB="0" distL="114300" distR="114300">
            <wp:extent cx="4572000" cy="2743200"/>
            <wp:effectExtent l="4445" t="4445" r="14605" b="1460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outlineLvl w:val="1"/>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（图4：财政拨款收、支决算总计变动情况）</w:t>
      </w:r>
      <w:r>
        <w:rPr>
          <w:rFonts w:hint="eastAsia" w:ascii="仿宋" w:hAnsi="仿宋" w:eastAsia="仿宋" w:cs="Times New Roman"/>
          <w:color w:val="auto"/>
          <w:kern w:val="2"/>
          <w:sz w:val="32"/>
          <w:szCs w:val="32"/>
          <w:lang w:val="en-US" w:eastAsia="zh-CN" w:bidi="ar-SA"/>
        </w:rPr>
        <w:t>（柱状图）</w:t>
      </w:r>
    </w:p>
    <w:p>
      <w:pPr>
        <w:spacing w:line="600" w:lineRule="exact"/>
        <w:ind w:firstLine="640" w:firstLineChars="200"/>
        <w:outlineLvl w:val="1"/>
        <w:rPr>
          <w:rStyle w:val="39"/>
          <w:rFonts w:ascii="黑体" w:hAnsi="黑体" w:eastAsia="黑体"/>
          <w:b w:val="0"/>
        </w:rPr>
      </w:pPr>
      <w:r>
        <w:rPr>
          <w:rFonts w:hint="eastAsia" w:ascii="黑体" w:hAnsi="黑体" w:eastAsia="黑体"/>
          <w:color w:val="000000"/>
          <w:sz w:val="32"/>
          <w:szCs w:val="32"/>
          <w:lang w:val="en-US" w:eastAsia="zh-CN"/>
        </w:rPr>
        <w:t>五、</w:t>
      </w:r>
      <w:r>
        <w:rPr>
          <w:rFonts w:hint="eastAsia" w:ascii="黑体" w:hAnsi="黑体" w:eastAsia="黑体"/>
          <w:b/>
          <w:color w:val="000000"/>
          <w:sz w:val="32"/>
          <w:szCs w:val="32"/>
        </w:rPr>
        <w:t>一</w:t>
      </w:r>
      <w:r>
        <w:rPr>
          <w:rStyle w:val="39"/>
          <w:rFonts w:hint="eastAsia" w:ascii="黑体" w:hAnsi="黑体" w:eastAsia="黑体"/>
          <w:b w:val="0"/>
        </w:rPr>
        <w:t>般公共预算财政拨款支出决算情况说明</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ind w:firstLine="640" w:firstLineChars="200"/>
        <w:rPr>
          <w:b/>
          <w:bCs/>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年一般公共预算财政拨款支出</w:t>
      </w:r>
      <w:r>
        <w:rPr>
          <w:rFonts w:hint="eastAsia" w:ascii="仿宋" w:hAnsi="仿宋" w:eastAsia="仿宋"/>
          <w:sz w:val="32"/>
          <w:szCs w:val="32"/>
          <w:lang w:val="en-US" w:eastAsia="zh-CN"/>
        </w:rPr>
        <w:t>1953.38</w:t>
      </w:r>
      <w:r>
        <w:rPr>
          <w:rFonts w:hint="eastAsia" w:ascii="仿宋" w:hAnsi="仿宋" w:eastAsia="仿宋"/>
          <w:color w:val="000000"/>
          <w:sz w:val="32"/>
          <w:szCs w:val="32"/>
        </w:rPr>
        <w:t>万元，占本年支出的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color w:val="000000"/>
          <w:kern w:val="2"/>
          <w:sz w:val="32"/>
          <w:szCs w:val="32"/>
          <w:lang w:val="en-US" w:eastAsia="zh-CN" w:bidi="ar"/>
        </w:rPr>
        <w:t>与2021年相比，一般公共预算财政拨款</w:t>
      </w:r>
      <w:r>
        <w:rPr>
          <w:rFonts w:hint="eastAsia" w:ascii="仿宋" w:hAnsi="仿宋" w:eastAsia="仿宋"/>
          <w:sz w:val="32"/>
          <w:szCs w:val="32"/>
          <w:u w:val="none"/>
          <w:lang w:val="en-US" w:eastAsia="zh-CN"/>
        </w:rPr>
        <w:t>增加916.5万元，</w:t>
      </w:r>
      <w:r>
        <w:rPr>
          <w:rFonts w:hint="eastAsia" w:ascii="仿宋" w:hAnsi="仿宋" w:eastAsia="仿宋"/>
          <w:color w:val="000000"/>
          <w:sz w:val="32"/>
          <w:szCs w:val="32"/>
          <w:u w:val="none"/>
          <w:lang w:val="en-US" w:eastAsia="zh-CN"/>
        </w:rPr>
        <w:t>增长</w:t>
      </w:r>
      <w:r>
        <w:rPr>
          <w:rFonts w:hint="eastAsia" w:ascii="仿宋" w:hAnsi="仿宋" w:eastAsia="仿宋"/>
          <w:sz w:val="32"/>
          <w:szCs w:val="32"/>
          <w:u w:val="none"/>
          <w:lang w:val="en-US" w:eastAsia="zh-CN"/>
        </w:rPr>
        <w:t>88.39%，</w:t>
      </w:r>
      <w:r>
        <w:rPr>
          <w:rFonts w:hint="eastAsia" w:ascii="仿宋" w:hAnsi="仿宋" w:eastAsia="仿宋" w:cs="仿宋"/>
          <w:sz w:val="32"/>
          <w:szCs w:val="32"/>
          <w:u w:val="none"/>
        </w:rPr>
        <w:t>主要增加原因：一是人员经费增加，如</w:t>
      </w:r>
      <w:r>
        <w:rPr>
          <w:rFonts w:hint="eastAsia" w:ascii="仿宋" w:hAnsi="仿宋" w:eastAsia="仿宋" w:cs="仿宋"/>
          <w:sz w:val="32"/>
          <w:szCs w:val="32"/>
          <w:u w:val="none"/>
          <w:lang w:eastAsia="zh-CN"/>
        </w:rPr>
        <w:t>调资</w:t>
      </w:r>
      <w:r>
        <w:rPr>
          <w:rFonts w:hint="eastAsia" w:ascii="仿宋" w:hAnsi="仿宋" w:eastAsia="仿宋" w:cs="仿宋"/>
          <w:sz w:val="32"/>
          <w:szCs w:val="32"/>
          <w:u w:val="none"/>
        </w:rPr>
        <w:t>、保险及公积金</w:t>
      </w:r>
      <w:r>
        <w:rPr>
          <w:rFonts w:hint="eastAsia" w:ascii="仿宋" w:hAnsi="仿宋" w:eastAsia="仿宋" w:cs="仿宋"/>
          <w:sz w:val="32"/>
          <w:szCs w:val="32"/>
          <w:u w:val="none"/>
          <w:lang w:eastAsia="zh-CN"/>
        </w:rPr>
        <w:t>；二是项目资金增加，如2022年东西部协作扶贫项目130.84万元、国家电子商务进农村综合示范县项目380万元、第二批省级内贸流通服务业务发展专项资金656.97万元、天府旅游名县奖励资金15万元、“乐享朝天、消费惠民”消费促进活动170.59万元等。</w:t>
      </w:r>
    </w:p>
    <w:p>
      <w:pPr>
        <w:pStyle w:val="10"/>
        <w:ind w:left="0" w:leftChars="0" w:firstLine="640"/>
        <w:rPr>
          <w:rFonts w:hint="eastAsia" w:ascii="仿宋" w:hAnsi="仿宋" w:eastAsia="仿宋"/>
          <w:color w:val="000000"/>
          <w:sz w:val="32"/>
          <w:szCs w:val="32"/>
        </w:rPr>
      </w:pPr>
    </w:p>
    <w:p>
      <w:pPr>
        <w:widowControl/>
        <w:jc w:val="center"/>
      </w:pPr>
      <w:r>
        <w:drawing>
          <wp:inline distT="0" distB="0" distL="114300" distR="114300">
            <wp:extent cx="4572000" cy="235267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pPr>
    </w:p>
    <w:p>
      <w:pPr>
        <w:spacing w:line="600" w:lineRule="exact"/>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pStyle w:val="18"/>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firstLineChars="200"/>
        <w:outlineLvl w:val="1"/>
        <w:rPr>
          <w:rFonts w:hint="eastAsia" w:ascii="楷体_GB2312" w:hAnsi="Times New Roman" w:eastAsia="楷体_GB2312" w:cs="Times New Roman"/>
          <w:kern w:val="2"/>
          <w:sz w:val="32"/>
          <w:szCs w:val="32"/>
          <w:lang w:val="en-US" w:eastAsia="zh-CN" w:bidi="ar-SA"/>
        </w:rPr>
      </w:pPr>
      <w:r>
        <w:rPr>
          <w:rFonts w:hint="eastAsia" w:ascii="楷体_GB2312" w:eastAsia="楷体_GB2312"/>
          <w:sz w:val="32"/>
          <w:szCs w:val="32"/>
        </w:rPr>
        <w:t>20</w:t>
      </w:r>
      <w:r>
        <w:rPr>
          <w:rFonts w:hint="eastAsia" w:ascii="楷体_GB2312" w:eastAsia="楷体_GB2312"/>
          <w:sz w:val="32"/>
          <w:szCs w:val="32"/>
          <w:lang w:val="en-US" w:eastAsia="zh-CN"/>
        </w:rPr>
        <w:t>22</w:t>
      </w:r>
      <w:r>
        <w:rPr>
          <w:rFonts w:hint="eastAsia" w:ascii="楷体_GB2312" w:eastAsia="楷体_GB2312"/>
          <w:sz w:val="32"/>
          <w:szCs w:val="32"/>
        </w:rPr>
        <w:t>年一般公共预算支出</w:t>
      </w:r>
      <w:r>
        <w:rPr>
          <w:rFonts w:hint="eastAsia" w:ascii="仿宋" w:hAnsi="仿宋" w:eastAsia="仿宋"/>
          <w:sz w:val="32"/>
          <w:szCs w:val="32"/>
          <w:lang w:val="en-US" w:eastAsia="zh-CN"/>
        </w:rPr>
        <w:t>1953.38</w:t>
      </w:r>
      <w:r>
        <w:rPr>
          <w:rFonts w:hint="eastAsia" w:ascii="楷体_GB2312" w:eastAsia="楷体_GB2312"/>
          <w:sz w:val="32"/>
          <w:szCs w:val="32"/>
        </w:rPr>
        <w:t>万元。主要用于以下方面：</w:t>
      </w:r>
      <w:r>
        <w:rPr>
          <w:rFonts w:hint="eastAsia" w:ascii="楷体_GB2312" w:hAnsi="Times New Roman" w:eastAsia="楷体_GB2312" w:cs="Times New Roman"/>
          <w:b/>
          <w:bCs/>
          <w:sz w:val="32"/>
          <w:szCs w:val="32"/>
        </w:rPr>
        <w:t>文化旅游体育与传媒支出</w:t>
      </w:r>
      <w:r>
        <w:rPr>
          <w:rFonts w:hint="eastAsia" w:ascii="楷体_GB2312" w:hAnsi="Times New Roman" w:eastAsia="楷体_GB2312" w:cs="Times New Roman"/>
          <w:b/>
          <w:bCs/>
          <w:sz w:val="32"/>
          <w:szCs w:val="32"/>
          <w:lang w:eastAsia="zh-CN"/>
        </w:rPr>
        <w:t>（</w:t>
      </w:r>
      <w:r>
        <w:rPr>
          <w:rFonts w:hint="eastAsia" w:ascii="楷体_GB2312" w:hAnsi="Times New Roman" w:eastAsia="楷体_GB2312" w:cs="Times New Roman"/>
          <w:b/>
          <w:bCs/>
          <w:sz w:val="32"/>
          <w:szCs w:val="32"/>
          <w:lang w:val="en-US" w:eastAsia="zh-CN"/>
        </w:rPr>
        <w:t>207类</w:t>
      </w:r>
      <w:r>
        <w:rPr>
          <w:rFonts w:hint="eastAsia" w:ascii="楷体_GB2312" w:hAnsi="Times New Roman" w:eastAsia="楷体_GB2312" w:cs="Times New Roman"/>
          <w:b/>
          <w:bCs/>
          <w:sz w:val="32"/>
          <w:szCs w:val="32"/>
          <w:lang w:eastAsia="zh-CN"/>
        </w:rPr>
        <w:t>）</w:t>
      </w:r>
      <w:r>
        <w:rPr>
          <w:rFonts w:hint="eastAsia" w:ascii="楷体_GB2312" w:hAnsi="Times New Roman" w:eastAsia="楷体_GB2312" w:cs="Times New Roman"/>
          <w:b w:val="0"/>
          <w:bCs w:val="0"/>
          <w:sz w:val="32"/>
          <w:szCs w:val="32"/>
          <w:lang w:eastAsia="zh-CN"/>
        </w:rPr>
        <w:t>15万元，占0.77%</w:t>
      </w:r>
      <w:r>
        <w:rPr>
          <w:rFonts w:hint="eastAsia" w:ascii="仿宋" w:hAnsi="仿宋" w:eastAsia="仿宋"/>
          <w:b w:val="0"/>
          <w:bCs w:val="0"/>
          <w:color w:val="000000"/>
          <w:sz w:val="32"/>
          <w:szCs w:val="32"/>
        </w:rPr>
        <w:t>；</w:t>
      </w:r>
      <w:r>
        <w:rPr>
          <w:rFonts w:hint="eastAsia" w:ascii="楷体_GB2312" w:eastAsia="楷体_GB2312"/>
          <w:b/>
          <w:bCs/>
          <w:sz w:val="32"/>
          <w:szCs w:val="32"/>
        </w:rPr>
        <w:t>社会保障和就业</w:t>
      </w:r>
      <w:r>
        <w:rPr>
          <w:rFonts w:hint="eastAsia" w:ascii="楷体_GB2312" w:eastAsia="楷体_GB2312"/>
          <w:b/>
          <w:bCs/>
          <w:sz w:val="32"/>
          <w:szCs w:val="32"/>
          <w:lang w:val="en-US" w:eastAsia="zh-CN"/>
        </w:rPr>
        <w:t>支出</w:t>
      </w:r>
      <w:r>
        <w:rPr>
          <w:rFonts w:hint="eastAsia" w:ascii="楷体_GB2312" w:eastAsia="楷体_GB2312"/>
          <w:b/>
          <w:bCs/>
          <w:sz w:val="32"/>
          <w:szCs w:val="32"/>
        </w:rPr>
        <w:t>（</w:t>
      </w:r>
      <w:r>
        <w:rPr>
          <w:rFonts w:hint="eastAsia" w:ascii="楷体_GB2312" w:eastAsia="楷体_GB2312"/>
          <w:b/>
          <w:bCs/>
          <w:sz w:val="32"/>
          <w:szCs w:val="32"/>
          <w:lang w:val="en-US" w:eastAsia="zh-CN"/>
        </w:rPr>
        <w:t>208</w:t>
      </w:r>
      <w:r>
        <w:rPr>
          <w:rFonts w:hint="eastAsia" w:ascii="楷体_GB2312" w:eastAsia="楷体_GB2312"/>
          <w:b/>
          <w:bCs/>
          <w:sz w:val="32"/>
          <w:szCs w:val="32"/>
        </w:rPr>
        <w:t>类）</w:t>
      </w:r>
      <w:r>
        <w:rPr>
          <w:rFonts w:hint="eastAsia" w:ascii="楷体_GB2312" w:eastAsia="楷体_GB2312"/>
          <w:b w:val="0"/>
          <w:bCs w:val="0"/>
          <w:sz w:val="32"/>
          <w:szCs w:val="32"/>
        </w:rPr>
        <w:t>17.37万元，占0.89%</w:t>
      </w:r>
      <w:r>
        <w:rPr>
          <w:rFonts w:hint="eastAsia" w:ascii="楷体_GB2312" w:eastAsia="楷体_GB2312"/>
          <w:sz w:val="32"/>
          <w:szCs w:val="32"/>
        </w:rPr>
        <w:t>；</w:t>
      </w:r>
      <w:r>
        <w:rPr>
          <w:rFonts w:hint="eastAsia" w:ascii="仿宋" w:hAnsi="仿宋" w:eastAsia="仿宋"/>
          <w:b/>
          <w:bCs/>
          <w:color w:val="000000"/>
          <w:sz w:val="32"/>
          <w:szCs w:val="32"/>
        </w:rPr>
        <w:t>卫生健康支出</w:t>
      </w:r>
      <w:r>
        <w:rPr>
          <w:rFonts w:hint="eastAsia" w:ascii="楷体_GB2312" w:eastAsia="楷体_GB2312"/>
          <w:b/>
          <w:bCs/>
          <w:sz w:val="32"/>
          <w:szCs w:val="32"/>
        </w:rPr>
        <w:t>（</w:t>
      </w:r>
      <w:r>
        <w:rPr>
          <w:rFonts w:hint="eastAsia" w:ascii="楷体_GB2312" w:eastAsia="楷体_GB2312"/>
          <w:b/>
          <w:bCs/>
          <w:sz w:val="32"/>
          <w:szCs w:val="32"/>
          <w:lang w:val="en-US" w:eastAsia="zh-CN"/>
        </w:rPr>
        <w:t>210</w:t>
      </w:r>
      <w:r>
        <w:rPr>
          <w:rFonts w:hint="eastAsia" w:ascii="楷体_GB2312" w:eastAsia="楷体_GB2312"/>
          <w:b/>
          <w:bCs/>
          <w:sz w:val="32"/>
          <w:szCs w:val="32"/>
        </w:rPr>
        <w:t>类</w:t>
      </w:r>
      <w:r>
        <w:rPr>
          <w:rFonts w:hint="eastAsia" w:ascii="楷体_GB2312" w:eastAsia="楷体_GB2312"/>
          <w:b w:val="0"/>
          <w:bCs w:val="0"/>
          <w:sz w:val="32"/>
          <w:szCs w:val="32"/>
        </w:rPr>
        <w:t>）8.84万元，占0.45%</w:t>
      </w:r>
      <w:r>
        <w:rPr>
          <w:rFonts w:hint="eastAsia" w:ascii="楷体_GB2312" w:eastAsia="楷体_GB2312"/>
          <w:sz w:val="32"/>
          <w:szCs w:val="32"/>
        </w:rPr>
        <w:t>；</w:t>
      </w:r>
      <w:r>
        <w:rPr>
          <w:rFonts w:hint="eastAsia" w:ascii="楷体_GB2312" w:eastAsia="楷体_GB2312"/>
          <w:b/>
          <w:bCs/>
          <w:sz w:val="32"/>
          <w:szCs w:val="32"/>
        </w:rPr>
        <w:t>农林水</w:t>
      </w:r>
      <w:r>
        <w:rPr>
          <w:rFonts w:hint="eastAsia" w:ascii="楷体_GB2312" w:eastAsia="楷体_GB2312"/>
          <w:b/>
          <w:bCs/>
          <w:sz w:val="32"/>
          <w:szCs w:val="32"/>
          <w:lang w:val="en-US" w:eastAsia="zh-CN"/>
        </w:rPr>
        <w:t>支出</w:t>
      </w:r>
      <w:r>
        <w:rPr>
          <w:rFonts w:hint="eastAsia" w:ascii="楷体_GB2312" w:eastAsia="楷体_GB2312"/>
          <w:b/>
          <w:bCs/>
          <w:sz w:val="32"/>
          <w:szCs w:val="32"/>
        </w:rPr>
        <w:t>（</w:t>
      </w:r>
      <w:r>
        <w:rPr>
          <w:rFonts w:hint="eastAsia" w:ascii="楷体_GB2312" w:eastAsia="楷体_GB2312"/>
          <w:b/>
          <w:bCs/>
          <w:sz w:val="32"/>
          <w:szCs w:val="32"/>
          <w:lang w:val="en-US" w:eastAsia="zh-CN"/>
        </w:rPr>
        <w:t>213</w:t>
      </w:r>
      <w:r>
        <w:rPr>
          <w:rFonts w:hint="eastAsia" w:ascii="楷体_GB2312" w:eastAsia="楷体_GB2312"/>
          <w:b/>
          <w:bCs/>
          <w:sz w:val="32"/>
          <w:szCs w:val="32"/>
        </w:rPr>
        <w:t>类）</w:t>
      </w:r>
      <w:r>
        <w:rPr>
          <w:rFonts w:hint="eastAsia" w:ascii="楷体_GB2312" w:eastAsia="楷体_GB2312"/>
          <w:b w:val="0"/>
          <w:bCs w:val="0"/>
          <w:sz w:val="32"/>
          <w:szCs w:val="32"/>
        </w:rPr>
        <w:t>130.84万元，占6.70%</w:t>
      </w:r>
      <w:r>
        <w:rPr>
          <w:rFonts w:hint="eastAsia" w:ascii="楷体_GB2312" w:eastAsia="楷体_GB2312"/>
          <w:b/>
          <w:bCs/>
          <w:sz w:val="32"/>
          <w:szCs w:val="32"/>
          <w:lang w:eastAsia="zh-CN"/>
        </w:rPr>
        <w:t>；</w:t>
      </w:r>
      <w:r>
        <w:rPr>
          <w:rFonts w:hint="eastAsia" w:ascii="楷体_GB2312" w:eastAsia="楷体_GB2312"/>
          <w:b/>
          <w:bCs/>
          <w:sz w:val="32"/>
          <w:szCs w:val="32"/>
        </w:rPr>
        <w:t>资源勘探工业信息等支出</w:t>
      </w:r>
      <w:r>
        <w:rPr>
          <w:rFonts w:hint="eastAsia" w:ascii="楷体_GB2312" w:eastAsia="楷体_GB2312"/>
          <w:b/>
          <w:bCs/>
          <w:sz w:val="32"/>
          <w:szCs w:val="32"/>
          <w:lang w:eastAsia="zh-CN"/>
        </w:rPr>
        <w:t>（</w:t>
      </w:r>
      <w:r>
        <w:rPr>
          <w:rFonts w:hint="eastAsia" w:ascii="楷体_GB2312" w:eastAsia="楷体_GB2312"/>
          <w:b/>
          <w:bCs/>
          <w:sz w:val="32"/>
          <w:szCs w:val="32"/>
          <w:lang w:val="en-US" w:eastAsia="zh-CN"/>
        </w:rPr>
        <w:t>215类）</w:t>
      </w:r>
      <w:r>
        <w:rPr>
          <w:rFonts w:hint="eastAsia" w:ascii="楷体_GB2312" w:eastAsia="楷体_GB2312"/>
          <w:b w:val="0"/>
          <w:bCs w:val="0"/>
          <w:sz w:val="32"/>
          <w:szCs w:val="32"/>
        </w:rPr>
        <w:t>9万元，占0.46%；</w:t>
      </w:r>
      <w:r>
        <w:rPr>
          <w:rFonts w:hint="eastAsia" w:ascii="楷体_GB2312" w:hAnsi="Times New Roman" w:eastAsia="楷体_GB2312" w:cs="Times New Roman"/>
          <w:b/>
          <w:bCs/>
          <w:sz w:val="32"/>
          <w:szCs w:val="32"/>
        </w:rPr>
        <w:t>商业服务业等支出（</w:t>
      </w:r>
      <w:r>
        <w:rPr>
          <w:rFonts w:hint="eastAsia" w:ascii="楷体_GB2312" w:hAnsi="Times New Roman" w:eastAsia="楷体_GB2312" w:cs="Times New Roman"/>
          <w:b/>
          <w:bCs/>
          <w:sz w:val="32"/>
          <w:szCs w:val="32"/>
          <w:lang w:val="en-US" w:eastAsia="zh-CN"/>
        </w:rPr>
        <w:t>21</w:t>
      </w:r>
      <w:r>
        <w:rPr>
          <w:rFonts w:hint="eastAsia" w:ascii="楷体_GB2312" w:eastAsia="楷体_GB2312"/>
          <w:b/>
          <w:bCs/>
          <w:sz w:val="32"/>
          <w:szCs w:val="32"/>
          <w:lang w:val="en-US" w:eastAsia="zh-CN"/>
        </w:rPr>
        <w:t>6</w:t>
      </w:r>
      <w:r>
        <w:rPr>
          <w:rFonts w:hint="eastAsia" w:ascii="楷体_GB2312" w:eastAsia="楷体_GB2312"/>
          <w:b/>
          <w:bCs/>
          <w:sz w:val="32"/>
          <w:szCs w:val="32"/>
        </w:rPr>
        <w:t>类）</w:t>
      </w:r>
      <w:r>
        <w:rPr>
          <w:rFonts w:hint="eastAsia" w:ascii="楷体_GB2312" w:eastAsia="楷体_GB2312"/>
          <w:b w:val="0"/>
          <w:bCs w:val="0"/>
          <w:sz w:val="32"/>
          <w:szCs w:val="32"/>
        </w:rPr>
        <w:t>1754.39万元，占89.81%</w:t>
      </w:r>
      <w:r>
        <w:rPr>
          <w:rFonts w:hint="eastAsia" w:ascii="仿宋" w:hAnsi="仿宋" w:eastAsia="仿宋"/>
          <w:b w:val="0"/>
          <w:bCs w:val="0"/>
          <w:color w:val="000000"/>
          <w:sz w:val="32"/>
          <w:szCs w:val="32"/>
        </w:rPr>
        <w:t>；</w:t>
      </w:r>
      <w:r>
        <w:rPr>
          <w:rFonts w:hint="eastAsia" w:ascii="楷体_GB2312" w:eastAsia="楷体_GB2312"/>
          <w:b/>
          <w:bCs/>
          <w:sz w:val="32"/>
          <w:szCs w:val="32"/>
        </w:rPr>
        <w:t>住房保障支出（</w:t>
      </w:r>
      <w:r>
        <w:rPr>
          <w:rFonts w:hint="eastAsia" w:ascii="楷体_GB2312" w:eastAsia="楷体_GB2312"/>
          <w:b/>
          <w:bCs/>
          <w:sz w:val="32"/>
          <w:szCs w:val="32"/>
          <w:lang w:val="en-US" w:eastAsia="zh-CN"/>
        </w:rPr>
        <w:t>221</w:t>
      </w:r>
      <w:r>
        <w:rPr>
          <w:rFonts w:hint="eastAsia" w:ascii="楷体_GB2312" w:eastAsia="楷体_GB2312"/>
          <w:b/>
          <w:bCs/>
          <w:sz w:val="32"/>
          <w:szCs w:val="32"/>
        </w:rPr>
        <w:t>类）</w:t>
      </w:r>
      <w:r>
        <w:rPr>
          <w:rFonts w:hint="eastAsia" w:ascii="楷体_GB2312" w:eastAsia="楷体_GB2312"/>
          <w:b w:val="0"/>
          <w:bCs w:val="0"/>
          <w:sz w:val="32"/>
          <w:szCs w:val="32"/>
          <w:lang w:val="en-US" w:eastAsia="zh-CN"/>
        </w:rPr>
        <w:t>17.94</w:t>
      </w:r>
      <w:r>
        <w:rPr>
          <w:rFonts w:hint="eastAsia" w:ascii="楷体_GB2312" w:eastAsia="楷体_GB2312"/>
          <w:b w:val="0"/>
          <w:bCs w:val="0"/>
          <w:sz w:val="32"/>
          <w:szCs w:val="32"/>
        </w:rPr>
        <w:t>万元，占</w:t>
      </w:r>
      <w:r>
        <w:rPr>
          <w:rFonts w:hint="eastAsia" w:ascii="楷体_GB2312" w:eastAsia="楷体_GB2312"/>
          <w:b w:val="0"/>
          <w:bCs w:val="0"/>
          <w:sz w:val="32"/>
          <w:szCs w:val="32"/>
          <w:lang w:val="en-US" w:eastAsia="zh-CN"/>
        </w:rPr>
        <w:t>0.92</w:t>
      </w:r>
      <w:r>
        <w:rPr>
          <w:rFonts w:hint="eastAsia" w:ascii="楷体_GB2312" w:eastAsia="楷体_GB2312"/>
          <w:b w:val="0"/>
          <w:bCs w:val="0"/>
          <w:sz w:val="32"/>
          <w:szCs w:val="32"/>
        </w:rPr>
        <w:t>%</w:t>
      </w:r>
      <w:r>
        <w:rPr>
          <w:rFonts w:hint="eastAsia" w:ascii="楷体_GB2312" w:eastAsia="楷体_GB2312"/>
          <w:sz w:val="32"/>
          <w:szCs w:val="32"/>
        </w:rPr>
        <w:t>。</w:t>
      </w:r>
      <w:r>
        <w:rPr>
          <w:rFonts w:hint="eastAsia" w:ascii="楷体_GB2312" w:hAnsi="Times New Roman" w:eastAsia="楷体_GB2312" w:cs="Times New Roman"/>
          <w:kern w:val="2"/>
          <w:sz w:val="32"/>
          <w:szCs w:val="32"/>
          <w:lang w:val="en-US" w:eastAsia="zh-CN" w:bidi="ar-SA"/>
        </w:rPr>
        <w:t>全年完成预算支出的100%。</w:t>
      </w:r>
    </w:p>
    <w:p>
      <w:pPr>
        <w:pStyle w:val="18"/>
        <w:rPr>
          <w:rFonts w:hint="eastAsia"/>
          <w:lang w:val="en-US" w:eastAsia="zh-CN"/>
        </w:rPr>
      </w:pPr>
    </w:p>
    <w:p>
      <w:pPr>
        <w:widowControl/>
        <w:jc w:val="center"/>
        <w:rPr>
          <w:rFonts w:ascii="宋体" w:hAnsi="宋体" w:cs="宋体"/>
          <w:kern w:val="0"/>
          <w:sz w:val="24"/>
        </w:rPr>
      </w:pPr>
      <w:r>
        <w:drawing>
          <wp:inline distT="0" distB="0" distL="114300" distR="114300">
            <wp:extent cx="4814570" cy="2816225"/>
            <wp:effectExtent l="4445" t="4445" r="19685" b="17780"/>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jc w:val="center"/>
        <w:rPr>
          <w:rFonts w:ascii="仿宋" w:hAnsi="仿宋" w:eastAsia="仿宋"/>
          <w:color w:val="FF0000"/>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r>
        <w:rPr>
          <w:rFonts w:hint="eastAsia" w:ascii="仿宋" w:hAnsi="仿宋" w:eastAsia="仿宋"/>
          <w:b w:val="0"/>
          <w:bCs w:val="0"/>
          <w:color w:val="auto"/>
          <w:sz w:val="32"/>
          <w:szCs w:val="32"/>
        </w:rPr>
        <w:t>（饼状图）</w:t>
      </w:r>
    </w:p>
    <w:p>
      <w:pPr>
        <w:pStyle w:val="10"/>
        <w:ind w:left="0" w:leftChars="0" w:firstLine="0" w:firstLineChars="0"/>
      </w:pPr>
    </w:p>
    <w:p>
      <w:pPr>
        <w:spacing w:line="600" w:lineRule="exact"/>
        <w:ind w:firstLine="642" w:firstLineChars="200"/>
        <w:outlineLvl w:val="2"/>
        <w:rPr>
          <w:rStyle w:val="25"/>
          <w:rFonts w:hint="eastAsia" w:ascii="仿宋" w:hAnsi="仿宋" w:eastAsia="仿宋" w:cs="仿宋"/>
          <w:b w:val="0"/>
          <w:bCs/>
          <w:color w:val="000000"/>
          <w:kern w:val="2"/>
          <w:sz w:val="32"/>
          <w:szCs w:val="32"/>
          <w:lang w:val="en-US" w:eastAsia="zh-CN" w:bidi="ar"/>
        </w:rPr>
      </w:pPr>
      <w:r>
        <w:rPr>
          <w:rFonts w:hint="eastAsia" w:ascii="仿宋" w:hAnsi="仿宋" w:eastAsia="仿宋"/>
          <w:b/>
          <w:color w:val="000000"/>
          <w:sz w:val="32"/>
          <w:szCs w:val="32"/>
        </w:rPr>
        <w:t>（三）一般公共预算财政拨款支出决算具体情况</w:t>
      </w:r>
      <w:bookmarkStart w:id="14" w:name="_Toc15377213"/>
      <w:bookmarkStart w:id="15" w:name="_Toc15378460"/>
      <w:bookmarkStart w:id="16" w:name="_Toc15377444"/>
    </w:p>
    <w:p>
      <w:pPr>
        <w:keepNext w:val="0"/>
        <w:keepLines w:val="0"/>
        <w:widowControl w:val="0"/>
        <w:suppressLineNumbers w:val="0"/>
        <w:spacing w:before="0" w:beforeAutospacing="0" w:after="0" w:afterAutospacing="0" w:line="600" w:lineRule="exact"/>
        <w:ind w:left="0" w:right="0" w:firstLine="640" w:firstLineChars="200"/>
        <w:jc w:val="both"/>
        <w:outlineLvl w:val="2"/>
        <w:rPr>
          <w:rStyle w:val="25"/>
          <w:rFonts w:hint="eastAsia" w:ascii="仿宋" w:hAnsi="仿宋" w:eastAsia="仿宋"/>
          <w:b w:val="0"/>
          <w:bCs/>
          <w:color w:val="000000"/>
          <w:sz w:val="32"/>
          <w:szCs w:val="32"/>
        </w:rPr>
      </w:pPr>
      <w:r>
        <w:rPr>
          <w:rStyle w:val="25"/>
          <w:rFonts w:hint="eastAsia" w:ascii="仿宋" w:hAnsi="仿宋" w:eastAsia="仿宋" w:cs="仿宋"/>
          <w:b w:val="0"/>
          <w:bCs/>
          <w:color w:val="000000"/>
          <w:kern w:val="2"/>
          <w:sz w:val="32"/>
          <w:szCs w:val="32"/>
          <w:lang w:val="en-US" w:eastAsia="zh-CN" w:bidi="ar"/>
        </w:rPr>
        <w:t>2022年一般公共预算支出决算数为1953.38万元，完成预算100%。其中：其中：</w:t>
      </w:r>
      <w:bookmarkEnd w:id="14"/>
      <w:bookmarkEnd w:id="15"/>
      <w:bookmarkEnd w:id="16"/>
    </w:p>
    <w:p>
      <w:pPr>
        <w:spacing w:line="600" w:lineRule="exact"/>
        <w:ind w:firstLine="642" w:firstLineChars="200"/>
        <w:rPr>
          <w:rStyle w:val="25"/>
          <w:rFonts w:ascii="仿宋" w:hAnsi="仿宋" w:eastAsia="仿宋"/>
          <w:b w:val="0"/>
          <w:bCs/>
          <w:color w:val="000000"/>
          <w:sz w:val="32"/>
          <w:szCs w:val="32"/>
        </w:rPr>
      </w:pPr>
      <w:r>
        <w:rPr>
          <w:rStyle w:val="25"/>
          <w:rFonts w:hint="eastAsia" w:ascii="仿宋" w:hAnsi="仿宋" w:eastAsia="仿宋"/>
          <w:bCs/>
          <w:color w:val="000000"/>
          <w:sz w:val="32"/>
          <w:szCs w:val="32"/>
          <w:lang w:val="en-US" w:eastAsia="zh-CN"/>
        </w:rPr>
        <w:t>1.</w:t>
      </w:r>
      <w:r>
        <w:rPr>
          <w:rStyle w:val="25"/>
          <w:rFonts w:hint="eastAsia" w:ascii="仿宋" w:hAnsi="仿宋" w:eastAsia="仿宋"/>
          <w:bCs/>
          <w:color w:val="000000"/>
          <w:sz w:val="32"/>
          <w:szCs w:val="32"/>
        </w:rPr>
        <w:t>文化旅游体育与传媒支出（</w:t>
      </w:r>
      <w:r>
        <w:rPr>
          <w:rStyle w:val="25"/>
          <w:rFonts w:hint="eastAsia" w:ascii="仿宋" w:hAnsi="仿宋" w:eastAsia="仿宋"/>
          <w:bCs/>
          <w:color w:val="000000"/>
          <w:sz w:val="32"/>
          <w:szCs w:val="32"/>
          <w:lang w:val="en-US" w:eastAsia="zh-CN"/>
        </w:rPr>
        <w:t>207</w:t>
      </w:r>
      <w:r>
        <w:rPr>
          <w:rStyle w:val="25"/>
          <w:rFonts w:hint="eastAsia" w:ascii="仿宋" w:hAnsi="仿宋" w:eastAsia="仿宋"/>
          <w:bCs/>
          <w:color w:val="000000"/>
          <w:sz w:val="32"/>
          <w:szCs w:val="32"/>
        </w:rPr>
        <w:t>）</w:t>
      </w:r>
      <w:r>
        <w:rPr>
          <w:rStyle w:val="25"/>
          <w:rFonts w:hint="eastAsia" w:ascii="仿宋" w:hAnsi="仿宋" w:eastAsia="仿宋"/>
          <w:b w:val="0"/>
          <w:bCs w:val="0"/>
          <w:color w:val="000000"/>
          <w:sz w:val="32"/>
          <w:szCs w:val="32"/>
          <w:lang w:val="en-US" w:eastAsia="zh-CN"/>
        </w:rPr>
        <w:t>其他</w:t>
      </w:r>
      <w:r>
        <w:rPr>
          <w:rStyle w:val="25"/>
          <w:rFonts w:hint="eastAsia" w:ascii="仿宋" w:hAnsi="仿宋" w:eastAsia="仿宋"/>
          <w:b w:val="0"/>
          <w:bCs w:val="0"/>
          <w:color w:val="000000"/>
          <w:sz w:val="32"/>
          <w:szCs w:val="32"/>
        </w:rPr>
        <w:t>文化旅游体育与传媒</w:t>
      </w:r>
      <w:r>
        <w:rPr>
          <w:rStyle w:val="25"/>
          <w:rFonts w:hint="eastAsia" w:ascii="仿宋" w:hAnsi="仿宋" w:eastAsia="仿宋"/>
          <w:b w:val="0"/>
          <w:bCs w:val="0"/>
          <w:color w:val="000000"/>
          <w:sz w:val="32"/>
          <w:szCs w:val="32"/>
          <w:lang w:val="en-US" w:eastAsia="zh-CN"/>
        </w:rPr>
        <w:t>支出</w:t>
      </w:r>
      <w:r>
        <w:rPr>
          <w:rStyle w:val="25"/>
          <w:rFonts w:hint="eastAsia" w:ascii="仿宋" w:hAnsi="仿宋" w:eastAsia="仿宋"/>
          <w:b w:val="0"/>
          <w:bCs w:val="0"/>
          <w:color w:val="000000"/>
          <w:sz w:val="32"/>
          <w:szCs w:val="32"/>
          <w:lang w:eastAsia="zh-CN"/>
        </w:rPr>
        <w:t>（</w:t>
      </w:r>
      <w:r>
        <w:rPr>
          <w:rStyle w:val="25"/>
          <w:rFonts w:hint="eastAsia" w:ascii="仿宋" w:hAnsi="仿宋" w:eastAsia="仿宋"/>
          <w:b w:val="0"/>
          <w:bCs w:val="0"/>
          <w:color w:val="000000"/>
          <w:sz w:val="32"/>
          <w:szCs w:val="32"/>
          <w:lang w:val="en-US" w:eastAsia="zh-CN"/>
        </w:rPr>
        <w:t>99</w:t>
      </w:r>
      <w:r>
        <w:rPr>
          <w:rStyle w:val="25"/>
          <w:rFonts w:hint="eastAsia" w:ascii="仿宋" w:hAnsi="仿宋" w:eastAsia="仿宋"/>
          <w:b w:val="0"/>
          <w:bCs w:val="0"/>
          <w:color w:val="000000"/>
          <w:sz w:val="32"/>
          <w:szCs w:val="32"/>
          <w:lang w:eastAsia="zh-CN"/>
        </w:rPr>
        <w:t>）</w:t>
      </w:r>
      <w:r>
        <w:rPr>
          <w:rStyle w:val="25"/>
          <w:rFonts w:hint="eastAsia" w:ascii="仿宋" w:hAnsi="仿宋" w:eastAsia="仿宋"/>
          <w:b w:val="0"/>
          <w:bCs w:val="0"/>
          <w:color w:val="000000"/>
          <w:sz w:val="32"/>
          <w:szCs w:val="32"/>
          <w:lang w:val="en-US" w:eastAsia="zh-CN"/>
        </w:rPr>
        <w:t>其他</w:t>
      </w:r>
      <w:r>
        <w:rPr>
          <w:rStyle w:val="25"/>
          <w:rFonts w:hint="eastAsia" w:ascii="仿宋" w:hAnsi="仿宋" w:eastAsia="仿宋"/>
          <w:b w:val="0"/>
          <w:bCs w:val="0"/>
          <w:color w:val="000000"/>
          <w:sz w:val="32"/>
          <w:szCs w:val="32"/>
        </w:rPr>
        <w:t>文化旅游体育与传媒</w:t>
      </w:r>
      <w:r>
        <w:rPr>
          <w:rStyle w:val="25"/>
          <w:rFonts w:hint="eastAsia" w:ascii="仿宋" w:hAnsi="仿宋" w:eastAsia="仿宋"/>
          <w:b w:val="0"/>
          <w:bCs w:val="0"/>
          <w:color w:val="000000"/>
          <w:sz w:val="32"/>
          <w:szCs w:val="32"/>
          <w:lang w:val="en-US" w:eastAsia="zh-CN"/>
        </w:rPr>
        <w:t>支出（99）</w:t>
      </w:r>
      <w:r>
        <w:rPr>
          <w:rStyle w:val="25"/>
          <w:rFonts w:ascii="仿宋" w:hAnsi="仿宋" w:eastAsia="仿宋"/>
          <w:bCs/>
          <w:color w:val="000000"/>
          <w:sz w:val="32"/>
          <w:szCs w:val="32"/>
        </w:rPr>
        <w:t>:</w:t>
      </w:r>
      <w:r>
        <w:rPr>
          <w:rStyle w:val="25"/>
          <w:rFonts w:ascii="仿宋" w:hAnsi="仿宋" w:eastAsia="仿宋"/>
          <w:b w:val="0"/>
          <w:bCs/>
          <w:color w:val="000000"/>
          <w:sz w:val="32"/>
          <w:szCs w:val="32"/>
        </w:rPr>
        <w:t xml:space="preserve"> </w:t>
      </w:r>
      <w:r>
        <w:rPr>
          <w:rStyle w:val="25"/>
          <w:rFonts w:hint="eastAsia" w:ascii="仿宋" w:hAnsi="仿宋" w:eastAsia="仿宋"/>
          <w:b w:val="0"/>
          <w:bCs/>
          <w:color w:val="000000"/>
          <w:sz w:val="32"/>
          <w:szCs w:val="32"/>
        </w:rPr>
        <w:t>支出决算为</w:t>
      </w:r>
      <w:r>
        <w:rPr>
          <w:rStyle w:val="25"/>
          <w:rFonts w:hint="eastAsia" w:ascii="仿宋" w:hAnsi="仿宋" w:eastAsia="仿宋"/>
          <w:b w:val="0"/>
          <w:bCs/>
          <w:color w:val="000000"/>
          <w:sz w:val="32"/>
          <w:szCs w:val="32"/>
          <w:lang w:val="en-US" w:eastAsia="zh-CN"/>
        </w:rPr>
        <w:t>15</w:t>
      </w:r>
      <w:r>
        <w:rPr>
          <w:rStyle w:val="25"/>
          <w:rFonts w:hint="eastAsia" w:ascii="仿宋" w:hAnsi="仿宋" w:eastAsia="仿宋"/>
          <w:b w:val="0"/>
          <w:bCs/>
          <w:color w:val="000000"/>
          <w:sz w:val="32"/>
          <w:szCs w:val="32"/>
        </w:rPr>
        <w:t>万元，完成</w:t>
      </w:r>
      <w:r>
        <w:rPr>
          <w:rStyle w:val="25"/>
          <w:rFonts w:hint="eastAsia" w:ascii="仿宋" w:hAnsi="仿宋" w:eastAsia="仿宋"/>
          <w:b w:val="0"/>
          <w:bCs/>
          <w:color w:val="000000"/>
          <w:sz w:val="32"/>
          <w:szCs w:val="32"/>
          <w:u w:val="none"/>
        </w:rPr>
        <w:t>预算</w:t>
      </w:r>
      <w:r>
        <w:rPr>
          <w:rStyle w:val="25"/>
          <w:rFonts w:hint="eastAsia" w:ascii="仿宋" w:hAnsi="仿宋" w:eastAsia="仿宋"/>
          <w:b w:val="0"/>
          <w:bCs/>
          <w:color w:val="000000"/>
          <w:sz w:val="32"/>
          <w:szCs w:val="32"/>
        </w:rPr>
        <w:t>100</w:t>
      </w:r>
      <w:r>
        <w:rPr>
          <w:rStyle w:val="25"/>
          <w:rFonts w:ascii="仿宋" w:hAnsi="仿宋" w:eastAsia="仿宋"/>
          <w:b w:val="0"/>
          <w:bCs/>
          <w:color w:val="000000"/>
          <w:sz w:val="32"/>
          <w:szCs w:val="32"/>
        </w:rPr>
        <w:t>%</w:t>
      </w:r>
      <w:r>
        <w:rPr>
          <w:rStyle w:val="25"/>
          <w:rFonts w:hint="eastAsia" w:ascii="仿宋" w:hAnsi="仿宋" w:eastAsia="仿宋"/>
          <w:b w:val="0"/>
          <w:bCs/>
          <w:color w:val="000000"/>
          <w:sz w:val="32"/>
          <w:szCs w:val="32"/>
        </w:rPr>
        <w:t>。</w:t>
      </w:r>
    </w:p>
    <w:p>
      <w:pPr>
        <w:spacing w:line="600" w:lineRule="exact"/>
        <w:ind w:firstLine="642" w:firstLineChars="200"/>
        <w:rPr>
          <w:rStyle w:val="25"/>
          <w:rFonts w:hint="eastAsia" w:ascii="仿宋" w:hAnsi="仿宋" w:eastAsia="仿宋" w:cs="仿宋"/>
          <w:b w:val="0"/>
          <w:bCs w:val="0"/>
          <w:color w:val="000000"/>
          <w:sz w:val="32"/>
          <w:szCs w:val="32"/>
        </w:rPr>
      </w:pPr>
      <w:r>
        <w:rPr>
          <w:rStyle w:val="25"/>
          <w:rFonts w:hint="eastAsia" w:ascii="仿宋" w:hAnsi="仿宋" w:eastAsia="仿宋" w:cs="仿宋"/>
          <w:color w:val="000000"/>
          <w:sz w:val="32"/>
          <w:szCs w:val="32"/>
          <w:lang w:val="en-US" w:eastAsia="zh-CN"/>
        </w:rPr>
        <w:t>2.</w:t>
      </w:r>
      <w:r>
        <w:rPr>
          <w:rStyle w:val="25"/>
          <w:rFonts w:hint="eastAsia" w:ascii="仿宋" w:hAnsi="仿宋" w:eastAsia="仿宋" w:cs="仿宋"/>
          <w:color w:val="000000"/>
          <w:sz w:val="32"/>
          <w:szCs w:val="32"/>
        </w:rPr>
        <w:t>社会保障和就业（</w:t>
      </w:r>
      <w:r>
        <w:rPr>
          <w:rStyle w:val="25"/>
          <w:rFonts w:ascii="仿宋" w:hAnsi="仿宋" w:eastAsia="仿宋" w:cs="仿宋"/>
          <w:color w:val="000000"/>
          <w:sz w:val="32"/>
          <w:szCs w:val="32"/>
        </w:rPr>
        <w:t>208</w:t>
      </w:r>
      <w:r>
        <w:rPr>
          <w:rStyle w:val="25"/>
          <w:rFonts w:hint="eastAsia" w:ascii="仿宋" w:hAnsi="仿宋" w:eastAsia="仿宋" w:cs="仿宋"/>
          <w:color w:val="000000"/>
          <w:sz w:val="32"/>
          <w:szCs w:val="32"/>
        </w:rPr>
        <w:t>）</w:t>
      </w:r>
      <w:r>
        <w:rPr>
          <w:rStyle w:val="25"/>
          <w:rFonts w:ascii="仿宋" w:hAnsi="仿宋" w:eastAsia="仿宋" w:cs="仿宋"/>
          <w:color w:val="000000"/>
          <w:sz w:val="32"/>
          <w:szCs w:val="32"/>
        </w:rPr>
        <w:t>:</w:t>
      </w:r>
      <w:r>
        <w:rPr>
          <w:rStyle w:val="25"/>
          <w:rFonts w:ascii="仿宋" w:hAnsi="仿宋" w:eastAsia="仿宋" w:cs="仿宋"/>
          <w:b w:val="0"/>
          <w:bCs w:val="0"/>
          <w:color w:val="000000"/>
          <w:sz w:val="32"/>
          <w:szCs w:val="32"/>
        </w:rPr>
        <w:t xml:space="preserve"> </w:t>
      </w:r>
      <w:r>
        <w:rPr>
          <w:rStyle w:val="25"/>
          <w:rFonts w:hint="eastAsia" w:ascii="仿宋" w:hAnsi="仿宋" w:eastAsia="仿宋" w:cs="仿宋"/>
          <w:b w:val="0"/>
          <w:bCs w:val="0"/>
          <w:color w:val="000000"/>
          <w:sz w:val="32"/>
          <w:szCs w:val="32"/>
        </w:rPr>
        <w:t>支出决算为</w:t>
      </w:r>
      <w:r>
        <w:rPr>
          <w:rStyle w:val="25"/>
          <w:rFonts w:hint="eastAsia" w:ascii="仿宋" w:hAnsi="仿宋" w:eastAsia="仿宋"/>
          <w:b w:val="0"/>
          <w:bCs/>
          <w:color w:val="000000"/>
          <w:sz w:val="32"/>
          <w:szCs w:val="32"/>
          <w:lang w:val="en-US" w:eastAsia="zh-CN"/>
        </w:rPr>
        <w:t>17.37</w:t>
      </w:r>
      <w:r>
        <w:rPr>
          <w:rStyle w:val="25"/>
          <w:rFonts w:hint="eastAsia" w:ascii="仿宋" w:hAnsi="仿宋" w:eastAsia="仿宋" w:cs="仿宋"/>
          <w:b w:val="0"/>
          <w:bCs w:val="0"/>
          <w:color w:val="000000"/>
          <w:sz w:val="32"/>
          <w:szCs w:val="32"/>
        </w:rPr>
        <w:t>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rPr>
        <w:t>。</w:t>
      </w:r>
    </w:p>
    <w:p>
      <w:pPr>
        <w:numPr>
          <w:ilvl w:val="0"/>
          <w:numId w:val="0"/>
        </w:numPr>
        <w:spacing w:line="600" w:lineRule="exact"/>
        <w:ind w:firstLine="640" w:firstLineChars="200"/>
        <w:rPr>
          <w:rStyle w:val="25"/>
          <w:rFonts w:hint="eastAsia" w:ascii="仿宋" w:hAnsi="仿宋" w:eastAsia="仿宋" w:cs="仿宋"/>
          <w:b w:val="0"/>
          <w:bCs w:val="0"/>
          <w:color w:val="000000"/>
          <w:sz w:val="32"/>
          <w:szCs w:val="32"/>
        </w:rPr>
      </w:pPr>
      <w:r>
        <w:rPr>
          <w:rStyle w:val="25"/>
          <w:rFonts w:hint="eastAsia" w:ascii="仿宋" w:hAnsi="仿宋" w:eastAsia="仿宋" w:cs="仿宋"/>
          <w:b w:val="0"/>
          <w:bCs w:val="0"/>
          <w:color w:val="000000"/>
          <w:sz w:val="32"/>
          <w:szCs w:val="32"/>
          <w:lang w:val="en-US" w:eastAsia="zh-CN"/>
        </w:rPr>
        <w:t>行政事业单位养老支出</w:t>
      </w:r>
      <w:r>
        <w:rPr>
          <w:rStyle w:val="25"/>
          <w:rFonts w:hint="eastAsia" w:ascii="仿宋" w:hAnsi="仿宋" w:eastAsia="仿宋" w:cs="仿宋"/>
          <w:color w:val="000000"/>
          <w:sz w:val="32"/>
          <w:szCs w:val="32"/>
          <w:lang w:val="en-US" w:eastAsia="zh-CN"/>
        </w:rPr>
        <w:t>（20805）</w:t>
      </w:r>
      <w:r>
        <w:rPr>
          <w:rStyle w:val="25"/>
          <w:rFonts w:hint="eastAsia" w:ascii="仿宋" w:hAnsi="仿宋" w:eastAsia="仿宋" w:cs="仿宋"/>
          <w:b w:val="0"/>
          <w:bCs/>
          <w:color w:val="000000"/>
          <w:sz w:val="32"/>
          <w:szCs w:val="32"/>
        </w:rPr>
        <w:t>机关事业单位基本养老保险缴费支出</w:t>
      </w:r>
      <w:r>
        <w:rPr>
          <w:rStyle w:val="25"/>
          <w:rFonts w:hint="eastAsia" w:ascii="仿宋" w:hAnsi="仿宋" w:eastAsia="仿宋" w:cs="仿宋"/>
          <w:color w:val="000000"/>
          <w:sz w:val="32"/>
          <w:szCs w:val="32"/>
        </w:rPr>
        <w:t>（</w:t>
      </w:r>
      <w:r>
        <w:rPr>
          <w:rStyle w:val="25"/>
          <w:rFonts w:ascii="仿宋" w:hAnsi="仿宋" w:eastAsia="仿宋" w:cs="仿宋"/>
          <w:color w:val="000000"/>
          <w:sz w:val="32"/>
          <w:szCs w:val="32"/>
        </w:rPr>
        <w:t>208</w:t>
      </w:r>
      <w:r>
        <w:rPr>
          <w:rStyle w:val="25"/>
          <w:rFonts w:hint="eastAsia" w:ascii="仿宋" w:hAnsi="仿宋" w:eastAsia="仿宋" w:cs="仿宋"/>
          <w:color w:val="000000"/>
          <w:sz w:val="32"/>
          <w:szCs w:val="32"/>
          <w:lang w:val="en-US" w:eastAsia="zh-CN"/>
        </w:rPr>
        <w:t>0505</w:t>
      </w:r>
      <w:r>
        <w:rPr>
          <w:rStyle w:val="25"/>
          <w:rFonts w:hint="eastAsia" w:ascii="仿宋" w:hAnsi="仿宋" w:eastAsia="仿宋" w:cs="仿宋"/>
          <w:color w:val="000000"/>
          <w:sz w:val="32"/>
          <w:szCs w:val="32"/>
        </w:rPr>
        <w:t>）</w:t>
      </w:r>
      <w:r>
        <w:rPr>
          <w:rStyle w:val="25"/>
          <w:rFonts w:ascii="仿宋" w:hAnsi="仿宋" w:eastAsia="仿宋" w:cs="仿宋"/>
          <w:color w:val="000000"/>
          <w:sz w:val="32"/>
          <w:szCs w:val="32"/>
        </w:rPr>
        <w:t>:</w:t>
      </w:r>
      <w:r>
        <w:rPr>
          <w:rStyle w:val="25"/>
          <w:rFonts w:ascii="仿宋" w:hAnsi="仿宋" w:eastAsia="仿宋" w:cs="仿宋"/>
          <w:b w:val="0"/>
          <w:bCs w:val="0"/>
          <w:color w:val="000000"/>
          <w:sz w:val="32"/>
          <w:szCs w:val="32"/>
        </w:rPr>
        <w:t xml:space="preserve"> </w:t>
      </w:r>
      <w:r>
        <w:rPr>
          <w:rStyle w:val="25"/>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16.64</w:t>
      </w:r>
      <w:r>
        <w:rPr>
          <w:rStyle w:val="25"/>
          <w:rFonts w:hint="eastAsia" w:ascii="仿宋" w:hAnsi="仿宋" w:eastAsia="仿宋" w:cs="仿宋"/>
          <w:b w:val="0"/>
          <w:bCs w:val="0"/>
          <w:color w:val="000000"/>
          <w:sz w:val="32"/>
          <w:szCs w:val="32"/>
        </w:rPr>
        <w:t>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rPr>
        <w:t>。</w:t>
      </w:r>
    </w:p>
    <w:p>
      <w:pPr>
        <w:pStyle w:val="18"/>
        <w:ind w:left="0" w:leftChars="0" w:firstLine="640" w:firstLineChars="200"/>
      </w:pPr>
      <w:r>
        <w:rPr>
          <w:rStyle w:val="25"/>
          <w:rFonts w:hint="eastAsia" w:ascii="仿宋" w:hAnsi="仿宋" w:eastAsia="仿宋" w:cs="仿宋"/>
          <w:b w:val="0"/>
          <w:bCs/>
          <w:color w:val="000000"/>
          <w:sz w:val="32"/>
          <w:szCs w:val="32"/>
        </w:rPr>
        <w:t>其他社会保障和就业支出</w:t>
      </w:r>
      <w:r>
        <w:rPr>
          <w:rStyle w:val="25"/>
          <w:rFonts w:hint="eastAsia" w:ascii="仿宋" w:hAnsi="仿宋" w:eastAsia="仿宋" w:cs="仿宋"/>
          <w:color w:val="000000"/>
          <w:sz w:val="32"/>
          <w:szCs w:val="32"/>
        </w:rPr>
        <w:t>（</w:t>
      </w:r>
      <w:r>
        <w:rPr>
          <w:rStyle w:val="25"/>
          <w:rFonts w:ascii="仿宋" w:hAnsi="仿宋" w:eastAsia="仿宋" w:cs="仿宋"/>
          <w:color w:val="000000"/>
          <w:sz w:val="32"/>
          <w:szCs w:val="32"/>
        </w:rPr>
        <w:t>208</w:t>
      </w:r>
      <w:r>
        <w:rPr>
          <w:rStyle w:val="25"/>
          <w:rFonts w:hint="eastAsia" w:ascii="仿宋" w:hAnsi="仿宋" w:eastAsia="仿宋" w:cs="仿宋"/>
          <w:color w:val="000000"/>
          <w:sz w:val="32"/>
          <w:szCs w:val="32"/>
          <w:lang w:val="en-US" w:eastAsia="zh-CN"/>
        </w:rPr>
        <w:t>99</w:t>
      </w:r>
      <w:r>
        <w:rPr>
          <w:rStyle w:val="25"/>
          <w:rFonts w:hint="eastAsia" w:ascii="仿宋" w:hAnsi="仿宋" w:eastAsia="仿宋" w:cs="仿宋"/>
          <w:color w:val="000000"/>
          <w:sz w:val="32"/>
          <w:szCs w:val="32"/>
        </w:rPr>
        <w:t>）</w:t>
      </w:r>
      <w:r>
        <w:rPr>
          <w:rStyle w:val="25"/>
          <w:rFonts w:hint="eastAsia" w:ascii="仿宋" w:hAnsi="仿宋" w:eastAsia="仿宋" w:cs="仿宋"/>
          <w:b w:val="0"/>
          <w:bCs/>
          <w:color w:val="000000"/>
          <w:sz w:val="32"/>
          <w:szCs w:val="32"/>
        </w:rPr>
        <w:t>其他社会保障和就业支出</w:t>
      </w:r>
      <w:r>
        <w:rPr>
          <w:rStyle w:val="25"/>
          <w:rFonts w:hint="eastAsia" w:ascii="仿宋" w:hAnsi="仿宋" w:eastAsia="仿宋" w:cs="仿宋"/>
          <w:color w:val="000000"/>
          <w:sz w:val="32"/>
          <w:szCs w:val="32"/>
        </w:rPr>
        <w:t>（</w:t>
      </w:r>
      <w:r>
        <w:rPr>
          <w:rStyle w:val="25"/>
          <w:rFonts w:ascii="仿宋" w:hAnsi="仿宋" w:eastAsia="仿宋" w:cs="仿宋"/>
          <w:color w:val="000000"/>
          <w:sz w:val="32"/>
          <w:szCs w:val="32"/>
        </w:rPr>
        <w:t>208</w:t>
      </w:r>
      <w:r>
        <w:rPr>
          <w:rStyle w:val="25"/>
          <w:rFonts w:hint="eastAsia" w:ascii="仿宋" w:hAnsi="仿宋" w:eastAsia="仿宋" w:cs="仿宋"/>
          <w:color w:val="000000"/>
          <w:sz w:val="32"/>
          <w:szCs w:val="32"/>
          <w:lang w:val="en-US" w:eastAsia="zh-CN"/>
        </w:rPr>
        <w:t>9999</w:t>
      </w:r>
      <w:r>
        <w:rPr>
          <w:rStyle w:val="25"/>
          <w:rFonts w:hint="eastAsia" w:ascii="仿宋" w:hAnsi="仿宋" w:eastAsia="仿宋" w:cs="仿宋"/>
          <w:color w:val="000000"/>
          <w:sz w:val="32"/>
          <w:szCs w:val="32"/>
        </w:rPr>
        <w:t>）</w:t>
      </w:r>
      <w:r>
        <w:rPr>
          <w:rStyle w:val="25"/>
          <w:rFonts w:ascii="仿宋" w:hAnsi="仿宋" w:eastAsia="仿宋" w:cs="仿宋"/>
          <w:color w:val="000000"/>
          <w:sz w:val="32"/>
          <w:szCs w:val="32"/>
        </w:rPr>
        <w:t>:</w:t>
      </w:r>
      <w:r>
        <w:rPr>
          <w:rStyle w:val="25"/>
          <w:rFonts w:ascii="仿宋" w:hAnsi="仿宋" w:eastAsia="仿宋" w:cs="仿宋"/>
          <w:b w:val="0"/>
          <w:bCs w:val="0"/>
          <w:color w:val="000000"/>
          <w:sz w:val="32"/>
          <w:szCs w:val="32"/>
        </w:rPr>
        <w:t xml:space="preserve"> </w:t>
      </w:r>
      <w:r>
        <w:rPr>
          <w:rStyle w:val="25"/>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0.73</w:t>
      </w:r>
      <w:r>
        <w:rPr>
          <w:rStyle w:val="25"/>
          <w:rFonts w:hint="eastAsia" w:ascii="仿宋" w:hAnsi="仿宋" w:eastAsia="仿宋" w:cs="仿宋"/>
          <w:b w:val="0"/>
          <w:bCs w:val="0"/>
          <w:color w:val="000000"/>
          <w:sz w:val="32"/>
          <w:szCs w:val="32"/>
        </w:rPr>
        <w:t>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rPr>
        <w:t>。</w:t>
      </w:r>
    </w:p>
    <w:p>
      <w:pPr>
        <w:spacing w:line="600" w:lineRule="exact"/>
        <w:ind w:firstLine="642" w:firstLineChars="200"/>
        <w:rPr>
          <w:rStyle w:val="25"/>
          <w:rFonts w:hint="eastAsia" w:ascii="仿宋" w:hAnsi="仿宋" w:eastAsia="仿宋" w:cs="仿宋"/>
          <w:b w:val="0"/>
          <w:bCs w:val="0"/>
          <w:color w:val="000000"/>
          <w:sz w:val="32"/>
          <w:szCs w:val="32"/>
        </w:rPr>
      </w:pPr>
      <w:r>
        <w:rPr>
          <w:rStyle w:val="25"/>
          <w:rFonts w:hint="eastAsia" w:ascii="仿宋" w:hAnsi="仿宋" w:eastAsia="仿宋" w:cs="仿宋"/>
          <w:color w:val="000000"/>
          <w:sz w:val="32"/>
          <w:szCs w:val="32"/>
          <w:lang w:val="en-US" w:eastAsia="zh-CN"/>
        </w:rPr>
        <w:t>3.</w:t>
      </w:r>
      <w:r>
        <w:rPr>
          <w:rStyle w:val="25"/>
          <w:rFonts w:hint="eastAsia" w:ascii="仿宋" w:hAnsi="仿宋" w:eastAsia="仿宋" w:cs="仿宋"/>
          <w:color w:val="000000"/>
          <w:sz w:val="32"/>
          <w:szCs w:val="32"/>
        </w:rPr>
        <w:t>卫生健康支出（</w:t>
      </w:r>
      <w:r>
        <w:rPr>
          <w:rStyle w:val="25"/>
          <w:rFonts w:ascii="仿宋" w:hAnsi="仿宋" w:eastAsia="仿宋" w:cs="仿宋"/>
          <w:color w:val="000000"/>
          <w:sz w:val="32"/>
          <w:szCs w:val="32"/>
        </w:rPr>
        <w:t>210</w:t>
      </w:r>
      <w:r>
        <w:rPr>
          <w:rStyle w:val="25"/>
          <w:rFonts w:hint="eastAsia" w:ascii="仿宋" w:hAnsi="仿宋" w:eastAsia="仿宋" w:cs="仿宋"/>
          <w:color w:val="000000"/>
          <w:sz w:val="32"/>
          <w:szCs w:val="32"/>
        </w:rPr>
        <w:t>）</w:t>
      </w:r>
      <w:r>
        <w:rPr>
          <w:rStyle w:val="25"/>
          <w:rFonts w:hint="eastAsia" w:ascii="仿宋" w:hAnsi="仿宋" w:eastAsia="仿宋" w:cs="仿宋"/>
          <w:b w:val="0"/>
          <w:bCs w:val="0"/>
          <w:color w:val="000000"/>
          <w:sz w:val="32"/>
          <w:szCs w:val="32"/>
        </w:rPr>
        <w:t>行政事业单位医疗</w:t>
      </w:r>
      <w:r>
        <w:rPr>
          <w:rStyle w:val="25"/>
          <w:rFonts w:hint="eastAsia" w:ascii="仿宋" w:hAnsi="仿宋" w:eastAsia="仿宋" w:cs="仿宋"/>
          <w:color w:val="000000"/>
          <w:sz w:val="32"/>
          <w:szCs w:val="32"/>
          <w:lang w:eastAsia="zh-CN"/>
        </w:rPr>
        <w:t>（</w:t>
      </w:r>
      <w:r>
        <w:rPr>
          <w:rStyle w:val="25"/>
          <w:rFonts w:hint="eastAsia" w:ascii="仿宋" w:hAnsi="仿宋" w:eastAsia="仿宋" w:cs="仿宋"/>
          <w:color w:val="000000"/>
          <w:sz w:val="32"/>
          <w:szCs w:val="32"/>
          <w:lang w:val="en-US" w:eastAsia="zh-CN"/>
        </w:rPr>
        <w:t>11</w:t>
      </w:r>
      <w:r>
        <w:rPr>
          <w:rStyle w:val="25"/>
          <w:rFonts w:hint="eastAsia" w:ascii="仿宋" w:hAnsi="仿宋" w:eastAsia="仿宋" w:cs="仿宋"/>
          <w:color w:val="000000"/>
          <w:sz w:val="32"/>
          <w:szCs w:val="32"/>
          <w:lang w:eastAsia="zh-CN"/>
        </w:rPr>
        <w:t>）</w:t>
      </w:r>
      <w:r>
        <w:rPr>
          <w:rStyle w:val="25"/>
          <w:rFonts w:ascii="仿宋" w:hAnsi="仿宋" w:eastAsia="仿宋" w:cs="仿宋"/>
          <w:color w:val="000000"/>
          <w:sz w:val="32"/>
          <w:szCs w:val="32"/>
        </w:rPr>
        <w:t>:</w:t>
      </w:r>
      <w:r>
        <w:rPr>
          <w:rStyle w:val="25"/>
          <w:rFonts w:hint="eastAsia" w:ascii="仿宋" w:hAnsi="仿宋" w:eastAsia="仿宋" w:cs="仿宋"/>
          <w:b w:val="0"/>
          <w:bCs w:val="0"/>
          <w:color w:val="000000"/>
          <w:sz w:val="32"/>
          <w:szCs w:val="32"/>
        </w:rPr>
        <w:t>支出决算为</w:t>
      </w:r>
      <w:r>
        <w:rPr>
          <w:rStyle w:val="25"/>
          <w:rFonts w:hint="eastAsia" w:ascii="仿宋" w:hAnsi="仿宋" w:eastAsia="仿宋"/>
          <w:b w:val="0"/>
          <w:bCs/>
          <w:color w:val="000000"/>
          <w:sz w:val="32"/>
          <w:szCs w:val="32"/>
          <w:lang w:val="en-US" w:eastAsia="zh-CN"/>
        </w:rPr>
        <w:t>8.84</w:t>
      </w:r>
      <w:r>
        <w:rPr>
          <w:rStyle w:val="25"/>
          <w:rFonts w:hint="eastAsia" w:ascii="仿宋" w:hAnsi="仿宋" w:eastAsia="仿宋" w:cs="仿宋"/>
          <w:b w:val="0"/>
          <w:bCs w:val="0"/>
          <w:color w:val="000000"/>
          <w:sz w:val="32"/>
          <w:szCs w:val="32"/>
        </w:rPr>
        <w:t>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rPr>
        <w:t>。</w:t>
      </w:r>
    </w:p>
    <w:p>
      <w:pPr>
        <w:spacing w:line="600" w:lineRule="exact"/>
        <w:ind w:firstLine="640" w:firstLineChars="200"/>
        <w:rPr>
          <w:rFonts w:ascii="仿宋" w:hAnsi="仿宋" w:eastAsia="仿宋"/>
          <w:b/>
          <w:bCs/>
          <w:color w:val="000000"/>
          <w:sz w:val="32"/>
          <w:szCs w:val="32"/>
        </w:rPr>
      </w:pPr>
      <w:r>
        <w:rPr>
          <w:rStyle w:val="25"/>
          <w:rFonts w:hint="eastAsia" w:ascii="仿宋" w:hAnsi="仿宋" w:eastAsia="仿宋" w:cs="仿宋"/>
          <w:b w:val="0"/>
          <w:bCs w:val="0"/>
          <w:color w:val="000000"/>
          <w:sz w:val="32"/>
          <w:szCs w:val="32"/>
          <w:lang w:eastAsia="zh-CN"/>
        </w:rPr>
        <w:t>行政单位医疗</w:t>
      </w:r>
      <w:r>
        <w:rPr>
          <w:rStyle w:val="25"/>
          <w:rFonts w:hint="eastAsia" w:ascii="仿宋" w:hAnsi="仿宋" w:eastAsia="仿宋" w:cs="仿宋"/>
          <w:color w:val="000000"/>
          <w:sz w:val="32"/>
          <w:szCs w:val="32"/>
          <w:lang w:eastAsia="zh-CN"/>
        </w:rPr>
        <w:t>（</w:t>
      </w:r>
      <w:r>
        <w:rPr>
          <w:rStyle w:val="25"/>
          <w:rFonts w:hint="eastAsia" w:ascii="仿宋" w:hAnsi="仿宋" w:eastAsia="仿宋" w:cs="仿宋"/>
          <w:color w:val="000000"/>
          <w:sz w:val="32"/>
          <w:szCs w:val="32"/>
          <w:lang w:val="en-US" w:eastAsia="zh-CN"/>
        </w:rPr>
        <w:t>2101101</w:t>
      </w:r>
      <w:r>
        <w:rPr>
          <w:rStyle w:val="25"/>
          <w:rFonts w:hint="eastAsia" w:ascii="仿宋" w:hAnsi="仿宋" w:eastAsia="仿宋" w:cs="仿宋"/>
          <w:color w:val="000000"/>
          <w:sz w:val="32"/>
          <w:szCs w:val="32"/>
          <w:lang w:eastAsia="zh-CN"/>
        </w:rPr>
        <w:t>）</w:t>
      </w:r>
      <w:r>
        <w:rPr>
          <w:rStyle w:val="25"/>
          <w:rFonts w:ascii="仿宋" w:hAnsi="仿宋" w:eastAsia="仿宋" w:cs="仿宋"/>
          <w:color w:val="000000"/>
          <w:sz w:val="32"/>
          <w:szCs w:val="32"/>
        </w:rPr>
        <w:t>:</w:t>
      </w:r>
      <w:r>
        <w:rPr>
          <w:rStyle w:val="25"/>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4.97</w:t>
      </w:r>
      <w:r>
        <w:rPr>
          <w:rStyle w:val="25"/>
          <w:rFonts w:hint="eastAsia" w:ascii="仿宋" w:hAnsi="仿宋" w:eastAsia="仿宋" w:cs="仿宋"/>
          <w:b w:val="0"/>
          <w:bCs w:val="0"/>
          <w:color w:val="000000"/>
          <w:sz w:val="32"/>
          <w:szCs w:val="32"/>
        </w:rPr>
        <w:t>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rPr>
        <w:t>。</w:t>
      </w:r>
    </w:p>
    <w:p>
      <w:pPr>
        <w:spacing w:line="600" w:lineRule="exact"/>
        <w:ind w:firstLine="640" w:firstLineChars="200"/>
      </w:pPr>
      <w:r>
        <w:rPr>
          <w:rStyle w:val="25"/>
          <w:rFonts w:hint="eastAsia" w:ascii="仿宋" w:hAnsi="仿宋" w:eastAsia="仿宋" w:cs="仿宋"/>
          <w:b w:val="0"/>
          <w:bCs w:val="0"/>
          <w:color w:val="000000"/>
          <w:sz w:val="32"/>
          <w:szCs w:val="32"/>
          <w:lang w:val="en-US" w:eastAsia="zh-CN"/>
        </w:rPr>
        <w:t>事业</w:t>
      </w:r>
      <w:r>
        <w:rPr>
          <w:rStyle w:val="25"/>
          <w:rFonts w:hint="eastAsia" w:ascii="仿宋" w:hAnsi="仿宋" w:eastAsia="仿宋" w:cs="仿宋"/>
          <w:b w:val="0"/>
          <w:bCs w:val="0"/>
          <w:color w:val="000000"/>
          <w:sz w:val="32"/>
          <w:szCs w:val="32"/>
          <w:lang w:eastAsia="zh-CN"/>
        </w:rPr>
        <w:t>单位医疗</w:t>
      </w:r>
      <w:r>
        <w:rPr>
          <w:rStyle w:val="25"/>
          <w:rFonts w:hint="eastAsia" w:ascii="仿宋" w:hAnsi="仿宋" w:eastAsia="仿宋" w:cs="仿宋"/>
          <w:color w:val="000000"/>
          <w:sz w:val="32"/>
          <w:szCs w:val="32"/>
          <w:lang w:eastAsia="zh-CN"/>
        </w:rPr>
        <w:t>（</w:t>
      </w:r>
      <w:r>
        <w:rPr>
          <w:rStyle w:val="25"/>
          <w:rFonts w:hint="eastAsia" w:ascii="仿宋" w:hAnsi="仿宋" w:eastAsia="仿宋" w:cs="仿宋"/>
          <w:color w:val="000000"/>
          <w:sz w:val="32"/>
          <w:szCs w:val="32"/>
          <w:lang w:val="en-US" w:eastAsia="zh-CN"/>
        </w:rPr>
        <w:t>2101102</w:t>
      </w:r>
      <w:r>
        <w:rPr>
          <w:rStyle w:val="25"/>
          <w:rFonts w:hint="eastAsia" w:ascii="仿宋" w:hAnsi="仿宋" w:eastAsia="仿宋" w:cs="仿宋"/>
          <w:color w:val="000000"/>
          <w:sz w:val="32"/>
          <w:szCs w:val="32"/>
          <w:lang w:eastAsia="zh-CN"/>
        </w:rPr>
        <w:t>）</w:t>
      </w:r>
      <w:r>
        <w:rPr>
          <w:rStyle w:val="25"/>
          <w:rFonts w:ascii="仿宋" w:hAnsi="仿宋" w:eastAsia="仿宋" w:cs="仿宋"/>
          <w:color w:val="000000"/>
          <w:sz w:val="32"/>
          <w:szCs w:val="32"/>
        </w:rPr>
        <w:t>:</w:t>
      </w:r>
      <w:r>
        <w:rPr>
          <w:rStyle w:val="25"/>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3.87</w:t>
      </w:r>
      <w:r>
        <w:rPr>
          <w:rStyle w:val="25"/>
          <w:rFonts w:hint="eastAsia" w:ascii="仿宋" w:hAnsi="仿宋" w:eastAsia="仿宋" w:cs="仿宋"/>
          <w:b w:val="0"/>
          <w:bCs w:val="0"/>
          <w:color w:val="000000"/>
          <w:sz w:val="32"/>
          <w:szCs w:val="32"/>
        </w:rPr>
        <w:t>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rPr>
        <w:t>。</w:t>
      </w:r>
    </w:p>
    <w:p>
      <w:pPr>
        <w:numPr>
          <w:ilvl w:val="0"/>
          <w:numId w:val="0"/>
        </w:numPr>
        <w:spacing w:line="600" w:lineRule="exact"/>
        <w:ind w:firstLine="642" w:firstLineChars="200"/>
        <w:rPr>
          <w:rStyle w:val="25"/>
          <w:rFonts w:hint="eastAsia" w:ascii="仿宋" w:hAnsi="仿宋" w:eastAsia="仿宋" w:cs="仿宋"/>
          <w:b w:val="0"/>
          <w:bCs w:val="0"/>
          <w:color w:val="000000"/>
          <w:sz w:val="32"/>
          <w:szCs w:val="32"/>
          <w:lang w:val="en-US" w:eastAsia="zh-CN"/>
        </w:rPr>
      </w:pPr>
      <w:r>
        <w:rPr>
          <w:rStyle w:val="25"/>
          <w:rFonts w:hint="eastAsia" w:ascii="仿宋" w:hAnsi="仿宋" w:eastAsia="仿宋" w:cs="仿宋"/>
          <w:color w:val="000000"/>
          <w:sz w:val="32"/>
          <w:szCs w:val="32"/>
          <w:lang w:val="en-US" w:eastAsia="zh-CN"/>
        </w:rPr>
        <w:t>4.</w:t>
      </w:r>
      <w:r>
        <w:rPr>
          <w:rStyle w:val="25"/>
          <w:rFonts w:hint="eastAsia" w:ascii="仿宋" w:hAnsi="仿宋" w:eastAsia="仿宋" w:cs="仿宋"/>
          <w:color w:val="000000"/>
          <w:sz w:val="32"/>
          <w:szCs w:val="32"/>
        </w:rPr>
        <w:t>农林水支出（</w:t>
      </w:r>
      <w:r>
        <w:rPr>
          <w:rStyle w:val="25"/>
          <w:rFonts w:ascii="仿宋" w:hAnsi="仿宋" w:eastAsia="仿宋" w:cs="仿宋"/>
          <w:color w:val="000000"/>
          <w:sz w:val="32"/>
          <w:szCs w:val="32"/>
        </w:rPr>
        <w:t>213</w:t>
      </w:r>
      <w:r>
        <w:rPr>
          <w:rStyle w:val="25"/>
          <w:rFonts w:hint="eastAsia" w:ascii="仿宋" w:hAnsi="仿宋" w:eastAsia="仿宋" w:cs="仿宋"/>
          <w:color w:val="000000"/>
          <w:sz w:val="32"/>
          <w:szCs w:val="32"/>
        </w:rPr>
        <w:t>）</w:t>
      </w:r>
      <w:r>
        <w:rPr>
          <w:rStyle w:val="25"/>
          <w:rFonts w:hint="eastAsia" w:ascii="仿宋" w:hAnsi="仿宋" w:eastAsia="仿宋" w:cs="仿宋"/>
          <w:b w:val="0"/>
          <w:bCs w:val="0"/>
          <w:color w:val="000000"/>
          <w:sz w:val="32"/>
          <w:szCs w:val="32"/>
          <w:lang w:val="en-US" w:eastAsia="zh-CN"/>
        </w:rPr>
        <w:t>扶贫</w:t>
      </w:r>
      <w:r>
        <w:rPr>
          <w:rStyle w:val="25"/>
          <w:rFonts w:hint="eastAsia" w:ascii="仿宋" w:hAnsi="仿宋" w:eastAsia="仿宋" w:cs="仿宋"/>
          <w:color w:val="000000"/>
          <w:sz w:val="32"/>
          <w:szCs w:val="32"/>
          <w:lang w:val="en-US" w:eastAsia="zh-CN"/>
        </w:rPr>
        <w:t>（05）</w:t>
      </w:r>
      <w:r>
        <w:rPr>
          <w:rStyle w:val="25"/>
          <w:rFonts w:hint="eastAsia" w:ascii="仿宋" w:hAnsi="仿宋" w:eastAsia="仿宋" w:cs="仿宋"/>
          <w:b w:val="0"/>
          <w:bCs w:val="0"/>
          <w:color w:val="000000"/>
          <w:sz w:val="32"/>
          <w:szCs w:val="32"/>
          <w:lang w:val="en-US" w:eastAsia="zh-CN"/>
        </w:rPr>
        <w:t>其他扶贫支出</w:t>
      </w:r>
      <w:r>
        <w:rPr>
          <w:rStyle w:val="25"/>
          <w:rFonts w:hint="eastAsia" w:ascii="仿宋" w:hAnsi="仿宋" w:eastAsia="仿宋" w:cs="仿宋"/>
          <w:color w:val="000000"/>
          <w:sz w:val="32"/>
          <w:szCs w:val="32"/>
          <w:lang w:val="en-US" w:eastAsia="zh-CN"/>
        </w:rPr>
        <w:t>（99）</w:t>
      </w:r>
      <w:r>
        <w:rPr>
          <w:rStyle w:val="25"/>
          <w:rFonts w:ascii="仿宋" w:hAnsi="仿宋" w:eastAsia="仿宋" w:cs="仿宋"/>
          <w:color w:val="000000"/>
          <w:sz w:val="32"/>
          <w:szCs w:val="32"/>
        </w:rPr>
        <w:t>:</w:t>
      </w:r>
      <w:r>
        <w:rPr>
          <w:rStyle w:val="25"/>
          <w:rFonts w:ascii="仿宋" w:hAnsi="仿宋" w:eastAsia="仿宋" w:cs="仿宋"/>
          <w:b w:val="0"/>
          <w:bCs w:val="0"/>
          <w:color w:val="000000"/>
          <w:sz w:val="32"/>
          <w:szCs w:val="32"/>
        </w:rPr>
        <w:t xml:space="preserve"> </w:t>
      </w:r>
      <w:r>
        <w:rPr>
          <w:rStyle w:val="25"/>
          <w:rFonts w:hint="eastAsia" w:ascii="仿宋" w:hAnsi="仿宋" w:eastAsia="仿宋" w:cs="仿宋"/>
          <w:b w:val="0"/>
          <w:bCs w:val="0"/>
          <w:color w:val="000000"/>
          <w:sz w:val="32"/>
          <w:szCs w:val="32"/>
          <w:lang w:val="en-US" w:eastAsia="zh-CN"/>
        </w:rPr>
        <w:t>支出决算为130.84万元，完成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lang w:val="en-US" w:eastAsia="zh-CN"/>
        </w:rPr>
        <w:t>。</w:t>
      </w:r>
    </w:p>
    <w:p>
      <w:pPr>
        <w:numPr>
          <w:ilvl w:val="0"/>
          <w:numId w:val="0"/>
        </w:numPr>
        <w:spacing w:line="600" w:lineRule="exact"/>
        <w:ind w:firstLine="642" w:firstLineChars="200"/>
        <w:rPr>
          <w:rStyle w:val="25"/>
          <w:rFonts w:hint="eastAsia" w:ascii="仿宋" w:hAnsi="仿宋" w:eastAsia="仿宋" w:cs="仿宋"/>
          <w:b w:val="0"/>
          <w:bCs w:val="0"/>
          <w:color w:val="000000"/>
          <w:sz w:val="32"/>
          <w:szCs w:val="32"/>
          <w:lang w:val="en-US" w:eastAsia="zh-CN"/>
        </w:rPr>
      </w:pPr>
      <w:r>
        <w:rPr>
          <w:rStyle w:val="25"/>
          <w:rFonts w:hint="eastAsia" w:ascii="仿宋" w:hAnsi="仿宋" w:eastAsia="仿宋" w:cs="仿宋"/>
          <w:color w:val="000000"/>
          <w:sz w:val="32"/>
          <w:szCs w:val="32"/>
          <w:lang w:val="en-US" w:eastAsia="zh-CN"/>
        </w:rPr>
        <w:t>5.资源勘探工业信息等支出</w:t>
      </w:r>
      <w:r>
        <w:rPr>
          <w:rStyle w:val="25"/>
          <w:rFonts w:hint="eastAsia" w:ascii="仿宋" w:hAnsi="仿宋" w:eastAsia="仿宋" w:cs="仿宋"/>
          <w:color w:val="000000"/>
          <w:sz w:val="32"/>
          <w:szCs w:val="32"/>
        </w:rPr>
        <w:t>（</w:t>
      </w:r>
      <w:r>
        <w:rPr>
          <w:rStyle w:val="25"/>
          <w:rFonts w:ascii="仿宋" w:hAnsi="仿宋" w:eastAsia="仿宋" w:cs="仿宋"/>
          <w:color w:val="000000"/>
          <w:sz w:val="32"/>
          <w:szCs w:val="32"/>
        </w:rPr>
        <w:t>21</w:t>
      </w:r>
      <w:r>
        <w:rPr>
          <w:rStyle w:val="25"/>
          <w:rFonts w:hint="eastAsia" w:ascii="仿宋" w:hAnsi="仿宋" w:eastAsia="仿宋" w:cs="仿宋"/>
          <w:color w:val="000000"/>
          <w:sz w:val="32"/>
          <w:szCs w:val="32"/>
          <w:lang w:val="en-US" w:eastAsia="zh-CN"/>
        </w:rPr>
        <w:t>5</w:t>
      </w:r>
      <w:r>
        <w:rPr>
          <w:rStyle w:val="25"/>
          <w:rFonts w:hint="eastAsia" w:ascii="仿宋" w:hAnsi="仿宋" w:eastAsia="仿宋" w:cs="仿宋"/>
          <w:color w:val="000000"/>
          <w:sz w:val="32"/>
          <w:szCs w:val="32"/>
        </w:rPr>
        <w:t>）</w:t>
      </w:r>
      <w:r>
        <w:rPr>
          <w:rStyle w:val="25"/>
          <w:rFonts w:hint="eastAsia" w:ascii="仿宋" w:hAnsi="仿宋" w:eastAsia="仿宋" w:cs="仿宋"/>
          <w:b w:val="0"/>
          <w:bCs/>
          <w:color w:val="000000"/>
          <w:sz w:val="32"/>
          <w:szCs w:val="32"/>
        </w:rPr>
        <w:t>支持中小企业发展和管理支出</w:t>
      </w:r>
      <w:r>
        <w:rPr>
          <w:rStyle w:val="25"/>
          <w:rFonts w:hint="eastAsia" w:ascii="仿宋" w:hAnsi="仿宋" w:eastAsia="仿宋" w:cs="仿宋"/>
          <w:color w:val="000000"/>
          <w:sz w:val="32"/>
          <w:szCs w:val="32"/>
          <w:lang w:val="en-US" w:eastAsia="zh-CN"/>
        </w:rPr>
        <w:t>（08）</w:t>
      </w:r>
      <w:r>
        <w:rPr>
          <w:rStyle w:val="25"/>
          <w:rFonts w:hint="eastAsia" w:ascii="仿宋" w:hAnsi="仿宋" w:eastAsia="仿宋" w:cs="仿宋"/>
          <w:b w:val="0"/>
          <w:bCs w:val="0"/>
          <w:color w:val="000000"/>
          <w:sz w:val="32"/>
          <w:szCs w:val="32"/>
          <w:lang w:val="en-US" w:eastAsia="zh-CN"/>
        </w:rPr>
        <w:t>中小企业发展专项</w:t>
      </w:r>
      <w:r>
        <w:rPr>
          <w:rStyle w:val="25"/>
          <w:rFonts w:hint="eastAsia" w:ascii="仿宋" w:hAnsi="仿宋" w:eastAsia="仿宋" w:cs="仿宋"/>
          <w:color w:val="000000"/>
          <w:sz w:val="32"/>
          <w:szCs w:val="32"/>
          <w:lang w:val="en-US" w:eastAsia="zh-CN"/>
        </w:rPr>
        <w:t>（05）</w:t>
      </w:r>
      <w:r>
        <w:rPr>
          <w:rStyle w:val="25"/>
          <w:rFonts w:ascii="仿宋" w:hAnsi="仿宋" w:eastAsia="仿宋" w:cs="仿宋"/>
          <w:color w:val="000000"/>
          <w:sz w:val="32"/>
          <w:szCs w:val="32"/>
        </w:rPr>
        <w:t>:</w:t>
      </w:r>
      <w:r>
        <w:rPr>
          <w:rStyle w:val="25"/>
          <w:rFonts w:ascii="仿宋" w:hAnsi="仿宋" w:eastAsia="仿宋" w:cs="仿宋"/>
          <w:b w:val="0"/>
          <w:bCs w:val="0"/>
          <w:color w:val="000000"/>
          <w:sz w:val="32"/>
          <w:szCs w:val="32"/>
        </w:rPr>
        <w:t xml:space="preserve"> </w:t>
      </w:r>
      <w:r>
        <w:rPr>
          <w:rStyle w:val="25"/>
          <w:rFonts w:hint="eastAsia" w:ascii="仿宋" w:hAnsi="仿宋" w:eastAsia="仿宋" w:cs="仿宋"/>
          <w:b w:val="0"/>
          <w:bCs w:val="0"/>
          <w:color w:val="000000"/>
          <w:sz w:val="32"/>
          <w:szCs w:val="32"/>
          <w:lang w:val="en-US" w:eastAsia="zh-CN"/>
        </w:rPr>
        <w:t>支出决算为9万元，完成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lang w:val="en-US" w:eastAsia="zh-CN"/>
        </w:rPr>
        <w:t>。</w:t>
      </w:r>
    </w:p>
    <w:p>
      <w:pPr>
        <w:spacing w:line="600" w:lineRule="exact"/>
        <w:ind w:firstLine="642" w:firstLineChars="200"/>
        <w:rPr>
          <w:rFonts w:hint="eastAsia" w:ascii="仿宋" w:hAnsi="仿宋" w:eastAsia="仿宋" w:cs="仿宋"/>
          <w:b w:val="0"/>
          <w:bCs/>
          <w:color w:val="000000"/>
          <w:kern w:val="2"/>
          <w:sz w:val="32"/>
          <w:szCs w:val="32"/>
          <w:lang w:val="en-US" w:eastAsia="zh-CN" w:bidi="ar"/>
        </w:rPr>
      </w:pPr>
      <w:r>
        <w:rPr>
          <w:rStyle w:val="25"/>
          <w:rFonts w:hint="eastAsia" w:ascii="仿宋" w:hAnsi="仿宋" w:eastAsia="仿宋" w:cs="仿宋"/>
          <w:color w:val="000000"/>
          <w:sz w:val="32"/>
          <w:szCs w:val="32"/>
          <w:lang w:val="en-US" w:eastAsia="zh-CN"/>
        </w:rPr>
        <w:t>6.</w:t>
      </w:r>
      <w:r>
        <w:rPr>
          <w:rFonts w:hint="eastAsia" w:ascii="仿宋" w:hAnsi="仿宋" w:eastAsia="仿宋"/>
          <w:b/>
          <w:bCs/>
          <w:color w:val="000000"/>
          <w:sz w:val="32"/>
          <w:szCs w:val="32"/>
          <w:u w:val="none"/>
        </w:rPr>
        <w:t>商业服务业等支出（216）：</w:t>
      </w:r>
      <w:r>
        <w:rPr>
          <w:rStyle w:val="25"/>
          <w:rFonts w:hint="eastAsia" w:ascii="仿宋" w:hAnsi="仿宋" w:eastAsia="仿宋"/>
          <w:b w:val="0"/>
          <w:bCs/>
          <w:color w:val="000000"/>
          <w:sz w:val="32"/>
          <w:szCs w:val="32"/>
          <w:u w:val="none"/>
        </w:rPr>
        <w:t>支出决算为</w:t>
      </w:r>
      <w:r>
        <w:rPr>
          <w:rFonts w:hint="eastAsia" w:ascii="仿宋" w:hAnsi="仿宋" w:eastAsia="仿宋"/>
          <w:color w:val="000000"/>
          <w:sz w:val="32"/>
          <w:szCs w:val="32"/>
          <w:u w:val="none"/>
          <w:lang w:val="en-US" w:eastAsia="zh-CN"/>
        </w:rPr>
        <w:t>1754.39</w:t>
      </w:r>
      <w:r>
        <w:rPr>
          <w:rStyle w:val="25"/>
          <w:rFonts w:hint="eastAsia" w:ascii="仿宋" w:hAnsi="仿宋" w:eastAsia="仿宋"/>
          <w:b w:val="0"/>
          <w:bCs/>
          <w:color w:val="000000"/>
          <w:sz w:val="32"/>
          <w:szCs w:val="32"/>
          <w:u w:val="none"/>
        </w:rPr>
        <w:t>万元，完成预算</w:t>
      </w:r>
      <w:r>
        <w:rPr>
          <w:rStyle w:val="25"/>
          <w:rFonts w:hint="eastAsia" w:ascii="仿宋" w:hAnsi="仿宋" w:eastAsia="仿宋"/>
          <w:b w:val="0"/>
          <w:bCs/>
          <w:color w:val="000000"/>
          <w:sz w:val="32"/>
          <w:szCs w:val="32"/>
          <w:u w:val="none"/>
          <w:lang w:val="en-US" w:eastAsia="zh-CN"/>
        </w:rPr>
        <w:t>100</w:t>
      </w:r>
      <w:r>
        <w:rPr>
          <w:rStyle w:val="25"/>
          <w:rFonts w:ascii="仿宋" w:hAnsi="仿宋" w:eastAsia="仿宋"/>
          <w:b w:val="0"/>
          <w:bCs/>
          <w:color w:val="000000"/>
          <w:sz w:val="32"/>
          <w:szCs w:val="32"/>
          <w:u w:val="none"/>
        </w:rPr>
        <w:t>%</w:t>
      </w:r>
      <w:r>
        <w:rPr>
          <w:rFonts w:hint="eastAsia" w:ascii="仿宋" w:hAnsi="仿宋" w:eastAsia="仿宋" w:cs="仿宋"/>
          <w:b w:val="0"/>
          <w:bCs/>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商业流通事务（216</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（2160201）：</w:t>
      </w:r>
      <w:r>
        <w:rPr>
          <w:rStyle w:val="60"/>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b w:val="0"/>
          <w:bCs w:val="0"/>
          <w:color w:val="000000"/>
          <w:kern w:val="2"/>
          <w:sz w:val="32"/>
          <w:szCs w:val="32"/>
          <w:lang w:val="en-US" w:eastAsia="zh-CN" w:bidi="ar"/>
        </w:rPr>
        <w:t>116.09</w:t>
      </w:r>
      <w:r>
        <w:rPr>
          <w:rStyle w:val="60"/>
          <w:rFonts w:hint="eastAsia" w:ascii="仿宋" w:hAnsi="仿宋" w:eastAsia="仿宋" w:cs="仿宋"/>
          <w:b w:val="0"/>
          <w:bCs w:val="0"/>
          <w:color w:val="000000"/>
          <w:kern w:val="2"/>
          <w:sz w:val="32"/>
          <w:szCs w:val="32"/>
          <w:lang w:val="en-US" w:eastAsia="zh-CN" w:bidi="ar"/>
        </w:rPr>
        <w:t>万元，完成预算100%</w:t>
      </w:r>
      <w:r>
        <w:rPr>
          <w:rFonts w:hint="eastAsia" w:ascii="仿宋_GB2312" w:hAnsi="Calibri" w:eastAsia="仿宋_GB2312" w:cs="仿宋_GB2312"/>
          <w:b w:val="0"/>
          <w:bCs w:val="0"/>
          <w:color w:val="000000"/>
          <w:kern w:val="0"/>
          <w:sz w:val="32"/>
          <w:szCs w:val="32"/>
          <w:lang w:val="en-US" w:eastAsia="zh-CN" w:bidi="ar"/>
        </w:rPr>
        <w:t>。</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（21602）</w:t>
      </w: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（2160202）：</w:t>
      </w:r>
      <w:r>
        <w:rPr>
          <w:rFonts w:hint="eastAsia" w:ascii="仿宋" w:hAnsi="仿宋" w:eastAsia="仿宋" w:cs="仿宋"/>
          <w:b w:val="0"/>
          <w:bCs w:val="0"/>
          <w:color w:val="000000"/>
          <w:kern w:val="2"/>
          <w:sz w:val="32"/>
          <w:szCs w:val="32"/>
          <w:lang w:val="en-US" w:eastAsia="zh-CN" w:bidi="ar"/>
        </w:rPr>
        <w:t>支出决算为45.46万元，</w:t>
      </w:r>
      <w:r>
        <w:rPr>
          <w:rStyle w:val="60"/>
          <w:rFonts w:hint="eastAsia" w:ascii="仿宋" w:hAnsi="仿宋" w:eastAsia="仿宋" w:cs="仿宋"/>
          <w:b w:val="0"/>
          <w:bCs w:val="0"/>
          <w:color w:val="000000"/>
          <w:kern w:val="2"/>
          <w:sz w:val="32"/>
          <w:szCs w:val="32"/>
          <w:lang w:val="en-US" w:eastAsia="zh-CN" w:bidi="ar"/>
        </w:rPr>
        <w:t>完成预算100%</w:t>
      </w:r>
      <w:r>
        <w:rPr>
          <w:rFonts w:hint="eastAsia" w:ascii="仿宋_GB2312" w:hAnsi="Calibri" w:eastAsia="仿宋_GB2312" w:cs="仿宋_GB2312"/>
          <w:b w:val="0"/>
          <w:bCs w:val="0"/>
          <w:color w:val="000000"/>
          <w:kern w:val="0"/>
          <w:sz w:val="32"/>
          <w:szCs w:val="32"/>
          <w:lang w:val="en-US" w:eastAsia="zh-CN" w:bidi="ar"/>
        </w:rPr>
        <w:t>。</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（21602）</w:t>
      </w: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（2160250）：</w:t>
      </w:r>
      <w:r>
        <w:rPr>
          <w:rFonts w:hint="eastAsia" w:ascii="仿宋" w:hAnsi="仿宋" w:eastAsia="仿宋" w:cs="仿宋"/>
          <w:b w:val="0"/>
          <w:bCs w:val="0"/>
          <w:color w:val="000000"/>
          <w:kern w:val="2"/>
          <w:sz w:val="32"/>
          <w:szCs w:val="32"/>
          <w:lang w:val="en-US" w:eastAsia="zh-CN" w:bidi="ar"/>
        </w:rPr>
        <w:t>支出决算为83.25万元，</w:t>
      </w:r>
      <w:r>
        <w:rPr>
          <w:rStyle w:val="60"/>
          <w:rFonts w:hint="eastAsia" w:ascii="仿宋" w:hAnsi="仿宋" w:eastAsia="仿宋" w:cs="仿宋"/>
          <w:b w:val="0"/>
          <w:bCs w:val="0"/>
          <w:color w:val="000000"/>
          <w:kern w:val="2"/>
          <w:sz w:val="32"/>
          <w:szCs w:val="32"/>
          <w:lang w:val="en-US" w:eastAsia="zh-CN" w:bidi="ar"/>
        </w:rPr>
        <w:t>完成预算100%</w:t>
      </w:r>
      <w:r>
        <w:rPr>
          <w:rFonts w:hint="eastAsia" w:ascii="仿宋" w:hAnsi="仿宋" w:eastAsia="仿宋" w:cs="仿宋"/>
          <w:kern w:val="2"/>
          <w:sz w:val="32"/>
          <w:szCs w:val="32"/>
          <w:lang w:val="en-US" w:eastAsia="zh-CN" w:bidi="ar-SA"/>
        </w:rPr>
        <w:t>。</w:t>
      </w:r>
      <w:r>
        <w:rPr>
          <w:rFonts w:hint="eastAsia" w:ascii="仿宋_GB2312" w:hAnsi="Calibri" w:eastAsia="仿宋_GB2312" w:cs="仿宋_GB2312"/>
          <w:b w:val="0"/>
          <w:bCs w:val="0"/>
          <w:color w:val="000000"/>
          <w:kern w:val="0"/>
          <w:sz w:val="32"/>
          <w:szCs w:val="32"/>
          <w:lang w:val="en-US" w:eastAsia="zh-CN" w:bidi="ar"/>
        </w:rPr>
        <w:tab/>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（21602）</w:t>
      </w: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spacing w:val="1"/>
          <w:w w:val="47"/>
          <w:kern w:val="0"/>
          <w:sz w:val="32"/>
          <w:szCs w:val="32"/>
          <w:fitText w:val="832" w:id="322142036"/>
          <w:lang w:val="en-US" w:eastAsia="zh-CN" w:bidi="ar"/>
        </w:rPr>
        <w:t>（2160299</w:t>
      </w:r>
      <w:r>
        <w:rPr>
          <w:rFonts w:hint="eastAsia" w:ascii="仿宋_GB2312" w:hAnsi="Calibri" w:eastAsia="仿宋_GB2312" w:cs="仿宋_GB2312"/>
          <w:b/>
          <w:bCs/>
          <w:color w:val="000000"/>
          <w:spacing w:val="-1"/>
          <w:w w:val="47"/>
          <w:kern w:val="0"/>
          <w:sz w:val="32"/>
          <w:szCs w:val="32"/>
          <w:fitText w:val="832" w:id="322142036"/>
          <w:lang w:val="en-US" w:eastAsia="zh-CN" w:bidi="ar"/>
        </w:rPr>
        <w:t>）</w:t>
      </w:r>
      <w:r>
        <w:rPr>
          <w:rFonts w:hint="eastAsia" w:ascii="仿宋_GB2312" w:hAnsi="Calibri" w:eastAsia="仿宋_GB2312" w:cs="仿宋_GB2312"/>
          <w:b/>
          <w:bCs/>
          <w:color w:val="000000"/>
          <w:kern w:val="0"/>
          <w:sz w:val="32"/>
          <w:szCs w:val="32"/>
          <w:lang w:val="en-US" w:eastAsia="zh-CN" w:bidi="ar"/>
        </w:rPr>
        <w:t>：</w:t>
      </w:r>
      <w:r>
        <w:rPr>
          <w:rFonts w:hint="eastAsia" w:ascii="仿宋" w:hAnsi="仿宋" w:eastAsia="仿宋" w:cs="仿宋"/>
          <w:b w:val="0"/>
          <w:bCs w:val="0"/>
          <w:color w:val="000000"/>
          <w:kern w:val="2"/>
          <w:sz w:val="32"/>
          <w:szCs w:val="32"/>
          <w:lang w:val="en-US" w:eastAsia="zh-CN" w:bidi="ar"/>
        </w:rPr>
        <w:t>支出决算为467.72万元，</w:t>
      </w:r>
      <w:r>
        <w:rPr>
          <w:rStyle w:val="60"/>
          <w:rFonts w:hint="eastAsia" w:ascii="仿宋" w:hAnsi="仿宋" w:eastAsia="仿宋" w:cs="仿宋"/>
          <w:b w:val="0"/>
          <w:bCs w:val="0"/>
          <w:color w:val="000000"/>
          <w:kern w:val="2"/>
          <w:sz w:val="32"/>
          <w:szCs w:val="32"/>
          <w:lang w:val="en-US" w:eastAsia="zh-CN" w:bidi="ar"/>
        </w:rPr>
        <w:t>完成预算100%</w:t>
      </w:r>
      <w:r>
        <w:rPr>
          <w:rFonts w:hint="eastAsia" w:ascii="仿宋_GB2312" w:hAnsi="Calibri" w:eastAsia="仿宋_GB2312" w:cs="仿宋_GB2312"/>
          <w:color w:val="000000"/>
          <w:kern w:val="0"/>
          <w:sz w:val="32"/>
          <w:szCs w:val="32"/>
          <w:lang w:val="en-US" w:eastAsia="zh-CN" w:bidi="ar"/>
        </w:rPr>
        <w:t>。</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涉外发展服务支出</w:t>
      </w:r>
      <w:r>
        <w:rPr>
          <w:rFonts w:hint="eastAsia" w:ascii="仿宋_GB2312" w:hAnsi="Calibri" w:eastAsia="仿宋_GB2312" w:cs="仿宋_GB2312"/>
          <w:b/>
          <w:bCs/>
          <w:color w:val="000000"/>
          <w:kern w:val="0"/>
          <w:sz w:val="32"/>
          <w:szCs w:val="32"/>
          <w:lang w:val="en-US" w:eastAsia="zh-CN" w:bidi="ar"/>
        </w:rPr>
        <w:t>（21606）</w:t>
      </w:r>
      <w:r>
        <w:rPr>
          <w:rFonts w:hint="eastAsia" w:ascii="仿宋_GB2312" w:hAnsi="Calibri" w:eastAsia="仿宋_GB2312" w:cs="仿宋_GB2312"/>
          <w:color w:val="000000"/>
          <w:spacing w:val="1"/>
          <w:w w:val="78"/>
          <w:kern w:val="0"/>
          <w:sz w:val="32"/>
          <w:szCs w:val="32"/>
          <w:fitText w:val="2253" w:id="1643788542"/>
          <w:lang w:val="en-US" w:eastAsia="zh-CN" w:bidi="ar"/>
        </w:rPr>
        <w:t>其他涉外发展服务</w:t>
      </w:r>
      <w:r>
        <w:rPr>
          <w:rFonts w:hint="eastAsia" w:ascii="仿宋_GB2312" w:hAnsi="Calibri" w:eastAsia="仿宋_GB2312" w:cs="仿宋_GB2312"/>
          <w:color w:val="000000"/>
          <w:spacing w:val="5"/>
          <w:w w:val="78"/>
          <w:kern w:val="0"/>
          <w:sz w:val="32"/>
          <w:szCs w:val="32"/>
          <w:fitText w:val="2253" w:id="1643788542"/>
          <w:lang w:val="en-US" w:eastAsia="zh-CN" w:bidi="ar"/>
        </w:rPr>
        <w:t>支</w:t>
      </w:r>
      <w:r>
        <w:rPr>
          <w:rFonts w:hint="eastAsia" w:ascii="仿宋_GB2312" w:hAnsi="Calibri" w:eastAsia="仿宋_GB2312" w:cs="仿宋_GB2312"/>
          <w:b/>
          <w:bCs/>
          <w:color w:val="000000"/>
          <w:kern w:val="0"/>
          <w:sz w:val="32"/>
          <w:szCs w:val="32"/>
          <w:lang w:val="en-US" w:eastAsia="zh-CN" w:bidi="ar"/>
        </w:rPr>
        <w:t>（2160699）：</w:t>
      </w:r>
      <w:r>
        <w:rPr>
          <w:rFonts w:hint="eastAsia" w:ascii="仿宋" w:hAnsi="仿宋" w:eastAsia="仿宋" w:cs="仿宋"/>
          <w:b w:val="0"/>
          <w:bCs w:val="0"/>
          <w:color w:val="000000"/>
          <w:kern w:val="2"/>
          <w:sz w:val="32"/>
          <w:szCs w:val="32"/>
          <w:lang w:val="en-US" w:eastAsia="zh-CN" w:bidi="ar"/>
        </w:rPr>
        <w:t>支出决算为820万元，</w:t>
      </w:r>
      <w:r>
        <w:rPr>
          <w:rStyle w:val="60"/>
          <w:rFonts w:hint="eastAsia" w:ascii="仿宋" w:hAnsi="仿宋" w:eastAsia="仿宋" w:cs="仿宋"/>
          <w:b w:val="0"/>
          <w:bCs w:val="0"/>
          <w:color w:val="000000"/>
          <w:kern w:val="2"/>
          <w:sz w:val="32"/>
          <w:szCs w:val="32"/>
          <w:lang w:val="en-US" w:eastAsia="zh-CN" w:bidi="ar"/>
        </w:rPr>
        <w:t>完成预算100%</w:t>
      </w:r>
      <w:r>
        <w:rPr>
          <w:rFonts w:hint="eastAsia" w:ascii="仿宋_GB2312" w:hAnsi="Calibri" w:eastAsia="仿宋_GB2312" w:cs="仿宋_GB2312"/>
          <w:color w:val="000000"/>
          <w:kern w:val="0"/>
          <w:sz w:val="32"/>
          <w:szCs w:val="32"/>
          <w:lang w:val="en-US" w:eastAsia="zh-CN" w:bidi="ar"/>
        </w:rPr>
        <w:t>。</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52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b w:val="0"/>
          <w:bCs w:val="0"/>
          <w:color w:val="000000"/>
          <w:spacing w:val="1"/>
          <w:w w:val="81"/>
          <w:kern w:val="0"/>
          <w:sz w:val="32"/>
          <w:szCs w:val="32"/>
          <w:fitText w:val="2592" w:id="2048293385"/>
          <w:lang w:val="en-US" w:eastAsia="zh-CN" w:bidi="ar"/>
        </w:rPr>
        <w:t>其他商业服务业等支</w:t>
      </w:r>
      <w:r>
        <w:rPr>
          <w:rFonts w:hint="eastAsia" w:ascii="仿宋_GB2312" w:hAnsi="Calibri" w:eastAsia="仿宋_GB2312" w:cs="仿宋_GB2312"/>
          <w:b w:val="0"/>
          <w:bCs w:val="0"/>
          <w:color w:val="000000"/>
          <w:spacing w:val="0"/>
          <w:w w:val="81"/>
          <w:kern w:val="0"/>
          <w:sz w:val="32"/>
          <w:szCs w:val="32"/>
          <w:fitText w:val="2592" w:id="2048293385"/>
          <w:lang w:val="en-US" w:eastAsia="zh-CN" w:bidi="ar"/>
        </w:rPr>
        <w:t>出</w:t>
      </w:r>
      <w:r>
        <w:rPr>
          <w:rFonts w:hint="eastAsia" w:ascii="仿宋_GB2312" w:hAnsi="Calibri" w:eastAsia="仿宋_GB2312" w:cs="仿宋_GB2312"/>
          <w:b/>
          <w:bCs/>
          <w:color w:val="000000"/>
          <w:kern w:val="0"/>
          <w:sz w:val="32"/>
          <w:szCs w:val="32"/>
          <w:lang w:val="en-US" w:eastAsia="zh-CN" w:bidi="ar"/>
        </w:rPr>
        <w:t>（21699）</w:t>
      </w:r>
      <w:r>
        <w:rPr>
          <w:rFonts w:hint="eastAsia" w:ascii="仿宋_GB2312" w:hAnsi="Calibri" w:eastAsia="仿宋_GB2312" w:cs="仿宋_GB2312"/>
          <w:color w:val="000000"/>
          <w:spacing w:val="1"/>
          <w:w w:val="63"/>
          <w:kern w:val="0"/>
          <w:sz w:val="32"/>
          <w:szCs w:val="32"/>
          <w:fitText w:val="2016" w:id="1699314390"/>
          <w:lang w:val="en-US" w:eastAsia="zh-CN" w:bidi="ar"/>
        </w:rPr>
        <w:t>其他商业服务业等支</w:t>
      </w:r>
      <w:r>
        <w:rPr>
          <w:rFonts w:hint="eastAsia" w:ascii="仿宋_GB2312" w:hAnsi="Calibri" w:eastAsia="仿宋_GB2312" w:cs="仿宋_GB2312"/>
          <w:color w:val="000000"/>
          <w:spacing w:val="0"/>
          <w:w w:val="63"/>
          <w:kern w:val="0"/>
          <w:sz w:val="32"/>
          <w:szCs w:val="32"/>
          <w:fitText w:val="2016" w:id="1699314390"/>
          <w:lang w:val="en-US" w:eastAsia="zh-CN" w:bidi="ar"/>
        </w:rPr>
        <w:t>出</w:t>
      </w:r>
      <w:r>
        <w:rPr>
          <w:rFonts w:hint="eastAsia" w:ascii="仿宋_GB2312" w:hAnsi="Calibri" w:eastAsia="仿宋_GB2312" w:cs="仿宋_GB2312"/>
          <w:b/>
          <w:bCs/>
          <w:color w:val="000000"/>
          <w:spacing w:val="1"/>
          <w:w w:val="81"/>
          <w:kern w:val="0"/>
          <w:sz w:val="32"/>
          <w:szCs w:val="32"/>
          <w:fitText w:val="1440" w:id="1586504697"/>
          <w:lang w:val="en-US" w:eastAsia="zh-CN" w:bidi="ar"/>
        </w:rPr>
        <w:t>（2160699</w:t>
      </w:r>
      <w:r>
        <w:rPr>
          <w:rFonts w:hint="eastAsia" w:ascii="仿宋_GB2312" w:hAnsi="Calibri" w:eastAsia="仿宋_GB2312" w:cs="仿宋_GB2312"/>
          <w:b/>
          <w:bCs/>
          <w:color w:val="000000"/>
          <w:spacing w:val="3"/>
          <w:w w:val="81"/>
          <w:kern w:val="0"/>
          <w:sz w:val="32"/>
          <w:szCs w:val="32"/>
          <w:fitText w:val="1440" w:id="1586504697"/>
          <w:lang w:val="en-US" w:eastAsia="zh-CN" w:bidi="ar"/>
        </w:rPr>
        <w:t>）</w:t>
      </w:r>
      <w:r>
        <w:rPr>
          <w:rFonts w:hint="eastAsia" w:ascii="仿宋_GB2312" w:hAnsi="Calibri" w:eastAsia="仿宋_GB2312" w:cs="仿宋_GB2312"/>
          <w:b/>
          <w:bCs/>
          <w:color w:val="000000"/>
          <w:kern w:val="0"/>
          <w:sz w:val="32"/>
          <w:szCs w:val="32"/>
          <w:lang w:val="en-US" w:eastAsia="zh-CN" w:bidi="ar"/>
        </w:rPr>
        <w:t>：</w:t>
      </w:r>
      <w:r>
        <w:rPr>
          <w:rFonts w:hint="eastAsia" w:ascii="仿宋" w:hAnsi="仿宋" w:eastAsia="仿宋" w:cs="仿宋"/>
          <w:b w:val="0"/>
          <w:bCs w:val="0"/>
          <w:color w:val="000000"/>
          <w:kern w:val="2"/>
          <w:sz w:val="32"/>
          <w:szCs w:val="32"/>
          <w:lang w:val="en-US" w:eastAsia="zh-CN" w:bidi="ar"/>
        </w:rPr>
        <w:t>支出决算为221.87万元，</w:t>
      </w:r>
      <w:r>
        <w:rPr>
          <w:rStyle w:val="60"/>
          <w:rFonts w:hint="eastAsia" w:ascii="仿宋" w:hAnsi="仿宋" w:eastAsia="仿宋" w:cs="仿宋"/>
          <w:b w:val="0"/>
          <w:bCs w:val="0"/>
          <w:color w:val="000000"/>
          <w:kern w:val="2"/>
          <w:sz w:val="32"/>
          <w:szCs w:val="32"/>
          <w:lang w:val="en-US" w:eastAsia="zh-CN" w:bidi="ar"/>
        </w:rPr>
        <w:t>完成预算100%</w:t>
      </w:r>
      <w:r>
        <w:rPr>
          <w:rFonts w:hint="eastAsia" w:ascii="仿宋_GB2312" w:hAnsi="Calibri" w:eastAsia="仿宋_GB2312" w:cs="仿宋_GB2312"/>
          <w:color w:val="000000"/>
          <w:kern w:val="0"/>
          <w:sz w:val="32"/>
          <w:szCs w:val="32"/>
          <w:lang w:val="en-US" w:eastAsia="zh-CN" w:bidi="ar"/>
        </w:rPr>
        <w:t>。</w:t>
      </w:r>
    </w:p>
    <w:p>
      <w:pPr>
        <w:spacing w:line="600" w:lineRule="exact"/>
        <w:ind w:firstLine="642" w:firstLineChars="200"/>
      </w:pPr>
      <w:r>
        <w:rPr>
          <w:rStyle w:val="25"/>
          <w:rFonts w:hint="eastAsia" w:ascii="仿宋" w:hAnsi="仿宋" w:eastAsia="仿宋" w:cs="仿宋"/>
          <w:color w:val="000000"/>
          <w:sz w:val="32"/>
          <w:szCs w:val="32"/>
          <w:lang w:val="en-US" w:eastAsia="zh-CN"/>
        </w:rPr>
        <w:t>7.住房保障支出（221）</w:t>
      </w:r>
      <w:r>
        <w:rPr>
          <w:rStyle w:val="25"/>
          <w:rFonts w:hint="eastAsia" w:ascii="仿宋" w:hAnsi="仿宋" w:eastAsia="仿宋" w:cs="仿宋"/>
          <w:b w:val="0"/>
          <w:bCs w:val="0"/>
          <w:color w:val="000000"/>
          <w:sz w:val="32"/>
          <w:szCs w:val="32"/>
          <w:lang w:val="en-US" w:eastAsia="zh-CN"/>
        </w:rPr>
        <w:t>住房改革支出</w:t>
      </w:r>
      <w:r>
        <w:rPr>
          <w:rStyle w:val="25"/>
          <w:rFonts w:hint="eastAsia" w:ascii="仿宋" w:hAnsi="仿宋" w:eastAsia="仿宋" w:cs="仿宋"/>
          <w:color w:val="000000"/>
          <w:sz w:val="32"/>
          <w:szCs w:val="32"/>
          <w:lang w:val="en-US" w:eastAsia="zh-CN"/>
        </w:rPr>
        <w:t>（02）</w:t>
      </w:r>
      <w:r>
        <w:rPr>
          <w:rStyle w:val="25"/>
          <w:rFonts w:hint="eastAsia" w:ascii="仿宋" w:hAnsi="仿宋" w:eastAsia="仿宋" w:cs="仿宋"/>
          <w:b w:val="0"/>
          <w:bCs w:val="0"/>
          <w:color w:val="000000"/>
          <w:sz w:val="32"/>
          <w:szCs w:val="32"/>
          <w:lang w:val="en-US" w:eastAsia="zh-CN"/>
        </w:rPr>
        <w:t>住房公积金</w:t>
      </w:r>
      <w:r>
        <w:rPr>
          <w:rStyle w:val="25"/>
          <w:rFonts w:hint="eastAsia" w:ascii="仿宋" w:hAnsi="仿宋" w:eastAsia="仿宋" w:cs="仿宋"/>
          <w:color w:val="000000"/>
          <w:sz w:val="32"/>
          <w:szCs w:val="32"/>
          <w:lang w:val="en-US" w:eastAsia="zh-CN"/>
        </w:rPr>
        <w:t>（01）</w:t>
      </w:r>
      <w:r>
        <w:rPr>
          <w:rFonts w:hint="eastAsia" w:ascii="楷体_GB2312" w:hAnsi="Times New Roman" w:eastAsia="楷体_GB2312" w:cs="楷体_GB2312"/>
          <w:b/>
          <w:bCs/>
          <w:sz w:val="32"/>
          <w:szCs w:val="32"/>
          <w:lang w:val="en-US" w:eastAsia="zh-CN"/>
        </w:rPr>
        <w:t xml:space="preserve">: </w:t>
      </w:r>
      <w:r>
        <w:rPr>
          <w:rStyle w:val="25"/>
          <w:rFonts w:hint="eastAsia" w:ascii="仿宋" w:hAnsi="仿宋" w:eastAsia="仿宋" w:cs="仿宋"/>
          <w:b w:val="0"/>
          <w:bCs w:val="0"/>
          <w:color w:val="000000"/>
          <w:sz w:val="32"/>
          <w:szCs w:val="32"/>
          <w:lang w:val="en-US" w:eastAsia="zh-CN"/>
        </w:rPr>
        <w:t>支出决算为</w:t>
      </w:r>
      <w:r>
        <w:rPr>
          <w:rStyle w:val="25"/>
          <w:rFonts w:hint="eastAsia" w:ascii="仿宋" w:hAnsi="仿宋" w:eastAsia="仿宋"/>
          <w:b w:val="0"/>
          <w:bCs/>
          <w:color w:val="000000"/>
          <w:sz w:val="32"/>
          <w:szCs w:val="32"/>
          <w:lang w:val="en-US" w:eastAsia="zh-CN"/>
        </w:rPr>
        <w:t>17.94</w:t>
      </w:r>
      <w:r>
        <w:rPr>
          <w:rStyle w:val="25"/>
          <w:rFonts w:hint="eastAsia" w:ascii="仿宋" w:hAnsi="仿宋" w:eastAsia="仿宋" w:cs="仿宋"/>
          <w:b w:val="0"/>
          <w:bCs w:val="0"/>
          <w:color w:val="000000"/>
          <w:sz w:val="32"/>
          <w:szCs w:val="32"/>
          <w:lang w:val="en-US" w:eastAsia="zh-CN"/>
        </w:rPr>
        <w:t>万元，完成</w:t>
      </w:r>
      <w:r>
        <w:rPr>
          <w:rStyle w:val="25"/>
          <w:rFonts w:hint="eastAsia" w:ascii="仿宋" w:hAnsi="仿宋" w:eastAsia="仿宋"/>
          <w:b w:val="0"/>
          <w:bCs/>
          <w:color w:val="000000"/>
          <w:sz w:val="32"/>
          <w:szCs w:val="32"/>
        </w:rPr>
        <w:t>预算100</w:t>
      </w:r>
      <w:r>
        <w:rPr>
          <w:rStyle w:val="25"/>
          <w:rFonts w:ascii="仿宋" w:hAnsi="仿宋" w:eastAsia="仿宋"/>
          <w:b w:val="0"/>
          <w:bCs/>
          <w:color w:val="000000"/>
          <w:sz w:val="32"/>
          <w:szCs w:val="32"/>
        </w:rPr>
        <w:t>%</w:t>
      </w:r>
      <w:r>
        <w:rPr>
          <w:rStyle w:val="25"/>
          <w:rFonts w:hint="eastAsia" w:ascii="仿宋" w:hAnsi="仿宋" w:eastAsia="仿宋" w:cs="仿宋"/>
          <w:b w:val="0"/>
          <w:bCs w:val="0"/>
          <w:color w:val="000000"/>
          <w:sz w:val="32"/>
          <w:szCs w:val="32"/>
          <w:lang w:val="en-US" w:eastAsia="zh-CN"/>
        </w:rPr>
        <w:t>。</w:t>
      </w:r>
    </w:p>
    <w:p>
      <w:pPr>
        <w:tabs>
          <w:tab w:val="right" w:pos="8306"/>
        </w:tabs>
        <w:spacing w:line="600" w:lineRule="exact"/>
        <w:ind w:firstLine="640"/>
        <w:outlineLvl w:val="1"/>
        <w:rPr>
          <w:rStyle w:val="39"/>
        </w:rPr>
      </w:pPr>
      <w:r>
        <w:rPr>
          <w:rFonts w:hint="eastAsia" w:ascii="黑体" w:eastAsia="黑体"/>
          <w:color w:val="auto"/>
          <w:sz w:val="32"/>
          <w:szCs w:val="32"/>
          <w:highlight w:val="none"/>
        </w:rPr>
        <w:t>六</w:t>
      </w:r>
      <w:r>
        <w:rPr>
          <w:rFonts w:hint="eastAsia" w:ascii="黑体" w:eastAsia="黑体"/>
          <w:color w:val="000000"/>
          <w:sz w:val="32"/>
          <w:szCs w:val="32"/>
          <w:lang w:val="en-US" w:eastAsia="zh-CN"/>
        </w:rPr>
        <w:t>、</w:t>
      </w:r>
      <w:r>
        <w:rPr>
          <w:rFonts w:hint="eastAsia" w:ascii="黑体" w:hAnsi="黑体" w:eastAsia="黑体"/>
          <w:b/>
          <w:color w:val="000000"/>
          <w:sz w:val="32"/>
          <w:szCs w:val="32"/>
        </w:rPr>
        <w:t>一</w:t>
      </w:r>
      <w:r>
        <w:rPr>
          <w:rStyle w:val="39"/>
          <w:rFonts w:hint="eastAsia" w:ascii="黑体" w:hAnsi="黑体" w:eastAsia="黑体"/>
          <w:b w:val="0"/>
        </w:rPr>
        <w:t>般公共预算财政拨款基本支出决算情况说明</w:t>
      </w:r>
      <w:r>
        <w:rPr>
          <w:rStyle w:val="3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243.49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219.72</w:t>
      </w:r>
      <w:r>
        <w:rPr>
          <w:rFonts w:hint="eastAsia" w:ascii="仿宋" w:hAnsi="仿宋" w:eastAsia="仿宋"/>
          <w:color w:val="000000"/>
          <w:sz w:val="32"/>
          <w:szCs w:val="32"/>
        </w:rPr>
        <w:t>万元，主要包括：基本工资、津贴补贴、奖金、绩效工资、机关事业单位基本养老保险缴费、职工基本医疗保险缴费、其他社会保障缴费、住房公积金</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其他工资福利支出、奖励金等。</w:t>
      </w:r>
    </w:p>
    <w:p>
      <w:pPr>
        <w:spacing w:line="600" w:lineRule="exact"/>
        <w:ind w:firstLine="645"/>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23.77</w:t>
      </w:r>
      <w:r>
        <w:rPr>
          <w:rFonts w:hint="eastAsia" w:ascii="仿宋" w:hAnsi="仿宋" w:eastAsia="仿宋"/>
          <w:color w:val="000000"/>
          <w:sz w:val="32"/>
          <w:szCs w:val="32"/>
        </w:rPr>
        <w:t>万元，主要包括：办公费、印刷费、</w:t>
      </w:r>
      <w:r>
        <w:rPr>
          <w:rFonts w:hint="eastAsia" w:ascii="仿宋" w:hAnsi="仿宋" w:eastAsia="仿宋"/>
          <w:color w:val="000000"/>
          <w:sz w:val="32"/>
          <w:szCs w:val="32"/>
          <w:lang w:val="en-US" w:eastAsia="zh-CN"/>
        </w:rPr>
        <w:t>水费、电费、</w:t>
      </w:r>
      <w:r>
        <w:rPr>
          <w:rFonts w:hint="eastAsia" w:ascii="仿宋" w:hAnsi="仿宋" w:eastAsia="仿宋"/>
          <w:color w:val="000000"/>
          <w:sz w:val="32"/>
          <w:szCs w:val="32"/>
        </w:rPr>
        <w:t>邮电费、物业管理费、差旅费、维修（护）费、租赁费、公务接待费</w:t>
      </w:r>
      <w:r>
        <w:rPr>
          <w:rFonts w:hint="eastAsia" w:ascii="仿宋" w:hAnsi="仿宋" w:eastAsia="仿宋"/>
          <w:color w:val="000000"/>
          <w:sz w:val="32"/>
          <w:szCs w:val="32"/>
          <w:lang w:eastAsia="zh-CN"/>
        </w:rPr>
        <w:t>、劳务费、委托业务费、其他交通费用、其他商品和服务支出</w:t>
      </w:r>
      <w:r>
        <w:rPr>
          <w:rFonts w:hint="eastAsia" w:ascii="仿宋" w:hAnsi="仿宋" w:eastAsia="仿宋"/>
          <w:color w:val="000000"/>
          <w:sz w:val="32"/>
          <w:szCs w:val="32"/>
        </w:rPr>
        <w:t>等。</w:t>
      </w:r>
    </w:p>
    <w:p>
      <w:pPr>
        <w:spacing w:line="600" w:lineRule="exact"/>
        <w:ind w:firstLine="640"/>
        <w:outlineLvl w:val="1"/>
        <w:rPr>
          <w:rStyle w:val="39"/>
          <w:rFonts w:ascii="黑体" w:hAnsi="黑体" w:eastAsia="黑体"/>
          <w:b w:val="0"/>
        </w:rPr>
      </w:pPr>
      <w:r>
        <w:rPr>
          <w:rFonts w:hint="eastAsia" w:ascii="黑体" w:eastAsia="黑体"/>
          <w:color w:val="000000"/>
          <w:sz w:val="32"/>
          <w:szCs w:val="32"/>
          <w:lang w:val="en-US" w:eastAsia="zh-CN"/>
        </w:rPr>
        <w:t>七、</w:t>
      </w:r>
      <w:r>
        <w:rPr>
          <w:rStyle w:val="39"/>
          <w:rFonts w:hint="eastAsia" w:ascii="黑体" w:hAnsi="黑体" w:eastAsia="黑体"/>
        </w:rPr>
        <w:t>“</w:t>
      </w:r>
      <w:r>
        <w:rPr>
          <w:rStyle w:val="39"/>
          <w:rFonts w:hint="eastAsia" w:ascii="黑体" w:hAnsi="黑体" w:eastAsia="黑体"/>
          <w:b w:val="0"/>
        </w:rPr>
        <w:t>三公”经费财政拨款支出决算情况说明</w:t>
      </w:r>
    </w:p>
    <w:p>
      <w:pPr>
        <w:spacing w:line="600" w:lineRule="exact"/>
        <w:ind w:firstLine="645"/>
        <w:rPr>
          <w:rFonts w:ascii="仿宋" w:hAnsi="仿宋" w:eastAsia="仿宋"/>
          <w:color w:val="000000"/>
          <w:sz w:val="32"/>
          <w:szCs w:val="32"/>
        </w:rPr>
      </w:pPr>
      <w:r>
        <w:rPr>
          <w:rFonts w:hint="eastAsia" w:ascii="仿宋" w:hAnsi="仿宋" w:eastAsia="仿宋"/>
          <w:b/>
          <w:color w:val="000000"/>
          <w:sz w:val="32"/>
          <w:szCs w:val="32"/>
        </w:rPr>
        <w:t>（一）“三公”经费财政拨款支出决算总体情况说明</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0.34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较上年减少</w:t>
      </w:r>
      <w:r>
        <w:rPr>
          <w:rFonts w:hint="eastAsia" w:ascii="仿宋" w:hAnsi="仿宋" w:eastAsia="仿宋"/>
          <w:color w:val="auto"/>
          <w:sz w:val="32"/>
          <w:szCs w:val="32"/>
          <w:highlight w:val="none"/>
          <w:lang w:val="en-US" w:eastAsia="zh-CN"/>
        </w:rPr>
        <w:t>0.69万元，减少66.99%。</w:t>
      </w:r>
      <w:r>
        <w:rPr>
          <w:rFonts w:hint="eastAsia" w:ascii="仿宋" w:hAnsi="仿宋" w:eastAsia="仿宋"/>
          <w:color w:val="auto"/>
          <w:sz w:val="32"/>
          <w:szCs w:val="32"/>
          <w:highlight w:val="none"/>
        </w:rPr>
        <w:t>主要</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rPr>
        <w:t>原因是</w:t>
      </w:r>
      <w:r>
        <w:rPr>
          <w:rFonts w:hint="eastAsia" w:ascii="仿宋" w:hAnsi="仿宋" w:eastAsia="仿宋" w:cs="仿宋"/>
          <w:color w:val="000000"/>
          <w:sz w:val="32"/>
          <w:szCs w:val="32"/>
          <w:lang w:eastAsia="zh-CN"/>
        </w:rPr>
        <w:t>：</w:t>
      </w:r>
      <w:r>
        <w:rPr>
          <w:rFonts w:hint="eastAsia" w:ascii="仿宋" w:hAnsi="仿宋" w:eastAsia="仿宋"/>
          <w:color w:val="000000"/>
          <w:sz w:val="32"/>
          <w:szCs w:val="32"/>
        </w:rPr>
        <w:t>严格按接待要求，控制</w:t>
      </w:r>
      <w:r>
        <w:rPr>
          <w:rFonts w:hint="eastAsia" w:ascii="仿宋" w:hAnsi="仿宋" w:eastAsia="仿宋"/>
          <w:color w:val="000000"/>
          <w:sz w:val="32"/>
          <w:szCs w:val="32"/>
          <w:lang w:val="en-US" w:eastAsia="zh-CN"/>
        </w:rPr>
        <w:t>陪</w:t>
      </w:r>
      <w:r>
        <w:rPr>
          <w:rFonts w:hint="eastAsia" w:ascii="仿宋" w:hAnsi="仿宋" w:eastAsia="仿宋"/>
          <w:color w:val="000000"/>
          <w:sz w:val="32"/>
          <w:szCs w:val="32"/>
        </w:rPr>
        <w:t>餐人数和接待标准</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减少接待次数</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pPr>
        <w:spacing w:line="600" w:lineRule="exact"/>
        <w:ind w:firstLine="645"/>
        <w:jc w:val="both"/>
        <w:rPr>
          <w:rFonts w:ascii="仿宋_GB2312" w:eastAsia="仿宋_GB2312"/>
          <w:b/>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年“三公”经费财政拨款支出决算中，因公出国（境）费支出决算0万元，年初未安排预算；公务用车购置及运行维护费支出决算0万元，年初未安排预算；公务接待费支出决算</w:t>
      </w:r>
      <w:r>
        <w:rPr>
          <w:rFonts w:hint="eastAsia" w:ascii="仿宋" w:hAnsi="仿宋" w:eastAsia="仿宋"/>
          <w:color w:val="auto"/>
          <w:sz w:val="32"/>
          <w:szCs w:val="32"/>
          <w:highlight w:val="none"/>
          <w:lang w:val="en-US" w:eastAsia="zh-CN"/>
        </w:rPr>
        <w:t>0.34</w:t>
      </w:r>
      <w:r>
        <w:rPr>
          <w:rFonts w:hint="eastAsia" w:ascii="仿宋" w:hAnsi="仿宋" w:eastAsia="仿宋"/>
          <w:color w:val="auto"/>
          <w:sz w:val="32"/>
          <w:szCs w:val="32"/>
          <w:highlight w:val="none"/>
        </w:rPr>
        <w:t>万元，占100%。具体情况如下：</w:t>
      </w:r>
    </w:p>
    <w:p>
      <w:pPr>
        <w:jc w:val="center"/>
        <w:rPr>
          <w:rFonts w:ascii="仿宋_GB2312" w:eastAsia="仿宋_GB2312"/>
          <w:b/>
          <w:color w:val="auto"/>
          <w:sz w:val="32"/>
          <w:szCs w:val="32"/>
          <w:highlight w:val="none"/>
        </w:rPr>
      </w:pPr>
      <w:r>
        <w:drawing>
          <wp:inline distT="0" distB="0" distL="114300" distR="114300">
            <wp:extent cx="4572000" cy="3181350"/>
            <wp:effectExtent l="5080" t="4445" r="13970" b="1460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0"/>
      </w:pPr>
    </w:p>
    <w:p>
      <w:pPr>
        <w:spacing w:line="600" w:lineRule="exact"/>
        <w:ind w:firstLine="640"/>
        <w:rPr>
          <w:rFonts w:hint="eastAsia" w:ascii="仿宋_GB2312" w:eastAsia="仿宋_GB2312"/>
          <w:b/>
          <w:color w:val="auto"/>
          <w:sz w:val="32"/>
          <w:szCs w:val="32"/>
          <w:highlight w:val="none"/>
          <w:lang w:val="en-US" w:eastAsia="zh-CN"/>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5"/>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5"/>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numPr>
          <w:ilvl w:val="0"/>
          <w:numId w:val="2"/>
        </w:numPr>
        <w:spacing w:line="600" w:lineRule="exact"/>
        <w:ind w:firstLine="640"/>
        <w:rPr>
          <w:rFonts w:hint="eastAsia" w:ascii="仿宋" w:hAnsi="仿宋" w:eastAsia="仿宋" w:cs="仿宋"/>
          <w:color w:val="000000"/>
          <w:sz w:val="32"/>
          <w:szCs w:val="32"/>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0.34</w:t>
      </w:r>
      <w:r>
        <w:rPr>
          <w:rFonts w:hint="eastAsia" w:ascii="仿宋_GB2312" w:eastAsia="仿宋_GB2312"/>
          <w:color w:val="auto"/>
          <w:sz w:val="32"/>
          <w:szCs w:val="32"/>
          <w:highlight w:val="none"/>
        </w:rPr>
        <w:t>万元，</w:t>
      </w:r>
      <w:r>
        <w:rPr>
          <w:rStyle w:val="25"/>
          <w:rFonts w:hint="eastAsia" w:ascii="仿宋" w:hAnsi="仿宋" w:eastAsia="仿宋"/>
          <w:b w:val="0"/>
          <w:bCs/>
          <w:color w:val="auto"/>
          <w:sz w:val="32"/>
          <w:szCs w:val="32"/>
          <w:highlight w:val="none"/>
        </w:rPr>
        <w:t>完成预算</w:t>
      </w:r>
      <w:r>
        <w:rPr>
          <w:rStyle w:val="25"/>
          <w:rFonts w:hint="eastAsia" w:ascii="仿宋" w:hAnsi="仿宋" w:eastAsia="仿宋"/>
          <w:b w:val="0"/>
          <w:bCs/>
          <w:color w:val="auto"/>
          <w:sz w:val="32"/>
          <w:szCs w:val="32"/>
          <w:highlight w:val="none"/>
          <w:lang w:val="en-US" w:eastAsia="zh-CN"/>
        </w:rPr>
        <w:t>100</w:t>
      </w:r>
      <w:r>
        <w:rPr>
          <w:rStyle w:val="25"/>
          <w:rFonts w:ascii="仿宋" w:hAnsi="仿宋" w:eastAsia="仿宋"/>
          <w:b w:val="0"/>
          <w:bCs/>
          <w:color w:val="auto"/>
          <w:sz w:val="32"/>
          <w:szCs w:val="32"/>
          <w:highlight w:val="none"/>
        </w:rPr>
        <w:t>%</w:t>
      </w:r>
      <w:r>
        <w:rPr>
          <w:rStyle w:val="25"/>
          <w:rFonts w:hint="eastAsia" w:ascii="仿宋" w:hAnsi="仿宋" w:eastAsia="仿宋"/>
          <w:b w:val="0"/>
          <w:bCs/>
          <w:color w:val="auto"/>
          <w:sz w:val="32"/>
          <w:szCs w:val="32"/>
          <w:highlight w:val="none"/>
        </w:rPr>
        <w:t>。</w:t>
      </w:r>
      <w:r>
        <w:rPr>
          <w:rFonts w:hint="eastAsia" w:ascii="仿宋" w:hAnsi="仿宋" w:eastAsia="仿宋" w:cs="仿宋"/>
          <w:color w:val="000000"/>
          <w:sz w:val="32"/>
          <w:szCs w:val="32"/>
        </w:rPr>
        <w:t>公务接待费支出决算比20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年减少0.69万元，减少66.99%。主要减少原因是：严格按接待要求，控制陪餐人数和接待标准，减少接待次数。</w:t>
      </w:r>
    </w:p>
    <w:p>
      <w:pPr>
        <w:numPr>
          <w:ilvl w:val="0"/>
          <w:numId w:val="0"/>
        </w:numPr>
        <w:spacing w:line="600" w:lineRule="exact"/>
        <w:ind w:firstLine="642"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0.34</w:t>
      </w:r>
      <w:r>
        <w:rPr>
          <w:rFonts w:hint="eastAsia" w:ascii="仿宋_GB2312" w:eastAsia="仿宋_GB2312"/>
          <w:color w:val="auto"/>
          <w:sz w:val="32"/>
          <w:szCs w:val="32"/>
          <w:highlight w:val="none"/>
        </w:rPr>
        <w:t>万元，主要用于执行公务、开展业务活动开支的用餐费。</w:t>
      </w:r>
      <w:r>
        <w:rPr>
          <w:rFonts w:hint="eastAsia" w:ascii="仿宋_GB2312" w:eastAsia="仿宋_GB2312"/>
          <w:b w:val="0"/>
          <w:bCs w:val="0"/>
          <w:color w:val="auto"/>
          <w:sz w:val="32"/>
          <w:szCs w:val="32"/>
          <w:highlight w:val="none"/>
          <w:u w:val="none"/>
        </w:rPr>
        <w:t>国内公务接待</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rPr>
        <w:t>批次，</w:t>
      </w:r>
      <w:r>
        <w:rPr>
          <w:rFonts w:hint="eastAsia" w:ascii="仿宋_GB2312" w:eastAsia="仿宋_GB2312"/>
          <w:b w:val="0"/>
          <w:bCs w:val="0"/>
          <w:color w:val="auto"/>
          <w:sz w:val="32"/>
          <w:szCs w:val="32"/>
          <w:highlight w:val="none"/>
          <w:u w:val="none"/>
          <w:lang w:val="en-US" w:eastAsia="zh-CN"/>
        </w:rPr>
        <w:t>35</w:t>
      </w:r>
      <w:r>
        <w:rPr>
          <w:rFonts w:hint="eastAsia" w:ascii="仿宋_GB2312" w:eastAsia="仿宋_GB2312"/>
          <w:b w:val="0"/>
          <w:bCs w:val="0"/>
          <w:color w:val="auto"/>
          <w:sz w:val="32"/>
          <w:szCs w:val="32"/>
          <w:highlight w:val="none"/>
          <w:u w:val="none"/>
        </w:rPr>
        <w:t>人次（包括陪同人员），共计支出</w:t>
      </w:r>
      <w:r>
        <w:rPr>
          <w:rFonts w:hint="eastAsia" w:ascii="仿宋_GB2312" w:eastAsia="仿宋_GB2312"/>
          <w:b w:val="0"/>
          <w:bCs w:val="0"/>
          <w:color w:val="auto"/>
          <w:sz w:val="32"/>
          <w:szCs w:val="32"/>
          <w:highlight w:val="none"/>
          <w:u w:val="none"/>
          <w:lang w:val="en-US" w:eastAsia="zh-CN"/>
        </w:rPr>
        <w:t>0.3</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主要是日常公务接待</w:t>
      </w:r>
      <w:r>
        <w:rPr>
          <w:rFonts w:hint="eastAsia" w:ascii="仿宋_GB2312" w:eastAsia="仿宋_GB2312"/>
          <w:color w:val="auto"/>
          <w:sz w:val="32"/>
          <w:szCs w:val="32"/>
          <w:highlight w:val="none"/>
        </w:rPr>
        <w:t>。</w:t>
      </w:r>
    </w:p>
    <w:p>
      <w:pPr>
        <w:spacing w:line="600" w:lineRule="exact"/>
        <w:ind w:firstLine="803" w:firstLineChars="250"/>
        <w:outlineLvl w:val="1"/>
        <w:rPr>
          <w:rStyle w:val="45"/>
          <w:rFonts w:hint="eastAsia" w:ascii="黑体" w:hAnsi="黑体" w:eastAsia="黑体"/>
        </w:rPr>
      </w:pPr>
      <w:r>
        <w:rPr>
          <w:rStyle w:val="45"/>
          <w:rFonts w:hint="eastAsia" w:ascii="黑体" w:hAnsi="黑体" w:eastAsia="黑体"/>
          <w:lang w:val="en-US" w:eastAsia="zh-CN"/>
        </w:rPr>
        <w:t>八</w:t>
      </w:r>
      <w:r>
        <w:rPr>
          <w:rStyle w:val="45"/>
          <w:rFonts w:hint="eastAsia" w:ascii="黑体" w:hAnsi="黑体" w:eastAsia="黑体"/>
          <w:lang w:eastAsia="zh-CN"/>
        </w:rPr>
        <w:t>、</w:t>
      </w:r>
      <w:r>
        <w:rPr>
          <w:rStyle w:val="45"/>
          <w:rFonts w:hint="eastAsia" w:ascii="黑体" w:hAnsi="黑体" w:eastAsia="黑体"/>
        </w:rPr>
        <w:t>政府性基金预算支出</w:t>
      </w:r>
      <w:r>
        <w:rPr>
          <w:rStyle w:val="45"/>
          <w:rFonts w:hint="eastAsia" w:ascii="黑体" w:hAnsi="黑体" w:eastAsia="黑体"/>
          <w:lang w:eastAsia="zh-CN"/>
        </w:rPr>
        <w:t>决算</w:t>
      </w:r>
      <w:r>
        <w:rPr>
          <w:rStyle w:val="45"/>
          <w:rFonts w:hint="eastAsia" w:ascii="黑体" w:hAnsi="黑体" w:eastAsia="黑体"/>
        </w:rPr>
        <w:t>情况说明</w:t>
      </w:r>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803" w:firstLineChars="250"/>
        <w:outlineLvl w:val="1"/>
        <w:rPr>
          <w:rStyle w:val="45"/>
          <w:rFonts w:hint="eastAsia" w:ascii="黑体" w:hAnsi="黑体" w:eastAsia="黑体"/>
          <w:lang w:eastAsia="zh-CN"/>
        </w:rPr>
      </w:pPr>
      <w:r>
        <w:rPr>
          <w:rStyle w:val="45"/>
          <w:rFonts w:hint="eastAsia" w:ascii="黑体" w:hAnsi="黑体" w:eastAsia="黑体"/>
          <w:lang w:val="en-US" w:eastAsia="zh-CN"/>
        </w:rPr>
        <w:t>九</w:t>
      </w:r>
      <w:r>
        <w:rPr>
          <w:rStyle w:val="45"/>
          <w:rFonts w:hint="eastAsia" w:ascii="黑体" w:hAnsi="黑体" w:eastAsia="黑体"/>
          <w:lang w:eastAsia="zh-CN"/>
        </w:rPr>
        <w:t>、国有资本经营决算支出情况说明</w:t>
      </w:r>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803" w:firstLineChars="250"/>
        <w:outlineLvl w:val="1"/>
        <w:rPr>
          <w:rStyle w:val="45"/>
          <w:rFonts w:hint="eastAsia" w:ascii="黑体" w:hAnsi="黑体" w:eastAsia="黑体" w:cs="Times New Roman"/>
          <w:lang w:val="en-US" w:eastAsia="zh-CN"/>
        </w:rPr>
      </w:pPr>
      <w:r>
        <w:rPr>
          <w:rStyle w:val="45"/>
          <w:rFonts w:hint="eastAsia" w:ascii="黑体" w:hAnsi="黑体" w:eastAsia="黑体" w:cs="Times New Roman"/>
          <w:lang w:val="en-US" w:eastAsia="zh-CN"/>
        </w:rPr>
        <w:t>十、预算绩效管理情况</w:t>
      </w:r>
    </w:p>
    <w:p>
      <w:pPr>
        <w:spacing w:line="600" w:lineRule="exact"/>
        <w:ind w:firstLine="642"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pP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区商务局</w:t>
      </w:r>
      <w:r>
        <w:rPr>
          <w:rFonts w:hint="eastAsia" w:ascii="仿宋_GB2312" w:eastAsia="仿宋_GB2312"/>
          <w:sz w:val="32"/>
          <w:szCs w:val="32"/>
        </w:rPr>
        <w:t>机关运行经费支出</w:t>
      </w:r>
      <w:r>
        <w:rPr>
          <w:rFonts w:hint="eastAsia" w:ascii="仿宋_GB2312" w:eastAsia="仿宋_GB2312"/>
          <w:sz w:val="32"/>
          <w:szCs w:val="32"/>
          <w:lang w:val="en-US" w:eastAsia="zh-CN"/>
        </w:rPr>
        <w:t>23.77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年增加</w:t>
      </w:r>
      <w:r>
        <w:rPr>
          <w:rFonts w:hint="eastAsia" w:ascii="仿宋_GB2312" w:eastAsia="仿宋_GB2312"/>
          <w:sz w:val="32"/>
          <w:szCs w:val="32"/>
          <w:lang w:val="en-US" w:eastAsia="zh-CN"/>
        </w:rPr>
        <w:t>6.42</w:t>
      </w:r>
      <w:r>
        <w:rPr>
          <w:rFonts w:hint="eastAsia" w:ascii="仿宋_GB2312" w:eastAsia="仿宋_GB2312"/>
          <w:sz w:val="32"/>
          <w:szCs w:val="32"/>
        </w:rPr>
        <w:t>万元，增</w:t>
      </w:r>
      <w:r>
        <w:rPr>
          <w:rFonts w:hint="eastAsia" w:ascii="仿宋_GB2312" w:eastAsia="仿宋_GB2312"/>
          <w:sz w:val="32"/>
          <w:szCs w:val="32"/>
          <w:lang w:val="en-US" w:eastAsia="zh-CN"/>
        </w:rPr>
        <w:t>长37.00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：该经费包含公务交通补贴</w:t>
      </w:r>
      <w:r>
        <w:rPr>
          <w:rFonts w:hint="eastAsia" w:ascii="仿宋_GB2312" w:eastAsia="仿宋_GB2312"/>
          <w:sz w:val="32"/>
          <w:szCs w:val="32"/>
          <w:lang w:val="en-US" w:eastAsia="zh-CN"/>
        </w:rPr>
        <w:t>8.12万元</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rPr>
          <w:rFonts w:hint="default" w:ascii="仿宋_GB2312" w:eastAsia="仿宋"/>
          <w:sz w:val="32"/>
          <w:szCs w:val="32"/>
          <w:lang w:val="en-US" w:eastAsia="zh-CN"/>
        </w:rPr>
      </w:pP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 w:hAnsi="仿宋" w:eastAsia="仿宋"/>
          <w:sz w:val="32"/>
          <w:szCs w:val="32"/>
        </w:rPr>
        <w:t>区商务局采购支出</w:t>
      </w:r>
      <w:r>
        <w:rPr>
          <w:rFonts w:hint="eastAsia" w:ascii="仿宋" w:hAnsi="仿宋" w:eastAsia="仿宋"/>
          <w:sz w:val="32"/>
          <w:szCs w:val="32"/>
          <w:lang w:val="en-US" w:eastAsia="zh-CN"/>
        </w:rPr>
        <w:t>0万元</w:t>
      </w:r>
      <w:r>
        <w:rPr>
          <w:rFonts w:hint="eastAsia" w:ascii="仿宋_GB2312" w:eastAsia="仿宋_GB2312"/>
          <w:sz w:val="32"/>
          <w:szCs w:val="32"/>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spacing w:line="60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截至202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年12月31日，区</w:t>
      </w:r>
      <w:r>
        <w:rPr>
          <w:rFonts w:hint="eastAsia" w:ascii="仿宋" w:hAnsi="仿宋" w:eastAsia="仿宋" w:cs="Times New Roman"/>
          <w:sz w:val="32"/>
          <w:szCs w:val="32"/>
          <w:lang w:val="en-US" w:eastAsia="zh-CN"/>
        </w:rPr>
        <w:t>商务</w:t>
      </w:r>
      <w:r>
        <w:rPr>
          <w:rFonts w:hint="eastAsia" w:ascii="仿宋" w:hAnsi="仿宋" w:eastAsia="仿宋" w:cs="Times New Roman"/>
          <w:sz w:val="32"/>
          <w:szCs w:val="32"/>
        </w:rPr>
        <w:t>局车辆0辆，车改后单位车辆移交机关事务管理局，再无车辆；无单价50万元以上通用设备和单价100万元以上专用设备。</w:t>
      </w:r>
    </w:p>
    <w:p>
      <w:pPr>
        <w:autoSpaceDE w:val="0"/>
        <w:autoSpaceDN w:val="0"/>
        <w:adjustRightInd w:val="0"/>
        <w:spacing w:line="600" w:lineRule="exact"/>
        <w:ind w:firstLine="642" w:firstLineChars="200"/>
        <w:jc w:val="left"/>
        <w:outlineLvl w:val="2"/>
        <w:rPr>
          <w:rFonts w:hint="eastAsia"/>
        </w:rPr>
      </w:pPr>
      <w:r>
        <w:rPr>
          <w:rFonts w:hint="eastAsia" w:ascii="仿宋" w:hAnsi="仿宋" w:eastAsia="仿宋"/>
          <w:b/>
          <w:color w:val="auto"/>
          <w:sz w:val="32"/>
          <w:szCs w:val="32"/>
          <w:highlight w:val="none"/>
        </w:rPr>
        <w:t>（四）预算绩效管理情况</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2022年度预算编制阶段，组织对“村能办”“家门办”便民服务体系建设项目开展了预算事前绩效评估，对房屋租赁费、水费、物业管理费等9个项目编制了绩效目标，预算执行过程中，选取9个项目开展绩效监控。</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及资本资产全面开展绩效自评，形成广元市朝天区行政审批局部门整体（含部门预算项目）绩效自评报告,绩效自评得分为96分，从总体上看，根据预算绩效管理工作要求及安排，我单位对2022年部门整体支出绩效管理工作进行了自评考核，所得分全为基础自评得分，无加分项，总体自评为优。绩效自评报告详见附件。</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2022年度预算编制阶段，组织对2022年东西部协作扶贫项目、国家电子商务进农村综合示范县项目、第二批省级内贸流通服务业务发展专项资金、天府旅游名县奖励资金、“乐享朝天、消费惠民”消费促进活动</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u w:val="none"/>
          <w:lang w:val="en-US" w:eastAsia="zh-CN" w:bidi="ar"/>
        </w:rPr>
        <w:t>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sz w:val="32"/>
          <w:szCs w:val="32"/>
          <w:lang w:val="en-US" w:eastAsia="zh-CN" w:bidi="ar"/>
        </w:rPr>
        <w:t>“转企升规”财政激励资金、先进企业奖励资金（商贸）、“两上”企业规范化建设项目奖励补助资金等</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个项</w:t>
      </w:r>
      <w:r>
        <w:rPr>
          <w:rFonts w:hint="eastAsia" w:ascii="仿宋_GB2312" w:hAnsi="仿宋_GB2312" w:eastAsia="仿宋_GB2312" w:cs="仿宋_GB2312"/>
          <w:color w:val="auto"/>
          <w:sz w:val="32"/>
          <w:szCs w:val="32"/>
          <w:highlight w:val="none"/>
        </w:rPr>
        <w:t>目编制了绩效目标，预算执行过程中，选取</w:t>
      </w:r>
      <w:r>
        <w:rPr>
          <w:rFonts w:hint="eastAsia" w:ascii="仿宋_GB2312" w:hAnsi="仿宋_GB2312" w:eastAsia="仿宋_GB2312" w:cs="仿宋_GB2312"/>
          <w:color w:val="auto"/>
          <w:sz w:val="32"/>
          <w:szCs w:val="32"/>
          <w:highlight w:val="none"/>
          <w:u w:val="none"/>
          <w:lang w:val="en-US" w:eastAsia="zh-CN"/>
        </w:rPr>
        <w:t>13</w:t>
      </w:r>
      <w:r>
        <w:rPr>
          <w:rFonts w:hint="eastAsia" w:ascii="仿宋_GB2312" w:hAnsi="仿宋_GB2312" w:eastAsia="仿宋_GB2312" w:cs="仿宋_GB2312"/>
          <w:color w:val="auto"/>
          <w:sz w:val="32"/>
          <w:szCs w:val="32"/>
          <w:highlight w:val="none"/>
          <w:u w:val="none"/>
        </w:rPr>
        <w:t>个</w:t>
      </w:r>
      <w:r>
        <w:rPr>
          <w:rFonts w:hint="eastAsia" w:ascii="仿宋_GB2312" w:hAnsi="仿宋_GB2312" w:eastAsia="仿宋_GB2312" w:cs="仿宋_GB2312"/>
          <w:color w:val="auto"/>
          <w:sz w:val="32"/>
          <w:szCs w:val="32"/>
          <w:highlight w:val="none"/>
        </w:rPr>
        <w:t>项目开展绩效监控。</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组织对2022年度一般公共预算及资本资产全面开展绩效自评，形成</w:t>
      </w:r>
      <w:r>
        <w:rPr>
          <w:rFonts w:hint="eastAsia" w:ascii="仿宋_GB2312" w:hAnsi="仿宋_GB2312" w:eastAsia="仿宋_GB2312" w:cs="仿宋_GB2312"/>
          <w:color w:val="auto"/>
          <w:sz w:val="32"/>
          <w:szCs w:val="32"/>
          <w:highlight w:val="none"/>
          <w:u w:val="none"/>
          <w:lang w:val="en-US" w:eastAsia="zh-CN"/>
        </w:rPr>
        <w:t>广元市朝天区商务局</w:t>
      </w:r>
      <w:r>
        <w:rPr>
          <w:rFonts w:hint="eastAsia" w:ascii="仿宋_GB2312" w:hAnsi="仿宋_GB2312" w:eastAsia="仿宋_GB2312" w:cs="仿宋_GB2312"/>
          <w:color w:val="auto"/>
          <w:sz w:val="32"/>
          <w:szCs w:val="32"/>
          <w:highlight w:val="none"/>
          <w:u w:val="none"/>
        </w:rPr>
        <w:t>部门整体（含部门预算项目）绩效自评报告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2022年</w:t>
      </w:r>
      <w:r>
        <w:rPr>
          <w:rFonts w:hint="eastAsia" w:ascii="仿宋_GB2312" w:hAnsi="仿宋_GB2312" w:eastAsia="仿宋_GB2312" w:cs="仿宋_GB2312"/>
          <w:color w:val="auto"/>
          <w:sz w:val="32"/>
          <w:szCs w:val="32"/>
          <w:highlight w:val="none"/>
          <w:u w:val="none"/>
        </w:rPr>
        <w:t>“乐享朝天、消费惠民”消费促进活动</w:t>
      </w:r>
      <w:r>
        <w:rPr>
          <w:rFonts w:hint="eastAsia" w:ascii="仿宋_GB2312" w:hAnsi="仿宋_GB2312" w:eastAsia="仿宋_GB2312" w:cs="仿宋_GB2312"/>
          <w:color w:val="auto"/>
          <w:sz w:val="32"/>
          <w:szCs w:val="32"/>
          <w:highlight w:val="none"/>
          <w:u w:val="none"/>
          <w:lang w:val="en-US" w:eastAsia="zh-CN"/>
        </w:rPr>
        <w:t>项目等5个</w:t>
      </w:r>
      <w:r>
        <w:rPr>
          <w:rFonts w:hint="eastAsia" w:ascii="仿宋_GB2312" w:hAnsi="仿宋_GB2312" w:eastAsia="仿宋_GB2312" w:cs="仿宋_GB2312"/>
          <w:color w:val="auto"/>
          <w:sz w:val="32"/>
          <w:szCs w:val="32"/>
          <w:highlight w:val="none"/>
          <w:u w:val="none"/>
        </w:rPr>
        <w:t>专项预算项目绩效自评报告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其中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广元市朝天区商务局</w:t>
      </w:r>
      <w:r>
        <w:rPr>
          <w:rFonts w:hint="eastAsia" w:ascii="仿宋_GB2312" w:hAnsi="仿宋_GB2312" w:eastAsia="仿宋_GB2312" w:cs="仿宋_GB2312"/>
          <w:color w:val="auto"/>
          <w:sz w:val="32"/>
          <w:szCs w:val="32"/>
          <w:highlight w:val="none"/>
          <w:u w:val="none"/>
        </w:rPr>
        <w:t>部门整体（含部门预算项目）绩效自评得分为</w:t>
      </w:r>
      <w:r>
        <w:rPr>
          <w:rFonts w:hint="eastAsia" w:ascii="仿宋_GB2312" w:hAnsi="仿宋_GB2312" w:eastAsia="仿宋_GB2312" w:cs="仿宋_GB2312"/>
          <w:color w:val="auto"/>
          <w:sz w:val="32"/>
          <w:szCs w:val="32"/>
          <w:highlight w:val="none"/>
          <w:u w:val="none"/>
          <w:lang w:val="en-US" w:eastAsia="zh-CN"/>
        </w:rPr>
        <w:t>92.16</w:t>
      </w:r>
      <w:r>
        <w:rPr>
          <w:rFonts w:hint="eastAsia" w:ascii="仿宋_GB2312" w:hAnsi="仿宋_GB2312" w:eastAsia="仿宋_GB2312" w:cs="仿宋_GB2312"/>
          <w:color w:val="auto"/>
          <w:sz w:val="32"/>
          <w:szCs w:val="32"/>
          <w:highlight w:val="none"/>
          <w:u w:val="none"/>
        </w:rPr>
        <w:t>分，从评价情况来看,情况较好,严格执行预算,以预算指导工作的开展,实行专款专用,确保资金安全,保障了局机关日常工作的正常运转，同时得到广大群众和企业的普遍认可和赞同</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通过自评2022年度部门整体评价等次为优</w:t>
      </w:r>
      <w:r>
        <w:rPr>
          <w:rFonts w:hint="eastAsia" w:ascii="仿宋_GB2312" w:hAnsi="仿宋_GB2312" w:eastAsia="仿宋_GB2312" w:cs="仿宋_GB2312"/>
          <w:color w:val="auto"/>
          <w:sz w:val="32"/>
          <w:szCs w:val="32"/>
          <w:highlight w:val="none"/>
          <w:u w:val="none"/>
          <w:lang w:eastAsia="zh-CN"/>
        </w:rPr>
        <w:t>；2022年东西部协作扶贫</w:t>
      </w:r>
      <w:r>
        <w:rPr>
          <w:rFonts w:hint="eastAsia" w:ascii="仿宋_GB2312" w:hAnsi="仿宋_GB2312" w:eastAsia="仿宋_GB2312" w:cs="仿宋_GB2312"/>
          <w:color w:val="auto"/>
          <w:sz w:val="32"/>
          <w:szCs w:val="32"/>
          <w:highlight w:val="none"/>
          <w:u w:val="none"/>
        </w:rPr>
        <w:t>专</w:t>
      </w:r>
      <w:r>
        <w:rPr>
          <w:rFonts w:hint="eastAsia" w:ascii="仿宋_GB2312" w:hAnsi="仿宋_GB2312" w:eastAsia="仿宋_GB2312" w:cs="仿宋_GB2312"/>
          <w:color w:val="auto"/>
          <w:sz w:val="32"/>
          <w:szCs w:val="32"/>
          <w:highlight w:val="none"/>
        </w:rPr>
        <w:t>项预算项目绩效自评得分为</w:t>
      </w:r>
      <w:r>
        <w:rPr>
          <w:rFonts w:hint="eastAsia" w:ascii="仿宋_GB2312" w:hAnsi="仿宋_GB2312" w:eastAsia="仿宋_GB2312" w:cs="仿宋_GB2312"/>
          <w:color w:val="auto"/>
          <w:sz w:val="32"/>
          <w:szCs w:val="32"/>
          <w:highlight w:val="none"/>
          <w:lang w:val="en-US" w:eastAsia="zh-CN"/>
        </w:rPr>
        <w:t>95分</w:t>
      </w:r>
      <w:r>
        <w:rPr>
          <w:rFonts w:hint="eastAsia" w:ascii="仿宋_GB2312" w:hAnsi="仿宋_GB2312" w:eastAsia="仿宋_GB2312" w:cs="仿宋_GB2312"/>
          <w:color w:val="FF0000"/>
          <w:sz w:val="32"/>
          <w:szCs w:val="32"/>
          <w:highlight w:val="none"/>
          <w:u w:val="single"/>
          <w:lang w:eastAsia="zh-CN"/>
        </w:rPr>
        <w:t>、</w:t>
      </w:r>
      <w:r>
        <w:rPr>
          <w:rFonts w:hint="eastAsia" w:ascii="仿宋_GB2312" w:hAnsi="仿宋_GB2312" w:eastAsia="仿宋_GB2312" w:cs="仿宋_GB2312"/>
          <w:color w:val="auto"/>
          <w:sz w:val="32"/>
          <w:szCs w:val="32"/>
          <w:highlight w:val="none"/>
          <w:u w:val="none"/>
          <w:lang w:eastAsia="zh-CN"/>
        </w:rPr>
        <w:t>国家电子商务进农村综合示范县</w:t>
      </w:r>
      <w:r>
        <w:rPr>
          <w:rFonts w:hint="eastAsia" w:ascii="仿宋_GB2312" w:hAnsi="仿宋_GB2312" w:eastAsia="仿宋_GB2312" w:cs="仿宋_GB2312"/>
          <w:color w:val="auto"/>
          <w:sz w:val="32"/>
          <w:szCs w:val="32"/>
          <w:highlight w:val="none"/>
          <w:u w:val="none"/>
        </w:rPr>
        <w:t>专项</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96分</w:t>
      </w:r>
      <w:r>
        <w:rPr>
          <w:rFonts w:hint="eastAsia" w:ascii="仿宋_GB2312" w:hAnsi="仿宋_GB2312" w:eastAsia="仿宋_GB2312" w:cs="仿宋_GB2312"/>
          <w:b w:val="0"/>
          <w:bCs w:val="0"/>
          <w:color w:val="auto"/>
          <w:sz w:val="32"/>
          <w:szCs w:val="32"/>
          <w:highlight w:val="none"/>
          <w:u w:val="none"/>
          <w:lang w:eastAsia="zh-CN"/>
        </w:rPr>
        <w:t>、第二批省级内贸流通服务业发展专项资金</w:t>
      </w:r>
      <w:r>
        <w:rPr>
          <w:rFonts w:hint="eastAsia" w:ascii="仿宋_GB2312" w:hAnsi="仿宋_GB2312" w:eastAsia="仿宋_GB2312" w:cs="仿宋_GB2312"/>
          <w:b w:val="0"/>
          <w:bCs w:val="0"/>
          <w:color w:val="auto"/>
          <w:sz w:val="32"/>
          <w:szCs w:val="32"/>
          <w:highlight w:val="none"/>
          <w:u w:val="none"/>
        </w:rPr>
        <w:t>专</w:t>
      </w:r>
      <w:r>
        <w:rPr>
          <w:rFonts w:hint="eastAsia" w:ascii="仿宋_GB2312" w:hAnsi="仿宋_GB2312" w:eastAsia="仿宋_GB2312" w:cs="仿宋_GB2312"/>
          <w:color w:val="auto"/>
          <w:sz w:val="32"/>
          <w:szCs w:val="32"/>
          <w:highlight w:val="none"/>
        </w:rPr>
        <w:t>项预算项目绩效自评得分为</w:t>
      </w:r>
      <w:r>
        <w:rPr>
          <w:rFonts w:hint="eastAsia" w:ascii="仿宋_GB2312" w:hAnsi="仿宋_GB2312" w:eastAsia="仿宋_GB2312" w:cs="仿宋_GB2312"/>
          <w:color w:val="auto"/>
          <w:sz w:val="32"/>
          <w:szCs w:val="32"/>
          <w:highlight w:val="none"/>
          <w:lang w:val="en-US" w:eastAsia="zh-CN"/>
        </w:rPr>
        <w:t>96分</w:t>
      </w:r>
      <w:r>
        <w:rPr>
          <w:rFonts w:hint="eastAsia" w:ascii="仿宋_GB2312" w:hAnsi="仿宋_GB2312" w:eastAsia="仿宋_GB2312" w:cs="仿宋_GB2312"/>
          <w:color w:val="auto"/>
          <w:sz w:val="32"/>
          <w:szCs w:val="32"/>
          <w:highlight w:val="none"/>
          <w:u w:val="none"/>
          <w:lang w:eastAsia="zh-CN"/>
        </w:rPr>
        <w:t>、天府旅游名县奖励资金</w:t>
      </w:r>
      <w:r>
        <w:rPr>
          <w:rFonts w:hint="eastAsia" w:ascii="仿宋_GB2312" w:hAnsi="仿宋_GB2312" w:eastAsia="仿宋_GB2312" w:cs="仿宋_GB2312"/>
          <w:color w:val="auto"/>
          <w:sz w:val="32"/>
          <w:szCs w:val="32"/>
          <w:highlight w:val="none"/>
          <w:u w:val="none"/>
        </w:rPr>
        <w:t>专</w:t>
      </w:r>
      <w:r>
        <w:rPr>
          <w:rFonts w:hint="eastAsia" w:ascii="仿宋_GB2312" w:hAnsi="仿宋_GB2312" w:eastAsia="仿宋_GB2312" w:cs="仿宋_GB2312"/>
          <w:color w:val="auto"/>
          <w:sz w:val="32"/>
          <w:szCs w:val="32"/>
          <w:highlight w:val="none"/>
        </w:rPr>
        <w:t>项预算项目绩效自评得分为</w:t>
      </w:r>
      <w:r>
        <w:rPr>
          <w:rFonts w:hint="eastAsia" w:ascii="仿宋_GB2312" w:hAnsi="仿宋_GB2312" w:eastAsia="仿宋_GB2312" w:cs="仿宋_GB2312"/>
          <w:color w:val="auto"/>
          <w:sz w:val="32"/>
          <w:szCs w:val="32"/>
          <w:highlight w:val="none"/>
          <w:lang w:val="en-US" w:eastAsia="zh-CN"/>
        </w:rPr>
        <w:t>95分</w:t>
      </w:r>
      <w:r>
        <w:rPr>
          <w:rFonts w:hint="eastAsia" w:ascii="仿宋_GB2312" w:hAnsi="仿宋_GB2312" w:eastAsia="仿宋_GB2312" w:cs="仿宋_GB2312"/>
          <w:color w:val="auto"/>
          <w:sz w:val="32"/>
          <w:szCs w:val="32"/>
          <w:highlight w:val="none"/>
          <w:u w:val="none"/>
          <w:lang w:eastAsia="zh-CN"/>
        </w:rPr>
        <w:t>、2022年“乐享朝天、消费惠民”消费促进活动</w:t>
      </w:r>
      <w:r>
        <w:rPr>
          <w:rFonts w:hint="eastAsia" w:ascii="仿宋_GB2312" w:hAnsi="仿宋_GB2312" w:eastAsia="仿宋_GB2312" w:cs="仿宋_GB2312"/>
          <w:color w:val="auto"/>
          <w:sz w:val="32"/>
          <w:szCs w:val="32"/>
          <w:highlight w:val="none"/>
          <w:u w:val="none"/>
        </w:rPr>
        <w:t>专</w:t>
      </w:r>
      <w:r>
        <w:rPr>
          <w:rFonts w:hint="eastAsia" w:ascii="仿宋_GB2312" w:hAnsi="仿宋_GB2312" w:eastAsia="仿宋_GB2312" w:cs="仿宋_GB2312"/>
          <w:color w:val="auto"/>
          <w:sz w:val="32"/>
          <w:szCs w:val="32"/>
          <w:highlight w:val="none"/>
        </w:rPr>
        <w:t>项预算项目绩效自评得分为</w:t>
      </w:r>
      <w:r>
        <w:rPr>
          <w:rFonts w:hint="eastAsia" w:ascii="仿宋_GB2312" w:hAnsi="仿宋_GB2312" w:eastAsia="仿宋_GB2312" w:cs="仿宋_GB2312"/>
          <w:color w:val="auto"/>
          <w:sz w:val="32"/>
          <w:szCs w:val="32"/>
          <w:highlight w:val="none"/>
          <w:lang w:val="en-US" w:eastAsia="zh-CN"/>
        </w:rPr>
        <w:t>95分，从评价情况来看项目支出正常、按要求完成，确保了特定项目的正常推进，</w:t>
      </w:r>
      <w:r>
        <w:rPr>
          <w:rFonts w:hint="eastAsia" w:ascii="仿宋_GB2312" w:hAnsi="仿宋_GB2312" w:eastAsia="仿宋_GB2312" w:cs="仿宋_GB2312"/>
          <w:color w:val="auto"/>
          <w:sz w:val="32"/>
          <w:szCs w:val="32"/>
          <w:highlight w:val="none"/>
          <w:u w:val="none"/>
        </w:rPr>
        <w:t>通过自评2022年度</w:t>
      </w:r>
      <w:r>
        <w:rPr>
          <w:rFonts w:hint="eastAsia" w:ascii="仿宋_GB2312" w:hAnsi="仿宋_GB2312" w:eastAsia="仿宋_GB2312" w:cs="仿宋_GB2312"/>
          <w:color w:val="auto"/>
          <w:sz w:val="32"/>
          <w:szCs w:val="32"/>
          <w:highlight w:val="none"/>
          <w:u w:val="none"/>
          <w:lang w:val="en-US" w:eastAsia="zh-CN"/>
        </w:rPr>
        <w:t>专项预算项目绩效自</w:t>
      </w:r>
      <w:r>
        <w:rPr>
          <w:rFonts w:hint="eastAsia" w:ascii="仿宋_GB2312" w:hAnsi="仿宋_GB2312" w:eastAsia="仿宋_GB2312" w:cs="仿宋_GB2312"/>
          <w:color w:val="auto"/>
          <w:sz w:val="32"/>
          <w:szCs w:val="32"/>
          <w:highlight w:val="none"/>
          <w:u w:val="none"/>
        </w:rPr>
        <w:t>评</w:t>
      </w:r>
      <w:r>
        <w:rPr>
          <w:rFonts w:hint="eastAsia" w:ascii="仿宋_GB2312" w:hAnsi="仿宋_GB2312" w:eastAsia="仿宋_GB2312" w:cs="仿宋_GB2312"/>
          <w:color w:val="auto"/>
          <w:sz w:val="32"/>
          <w:szCs w:val="32"/>
          <w:highlight w:val="none"/>
          <w:u w:val="none"/>
          <w:lang w:val="en-US" w:eastAsia="zh-CN"/>
        </w:rPr>
        <w:t>平均得分为95.4分，</w:t>
      </w:r>
      <w:r>
        <w:rPr>
          <w:rFonts w:hint="eastAsia" w:ascii="仿宋_GB2312" w:hAnsi="仿宋_GB2312" w:eastAsia="仿宋_GB2312" w:cs="仿宋_GB2312"/>
          <w:color w:val="auto"/>
          <w:sz w:val="32"/>
          <w:szCs w:val="32"/>
          <w:highlight w:val="none"/>
          <w:u w:val="none"/>
        </w:rPr>
        <w:t>等次为优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绩效自评报告详见附件。</w:t>
      </w:r>
    </w:p>
    <w:p>
      <w:pPr>
        <w:pStyle w:val="28"/>
        <w:rPr>
          <w:rFonts w:hint="eastAsia"/>
          <w:lang w:val="en-US" w:eastAsia="zh-CN"/>
        </w:rPr>
      </w:pPr>
    </w:p>
    <w:p>
      <w:pPr>
        <w:keepNext w:val="0"/>
        <w:keepLines w:val="0"/>
        <w:widowControl w:val="0"/>
        <w:numPr>
          <w:ilvl w:val="0"/>
          <w:numId w:val="3"/>
        </w:numPr>
        <w:suppressLineNumbers w:val="0"/>
        <w:spacing w:before="0" w:beforeAutospacing="0" w:after="0" w:afterAutospacing="0" w:line="600" w:lineRule="exact"/>
        <w:ind w:left="0" w:right="0" w:firstLine="660" w:firstLineChars="150"/>
        <w:jc w:val="center"/>
        <w:outlineLvl w:val="0"/>
        <w:rPr>
          <w:rFonts w:hint="eastAsia" w:ascii="黑体" w:hAnsi="宋体" w:eastAsia="黑体" w:cs="黑体"/>
          <w:b w:val="0"/>
          <w:bCs/>
          <w:sz w:val="44"/>
          <w:szCs w:val="44"/>
          <w:lang w:val="en-US"/>
        </w:rPr>
      </w:pPr>
      <w:bookmarkStart w:id="17" w:name="_Toc15396613"/>
      <w:bookmarkStart w:id="18" w:name="_Toc15377225"/>
      <w:r>
        <w:rPr>
          <w:rFonts w:hint="eastAsia" w:ascii="黑体" w:hAnsi="宋体" w:eastAsia="黑体" w:cs="黑体"/>
          <w:color w:val="000000"/>
          <w:kern w:val="2"/>
          <w:sz w:val="44"/>
          <w:szCs w:val="44"/>
          <w:lang w:val="en-US" w:eastAsia="zh-CN" w:bidi="ar"/>
        </w:rPr>
        <w:t>名</w:t>
      </w:r>
      <w:r>
        <w:rPr>
          <w:rFonts w:hint="eastAsia" w:ascii="黑体" w:hAnsi="宋体" w:eastAsia="黑体" w:cs="黑体"/>
          <w:b w:val="0"/>
          <w:bCs/>
          <w:kern w:val="44"/>
          <w:sz w:val="44"/>
          <w:szCs w:val="44"/>
          <w:lang w:val="en-US" w:eastAsia="zh-CN" w:bidi="ar"/>
        </w:rPr>
        <w:t>词解释</w:t>
      </w:r>
      <w:bookmarkEnd w:id="17"/>
      <w:bookmarkEnd w:id="18"/>
    </w:p>
    <w:p>
      <w:pPr>
        <w:keepNext w:val="0"/>
        <w:keepLines w:val="0"/>
        <w:widowControl w:val="0"/>
        <w:suppressLineNumbers w:val="0"/>
        <w:spacing w:before="0" w:beforeAutospacing="0" w:after="0" w:afterAutospacing="0" w:line="600" w:lineRule="exact"/>
        <w:ind w:left="0" w:right="0"/>
        <w:jc w:val="left"/>
        <w:rPr>
          <w:rFonts w:hint="eastAsia" w:ascii="宋体" w:hAnsi="Times New Roman" w:eastAsia="宋体" w:cs="宋体"/>
          <w:b/>
          <w:bCs w:val="0"/>
          <w:color w:val="000000"/>
          <w:sz w:val="44"/>
          <w:szCs w:val="44"/>
          <w:lang w:val="en-US"/>
        </w:rPr>
      </w:pP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1.财政拨款收入：</w:t>
      </w:r>
      <w:r>
        <w:rPr>
          <w:rFonts w:hint="eastAsia" w:ascii="仿宋_GB2312" w:hAnsi="Calibri" w:eastAsia="仿宋_GB2312" w:cs="仿宋_GB2312"/>
          <w:color w:val="000000"/>
          <w:kern w:val="0"/>
          <w:sz w:val="32"/>
          <w:szCs w:val="32"/>
          <w:lang w:val="en-US" w:eastAsia="zh-CN" w:bidi="ar"/>
        </w:rPr>
        <w:t>指单位从同级财政部门取得的财政预算资金。</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2.其他收入：</w:t>
      </w:r>
      <w:r>
        <w:rPr>
          <w:rFonts w:hint="eastAsia" w:ascii="仿宋_GB2312" w:hAnsi="Calibri" w:eastAsia="仿宋_GB2312" w:cs="仿宋_GB2312"/>
          <w:color w:val="000000"/>
          <w:kern w:val="0"/>
          <w:sz w:val="32"/>
          <w:szCs w:val="32"/>
          <w:lang w:val="en-US" w:eastAsia="zh-CN" w:bidi="ar"/>
        </w:rPr>
        <w:t xml:space="preserve">指单位取得的除上述收入以外的各项收入。主要是利息收入。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3.年初结转和结余：</w:t>
      </w:r>
      <w:r>
        <w:rPr>
          <w:rFonts w:hint="eastAsia" w:ascii="仿宋_GB2312" w:hAnsi="Calibri" w:eastAsia="仿宋_GB2312" w:cs="仿宋_GB2312"/>
          <w:color w:val="000000"/>
          <w:kern w:val="0"/>
          <w:sz w:val="32"/>
          <w:szCs w:val="32"/>
          <w:lang w:val="en-US" w:eastAsia="zh-CN" w:bidi="ar"/>
        </w:rPr>
        <w:t xml:space="preserve">指以前年度尚未完成、结转到本年按有关规定继续使用的资金。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b/>
          <w:bCs/>
          <w:color w:val="000000"/>
          <w:kern w:val="0"/>
          <w:sz w:val="32"/>
          <w:szCs w:val="32"/>
          <w:lang w:val="en-US" w:eastAsia="zh-CN" w:bidi="ar"/>
        </w:rPr>
        <w:t>4、年末结转和结余：</w:t>
      </w:r>
      <w:r>
        <w:rPr>
          <w:rFonts w:hint="eastAsia" w:ascii="仿宋_GB2312" w:hAnsi="Calibri" w:eastAsia="仿宋_GB2312" w:cs="仿宋_GB2312"/>
          <w:color w:val="000000"/>
          <w:kern w:val="0"/>
          <w:sz w:val="32"/>
          <w:szCs w:val="32"/>
          <w:lang w:val="en-US" w:eastAsia="zh-CN" w:bidi="ar"/>
        </w:rPr>
        <w:t>指单位按有关规定结转到下年或以后年度继续使用的资金。</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b/>
          <w:bCs/>
          <w:color w:val="000000"/>
          <w:kern w:val="0"/>
          <w:sz w:val="32"/>
          <w:szCs w:val="32"/>
          <w:lang w:val="en-US" w:eastAsia="zh-CN" w:bidi="ar"/>
        </w:rPr>
        <w:t>5.文化旅游体育与传媒支出（207）</w:t>
      </w:r>
      <w:r>
        <w:rPr>
          <w:rFonts w:hint="eastAsia" w:ascii="仿宋_GB2312" w:hAnsi="Calibri" w:eastAsia="仿宋_GB2312" w:cs="仿宋_GB2312"/>
          <w:color w:val="000000"/>
          <w:kern w:val="0"/>
          <w:sz w:val="32"/>
          <w:szCs w:val="32"/>
          <w:lang w:val="en-US" w:eastAsia="zh-CN" w:bidi="ar"/>
        </w:rPr>
        <w:t>：反映政府在文化、旅游、文物、体育 、广播电视、电影、新闻出版等方面的支出。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其他文化旅游体育与传媒支出</w:t>
      </w:r>
      <w:r>
        <w:rPr>
          <w:rFonts w:hint="eastAsia" w:ascii="仿宋_GB2312" w:hAnsi="Calibri" w:eastAsia="仿宋_GB2312" w:cs="仿宋_GB2312"/>
          <w:b/>
          <w:bCs/>
          <w:color w:val="000000"/>
          <w:kern w:val="0"/>
          <w:sz w:val="32"/>
          <w:szCs w:val="32"/>
          <w:lang w:val="en-US" w:eastAsia="zh-CN" w:bidi="ar"/>
        </w:rPr>
        <w:t>（2079999）</w:t>
      </w:r>
      <w:r>
        <w:rPr>
          <w:rFonts w:hint="eastAsia" w:ascii="仿宋_GB2312" w:hAnsi="Calibri" w:eastAsia="仿宋_GB2312" w:cs="仿宋_GB2312"/>
          <w:color w:val="000000"/>
          <w:kern w:val="0"/>
          <w:sz w:val="32"/>
          <w:szCs w:val="32"/>
          <w:lang w:val="en-US" w:eastAsia="zh-CN" w:bidi="ar"/>
        </w:rPr>
        <w:t>：指反映除上述项目以外其他用于文化旅游体育与传媒方面的支出。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6.社会保障和就业支出（</w:t>
      </w:r>
      <w:r>
        <w:rPr>
          <w:rFonts w:hint="eastAsia" w:ascii="仿宋_GB2312" w:eastAsia="仿宋_GB2312" w:cs="仿宋_GB2312"/>
          <w:b/>
          <w:bCs/>
          <w:color w:val="000000"/>
          <w:kern w:val="2"/>
          <w:sz w:val="32"/>
          <w:szCs w:val="32"/>
          <w:lang w:val="en-US" w:eastAsia="zh-CN" w:bidi="ar"/>
        </w:rPr>
        <w:t>208</w:t>
      </w:r>
      <w:r>
        <w:rPr>
          <w:rFonts w:hint="eastAsia" w:ascii="仿宋_GB2312" w:hAnsi="Times New Roman" w:eastAsia="仿宋_GB2312" w:cs="仿宋_GB2312"/>
          <w:b/>
          <w:bCs/>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指</w:t>
      </w:r>
      <w:r>
        <w:rPr>
          <w:rFonts w:hint="eastAsia" w:ascii="仿宋_GB2312" w:hAnsi="Calibri" w:eastAsia="仿宋_GB2312" w:cs="仿宋_GB2312"/>
          <w:color w:val="000000"/>
          <w:kern w:val="0"/>
          <w:sz w:val="32"/>
          <w:szCs w:val="32"/>
          <w:lang w:val="en-US" w:eastAsia="zh-CN" w:bidi="ar"/>
        </w:rPr>
        <w:t>反映政府在社会保障与就业方面的支出，其中：</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eastAsia="仿宋_GB2312" w:cs="仿宋_GB2312"/>
          <w:color w:val="000000"/>
          <w:sz w:val="32"/>
          <w:szCs w:val="32"/>
          <w:lang w:val="en-US" w:eastAsia="zh-CN"/>
        </w:rPr>
        <w:t>机关事业单位基本养老保险费支出</w:t>
      </w:r>
      <w:r>
        <w:rPr>
          <w:rFonts w:hint="eastAsia" w:ascii="仿宋_GB2312" w:eastAsia="仿宋_GB2312" w:cs="仿宋_GB2312"/>
          <w:b/>
          <w:bCs/>
          <w:color w:val="000000"/>
          <w:sz w:val="32"/>
          <w:szCs w:val="32"/>
          <w:lang w:val="en-US" w:eastAsia="zh-CN"/>
        </w:rPr>
        <w:t>（2080505）</w:t>
      </w:r>
      <w:r>
        <w:rPr>
          <w:rFonts w:hint="eastAsia" w:ascii="仿宋_GB2312" w:eastAsia="仿宋_GB2312" w:cs="仿宋_GB2312"/>
          <w:color w:val="000000"/>
          <w:sz w:val="32"/>
          <w:szCs w:val="32"/>
          <w:lang w:val="en-US" w:eastAsia="zh-CN"/>
        </w:rPr>
        <w:t>：指反映机关事业单位实施养老保险制度由单位缴纳的基本养老保险</w:t>
      </w:r>
      <w:r>
        <w:rPr>
          <w:rFonts w:hint="eastAsia" w:ascii="仿宋_GB2312" w:hAnsi="Calibri" w:eastAsia="仿宋_GB2312" w:cs="仿宋_GB2312"/>
          <w:color w:val="000000"/>
          <w:kern w:val="0"/>
          <w:sz w:val="32"/>
          <w:szCs w:val="32"/>
          <w:lang w:val="en-US" w:eastAsia="zh-CN" w:bidi="ar"/>
        </w:rPr>
        <w:t>费支出。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default" w:ascii="仿宋_GB2312" w:hAnsi="Calibri" w:eastAsia="仿宋_GB2312" w:cs="仿宋_GB2312"/>
          <w:color w:val="000000"/>
          <w:kern w:val="0"/>
          <w:sz w:val="32"/>
          <w:szCs w:val="32"/>
          <w:lang w:val="en-US" w:eastAsia="zh-CN" w:bidi="ar"/>
        </w:rPr>
        <w:t>其他社会保障和就业支出</w:t>
      </w:r>
      <w:r>
        <w:rPr>
          <w:rFonts w:hint="eastAsia" w:ascii="仿宋_GB2312" w:hAnsi="Calibri" w:eastAsia="仿宋_GB2312" w:cs="仿宋_GB2312"/>
          <w:b/>
          <w:bCs/>
          <w:color w:val="000000"/>
          <w:kern w:val="0"/>
          <w:sz w:val="32"/>
          <w:szCs w:val="32"/>
          <w:lang w:val="en-US" w:eastAsia="zh-CN" w:bidi="ar"/>
        </w:rPr>
        <w:t>（2089999）</w:t>
      </w:r>
      <w:r>
        <w:rPr>
          <w:rFonts w:hint="eastAsia" w:ascii="仿宋_GB2312" w:hAnsi="Calibri" w:eastAsia="仿宋_GB2312" w:cs="仿宋_GB2312"/>
          <w:color w:val="000000"/>
          <w:kern w:val="0"/>
          <w:sz w:val="32"/>
          <w:szCs w:val="32"/>
          <w:lang w:val="en-US" w:eastAsia="zh-CN" w:bidi="ar"/>
        </w:rPr>
        <w:t>：指反映除上述项目以外其他用于社会保障和就业方面的支出。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7.卫生健康支出（210）：</w:t>
      </w:r>
      <w:r>
        <w:rPr>
          <w:rFonts w:hint="eastAsia" w:ascii="仿宋_GB2312" w:hAnsi="Calibri" w:eastAsia="仿宋_GB2312" w:cs="仿宋_GB2312"/>
          <w:color w:val="000000"/>
          <w:kern w:val="0"/>
          <w:sz w:val="32"/>
          <w:szCs w:val="32"/>
          <w:lang w:val="en-US" w:eastAsia="zh-CN" w:bidi="ar"/>
        </w:rPr>
        <w:t>指反映政府卫生健康方面的支出。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b w:val="0"/>
          <w:color w:val="000000"/>
          <w:kern w:val="2"/>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行政单位医疗</w:t>
      </w:r>
      <w:r>
        <w:rPr>
          <w:rFonts w:hint="eastAsia" w:ascii="仿宋_GB2312" w:hAnsi="Calibri" w:eastAsia="仿宋_GB2312" w:cs="仿宋_GB2312"/>
          <w:b/>
          <w:bCs/>
          <w:color w:val="000000"/>
          <w:kern w:val="0"/>
          <w:sz w:val="32"/>
          <w:szCs w:val="32"/>
          <w:lang w:val="en-US" w:eastAsia="zh-CN" w:bidi="ar"/>
        </w:rPr>
        <w:t>（2101101）：</w:t>
      </w:r>
      <w:r>
        <w:rPr>
          <w:rFonts w:hint="eastAsia" w:ascii="仿宋_GB2312" w:hAnsi="Calibri" w:eastAsia="仿宋_GB2312" w:cs="仿宋_GB2312"/>
          <w:color w:val="000000"/>
          <w:kern w:val="0"/>
          <w:sz w:val="32"/>
          <w:szCs w:val="32"/>
          <w:lang w:val="en-US" w:eastAsia="zh-CN" w:bidi="ar"/>
        </w:rPr>
        <w:t>指反映</w:t>
      </w:r>
      <w:r>
        <w:rPr>
          <w:rFonts w:hint="eastAsia" w:ascii="仿宋_GB2312" w:hAnsi="Times New Roman" w:eastAsia="仿宋_GB2312" w:cs="仿宋_GB2312"/>
          <w:b w:val="0"/>
          <w:color w:val="000000"/>
          <w:kern w:val="2"/>
          <w:sz w:val="32"/>
          <w:szCs w:val="32"/>
          <w:lang w:val="en-US" w:eastAsia="zh-CN" w:bidi="ar"/>
        </w:rPr>
        <w:t>财政部门安排的行政单位（包括实行公务员管理的事业单位）基本医疗保险缴费经费，未参加医疗保险的行政单位的公费医疗经费，按国家规定享受离休人员、红军老战士待遇人员的医疗经费。</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8.农林水支出（213）：</w:t>
      </w:r>
      <w:r>
        <w:rPr>
          <w:rFonts w:hint="eastAsia" w:ascii="仿宋_GB2312" w:hAnsi="Calibri" w:eastAsia="仿宋_GB2312" w:cs="仿宋_GB2312"/>
          <w:color w:val="000000"/>
          <w:kern w:val="0"/>
          <w:sz w:val="32"/>
          <w:szCs w:val="32"/>
          <w:lang w:val="en-US" w:eastAsia="zh-CN" w:bidi="ar"/>
        </w:rPr>
        <w:t>指反映政府农林水事务支出。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其他扶贫支出</w:t>
      </w:r>
      <w:r>
        <w:rPr>
          <w:rFonts w:hint="eastAsia" w:ascii="仿宋_GB2312" w:hAnsi="Calibri" w:eastAsia="仿宋_GB2312" w:cs="仿宋_GB2312"/>
          <w:b/>
          <w:bCs/>
          <w:color w:val="000000"/>
          <w:kern w:val="0"/>
          <w:sz w:val="32"/>
          <w:szCs w:val="32"/>
          <w:lang w:val="en-US" w:eastAsia="zh-CN" w:bidi="ar"/>
        </w:rPr>
        <w:t>（2130599）：</w:t>
      </w:r>
      <w:r>
        <w:rPr>
          <w:rFonts w:hint="eastAsia" w:ascii="仿宋_GB2312" w:hAnsi="Calibri" w:eastAsia="仿宋_GB2312" w:cs="仿宋_GB2312"/>
          <w:color w:val="000000"/>
          <w:kern w:val="0"/>
          <w:sz w:val="32"/>
          <w:szCs w:val="32"/>
          <w:lang w:val="en-US" w:eastAsia="zh-CN" w:bidi="ar"/>
        </w:rPr>
        <w:t>指反映除上述项目以外其他用于扶贫方面的支出。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left"/>
        <w:rPr>
          <w:rFonts w:hint="eastAsia" w:ascii="仿宋_GB2312" w:hAnsi="Calibri" w:eastAsia="仿宋_GB2312" w:cs="仿宋_GB2312"/>
          <w:color w:val="FF0000"/>
          <w:kern w:val="0"/>
          <w:sz w:val="32"/>
          <w:szCs w:val="32"/>
          <w:u w:val="none"/>
          <w:lang w:val="en-US" w:eastAsia="zh-CN" w:bidi="ar"/>
        </w:rPr>
      </w:pPr>
      <w:r>
        <w:rPr>
          <w:rFonts w:hint="eastAsia" w:ascii="仿宋_GB2312" w:hAnsi="Times New Roman" w:eastAsia="仿宋_GB2312" w:cs="仿宋_GB2312"/>
          <w:b/>
          <w:bCs/>
          <w:color w:val="000000"/>
          <w:kern w:val="2"/>
          <w:sz w:val="32"/>
          <w:szCs w:val="32"/>
          <w:lang w:val="en-US" w:eastAsia="zh-CN" w:bidi="ar"/>
        </w:rPr>
        <w:t>9.</w:t>
      </w:r>
      <w:r>
        <w:rPr>
          <w:rFonts w:hint="eastAsia" w:ascii="仿宋_GB2312" w:hAnsi="Times New Roman" w:eastAsia="仿宋_GB2312" w:cs="仿宋_GB2312"/>
          <w:b/>
          <w:bCs/>
          <w:color w:val="000000"/>
          <w:kern w:val="2"/>
          <w:sz w:val="32"/>
          <w:szCs w:val="32"/>
          <w:u w:val="none"/>
          <w:lang w:val="en-US" w:eastAsia="zh-CN" w:bidi="ar"/>
        </w:rPr>
        <w:t>资源勘探工业信息等支出（</w:t>
      </w:r>
      <w:r>
        <w:rPr>
          <w:rFonts w:hint="eastAsia" w:ascii="仿宋_GB2312" w:eastAsia="仿宋_GB2312" w:cs="仿宋_GB2312"/>
          <w:b/>
          <w:bCs/>
          <w:color w:val="000000"/>
          <w:kern w:val="2"/>
          <w:sz w:val="32"/>
          <w:szCs w:val="32"/>
          <w:u w:val="none"/>
          <w:lang w:val="en-US" w:eastAsia="zh-CN" w:bidi="ar"/>
        </w:rPr>
        <w:t>215</w:t>
      </w:r>
      <w:r>
        <w:rPr>
          <w:rFonts w:hint="eastAsia" w:ascii="仿宋_GB2312" w:hAnsi="Times New Roman" w:eastAsia="仿宋_GB2312" w:cs="仿宋_GB2312"/>
          <w:b/>
          <w:bCs/>
          <w:color w:val="000000"/>
          <w:kern w:val="2"/>
          <w:sz w:val="32"/>
          <w:szCs w:val="32"/>
          <w:u w:val="none"/>
          <w:lang w:val="en-US" w:eastAsia="zh-CN" w:bidi="ar"/>
        </w:rPr>
        <w:t>）：</w:t>
      </w:r>
      <w:r>
        <w:rPr>
          <w:rFonts w:hint="eastAsia" w:ascii="仿宋_GB2312" w:hAnsi="Times New Roman" w:eastAsia="仿宋_GB2312" w:cs="仿宋_GB2312"/>
          <w:color w:val="auto"/>
          <w:kern w:val="2"/>
          <w:sz w:val="32"/>
          <w:szCs w:val="32"/>
          <w:u w:val="none"/>
          <w:lang w:val="en-US" w:eastAsia="zh-CN" w:bidi="ar"/>
        </w:rPr>
        <w:t>指</w:t>
      </w:r>
      <w:r>
        <w:rPr>
          <w:rFonts w:hint="eastAsia" w:ascii="仿宋_GB2312" w:hAnsi="Calibri" w:eastAsia="仿宋_GB2312" w:cs="仿宋_GB2312"/>
          <w:color w:val="auto"/>
          <w:kern w:val="0"/>
          <w:sz w:val="32"/>
          <w:szCs w:val="32"/>
          <w:u w:val="none"/>
          <w:lang w:val="en-US" w:eastAsia="zh-CN" w:bidi="ar"/>
        </w:rPr>
        <w:t>反映用于资源勘探、制造业、建筑业、工业信息等方面支出。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u w:val="none"/>
          <w:lang w:val="en-US" w:eastAsia="zh-CN" w:bidi="ar"/>
        </w:rPr>
        <w:t>中小企业发展专项</w:t>
      </w:r>
      <w:r>
        <w:rPr>
          <w:rFonts w:hint="eastAsia" w:ascii="仿宋_GB2312" w:hAnsi="Calibri" w:eastAsia="仿宋_GB2312" w:cs="仿宋_GB2312"/>
          <w:b/>
          <w:bCs/>
          <w:color w:val="000000"/>
          <w:kern w:val="0"/>
          <w:sz w:val="32"/>
          <w:szCs w:val="32"/>
          <w:u w:val="none"/>
          <w:lang w:val="en-US" w:eastAsia="zh-CN" w:bidi="ar"/>
        </w:rPr>
        <w:t>（2150805）</w:t>
      </w:r>
      <w:r>
        <w:rPr>
          <w:rFonts w:hint="eastAsia" w:ascii="仿宋_GB2312" w:hAnsi="Calibri" w:eastAsia="仿宋_GB2312" w:cs="仿宋_GB2312"/>
          <w:color w:val="000000"/>
          <w:kern w:val="0"/>
          <w:sz w:val="32"/>
          <w:szCs w:val="32"/>
          <w:u w:val="none"/>
          <w:lang w:val="en-US" w:eastAsia="zh-CN" w:bidi="ar"/>
        </w:rPr>
        <w:t>：</w:t>
      </w:r>
      <w:r>
        <w:rPr>
          <w:rFonts w:hint="eastAsia" w:ascii="仿宋_GB2312" w:hAnsi="Calibri" w:eastAsia="仿宋_GB2312" w:cs="仿宋_GB2312"/>
          <w:i w:val="0"/>
          <w:iCs w:val="0"/>
          <w:color w:val="auto"/>
          <w:kern w:val="0"/>
          <w:sz w:val="32"/>
          <w:szCs w:val="32"/>
          <w:u w:val="none"/>
          <w:lang w:val="en-US" w:eastAsia="zh-CN" w:bidi="ar"/>
        </w:rPr>
        <w:t>指反映用于支持中小企业公共服务体系和融资服务体系建设等方面的支出。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both"/>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10.</w:t>
      </w:r>
      <w:r>
        <w:rPr>
          <w:rFonts w:hint="default" w:ascii="仿宋_GB2312" w:hAnsi="Times New Roman" w:eastAsia="仿宋_GB2312" w:cs="仿宋_GB2312"/>
          <w:b/>
          <w:bCs/>
          <w:color w:val="000000"/>
          <w:kern w:val="2"/>
          <w:sz w:val="32"/>
          <w:szCs w:val="32"/>
          <w:lang w:val="en-US" w:eastAsia="zh-CN" w:bidi="ar"/>
        </w:rPr>
        <w:t>商业服务业等支出</w:t>
      </w:r>
      <w:r>
        <w:rPr>
          <w:rFonts w:hint="eastAsia" w:ascii="仿宋_GB2312" w:hAnsi="Times New Roman" w:eastAsia="仿宋_GB2312" w:cs="仿宋_GB2312"/>
          <w:b/>
          <w:bCs/>
          <w:color w:val="000000"/>
          <w:kern w:val="2"/>
          <w:sz w:val="32"/>
          <w:szCs w:val="32"/>
          <w:lang w:val="en-US" w:eastAsia="zh-CN" w:bidi="ar"/>
        </w:rPr>
        <w:t>（216）：</w:t>
      </w:r>
      <w:r>
        <w:rPr>
          <w:rFonts w:hint="eastAsia" w:ascii="仿宋_GB2312" w:hAnsi="Calibri" w:eastAsia="仿宋_GB2312" w:cs="仿宋_GB2312"/>
          <w:color w:val="000000"/>
          <w:kern w:val="0"/>
          <w:sz w:val="32"/>
          <w:szCs w:val="32"/>
          <w:lang w:val="en-US" w:eastAsia="zh-CN" w:bidi="ar"/>
        </w:rPr>
        <w:t>指反映商业服务业等方面的支出，其中：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（2160201）：</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指反映行政单位（包括实行公务员管理的事业单位）的基本支出。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（2160202）：</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指反映行政单位（包括实行公务员管理的事业单位）未单独设置项级科目的其他项目支出。</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（2160250）：</w:t>
      </w:r>
      <w:r>
        <w:rPr>
          <w:rFonts w:hint="eastAsia" w:ascii="仿宋" w:hAnsi="仿宋" w:eastAsia="仿宋" w:cs="仿宋"/>
          <w:kern w:val="2"/>
          <w:sz w:val="32"/>
          <w:szCs w:val="32"/>
          <w:lang w:val="en-US" w:eastAsia="zh-CN" w:bidi="ar-SA"/>
        </w:rPr>
        <w:t>指反映事业单位的基本支出，不包括行政单位（包括实行公务员管理的事业单位）后勤服务中心、医务室等附属事业单位。</w:t>
      </w:r>
      <w:r>
        <w:rPr>
          <w:rFonts w:hint="eastAsia" w:ascii="仿宋_GB2312" w:hAnsi="Calibri" w:eastAsia="仿宋_GB2312" w:cs="仿宋_GB2312"/>
          <w:b w:val="0"/>
          <w:bCs w:val="0"/>
          <w:color w:val="000000"/>
          <w:kern w:val="0"/>
          <w:sz w:val="32"/>
          <w:szCs w:val="32"/>
          <w:lang w:val="en-US" w:eastAsia="zh-CN" w:bidi="ar"/>
        </w:rPr>
        <w:tab/>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kern w:val="0"/>
          <w:sz w:val="32"/>
          <w:szCs w:val="32"/>
          <w:lang w:val="en-US" w:eastAsia="zh-CN" w:bidi="ar"/>
        </w:rPr>
        <w:t>（2160299）：</w:t>
      </w:r>
      <w:r>
        <w:rPr>
          <w:rFonts w:hint="eastAsia" w:ascii="仿宋_GB2312" w:hAnsi="Calibri" w:eastAsia="仿宋_GB2312" w:cs="仿宋_GB2312"/>
          <w:color w:val="000000"/>
          <w:kern w:val="0"/>
          <w:sz w:val="32"/>
          <w:szCs w:val="32"/>
          <w:lang w:val="en-US" w:eastAsia="zh-CN" w:bidi="ar"/>
        </w:rPr>
        <w:t>指反映除上述项目以外其他用于商业流通事务方面的支出。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其他涉外发展服务支出</w:t>
      </w:r>
      <w:r>
        <w:rPr>
          <w:rFonts w:hint="eastAsia" w:ascii="仿宋_GB2312" w:hAnsi="Calibri" w:eastAsia="仿宋_GB2312" w:cs="仿宋_GB2312"/>
          <w:b/>
          <w:bCs/>
          <w:color w:val="000000"/>
          <w:kern w:val="0"/>
          <w:sz w:val="32"/>
          <w:szCs w:val="32"/>
          <w:lang w:val="en-US" w:eastAsia="zh-CN" w:bidi="ar"/>
        </w:rPr>
        <w:t>（2160699）：</w:t>
      </w:r>
      <w:r>
        <w:rPr>
          <w:rFonts w:hint="eastAsia" w:ascii="仿宋_GB2312" w:hAnsi="Calibri" w:eastAsia="仿宋_GB2312" w:cs="仿宋_GB2312"/>
          <w:color w:val="000000"/>
          <w:kern w:val="0"/>
          <w:sz w:val="32"/>
          <w:szCs w:val="32"/>
          <w:lang w:val="en-US" w:eastAsia="zh-CN" w:bidi="ar"/>
        </w:rPr>
        <w:t>指反映除上述项目以外其他用于涉外发展事务方面的支出。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default" w:ascii="仿宋_GB2312" w:hAnsi="Calibri" w:eastAsia="仿宋_GB2312" w:cs="仿宋_GB2312"/>
          <w:color w:val="000000"/>
          <w:kern w:val="0"/>
          <w:sz w:val="32"/>
          <w:szCs w:val="32"/>
          <w:lang w:val="en-US" w:eastAsia="zh-CN" w:bidi="ar"/>
        </w:rPr>
        <w:t>其他商业服务业等支出</w:t>
      </w:r>
      <w:r>
        <w:rPr>
          <w:rFonts w:hint="eastAsia" w:ascii="仿宋_GB2312" w:hAnsi="Calibri" w:eastAsia="仿宋_GB2312" w:cs="仿宋_GB2312"/>
          <w:b/>
          <w:bCs/>
          <w:color w:val="000000"/>
          <w:kern w:val="0"/>
          <w:sz w:val="32"/>
          <w:szCs w:val="32"/>
          <w:lang w:val="en-US" w:eastAsia="zh-CN" w:bidi="ar"/>
        </w:rPr>
        <w:t>（2169999）：</w:t>
      </w:r>
      <w:r>
        <w:rPr>
          <w:rFonts w:hint="eastAsia" w:ascii="仿宋_GB2312" w:hAnsi="Calibri" w:eastAsia="仿宋_GB2312" w:cs="仿宋_GB2312"/>
          <w:color w:val="auto"/>
          <w:kern w:val="0"/>
          <w:sz w:val="32"/>
          <w:szCs w:val="32"/>
          <w:lang w:val="en-US" w:eastAsia="zh-CN" w:bidi="ar"/>
        </w:rPr>
        <w:t>指反映其他商业服务业等支出中除上述项目以外的其他支出。</w:t>
      </w:r>
    </w:p>
    <w:p>
      <w:pPr>
        <w:keepNext w:val="0"/>
        <w:keepLines w:val="0"/>
        <w:widowControl w:val="0"/>
        <w:numPr>
          <w:ilvl w:val="0"/>
          <w:numId w:val="0"/>
        </w:numPr>
        <w:suppressLineNumbers w:val="0"/>
        <w:spacing w:before="0" w:beforeAutospacing="0" w:after="0" w:afterAutospacing="0"/>
        <w:ind w:right="0" w:rightChars="0" w:firstLine="642" w:firstLineChars="200"/>
        <w:jc w:val="left"/>
        <w:rPr>
          <w:rFonts w:hint="eastAsia"/>
          <w:lang w:val="en-US"/>
        </w:rPr>
      </w:pPr>
      <w:r>
        <w:rPr>
          <w:rFonts w:hint="eastAsia" w:ascii="仿宋_GB2312" w:eastAsia="仿宋_GB2312" w:cs="仿宋_GB2312"/>
          <w:b/>
          <w:bCs/>
          <w:color w:val="000000"/>
          <w:kern w:val="2"/>
          <w:sz w:val="32"/>
          <w:szCs w:val="32"/>
          <w:lang w:val="en-US" w:eastAsia="zh-CN" w:bidi="ar"/>
        </w:rPr>
        <w:t>11.</w:t>
      </w:r>
      <w:r>
        <w:rPr>
          <w:rFonts w:hint="eastAsia" w:ascii="仿宋_GB2312" w:hAnsi="Times New Roman" w:eastAsia="仿宋_GB2312" w:cs="仿宋_GB2312"/>
          <w:b/>
          <w:bCs/>
          <w:color w:val="000000"/>
          <w:kern w:val="2"/>
          <w:sz w:val="32"/>
          <w:szCs w:val="32"/>
          <w:lang w:val="en-US" w:eastAsia="zh-CN" w:bidi="ar"/>
        </w:rPr>
        <w:t>住房保障（221）：</w:t>
      </w:r>
      <w:r>
        <w:rPr>
          <w:rFonts w:hint="eastAsia" w:ascii="仿宋_GB2312" w:hAnsi="Times New Roman" w:eastAsia="仿宋_GB2312" w:cs="仿宋_GB2312"/>
          <w:color w:val="000000"/>
          <w:kern w:val="2"/>
          <w:sz w:val="32"/>
          <w:szCs w:val="32"/>
          <w:lang w:val="en-US" w:eastAsia="zh-CN" w:bidi="ar"/>
        </w:rPr>
        <w:t>指集中反映政府用于住房方面的支出。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住房公积金</w:t>
      </w:r>
      <w:r>
        <w:rPr>
          <w:rFonts w:hint="eastAsia" w:ascii="仿宋_GB2312" w:hAnsi="Times New Roman" w:eastAsia="仿宋_GB2312" w:cs="仿宋_GB2312"/>
          <w:b/>
          <w:bCs/>
          <w:color w:val="000000"/>
          <w:kern w:val="2"/>
          <w:sz w:val="32"/>
          <w:szCs w:val="32"/>
          <w:lang w:val="en-US" w:eastAsia="zh-CN" w:bidi="ar"/>
        </w:rPr>
        <w:t>（2210201）</w:t>
      </w:r>
      <w:r>
        <w:rPr>
          <w:rFonts w:hint="eastAsia" w:ascii="仿宋_GB2312" w:hAnsi="Times New Roman" w:eastAsia="仿宋_GB2312" w:cs="仿宋_GB2312"/>
          <w:color w:val="000000"/>
          <w:kern w:val="2"/>
          <w:sz w:val="32"/>
          <w:szCs w:val="32"/>
          <w:lang w:val="en-US" w:eastAsia="zh-CN" w:bidi="ar"/>
        </w:rPr>
        <w:t>：指反映行政事业单位按人力资源和社会保障部、财政部规定的基本工资和津贴补贴以及规定比例为职工缴纳的住房公积金。</w:t>
      </w:r>
    </w:p>
    <w:p>
      <w:pPr>
        <w:keepNext w:val="0"/>
        <w:keepLines w:val="0"/>
        <w:widowControl w:val="0"/>
        <w:suppressLineNumbers w:val="0"/>
        <w:spacing w:before="0" w:beforeAutospacing="0" w:after="0" w:afterAutospacing="0"/>
        <w:ind w:left="0" w:right="0" w:firstLine="642" w:firstLineChars="200"/>
        <w:jc w:val="both"/>
        <w:rPr>
          <w:rFonts w:hint="eastAsia" w:ascii="仿宋_GB2312" w:eastAsia="仿宋_GB2312" w:cs="仿宋_GB2312"/>
          <w:color w:val="000000"/>
          <w:sz w:val="32"/>
          <w:szCs w:val="32"/>
          <w:lang w:val="en-US"/>
        </w:rPr>
      </w:pPr>
      <w:r>
        <w:rPr>
          <w:rFonts w:hint="eastAsia" w:ascii="仿宋_GB2312" w:eastAsia="仿宋_GB2312" w:cs="仿宋_GB2312"/>
          <w:b/>
          <w:bCs/>
          <w:color w:val="000000"/>
          <w:kern w:val="2"/>
          <w:sz w:val="32"/>
          <w:szCs w:val="32"/>
          <w:lang w:val="en-US" w:eastAsia="zh-CN" w:bidi="ar"/>
        </w:rPr>
        <w:t>12.基本支出：</w:t>
      </w:r>
      <w:r>
        <w:rPr>
          <w:rFonts w:hint="eastAsia" w:ascii="仿宋_GB2312" w:hAnsi="Times New Roman" w:eastAsia="仿宋_GB2312" w:cs="仿宋_GB2312"/>
          <w:color w:val="000000"/>
          <w:kern w:val="2"/>
          <w:sz w:val="32"/>
          <w:szCs w:val="32"/>
          <w:lang w:val="en-US" w:eastAsia="zh-CN" w:bidi="ar"/>
        </w:rPr>
        <w:t>指为保障机构正常运转、完成日常工作任务而发生的人员支出和公用支出。</w:t>
      </w:r>
    </w:p>
    <w:p>
      <w:pPr>
        <w:keepNext w:val="0"/>
        <w:keepLines w:val="0"/>
        <w:widowControl w:val="0"/>
        <w:suppressLineNumbers w:val="0"/>
        <w:spacing w:before="0" w:beforeAutospacing="0" w:after="0" w:afterAutospacing="0"/>
        <w:ind w:left="0" w:right="0" w:firstLine="642" w:firstLineChars="200"/>
        <w:jc w:val="both"/>
        <w:rPr>
          <w:rFonts w:hint="eastAsia" w:ascii="仿宋_GB2312" w:eastAsia="仿宋_GB2312" w:cs="仿宋_GB2312"/>
          <w:color w:val="000000"/>
          <w:sz w:val="32"/>
          <w:szCs w:val="32"/>
          <w:lang w:val="en-US"/>
        </w:rPr>
      </w:pPr>
      <w:r>
        <w:rPr>
          <w:rFonts w:hint="eastAsia" w:ascii="仿宋_GB2312" w:eastAsia="仿宋_GB2312" w:cs="仿宋_GB2312"/>
          <w:b/>
          <w:bCs/>
          <w:color w:val="000000"/>
          <w:kern w:val="2"/>
          <w:sz w:val="32"/>
          <w:szCs w:val="32"/>
          <w:lang w:val="en-US" w:eastAsia="zh-CN" w:bidi="ar"/>
        </w:rPr>
        <w:t>13.项目支出：</w:t>
      </w:r>
      <w:r>
        <w:rPr>
          <w:rFonts w:hint="eastAsia" w:ascii="仿宋_GB2312" w:hAnsi="Times New Roman" w:eastAsia="仿宋_GB2312" w:cs="仿宋_GB2312"/>
          <w:color w:val="000000"/>
          <w:kern w:val="2"/>
          <w:sz w:val="32"/>
          <w:szCs w:val="32"/>
          <w:lang w:val="en-US" w:eastAsia="zh-CN" w:bidi="ar"/>
        </w:rPr>
        <w:t xml:space="preserve">指在基本支出之外为完成特定行政任务和事业发展目标所发生的支出。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bCs/>
          <w:color w:val="000000"/>
          <w:kern w:val="2"/>
          <w:sz w:val="32"/>
          <w:szCs w:val="32"/>
          <w:lang w:val="en-US" w:eastAsia="zh-CN" w:bidi="ar"/>
        </w:rPr>
        <w:t>14.“三公”经费：</w:t>
      </w:r>
      <w:r>
        <w:rPr>
          <w:rFonts w:hint="eastAsia" w:ascii="仿宋_GB2312" w:hAnsi="Calibri" w:eastAsia="仿宋_GB2312" w:cs="仿宋_GB2312"/>
          <w:color w:val="000000"/>
          <w:kern w:val="0"/>
          <w:sz w:val="32"/>
          <w:szCs w:val="32"/>
          <w:lang w:val="en-US" w:eastAsia="zh-CN" w:bidi="ar"/>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15.机关运行经费：</w:t>
      </w:r>
      <w:r>
        <w:rPr>
          <w:rFonts w:hint="eastAsia" w:ascii="仿宋_GB2312" w:hAnsi="Calibri" w:eastAsia="仿宋_GB2312" w:cs="仿宋_GB2312"/>
          <w:color w:val="000000"/>
          <w:kern w:val="0"/>
          <w:sz w:val="32"/>
          <w:szCs w:val="32"/>
          <w:lang w:val="en-US" w:eastAsia="zh-CN" w:bidi="ar"/>
        </w:rPr>
        <w:t>为保障行政单位（含参照公务员法管理的事业单位）运行用于购买货物和服务的各项资金，包括办公及印刷费、手续费、邮电费、差旅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beforeLines="0" w:afterLines="0" w:line="560" w:lineRule="exact"/>
        <w:ind w:firstLine="640"/>
        <w:jc w:val="center"/>
        <w:textAlignment w:val="auto"/>
        <w:rPr>
          <w:rFonts w:hint="eastAsia" w:ascii="黑体" w:hAnsi="宋体" w:eastAsia="黑体" w:cs="黑体"/>
          <w:color w:val="000000"/>
          <w:kern w:val="2"/>
          <w:sz w:val="44"/>
          <w:szCs w:val="44"/>
          <w:lang w:val="en-US" w:eastAsia="zh-CN" w:bidi="ar"/>
        </w:rPr>
      </w:pPr>
    </w:p>
    <w:p>
      <w:pPr>
        <w:pStyle w:val="10"/>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10"/>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10"/>
        <w:rPr>
          <w:rFonts w:hint="eastAsia" w:ascii="黑体" w:hAnsi="宋体" w:eastAsia="黑体" w:cs="黑体"/>
          <w:color w:val="000000"/>
          <w:kern w:val="2"/>
          <w:sz w:val="44"/>
          <w:szCs w:val="44"/>
          <w:lang w:val="en-US" w:eastAsia="zh-CN" w:bidi="ar"/>
        </w:rPr>
      </w:pPr>
    </w:p>
    <w:p>
      <w:pPr>
        <w:pStyle w:val="10"/>
        <w:rPr>
          <w:rFonts w:hint="eastAsia"/>
          <w:lang w:val="en-US" w:eastAsia="zh-CN"/>
        </w:rPr>
      </w:pPr>
    </w:p>
    <w:p>
      <w:pPr>
        <w:keepNext w:val="0"/>
        <w:keepLines w:val="0"/>
        <w:pageBreakBefore w:val="0"/>
        <w:kinsoku/>
        <w:wordWrap/>
        <w:overflowPunct/>
        <w:topLinePunct w:val="0"/>
        <w:bidi w:val="0"/>
        <w:snapToGrid/>
        <w:spacing w:beforeLines="0" w:afterLines="0" w:line="560" w:lineRule="exact"/>
        <w:ind w:firstLine="640"/>
        <w:jc w:val="center"/>
        <w:textAlignment w:val="auto"/>
        <w:rPr>
          <w:rFonts w:hint="eastAsia" w:ascii="仿宋" w:hAnsi="仿宋" w:eastAsia="仿宋" w:cs="仿宋"/>
          <w:b w:val="0"/>
          <w:bCs/>
          <w:color w:val="auto"/>
          <w:sz w:val="32"/>
          <w:szCs w:val="32"/>
          <w:lang w:val="en-US" w:eastAsia="zh-CN"/>
        </w:rPr>
      </w:pPr>
      <w:r>
        <w:rPr>
          <w:rFonts w:hint="eastAsia" w:ascii="黑体" w:hAnsi="宋体" w:eastAsia="黑体" w:cs="黑体"/>
          <w:color w:val="000000"/>
          <w:kern w:val="2"/>
          <w:sz w:val="44"/>
          <w:szCs w:val="44"/>
          <w:lang w:val="en-US" w:eastAsia="zh-CN" w:bidi="ar"/>
        </w:rPr>
        <w:t>第四部分  附件</w:t>
      </w:r>
    </w:p>
    <w:p>
      <w:pPr>
        <w:widowControl/>
        <w:spacing w:line="580" w:lineRule="exact"/>
        <w:contextualSpacing/>
        <w:jc w:val="center"/>
        <w:rPr>
          <w:rFonts w:hint="eastAsia" w:ascii="方正大标宋简体" w:hAnsi="方正大标宋简体" w:eastAsia="方正大标宋简体" w:cs="方正大标宋简体"/>
          <w:b w:val="0"/>
          <w:bCs w:val="0"/>
          <w:sz w:val="36"/>
          <w:szCs w:val="36"/>
          <w:lang w:eastAsia="zh-CN"/>
        </w:rPr>
      </w:pPr>
    </w:p>
    <w:p>
      <w:pPr>
        <w:widowControl/>
        <w:spacing w:line="580" w:lineRule="exact"/>
        <w:contextualSpacing/>
        <w:jc w:val="center"/>
        <w:rPr>
          <w:rFonts w:hint="eastAsia" w:ascii="方正大标宋简体" w:hAnsi="方正大标宋简体" w:eastAsia="方正大标宋简体" w:cs="方正大标宋简体"/>
          <w:b w:val="0"/>
          <w:bCs w:val="0"/>
          <w:sz w:val="36"/>
          <w:szCs w:val="36"/>
          <w:lang w:eastAsia="zh-CN"/>
        </w:rPr>
      </w:pPr>
      <w:r>
        <w:rPr>
          <w:rFonts w:hint="eastAsia" w:ascii="方正大标宋简体" w:hAnsi="方正大标宋简体" w:eastAsia="方正大标宋简体" w:cs="方正大标宋简体"/>
          <w:b w:val="0"/>
          <w:bCs w:val="0"/>
          <w:sz w:val="36"/>
          <w:szCs w:val="36"/>
          <w:lang w:eastAsia="zh-CN"/>
        </w:rPr>
        <w:t>广元市朝天区商务局</w:t>
      </w:r>
    </w:p>
    <w:p>
      <w:pPr>
        <w:widowControl/>
        <w:spacing w:line="580" w:lineRule="exact"/>
        <w:contextualSpacing/>
        <w:jc w:val="center"/>
        <w:rPr>
          <w:rFonts w:hint="eastAsia"/>
          <w:color w:val="FF0000"/>
        </w:rPr>
      </w:pPr>
      <w:r>
        <w:rPr>
          <w:rFonts w:hint="eastAsia" w:ascii="方正大标宋简体" w:hAnsi="方正大标宋简体" w:eastAsia="方正大标宋简体" w:cs="方正大标宋简体"/>
          <w:b w:val="0"/>
          <w:bCs w:val="0"/>
          <w:sz w:val="36"/>
          <w:szCs w:val="36"/>
          <w:shd w:val="clear" w:color="auto" w:fill="FFFFFF"/>
        </w:rPr>
        <w:t>202</w:t>
      </w:r>
      <w:r>
        <w:rPr>
          <w:rFonts w:hint="eastAsia" w:ascii="方正大标宋简体" w:hAnsi="方正大标宋简体" w:eastAsia="方正大标宋简体" w:cs="方正大标宋简体"/>
          <w:b w:val="0"/>
          <w:bCs w:val="0"/>
          <w:sz w:val="36"/>
          <w:szCs w:val="36"/>
          <w:shd w:val="clear" w:color="auto" w:fill="FFFFFF"/>
          <w:lang w:val="en-US" w:eastAsia="zh-CN"/>
        </w:rPr>
        <w:t>2</w:t>
      </w:r>
      <w:r>
        <w:rPr>
          <w:rFonts w:hint="eastAsia" w:ascii="方正大标宋简体" w:hAnsi="方正大标宋简体" w:eastAsia="方正大标宋简体" w:cs="方正大标宋简体"/>
          <w:b w:val="0"/>
          <w:bCs w:val="0"/>
          <w:sz w:val="36"/>
          <w:szCs w:val="36"/>
          <w:shd w:val="clear" w:color="auto" w:fill="FFFFFF"/>
        </w:rPr>
        <w:t>年</w:t>
      </w:r>
      <w:r>
        <w:rPr>
          <w:rFonts w:hint="eastAsia" w:ascii="方正大标宋简体" w:hAnsi="方正大标宋简体" w:eastAsia="方正大标宋简体" w:cs="方正大标宋简体"/>
          <w:b w:val="0"/>
          <w:bCs w:val="0"/>
          <w:sz w:val="36"/>
          <w:szCs w:val="36"/>
          <w:shd w:val="clear" w:color="auto" w:fill="FFFFFF"/>
          <w:lang w:val="en-US" w:eastAsia="zh-CN"/>
        </w:rPr>
        <w:t>度</w:t>
      </w:r>
      <w:r>
        <w:rPr>
          <w:rFonts w:hint="eastAsia" w:ascii="方正大标宋简体" w:hAnsi="方正大标宋简体" w:eastAsia="方正大标宋简体" w:cs="方正大标宋简体"/>
          <w:b w:val="0"/>
          <w:bCs w:val="0"/>
          <w:sz w:val="36"/>
          <w:szCs w:val="36"/>
          <w:shd w:val="clear" w:color="auto" w:fill="FFFFFF"/>
        </w:rPr>
        <w:t>部门整体</w:t>
      </w:r>
      <w:r>
        <w:rPr>
          <w:rFonts w:hint="eastAsia" w:ascii="方正大标宋简体" w:hAnsi="方正大标宋简体" w:eastAsia="方正大标宋简体" w:cs="方正大标宋简体"/>
          <w:b w:val="0"/>
          <w:bCs w:val="0"/>
          <w:color w:val="auto"/>
          <w:sz w:val="36"/>
          <w:szCs w:val="36"/>
          <w:shd w:val="clear" w:color="auto" w:fill="FFFFFF"/>
        </w:rPr>
        <w:t>绩效自评报告</w:t>
      </w:r>
    </w:p>
    <w:p>
      <w:pPr>
        <w:keepNext w:val="0"/>
        <w:keepLines w:val="0"/>
        <w:pageBreakBefore w:val="0"/>
        <w:widowControl/>
        <w:kinsoku/>
        <w:wordWrap/>
        <w:overflowPunct/>
        <w:topLinePunct w:val="0"/>
        <w:autoSpaceDE w:val="0"/>
        <w:autoSpaceDN/>
        <w:bidi w:val="0"/>
        <w:adjustRightInd w:val="0"/>
        <w:snapToGrid w:val="0"/>
        <w:spacing w:line="360" w:lineRule="auto"/>
        <w:contextualSpacing/>
        <w:jc w:val="left"/>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一、部门（单位）基本情况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（一）机构组成</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auto"/>
          <w:sz w:val="32"/>
          <w:szCs w:val="32"/>
        </w:rPr>
        <w:t>广元市朝天区商务局</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朝天区</w:t>
      </w:r>
      <w:r>
        <w:rPr>
          <w:rFonts w:hint="eastAsia" w:ascii="仿宋" w:hAnsi="仿宋" w:eastAsia="仿宋" w:cs="仿宋"/>
          <w:sz w:val="32"/>
          <w:szCs w:val="32"/>
          <w:lang w:eastAsia="zh-CN"/>
        </w:rPr>
        <w:t>人民政府工作部门，</w:t>
      </w:r>
      <w:r>
        <w:rPr>
          <w:rFonts w:hint="eastAsia" w:ascii="仿宋" w:hAnsi="仿宋" w:eastAsia="仿宋" w:cs="仿宋"/>
          <w:color w:val="auto"/>
          <w:sz w:val="32"/>
          <w:szCs w:val="32"/>
        </w:rPr>
        <w:t>属一级预算单位。内设机构：办公室、服务业发展协调股、市场体系建设股、市场运行调节股、外资外贸外经股、电子商务股6个股室</w:t>
      </w:r>
      <w:r>
        <w:rPr>
          <w:rFonts w:hint="eastAsia" w:ascii="仿宋" w:hAnsi="仿宋" w:eastAsia="仿宋" w:cs="仿宋"/>
          <w:b w:val="0"/>
          <w:bCs w:val="0"/>
          <w:color w:val="auto"/>
          <w:sz w:val="32"/>
          <w:szCs w:val="32"/>
          <w:shd w:val="clear" w:color="auto" w:fill="FFFFFF"/>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602" w:firstLineChars="200"/>
        <w:contextualSpacing/>
        <w:jc w:val="left"/>
        <w:textAlignment w:val="auto"/>
        <w:rPr>
          <w:rFonts w:ascii="仿宋" w:hAnsi="仿宋" w:eastAsia="仿宋"/>
          <w:b/>
          <w:bCs w:val="0"/>
          <w:color w:val="000000"/>
          <w:sz w:val="32"/>
          <w:szCs w:val="32"/>
        </w:rPr>
      </w:pPr>
      <w:r>
        <w:rPr>
          <w:rFonts w:hint="eastAsia" w:ascii="仿宋" w:hAnsi="仿宋" w:eastAsia="仿宋" w:cs="仿宋"/>
          <w:b/>
          <w:bCs/>
          <w:color w:val="000000"/>
          <w:kern w:val="0"/>
          <w:sz w:val="30"/>
          <w:szCs w:val="30"/>
          <w:shd w:val="clear" w:color="auto" w:fill="FFFFFF"/>
          <w:lang w:eastAsia="zh-CN"/>
        </w:rPr>
        <w:t>（</w:t>
      </w:r>
      <w:r>
        <w:rPr>
          <w:rFonts w:hint="eastAsia" w:ascii="仿宋" w:hAnsi="仿宋" w:eastAsia="仿宋" w:cs="仿宋"/>
          <w:b/>
          <w:bCs/>
          <w:color w:val="000000"/>
          <w:kern w:val="0"/>
          <w:sz w:val="30"/>
          <w:szCs w:val="30"/>
          <w:shd w:val="clear" w:color="auto" w:fill="FFFFFF"/>
          <w:lang w:val="en-US" w:eastAsia="zh-CN"/>
        </w:rPr>
        <w:t>二</w:t>
      </w:r>
      <w:r>
        <w:rPr>
          <w:rFonts w:hint="eastAsia" w:ascii="仿宋" w:hAnsi="仿宋" w:eastAsia="仿宋" w:cs="仿宋"/>
          <w:b/>
          <w:bCs/>
          <w:color w:val="000000"/>
          <w:kern w:val="0"/>
          <w:sz w:val="30"/>
          <w:szCs w:val="30"/>
          <w:shd w:val="clear" w:color="auto" w:fill="FFFFFF"/>
          <w:lang w:eastAsia="zh-CN"/>
        </w:rPr>
        <w:t>）机构职能和人员概况</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贯彻执行国家、省、市、区有关国内外贸易和服务贸易工作的法律、法规和方针、政策以及区委、区政府有关内、外贸工作的重大决策；拟订全区内、外贸的发展战略、中长期发展规划和政策，并组织实施。</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拟订年度内、外贸运行调控目标和指导性计划、措施并组织实施，统计、分析和发布重要商务信息，参与协调商务运行中涉及财政、金融、税务、统计等领域的政策问题。</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负责推进流通产业结构调整，研究流通企业改革的相关政策并组织实施，负责商贸服务业行业管理，提出促进商贸企业发展的政策建议，推动流通标准化和连锁经营、商业特许经营、物流配送、电子商务等现代流通方式的发展。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牵头协调整顿和规范我区市场经济秩序工作,组织推动追溯体系建设。参与组织打击商务领域侵犯知识产权、商业欺诈等工作，推动商务领域信用建设，指导商业信用销售，建立市场诚信公共服务平台，对特殊流通行业进行监督管理。协同有关部门做好商贸企业食品卫生、服务质量、商品质量的监督管理工作。</w:t>
      </w:r>
    </w:p>
    <w:p>
      <w:pPr>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促进城乡市场发展，负责制订、指导大宗商品批发市场规划和城市商业网点规划，指导商业体系建设、社区商业工作；按规定权限对兴办商品市场、设立拍卖行、加油站进行资格审查准入，并依法监督；推进农村市场体系建设，组织实施农村现代流通网络工程；管理市级市场物业；负责指导、协调全区县、区商贸业的经济发展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负责制订全区物流业发展规划和政策措施，研究全市物流业改革发展的重大问题，对物流业重大项目进行跟踪。 </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对报废汽车和旧机动车、废旧金属材料等特种物质的流通进行管理；加强对商贸企业国有资产运营、管理和监督。</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负责对外贸易工作，指导企业开拓多元化国际市场，负责组织实施重要工业品、原材料和重要农产品进出口总量计划工作；负责管理机电产品、高新技术产品进出口工作；指导和协调加工贸易工作，负责出口加工区的指导协调和审核、报批等工作；推进进出口贸易标准化工作，依法监督技术引进、设备进口、国家限制出口技术的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负责涉及世贸组织规则的相关工作， 承担组织协调反倾销、反补贴、反垄断保障措施及其他与进出口公平贸易相关工作的责任，建立进出口公平贸易预警机制，组织产业损害调查，指导协调产业安全应对工作及国外对我市出口商品的反倾销、反补贴保障措施的应诉相关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负责拟订服务贸易发展规划并开展相关工作；负责会同有关部门制定促进我区服务外包发展的规划、政策并组织实施，推动服务外包示范城市建设，促进服务外包产业发展。 </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牵头拟订全区商贸服务业发展规划并组织、协调开展相关工作。负责研究制订药品流通行业发展规划、行业标准和有关政策。</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指导商贸系统的安全生产、信访、维稳工作；组织实施全系统社会主义精神文明建设工作。 </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负责推进、指导、协调、监督本部门、本系统的政府信息公开工作。</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rPr>
        <w:t>承办区人民政府交办的其它事项。</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贯彻落实党中央关于商务工作的方针、政策和决策部署，全面落实省委、市委、</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委关于商务工作的部署要求，在履行职责过程中坚持和加强党对商务工作的集中统一领导</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sz w:val="32"/>
          <w:szCs w:val="32"/>
        </w:rPr>
        <w:t>人员概况</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2021年区商务局</w:t>
      </w:r>
      <w:r>
        <w:rPr>
          <w:rFonts w:hint="eastAsia" w:ascii="仿宋" w:hAnsi="仿宋" w:eastAsia="仿宋" w:cs="仿宋"/>
          <w:sz w:val="32"/>
          <w:szCs w:val="32"/>
        </w:rPr>
        <w:t>总编制</w:t>
      </w:r>
      <w:r>
        <w:rPr>
          <w:rFonts w:hint="eastAsia" w:ascii="仿宋" w:hAnsi="仿宋" w:eastAsia="仿宋" w:cs="仿宋"/>
          <w:sz w:val="32"/>
          <w:szCs w:val="32"/>
          <w:lang w:val="en-US" w:eastAsia="zh-CN"/>
        </w:rPr>
        <w:t>15</w:t>
      </w:r>
      <w:r>
        <w:rPr>
          <w:rFonts w:hint="eastAsia" w:ascii="仿宋" w:hAnsi="仿宋" w:eastAsia="仿宋" w:cs="仿宋"/>
          <w:sz w:val="32"/>
          <w:szCs w:val="32"/>
        </w:rPr>
        <w:t>名，其中行政编制6名，</w:t>
      </w:r>
      <w:r>
        <w:rPr>
          <w:rFonts w:hint="eastAsia" w:ascii="仿宋" w:hAnsi="仿宋" w:eastAsia="仿宋" w:cs="仿宋"/>
          <w:sz w:val="32"/>
          <w:szCs w:val="32"/>
          <w:lang w:val="en-US" w:eastAsia="zh-CN"/>
        </w:rPr>
        <w:t>机关</w:t>
      </w:r>
      <w:r>
        <w:rPr>
          <w:rFonts w:hint="eastAsia" w:ascii="仿宋" w:hAnsi="仿宋" w:eastAsia="仿宋" w:cs="仿宋"/>
          <w:color w:val="auto"/>
          <w:sz w:val="32"/>
          <w:szCs w:val="32"/>
          <w:u w:val="none"/>
          <w:lang w:val="en-US" w:eastAsia="zh-CN"/>
        </w:rPr>
        <w:t>工勤</w:t>
      </w:r>
      <w:r>
        <w:rPr>
          <w:rFonts w:hint="eastAsia" w:ascii="仿宋" w:hAnsi="仿宋" w:eastAsia="仿宋" w:cs="仿宋"/>
          <w:color w:val="auto"/>
          <w:sz w:val="32"/>
          <w:szCs w:val="32"/>
          <w:u w:val="none"/>
        </w:rPr>
        <w:t>编制1名，</w:t>
      </w:r>
      <w:r>
        <w:rPr>
          <w:rFonts w:hint="eastAsia" w:ascii="仿宋" w:hAnsi="仿宋" w:eastAsia="仿宋" w:cs="仿宋"/>
          <w:sz w:val="32"/>
          <w:szCs w:val="32"/>
        </w:rPr>
        <w:t>事业编制8名。20</w:t>
      </w:r>
      <w:r>
        <w:rPr>
          <w:rFonts w:hint="eastAsia" w:ascii="仿宋" w:hAnsi="仿宋" w:eastAsia="仿宋" w:cs="仿宋"/>
          <w:sz w:val="32"/>
          <w:szCs w:val="32"/>
          <w:lang w:val="en-US" w:eastAsia="zh-CN"/>
        </w:rPr>
        <w:t>22</w:t>
      </w:r>
      <w:r>
        <w:rPr>
          <w:rFonts w:hint="eastAsia" w:ascii="仿宋" w:hAnsi="仿宋" w:eastAsia="仿宋" w:cs="仿宋"/>
          <w:sz w:val="32"/>
          <w:szCs w:val="32"/>
        </w:rPr>
        <w:t>年底实有在职人员总数</w:t>
      </w:r>
      <w:r>
        <w:rPr>
          <w:rFonts w:hint="eastAsia" w:ascii="仿宋" w:hAnsi="仿宋" w:eastAsia="仿宋" w:cs="仿宋"/>
          <w:sz w:val="32"/>
          <w:szCs w:val="32"/>
          <w:lang w:val="en-US" w:eastAsia="zh-CN"/>
        </w:rPr>
        <w:t>16</w:t>
      </w:r>
      <w:r>
        <w:rPr>
          <w:rFonts w:hint="eastAsia" w:ascii="仿宋" w:hAnsi="仿宋" w:eastAsia="仿宋" w:cs="仿宋"/>
          <w:sz w:val="32"/>
          <w:szCs w:val="32"/>
        </w:rPr>
        <w:t>人，其中行政人员8人，事业人员8人</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u w:val="none"/>
          <w:lang w:val="en-US" w:eastAsia="zh-CN"/>
        </w:rPr>
        <w:t>另遗属补助人员1人。</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602" w:firstLineChars="200"/>
        <w:contextualSpacing/>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color w:val="000000"/>
          <w:kern w:val="0"/>
          <w:sz w:val="30"/>
          <w:szCs w:val="30"/>
          <w:shd w:val="clear" w:color="auto" w:fill="FFFFFF"/>
          <w:lang w:val="zh-CN" w:eastAsia="zh-CN"/>
        </w:rPr>
        <w:t>（</w:t>
      </w:r>
      <w:r>
        <w:rPr>
          <w:rFonts w:hint="eastAsia" w:ascii="仿宋" w:hAnsi="仿宋" w:eastAsia="仿宋" w:cs="仿宋"/>
          <w:b/>
          <w:bCs/>
          <w:color w:val="000000"/>
          <w:kern w:val="0"/>
          <w:sz w:val="30"/>
          <w:szCs w:val="30"/>
          <w:shd w:val="clear" w:color="auto" w:fill="FFFFFF"/>
          <w:lang w:val="en-US" w:eastAsia="zh-CN"/>
        </w:rPr>
        <w:t>三</w:t>
      </w:r>
      <w:r>
        <w:rPr>
          <w:rFonts w:hint="eastAsia" w:ascii="仿宋" w:hAnsi="仿宋" w:eastAsia="仿宋" w:cs="仿宋"/>
          <w:b/>
          <w:bCs/>
          <w:color w:val="000000"/>
          <w:kern w:val="0"/>
          <w:sz w:val="30"/>
          <w:szCs w:val="30"/>
          <w:shd w:val="clear" w:color="auto" w:fill="FFFFFF"/>
          <w:lang w:val="zh-CN" w:eastAsia="zh-CN"/>
        </w:rPr>
        <w:t>）年度主要工作任务</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color w:val="000000"/>
          <w:sz w:val="32"/>
          <w:szCs w:val="32"/>
          <w:lang w:val="en-US"/>
        </w:rPr>
      </w:pPr>
      <w:r>
        <w:rPr>
          <w:rFonts w:hint="eastAsia" w:ascii="Malgun Gothic Semilight" w:hAnsi="Malgun Gothic Semilight" w:eastAsia="Malgun Gothic Semilight" w:cs="Malgun Gothic Semilight"/>
          <w:color w:val="000000"/>
          <w:kern w:val="2"/>
          <w:sz w:val="32"/>
          <w:szCs w:val="32"/>
          <w:lang w:val="en-US" w:eastAsia="zh-CN" w:bidi="ar"/>
        </w:rPr>
        <w:t xml:space="preserve"> </w:t>
      </w:r>
      <w:r>
        <w:rPr>
          <w:rFonts w:hint="eastAsia" w:ascii="仿宋" w:hAnsi="仿宋" w:eastAsia="仿宋" w:cs="仿宋"/>
          <w:color w:val="000000"/>
          <w:kern w:val="2"/>
          <w:sz w:val="32"/>
          <w:szCs w:val="32"/>
          <w:lang w:val="en-US" w:eastAsia="zh-CN" w:bidi="ar"/>
        </w:rPr>
        <w:t>2022年，我局主要承担市下经济指标5项。</w:t>
      </w:r>
      <w:r>
        <w:rPr>
          <w:rFonts w:hint="eastAsia" w:ascii="仿宋" w:hAnsi="仿宋" w:eastAsia="仿宋" w:cs="仿宋"/>
          <w:b/>
          <w:bCs/>
          <w:color w:val="000000"/>
          <w:kern w:val="2"/>
          <w:sz w:val="32"/>
          <w:szCs w:val="32"/>
          <w:lang w:val="en-US" w:eastAsia="zh-CN" w:bidi="ar"/>
        </w:rPr>
        <w:t>一是</w:t>
      </w:r>
      <w:r>
        <w:rPr>
          <w:rFonts w:hint="eastAsia" w:ascii="仿宋" w:hAnsi="仿宋" w:eastAsia="仿宋" w:cs="仿宋"/>
          <w:color w:val="000000"/>
          <w:kern w:val="2"/>
          <w:sz w:val="32"/>
          <w:szCs w:val="32"/>
          <w:lang w:val="en-US" w:eastAsia="zh-CN" w:bidi="ar"/>
        </w:rPr>
        <w:t>社会消费品零售总额</w:t>
      </w:r>
      <w:r>
        <w:rPr>
          <w:rFonts w:hint="eastAsia" w:ascii="仿宋" w:hAnsi="仿宋" w:eastAsia="仿宋" w:cs="仿宋"/>
          <w:kern w:val="2"/>
          <w:sz w:val="32"/>
          <w:szCs w:val="32"/>
          <w:lang w:val="en-US" w:eastAsia="zh-CN" w:bidi="ar"/>
        </w:rPr>
        <w:t>（市下目标8.2%）</w:t>
      </w:r>
      <w:r>
        <w:rPr>
          <w:rFonts w:hint="eastAsia" w:ascii="仿宋" w:hAnsi="仿宋" w:eastAsia="仿宋" w:cs="仿宋"/>
          <w:color w:val="000000"/>
          <w:kern w:val="2"/>
          <w:sz w:val="32"/>
          <w:szCs w:val="32"/>
          <w:lang w:val="en-US" w:eastAsia="zh-CN" w:bidi="ar"/>
        </w:rPr>
        <w:t>，全年</w:t>
      </w:r>
      <w:r>
        <w:rPr>
          <w:rFonts w:hint="eastAsia" w:ascii="仿宋" w:hAnsi="仿宋" w:eastAsia="仿宋" w:cs="仿宋"/>
          <w:kern w:val="2"/>
          <w:sz w:val="32"/>
          <w:szCs w:val="32"/>
          <w:lang w:val="en-US" w:eastAsia="zh-CN" w:bidi="ar"/>
        </w:rPr>
        <w:t>实现24.98亿元，同比增长-1.1%，排全市第三位。</w:t>
      </w:r>
      <w:r>
        <w:rPr>
          <w:rFonts w:hint="eastAsia" w:ascii="仿宋" w:hAnsi="仿宋" w:eastAsia="仿宋" w:cs="仿宋"/>
          <w:b/>
          <w:bCs/>
          <w:color w:val="000000"/>
          <w:kern w:val="2"/>
          <w:sz w:val="32"/>
          <w:szCs w:val="32"/>
          <w:lang w:val="en-US" w:eastAsia="zh-CN" w:bidi="ar"/>
        </w:rPr>
        <w:t>二是</w:t>
      </w:r>
      <w:r>
        <w:rPr>
          <w:rFonts w:hint="eastAsia" w:ascii="仿宋" w:hAnsi="仿宋" w:eastAsia="仿宋" w:cs="仿宋"/>
          <w:color w:val="000000"/>
          <w:kern w:val="2"/>
          <w:sz w:val="32"/>
          <w:szCs w:val="32"/>
          <w:lang w:val="en-US" w:eastAsia="zh-CN" w:bidi="ar"/>
        </w:rPr>
        <w:t>服务业增加值</w:t>
      </w:r>
      <w:r>
        <w:rPr>
          <w:rFonts w:hint="eastAsia" w:ascii="仿宋" w:hAnsi="仿宋" w:eastAsia="仿宋" w:cs="仿宋"/>
          <w:kern w:val="2"/>
          <w:sz w:val="32"/>
          <w:szCs w:val="32"/>
          <w:lang w:val="en-US" w:eastAsia="zh-CN" w:bidi="ar"/>
        </w:rPr>
        <w:t>（市下目标7.6%）。全年实现26.87亿元，同比增长5%，排全市第三位。</w:t>
      </w:r>
      <w:r>
        <w:rPr>
          <w:rFonts w:hint="eastAsia" w:ascii="仿宋" w:hAnsi="仿宋" w:eastAsia="仿宋" w:cs="仿宋"/>
          <w:b/>
          <w:bCs/>
          <w:color w:val="000000"/>
          <w:kern w:val="2"/>
          <w:sz w:val="32"/>
          <w:szCs w:val="32"/>
          <w:lang w:val="en-US" w:eastAsia="zh-CN" w:bidi="ar"/>
        </w:rPr>
        <w:t>三是</w:t>
      </w:r>
      <w:r>
        <w:rPr>
          <w:rFonts w:hint="eastAsia" w:ascii="仿宋" w:hAnsi="仿宋" w:eastAsia="仿宋" w:cs="仿宋"/>
          <w:color w:val="000000"/>
          <w:kern w:val="2"/>
          <w:sz w:val="32"/>
          <w:szCs w:val="32"/>
          <w:lang w:val="en-US" w:eastAsia="zh-CN" w:bidi="ar"/>
        </w:rPr>
        <w:t>外贸进出口总额</w:t>
      </w:r>
      <w:r>
        <w:rPr>
          <w:rFonts w:hint="eastAsia" w:ascii="仿宋" w:hAnsi="仿宋" w:eastAsia="仿宋" w:cs="仿宋"/>
          <w:kern w:val="2"/>
          <w:sz w:val="32"/>
          <w:szCs w:val="32"/>
          <w:lang w:val="en-US" w:eastAsia="zh-CN" w:bidi="ar"/>
        </w:rPr>
        <w:t>（市下目标1700万元）。实际完成1190万元，占全年目标的70%。</w:t>
      </w:r>
      <w:r>
        <w:rPr>
          <w:rFonts w:hint="eastAsia" w:ascii="仿宋" w:hAnsi="仿宋" w:eastAsia="仿宋" w:cs="仿宋"/>
          <w:b/>
          <w:bCs/>
          <w:color w:val="000000"/>
          <w:kern w:val="2"/>
          <w:sz w:val="32"/>
          <w:szCs w:val="32"/>
          <w:lang w:val="en-US" w:eastAsia="zh-CN" w:bidi="ar"/>
        </w:rPr>
        <w:t>四是</w:t>
      </w:r>
      <w:r>
        <w:rPr>
          <w:rFonts w:hint="eastAsia" w:ascii="仿宋" w:hAnsi="仿宋" w:eastAsia="仿宋" w:cs="仿宋"/>
          <w:color w:val="000000"/>
          <w:kern w:val="2"/>
          <w:sz w:val="32"/>
          <w:szCs w:val="32"/>
          <w:lang w:val="en-US" w:eastAsia="zh-CN" w:bidi="ar"/>
        </w:rPr>
        <w:t>实际到位外资</w:t>
      </w:r>
      <w:r>
        <w:rPr>
          <w:rFonts w:hint="eastAsia" w:ascii="仿宋" w:hAnsi="仿宋" w:eastAsia="仿宋" w:cs="仿宋"/>
          <w:kern w:val="2"/>
          <w:sz w:val="32"/>
          <w:szCs w:val="32"/>
          <w:lang w:val="en-US" w:eastAsia="zh-CN" w:bidi="ar"/>
        </w:rPr>
        <w:t>（市下目标400万美元）。实际到位375万美元，完成目标任务的93.75%。</w:t>
      </w:r>
      <w:r>
        <w:rPr>
          <w:rFonts w:hint="eastAsia" w:ascii="仿宋" w:hAnsi="仿宋" w:eastAsia="仿宋" w:cs="仿宋"/>
          <w:b/>
          <w:bCs/>
          <w:color w:val="000000"/>
          <w:kern w:val="2"/>
          <w:sz w:val="32"/>
          <w:szCs w:val="32"/>
          <w:lang w:val="en-US" w:eastAsia="zh-CN" w:bidi="ar"/>
        </w:rPr>
        <w:t>五是</w:t>
      </w:r>
      <w:r>
        <w:rPr>
          <w:rFonts w:hint="eastAsia" w:ascii="仿宋" w:hAnsi="仿宋" w:eastAsia="仿宋" w:cs="仿宋"/>
          <w:color w:val="000000"/>
          <w:kern w:val="2"/>
          <w:sz w:val="32"/>
          <w:szCs w:val="32"/>
          <w:lang w:val="en-US" w:eastAsia="zh-CN" w:bidi="ar"/>
        </w:rPr>
        <w:t>企业入库</w:t>
      </w:r>
      <w:r>
        <w:rPr>
          <w:rFonts w:hint="eastAsia" w:ascii="仿宋" w:hAnsi="仿宋" w:eastAsia="仿宋" w:cs="仿宋"/>
          <w:kern w:val="2"/>
          <w:sz w:val="32"/>
          <w:szCs w:val="32"/>
          <w:lang w:val="en-US" w:eastAsia="zh-CN" w:bidi="ar"/>
        </w:rPr>
        <w:t>（市下规上服务业企业2家、限上商贸企业2家）。实际入库批零住餐企业4家、规上服务业企业2家，超额完成全年目标任务。</w:t>
      </w:r>
      <w:r>
        <w:rPr>
          <w:rFonts w:hint="eastAsia" w:ascii="仿宋" w:hAnsi="仿宋" w:eastAsia="仿宋" w:cs="仿宋"/>
          <w:color w:val="000000"/>
          <w:kern w:val="2"/>
          <w:sz w:val="32"/>
          <w:szCs w:val="32"/>
          <w:lang w:val="en-US" w:eastAsia="zh-CN" w:bidi="ar"/>
        </w:rPr>
        <w:t>另外，完成固定资产投资</w:t>
      </w:r>
      <w:r>
        <w:rPr>
          <w:rFonts w:hint="eastAsia" w:ascii="仿宋" w:hAnsi="仿宋" w:eastAsia="仿宋" w:cs="仿宋"/>
          <w:kern w:val="2"/>
          <w:sz w:val="32"/>
          <w:szCs w:val="32"/>
          <w:lang w:val="en-US" w:eastAsia="zh-CN" w:bidi="ar"/>
        </w:rPr>
        <w:t>7466</w:t>
      </w:r>
      <w:r>
        <w:rPr>
          <w:rFonts w:hint="eastAsia" w:ascii="仿宋" w:hAnsi="仿宋" w:eastAsia="仿宋" w:cs="仿宋"/>
          <w:color w:val="000000"/>
          <w:kern w:val="2"/>
          <w:sz w:val="32"/>
          <w:szCs w:val="32"/>
          <w:lang w:val="en-US" w:eastAsia="zh-CN" w:bidi="ar"/>
        </w:rPr>
        <w:t>万元，签约招商引资项目3个，签约资金2.6亿元；累计完成向上争取资金145.68万元。</w:t>
      </w:r>
    </w:p>
    <w:p>
      <w:pPr>
        <w:pStyle w:val="17"/>
        <w:widowControl/>
        <w:spacing w:after="0" w:afterAutospacing="0" w:line="576" w:lineRule="exact"/>
        <w:ind w:left="0" w:firstLine="960" w:firstLineChars="300"/>
        <w:jc w:val="both"/>
        <w:rPr>
          <w:rFonts w:hint="eastAsia" w:ascii="仿宋" w:hAnsi="仿宋" w:eastAsia="仿宋" w:cs="仿宋"/>
          <w:sz w:val="32"/>
          <w:szCs w:val="32"/>
          <w:lang w:val="en-US"/>
        </w:rPr>
      </w:pPr>
      <w:r>
        <w:rPr>
          <w:rFonts w:hint="eastAsia" w:ascii="楷体" w:hAnsi="楷体" w:eastAsia="楷体" w:cs="楷体"/>
          <w:sz w:val="32"/>
          <w:szCs w:val="32"/>
          <w:lang w:val="en-US"/>
        </w:rPr>
        <w:t>1</w:t>
      </w:r>
      <w:r>
        <w:rPr>
          <w:rFonts w:hint="eastAsia" w:ascii="楷体" w:hAnsi="楷体" w:eastAsia="楷体" w:cs="楷体"/>
          <w:sz w:val="32"/>
          <w:szCs w:val="32"/>
          <w:lang w:eastAsia="zh-CN"/>
        </w:rPr>
        <w:t>、抓项目建设，全面提升商贸服务业发展水平。</w:t>
      </w:r>
      <w:r>
        <w:rPr>
          <w:rFonts w:hint="eastAsia" w:ascii="仿宋" w:hAnsi="仿宋" w:eastAsia="仿宋" w:cs="仿宋"/>
          <w:sz w:val="32"/>
          <w:szCs w:val="32"/>
          <w:lang w:eastAsia="zh-CN"/>
        </w:rPr>
        <w:t>全年入库广元市朝天区大巴口</w:t>
      </w:r>
      <w:r>
        <w:rPr>
          <w:rFonts w:hint="eastAsia" w:ascii="仿宋" w:hAnsi="仿宋" w:eastAsia="仿宋" w:cs="仿宋"/>
          <w:sz w:val="32"/>
          <w:szCs w:val="32"/>
          <w:lang w:val="en-US"/>
        </w:rPr>
        <w:t>LNG</w:t>
      </w:r>
      <w:r>
        <w:rPr>
          <w:rFonts w:hint="eastAsia" w:ascii="仿宋" w:hAnsi="仿宋" w:eastAsia="仿宋" w:cs="仿宋"/>
          <w:sz w:val="32"/>
          <w:szCs w:val="32"/>
          <w:lang w:eastAsia="zh-CN"/>
        </w:rPr>
        <w:t>加气站等项目</w:t>
      </w:r>
      <w:r>
        <w:rPr>
          <w:rFonts w:hint="eastAsia" w:ascii="仿宋" w:hAnsi="仿宋" w:eastAsia="仿宋" w:cs="仿宋"/>
          <w:sz w:val="32"/>
          <w:szCs w:val="32"/>
          <w:lang w:val="en-US"/>
        </w:rPr>
        <w:t>4</w:t>
      </w:r>
      <w:r>
        <w:rPr>
          <w:rFonts w:hint="eastAsia" w:ascii="仿宋" w:hAnsi="仿宋" w:eastAsia="仿宋" w:cs="仿宋"/>
          <w:sz w:val="32"/>
          <w:szCs w:val="32"/>
          <w:lang w:eastAsia="zh-CN"/>
        </w:rPr>
        <w:t>个，签约招商引资项目</w:t>
      </w:r>
      <w:r>
        <w:rPr>
          <w:rFonts w:hint="eastAsia" w:ascii="仿宋" w:hAnsi="仿宋" w:eastAsia="仿宋" w:cs="仿宋"/>
          <w:sz w:val="32"/>
          <w:szCs w:val="32"/>
          <w:lang w:val="en-US"/>
        </w:rPr>
        <w:t>3</w:t>
      </w:r>
      <w:r>
        <w:rPr>
          <w:rFonts w:hint="eastAsia" w:ascii="仿宋" w:hAnsi="仿宋" w:eastAsia="仿宋" w:cs="仿宋"/>
          <w:sz w:val="32"/>
          <w:szCs w:val="32"/>
          <w:lang w:eastAsia="zh-CN"/>
        </w:rPr>
        <w:t>个。制定了《朝天区县域商业建设行动项目申报方案》，申报了专项债券朝天区智慧城市基础设施建设等项目</w:t>
      </w:r>
      <w:r>
        <w:rPr>
          <w:rFonts w:hint="eastAsia" w:ascii="仿宋" w:hAnsi="仿宋" w:eastAsia="仿宋" w:cs="仿宋"/>
          <w:sz w:val="32"/>
          <w:szCs w:val="32"/>
          <w:lang w:val="en-US"/>
        </w:rPr>
        <w:t>3</w:t>
      </w:r>
      <w:r>
        <w:rPr>
          <w:rFonts w:hint="eastAsia" w:ascii="仿宋" w:hAnsi="仿宋" w:eastAsia="仿宋" w:cs="仿宋"/>
          <w:sz w:val="32"/>
          <w:szCs w:val="32"/>
          <w:lang w:eastAsia="zh-CN"/>
        </w:rPr>
        <w:t>个，储备商贸物流和服务业项目</w:t>
      </w:r>
      <w:r>
        <w:rPr>
          <w:rFonts w:hint="eastAsia" w:ascii="仿宋" w:hAnsi="仿宋" w:eastAsia="仿宋" w:cs="仿宋"/>
          <w:sz w:val="32"/>
          <w:szCs w:val="32"/>
          <w:lang w:val="en-US"/>
        </w:rPr>
        <w:t>13</w:t>
      </w:r>
      <w:r>
        <w:rPr>
          <w:rFonts w:hint="eastAsia" w:ascii="仿宋" w:hAnsi="仿宋" w:eastAsia="仿宋" w:cs="仿宋"/>
          <w:sz w:val="32"/>
          <w:szCs w:val="32"/>
          <w:lang w:eastAsia="zh-CN"/>
        </w:rPr>
        <w:t>个。大巴口建材物流园</w:t>
      </w:r>
      <w:r>
        <w:rPr>
          <w:rFonts w:hint="eastAsia" w:ascii="仿宋" w:hAnsi="仿宋" w:eastAsia="仿宋" w:cs="仿宋"/>
          <w:sz w:val="32"/>
          <w:szCs w:val="32"/>
          <w:lang w:val="en-US"/>
        </w:rPr>
        <w:t>LNG</w:t>
      </w:r>
      <w:r>
        <w:rPr>
          <w:rFonts w:hint="eastAsia" w:ascii="仿宋" w:hAnsi="仿宋" w:eastAsia="仿宋" w:cs="仿宋"/>
          <w:sz w:val="32"/>
          <w:szCs w:val="32"/>
          <w:lang w:eastAsia="zh-CN"/>
        </w:rPr>
        <w:t>加气站项目全面竣工并投入使用、机动车检验检测项目操作车间已经建设完成，两个项目总投资</w:t>
      </w:r>
      <w:r>
        <w:rPr>
          <w:rFonts w:hint="eastAsia" w:ascii="仿宋" w:hAnsi="仿宋" w:eastAsia="仿宋" w:cs="仿宋"/>
          <w:sz w:val="32"/>
          <w:szCs w:val="32"/>
          <w:lang w:val="en-US"/>
        </w:rPr>
        <w:t>1.1</w:t>
      </w:r>
      <w:r>
        <w:rPr>
          <w:rFonts w:hint="eastAsia" w:ascii="仿宋" w:hAnsi="仿宋" w:eastAsia="仿宋" w:cs="仿宋"/>
          <w:sz w:val="32"/>
          <w:szCs w:val="32"/>
          <w:lang w:eastAsia="zh-CN"/>
        </w:rPr>
        <w:t>亿元。曾家山文体旅游集聚区项目建设进入扫尾阶段，</w:t>
      </w:r>
      <w:r>
        <w:rPr>
          <w:rFonts w:hint="eastAsia" w:ascii="仿宋" w:hAnsi="仿宋" w:eastAsia="仿宋" w:cs="仿宋"/>
          <w:sz w:val="32"/>
          <w:szCs w:val="32"/>
          <w:lang w:val="zh-CN" w:eastAsia="zh-CN"/>
        </w:rPr>
        <w:t>累计</w:t>
      </w:r>
      <w:r>
        <w:rPr>
          <w:rFonts w:hint="eastAsia" w:ascii="仿宋" w:hAnsi="仿宋" w:eastAsia="仿宋" w:cs="仿宋"/>
          <w:sz w:val="32"/>
          <w:szCs w:val="32"/>
          <w:lang w:eastAsia="zh-CN"/>
        </w:rPr>
        <w:t>完成投资</w:t>
      </w:r>
      <w:r>
        <w:rPr>
          <w:rFonts w:hint="eastAsia" w:ascii="仿宋" w:hAnsi="仿宋" w:eastAsia="仿宋" w:cs="仿宋"/>
          <w:sz w:val="32"/>
          <w:szCs w:val="32"/>
          <w:lang w:val="en-US"/>
        </w:rPr>
        <w:t>2200</w:t>
      </w:r>
      <w:r>
        <w:rPr>
          <w:rFonts w:hint="eastAsia" w:ascii="仿宋" w:hAnsi="仿宋" w:eastAsia="仿宋" w:cs="仿宋"/>
          <w:sz w:val="32"/>
          <w:szCs w:val="32"/>
          <w:lang w:eastAsia="zh-CN"/>
        </w:rPr>
        <w:t>万元，占项目总投资额</w:t>
      </w:r>
      <w:r>
        <w:rPr>
          <w:rFonts w:hint="eastAsia" w:ascii="仿宋" w:hAnsi="仿宋" w:eastAsia="仿宋" w:cs="仿宋"/>
          <w:sz w:val="32"/>
          <w:szCs w:val="32"/>
          <w:lang w:val="en-US"/>
        </w:rPr>
        <w:t>2700</w:t>
      </w:r>
      <w:r>
        <w:rPr>
          <w:rFonts w:hint="eastAsia" w:ascii="仿宋" w:hAnsi="仿宋" w:eastAsia="仿宋" w:cs="仿宋"/>
          <w:sz w:val="32"/>
          <w:szCs w:val="32"/>
          <w:lang w:eastAsia="zh-CN"/>
        </w:rPr>
        <w:t>万元的</w:t>
      </w:r>
      <w:r>
        <w:rPr>
          <w:rFonts w:hint="eastAsia" w:ascii="仿宋" w:hAnsi="仿宋" w:eastAsia="仿宋" w:cs="仿宋"/>
          <w:sz w:val="32"/>
          <w:szCs w:val="32"/>
          <w:lang w:val="en-US"/>
        </w:rPr>
        <w:t>81.48%</w:t>
      </w:r>
      <w:r>
        <w:rPr>
          <w:rFonts w:hint="eastAsia" w:ascii="仿宋" w:hAnsi="仿宋" w:eastAsia="仿宋" w:cs="仿宋"/>
          <w:sz w:val="32"/>
          <w:szCs w:val="32"/>
          <w:lang w:eastAsia="zh-CN"/>
        </w:rPr>
        <w:t>。</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sz w:val="32"/>
          <w:szCs w:val="32"/>
          <w:lang w:val="en-US"/>
        </w:rPr>
      </w:pPr>
      <w:r>
        <w:rPr>
          <w:rFonts w:hint="eastAsia" w:ascii="楷体" w:hAnsi="楷体" w:eastAsia="楷体" w:cs="楷体"/>
          <w:kern w:val="2"/>
          <w:sz w:val="32"/>
          <w:szCs w:val="32"/>
          <w:lang w:val="en-US" w:eastAsia="zh-CN" w:bidi="ar"/>
        </w:rPr>
        <w:t>2、抓消费促进，持续刺激消费推动经济稳定增长。</w:t>
      </w:r>
      <w:r>
        <w:rPr>
          <w:rFonts w:hint="eastAsia" w:ascii="仿宋" w:hAnsi="仿宋" w:eastAsia="仿宋" w:cs="仿宋"/>
          <w:kern w:val="2"/>
          <w:sz w:val="32"/>
          <w:szCs w:val="32"/>
          <w:lang w:val="en-US" w:eastAsia="zh-CN" w:bidi="ar"/>
        </w:rPr>
        <w:t>举办“乐享朝天 消费惠民”政府消费券发放活动，累计发放消费券176万元，直接带动消费近千万元。召开企业困难问题化解协商会2次，梳理上报企业困难问题12个，截至目前已解决6个。举办“迎春购物月”“朝天造特色产品展”等惠民促销活动8次。开展“朝天造”特色产品展、2022东西部消费协作成果展暨朝天电商产品展等本地展销活动6次，组织本地农特产品企业参加2022第九届中国（杭州）国际电子商务博览会、第八届四川农业博览会等各类市场拓展活动10余次，在杭州市滨江区举办“2022滨江-朝天东西部协作朝天农特产品杭州滨江区专场展会”。组织了10家名优企业、60余类特色产品参加广元女儿节美食嘉年华。东西部协作消费协作项目建设全部完工，分别在朝天区、广元城区、滨江区举办东西部协作展会4次，朝天农特产品全年在东部地区销售1.0164亿元。组织企业参加2022川货电商节活动、2022广元直播电商节等线上展销活动，广元秦川印象生态有限公司荣获市级“十佳电商企业”、中子宇杰月饼荣获市级“十佳电商产品”。</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sz w:val="32"/>
          <w:szCs w:val="32"/>
          <w:lang w:val="en-US"/>
        </w:rPr>
      </w:pPr>
      <w:r>
        <w:rPr>
          <w:rFonts w:hint="eastAsia" w:ascii="楷体" w:hAnsi="楷体" w:eastAsia="楷体" w:cs="楷体"/>
          <w:kern w:val="2"/>
          <w:sz w:val="32"/>
          <w:szCs w:val="32"/>
          <w:lang w:val="en-US" w:eastAsia="zh-CN" w:bidi="ar"/>
        </w:rPr>
        <w:t>3、抓市场主体培育，不断优化市场供应壮大市场规模。</w:t>
      </w:r>
      <w:r>
        <w:rPr>
          <w:rFonts w:hint="eastAsia" w:ascii="仿宋" w:hAnsi="仿宋" w:eastAsia="仿宋" w:cs="仿宋"/>
          <w:kern w:val="2"/>
          <w:sz w:val="32"/>
          <w:szCs w:val="32"/>
          <w:lang w:val="en-US" w:eastAsia="zh-CN" w:bidi="ar"/>
        </w:rPr>
        <w:t>严格落实《朝天区“四上”企业培育奖励办法》，共兑现限上企业入库奖励资金18万元,累计入库限上商贸企业4家、规上服务业企业2家。开展曾家汉王老街、荣乐古街、五坊街等特色商业街区提升打造，打造了一批“曾家山菜系”示范店和“到曾家山必尝菜品”，积极组织厨师、家政人员参加广元市第九届职业技能竞赛中式烹饪、家政服务比赛并取得不错的成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sz w:val="32"/>
          <w:szCs w:val="32"/>
          <w:lang w:val="en-US"/>
        </w:rPr>
      </w:pPr>
      <w:r>
        <w:rPr>
          <w:rFonts w:hint="eastAsia" w:ascii="楷体" w:hAnsi="楷体" w:eastAsia="楷体" w:cs="楷体"/>
          <w:kern w:val="2"/>
          <w:sz w:val="32"/>
          <w:szCs w:val="32"/>
          <w:lang w:val="en-US" w:eastAsia="zh-CN" w:bidi="ar"/>
        </w:rPr>
        <w:t>4、抓外向型经济发展，</w:t>
      </w:r>
      <w:r>
        <w:rPr>
          <w:rFonts w:hint="eastAsia" w:ascii="仿宋" w:hAnsi="仿宋" w:eastAsia="仿宋" w:cs="仿宋"/>
          <w:kern w:val="2"/>
          <w:sz w:val="32"/>
          <w:szCs w:val="32"/>
          <w:lang w:val="en-US" w:eastAsia="zh-CN" w:bidi="ar"/>
        </w:rPr>
        <w:t>全力提升外向型经济发展水平。我区现有出口实绩企业2家，2022年新增外贸出口备案企业1家，累计外贸出口备案企业达10家、外商投资企业1家。受疫情以及国际大环境影响，外贸企业在资金周转、产品升级、出口转内销等受到限制，外贸出口总额有所下滑。主动融入成渝双城经济圈建设，开展朝天优质农产品进成渝社区宣传活动6次，产品进入成都40多个社区。</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楷体" w:hAnsi="楷体" w:eastAsia="楷体" w:cs="楷体"/>
          <w:kern w:val="2"/>
          <w:sz w:val="32"/>
          <w:szCs w:val="32"/>
          <w:lang w:val="en-US" w:eastAsia="zh-CN" w:bidi="ar"/>
        </w:rPr>
        <w:t>5、抓统筹协调，持续推动现代服务业高质量发展。</w:t>
      </w:r>
      <w:r>
        <w:rPr>
          <w:rFonts w:hint="eastAsia" w:ascii="仿宋" w:hAnsi="仿宋" w:eastAsia="仿宋" w:cs="仿宋"/>
          <w:kern w:val="2"/>
          <w:sz w:val="32"/>
          <w:szCs w:val="32"/>
          <w:lang w:val="en-US" w:eastAsia="zh-CN" w:bidi="ar"/>
        </w:rPr>
        <w:t>一是充分发挥第三产业牵头部门作用，高质量完成《朝天区“十四五”现代服务业发展规划（2021-2025）》《朝天区“十四五”现代物流业发展规划（2021-2025）》，召开服务业经济指标调度会5次。二是全面完成商贸领域疫情防控任务。三是建立了稳定的市场保供机制。编制《朝天区影响生活必需品市场稳定突发事件应急预案》，建立了以广客源商贸有限公司等3家企业为区级生活必需品保供企业、26家乡镇保供企业为支撑的全区生活必需品重点保供体系，保障了疫情期间和冰雪等极端条件下人民群众基本生活需求，维护市场稳定。</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602" w:firstLineChars="200"/>
        <w:contextualSpacing/>
        <w:jc w:val="left"/>
        <w:textAlignment w:val="auto"/>
        <w:rPr>
          <w:rFonts w:hint="eastAsia" w:ascii="仿宋" w:hAnsi="仿宋" w:eastAsia="仿宋" w:cs="仿宋"/>
          <w:b/>
          <w:bCs/>
          <w:color w:val="000000"/>
          <w:kern w:val="0"/>
          <w:sz w:val="30"/>
          <w:szCs w:val="30"/>
          <w:shd w:val="clear" w:color="auto" w:fill="FFFFFF"/>
          <w:lang w:val="en-US" w:eastAsia="zh-CN"/>
        </w:rPr>
      </w:pPr>
      <w:r>
        <w:rPr>
          <w:rFonts w:hint="eastAsia" w:ascii="仿宋" w:hAnsi="仿宋" w:eastAsia="仿宋" w:cs="仿宋"/>
          <w:b/>
          <w:bCs/>
          <w:color w:val="000000"/>
          <w:kern w:val="0"/>
          <w:sz w:val="30"/>
          <w:szCs w:val="30"/>
          <w:shd w:val="clear" w:color="auto" w:fill="FFFFFF"/>
          <w:lang w:val="en-US" w:eastAsia="zh-CN"/>
        </w:rPr>
        <w:t>（四）部门整体支出绩效目标</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2022年预算严格按照财政要求，结合单位实际，在规定的时间内完成了编制工作。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部门基本支出预算243.49万元。其中：人员类支出219.72万元，主要包括16名单位职工工资、津贴补贴、奖金、各类保险费用缴费、公积金缴费、其他工资福利等。公用经费支出23.77万元，主要包括16名职工日常办公用品采购、印刷费、水费、电费、邮电费、物业管理费、差旅费、维修（护）费、租赁费、公务接待、其他交通费用等。2022年1-8月整体绩效运行监控分析执行进度63%，年底完成预算100%，年度无资金结余。</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部门项目支出预算1709.89万元，其中：企业疫情防控资金5.50万元、女儿节“女皇味道”特色商品殿经费12.74万元、办公经费3.22万元、</w:t>
      </w:r>
      <w:r>
        <w:rPr>
          <w:rFonts w:hint="eastAsia" w:ascii="仿宋_GB2312" w:hAnsi="仿宋_GB2312" w:eastAsia="仿宋_GB2312" w:cs="仿宋_GB2312"/>
          <w:sz w:val="32"/>
          <w:szCs w:val="32"/>
          <w:lang w:val="en-US" w:eastAsia="zh-CN" w:bidi="ar"/>
        </w:rPr>
        <w:t>“转企升规”财政激励资金9万元、先进企业奖励资金（商贸）42万元、物流园区建设1.99万元、“两上”企业培育巩固经费5万元、“两上”企业规范化建设项目奖励补助资金51.28万元、限下样本企业（批零住餐)工作经费1.70万元、市场拓展三大活动经费5万元、</w:t>
      </w:r>
      <w:r>
        <w:rPr>
          <w:rFonts w:hint="eastAsia" w:ascii="宋体" w:hAnsi="宋体" w:eastAsia="宋体" w:cs="宋体"/>
          <w:sz w:val="32"/>
          <w:szCs w:val="32"/>
          <w:lang w:val="en-US" w:eastAsia="zh-CN" w:bidi="ar"/>
        </w:rPr>
        <w:t>经</w:t>
      </w:r>
      <w:r>
        <w:rPr>
          <w:rFonts w:hint="eastAsia" w:ascii="仿宋_GB2312" w:hAnsi="仿宋_GB2312" w:eastAsia="仿宋_GB2312" w:cs="仿宋_GB2312"/>
          <w:sz w:val="32"/>
          <w:szCs w:val="32"/>
          <w:lang w:val="en-US" w:eastAsia="zh-CN" w:bidi="ar"/>
        </w:rPr>
        <w:t>财网维护费0.24万元、农商互联农产品供应链项目28.01万元、互联农产品供应链项目20.33万元、商贸流通脱贫奔康项目7.45万元、第二批省级内贸流通服务业务发展专项资金820万元、2022年东西部协作扶贫项目130.84万元、国家电子商务进农村综合示范县项目380万元、天府旅游名县奖励资金15万元、“乐享朝天、消费惠民”消费促进活动170.59万元。</w:t>
      </w:r>
      <w:r>
        <w:rPr>
          <w:rFonts w:hint="eastAsia" w:ascii="仿宋" w:hAnsi="仿宋" w:eastAsia="仿宋" w:cs="仿宋"/>
          <w:kern w:val="2"/>
          <w:sz w:val="32"/>
          <w:szCs w:val="32"/>
          <w:lang w:val="en-US" w:eastAsia="zh-CN" w:bidi="ar"/>
        </w:rPr>
        <w:t>主要用于保障单位特定项目的正常运转。2022年1-8月整体绩效运行监控分析执行进度35%，主要是因年中追加项目619万元还未执行，年底完成预算100%，年度无资金结余。</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支出均按照有关规章制度和项目实施完成情况进行支付，我单位严格按照项目预算要求使用和划拨资金、规范经费管理，专项资金按照项目内容使用，做到专款专用，使用专项资金时，通过财政专网统一支付。项目过程中严格按照管理办法执行，保障支出合法合规，做到了合法、有序，全年无违反规定的行为发生。</w:t>
      </w:r>
    </w:p>
    <w:p>
      <w:pPr>
        <w:keepNext w:val="0"/>
        <w:keepLines w:val="0"/>
        <w:pageBreakBefore w:val="0"/>
        <w:widowControl/>
        <w:kinsoku/>
        <w:wordWrap/>
        <w:overflowPunct/>
        <w:topLinePunct w:val="0"/>
        <w:autoSpaceDE w:val="0"/>
        <w:autoSpaceDN/>
        <w:bidi w:val="0"/>
        <w:adjustRightInd w:val="0"/>
        <w:snapToGrid w:val="0"/>
        <w:spacing w:line="700" w:lineRule="exact"/>
        <w:ind w:firstLine="642" w:firstLineChars="200"/>
        <w:contextualSpacing/>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二、部门资金收支情况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2" w:firstLineChars="200"/>
        <w:contextualSpacing/>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（一）部门总体收支情况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 w:hAnsi="仿宋" w:eastAsia="仿宋" w:cs="仿宋"/>
          <w:sz w:val="32"/>
          <w:szCs w:val="32"/>
          <w:lang w:val="en-US" w:eastAsia="zh-CN"/>
        </w:rPr>
      </w:pPr>
      <w:r>
        <w:rPr>
          <w:rFonts w:hint="eastAsia" w:ascii="楷体_GB2312" w:hAnsi="楷体_GB2312" w:eastAsia="楷体_GB2312" w:cs="楷体_GB2312"/>
          <w:color w:val="auto"/>
          <w:kern w:val="0"/>
          <w:sz w:val="32"/>
          <w:szCs w:val="32"/>
          <w:shd w:val="clear" w:color="auto" w:fill="FFFFFF"/>
          <w:lang w:val="en-US" w:eastAsia="zh-CN"/>
        </w:rPr>
        <w:t>1.</w:t>
      </w:r>
      <w:r>
        <w:rPr>
          <w:rFonts w:hint="eastAsia" w:ascii="楷体_GB2312" w:hAnsi="楷体_GB2312" w:eastAsia="楷体_GB2312" w:cs="楷体_GB2312"/>
          <w:color w:val="auto"/>
          <w:kern w:val="0"/>
          <w:sz w:val="32"/>
          <w:szCs w:val="32"/>
          <w:shd w:val="clear" w:color="auto" w:fill="FFFFFF"/>
        </w:rPr>
        <w:t>部门总体收入情况。</w:t>
      </w:r>
      <w:r>
        <w:rPr>
          <w:rFonts w:hint="eastAsia" w:ascii="仿宋" w:hAnsi="仿宋" w:eastAsia="仿宋" w:cs="仿宋"/>
          <w:kern w:val="2"/>
          <w:sz w:val="32"/>
          <w:szCs w:val="32"/>
          <w:lang w:val="en-US" w:eastAsia="zh-CN" w:bidi="ar"/>
        </w:rPr>
        <w:t>2022年</w:t>
      </w:r>
      <w:r>
        <w:rPr>
          <w:rFonts w:hint="eastAsia" w:ascii="仿宋_GB2312" w:hAnsi="仿宋_GB2312" w:eastAsia="仿宋_GB2312" w:cs="仿宋_GB2312"/>
          <w:color w:val="auto"/>
          <w:kern w:val="0"/>
          <w:sz w:val="32"/>
          <w:szCs w:val="32"/>
          <w:shd w:val="clear" w:color="auto" w:fill="FFFFFF"/>
        </w:rPr>
        <w:t>，</w:t>
      </w:r>
      <w:r>
        <w:rPr>
          <w:rFonts w:hint="eastAsia" w:ascii="仿宋" w:hAnsi="仿宋" w:eastAsia="仿宋" w:cs="仿宋"/>
          <w:kern w:val="2"/>
          <w:sz w:val="32"/>
          <w:szCs w:val="32"/>
          <w:lang w:val="en-US" w:eastAsia="zh-CN" w:bidi="ar"/>
        </w:rPr>
        <w:t>我部门总收入1953.38万元（含2022年初结转结余资金240.28万元），其中：财政拨款收入1953.38万元，占总收入100%。</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lang w:val="en-US" w:eastAsia="zh-CN"/>
        </w:rPr>
        <w:t>2.部门总体支出情况。</w:t>
      </w:r>
      <w:r>
        <w:rPr>
          <w:rFonts w:hint="eastAsia" w:ascii="仿宋_GB2312" w:hAnsi="仿宋_GB2312" w:eastAsia="仿宋_GB2312" w:cs="仿宋_GB2312"/>
          <w:color w:val="auto"/>
          <w:kern w:val="0"/>
          <w:sz w:val="32"/>
          <w:szCs w:val="32"/>
          <w:shd w:val="clear" w:color="auto" w:fill="FFFFFF"/>
        </w:rPr>
        <w:t>2022年，我</w:t>
      </w:r>
      <w:r>
        <w:rPr>
          <w:rFonts w:hint="eastAsia" w:ascii="仿宋_GB2312" w:hAnsi="仿宋_GB2312" w:eastAsia="仿宋_GB2312" w:cs="仿宋_GB2312"/>
          <w:color w:val="auto"/>
          <w:kern w:val="0"/>
          <w:sz w:val="32"/>
          <w:szCs w:val="32"/>
          <w:shd w:val="clear" w:color="auto" w:fill="FFFFFF"/>
          <w:lang w:val="en-US" w:eastAsia="zh-CN"/>
        </w:rPr>
        <w:t>部门</w:t>
      </w:r>
      <w:r>
        <w:rPr>
          <w:rFonts w:hint="eastAsia" w:ascii="仿宋_GB2312" w:hAnsi="仿宋_GB2312" w:eastAsia="仿宋_GB2312" w:cs="仿宋_GB2312"/>
          <w:color w:val="auto"/>
          <w:kern w:val="0"/>
          <w:sz w:val="32"/>
          <w:szCs w:val="32"/>
          <w:shd w:val="clear" w:color="auto" w:fill="FFFFFF"/>
        </w:rPr>
        <w:t>总支出</w:t>
      </w:r>
      <w:r>
        <w:rPr>
          <w:rFonts w:hint="eastAsia" w:ascii="仿宋_GB2312" w:hAnsi="仿宋_GB2312" w:eastAsia="仿宋_GB2312" w:cs="仿宋_GB2312"/>
          <w:color w:val="auto"/>
          <w:kern w:val="0"/>
          <w:sz w:val="32"/>
          <w:szCs w:val="32"/>
          <w:shd w:val="clear" w:color="auto" w:fill="FFFFFF"/>
          <w:lang w:val="en-US" w:eastAsia="zh-CN"/>
        </w:rPr>
        <w:t>1953.38</w:t>
      </w:r>
      <w:r>
        <w:rPr>
          <w:rFonts w:hint="eastAsia" w:ascii="仿宋_GB2312" w:hAnsi="仿宋_GB2312" w:eastAsia="仿宋_GB2312" w:cs="仿宋_GB2312"/>
          <w:color w:val="auto"/>
          <w:kern w:val="0"/>
          <w:sz w:val="32"/>
          <w:szCs w:val="32"/>
          <w:shd w:val="clear" w:color="auto" w:fill="FFFFFF"/>
        </w:rPr>
        <w:t>万元，其中：</w:t>
      </w:r>
      <w:r>
        <w:rPr>
          <w:rFonts w:hint="eastAsia" w:ascii="仿宋_GB2312" w:hAnsi="仿宋_GB2312" w:eastAsia="仿宋_GB2312" w:cs="仿宋_GB2312"/>
          <w:b/>
          <w:bCs/>
          <w:color w:val="auto"/>
          <w:kern w:val="0"/>
          <w:sz w:val="32"/>
          <w:szCs w:val="32"/>
          <w:shd w:val="clear" w:color="auto" w:fill="FFFFFF"/>
        </w:rPr>
        <w:t>按功能分类</w:t>
      </w:r>
      <w:r>
        <w:rPr>
          <w:rFonts w:hint="eastAsia" w:ascii="仿宋_GB2312" w:hAnsi="仿宋_GB2312" w:eastAsia="仿宋_GB2312" w:cs="仿宋_GB2312"/>
          <w:color w:val="auto"/>
          <w:kern w:val="0"/>
          <w:sz w:val="32"/>
          <w:szCs w:val="32"/>
          <w:shd w:val="clear" w:color="auto" w:fill="FFFFFF"/>
        </w:rPr>
        <w:t>文化旅游体育与传媒支出</w:t>
      </w:r>
      <w:r>
        <w:rPr>
          <w:rFonts w:hint="eastAsia" w:ascii="仿宋_GB2312" w:hAnsi="仿宋_GB2312" w:eastAsia="仿宋_GB2312" w:cs="仿宋_GB2312"/>
          <w:color w:val="auto"/>
          <w:kern w:val="0"/>
          <w:sz w:val="32"/>
          <w:szCs w:val="32"/>
          <w:shd w:val="clear" w:color="auto" w:fill="FFFFFF"/>
          <w:lang w:val="en-US" w:eastAsia="zh-CN"/>
        </w:rPr>
        <w:t>15</w:t>
      </w:r>
      <w:r>
        <w:rPr>
          <w:rFonts w:hint="eastAsia" w:ascii="仿宋_GB2312" w:hAnsi="仿宋_GB2312" w:eastAsia="仿宋_GB2312" w:cs="仿宋_GB2312"/>
          <w:color w:val="auto"/>
          <w:kern w:val="0"/>
          <w:sz w:val="32"/>
          <w:szCs w:val="32"/>
          <w:shd w:val="clear" w:color="auto" w:fill="FFFFFF"/>
        </w:rPr>
        <w:t>万元，占</w:t>
      </w:r>
      <w:r>
        <w:rPr>
          <w:rFonts w:hint="eastAsia" w:ascii="仿宋_GB2312" w:hAnsi="仿宋_GB2312" w:eastAsia="仿宋_GB2312" w:cs="仿宋_GB2312"/>
          <w:color w:val="auto"/>
          <w:kern w:val="0"/>
          <w:sz w:val="32"/>
          <w:szCs w:val="32"/>
          <w:shd w:val="clear" w:color="auto" w:fill="FFFFFF"/>
          <w:lang w:val="en-US" w:eastAsia="zh-CN"/>
        </w:rPr>
        <w:t>0.77</w:t>
      </w:r>
      <w:r>
        <w:rPr>
          <w:rFonts w:hint="eastAsia" w:ascii="仿宋_GB2312" w:hAnsi="仿宋_GB2312" w:eastAsia="仿宋_GB2312" w:cs="仿宋_GB2312"/>
          <w:color w:val="auto"/>
          <w:kern w:val="0"/>
          <w:sz w:val="32"/>
          <w:szCs w:val="32"/>
          <w:shd w:val="clear" w:color="auto" w:fill="FFFFFF"/>
        </w:rPr>
        <w:t>%；社会保障和就业支出</w:t>
      </w:r>
      <w:r>
        <w:rPr>
          <w:rFonts w:hint="eastAsia" w:ascii="仿宋_GB2312" w:hAnsi="仿宋_GB2312" w:eastAsia="仿宋_GB2312" w:cs="仿宋_GB2312"/>
          <w:color w:val="auto"/>
          <w:kern w:val="0"/>
          <w:sz w:val="32"/>
          <w:szCs w:val="32"/>
          <w:shd w:val="clear" w:color="auto" w:fill="FFFFFF"/>
          <w:lang w:val="en-US" w:eastAsia="zh-CN"/>
        </w:rPr>
        <w:t>17.37</w:t>
      </w:r>
      <w:r>
        <w:rPr>
          <w:rFonts w:hint="eastAsia" w:ascii="仿宋_GB2312" w:hAnsi="仿宋_GB2312" w:eastAsia="仿宋_GB2312" w:cs="仿宋_GB2312"/>
          <w:color w:val="auto"/>
          <w:kern w:val="0"/>
          <w:sz w:val="32"/>
          <w:szCs w:val="32"/>
          <w:shd w:val="clear" w:color="auto" w:fill="FFFFFF"/>
        </w:rPr>
        <w:t>万元，占</w:t>
      </w:r>
      <w:r>
        <w:rPr>
          <w:rFonts w:hint="eastAsia" w:ascii="仿宋_GB2312" w:hAnsi="仿宋_GB2312" w:eastAsia="仿宋_GB2312" w:cs="仿宋_GB2312"/>
          <w:color w:val="auto"/>
          <w:kern w:val="0"/>
          <w:sz w:val="32"/>
          <w:szCs w:val="32"/>
          <w:shd w:val="clear" w:color="auto" w:fill="FFFFFF"/>
          <w:lang w:val="en-US" w:eastAsia="zh-CN"/>
        </w:rPr>
        <w:t>0.89</w:t>
      </w:r>
      <w:r>
        <w:rPr>
          <w:rFonts w:hint="eastAsia" w:ascii="仿宋_GB2312" w:hAnsi="仿宋_GB2312" w:eastAsia="仿宋_GB2312" w:cs="仿宋_GB2312"/>
          <w:color w:val="auto"/>
          <w:kern w:val="0"/>
          <w:sz w:val="32"/>
          <w:szCs w:val="32"/>
          <w:shd w:val="clear" w:color="auto" w:fill="FFFFFF"/>
        </w:rPr>
        <w:t>%；卫生健康支出</w:t>
      </w:r>
      <w:r>
        <w:rPr>
          <w:rFonts w:hint="eastAsia" w:ascii="仿宋_GB2312" w:hAnsi="仿宋_GB2312" w:eastAsia="仿宋_GB2312" w:cs="仿宋_GB2312"/>
          <w:color w:val="auto"/>
          <w:kern w:val="0"/>
          <w:sz w:val="32"/>
          <w:szCs w:val="32"/>
          <w:shd w:val="clear" w:color="auto" w:fill="FFFFFF"/>
          <w:lang w:val="en-US" w:eastAsia="zh-CN"/>
        </w:rPr>
        <w:t>8.84</w:t>
      </w:r>
      <w:r>
        <w:rPr>
          <w:rFonts w:hint="eastAsia" w:ascii="仿宋_GB2312" w:hAnsi="仿宋_GB2312" w:eastAsia="仿宋_GB2312" w:cs="仿宋_GB2312"/>
          <w:color w:val="auto"/>
          <w:kern w:val="0"/>
          <w:sz w:val="32"/>
          <w:szCs w:val="32"/>
          <w:shd w:val="clear" w:color="auto" w:fill="FFFFFF"/>
        </w:rPr>
        <w:t>万元，占</w:t>
      </w:r>
      <w:r>
        <w:rPr>
          <w:rFonts w:hint="eastAsia" w:ascii="仿宋_GB2312" w:hAnsi="仿宋_GB2312" w:eastAsia="仿宋_GB2312" w:cs="仿宋_GB2312"/>
          <w:color w:val="auto"/>
          <w:kern w:val="0"/>
          <w:sz w:val="32"/>
          <w:szCs w:val="32"/>
          <w:shd w:val="clear" w:color="auto" w:fill="FFFFFF"/>
          <w:lang w:val="en-US" w:eastAsia="zh-CN"/>
        </w:rPr>
        <w:t>0.45</w:t>
      </w:r>
      <w:r>
        <w:rPr>
          <w:rFonts w:hint="eastAsia" w:ascii="仿宋_GB2312" w:hAnsi="仿宋_GB2312" w:eastAsia="仿宋_GB2312" w:cs="仿宋_GB2312"/>
          <w:color w:val="auto"/>
          <w:kern w:val="0"/>
          <w:sz w:val="32"/>
          <w:szCs w:val="32"/>
          <w:shd w:val="clear" w:color="auto" w:fill="FFFFFF"/>
        </w:rPr>
        <w:t>%；农林水支出</w:t>
      </w:r>
      <w:r>
        <w:rPr>
          <w:rFonts w:hint="eastAsia" w:ascii="仿宋_GB2312" w:hAnsi="仿宋_GB2312" w:eastAsia="仿宋_GB2312" w:cs="仿宋_GB2312"/>
          <w:color w:val="auto"/>
          <w:kern w:val="0"/>
          <w:sz w:val="32"/>
          <w:szCs w:val="32"/>
          <w:shd w:val="clear" w:color="auto" w:fill="FFFFFF"/>
          <w:lang w:val="en-US" w:eastAsia="zh-CN"/>
        </w:rPr>
        <w:t>130.84</w:t>
      </w:r>
      <w:r>
        <w:rPr>
          <w:rFonts w:hint="eastAsia" w:ascii="仿宋_GB2312" w:hAnsi="仿宋_GB2312" w:eastAsia="仿宋_GB2312" w:cs="仿宋_GB2312"/>
          <w:color w:val="auto"/>
          <w:kern w:val="0"/>
          <w:sz w:val="32"/>
          <w:szCs w:val="32"/>
          <w:shd w:val="clear" w:color="auto" w:fill="FFFFFF"/>
        </w:rPr>
        <w:t>万元，占</w:t>
      </w:r>
      <w:r>
        <w:rPr>
          <w:rFonts w:hint="eastAsia" w:ascii="仿宋_GB2312" w:hAnsi="仿宋_GB2312" w:eastAsia="仿宋_GB2312" w:cs="仿宋_GB2312"/>
          <w:color w:val="auto"/>
          <w:kern w:val="0"/>
          <w:sz w:val="32"/>
          <w:szCs w:val="32"/>
          <w:shd w:val="clear" w:color="auto" w:fill="FFFFFF"/>
          <w:lang w:val="en-US" w:eastAsia="zh-CN"/>
        </w:rPr>
        <w:t>6.70</w:t>
      </w:r>
      <w:r>
        <w:rPr>
          <w:rFonts w:hint="eastAsia" w:ascii="仿宋_GB2312" w:hAnsi="仿宋_GB2312" w:eastAsia="仿宋_GB2312" w:cs="仿宋_GB2312"/>
          <w:color w:val="auto"/>
          <w:kern w:val="0"/>
          <w:sz w:val="32"/>
          <w:szCs w:val="32"/>
          <w:shd w:val="clear" w:color="auto" w:fill="FFFFFF"/>
        </w:rPr>
        <w:t>%；资源勘探工业信息等支出</w:t>
      </w:r>
      <w:r>
        <w:rPr>
          <w:rFonts w:hint="eastAsia" w:ascii="仿宋_GB2312" w:hAnsi="仿宋_GB2312" w:eastAsia="仿宋_GB2312" w:cs="仿宋_GB2312"/>
          <w:color w:val="auto"/>
          <w:kern w:val="0"/>
          <w:sz w:val="32"/>
          <w:szCs w:val="32"/>
          <w:shd w:val="clear" w:color="auto" w:fill="FFFFFF"/>
          <w:lang w:val="en-US" w:eastAsia="zh-CN"/>
        </w:rPr>
        <w:t>9</w:t>
      </w:r>
      <w:r>
        <w:rPr>
          <w:rFonts w:hint="eastAsia" w:ascii="仿宋_GB2312" w:hAnsi="仿宋_GB2312" w:eastAsia="仿宋_GB2312" w:cs="仿宋_GB2312"/>
          <w:color w:val="auto"/>
          <w:kern w:val="0"/>
          <w:sz w:val="32"/>
          <w:szCs w:val="32"/>
          <w:shd w:val="clear" w:color="auto" w:fill="FFFFFF"/>
        </w:rPr>
        <w:t>万元，占</w:t>
      </w:r>
      <w:r>
        <w:rPr>
          <w:rFonts w:hint="eastAsia" w:ascii="仿宋_GB2312" w:hAnsi="仿宋_GB2312" w:eastAsia="仿宋_GB2312" w:cs="仿宋_GB2312"/>
          <w:color w:val="auto"/>
          <w:kern w:val="0"/>
          <w:sz w:val="32"/>
          <w:szCs w:val="32"/>
          <w:shd w:val="clear" w:color="auto" w:fill="FFFFFF"/>
          <w:lang w:val="en-US" w:eastAsia="zh-CN"/>
        </w:rPr>
        <w:t>0.46</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；商业服务业等支出</w:t>
      </w:r>
      <w:r>
        <w:rPr>
          <w:rFonts w:hint="eastAsia" w:ascii="仿宋_GB2312" w:hAnsi="仿宋_GB2312" w:eastAsia="仿宋_GB2312" w:cs="仿宋_GB2312"/>
          <w:color w:val="auto"/>
          <w:kern w:val="0"/>
          <w:sz w:val="32"/>
          <w:szCs w:val="32"/>
          <w:shd w:val="clear" w:color="auto" w:fill="FFFFFF"/>
          <w:lang w:val="en-US" w:eastAsia="zh-CN"/>
        </w:rPr>
        <w:t>1754.39</w:t>
      </w:r>
      <w:r>
        <w:rPr>
          <w:rFonts w:hint="eastAsia" w:ascii="仿宋_GB2312" w:hAnsi="仿宋_GB2312" w:eastAsia="仿宋_GB2312" w:cs="仿宋_GB2312"/>
          <w:color w:val="auto"/>
          <w:kern w:val="0"/>
          <w:sz w:val="32"/>
          <w:szCs w:val="32"/>
          <w:shd w:val="clear" w:color="auto" w:fill="FFFFFF"/>
        </w:rPr>
        <w:t>万元，占</w:t>
      </w:r>
      <w:r>
        <w:rPr>
          <w:rFonts w:hint="eastAsia" w:ascii="仿宋_GB2312" w:hAnsi="仿宋_GB2312" w:eastAsia="仿宋_GB2312" w:cs="仿宋_GB2312"/>
          <w:color w:val="auto"/>
          <w:kern w:val="0"/>
          <w:sz w:val="32"/>
          <w:szCs w:val="32"/>
          <w:shd w:val="clear" w:color="auto" w:fill="FFFFFF"/>
          <w:lang w:val="en-US" w:eastAsia="zh-CN"/>
        </w:rPr>
        <w:t>89.81</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住房保障支出</w:t>
      </w:r>
      <w:r>
        <w:rPr>
          <w:rFonts w:hint="eastAsia" w:ascii="仿宋_GB2312" w:hAnsi="仿宋_GB2312" w:eastAsia="仿宋_GB2312" w:cs="仿宋_GB2312"/>
          <w:color w:val="auto"/>
          <w:kern w:val="0"/>
          <w:sz w:val="32"/>
          <w:szCs w:val="32"/>
          <w:shd w:val="clear" w:color="auto" w:fill="FFFFFF"/>
          <w:lang w:val="en-US" w:eastAsia="zh-CN"/>
        </w:rPr>
        <w:t>17.94</w:t>
      </w:r>
      <w:r>
        <w:rPr>
          <w:rFonts w:hint="eastAsia" w:ascii="仿宋_GB2312" w:hAnsi="仿宋_GB2312" w:eastAsia="仿宋_GB2312" w:cs="仿宋_GB2312"/>
          <w:color w:val="auto"/>
          <w:kern w:val="0"/>
          <w:sz w:val="32"/>
          <w:szCs w:val="32"/>
          <w:shd w:val="clear" w:color="auto" w:fill="FFFFFF"/>
        </w:rPr>
        <w:t>万元，占</w:t>
      </w:r>
      <w:r>
        <w:rPr>
          <w:rFonts w:hint="eastAsia" w:ascii="仿宋_GB2312" w:hAnsi="仿宋_GB2312" w:eastAsia="仿宋_GB2312" w:cs="仿宋_GB2312"/>
          <w:color w:val="auto"/>
          <w:kern w:val="0"/>
          <w:sz w:val="32"/>
          <w:szCs w:val="32"/>
          <w:shd w:val="clear" w:color="auto" w:fill="FFFFFF"/>
          <w:lang w:val="en-US" w:eastAsia="zh-CN"/>
        </w:rPr>
        <w:t>0.92</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b/>
          <w:bCs/>
          <w:color w:val="auto"/>
          <w:kern w:val="0"/>
          <w:sz w:val="32"/>
          <w:szCs w:val="32"/>
          <w:shd w:val="clear" w:color="auto" w:fill="FFFFFF"/>
        </w:rPr>
        <w:t>按支出性质</w:t>
      </w:r>
      <w:r>
        <w:rPr>
          <w:rFonts w:hint="eastAsia" w:ascii="仿宋_GB2312" w:hAnsi="仿宋_GB2312" w:eastAsia="仿宋_GB2312" w:cs="仿宋_GB2312"/>
          <w:color w:val="auto"/>
          <w:kern w:val="0"/>
          <w:sz w:val="32"/>
          <w:szCs w:val="32"/>
          <w:shd w:val="clear" w:color="auto" w:fill="FFFFFF"/>
        </w:rPr>
        <w:t>人员经费支出</w:t>
      </w:r>
      <w:r>
        <w:rPr>
          <w:rFonts w:hint="eastAsia" w:ascii="仿宋_GB2312" w:hAnsi="仿宋_GB2312" w:eastAsia="仿宋_GB2312" w:cs="仿宋_GB2312"/>
          <w:color w:val="auto"/>
          <w:kern w:val="0"/>
          <w:sz w:val="32"/>
          <w:szCs w:val="32"/>
          <w:shd w:val="clear" w:color="auto" w:fill="FFFFFF"/>
          <w:lang w:val="en-US" w:eastAsia="zh-CN"/>
        </w:rPr>
        <w:t>219.72</w:t>
      </w:r>
      <w:r>
        <w:rPr>
          <w:rFonts w:hint="eastAsia" w:ascii="仿宋_GB2312" w:hAnsi="仿宋_GB2312" w:eastAsia="仿宋_GB2312" w:cs="仿宋_GB2312"/>
          <w:color w:val="auto"/>
          <w:kern w:val="0"/>
          <w:sz w:val="32"/>
          <w:szCs w:val="32"/>
          <w:shd w:val="clear" w:color="auto" w:fill="FFFFFF"/>
        </w:rPr>
        <w:t>万元，占总支出的</w:t>
      </w:r>
      <w:r>
        <w:rPr>
          <w:rFonts w:hint="eastAsia" w:ascii="仿宋_GB2312" w:hAnsi="仿宋_GB2312" w:eastAsia="仿宋_GB2312" w:cs="仿宋_GB2312"/>
          <w:color w:val="auto"/>
          <w:kern w:val="0"/>
          <w:sz w:val="32"/>
          <w:szCs w:val="32"/>
          <w:shd w:val="clear" w:color="auto" w:fill="FFFFFF"/>
          <w:lang w:val="en-US" w:eastAsia="zh-CN"/>
        </w:rPr>
        <w:t>11.25</w:t>
      </w:r>
      <w:r>
        <w:rPr>
          <w:rFonts w:hint="eastAsia" w:ascii="仿宋_GB2312" w:hAnsi="仿宋_GB2312" w:eastAsia="仿宋_GB2312" w:cs="仿宋_GB2312"/>
          <w:color w:val="auto"/>
          <w:kern w:val="0"/>
          <w:sz w:val="32"/>
          <w:szCs w:val="32"/>
          <w:shd w:val="clear" w:color="auto" w:fill="FFFFFF"/>
        </w:rPr>
        <w:t>%；公用经费支出</w:t>
      </w:r>
      <w:r>
        <w:rPr>
          <w:rFonts w:hint="eastAsia" w:ascii="仿宋_GB2312" w:hAnsi="仿宋_GB2312" w:eastAsia="仿宋_GB2312" w:cs="仿宋_GB2312"/>
          <w:color w:val="auto"/>
          <w:kern w:val="0"/>
          <w:sz w:val="32"/>
          <w:szCs w:val="32"/>
          <w:shd w:val="clear" w:color="auto" w:fill="FFFFFF"/>
          <w:lang w:val="en-US" w:eastAsia="zh-CN"/>
        </w:rPr>
        <w:t>23.77</w:t>
      </w:r>
      <w:r>
        <w:rPr>
          <w:rFonts w:hint="eastAsia" w:ascii="仿宋_GB2312" w:hAnsi="仿宋_GB2312" w:eastAsia="仿宋_GB2312" w:cs="仿宋_GB2312"/>
          <w:color w:val="auto"/>
          <w:kern w:val="0"/>
          <w:sz w:val="32"/>
          <w:szCs w:val="32"/>
          <w:shd w:val="clear" w:color="auto" w:fill="FFFFFF"/>
        </w:rPr>
        <w:t>万元，占总支出的</w:t>
      </w:r>
      <w:r>
        <w:rPr>
          <w:rFonts w:hint="eastAsia" w:ascii="仿宋_GB2312" w:hAnsi="仿宋_GB2312" w:eastAsia="仿宋_GB2312" w:cs="仿宋_GB2312"/>
          <w:color w:val="auto"/>
          <w:kern w:val="0"/>
          <w:sz w:val="32"/>
          <w:szCs w:val="32"/>
          <w:shd w:val="clear" w:color="auto" w:fill="FFFFFF"/>
          <w:lang w:val="en-US" w:eastAsia="zh-CN"/>
        </w:rPr>
        <w:t>1.22</w:t>
      </w:r>
      <w:r>
        <w:rPr>
          <w:rFonts w:hint="eastAsia" w:ascii="仿宋_GB2312" w:hAnsi="仿宋_GB2312" w:eastAsia="仿宋_GB2312" w:cs="仿宋_GB2312"/>
          <w:color w:val="auto"/>
          <w:kern w:val="0"/>
          <w:sz w:val="32"/>
          <w:szCs w:val="32"/>
          <w:shd w:val="clear" w:color="auto" w:fill="FFFFFF"/>
        </w:rPr>
        <w:t>%；项目支出</w:t>
      </w:r>
      <w:r>
        <w:rPr>
          <w:rFonts w:hint="eastAsia" w:ascii="仿宋_GB2312" w:hAnsi="仿宋_GB2312" w:eastAsia="仿宋_GB2312" w:cs="仿宋_GB2312"/>
          <w:color w:val="auto"/>
          <w:kern w:val="0"/>
          <w:sz w:val="32"/>
          <w:szCs w:val="32"/>
          <w:shd w:val="clear" w:color="auto" w:fill="FFFFFF"/>
          <w:lang w:val="en-US" w:eastAsia="zh-CN"/>
        </w:rPr>
        <w:t>1709.89</w:t>
      </w:r>
      <w:r>
        <w:rPr>
          <w:rFonts w:hint="eastAsia" w:ascii="仿宋_GB2312" w:hAnsi="仿宋_GB2312" w:eastAsia="仿宋_GB2312" w:cs="仿宋_GB2312"/>
          <w:color w:val="auto"/>
          <w:kern w:val="0"/>
          <w:sz w:val="32"/>
          <w:szCs w:val="32"/>
          <w:shd w:val="clear" w:color="auto" w:fill="FFFFFF"/>
        </w:rPr>
        <w:t>万元，占总支出的</w:t>
      </w:r>
      <w:r>
        <w:rPr>
          <w:rFonts w:hint="eastAsia" w:ascii="仿宋_GB2312" w:hAnsi="仿宋_GB2312" w:eastAsia="仿宋_GB2312" w:cs="仿宋_GB2312"/>
          <w:color w:val="auto"/>
          <w:kern w:val="0"/>
          <w:sz w:val="32"/>
          <w:szCs w:val="32"/>
          <w:shd w:val="clear" w:color="auto" w:fill="FFFFFF"/>
          <w:lang w:val="en-US" w:eastAsia="zh-CN"/>
        </w:rPr>
        <w:t>87.53</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 w:hAnsi="仿宋" w:eastAsia="仿宋" w:cs="仿宋"/>
          <w:b/>
          <w:bCs/>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3.部门总体结转结余情况。</w:t>
      </w:r>
      <w:r>
        <w:rPr>
          <w:rFonts w:hint="eastAsia" w:ascii="仿宋_GB2312" w:hAnsi="仿宋_GB2312" w:eastAsia="仿宋_GB2312" w:cs="仿宋_GB2312"/>
          <w:color w:val="auto"/>
          <w:kern w:val="0"/>
          <w:sz w:val="32"/>
          <w:szCs w:val="32"/>
          <w:u w:val="none"/>
          <w:shd w:val="clear" w:color="auto" w:fill="FFFFFF"/>
        </w:rPr>
        <w:t>我单位2022年无结转结余。</w:t>
      </w:r>
    </w:p>
    <w:p>
      <w:pPr>
        <w:keepNext w:val="0"/>
        <w:keepLines w:val="0"/>
        <w:pageBreakBefore w:val="0"/>
        <w:widowControl/>
        <w:kinsoku/>
        <w:wordWrap/>
        <w:overflowPunct/>
        <w:topLinePunct w:val="0"/>
        <w:autoSpaceDE w:val="0"/>
        <w:autoSpaceDN/>
        <w:bidi w:val="0"/>
        <w:adjustRightInd w:val="0"/>
        <w:snapToGrid w:val="0"/>
        <w:spacing w:line="700" w:lineRule="exact"/>
        <w:ind w:firstLine="642" w:firstLineChars="200"/>
        <w:contextualSpacing/>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（二）部门财政拨款收支情况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u w:val="none"/>
          <w:shd w:val="clear" w:color="auto" w:fill="FFFFFF"/>
        </w:rPr>
      </w:pPr>
      <w:r>
        <w:rPr>
          <w:rFonts w:hint="eastAsia" w:ascii="仿宋_GB2312" w:hAnsi="仿宋_GB2312" w:eastAsia="仿宋_GB2312" w:cs="仿宋_GB2312"/>
          <w:color w:val="auto"/>
          <w:kern w:val="0"/>
          <w:sz w:val="32"/>
          <w:szCs w:val="32"/>
          <w:u w:val="none"/>
          <w:shd w:val="clear" w:color="auto" w:fill="FFFFFF"/>
        </w:rPr>
        <w:t>1.部门财政拨款收入情况。2022年，我单位财政拨款收入</w:t>
      </w:r>
      <w:r>
        <w:rPr>
          <w:rFonts w:hint="eastAsia" w:ascii="仿宋_GB2312" w:hAnsi="仿宋_GB2312" w:eastAsia="仿宋_GB2312" w:cs="仿宋_GB2312"/>
          <w:color w:val="auto"/>
          <w:kern w:val="0"/>
          <w:sz w:val="32"/>
          <w:szCs w:val="32"/>
          <w:u w:val="none"/>
          <w:shd w:val="clear" w:color="auto" w:fill="FFFFFF"/>
          <w:lang w:val="en-US" w:eastAsia="zh-CN"/>
        </w:rPr>
        <w:t>1953.38</w:t>
      </w:r>
      <w:r>
        <w:rPr>
          <w:rFonts w:hint="eastAsia" w:ascii="仿宋_GB2312" w:hAnsi="仿宋_GB2312" w:eastAsia="仿宋_GB2312" w:cs="仿宋_GB2312"/>
          <w:color w:val="auto"/>
          <w:kern w:val="0"/>
          <w:sz w:val="32"/>
          <w:szCs w:val="32"/>
          <w:u w:val="none"/>
          <w:shd w:val="clear" w:color="auto" w:fill="FFFFFF"/>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含</w:t>
      </w:r>
      <w:r>
        <w:rPr>
          <w:rFonts w:hint="eastAsia" w:ascii="仿宋_GB2312" w:hAnsi="仿宋_GB2312" w:eastAsia="仿宋_GB2312" w:cs="仿宋_GB2312"/>
          <w:color w:val="auto"/>
          <w:kern w:val="0"/>
          <w:sz w:val="32"/>
          <w:szCs w:val="32"/>
          <w:shd w:val="clear" w:color="auto" w:fill="FFFFFF"/>
        </w:rPr>
        <w:t>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rPr>
        <w:t>年初</w:t>
      </w:r>
      <w:r>
        <w:rPr>
          <w:rFonts w:hint="eastAsia" w:ascii="仿宋_GB2312" w:hAnsi="仿宋_GB2312" w:eastAsia="仿宋_GB2312" w:cs="仿宋_GB2312"/>
          <w:color w:val="auto"/>
          <w:kern w:val="0"/>
          <w:sz w:val="32"/>
          <w:szCs w:val="32"/>
          <w:shd w:val="clear" w:color="auto" w:fill="FFFFFF"/>
          <w:lang w:val="en-US" w:eastAsia="zh-CN"/>
        </w:rPr>
        <w:t>结转</w:t>
      </w:r>
      <w:r>
        <w:rPr>
          <w:rFonts w:hint="eastAsia" w:ascii="仿宋_GB2312" w:hAnsi="仿宋_GB2312" w:eastAsia="仿宋_GB2312" w:cs="仿宋_GB2312"/>
          <w:color w:val="auto"/>
          <w:kern w:val="0"/>
          <w:sz w:val="32"/>
          <w:szCs w:val="32"/>
          <w:shd w:val="clear" w:color="auto" w:fill="FFFFFF"/>
        </w:rPr>
        <w:t>结余资金</w:t>
      </w:r>
      <w:r>
        <w:rPr>
          <w:rFonts w:hint="eastAsia" w:ascii="仿宋_GB2312" w:hAnsi="仿宋_GB2312" w:eastAsia="仿宋_GB2312" w:cs="仿宋_GB2312"/>
          <w:color w:val="auto"/>
          <w:kern w:val="0"/>
          <w:sz w:val="32"/>
          <w:szCs w:val="32"/>
          <w:shd w:val="clear" w:color="auto" w:fill="FFFFFF"/>
          <w:lang w:val="en-US" w:eastAsia="zh-CN"/>
        </w:rPr>
        <w:t>240.28</w:t>
      </w:r>
      <w:r>
        <w:rPr>
          <w:rFonts w:hint="eastAsia" w:ascii="仿宋_GB2312" w:hAnsi="仿宋_GB2312" w:eastAsia="仿宋_GB2312" w:cs="仿宋_GB2312"/>
          <w:color w:val="auto"/>
          <w:kern w:val="0"/>
          <w:sz w:val="32"/>
          <w:szCs w:val="32"/>
          <w:shd w:val="clear" w:color="auto" w:fill="FFFFFF"/>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u w:val="none"/>
          <w:shd w:val="clear" w:color="auto" w:fill="FFFFFF"/>
        </w:rPr>
        <w:t>，</w:t>
      </w:r>
      <w:r>
        <w:rPr>
          <w:rFonts w:hint="eastAsia" w:ascii="仿宋_GB2312" w:hAnsi="仿宋_GB2312" w:eastAsia="仿宋_GB2312" w:cs="仿宋_GB2312"/>
          <w:color w:val="auto"/>
          <w:kern w:val="0"/>
          <w:sz w:val="32"/>
          <w:szCs w:val="32"/>
          <w:u w:val="none"/>
          <w:shd w:val="clear" w:color="auto" w:fill="FFFFFF"/>
          <w:lang w:val="en-US" w:eastAsia="zh-CN"/>
        </w:rPr>
        <w:t>其中：一般公共预算财政拨款收入1953.38万元，</w:t>
      </w:r>
      <w:r>
        <w:rPr>
          <w:rFonts w:hint="eastAsia" w:ascii="仿宋_GB2312" w:hAnsi="仿宋_GB2312" w:eastAsia="仿宋_GB2312" w:cs="仿宋_GB2312"/>
          <w:color w:val="auto"/>
          <w:kern w:val="0"/>
          <w:sz w:val="32"/>
          <w:szCs w:val="32"/>
          <w:u w:val="none"/>
          <w:shd w:val="clear" w:color="auto" w:fill="FFFFFF"/>
        </w:rPr>
        <w:t>占</w:t>
      </w:r>
      <w:r>
        <w:rPr>
          <w:rFonts w:hint="eastAsia" w:ascii="仿宋_GB2312" w:hAnsi="仿宋_GB2312" w:eastAsia="仿宋_GB2312" w:cs="仿宋_GB2312"/>
          <w:color w:val="auto"/>
          <w:kern w:val="0"/>
          <w:sz w:val="32"/>
          <w:szCs w:val="32"/>
          <w:u w:val="none"/>
          <w:shd w:val="clear" w:color="auto" w:fill="FFFFFF"/>
          <w:lang w:val="en-US" w:eastAsia="zh-CN"/>
        </w:rPr>
        <w:t>100</w:t>
      </w:r>
      <w:r>
        <w:rPr>
          <w:rFonts w:hint="eastAsia" w:ascii="仿宋_GB2312" w:hAnsi="仿宋_GB2312" w:eastAsia="仿宋_GB2312" w:cs="仿宋_GB2312"/>
          <w:color w:val="auto"/>
          <w:kern w:val="0"/>
          <w:sz w:val="32"/>
          <w:szCs w:val="32"/>
          <w:u w:val="none"/>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u w:val="none"/>
          <w:shd w:val="clear" w:color="auto" w:fill="FFFFFF"/>
        </w:rPr>
      </w:pPr>
      <w:r>
        <w:rPr>
          <w:rFonts w:hint="eastAsia" w:ascii="仿宋_GB2312" w:hAnsi="仿宋_GB2312" w:eastAsia="仿宋_GB2312" w:cs="仿宋_GB2312"/>
          <w:color w:val="auto"/>
          <w:kern w:val="0"/>
          <w:sz w:val="32"/>
          <w:szCs w:val="32"/>
          <w:u w:val="none"/>
          <w:shd w:val="clear" w:color="auto" w:fill="FFFFFF"/>
        </w:rPr>
        <w:t>2.部门财政拨款支出情况。2022年，我单位财政拨款支出</w:t>
      </w:r>
      <w:r>
        <w:rPr>
          <w:rFonts w:hint="eastAsia" w:ascii="仿宋_GB2312" w:hAnsi="仿宋_GB2312" w:eastAsia="仿宋_GB2312" w:cs="仿宋_GB2312"/>
          <w:color w:val="auto"/>
          <w:kern w:val="0"/>
          <w:sz w:val="32"/>
          <w:szCs w:val="32"/>
          <w:u w:val="none"/>
          <w:shd w:val="clear" w:color="auto" w:fill="FFFFFF"/>
          <w:lang w:val="en-US" w:eastAsia="zh-CN"/>
        </w:rPr>
        <w:t>1953.38</w:t>
      </w:r>
      <w:r>
        <w:rPr>
          <w:rFonts w:hint="eastAsia" w:ascii="仿宋_GB2312" w:hAnsi="仿宋_GB2312" w:eastAsia="仿宋_GB2312" w:cs="仿宋_GB2312"/>
          <w:color w:val="auto"/>
          <w:kern w:val="0"/>
          <w:sz w:val="32"/>
          <w:szCs w:val="32"/>
          <w:u w:val="none"/>
          <w:shd w:val="clear" w:color="auto" w:fill="FFFFFF"/>
        </w:rPr>
        <w:t>万元，其中：基本支出</w:t>
      </w:r>
      <w:r>
        <w:rPr>
          <w:rFonts w:hint="eastAsia" w:ascii="仿宋_GB2312" w:hAnsi="仿宋_GB2312" w:eastAsia="仿宋_GB2312" w:cs="仿宋_GB2312"/>
          <w:color w:val="auto"/>
          <w:kern w:val="0"/>
          <w:sz w:val="32"/>
          <w:szCs w:val="32"/>
          <w:u w:val="none"/>
          <w:shd w:val="clear" w:color="auto" w:fill="FFFFFF"/>
          <w:lang w:val="en-US" w:eastAsia="zh-CN"/>
        </w:rPr>
        <w:t>243.49</w:t>
      </w:r>
      <w:r>
        <w:rPr>
          <w:rFonts w:hint="eastAsia" w:ascii="仿宋_GB2312" w:hAnsi="仿宋_GB2312" w:eastAsia="仿宋_GB2312" w:cs="仿宋_GB2312"/>
          <w:color w:val="auto"/>
          <w:kern w:val="0"/>
          <w:sz w:val="32"/>
          <w:szCs w:val="32"/>
          <w:u w:val="none"/>
          <w:shd w:val="clear" w:color="auto" w:fill="FFFFFF"/>
        </w:rPr>
        <w:t>万元，占支出的</w:t>
      </w:r>
      <w:r>
        <w:rPr>
          <w:rFonts w:hint="eastAsia" w:ascii="仿宋_GB2312" w:hAnsi="仿宋_GB2312" w:eastAsia="仿宋_GB2312" w:cs="仿宋_GB2312"/>
          <w:color w:val="auto"/>
          <w:kern w:val="0"/>
          <w:sz w:val="32"/>
          <w:szCs w:val="32"/>
          <w:u w:val="none"/>
          <w:shd w:val="clear" w:color="auto" w:fill="FFFFFF"/>
          <w:lang w:val="en-US" w:eastAsia="zh-CN"/>
        </w:rPr>
        <w:t>12.47</w:t>
      </w:r>
      <w:r>
        <w:rPr>
          <w:rFonts w:hint="eastAsia" w:ascii="仿宋_GB2312" w:hAnsi="仿宋_GB2312" w:eastAsia="仿宋_GB2312" w:cs="仿宋_GB2312"/>
          <w:color w:val="auto"/>
          <w:kern w:val="0"/>
          <w:sz w:val="32"/>
          <w:szCs w:val="32"/>
          <w:u w:val="none"/>
          <w:shd w:val="clear" w:color="auto" w:fill="FFFFFF"/>
        </w:rPr>
        <w:t>%；项目支出</w:t>
      </w:r>
      <w:r>
        <w:rPr>
          <w:rFonts w:hint="eastAsia" w:ascii="仿宋_GB2312" w:hAnsi="仿宋_GB2312" w:eastAsia="仿宋_GB2312" w:cs="仿宋_GB2312"/>
          <w:color w:val="auto"/>
          <w:kern w:val="0"/>
          <w:sz w:val="32"/>
          <w:szCs w:val="32"/>
          <w:u w:val="none"/>
          <w:shd w:val="clear" w:color="auto" w:fill="FFFFFF"/>
          <w:lang w:val="en-US" w:eastAsia="zh-CN"/>
        </w:rPr>
        <w:t>1709.89</w:t>
      </w:r>
      <w:r>
        <w:rPr>
          <w:rFonts w:hint="eastAsia" w:ascii="仿宋_GB2312" w:hAnsi="仿宋_GB2312" w:eastAsia="仿宋_GB2312" w:cs="仿宋_GB2312"/>
          <w:color w:val="auto"/>
          <w:kern w:val="0"/>
          <w:sz w:val="32"/>
          <w:szCs w:val="32"/>
          <w:u w:val="none"/>
          <w:shd w:val="clear" w:color="auto" w:fill="FFFFFF"/>
        </w:rPr>
        <w:t>万元，占支出的</w:t>
      </w:r>
      <w:r>
        <w:rPr>
          <w:rFonts w:hint="eastAsia" w:ascii="仿宋_GB2312" w:hAnsi="仿宋_GB2312" w:eastAsia="仿宋_GB2312" w:cs="仿宋_GB2312"/>
          <w:color w:val="auto"/>
          <w:kern w:val="0"/>
          <w:sz w:val="32"/>
          <w:szCs w:val="32"/>
          <w:u w:val="none"/>
          <w:shd w:val="clear" w:color="auto" w:fill="FFFFFF"/>
          <w:lang w:val="en-US" w:eastAsia="zh-CN"/>
        </w:rPr>
        <w:t>87.53</w:t>
      </w:r>
      <w:r>
        <w:rPr>
          <w:rFonts w:hint="eastAsia" w:ascii="仿宋_GB2312" w:hAnsi="仿宋_GB2312" w:eastAsia="仿宋_GB2312" w:cs="仿宋_GB2312"/>
          <w:color w:val="auto"/>
          <w:kern w:val="0"/>
          <w:sz w:val="32"/>
          <w:szCs w:val="32"/>
          <w:u w:val="none"/>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u w:val="none"/>
          <w:shd w:val="clear" w:color="auto" w:fill="FFFFFF"/>
        </w:rPr>
      </w:pPr>
      <w:r>
        <w:rPr>
          <w:rFonts w:hint="eastAsia" w:ascii="仿宋_GB2312" w:hAnsi="仿宋_GB2312" w:eastAsia="仿宋_GB2312" w:cs="仿宋_GB2312"/>
          <w:color w:val="auto"/>
          <w:kern w:val="0"/>
          <w:sz w:val="32"/>
          <w:szCs w:val="32"/>
          <w:u w:val="none"/>
          <w:shd w:val="clear" w:color="auto" w:fill="FFFFFF"/>
        </w:rPr>
        <w:t>3.部门财政拨款结转结余情况。我单位2022年当年财政拨款无结转结余。</w:t>
      </w:r>
    </w:p>
    <w:p>
      <w:pPr>
        <w:keepNext w:val="0"/>
        <w:keepLines w:val="0"/>
        <w:pageBreakBefore w:val="0"/>
        <w:widowControl/>
        <w:kinsoku/>
        <w:wordWrap/>
        <w:overflowPunct/>
        <w:topLinePunct w:val="0"/>
        <w:autoSpaceDE w:val="0"/>
        <w:autoSpaceDN/>
        <w:bidi w:val="0"/>
        <w:adjustRightInd w:val="0"/>
        <w:snapToGrid w:val="0"/>
        <w:spacing w:line="700" w:lineRule="exact"/>
        <w:ind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三、部门整体绩效分析</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（一）部门预算项目绩效管理</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rPr>
        <w:t>人员类项目绩效分析</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default" w:ascii="仿宋_GB2312" w:hAnsi="仿宋_GB2312" w:eastAsia="仿宋_GB2312" w:cs="仿宋_GB2312"/>
          <w:color w:val="auto"/>
          <w:kern w:val="0"/>
          <w:sz w:val="32"/>
          <w:szCs w:val="32"/>
          <w:shd w:val="clear" w:color="auto" w:fill="FFFFFF"/>
          <w:lang w:val="en-US" w:eastAsia="zh-CN"/>
        </w:rPr>
        <w:t>人员类支出</w:t>
      </w:r>
      <w:r>
        <w:rPr>
          <w:rFonts w:hint="eastAsia" w:ascii="仿宋_GB2312" w:hAnsi="仿宋_GB2312" w:eastAsia="仿宋_GB2312" w:cs="仿宋_GB2312"/>
          <w:color w:val="auto"/>
          <w:kern w:val="0"/>
          <w:sz w:val="32"/>
          <w:szCs w:val="32"/>
          <w:shd w:val="clear" w:color="auto" w:fill="FFFFFF"/>
          <w:lang w:val="en-US" w:eastAsia="zh-CN"/>
        </w:rPr>
        <w:t>219.72</w:t>
      </w:r>
      <w:r>
        <w:rPr>
          <w:rFonts w:hint="default" w:ascii="仿宋_GB2312" w:hAnsi="仿宋_GB2312" w:eastAsia="仿宋_GB2312" w:cs="仿宋_GB2312"/>
          <w:color w:val="auto"/>
          <w:kern w:val="0"/>
          <w:sz w:val="32"/>
          <w:szCs w:val="32"/>
          <w:shd w:val="clear" w:color="auto" w:fill="FFFFFF"/>
          <w:lang w:val="en-US" w:eastAsia="zh-CN"/>
        </w:rPr>
        <w:t>万元，主要包括</w:t>
      </w:r>
      <w:r>
        <w:rPr>
          <w:rFonts w:hint="eastAsia" w:ascii="仿宋_GB2312" w:hAnsi="仿宋_GB2312" w:eastAsia="仿宋_GB2312" w:cs="仿宋_GB2312"/>
          <w:color w:val="auto"/>
          <w:kern w:val="0"/>
          <w:sz w:val="32"/>
          <w:szCs w:val="32"/>
          <w:shd w:val="clear" w:color="auto" w:fill="FFFFFF"/>
          <w:lang w:val="en-US" w:eastAsia="zh-CN"/>
        </w:rPr>
        <w:t>16</w:t>
      </w:r>
      <w:r>
        <w:rPr>
          <w:rFonts w:hint="default" w:ascii="仿宋_GB2312" w:hAnsi="仿宋_GB2312" w:eastAsia="仿宋_GB2312" w:cs="仿宋_GB2312"/>
          <w:color w:val="auto"/>
          <w:kern w:val="0"/>
          <w:sz w:val="32"/>
          <w:szCs w:val="32"/>
          <w:shd w:val="clear" w:color="auto" w:fill="FFFFFF"/>
          <w:lang w:val="en-US" w:eastAsia="zh-CN"/>
        </w:rPr>
        <w:t>名单位职工人员工资、津贴补贴、奖金、绩效工资、机关事业单位基本养老保险缴费、职工基本医疗保险缴费、住房公积金、其他社会保障缴费、其他工资福利支出、奖励金等。根据相关规定和标准按时间节点发放干部职工工资</w:t>
      </w:r>
      <w:r>
        <w:rPr>
          <w:rFonts w:hint="eastAsia" w:ascii="仿宋_GB2312" w:hAnsi="仿宋_GB2312" w:eastAsia="仿宋_GB2312" w:cs="仿宋_GB2312"/>
          <w:color w:val="auto"/>
          <w:kern w:val="0"/>
          <w:sz w:val="32"/>
          <w:szCs w:val="32"/>
          <w:shd w:val="clear" w:color="auto" w:fill="FFFFFF"/>
          <w:lang w:val="en-US" w:eastAsia="zh-CN"/>
        </w:rPr>
        <w:t>福利、</w:t>
      </w:r>
      <w:r>
        <w:rPr>
          <w:rFonts w:hint="default" w:ascii="仿宋_GB2312" w:hAnsi="仿宋_GB2312" w:eastAsia="仿宋_GB2312" w:cs="仿宋_GB2312"/>
          <w:color w:val="auto"/>
          <w:kern w:val="0"/>
          <w:sz w:val="32"/>
          <w:szCs w:val="32"/>
          <w:shd w:val="clear" w:color="auto" w:fill="FFFFFF"/>
          <w:lang w:val="en-US" w:eastAsia="zh-CN"/>
        </w:rPr>
        <w:t>足额缴纳各类保险及公积金，保障了干部职工生活水平，确保顺利实现单位工作目标</w:t>
      </w:r>
      <w:r>
        <w:rPr>
          <w:rFonts w:hint="eastAsia" w:ascii="仿宋_GB2312" w:hAnsi="仿宋_GB2312" w:eastAsia="仿宋_GB2312" w:cs="仿宋_GB2312"/>
          <w:color w:val="auto"/>
          <w:kern w:val="0"/>
          <w:sz w:val="32"/>
          <w:szCs w:val="32"/>
          <w:shd w:val="clear" w:color="auto" w:fill="FFFFFF"/>
          <w:lang w:val="en-US" w:eastAsia="zh-CN"/>
        </w:rPr>
        <w:t>，</w:t>
      </w:r>
      <w:r>
        <w:rPr>
          <w:rFonts w:hint="default" w:ascii="仿宋_GB2312" w:hAnsi="仿宋_GB2312" w:eastAsia="仿宋_GB2312" w:cs="仿宋_GB2312"/>
          <w:color w:val="auto"/>
          <w:kern w:val="0"/>
          <w:sz w:val="32"/>
          <w:szCs w:val="32"/>
          <w:shd w:val="clear" w:color="auto" w:fill="FFFFFF"/>
          <w:lang w:val="en-US" w:eastAsia="zh-CN"/>
        </w:rPr>
        <w:t>执行率达到100％。</w:t>
      </w:r>
      <w:r>
        <w:rPr>
          <w:rFonts w:hint="eastAsia" w:ascii="仿宋_GB2312" w:hAnsi="仿宋_GB2312" w:eastAsia="仿宋_GB2312" w:cs="仿宋_GB2312"/>
          <w:color w:val="auto"/>
          <w:kern w:val="0"/>
          <w:sz w:val="32"/>
          <w:szCs w:val="32"/>
          <w:shd w:val="clear" w:color="auto" w:fill="FFFFFF"/>
          <w:lang w:val="en-US" w:eastAsia="zh-CN"/>
        </w:rPr>
        <w:t>无资金结余和</w:t>
      </w:r>
      <w:r>
        <w:rPr>
          <w:rFonts w:hint="default" w:ascii="仿宋_GB2312" w:hAnsi="仿宋_GB2312" w:eastAsia="仿宋_GB2312" w:cs="仿宋_GB2312"/>
          <w:color w:val="auto"/>
          <w:kern w:val="0"/>
          <w:sz w:val="32"/>
          <w:szCs w:val="32"/>
          <w:shd w:val="clear" w:color="auto" w:fill="FFFFFF"/>
          <w:lang w:val="en-US" w:eastAsia="zh-CN"/>
        </w:rPr>
        <w:t>违规行为。</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default" w:ascii="仿宋_GB2312" w:hAnsi="仿宋_GB2312" w:eastAsia="仿宋_GB2312" w:cs="仿宋_GB2312"/>
          <w:color w:val="auto"/>
          <w:kern w:val="0"/>
          <w:sz w:val="32"/>
          <w:szCs w:val="32"/>
          <w:shd w:val="clear" w:color="auto" w:fill="FFFFFF"/>
          <w:lang w:val="en-US" w:eastAsia="zh-CN"/>
        </w:rPr>
        <w:t>2.运转类项目绩效分析</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default" w:ascii="仿宋_GB2312" w:hAnsi="仿宋_GB2312" w:eastAsia="仿宋_GB2312" w:cs="仿宋_GB2312"/>
          <w:color w:val="auto"/>
          <w:kern w:val="0"/>
          <w:sz w:val="32"/>
          <w:szCs w:val="32"/>
          <w:shd w:val="clear" w:color="auto" w:fill="FFFFFF"/>
          <w:lang w:val="en-US" w:eastAsia="zh-CN"/>
        </w:rPr>
        <w:t>运转类项目支出</w:t>
      </w:r>
      <w:r>
        <w:rPr>
          <w:rFonts w:hint="eastAsia" w:ascii="仿宋_GB2312" w:hAnsi="仿宋_GB2312" w:eastAsia="仿宋_GB2312" w:cs="仿宋_GB2312"/>
          <w:color w:val="auto"/>
          <w:kern w:val="0"/>
          <w:sz w:val="32"/>
          <w:szCs w:val="32"/>
          <w:shd w:val="clear" w:color="auto" w:fill="FFFFFF"/>
          <w:lang w:val="en-US" w:eastAsia="zh-CN"/>
        </w:rPr>
        <w:t>23.77</w:t>
      </w:r>
      <w:r>
        <w:rPr>
          <w:rFonts w:hint="default" w:ascii="仿宋_GB2312" w:hAnsi="仿宋_GB2312" w:eastAsia="仿宋_GB2312" w:cs="仿宋_GB2312"/>
          <w:color w:val="auto"/>
          <w:kern w:val="0"/>
          <w:sz w:val="32"/>
          <w:szCs w:val="32"/>
          <w:shd w:val="clear" w:color="auto" w:fill="FFFFFF"/>
          <w:lang w:val="en-US" w:eastAsia="zh-CN"/>
        </w:rPr>
        <w:t>万元，主要包括</w:t>
      </w:r>
      <w:r>
        <w:rPr>
          <w:rFonts w:hint="eastAsia" w:ascii="仿宋_GB2312" w:hAnsi="仿宋_GB2312" w:eastAsia="仿宋_GB2312" w:cs="仿宋_GB2312"/>
          <w:color w:val="auto"/>
          <w:kern w:val="0"/>
          <w:sz w:val="32"/>
          <w:szCs w:val="32"/>
          <w:shd w:val="clear" w:color="auto" w:fill="FFFFFF"/>
          <w:lang w:val="en-US" w:eastAsia="zh-CN"/>
        </w:rPr>
        <w:t>29</w:t>
      </w:r>
      <w:r>
        <w:rPr>
          <w:rFonts w:hint="default" w:ascii="仿宋_GB2312" w:hAnsi="仿宋_GB2312" w:eastAsia="仿宋_GB2312" w:cs="仿宋_GB2312"/>
          <w:color w:val="auto"/>
          <w:kern w:val="0"/>
          <w:sz w:val="32"/>
          <w:szCs w:val="32"/>
          <w:shd w:val="clear" w:color="auto" w:fill="FFFFFF"/>
          <w:lang w:val="en-US" w:eastAsia="zh-CN"/>
        </w:rPr>
        <w:t>名</w:t>
      </w:r>
      <w:r>
        <w:rPr>
          <w:rFonts w:hint="eastAsia" w:ascii="仿宋_GB2312" w:hAnsi="仿宋_GB2312" w:eastAsia="仿宋_GB2312" w:cs="仿宋_GB2312"/>
          <w:color w:val="auto"/>
          <w:kern w:val="0"/>
          <w:sz w:val="32"/>
          <w:szCs w:val="32"/>
          <w:shd w:val="clear" w:color="auto" w:fill="FFFFFF"/>
          <w:lang w:val="en-US" w:eastAsia="zh-CN"/>
        </w:rPr>
        <w:t>干部</w:t>
      </w:r>
      <w:r>
        <w:rPr>
          <w:rFonts w:hint="default" w:ascii="仿宋_GB2312" w:hAnsi="仿宋_GB2312" w:eastAsia="仿宋_GB2312" w:cs="仿宋_GB2312"/>
          <w:color w:val="auto"/>
          <w:kern w:val="0"/>
          <w:sz w:val="32"/>
          <w:szCs w:val="32"/>
          <w:shd w:val="clear" w:color="auto" w:fill="FFFFFF"/>
          <w:lang w:val="en-US" w:eastAsia="zh-CN"/>
        </w:rPr>
        <w:t>职工日常</w:t>
      </w:r>
      <w:r>
        <w:rPr>
          <w:rFonts w:hint="eastAsia" w:ascii="仿宋_GB2312" w:hAnsi="仿宋_GB2312" w:eastAsia="仿宋_GB2312" w:cs="仿宋_GB2312"/>
          <w:color w:val="auto"/>
          <w:kern w:val="0"/>
          <w:sz w:val="32"/>
          <w:szCs w:val="32"/>
          <w:shd w:val="clear" w:color="auto" w:fill="FFFFFF"/>
        </w:rPr>
        <w:t>办公费</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印刷费、水费、电费、邮电费</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物业管理费、</w:t>
      </w:r>
      <w:r>
        <w:rPr>
          <w:rFonts w:hint="eastAsia" w:ascii="仿宋_GB2312" w:hAnsi="仿宋_GB2312" w:eastAsia="仿宋_GB2312" w:cs="仿宋_GB2312"/>
          <w:color w:val="auto"/>
          <w:kern w:val="0"/>
          <w:sz w:val="32"/>
          <w:szCs w:val="32"/>
          <w:shd w:val="clear" w:color="auto" w:fill="FFFFFF"/>
        </w:rPr>
        <w:t>差旅费、维修（护）费、</w:t>
      </w:r>
      <w:r>
        <w:rPr>
          <w:rFonts w:hint="eastAsia" w:ascii="仿宋_GB2312" w:hAnsi="仿宋_GB2312" w:eastAsia="仿宋_GB2312" w:cs="仿宋_GB2312"/>
          <w:color w:val="auto"/>
          <w:kern w:val="0"/>
          <w:sz w:val="32"/>
          <w:szCs w:val="32"/>
          <w:shd w:val="clear" w:color="auto" w:fill="FFFFFF"/>
          <w:lang w:val="en-US" w:eastAsia="zh-CN"/>
        </w:rPr>
        <w:t>租赁费、</w:t>
      </w:r>
      <w:r>
        <w:rPr>
          <w:rFonts w:hint="eastAsia" w:ascii="仿宋_GB2312" w:hAnsi="仿宋_GB2312" w:eastAsia="仿宋_GB2312" w:cs="仿宋_GB2312"/>
          <w:color w:val="auto"/>
          <w:kern w:val="0"/>
          <w:sz w:val="32"/>
          <w:szCs w:val="32"/>
          <w:shd w:val="clear" w:color="auto" w:fill="FFFFFF"/>
        </w:rPr>
        <w:t>公务接待费、其他交通费用等</w:t>
      </w:r>
      <w:r>
        <w:rPr>
          <w:rFonts w:hint="eastAsia" w:ascii="仿宋_GB2312" w:hAnsi="仿宋_GB2312" w:eastAsia="仿宋_GB2312" w:cs="仿宋_GB2312"/>
          <w:color w:val="auto"/>
          <w:kern w:val="0"/>
          <w:sz w:val="32"/>
          <w:szCs w:val="32"/>
          <w:shd w:val="clear" w:color="auto" w:fill="FFFFFF"/>
          <w:lang w:val="en-US" w:eastAsia="zh-CN"/>
        </w:rPr>
        <w:t>支出</w:t>
      </w:r>
      <w:r>
        <w:rPr>
          <w:rFonts w:hint="default"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rPr>
        <w:t>确保了全年局机关各项工作正常运行和高效落实</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达到日常工作开展需要的经济效益和社会效益，</w:t>
      </w:r>
      <w:r>
        <w:rPr>
          <w:rFonts w:hint="default" w:ascii="仿宋_GB2312" w:hAnsi="仿宋_GB2312" w:eastAsia="仿宋_GB2312" w:cs="仿宋_GB2312"/>
          <w:color w:val="auto"/>
          <w:kern w:val="0"/>
          <w:sz w:val="32"/>
          <w:szCs w:val="32"/>
          <w:shd w:val="clear" w:color="auto" w:fill="FFFFFF"/>
          <w:lang w:val="en-US" w:eastAsia="zh-CN"/>
        </w:rPr>
        <w:t>执行率达到100％。</w:t>
      </w:r>
      <w:r>
        <w:rPr>
          <w:rFonts w:hint="eastAsia" w:ascii="仿宋_GB2312" w:hAnsi="仿宋_GB2312" w:eastAsia="仿宋_GB2312" w:cs="仿宋_GB2312"/>
          <w:color w:val="auto"/>
          <w:kern w:val="0"/>
          <w:sz w:val="32"/>
          <w:szCs w:val="32"/>
          <w:shd w:val="clear" w:color="auto" w:fill="FFFFFF"/>
          <w:lang w:val="en-US" w:eastAsia="zh-CN"/>
        </w:rPr>
        <w:t>无资金结余和违规记录。</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lang w:eastAsia="zh-CN"/>
        </w:rPr>
        <w:t>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spacing w:val="0"/>
          <w:kern w:val="0"/>
          <w:sz w:val="32"/>
          <w:szCs w:val="32"/>
          <w:lang w:eastAsia="zh-CN"/>
        </w:rPr>
        <w:t>特定</w:t>
      </w:r>
      <w:r>
        <w:rPr>
          <w:rFonts w:hint="eastAsia" w:ascii="仿宋_GB2312" w:hAnsi="仿宋_GB2312" w:eastAsia="仿宋_GB2312" w:cs="仿宋_GB2312"/>
          <w:snapToGrid w:val="0"/>
          <w:spacing w:val="0"/>
          <w:kern w:val="0"/>
          <w:sz w:val="32"/>
          <w:szCs w:val="32"/>
        </w:rPr>
        <w:t>项目</w:t>
      </w:r>
      <w:r>
        <w:rPr>
          <w:rFonts w:hint="eastAsia" w:ascii="仿宋_GB2312" w:hAnsi="仿宋_GB2312" w:eastAsia="仿宋_GB2312" w:cs="仿宋_GB2312"/>
          <w:snapToGrid w:val="0"/>
          <w:spacing w:val="0"/>
          <w:kern w:val="0"/>
          <w:sz w:val="32"/>
          <w:szCs w:val="32"/>
          <w:lang w:eastAsia="zh-CN"/>
        </w:rPr>
        <w:t>支出</w:t>
      </w:r>
      <w:r>
        <w:rPr>
          <w:rFonts w:hint="eastAsia" w:ascii="仿宋_GB2312" w:hAnsi="仿宋_GB2312" w:eastAsia="仿宋_GB2312" w:cs="仿宋_GB2312"/>
          <w:color w:val="auto"/>
          <w:kern w:val="0"/>
          <w:sz w:val="32"/>
          <w:szCs w:val="32"/>
          <w:shd w:val="clear" w:color="auto" w:fill="FFFFFF"/>
          <w:lang w:val="en-US" w:eastAsia="zh-CN"/>
        </w:rPr>
        <w:t>1709.89</w:t>
      </w:r>
      <w:r>
        <w:rPr>
          <w:rFonts w:hint="eastAsia" w:ascii="仿宋_GB2312" w:hAnsi="仿宋_GB2312" w:eastAsia="仿宋_GB2312" w:cs="仿宋_GB2312"/>
          <w:snapToGrid w:val="0"/>
          <w:spacing w:val="0"/>
          <w:kern w:val="0"/>
          <w:sz w:val="32"/>
          <w:szCs w:val="32"/>
          <w:lang w:val="en-US" w:eastAsia="zh-CN"/>
        </w:rPr>
        <w:t>万元，其中：文化旅游体育与传媒支出15万元，占比0.88%；农林水支出130.84万元，占比7.65%；资源勘探工业信息等支出9万元，占比0.53%；商业服务业等支出1555.05万元，占比90.94%。全年支出控制在预算成本范围内，完成当年特定项目任务，达到项目运行的经济效益和社会效益，满意度大于90%，</w:t>
      </w:r>
      <w:r>
        <w:rPr>
          <w:rFonts w:hint="default" w:ascii="仿宋_GB2312" w:hAnsi="仿宋_GB2312" w:eastAsia="仿宋_GB2312" w:cs="仿宋_GB2312"/>
          <w:color w:val="auto"/>
          <w:kern w:val="0"/>
          <w:sz w:val="32"/>
          <w:szCs w:val="32"/>
          <w:shd w:val="clear" w:color="auto" w:fill="FFFFFF"/>
          <w:lang w:val="en-US" w:eastAsia="zh-CN"/>
        </w:rPr>
        <w:t>执行率达到100％</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snapToGrid w:val="0"/>
          <w:spacing w:val="0"/>
          <w:kern w:val="0"/>
          <w:sz w:val="32"/>
          <w:szCs w:val="32"/>
          <w:lang w:val="en-US" w:eastAsia="zh-CN"/>
        </w:rPr>
        <w:t>无资金结余和违规记录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en-US" w:eastAsia="zh-CN"/>
        </w:rPr>
      </w:pPr>
      <w:r>
        <w:rPr>
          <w:rFonts w:hint="eastAsia" w:ascii="楷体_GB2312" w:hAnsi="楷体_GB2312" w:eastAsia="楷体_GB2312" w:cs="楷体_GB2312"/>
          <w:color w:val="auto"/>
          <w:kern w:val="0"/>
          <w:sz w:val="32"/>
          <w:szCs w:val="32"/>
          <w:shd w:val="clear" w:color="auto" w:fill="FFFFFF"/>
          <w:lang w:val="en-US" w:eastAsia="zh-CN"/>
        </w:rPr>
        <w:t>（二）部门整体履职绩效分析</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部门开展的部门整体绩效监控的项目达到了预期效果，产生了较好的社会效益，对在绩效监控中发现的问题，单位及时提出了整改意见并限期整改落实。逐步改变了长期以来“重分配轻监管、重使用轻效益”的现象，有效减少和防止盲目用款、无效支出及盲目支出等行为的发生，使财政资金的运行更加合理高效。</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我部门按要求开展2022年部门整体绩效监控情况来看，项目产出达到了预期的数量、质量、实效和成本指标，提高了社会效益，促进了可持续发展，从监控情况来看有关项目预算执行及时、有效，绩效目标得到较好实现，绩效管理水平不断提高，绩效指标体系建设逐渐丰富和完善，较为充分地反映了我部门的工作目标和任务。</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en-US" w:eastAsia="zh-CN"/>
        </w:rPr>
      </w:pPr>
      <w:r>
        <w:rPr>
          <w:rFonts w:hint="eastAsia" w:ascii="楷体_GB2312" w:hAnsi="楷体_GB2312" w:eastAsia="楷体_GB2312" w:cs="楷体_GB2312"/>
          <w:color w:val="auto"/>
          <w:kern w:val="0"/>
          <w:sz w:val="32"/>
          <w:szCs w:val="32"/>
          <w:shd w:val="clear" w:color="auto" w:fill="FFFFFF"/>
          <w:lang w:val="en-US" w:eastAsia="zh-CN"/>
        </w:rPr>
        <w:t>（三）结果应用情况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我部门积极配合财政部门开展绩效评价工作，及时提供了准确、真实的相关资料，在规定的时限内向财政局报送了部门整体支出绩效评价自评报告。自评报告内容完整，手续齐全，各项评价指标明确。评价结论合理有据、客观公正，如实地体现了部门取得绩效与存在的问题。按财政要求将相关绩效信息随同决算同步公开。针对绩效管理过程中出现的问题，及时进行整改。同时在规定时间内向财政部门反馈应用绩效结果报告。</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en-US" w:eastAsia="zh-CN"/>
        </w:rPr>
      </w:pPr>
      <w:r>
        <w:rPr>
          <w:rFonts w:hint="eastAsia" w:ascii="楷体_GB2312" w:hAnsi="楷体_GB2312" w:eastAsia="楷体_GB2312" w:cs="楷体_GB2312"/>
          <w:color w:val="auto"/>
          <w:kern w:val="0"/>
          <w:sz w:val="32"/>
          <w:szCs w:val="32"/>
          <w:shd w:val="clear" w:color="auto" w:fill="FFFFFF"/>
          <w:lang w:val="en-US" w:eastAsia="zh-CN"/>
        </w:rPr>
        <w:t>（四）自评质量</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部门整体自评得分92.16分。</w:t>
      </w:r>
    </w:p>
    <w:p>
      <w:pPr>
        <w:keepNext w:val="0"/>
        <w:keepLines w:val="0"/>
        <w:pageBreakBefore w:val="0"/>
        <w:widowControl/>
        <w:kinsoku/>
        <w:wordWrap/>
        <w:overflowPunct/>
        <w:topLinePunct w:val="0"/>
        <w:autoSpaceDE w:val="0"/>
        <w:autoSpaceDN/>
        <w:bidi w:val="0"/>
        <w:adjustRightInd w:val="0"/>
        <w:snapToGrid w:val="0"/>
        <w:spacing w:line="700" w:lineRule="exact"/>
        <w:ind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四、自评结论及建议</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（一）评价结论。</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sz w:val="32"/>
          <w:szCs w:val="32"/>
        </w:rPr>
        <w:t>根据预算绩效管理工作要求及安排</w:t>
      </w:r>
      <w:r>
        <w:rPr>
          <w:rFonts w:hint="eastAsia" w:ascii="仿宋_GB2312" w:hAnsi="仿宋_GB2312" w:eastAsia="仿宋_GB2312" w:cs="仿宋_GB2312"/>
          <w:color w:val="auto"/>
          <w:kern w:val="0"/>
          <w:sz w:val="32"/>
          <w:szCs w:val="32"/>
          <w:shd w:val="clear" w:color="auto" w:fill="FFFFFF"/>
          <w:lang w:val="en-US" w:eastAsia="zh-CN"/>
        </w:rPr>
        <w:t>，我部门全面完成各项目标任务。通过这些项目的实施，保障了局机关人员支出、项目实施，确保了单位正常运转。通过自评，2022年度部门整体评价等次为：优。</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（二）存在问题</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i w:val="0"/>
          <w:iCs w:val="0"/>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1.预算执行存在偏差。编制预算时难以精确预计，存在预算</w:t>
      </w:r>
      <w:r>
        <w:rPr>
          <w:rFonts w:hint="eastAsia" w:ascii="仿宋_GB2312" w:hAnsi="仿宋_GB2312" w:eastAsia="仿宋_GB2312" w:cs="仿宋_GB2312"/>
          <w:i w:val="0"/>
          <w:iCs w:val="0"/>
          <w:color w:val="auto"/>
          <w:kern w:val="0"/>
          <w:sz w:val="32"/>
          <w:szCs w:val="32"/>
          <w:shd w:val="clear" w:color="auto" w:fill="FFFFFF"/>
          <w:lang w:val="en-US" w:eastAsia="zh-CN"/>
        </w:rPr>
        <w:t>漏项年中追加情况，造成预算执行出现偏差现象。</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i w:val="0"/>
          <w:iCs w:val="0"/>
          <w:color w:val="auto"/>
          <w:kern w:val="0"/>
          <w:sz w:val="32"/>
          <w:szCs w:val="32"/>
          <w:shd w:val="clear" w:color="auto" w:fill="FFFFFF"/>
          <w:lang w:val="en-US" w:eastAsia="zh-CN"/>
        </w:rPr>
      </w:pPr>
      <w:r>
        <w:rPr>
          <w:rFonts w:hint="eastAsia" w:ascii="仿宋_GB2312" w:hAnsi="仿宋_GB2312" w:eastAsia="仿宋_GB2312" w:cs="仿宋_GB2312"/>
          <w:i w:val="0"/>
          <w:iCs w:val="0"/>
          <w:color w:val="auto"/>
          <w:kern w:val="0"/>
          <w:sz w:val="32"/>
          <w:szCs w:val="32"/>
          <w:shd w:val="clear" w:color="auto" w:fill="FFFFFF"/>
          <w:lang w:val="en-US" w:eastAsia="zh-CN"/>
        </w:rPr>
        <w:t>2.绩效目标设立不够明确、细化和量化。</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（三）改进建议</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1.进一步健全和完善财务管理制度及内部控制制度，创新管理手段，用新思路、新方法，改进完善财务管理方法。</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2.按照财政支出绩效管理的要求，建立科学的财政资金效益考评制度体系，不断提高财政资金使用管理的水平和效率。</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3.加强新行政单位会计制度和新预算法学习培训。加强新《预算法》《政府会计制度》等制度法规的学习培训，规范部门预算收支核算。一是制定和完善基本支出、项目支出等各项支出标准，严格按照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附</w:t>
      </w:r>
      <w:r>
        <w:rPr>
          <w:rFonts w:hint="eastAsia" w:ascii="仿宋" w:hAnsi="仿宋" w:eastAsia="仿宋" w:cs="仿宋"/>
          <w:color w:val="000000"/>
          <w:kern w:val="0"/>
          <w:sz w:val="30"/>
          <w:szCs w:val="30"/>
          <w:shd w:val="clear" w:color="auto" w:fill="FFFFFF"/>
          <w:lang w:val="en-US" w:eastAsia="zh-CN"/>
        </w:rPr>
        <w:t>件</w:t>
      </w:r>
      <w:r>
        <w:rPr>
          <w:rFonts w:hint="eastAsia" w:ascii="仿宋" w:hAnsi="仿宋" w:eastAsia="仿宋" w:cs="仿宋"/>
          <w:color w:val="000000"/>
          <w:kern w:val="0"/>
          <w:sz w:val="30"/>
          <w:szCs w:val="30"/>
          <w:shd w:val="clear" w:color="auto" w:fill="FFFFFF"/>
        </w:rPr>
        <w:t>：</w:t>
      </w:r>
      <w:r>
        <w:rPr>
          <w:rFonts w:hint="eastAsia" w:ascii="Calibri" w:hAnsi="Calibri" w:eastAsia="仿宋" w:cs="Calibri"/>
          <w:color w:val="000000"/>
          <w:kern w:val="0"/>
          <w:sz w:val="30"/>
          <w:szCs w:val="30"/>
          <w:shd w:val="clear" w:color="auto" w:fill="FFFFFF"/>
          <w:lang w:val="en-US" w:eastAsia="zh-CN"/>
        </w:rPr>
        <w:t xml:space="preserve">1  </w:t>
      </w:r>
      <w:r>
        <w:rPr>
          <w:rFonts w:hint="eastAsia" w:ascii="仿宋_GB2312" w:hAnsi="仿宋_GB2312" w:eastAsia="仿宋_GB2312" w:cs="仿宋_GB2312"/>
          <w:color w:val="000000"/>
          <w:spacing w:val="1"/>
          <w:w w:val="88"/>
          <w:kern w:val="0"/>
          <w:sz w:val="32"/>
          <w:szCs w:val="32"/>
          <w:shd w:val="clear" w:color="auto" w:fill="FFFFFF"/>
          <w:fitText w:val="5440" w:id="707136072"/>
        </w:rPr>
        <w:t>部门预算项目支出绩效自评表（2022年度</w:t>
      </w:r>
      <w:r>
        <w:rPr>
          <w:rFonts w:hint="eastAsia" w:ascii="仿宋_GB2312" w:hAnsi="仿宋_GB2312" w:eastAsia="仿宋_GB2312" w:cs="仿宋_GB2312"/>
          <w:color w:val="000000"/>
          <w:spacing w:val="3"/>
          <w:w w:val="88"/>
          <w:kern w:val="0"/>
          <w:sz w:val="32"/>
          <w:szCs w:val="32"/>
          <w:shd w:val="clear" w:color="auto" w:fill="FFFFFF"/>
          <w:fitText w:val="5440" w:id="707136072"/>
        </w:rPr>
        <w:t>）</w:t>
      </w:r>
      <w:r>
        <w:rPr>
          <w:rFonts w:hint="eastAsia" w:ascii="仿宋_GB2312" w:hAnsi="仿宋_GB2312" w:eastAsia="仿宋_GB2312" w:cs="仿宋_GB2312"/>
          <w:color w:val="000000"/>
          <w:spacing w:val="1"/>
          <w:w w:val="70"/>
          <w:kern w:val="0"/>
          <w:sz w:val="32"/>
          <w:szCs w:val="32"/>
          <w:shd w:val="clear" w:color="auto" w:fill="FFFFFF"/>
          <w:fitText w:val="960" w:id="214985138"/>
          <w:lang w:eastAsia="zh-CN"/>
        </w:rPr>
        <w:t>（</w:t>
      </w:r>
      <w:r>
        <w:rPr>
          <w:rFonts w:hint="eastAsia" w:ascii="仿宋_GB2312" w:hAnsi="仿宋_GB2312" w:eastAsia="仿宋_GB2312" w:cs="仿宋_GB2312"/>
          <w:color w:val="000000"/>
          <w:spacing w:val="1"/>
          <w:w w:val="70"/>
          <w:kern w:val="0"/>
          <w:sz w:val="32"/>
          <w:szCs w:val="32"/>
          <w:shd w:val="clear" w:color="auto" w:fill="FFFFFF"/>
          <w:fitText w:val="960" w:id="214985138"/>
          <w:lang w:val="en-US" w:eastAsia="zh-CN"/>
        </w:rPr>
        <w:t>36张</w:t>
      </w:r>
      <w:r>
        <w:rPr>
          <w:rFonts w:hint="eastAsia" w:ascii="仿宋_GB2312" w:hAnsi="仿宋_GB2312" w:eastAsia="仿宋_GB2312" w:cs="仿宋_GB2312"/>
          <w:color w:val="000000"/>
          <w:spacing w:val="2"/>
          <w:w w:val="70"/>
          <w:kern w:val="0"/>
          <w:sz w:val="32"/>
          <w:szCs w:val="32"/>
          <w:shd w:val="clear" w:color="auto" w:fill="FFFFFF"/>
          <w:fitText w:val="960" w:id="214985138"/>
          <w:lang w:eastAsia="zh-CN"/>
        </w:rPr>
        <w:t>）</w:t>
      </w:r>
    </w:p>
    <w:p>
      <w:pPr>
        <w:keepNext w:val="0"/>
        <w:keepLines w:val="0"/>
        <w:pageBreakBefore w:val="0"/>
        <w:widowControl/>
        <w:kinsoku/>
        <w:wordWrap/>
        <w:overflowPunct/>
        <w:topLinePunct w:val="0"/>
        <w:autoSpaceDE w:val="0"/>
        <w:autoSpaceDN/>
        <w:bidi w:val="0"/>
        <w:adjustRightInd w:val="0"/>
        <w:snapToGrid w:val="0"/>
        <w:spacing w:line="4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lang w:val="en-US" w:eastAsia="zh-CN"/>
        </w:rPr>
        <w:t xml:space="preserve"> </w:t>
      </w:r>
      <w:r>
        <w:rPr>
          <w:rFonts w:hint="eastAsia" w:ascii="Calibri" w:hAnsi="Calibri" w:eastAsia="仿宋" w:cs="Calibri"/>
          <w:color w:val="000000"/>
          <w:kern w:val="0"/>
          <w:sz w:val="30"/>
          <w:szCs w:val="30"/>
          <w:shd w:val="clear" w:color="auto" w:fill="FFFFFF"/>
          <w:lang w:val="en-US" w:eastAsia="zh-CN"/>
        </w:rPr>
        <w:t xml:space="preserve">2 </w:t>
      </w:r>
      <w:r>
        <w:rPr>
          <w:rFonts w:hint="eastAsia" w:ascii="仿宋" w:hAnsi="仿宋" w:eastAsia="仿宋" w:cs="仿宋"/>
          <w:color w:val="000000"/>
          <w:kern w:val="0"/>
          <w:sz w:val="30"/>
          <w:szCs w:val="30"/>
          <w:shd w:val="clear" w:color="auto" w:fill="FFFFFF"/>
        </w:rPr>
        <w:t>专项预算项目支出绩效自评报告</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2022年</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5个</w:t>
      </w:r>
      <w:r>
        <w:rPr>
          <w:rFonts w:hint="eastAsia" w:ascii="仿宋" w:hAnsi="仿宋" w:eastAsia="仿宋" w:cs="仿宋"/>
          <w:color w:val="000000"/>
          <w:kern w:val="0"/>
          <w:sz w:val="30"/>
          <w:szCs w:val="30"/>
          <w:shd w:val="clear" w:color="auto" w:fill="FFFFFF"/>
          <w:lang w:eastAsia="zh-CN"/>
        </w:rPr>
        <w:t>）</w:t>
      </w:r>
    </w:p>
    <w:p>
      <w:pPr>
        <w:widowControl/>
        <w:spacing w:line="580" w:lineRule="exact"/>
        <w:contextualSpacing/>
        <w:jc w:val="center"/>
        <w:rPr>
          <w:rFonts w:hint="eastAsia" w:ascii="方正大标宋简体" w:hAnsi="方正大标宋简体" w:eastAsia="方正大标宋简体" w:cs="方正大标宋简体"/>
          <w:b w:val="0"/>
          <w:bCs w:val="0"/>
          <w:sz w:val="36"/>
          <w:szCs w:val="36"/>
          <w:lang w:eastAsia="zh-CN"/>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pStyle w:val="1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385"/>
        <w:gridCol w:w="1197"/>
        <w:gridCol w:w="1523"/>
        <w:gridCol w:w="376"/>
        <w:gridCol w:w="1132"/>
        <w:gridCol w:w="376"/>
        <w:gridCol w:w="759"/>
        <w:gridCol w:w="456"/>
        <w:gridCol w:w="456"/>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附件1：         部门预算项目支出绩效自评表（2022年度）1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项目名称</w:t>
            </w:r>
          </w:p>
        </w:tc>
        <w:tc>
          <w:tcPr>
            <w:tcW w:w="79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主管部门</w:t>
            </w:r>
          </w:p>
        </w:tc>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广元市朝天区商务局部门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项目基本情况</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1.项目年度目标完成情况</w:t>
            </w:r>
          </w:p>
        </w:tc>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项目年度目标</w:t>
            </w:r>
          </w:p>
        </w:tc>
        <w:tc>
          <w:tcPr>
            <w:tcW w:w="3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严格执行相关政策，保障工资及时、足额发放或社保及时、足额缴纳，预算编制科学合理，减少结余资金。</w:t>
            </w:r>
          </w:p>
        </w:tc>
        <w:tc>
          <w:tcPr>
            <w:tcW w:w="3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及时、足额发放</w:t>
            </w:r>
            <w:r>
              <w:rPr>
                <w:rFonts w:hint="eastAsia" w:ascii="宋体" w:hAnsi="宋体" w:cs="宋体"/>
                <w:i w:val="0"/>
                <w:iCs w:val="0"/>
                <w:color w:val="000000"/>
                <w:kern w:val="0"/>
                <w:sz w:val="16"/>
                <w:szCs w:val="16"/>
                <w:u w:val="none"/>
                <w:lang w:val="en-US" w:eastAsia="zh-CN" w:bidi="ar"/>
              </w:rPr>
              <w:t>公务员2021年度优秀考核奖励</w:t>
            </w:r>
            <w:r>
              <w:rPr>
                <w:rFonts w:hint="default" w:ascii="宋体" w:hAnsi="宋体" w:eastAsia="宋体" w:cs="宋体"/>
                <w:i w:val="0"/>
                <w:iCs w:val="0"/>
                <w:color w:val="000000"/>
                <w:kern w:val="0"/>
                <w:sz w:val="16"/>
                <w:szCs w:val="16"/>
                <w:u w:val="none"/>
                <w:lang w:val="en-US" w:eastAsia="zh-CN" w:bidi="ar"/>
              </w:rPr>
              <w:t>，预算编制科学合理，</w:t>
            </w:r>
            <w:r>
              <w:rPr>
                <w:rFonts w:hint="eastAsia" w:ascii="宋体" w:hAnsi="宋体" w:cs="宋体"/>
                <w:i w:val="0"/>
                <w:iCs w:val="0"/>
                <w:color w:val="000000"/>
                <w:kern w:val="0"/>
                <w:sz w:val="16"/>
                <w:szCs w:val="16"/>
                <w:u w:val="none"/>
                <w:lang w:val="en-US" w:eastAsia="zh-CN" w:bidi="ar"/>
              </w:rPr>
              <w:t>无</w:t>
            </w:r>
            <w:r>
              <w:rPr>
                <w:rFonts w:hint="default" w:ascii="宋体" w:hAnsi="宋体" w:eastAsia="宋体" w:cs="宋体"/>
                <w:i w:val="0"/>
                <w:iCs w:val="0"/>
                <w:color w:val="000000"/>
                <w:kern w:val="0"/>
                <w:sz w:val="16"/>
                <w:szCs w:val="16"/>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2.项目实施内容及过程概述</w:t>
            </w:r>
          </w:p>
        </w:tc>
        <w:tc>
          <w:tcPr>
            <w:tcW w:w="79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预算执行情况（10分）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年度预算数（万元）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年初预算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调整后预算数</w:t>
            </w:r>
          </w:p>
        </w:tc>
        <w:tc>
          <w:tcPr>
            <w:tcW w:w="1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权重</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得分</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总额</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0.15</w:t>
            </w:r>
          </w:p>
        </w:tc>
        <w:tc>
          <w:tcPr>
            <w:tcW w:w="1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其中：财政资金</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0.15</w:t>
            </w:r>
          </w:p>
        </w:tc>
        <w:tc>
          <w:tcPr>
            <w:tcW w:w="1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财政专户管理资金</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单位资金</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其他资金</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绩效指标（90分）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一级指标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二级指标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三级指标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指标性质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指标值</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度量单位</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权重</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得分</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产出指标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数量指标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发放（缴纳）覆盖率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60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效益指标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社会效益指标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足额保障率（参保率）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30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评价结论</w:t>
            </w:r>
          </w:p>
        </w:tc>
        <w:tc>
          <w:tcPr>
            <w:tcW w:w="9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6"/>
                <w:szCs w:val="16"/>
                <w:u w:val="none"/>
                <w:lang w:val="en-US" w:eastAsia="zh-CN" w:bidi="ar"/>
              </w:rPr>
              <w:t>及时、足额发放</w:t>
            </w:r>
            <w:r>
              <w:rPr>
                <w:rFonts w:hint="eastAsia" w:ascii="宋体" w:hAnsi="宋体" w:cs="宋体"/>
                <w:i w:val="0"/>
                <w:iCs w:val="0"/>
                <w:color w:val="000000"/>
                <w:kern w:val="0"/>
                <w:sz w:val="16"/>
                <w:szCs w:val="16"/>
                <w:u w:val="none"/>
                <w:lang w:val="en-US" w:eastAsia="zh-CN" w:bidi="ar"/>
              </w:rPr>
              <w:t>公务员2021年度优秀考核奖励</w:t>
            </w:r>
            <w:r>
              <w:rPr>
                <w:rFonts w:hint="default" w:ascii="宋体" w:hAnsi="宋体" w:eastAsia="宋体" w:cs="宋体"/>
                <w:i w:val="0"/>
                <w:iCs w:val="0"/>
                <w:color w:val="000000"/>
                <w:kern w:val="0"/>
                <w:sz w:val="16"/>
                <w:szCs w:val="16"/>
                <w:u w:val="none"/>
                <w:lang w:val="en-US" w:eastAsia="zh-CN" w:bidi="ar"/>
              </w:rPr>
              <w:t>，</w:t>
            </w:r>
            <w:r>
              <w:rPr>
                <w:rFonts w:hint="eastAsia" w:ascii="宋体" w:hAnsi="宋体" w:cs="宋体"/>
                <w:i w:val="0"/>
                <w:iCs w:val="0"/>
                <w:color w:val="000000"/>
                <w:kern w:val="0"/>
                <w:sz w:val="16"/>
                <w:szCs w:val="16"/>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存在问题</w:t>
            </w:r>
          </w:p>
        </w:tc>
        <w:tc>
          <w:tcPr>
            <w:tcW w:w="9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改进措施</w:t>
            </w:r>
          </w:p>
        </w:tc>
        <w:tc>
          <w:tcPr>
            <w:tcW w:w="9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  王斌</w:t>
            </w:r>
          </w:p>
        </w:tc>
        <w:tc>
          <w:tcPr>
            <w:tcW w:w="47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44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59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8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7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5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1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7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106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4"/>
        <w:gridCol w:w="536"/>
        <w:gridCol w:w="978"/>
        <w:gridCol w:w="423"/>
        <w:gridCol w:w="604"/>
        <w:gridCol w:w="605"/>
        <w:gridCol w:w="576"/>
        <w:gridCol w:w="555"/>
        <w:gridCol w:w="409"/>
        <w:gridCol w:w="210"/>
        <w:gridCol w:w="166"/>
        <w:gridCol w:w="389"/>
        <w:gridCol w:w="314"/>
        <w:gridCol w:w="442"/>
        <w:gridCol w:w="206"/>
        <w:gridCol w:w="170"/>
        <w:gridCol w:w="417"/>
        <w:gridCol w:w="345"/>
        <w:gridCol w:w="225"/>
        <w:gridCol w:w="231"/>
        <w:gridCol w:w="376"/>
        <w:gridCol w:w="1399"/>
        <w:gridCol w:w="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6" w:type="dxa"/>
          <w:trHeight w:val="623" w:hRule="atLeast"/>
          <w:jc w:val="center"/>
        </w:trPr>
        <w:tc>
          <w:tcPr>
            <w:tcW w:w="1027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286" w:hRule="atLeast"/>
          <w:jc w:val="center"/>
        </w:trPr>
        <w:tc>
          <w:tcPr>
            <w:tcW w:w="2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项目名称</w:t>
            </w:r>
          </w:p>
        </w:tc>
        <w:tc>
          <w:tcPr>
            <w:tcW w:w="806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512" w:hRule="atLeast"/>
          <w:jc w:val="center"/>
        </w:trPr>
        <w:tc>
          <w:tcPr>
            <w:tcW w:w="2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主管部门</w:t>
            </w: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广元市朝天区商务局部门</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1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项目基本情况</w:t>
            </w:r>
          </w:p>
        </w:tc>
        <w:tc>
          <w:tcPr>
            <w:tcW w:w="16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1.项目年度目标完成情况</w:t>
            </w: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项目年度目标</w:t>
            </w:r>
          </w:p>
        </w:tc>
        <w:tc>
          <w:tcPr>
            <w:tcW w:w="41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6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41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及时足额发放</w:t>
            </w:r>
            <w:r>
              <w:rPr>
                <w:rFonts w:hint="eastAsia" w:ascii="宋体" w:hAnsi="宋体" w:cs="宋体"/>
                <w:i w:val="0"/>
                <w:iCs w:val="0"/>
                <w:color w:val="000000"/>
                <w:kern w:val="0"/>
                <w:sz w:val="16"/>
                <w:szCs w:val="16"/>
                <w:u w:val="none"/>
                <w:lang w:val="en-US" w:eastAsia="zh-CN" w:bidi="ar"/>
              </w:rPr>
              <w:t>独生费</w:t>
            </w:r>
            <w:r>
              <w:rPr>
                <w:rFonts w:hint="default" w:ascii="宋体" w:hAnsi="宋体" w:eastAsia="宋体" w:cs="宋体"/>
                <w:i w:val="0"/>
                <w:iCs w:val="0"/>
                <w:color w:val="000000"/>
                <w:kern w:val="0"/>
                <w:sz w:val="16"/>
                <w:szCs w:val="16"/>
                <w:u w:val="none"/>
                <w:lang w:val="en-US" w:eastAsia="zh-CN" w:bidi="ar"/>
              </w:rPr>
              <w:t>，预算编制科学合理，</w:t>
            </w:r>
            <w:r>
              <w:rPr>
                <w:rFonts w:hint="eastAsia" w:ascii="宋体" w:hAnsi="宋体" w:cs="宋体"/>
                <w:i w:val="0"/>
                <w:iCs w:val="0"/>
                <w:color w:val="000000"/>
                <w:kern w:val="0"/>
                <w:sz w:val="16"/>
                <w:szCs w:val="16"/>
                <w:u w:val="none"/>
                <w:lang w:val="en-US" w:eastAsia="zh-CN" w:bidi="ar"/>
              </w:rPr>
              <w:t>无</w:t>
            </w:r>
            <w:r>
              <w:rPr>
                <w:rFonts w:hint="default" w:ascii="宋体" w:hAnsi="宋体" w:eastAsia="宋体" w:cs="宋体"/>
                <w:i w:val="0"/>
                <w:iCs w:val="0"/>
                <w:color w:val="000000"/>
                <w:kern w:val="0"/>
                <w:sz w:val="16"/>
                <w:szCs w:val="16"/>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2.项目实施内容及过程概述</w:t>
            </w:r>
          </w:p>
        </w:tc>
        <w:tc>
          <w:tcPr>
            <w:tcW w:w="806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预算执行情况（10分）</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年度预算数（万元）</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年初预算</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调整后预算数</w:t>
            </w:r>
          </w:p>
        </w:tc>
        <w:tc>
          <w:tcPr>
            <w:tcW w:w="1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预算执行数</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预算执行率</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权重</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得分</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总额</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0.11</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0.09</w:t>
            </w:r>
          </w:p>
        </w:tc>
        <w:tc>
          <w:tcPr>
            <w:tcW w:w="1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default" w:ascii="宋体" w:hAnsi="宋体" w:eastAsia="宋体" w:cs="宋体"/>
                <w:i w:val="0"/>
                <w:iCs w:val="0"/>
                <w:color w:val="auto"/>
                <w:kern w:val="0"/>
                <w:sz w:val="16"/>
                <w:szCs w:val="16"/>
                <w:u w:val="none"/>
                <w:lang w:val="en-US" w:eastAsia="zh-CN" w:bidi="ar"/>
              </w:rPr>
              <w:t>0.09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default" w:ascii="宋体" w:hAnsi="宋体" w:eastAsia="宋体" w:cs="宋体"/>
                <w:i w:val="0"/>
                <w:iCs w:val="0"/>
                <w:color w:val="000000"/>
                <w:kern w:val="0"/>
                <w:sz w:val="16"/>
                <w:szCs w:val="16"/>
                <w:u w:val="none"/>
                <w:lang w:val="en-US" w:eastAsia="zh-CN" w:bidi="ar"/>
              </w:rPr>
              <w:t>%</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20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6"/>
                <w:szCs w:val="16"/>
              </w:rPr>
            </w:pPr>
            <w:r>
              <w:rPr>
                <w:rFonts w:hint="eastAsia" w:ascii="宋体" w:hAnsi="宋体" w:eastAsia="宋体" w:cs="宋体"/>
                <w:i w:val="0"/>
                <w:iCs w:val="0"/>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其中：财政资金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0.11</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0.09</w:t>
            </w:r>
          </w:p>
        </w:tc>
        <w:tc>
          <w:tcPr>
            <w:tcW w:w="1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default" w:ascii="宋体" w:hAnsi="宋体" w:eastAsia="宋体" w:cs="宋体"/>
                <w:i w:val="0"/>
                <w:iCs w:val="0"/>
                <w:color w:val="auto"/>
                <w:kern w:val="0"/>
                <w:sz w:val="16"/>
                <w:szCs w:val="16"/>
                <w:u w:val="none"/>
                <w:lang w:val="en-US" w:eastAsia="zh-CN" w:bidi="ar"/>
              </w:rPr>
              <w:t>0.09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default" w:ascii="宋体" w:hAnsi="宋体" w:eastAsia="宋体" w:cs="宋体"/>
                <w:i w:val="0"/>
                <w:iCs w:val="0"/>
                <w:color w:val="000000"/>
                <w:kern w:val="0"/>
                <w:sz w:val="16"/>
                <w:szCs w:val="16"/>
                <w:u w:val="none"/>
                <w:lang w:val="en-US" w:eastAsia="zh-CN" w:bidi="ar"/>
              </w:rPr>
              <w:t>%</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20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财政专户管理资金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20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7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单位资金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20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6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其他资金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20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绩效指标（90分）</w:t>
            </w: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一级指标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二级指标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三级指标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指标性质</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指标值</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度量单位</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完成值</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权重</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得分</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产出指标</w:t>
            </w:r>
          </w:p>
        </w:tc>
        <w:tc>
          <w:tcPr>
            <w:tcW w:w="1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数量指标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科目调整次数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次</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5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足额保障率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时效指标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按时发放率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100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71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效益指标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经济效益指标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结余率（计算方法为：结余数/预算数）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5</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sz w:val="16"/>
                <w:szCs w:val="16"/>
                <w:lang w:val="en-US" w:eastAsia="zh-CN"/>
              </w:rPr>
            </w:pPr>
            <w:r>
              <w:rPr>
                <w:rFonts w:hint="eastAsia"/>
                <w:sz w:val="16"/>
                <w:szCs w:val="16"/>
                <w:lang w:val="en-US" w:eastAsia="zh-CN"/>
              </w:rPr>
              <w:t>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22.5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22.5</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269" w:hRule="atLeast"/>
          <w:jc w:val="center"/>
        </w:trPr>
        <w:tc>
          <w:tcPr>
            <w:tcW w:w="711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合计</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sz w:val="16"/>
                <w:szCs w:val="16"/>
                <w:lang w:val="en-US" w:eastAsia="zh-CN"/>
              </w:rPr>
            </w:pPr>
            <w:r>
              <w:rPr>
                <w:rFonts w:hint="eastAsia"/>
                <w:sz w:val="16"/>
                <w:szCs w:val="16"/>
                <w:lang w:val="en-US" w:eastAsia="zh-CN"/>
              </w:rPr>
              <w:t>100</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4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评价结论</w:t>
            </w:r>
          </w:p>
        </w:tc>
        <w:tc>
          <w:tcPr>
            <w:tcW w:w="970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6"/>
                <w:szCs w:val="16"/>
                <w:u w:val="none"/>
                <w:lang w:val="en-US" w:eastAsia="zh-CN" w:bidi="ar"/>
              </w:rPr>
              <w:t>及时足额发放</w:t>
            </w:r>
            <w:r>
              <w:rPr>
                <w:rFonts w:hint="eastAsia" w:ascii="宋体" w:hAnsi="宋体" w:cs="宋体"/>
                <w:i w:val="0"/>
                <w:iCs w:val="0"/>
                <w:color w:val="000000"/>
                <w:kern w:val="0"/>
                <w:sz w:val="16"/>
                <w:szCs w:val="16"/>
                <w:u w:val="none"/>
                <w:lang w:val="en-US" w:eastAsia="zh-CN" w:bidi="ar"/>
              </w:rPr>
              <w:t>独生费，自评得分100分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286"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存在问题</w:t>
            </w:r>
          </w:p>
        </w:tc>
        <w:tc>
          <w:tcPr>
            <w:tcW w:w="9700" w:type="dxa"/>
            <w:gridSpan w:val="2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45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70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6" w:type="dxa"/>
          <w:trHeight w:val="345" w:hRule="atLeast"/>
          <w:jc w:val="center"/>
        </w:trPr>
        <w:tc>
          <w:tcPr>
            <w:tcW w:w="6465" w:type="dxa"/>
            <w:gridSpan w:val="1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项目负责人：王斌</w:t>
            </w:r>
          </w:p>
        </w:tc>
        <w:tc>
          <w:tcPr>
            <w:tcW w:w="3811"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00" w:type="dxa"/>
          <w:trHeight w:val="286" w:hRule="atLeast"/>
          <w:jc w:val="center"/>
        </w:trPr>
        <w:tc>
          <w:tcPr>
            <w:tcW w:w="5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40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540"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7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4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7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76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5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74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97"/>
        <w:gridCol w:w="1158"/>
        <w:gridCol w:w="1321"/>
        <w:gridCol w:w="668"/>
        <w:gridCol w:w="701"/>
        <w:gridCol w:w="587"/>
        <w:gridCol w:w="962"/>
        <w:gridCol w:w="620"/>
        <w:gridCol w:w="637"/>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8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工资福利</w:t>
            </w:r>
            <w:r>
              <w:rPr>
                <w:rFonts w:hint="default"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32.40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31.19</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31.19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default" w:ascii="宋体" w:hAnsi="宋体" w:eastAsia="宋体" w:cs="宋体"/>
                <w:i w:val="0"/>
                <w:iCs w:val="0"/>
                <w:color w:val="000000"/>
                <w:kern w:val="0"/>
                <w:sz w:val="16"/>
                <w:szCs w:val="16"/>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w:t>
            </w:r>
            <w:r>
              <w:rPr>
                <w:rFonts w:hint="eastAsia" w:ascii="黑体" w:hAnsi="黑体" w:eastAsia="黑体" w:cs="黑体"/>
                <w:i/>
                <w:iCs/>
                <w:color w:val="000000"/>
                <w:kern w:val="0"/>
                <w:sz w:val="13"/>
                <w:szCs w:val="13"/>
                <w:u w:val="none"/>
                <w:lang w:val="en-US" w:eastAsia="zh-CN" w:bidi="ar"/>
              </w:rPr>
              <w:t>.预算执行率=预算执行数/调整后预算数，预算执行率未达到90%的需说明原因（100字以内）;2.年中发生预算调整的（追加或调减）,应单独说明理由；3.其他资金包括：社会投入资金、银行贷款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32.40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31.19</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31.19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default" w:ascii="宋体" w:hAnsi="宋体" w:eastAsia="宋体" w:cs="宋体"/>
                <w:i w:val="0"/>
                <w:iCs w:val="0"/>
                <w:color w:val="000000"/>
                <w:kern w:val="0"/>
                <w:sz w:val="16"/>
                <w:szCs w:val="16"/>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时效指标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按时发放率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经济效益指标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结余率（计算方法为：结余数/预算数）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71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100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工资福利</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9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项目负责人：王斌                                                                              财务负责人：王鹏淦</w:t>
            </w: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37"/>
        <w:gridCol w:w="970"/>
        <w:gridCol w:w="1401"/>
        <w:gridCol w:w="587"/>
        <w:gridCol w:w="620"/>
        <w:gridCol w:w="652"/>
        <w:gridCol w:w="962"/>
        <w:gridCol w:w="603"/>
        <w:gridCol w:w="621"/>
        <w:gridCol w:w="1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80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eastAsia="宋体" w:cs="宋体"/>
                <w:i w:val="0"/>
                <w:iCs w:val="0"/>
                <w:color w:val="000000"/>
                <w:kern w:val="0"/>
                <w:sz w:val="18"/>
                <w:szCs w:val="18"/>
                <w:u w:val="none"/>
                <w:lang w:val="en-US" w:eastAsia="zh-CN" w:bidi="ar"/>
              </w:rPr>
              <w:t>公务用车改革补贴</w:t>
            </w:r>
            <w:r>
              <w:rPr>
                <w:rFonts w:hint="default"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0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8.64</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8.12</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8.64</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8.12</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时效指标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按时发放率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经济效益指标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3"/>
                <w:szCs w:val="13"/>
                <w:u w:val="none"/>
                <w:lang w:val="en-US" w:eastAsia="zh-CN" w:bidi="ar"/>
              </w:rPr>
              <w:t>结余率（计算方法为：结余数/预算数</w:t>
            </w:r>
            <w:r>
              <w:rPr>
                <w:rFonts w:hint="default"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1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eastAsia="宋体" w:cs="宋体"/>
                <w:i w:val="0"/>
                <w:iCs w:val="0"/>
                <w:color w:val="000000"/>
                <w:kern w:val="0"/>
                <w:sz w:val="18"/>
                <w:szCs w:val="18"/>
                <w:u w:val="none"/>
                <w:lang w:val="en-US" w:eastAsia="zh-CN" w:bidi="ar"/>
              </w:rPr>
              <w:t>公务用车改革补贴</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9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项目负责人：王斌                                                                              财务负责人：王鹏淦</w:t>
            </w: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4"/>
        <w:gridCol w:w="1292"/>
        <w:gridCol w:w="1128"/>
        <w:gridCol w:w="1396"/>
        <w:gridCol w:w="581"/>
        <w:gridCol w:w="568"/>
        <w:gridCol w:w="643"/>
        <w:gridCol w:w="908"/>
        <w:gridCol w:w="538"/>
        <w:gridCol w:w="536"/>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项目名称</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主管部门</w:t>
            </w:r>
          </w:p>
        </w:tc>
        <w:tc>
          <w:tcPr>
            <w:tcW w:w="43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广元市朝天区商务局部门</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项目基本情况</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1.项目年度目标完成情况</w:t>
            </w:r>
          </w:p>
        </w:tc>
        <w:tc>
          <w:tcPr>
            <w:tcW w:w="43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项目年度目标</w:t>
            </w:r>
          </w:p>
        </w:tc>
        <w:tc>
          <w:tcPr>
            <w:tcW w:w="3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3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保障单位日常运转，提高预算编制质量，严格执行预算</w:t>
            </w:r>
          </w:p>
        </w:tc>
        <w:tc>
          <w:tcPr>
            <w:tcW w:w="3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保障</w:t>
            </w:r>
            <w:r>
              <w:rPr>
                <w:rFonts w:hint="eastAsia" w:ascii="宋体" w:hAnsi="宋体" w:cs="宋体"/>
                <w:i w:val="0"/>
                <w:iCs w:val="0"/>
                <w:color w:val="000000"/>
                <w:kern w:val="0"/>
                <w:sz w:val="16"/>
                <w:szCs w:val="16"/>
                <w:u w:val="none"/>
                <w:lang w:val="en-US" w:eastAsia="zh-CN" w:bidi="ar"/>
              </w:rPr>
              <w:t>了</w:t>
            </w:r>
            <w:r>
              <w:rPr>
                <w:rFonts w:hint="default" w:ascii="宋体" w:hAnsi="宋体" w:eastAsia="宋体" w:cs="宋体"/>
                <w:i w:val="0"/>
                <w:iCs w:val="0"/>
                <w:color w:val="000000"/>
                <w:kern w:val="0"/>
                <w:sz w:val="16"/>
                <w:szCs w:val="16"/>
                <w:u w:val="none"/>
                <w:lang w:val="en-US" w:eastAsia="zh-CN" w:bidi="ar"/>
              </w:rPr>
              <w:t>单位日常</w:t>
            </w:r>
            <w:r>
              <w:rPr>
                <w:rFonts w:hint="eastAsia" w:ascii="宋体" w:hAnsi="宋体" w:cs="宋体"/>
                <w:i w:val="0"/>
                <w:iCs w:val="0"/>
                <w:color w:val="000000"/>
                <w:kern w:val="0"/>
                <w:sz w:val="16"/>
                <w:szCs w:val="16"/>
                <w:u w:val="none"/>
                <w:lang w:val="en-US" w:eastAsia="zh-CN" w:bidi="ar"/>
              </w:rPr>
              <w:t>工作</w:t>
            </w:r>
            <w:r>
              <w:rPr>
                <w:rFonts w:hint="default" w:ascii="宋体" w:hAnsi="宋体" w:eastAsia="宋体" w:cs="宋体"/>
                <w:i w:val="0"/>
                <w:iCs w:val="0"/>
                <w:color w:val="000000"/>
                <w:kern w:val="0"/>
                <w:sz w:val="16"/>
                <w:szCs w:val="16"/>
                <w:u w:val="none"/>
                <w:lang w:val="en-US" w:eastAsia="zh-CN" w:bidi="ar"/>
              </w:rPr>
              <w:t>运转</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2.项目实施内容及过程概述</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预算执行情况（10分）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年度预算数（万元）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年初预算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调整后预算数</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预算执行率</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权重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得分</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总额</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0.24</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0.24</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0.24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6"/>
                <w:szCs w:val="16"/>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其中：财政资金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0.24</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0.24</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0.24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财政专户管理资金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单位资金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0.00%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其他资金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绩效指标（90分）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一级指标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二级指标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三级指标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指标性质</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指标值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完成值</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权重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得分</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产出指标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数量指标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6"/>
                <w:szCs w:val="16"/>
                <w:u w:val="none"/>
                <w:lang w:val="en-US" w:eastAsia="zh-CN" w:bidi="ar-SA"/>
              </w:rPr>
            </w:pPr>
            <w:r>
              <w:rPr>
                <w:rFonts w:hint="default" w:ascii="宋体" w:hAnsi="宋体" w:eastAsia="宋体" w:cs="宋体"/>
                <w:i w:val="0"/>
                <w:iCs w:val="0"/>
                <w:color w:val="000000"/>
                <w:kern w:val="0"/>
                <w:sz w:val="16"/>
                <w:szCs w:val="16"/>
                <w:u w:val="none"/>
                <w:lang w:val="en-US" w:eastAsia="zh-CN" w:bidi="ar"/>
              </w:rPr>
              <w:t>22.5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质量指标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预算编制准确率（计算方法为：∣（执行数-预算数）/预算数∣）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6"/>
                <w:szCs w:val="16"/>
                <w:u w:val="none"/>
                <w:lang w:val="en-US" w:eastAsia="zh-CN" w:bidi="ar-SA"/>
              </w:rPr>
            </w:pPr>
            <w:r>
              <w:rPr>
                <w:rFonts w:hint="default" w:ascii="宋体" w:hAnsi="宋体" w:eastAsia="宋体" w:cs="宋体"/>
                <w:i w:val="0"/>
                <w:iCs w:val="0"/>
                <w:color w:val="000000"/>
                <w:kern w:val="0"/>
                <w:sz w:val="16"/>
                <w:szCs w:val="16"/>
                <w:u w:val="none"/>
                <w:lang w:val="en-US" w:eastAsia="zh-CN" w:bidi="ar"/>
              </w:rPr>
              <w:t>22.5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效益指标</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经济效益指标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5"/>
                <w:szCs w:val="15"/>
              </w:rPr>
            </w:pPr>
            <w:r>
              <w:rPr>
                <w:rFonts w:hint="eastAsia" w:ascii="宋体" w:hAnsi="宋体" w:cs="宋体"/>
                <w:i w:val="0"/>
                <w:iCs w:val="0"/>
                <w:color w:val="000000"/>
                <w:kern w:val="0"/>
                <w:sz w:val="15"/>
                <w:szCs w:val="15"/>
                <w:u w:val="none"/>
                <w:lang w:val="en-US" w:eastAsia="zh-CN" w:bidi="ar"/>
              </w:rPr>
              <w:t>“三公”经费</w:t>
            </w:r>
            <w:r>
              <w:rPr>
                <w:rFonts w:hint="default" w:ascii="宋体" w:hAnsi="宋体" w:eastAsia="宋体" w:cs="宋体"/>
                <w:i w:val="0"/>
                <w:iCs w:val="0"/>
                <w:color w:val="000000"/>
                <w:kern w:val="0"/>
                <w:sz w:val="15"/>
                <w:szCs w:val="15"/>
                <w:u w:val="none"/>
                <w:lang w:val="en-US" w:eastAsia="zh-CN" w:bidi="ar"/>
              </w:rPr>
              <w:t>控制率[计算方法为：（三公经费实际支出数/预算安排数]×100%）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17</w:t>
            </w:r>
            <w:r>
              <w:rPr>
                <w:rFonts w:hint="default" w:ascii="宋体" w:hAnsi="宋体" w:eastAsia="宋体" w:cs="宋体"/>
                <w:i w:val="0"/>
                <w:iCs w:val="0"/>
                <w:color w:val="000000"/>
                <w:kern w:val="0"/>
                <w:sz w:val="16"/>
                <w:szCs w:val="16"/>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运转保障率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sz w:val="16"/>
                <w:szCs w:val="16"/>
                <w:lang w:val="en-US" w:eastAsia="zh-CN"/>
              </w:rPr>
            </w:pPr>
            <w:r>
              <w:rPr>
                <w:rFonts w:hint="eastAsia"/>
                <w:sz w:val="16"/>
                <w:szCs w:val="16"/>
                <w:lang w:val="en-US" w:eastAsia="zh-CN"/>
              </w:rPr>
              <w:t>98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6"/>
                <w:szCs w:val="16"/>
              </w:rPr>
            </w:pPr>
            <w:r>
              <w:rPr>
                <w:rFonts w:hint="default" w:ascii="宋体" w:hAnsi="宋体" w:eastAsia="宋体" w:cs="宋体"/>
                <w:i w:val="0"/>
                <w:iCs w:val="0"/>
                <w:color w:val="000000"/>
                <w:kern w:val="0"/>
                <w:sz w:val="16"/>
                <w:szCs w:val="16"/>
                <w:u w:val="none"/>
                <w:lang w:val="en-US" w:eastAsia="zh-CN" w:bidi="ar"/>
              </w:rPr>
              <w:t>22.5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sz w:val="16"/>
                <w:szCs w:val="16"/>
                <w:lang w:val="en-US" w:eastAsia="zh-CN"/>
              </w:rPr>
            </w:pPr>
            <w:r>
              <w:rPr>
                <w:rFonts w:hint="eastAsia"/>
                <w:sz w:val="16"/>
                <w:szCs w:val="16"/>
                <w:lang w:val="en-US" w:eastAsia="zh-CN"/>
              </w:rPr>
              <w:t>17.5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合计</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sz w:val="16"/>
                <w:szCs w:val="16"/>
                <w:lang w:val="en-US" w:eastAsia="zh-CN"/>
              </w:rPr>
            </w:pPr>
            <w:r>
              <w:rPr>
                <w:rFonts w:hint="eastAsia"/>
                <w:sz w:val="16"/>
                <w:szCs w:val="16"/>
                <w:lang w:val="en-US" w:eastAsia="zh-CN"/>
              </w:rPr>
              <w:t>90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评价结论</w:t>
            </w:r>
          </w:p>
        </w:tc>
        <w:tc>
          <w:tcPr>
            <w:tcW w:w="9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6"/>
                <w:szCs w:val="16"/>
                <w:u w:val="none"/>
                <w:lang w:val="en-US" w:eastAsia="zh-CN" w:bidi="ar"/>
              </w:rPr>
              <w:t>保障</w:t>
            </w:r>
            <w:r>
              <w:rPr>
                <w:rFonts w:hint="eastAsia" w:ascii="宋体" w:hAnsi="宋体" w:cs="宋体"/>
                <w:i w:val="0"/>
                <w:iCs w:val="0"/>
                <w:color w:val="000000"/>
                <w:kern w:val="0"/>
                <w:sz w:val="16"/>
                <w:szCs w:val="16"/>
                <w:u w:val="none"/>
                <w:lang w:val="en-US" w:eastAsia="zh-CN" w:bidi="ar"/>
              </w:rPr>
              <w:t>了</w:t>
            </w:r>
            <w:r>
              <w:rPr>
                <w:rFonts w:hint="default" w:ascii="宋体" w:hAnsi="宋体" w:eastAsia="宋体" w:cs="宋体"/>
                <w:i w:val="0"/>
                <w:iCs w:val="0"/>
                <w:color w:val="000000"/>
                <w:kern w:val="0"/>
                <w:sz w:val="16"/>
                <w:szCs w:val="16"/>
                <w:u w:val="none"/>
                <w:lang w:val="en-US" w:eastAsia="zh-CN" w:bidi="ar"/>
              </w:rPr>
              <w:t>单位日常</w:t>
            </w:r>
            <w:r>
              <w:rPr>
                <w:rFonts w:hint="eastAsia" w:ascii="宋体" w:hAnsi="宋体" w:cs="宋体"/>
                <w:i w:val="0"/>
                <w:iCs w:val="0"/>
                <w:color w:val="000000"/>
                <w:kern w:val="0"/>
                <w:sz w:val="16"/>
                <w:szCs w:val="16"/>
                <w:u w:val="none"/>
                <w:lang w:val="en-US" w:eastAsia="zh-CN" w:bidi="ar"/>
              </w:rPr>
              <w:t>工作</w:t>
            </w:r>
            <w:r>
              <w:rPr>
                <w:rFonts w:hint="default" w:ascii="宋体" w:hAnsi="宋体" w:eastAsia="宋体" w:cs="宋体"/>
                <w:i w:val="0"/>
                <w:iCs w:val="0"/>
                <w:color w:val="000000"/>
                <w:kern w:val="0"/>
                <w:sz w:val="16"/>
                <w:szCs w:val="16"/>
                <w:u w:val="none"/>
                <w:lang w:val="en-US" w:eastAsia="zh-CN" w:bidi="ar"/>
              </w:rPr>
              <w:t>运转</w:t>
            </w:r>
            <w:r>
              <w:rPr>
                <w:rFonts w:hint="eastAsia" w:ascii="宋体" w:hAnsi="宋体" w:cs="宋体"/>
                <w:i w:val="0"/>
                <w:iCs w:val="0"/>
                <w:color w:val="000000"/>
                <w:kern w:val="0"/>
                <w:sz w:val="16"/>
                <w:szCs w:val="16"/>
                <w:u w:val="none"/>
                <w:lang w:val="en-US" w:eastAsia="zh-CN" w:bidi="ar"/>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存在问题</w:t>
            </w:r>
          </w:p>
        </w:tc>
        <w:tc>
          <w:tcPr>
            <w:tcW w:w="9348"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改进措施</w:t>
            </w:r>
          </w:p>
        </w:tc>
        <w:tc>
          <w:tcPr>
            <w:tcW w:w="934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9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项目负责人：王斌                                                                              财务负责人：王鹏淦</w:t>
            </w: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69"/>
        <w:gridCol w:w="1035"/>
        <w:gridCol w:w="1190"/>
        <w:gridCol w:w="636"/>
        <w:gridCol w:w="685"/>
        <w:gridCol w:w="717"/>
        <w:gridCol w:w="978"/>
        <w:gridCol w:w="539"/>
        <w:gridCol w:w="457"/>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w:t>
            </w:r>
            <w:r>
              <w:rPr>
                <w:rFonts w:hint="default"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70.29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8"/>
                <w:szCs w:val="18"/>
                <w:u w:val="none"/>
                <w:lang w:val="en-US" w:eastAsia="zh-CN" w:bidi="ar"/>
              </w:rPr>
              <w:t>69.11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8"/>
                <w:szCs w:val="18"/>
                <w:u w:val="none"/>
                <w:lang w:val="en-US" w:eastAsia="zh-CN" w:bidi="ar"/>
              </w:rPr>
              <w:t>69.11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70.29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8"/>
                <w:szCs w:val="18"/>
                <w:u w:val="none"/>
                <w:lang w:val="en-US" w:eastAsia="zh-CN" w:bidi="ar"/>
              </w:rPr>
              <w:t>69.11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8"/>
                <w:szCs w:val="18"/>
                <w:u w:val="none"/>
                <w:lang w:val="en-US" w:eastAsia="zh-CN" w:bidi="ar"/>
              </w:rPr>
              <w:t>69.11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default" w:ascii="宋体" w:hAnsi="宋体" w:eastAsia="宋体" w:cs="宋体"/>
                <w:i w:val="0"/>
                <w:iCs w:val="0"/>
                <w:color w:val="auto"/>
                <w:kern w:val="0"/>
                <w:sz w:val="18"/>
                <w:szCs w:val="18"/>
                <w:u w:val="none"/>
                <w:lang w:val="en-US" w:eastAsia="zh-CN" w:bidi="ar"/>
              </w:rPr>
              <w:t>0.00</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default" w:ascii="宋体" w:hAnsi="宋体" w:eastAsia="宋体" w:cs="宋体"/>
                <w:i w:val="0"/>
                <w:iCs w:val="0"/>
                <w:color w:val="auto"/>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60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03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9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8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71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97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3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5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74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65"/>
        <w:gridCol w:w="1093"/>
        <w:gridCol w:w="1300"/>
        <w:gridCol w:w="650"/>
        <w:gridCol w:w="601"/>
        <w:gridCol w:w="585"/>
        <w:gridCol w:w="991"/>
        <w:gridCol w:w="522"/>
        <w:gridCol w:w="456"/>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w:t>
            </w:r>
            <w:r>
              <w:rPr>
                <w:rFonts w:hint="default"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49.33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49.47</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49.47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6"/>
                <w:szCs w:val="16"/>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49.33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49.47</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49.47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7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49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97"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305"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5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03"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587"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94"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52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424"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790"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69"/>
        <w:gridCol w:w="953"/>
        <w:gridCol w:w="1207"/>
        <w:gridCol w:w="652"/>
        <w:gridCol w:w="669"/>
        <w:gridCol w:w="619"/>
        <w:gridCol w:w="978"/>
        <w:gridCol w:w="571"/>
        <w:gridCol w:w="424"/>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6"/>
                <w:szCs w:val="16"/>
                <w:u w:val="none"/>
                <w:lang w:val="en-US" w:eastAsia="zh-CN" w:bidi="ar-SA"/>
              </w:rPr>
            </w:pPr>
            <w:r>
              <w:rPr>
                <w:rFonts w:hint="default" w:ascii="宋体" w:hAnsi="宋体" w:eastAsia="宋体" w:cs="宋体"/>
                <w:i w:val="0"/>
                <w:iCs w:val="0"/>
                <w:color w:val="000000"/>
                <w:kern w:val="0"/>
                <w:sz w:val="18"/>
                <w:szCs w:val="18"/>
                <w:u w:val="none"/>
                <w:lang w:val="en-US" w:eastAsia="zh-CN" w:bidi="ar"/>
              </w:rPr>
              <w:t>及时、足额缴纳基本养老保险，预算编制科学合理，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11.20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9.88</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9.88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11.20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9.88</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9.88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60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0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及时、足额缴纳基本养老保险，</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95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5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1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97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7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2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90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73"/>
        <w:gridCol w:w="1047"/>
        <w:gridCol w:w="1060"/>
        <w:gridCol w:w="620"/>
        <w:gridCol w:w="635"/>
        <w:gridCol w:w="620"/>
        <w:gridCol w:w="995"/>
        <w:gridCol w:w="603"/>
        <w:gridCol w:w="538"/>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及时、足额缴纳基本养老保险，预算编制科学合理，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7.82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7.49</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7.49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7.82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7.49</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7.49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9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及时、足额缴纳基本养老保险，</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6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2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72"/>
        <w:gridCol w:w="1032"/>
        <w:gridCol w:w="1076"/>
        <w:gridCol w:w="636"/>
        <w:gridCol w:w="685"/>
        <w:gridCol w:w="587"/>
        <w:gridCol w:w="994"/>
        <w:gridCol w:w="620"/>
        <w:gridCol w:w="473"/>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及时、足额缴纳基本医疗保险，预算编制科学合理，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5.34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4.97</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4.97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5.34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4.97</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4.97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60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及时、足额缴纳基本医疗保险，</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2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03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0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8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8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9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2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7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73"/>
        <w:gridCol w:w="966"/>
        <w:gridCol w:w="962"/>
        <w:gridCol w:w="619"/>
        <w:gridCol w:w="685"/>
        <w:gridCol w:w="701"/>
        <w:gridCol w:w="962"/>
        <w:gridCol w:w="636"/>
        <w:gridCol w:w="505"/>
        <w:gridCol w:w="1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及时、足额缴纳基本医疗保险，预算编制科学合理，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3.91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3.87</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3.87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iCs/>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3.91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3.87</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3.87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及时、足额缴纳基本医疗保险，</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4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922"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70"/>
        <w:gridCol w:w="936"/>
        <w:gridCol w:w="1060"/>
        <w:gridCol w:w="701"/>
        <w:gridCol w:w="620"/>
        <w:gridCol w:w="635"/>
        <w:gridCol w:w="1044"/>
        <w:gridCol w:w="603"/>
        <w:gridCol w:w="522"/>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及时、足额缴纳住房公积金，预算编制科学合理，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8.01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10.31</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10.31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6"/>
                <w:szCs w:val="16"/>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8.01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10.31</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10.31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60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9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及时、足额缴纳住房公积金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2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9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0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70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2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3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0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0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2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5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49"/>
        <w:gridCol w:w="23"/>
        <w:gridCol w:w="999"/>
        <w:gridCol w:w="189"/>
        <w:gridCol w:w="905"/>
        <w:gridCol w:w="129"/>
        <w:gridCol w:w="572"/>
        <w:gridCol w:w="80"/>
        <w:gridCol w:w="539"/>
        <w:gridCol w:w="114"/>
        <w:gridCol w:w="506"/>
        <w:gridCol w:w="129"/>
        <w:gridCol w:w="817"/>
        <w:gridCol w:w="162"/>
        <w:gridCol w:w="555"/>
        <w:gridCol w:w="130"/>
        <w:gridCol w:w="506"/>
        <w:gridCol w:w="130"/>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0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0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0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及时、足额缴纳住房公积金，预算编制科学合理，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5.87</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7.6</w:t>
            </w:r>
            <w:r>
              <w:rPr>
                <w:rFonts w:hint="eastAsia" w:ascii="宋体" w:hAnsi="宋体" w:cs="宋体"/>
                <w:i w:val="0"/>
                <w:iCs w:val="0"/>
                <w:color w:val="000000"/>
                <w:kern w:val="0"/>
                <w:sz w:val="18"/>
                <w:szCs w:val="18"/>
                <w:u w:val="none"/>
                <w:lang w:val="en-US" w:eastAsia="zh-CN" w:bidi="ar"/>
              </w:rPr>
              <w:t>3</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7.6</w:t>
            </w:r>
            <w:r>
              <w:rPr>
                <w:rFonts w:hint="eastAsia" w:ascii="宋体" w:hAnsi="宋体" w:cs="宋体"/>
                <w:i w:val="0"/>
                <w:iCs w:val="0"/>
                <w:color w:val="000000"/>
                <w:kern w:val="0"/>
                <w:sz w:val="18"/>
                <w:szCs w:val="18"/>
                <w:u w:val="none"/>
                <w:lang w:val="en-US" w:eastAsia="zh-CN" w:bidi="ar"/>
              </w:rPr>
              <w:t>3</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6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5.87</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7.6</w:t>
            </w:r>
            <w:r>
              <w:rPr>
                <w:rFonts w:hint="eastAsia" w:ascii="宋体" w:hAnsi="宋体" w:cs="宋体"/>
                <w:i w:val="0"/>
                <w:iCs w:val="0"/>
                <w:color w:val="000000"/>
                <w:kern w:val="0"/>
                <w:sz w:val="18"/>
                <w:szCs w:val="18"/>
                <w:u w:val="none"/>
                <w:lang w:val="en-US" w:eastAsia="zh-CN" w:bidi="ar"/>
              </w:rPr>
              <w:t>3</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7.6</w:t>
            </w:r>
            <w:r>
              <w:rPr>
                <w:rFonts w:hint="eastAsia" w:ascii="宋体" w:hAnsi="宋体" w:cs="宋体"/>
                <w:i w:val="0"/>
                <w:iCs w:val="0"/>
                <w:color w:val="000000"/>
                <w:kern w:val="0"/>
                <w:sz w:val="18"/>
                <w:szCs w:val="18"/>
                <w:u w:val="none"/>
                <w:lang w:val="en-US" w:eastAsia="zh-CN" w:bidi="ar"/>
              </w:rPr>
              <w:t>3</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91.59%</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60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60</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30</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及时、足额缴纳住房公积金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7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1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8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90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70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1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2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94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71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3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64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92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9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1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1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工资福利</w:t>
            </w:r>
            <w:r>
              <w:rPr>
                <w:rFonts w:hint="default"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hint="default"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9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28.80</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25.56</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25.56</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w:t>
            </w:r>
            <w:r>
              <w:rPr>
                <w:rFonts w:hint="eastAsia" w:ascii="黑体" w:hAnsi="黑体" w:eastAsia="黑体" w:cs="黑体"/>
                <w:i/>
                <w:iCs/>
                <w:color w:val="000000"/>
                <w:kern w:val="0"/>
                <w:sz w:val="13"/>
                <w:szCs w:val="13"/>
                <w:u w:val="none"/>
                <w:lang w:val="en-US" w:eastAsia="zh-CN" w:bidi="ar"/>
              </w:rPr>
              <w:t>.预算执行率=预算执行数/调整后预算数，预算执行率未达到90%的需说明原因（100字以内）;2.年中发生预算调整的（追加或调减）,应单独说明理由；3.其他资金包括：社会投入资金、银行贷款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28.80</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25.56</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25.56</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足额保障率</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时效指标</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按时发放率</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经济效益指标</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结余率（计算方法为：结余数/预算数）</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70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100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工资福利</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922"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项目负责人：王斌                                                                              财务负责人：王鹏淦</w:t>
            </w: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59"/>
        <w:gridCol w:w="1143"/>
        <w:gridCol w:w="1141"/>
        <w:gridCol w:w="603"/>
        <w:gridCol w:w="653"/>
        <w:gridCol w:w="603"/>
        <w:gridCol w:w="962"/>
        <w:gridCol w:w="603"/>
        <w:gridCol w:w="505"/>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51081222T000005386379-2021年第二批省级内贸流通服务业务发展专项资金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达到区域内产业合理布局、科学种植，通过市场份额的不断扩大，也对税收及其他效益有了更大的提升。</w:t>
            </w:r>
          </w:p>
        </w:tc>
        <w:tc>
          <w:tcPr>
            <w:tcW w:w="3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5"/>
                <w:szCs w:val="15"/>
                <w:u w:val="none"/>
              </w:rPr>
              <w:t>为我区农民提供商品销售渠道，同时也为社会提供了新的就业机会，解决周边零时用工达30000人次/年，间接增加就业3000多人，为我区贫困户也提供约100个岗位。</w:t>
            </w:r>
            <w:r>
              <w:rPr>
                <w:rFonts w:hint="eastAsia" w:ascii="宋体" w:hAnsi="宋体" w:cs="宋体"/>
                <w:i w:val="0"/>
                <w:iCs w:val="0"/>
                <w:color w:val="000000"/>
                <w:sz w:val="15"/>
                <w:szCs w:val="15"/>
                <w:u w:val="none"/>
                <w:lang w:eastAsia="zh-CN"/>
              </w:rPr>
              <w:t>（</w:t>
            </w:r>
            <w:r>
              <w:rPr>
                <w:rFonts w:hint="eastAsia" w:ascii="宋体" w:hAnsi="宋体" w:cs="宋体"/>
                <w:i w:val="0"/>
                <w:iCs w:val="0"/>
                <w:color w:val="000000"/>
                <w:sz w:val="15"/>
                <w:szCs w:val="15"/>
                <w:u w:val="none"/>
                <w:lang w:val="en-US" w:eastAsia="zh-CN"/>
              </w:rPr>
              <w:t>当年656.97万元，年初结转结余163.03万元，</w:t>
            </w:r>
            <w:r>
              <w:rPr>
                <w:rFonts w:hint="eastAsia" w:ascii="宋体" w:hAnsi="宋体" w:cs="宋体"/>
                <w:i w:val="0"/>
                <w:iCs w:val="0"/>
                <w:color w:val="000000"/>
                <w:sz w:val="15"/>
                <w:szCs w:val="15"/>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820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820.00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820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820.00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70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5"/>
                <w:szCs w:val="15"/>
                <w:u w:val="none"/>
              </w:rPr>
              <w:t>为我区农民提供商品销售渠道，同时也为社会提供了新的就业机会，</w:t>
            </w:r>
            <w:r>
              <w:rPr>
                <w:rFonts w:hint="eastAsia" w:ascii="宋体" w:hAnsi="宋体" w:cs="宋体"/>
                <w:i w:val="0"/>
                <w:iCs w:val="0"/>
                <w:color w:val="000000"/>
                <w:sz w:val="15"/>
                <w:szCs w:val="15"/>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8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5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922"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73"/>
        <w:gridCol w:w="949"/>
        <w:gridCol w:w="1060"/>
        <w:gridCol w:w="652"/>
        <w:gridCol w:w="685"/>
        <w:gridCol w:w="669"/>
        <w:gridCol w:w="945"/>
        <w:gridCol w:w="669"/>
        <w:gridCol w:w="538"/>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auto"/>
                <w:kern w:val="0"/>
                <w:sz w:val="30"/>
                <w:szCs w:val="30"/>
                <w:u w:val="none"/>
                <w:lang w:val="en-US" w:eastAsia="zh-CN" w:bidi="ar"/>
              </w:rPr>
              <w:t>部门预算项目支出绩效自评表（2022年度）16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51081222T000005476465-</w:t>
            </w:r>
            <w:r>
              <w:rPr>
                <w:rFonts w:hint="eastAsia" w:ascii="宋体" w:hAnsi="宋体" w:cs="宋体"/>
                <w:i w:val="0"/>
                <w:iCs w:val="0"/>
                <w:color w:val="000000"/>
                <w:kern w:val="0"/>
                <w:sz w:val="18"/>
                <w:szCs w:val="18"/>
                <w:u w:val="none"/>
                <w:lang w:val="en-US" w:eastAsia="zh-CN" w:bidi="ar"/>
              </w:rPr>
              <w:t>一般行政管理事务（办公经费）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保障日常正常运转，</w:t>
            </w:r>
            <w:r>
              <w:rPr>
                <w:rFonts w:hint="default" w:ascii="宋体" w:hAnsi="宋体" w:eastAsia="宋体" w:cs="宋体"/>
                <w:i w:val="0"/>
                <w:iCs w:val="0"/>
                <w:color w:val="000000"/>
                <w:kern w:val="0"/>
                <w:sz w:val="18"/>
                <w:szCs w:val="18"/>
                <w:u w:val="none"/>
                <w:lang w:val="en-US" w:eastAsia="zh-CN" w:bidi="ar"/>
              </w:rPr>
              <w:t>预算编制科学合理，减少结余资金</w:t>
            </w:r>
          </w:p>
        </w:tc>
        <w:tc>
          <w:tcPr>
            <w:tcW w:w="3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保障日常正常运转，无</w:t>
            </w:r>
            <w:r>
              <w:rPr>
                <w:rFonts w:hint="default"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（年初结转结余）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3.22</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3.22</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69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保障日常正常运转，</w:t>
            </w:r>
            <w:r>
              <w:rPr>
                <w:rFonts w:hint="eastAsia" w:ascii="宋体" w:hAnsi="宋体" w:cs="宋体"/>
                <w:i w:val="0"/>
                <w:iCs w:val="0"/>
                <w:color w:val="000000"/>
                <w:sz w:val="18"/>
                <w:szCs w:val="18"/>
                <w:u w:val="none"/>
                <w:lang w:val="en-US" w:eastAsia="zh-CN"/>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6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3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3"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49"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60"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5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85"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69"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45"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69"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538"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80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72"/>
        <w:gridCol w:w="1048"/>
        <w:gridCol w:w="1190"/>
        <w:gridCol w:w="620"/>
        <w:gridCol w:w="734"/>
        <w:gridCol w:w="668"/>
        <w:gridCol w:w="946"/>
        <w:gridCol w:w="603"/>
        <w:gridCol w:w="538"/>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51081222T000005556448-2019年农商互联农产品供应链项目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eastAsia="zh-CN"/>
              </w:rPr>
              <w:t>（</w:t>
            </w:r>
            <w:r>
              <w:rPr>
                <w:rFonts w:hint="eastAsia" w:ascii="宋体" w:hAnsi="宋体" w:cs="宋体"/>
                <w:i w:val="0"/>
                <w:iCs w:val="0"/>
                <w:color w:val="000000"/>
                <w:sz w:val="16"/>
                <w:szCs w:val="16"/>
                <w:u w:val="none"/>
                <w:lang w:val="en-US" w:eastAsia="zh-CN"/>
              </w:rPr>
              <w:t>年初结转结余</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28.01</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28.01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w:t>
            </w:r>
            <w:r>
              <w:rPr>
                <w:rFonts w:hint="eastAsia" w:ascii="黑体" w:hAnsi="黑体" w:eastAsia="黑体" w:cs="黑体"/>
                <w:i/>
                <w:iCs/>
                <w:color w:val="000000"/>
                <w:kern w:val="0"/>
                <w:sz w:val="16"/>
                <w:szCs w:val="16"/>
                <w:u w:val="none"/>
                <w:lang w:val="en-US" w:eastAsia="zh-CN" w:bidi="ar"/>
              </w:rPr>
              <w:t>.预算执行率=预算执行数/调整后预算数，预算执行率未达到90%的需说明原因（100字以内）;2.年中发生预算调整的（追加或调减）,应单独说明理由；3.其他资金包括：社会投入资金、银行贷款.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28.01</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28.01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1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8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1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7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7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48"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190"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20"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734"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68"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4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03"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538"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627"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50"/>
        <w:gridCol w:w="18"/>
        <w:gridCol w:w="1031"/>
        <w:gridCol w:w="17"/>
        <w:gridCol w:w="21"/>
        <w:gridCol w:w="958"/>
        <w:gridCol w:w="4"/>
        <w:gridCol w:w="11"/>
        <w:gridCol w:w="2"/>
        <w:gridCol w:w="587"/>
        <w:gridCol w:w="3"/>
        <w:gridCol w:w="617"/>
        <w:gridCol w:w="2"/>
        <w:gridCol w:w="618"/>
        <w:gridCol w:w="17"/>
        <w:gridCol w:w="18"/>
        <w:gridCol w:w="927"/>
        <w:gridCol w:w="32"/>
        <w:gridCol w:w="18"/>
        <w:gridCol w:w="17"/>
        <w:gridCol w:w="552"/>
        <w:gridCol w:w="50"/>
        <w:gridCol w:w="18"/>
        <w:gridCol w:w="602"/>
        <w:gridCol w:w="34"/>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2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9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51081222T000005556665-2020年农商互联农产品供应链项目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8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8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1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8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1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eastAsia="zh-CN"/>
              </w:rPr>
              <w:t>（</w:t>
            </w:r>
            <w:r>
              <w:rPr>
                <w:rFonts w:hint="eastAsia" w:ascii="宋体" w:hAnsi="宋体" w:cs="宋体"/>
                <w:i w:val="0"/>
                <w:iCs w:val="0"/>
                <w:color w:val="000000"/>
                <w:sz w:val="16"/>
                <w:szCs w:val="16"/>
                <w:u w:val="none"/>
                <w:lang w:val="en-US" w:eastAsia="zh-CN"/>
              </w:rPr>
              <w:t>年初结转结余</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9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20.33</w:t>
            </w:r>
          </w:p>
        </w:tc>
        <w:tc>
          <w:tcPr>
            <w:tcW w:w="1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20.33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20.33</w:t>
            </w:r>
          </w:p>
        </w:tc>
        <w:tc>
          <w:tcPr>
            <w:tcW w:w="1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8"/>
                <w:szCs w:val="18"/>
                <w:u w:val="none"/>
                <w:lang w:val="en-US" w:eastAsia="zh-CN" w:bidi="ar"/>
              </w:rPr>
              <w:t>20.33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7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2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57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34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50"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66"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79"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04"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0"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0"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62"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19"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70"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856"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92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8"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51081222T000005557139-企业疫情防控资金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8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8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1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8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1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eastAsia="zh-CN"/>
              </w:rPr>
              <w:t>（</w:t>
            </w:r>
            <w:r>
              <w:rPr>
                <w:rFonts w:hint="eastAsia" w:ascii="宋体" w:hAnsi="宋体" w:cs="宋体"/>
                <w:i w:val="0"/>
                <w:iCs w:val="0"/>
                <w:color w:val="000000"/>
                <w:sz w:val="16"/>
                <w:szCs w:val="16"/>
                <w:u w:val="none"/>
                <w:lang w:val="en-US" w:eastAsia="zh-CN"/>
              </w:rPr>
              <w:t>年初结转结余</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8"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5.50</w:t>
            </w:r>
          </w:p>
        </w:tc>
        <w:tc>
          <w:tcPr>
            <w:tcW w:w="1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5.50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5.50</w:t>
            </w:r>
          </w:p>
        </w:tc>
        <w:tc>
          <w:tcPr>
            <w:tcW w:w="1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5.50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80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2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57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34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31"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11" w:type="dxa"/>
            <w:gridSpan w:val="5"/>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89"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0"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0"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94"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37"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0"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856"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92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8"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51081222T000005557252-女儿节“女皇味道”特色商品殿经费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8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8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8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0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eastAsia="zh-CN"/>
              </w:rPr>
              <w:t>（</w:t>
            </w:r>
            <w:r>
              <w:rPr>
                <w:rFonts w:hint="eastAsia" w:ascii="宋体" w:hAnsi="宋体" w:cs="宋体"/>
                <w:i w:val="0"/>
                <w:iCs w:val="0"/>
                <w:color w:val="000000"/>
                <w:sz w:val="16"/>
                <w:szCs w:val="16"/>
                <w:u w:val="none"/>
                <w:lang w:val="en-US" w:eastAsia="zh-CN"/>
              </w:rPr>
              <w:t>年初结转结余</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8"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12.7</w:t>
            </w:r>
            <w:r>
              <w:rPr>
                <w:rFonts w:hint="eastAsia" w:ascii="宋体" w:hAnsi="宋体" w:cs="宋体"/>
                <w:i w:val="0"/>
                <w:iCs w:val="0"/>
                <w:color w:val="000000"/>
                <w:kern w:val="0"/>
                <w:sz w:val="18"/>
                <w:szCs w:val="18"/>
                <w:u w:val="none"/>
                <w:lang w:val="en-US" w:eastAsia="zh-CN" w:bidi="ar"/>
              </w:rPr>
              <w:t>4</w:t>
            </w: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12.7</w:t>
            </w:r>
            <w:r>
              <w:rPr>
                <w:rFonts w:hint="eastAsia" w:ascii="宋体" w:hAnsi="宋体" w:cs="宋体"/>
                <w:i w:val="0"/>
                <w:iCs w:val="0"/>
                <w:color w:val="000000"/>
                <w:kern w:val="0"/>
                <w:sz w:val="18"/>
                <w:szCs w:val="18"/>
                <w:u w:val="none"/>
                <w:lang w:val="en-US" w:eastAsia="zh-CN" w:bidi="ar"/>
              </w:rPr>
              <w:t>4</w:t>
            </w: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12.7</w:t>
            </w:r>
            <w:r>
              <w:rPr>
                <w:rFonts w:hint="eastAsia" w:ascii="宋体" w:hAnsi="宋体" w:cs="宋体"/>
                <w:i w:val="0"/>
                <w:iCs w:val="0"/>
                <w:color w:val="000000"/>
                <w:kern w:val="0"/>
                <w:sz w:val="18"/>
                <w:szCs w:val="18"/>
                <w:u w:val="none"/>
                <w:lang w:val="en-US" w:eastAsia="zh-CN" w:bidi="ar"/>
              </w:rPr>
              <w:t>4</w:t>
            </w: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12.7</w:t>
            </w:r>
            <w:r>
              <w:rPr>
                <w:rFonts w:hint="eastAsia" w:ascii="宋体" w:hAnsi="宋体" w:cs="宋体"/>
                <w:i w:val="0"/>
                <w:iCs w:val="0"/>
                <w:color w:val="000000"/>
                <w:kern w:val="0"/>
                <w:sz w:val="18"/>
                <w:szCs w:val="18"/>
                <w:u w:val="none"/>
                <w:lang w:val="en-US" w:eastAsia="zh-CN" w:bidi="ar"/>
              </w:rPr>
              <w:t>4</w:t>
            </w: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682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2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57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534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48"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96" w:type="dxa"/>
            <w:gridSpan w:val="5"/>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87"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0"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37"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95"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19"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54"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82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92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78"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51081222T000005558165-2018年商贸流通脱贫奔康项目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0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0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0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0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w:t>
            </w:r>
            <w:r>
              <w:rPr>
                <w:rFonts w:hint="eastAsia" w:ascii="宋体" w:hAnsi="宋体" w:cs="宋体"/>
                <w:i w:val="0"/>
                <w:iCs w:val="0"/>
                <w:color w:val="000000"/>
                <w:sz w:val="16"/>
                <w:szCs w:val="16"/>
                <w:u w:val="none"/>
                <w:lang w:val="en-US" w:eastAsia="zh-CN"/>
              </w:rPr>
              <w:t>年初结转结余</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8"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7.45</w:t>
            </w:r>
          </w:p>
        </w:tc>
        <w:tc>
          <w:tcPr>
            <w:tcW w:w="18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7.45</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8"/>
                <w:szCs w:val="18"/>
                <w:u w:val="none"/>
                <w:lang w:val="en-US" w:eastAsia="zh-CN" w:bidi="ar"/>
              </w:rPr>
              <w:t>7.45</w:t>
            </w:r>
          </w:p>
        </w:tc>
        <w:tc>
          <w:tcPr>
            <w:tcW w:w="18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7.45</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84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34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346" w:type="dxa"/>
            <w:gridSpan w:val="2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57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5344"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68"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69"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62"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03"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19"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53"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94"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0"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36"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82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bl>
    <w:p>
      <w:pPr>
        <w:pStyle w:val="21"/>
        <w:ind w:left="0" w:leftChars="0" w:firstLine="0" w:firstLineChars="0"/>
        <w:rPr>
          <w:rFonts w:hint="eastAsia" w:ascii="仿宋_GB2312" w:hAnsi="Times New Roman" w:eastAsia="仿宋_GB2312" w:cs="Times New Roman"/>
          <w:sz w:val="32"/>
          <w:szCs w:val="32"/>
        </w:rPr>
      </w:pPr>
    </w:p>
    <w:tbl>
      <w:tblPr>
        <w:tblStyle w:val="22"/>
        <w:tblW w:w="102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
        <w:gridCol w:w="550"/>
        <w:gridCol w:w="80"/>
        <w:gridCol w:w="33"/>
        <w:gridCol w:w="19"/>
        <w:gridCol w:w="693"/>
        <w:gridCol w:w="478"/>
        <w:gridCol w:w="4"/>
        <w:gridCol w:w="676"/>
        <w:gridCol w:w="390"/>
        <w:gridCol w:w="98"/>
        <w:gridCol w:w="670"/>
        <w:gridCol w:w="141"/>
        <w:gridCol w:w="91"/>
        <w:gridCol w:w="499"/>
        <w:gridCol w:w="116"/>
        <w:gridCol w:w="49"/>
        <w:gridCol w:w="463"/>
        <w:gridCol w:w="104"/>
        <w:gridCol w:w="37"/>
        <w:gridCol w:w="463"/>
        <w:gridCol w:w="104"/>
        <w:gridCol w:w="12"/>
        <w:gridCol w:w="40"/>
        <w:gridCol w:w="603"/>
        <w:gridCol w:w="250"/>
        <w:gridCol w:w="33"/>
        <w:gridCol w:w="663"/>
        <w:gridCol w:w="8"/>
        <w:gridCol w:w="46"/>
        <w:gridCol w:w="617"/>
        <w:gridCol w:w="46"/>
        <w:gridCol w:w="158"/>
        <w:gridCol w:w="592"/>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269"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838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7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2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58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7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严格按照《四川省省级文化和旅游发展专项资金管理办法》文件规定，科学、合理管理与使用天府旅游名县专项资金，发挥资金最大效益。</w:t>
            </w:r>
          </w:p>
        </w:tc>
        <w:tc>
          <w:tcPr>
            <w:tcW w:w="458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通过项目的实施，全面提升了朝天文旅品质和对外影响力。2022年底，省级验收小组对名县项目进行了验收，所有项目验收合格。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38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（一）项目组织架构及实施流程。（二）项目管理情况。（三）项目监管情况。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15.00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15.00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15.00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15.00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15.00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15.00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68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61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8"/>
                <w:szCs w:val="18"/>
                <w:lang w:val="en-US" w:eastAsia="zh-CN" w:bidi="ar"/>
              </w:rPr>
              <w:t>提升旅游产品品质，丰富文化旅游生活。</w:t>
            </w:r>
            <w:r>
              <w:rPr>
                <w:rFonts w:hint="eastAsia" w:ascii="微软雅黑" w:hAnsi="微软雅黑" w:eastAsia="微软雅黑" w:cs="微软雅黑"/>
                <w:i/>
                <w:iCs/>
                <w:color w:val="000000"/>
                <w:kern w:val="0"/>
                <w:sz w:val="16"/>
                <w:szCs w:val="16"/>
                <w:u w:val="none"/>
                <w:lang w:val="en-US" w:eastAsia="zh-CN" w:bidi="ar"/>
              </w:rPr>
              <w:t>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61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5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613" w:type="dxa"/>
            <w:gridSpan w:val="3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448"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821"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6"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27" w:type="dxa"/>
            <w:gridSpan w:val="5"/>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66"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09"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90"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8"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04"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09" w:type="dxa"/>
            <w:gridSpan w:val="5"/>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704" w:type="dxa"/>
            <w:gridSpan w:val="3"/>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867" w:type="dxa"/>
            <w:gridSpan w:val="4"/>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2009" w:type="dxa"/>
            <w:gridSpan w:val="2"/>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6"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27" w:type="dxa"/>
            <w:gridSpan w:val="5"/>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66" w:type="dxa"/>
            <w:gridSpan w:val="2"/>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09"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90" w:type="dxa"/>
            <w:gridSpan w:val="2"/>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8"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04"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09" w:type="dxa"/>
            <w:gridSpan w:val="5"/>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704"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867" w:type="dxa"/>
            <w:gridSpan w:val="4"/>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2009" w:type="dxa"/>
            <w:gridSpan w:val="2"/>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0269" w:type="dxa"/>
            <w:gridSpan w:val="3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883"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8386" w:type="dxa"/>
            <w:gridSpan w:val="2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51081222T000005757090-2018年国家电子商务进农村综合示范县项目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7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0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58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7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项目建成后，实现全区农村商品物流配送功能、农产品商品化率及网销率、电子商务应用普及率大幅提升，电子商务在促进一二三产深度融合、助力脱贫攻坚、促进群众增收等方面取得明显成效，为乡村振兴战略实施奠定基础。</w:t>
            </w:r>
          </w:p>
        </w:tc>
        <w:tc>
          <w:tcPr>
            <w:tcW w:w="458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val="en-US" w:eastAsia="zh-CN"/>
              </w:rPr>
              <w:t>建</w:t>
            </w:r>
            <w:r>
              <w:rPr>
                <w:rFonts w:hint="eastAsia" w:ascii="宋体" w:hAnsi="宋体" w:eastAsia="宋体" w:cs="宋体"/>
                <w:i w:val="0"/>
                <w:iCs w:val="0"/>
                <w:color w:val="000000"/>
                <w:sz w:val="16"/>
                <w:szCs w:val="16"/>
                <w:u w:val="none"/>
              </w:rPr>
              <w:t>设和改造提升乡镇村电子商务服务站点和物流配送站点103个，不断提高全区电商公共服务水平和电商快递物流配送能力，降低电商快递物流成本</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38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（一）项目组织机构与职责落实情况。（二）项目管理制度建设情况</w:t>
            </w:r>
            <w:r>
              <w:rPr>
                <w:rFonts w:hint="eastAsia" w:ascii="宋体" w:hAnsi="宋体" w:eastAsia="宋体" w:cs="宋体"/>
                <w:i w:val="0"/>
                <w:iCs w:val="0"/>
                <w:color w:val="000000"/>
                <w:sz w:val="16"/>
                <w:szCs w:val="16"/>
                <w:u w:val="none"/>
                <w:lang w:eastAsia="zh-CN"/>
              </w:rPr>
              <w:t>；（三）项目组织管理落实情况，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总额</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200.00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200.00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200.00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200.00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68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69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不断提高全区电商公共服务水平和电商快递物流配送能力，降低电商快递物流成本。自评得分96分。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69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69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48" w:type="dxa"/>
            <w:gridSpan w:val="1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821" w:type="dxa"/>
            <w:gridSpan w:val="2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57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07" w:type="dxa"/>
            <w:gridSpan w:val="6"/>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6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0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9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2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04"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009"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704"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867"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20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90" w:hRule="atLeast"/>
          <w:jc w:val="center"/>
        </w:trPr>
        <w:tc>
          <w:tcPr>
            <w:tcW w:w="1024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6"/>
                <w:szCs w:val="16"/>
                <w:u w:val="none"/>
                <w:lang w:val="en-US"/>
              </w:rPr>
            </w:pPr>
            <w:r>
              <w:rPr>
                <w:rFonts w:hint="eastAsia" w:ascii="黑体" w:hAnsi="宋体" w:eastAsia="黑体" w:cs="黑体"/>
                <w:b/>
                <w:bCs/>
                <w:i w:val="0"/>
                <w:iCs w:val="0"/>
                <w:color w:val="000000"/>
                <w:kern w:val="0"/>
                <w:sz w:val="21"/>
                <w:szCs w:val="21"/>
                <w:u w:val="none"/>
                <w:lang w:val="en-US" w:eastAsia="zh-CN" w:bidi="ar"/>
              </w:rPr>
              <w:t>部门预算项目支出绩效自评表（2022年度）24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286" w:hRule="atLeast"/>
          <w:jc w:val="center"/>
        </w:trPr>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8390"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51081222T000005928403-2022年“两上”企业培育巩固经费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565" w:hRule="atLeast"/>
          <w:jc w:val="center"/>
        </w:trPr>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286" w:hRule="atLeast"/>
          <w:jc w:val="center"/>
        </w:trPr>
        <w:tc>
          <w:tcPr>
            <w:tcW w:w="6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39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568"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巩固限上商贸企业、规上服务业企业正常运营，提高社销零、服务业增加值数据提高。</w:t>
            </w:r>
          </w:p>
        </w:tc>
        <w:tc>
          <w:tcPr>
            <w:tcW w:w="44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抓好对现有64家“两上”企业巩固工作，取得了较好效果。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35"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8390"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80" w:hRule="atLeast"/>
          <w:jc w:val="center"/>
        </w:trPr>
        <w:tc>
          <w:tcPr>
            <w:tcW w:w="6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328"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5.00</w:t>
            </w:r>
          </w:p>
        </w:tc>
        <w:tc>
          <w:tcPr>
            <w:tcW w:w="18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5.00</w:t>
            </w:r>
          </w:p>
        </w:tc>
        <w:tc>
          <w:tcPr>
            <w:tcW w:w="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22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67"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1"/>
                <w:szCs w:val="11"/>
                <w:u w:val="none"/>
              </w:rPr>
            </w:pPr>
            <w:r>
              <w:rPr>
                <w:rFonts w:hint="default" w:ascii="宋体" w:hAnsi="宋体" w:eastAsia="宋体" w:cs="宋体"/>
                <w:i w:val="0"/>
                <w:iCs w:val="0"/>
                <w:color w:val="000000"/>
                <w:kern w:val="0"/>
                <w:sz w:val="11"/>
                <w:szCs w:val="11"/>
                <w:u w:val="none"/>
                <w:lang w:val="en-US" w:eastAsia="zh-CN" w:bidi="ar"/>
              </w:rPr>
              <w:t>其中：财政资金</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5.00</w:t>
            </w:r>
          </w:p>
        </w:tc>
        <w:tc>
          <w:tcPr>
            <w:tcW w:w="18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5.00</w:t>
            </w:r>
          </w:p>
        </w:tc>
        <w:tc>
          <w:tcPr>
            <w:tcW w:w="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100.00%</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2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343"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1"/>
                <w:szCs w:val="11"/>
                <w:u w:val="none"/>
              </w:rPr>
            </w:pPr>
            <w:r>
              <w:rPr>
                <w:rFonts w:hint="default" w:ascii="宋体" w:hAnsi="宋体" w:eastAsia="宋体" w:cs="宋体"/>
                <w:i w:val="0"/>
                <w:iCs w:val="0"/>
                <w:color w:val="000000"/>
                <w:kern w:val="0"/>
                <w:sz w:val="11"/>
                <w:szCs w:val="11"/>
                <w:u w:val="none"/>
                <w:lang w:val="en-US" w:eastAsia="zh-CN" w:bidi="ar"/>
              </w:rPr>
              <w:t>财政专户管理资金</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2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327"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单位资金</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18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0.00%</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2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240"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其他资金</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22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52" w:hRule="atLeast"/>
          <w:jc w:val="center"/>
        </w:trPr>
        <w:tc>
          <w:tcPr>
            <w:tcW w:w="6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5"/>
                <w:szCs w:val="15"/>
                <w:u w:val="none"/>
                <w:lang w:val="en-US" w:eastAsia="zh-CN" w:bidi="ar"/>
              </w:rPr>
              <w:t>三级指标</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得分</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631"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default" w:ascii="宋体" w:hAnsi="宋体" w:eastAsia="宋体" w:cs="宋体"/>
                <w:i w:val="0"/>
                <w:iCs w:val="0"/>
                <w:color w:val="000000"/>
                <w:kern w:val="0"/>
                <w:sz w:val="11"/>
                <w:szCs w:val="11"/>
                <w:u w:val="none"/>
                <w:lang w:val="en-US" w:eastAsia="zh-CN" w:bidi="ar"/>
              </w:rPr>
              <w:t>巩固在库“两上”企业数量</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64</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家</w:t>
            </w: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64</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34"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质量指标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default" w:ascii="宋体" w:hAnsi="宋体" w:eastAsia="宋体" w:cs="宋体"/>
                <w:i w:val="0"/>
                <w:iCs w:val="0"/>
                <w:color w:val="000000"/>
                <w:kern w:val="0"/>
                <w:sz w:val="13"/>
                <w:szCs w:val="13"/>
                <w:u w:val="none"/>
                <w:lang w:val="en-US" w:eastAsia="zh-CN" w:bidi="ar"/>
              </w:rPr>
              <w:t>目标实际完成率</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定性</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3"/>
                <w:szCs w:val="13"/>
                <w:u w:val="none"/>
                <w:lang w:val="en-US" w:eastAsia="zh-CN" w:bidi="ar"/>
              </w:rPr>
              <w:t>优良中低差</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良</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51"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时效指标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3"/>
                <w:szCs w:val="13"/>
              </w:rPr>
            </w:pPr>
            <w:r>
              <w:rPr>
                <w:rFonts w:hint="default" w:ascii="宋体" w:hAnsi="宋体" w:eastAsia="宋体" w:cs="宋体"/>
                <w:i w:val="0"/>
                <w:iCs w:val="0"/>
                <w:color w:val="000000"/>
                <w:kern w:val="0"/>
                <w:sz w:val="13"/>
                <w:szCs w:val="13"/>
                <w:u w:val="none"/>
                <w:lang w:val="en-US" w:eastAsia="zh-CN" w:bidi="ar"/>
              </w:rPr>
              <w:t>按时发放巩固经费</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2022</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年</w:t>
            </w: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2022</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251"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成本指标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3"/>
                <w:szCs w:val="13"/>
              </w:rPr>
            </w:pPr>
            <w:r>
              <w:rPr>
                <w:rFonts w:hint="default" w:ascii="宋体" w:hAnsi="宋体" w:eastAsia="宋体" w:cs="宋体"/>
                <w:i w:val="0"/>
                <w:iCs w:val="0"/>
                <w:color w:val="000000"/>
                <w:kern w:val="0"/>
                <w:sz w:val="13"/>
                <w:szCs w:val="13"/>
                <w:u w:val="none"/>
                <w:lang w:val="en-US" w:eastAsia="zh-CN" w:bidi="ar"/>
              </w:rPr>
              <w:t>巩固经费</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万元</w:t>
            </w: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572"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社会效益指标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1"/>
                <w:szCs w:val="11"/>
              </w:rPr>
            </w:pPr>
            <w:r>
              <w:rPr>
                <w:rFonts w:hint="default" w:ascii="宋体" w:hAnsi="宋体" w:eastAsia="宋体" w:cs="宋体"/>
                <w:i w:val="0"/>
                <w:iCs w:val="0"/>
                <w:color w:val="000000"/>
                <w:kern w:val="0"/>
                <w:sz w:val="11"/>
                <w:szCs w:val="11"/>
                <w:u w:val="none"/>
                <w:lang w:val="en-US" w:eastAsia="zh-CN" w:bidi="ar"/>
              </w:rPr>
              <w:t>提高两上企业培育，巩固两上企业数量</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93</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12</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845"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可持续发展指标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1"/>
                <w:szCs w:val="11"/>
              </w:rPr>
            </w:pPr>
            <w:r>
              <w:rPr>
                <w:rFonts w:hint="default" w:ascii="宋体" w:hAnsi="宋体" w:eastAsia="宋体" w:cs="宋体"/>
                <w:i w:val="0"/>
                <w:iCs w:val="0"/>
                <w:color w:val="000000"/>
                <w:kern w:val="0"/>
                <w:sz w:val="11"/>
                <w:szCs w:val="11"/>
                <w:u w:val="none"/>
                <w:lang w:val="en-US" w:eastAsia="zh-CN" w:bidi="ar"/>
              </w:rPr>
              <w:t>规范企业正常运行，巩固企业任务完成率</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93</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11</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02" w:hRule="atLeast"/>
          <w:jc w:val="center"/>
        </w:trPr>
        <w:tc>
          <w:tcPr>
            <w:tcW w:w="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满意度指标</w:t>
            </w:r>
          </w:p>
        </w:tc>
        <w:tc>
          <w:tcPr>
            <w:tcW w:w="1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服</w:t>
            </w:r>
            <w:r>
              <w:rPr>
                <w:rFonts w:hint="default" w:ascii="宋体" w:hAnsi="宋体" w:eastAsia="宋体" w:cs="宋体"/>
                <w:i w:val="0"/>
                <w:iCs w:val="0"/>
                <w:color w:val="000000"/>
                <w:kern w:val="0"/>
                <w:sz w:val="15"/>
                <w:szCs w:val="15"/>
                <w:u w:val="none"/>
                <w:lang w:val="en-US" w:eastAsia="zh-CN" w:bidi="ar"/>
              </w:rPr>
              <w:t>务对象满意度指标</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default" w:ascii="宋体" w:hAnsi="宋体" w:eastAsia="宋体" w:cs="宋体"/>
                <w:i w:val="0"/>
                <w:iCs w:val="0"/>
                <w:color w:val="000000"/>
                <w:kern w:val="0"/>
                <w:sz w:val="13"/>
                <w:szCs w:val="13"/>
                <w:u w:val="none"/>
                <w:lang w:val="en-US" w:eastAsia="zh-CN" w:bidi="ar"/>
              </w:rPr>
              <w:t>企业满意度</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231" w:hRule="atLeast"/>
          <w:jc w:val="center"/>
        </w:trPr>
        <w:tc>
          <w:tcPr>
            <w:tcW w:w="66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90</w:t>
            </w:r>
          </w:p>
        </w:tc>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19" w:hRule="atLeast"/>
          <w:jc w:val="center"/>
        </w:trPr>
        <w:tc>
          <w:tcPr>
            <w:tcW w:w="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58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rPr>
              <w:t>抓好“两上”企业巩固工作，取得了较好效果。</w:t>
            </w:r>
            <w:r>
              <w:rPr>
                <w:rFonts w:hint="eastAsia" w:ascii="宋体" w:hAnsi="宋体" w:cs="宋体"/>
                <w:i w:val="0"/>
                <w:iCs w:val="0"/>
                <w:color w:val="000000"/>
                <w:sz w:val="16"/>
                <w:szCs w:val="16"/>
                <w:u w:val="none"/>
                <w:lang w:val="en-US" w:eastAsia="zh-CN"/>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386" w:hRule="atLeast"/>
          <w:jc w:val="center"/>
        </w:trPr>
        <w:tc>
          <w:tcPr>
            <w:tcW w:w="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58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402" w:hRule="atLeast"/>
          <w:jc w:val="center"/>
        </w:trPr>
        <w:tc>
          <w:tcPr>
            <w:tcW w:w="6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580" w:type="dxa"/>
            <w:gridSpan w:val="31"/>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226" w:hRule="atLeast"/>
          <w:jc w:val="center"/>
        </w:trPr>
        <w:tc>
          <w:tcPr>
            <w:tcW w:w="4538"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5705"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6" w:type="dxa"/>
          <w:trHeight w:val="286" w:hRule="atLeast"/>
          <w:jc w:val="center"/>
        </w:trPr>
        <w:tc>
          <w:tcPr>
            <w:tcW w:w="663"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90"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168" w:type="dxa"/>
            <w:gridSpan w:val="4"/>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02"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615" w:type="dxa"/>
            <w:gridSpan w:val="2"/>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16"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16" w:type="dxa"/>
            <w:gridSpan w:val="4"/>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926" w:type="dxa"/>
            <w:gridSpan w:val="4"/>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717" w:type="dxa"/>
            <w:gridSpan w:val="3"/>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617"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2213" w:type="dxa"/>
            <w:gridSpan w:val="4"/>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152" w:hRule="atLeast"/>
          <w:jc w:val="center"/>
        </w:trPr>
        <w:tc>
          <w:tcPr>
            <w:tcW w:w="9561"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468" w:hRule="atLeast"/>
          <w:jc w:val="center"/>
        </w:trPr>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71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51081222T000005934418-限下样本企业（批零住餐）工作经费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424" w:hRule="atLeast"/>
          <w:jc w:val="center"/>
        </w:trPr>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8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28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363"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8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99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8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规范28家限下样本企业经营台账，每月汇总整理上报销售数据，避免瞒报漏报的情况发生，为社消零限下部分提供支撑和依据。</w:t>
            </w:r>
          </w:p>
        </w:tc>
        <w:tc>
          <w:tcPr>
            <w:tcW w:w="3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规范限下样本企业经营台账，每月汇总整理上报销售数量，提升了限下样本企业经济收入和社销零，带动了经济总量、质量发展，维护了社会稳定。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394"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71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我单位安排项目股专人负责限下样本企业（批零住餐)工作，根据办公室统计的出勤天数，再由财务人员核实无误后，按实际发生数实报实销。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078"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774"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w:t>
            </w:r>
          </w:p>
        </w:tc>
        <w:tc>
          <w:tcPr>
            <w:tcW w:w="18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1.70</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8</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923"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w:t>
            </w:r>
          </w:p>
        </w:tc>
        <w:tc>
          <w:tcPr>
            <w:tcW w:w="18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891"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987"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71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17"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109"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权重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450" w:hRule="atLeast"/>
          <w:jc w:val="center"/>
        </w:trPr>
        <w:tc>
          <w:tcPr>
            <w:tcW w:w="693"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限下样本企业补助数量</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家</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28</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480" w:hRule="atLeast"/>
          <w:jc w:val="center"/>
        </w:trPr>
        <w:tc>
          <w:tcPr>
            <w:tcW w:w="693"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质量指标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销售数据覆盖率</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定性</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优良中低差</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良</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24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时效指标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项目实施完成年度</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2022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2022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38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成本指标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工作经费</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万元</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1.7</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2058"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社会效益指标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提升了社消零，带动经济总量、质量发展</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209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可持续发展指标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提升限下样本企业经济收入，维护社会稳定</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94</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1236"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满意度指标</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服务对象满意度指标</w:t>
            </w:r>
          </w:p>
        </w:tc>
        <w:tc>
          <w:tcPr>
            <w:tcW w:w="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受益对象满意度</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818" w:hRule="atLeast"/>
          <w:jc w:val="center"/>
        </w:trPr>
        <w:tc>
          <w:tcPr>
            <w:tcW w:w="667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82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886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8"/>
                <w:szCs w:val="18"/>
                <w:u w:val="none"/>
              </w:rPr>
              <w:t>提升了限下样本企业经济收入和社销零，带动了经济总量、质量发展，维护了社会稳定。</w:t>
            </w:r>
            <w:r>
              <w:rPr>
                <w:rFonts w:hint="eastAsia" w:ascii="宋体" w:hAnsi="宋体" w:cs="宋体"/>
                <w:i w:val="0"/>
                <w:iCs w:val="0"/>
                <w:color w:val="000000"/>
                <w:sz w:val="18"/>
                <w:szCs w:val="18"/>
                <w:u w:val="none"/>
                <w:lang w:val="en-US" w:eastAsia="zh-CN"/>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57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886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858"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886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5"/>
          <w:wBefore w:w="708" w:type="dxa"/>
          <w:trHeight w:val="589" w:hRule="atLeast"/>
          <w:jc w:val="center"/>
        </w:trPr>
        <w:tc>
          <w:tcPr>
            <w:tcW w:w="4509" w:type="dxa"/>
            <w:gridSpan w:val="1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5052" w:type="dxa"/>
            <w:gridSpan w:val="1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234"/>
        <w:gridCol w:w="1098"/>
        <w:gridCol w:w="897"/>
        <w:gridCol w:w="635"/>
        <w:gridCol w:w="587"/>
        <w:gridCol w:w="604"/>
        <w:gridCol w:w="1059"/>
        <w:gridCol w:w="555"/>
        <w:gridCol w:w="619"/>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991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51081222T000005934423-市场拓展三大活动经费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通过“川货全国行”、东西部协作、市内地方节会等平台，组织我区名优企业参展，宣传、推广“朝天造”产品</w:t>
            </w:r>
            <w:r>
              <w:rPr>
                <w:rFonts w:hint="eastAsia" w:ascii="宋体" w:hAnsi="宋体" w:eastAsia="宋体" w:cs="宋体"/>
                <w:i w:val="0"/>
                <w:iCs w:val="0"/>
                <w:color w:val="000000"/>
                <w:kern w:val="0"/>
                <w:sz w:val="18"/>
                <w:szCs w:val="18"/>
                <w:u w:val="none"/>
                <w:lang w:val="en-US" w:eastAsia="zh-CN" w:bidi="ar"/>
              </w:rPr>
              <w:t>。</w:t>
            </w:r>
          </w:p>
        </w:tc>
        <w:tc>
          <w:tcPr>
            <w:tcW w:w="4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当地群众提供就业岗位，带动我区新增产值和税收，从而带动我区周边经济发展。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93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693"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组织企业参加各类市场拓展活动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4</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次</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17</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疫情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93"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质量指标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目标实际完成率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定性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优良中低差</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8</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时效指标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项目实施完成年度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2022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成本指标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活动经费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万元</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经济效益指标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推广宣传朝天产品，提高朝天产品影响力</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社会效益指标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带动朝天产品销售，提高销售总量</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满意度指标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服务对象满意度指标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受益对象满意度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8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95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2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rPr>
              <w:t>当地群众提供就业岗位，带动我区新增产值和税收，从而带动我区周边经济发展。</w:t>
            </w:r>
            <w:r>
              <w:rPr>
                <w:rFonts w:hint="eastAsia" w:ascii="宋体" w:hAnsi="宋体" w:cs="宋体"/>
                <w:i w:val="0"/>
                <w:iCs w:val="0"/>
                <w:color w:val="000000"/>
                <w:sz w:val="16"/>
                <w:szCs w:val="16"/>
                <w:u w:val="none"/>
                <w:lang w:val="en-US" w:eastAsia="zh-CN"/>
              </w:rPr>
              <w:t>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2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2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557"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355"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b/>
          <w:bCs/>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6"/>
        <w:gridCol w:w="33"/>
        <w:gridCol w:w="1201"/>
        <w:gridCol w:w="1114"/>
        <w:gridCol w:w="16"/>
        <w:gridCol w:w="832"/>
        <w:gridCol w:w="49"/>
        <w:gridCol w:w="571"/>
        <w:gridCol w:w="16"/>
        <w:gridCol w:w="130"/>
        <w:gridCol w:w="457"/>
        <w:gridCol w:w="65"/>
        <w:gridCol w:w="65"/>
        <w:gridCol w:w="538"/>
        <w:gridCol w:w="131"/>
        <w:gridCol w:w="864"/>
        <w:gridCol w:w="81"/>
        <w:gridCol w:w="49"/>
        <w:gridCol w:w="473"/>
        <w:gridCol w:w="131"/>
        <w:gridCol w:w="163"/>
        <w:gridCol w:w="358"/>
        <w:gridCol w:w="90"/>
        <w:gridCol w:w="187"/>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9912"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51081222T000005934433-物流园区建设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8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1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8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1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8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做好七盘关物流港、大巴口建材物流园、羊木物流园协调工作</w:t>
            </w:r>
          </w:p>
        </w:tc>
        <w:tc>
          <w:tcPr>
            <w:tcW w:w="41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完善了我区物流体系、加速了我区物流业发展，巩固了物流产业成果。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按照项目资金专款专用，该项目资金全部用于物流园区建设支出，为顺利开展物流港（园）协调点工作提供必要的经费支持。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1.99</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1.99</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8</w:t>
            </w:r>
          </w:p>
        </w:tc>
        <w:tc>
          <w:tcPr>
            <w:tcW w:w="18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1.99</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1.99</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882" w:type="dxa"/>
            <w:gridSpan w:val="3"/>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度量单位</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693" w:type="dxa"/>
            <w:gridSpan w:val="2"/>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完成七盘关物流港、大巴口建材物流园、羊木物流园协调工作</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3</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家</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20</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20</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693" w:type="dxa"/>
            <w:gridSpan w:val="2"/>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质量指标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资金使用合规率</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定性</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优良中低差</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良</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7</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时效指标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完成时间</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2022</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2022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成本指标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物流园区建设</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万元</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1.99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7</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效益指标</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社会效益指标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完善我区物流体系，加速我区物流业发展。</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15</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可持续发展指标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完善我区物流产业链，巩固物流产业成果。</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15</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13</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满意度指标</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服务对象满意度指标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社会满意度</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95</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95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77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90</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21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完善我区物流体系，加速我区物流业发展</w:t>
            </w:r>
            <w:r>
              <w:rPr>
                <w:rFonts w:hint="eastAsia" w:ascii="宋体" w:hAnsi="宋体" w:cs="宋体"/>
                <w:i w:val="0"/>
                <w:iCs w:val="0"/>
                <w:color w:val="000000"/>
                <w:sz w:val="18"/>
                <w:szCs w:val="18"/>
                <w:u w:val="none"/>
                <w:lang w:eastAsia="zh-CN"/>
              </w:rPr>
              <w:t>，</w:t>
            </w:r>
            <w:r>
              <w:rPr>
                <w:rFonts w:hint="eastAsia" w:ascii="宋体" w:hAnsi="宋体" w:cs="宋体"/>
                <w:i w:val="0"/>
                <w:iCs w:val="0"/>
                <w:color w:val="000000"/>
                <w:sz w:val="18"/>
                <w:szCs w:val="18"/>
                <w:u w:val="none"/>
                <w:lang w:val="en-US" w:eastAsia="zh-CN"/>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21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21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525"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387" w:type="dxa"/>
            <w:gridSpan w:val="1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912"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51081222T000006623555-2021年度先进企业奖励资金（商贸）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8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0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38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1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u w:val="none"/>
              </w:rPr>
            </w:pPr>
          </w:p>
        </w:tc>
        <w:tc>
          <w:tcPr>
            <w:tcW w:w="38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培育壮大商贸企业、活跃消费市场、打造本土品牌，加快推进我区商贸流通业持续健康发展。</w:t>
            </w:r>
          </w:p>
        </w:tc>
        <w:tc>
          <w:tcPr>
            <w:tcW w:w="41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增加就业岗位，增大财政税收收入，推动全区企业发展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79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2022年财政预算安排先进企业奖励资金（商贸）42万元，用于鼓励各类企业做大做强，全面调动企业和个体经营户发展成为规上限上企业的积极性，提升了全区整体经济质量和水平。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42.00</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42.00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100.00%</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42.00</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42.00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100.00%</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767"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35"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60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指标值</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77"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6"/>
                <w:szCs w:val="16"/>
                <w:u w:val="none"/>
              </w:rPr>
            </w:pP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rPr>
            </w:pP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7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69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23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lang w:val="en-US" w:eastAsia="zh-CN"/>
              </w:rPr>
            </w:pPr>
            <w:r>
              <w:rPr>
                <w:rFonts w:hint="eastAsia" w:ascii="宋体" w:hAnsi="宋体" w:eastAsia="宋体" w:cs="宋体"/>
                <w:i w:val="0"/>
                <w:iCs w:val="0"/>
                <w:color w:val="000000"/>
                <w:sz w:val="21"/>
                <w:szCs w:val="21"/>
                <w:u w:val="none"/>
              </w:rPr>
              <w:t>增加就业岗位，增大财政税收收入，推动全区企业发展</w:t>
            </w: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23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23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45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540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912"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51081222T000006885274-2018年国家级电子商务进农村综合示范项目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0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9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16"/>
                <w:szCs w:val="16"/>
                <w:u w:val="none"/>
              </w:rPr>
              <w:t>项目建成后，实现全区农村商品物流配送功能、农产品商品化率及网销率、电子商务应用普及率大幅提升，电子商务在促进一二三产深度融合、助力脱贫攻坚、促进群众增收等方面取得明显成效，为乡村振兴战略实施奠定基础。</w:t>
            </w:r>
          </w:p>
        </w:tc>
        <w:tc>
          <w:tcPr>
            <w:tcW w:w="40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6"/>
                <w:szCs w:val="16"/>
                <w:u w:val="none"/>
                <w:lang w:val="en-US" w:eastAsia="zh-CN"/>
              </w:rPr>
              <w:t>建</w:t>
            </w:r>
            <w:r>
              <w:rPr>
                <w:rFonts w:hint="eastAsia" w:ascii="宋体" w:hAnsi="宋体" w:eastAsia="宋体" w:cs="宋体"/>
                <w:i w:val="0"/>
                <w:iCs w:val="0"/>
                <w:color w:val="000000"/>
                <w:sz w:val="16"/>
                <w:szCs w:val="16"/>
                <w:u w:val="none"/>
              </w:rPr>
              <w:t>设和改造提升乡镇村电子商务服务站点和物流配送站点103个，不断提高全区电商公共服务水平和电商快递物流配送能力，降低电商快递物流成本</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16"/>
                <w:szCs w:val="16"/>
                <w:u w:val="none"/>
              </w:rPr>
              <w:t>（一）项目组织机构与职责落实情况。（二）项目管理制度建设情况</w:t>
            </w:r>
            <w:r>
              <w:rPr>
                <w:rFonts w:hint="eastAsia" w:ascii="宋体" w:hAnsi="宋体" w:eastAsia="宋体" w:cs="宋体"/>
                <w:i w:val="0"/>
                <w:iCs w:val="0"/>
                <w:color w:val="000000"/>
                <w:sz w:val="16"/>
                <w:szCs w:val="16"/>
                <w:u w:val="none"/>
                <w:lang w:eastAsia="zh-CN"/>
              </w:rPr>
              <w:t>；（三）项目组织管理落实情况，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180.00</w:t>
            </w:r>
          </w:p>
        </w:tc>
        <w:tc>
          <w:tcPr>
            <w:tcW w:w="1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180.00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180.00</w:t>
            </w:r>
          </w:p>
        </w:tc>
        <w:tc>
          <w:tcPr>
            <w:tcW w:w="1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180.00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4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gridSpan w:val="2"/>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三级指标</w:t>
            </w: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指标性质</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26" w:type="dxa"/>
            <w:gridSpan w:val="3"/>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726"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678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18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微软雅黑" w:hAnsi="微软雅黑" w:eastAsia="微软雅黑" w:cs="微软雅黑"/>
                <w:i/>
                <w:iCs/>
                <w:color w:val="000000"/>
                <w:kern w:val="0"/>
                <w:sz w:val="16"/>
                <w:szCs w:val="16"/>
                <w:u w:val="none"/>
                <w:lang w:val="en-US" w:eastAsia="zh-CN" w:bidi="ar"/>
              </w:rPr>
              <w:t>不断提高全区电商公共服务水平和电商快递物流配送能力，降低电商快递物流成本。自评得分96分。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18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18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46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25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01"/>
        <w:gridCol w:w="1114"/>
        <w:gridCol w:w="978"/>
        <w:gridCol w:w="604"/>
        <w:gridCol w:w="587"/>
        <w:gridCol w:w="652"/>
        <w:gridCol w:w="945"/>
        <w:gridCol w:w="653"/>
        <w:gridCol w:w="660"/>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91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51081222T000007112787-2022年东西部协作扶贫项目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在杭州市滨江区建设朝天农特产品销售店、集配中转仓，建设总面积200平方米，在东部地区、成渝地区及省内举办展示、促销、推介等展会活动。在杭州市滨江区建设朝天农特产品销售店、集配中转仓项目通过竞争性谈判方式，4家企业参与竞争性谈判</w:t>
            </w:r>
            <w:r>
              <w:rPr>
                <w:rFonts w:hint="eastAsia" w:ascii="宋体" w:hAnsi="宋体" w:eastAsia="宋体" w:cs="宋体"/>
                <w:i w:val="0"/>
                <w:iCs w:val="0"/>
                <w:color w:val="000000"/>
                <w:sz w:val="21"/>
                <w:szCs w:val="21"/>
                <w:u w:val="none"/>
                <w:lang w:eastAsia="zh-CN"/>
              </w:rPr>
              <w:t>。</w:t>
            </w:r>
          </w:p>
        </w:tc>
        <w:tc>
          <w:tcPr>
            <w:tcW w:w="4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在杭州市滨江区建设朝天农特产品销售店、集配中转仓，建设总面积200平方米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（一）项目组织架构及实施流程。（二）项目管理情况。（三）项目监管情况。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130.84</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130.84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130.84</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130.84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4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三级指标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指标性质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72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6807" w:type="dxa"/>
            <w:gridSpan w:val="8"/>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lang w:val="en-US" w:eastAsia="zh-CN"/>
              </w:rPr>
            </w:pPr>
            <w:r>
              <w:rPr>
                <w:rFonts w:hint="eastAsia"/>
              </w:rPr>
              <w:t>通过各类展会活动提升朝天产品的影响力和知名度，有助于朝天产品拓展市场。</w:t>
            </w:r>
            <w:r>
              <w:rPr>
                <w:rFonts w:hint="eastAsia"/>
                <w:lang w:val="en-US" w:eastAsia="zh-CN"/>
              </w:rPr>
              <w:t>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9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6"/>
                <w:szCs w:val="16"/>
                <w:u w:val="none"/>
                <w:lang w:val="en-US" w:eastAsia="zh-CN" w:bidi="ar"/>
              </w:rPr>
              <w:t>项目负责人：张林                                                                              财务负责人：王鹏淦</w:t>
            </w: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01"/>
        <w:gridCol w:w="1114"/>
        <w:gridCol w:w="978"/>
        <w:gridCol w:w="620"/>
        <w:gridCol w:w="636"/>
        <w:gridCol w:w="603"/>
        <w:gridCol w:w="995"/>
        <w:gridCol w:w="587"/>
        <w:gridCol w:w="660"/>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991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51081222T000007226913-朝天区2022年”乐享朝天，消费惠民”消费促进活动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9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严格按照相关文件规定，科学、合理管理与使用“乐享朝天、消费惠民”消费促进活动专项资金，发挥资金最大效益。</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lang w:val="en-US"/>
              </w:rPr>
            </w:pPr>
            <w:r>
              <w:rPr>
                <w:rFonts w:hint="eastAsia" w:ascii="黑体" w:hAnsi="黑体" w:eastAsia="黑体" w:cs="黑体"/>
                <w:i w:val="0"/>
                <w:iCs w:val="0"/>
                <w:color w:val="000000"/>
                <w:kern w:val="0"/>
                <w:sz w:val="18"/>
                <w:szCs w:val="18"/>
                <w:u w:val="none"/>
                <w:lang w:val="en-US" w:eastAsia="zh-CN" w:bidi="ar"/>
              </w:rPr>
              <w:t>消费促销活动，带动了全区经济稳定发展。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83.00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83.00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8"/>
                <w:szCs w:val="18"/>
                <w:u w:val="none"/>
                <w:lang w:val="en-US" w:eastAsia="zh-CN" w:bidi="ar"/>
              </w:rPr>
              <w:t>1</w:t>
            </w:r>
            <w:r>
              <w:rPr>
                <w:rFonts w:hint="eastAsia" w:ascii="黑体" w:hAnsi="黑体" w:eastAsia="黑体" w:cs="黑体"/>
                <w:i/>
                <w:iCs/>
                <w:color w:val="000000"/>
                <w:kern w:val="0"/>
                <w:sz w:val="15"/>
                <w:szCs w:val="15"/>
                <w:u w:val="none"/>
                <w:lang w:val="en-US" w:eastAsia="zh-CN" w:bidi="ar"/>
              </w:rPr>
              <w:t>.预算执行率=预算执行数/调整后预算数，预算执行率未达到90%的需说明原因（100字以内）;2.年中发生预算调整的（追加或调减）,应单独说明理由；3.其他资金包括：社会投入资金、银行贷款.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83.00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83.00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9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三级指标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指标性质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2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6873" w:type="dxa"/>
            <w:gridSpan w:val="8"/>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消费促销活动，带动了全区经济稳定发展。自评得分95分。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1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5040" w:firstLineChars="280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217"/>
        <w:gridCol w:w="1147"/>
        <w:gridCol w:w="897"/>
        <w:gridCol w:w="635"/>
        <w:gridCol w:w="587"/>
        <w:gridCol w:w="701"/>
        <w:gridCol w:w="995"/>
        <w:gridCol w:w="603"/>
        <w:gridCol w:w="628"/>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991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51081222T000007267434-2022年“乐享朝天消费惠民”消费促进活动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严格按照相关文件规定，科学、合理管理与使用“乐享朝天、消费惠民”消费促进活动专项资金，发挥资金最大效益。</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消费促销活动，带动了全区经济稳定发展。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87.59</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87.59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87.59</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87.59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9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三级指标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指标性质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1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6889" w:type="dxa"/>
            <w:gridSpan w:val="8"/>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2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消费促销活动，带动了全区经济稳定发展。自评得分95分。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2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2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46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项目负责人：张林</w:t>
            </w:r>
          </w:p>
        </w:tc>
        <w:tc>
          <w:tcPr>
            <w:tcW w:w="5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217"/>
        <w:gridCol w:w="1147"/>
        <w:gridCol w:w="897"/>
        <w:gridCol w:w="635"/>
        <w:gridCol w:w="653"/>
        <w:gridCol w:w="603"/>
        <w:gridCol w:w="978"/>
        <w:gridCol w:w="669"/>
        <w:gridCol w:w="611"/>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991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51081222T000007369068-"两上“企业规范化建设项目奖励补助资金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为进一步规范全区服务业企业经济运行统计基础管理工作，持续提升服务业企业统计能力，根据区人民政府《关于印发〈广元市朝天区“四上”企业培育奖励办法（2020年修订）〉》（广朝府办法（2020）27号）精神，符合执行奖励政策条件，可给予统计基础资料规范达标的企业1万元奖励补助资金。</w:t>
            </w:r>
          </w:p>
        </w:tc>
        <w:tc>
          <w:tcPr>
            <w:tcW w:w="4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根据（广朝府办法（2020）27号）文件精神，给予了符合奖励政策条件的企业奖励补助，积极推进了企业统计基层基础规范化建设创造了有利条件。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对按时按质做好服务业统计基础工作的库内“两上”企业和按时按质做好统计基础资料且通过各级统计部门检查的“两上”企业和限上个体，按标准给予了奖励补助，确保服务业各项指标任务顺利完成，取得了较好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51.28</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51.28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51.28</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51.28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78"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三级指标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指标性质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1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6840" w:type="dxa"/>
            <w:gridSpan w:val="8"/>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2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宋体" w:hAnsi="宋体" w:eastAsia="宋体" w:cs="宋体"/>
                <w:color w:val="000000"/>
                <w:sz w:val="21"/>
                <w:szCs w:val="21"/>
                <w:lang w:val="en-US" w:eastAsia="zh-CN" w:bidi="ar"/>
              </w:rPr>
              <w:t>积极推进企业统计基层基础规范化建设创造了有利条件。自评得分90分。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2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2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46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5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217"/>
        <w:gridCol w:w="1147"/>
        <w:gridCol w:w="929"/>
        <w:gridCol w:w="603"/>
        <w:gridCol w:w="17"/>
        <w:gridCol w:w="603"/>
        <w:gridCol w:w="620"/>
        <w:gridCol w:w="978"/>
        <w:gridCol w:w="685"/>
        <w:gridCol w:w="611"/>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jc w:val="center"/>
        </w:trPr>
        <w:tc>
          <w:tcPr>
            <w:tcW w:w="991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3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3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79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7.49</w:t>
            </w: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宋体"/>
                <w:lang w:val="en-US" w:eastAsia="zh-CN"/>
              </w:rPr>
            </w:pPr>
            <w:r>
              <w:rPr>
                <w:rFonts w:hint="eastAsia"/>
                <w:lang w:val="en-US" w:eastAsia="zh-CN"/>
              </w:rPr>
              <w:t>7.49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w:t>
            </w:r>
            <w:r>
              <w:rPr>
                <w:rFonts w:hint="default" w:ascii="宋体" w:hAnsi="宋体" w:eastAsia="宋体" w:cs="宋体"/>
                <w:i w:val="0"/>
                <w:iCs w:val="0"/>
                <w:color w:val="000000"/>
                <w:kern w:val="0"/>
                <w:sz w:val="13"/>
                <w:szCs w:val="13"/>
                <w:u w:val="none"/>
                <w:lang w:val="en-US" w:eastAsia="zh-CN" w:bidi="ar"/>
              </w:rPr>
              <w:t>中：财政资金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7.49</w:t>
            </w: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7.49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78"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79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三级指标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指标性质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71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科目调整次数</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次</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4"/>
                <w:lang w:val="en-US" w:eastAsia="zh-CN" w:bidi="ar-SA"/>
              </w:rPr>
            </w:pPr>
            <w:r>
              <w:rPr>
                <w:rFonts w:hint="default" w:ascii="宋体" w:hAnsi="宋体" w:eastAsia="宋体" w:cs="宋体"/>
                <w:i w:val="0"/>
                <w:iCs w:val="0"/>
                <w:color w:val="000000"/>
                <w:kern w:val="0"/>
                <w:sz w:val="18"/>
                <w:szCs w:val="18"/>
                <w:u w:val="none"/>
                <w:lang w:val="en-US" w:eastAsia="zh-CN" w:bidi="ar"/>
              </w:rPr>
              <w:t>22.5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71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217"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4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质量指标</w:t>
            </w:r>
          </w:p>
        </w:tc>
        <w:tc>
          <w:tcPr>
            <w:tcW w:w="92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62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w:t>
            </w:r>
          </w:p>
        </w:tc>
        <w:tc>
          <w:tcPr>
            <w:tcW w:w="6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5</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4"/>
                <w:lang w:val="en-US" w:eastAsia="zh-CN" w:bidi="ar-SA"/>
              </w:rPr>
            </w:pPr>
            <w:r>
              <w:rPr>
                <w:rFonts w:hint="default" w:ascii="宋体" w:hAnsi="宋体" w:eastAsia="宋体" w:cs="宋体"/>
                <w:i w:val="0"/>
                <w:iCs w:val="0"/>
                <w:color w:val="000000"/>
                <w:kern w:val="0"/>
                <w:sz w:val="18"/>
                <w:szCs w:val="18"/>
                <w:u w:val="none"/>
                <w:lang w:val="en-US" w:eastAsia="zh-CN" w:bidi="ar"/>
              </w:rPr>
              <w:t>22.5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8"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效益指标</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经济效益指标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4"/>
                <w:lang w:val="en-US" w:eastAsia="zh-CN" w:bidi="ar-SA"/>
              </w:rPr>
            </w:pPr>
            <w:r>
              <w:rPr>
                <w:rFonts w:hint="default" w:ascii="宋体" w:hAnsi="宋体" w:eastAsia="宋体" w:cs="宋体"/>
                <w:i w:val="0"/>
                <w:iCs w:val="0"/>
                <w:color w:val="000000"/>
                <w:kern w:val="0"/>
                <w:sz w:val="18"/>
                <w:szCs w:val="18"/>
                <w:u w:val="none"/>
                <w:lang w:val="en-US" w:eastAsia="zh-CN" w:bidi="ar"/>
              </w:rPr>
              <w:t>22.5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运转保障率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4"/>
                <w:lang w:val="en-US" w:eastAsia="zh-CN" w:bidi="ar-SA"/>
              </w:rPr>
            </w:pPr>
            <w:r>
              <w:rPr>
                <w:rFonts w:hint="default" w:ascii="宋体" w:hAnsi="宋体" w:eastAsia="宋体" w:cs="宋体"/>
                <w:i w:val="0"/>
                <w:iCs w:val="0"/>
                <w:color w:val="000000"/>
                <w:kern w:val="0"/>
                <w:sz w:val="18"/>
                <w:szCs w:val="18"/>
                <w:u w:val="none"/>
                <w:lang w:val="en-US" w:eastAsia="zh-CN" w:bidi="ar"/>
              </w:rPr>
              <w:t>22.5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68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评价结论</w:t>
            </w:r>
          </w:p>
        </w:tc>
        <w:tc>
          <w:tcPr>
            <w:tcW w:w="92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default"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2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2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46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3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01"/>
        <w:gridCol w:w="1242"/>
        <w:gridCol w:w="1062"/>
        <w:gridCol w:w="384"/>
        <w:gridCol w:w="317"/>
        <w:gridCol w:w="604"/>
        <w:gridCol w:w="587"/>
        <w:gridCol w:w="1011"/>
        <w:gridCol w:w="670"/>
        <w:gridCol w:w="585"/>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991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9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1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1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8.16</w:t>
            </w: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8.16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8.16</w:t>
            </w: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8.16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011"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三级指标</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72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产出指标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数量指标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科目调整次数</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次</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8" w:hRule="atLeast"/>
          <w:jc w:val="center"/>
        </w:trPr>
        <w:tc>
          <w:tcPr>
            <w:tcW w:w="72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20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24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质量指标</w:t>
            </w:r>
          </w:p>
        </w:tc>
        <w:tc>
          <w:tcPr>
            <w:tcW w:w="10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701"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5</w:t>
            </w:r>
          </w:p>
        </w:tc>
        <w:tc>
          <w:tcPr>
            <w:tcW w:w="5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效益指标</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经济效益指标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运转保障率</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4"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22.5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71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合计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100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评价结论</w:t>
            </w:r>
          </w:p>
        </w:tc>
        <w:tc>
          <w:tcPr>
            <w:tcW w:w="91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1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1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4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项目负责人：王斌</w:t>
            </w:r>
          </w:p>
        </w:tc>
        <w:tc>
          <w:tcPr>
            <w:tcW w:w="52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b/>
          <w:bCs/>
          <w:sz w:val="32"/>
          <w:szCs w:val="32"/>
        </w:rPr>
      </w:pPr>
    </w:p>
    <w:tbl>
      <w:tblPr>
        <w:tblStyle w:val="22"/>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5"/>
        <w:gridCol w:w="1316"/>
        <w:gridCol w:w="1106"/>
        <w:gridCol w:w="1111"/>
        <w:gridCol w:w="652"/>
        <w:gridCol w:w="653"/>
        <w:gridCol w:w="668"/>
        <w:gridCol w:w="962"/>
        <w:gridCol w:w="589"/>
        <w:gridCol w:w="618"/>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991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项目名称</w:t>
            </w:r>
          </w:p>
        </w:tc>
        <w:tc>
          <w:tcPr>
            <w:tcW w:w="78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default" w:ascii="宋体" w:hAnsi="宋体" w:eastAsia="宋体" w:cs="宋体"/>
                <w:i w:val="0"/>
                <w:iCs w:val="0"/>
                <w:color w:val="000000"/>
                <w:kern w:val="0"/>
                <w:sz w:val="18"/>
                <w:szCs w:val="18"/>
                <w:u w:val="none"/>
                <w:lang w:val="en-US" w:eastAsia="zh-CN" w:bidi="ar"/>
              </w:rPr>
              <w:t>51081223T000007797634-2022年“转企升规”财政激励资金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主管部门</w:t>
            </w:r>
          </w:p>
        </w:tc>
        <w:tc>
          <w:tcPr>
            <w:tcW w:w="4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广元市朝天区商务局部门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黑体" w:hAnsi="黑体" w:eastAsia="黑体" w:cs="黑体"/>
                <w:i w:val="0"/>
                <w:iCs w:val="0"/>
                <w:color w:val="000000"/>
                <w:kern w:val="0"/>
                <w:sz w:val="18"/>
                <w:szCs w:val="18"/>
                <w:u w:val="none"/>
                <w:lang w:val="en-US" w:eastAsia="zh-CN" w:bidi="ar"/>
              </w:rPr>
              <w:t>实施单位 （盖章）</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认真抓好“转企升规”企业培育工作，强化资金绩效管理</w:t>
            </w:r>
          </w:p>
        </w:tc>
        <w:tc>
          <w:tcPr>
            <w:tcW w:w="3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促进地方经济增长，提高当地经济收入。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8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按照项目资金专款专用，该项目资金全部用于“转企升规”财政激励支出，为朝天经济的发展提供必要的经费支持。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年初预算</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预算执行率</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w:t>
            </w:r>
            <w:r>
              <w:rPr>
                <w:rFonts w:hint="default" w:ascii="宋体" w:hAnsi="宋体" w:eastAsia="宋体" w:cs="宋体"/>
                <w:i w:val="0"/>
                <w:iCs w:val="0"/>
                <w:color w:val="000000"/>
                <w:kern w:val="0"/>
                <w:sz w:val="18"/>
                <w:szCs w:val="18"/>
                <w:u w:val="none"/>
                <w:lang w:val="en-US" w:eastAsia="zh-CN" w:bidi="ar"/>
              </w:rPr>
              <w:t>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default" w:ascii="宋体" w:hAnsi="宋体" w:eastAsia="宋体" w:cs="宋体"/>
                <w:i w:val="0"/>
                <w:iCs w:val="0"/>
                <w:color w:val="000000"/>
                <w:kern w:val="0"/>
                <w:sz w:val="18"/>
                <w:szCs w:val="18"/>
                <w:u w:val="none"/>
                <w:lang w:val="en-US" w:eastAsia="zh-CN" w:bidi="ar"/>
              </w:rPr>
              <w:t>9.00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5"/>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r>
              <w:rPr>
                <w:rFonts w:hint="default" w:ascii="宋体" w:hAnsi="宋体" w:eastAsia="宋体" w:cs="宋体"/>
                <w:i w:val="0"/>
                <w:iCs w:val="0"/>
                <w:color w:val="000000"/>
                <w:kern w:val="0"/>
                <w:sz w:val="18"/>
                <w:szCs w:val="18"/>
                <w:u w:val="none"/>
                <w:lang w:val="en-US" w:eastAsia="zh-CN" w:bidi="ar"/>
              </w:rPr>
              <w:t>.00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9.00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cs="宋体"/>
                <w:i w:val="0"/>
                <w:iCs w:val="0"/>
                <w:color w:val="000000"/>
                <w:kern w:val="0"/>
                <w:sz w:val="18"/>
                <w:szCs w:val="18"/>
                <w:u w:val="none"/>
                <w:lang w:val="en-US" w:eastAsia="zh-CN" w:bidi="ar"/>
              </w:rPr>
              <w:t>100.00</w:t>
            </w:r>
            <w:r>
              <w:rPr>
                <w:rFonts w:hint="default"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0.00%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8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w:t>
            </w:r>
          </w:p>
        </w:tc>
        <w:tc>
          <w:tcPr>
            <w:tcW w:w="149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一级指标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二级指标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三级指标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指标性质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指标值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度量单位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完成值</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得分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7215"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合计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宋体" w:hAnsi="宋体" w:eastAsia="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评价结论</w:t>
            </w:r>
          </w:p>
        </w:tc>
        <w:tc>
          <w:tcPr>
            <w:tcW w:w="91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lang w:val="en-US" w:eastAsia="zh-CN"/>
              </w:rPr>
            </w:pPr>
            <w:r>
              <w:rPr>
                <w:rFonts w:hint="eastAsia"/>
              </w:rPr>
              <w:t>有利于增加就业机会以扩大当地就业，带动区域经济发展。</w:t>
            </w:r>
            <w:r>
              <w:rPr>
                <w:rFonts w:hint="eastAsia"/>
                <w:lang w:val="en-US" w:eastAsia="zh-CN"/>
              </w:rPr>
              <w:t>自评得分90分。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存在问题</w:t>
            </w:r>
          </w:p>
        </w:tc>
        <w:tc>
          <w:tcPr>
            <w:tcW w:w="91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4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8"/>
                <w:szCs w:val="18"/>
                <w:u w:val="none"/>
                <w:lang w:val="en-US" w:eastAsia="zh-CN" w:bidi="ar"/>
              </w:rPr>
              <w:t>改进措施</w:t>
            </w:r>
          </w:p>
        </w:tc>
        <w:tc>
          <w:tcPr>
            <w:tcW w:w="9165" w:type="dxa"/>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49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项目负责人：李明</w:t>
            </w:r>
          </w:p>
        </w:tc>
        <w:tc>
          <w:tcPr>
            <w:tcW w:w="49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财务负责人：王鹏淦</w:t>
            </w: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sectPr>
          <w:foot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widowControl w:val="0"/>
        <w:suppressLineNumbers w:val="0"/>
        <w:autoSpaceDE w:val="0"/>
        <w:autoSpaceDN/>
        <w:spacing w:before="0" w:beforeAutospacing="0" w:after="0" w:afterAutospacing="0" w:line="540" w:lineRule="exact"/>
        <w:ind w:left="0" w:right="0"/>
        <w:jc w:val="left"/>
        <w:rPr>
          <w:rFonts w:hint="eastAsia" w:ascii="仿宋" w:hAnsi="仿宋" w:eastAsia="仿宋" w:cs="仿宋"/>
          <w:b/>
          <w:bCs w:val="0"/>
          <w:color w:val="000000"/>
          <w:spacing w:val="-6"/>
          <w:kern w:val="0"/>
          <w:sz w:val="36"/>
          <w:szCs w:val="36"/>
          <w:lang w:val="en-US" w:eastAsia="zh-CN" w:bidi="ar"/>
        </w:rPr>
      </w:pPr>
      <w:r>
        <w:rPr>
          <w:rFonts w:hint="eastAsia" w:ascii="仿宋" w:hAnsi="仿宋" w:eastAsia="仿宋" w:cs="仿宋"/>
          <w:b/>
          <w:bCs w:val="0"/>
          <w:color w:val="000000"/>
          <w:spacing w:val="-6"/>
          <w:kern w:val="0"/>
          <w:sz w:val="36"/>
          <w:szCs w:val="36"/>
          <w:lang w:val="en-US" w:eastAsia="zh-CN" w:bidi="ar"/>
        </w:rPr>
        <w:t>附件2：</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2022年专项预算项目支出绩效自评报告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00" w:lineRule="exact"/>
        <w:ind w:left="0" w:right="0"/>
        <w:jc w:val="center"/>
        <w:textAlignment w:val="auto"/>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（2022年度东西部协作项目）</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1.区商务局在该项目管理中的职能是：区商务、财政部门、区乡村振兴局具体通过资料核查、项目说明、企业访谈等程序，对广元市朝天区2022年东西部协作农特产品销售店及销售仓项目进行复查验收，对完成了项目报备方案建设内容的企业拨付资金。</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2．资金申报的依据：根据广元市人民政府《关于印发广元市2022年东西部协作项目资金计划（第一批）的通知》广府发〔2022〕16号）文件精神，广元市朝天区发展和改革局《关于广元市朝天区2022年东西部协作农特产品销售店及销售仓建设项目实施方案的批复》等文件精神。</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3．资金管理办法制定情况，资金支持具体项目的条件、范围与支持方式概况：</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（1）支持条件：在杭州市滨江区建设朝天农特产品销售店、集配中转仓，建设总面积200平方米，在东部地区、成渝地区及省内举办展示、促销、推介等展会活动。</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i/>
          <w:iCs w:val="0"/>
          <w:sz w:val="32"/>
          <w:szCs w:val="32"/>
          <w:u w:val="single"/>
          <w:lang w:val="en-US"/>
        </w:rPr>
      </w:pPr>
      <w:r>
        <w:rPr>
          <w:rFonts w:hint="eastAsia" w:ascii="仿宋_GB2312" w:hAnsi="仿宋_GB2312" w:eastAsia="仿宋_GB2312" w:cs="仿宋_GB2312"/>
          <w:kern w:val="2"/>
          <w:sz w:val="32"/>
          <w:szCs w:val="32"/>
          <w:lang w:val="en-US" w:eastAsia="zh-CN" w:bidi="ar"/>
        </w:rPr>
        <w:t>（2）资金分配的原则及考虑因素：通过报名、竞争性谈判方式确定实施企业主体，按照项目批复内容严格实施项目。</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pStyle w:val="20"/>
        <w:keepNext w:val="0"/>
        <w:keepLines w:val="0"/>
        <w:widowControl w:val="0"/>
        <w:suppressLineNumbers w:val="0"/>
        <w:spacing w:before="0" w:beforeAutospacing="0" w:after="0" w:afterAutospacing="0" w:line="576" w:lineRule="exact"/>
        <w:ind w:left="0" w:leftChars="0" w:right="0" w:firstLine="640" w:firstLineChars="200"/>
        <w:jc w:val="both"/>
        <w:rPr>
          <w:rFonts w:hint="eastAsia" w:ascii="仿宋_GB2312" w:hAnsi="仿宋_GB2312" w:eastAsia="仿宋_GB2312" w:cs="仿宋_GB2312"/>
          <w:bCs/>
          <w:sz w:val="32"/>
          <w:szCs w:val="32"/>
          <w:lang w:val="en-US"/>
        </w:rPr>
      </w:pPr>
      <w:r>
        <w:rPr>
          <w:rFonts w:hint="eastAsia" w:ascii="仿宋_GB2312" w:hAnsi="宋体" w:eastAsia="仿宋_GB2312" w:cs="仿宋_GB2312"/>
          <w:kern w:val="2"/>
          <w:sz w:val="32"/>
          <w:szCs w:val="32"/>
          <w:lang w:val="en-US" w:eastAsia="zh-CN" w:bidi="ar"/>
        </w:rPr>
        <w:t>1．项目主要内容：</w:t>
      </w:r>
      <w:r>
        <w:rPr>
          <w:rFonts w:hint="eastAsia" w:ascii="仿宋_GB2312" w:hAnsi="仿宋_GB2312" w:eastAsia="仿宋_GB2312" w:cs="仿宋_GB2312"/>
          <w:bCs/>
          <w:kern w:val="2"/>
          <w:sz w:val="32"/>
          <w:szCs w:val="32"/>
          <w:lang w:val="en-US" w:eastAsia="zh-CN" w:bidi="ar"/>
        </w:rPr>
        <w:t>包括</w:t>
      </w:r>
      <w:r>
        <w:rPr>
          <w:rFonts w:hint="eastAsia" w:ascii="仿宋_GB2312" w:hAnsi="仿宋_GB2312" w:eastAsia="仿宋_GB2312" w:cs="仿宋_GB2312"/>
          <w:kern w:val="2"/>
          <w:sz w:val="32"/>
          <w:szCs w:val="32"/>
          <w:lang w:val="en-US" w:eastAsia="zh-CN" w:bidi="ar"/>
        </w:rPr>
        <w:t>在杭州市滨江区建设朝天农特产品销售店、集配中转仓，建设总面积200平方米，在东部地区、成渝地区及省内举办展示、促销、推介等展会活动。在杭州市滨江区建设朝天农特产品销售店、集配中转仓项目通过竞争性谈判方式，</w:t>
      </w:r>
      <w:r>
        <w:rPr>
          <w:rFonts w:hint="eastAsia" w:ascii="仿宋_GB2312" w:hAnsi="仿宋_GB2312" w:eastAsia="仿宋_GB2312" w:cs="仿宋_GB2312"/>
          <w:bCs/>
          <w:kern w:val="0"/>
          <w:sz w:val="32"/>
          <w:szCs w:val="32"/>
          <w:lang w:val="en-US" w:eastAsia="zh-CN" w:bidi="ar"/>
        </w:rPr>
        <w:t>4家企业参与竞争性谈判，最终由广元秦川印象生态农业开发有限公司中标实施</w:t>
      </w:r>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宋体" w:cs="Times New Roman"/>
          <w:kern w:val="2"/>
          <w:sz w:val="21"/>
          <w:szCs w:val="24"/>
          <w:lang w:val="en-US" w:eastAsia="zh-CN" w:bidi="ar"/>
        </w:rPr>
        <w:t xml:space="preserve"> </w:t>
      </w:r>
      <w:r>
        <w:rPr>
          <w:rFonts w:hint="eastAsia" w:ascii="仿宋_GB2312" w:hAnsi="Times New Roman" w:eastAsia="仿宋_GB2312" w:cs="仿宋_GB2312"/>
          <w:kern w:val="2"/>
          <w:sz w:val="32"/>
          <w:szCs w:val="32"/>
          <w:lang w:val="en-US" w:eastAsia="zh-CN" w:bidi="ar"/>
        </w:rPr>
        <w:t>通过实体店搭建朝天在沿海城市（以浙江为中心进行辐射）的前沿站点，推进我区域的产品实现外销，持续拓展朝天农特产品东部地区市场，进一步扩大浙江市场销售份额，以农特产品销售，带动农业产业发展，促进农户产业增收，以此为</w:t>
      </w:r>
      <w:r>
        <w:rPr>
          <w:rFonts w:hint="eastAsia" w:ascii="仿宋_GB2312" w:hAnsi="宋体" w:eastAsia="仿宋_GB2312" w:cs="仿宋_GB2312"/>
          <w:kern w:val="2"/>
          <w:sz w:val="32"/>
          <w:szCs w:val="32"/>
          <w:lang w:val="en-US" w:eastAsia="zh-CN" w:bidi="ar"/>
        </w:rPr>
        <w:t>企业参与专业化的市场对接活动提供必要的奖励资金。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2022年度东西部协作专项经费与申报内容相符、申报目标合理可行。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广元市朝天区财政局关于开展2023年部门整体、项目、政策支出绩效评价工作的通知》（广朝财发〔2023〕19号）文件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责任股室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是具体实施。项目绩效评价实施步骤：（1）召开座谈会。组织相关股室、项目实施单位等召开座谈会，听取该绩效项目有关情况介绍和社会评价与建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广元市人民政府《关于印发广元市2022年东西部协作项目资金计划（第一批）的通知》广府发〔2022〕16号）文件，安排2022年度东西部协作专项资金130.84万元，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2022年，</w:t>
      </w:r>
      <w:r>
        <w:rPr>
          <w:rFonts w:hint="eastAsia" w:ascii="仿宋_GB2312" w:hAnsi="Times New Roman" w:eastAsia="仿宋_GB2312" w:cs="宋体"/>
          <w:color w:val="000000"/>
          <w:kern w:val="2"/>
          <w:sz w:val="32"/>
          <w:szCs w:val="32"/>
          <w:lang w:val="en-US" w:eastAsia="zh-CN" w:bidi="ar"/>
        </w:rPr>
        <w:t>安排东西部协作</w:t>
      </w:r>
      <w:r>
        <w:rPr>
          <w:rFonts w:hint="eastAsia" w:ascii="仿宋_GB2312" w:hAnsi="Times New Roman" w:eastAsia="仿宋_GB2312" w:cs="宋体"/>
          <w:kern w:val="2"/>
          <w:sz w:val="32"/>
          <w:szCs w:val="32"/>
          <w:lang w:val="en-US" w:eastAsia="zh-CN" w:bidi="ar"/>
        </w:rPr>
        <w:t>资金200万元。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仿宋_GB2312" w:eastAsia="仿宋_GB2312" w:cs="仿宋_GB2312"/>
          <w:kern w:val="2"/>
          <w:sz w:val="32"/>
          <w:szCs w:val="32"/>
          <w:lang w:val="en-US" w:eastAsia="zh-CN" w:bidi="ar"/>
        </w:rPr>
        <w:t>2022年度</w:t>
      </w:r>
      <w:r>
        <w:rPr>
          <w:rFonts w:hint="eastAsia" w:ascii="仿宋_GB2312" w:hAnsi="Times New Roman" w:eastAsia="仿宋_GB2312" w:cs="宋体"/>
          <w:kern w:val="2"/>
          <w:sz w:val="32"/>
          <w:szCs w:val="32"/>
          <w:lang w:val="en-US" w:eastAsia="zh-CN" w:bidi="ar"/>
        </w:rPr>
        <w:t>东西部协作资金</w:t>
      </w:r>
      <w:r>
        <w:rPr>
          <w:rFonts w:hint="eastAsia" w:ascii="仿宋_GB2312" w:hAnsi="仿宋" w:eastAsia="仿宋_GB2312" w:cs="仿宋_GB2312"/>
          <w:kern w:val="2"/>
          <w:sz w:val="32"/>
          <w:szCs w:val="32"/>
          <w:lang w:val="en-US" w:eastAsia="zh-CN" w:bidi="ar"/>
        </w:rPr>
        <w:t>全年实际到位</w:t>
      </w:r>
      <w:r>
        <w:rPr>
          <w:rFonts w:hint="eastAsia" w:ascii="仿宋_GB2312" w:hAnsi="仿宋_GB2312" w:eastAsia="仿宋_GB2312" w:cs="仿宋_GB2312"/>
          <w:kern w:val="2"/>
          <w:sz w:val="32"/>
          <w:szCs w:val="32"/>
          <w:lang w:val="en-US" w:eastAsia="zh-CN" w:bidi="ar"/>
        </w:rPr>
        <w:t>130.84</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资金到位率65.4%，</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65.4%。</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严格按照相关财政文件要求，该项目经费拨款全部用于2022年度东西部协作专项支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zh-CN" w:eastAsia="zh-CN" w:bidi="ar"/>
        </w:rPr>
        <w:t>为加强项目资金的使用管理，我</w:t>
      </w:r>
      <w:r>
        <w:rPr>
          <w:rFonts w:hint="eastAsia" w:ascii="仿宋_GB2312" w:hAnsi="仿宋_GB2312" w:eastAsia="仿宋_GB2312" w:cs="仿宋_GB2312"/>
          <w:kern w:val="2"/>
          <w:sz w:val="32"/>
          <w:szCs w:val="32"/>
          <w:lang w:val="en-US" w:eastAsia="zh-CN" w:bidi="ar"/>
        </w:rPr>
        <w:t>单位</w:t>
      </w:r>
      <w:r>
        <w:rPr>
          <w:rFonts w:hint="eastAsia" w:ascii="仿宋_GB2312" w:hAnsi="仿宋_GB2312" w:eastAsia="仿宋_GB2312" w:cs="仿宋_GB2312"/>
          <w:kern w:val="2"/>
          <w:sz w:val="32"/>
          <w:szCs w:val="32"/>
          <w:lang w:val="zh-CN" w:eastAsia="zh-CN" w:bidi="ar"/>
        </w:rPr>
        <w:t>严格按照</w:t>
      </w:r>
      <w:r>
        <w:rPr>
          <w:rFonts w:hint="eastAsia" w:ascii="仿宋_GB2312" w:hAnsi="仿宋_GB2312" w:eastAsia="仿宋_GB2312" w:cs="仿宋_GB2312"/>
          <w:kern w:val="2"/>
          <w:sz w:val="32"/>
          <w:szCs w:val="32"/>
          <w:lang w:val="en-US" w:eastAsia="zh-CN" w:bidi="ar"/>
        </w:rPr>
        <w:t>广元市朝天区滨江朝天东西部协作工作领导小组关于印发</w:t>
      </w:r>
      <w:r>
        <w:rPr>
          <w:rFonts w:hint="eastAsia" w:ascii="仿宋_GB2312" w:hAnsi="Times New Roman" w:eastAsia="仿宋_GB2312" w:cs="宋体"/>
          <w:kern w:val="2"/>
          <w:sz w:val="32"/>
          <w:szCs w:val="32"/>
          <w:lang w:val="en-US" w:eastAsia="zh-CN" w:bidi="ar"/>
        </w:rPr>
        <w:t>《广元市朝天区滨江朝天东西部协作资金和项目管理实施办法的通知》广府协作领发〔2022〕4号）等</w:t>
      </w:r>
      <w:r>
        <w:rPr>
          <w:rFonts w:hint="eastAsia" w:ascii="仿宋_GB2312" w:hAnsi="仿宋_GB2312" w:eastAsia="仿宋_GB2312" w:cs="仿宋_GB2312"/>
          <w:kern w:val="2"/>
          <w:sz w:val="32"/>
          <w:szCs w:val="32"/>
          <w:lang w:val="zh-CN" w:eastAsia="zh-CN" w:bidi="ar"/>
        </w:rPr>
        <w:t>文件规定</w:t>
      </w:r>
      <w:r>
        <w:rPr>
          <w:rFonts w:hint="eastAsia" w:ascii="仿宋_GB2312" w:hAnsi="仿宋_GB2312" w:eastAsia="仿宋_GB2312" w:cs="仿宋_GB2312"/>
          <w:kern w:val="2"/>
          <w:sz w:val="32"/>
          <w:szCs w:val="32"/>
          <w:shd w:val="pct10" w:color="auto" w:fill="FFFFFF"/>
          <w:lang w:val="zh-CN" w:eastAsia="zh-CN" w:bidi="ar"/>
        </w:rPr>
        <w:t>，</w:t>
      </w:r>
      <w:r>
        <w:rPr>
          <w:rFonts w:hint="eastAsia" w:ascii="仿宋_GB2312" w:hAnsi="仿宋_GB2312" w:eastAsia="仿宋_GB2312" w:cs="仿宋_GB2312"/>
          <w:kern w:val="2"/>
          <w:sz w:val="32"/>
          <w:szCs w:val="32"/>
          <w:lang w:val="zh-CN" w:eastAsia="zh-CN" w:bidi="ar"/>
        </w:rPr>
        <w:t>兑付</w:t>
      </w:r>
      <w:r>
        <w:rPr>
          <w:rFonts w:hint="eastAsia" w:ascii="仿宋_GB2312" w:hAnsi="Times New Roman" w:eastAsia="仿宋_GB2312" w:cs="仿宋_GB2312"/>
          <w:spacing w:val="-6"/>
          <w:kern w:val="2"/>
          <w:sz w:val="32"/>
          <w:szCs w:val="32"/>
          <w:lang w:val="en-US" w:eastAsia="zh-CN" w:bidi="ar"/>
        </w:rPr>
        <w:t>2022年度东西部协作资金，</w:t>
      </w:r>
      <w:r>
        <w:rPr>
          <w:rFonts w:hint="eastAsia" w:ascii="仿宋_GB2312" w:hAnsi="仿宋_GB2312" w:eastAsia="仿宋_GB2312" w:cs="仿宋_GB2312"/>
          <w:kern w:val="2"/>
          <w:sz w:val="32"/>
          <w:szCs w:val="32"/>
          <w:lang w:val="zh-CN" w:eastAsia="zh-CN" w:bidi="ar"/>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r>
        <w:rPr>
          <w:rFonts w:hint="eastAsia" w:ascii="仿宋_GB2312" w:hAnsi="仿宋_GB2312" w:eastAsia="仿宋_GB2312" w:cs="仿宋_GB2312"/>
          <w:kern w:val="2"/>
          <w:sz w:val="32"/>
          <w:szCs w:val="32"/>
          <w:lang w:val="en-US" w:eastAsia="zh-CN" w:bidi="ar"/>
        </w:rPr>
        <w:t>按照申报要求，积极组织本辖区内企业申报项目并进行审核。项目具体实施流程：由企业填报申请表并附申报资料上报区商务主管部门、区商务主管部门对应责任股室复核并给出初步确定资金安排情况后，提交局党组会专题讨论研究通过，区商务主管部门拨付至各企业、项目单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2022年使用</w:t>
      </w:r>
      <w:r>
        <w:rPr>
          <w:rFonts w:hint="eastAsia" w:ascii="仿宋_GB2312" w:hAnsi="宋体" w:eastAsia="仿宋_GB2312" w:cs="仿宋_GB2312"/>
          <w:kern w:val="2"/>
          <w:sz w:val="32"/>
          <w:szCs w:val="32"/>
          <w:lang w:val="en-US" w:eastAsia="zh-CN" w:bidi="ar"/>
        </w:rPr>
        <w:t>东西部协作项目资</w:t>
      </w:r>
      <w:r>
        <w:rPr>
          <w:rFonts w:hint="eastAsia" w:ascii="仿宋_GB2312" w:hAnsi="仿宋_GB2312" w:eastAsia="仿宋_GB2312" w:cs="仿宋_GB2312"/>
          <w:kern w:val="2"/>
          <w:sz w:val="32"/>
          <w:szCs w:val="32"/>
          <w:lang w:val="en-US" w:eastAsia="zh-CN" w:bidi="ar"/>
        </w:rPr>
        <w:t>金130.84万元（其中：杭州滨江区留用地开发运营有限公司33.945万元，广元秦川印象生态农业开发有限公司79万元，四川九升文化发展有限公司5.5376万元，四川五彩荣乐旅游开发有限公司0.3万元，吴良蓉12.055万元）</w:t>
      </w:r>
      <w:r>
        <w:rPr>
          <w:rFonts w:hint="eastAsia" w:ascii="仿宋_GB2312" w:hAnsi="仿宋_GB2312" w:eastAsia="仿宋_GB2312" w:cs="仿宋_GB2312"/>
          <w:kern w:val="2"/>
          <w:sz w:val="32"/>
          <w:szCs w:val="32"/>
          <w:lang w:val="zh-CN" w:eastAsia="zh-CN" w:bidi="ar"/>
        </w:rPr>
        <w:t>。</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kern w:val="2"/>
          <w:sz w:val="32"/>
          <w:szCs w:val="32"/>
          <w:lang w:val="en-US" w:eastAsia="zh-CN" w:bidi="ar"/>
        </w:rPr>
        <w:t>一是</w:t>
      </w:r>
      <w:r>
        <w:rPr>
          <w:rFonts w:hint="eastAsia" w:ascii="仿宋_GB2312" w:hAnsi="宋体" w:eastAsia="仿宋_GB2312" w:cs="仿宋_GB2312"/>
          <w:kern w:val="2"/>
          <w:sz w:val="32"/>
          <w:szCs w:val="32"/>
          <w:lang w:val="en-US" w:eastAsia="zh-CN" w:bidi="ar"/>
        </w:rPr>
        <w:t>建立健全资金管理制度和项目实施办法为确保东西部协作项目资金规范管理、有效使用提供可靠依据。为管好用好东西部协作项目资金，具体由项目股室负责，将项目的管理和监督责任明确到人，使资金管理使用有规可依。二是做好事前调研、事中监管、事后追踪问效三个环节工作为东西部协作专项资金管理使用全程护航。为保证项目实施的效果，在项目实施过程中，全程进行监管，确保项目完全实施、资金足额投入;项目实施完毕后，及时对项目实施效果进行评估，确报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spacing w:before="0" w:beforeAutospacing="0" w:after="0" w:afterAutospacing="0" w:line="560" w:lineRule="exact"/>
        <w:ind w:left="0" w:right="0" w:firstLine="645"/>
        <w:jc w:val="both"/>
        <w:rPr>
          <w:rFonts w:hint="eastAsia" w:ascii="宋体" w:hAnsi="宋体" w:eastAsia="仿宋_GB2312" w:cs="宋体"/>
          <w:i/>
          <w:iCs w:val="0"/>
          <w:sz w:val="32"/>
          <w:szCs w:val="32"/>
          <w:lang w:val="en-US"/>
        </w:rPr>
      </w:pPr>
      <w:r>
        <w:rPr>
          <w:rFonts w:hint="eastAsia" w:ascii="仿宋_GB2312" w:hAnsi="仿宋_GB2312" w:eastAsia="仿宋_GB2312" w:cs="仿宋_GB2312"/>
          <w:kern w:val="2"/>
          <w:sz w:val="32"/>
          <w:szCs w:val="32"/>
          <w:lang w:val="en-US" w:eastAsia="zh-CN" w:bidi="ar"/>
        </w:rPr>
        <w:t>在杭州市滨江区建设朝天农特产品销售店、集配中转仓，建设总面积200平方米，项目实施企业广元秦川印象生态农业有限公司补助79万元，项目实施地租金46万元。开展东西部协作展会活动5场次，展会活动战场搭建费用共67.3286万元，场地租金共4.6万元，2022年滨江-朝天东西部协作朝天农特产品杭州滨江区专场展会参展企业交通住宿补助3.0714万元。</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项目建设完成后实现了市场升级，着眼浙江滨江市场，打造样本，逐步覆盖整个东部市场；实现品牌升级，从地方杂牌军到有影响力的知名品牌过渡；实现营销升级，提升了沿海发达区域及全市场的市场化运作能力；实现传播升级，助力区域企业实现战略转型，提升了区域企业市场运维能力。销售店仅仅是一个点，通过点辐射面，从而实现多点共赢。通过各类展会活动提升朝天产品的影响力和知名度，有助于朝天产品拓展市场。</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通过自评，2022年度外东西部协作项目绩效得95分，等级为“优”。</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无</w:t>
      </w: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1694" w:firstLineChars="55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right="0"/>
        <w:jc w:val="both"/>
        <w:rPr>
          <w:lang w:val="en-US"/>
        </w:rPr>
      </w:pP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2022年专项预算项目支出绩效自评报告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00" w:lineRule="exact"/>
        <w:ind w:left="0" w:right="0"/>
        <w:jc w:val="center"/>
        <w:textAlignment w:val="auto"/>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（国家电子商务进农村综合示范县项目）</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一、项目概况</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楷体" w:hAnsi="楷体" w:eastAsia="楷体" w:cs="楷体"/>
          <w:bCs/>
          <w:sz w:val="32"/>
          <w:szCs w:val="32"/>
          <w:lang w:val="en-US"/>
        </w:rPr>
      </w:pPr>
      <w:r>
        <w:rPr>
          <w:rFonts w:hint="eastAsia" w:ascii="楷体" w:hAnsi="楷体" w:eastAsia="楷体" w:cs="楷体"/>
          <w:bCs/>
          <w:color w:val="000000"/>
          <w:kern w:val="0"/>
          <w:sz w:val="32"/>
          <w:szCs w:val="32"/>
          <w:lang w:val="en-US" w:eastAsia="zh-CN" w:bidi="ar"/>
        </w:rPr>
        <w:t>（一）基本情况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bCs/>
          <w:kern w:val="2"/>
          <w:sz w:val="32"/>
          <w:szCs w:val="32"/>
          <w:lang w:val="en-US" w:eastAsia="zh-CN" w:bidi="ar"/>
        </w:rPr>
        <w:t>1.</w:t>
      </w:r>
      <w:r>
        <w:rPr>
          <w:rFonts w:hint="eastAsia" w:ascii="楷体" w:hAnsi="楷体" w:eastAsia="楷体" w:cs="楷体"/>
          <w:kern w:val="2"/>
          <w:sz w:val="32"/>
          <w:szCs w:val="32"/>
          <w:lang w:val="en-US" w:eastAsia="zh-CN" w:bidi="ar"/>
        </w:rPr>
        <w:t>项目申报及来源。</w:t>
      </w:r>
      <w:r>
        <w:rPr>
          <w:rFonts w:hint="eastAsia" w:ascii="仿宋" w:hAnsi="仿宋" w:eastAsia="仿宋" w:cs="仿宋"/>
          <w:kern w:val="2"/>
          <w:sz w:val="32"/>
          <w:szCs w:val="32"/>
          <w:lang w:val="en-US" w:eastAsia="zh-CN" w:bidi="ar"/>
        </w:rPr>
        <w:t>朝天区财政局、区商务局、区扶贫开发和移民工作局于2018年5月23日向市商务局、市财政局和市扶贫开发局进行项目申报《关于申报2018年国家级电子商务进农村综合示范县项目的请示》（广朝财〔2018〕44号），根据广元市财政局、市商务局、市扶贫和移民工作局《关于申报2018年国家级电子商务进农村综合示范县的报告》（广财建（2018）30号），推荐朝天区申报2018年国家级电子商务进农村综合示范县。经在四川省人民政府网站查阅，朝天区入选2018年电子商务进农村示范县名单于2018年10月3日公布。</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2.项目实施主体。四川杰鑫优品电子商务有限公司、四川省有线广播电视网络股份有限公司朝天分公司、四川省佳隆一夫科技有限公司、四川省青联众创电子商务有限公司。</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val="en-US"/>
        </w:rPr>
      </w:pPr>
      <w:r>
        <w:rPr>
          <w:rFonts w:hint="eastAsia" w:ascii="仿宋" w:hAnsi="仿宋" w:eastAsia="仿宋" w:cs="仿宋"/>
          <w:color w:val="000000"/>
          <w:kern w:val="2"/>
          <w:sz w:val="32"/>
          <w:szCs w:val="32"/>
          <w:lang w:val="en-US" w:eastAsia="zh-CN" w:bidi="ar"/>
        </w:rPr>
        <w:t>3.项目实施计划及主要内容。该项目实施内容主要包括农村产品上行、农村电子商务公共服务体系建设、农村电子商务培训3大类13个子项目。13个子项目分别为：农产品网销标准化建设、电商扶贫农商对接示范基地建设、电商扶贫企业主体培育、农产品、农资电商销售运营体验示范店建设、“互联网+旅游”试点示范、网销监管体系建设、农村产品电商统计监测信息系统建设、区级电商快递物流中心建设、乡（镇）、村电子商务物流体系建设、区级农村电子商务公共服务中心建设、乡（镇）村电子商务服务站点建设、农村电子商务培训。</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bCs/>
          <w:kern w:val="2"/>
          <w:sz w:val="32"/>
          <w:szCs w:val="32"/>
          <w:lang w:val="en-US"/>
        </w:rPr>
      </w:pPr>
      <w:r>
        <w:rPr>
          <w:rFonts w:hint="eastAsia" w:ascii="仿宋" w:hAnsi="仿宋" w:eastAsia="仿宋" w:cs="仿宋"/>
          <w:bCs/>
          <w:color w:val="000000"/>
          <w:kern w:val="2"/>
          <w:sz w:val="32"/>
          <w:szCs w:val="32"/>
          <w:lang w:val="en-US" w:eastAsia="zh-CN" w:bidi="ar"/>
        </w:rPr>
        <w:t>（二）项目预算情况。根据项目实施方案，朝天区电子商务进农村综合示范项目计划总投资3954万元，其中中央财政补助金额2000万元，企业自筹1770万元，区级财政资金184万。其中：</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bCs/>
          <w:kern w:val="2"/>
          <w:sz w:val="32"/>
          <w:szCs w:val="32"/>
          <w:lang w:val="en-US"/>
        </w:rPr>
      </w:pPr>
      <w:r>
        <w:rPr>
          <w:rFonts w:hint="eastAsia" w:ascii="仿宋" w:hAnsi="仿宋" w:eastAsia="仿宋" w:cs="仿宋"/>
          <w:bCs/>
          <w:color w:val="000000"/>
          <w:kern w:val="2"/>
          <w:sz w:val="32"/>
          <w:szCs w:val="32"/>
          <w:lang w:val="en-US" w:eastAsia="zh-CN" w:bidi="ar"/>
        </w:rPr>
        <w:t>1.农村产品上行项目建设资金安排:资金总额2672.77万元（其中:中央财政专项资金1385.24万元、企业自筹资金1263.53万元、地方资金24万元）。</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bCs/>
          <w:kern w:val="2"/>
          <w:sz w:val="32"/>
          <w:szCs w:val="32"/>
          <w:lang w:val="en-US"/>
        </w:rPr>
      </w:pPr>
      <w:r>
        <w:rPr>
          <w:rFonts w:hint="eastAsia" w:ascii="仿宋" w:hAnsi="仿宋" w:eastAsia="仿宋" w:cs="仿宋"/>
          <w:bCs/>
          <w:color w:val="000000"/>
          <w:kern w:val="2"/>
          <w:sz w:val="32"/>
          <w:szCs w:val="32"/>
          <w:lang w:val="en-US" w:eastAsia="zh-CN" w:bidi="ar"/>
        </w:rPr>
        <w:t>2.农村电子商务服务体系建设资金安排:资金总额1191.41万元（其中:中央资金525.07万元，企业自筹506.65万元、地方资金160万元）。</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bCs/>
          <w:kern w:val="2"/>
          <w:sz w:val="32"/>
          <w:szCs w:val="32"/>
          <w:lang w:val="en-US"/>
        </w:rPr>
      </w:pPr>
      <w:r>
        <w:rPr>
          <w:rFonts w:hint="eastAsia" w:ascii="仿宋" w:hAnsi="仿宋" w:eastAsia="仿宋" w:cs="仿宋"/>
          <w:bCs/>
          <w:color w:val="000000"/>
          <w:kern w:val="2"/>
          <w:sz w:val="32"/>
          <w:szCs w:val="32"/>
          <w:lang w:val="en-US" w:eastAsia="zh-CN" w:bidi="ar"/>
        </w:rPr>
        <w:t>3.农村电子商务培训资金安排:资金总额90万元（其中:中央专项资金90万元，企业自筹0万元）。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bCs/>
          <w:sz w:val="32"/>
          <w:szCs w:val="32"/>
          <w:lang w:val="en-US"/>
        </w:rPr>
      </w:pPr>
      <w:r>
        <w:rPr>
          <w:rFonts w:hint="eastAsia" w:ascii="楷体" w:hAnsi="楷体" w:eastAsia="楷体" w:cs="楷体"/>
          <w:bCs/>
          <w:kern w:val="2"/>
          <w:sz w:val="32"/>
          <w:szCs w:val="32"/>
          <w:lang w:val="en-US" w:eastAsia="zh-CN" w:bidi="ar"/>
        </w:rPr>
        <w:t>（三）绩效目标设定情况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总体目标。项目建成后，实现全区农村商品物流配送功能、农产品商品化率及网销率、电子商务应用普及率大幅提升，电子商务在促进一二三产深度融合、助力脱贫攻坚、促进群众增收等方面取得明显成效，为乡村振兴战略实施奠定基础。全区实现农产品销售体系初步健全，农产品电子商务主体发展壮大，农村网络零售额同比增长20%以上，农产品网络零售额同比增长30%以上。农村电子商务服务体系不断完善，实现所有乡镇、有条件的行政村电子商务（物流配送）服务站全覆盖。农村电子商务人才培训体系全面建立，实现各类电子商务人才培训3000人次以上，电子商务从业人员不断增加。</w:t>
      </w:r>
    </w:p>
    <w:p>
      <w:pPr>
        <w:pStyle w:val="20"/>
        <w:keepNext w:val="0"/>
        <w:keepLines w:val="0"/>
        <w:widowControl w:val="0"/>
        <w:numPr>
          <w:ilvl w:val="0"/>
          <w:numId w:val="4"/>
        </w:numPr>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阶段性实施目标</w:t>
      </w:r>
    </w:p>
    <w:p>
      <w:pPr>
        <w:pStyle w:val="20"/>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（1）启动阶段（2019年5月—10月)。对项目实施方案进行再优化再完善并报备，制定项目管理各项制度办法，开展造价财评和招投标等工作，确定项目承办企业，加强宣传引导，营造农村电商发展浓厚氛围。</w:t>
      </w:r>
    </w:p>
    <w:p>
      <w:pPr>
        <w:pStyle w:val="20"/>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建设阶段（2019年11月—2020年12月）。一是建成区级电子商务公共服务中心和电商快递物流中心。二是建设和改造提升乡镇村电子商务服务站点和物流配送站点103个，不断提高全区电商公共服务水平和电商快递物流配送能力，降低电商快递物流成本。三是组织开展电商人才培训3500人。四是引进和培育电商团队和电商企业4家，不断发挥电商对解决就业创业、发展社会经济的带动作用。五是开展电商公共品牌培育和电商产品的挖掘、打造，不断彰显电商对农旅产业的促进作用和对地域的影响力和宣传力。六是建成电子商务农产品质量追溯体系、电商统计监测系统和农产品网销标准化体系。七是探索建立电商扶贫农商对接示范基地、电商促进产业融合示范基地、农产品电商示范基地、农资网销扶贫示范店，逐步显现电子商务对促进一二三产业融合的带动作用。八是建成“旅游+电商”示范点，不断增强电商对全域旅游的带动作用。</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自评及验收阶段（2020年12月）。组织相关部门专业人士、引入第三方审计机构，对电子商务进农村综合示范项目进行自评总结和绩效考核，发现问题并及时整改，按时向上级主管部门申请验收。同时，全面总结电子商务进农村综合示范创建经验，构建朝天区电商发展的长效机制。</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4）全面推广阶段（2020年12月—长期）。在前期项目全面建成的基础上，重点加强各公共服务体系、试点示范的运营管理，充分发挥其功能和对电商产业发展的服务、对农村脱贫增收的带动作用。在此基础上，不断总结、推广、宣传该项目在我区实施的典型成功经验及案例，逐步探索出适合朝天实际以及边远贫困山区农村电商发展的有效途径。</w:t>
      </w:r>
    </w:p>
    <w:p>
      <w:pPr>
        <w:pStyle w:val="20"/>
        <w:keepNext w:val="0"/>
        <w:keepLines w:val="0"/>
        <w:widowControl w:val="0"/>
        <w:numPr>
          <w:ilvl w:val="0"/>
          <w:numId w:val="5"/>
        </w:numPr>
        <w:suppressLineNumbers w:val="0"/>
        <w:autoSpaceDE w:val="0"/>
        <w:autoSpaceDN w:val="0"/>
        <w:adjustRightInd w:val="0"/>
        <w:spacing w:before="0" w:beforeAutospacing="0" w:after="0" w:afterAutospacing="0" w:line="560" w:lineRule="exact"/>
        <w:ind w:left="210" w:leftChars="100" w:right="0" w:firstLine="640" w:firstLineChars="200"/>
        <w:jc w:val="left"/>
        <w:rPr>
          <w:rFonts w:hint="eastAsia" w:ascii="黑体" w:hAnsi="宋体" w:eastAsia="黑体" w:cs="黑体"/>
          <w:bCs/>
          <w:sz w:val="32"/>
          <w:szCs w:val="32"/>
          <w:lang w:val="en-US"/>
        </w:rPr>
      </w:pPr>
      <w:r>
        <w:rPr>
          <w:rFonts w:hint="eastAsia" w:ascii="黑体" w:hAnsi="宋体" w:eastAsia="黑体" w:cs="黑体"/>
          <w:bCs/>
          <w:color w:val="000000"/>
          <w:kern w:val="0"/>
          <w:sz w:val="32"/>
          <w:szCs w:val="32"/>
          <w:lang w:val="en-US" w:eastAsia="zh-CN" w:bidi="ar"/>
        </w:rPr>
        <w:t>项目资金使用及管理情况</w:t>
      </w:r>
    </w:p>
    <w:p>
      <w:pPr>
        <w:pStyle w:val="20"/>
        <w:keepNext w:val="0"/>
        <w:keepLines w:val="0"/>
        <w:widowControl w:val="0"/>
        <w:numPr>
          <w:ilvl w:val="0"/>
          <w:numId w:val="6"/>
        </w:numPr>
        <w:suppressLineNumbers w:val="0"/>
        <w:spacing w:before="0" w:beforeAutospacing="0" w:after="0" w:afterAutospacing="0" w:line="560" w:lineRule="exact"/>
        <w:ind w:left="1603" w:right="0" w:hanging="960" w:firstLineChars="0"/>
        <w:jc w:val="both"/>
        <w:rPr>
          <w:rFonts w:hint="eastAsia" w:ascii="楷体" w:hAnsi="楷体" w:eastAsia="楷体" w:cs="楷体"/>
          <w:bCs/>
          <w:kern w:val="0"/>
          <w:sz w:val="32"/>
          <w:szCs w:val="32"/>
          <w:lang w:val="en-US"/>
        </w:rPr>
      </w:pPr>
      <w:r>
        <w:rPr>
          <w:rFonts w:hint="eastAsia" w:ascii="楷体" w:hAnsi="楷体" w:eastAsia="楷体" w:cs="楷体"/>
          <w:bCs/>
          <w:kern w:val="2"/>
          <w:sz w:val="32"/>
          <w:szCs w:val="32"/>
          <w:lang w:val="en-US" w:eastAsia="zh-CN" w:bidi="ar"/>
        </w:rPr>
        <w:t>项目资金到位情况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根据省财政厅关于下达2018年中央财政资金电子商务进农村示范补助资金的通知川财建（2018）94号文件精神，朝天区2018年示范县补助资金1500万，首款1500到达区财政局时间为2018年7月，尾款500万到达区财政局2020年2月。</w:t>
      </w:r>
    </w:p>
    <w:p>
      <w:pPr>
        <w:pStyle w:val="20"/>
        <w:keepNext w:val="0"/>
        <w:keepLines w:val="0"/>
        <w:widowControl w:val="0"/>
        <w:numPr>
          <w:ilvl w:val="0"/>
          <w:numId w:val="6"/>
        </w:numPr>
        <w:suppressLineNumbers w:val="0"/>
        <w:autoSpaceDE w:val="0"/>
        <w:autoSpaceDN w:val="0"/>
        <w:adjustRightInd w:val="0"/>
        <w:spacing w:before="0" w:beforeAutospacing="0" w:after="0" w:afterAutospacing="0" w:line="560" w:lineRule="exact"/>
        <w:ind w:left="1603" w:leftChars="0" w:right="0" w:hanging="960" w:firstLineChars="0"/>
        <w:jc w:val="left"/>
        <w:rPr>
          <w:rFonts w:hint="eastAsia" w:ascii="楷体" w:hAnsi="楷体" w:eastAsia="楷体" w:cs="楷体"/>
          <w:bCs/>
          <w:color w:val="000000"/>
          <w:kern w:val="2"/>
          <w:sz w:val="32"/>
          <w:szCs w:val="32"/>
          <w:lang w:val="en-US" w:eastAsia="zh-CN" w:bidi="ar"/>
        </w:rPr>
      </w:pPr>
      <w:r>
        <w:rPr>
          <w:rFonts w:hint="eastAsia" w:ascii="楷体" w:hAnsi="楷体" w:eastAsia="楷体" w:cs="楷体"/>
          <w:bCs/>
          <w:color w:val="000000"/>
          <w:kern w:val="2"/>
          <w:sz w:val="32"/>
          <w:szCs w:val="32"/>
          <w:lang w:val="en-US" w:eastAsia="zh-CN" w:bidi="ar"/>
        </w:rPr>
        <w:t>项目预算资金执行情况</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Times New Roman" w:eastAsia="仿宋_GB2312" w:cs="仿宋_GB2312"/>
          <w:bCs/>
          <w:kern w:val="2"/>
          <w:sz w:val="32"/>
          <w:szCs w:val="32"/>
          <w:lang w:val="en-US" w:eastAsia="zh-CN" w:bidi="ar"/>
        </w:rPr>
      </w:pPr>
      <w:r>
        <w:rPr>
          <w:rFonts w:hint="eastAsia" w:ascii="仿宋_GB2312" w:hAnsi="Times New Roman" w:eastAsia="仿宋_GB2312" w:cs="仿宋_GB2312"/>
          <w:bCs/>
          <w:kern w:val="2"/>
          <w:sz w:val="32"/>
          <w:szCs w:val="32"/>
          <w:lang w:val="en-US" w:eastAsia="zh-CN" w:bidi="ar"/>
        </w:rPr>
        <w:t>1.截至目前，实施企业已投入项目建设资金3750万元左右，占项目进度比例约95%，其中，农村产品上行及供应链体系建设项目实施企业四川杰鑫优品电子商务有限公司已投入项目资金1500万元左右，占项目进度比例约为95 %；电子商务农产品质量追溯体系和检测信息系统项目实施企业四川省有线广播电视网络股份有限公司朝天分公司已投入资金390万元左右，占项目进度比例约97%；电商农产品公共品牌建设实施企业四川省佳隆一夫科技有限公司已投入资金375万元左右，占项目进度比例90 %；区级电商快递物流中心建设实施企业四川省青联众创电子商务有限公司已投入资金310万元左右，占项目进度比例 约90%；区级电商公共服务体系建设和电商人才培训项目实施企业四川省青联众创电子商务有限公司已投入资金1221万元，占项目进度比例 100%。</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bCs/>
          <w:sz w:val="32"/>
          <w:szCs w:val="32"/>
          <w:highlight w:val="red"/>
          <w:lang w:val="en-US"/>
        </w:rPr>
      </w:pPr>
      <w:r>
        <w:rPr>
          <w:rFonts w:hint="eastAsia" w:ascii="仿宋_GB2312" w:hAnsi="Times New Roman" w:eastAsia="仿宋_GB2312" w:cs="仿宋_GB2312"/>
          <w:bCs/>
          <w:kern w:val="2"/>
          <w:sz w:val="32"/>
          <w:szCs w:val="32"/>
          <w:lang w:val="en-US" w:eastAsia="zh-CN" w:bidi="ar"/>
        </w:rPr>
        <w:t>2.朝天区商务局已向4家中标单位拨付项目中央财政专项资金共计757万元。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bCs/>
          <w:sz w:val="32"/>
          <w:szCs w:val="32"/>
          <w:lang w:val="en-US"/>
        </w:rPr>
      </w:pPr>
      <w:r>
        <w:rPr>
          <w:rFonts w:hint="eastAsia" w:ascii="楷体" w:hAnsi="楷体" w:eastAsia="楷体" w:cs="楷体"/>
          <w:bCs/>
          <w:kern w:val="2"/>
          <w:sz w:val="32"/>
          <w:szCs w:val="32"/>
          <w:lang w:val="en-US" w:eastAsia="zh-CN" w:bidi="ar"/>
        </w:rPr>
        <w:t>（三）项目资金规范运行情况</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color w:val="000000"/>
          <w:kern w:val="0"/>
          <w:sz w:val="32"/>
          <w:szCs w:val="32"/>
          <w:lang w:val="en-US" w:eastAsia="zh-CN" w:bidi="ar"/>
        </w:rPr>
        <w:t>1.朝天区商务局、区财政局具体负责项目申报和资金监管工作，按照项目资金管理办法，定期对资金使用情况进行监督检查，确保专项资金安全有效。区商务局负责建立项目台账制度，加强项目的日常检查，重点检查监督项目合规性、项目实物量完成进度、资金投入进度和承办企业的财务专账。</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财政资金实行专款专用，专账核算，并按有关规定使用，确保资金安全及使用效果。区商务局按相关程序聘请第三方会计事务所，对项目工程进度、工程质量、工程量等进行核实核准，建立项目管理台账，规范项目档案，负责提供《项目进度报告书》《项目资金拨付建议书》，为每阶段项目资金的拨付提供依据。在工程类项目中，购买设施设备使用财政资金额度超过50%（含50%）形成的资产要纳入我区国有资产进行登记管理。</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项目实施单位（企业）必须建立专账，收到财政补助资金后，应严格执行项目资金使用的有关规定，严格按照国家有关会计、财政法规及现行财务制度有关规定进行账务处理，向区商务局、区财政局报告项目资金使用情况。区商务局、区财政局在项目实施结束后两个月内将项目实施情况和资金使用情况总结上报省商务厅、省财政厅。</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4.专项资金必须专款专用，对违反规定使用专项资金的，一经查实，将全额追回已拨付的款项，并取消该单位（企业）三年内申报电子商务扶持方面资金的资格。对弄虚作假、截留、挪用、挤占专项资金等行为，按《财政违法行为处罚处分条例》（国务院令第427号）的相关规定进行处理。构成犯罪的，依法追究刑事责任。</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5.专项资金坚持统筹使用的原则，若个别子项目资金安排不足，在符合《招投标法》《政府采购法》《合同法》等法律法规的基础上，经区商务局、区财政局会商制定资金调整方案报区政府审批后，报请市相关部门转报省上备案方可实施。</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6.项目实施前将项目实施方案报区财政局进行财政评审，通过财政评审确定项目最高限额。项目实施完毕，会同区审计局、区财政局完成工程结算及财务竣工财务决算，若存在财政支持资金结余的，继续用于实施本示范项目（弥补项目短板、奖励扶贫业绩突出的企业和创业者等）。</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z w:val="32"/>
          <w:szCs w:val="32"/>
          <w:lang w:val="en-US"/>
        </w:rPr>
      </w:pPr>
      <w:r>
        <w:rPr>
          <w:rFonts w:hint="eastAsia" w:ascii="楷体" w:hAnsi="楷体" w:eastAsia="楷体" w:cs="楷体"/>
          <w:bCs/>
          <w:kern w:val="2"/>
          <w:sz w:val="32"/>
          <w:szCs w:val="32"/>
          <w:lang w:val="en-US" w:eastAsia="zh-CN" w:bidi="ar"/>
        </w:rPr>
        <w:t>（四）财务管理情况</w:t>
      </w:r>
    </w:p>
    <w:p>
      <w:pPr>
        <w:keepNext w:val="0"/>
        <w:keepLines w:val="0"/>
        <w:widowControl w:val="0"/>
        <w:suppressLineNumbers w:val="0"/>
        <w:spacing w:before="0" w:beforeAutospacing="0" w:after="0" w:afterAutospacing="0" w:line="560" w:lineRule="exact"/>
        <w:ind w:left="0" w:right="0" w:firstLine="645"/>
        <w:jc w:val="both"/>
        <w:rPr>
          <w:rFonts w:hint="eastAsia" w:ascii="仿宋" w:hAnsi="仿宋" w:eastAsia="仿宋" w:cs="仿宋"/>
          <w:bCs/>
          <w:sz w:val="32"/>
          <w:szCs w:val="32"/>
          <w:lang w:val="en-US"/>
        </w:rPr>
      </w:pPr>
      <w:r>
        <w:rPr>
          <w:rFonts w:hint="eastAsia" w:ascii="仿宋_GB2312" w:hAnsi="仿宋" w:eastAsia="仿宋_GB2312" w:cs="仿宋_GB2312"/>
          <w:kern w:val="2"/>
          <w:sz w:val="32"/>
          <w:szCs w:val="32"/>
          <w:lang w:val="en-US" w:eastAsia="zh-CN" w:bidi="ar"/>
        </w:rPr>
        <w:t>单位财务管理制度健全，严格执行财务管理制度，账务处理及时，会计核算规范。</w:t>
      </w:r>
    </w:p>
    <w:p>
      <w:pPr>
        <w:keepNext w:val="0"/>
        <w:keepLines w:val="0"/>
        <w:widowControl w:val="0"/>
        <w:suppressLineNumbers w:val="0"/>
        <w:spacing w:before="0" w:beforeAutospacing="0" w:after="0" w:afterAutospacing="0" w:line="560" w:lineRule="exact"/>
        <w:ind w:left="0" w:right="0" w:firstLine="643"/>
        <w:jc w:val="both"/>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三、组织实施情况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楷体" w:hAnsi="楷体" w:eastAsia="楷体" w:cs="楷体"/>
          <w:bCs/>
          <w:kern w:val="2"/>
          <w:sz w:val="32"/>
          <w:szCs w:val="32"/>
          <w:lang w:val="en-US" w:eastAsia="zh-CN" w:bidi="ar"/>
        </w:rPr>
        <w:t>（一）</w:t>
      </w:r>
      <w:r>
        <w:rPr>
          <w:rFonts w:hint="eastAsia" w:ascii="仿宋_GB2312" w:hAnsi="仿宋" w:eastAsia="仿宋_GB2312" w:cs="仿宋_GB2312"/>
          <w:kern w:val="2"/>
          <w:sz w:val="32"/>
          <w:szCs w:val="32"/>
          <w:lang w:val="en-US" w:eastAsia="zh-CN" w:bidi="ar"/>
        </w:rPr>
        <w:t>项目组织机构与职责落实情况</w:t>
      </w:r>
      <w:r>
        <w:rPr>
          <w:rFonts w:hint="eastAsia" w:ascii="楷体" w:hAnsi="楷体" w:eastAsia="楷体" w:cs="楷体"/>
          <w:bCs/>
          <w:kern w:val="2"/>
          <w:sz w:val="32"/>
          <w:szCs w:val="32"/>
          <w:lang w:val="en-US" w:eastAsia="zh-CN" w:bidi="ar"/>
        </w:rPr>
        <w:t>。</w:t>
      </w:r>
      <w:r>
        <w:rPr>
          <w:rFonts w:hint="eastAsia" w:ascii="仿宋" w:hAnsi="仿宋" w:eastAsia="仿宋" w:cs="仿宋"/>
          <w:bCs/>
          <w:kern w:val="2"/>
          <w:sz w:val="32"/>
          <w:szCs w:val="32"/>
          <w:lang w:val="en-US" w:eastAsia="zh-CN" w:bidi="ar"/>
        </w:rPr>
        <w:t>2018年7月，2018年国家级电子商务进农村综合示范项目补助资金到达朝天后，我区党政“一把手”高度重视，亲自安排部署推动落实。成立了以区人民政府区长伏玉琼为组长、副区长李理为副组长、区级相关部门和各乡镇人民政府主要领导为成员的项目领导小组，领导小组办公室设在区商务局，具体负责推进国家电子商务进农村综合示范项目各项工作。</w:t>
      </w:r>
    </w:p>
    <w:p>
      <w:pPr>
        <w:keepNext w:val="0"/>
        <w:keepLines w:val="0"/>
        <w:widowControl w:val="0"/>
        <w:suppressLineNumbers w:val="0"/>
        <w:spacing w:before="0" w:beforeAutospacing="0" w:after="0" w:afterAutospacing="0" w:line="560" w:lineRule="exact"/>
        <w:ind w:left="0" w:right="0" w:firstLine="640"/>
        <w:jc w:val="both"/>
        <w:rPr>
          <w:rFonts w:hint="eastAsia" w:ascii="楷体" w:hAnsi="楷体" w:eastAsia="楷体" w:cs="楷体"/>
          <w:bCs/>
          <w:kern w:val="0"/>
          <w:sz w:val="32"/>
          <w:szCs w:val="32"/>
          <w:lang w:val="en-US"/>
        </w:rPr>
      </w:pPr>
      <w:r>
        <w:rPr>
          <w:rFonts w:hint="eastAsia" w:ascii="楷体" w:hAnsi="楷体" w:eastAsia="楷体" w:cs="楷体"/>
          <w:bCs/>
          <w:kern w:val="0"/>
          <w:sz w:val="32"/>
          <w:szCs w:val="32"/>
          <w:lang w:val="en-US" w:eastAsia="zh-CN" w:bidi="ar"/>
        </w:rPr>
        <w:t>（二）项目管理制度建设情况</w:t>
      </w:r>
    </w:p>
    <w:p>
      <w:pPr>
        <w:keepNext w:val="0"/>
        <w:keepLines w:val="0"/>
        <w:widowControl w:val="0"/>
        <w:suppressLineNumbers w:val="0"/>
        <w:spacing w:before="0" w:beforeAutospacing="0" w:after="0" w:afterAutospacing="0" w:line="560" w:lineRule="exact"/>
        <w:ind w:left="0" w:right="0" w:firstLine="640"/>
        <w:jc w:val="both"/>
        <w:rPr>
          <w:rFonts w:hint="eastAsia" w:ascii="仿宋" w:hAnsi="仿宋" w:eastAsia="仿宋" w:cs="仿宋"/>
          <w:bCs/>
          <w:kern w:val="0"/>
          <w:sz w:val="32"/>
          <w:szCs w:val="32"/>
          <w:lang w:val="en-US"/>
        </w:rPr>
      </w:pPr>
      <w:r>
        <w:rPr>
          <w:rFonts w:hint="eastAsia" w:ascii="仿宋" w:hAnsi="仿宋" w:eastAsia="仿宋" w:cs="仿宋"/>
          <w:bCs/>
          <w:kern w:val="2"/>
          <w:sz w:val="32"/>
          <w:szCs w:val="32"/>
          <w:lang w:val="en-US" w:eastAsia="zh-CN" w:bidi="ar"/>
        </w:rPr>
        <w:t>为</w:t>
      </w:r>
      <w:r>
        <w:rPr>
          <w:rFonts w:hint="eastAsia" w:ascii="仿宋" w:hAnsi="仿宋" w:eastAsia="仿宋" w:cs="仿宋"/>
          <w:bCs/>
          <w:kern w:val="0"/>
          <w:sz w:val="32"/>
          <w:szCs w:val="32"/>
          <w:lang w:val="en-US" w:eastAsia="zh-CN" w:bidi="ar"/>
        </w:rPr>
        <w:t>有效保障项目</w:t>
      </w:r>
      <w:r>
        <w:rPr>
          <w:rFonts w:hint="eastAsia" w:ascii="仿宋" w:hAnsi="仿宋" w:eastAsia="仿宋" w:cs="仿宋"/>
          <w:bCs/>
          <w:kern w:val="2"/>
          <w:sz w:val="32"/>
          <w:szCs w:val="32"/>
          <w:lang w:val="en-US" w:eastAsia="zh-CN" w:bidi="ar"/>
        </w:rPr>
        <w:t>规范</w:t>
      </w:r>
      <w:r>
        <w:rPr>
          <w:rFonts w:hint="eastAsia" w:ascii="仿宋" w:hAnsi="仿宋" w:eastAsia="仿宋" w:cs="仿宋"/>
          <w:bCs/>
          <w:kern w:val="0"/>
          <w:sz w:val="32"/>
          <w:szCs w:val="32"/>
          <w:lang w:val="en-US" w:eastAsia="zh-CN" w:bidi="ar"/>
        </w:rPr>
        <w:t>有序推进，</w:t>
      </w:r>
      <w:r>
        <w:rPr>
          <w:rFonts w:hint="eastAsia" w:ascii="仿宋" w:hAnsi="仿宋" w:eastAsia="仿宋" w:cs="仿宋"/>
          <w:bCs/>
          <w:kern w:val="2"/>
          <w:sz w:val="32"/>
          <w:szCs w:val="32"/>
          <w:lang w:val="en-US" w:eastAsia="zh-CN" w:bidi="ar"/>
        </w:rPr>
        <w:t>我区先后出台了《项目管理办法》《项目资金管理办法》《项目资金拨付工作流程》《项目验收办法》以及</w:t>
      </w:r>
      <w:r>
        <w:rPr>
          <w:rFonts w:hint="eastAsia" w:ascii="仿宋" w:hAnsi="仿宋" w:eastAsia="仿宋" w:cs="仿宋"/>
          <w:bCs/>
          <w:kern w:val="0"/>
          <w:sz w:val="32"/>
          <w:szCs w:val="32"/>
          <w:lang w:val="en-US" w:eastAsia="zh-CN" w:bidi="ar"/>
        </w:rPr>
        <w:t>项目实施部门联席会议、按月进度调度、跟踪审计监理、项目财务专账等工作办法和制度。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kern w:val="0"/>
          <w:sz w:val="32"/>
          <w:szCs w:val="32"/>
          <w:lang w:val="en-US"/>
        </w:rPr>
      </w:pPr>
      <w:r>
        <w:rPr>
          <w:rFonts w:hint="eastAsia" w:ascii="仿宋" w:hAnsi="仿宋" w:eastAsia="仿宋" w:cs="仿宋"/>
          <w:bCs/>
          <w:kern w:val="0"/>
          <w:sz w:val="32"/>
          <w:szCs w:val="32"/>
          <w:lang w:val="en-US" w:eastAsia="zh-CN" w:bidi="ar"/>
        </w:rPr>
        <w:t>（三）项目组织管理落实情况，包括项目招投标情况、调整情况、完成验收、日常检查监督情况等。在项目实施方案确定后，按照实施方案规定的建设内容，对农村产品上行及供应链体系建设、电子商务农产品质量追溯体系和质量监测信息系统建设、电商农产品公共品牌建设、电商快递物流中心建设、电商公共服务体系建设和人才培训5个单元开展了公开招投标工作，选定了4家项目承办企业并迅速开展项目建设。建立</w:t>
      </w:r>
      <w:r>
        <w:rPr>
          <w:rFonts w:hint="eastAsia" w:ascii="仿宋" w:hAnsi="仿宋" w:eastAsia="仿宋" w:cs="仿宋"/>
          <w:bCs/>
          <w:kern w:val="2"/>
          <w:sz w:val="32"/>
          <w:szCs w:val="32"/>
          <w:lang w:val="en-US" w:eastAsia="zh-CN" w:bidi="ar"/>
        </w:rPr>
        <w:t>工作领导小组将定期到项目实施现场办公督导工作，定期召开项目推进工作会议，研究解决项目推进过程中遇到的困难和问题，提出问题整改意见、措施，检查整改结果。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四、项目绩效情况</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楷体_GB2312" w:hAnsi="仿宋" w:eastAsia="楷体_GB2312" w:cs="楷体_GB2312"/>
          <w:kern w:val="2"/>
          <w:sz w:val="32"/>
          <w:szCs w:val="32"/>
          <w:lang w:val="en-US" w:eastAsia="zh-CN" w:bidi="ar"/>
        </w:rPr>
        <w:t>（一）项目完成情况。</w:t>
      </w:r>
      <w:r>
        <w:rPr>
          <w:rFonts w:hint="eastAsia" w:ascii="仿宋" w:hAnsi="仿宋" w:eastAsia="仿宋" w:cs="仿宋"/>
          <w:bCs/>
          <w:kern w:val="2"/>
          <w:sz w:val="32"/>
          <w:szCs w:val="32"/>
          <w:lang w:val="en-US" w:eastAsia="zh-CN" w:bidi="ar"/>
        </w:rPr>
        <w:t>截至目前，朝天区已按照项目备案的实施方案全面开展项目建设工作。具体情况如下：</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1.工作方案执行情况</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（1）农产品网销标准化建设。已完成项目建设进度100%。具体包括：已建成5个全区主要农产品的网销标准化体系，并向15家以上本地合作社、农户进行推广。</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电商扶贫农商对接示范基地建设。完成项目建设进度100%。具体包括：完成中子镇竹坝村土豆、水磨沟镇银光村木耳、朝天镇明月村藤椒、云雾山镇解放村猕猴桃、曾家镇白鹰村土鸡蛋、羊木镇青羊村羊肚菌、曾家镇工农村土蜂蜜、中子镇校场村小花生、李家镇永乐村天麻、中子镇宣河村核桃10个农商对接示范基地建设。</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电商扶贫企业主体培育。具体包括：培育4家电商企业，目前已引进年网销额1000万元以上的电子商务企业和网络科技公司4家，完成率100%；培育电子商务经营示范企业（专合社）10个以上，目前已完成10个，完成率100%；培育电子商务创业者50个以上，目前已完成85个，完成率170%。</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（4）农产品、农资电商销售运营体验示范店建设。已完成项目建设进度100%。具体包括：农产品电商运营示范基地、农资电商扶贫示范店、电商促进产业融合示范基地建设，目前全面建成并投入运营；</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kern w:val="0"/>
          <w:sz w:val="32"/>
          <w:szCs w:val="32"/>
          <w:lang w:val="en-US"/>
        </w:rPr>
      </w:pPr>
      <w:r>
        <w:rPr>
          <w:rFonts w:hint="eastAsia" w:ascii="仿宋" w:hAnsi="仿宋" w:eastAsia="仿宋" w:cs="仿宋"/>
          <w:bCs/>
          <w:kern w:val="2"/>
          <w:sz w:val="32"/>
          <w:szCs w:val="32"/>
          <w:lang w:val="en-US" w:eastAsia="zh-CN" w:bidi="ar"/>
        </w:rPr>
        <w:t>（5）“互联网+旅游”试点示范。已完成项目建设进度的100%。具体包括：在曾家山景区建成农旅产品电商体验中心1个，并实现曾家山农</w:t>
      </w:r>
      <w:r>
        <w:rPr>
          <w:rFonts w:hint="eastAsia" w:ascii="仿宋" w:hAnsi="仿宋" w:eastAsia="仿宋" w:cs="仿宋"/>
          <w:bCs/>
          <w:kern w:val="0"/>
          <w:sz w:val="32"/>
          <w:szCs w:val="32"/>
          <w:lang w:val="en-US" w:eastAsia="zh-CN" w:bidi="ar"/>
        </w:rPr>
        <w:t>特产品网上上架销售，完成率100%；10个旅游电商产品打造提升工作，已经完成10个，完成率100%。</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6）电子商务农产品质量追溯体系(含网销监管体系功能）。已完成项目建设进度100%。具体包括：电商农产品质量追溯系统已经基本建成，完成了5个产业建设“物联网+质量追溯”示范基地，相关硬件设施待电商公共服务中心建成后即可安装到位并投入运营。</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7）农村产品电商统计监测信息系统建设。已完成项目建设进度100%。具体包括：网销大数据监测平台已基本建成，完成了土豆、木耳、小花生、藤椒、猕猴桃、羊肚菌、土蜂蜜、土鸡蛋、天麻、核桃10个农特产品的溯源开发。</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（8）电商农产品公共品牌建设区域电商公共品牌。具体包括：已选定区域电商公共品牌“朝天娇”，正在品牌打造宣传中，完成率90%；配套品牌运营推广的线下扶贫产品O2O展销馆，目前已经完成装修工程的100%。</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（9）区级电商快递物流中心建设区级电商快递物流中心。具体包括：朝天城区建成1个不低于500平方米的电商快递物流中心，建成1个500立方米的冷藏库1个,项目建设进度100%。</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（10）乡（镇）、村电子商务物流站点建设。具体包括：18个乡镇物流站建设已经全面完成，村级物流代办点建设已完成103个，占项目进度的100%。</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（11）区级农村电子商务公共服务中心建设。已完成项目建设进度100%。具体包括：基本建成1个电子商务公共服务中心。</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（12）乡（镇）村电子商务服务站点建设。具体包括：已建成18个乡镇级电商服务站点；建成103个村级电商服务网点，完成率100%。</w:t>
      </w:r>
    </w:p>
    <w:p>
      <w:pPr>
        <w:keepNext w:val="0"/>
        <w:keepLines w:val="0"/>
        <w:widowControl w:val="0"/>
        <w:suppressLineNumbers w:val="0"/>
        <w:spacing w:before="0" w:beforeAutospacing="0" w:after="0" w:afterAutospacing="0" w:line="560" w:lineRule="exact"/>
        <w:ind w:left="0" w:right="0" w:firstLine="643"/>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（13）农村电子商务培训。已完成项目建设进度100%。具体包括：计划普及培训3000人次，增值培训500人次；目前已完成普及培训3273人次，完成进度的109%，增值培训1082人次，完成进度216%。</w:t>
      </w:r>
    </w:p>
    <w:p>
      <w:pPr>
        <w:keepNext w:val="0"/>
        <w:keepLines w:val="0"/>
        <w:widowControl w:val="0"/>
        <w:numPr>
          <w:ilvl w:val="0"/>
          <w:numId w:val="6"/>
        </w:numPr>
        <w:suppressLineNumbers w:val="0"/>
        <w:spacing w:before="0" w:beforeAutospacing="0" w:after="0" w:afterAutospacing="0" w:line="560" w:lineRule="exact"/>
        <w:ind w:left="1603" w:right="0" w:hanging="960"/>
        <w:jc w:val="both"/>
        <w:rPr>
          <w:rFonts w:hint="eastAsia" w:ascii="楷体_GB2312" w:hAnsi="仿宋" w:eastAsia="楷体_GB2312" w:cs="楷体_GB2312"/>
          <w:sz w:val="32"/>
          <w:szCs w:val="32"/>
          <w:lang w:val="en-US"/>
        </w:rPr>
      </w:pPr>
      <w:r>
        <w:rPr>
          <w:rFonts w:hint="eastAsia" w:ascii="楷体_GB2312" w:hAnsi="仿宋" w:eastAsia="楷体_GB2312" w:cs="楷体_GB2312"/>
          <w:kern w:val="2"/>
          <w:sz w:val="32"/>
          <w:szCs w:val="32"/>
          <w:lang w:val="en-US" w:eastAsia="zh-CN" w:bidi="ar"/>
        </w:rPr>
        <w:t>项目效益情况。</w:t>
      </w:r>
    </w:p>
    <w:p>
      <w:pPr>
        <w:keepNext w:val="0"/>
        <w:keepLines w:val="0"/>
        <w:widowControl w:val="0"/>
        <w:suppressLineNumbers w:val="0"/>
        <w:spacing w:before="0" w:beforeAutospacing="0" w:after="0" w:afterAutospacing="0" w:line="560" w:lineRule="exact"/>
        <w:ind w:left="0" w:right="0" w:firstLine="640"/>
        <w:jc w:val="both"/>
        <w:rPr>
          <w:rFonts w:hint="eastAsia" w:ascii="仿宋" w:hAnsi="仿宋" w:eastAsia="仿宋" w:cs="仿宋"/>
          <w:bCs/>
          <w:kern w:val="0"/>
          <w:sz w:val="32"/>
          <w:szCs w:val="32"/>
          <w:lang w:val="en-US"/>
        </w:rPr>
      </w:pPr>
      <w:r>
        <w:rPr>
          <w:rFonts w:hint="eastAsia" w:ascii="仿宋" w:hAnsi="仿宋" w:eastAsia="仿宋" w:cs="仿宋"/>
          <w:bCs/>
          <w:kern w:val="0"/>
          <w:sz w:val="32"/>
          <w:szCs w:val="32"/>
          <w:lang w:val="en-US" w:eastAsia="zh-CN" w:bidi="ar"/>
        </w:rPr>
        <w:t>1.项目的经济效益。项目实施以来，全区农村电子商务发展氛围浓厚，电子商务交易额逐年大幅攀升，本地农副产品销售额显著增长，带动农村创业和就业成效突出，通过电商提高贫困户收入，带动贫困户脱贫，2019年全区电子商务交易额达1.014亿元，同比增长20%；其中农产品网络交易额达0.35亿元，同比增长30%；全区电商创业氛围日益浓厚，电商带动就业、创业300余人，新增创业网商100余个，通过实施本项目对带动全区农民就业，增加农民收入，推进电商精准扶贫，促进农业产业化发展起到了良好的示范效应和带动作用，涌现出了电商带动贫困村银光村整体发展有机木耳、电商帮助贫困村竹坝山村整村包销土豆、电商帮助贫困村解放村解决猕猴桃滞销问题、电商带动贫困村白鹰村发展成为土鸡蛋专业村等一大批扶贫典型案例。电商促进发展农村经济发展效益明显，项目资金的使用发挥了撬动效应。</w:t>
      </w:r>
    </w:p>
    <w:p>
      <w:pPr>
        <w:keepNext w:val="0"/>
        <w:keepLines w:val="0"/>
        <w:widowControl w:val="0"/>
        <w:suppressLineNumbers w:val="0"/>
        <w:spacing w:before="0" w:beforeAutospacing="0" w:after="0" w:afterAutospacing="0" w:line="560" w:lineRule="exact"/>
        <w:ind w:left="0" w:right="0" w:firstLine="640"/>
        <w:jc w:val="both"/>
        <w:rPr>
          <w:rFonts w:hint="eastAsia" w:ascii="仿宋" w:hAnsi="仿宋" w:eastAsia="仿宋" w:cs="仿宋"/>
          <w:bCs/>
          <w:kern w:val="0"/>
          <w:sz w:val="32"/>
          <w:szCs w:val="32"/>
          <w:lang w:val="en-US"/>
        </w:rPr>
      </w:pPr>
      <w:r>
        <w:rPr>
          <w:rFonts w:hint="eastAsia" w:ascii="仿宋" w:hAnsi="仿宋" w:eastAsia="仿宋" w:cs="仿宋"/>
          <w:bCs/>
          <w:kern w:val="0"/>
          <w:sz w:val="32"/>
          <w:szCs w:val="32"/>
          <w:lang w:val="en-US" w:eastAsia="zh-CN" w:bidi="ar"/>
        </w:rPr>
        <w:t>2.项目的社会效益。一是实现电子商务进农村贫困村全覆盖的目标，有效方便群众生活。电子商务进农村给村民带来了诸多的便利，足不出村就可以买到想买的物品，物流快递直达乡镇及部分行政村，自产产品可以通过网络卖出去，更多的村民逐渐认识到电子商务的重要性，并开始试探性地接触，尝试着接纳，网络意识正在逐渐强化。二是实现培育当地电商企业、人才的目标，有效带动创业创新。对朝天区机关干部、村民、企业、创业爱好者等进行全方位培训。免费开展电商设计、店铺运营、营销策划等系列培训，帮助创业者掌握网购网销等技能。提供专业的一对一辅导课程，累计开展培训4355人次。三是实现资源优化、整合和共享的目标，有效构建物流体系。拟建区级电商物流中心，为全区所有电商站点提供配送服务，可以有效管控区到乡村的物流快递。四是实现农副产品进城零距离目标，有效拉动农民增收。电商服务站的建设，在将丰富多彩的工业品带到农村的同时，农副产品无障碍进城也成为现实。五是提升村民素质，带动美丽乡村建设。电子商务进农村项目的实施，使电子商务真正走进了农村，走到了农民身边，通过电商知识的普及，使村民整体素质得以提升，认识程度大幅提高，切实感受到了电子商务带来的巨大变化，同时也发现了与发达地区的差距，增强了建设好美丽乡村的信心和决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3.项目的可持续性分析。为确保项目实施后实现可持续发展，朝天区人民政府制定出台《朝天区人民政府办公室关于印发&lt;朝天区国家级电子商务进农村综合示范区项目实施方案&gt;的通知》、制订了《朝天区国家级电子商务进农村综合示范项目项目管理制度》《朝天区国家级电子商务进农村综合示范区项目专项资金管理办法》等文件，为项目可持续发展提供政策和资金保障。通过建设电商人才培训中心、电商孵化中心等公共平台、整合组织部、团委、妇联等部门参与到农村电商工作，将各部门工作目标任务完成情况纳入年终考核等措施，加大政策支持力度，完善支撑服务体系，着力营造电子商务发展的良好环境，全面提升全区电子商务的创新能力、应用层次和发展水平，努力开创具有朝天特色的电子商务发展道路，为电商产业摸索出了一条健康可持续发展的新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Calibri" w:hAnsi="Calibri" w:cs="Times New Roman"/>
          <w:bCs/>
          <w:sz w:val="32"/>
          <w:szCs w:val="32"/>
          <w:lang w:val="en-US"/>
        </w:rPr>
      </w:pPr>
      <w:r>
        <w:rPr>
          <w:rFonts w:hint="eastAsia" w:ascii="黑体" w:hAnsi="宋体" w:eastAsia="黑体" w:cs="黑体"/>
          <w:bCs/>
          <w:kern w:val="2"/>
          <w:sz w:val="32"/>
          <w:szCs w:val="32"/>
          <w:lang w:val="en-US" w:eastAsia="zh-CN" w:bidi="ar"/>
        </w:rPr>
        <w:t>五、其他需要说明的问题</w:t>
      </w:r>
    </w:p>
    <w:p>
      <w:pPr>
        <w:keepNext w:val="0"/>
        <w:keepLines w:val="0"/>
        <w:widowControl w:val="0"/>
        <w:suppressLineNumbers w:val="0"/>
        <w:spacing w:before="0" w:beforeAutospacing="0" w:after="0" w:afterAutospacing="0" w:line="560" w:lineRule="exact"/>
        <w:ind w:left="0" w:right="0" w:firstLine="480" w:firstLineChars="150"/>
        <w:jc w:val="both"/>
        <w:rPr>
          <w:rFonts w:hint="eastAsia" w:ascii="楷体" w:hAnsi="楷体" w:eastAsia="楷体" w:cs="楷体"/>
          <w:bCs/>
          <w:sz w:val="32"/>
          <w:szCs w:val="32"/>
          <w:lang w:val="en-US"/>
        </w:rPr>
      </w:pPr>
      <w:r>
        <w:rPr>
          <w:rFonts w:hint="eastAsia" w:ascii="楷体" w:hAnsi="楷体" w:eastAsia="楷体" w:cs="楷体"/>
          <w:bCs/>
          <w:kern w:val="2"/>
          <w:sz w:val="32"/>
          <w:szCs w:val="32"/>
          <w:lang w:val="en-US" w:eastAsia="zh-CN" w:bidi="ar"/>
        </w:rPr>
        <w:t>（一）后续工作计划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进一步强化组织领导。为确保项目的按时完成，我区工作领导小组将定期到项目实施现场办公督导工作，定期召开项目推进工作会议，研究解决项目推进过程中遇到的困难和问题，提出问题整改意见、措施，检查整改结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进一步营造浓厚氛围。充分利用广播、电视、政府门户网站、微朝天等网络媒体，普及电子商务知识，宣传电子商务政策法规，推广网商发展成功经验，营造浓厚的发展氛围。对实施电子商务进农村综合示范工作中涌现的先进个人、优秀企业、特色产品等进行总结推广，并利用新闻媒体加大宣传力度，推广先进经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进一步强化监督管理。区商务局、区财政局、区扶贫开发局定期会商，进一步加强项目统筹协调力度，对项目推进、项目资金的拨付、项目绩效等工作，对实施过程中出现的问题及时督促整改，确保实施项目切实发挥实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bCs/>
          <w:sz w:val="32"/>
          <w:szCs w:val="32"/>
          <w:lang w:val="en-US"/>
        </w:rPr>
      </w:pPr>
      <w:r>
        <w:rPr>
          <w:rFonts w:hint="eastAsia" w:ascii="楷体" w:hAnsi="楷体" w:eastAsia="楷体" w:cs="楷体"/>
          <w:bCs/>
          <w:kern w:val="2"/>
          <w:sz w:val="32"/>
          <w:szCs w:val="32"/>
          <w:lang w:val="en-US" w:eastAsia="zh-CN" w:bidi="ar"/>
        </w:rPr>
        <w:t>（二）主要经验及做法、存在问题和建议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主要经验及做法。朝天区以成功申报并实施国家级电子商务进农村示范项目为契机，在广泛调研和学习考察的基础上，按照“补短板”的原则，科学编制了项目实施方案，合理设置了项目实施内容，严格规范了项目实施程序，尤其注重了项目实施绩效，通过项目的实施有效促进了全区农村电商的发展，对一二三产融合发展和脱贫攻坚、乡村振兴的带动作用正发挥着越来越大的作用。通过项目的实施，也逐渐积累和形成了我区在实施项目和发展农村电商尤其是边远贫困山区农村电商工作的一些有益经验和做法，主要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政府主推，企业主力是实施好项目和发展农村电商的根本保障。我区党政领导高度重视农村电商发展工作，2015年便在全市率先出台了《支持鼓励农村电商发展的实施意见》，制定了一系列奖励扶持政策，此后，我区农村电商得到了较快发展。为紧跟时代发展步伐，进一步彰显农村电商的脱贫带贫重要作用，市委常委、区委书记蔡邦银同志多次带队到省厅汇报工作，争取电商进农村示范项目落地朝天。项目申报成功后，又成立了以区长伏玉琼同志任组长、相关部门主要负责人和所有乡镇党委书记为成员的项目实施领导小组，并在区政府常务会、区委常委会上分别审议通过项目实施方案。各乡镇也高度重视项目实施工作，纷纷到我局沟通汇报，力争有更多建设点位落户。在项目财评、站点建设、人才培训、产品打造、网络销售等项目建设工作中，各有关部门和乡镇都给予了大力的支持和配合，可以说全区上下的高度重视农村电商发展、高度重视项目实施工作，是本项目能够有序有效推进的根本保障。此外，我区在项目实施中尤其注重了承办企业和项目支持企业的主力作用，在选择承办企业的时候坚持了专业的人干专业的事、愿意在我区长期从事农村电商发展且有志于脱贫攻坚事业、有自身投入实力和实际投入的企业等几个基本原则，通过公开招投标选定了比较优质的承办企业，杜绝了为做项目而做项目的企业入围。保障了项目的有效投入和顺利推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因地制宜、聚焦扶贫是项目实施绩效得以保证的关键所在。在方案制定前，我局组织相关人员多次外出考察学习，开展了多次深入的调研座谈，并对中央和省市的相关文件精神进行了深入的研究学习，因此在项目编制中集中体现了“补短板”和“助脱贫”的主旨。同时，我们又制定了专门的项目脱贫带贫规划，从实施开始就把脱贫带贫成效作为重要的考核标准来抓，所以不仅“短板”得以“变长”，而且脱贫带贫成效明显，积累和创新了多个成功经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市场运作、注重运营是项目实施后永葆生命力的重要途径。电商进农村示范项目实施成败的关键在于后续如何有效运营上，如何长期为农村电商发展提供强劲动力上。而要达到这样的目标，实行市场化运作，政府少承担或者不承担压力，在建设之初就把如何有效运营考虑在前面是关键。在编制项目方案时，我区就注重把建设内容向有条件有能力后期运营的专业电商公司倾斜。在项目实施过程中，除了电商公共服务中心是利用国有资产、电商快递物流园是利用国有闲置资产建设以外，电商促进一二三产融合示范基地、农资电商扶贫示范店、农产品电商示范基地等多个子项目都是利用企业自建房屋建设并由企业自己负责后续运营，实现了市场化运营，体现了项目的生命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(4)注重程序、过程监督是确保项目干净廉洁实施的重要手段。我们把干净廉洁实施项目考虑在前面，做了周密的防范，制定了多项规章制度和措施，严格执行了项目规定的所有程序，织牢了项目实施“廉政网”，既确保了项目的有序有效，也有效的保护了干部和企业业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2.存在问题。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项目的补助资金性质影响财政资金的使用绩效。由于本项目要求企业投入一半，财政资金补助一半，意味着企业必须再拿出2000万的真实投入，这对才处于发展阶段基础脆弱的农村电商企业尤其是边远贫困山区的小微农村电商企业而言难度极大，参与投标的企业极少，项目也数次因为符合条件的投标企业数量不足而流标，既影响了资金的使用绩效也严重影响了项目的进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程序要求严格，影响了项目进度。本项目要求程序严格，必须要经过制定方案、报层层审批、造价、财评、招投标等程序，而且有的地方为了规避责任，还可能额外增加防范程序，有的程序相关主管部门无法执行，如财评报告，对于本项目属于购买服务型的项目，财政部门认为不属于其财评范围而不予接受，经多方协调和多次研究最终予以财评，耗时两个月，导致项目长期停滞在复杂的程序中而不得实施，进度较为缓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采用招投标方式确定项目承办企业，可能导致真正的电商企业没有得到有效的扶持和发展。由于是公开招投标，全国各地出现了大量的为做该项目而产生的所谓的“电商公司”，具有很强的投标能力和应对绩效评价的办法，但是在项目实施后的运营管理上既缺乏资源也缺乏手段，导致一些项目建成之日就是死亡之时。同时，这种招投标办法也不完全符合项目补助资金的性质和使用方向，既然是补助资金，就应该补助到已经在当地从事电商产业的企业或者将要来当地从事电商产业的企业，而不是那些为做项目而做项目的企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bCs/>
          <w:sz w:val="32"/>
          <w:szCs w:val="32"/>
          <w:lang w:val="en-US"/>
        </w:rPr>
      </w:pPr>
      <w:r>
        <w:rPr>
          <w:rFonts w:hint="eastAsia" w:ascii="仿宋" w:hAnsi="仿宋" w:eastAsia="仿宋" w:cs="仿宋"/>
          <w:bCs/>
          <w:kern w:val="2"/>
          <w:sz w:val="32"/>
          <w:szCs w:val="32"/>
          <w:lang w:val="en-US" w:eastAsia="zh-CN" w:bidi="ar"/>
        </w:rPr>
        <w:t>3.工作建议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（1）建议适当调整资金的使用性质，变单纯的补助性质为可补助可根据需要直接建设。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（2）建议适当简化程序，取消诸如财评等程序。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（3）建议适当调整项目实施企业的选择方式，给予地方政府更多的自由裁决权，可根据实际情况，在确保选择程序合法的前提下，可以自行采取灵活方式决定选择承办企业。</w:t>
      </w:r>
    </w:p>
    <w:p>
      <w:pPr>
        <w:pStyle w:val="65"/>
        <w:widowControl/>
        <w:ind w:firstLine="1540" w:firstLineChars="500"/>
        <w:rPr>
          <w:rFonts w:hint="eastAsia" w:ascii="仿宋_GB2312" w:hAnsi="宋体" w:eastAsia="仿宋_GB2312" w:cs="仿宋_GB2312"/>
          <w:color w:val="000000"/>
          <w:spacing w:val="-6"/>
          <w:kern w:val="0"/>
          <w:sz w:val="32"/>
          <w:szCs w:val="32"/>
          <w:lang w:val="en-US"/>
        </w:rPr>
      </w:pPr>
    </w:p>
    <w:p>
      <w:pPr>
        <w:rPr>
          <w:rFonts w:hint="eastAsia" w:ascii="仿宋_GB2312" w:hAnsi="宋体" w:eastAsia="仿宋_GB2312" w:cs="Times New Roman"/>
          <w:color w:val="000000"/>
          <w:spacing w:val="-6"/>
          <w:sz w:val="32"/>
          <w:szCs w:val="32"/>
          <w:lang w:val="en-US" w:eastAsia="zh-CN" w:bidi="ar"/>
        </w:rPr>
        <w:sectPr>
          <w:footerReference r:id="rId9" w:type="first"/>
          <w:footerReference r:id="rId8" w:type="default"/>
          <w:pgSz w:w="11906" w:h="16838"/>
          <w:pgMar w:top="1440" w:right="1803" w:bottom="1440" w:left="1803" w:header="851" w:footer="992" w:gutter="0"/>
          <w:pgNumType w:fmt="decimal"/>
          <w:cols w:space="0" w:num="1"/>
          <w:titlePg/>
          <w:docGrid w:type="lines" w:linePitch="319" w:charSpace="0"/>
        </w:sectPr>
      </w:pP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spacing w:val="-6"/>
          <w:kern w:val="0"/>
          <w:sz w:val="44"/>
          <w:szCs w:val="44"/>
          <w:lang w:val="en-US"/>
        </w:rPr>
      </w:pPr>
      <w:r>
        <w:rPr>
          <w:rFonts w:hint="eastAsia" w:ascii="方正小标宋简体" w:hAnsi="方正小标宋简体" w:eastAsia="方正小标宋简体" w:cs="方正小标宋简体"/>
          <w:b/>
          <w:bCs w:val="0"/>
          <w:spacing w:val="-6"/>
          <w:kern w:val="0"/>
          <w:sz w:val="44"/>
          <w:szCs w:val="44"/>
          <w:lang w:val="en-US" w:eastAsia="zh-CN" w:bidi="ar"/>
        </w:rPr>
        <w:t>2022年专项预算项目支出绩效自评报告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00" w:lineRule="exact"/>
        <w:ind w:left="0" w:right="0"/>
        <w:jc w:val="center"/>
        <w:textAlignment w:val="auto"/>
        <w:rPr>
          <w:rFonts w:hint="eastAsia" w:ascii="楷体" w:hAnsi="楷体" w:eastAsia="楷体" w:cs="楷体"/>
          <w:spacing w:val="-6"/>
          <w:sz w:val="28"/>
          <w:szCs w:val="28"/>
          <w:lang w:val="en-US"/>
        </w:rPr>
      </w:pPr>
      <w:r>
        <w:rPr>
          <w:rFonts w:hint="eastAsia" w:ascii="楷体" w:hAnsi="楷体" w:eastAsia="楷体" w:cs="楷体"/>
          <w:spacing w:val="-6"/>
          <w:kern w:val="2"/>
          <w:sz w:val="28"/>
          <w:szCs w:val="28"/>
          <w:lang w:val="en-US" w:eastAsia="zh-CN" w:bidi="ar"/>
        </w:rPr>
        <w:t>（第二批省级内贸流通服务业务发展专项资金）</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color w:val="FF000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1.区商务局在该项目管理中的职能是：根据《四川省商务厅、四川省财政厅关于组织推荐农商互联及农产品供应链项目的通知》及相关规定以及项目实施单位申报项目建设的具体内容进行验收。</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b/>
          <w:bCs w:val="0"/>
          <w:i/>
          <w:iCs w:val="0"/>
          <w:sz w:val="32"/>
          <w:szCs w:val="32"/>
          <w:u w:val="single"/>
          <w:lang w:val="en-US"/>
        </w:rPr>
      </w:pPr>
      <w:r>
        <w:rPr>
          <w:rFonts w:hint="eastAsia" w:ascii="仿宋_GB2312" w:hAnsi="Times New Roman" w:eastAsia="仿宋_GB2312" w:cs="宋体"/>
          <w:kern w:val="2"/>
          <w:sz w:val="32"/>
          <w:szCs w:val="32"/>
          <w:lang w:val="en-US" w:eastAsia="zh-CN" w:bidi="ar"/>
        </w:rPr>
        <w:t>2．资金申报的依据：区商务局《关于2020年农商互联暨完善农产品供应链项目竣工验收情况报告》（广朝商〔2022〕10 号）、区财政局《关于下达2020年度中央财政农商互联暨农产品供应链项目资金的通知》（广朝财建〔2022〕7号）文件。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lang w:val="en-US"/>
        </w:rPr>
      </w:pPr>
      <w:r>
        <w:rPr>
          <w:rFonts w:hint="eastAsia" w:ascii="仿宋_GB2312" w:hAnsi="Times New Roman" w:eastAsia="仿宋_GB2312" w:cs="宋体"/>
          <w:kern w:val="2"/>
          <w:sz w:val="32"/>
          <w:szCs w:val="32"/>
          <w:lang w:val="en-US" w:eastAsia="zh-CN" w:bidi="ar"/>
        </w:rPr>
        <w:t>3．资金管理办法制定情况，资金支持具体项目的条件、范围与支持方式概况：</w:t>
      </w:r>
      <w:r>
        <w:rPr>
          <w:rFonts w:hint="eastAsia" w:ascii="仿宋_GB2312" w:hAnsi="仿宋" w:eastAsia="仿宋_GB2312" w:cs="仿宋_GB2312"/>
          <w:kern w:val="2"/>
          <w:sz w:val="32"/>
          <w:szCs w:val="32"/>
          <w:lang w:val="en-US" w:eastAsia="zh-CN" w:bidi="ar"/>
        </w:rPr>
        <w:t>广元秦川印象生态农业开发有限公司农特产品加工包装及冷链物流项目建设地点在朝天区七盘关食品工业园区，</w:t>
      </w:r>
      <w:r>
        <w:rPr>
          <w:rFonts w:hint="eastAsia" w:ascii="仿宋_GB2312" w:hAnsi="宋体" w:eastAsia="仿宋_GB2312" w:cs="仿宋_GB2312"/>
          <w:kern w:val="2"/>
          <w:sz w:val="32"/>
          <w:szCs w:val="32"/>
          <w:lang w:val="en-US" w:eastAsia="zh-CN" w:bidi="ar"/>
        </w:rPr>
        <w:t>该项目共投入资金565万余元</w:t>
      </w:r>
      <w:r>
        <w:rPr>
          <w:rFonts w:hint="eastAsia" w:ascii="仿宋_GB2312" w:hAnsi="仿宋" w:eastAsia="仿宋_GB2312" w:cs="仿宋_GB2312"/>
          <w:kern w:val="2"/>
          <w:sz w:val="32"/>
          <w:szCs w:val="32"/>
          <w:lang w:val="en-US" w:eastAsia="zh-CN" w:bidi="ar"/>
        </w:rPr>
        <w:t>：</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4．资金分配的原则及考虑因素：按照</w:t>
      </w:r>
      <w:r>
        <w:rPr>
          <w:rFonts w:hint="eastAsia" w:ascii="仿宋_GB2312" w:hAnsi="宋体" w:eastAsia="仿宋_GB2312" w:cs="仿宋_GB2312"/>
          <w:kern w:val="2"/>
          <w:sz w:val="32"/>
          <w:szCs w:val="32"/>
          <w:lang w:val="en-US" w:eastAsia="zh-CN" w:bidi="ar"/>
        </w:rPr>
        <w:t>该项目共投入资金不超过5%的标准给予补助。</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广元秦川印象生态农业开发有限公司农特产品加工包装及冷链物流项目建设地点在朝天区七盘关食品工业园区，主要建设内容和规模：</w:t>
      </w:r>
    </w:p>
    <w:p>
      <w:pPr>
        <w:keepNext w:val="0"/>
        <w:keepLines w:val="0"/>
        <w:widowControl w:val="0"/>
        <w:suppressLineNumbers w:val="0"/>
        <w:spacing w:before="0" w:beforeAutospacing="0" w:after="0" w:afterAutospacing="0"/>
        <w:ind w:left="0" w:right="0" w:firstLine="640" w:firstLineChars="200"/>
        <w:jc w:val="both"/>
        <w:rPr>
          <w:rFonts w:hint="default" w:ascii="Calibri" w:hAnsi="Calibri" w:cs="Times New Roman"/>
          <w:lang w:val="en-US"/>
        </w:rPr>
      </w:pPr>
      <w:r>
        <w:rPr>
          <w:rFonts w:hint="eastAsia" w:ascii="仿宋_GB2312" w:hAnsi="仿宋" w:eastAsia="仿宋_GB2312" w:cs="仿宋_GB2312"/>
          <w:kern w:val="2"/>
          <w:sz w:val="32"/>
          <w:szCs w:val="32"/>
          <w:lang w:val="en-US" w:eastAsia="zh-CN" w:bidi="ar"/>
        </w:rPr>
        <w:t>一是广元秦川印象生态农特产加工项目，项目占地面积约1300平方米。主要建设内容有：农产品加工、烘干、质检、分级、包装，并建设农产品产地集配中心，总投资270万元；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是广元秦川印象生态农特产冷链物流建设项目，项目占地面积345.83㎡，总库容量882立方米。主要建设内容包括：450立方的气调保鲜库，336立方的冷冻库，96立方的速冻库，信息化建设以及其他配套设施建设，购置生产及冷藏冷冻设施、冷藏车等，总投资295万元。</w:t>
      </w:r>
    </w:p>
    <w:p>
      <w:pPr>
        <w:keepNext w:val="0"/>
        <w:keepLines w:val="0"/>
        <w:widowControl w:val="0"/>
        <w:numPr>
          <w:ilvl w:val="0"/>
          <w:numId w:val="7"/>
        </w:numPr>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项目具体绩效目标</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项目建成后，依托地处曾家山旅游度假区的重要节点，配套的仓储中转中心和销售运营中心（电商运营中心），达到工旅结合效果。实现年营业额突破5000万元以上，利用此次项目实施后的重要硬件支撑及电商的运营优势，市场份额将通过资源整合逐步扩大，为园区内的食品企业提供了更大更广的销售渠道，从对接的专合社、种植大户，让农户、生产企业安安心心搞生产，从而达到区域内产业合理布局、科学种植，通过市场份额的不断扩大，也对税收及其他效益有了更大的提升。项目实施后，不仅为我区农民提供商品销售渠道，同时也为社会提供了新的就业机会，解决周边零时用工达30000人次/年，间接增加就业3000多人，为我区贫困户也提供约100个岗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2020年度中央财政农商互联暨农产品供应链项目资金专项经费与申报内容相符、申报目标合理可行。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广元市朝天区财政局关于开展2023年部门、政策和项目支出绩效自评工作的通知》（广朝财发〔2023〕19号）文件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市场体系建设股牵头、专人负责开展业务学习与培训，落实专项资金绩效评价工作。</w:t>
      </w:r>
    </w:p>
    <w:p>
      <w:pPr>
        <w:pStyle w:val="20"/>
        <w:keepNext w:val="0"/>
        <w:keepLines w:val="0"/>
        <w:widowControl w:val="0"/>
        <w:suppressLineNumbers w:val="0"/>
        <w:spacing w:before="0" w:beforeAutospacing="0" w:after="0" w:afterAutospacing="0"/>
        <w:ind w:left="0" w:leftChars="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是资料审核。我局组织相关工作人员负责审核项目实施单位申报的项目验收材料的真实性、完整性、合法性。经过核验：项目验收材料中有实施单位验收申请、资金拨付申请、项目执行情况报告、企业营业执照、发票复印件、会计事务所出具的项目资金审计报告和项目竣工图片等。</w:t>
      </w:r>
    </w:p>
    <w:p>
      <w:pPr>
        <w:pStyle w:val="20"/>
        <w:keepNext w:val="0"/>
        <w:keepLines w:val="0"/>
        <w:widowControl w:val="0"/>
        <w:suppressLineNumbers w:val="0"/>
        <w:spacing w:before="0" w:beforeAutospacing="0" w:after="0" w:afterAutospacing="0"/>
        <w:ind w:left="0" w:leftChars="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三是现场验收。验收组一行到朝天区七盘关食品工业园区对广元秦川印象生态农业开发有限公司农特产品加工包装及冷链物流项目进行了实地现场验收。该项目建设完成情况如下：一是该项目共投入资金565万余元，在加强商品化处理设施建设方面，建设完成钢架生产厂房，购置配套烘干机、紫外线杀菌仪2套、打包机2套、真空机2套、生产操作流水台一条；在农产品冷链物流方面，建成450立方的气调保鲜库，336立方的冷冻库，96立方的速冻库，购买制冷机组5台、冷风机5台、智能控制箱5台、物流车2台等设备。二是公司积极对接周边农户、专合社、电商企业，实现农产品的商品化包装外销，充分利用企业自身的电商运营经验，发挥所运营的苏宁广元馆的优势资源，开设500平米的朝天曾家山旅游节点的旅游产品销售店。</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四是得出自评结论，按项目资金使用方向填报绩效评价表格，对项目资金绩效情况进行整体评价分析，形成自评报告。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按照广朝财建〔2022〕7号文件</w:t>
      </w:r>
      <w:r>
        <w:rPr>
          <w:rFonts w:hint="eastAsia" w:ascii="仿宋" w:hAnsi="仿宋" w:eastAsia="仿宋" w:cs="仿宋"/>
          <w:kern w:val="2"/>
          <w:sz w:val="32"/>
          <w:szCs w:val="32"/>
          <w:lang w:val="en-US" w:eastAsia="zh-CN" w:bidi="ar"/>
        </w:rPr>
        <w:t>，</w:t>
      </w:r>
      <w:r>
        <w:rPr>
          <w:rFonts w:hint="eastAsia" w:ascii="仿宋_GB2312" w:hAnsi="Times New Roman" w:eastAsia="仿宋_GB2312" w:cs="宋体"/>
          <w:kern w:val="2"/>
          <w:sz w:val="32"/>
          <w:szCs w:val="32"/>
          <w:lang w:val="en-US" w:eastAsia="zh-CN" w:bidi="ar"/>
        </w:rPr>
        <w:t>当年安排省级内贸流通服务业务发展专项资金资金656.97万元，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当年</w:t>
      </w:r>
      <w:r>
        <w:rPr>
          <w:rFonts w:hint="eastAsia" w:ascii="仿宋_GB2312" w:hAnsi="Times New Roman" w:eastAsia="仿宋_GB2312" w:cs="宋体"/>
          <w:kern w:val="2"/>
          <w:sz w:val="32"/>
          <w:szCs w:val="32"/>
          <w:lang w:val="en-US" w:eastAsia="zh-CN" w:bidi="ar"/>
        </w:rPr>
        <w:t>安排省级内贸流通服务业务发展专项资金资金656.97万元。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Times New Roman" w:eastAsia="仿宋_GB2312" w:cs="宋体"/>
          <w:kern w:val="2"/>
          <w:sz w:val="32"/>
          <w:szCs w:val="32"/>
          <w:lang w:val="en-US" w:eastAsia="zh-CN" w:bidi="ar"/>
        </w:rPr>
        <w:t>2022年度省级内贸流通服务业务发展专项资金资金</w:t>
      </w:r>
      <w:r>
        <w:rPr>
          <w:rFonts w:hint="eastAsia" w:ascii="仿宋_GB2312" w:hAnsi="仿宋" w:eastAsia="仿宋_GB2312" w:cs="仿宋_GB2312"/>
          <w:kern w:val="2"/>
          <w:sz w:val="32"/>
          <w:szCs w:val="32"/>
          <w:lang w:val="en-US" w:eastAsia="zh-CN" w:bidi="ar"/>
        </w:rPr>
        <w:t>全年到位</w:t>
      </w:r>
      <w:r>
        <w:rPr>
          <w:rFonts w:hint="eastAsia" w:ascii="仿宋_GB2312" w:hAnsi="仿宋_GB2312" w:eastAsia="仿宋_GB2312" w:cs="仿宋_GB2312"/>
          <w:kern w:val="2"/>
          <w:sz w:val="32"/>
          <w:szCs w:val="32"/>
          <w:lang w:val="en-US" w:eastAsia="zh-CN" w:bidi="ar"/>
        </w:rPr>
        <w:t>48.34</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严格按照相关文件要求，该项目经费拨款全部用于</w:t>
      </w:r>
      <w:r>
        <w:rPr>
          <w:rFonts w:hint="eastAsia" w:ascii="仿宋_GB2312" w:hAnsi="Times New Roman" w:eastAsia="仿宋_GB2312" w:cs="宋体"/>
          <w:kern w:val="2"/>
          <w:sz w:val="32"/>
          <w:szCs w:val="32"/>
          <w:lang w:val="en-US" w:eastAsia="zh-CN" w:bidi="ar"/>
        </w:rPr>
        <w:t>省级内贸流通服务业务发展专项资金</w:t>
      </w:r>
      <w:r>
        <w:rPr>
          <w:rFonts w:hint="eastAsia" w:ascii="仿宋_GB2312" w:hAnsi="Times New Roman" w:eastAsia="仿宋_GB2312" w:cs="仿宋_GB2312"/>
          <w:spacing w:val="-6"/>
          <w:kern w:val="2"/>
          <w:sz w:val="32"/>
          <w:szCs w:val="32"/>
          <w:lang w:val="en-US" w:eastAsia="zh-CN" w:bidi="ar"/>
        </w:rPr>
        <w:t>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zh-CN" w:eastAsia="zh-CN" w:bidi="ar"/>
        </w:rPr>
        <w:t>为加强项目资金的使用管理，我</w:t>
      </w:r>
      <w:r>
        <w:rPr>
          <w:rFonts w:hint="eastAsia" w:ascii="仿宋_GB2312" w:hAnsi="仿宋_GB2312" w:eastAsia="仿宋_GB2312" w:cs="仿宋_GB2312"/>
          <w:kern w:val="2"/>
          <w:sz w:val="32"/>
          <w:szCs w:val="32"/>
          <w:lang w:val="en-US" w:eastAsia="zh-CN" w:bidi="ar"/>
        </w:rPr>
        <w:t>单位</w:t>
      </w:r>
      <w:r>
        <w:rPr>
          <w:rFonts w:hint="eastAsia" w:ascii="仿宋_GB2312" w:hAnsi="仿宋_GB2312" w:eastAsia="仿宋_GB2312" w:cs="仿宋_GB2312"/>
          <w:kern w:val="2"/>
          <w:sz w:val="32"/>
          <w:szCs w:val="32"/>
          <w:lang w:val="zh-CN" w:eastAsia="zh-CN" w:bidi="ar"/>
        </w:rPr>
        <w:t>严格按照</w:t>
      </w:r>
      <w:r>
        <w:rPr>
          <w:rFonts w:hint="eastAsia" w:ascii="仿宋_GB2312" w:hAnsi="Times New Roman" w:eastAsia="仿宋_GB2312" w:cs="宋体"/>
          <w:kern w:val="2"/>
          <w:sz w:val="32"/>
          <w:szCs w:val="32"/>
          <w:lang w:val="en-US" w:eastAsia="zh-CN" w:bidi="ar"/>
        </w:rPr>
        <w:t>广朝财建〔2022〕7号文件</w:t>
      </w:r>
      <w:r>
        <w:rPr>
          <w:rFonts w:hint="eastAsia" w:ascii="仿宋_GB2312" w:hAnsi="仿宋_GB2312" w:eastAsia="仿宋_GB2312" w:cs="仿宋_GB2312"/>
          <w:kern w:val="2"/>
          <w:sz w:val="32"/>
          <w:szCs w:val="32"/>
          <w:lang w:val="zh-CN" w:eastAsia="zh-CN" w:bidi="ar"/>
        </w:rPr>
        <w:t>和市、单位财务管理制度等文件规定</w:t>
      </w:r>
      <w:r>
        <w:rPr>
          <w:rFonts w:hint="eastAsia" w:ascii="仿宋_GB2312" w:hAnsi="仿宋_GB2312" w:eastAsia="仿宋_GB2312" w:cs="仿宋_GB2312"/>
          <w:kern w:val="2"/>
          <w:sz w:val="32"/>
          <w:szCs w:val="32"/>
          <w:shd w:val="pct10" w:color="auto" w:fill="FFFFFF"/>
          <w:lang w:val="zh-CN" w:eastAsia="zh-CN" w:bidi="ar"/>
        </w:rPr>
        <w:t>，</w:t>
      </w:r>
      <w:r>
        <w:rPr>
          <w:rFonts w:hint="eastAsia" w:ascii="仿宋_GB2312" w:hAnsi="仿宋_GB2312" w:eastAsia="仿宋_GB2312" w:cs="仿宋_GB2312"/>
          <w:kern w:val="2"/>
          <w:sz w:val="32"/>
          <w:szCs w:val="32"/>
          <w:lang w:val="zh-CN" w:eastAsia="zh-CN" w:bidi="ar"/>
        </w:rPr>
        <w:t>兑付</w:t>
      </w:r>
      <w:r>
        <w:rPr>
          <w:rFonts w:hint="eastAsia" w:ascii="仿宋_GB2312" w:hAnsi="Times New Roman" w:eastAsia="仿宋_GB2312" w:cs="仿宋_GB2312"/>
          <w:spacing w:val="-6"/>
          <w:kern w:val="2"/>
          <w:sz w:val="32"/>
          <w:szCs w:val="32"/>
          <w:lang w:val="en-US" w:eastAsia="zh-CN" w:bidi="ar"/>
        </w:rPr>
        <w:t>省级内贸流通服务业务发展专项资金资金，</w:t>
      </w:r>
      <w:r>
        <w:rPr>
          <w:rFonts w:hint="eastAsia" w:ascii="仿宋_GB2312" w:hAnsi="仿宋_GB2312" w:eastAsia="仿宋_GB2312" w:cs="仿宋_GB2312"/>
          <w:kern w:val="2"/>
          <w:sz w:val="32"/>
          <w:szCs w:val="32"/>
          <w:lang w:val="zh-CN" w:eastAsia="zh-CN" w:bidi="ar"/>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sz w:val="32"/>
          <w:szCs w:val="32"/>
          <w:lang w:val="en-US"/>
        </w:rPr>
      </w:pPr>
      <w:r>
        <w:rPr>
          <w:rFonts w:hint="eastAsia" w:ascii="仿宋_GB2312" w:hAnsi="仿宋_GB2312" w:eastAsia="仿宋_GB2312" w:cs="仿宋_GB2312"/>
          <w:kern w:val="2"/>
          <w:sz w:val="32"/>
          <w:szCs w:val="32"/>
          <w:lang w:val="en-US" w:eastAsia="zh-CN" w:bidi="ar"/>
        </w:rPr>
        <w:t>根据《四川省商务厅、四川省财政厅关于组织推荐农商互联及农产品供应链项目的通知》及相关规定以及项目实施单位申报项目建设的具体内容进行验收合格后，一次性给予补助。项目具体实施流程：由企业填报申请表并附申报资料上报区商务主管部门、区商务主管部门对应责任股室初审，提交局党组会专题讨论研究通过，区商务主管部门拨付至各企业。</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当年支付</w:t>
      </w:r>
      <w:r>
        <w:rPr>
          <w:rFonts w:hint="eastAsia" w:ascii="楷体" w:hAnsi="楷体" w:eastAsia="楷体" w:cs="楷体"/>
          <w:spacing w:val="-6"/>
          <w:kern w:val="2"/>
          <w:sz w:val="28"/>
          <w:szCs w:val="28"/>
          <w:lang w:val="en-US" w:eastAsia="zh-CN" w:bidi="ar"/>
        </w:rPr>
        <w:t>省级内贸流通服务业务发展专项资金</w:t>
      </w:r>
      <w:r>
        <w:rPr>
          <w:rFonts w:hint="eastAsia" w:ascii="仿宋_GB2312" w:hAnsi="Times New Roman" w:eastAsia="仿宋_GB2312" w:cs="宋体"/>
          <w:kern w:val="2"/>
          <w:sz w:val="32"/>
          <w:szCs w:val="32"/>
          <w:lang w:val="en-US" w:eastAsia="zh-CN" w:bidi="ar"/>
        </w:rPr>
        <w:t>资金</w:t>
      </w:r>
      <w:r>
        <w:rPr>
          <w:rFonts w:hint="eastAsia" w:ascii="仿宋_GB2312" w:hAnsi="仿宋_GB2312" w:eastAsia="仿宋_GB2312" w:cs="仿宋_GB2312"/>
          <w:kern w:val="2"/>
          <w:sz w:val="32"/>
          <w:szCs w:val="32"/>
          <w:lang w:val="en-US" w:eastAsia="zh-CN" w:bidi="ar"/>
        </w:rPr>
        <w:t>656.97万元，即：广元秦川印象生态农业开发有限公司23.07万元，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kern w:val="2"/>
          <w:sz w:val="32"/>
          <w:szCs w:val="32"/>
          <w:lang w:val="en-US" w:eastAsia="zh-CN" w:bidi="ar"/>
        </w:rPr>
        <w:t>一是</w:t>
      </w:r>
      <w:r>
        <w:rPr>
          <w:rFonts w:hint="eastAsia" w:ascii="仿宋_GB2312" w:hAnsi="宋体" w:eastAsia="仿宋_GB2312" w:cs="仿宋_GB2312"/>
          <w:bCs/>
          <w:kern w:val="2"/>
          <w:sz w:val="32"/>
          <w:szCs w:val="32"/>
          <w:lang w:val="en-US" w:eastAsia="zh-CN" w:bidi="ar"/>
        </w:rPr>
        <w:t>明确分工，落实责任。</w:t>
      </w:r>
      <w:r>
        <w:rPr>
          <w:rFonts w:hint="eastAsia" w:ascii="仿宋_GB2312" w:hAnsi="宋体" w:eastAsia="仿宋_GB2312" w:cs="仿宋_GB2312"/>
          <w:kern w:val="2"/>
          <w:sz w:val="32"/>
          <w:szCs w:val="32"/>
          <w:lang w:val="en-US" w:eastAsia="zh-CN" w:bidi="ar"/>
        </w:rPr>
        <w:t>为管好用好农商互联资金，将项目的管理和监督责任明确到人。</w:t>
      </w:r>
      <w:r>
        <w:rPr>
          <w:rFonts w:hint="eastAsia" w:ascii="仿宋_GB2312" w:hAnsi="宋体" w:eastAsia="仿宋_GB2312" w:cs="仿宋_GB2312"/>
          <w:b/>
          <w:bCs w:val="0"/>
          <w:kern w:val="2"/>
          <w:sz w:val="32"/>
          <w:szCs w:val="32"/>
          <w:lang w:val="en-US" w:eastAsia="zh-CN" w:bidi="ar"/>
        </w:rPr>
        <w:t>二是</w:t>
      </w:r>
      <w:r>
        <w:rPr>
          <w:rFonts w:hint="eastAsia" w:ascii="仿宋_GB2312" w:hAnsi="宋体" w:eastAsia="仿宋_GB2312" w:cs="仿宋_GB2312"/>
          <w:kern w:val="2"/>
          <w:sz w:val="32"/>
          <w:szCs w:val="32"/>
          <w:lang w:val="en-US" w:eastAsia="zh-CN" w:bidi="ar"/>
        </w:rPr>
        <w:t>做好事前调研、事中监管、事后追踪问效三个环节工作。为保证项目实施的效果，我局会同区财政局在项目申报之初就对项目单位进行</w:t>
      </w:r>
      <w:r>
        <w:rPr>
          <w:rFonts w:hint="eastAsia" w:ascii="仿宋_GB2312" w:hAnsi="宋体" w:eastAsia="仿宋_GB2312" w:cs="仿宋_GB2312"/>
          <w:color w:val="000000"/>
          <w:kern w:val="2"/>
          <w:sz w:val="32"/>
          <w:szCs w:val="32"/>
          <w:lang w:val="en-US" w:eastAsia="zh-CN" w:bidi="ar"/>
        </w:rPr>
        <w:t>考察调研，确保项目实施单位有相应配套资金投入；在项目实施过程中，全程进行监管，确保项目完全实施、资金足额投入;项目实施完毕后，及时对项目实施效果进行评估，确供项目取得实效。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pStyle w:val="20"/>
        <w:keepNext w:val="0"/>
        <w:keepLines w:val="0"/>
        <w:widowControl w:val="0"/>
        <w:suppressLineNumbers w:val="0"/>
        <w:spacing w:before="0" w:beforeAutospacing="0" w:after="0" w:afterAutospacing="0"/>
        <w:ind w:left="0" w:leftChars="0" w:right="0" w:firstLine="640" w:firstLineChars="200"/>
        <w:jc w:val="both"/>
        <w:rPr>
          <w:rFonts w:hint="eastAsia" w:ascii="仿宋_GB2312" w:hAnsi="宋体" w:eastAsia="仿宋_GB2312" w:cs="仿宋_GB2312"/>
          <w:sz w:val="32"/>
          <w:szCs w:val="32"/>
          <w:lang w:val="en-US"/>
        </w:rPr>
      </w:pPr>
      <w:r>
        <w:rPr>
          <w:rFonts w:hint="eastAsia" w:ascii="宋体" w:hAnsi="宋体" w:eastAsia="宋体" w:cs="宋体"/>
          <w:kern w:val="2"/>
          <w:sz w:val="32"/>
          <w:szCs w:val="32"/>
          <w:lang w:val="en-US" w:eastAsia="zh-CN" w:bidi="ar"/>
        </w:rPr>
        <w:t>一是</w:t>
      </w:r>
      <w:r>
        <w:rPr>
          <w:rFonts w:hint="eastAsia" w:ascii="仿宋_GB2312" w:hAnsi="宋体" w:eastAsia="仿宋_GB2312" w:cs="仿宋_GB2312"/>
          <w:kern w:val="2"/>
          <w:sz w:val="32"/>
          <w:szCs w:val="32"/>
          <w:lang w:val="en-US" w:eastAsia="zh-CN" w:bidi="ar"/>
        </w:rPr>
        <w:t>建设完成钢架生产厂房，购置配套烘干机、紫外线杀菌仪2套、打包机2套、真空机2套、生产操作流水台一条；在农产品冷链物流方面，建成450立方的气调保鲜库，336立方的冷冻库，96立方的速冻库，购买制冷机组5台、冷风机5台、智能控制箱5台、物流车2台等设备。二是公司积极对接周边农户、专合社、电商企业，实现农产品的商品化包装外销，充分利用企业自身的电商运营经验，发挥所运营的苏宁广元馆的优势资源，开设500平米的朝天曾家山旅游节点的旅游产品销售店。</w:t>
      </w:r>
    </w:p>
    <w:p>
      <w:pPr>
        <w:keepNext w:val="0"/>
        <w:keepLines w:val="0"/>
        <w:widowControl w:val="0"/>
        <w:numPr>
          <w:ilvl w:val="0"/>
          <w:numId w:val="8"/>
        </w:numPr>
        <w:suppressLineNumbers w:val="0"/>
        <w:autoSpaceDE w:val="0"/>
        <w:autoSpaceDN/>
        <w:spacing w:before="0" w:beforeAutospacing="0" w:after="0" w:afterAutospacing="0" w:line="360" w:lineRule="auto"/>
        <w:ind w:left="1603" w:right="0" w:hanging="96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项目效益情况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项目建成，实现年营业额突破5000万元以上，，对税收及其他效益有了更大的提升。不仅为我区农民提供商品销售渠道，同时也为社会提供了新的就业机会，解决周边零时用工达30000人次/年，间接增加就业3000多人，为我区贫困户也提供约100个岗位。</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省级内贸流通服务业务发展专项资金项目</w:t>
      </w:r>
      <w:r>
        <w:rPr>
          <w:rFonts w:hint="eastAsia" w:ascii="仿宋_GB2312" w:hAnsi="宋体" w:eastAsia="仿宋_GB2312" w:cs="仿宋_GB2312"/>
          <w:kern w:val="2"/>
          <w:sz w:val="32"/>
          <w:szCs w:val="32"/>
          <w:lang w:val="en-US" w:eastAsia="zh-CN" w:bidi="ar"/>
        </w:rPr>
        <w:t>绩效得</w:t>
      </w:r>
      <w:r>
        <w:rPr>
          <w:rFonts w:hint="eastAsia" w:ascii="仿宋_GB2312" w:hAnsi="宋体" w:eastAsia="仿宋_GB2312" w:cs="仿宋_GB2312"/>
          <w:color w:val="000000"/>
          <w:kern w:val="2"/>
          <w:sz w:val="32"/>
          <w:szCs w:val="32"/>
          <w:lang w:val="en-US" w:eastAsia="zh-CN" w:bidi="ar"/>
        </w:rPr>
        <w:t>96分，等级为“优”</w:t>
      </w:r>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（二）存在的问题</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eastAsia="仿宋_GB2312" w:cs="宋体"/>
          <w:sz w:val="32"/>
          <w:szCs w:val="32"/>
          <w:lang w:val="en-US"/>
        </w:rPr>
      </w:pPr>
    </w:p>
    <w:p>
      <w:pPr>
        <w:pStyle w:val="65"/>
        <w:widowControl/>
        <w:ind w:left="0" w:firstLine="1694" w:firstLineChars="550"/>
        <w:rPr>
          <w:rFonts w:hint="eastAsia" w:ascii="仿宋_GB2312" w:hAnsi="宋体" w:eastAsia="仿宋_GB2312" w:cs="仿宋_GB2312"/>
          <w:color w:val="000000"/>
          <w:spacing w:val="-6"/>
          <w:kern w:val="0"/>
          <w:sz w:val="32"/>
          <w:szCs w:val="32"/>
          <w:lang w:val="en-US"/>
        </w:rPr>
      </w:pPr>
    </w:p>
    <w:p>
      <w:pPr>
        <w:pStyle w:val="65"/>
        <w:widowControl/>
        <w:ind w:left="0" w:firstLine="1694" w:firstLineChars="550"/>
        <w:rPr>
          <w:rFonts w:hint="eastAsia" w:ascii="仿宋_GB2312" w:hAnsi="宋体" w:eastAsia="仿宋_GB2312" w:cs="仿宋_GB2312"/>
          <w:color w:val="000000"/>
          <w:spacing w:val="-6"/>
          <w:kern w:val="0"/>
          <w:sz w:val="32"/>
          <w:szCs w:val="32"/>
          <w:lang w:val="en-US"/>
        </w:rPr>
      </w:pPr>
    </w:p>
    <w:p>
      <w:pPr>
        <w:pStyle w:val="65"/>
        <w:widowControl/>
        <w:ind w:left="0" w:firstLine="1694" w:firstLineChars="550"/>
        <w:rPr>
          <w:rFonts w:hint="eastAsia" w:ascii="仿宋_GB2312" w:hAnsi="宋体" w:eastAsia="仿宋_GB2312" w:cs="仿宋_GB2312"/>
          <w:color w:val="000000"/>
          <w:spacing w:val="-6"/>
          <w:kern w:val="0"/>
          <w:sz w:val="32"/>
          <w:szCs w:val="32"/>
          <w:lang w:val="en-US"/>
        </w:rPr>
      </w:pPr>
    </w:p>
    <w:p>
      <w:pPr>
        <w:pStyle w:val="65"/>
        <w:widowControl/>
        <w:ind w:left="0" w:firstLine="1694" w:firstLineChars="550"/>
        <w:rPr>
          <w:rFonts w:hint="eastAsia" w:ascii="仿宋_GB2312" w:hAnsi="宋体" w:eastAsia="仿宋_GB2312" w:cs="仿宋_GB2312"/>
          <w:color w:val="000000"/>
          <w:spacing w:val="-6"/>
          <w:kern w:val="0"/>
          <w:sz w:val="32"/>
          <w:szCs w:val="32"/>
          <w:lang w:val="en-US"/>
        </w:rPr>
      </w:pPr>
    </w:p>
    <w:p>
      <w:pPr>
        <w:pStyle w:val="65"/>
        <w:widowControl/>
        <w:ind w:left="0" w:firstLine="1694" w:firstLineChars="550"/>
        <w:rPr>
          <w:rFonts w:hint="eastAsia" w:ascii="仿宋_GB2312" w:hAnsi="宋体" w:eastAsia="仿宋_GB2312" w:cs="仿宋_GB2312"/>
          <w:color w:val="000000"/>
          <w:spacing w:val="-6"/>
          <w:kern w:val="0"/>
          <w:sz w:val="32"/>
          <w:szCs w:val="32"/>
          <w:lang w:val="en-US"/>
        </w:rPr>
      </w:pPr>
    </w:p>
    <w:p>
      <w:pPr>
        <w:pStyle w:val="65"/>
        <w:widowControl/>
        <w:ind w:left="0" w:firstLine="1694" w:firstLineChars="550"/>
        <w:rPr>
          <w:rFonts w:hint="eastAsia" w:ascii="仿宋_GB2312" w:hAnsi="宋体" w:eastAsia="仿宋_GB2312" w:cs="仿宋_GB2312"/>
          <w:color w:val="000000"/>
          <w:spacing w:val="-6"/>
          <w:kern w:val="0"/>
          <w:sz w:val="32"/>
          <w:szCs w:val="32"/>
          <w:lang w:val="en-US"/>
        </w:rPr>
      </w:pPr>
    </w:p>
    <w:p>
      <w:pPr>
        <w:pStyle w:val="65"/>
        <w:widowControl/>
        <w:ind w:left="0" w:firstLine="1694" w:firstLineChars="550"/>
        <w:rPr>
          <w:rFonts w:hint="eastAsia" w:ascii="仿宋_GB2312" w:hAnsi="宋体" w:eastAsia="仿宋_GB2312" w:cs="仿宋_GB2312"/>
          <w:color w:val="000000"/>
          <w:spacing w:val="-6"/>
          <w:kern w:val="0"/>
          <w:sz w:val="32"/>
          <w:szCs w:val="32"/>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5"/>
        <w:widowControl/>
        <w:ind w:left="0" w:leftChars="0" w:firstLine="0" w:firstLineChars="0"/>
        <w:rPr>
          <w:rFonts w:hint="eastAsia" w:ascii="仿宋_GB2312" w:hAnsi="宋体" w:eastAsia="仿宋_GB2312" w:cs="仿宋_GB2312"/>
          <w:color w:val="000000"/>
          <w:spacing w:val="-6"/>
          <w:kern w:val="0"/>
          <w:sz w:val="10"/>
          <w:szCs w:val="10"/>
          <w:lang w:val="en-US"/>
        </w:rPr>
      </w:pPr>
    </w:p>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2022年专项预算项目支出绩效自评报告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00" w:lineRule="exact"/>
        <w:ind w:left="0" w:right="0"/>
        <w:jc w:val="center"/>
        <w:textAlignment w:val="auto"/>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（天府旅游名县奖励资金）</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color w:val="FF000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1.区商务局在该项目管理中的职能是：</w:t>
      </w:r>
      <w:r>
        <w:rPr>
          <w:rFonts w:hint="eastAsia" w:ascii="仿宋_GB2312" w:hAnsi="仿宋_GB2312" w:eastAsia="仿宋_GB2312" w:cs="仿宋_GB2312"/>
          <w:kern w:val="2"/>
          <w:sz w:val="32"/>
          <w:szCs w:val="32"/>
          <w:lang w:val="en-US" w:eastAsia="zh-CN" w:bidi="ar"/>
        </w:rPr>
        <w:t>根据《四川省省级文化和旅游发展专项资金管理办法》等相关文件规定具体负责项目实施。</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2．资金申报的依据：</w:t>
      </w:r>
      <w:r>
        <w:rPr>
          <w:rFonts w:hint="eastAsia" w:ascii="仿宋_GB2312" w:hAnsi="仿宋_GB2312" w:eastAsia="仿宋_GB2312" w:cs="仿宋_GB2312"/>
          <w:kern w:val="2"/>
          <w:sz w:val="32"/>
          <w:szCs w:val="32"/>
          <w:lang w:val="en-US" w:eastAsia="zh-CN" w:bidi="ar"/>
        </w:rPr>
        <w:t>《四川省省级文化和旅游发展专项资金管理办法》、</w:t>
      </w:r>
      <w:r>
        <w:rPr>
          <w:rFonts w:hint="eastAsia" w:ascii="仿宋_GB2312" w:hAnsi="Times New Roman" w:eastAsia="仿宋_GB2312" w:cs="宋体"/>
          <w:kern w:val="2"/>
          <w:sz w:val="32"/>
          <w:szCs w:val="32"/>
          <w:lang w:val="en-US" w:eastAsia="zh-CN" w:bidi="ar"/>
        </w:rPr>
        <w:t>区财政局《关于下达第三批天府旅游名县奖励资金的通知》（广朝财教〔2021〕46号）文件</w:t>
      </w:r>
      <w:r>
        <w:rPr>
          <w:rFonts w:hint="eastAsia" w:ascii="仿宋" w:hAnsi="仿宋" w:eastAsia="仿宋" w:cs="仿宋"/>
          <w:kern w:val="2"/>
          <w:sz w:val="32"/>
          <w:szCs w:val="32"/>
          <w:lang w:val="en-US" w:eastAsia="zh-CN" w:bidi="ar"/>
        </w:rPr>
        <w:t>。</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color w:val="FF0000"/>
          <w:sz w:val="32"/>
          <w:szCs w:val="32"/>
          <w:u w:val="single"/>
          <w:lang w:val="en-US"/>
        </w:rPr>
      </w:pPr>
      <w:r>
        <w:rPr>
          <w:rFonts w:hint="eastAsia" w:ascii="仿宋_GB2312" w:hAnsi="Times New Roman" w:eastAsia="仿宋_GB2312" w:cs="宋体"/>
          <w:kern w:val="2"/>
          <w:sz w:val="32"/>
          <w:szCs w:val="32"/>
          <w:lang w:val="en-US" w:eastAsia="zh-CN" w:bidi="ar"/>
        </w:rPr>
        <w:t>3．资金管理办法制定情况，资金支持具体项目的条件、范围与支持方式概况：</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根据省、市、区相关文件规定，我单位安排服务业股专人负责该项工作，根据实际发生的相关费用依据，由责任股室初审，然由财务人员复审，最后由分管领导审核无误后，按实际发生数实报实销。</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color w:val="FF0000"/>
          <w:sz w:val="32"/>
          <w:szCs w:val="32"/>
          <w:u w:val="single"/>
          <w:lang w:val="en-US"/>
        </w:rPr>
      </w:pPr>
      <w:r>
        <w:rPr>
          <w:rFonts w:hint="eastAsia" w:ascii="仿宋_GB2312" w:hAnsi="Times New Roman" w:eastAsia="仿宋_GB2312" w:cs="宋体"/>
          <w:kern w:val="2"/>
          <w:sz w:val="32"/>
          <w:szCs w:val="32"/>
          <w:lang w:val="en-US" w:eastAsia="zh-CN" w:bidi="ar"/>
        </w:rPr>
        <w:t>4．资金分配的原则及考虑因素：</w:t>
      </w:r>
      <w:r>
        <w:rPr>
          <w:rFonts w:hint="eastAsia" w:ascii="仿宋_GB2312" w:hAnsi="仿宋_GB2312" w:eastAsia="仿宋_GB2312" w:cs="仿宋_GB2312"/>
          <w:kern w:val="2"/>
          <w:sz w:val="32"/>
          <w:szCs w:val="32"/>
          <w:lang w:val="en-US" w:eastAsia="zh-CN" w:bidi="ar"/>
        </w:rPr>
        <w:t>各个体验店铺设货物、购买售货机、租赁自行车等，共投入15万元。</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1．项目主要内容：</w:t>
      </w:r>
      <w:r>
        <w:rPr>
          <w:rFonts w:hint="eastAsia" w:ascii="仿宋_GB2312" w:hAnsi="仿宋_GB2312" w:eastAsia="仿宋_GB2312" w:cs="仿宋_GB2312"/>
          <w:kern w:val="2"/>
          <w:sz w:val="32"/>
          <w:szCs w:val="32"/>
          <w:lang w:val="en-US" w:eastAsia="zh-CN" w:bidi="ar"/>
        </w:rPr>
        <w:t>严格按照中央、省、市相关文件规定，科学、合理管理与使用天府旅游名县专项资金，做到程序规范、权责明晰、按规使用，发挥资金效益。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color w:val="FF0000"/>
          <w:sz w:val="32"/>
          <w:szCs w:val="32"/>
          <w:u w:val="single"/>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严格按照相关文件规定，科学、合理管理与使用天府旅游名县专项资金，发挥资金最大效益。</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天府旅游名县奖励资金专项经费与申报内容相符、申报目标合理可行。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在绩效评价工作中，我局严格按照</w:t>
      </w:r>
      <w:r>
        <w:rPr>
          <w:rFonts w:hint="eastAsia" w:ascii="仿宋_GB2312" w:hAnsi="Times New Roman" w:eastAsia="仿宋_GB2312" w:cs="宋体"/>
          <w:color w:val="000000"/>
          <w:kern w:val="2"/>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color w:val="000000"/>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一是前期准备。我局成立了专项资金绩效评价工作领导小组，明确了工作职责，制定了评价方案，细化了组织实施步骤和环节安排等内容，确定了实施时间。具体由服务业股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二是具体实施。项目绩效评价实施步骤：（1）召开部门联席会议。配合文旅体局召开天府旅游名县各类会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按照区财政局《关于下达第三批天府旅游名县奖励资金的通知》（广朝财教〔2021〕46号）文件，2022年安排我区天府旅游名县奖励资金15万元，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2022年，</w:t>
      </w:r>
      <w:r>
        <w:rPr>
          <w:rFonts w:hint="eastAsia" w:ascii="仿宋_GB2312" w:hAnsi="Times New Roman" w:eastAsia="仿宋_GB2312" w:cs="宋体"/>
          <w:color w:val="000000"/>
          <w:kern w:val="2"/>
          <w:sz w:val="32"/>
          <w:szCs w:val="32"/>
          <w:lang w:val="en-US" w:eastAsia="zh-CN" w:bidi="ar"/>
        </w:rPr>
        <w:t>安排我区</w:t>
      </w:r>
      <w:r>
        <w:rPr>
          <w:rFonts w:hint="eastAsia" w:ascii="仿宋_GB2312" w:hAnsi="Times New Roman" w:eastAsia="仿宋_GB2312" w:cs="宋体"/>
          <w:kern w:val="2"/>
          <w:sz w:val="32"/>
          <w:szCs w:val="32"/>
          <w:lang w:val="en-US" w:eastAsia="zh-CN" w:bidi="ar"/>
        </w:rPr>
        <w:t>天府旅游名县奖励资金15万元，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Times New Roman" w:eastAsia="仿宋_GB2312" w:cs="宋体"/>
          <w:kern w:val="2"/>
          <w:sz w:val="32"/>
          <w:szCs w:val="32"/>
          <w:lang w:val="en-US" w:eastAsia="zh-CN" w:bidi="ar"/>
        </w:rPr>
        <w:t>第三批天府旅游名县奖励资金</w:t>
      </w:r>
      <w:r>
        <w:rPr>
          <w:rFonts w:hint="eastAsia" w:ascii="仿宋_GB2312" w:hAnsi="仿宋" w:eastAsia="仿宋_GB2312" w:cs="仿宋_GB2312"/>
          <w:kern w:val="2"/>
          <w:sz w:val="32"/>
          <w:szCs w:val="32"/>
          <w:lang w:val="en-US" w:eastAsia="zh-CN" w:bidi="ar"/>
        </w:rPr>
        <w:t>全年实际到位1</w:t>
      </w:r>
      <w:r>
        <w:rPr>
          <w:rFonts w:hint="eastAsia" w:ascii="仿宋_GB2312" w:hAnsi="仿宋_GB2312" w:eastAsia="仿宋_GB2312" w:cs="仿宋_GB2312"/>
          <w:kern w:val="2"/>
          <w:sz w:val="32"/>
          <w:szCs w:val="32"/>
          <w:lang w:val="en-US" w:eastAsia="zh-CN" w:bidi="ar"/>
        </w:rPr>
        <w:t>5</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严格按照相关财政文件要求，该项目经费拨款全部用于</w:t>
      </w:r>
      <w:r>
        <w:rPr>
          <w:rFonts w:hint="eastAsia" w:ascii="仿宋_GB2312" w:hAnsi="Times New Roman" w:eastAsia="仿宋_GB2312" w:cs="宋体"/>
          <w:kern w:val="2"/>
          <w:sz w:val="32"/>
          <w:szCs w:val="32"/>
          <w:lang w:val="en-US" w:eastAsia="zh-CN" w:bidi="ar"/>
        </w:rPr>
        <w:t>天府旅游名县</w:t>
      </w:r>
      <w:r>
        <w:rPr>
          <w:rFonts w:hint="eastAsia" w:ascii="仿宋_GB2312" w:hAnsi="Times New Roman" w:eastAsia="仿宋_GB2312" w:cs="仿宋_GB2312"/>
          <w:spacing w:val="-6"/>
          <w:kern w:val="2"/>
          <w:sz w:val="32"/>
          <w:szCs w:val="32"/>
          <w:lang w:val="en-US" w:eastAsia="zh-CN" w:bidi="ar"/>
        </w:rPr>
        <w:t>专项支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hAnsi="仿宋_GB2312" w:eastAsia="仿宋_GB2312" w:cs="仿宋_GB2312"/>
          <w:sz w:val="32"/>
          <w:szCs w:val="32"/>
          <w:lang w:val="zh-CN" w:eastAsia="zh-CN"/>
        </w:rPr>
      </w:pPr>
      <w:r>
        <w:rPr>
          <w:rFonts w:hint="eastAsia" w:ascii="楷体" w:hAnsi="楷体" w:eastAsia="楷体" w:cs="楷体"/>
          <w:bCs/>
          <w:spacing w:val="-6"/>
          <w:kern w:val="2"/>
          <w:sz w:val="32"/>
          <w:szCs w:val="32"/>
          <w:lang w:val="en-US" w:eastAsia="zh-CN" w:bidi="ar"/>
        </w:rPr>
        <w:t>（三）项目财务管理情况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en-US" w:eastAsia="zh-CN" w:bidi="ar"/>
        </w:rPr>
        <w:t>2022年，我局严格按照专项资金管理办法和专项资金文件指定用途，健全了财务管理制度，严格执行财经管理规定，规范会计核算，设立了专项明细账，并进行专门核算，做到了专款专用，全面完成了建设任务，达到了预期目标。</w:t>
      </w:r>
      <w:r>
        <w:rPr>
          <w:rFonts w:hint="eastAsia" w:ascii="仿宋_GB2312" w:hAnsi="仿宋_GB2312" w:eastAsia="仿宋_GB2312" w:cs="仿宋_GB2312"/>
          <w:kern w:val="2"/>
          <w:sz w:val="32"/>
          <w:szCs w:val="32"/>
          <w:lang w:val="zh-CN" w:eastAsia="zh-CN" w:bidi="ar"/>
        </w:rPr>
        <w:t>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numPr>
          <w:ilvl w:val="0"/>
          <w:numId w:val="9"/>
        </w:numPr>
        <w:suppressLineNumbers w:val="0"/>
        <w:spacing w:before="0" w:beforeAutospacing="0" w:after="0" w:afterAutospacing="0" w:line="360" w:lineRule="auto"/>
        <w:ind w:left="0" w:right="0" w:firstLine="640" w:firstLineChars="20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项目组织架构及实施流程</w:t>
      </w:r>
      <w:r>
        <w:rPr>
          <w:rFonts w:hint="eastAsia" w:ascii="楷体_GB2312" w:hAnsi="宋体" w:eastAsia="楷体_GB2312" w:cs="楷体_GB2312"/>
          <w:b/>
          <w:bCs w:val="0"/>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此项工作由局长牵头，分管领导负责管理，具体由服务业股负责实施，按文件要求做好项目的规划并组织实施，加快项目建设进度，随时对项目与资金进行监督与管理，确保项目按时完成。</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（二）项目管理情况。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Times New Roman" w:eastAsia="仿宋_GB2312" w:cs="宋体"/>
          <w:kern w:val="2"/>
          <w:sz w:val="32"/>
          <w:szCs w:val="32"/>
          <w:lang w:val="en-US" w:eastAsia="zh-CN" w:bidi="ar"/>
        </w:rPr>
        <w:t>严格执行财政专项资金管理制度，设立明细专账，实行专账管理，专人负责，专款专用。</w:t>
      </w:r>
      <w:r>
        <w:rPr>
          <w:rFonts w:hint="eastAsia" w:ascii="仿宋_GB2312" w:hAnsi="仿宋_GB2312" w:eastAsia="仿宋_GB2312" w:cs="仿宋_GB2312"/>
          <w:kern w:val="2"/>
          <w:sz w:val="32"/>
          <w:szCs w:val="32"/>
          <w:lang w:val="en-US" w:eastAsia="zh-CN" w:bidi="ar"/>
        </w:rPr>
        <w:t>2022年使用</w:t>
      </w:r>
      <w:r>
        <w:rPr>
          <w:rFonts w:hint="eastAsia" w:ascii="仿宋_GB2312" w:hAnsi="Times New Roman" w:eastAsia="仿宋_GB2312" w:cs="宋体"/>
          <w:kern w:val="2"/>
          <w:sz w:val="32"/>
          <w:szCs w:val="32"/>
          <w:lang w:val="en-US" w:eastAsia="zh-CN" w:bidi="ar"/>
        </w:rPr>
        <w:t>天府旅游名县奖励资金1</w:t>
      </w:r>
      <w:r>
        <w:rPr>
          <w:rFonts w:hint="eastAsia" w:ascii="仿宋_GB2312" w:hAnsi="仿宋_GB2312" w:eastAsia="仿宋_GB2312" w:cs="仿宋_GB2312"/>
          <w:kern w:val="2"/>
          <w:sz w:val="32"/>
          <w:szCs w:val="32"/>
          <w:lang w:val="en-US" w:eastAsia="zh-CN" w:bidi="ar"/>
        </w:rPr>
        <w:t>5万元，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（三）项目监管情况。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zh-CN" w:eastAsia="zh-CN" w:bidi="ar"/>
        </w:rPr>
        <w:t>积极与财政部门建立统筹协调、密切配合、分工协作的工作机制，制定完善了相关考核办法，定期对各单位项目使用情况进行监督检查。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Times New Roman" w:eastAsia="仿宋_GB2312" w:cs="宋体"/>
          <w:kern w:val="2"/>
          <w:sz w:val="32"/>
          <w:szCs w:val="32"/>
          <w:lang w:val="en-US" w:eastAsia="zh-CN" w:bidi="ar"/>
        </w:rPr>
      </w:pPr>
      <w:r>
        <w:rPr>
          <w:rFonts w:hint="eastAsia" w:ascii="仿宋_GB2312" w:hAnsi="Times New Roman" w:eastAsia="仿宋_GB2312" w:cs="宋体"/>
          <w:kern w:val="2"/>
          <w:sz w:val="32"/>
          <w:szCs w:val="32"/>
          <w:lang w:val="en-US" w:eastAsia="zh-CN" w:bidi="ar"/>
        </w:rPr>
        <w:t>1、数量指标：对外宣传会议29次，对外发放宣传资料2000余份；</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Times New Roman" w:eastAsia="仿宋_GB2312" w:cs="宋体"/>
          <w:kern w:val="2"/>
          <w:sz w:val="32"/>
          <w:szCs w:val="32"/>
          <w:lang w:val="en-US" w:eastAsia="zh-CN" w:bidi="ar"/>
        </w:rPr>
      </w:pPr>
      <w:r>
        <w:rPr>
          <w:rFonts w:hint="eastAsia" w:ascii="仿宋_GB2312" w:hAnsi="Times New Roman" w:eastAsia="仿宋_GB2312" w:cs="宋体"/>
          <w:kern w:val="2"/>
          <w:sz w:val="32"/>
          <w:szCs w:val="32"/>
          <w:lang w:val="en-US" w:eastAsia="zh-CN" w:bidi="ar"/>
        </w:rPr>
        <w:t>2、质量指标：发放资料覆盖率100%，宣传推广效果  ≥95%；</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Times New Roman" w:eastAsia="仿宋_GB2312" w:cs="宋体"/>
          <w:kern w:val="2"/>
          <w:sz w:val="32"/>
          <w:szCs w:val="32"/>
          <w:lang w:val="en-US" w:eastAsia="zh-CN" w:bidi="ar"/>
        </w:rPr>
      </w:pPr>
      <w:r>
        <w:rPr>
          <w:rFonts w:hint="eastAsia" w:ascii="仿宋_GB2312" w:hAnsi="Times New Roman" w:eastAsia="仿宋_GB2312" w:cs="宋体"/>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Times New Roman" w:eastAsia="仿宋_GB2312" w:cs="宋体"/>
          <w:kern w:val="2"/>
          <w:sz w:val="32"/>
          <w:szCs w:val="32"/>
          <w:lang w:val="en-US" w:eastAsia="zh-CN" w:bidi="ar"/>
        </w:rPr>
      </w:pPr>
      <w:r>
        <w:rPr>
          <w:rFonts w:hint="eastAsia" w:ascii="仿宋_GB2312" w:hAnsi="Times New Roman" w:eastAsia="仿宋_GB2312" w:cs="宋体"/>
          <w:kern w:val="2"/>
          <w:sz w:val="32"/>
          <w:szCs w:val="32"/>
          <w:lang w:val="en-US" w:eastAsia="zh-CN" w:bidi="ar"/>
        </w:rPr>
        <w:t>4、成本指标：专项资金金额15万元</w:t>
      </w:r>
      <w:r>
        <w:rPr>
          <w:rFonts w:hint="eastAsia" w:ascii="仿宋_GB2312" w:hAnsi="Times New Roman" w:eastAsia="仿宋_GB2312" w:cs="宋体"/>
          <w:kern w:val="2"/>
          <w:sz w:val="32"/>
          <w:szCs w:val="32"/>
          <w:lang w:val="en-US" w:eastAsia="zh-CN" w:bidi="ar"/>
        </w:rPr>
        <w:tab/>
      </w:r>
      <w:r>
        <w:rPr>
          <w:rFonts w:hint="eastAsia" w:ascii="仿宋_GB2312" w:hAnsi="Times New Roman" w:eastAsia="仿宋_GB2312" w:cs="宋体"/>
          <w:kern w:val="2"/>
          <w:sz w:val="32"/>
          <w:szCs w:val="32"/>
          <w:lang w:val="en-US" w:eastAsia="zh-CN" w:bidi="ar"/>
        </w:rPr>
        <w:t>预算资金执行率100%；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hAnsi="Times New Roman" w:eastAsia="楷体_GB2312" w:cs="楷体_GB2312"/>
          <w:bCs/>
          <w:spacing w:val="-6"/>
          <w:kern w:val="2"/>
          <w:sz w:val="32"/>
          <w:szCs w:val="32"/>
          <w:lang w:val="en-US" w:eastAsia="zh-CN" w:bidi="ar"/>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1.数量指标。2022年，完成了天府旅游名县整体对外宣传促销，积极参加天府旅游名县推广活动、对外宣传推广活动30余次，展示了“小养胜地·大道朝天”新形象。</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2.质量指标。2021年，通过项目的实施，全面提升了朝天文旅品质和对外影响力。2022年底，省级验收小组对名县项目进行了验收，所有项目验收合格。</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3.时效指标。按照时间节点所实施的项目已经全面完成，完成率达100%。</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4.经济效益。通过资金的投入，达到了汉王老街和时代广场基础设施更加完善,提升了旅游产品品质，丰富了文化旅游生活，并产生了深远影响。</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5.社会效益。通过项目的实施，促进了我区经济建设的快速发展。</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6.可持续影响。通过项目的实施,进一步彰显了名县品牌优势与影响力。</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天府旅游名县奖励资金</w:t>
      </w:r>
      <w:r>
        <w:rPr>
          <w:rFonts w:hint="eastAsia" w:ascii="仿宋_GB2312" w:hAnsi="宋体" w:eastAsia="仿宋_GB2312" w:cs="仿宋_GB2312"/>
          <w:kern w:val="2"/>
          <w:sz w:val="32"/>
          <w:szCs w:val="32"/>
          <w:lang w:val="en-US" w:eastAsia="zh-CN" w:bidi="ar"/>
        </w:rPr>
        <w:t>项目</w:t>
      </w:r>
      <w:r>
        <w:rPr>
          <w:rFonts w:hint="eastAsia" w:ascii="仿宋_GB2312" w:hAnsi="宋体" w:eastAsia="仿宋_GB2312" w:cs="仿宋_GB2312"/>
          <w:color w:val="000000"/>
          <w:kern w:val="2"/>
          <w:sz w:val="32"/>
          <w:szCs w:val="32"/>
          <w:lang w:val="en-US" w:eastAsia="zh-CN" w:bidi="ar"/>
        </w:rPr>
        <w:t>绩效得95分，等级为“优”</w:t>
      </w:r>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lang w:val="en-US"/>
        </w:rPr>
      </w:pP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lang w:val="en-US"/>
        </w:rPr>
      </w:pP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lang w:val="en-US"/>
        </w:rPr>
      </w:pP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lang w:val="en-US"/>
        </w:rPr>
      </w:pPr>
    </w:p>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方正小标宋简体" w:hAnsi="方正小标宋简体" w:eastAsia="方正小标宋简体" w:cs="方正小标宋简体"/>
          <w:b/>
          <w:bCs w:val="0"/>
          <w:color w:val="auto"/>
          <w:spacing w:val="-6"/>
          <w:kern w:val="0"/>
          <w:sz w:val="44"/>
          <w:szCs w:val="44"/>
          <w:lang w:val="en-US"/>
        </w:rPr>
      </w:pPr>
      <w:r>
        <w:rPr>
          <w:rFonts w:hint="eastAsia" w:ascii="方正小标宋简体" w:hAnsi="方正小标宋简体" w:eastAsia="方正小标宋简体" w:cs="方正小标宋简体"/>
          <w:b/>
          <w:bCs w:val="0"/>
          <w:color w:val="auto"/>
          <w:spacing w:val="-6"/>
          <w:kern w:val="0"/>
          <w:sz w:val="44"/>
          <w:szCs w:val="44"/>
          <w:lang w:val="en-US" w:eastAsia="zh-CN" w:bidi="ar"/>
        </w:rPr>
        <w:t>2022年专项预算项目支出绩效自评报告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color w:val="auto"/>
          <w:spacing w:val="-6"/>
          <w:sz w:val="32"/>
          <w:szCs w:val="32"/>
          <w:lang w:val="en-US"/>
        </w:rPr>
      </w:pPr>
      <w:r>
        <w:rPr>
          <w:rFonts w:hint="eastAsia" w:ascii="楷体" w:hAnsi="楷体" w:eastAsia="楷体" w:cs="楷体"/>
          <w:color w:val="auto"/>
          <w:spacing w:val="-6"/>
          <w:kern w:val="2"/>
          <w:sz w:val="32"/>
          <w:szCs w:val="32"/>
          <w:lang w:val="en-US" w:eastAsia="zh-CN" w:bidi="ar"/>
        </w:rPr>
        <w:t>（“乐享朝天、消费惠民”消费促进活动）</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color w:val="auto"/>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auto"/>
          <w:sz w:val="32"/>
          <w:szCs w:val="32"/>
          <w:lang w:val="en-US"/>
        </w:rPr>
      </w:pPr>
      <w:r>
        <w:rPr>
          <w:rFonts w:hint="eastAsia" w:ascii="黑体" w:hAnsi="宋体" w:eastAsia="黑体" w:cs="黑体"/>
          <w:color w:val="auto"/>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color w:val="auto"/>
          <w:spacing w:val="-6"/>
          <w:sz w:val="32"/>
          <w:szCs w:val="32"/>
          <w:lang w:val="en-US"/>
        </w:rPr>
      </w:pPr>
      <w:r>
        <w:rPr>
          <w:rFonts w:hint="eastAsia" w:ascii="楷体" w:hAnsi="楷体" w:eastAsia="楷体" w:cs="楷体"/>
          <w:bCs/>
          <w:color w:val="auto"/>
          <w:spacing w:val="-6"/>
          <w:kern w:val="2"/>
          <w:sz w:val="32"/>
          <w:szCs w:val="32"/>
          <w:lang w:val="en-US" w:eastAsia="zh-CN" w:bidi="ar"/>
        </w:rPr>
        <w:t>（一）项目基本情况</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color w:val="auto"/>
          <w:sz w:val="32"/>
          <w:szCs w:val="32"/>
          <w:lang w:val="en-US"/>
        </w:rPr>
      </w:pPr>
      <w:r>
        <w:rPr>
          <w:rFonts w:hint="eastAsia" w:ascii="仿宋_GB2312" w:hAnsi="Times New Roman" w:eastAsia="仿宋_GB2312" w:cs="宋体"/>
          <w:color w:val="auto"/>
          <w:kern w:val="2"/>
          <w:sz w:val="32"/>
          <w:szCs w:val="32"/>
          <w:lang w:val="en-US" w:eastAsia="zh-CN" w:bidi="ar"/>
        </w:rPr>
        <w:t>1.区商务局在该项目管理中的职能是：</w:t>
      </w:r>
      <w:r>
        <w:rPr>
          <w:rFonts w:hint="eastAsia" w:ascii="仿宋_GB2312" w:hAnsi="仿宋_GB2312" w:eastAsia="仿宋_GB2312" w:cs="仿宋_GB2312"/>
          <w:color w:val="auto"/>
          <w:kern w:val="2"/>
          <w:sz w:val="32"/>
          <w:szCs w:val="32"/>
          <w:lang w:val="en-US" w:eastAsia="zh-CN" w:bidi="ar"/>
        </w:rPr>
        <w:t>根据广元市商务局、广元市财政局印发的《广元市促进消费恢复发展政策实施细则的通知》等相关文件规定具体负责项目实施。</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color w:val="auto"/>
          <w:sz w:val="32"/>
          <w:szCs w:val="32"/>
          <w:lang w:val="en-US"/>
        </w:rPr>
      </w:pPr>
      <w:r>
        <w:rPr>
          <w:rFonts w:hint="eastAsia" w:ascii="仿宋_GB2312" w:hAnsi="Times New Roman" w:eastAsia="仿宋_GB2312" w:cs="宋体"/>
          <w:color w:val="auto"/>
          <w:kern w:val="2"/>
          <w:sz w:val="32"/>
          <w:szCs w:val="32"/>
          <w:lang w:val="en-US" w:eastAsia="zh-CN" w:bidi="ar"/>
        </w:rPr>
        <w:t>2．资金申报的依据：</w:t>
      </w:r>
      <w:r>
        <w:rPr>
          <w:rFonts w:hint="eastAsia" w:ascii="仿宋_GB2312" w:hAnsi="仿宋_GB2312" w:eastAsia="仿宋_GB2312" w:cs="仿宋_GB2312"/>
          <w:color w:val="auto"/>
          <w:kern w:val="2"/>
          <w:sz w:val="32"/>
          <w:szCs w:val="32"/>
          <w:lang w:val="en-US" w:eastAsia="zh-CN" w:bidi="ar"/>
        </w:rPr>
        <w:t>根据广元市商务局、广元市财政局印发的《广元市促进消费恢复发展政策实施细则的通知》等相关文件规定具体负责项目实施</w:t>
      </w:r>
      <w:r>
        <w:rPr>
          <w:rFonts w:hint="eastAsia" w:ascii="仿宋_GB2312" w:hAnsi="Times New Roman" w:eastAsia="仿宋_GB2312" w:cs="宋体"/>
          <w:color w:val="auto"/>
          <w:kern w:val="2"/>
          <w:sz w:val="32"/>
          <w:szCs w:val="32"/>
          <w:lang w:val="en-US" w:eastAsia="zh-CN" w:bidi="ar"/>
        </w:rPr>
        <w:t>（广商函〔2022〕39号）文件</w:t>
      </w:r>
      <w:r>
        <w:rPr>
          <w:rFonts w:hint="eastAsia" w:ascii="仿宋" w:hAnsi="仿宋" w:eastAsia="仿宋" w:cs="仿宋"/>
          <w:color w:val="auto"/>
          <w:kern w:val="2"/>
          <w:sz w:val="32"/>
          <w:szCs w:val="32"/>
          <w:lang w:val="en-US" w:eastAsia="zh-CN" w:bidi="ar"/>
        </w:rPr>
        <w:t>。</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color w:val="auto"/>
          <w:sz w:val="32"/>
          <w:szCs w:val="32"/>
          <w:u w:val="single"/>
          <w:lang w:val="en-US"/>
        </w:rPr>
      </w:pPr>
      <w:r>
        <w:rPr>
          <w:rFonts w:hint="eastAsia" w:ascii="仿宋_GB2312" w:hAnsi="Times New Roman" w:eastAsia="仿宋_GB2312" w:cs="宋体"/>
          <w:color w:val="auto"/>
          <w:kern w:val="2"/>
          <w:sz w:val="32"/>
          <w:szCs w:val="32"/>
          <w:lang w:val="en-US" w:eastAsia="zh-CN" w:bidi="ar"/>
        </w:rPr>
        <w:t>3．资金管理办法制定情况，资金支持具体项目的条件、范围与支持方式概况：</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根据省、市、区相关文件规定，我单位安排市运股专人负责该项工作，根据实际发生的相关费用依据，由责任股室初审，然由财务人员复审，最后由分管领导审核无误后，按实际发生数实报实销。</w:t>
      </w:r>
    </w:p>
    <w:p>
      <w:pPr>
        <w:pStyle w:val="20"/>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color w:val="auto"/>
          <w:sz w:val="32"/>
          <w:szCs w:val="32"/>
          <w:u w:val="single"/>
          <w:lang w:val="en-US"/>
        </w:rPr>
      </w:pPr>
      <w:r>
        <w:rPr>
          <w:rFonts w:hint="eastAsia" w:ascii="仿宋_GB2312" w:hAnsi="Times New Roman" w:eastAsia="仿宋_GB2312" w:cs="宋体"/>
          <w:color w:val="auto"/>
          <w:kern w:val="2"/>
          <w:sz w:val="32"/>
          <w:szCs w:val="32"/>
          <w:lang w:val="en-US" w:eastAsia="zh-CN" w:bidi="ar"/>
        </w:rPr>
        <w:t>4．资金分配的原则及考虑因素：主要开展发放消费券、促进汽车消费支持餐饮消费等活动，根据消费群体消费领域比重分配资金</w:t>
      </w:r>
      <w:r>
        <w:rPr>
          <w:rFonts w:hint="eastAsia" w:ascii="仿宋_GB2312" w:hAnsi="仿宋_GB2312"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color w:val="auto"/>
          <w:spacing w:val="-6"/>
          <w:sz w:val="32"/>
          <w:szCs w:val="32"/>
          <w:lang w:val="en-US"/>
        </w:rPr>
      </w:pPr>
      <w:r>
        <w:rPr>
          <w:rFonts w:hint="eastAsia" w:ascii="楷体" w:hAnsi="楷体" w:eastAsia="楷体" w:cs="楷体"/>
          <w:bCs/>
          <w:color w:val="auto"/>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1．项目主要内容：</w:t>
      </w:r>
      <w:r>
        <w:rPr>
          <w:rFonts w:hint="eastAsia" w:ascii="仿宋_GB2312" w:hAnsi="仿宋_GB2312" w:eastAsia="仿宋_GB2312" w:cs="仿宋_GB2312"/>
          <w:color w:val="auto"/>
          <w:kern w:val="2"/>
          <w:sz w:val="32"/>
          <w:szCs w:val="32"/>
          <w:lang w:val="en-US" w:eastAsia="zh-CN" w:bidi="ar"/>
        </w:rPr>
        <w:t>严格按照中央、省、市相关文件规定，科学、合理管理与使用专项资金，做到程序规范、权责明晰、按规使用，发挥资金效益。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color w:val="auto"/>
          <w:sz w:val="32"/>
          <w:szCs w:val="32"/>
          <w:u w:val="single"/>
          <w:lang w:val="en-US"/>
        </w:rPr>
      </w:pPr>
      <w:r>
        <w:rPr>
          <w:rFonts w:hint="eastAsia" w:ascii="仿宋_GB2312" w:hAnsi="宋体" w:eastAsia="仿宋_GB2312" w:cs="仿宋_GB2312"/>
          <w:color w:val="auto"/>
          <w:kern w:val="2"/>
          <w:sz w:val="32"/>
          <w:szCs w:val="32"/>
          <w:lang w:val="en-US" w:eastAsia="zh-CN" w:bidi="ar"/>
        </w:rPr>
        <w:t>2．项目具体绩效目标</w:t>
      </w:r>
      <w:r>
        <w:rPr>
          <w:rFonts w:hint="eastAsia" w:ascii="仿宋_GB2312" w:hAnsi="Times New Roman" w:eastAsia="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严格按照相关文件规定，科学、合理管理与使用专项资金，发挥资金最大效益。</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3．项目资金申报相符性：使用</w:t>
      </w:r>
      <w:r>
        <w:rPr>
          <w:rFonts w:hint="eastAsia" w:ascii="仿宋_GB2312" w:hAnsi="仿宋_GB2312" w:eastAsia="仿宋_GB2312" w:cs="仿宋_GB2312"/>
          <w:color w:val="auto"/>
          <w:kern w:val="2"/>
          <w:sz w:val="32"/>
          <w:szCs w:val="32"/>
          <w:lang w:val="en-US" w:eastAsia="zh-CN" w:bidi="ar"/>
        </w:rPr>
        <w:t>资金与申报内容相符、申报目标合理可行。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rPr>
          <w:color w:val="auto"/>
          <w:lang w:val="en-US"/>
        </w:rPr>
      </w:pPr>
      <w:r>
        <w:rPr>
          <w:rFonts w:hint="eastAsia" w:ascii="楷体" w:hAnsi="楷体" w:eastAsia="楷体" w:cs="楷体"/>
          <w:bCs/>
          <w:color w:val="auto"/>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在绩效评价工作中，我局严格按照</w:t>
      </w:r>
      <w:r>
        <w:rPr>
          <w:rFonts w:hint="eastAsia" w:ascii="仿宋_GB2312" w:hAnsi="Times New Roman" w:eastAsia="仿宋_GB2312" w:cs="宋体"/>
          <w:color w:val="auto"/>
          <w:kern w:val="2"/>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color w:val="auto"/>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一是前期准备。我局成立了专项资金绩效评价工作领导小组，明确了工作职责，制定了评价方案，细化了组织实施步骤和环节安排等内容，确定了实施时间。具体由服务业股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二是具体实施。项目绩效评价实施步骤：（1）收集核查资料。收集该项目资金相关政策文件和相关制度等资料；加强自查相关制度是否完善，资金分配、使用是否合理，拨付手续是否齐全，是否存在截留、挪用等情况。（2）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auto"/>
          <w:sz w:val="32"/>
          <w:szCs w:val="32"/>
          <w:lang w:val="en-US"/>
        </w:rPr>
      </w:pPr>
      <w:r>
        <w:rPr>
          <w:rFonts w:hint="eastAsia" w:ascii="黑体" w:hAnsi="宋体" w:eastAsia="黑体" w:cs="黑体"/>
          <w:color w:val="auto"/>
          <w:kern w:val="2"/>
          <w:sz w:val="32"/>
          <w:szCs w:val="32"/>
          <w:lang w:val="en-US" w:eastAsia="zh-CN" w:bidi="ar"/>
        </w:rPr>
        <w:t>二、项目资金申报及使用情况</w:t>
      </w:r>
    </w:p>
    <w:p>
      <w:pPr>
        <w:pStyle w:val="20"/>
        <w:keepNext w:val="0"/>
        <w:keepLines w:val="0"/>
        <w:widowControl w:val="0"/>
        <w:suppressLineNumbers w:val="0"/>
        <w:spacing w:before="0" w:beforeAutospacing="0" w:after="0" w:afterAutospacing="0" w:line="560" w:lineRule="exact"/>
        <w:ind w:left="0" w:right="0" w:firstLine="616" w:firstLineChars="200"/>
        <w:jc w:val="both"/>
        <w:rPr>
          <w:rFonts w:hint="eastAsia" w:ascii="仿宋_GB2312" w:hAnsi="仿宋_GB2312" w:eastAsia="仿宋_GB2312" w:cs="仿宋_GB2312"/>
          <w:color w:val="auto"/>
          <w:sz w:val="32"/>
          <w:szCs w:val="32"/>
          <w:lang w:val="en-US"/>
        </w:rPr>
      </w:pPr>
      <w:r>
        <w:rPr>
          <w:rFonts w:hint="eastAsia" w:ascii="楷体" w:hAnsi="楷体" w:eastAsia="楷体" w:cs="楷体"/>
          <w:bCs/>
          <w:color w:val="auto"/>
          <w:spacing w:val="-6"/>
          <w:kern w:val="2"/>
          <w:sz w:val="32"/>
          <w:szCs w:val="32"/>
          <w:lang w:val="en-US" w:eastAsia="zh-CN" w:bidi="ar"/>
        </w:rPr>
        <w:t>（一）项目资金申报及批复情况。</w:t>
      </w:r>
      <w:r>
        <w:rPr>
          <w:rFonts w:hint="eastAsia" w:ascii="仿宋_GB2312" w:hAnsi="Times New Roman" w:eastAsia="仿宋_GB2312" w:cs="宋体"/>
          <w:color w:val="auto"/>
          <w:kern w:val="2"/>
          <w:sz w:val="32"/>
          <w:szCs w:val="32"/>
          <w:lang w:val="en-US" w:eastAsia="zh-CN" w:bidi="ar"/>
        </w:rPr>
        <w:t>按照</w:t>
      </w:r>
      <w:r>
        <w:rPr>
          <w:rFonts w:hint="eastAsia" w:ascii="仿宋_GB2312" w:hAnsi="仿宋_GB2312" w:eastAsia="仿宋_GB2312" w:cs="仿宋_GB2312"/>
          <w:color w:val="auto"/>
          <w:kern w:val="2"/>
          <w:sz w:val="32"/>
          <w:szCs w:val="32"/>
          <w:lang w:val="en-US" w:eastAsia="zh-CN" w:bidi="ar"/>
        </w:rPr>
        <w:t>广元市商务局、广元市财政局印发的《广元市促进消费恢复发展政策实施细则的通知》等相关文件规定具体负责项目实施</w:t>
      </w:r>
      <w:r>
        <w:rPr>
          <w:rFonts w:hint="eastAsia" w:ascii="仿宋_GB2312" w:hAnsi="Times New Roman" w:eastAsia="仿宋_GB2312" w:cs="宋体"/>
          <w:color w:val="auto"/>
          <w:kern w:val="2"/>
          <w:sz w:val="32"/>
          <w:szCs w:val="32"/>
          <w:lang w:val="en-US" w:eastAsia="zh-CN" w:bidi="ar"/>
        </w:rPr>
        <w:t>（广商函〔2022〕39号）文件，2022年安排我区“</w:t>
      </w:r>
      <w:r>
        <w:rPr>
          <w:rFonts w:hint="eastAsia" w:ascii="宋体" w:hAnsi="宋体" w:eastAsia="方正仿宋简体" w:cs="宋体"/>
          <w:color w:val="auto"/>
          <w:kern w:val="2"/>
          <w:sz w:val="32"/>
          <w:szCs w:val="32"/>
          <w:lang w:val="en-US" w:eastAsia="zh-CN" w:bidi="ar"/>
        </w:rPr>
        <w:t>乐享朝天</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方正仿宋简体" w:cs="宋体"/>
          <w:color w:val="auto"/>
          <w:kern w:val="2"/>
          <w:sz w:val="32"/>
          <w:szCs w:val="32"/>
          <w:lang w:val="en-US" w:eastAsia="zh-CN" w:bidi="ar"/>
        </w:rPr>
        <w:t>消费惠民</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方正仿宋简体" w:cs="宋体"/>
          <w:color w:val="auto"/>
          <w:kern w:val="2"/>
          <w:sz w:val="32"/>
          <w:szCs w:val="32"/>
          <w:lang w:val="en-US" w:eastAsia="zh-CN" w:bidi="ar"/>
        </w:rPr>
        <w:t>消费促进活动</w:t>
      </w:r>
      <w:r>
        <w:rPr>
          <w:rFonts w:hint="eastAsia" w:ascii="仿宋_GB2312" w:hAnsi="Times New Roman" w:eastAsia="仿宋_GB2312" w:cs="宋体"/>
          <w:color w:val="auto"/>
          <w:kern w:val="2"/>
          <w:sz w:val="32"/>
          <w:szCs w:val="32"/>
          <w:lang w:val="en-US" w:eastAsia="zh-CN" w:bidi="ar"/>
        </w:rPr>
        <w:t>183万元，</w:t>
      </w:r>
      <w:r>
        <w:rPr>
          <w:rFonts w:hint="eastAsia" w:ascii="仿宋_GB2312" w:hAnsi="仿宋_GB2312" w:eastAsia="仿宋_GB2312" w:cs="仿宋_GB2312"/>
          <w:color w:val="auto"/>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color w:val="auto"/>
          <w:spacing w:val="-6"/>
          <w:sz w:val="32"/>
          <w:szCs w:val="32"/>
          <w:lang w:val="en-US"/>
        </w:rPr>
      </w:pPr>
      <w:r>
        <w:rPr>
          <w:rFonts w:hint="eastAsia" w:ascii="楷体" w:hAnsi="楷体" w:eastAsia="楷体" w:cs="楷体"/>
          <w:bCs/>
          <w:color w:val="auto"/>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color w:val="auto"/>
          <w:sz w:val="32"/>
          <w:szCs w:val="32"/>
          <w:lang w:val="en-US"/>
        </w:rPr>
      </w:pPr>
      <w:r>
        <w:rPr>
          <w:rFonts w:hint="eastAsia" w:ascii="楷体" w:hAnsi="楷体" w:eastAsia="楷体" w:cs="楷体"/>
          <w:bCs/>
          <w:color w:val="auto"/>
          <w:spacing w:val="-6"/>
          <w:kern w:val="2"/>
          <w:sz w:val="32"/>
          <w:szCs w:val="32"/>
          <w:lang w:val="en-US" w:eastAsia="zh-CN" w:bidi="ar"/>
        </w:rPr>
        <w:t>1.资金计划。</w:t>
      </w:r>
      <w:r>
        <w:rPr>
          <w:rFonts w:hint="eastAsia" w:ascii="仿宋_GB2312" w:hAnsi="仿宋_GB2312" w:eastAsia="仿宋_GB2312" w:cs="仿宋_GB2312"/>
          <w:color w:val="auto"/>
          <w:kern w:val="2"/>
          <w:sz w:val="32"/>
          <w:szCs w:val="32"/>
          <w:lang w:val="en-US" w:eastAsia="zh-CN" w:bidi="ar"/>
        </w:rPr>
        <w:t>2022年，</w:t>
      </w:r>
      <w:r>
        <w:rPr>
          <w:rFonts w:hint="eastAsia" w:ascii="仿宋_GB2312" w:hAnsi="Times New Roman" w:eastAsia="仿宋_GB2312" w:cs="宋体"/>
          <w:color w:val="auto"/>
          <w:kern w:val="2"/>
          <w:sz w:val="32"/>
          <w:szCs w:val="32"/>
          <w:lang w:val="en-US" w:eastAsia="zh-CN" w:bidi="ar"/>
        </w:rPr>
        <w:t>安排我区“</w:t>
      </w:r>
      <w:r>
        <w:rPr>
          <w:rFonts w:hint="eastAsia" w:ascii="宋体" w:hAnsi="宋体" w:eastAsia="宋体" w:cs="宋体"/>
          <w:color w:val="auto"/>
          <w:kern w:val="2"/>
          <w:sz w:val="32"/>
          <w:szCs w:val="32"/>
          <w:lang w:val="en-US" w:eastAsia="zh-CN" w:bidi="ar"/>
        </w:rPr>
        <w:t>乐享朝天</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消费惠民</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消费促进活动</w:t>
      </w:r>
      <w:r>
        <w:rPr>
          <w:rFonts w:hint="eastAsia" w:ascii="仿宋_GB2312" w:hAnsi="Times New Roman" w:eastAsia="仿宋_GB2312" w:cs="宋体"/>
          <w:color w:val="auto"/>
          <w:kern w:val="2"/>
          <w:sz w:val="32"/>
          <w:szCs w:val="32"/>
          <w:lang w:val="en-US" w:eastAsia="zh-CN" w:bidi="ar"/>
        </w:rPr>
        <w:t>183万元，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color w:val="auto"/>
          <w:spacing w:val="-6"/>
          <w:sz w:val="32"/>
          <w:szCs w:val="32"/>
          <w:lang w:val="en-US"/>
        </w:rPr>
      </w:pPr>
      <w:r>
        <w:rPr>
          <w:rFonts w:hint="eastAsia" w:ascii="楷体" w:hAnsi="楷体" w:eastAsia="楷体" w:cs="楷体"/>
          <w:bCs/>
          <w:color w:val="auto"/>
          <w:spacing w:val="-6"/>
          <w:kern w:val="2"/>
          <w:sz w:val="32"/>
          <w:szCs w:val="32"/>
          <w:lang w:val="en-US" w:eastAsia="zh-CN" w:bidi="ar"/>
        </w:rPr>
        <w:t>2.资金到位。2022年</w:t>
      </w:r>
      <w:r>
        <w:rPr>
          <w:rFonts w:hint="eastAsia" w:ascii="仿宋_GB2312" w:hAnsi="Times New Roman" w:eastAsia="仿宋_GB2312" w:cs="宋体"/>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乐享朝天</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消费惠民</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消费促进活动</w:t>
      </w:r>
      <w:r>
        <w:rPr>
          <w:rFonts w:hint="eastAsia" w:ascii="仿宋_GB2312" w:hAnsi="仿宋" w:eastAsia="仿宋_GB2312" w:cs="仿宋_GB2312"/>
          <w:color w:val="auto"/>
          <w:kern w:val="2"/>
          <w:sz w:val="32"/>
          <w:szCs w:val="32"/>
          <w:lang w:val="en-US" w:eastAsia="zh-CN" w:bidi="ar"/>
        </w:rPr>
        <w:t>全年实际到位170.59万元，</w:t>
      </w:r>
      <w:r>
        <w:rPr>
          <w:rFonts w:hint="eastAsia" w:ascii="仿宋_GB2312" w:hAnsi="Times New Roman" w:eastAsia="仿宋_GB2312" w:cs="仿宋_GB2312"/>
          <w:color w:val="auto"/>
          <w:spacing w:val="-6"/>
          <w:kern w:val="2"/>
          <w:sz w:val="32"/>
          <w:szCs w:val="32"/>
          <w:lang w:val="en-US" w:eastAsia="zh-CN" w:bidi="ar"/>
        </w:rPr>
        <w:t>资金到位率93.22%，</w:t>
      </w:r>
      <w:r>
        <w:rPr>
          <w:rFonts w:hint="eastAsia" w:ascii="仿宋_GB2312" w:hAnsi="宋体" w:eastAsia="仿宋_GB2312" w:cs="仿宋_GB2312"/>
          <w:color w:val="auto"/>
          <w:kern w:val="2"/>
          <w:sz w:val="32"/>
          <w:szCs w:val="32"/>
          <w:lang w:val="en-US" w:eastAsia="zh-CN" w:bidi="ar"/>
        </w:rPr>
        <w:t>到位及时性</w:t>
      </w:r>
      <w:r>
        <w:rPr>
          <w:rFonts w:hint="eastAsia" w:ascii="仿宋_GB2312" w:hAnsi="Times New Roman" w:eastAsia="仿宋_GB2312" w:cs="仿宋_GB2312"/>
          <w:color w:val="auto"/>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color w:val="auto"/>
          <w:sz w:val="32"/>
          <w:szCs w:val="32"/>
          <w:lang w:val="en-US" w:bidi="ar"/>
        </w:rPr>
      </w:pPr>
      <w:r>
        <w:rPr>
          <w:rFonts w:hint="eastAsia" w:ascii="楷体" w:hAnsi="楷体" w:eastAsia="楷体" w:cs="楷体"/>
          <w:bCs/>
          <w:color w:val="auto"/>
          <w:spacing w:val="-6"/>
          <w:kern w:val="2"/>
          <w:sz w:val="32"/>
          <w:szCs w:val="32"/>
          <w:lang w:val="en-US" w:eastAsia="zh-CN" w:bidi="ar"/>
        </w:rPr>
        <w:t>3.资金使用。</w:t>
      </w:r>
      <w:r>
        <w:rPr>
          <w:rFonts w:hint="eastAsia" w:ascii="仿宋_GB2312" w:hAnsi="Times New Roman" w:eastAsia="仿宋_GB2312" w:cs="仿宋_GB2312"/>
          <w:color w:val="auto"/>
          <w:spacing w:val="-6"/>
          <w:kern w:val="2"/>
          <w:sz w:val="32"/>
          <w:szCs w:val="32"/>
          <w:lang w:val="en-US" w:eastAsia="zh-CN" w:bidi="ar"/>
        </w:rPr>
        <w:t>严格按照相关财政文件要求，该项目经费拨款全部用于</w:t>
      </w:r>
      <w:r>
        <w:rPr>
          <w:rFonts w:hint="eastAsia" w:ascii="仿宋_GB2312" w:hAnsi="Times New Roman" w:eastAsia="仿宋_GB2312" w:cs="宋体"/>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乐享朝天</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消费惠民</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消费促进活动</w:t>
      </w:r>
      <w:r>
        <w:rPr>
          <w:rFonts w:hint="eastAsia" w:ascii="仿宋_GB2312" w:hAnsi="Times New Roman" w:eastAsia="仿宋_GB2312" w:cs="仿宋_GB2312"/>
          <w:color w:val="auto"/>
          <w:spacing w:val="-6"/>
          <w:kern w:val="2"/>
          <w:sz w:val="32"/>
          <w:szCs w:val="32"/>
          <w:lang w:val="en-US" w:eastAsia="zh-CN" w:bidi="ar"/>
        </w:rPr>
        <w:t>专项支</w:t>
      </w:r>
      <w:r>
        <w:rPr>
          <w:rFonts w:hint="eastAsia" w:ascii="仿宋_GB2312" w:hAnsi="仿宋_GB2312" w:eastAsia="仿宋_GB2312" w:cs="仿宋_GB2312"/>
          <w:color w:val="auto"/>
          <w:kern w:val="2"/>
          <w:sz w:val="32"/>
          <w:szCs w:val="32"/>
          <w:lang w:val="en-US" w:eastAsia="zh-CN" w:bidi="ar"/>
        </w:rPr>
        <w:t>出</w:t>
      </w:r>
      <w:r>
        <w:rPr>
          <w:rFonts w:hint="eastAsia" w:ascii="仿宋_GB2312" w:hAnsi="Times New Roman" w:eastAsia="仿宋_GB2312" w:cs="仿宋_GB2312"/>
          <w:color w:val="auto"/>
          <w:spacing w:val="-6"/>
          <w:kern w:val="2"/>
          <w:sz w:val="32"/>
          <w:szCs w:val="32"/>
          <w:lang w:val="en-US" w:eastAsia="zh-CN" w:bidi="ar"/>
        </w:rPr>
        <w:t>，做到了依据合规合法，资金支付与预算相符，</w:t>
      </w:r>
      <w:r>
        <w:rPr>
          <w:rFonts w:hint="eastAsia" w:ascii="仿宋_GB2312" w:hAnsi="宋体" w:eastAsia="仿宋_GB2312" w:cs="仿宋_GB2312"/>
          <w:color w:val="auto"/>
          <w:kern w:val="2"/>
          <w:sz w:val="32"/>
          <w:szCs w:val="32"/>
          <w:lang w:val="en-US" w:eastAsia="zh-CN" w:bidi="ar"/>
        </w:rPr>
        <w:t>资金使用的安全性、规范性及有效性、</w:t>
      </w:r>
      <w:r>
        <w:rPr>
          <w:rFonts w:hint="eastAsia" w:ascii="仿宋_GB2312" w:hAnsi="仿宋" w:eastAsia="仿宋_GB2312" w:cs="仿宋_GB2312"/>
          <w:color w:val="auto"/>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hAnsi="仿宋_GB2312" w:eastAsia="仿宋_GB2312" w:cs="仿宋_GB2312"/>
          <w:color w:val="auto"/>
          <w:sz w:val="32"/>
          <w:szCs w:val="32"/>
          <w:lang w:val="zh-CN" w:eastAsia="zh-CN"/>
        </w:rPr>
      </w:pPr>
      <w:r>
        <w:rPr>
          <w:rFonts w:hint="eastAsia" w:ascii="楷体" w:hAnsi="楷体" w:eastAsia="楷体" w:cs="楷体"/>
          <w:bCs/>
          <w:color w:val="auto"/>
          <w:spacing w:val="-6"/>
          <w:kern w:val="2"/>
          <w:sz w:val="32"/>
          <w:szCs w:val="32"/>
          <w:lang w:val="en-US" w:eastAsia="zh-CN" w:bidi="ar"/>
        </w:rPr>
        <w:t>（三）项目财务管理情况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kern w:val="2"/>
          <w:sz w:val="32"/>
          <w:szCs w:val="32"/>
          <w:lang w:val="en-US" w:eastAsia="zh-CN" w:bidi="ar"/>
        </w:rPr>
        <w:t>2022年，我局严格按照专项资金管理办法和专项资金文件指定用途，健全了财务管理制度，严格执行财经管理规定，规范会计核算，设立了专项明细账，并进行专门核算，做到了专款专用，全面完成了建设任务，达到了预期目标。</w:t>
      </w:r>
      <w:r>
        <w:rPr>
          <w:rFonts w:hint="eastAsia" w:ascii="仿宋_GB2312" w:hAnsi="仿宋_GB2312" w:eastAsia="仿宋_GB2312" w:cs="仿宋_GB2312"/>
          <w:color w:val="auto"/>
          <w:kern w:val="2"/>
          <w:sz w:val="32"/>
          <w:szCs w:val="32"/>
          <w:lang w:val="zh-CN" w:eastAsia="zh-CN" w:bidi="ar"/>
        </w:rPr>
        <w:t>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黑体" w:hAnsi="宋体" w:eastAsia="黑体" w:cs="黑体"/>
          <w:color w:val="auto"/>
          <w:kern w:val="2"/>
          <w:sz w:val="32"/>
          <w:szCs w:val="32"/>
          <w:lang w:val="en-US" w:eastAsia="zh-CN" w:bidi="ar"/>
        </w:rPr>
        <w:t>三、项目实施及管理情况</w:t>
      </w:r>
    </w:p>
    <w:p>
      <w:pPr>
        <w:keepNext w:val="0"/>
        <w:keepLines w:val="0"/>
        <w:widowControl w:val="0"/>
        <w:numPr>
          <w:ilvl w:val="0"/>
          <w:numId w:val="10"/>
        </w:numPr>
        <w:suppressLineNumbers w:val="0"/>
        <w:spacing w:before="0" w:beforeAutospacing="0" w:after="0" w:afterAutospacing="0" w:line="360" w:lineRule="auto"/>
        <w:ind w:left="0" w:right="0" w:firstLine="640" w:firstLineChars="200"/>
        <w:jc w:val="both"/>
        <w:rPr>
          <w:rFonts w:hint="eastAsia" w:ascii="楷体_GB2312" w:hAnsi="宋体" w:eastAsia="楷体_GB2312" w:cs="楷体_GB2312"/>
          <w:b/>
          <w:bCs w:val="0"/>
          <w:color w:val="auto"/>
          <w:sz w:val="32"/>
          <w:szCs w:val="32"/>
          <w:lang w:val="en-US"/>
        </w:rPr>
      </w:pPr>
      <w:r>
        <w:rPr>
          <w:rFonts w:hint="eastAsia" w:ascii="仿宋" w:hAnsi="仿宋" w:eastAsia="仿宋" w:cs="仿宋"/>
          <w:color w:val="auto"/>
          <w:kern w:val="2"/>
          <w:sz w:val="32"/>
          <w:szCs w:val="32"/>
          <w:lang w:val="en-US" w:eastAsia="zh-CN" w:bidi="ar"/>
        </w:rPr>
        <w:t>项目组织架构及实施流程</w:t>
      </w:r>
      <w:r>
        <w:rPr>
          <w:rFonts w:hint="eastAsia" w:ascii="楷体_GB2312" w:hAnsi="宋体" w:eastAsia="楷体_GB2312" w:cs="楷体_GB2312"/>
          <w:b/>
          <w:bCs w:val="0"/>
          <w:color w:val="auto"/>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宋体"/>
          <w:color w:val="auto"/>
          <w:sz w:val="32"/>
          <w:szCs w:val="32"/>
          <w:lang w:val="en-US"/>
        </w:rPr>
      </w:pPr>
      <w:r>
        <w:rPr>
          <w:rFonts w:hint="eastAsia" w:ascii="仿宋_GB2312" w:hAnsi="Times New Roman" w:eastAsia="仿宋_GB2312" w:cs="宋体"/>
          <w:color w:val="auto"/>
          <w:kern w:val="2"/>
          <w:sz w:val="32"/>
          <w:szCs w:val="32"/>
          <w:lang w:val="en-US" w:eastAsia="zh-CN" w:bidi="ar"/>
        </w:rPr>
        <w:t>此项工作由局长牵头，分管领导负责管理，具体由服务业股负责实施，按文件要求做好项目的规划并组织实施，加快项目建设进度，随时对项目与资金进行监督与管理，确保项目按时完成。</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（二）项目管理情况。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Times New Roman" w:eastAsia="仿宋_GB2312" w:cs="宋体"/>
          <w:color w:val="auto"/>
          <w:kern w:val="2"/>
          <w:sz w:val="32"/>
          <w:szCs w:val="32"/>
          <w:lang w:val="en-US" w:eastAsia="zh-CN" w:bidi="ar"/>
        </w:rPr>
        <w:t>严格执行财政专项资金管理制度，设立明细专账，实行专账管理，专人负责，专款专用。</w:t>
      </w:r>
      <w:r>
        <w:rPr>
          <w:rFonts w:hint="eastAsia" w:ascii="仿宋_GB2312" w:hAnsi="仿宋_GB2312" w:eastAsia="仿宋_GB2312" w:cs="仿宋_GB2312"/>
          <w:color w:val="auto"/>
          <w:kern w:val="2"/>
          <w:sz w:val="32"/>
          <w:szCs w:val="32"/>
          <w:lang w:val="en-US" w:eastAsia="zh-CN" w:bidi="ar"/>
        </w:rPr>
        <w:t>2022年使用</w:t>
      </w:r>
      <w:r>
        <w:rPr>
          <w:rFonts w:hint="eastAsia" w:ascii="仿宋_GB2312" w:hAnsi="Times New Roman" w:eastAsia="仿宋_GB2312" w:cs="宋体"/>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乐享朝天</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消费惠民</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消费促进活动资金</w:t>
      </w:r>
      <w:r>
        <w:rPr>
          <w:rFonts w:hint="eastAsia" w:ascii="仿宋_GB2312" w:hAnsi="Times New Roman" w:eastAsia="仿宋_GB2312" w:cs="宋体"/>
          <w:color w:val="auto"/>
          <w:kern w:val="2"/>
          <w:sz w:val="32"/>
          <w:szCs w:val="32"/>
          <w:lang w:val="en-US" w:eastAsia="zh-CN" w:bidi="ar"/>
        </w:rPr>
        <w:t>170.59</w:t>
      </w:r>
      <w:r>
        <w:rPr>
          <w:rFonts w:hint="eastAsia" w:ascii="仿宋_GB2312" w:hAnsi="仿宋_GB2312" w:eastAsia="仿宋_GB2312" w:cs="仿宋_GB2312"/>
          <w:color w:val="auto"/>
          <w:kern w:val="2"/>
          <w:sz w:val="32"/>
          <w:szCs w:val="32"/>
          <w:lang w:val="en-US" w:eastAsia="zh-CN" w:bidi="ar"/>
        </w:rPr>
        <w:t>万元，</w:t>
      </w:r>
      <w:r>
        <w:rPr>
          <w:rFonts w:hint="eastAsia" w:ascii="仿宋_GB2312" w:hAnsi="仿宋_GB2312" w:eastAsia="仿宋_GB2312" w:cs="仿宋_GB2312"/>
          <w:color w:val="auto"/>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（三）项目监管情况。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kern w:val="2"/>
          <w:sz w:val="32"/>
          <w:szCs w:val="32"/>
          <w:lang w:val="zh-CN" w:eastAsia="zh-CN" w:bidi="ar"/>
        </w:rPr>
        <w:t>积极与财政部门建立统筹协调、密切配合、分工协作的工作机制，制定完善了相关考核办法，定期对各单位项目使用情况进行监督检查。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四、项目绩效情况</w:t>
      </w:r>
      <w:r>
        <w:rPr>
          <w:rFonts w:hint="eastAsia" w:ascii="仿宋" w:hAnsi="仿宋" w:eastAsia="仿宋" w:cs="仿宋"/>
          <w:color w:val="auto"/>
          <w:kern w:val="2"/>
          <w:sz w:val="32"/>
          <w:szCs w:val="32"/>
          <w:lang w:val="en-US" w:eastAsia="zh-CN" w:bidi="ar"/>
        </w:rPr>
        <w:tab/>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（一）项目完成情况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1、数量指标：对外宣6次，对外发公告1次；</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2、质量指标：</w:t>
      </w:r>
      <w:r>
        <w:rPr>
          <w:rFonts w:hint="eastAsia" w:ascii="仿宋" w:hAnsi="仿宋" w:eastAsia="仿宋" w:cs="仿宋"/>
          <w:color w:val="auto"/>
          <w:spacing w:val="1"/>
          <w:w w:val="92"/>
          <w:kern w:val="0"/>
          <w:sz w:val="32"/>
          <w:szCs w:val="32"/>
          <w:fitText w:val="4800" w:id="1424846525"/>
          <w:lang w:val="en-US" w:eastAsia="zh-CN" w:bidi="ar"/>
        </w:rPr>
        <w:t>发放资料覆盖率100%，宣传推广效</w:t>
      </w:r>
      <w:r>
        <w:rPr>
          <w:rFonts w:hint="eastAsia" w:ascii="仿宋" w:hAnsi="仿宋" w:eastAsia="仿宋" w:cs="仿宋"/>
          <w:color w:val="auto"/>
          <w:spacing w:val="5"/>
          <w:w w:val="92"/>
          <w:kern w:val="0"/>
          <w:sz w:val="32"/>
          <w:szCs w:val="32"/>
          <w:fitText w:val="4800" w:id="1424846525"/>
          <w:lang w:val="en-US" w:eastAsia="zh-CN" w:bidi="ar"/>
        </w:rPr>
        <w:t>果</w:t>
      </w:r>
      <w:r>
        <w:rPr>
          <w:rFonts w:hint="eastAsia" w:ascii="仿宋" w:hAnsi="仿宋" w:eastAsia="仿宋" w:cs="仿宋"/>
          <w:color w:val="auto"/>
          <w:kern w:val="2"/>
          <w:sz w:val="32"/>
          <w:szCs w:val="32"/>
          <w:lang w:val="en-US" w:eastAsia="zh-CN" w:bidi="ar"/>
        </w:rPr>
        <w:t>≥95%；</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4、成本指标：专项资金金额183万元</w:t>
      </w:r>
      <w:r>
        <w:rPr>
          <w:rFonts w:hint="eastAsia" w:ascii="仿宋" w:hAnsi="仿宋" w:eastAsia="仿宋" w:cs="仿宋"/>
          <w:color w:val="auto"/>
          <w:kern w:val="2"/>
          <w:sz w:val="32"/>
          <w:szCs w:val="32"/>
          <w:lang w:val="en-US" w:eastAsia="zh-CN" w:bidi="ar"/>
        </w:rPr>
        <w:tab/>
      </w:r>
      <w:r>
        <w:rPr>
          <w:rFonts w:hint="eastAsia" w:ascii="仿宋" w:hAnsi="仿宋" w:eastAsia="仿宋" w:cs="仿宋"/>
          <w:color w:val="auto"/>
          <w:kern w:val="2"/>
          <w:sz w:val="32"/>
          <w:szCs w:val="32"/>
          <w:lang w:val="en-US" w:eastAsia="zh-CN" w:bidi="ar"/>
        </w:rPr>
        <w:t>预算资金执行率100%；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color w:val="auto"/>
          <w:spacing w:val="-6"/>
          <w:sz w:val="32"/>
          <w:szCs w:val="32"/>
          <w:lang w:val="en-US"/>
        </w:rPr>
      </w:pPr>
      <w:r>
        <w:rPr>
          <w:rFonts w:hint="eastAsia" w:ascii="楷体_GB2312" w:hAnsi="Times New Roman" w:eastAsia="楷体_GB2312" w:cs="楷体_GB2312"/>
          <w:bCs/>
          <w:color w:val="auto"/>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1.数量指标。2022年，完成了</w:t>
      </w:r>
      <w:r>
        <w:rPr>
          <w:rFonts w:hint="eastAsia" w:ascii="仿宋_GB2312" w:hAnsi="Times New Roman" w:eastAsia="仿宋_GB2312" w:cs="宋体"/>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乐享朝天</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消费惠民</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消费促进活动</w:t>
      </w:r>
      <w:r>
        <w:rPr>
          <w:rFonts w:hint="eastAsia" w:ascii="仿宋_GB2312" w:hAnsi="仿宋_GB2312" w:eastAsia="仿宋_GB2312" w:cs="仿宋_GB2312"/>
          <w:color w:val="auto"/>
          <w:kern w:val="2"/>
          <w:sz w:val="32"/>
          <w:szCs w:val="32"/>
          <w:lang w:val="en-US" w:eastAsia="zh-CN" w:bidi="ar"/>
        </w:rPr>
        <w:t>对外宣传、公示等工作，积极参加消费促进活动对外宣传推广活动6次。</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2.质量指标。通过项目的实施，拉动朝天消费，促进经济回升。2022年底，省级验收小组对名县项目进行了验收，所有项目验收合格。</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3.时效指标。按照时间节点所实施的项目已经全面完成，完成率达100%。</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4.经济效益。通过资金的投入，拉动消费750万元。</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5.社会效益。通过项目的实施，促进了我区经济建设的快速发展。</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6.可持续影响。通过项目的实施,进一步挖掘了消费潜力，提振了市场经营主体信心。</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color w:val="auto"/>
          <w:sz w:val="32"/>
          <w:szCs w:val="32"/>
          <w:lang w:val="en-US"/>
        </w:rPr>
      </w:pPr>
      <w:r>
        <w:rPr>
          <w:rFonts w:hint="eastAsia" w:ascii="黑体" w:hAnsi="宋体" w:eastAsia="黑体" w:cs="黑体"/>
          <w:color w:val="auto"/>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color w:val="auto"/>
          <w:spacing w:val="-6"/>
          <w:sz w:val="32"/>
          <w:szCs w:val="32"/>
          <w:lang w:val="en-US"/>
        </w:rPr>
      </w:pPr>
      <w:r>
        <w:rPr>
          <w:rFonts w:hint="eastAsia" w:ascii="楷体_GB2312" w:hAnsi="Times New Roman" w:eastAsia="楷体_GB2312" w:cs="楷体_GB2312"/>
          <w:bCs/>
          <w:color w:val="auto"/>
          <w:spacing w:val="-6"/>
          <w:kern w:val="2"/>
          <w:sz w:val="32"/>
          <w:szCs w:val="32"/>
          <w:lang w:val="en-US" w:eastAsia="zh-CN" w:bidi="ar"/>
        </w:rPr>
        <w:t>（一）评价结论。</w:t>
      </w:r>
      <w:r>
        <w:rPr>
          <w:rFonts w:hint="eastAsia" w:ascii="仿宋_GB2312" w:hAnsi="宋体" w:eastAsia="仿宋_GB2312" w:cs="仿宋_GB2312"/>
          <w:color w:val="auto"/>
          <w:kern w:val="2"/>
          <w:sz w:val="32"/>
          <w:szCs w:val="32"/>
          <w:lang w:val="en-US" w:eastAsia="zh-CN" w:bidi="ar"/>
        </w:rPr>
        <w:t>通过自评，</w:t>
      </w:r>
      <w:r>
        <w:rPr>
          <w:rFonts w:hint="eastAsia" w:ascii="仿宋_GB2312" w:hAnsi="Times New Roman" w:eastAsia="仿宋_GB2312" w:cs="宋体"/>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乐享朝天</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消费惠民</w:t>
      </w:r>
      <w:r>
        <w:rPr>
          <w:rFonts w:hint="eastAsia" w:ascii="Malgun Gothic Semilight" w:hAnsi="Malgun Gothic Semilight" w:eastAsia="Malgun Gothic Semilight" w:cs="Malgun Gothic Semilight"/>
          <w:color w:val="auto"/>
          <w:kern w:val="2"/>
          <w:sz w:val="32"/>
          <w:szCs w:val="32"/>
          <w:lang w:val="en-US" w:eastAsia="zh-CN" w:bidi="ar"/>
        </w:rPr>
        <w:t>”</w:t>
      </w:r>
      <w:r>
        <w:rPr>
          <w:rFonts w:hint="eastAsia" w:ascii="宋体" w:hAnsi="宋体" w:eastAsia="宋体" w:cs="宋体"/>
          <w:color w:val="auto"/>
          <w:kern w:val="2"/>
          <w:sz w:val="32"/>
          <w:szCs w:val="32"/>
          <w:lang w:val="en-US" w:eastAsia="zh-CN" w:bidi="ar"/>
        </w:rPr>
        <w:t>消费促进活动</w:t>
      </w:r>
      <w:r>
        <w:rPr>
          <w:rFonts w:hint="eastAsia" w:ascii="仿宋_GB2312" w:hAnsi="Times New Roman" w:eastAsia="仿宋_GB2312" w:cs="宋体"/>
          <w:color w:val="auto"/>
          <w:kern w:val="2"/>
          <w:sz w:val="32"/>
          <w:szCs w:val="32"/>
          <w:lang w:val="en-US" w:eastAsia="zh-CN" w:bidi="ar"/>
        </w:rPr>
        <w:t>资金</w:t>
      </w:r>
      <w:r>
        <w:rPr>
          <w:rFonts w:hint="eastAsia" w:ascii="仿宋_GB2312" w:hAnsi="宋体" w:eastAsia="仿宋_GB2312" w:cs="仿宋_GB2312"/>
          <w:color w:val="auto"/>
          <w:kern w:val="2"/>
          <w:sz w:val="32"/>
          <w:szCs w:val="32"/>
          <w:lang w:val="en-US" w:eastAsia="zh-CN" w:bidi="ar"/>
        </w:rPr>
        <w:t>项目绩效得95分，等级为“优”（详见附表2）。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color w:val="auto"/>
          <w:spacing w:val="-6"/>
          <w:sz w:val="32"/>
          <w:szCs w:val="32"/>
          <w:lang w:val="en-US"/>
        </w:rPr>
      </w:pPr>
      <w:r>
        <w:rPr>
          <w:rFonts w:hint="eastAsia" w:ascii="楷体_GB2312" w:hAnsi="Times New Roman" w:eastAsia="楷体_GB2312" w:cs="楷体_GB2312"/>
          <w:bCs/>
          <w:color w:val="auto"/>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仿宋_GB2312" w:hAnsi="仿宋" w:eastAsia="仿宋_GB2312" w:cs="仿宋_GB2312"/>
          <w:color w:val="auto"/>
          <w:sz w:val="32"/>
          <w:szCs w:val="32"/>
          <w:lang w:val="en-US"/>
        </w:rPr>
      </w:pPr>
      <w:r>
        <w:rPr>
          <w:rFonts w:hint="eastAsia" w:ascii="仿宋_GB2312" w:hAnsi="仿宋" w:eastAsia="仿宋_GB2312" w:cs="仿宋_GB2312"/>
          <w:color w:val="auto"/>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color w:val="auto"/>
          <w:spacing w:val="-6"/>
          <w:sz w:val="32"/>
          <w:szCs w:val="32"/>
          <w:lang w:val="en-US"/>
        </w:rPr>
      </w:pPr>
      <w:r>
        <w:rPr>
          <w:rFonts w:hint="eastAsia" w:ascii="楷体_GB2312" w:hAnsi="Times New Roman" w:eastAsia="楷体_GB2312" w:cs="楷体_GB2312"/>
          <w:bCs/>
          <w:color w:val="auto"/>
          <w:spacing w:val="-6"/>
          <w:kern w:val="2"/>
          <w:sz w:val="32"/>
          <w:szCs w:val="32"/>
          <w:lang w:val="en-US" w:eastAsia="zh-CN" w:bidi="ar"/>
        </w:rPr>
        <w:t>（二）相关建议。</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无</w:t>
      </w: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FF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FF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FF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FF0000"/>
          <w:spacing w:val="-6"/>
          <w:kern w:val="0"/>
          <w:sz w:val="32"/>
          <w:szCs w:val="32"/>
          <w:lang w:val="en-US"/>
        </w:rPr>
      </w:pPr>
    </w:p>
    <w:p>
      <w:pPr>
        <w:pStyle w:val="29"/>
        <w:jc w:val="center"/>
        <w:rPr>
          <w:rFonts w:hint="eastAsia" w:ascii="黑体" w:hAnsi="宋体" w:eastAsia="黑体" w:cs="黑体"/>
          <w:color w:val="000000"/>
          <w:kern w:val="2"/>
          <w:sz w:val="44"/>
          <w:szCs w:val="44"/>
          <w:lang w:val="en-US" w:eastAsia="zh-CN" w:bidi="ar"/>
        </w:rPr>
      </w:pPr>
    </w:p>
    <w:p>
      <w:pPr>
        <w:pStyle w:val="29"/>
        <w:jc w:val="center"/>
        <w:rPr>
          <w:rFonts w:hint="eastAsia" w:ascii="黑体" w:hAnsi="宋体" w:eastAsia="黑体" w:cs="黑体"/>
          <w:color w:val="000000"/>
          <w:kern w:val="2"/>
          <w:sz w:val="44"/>
          <w:szCs w:val="44"/>
          <w:lang w:val="en-US" w:eastAsia="zh-CN" w:bidi="ar"/>
        </w:rPr>
      </w:pPr>
      <w:r>
        <w:rPr>
          <w:rFonts w:hint="eastAsia" w:ascii="黑体" w:hAnsi="宋体" w:eastAsia="黑体" w:cs="黑体"/>
          <w:color w:val="000000"/>
          <w:kern w:val="2"/>
          <w:sz w:val="44"/>
          <w:szCs w:val="44"/>
          <w:lang w:val="en-US" w:eastAsia="zh-CN" w:bidi="ar"/>
        </w:rPr>
        <w:t>第五部分  附表</w:t>
      </w:r>
    </w:p>
    <w:p>
      <w:pPr>
        <w:pStyle w:val="29"/>
        <w:jc w:val="left"/>
        <w:rPr>
          <w:rFonts w:hint="eastAsia" w:ascii="仿宋_GB2312" w:hAnsi="仿宋" w:eastAsia="仿宋_GB2312" w:cs="仿宋_GB2312"/>
          <w:kern w:val="2"/>
          <w:sz w:val="32"/>
          <w:szCs w:val="32"/>
          <w:lang w:val="en-US" w:eastAsia="zh-CN" w:bidi="ar"/>
        </w:rPr>
      </w:pPr>
    </w:p>
    <w:p>
      <w:pPr>
        <w:pStyle w:val="29"/>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2022年决算公开电子版见附件（共13张）</w:t>
      </w:r>
    </w:p>
    <w:p>
      <w:pPr>
        <w:pStyle w:val="29"/>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表一、收入支出决算总表（公开01表）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表二、收入决算表（公开02表）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表三、支出决算表（公开03表）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表四、财政拨款收入支出决算总表（公开04表）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表五、财政拨款支出决算明细表（公开05表）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表六、一般公共预算财政拨款支出决算表（公开06表）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left="559" w:leftChars="266" w:right="0" w:firstLine="0" w:firstLineChars="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表七、一般公共预算财政拨款支出决算明细表（公开07表）     表八、一般公共预算财政拨款基本支出决算表（公开08表）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left="559" w:leftChars="266" w:right="0" w:firstLine="0" w:firstLineChars="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表九、一般公共预算财政拨款项目支出决算表（公开09表）     表十、政府性基金预算财政拨款收入支出决算表（公开10表）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left="559" w:leftChars="266" w:right="0" w:firstLine="0" w:firstLineChars="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表十一、</w:t>
      </w:r>
      <w:r>
        <w:rPr>
          <w:rFonts w:hint="eastAsia" w:ascii="仿宋" w:hAnsi="仿宋" w:eastAsia="仿宋" w:cs="仿宋"/>
          <w:spacing w:val="1"/>
          <w:w w:val="89"/>
          <w:kern w:val="0"/>
          <w:sz w:val="28"/>
          <w:szCs w:val="28"/>
          <w:fitText w:val="4760" w:id="1363819690"/>
          <w:lang w:val="en-US" w:eastAsia="zh-CN" w:bidi="ar"/>
        </w:rPr>
        <w:t>国有资本经营预算财政拨款收入支出决算</w:t>
      </w:r>
      <w:r>
        <w:rPr>
          <w:rFonts w:hint="eastAsia" w:ascii="仿宋" w:hAnsi="仿宋" w:eastAsia="仿宋" w:cs="仿宋"/>
          <w:spacing w:val="14"/>
          <w:w w:val="89"/>
          <w:kern w:val="0"/>
          <w:sz w:val="28"/>
          <w:szCs w:val="28"/>
          <w:fitText w:val="4760" w:id="1363819690"/>
          <w:lang w:val="en-US" w:eastAsia="zh-CN" w:bidi="ar"/>
        </w:rPr>
        <w:t>表</w:t>
      </w:r>
      <w:r>
        <w:rPr>
          <w:rFonts w:hint="eastAsia" w:ascii="仿宋" w:hAnsi="仿宋" w:eastAsia="仿宋" w:cs="仿宋"/>
          <w:kern w:val="2"/>
          <w:sz w:val="28"/>
          <w:szCs w:val="28"/>
          <w:lang w:val="en-US" w:eastAsia="zh-CN" w:bidi="ar"/>
        </w:rPr>
        <w:t>（公开11表）   表十二、国有资本经营预算财政拨款支出决算表（公开12表）</w:t>
      </w:r>
    </w:p>
    <w:bookmarkEnd w:id="12"/>
    <w:bookmarkEnd w:id="13"/>
    <w:p>
      <w:pPr>
        <w:pStyle w:val="29"/>
        <w:ind w:firstLine="560" w:firstLineChars="200"/>
        <w:rPr>
          <w:rFonts w:hint="default"/>
          <w:sz w:val="28"/>
          <w:szCs w:val="28"/>
          <w:lang w:val="en-US" w:eastAsia="zh-CN"/>
        </w:rPr>
      </w:pPr>
      <w:r>
        <w:rPr>
          <w:rFonts w:hint="eastAsia" w:ascii="仿宋" w:hAnsi="仿宋" w:eastAsia="仿宋" w:cs="仿宋"/>
          <w:kern w:val="2"/>
          <w:sz w:val="28"/>
          <w:szCs w:val="28"/>
          <w:lang w:val="en-US" w:eastAsia="zh-CN" w:bidi="ar"/>
        </w:rPr>
        <w:t>表十三、财政拨款“三公”经费支出决算表（公开13表）</w:t>
      </w:r>
    </w:p>
    <w:p>
      <w:pPr>
        <w:pStyle w:val="29"/>
        <w:rPr>
          <w:rFonts w:hint="default"/>
          <w:lang w:val="en-US" w:eastAsia="zh-CN"/>
        </w:rPr>
      </w:pPr>
    </w:p>
    <w:p>
      <w:pPr>
        <w:pStyle w:val="29"/>
        <w:rPr>
          <w:rFonts w:hint="default"/>
          <w:lang w:val="en-US" w:eastAsia="zh-CN"/>
        </w:rPr>
      </w:pPr>
    </w:p>
    <w:p>
      <w:pPr>
        <w:pStyle w:val="29"/>
        <w:rPr>
          <w:rFonts w:hint="default"/>
          <w:lang w:val="en-US" w:eastAsia="zh-CN"/>
        </w:rPr>
      </w:pPr>
    </w:p>
    <w:sectPr>
      <w:pgSz w:w="11906" w:h="16838"/>
      <w:pgMar w:top="1440" w:right="1746" w:bottom="1440" w:left="1746"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lang w:val="en-US"/>
                            </w:rPr>
                            <w:id w:val="-1994781956"/>
                          </w:sdtPr>
                          <w:sdtEndPr>
                            <w:rPr>
                              <w:rFonts w:hint="default"/>
                              <w:lang w:val="en-US"/>
                            </w:rPr>
                          </w:sdtEndPr>
                          <w:sdtContent>
                            <w:p>
                              <w:pPr>
                                <w:pStyle w:val="14"/>
                                <w:jc w:val="center"/>
                                <w:rPr>
                                  <w:rFonts w:hint="default"/>
                                  <w:lang w:val="en-US"/>
                                </w:rPr>
                              </w:pPr>
                            </w:p>
                          </w:sdtContent>
                        </w:sdt>
                        <w:p>
                          <w:pPr>
                            <w:pStyle w:val="1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qLSZHQIAACs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2otJkdAgAAKwQAAA4AAAAAAAAAAQAgAAAANQEAAGRycy9lMm9Eb2MueG1sUEsF&#10;BgAAAAAGAAYAWQEAAMQFAAAAAA==&#10;">
              <v:fill on="f" focussize="0,0"/>
              <v:stroke on="f" weight="0.5pt"/>
              <v:imagedata o:title=""/>
              <o:lock v:ext="edit" aspectratio="f"/>
              <v:textbox inset="0mm,0mm,0mm,0mm" style="mso-fit-shape-to-text:t;">
                <w:txbxContent>
                  <w:sdt>
                    <w:sdtPr>
                      <w:rPr>
                        <w:rFonts w:hint="default"/>
                        <w:lang w:val="en-US"/>
                      </w:rPr>
                      <w:id w:val="-1994781956"/>
                    </w:sdtPr>
                    <w:sdtEndPr>
                      <w:rPr>
                        <w:rFonts w:hint="default"/>
                        <w:lang w:val="en-US"/>
                      </w:rPr>
                    </w:sdtEndPr>
                    <w:sdtContent>
                      <w:p>
                        <w:pPr>
                          <w:pStyle w:val="14"/>
                          <w:jc w:val="center"/>
                          <w:rPr>
                            <w:rFonts w:hint="default"/>
                            <w:lang w:val="en-US"/>
                          </w:rPr>
                        </w:pPr>
                      </w:p>
                    </w:sdtContent>
                  </w:sdt>
                  <w:p>
                    <w:pPr>
                      <w:pStyle w:val="10"/>
                    </w:pP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alIl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m1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valIlHgIAACsEAAAOAAAAAAAAAAEAIAAAADUBAABkcnMvZTJvRG9jLnhtbFBL&#10;BQYAAAAABgAGAFkBAADF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76</w:t>
                    </w:r>
                    <w:r>
                      <w:fldChar w:fldCharType="end"/>
                    </w:r>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C20A8"/>
    <w:multiLevelType w:val="multilevel"/>
    <w:tmpl w:val="ACAC20A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3563E6D"/>
    <w:multiLevelType w:val="multilevel"/>
    <w:tmpl w:val="E3563E6D"/>
    <w:lvl w:ilvl="0" w:tentative="0">
      <w:start w:val="3"/>
      <w:numFmt w:val="chineseCounting"/>
      <w:suff w:val="space"/>
      <w:lvlText w:val="第%1部分"/>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13AD701"/>
    <w:multiLevelType w:val="multilevel"/>
    <w:tmpl w:val="F13AD701"/>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11C1F251"/>
    <w:multiLevelType w:val="multilevel"/>
    <w:tmpl w:val="11C1F251"/>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2EEB982"/>
    <w:multiLevelType w:val="multilevel"/>
    <w:tmpl w:val="12EEB982"/>
    <w:lvl w:ilvl="0" w:tentative="0">
      <w:start w:val="1"/>
      <w:numFmt w:val="japaneseCounting"/>
      <w:lvlText w:val="（%1）"/>
      <w:lvlJc w:val="left"/>
      <w:pPr>
        <w:ind w:left="1603" w:hanging="960"/>
      </w:pPr>
      <w:rPr>
        <w:rFonts w:hint="default" w:ascii="Times New Roman" w:hAnsi="Times New Roman" w:cs="Times New Roman"/>
      </w:rPr>
    </w:lvl>
    <w:lvl w:ilvl="1" w:tentative="0">
      <w:start w:val="1"/>
      <w:numFmt w:val="lowerLetter"/>
      <w:lvlText w:val="%2)"/>
      <w:lvlJc w:val="left"/>
      <w:pPr>
        <w:ind w:left="1483" w:hanging="420"/>
      </w:pPr>
      <w:rPr>
        <w:rFonts w:hint="default" w:ascii="Times New Roman" w:hAnsi="Times New Roman" w:cs="Times New Roman"/>
      </w:rPr>
    </w:lvl>
    <w:lvl w:ilvl="2" w:tentative="0">
      <w:start w:val="1"/>
      <w:numFmt w:val="lowerRoman"/>
      <w:lvlText w:val="%3."/>
      <w:lvlJc w:val="right"/>
      <w:pPr>
        <w:ind w:left="1903" w:hanging="420"/>
      </w:pPr>
      <w:rPr>
        <w:rFonts w:hint="default" w:ascii="Times New Roman" w:hAnsi="Times New Roman" w:cs="Times New Roman"/>
      </w:rPr>
    </w:lvl>
    <w:lvl w:ilvl="3" w:tentative="0">
      <w:start w:val="1"/>
      <w:numFmt w:val="decimal"/>
      <w:lvlText w:val="%4."/>
      <w:lvlJc w:val="left"/>
      <w:pPr>
        <w:ind w:left="2323" w:hanging="420"/>
      </w:pPr>
      <w:rPr>
        <w:rFonts w:hint="default" w:ascii="Times New Roman" w:hAnsi="Times New Roman" w:cs="Times New Roman"/>
      </w:rPr>
    </w:lvl>
    <w:lvl w:ilvl="4" w:tentative="0">
      <w:start w:val="1"/>
      <w:numFmt w:val="lowerLetter"/>
      <w:lvlText w:val="%5)"/>
      <w:lvlJc w:val="left"/>
      <w:pPr>
        <w:ind w:left="2743" w:hanging="420"/>
      </w:pPr>
      <w:rPr>
        <w:rFonts w:hint="default" w:ascii="Times New Roman" w:hAnsi="Times New Roman" w:cs="Times New Roman"/>
      </w:rPr>
    </w:lvl>
    <w:lvl w:ilvl="5" w:tentative="0">
      <w:start w:val="1"/>
      <w:numFmt w:val="lowerRoman"/>
      <w:lvlText w:val="%6."/>
      <w:lvlJc w:val="right"/>
      <w:pPr>
        <w:ind w:left="3163" w:hanging="420"/>
      </w:pPr>
      <w:rPr>
        <w:rFonts w:hint="default" w:ascii="Times New Roman" w:hAnsi="Times New Roman" w:cs="Times New Roman"/>
      </w:rPr>
    </w:lvl>
    <w:lvl w:ilvl="6" w:tentative="0">
      <w:start w:val="1"/>
      <w:numFmt w:val="decimal"/>
      <w:lvlText w:val="%7."/>
      <w:lvlJc w:val="left"/>
      <w:pPr>
        <w:ind w:left="3583" w:hanging="420"/>
      </w:pPr>
      <w:rPr>
        <w:rFonts w:hint="default" w:ascii="Times New Roman" w:hAnsi="Times New Roman" w:cs="Times New Roman"/>
      </w:rPr>
    </w:lvl>
    <w:lvl w:ilvl="7" w:tentative="0">
      <w:start w:val="1"/>
      <w:numFmt w:val="lowerLetter"/>
      <w:lvlText w:val="%8)"/>
      <w:lvlJc w:val="left"/>
      <w:pPr>
        <w:ind w:left="4003" w:hanging="420"/>
      </w:pPr>
      <w:rPr>
        <w:rFonts w:hint="default" w:ascii="Times New Roman" w:hAnsi="Times New Roman" w:cs="Times New Roman"/>
      </w:rPr>
    </w:lvl>
    <w:lvl w:ilvl="8" w:tentative="0">
      <w:start w:val="1"/>
      <w:numFmt w:val="lowerRoman"/>
      <w:lvlText w:val="%9."/>
      <w:lvlJc w:val="right"/>
      <w:pPr>
        <w:ind w:left="4423" w:hanging="420"/>
      </w:pPr>
      <w:rPr>
        <w:rFonts w:hint="default" w:ascii="Times New Roman" w:hAnsi="Times New Roman" w:cs="Times New Roman"/>
      </w:rPr>
    </w:lvl>
  </w:abstractNum>
  <w:abstractNum w:abstractNumId="6">
    <w:nsid w:val="259981FB"/>
    <w:multiLevelType w:val="multilevel"/>
    <w:tmpl w:val="259981F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4833502A"/>
    <w:multiLevelType w:val="singleLevel"/>
    <w:tmpl w:val="4833502A"/>
    <w:lvl w:ilvl="0" w:tentative="0">
      <w:start w:val="3"/>
      <w:numFmt w:val="decimal"/>
      <w:lvlText w:val="%1."/>
      <w:lvlJc w:val="left"/>
      <w:pPr>
        <w:tabs>
          <w:tab w:val="left" w:pos="312"/>
        </w:tabs>
      </w:pPr>
    </w:lvl>
  </w:abstractNum>
  <w:abstractNum w:abstractNumId="8">
    <w:nsid w:val="606175AD"/>
    <w:multiLevelType w:val="multilevel"/>
    <w:tmpl w:val="606175A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6698FEDC"/>
    <w:multiLevelType w:val="multilevel"/>
    <w:tmpl w:val="6698FEDC"/>
    <w:lvl w:ilvl="0" w:tentative="0">
      <w:start w:val="1"/>
      <w:numFmt w:val="japaneseCounting"/>
      <w:lvlText w:val="（%1）"/>
      <w:lvlJc w:val="left"/>
      <w:pPr>
        <w:ind w:left="1603" w:hanging="960"/>
      </w:pPr>
      <w:rPr>
        <w:rFonts w:hint="default" w:ascii="Times New Roman" w:hAnsi="Times New Roman" w:cs="Times New Roman"/>
      </w:rPr>
    </w:lvl>
    <w:lvl w:ilvl="1" w:tentative="0">
      <w:start w:val="1"/>
      <w:numFmt w:val="lowerLetter"/>
      <w:lvlText w:val="%2)"/>
      <w:lvlJc w:val="left"/>
      <w:pPr>
        <w:ind w:left="1483" w:hanging="420"/>
      </w:pPr>
      <w:rPr>
        <w:rFonts w:hint="default" w:ascii="Times New Roman" w:hAnsi="Times New Roman" w:cs="Times New Roman"/>
      </w:rPr>
    </w:lvl>
    <w:lvl w:ilvl="2" w:tentative="0">
      <w:start w:val="1"/>
      <w:numFmt w:val="lowerRoman"/>
      <w:lvlText w:val="%3."/>
      <w:lvlJc w:val="right"/>
      <w:pPr>
        <w:ind w:left="1903" w:hanging="420"/>
      </w:pPr>
      <w:rPr>
        <w:rFonts w:hint="default" w:ascii="Times New Roman" w:hAnsi="Times New Roman" w:cs="Times New Roman"/>
      </w:rPr>
    </w:lvl>
    <w:lvl w:ilvl="3" w:tentative="0">
      <w:start w:val="1"/>
      <w:numFmt w:val="decimal"/>
      <w:lvlText w:val="%4."/>
      <w:lvlJc w:val="left"/>
      <w:pPr>
        <w:ind w:left="2323" w:hanging="420"/>
      </w:pPr>
      <w:rPr>
        <w:rFonts w:hint="default" w:ascii="Times New Roman" w:hAnsi="Times New Roman" w:cs="Times New Roman"/>
      </w:rPr>
    </w:lvl>
    <w:lvl w:ilvl="4" w:tentative="0">
      <w:start w:val="1"/>
      <w:numFmt w:val="lowerLetter"/>
      <w:lvlText w:val="%5)"/>
      <w:lvlJc w:val="left"/>
      <w:pPr>
        <w:ind w:left="2743" w:hanging="420"/>
      </w:pPr>
      <w:rPr>
        <w:rFonts w:hint="default" w:ascii="Times New Roman" w:hAnsi="Times New Roman" w:cs="Times New Roman"/>
      </w:rPr>
    </w:lvl>
    <w:lvl w:ilvl="5" w:tentative="0">
      <w:start w:val="1"/>
      <w:numFmt w:val="lowerRoman"/>
      <w:lvlText w:val="%6."/>
      <w:lvlJc w:val="right"/>
      <w:pPr>
        <w:ind w:left="3163" w:hanging="420"/>
      </w:pPr>
      <w:rPr>
        <w:rFonts w:hint="default" w:ascii="Times New Roman" w:hAnsi="Times New Roman" w:cs="Times New Roman"/>
      </w:rPr>
    </w:lvl>
    <w:lvl w:ilvl="6" w:tentative="0">
      <w:start w:val="1"/>
      <w:numFmt w:val="decimal"/>
      <w:lvlText w:val="%7."/>
      <w:lvlJc w:val="left"/>
      <w:pPr>
        <w:ind w:left="3583" w:hanging="420"/>
      </w:pPr>
      <w:rPr>
        <w:rFonts w:hint="default" w:ascii="Times New Roman" w:hAnsi="Times New Roman" w:cs="Times New Roman"/>
      </w:rPr>
    </w:lvl>
    <w:lvl w:ilvl="7" w:tentative="0">
      <w:start w:val="1"/>
      <w:numFmt w:val="lowerLetter"/>
      <w:lvlText w:val="%8)"/>
      <w:lvlJc w:val="left"/>
      <w:pPr>
        <w:ind w:left="4003" w:hanging="420"/>
      </w:pPr>
      <w:rPr>
        <w:rFonts w:hint="default" w:ascii="Times New Roman" w:hAnsi="Times New Roman" w:cs="Times New Roman"/>
      </w:rPr>
    </w:lvl>
    <w:lvl w:ilvl="8" w:tentative="0">
      <w:start w:val="1"/>
      <w:numFmt w:val="lowerRoman"/>
      <w:lvlText w:val="%9."/>
      <w:lvlJc w:val="right"/>
      <w:pPr>
        <w:ind w:left="4423" w:hanging="420"/>
      </w:pPr>
      <w:rPr>
        <w:rFonts w:hint="default" w:ascii="Times New Roman" w:hAnsi="Times New Roman" w:cs="Times New Roman"/>
      </w:rPr>
    </w:lvl>
  </w:abstractNum>
  <w:num w:numId="1">
    <w:abstractNumId w:val="3"/>
  </w:num>
  <w:num w:numId="2">
    <w:abstractNumId w:val="7"/>
  </w:num>
  <w:num w:numId="3">
    <w:abstractNumId w:val="1"/>
  </w:num>
  <w:num w:numId="4">
    <w:abstractNumId w:val="2"/>
  </w:num>
  <w:num w:numId="5">
    <w:abstractNumId w:val="4"/>
  </w:num>
  <w:num w:numId="6">
    <w:abstractNumId w:val="9"/>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WZjY2M5YWFhNDkzMzFmZDQzN2YwYjgyMmM5MjMifQ=="/>
  </w:docVars>
  <w:rsids>
    <w:rsidRoot w:val="00F1361C"/>
    <w:rsid w:val="000222C6"/>
    <w:rsid w:val="0002549F"/>
    <w:rsid w:val="000468DB"/>
    <w:rsid w:val="0006487A"/>
    <w:rsid w:val="00065114"/>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0B2"/>
    <w:rsid w:val="000D5782"/>
    <w:rsid w:val="000E6613"/>
    <w:rsid w:val="000E7119"/>
    <w:rsid w:val="00104EB7"/>
    <w:rsid w:val="00114E9B"/>
    <w:rsid w:val="00142216"/>
    <w:rsid w:val="00144D6A"/>
    <w:rsid w:val="0014729F"/>
    <w:rsid w:val="00157BAB"/>
    <w:rsid w:val="00163ED0"/>
    <w:rsid w:val="001654D1"/>
    <w:rsid w:val="00174518"/>
    <w:rsid w:val="0018106D"/>
    <w:rsid w:val="001850A1"/>
    <w:rsid w:val="001877A7"/>
    <w:rsid w:val="00191536"/>
    <w:rsid w:val="00196687"/>
    <w:rsid w:val="001B132D"/>
    <w:rsid w:val="001C0962"/>
    <w:rsid w:val="001C7AC8"/>
    <w:rsid w:val="001D7531"/>
    <w:rsid w:val="001E737D"/>
    <w:rsid w:val="001F0592"/>
    <w:rsid w:val="001F7506"/>
    <w:rsid w:val="002006CD"/>
    <w:rsid w:val="00202B36"/>
    <w:rsid w:val="00204B7A"/>
    <w:rsid w:val="00204CDE"/>
    <w:rsid w:val="0021101A"/>
    <w:rsid w:val="00220536"/>
    <w:rsid w:val="0022614C"/>
    <w:rsid w:val="00235629"/>
    <w:rsid w:val="00260C38"/>
    <w:rsid w:val="002616C0"/>
    <w:rsid w:val="00265372"/>
    <w:rsid w:val="002662AA"/>
    <w:rsid w:val="00280496"/>
    <w:rsid w:val="00294DC9"/>
    <w:rsid w:val="00295495"/>
    <w:rsid w:val="002A31DE"/>
    <w:rsid w:val="002B2613"/>
    <w:rsid w:val="002C734D"/>
    <w:rsid w:val="002D19B0"/>
    <w:rsid w:val="002D6D05"/>
    <w:rsid w:val="002D7D8C"/>
    <w:rsid w:val="002F1818"/>
    <w:rsid w:val="002F567B"/>
    <w:rsid w:val="003216A9"/>
    <w:rsid w:val="00335A74"/>
    <w:rsid w:val="0034364A"/>
    <w:rsid w:val="0036561B"/>
    <w:rsid w:val="0037013F"/>
    <w:rsid w:val="00380C92"/>
    <w:rsid w:val="00385C59"/>
    <w:rsid w:val="003A484F"/>
    <w:rsid w:val="003A4883"/>
    <w:rsid w:val="003B0BE0"/>
    <w:rsid w:val="003B0C1B"/>
    <w:rsid w:val="003B688C"/>
    <w:rsid w:val="003C0291"/>
    <w:rsid w:val="003C39AE"/>
    <w:rsid w:val="003C7B60"/>
    <w:rsid w:val="003D0C0F"/>
    <w:rsid w:val="003D1FB2"/>
    <w:rsid w:val="003D66DA"/>
    <w:rsid w:val="003E1310"/>
    <w:rsid w:val="003E2364"/>
    <w:rsid w:val="003E6F55"/>
    <w:rsid w:val="00406254"/>
    <w:rsid w:val="00416CD4"/>
    <w:rsid w:val="004223DE"/>
    <w:rsid w:val="00434489"/>
    <w:rsid w:val="00437085"/>
    <w:rsid w:val="00443880"/>
    <w:rsid w:val="004463EC"/>
    <w:rsid w:val="004464F4"/>
    <w:rsid w:val="00471401"/>
    <w:rsid w:val="00473F31"/>
    <w:rsid w:val="00481464"/>
    <w:rsid w:val="0048263A"/>
    <w:rsid w:val="00487E5D"/>
    <w:rsid w:val="004A711F"/>
    <w:rsid w:val="004B199D"/>
    <w:rsid w:val="004B4690"/>
    <w:rsid w:val="004E0A2D"/>
    <w:rsid w:val="004E206B"/>
    <w:rsid w:val="004E6DF7"/>
    <w:rsid w:val="004F0FBD"/>
    <w:rsid w:val="004F403E"/>
    <w:rsid w:val="00505A47"/>
    <w:rsid w:val="00512FDA"/>
    <w:rsid w:val="00515AD2"/>
    <w:rsid w:val="00520DA0"/>
    <w:rsid w:val="005664BB"/>
    <w:rsid w:val="00566FFA"/>
    <w:rsid w:val="0057481D"/>
    <w:rsid w:val="00575F0B"/>
    <w:rsid w:val="0058486E"/>
    <w:rsid w:val="00585B33"/>
    <w:rsid w:val="0059014D"/>
    <w:rsid w:val="005967C6"/>
    <w:rsid w:val="005A1D5D"/>
    <w:rsid w:val="005B5C64"/>
    <w:rsid w:val="005C6BD0"/>
    <w:rsid w:val="005C6C4C"/>
    <w:rsid w:val="005D1C8B"/>
    <w:rsid w:val="005D468D"/>
    <w:rsid w:val="005D5CED"/>
    <w:rsid w:val="005E1EC4"/>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087"/>
    <w:rsid w:val="0066343B"/>
    <w:rsid w:val="00664777"/>
    <w:rsid w:val="006748A4"/>
    <w:rsid w:val="00681A31"/>
    <w:rsid w:val="00683E73"/>
    <w:rsid w:val="006A0F41"/>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5A95"/>
    <w:rsid w:val="007D1682"/>
    <w:rsid w:val="007D312A"/>
    <w:rsid w:val="007D3F19"/>
    <w:rsid w:val="007D7EFB"/>
    <w:rsid w:val="007E23B0"/>
    <w:rsid w:val="007F1991"/>
    <w:rsid w:val="007F2C2F"/>
    <w:rsid w:val="007F3524"/>
    <w:rsid w:val="007F55FC"/>
    <w:rsid w:val="007F5665"/>
    <w:rsid w:val="00800112"/>
    <w:rsid w:val="0080130A"/>
    <w:rsid w:val="00813348"/>
    <w:rsid w:val="008253BB"/>
    <w:rsid w:val="00833962"/>
    <w:rsid w:val="00834AD5"/>
    <w:rsid w:val="0083706E"/>
    <w:rsid w:val="008408F6"/>
    <w:rsid w:val="008416BA"/>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2E3"/>
    <w:rsid w:val="008E707C"/>
    <w:rsid w:val="00900B08"/>
    <w:rsid w:val="00902155"/>
    <w:rsid w:val="00902FA3"/>
    <w:rsid w:val="009153E5"/>
    <w:rsid w:val="00923564"/>
    <w:rsid w:val="0092392E"/>
    <w:rsid w:val="009315F9"/>
    <w:rsid w:val="00933499"/>
    <w:rsid w:val="00935C98"/>
    <w:rsid w:val="00946945"/>
    <w:rsid w:val="00951248"/>
    <w:rsid w:val="0095152F"/>
    <w:rsid w:val="00954C49"/>
    <w:rsid w:val="00955E37"/>
    <w:rsid w:val="0096265B"/>
    <w:rsid w:val="0097099F"/>
    <w:rsid w:val="00971997"/>
    <w:rsid w:val="00971FFC"/>
    <w:rsid w:val="0098660A"/>
    <w:rsid w:val="009931C3"/>
    <w:rsid w:val="009B0A98"/>
    <w:rsid w:val="009B2C43"/>
    <w:rsid w:val="009B4EAE"/>
    <w:rsid w:val="009B7573"/>
    <w:rsid w:val="009C057A"/>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740A"/>
    <w:rsid w:val="00A56DF2"/>
    <w:rsid w:val="00A56E6E"/>
    <w:rsid w:val="00A67AB5"/>
    <w:rsid w:val="00A733B2"/>
    <w:rsid w:val="00A741C2"/>
    <w:rsid w:val="00A91760"/>
    <w:rsid w:val="00A918EB"/>
    <w:rsid w:val="00A93B00"/>
    <w:rsid w:val="00A93C21"/>
    <w:rsid w:val="00AA37CF"/>
    <w:rsid w:val="00AB64C9"/>
    <w:rsid w:val="00AB7BE8"/>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3CE"/>
    <w:rsid w:val="00BB4DF0"/>
    <w:rsid w:val="00BC289F"/>
    <w:rsid w:val="00BC2D50"/>
    <w:rsid w:val="00BC3339"/>
    <w:rsid w:val="00BC5361"/>
    <w:rsid w:val="00BC5460"/>
    <w:rsid w:val="00BC6B50"/>
    <w:rsid w:val="00BD0E25"/>
    <w:rsid w:val="00BD42D2"/>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53AD"/>
    <w:rsid w:val="00D20620"/>
    <w:rsid w:val="00D254F7"/>
    <w:rsid w:val="00D26091"/>
    <w:rsid w:val="00D2685C"/>
    <w:rsid w:val="00D34E7C"/>
    <w:rsid w:val="00D35489"/>
    <w:rsid w:val="00D36AFE"/>
    <w:rsid w:val="00D41037"/>
    <w:rsid w:val="00D42B9D"/>
    <w:rsid w:val="00D42D8E"/>
    <w:rsid w:val="00D51276"/>
    <w:rsid w:val="00D7035F"/>
    <w:rsid w:val="00DA634F"/>
    <w:rsid w:val="00DA65AC"/>
    <w:rsid w:val="00DB1913"/>
    <w:rsid w:val="00DC410D"/>
    <w:rsid w:val="00DC5A81"/>
    <w:rsid w:val="00DC68CA"/>
    <w:rsid w:val="00DC7CBA"/>
    <w:rsid w:val="00DD65FE"/>
    <w:rsid w:val="00DD73B7"/>
    <w:rsid w:val="00DE1530"/>
    <w:rsid w:val="00DF28BC"/>
    <w:rsid w:val="00DF34B9"/>
    <w:rsid w:val="00E00307"/>
    <w:rsid w:val="00E01053"/>
    <w:rsid w:val="00E05309"/>
    <w:rsid w:val="00E07ACF"/>
    <w:rsid w:val="00E331A1"/>
    <w:rsid w:val="00E33202"/>
    <w:rsid w:val="00E336A9"/>
    <w:rsid w:val="00E46E97"/>
    <w:rsid w:val="00E472B1"/>
    <w:rsid w:val="00E50624"/>
    <w:rsid w:val="00E568DF"/>
    <w:rsid w:val="00E64269"/>
    <w:rsid w:val="00E66797"/>
    <w:rsid w:val="00E70E89"/>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05AE1"/>
    <w:rsid w:val="00F1361C"/>
    <w:rsid w:val="00F156F0"/>
    <w:rsid w:val="00F160C7"/>
    <w:rsid w:val="00F2408F"/>
    <w:rsid w:val="00F240E9"/>
    <w:rsid w:val="00F330CE"/>
    <w:rsid w:val="00F36D8F"/>
    <w:rsid w:val="00F417B1"/>
    <w:rsid w:val="00F45853"/>
    <w:rsid w:val="00F462F7"/>
    <w:rsid w:val="00F602DF"/>
    <w:rsid w:val="00F7449A"/>
    <w:rsid w:val="00F754A1"/>
    <w:rsid w:val="00F81FD9"/>
    <w:rsid w:val="00F841AA"/>
    <w:rsid w:val="00F84A94"/>
    <w:rsid w:val="00F87E96"/>
    <w:rsid w:val="00FA23E8"/>
    <w:rsid w:val="00FD3CC1"/>
    <w:rsid w:val="00FF1E02"/>
    <w:rsid w:val="00FF30B4"/>
    <w:rsid w:val="01113D6B"/>
    <w:rsid w:val="01730582"/>
    <w:rsid w:val="01756278"/>
    <w:rsid w:val="017C7840"/>
    <w:rsid w:val="021533E7"/>
    <w:rsid w:val="025A5BEC"/>
    <w:rsid w:val="028E57CB"/>
    <w:rsid w:val="03871FA9"/>
    <w:rsid w:val="03E435C8"/>
    <w:rsid w:val="03EC5932"/>
    <w:rsid w:val="04023546"/>
    <w:rsid w:val="046643CE"/>
    <w:rsid w:val="0511629C"/>
    <w:rsid w:val="05295D1C"/>
    <w:rsid w:val="05AE1BBC"/>
    <w:rsid w:val="060A6DBD"/>
    <w:rsid w:val="069B1D70"/>
    <w:rsid w:val="06CF1BCA"/>
    <w:rsid w:val="06F67405"/>
    <w:rsid w:val="073A569E"/>
    <w:rsid w:val="074C7CE6"/>
    <w:rsid w:val="07EF3627"/>
    <w:rsid w:val="07F87CB9"/>
    <w:rsid w:val="0818329B"/>
    <w:rsid w:val="0820437C"/>
    <w:rsid w:val="085F73AB"/>
    <w:rsid w:val="0890778B"/>
    <w:rsid w:val="08A84849"/>
    <w:rsid w:val="09254FD6"/>
    <w:rsid w:val="092E5A7A"/>
    <w:rsid w:val="09374B92"/>
    <w:rsid w:val="0A1E7F49"/>
    <w:rsid w:val="0A252971"/>
    <w:rsid w:val="0A570BF7"/>
    <w:rsid w:val="0A71015F"/>
    <w:rsid w:val="0AAC4F82"/>
    <w:rsid w:val="0AEE0D13"/>
    <w:rsid w:val="0B055987"/>
    <w:rsid w:val="0B076B63"/>
    <w:rsid w:val="0B095AB3"/>
    <w:rsid w:val="0B6E5CED"/>
    <w:rsid w:val="0C362356"/>
    <w:rsid w:val="0CDB6FAA"/>
    <w:rsid w:val="0CE00A95"/>
    <w:rsid w:val="0DA81F41"/>
    <w:rsid w:val="0DDB0D35"/>
    <w:rsid w:val="0EC87299"/>
    <w:rsid w:val="0F64150A"/>
    <w:rsid w:val="0FD60CF8"/>
    <w:rsid w:val="109866AA"/>
    <w:rsid w:val="10C055FF"/>
    <w:rsid w:val="10DF348C"/>
    <w:rsid w:val="113A4415"/>
    <w:rsid w:val="113D6DAD"/>
    <w:rsid w:val="114C37F8"/>
    <w:rsid w:val="119F4A7B"/>
    <w:rsid w:val="11A26358"/>
    <w:rsid w:val="122868EC"/>
    <w:rsid w:val="12842D3E"/>
    <w:rsid w:val="128E47CA"/>
    <w:rsid w:val="130A1359"/>
    <w:rsid w:val="130C6140"/>
    <w:rsid w:val="13B01608"/>
    <w:rsid w:val="13D57D9E"/>
    <w:rsid w:val="144D37D7"/>
    <w:rsid w:val="14643D5A"/>
    <w:rsid w:val="1483084A"/>
    <w:rsid w:val="14841B8E"/>
    <w:rsid w:val="14EE1FB5"/>
    <w:rsid w:val="153455CA"/>
    <w:rsid w:val="158309F9"/>
    <w:rsid w:val="158C1C22"/>
    <w:rsid w:val="15D2441A"/>
    <w:rsid w:val="16016957"/>
    <w:rsid w:val="168155AE"/>
    <w:rsid w:val="16BB723D"/>
    <w:rsid w:val="16C61609"/>
    <w:rsid w:val="16C866E4"/>
    <w:rsid w:val="174553A4"/>
    <w:rsid w:val="17831D92"/>
    <w:rsid w:val="178559D1"/>
    <w:rsid w:val="17AA4AF6"/>
    <w:rsid w:val="17B04713"/>
    <w:rsid w:val="18150C3D"/>
    <w:rsid w:val="18574301"/>
    <w:rsid w:val="18764299"/>
    <w:rsid w:val="18AD7E5C"/>
    <w:rsid w:val="18B0133B"/>
    <w:rsid w:val="18FC52A7"/>
    <w:rsid w:val="192D42F3"/>
    <w:rsid w:val="19351CD2"/>
    <w:rsid w:val="19791440"/>
    <w:rsid w:val="19B117EF"/>
    <w:rsid w:val="19F31EB4"/>
    <w:rsid w:val="1A2C027D"/>
    <w:rsid w:val="1A3126AE"/>
    <w:rsid w:val="1A6D1019"/>
    <w:rsid w:val="1A976C37"/>
    <w:rsid w:val="1A9E7B19"/>
    <w:rsid w:val="1AE9477D"/>
    <w:rsid w:val="1B0E5268"/>
    <w:rsid w:val="1B206009"/>
    <w:rsid w:val="1B944F25"/>
    <w:rsid w:val="1BA077C7"/>
    <w:rsid w:val="1C2154F8"/>
    <w:rsid w:val="1CA655E4"/>
    <w:rsid w:val="1CEE4B08"/>
    <w:rsid w:val="1CF218AC"/>
    <w:rsid w:val="1CFA32DE"/>
    <w:rsid w:val="1DBB4F12"/>
    <w:rsid w:val="1DD36638"/>
    <w:rsid w:val="1DE6144C"/>
    <w:rsid w:val="1ED97629"/>
    <w:rsid w:val="1EF06917"/>
    <w:rsid w:val="1EFA59E6"/>
    <w:rsid w:val="1F2D7E4A"/>
    <w:rsid w:val="1F397105"/>
    <w:rsid w:val="205E0B4C"/>
    <w:rsid w:val="209D5BB1"/>
    <w:rsid w:val="20B41340"/>
    <w:rsid w:val="20FD6CA0"/>
    <w:rsid w:val="21315BF7"/>
    <w:rsid w:val="216B2BCB"/>
    <w:rsid w:val="21771570"/>
    <w:rsid w:val="21825872"/>
    <w:rsid w:val="21A06E23"/>
    <w:rsid w:val="21A93A0F"/>
    <w:rsid w:val="21C5288A"/>
    <w:rsid w:val="21D00AB2"/>
    <w:rsid w:val="21ED1832"/>
    <w:rsid w:val="220B3D93"/>
    <w:rsid w:val="22773D01"/>
    <w:rsid w:val="22D81A85"/>
    <w:rsid w:val="22E569AE"/>
    <w:rsid w:val="231B23CF"/>
    <w:rsid w:val="23216D63"/>
    <w:rsid w:val="238E494F"/>
    <w:rsid w:val="23DD4268"/>
    <w:rsid w:val="24031F07"/>
    <w:rsid w:val="240371BF"/>
    <w:rsid w:val="243E030D"/>
    <w:rsid w:val="24A170B2"/>
    <w:rsid w:val="24D07639"/>
    <w:rsid w:val="24DF2BF4"/>
    <w:rsid w:val="255903DD"/>
    <w:rsid w:val="263C4B36"/>
    <w:rsid w:val="26B96E16"/>
    <w:rsid w:val="26BD2799"/>
    <w:rsid w:val="26F02B94"/>
    <w:rsid w:val="27A66BA2"/>
    <w:rsid w:val="27EB1EB1"/>
    <w:rsid w:val="280E42B1"/>
    <w:rsid w:val="28457D0E"/>
    <w:rsid w:val="29280D50"/>
    <w:rsid w:val="29FD04D3"/>
    <w:rsid w:val="2A1A42A0"/>
    <w:rsid w:val="2A5E3D6D"/>
    <w:rsid w:val="2AA05D56"/>
    <w:rsid w:val="2B523AF5"/>
    <w:rsid w:val="2BBC59BA"/>
    <w:rsid w:val="2BED6A56"/>
    <w:rsid w:val="2C151A7E"/>
    <w:rsid w:val="2C4F2E92"/>
    <w:rsid w:val="2C584435"/>
    <w:rsid w:val="2D3006C9"/>
    <w:rsid w:val="2D735491"/>
    <w:rsid w:val="2D99461C"/>
    <w:rsid w:val="2DB00CAB"/>
    <w:rsid w:val="2F686644"/>
    <w:rsid w:val="2F7D5D8F"/>
    <w:rsid w:val="30440464"/>
    <w:rsid w:val="304C21B4"/>
    <w:rsid w:val="315C7FC1"/>
    <w:rsid w:val="318B7874"/>
    <w:rsid w:val="3195453E"/>
    <w:rsid w:val="31995EBC"/>
    <w:rsid w:val="319F7F4E"/>
    <w:rsid w:val="31A55DA1"/>
    <w:rsid w:val="31BD562D"/>
    <w:rsid w:val="31CE030C"/>
    <w:rsid w:val="323E4083"/>
    <w:rsid w:val="32880EA1"/>
    <w:rsid w:val="32F82AFC"/>
    <w:rsid w:val="3321133C"/>
    <w:rsid w:val="332237AE"/>
    <w:rsid w:val="33467225"/>
    <w:rsid w:val="33546536"/>
    <w:rsid w:val="33E71381"/>
    <w:rsid w:val="33E73AE6"/>
    <w:rsid w:val="33F24171"/>
    <w:rsid w:val="34223D7E"/>
    <w:rsid w:val="34BD32E6"/>
    <w:rsid w:val="350A5D64"/>
    <w:rsid w:val="35310DEE"/>
    <w:rsid w:val="35AB0D9A"/>
    <w:rsid w:val="35D21A63"/>
    <w:rsid w:val="35E829F6"/>
    <w:rsid w:val="35EA23A4"/>
    <w:rsid w:val="36195A99"/>
    <w:rsid w:val="3651018A"/>
    <w:rsid w:val="36EA5EE9"/>
    <w:rsid w:val="3753277D"/>
    <w:rsid w:val="376A49AA"/>
    <w:rsid w:val="37700B05"/>
    <w:rsid w:val="37811A14"/>
    <w:rsid w:val="37B924EC"/>
    <w:rsid w:val="37ED3FF6"/>
    <w:rsid w:val="384772B2"/>
    <w:rsid w:val="38853A46"/>
    <w:rsid w:val="395B3167"/>
    <w:rsid w:val="39AE00AC"/>
    <w:rsid w:val="39D4535A"/>
    <w:rsid w:val="3A3034C0"/>
    <w:rsid w:val="3A61177C"/>
    <w:rsid w:val="3A7E420B"/>
    <w:rsid w:val="3AEF1D20"/>
    <w:rsid w:val="3AFF2CF6"/>
    <w:rsid w:val="3B8D758D"/>
    <w:rsid w:val="3BEF77B3"/>
    <w:rsid w:val="3C57600E"/>
    <w:rsid w:val="3CC23EDE"/>
    <w:rsid w:val="3CC33464"/>
    <w:rsid w:val="3D0F0457"/>
    <w:rsid w:val="3D832865"/>
    <w:rsid w:val="3DA10EA4"/>
    <w:rsid w:val="3E720C9F"/>
    <w:rsid w:val="3EA9223D"/>
    <w:rsid w:val="3EAB4251"/>
    <w:rsid w:val="3F0E6781"/>
    <w:rsid w:val="3F6A5C14"/>
    <w:rsid w:val="3F9766DE"/>
    <w:rsid w:val="40280B69"/>
    <w:rsid w:val="40B21785"/>
    <w:rsid w:val="41CE2B11"/>
    <w:rsid w:val="43452FEF"/>
    <w:rsid w:val="436A16A6"/>
    <w:rsid w:val="43BD508F"/>
    <w:rsid w:val="43F426C2"/>
    <w:rsid w:val="442C4FA8"/>
    <w:rsid w:val="455F53B8"/>
    <w:rsid w:val="45E8026C"/>
    <w:rsid w:val="46041A9F"/>
    <w:rsid w:val="46244B95"/>
    <w:rsid w:val="47727F60"/>
    <w:rsid w:val="483156AF"/>
    <w:rsid w:val="48780856"/>
    <w:rsid w:val="48BB20B2"/>
    <w:rsid w:val="49347273"/>
    <w:rsid w:val="49E93943"/>
    <w:rsid w:val="4A2C1C7F"/>
    <w:rsid w:val="4A72769E"/>
    <w:rsid w:val="4A763F73"/>
    <w:rsid w:val="4ACC253E"/>
    <w:rsid w:val="4BA968B3"/>
    <w:rsid w:val="4C043151"/>
    <w:rsid w:val="4C675BBA"/>
    <w:rsid w:val="4C764FC9"/>
    <w:rsid w:val="4CC52826"/>
    <w:rsid w:val="4CE5123B"/>
    <w:rsid w:val="4CFF5817"/>
    <w:rsid w:val="4D7250AE"/>
    <w:rsid w:val="4D932A58"/>
    <w:rsid w:val="4DA235A3"/>
    <w:rsid w:val="4E046F84"/>
    <w:rsid w:val="4E061F90"/>
    <w:rsid w:val="4E2F5E56"/>
    <w:rsid w:val="4E720846"/>
    <w:rsid w:val="4ECE2238"/>
    <w:rsid w:val="4F7B197C"/>
    <w:rsid w:val="4F830E7C"/>
    <w:rsid w:val="4FD569A3"/>
    <w:rsid w:val="4FF359B6"/>
    <w:rsid w:val="500A1E77"/>
    <w:rsid w:val="50306AAF"/>
    <w:rsid w:val="506E6DF3"/>
    <w:rsid w:val="50EC664D"/>
    <w:rsid w:val="51857280"/>
    <w:rsid w:val="51A764CB"/>
    <w:rsid w:val="51D66C46"/>
    <w:rsid w:val="521D440C"/>
    <w:rsid w:val="521F1D24"/>
    <w:rsid w:val="52284718"/>
    <w:rsid w:val="52603224"/>
    <w:rsid w:val="52A421FA"/>
    <w:rsid w:val="52A42F98"/>
    <w:rsid w:val="52C048A9"/>
    <w:rsid w:val="52F82784"/>
    <w:rsid w:val="536A0584"/>
    <w:rsid w:val="53AB6CD4"/>
    <w:rsid w:val="53D47AFF"/>
    <w:rsid w:val="53DE1C04"/>
    <w:rsid w:val="542C4EB7"/>
    <w:rsid w:val="545318C4"/>
    <w:rsid w:val="54556C40"/>
    <w:rsid w:val="54DF6CC5"/>
    <w:rsid w:val="55674E7D"/>
    <w:rsid w:val="55CA5F57"/>
    <w:rsid w:val="55E54078"/>
    <w:rsid w:val="564F2401"/>
    <w:rsid w:val="565F5B54"/>
    <w:rsid w:val="56787417"/>
    <w:rsid w:val="569E2AF2"/>
    <w:rsid w:val="56DB5B57"/>
    <w:rsid w:val="570F757A"/>
    <w:rsid w:val="579E08FE"/>
    <w:rsid w:val="57B65C47"/>
    <w:rsid w:val="588419AA"/>
    <w:rsid w:val="58D335E8"/>
    <w:rsid w:val="58DC5DB4"/>
    <w:rsid w:val="58FD1A48"/>
    <w:rsid w:val="593008EE"/>
    <w:rsid w:val="599E799C"/>
    <w:rsid w:val="5A0117A6"/>
    <w:rsid w:val="5B4F613B"/>
    <w:rsid w:val="5B561DFD"/>
    <w:rsid w:val="5B800982"/>
    <w:rsid w:val="5BA0450A"/>
    <w:rsid w:val="5C6D6CC7"/>
    <w:rsid w:val="5C6E2EAE"/>
    <w:rsid w:val="5C833B56"/>
    <w:rsid w:val="5CBA1D36"/>
    <w:rsid w:val="5DAF7500"/>
    <w:rsid w:val="5DE12058"/>
    <w:rsid w:val="5E996510"/>
    <w:rsid w:val="5EFE05D7"/>
    <w:rsid w:val="5F103E8F"/>
    <w:rsid w:val="5F8A1E93"/>
    <w:rsid w:val="60332A63"/>
    <w:rsid w:val="604C6143"/>
    <w:rsid w:val="60C969EB"/>
    <w:rsid w:val="618364FF"/>
    <w:rsid w:val="62272C16"/>
    <w:rsid w:val="62B114E5"/>
    <w:rsid w:val="62D72AEF"/>
    <w:rsid w:val="62FB275C"/>
    <w:rsid w:val="634F6738"/>
    <w:rsid w:val="643E6AE2"/>
    <w:rsid w:val="64741BE5"/>
    <w:rsid w:val="64956526"/>
    <w:rsid w:val="64CE4C6D"/>
    <w:rsid w:val="64DA649C"/>
    <w:rsid w:val="64E244BC"/>
    <w:rsid w:val="6512568C"/>
    <w:rsid w:val="65326B6A"/>
    <w:rsid w:val="65FD3CCD"/>
    <w:rsid w:val="6680488E"/>
    <w:rsid w:val="66E21F1A"/>
    <w:rsid w:val="67106406"/>
    <w:rsid w:val="674D37A6"/>
    <w:rsid w:val="67787072"/>
    <w:rsid w:val="67985447"/>
    <w:rsid w:val="679D5123"/>
    <w:rsid w:val="67A512A7"/>
    <w:rsid w:val="67AD7C01"/>
    <w:rsid w:val="68064081"/>
    <w:rsid w:val="68273FF7"/>
    <w:rsid w:val="68602BEB"/>
    <w:rsid w:val="68920241"/>
    <w:rsid w:val="68C81889"/>
    <w:rsid w:val="68FC2059"/>
    <w:rsid w:val="69A97A36"/>
    <w:rsid w:val="69B825B4"/>
    <w:rsid w:val="69BD10B7"/>
    <w:rsid w:val="6AB005BA"/>
    <w:rsid w:val="6AC34B1A"/>
    <w:rsid w:val="6B19231D"/>
    <w:rsid w:val="6B587750"/>
    <w:rsid w:val="6B775511"/>
    <w:rsid w:val="6C39101B"/>
    <w:rsid w:val="6C796AAA"/>
    <w:rsid w:val="6CED3A62"/>
    <w:rsid w:val="6CF4154E"/>
    <w:rsid w:val="6D7C54E2"/>
    <w:rsid w:val="6D8048D6"/>
    <w:rsid w:val="6E425CA5"/>
    <w:rsid w:val="6EBE047A"/>
    <w:rsid w:val="70993541"/>
    <w:rsid w:val="70A010F0"/>
    <w:rsid w:val="70B05D26"/>
    <w:rsid w:val="70CE2DB1"/>
    <w:rsid w:val="711B78B6"/>
    <w:rsid w:val="71784310"/>
    <w:rsid w:val="71B82D65"/>
    <w:rsid w:val="7234691D"/>
    <w:rsid w:val="72734D90"/>
    <w:rsid w:val="727F15D8"/>
    <w:rsid w:val="72A15BE1"/>
    <w:rsid w:val="7323254A"/>
    <w:rsid w:val="739D01C6"/>
    <w:rsid w:val="73A1555E"/>
    <w:rsid w:val="73D05578"/>
    <w:rsid w:val="74364910"/>
    <w:rsid w:val="745E4181"/>
    <w:rsid w:val="74966B01"/>
    <w:rsid w:val="74AC7EB8"/>
    <w:rsid w:val="74D30172"/>
    <w:rsid w:val="752312E0"/>
    <w:rsid w:val="756B5E6B"/>
    <w:rsid w:val="759D23FC"/>
    <w:rsid w:val="75B93CE7"/>
    <w:rsid w:val="75E46866"/>
    <w:rsid w:val="75F214F8"/>
    <w:rsid w:val="761D603E"/>
    <w:rsid w:val="763724A4"/>
    <w:rsid w:val="76687857"/>
    <w:rsid w:val="76DD5153"/>
    <w:rsid w:val="77360486"/>
    <w:rsid w:val="7758241F"/>
    <w:rsid w:val="775B6EA5"/>
    <w:rsid w:val="77977106"/>
    <w:rsid w:val="77F30411"/>
    <w:rsid w:val="781973D4"/>
    <w:rsid w:val="788120C8"/>
    <w:rsid w:val="78D635FC"/>
    <w:rsid w:val="794C7D62"/>
    <w:rsid w:val="79CD7990"/>
    <w:rsid w:val="7A69401A"/>
    <w:rsid w:val="7A933B62"/>
    <w:rsid w:val="7B2A3D7E"/>
    <w:rsid w:val="7B6F410F"/>
    <w:rsid w:val="7C7B1912"/>
    <w:rsid w:val="7CDD0E05"/>
    <w:rsid w:val="7D5A2748"/>
    <w:rsid w:val="7D8A20F9"/>
    <w:rsid w:val="7E3C2153"/>
    <w:rsid w:val="7E7C24B1"/>
    <w:rsid w:val="7E9D1BF9"/>
    <w:rsid w:val="7EEC7CF4"/>
    <w:rsid w:val="7F8B749C"/>
    <w:rsid w:val="7FBF53E6"/>
    <w:rsid w:val="7FCA05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Document Map"/>
    <w:basedOn w:val="1"/>
    <w:link w:val="53"/>
    <w:semiHidden/>
    <w:unhideWhenUsed/>
    <w:qFormat/>
    <w:uiPriority w:val="99"/>
    <w:rPr>
      <w:rFonts w:ascii="宋体"/>
      <w:sz w:val="18"/>
      <w:szCs w:val="18"/>
    </w:rPr>
  </w:style>
  <w:style w:type="paragraph" w:styleId="6">
    <w:name w:val="annotation text"/>
    <w:basedOn w:val="1"/>
    <w:link w:val="66"/>
    <w:qFormat/>
    <w:uiPriority w:val="0"/>
    <w:pPr>
      <w:jc w:val="left"/>
    </w:pPr>
    <w:rPr>
      <w:rFonts w:ascii="Times New Roman" w:hAnsi="Times New Roman"/>
    </w:rPr>
  </w:style>
  <w:style w:type="paragraph" w:styleId="7">
    <w:name w:val="Salutation"/>
    <w:basedOn w:val="1"/>
    <w:next w:val="1"/>
    <w:link w:val="64"/>
    <w:qFormat/>
    <w:uiPriority w:val="0"/>
    <w:pPr>
      <w:textAlignment w:val="baseline"/>
    </w:pPr>
    <w:rPr>
      <w:szCs w:val="22"/>
    </w:rPr>
  </w:style>
  <w:style w:type="paragraph" w:styleId="8">
    <w:name w:val="Body Text"/>
    <w:basedOn w:val="1"/>
    <w:next w:val="1"/>
    <w:link w:val="35"/>
    <w:qFormat/>
    <w:uiPriority w:val="99"/>
    <w:pPr>
      <w:spacing w:beforeLines="30"/>
    </w:pPr>
    <w:rPr>
      <w:rFonts w:ascii="仿宋_GB2312" w:eastAsia="仿宋_GB2312"/>
      <w:kern w:val="0"/>
      <w:sz w:val="30"/>
    </w:rPr>
  </w:style>
  <w:style w:type="paragraph" w:styleId="9">
    <w:name w:val="Body Text Indent"/>
    <w:basedOn w:val="1"/>
    <w:next w:val="10"/>
    <w:qFormat/>
    <w:uiPriority w:val="0"/>
    <w:pPr>
      <w:ind w:left="420" w:leftChars="200"/>
    </w:pPr>
  </w:style>
  <w:style w:type="paragraph" w:styleId="10">
    <w:name w:val="Body Text First Indent 2"/>
    <w:basedOn w:val="9"/>
    <w:next w:val="1"/>
    <w:qFormat/>
    <w:uiPriority w:val="0"/>
    <w:pPr>
      <w:ind w:firstLine="420" w:firstLineChars="200"/>
    </w:pPr>
  </w:style>
  <w:style w:type="paragraph" w:styleId="11">
    <w:name w:val="toc 3"/>
    <w:basedOn w:val="1"/>
    <w:next w:val="1"/>
    <w:unhideWhenUsed/>
    <w:qFormat/>
    <w:uiPriority w:val="39"/>
    <w:pPr>
      <w:tabs>
        <w:tab w:val="right" w:leader="dot" w:pos="8296"/>
      </w:tabs>
      <w:ind w:left="840" w:leftChars="400"/>
    </w:pPr>
  </w:style>
  <w:style w:type="paragraph" w:styleId="12">
    <w:name w:val="Plain Text"/>
    <w:basedOn w:val="1"/>
    <w:link w:val="61"/>
    <w:semiHidden/>
    <w:unhideWhenUsed/>
    <w:qFormat/>
    <w:uiPriority w:val="99"/>
    <w:rPr>
      <w:rFonts w:ascii="宋体" w:hAnsi="Courier New"/>
    </w:rPr>
  </w:style>
  <w:style w:type="paragraph" w:styleId="13">
    <w:name w:val="Balloon Text"/>
    <w:basedOn w:val="1"/>
    <w:link w:val="41"/>
    <w:semiHidden/>
    <w:unhideWhenUsed/>
    <w:qFormat/>
    <w:uiPriority w:val="99"/>
    <w:rPr>
      <w:sz w:val="18"/>
      <w:szCs w:val="18"/>
    </w:rPr>
  </w:style>
  <w:style w:type="paragraph" w:styleId="14">
    <w:name w:val="footer"/>
    <w:basedOn w:val="1"/>
    <w:link w:val="62"/>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6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7">
    <w:name w:val="Subtitle"/>
    <w:basedOn w:val="1"/>
    <w:next w:val="1"/>
    <w:qFormat/>
    <w:uiPriority w:val="11"/>
    <w:pPr>
      <w:wordWrap w:val="0"/>
      <w:spacing w:after="60"/>
      <w:jc w:val="center"/>
    </w:pPr>
    <w:rPr>
      <w:rFonts w:ascii="宋体" w:hAnsi="宋体" w:cs="宋体"/>
      <w:sz w:val="24"/>
    </w:rPr>
  </w:style>
  <w:style w:type="paragraph" w:styleId="18">
    <w:name w:val="table of figures"/>
    <w:basedOn w:val="1"/>
    <w:next w:val="1"/>
    <w:semiHidden/>
    <w:unhideWhenUsed/>
    <w:qFormat/>
    <w:uiPriority w:val="99"/>
    <w:pPr>
      <w:keepNext w:val="0"/>
      <w:keepLines w:val="0"/>
      <w:widowControl w:val="0"/>
      <w:suppressLineNumbers w:val="0"/>
      <w:spacing w:before="0" w:beforeAutospacing="0" w:after="0" w:afterAutospacing="0"/>
      <w:ind w:left="0" w:leftChars="200" w:right="0" w:hanging="200" w:hangingChars="200"/>
      <w:jc w:val="both"/>
    </w:pPr>
    <w:rPr>
      <w:rFonts w:hint="default" w:ascii="Times New Roman" w:hAnsi="Times New Roman" w:eastAsia="宋体" w:cs="Times New Roman"/>
      <w:kern w:val="2"/>
      <w:sz w:val="21"/>
      <w:szCs w:val="24"/>
      <w:lang w:val="en-US" w:eastAsia="zh-CN" w:bidi="ar"/>
    </w:rPr>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8"/>
    <w:qFormat/>
    <w:uiPriority w:val="99"/>
    <w:pPr>
      <w:spacing w:after="0"/>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hint="default" w:ascii="Times New Roman" w:hAnsi="Times New Roman" w:cs="Times New Roman"/>
      <w:b/>
    </w:rPr>
  </w:style>
  <w:style w:type="character" w:styleId="26">
    <w:name w:val="Emphasis"/>
    <w:basedOn w:val="24"/>
    <w:qFormat/>
    <w:uiPriority w:val="20"/>
    <w:rPr>
      <w:i/>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Header Char"/>
    <w:basedOn w:val="24"/>
    <w:semiHidden/>
    <w:qFormat/>
    <w:uiPriority w:val="99"/>
    <w:rPr>
      <w:rFonts w:ascii="Times New Roman" w:hAnsi="Times New Roman"/>
      <w:sz w:val="18"/>
      <w:szCs w:val="18"/>
    </w:rPr>
  </w:style>
  <w:style w:type="character" w:customStyle="1" w:styleId="31">
    <w:name w:val="页眉 Char"/>
    <w:link w:val="15"/>
    <w:semiHidden/>
    <w:qFormat/>
    <w:locked/>
    <w:uiPriority w:val="99"/>
    <w:rPr>
      <w:sz w:val="18"/>
    </w:rPr>
  </w:style>
  <w:style w:type="character" w:customStyle="1" w:styleId="32">
    <w:name w:val="Footer Char"/>
    <w:basedOn w:val="24"/>
    <w:semiHidden/>
    <w:qFormat/>
    <w:uiPriority w:val="99"/>
    <w:rPr>
      <w:rFonts w:ascii="Times New Roman" w:hAnsi="Times New Roman"/>
      <w:sz w:val="18"/>
      <w:szCs w:val="18"/>
    </w:rPr>
  </w:style>
  <w:style w:type="character" w:customStyle="1" w:styleId="33">
    <w:name w:val="页脚 Char"/>
    <w:link w:val="14"/>
    <w:qFormat/>
    <w:locked/>
    <w:uiPriority w:val="99"/>
    <w:rPr>
      <w:sz w:val="18"/>
    </w:rPr>
  </w:style>
  <w:style w:type="character" w:customStyle="1" w:styleId="34">
    <w:name w:val="Body Text Char"/>
    <w:basedOn w:val="24"/>
    <w:semiHidden/>
    <w:qFormat/>
    <w:uiPriority w:val="99"/>
    <w:rPr>
      <w:rFonts w:ascii="Times New Roman" w:hAnsi="Times New Roman"/>
      <w:szCs w:val="24"/>
    </w:rPr>
  </w:style>
  <w:style w:type="character" w:customStyle="1" w:styleId="35">
    <w:name w:val="正文文本 Char"/>
    <w:link w:val="8"/>
    <w:qFormat/>
    <w:locked/>
    <w:uiPriority w:val="99"/>
    <w:rPr>
      <w:rFonts w:ascii="仿宋_GB2312" w:hAnsi="Times New Roman" w:eastAsia="仿宋_GB2312"/>
      <w:sz w:val="24"/>
    </w:rPr>
  </w:style>
  <w:style w:type="paragraph" w:customStyle="1" w:styleId="3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7">
    <w:name w:val="List Paragraph"/>
    <w:basedOn w:val="1"/>
    <w:qFormat/>
    <w:uiPriority w:val="34"/>
    <w:pPr>
      <w:ind w:firstLine="420" w:firstLineChars="200"/>
    </w:pPr>
  </w:style>
  <w:style w:type="character" w:customStyle="1" w:styleId="38">
    <w:name w:val="标题 1 Char"/>
    <w:basedOn w:val="24"/>
    <w:link w:val="2"/>
    <w:qFormat/>
    <w:uiPriority w:val="9"/>
    <w:rPr>
      <w:rFonts w:ascii="Times New Roman" w:hAnsi="Times New Roman"/>
      <w:b/>
      <w:bCs/>
      <w:kern w:val="44"/>
      <w:sz w:val="44"/>
      <w:szCs w:val="44"/>
    </w:rPr>
  </w:style>
  <w:style w:type="character" w:customStyle="1" w:styleId="39">
    <w:name w:val="标题 2 Char"/>
    <w:basedOn w:val="24"/>
    <w:link w:val="3"/>
    <w:qFormat/>
    <w:uiPriority w:val="9"/>
    <w:rPr>
      <w:rFonts w:asciiTheme="majorHAnsi" w:hAnsiTheme="majorHAnsi" w:eastAsiaTheme="majorEastAsia" w:cstheme="majorBidi"/>
      <w:b/>
      <w:bCs/>
      <w:kern w:val="2"/>
      <w:sz w:val="32"/>
      <w:szCs w:val="32"/>
    </w:rPr>
  </w:style>
  <w:style w:type="paragraph" w:customStyle="1" w:styleId="4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批注框文本 Char"/>
    <w:basedOn w:val="24"/>
    <w:link w:val="13"/>
    <w:semiHidden/>
    <w:qFormat/>
    <w:uiPriority w:val="99"/>
    <w:rPr>
      <w:rFonts w:ascii="Times New Roman" w:hAnsi="Times New Roman"/>
      <w:kern w:val="2"/>
      <w:sz w:val="18"/>
      <w:szCs w:val="18"/>
    </w:rPr>
  </w:style>
  <w:style w:type="character" w:customStyle="1" w:styleId="42">
    <w:name w:val="标题 3 Char"/>
    <w:basedOn w:val="24"/>
    <w:link w:val="4"/>
    <w:qFormat/>
    <w:uiPriority w:val="9"/>
    <w:rPr>
      <w:rFonts w:ascii="Times New Roman" w:hAnsi="Times New Roman"/>
      <w:b/>
      <w:bCs/>
      <w:kern w:val="2"/>
      <w:sz w:val="32"/>
      <w:szCs w:val="32"/>
    </w:rPr>
  </w:style>
  <w:style w:type="paragraph" w:customStyle="1" w:styleId="4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4">
    <w:name w:val="普通(网站)1"/>
    <w:basedOn w:val="1"/>
    <w:qFormat/>
    <w:uiPriority w:val="0"/>
    <w:pPr>
      <w:spacing w:before="100" w:beforeAutospacing="1" w:after="100" w:afterAutospacing="1"/>
    </w:pPr>
  </w:style>
  <w:style w:type="character" w:customStyle="1" w:styleId="45">
    <w:name w:val="标题 2 Char1"/>
    <w:basedOn w:val="24"/>
    <w:link w:val="3"/>
    <w:qFormat/>
    <w:locked/>
    <w:uiPriority w:val="99"/>
    <w:rPr>
      <w:rFonts w:ascii="Cambria" w:hAnsi="Cambria" w:eastAsia="宋体" w:cs="Times New Roman"/>
      <w:b/>
      <w:bCs/>
      <w:kern w:val="2"/>
      <w:sz w:val="32"/>
      <w:szCs w:val="32"/>
    </w:rPr>
  </w:style>
  <w:style w:type="character" w:customStyle="1" w:styleId="46">
    <w:name w:val="font71"/>
    <w:basedOn w:val="24"/>
    <w:qFormat/>
    <w:uiPriority w:val="0"/>
    <w:rPr>
      <w:rFonts w:hint="eastAsia" w:ascii="宋体" w:hAnsi="宋体" w:eastAsia="宋体" w:cs="宋体"/>
      <w:color w:val="000000"/>
      <w:sz w:val="20"/>
      <w:szCs w:val="20"/>
      <w:u w:val="none"/>
    </w:rPr>
  </w:style>
  <w:style w:type="character" w:customStyle="1" w:styleId="47">
    <w:name w:val="font91"/>
    <w:basedOn w:val="24"/>
    <w:qFormat/>
    <w:uiPriority w:val="0"/>
    <w:rPr>
      <w:rFonts w:hint="eastAsia" w:ascii="宋体" w:hAnsi="宋体" w:eastAsia="宋体" w:cs="宋体"/>
      <w:b/>
      <w:color w:val="000000"/>
      <w:sz w:val="20"/>
      <w:szCs w:val="20"/>
      <w:u w:val="none"/>
    </w:rPr>
  </w:style>
  <w:style w:type="character" w:customStyle="1" w:styleId="48">
    <w:name w:val="font11"/>
    <w:basedOn w:val="24"/>
    <w:qFormat/>
    <w:uiPriority w:val="0"/>
    <w:rPr>
      <w:rFonts w:hint="eastAsia" w:ascii="宋体" w:hAnsi="宋体" w:eastAsia="宋体" w:cs="宋体"/>
      <w:color w:val="000000"/>
      <w:sz w:val="20"/>
      <w:szCs w:val="20"/>
      <w:u w:val="none"/>
    </w:rPr>
  </w:style>
  <w:style w:type="character" w:customStyle="1" w:styleId="49">
    <w:name w:val="font31"/>
    <w:basedOn w:val="24"/>
    <w:qFormat/>
    <w:uiPriority w:val="0"/>
    <w:rPr>
      <w:rFonts w:hint="eastAsia" w:ascii="宋体" w:hAnsi="宋体" w:eastAsia="宋体" w:cs="宋体"/>
      <w:color w:val="000000"/>
      <w:sz w:val="20"/>
      <w:szCs w:val="20"/>
      <w:u w:val="none"/>
    </w:rPr>
  </w:style>
  <w:style w:type="character" w:customStyle="1" w:styleId="50">
    <w:name w:val="font61"/>
    <w:basedOn w:val="24"/>
    <w:qFormat/>
    <w:uiPriority w:val="0"/>
    <w:rPr>
      <w:rFonts w:hint="eastAsia" w:ascii="宋体" w:hAnsi="宋体" w:eastAsia="宋体" w:cs="宋体"/>
      <w:color w:val="000000"/>
      <w:sz w:val="20"/>
      <w:szCs w:val="20"/>
      <w:u w:val="none"/>
    </w:rPr>
  </w:style>
  <w:style w:type="character" w:customStyle="1" w:styleId="51">
    <w:name w:val="font81"/>
    <w:basedOn w:val="24"/>
    <w:qFormat/>
    <w:uiPriority w:val="0"/>
    <w:rPr>
      <w:rFonts w:hint="eastAsia" w:ascii="宋体" w:hAnsi="宋体" w:eastAsia="宋体" w:cs="宋体"/>
      <w:b/>
      <w:color w:val="000000"/>
      <w:sz w:val="20"/>
      <w:szCs w:val="20"/>
      <w:u w:val="none"/>
    </w:rPr>
  </w:style>
  <w:style w:type="character" w:customStyle="1" w:styleId="52">
    <w:name w:val="font21"/>
    <w:basedOn w:val="24"/>
    <w:qFormat/>
    <w:uiPriority w:val="0"/>
    <w:rPr>
      <w:rFonts w:hint="eastAsia" w:ascii="宋体" w:hAnsi="宋体" w:eastAsia="宋体" w:cs="宋体"/>
      <w:color w:val="000000"/>
      <w:sz w:val="20"/>
      <w:szCs w:val="20"/>
      <w:u w:val="none"/>
    </w:rPr>
  </w:style>
  <w:style w:type="character" w:customStyle="1" w:styleId="53">
    <w:name w:val="文档结构图 Char"/>
    <w:basedOn w:val="24"/>
    <w:link w:val="5"/>
    <w:semiHidden/>
    <w:qFormat/>
    <w:uiPriority w:val="99"/>
    <w:rPr>
      <w:rFonts w:ascii="宋体" w:hAnsi="Times New Roman" w:eastAsia="宋体" w:cs="Times New Roman"/>
      <w:kern w:val="2"/>
      <w:sz w:val="18"/>
      <w:szCs w:val="18"/>
    </w:rPr>
  </w:style>
  <w:style w:type="character" w:customStyle="1" w:styleId="54">
    <w:name w:val="font131"/>
    <w:basedOn w:val="24"/>
    <w:qFormat/>
    <w:uiPriority w:val="0"/>
    <w:rPr>
      <w:rFonts w:hint="eastAsia" w:ascii="宋体" w:hAnsi="宋体" w:eastAsia="宋体" w:cs="宋体"/>
      <w:color w:val="FF0000"/>
      <w:sz w:val="20"/>
      <w:szCs w:val="20"/>
      <w:u w:val="none"/>
    </w:rPr>
  </w:style>
  <w:style w:type="character" w:customStyle="1" w:styleId="55">
    <w:name w:val="font112"/>
    <w:basedOn w:val="24"/>
    <w:qFormat/>
    <w:uiPriority w:val="0"/>
    <w:rPr>
      <w:rFonts w:hint="eastAsia" w:ascii="宋体" w:hAnsi="宋体" w:eastAsia="宋体" w:cs="宋体"/>
      <w:color w:val="000000"/>
      <w:sz w:val="20"/>
      <w:szCs w:val="20"/>
      <w:u w:val="none"/>
    </w:rPr>
  </w:style>
  <w:style w:type="character" w:customStyle="1" w:styleId="56">
    <w:name w:val="font01"/>
    <w:basedOn w:val="24"/>
    <w:qFormat/>
    <w:uiPriority w:val="0"/>
    <w:rPr>
      <w:rFonts w:hint="eastAsia" w:ascii="宋体" w:hAnsi="宋体" w:eastAsia="宋体" w:cs="宋体"/>
      <w:color w:val="000000"/>
      <w:sz w:val="22"/>
      <w:szCs w:val="22"/>
      <w:u w:val="none"/>
    </w:rPr>
  </w:style>
  <w:style w:type="character" w:customStyle="1" w:styleId="57">
    <w:name w:val="font151"/>
    <w:basedOn w:val="24"/>
    <w:qFormat/>
    <w:uiPriority w:val="0"/>
    <w:rPr>
      <w:rFonts w:hint="eastAsia" w:ascii="宋体" w:hAnsi="宋体" w:eastAsia="宋体" w:cs="宋体"/>
      <w:color w:val="000000"/>
      <w:sz w:val="22"/>
      <w:szCs w:val="22"/>
      <w:u w:val="none"/>
    </w:rPr>
  </w:style>
  <w:style w:type="character" w:customStyle="1" w:styleId="58">
    <w:name w:val="font41"/>
    <w:basedOn w:val="24"/>
    <w:qFormat/>
    <w:uiPriority w:val="0"/>
    <w:rPr>
      <w:rFonts w:hint="eastAsia" w:ascii="宋体" w:hAnsi="宋体" w:eastAsia="宋体" w:cs="宋体"/>
      <w:color w:val="000000"/>
      <w:sz w:val="20"/>
      <w:szCs w:val="20"/>
      <w:u w:val="none"/>
    </w:rPr>
  </w:style>
  <w:style w:type="character" w:customStyle="1" w:styleId="59">
    <w:name w:val="font51"/>
    <w:basedOn w:val="24"/>
    <w:qFormat/>
    <w:uiPriority w:val="0"/>
    <w:rPr>
      <w:rFonts w:hint="eastAsia" w:ascii="宋体" w:hAnsi="宋体" w:eastAsia="宋体" w:cs="宋体"/>
      <w:color w:val="auto"/>
      <w:sz w:val="20"/>
      <w:szCs w:val="20"/>
      <w:u w:val="none"/>
    </w:rPr>
  </w:style>
  <w:style w:type="character" w:customStyle="1" w:styleId="60">
    <w:name w:val="15"/>
    <w:basedOn w:val="24"/>
    <w:qFormat/>
    <w:uiPriority w:val="0"/>
    <w:rPr>
      <w:rFonts w:hint="default" w:ascii="Times New Roman" w:hAnsi="Times New Roman" w:cs="Times New Roman"/>
      <w:b/>
      <w:bCs/>
    </w:rPr>
  </w:style>
  <w:style w:type="character" w:customStyle="1" w:styleId="61">
    <w:name w:val="纯文本 Char"/>
    <w:basedOn w:val="24"/>
    <w:link w:val="12"/>
    <w:qFormat/>
    <w:uiPriority w:val="0"/>
    <w:rPr>
      <w:rFonts w:hint="eastAsia" w:ascii="宋体" w:hAnsi="Courier New" w:eastAsia="宋体" w:cs="Courier New"/>
      <w:kern w:val="2"/>
      <w:sz w:val="21"/>
      <w:szCs w:val="21"/>
    </w:rPr>
  </w:style>
  <w:style w:type="character" w:customStyle="1" w:styleId="62">
    <w:name w:val="页脚 Char1"/>
    <w:basedOn w:val="24"/>
    <w:link w:val="14"/>
    <w:qFormat/>
    <w:uiPriority w:val="0"/>
    <w:rPr>
      <w:kern w:val="2"/>
      <w:sz w:val="18"/>
      <w:szCs w:val="18"/>
    </w:rPr>
  </w:style>
  <w:style w:type="character" w:customStyle="1" w:styleId="63">
    <w:name w:val="页眉 Char1"/>
    <w:basedOn w:val="24"/>
    <w:link w:val="15"/>
    <w:qFormat/>
    <w:uiPriority w:val="0"/>
    <w:rPr>
      <w:kern w:val="2"/>
      <w:sz w:val="18"/>
      <w:szCs w:val="18"/>
    </w:rPr>
  </w:style>
  <w:style w:type="character" w:customStyle="1" w:styleId="64">
    <w:name w:val="称呼 Char"/>
    <w:basedOn w:val="24"/>
    <w:link w:val="7"/>
    <w:qFormat/>
    <w:uiPriority w:val="0"/>
    <w:rPr>
      <w:kern w:val="2"/>
      <w:sz w:val="21"/>
      <w:szCs w:val="24"/>
    </w:rPr>
  </w:style>
  <w:style w:type="paragraph" w:customStyle="1" w:styleId="65">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21"/>
      <w:szCs w:val="24"/>
      <w:lang w:val="en-US" w:eastAsia="zh-CN" w:bidi="ar"/>
    </w:rPr>
  </w:style>
  <w:style w:type="character" w:customStyle="1" w:styleId="66">
    <w:name w:val="批注文字 Char"/>
    <w:basedOn w:val="24"/>
    <w:link w:val="6"/>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4892;&#25919;&#23457;&#25209;&#23616;\&#36130;&#21153;\&#22806;&#21333;&#20301;\&#36130;&#21153;&#20844;&#24320;\&#20915;&#31639;&#32534;&#21046;&#20844;&#24320;&#36164;&#26009;\&#23457;&#25209;&#23616;\2022&#24180;&#20915;&#31639;&#20844;&#24320;\2022&#20915;&#31639;&#20844;&#24320;&#36164;&#26009;\&#30011;&#22270;&#24037;&#20855;&#65288;&#34892;&#25919;&#23457;&#2520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36130;&#21153;&#20844;&#24320;\&#20915;&#31639;&#32534;&#21046;&#20844;&#24320;&#36164;&#26009;\&#23457;&#25209;&#23616;\2022&#24180;&#20915;&#31639;&#20844;&#24320;\2022&#20915;&#31639;&#20844;&#24320;&#36164;&#26009;\&#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36130;&#21153;&#20844;&#24320;\&#20915;&#31639;&#32534;&#21046;&#20844;&#24320;&#36164;&#26009;\&#23457;&#25209;&#23616;\2022&#24180;&#20915;&#31639;&#20844;&#24320;\2022&#20915;&#31639;&#20844;&#24320;&#36164;&#26009;\&#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36130;&#21153;&#20844;&#24320;\&#20915;&#31639;&#32534;&#21046;&#20844;&#24320;&#36164;&#26009;\&#23457;&#25209;&#23616;\2022&#24180;&#20915;&#31639;&#20844;&#24320;\2022&#20915;&#31639;&#20844;&#24320;&#36164;&#26009;\&#30011;&#22270;&#24037;&#20855;&#65288;&#34892;&#25919;&#23457;&#25209;&#2361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36130;&#21153;&#20844;&#24320;\&#20915;&#31639;&#32534;&#21046;&#20844;&#24320;&#36164;&#26009;\&#23457;&#25209;&#23616;\2022&#24180;&#20915;&#31639;&#20844;&#24320;\2022&#20915;&#31639;&#20844;&#24320;&#36164;&#26009;\&#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36130;&#21153;&#20844;&#24320;\&#20915;&#31639;&#32534;&#21046;&#20844;&#24320;&#36164;&#26009;\&#23457;&#25209;&#23616;\2022&#24180;&#20915;&#31639;&#20844;&#24320;\2022&#20915;&#31639;&#20844;&#24320;&#36164;&#26009;\&#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4892;&#25919;&#23457;&#25209;&#23616;\&#36130;&#21153;\&#22806;&#21333;&#20301;\&#36130;&#21153;&#20844;&#24320;\&#20915;&#31639;&#32534;&#21046;&#20844;&#24320;&#36164;&#26009;\&#23457;&#25209;&#23616;\2022&#24180;&#20915;&#31639;&#20844;&#24320;\2022&#20915;&#31639;&#20844;&#24320;&#36164;&#26009;\&#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2021年</c:v>
                </c:pt>
                <c:pt idx="1">
                  <c:v>2022年</c:v>
                </c:pt>
                <c:pt idx="2">
                  <c:v>2021年</c:v>
                </c:pt>
                <c:pt idx="3">
                  <c:v>2022年</c:v>
                </c:pt>
              </c:strCache>
            </c:strRef>
          </c:cat>
          <c:val>
            <c:numRef>
              <c:f>'[画图工具（行政审批局).xlsx]收支总计'!$B$2:$B$6</c:f>
              <c:numCache>
                <c:formatCode>General</c:formatCode>
                <c:ptCount val="5"/>
                <c:pt idx="0">
                  <c:v>1036.9</c:v>
                </c:pt>
                <c:pt idx="1">
                  <c:v>1953.38</c:v>
                </c:pt>
              </c:numCache>
            </c:numRef>
          </c:val>
        </c:ser>
        <c:ser>
          <c:idx val="1"/>
          <c:order val="1"/>
          <c:tx>
            <c:strRef>
              <c:f>'[画图工具（行政审批局).xlsx]收支总计'!$C$1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2021年</c:v>
                </c:pt>
                <c:pt idx="1">
                  <c:v>2022年</c:v>
                </c:pt>
                <c:pt idx="2">
                  <c:v>2021年</c:v>
                </c:pt>
                <c:pt idx="3">
                  <c:v>2022年</c:v>
                </c:pt>
              </c:strCache>
            </c:strRef>
          </c:cat>
          <c:val>
            <c:numRef>
              <c:f>'[画图工具（行政审批局).xlsx]收支总计'!$C$2:$C$6</c:f>
              <c:numCache>
                <c:formatCode>General</c:formatCode>
                <c:ptCount val="5"/>
                <c:pt idx="2">
                  <c:v>1036.9</c:v>
                </c:pt>
                <c:pt idx="3">
                  <c:v>1953.38</c:v>
                </c:pt>
              </c:numCache>
            </c:numRef>
          </c:val>
        </c:ser>
        <c:ser>
          <c:idx val="2"/>
          <c:order val="2"/>
          <c:tx>
            <c:strRef>
              <c:f>'[画图工具（行政审批局).xlsx]收支总计'!$D$1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'[画图工具（行政审批局).xlsx]收支总计'!$A$2:$A$6</c:f>
              <c:strCache>
                <c:ptCount val="5"/>
                <c:pt idx="0">
                  <c:v>2021年</c:v>
                </c:pt>
                <c:pt idx="1">
                  <c:v>2022年</c:v>
                </c:pt>
                <c:pt idx="2">
                  <c:v>2021年</c:v>
                </c:pt>
                <c:pt idx="3">
                  <c:v>2022年</c:v>
                </c:pt>
              </c:strCache>
            </c:strRef>
          </c:cat>
          <c:val>
            <c:numRef>
              <c:f>'[画图工具（行政审批局).xlsx]收支总计'!$D$2:$D$6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7821782178218"/>
          <c:y val="0.0460122699386499"/>
        </c:manualLayout>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'[画图工具（行政审批局).xlsx]总收入'!$B$1</c:f>
              <c:strCache>
                <c:ptCount val="1"/>
                <c:pt idx="0">
                  <c:v>收入决算结构（单位：万元）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Lbls>
            <c:spPr>
              <a:solidFill>
                <a:schemeClr val="accent2"/>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'[画图工具（行政审批局).xlsx]总收入'!$A$2:$A$3</c:f>
              <c:strCache>
                <c:ptCount val="2"/>
                <c:pt idx="0">
                  <c:v>一般公共预算财政拨款收入</c:v>
                </c:pt>
                <c:pt idx="1">
                  <c:v>其他收入</c:v>
                </c:pt>
              </c:strCache>
            </c:strRef>
          </c:cat>
          <c:val>
            <c:numRef>
              <c:f>'[画图工具（行政审批局).xlsx]总收入'!$B$2:$B$3</c:f>
              <c:numCache>
                <c:formatCode>0.00_);\(0.00\)</c:formatCode>
                <c:ptCount val="2"/>
                <c:pt idx="0">
                  <c:v>1713.1</c:v>
                </c:pt>
                <c:pt idx="1">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'[画图工具（行政审批局).xlsx]总支出'!$B$1</c:f>
              <c:strCache>
                <c:ptCount val="1"/>
                <c:pt idx="0">
                  <c:v>2022年支出合计（单位：万元）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manualLayout>
                  <c:x val="-0.0243471698193918"/>
                  <c:y val="0.21078852288322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243.49</c:v>
                </c:pt>
                <c:pt idx="1">
                  <c:v>1709.89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财政拨款收、支决算总计变动情况  （单位：万元）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 (2)'!$B$1</c:f>
              <c:strCache>
                <c:ptCount val="1"/>
                <c:pt idx="0">
                  <c:v>财政拨款收入总计</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(2)'!$A$2:$A$6</c:f>
              <c:strCache>
                <c:ptCount val="5"/>
                <c:pt idx="0">
                  <c:v>2021年</c:v>
                </c:pt>
                <c:pt idx="1">
                  <c:v>2022年</c:v>
                </c:pt>
                <c:pt idx="2">
                  <c:v>2021年</c:v>
                </c:pt>
                <c:pt idx="3">
                  <c:v>2022年</c:v>
                </c:pt>
              </c:strCache>
            </c:strRef>
          </c:cat>
          <c:val>
            <c:numRef>
              <c:f>'[画图工具（行政审批局).xlsx]收支总计 (2)'!$B$2:$B$6</c:f>
              <c:numCache>
                <c:formatCode>General</c:formatCode>
                <c:ptCount val="5"/>
                <c:pt idx="0">
                  <c:v>1036.88</c:v>
                </c:pt>
                <c:pt idx="1">
                  <c:v>1953.38</c:v>
                </c:pt>
              </c:numCache>
            </c:numRef>
          </c:val>
        </c:ser>
        <c:ser>
          <c:idx val="1"/>
          <c:order val="1"/>
          <c:tx>
            <c:strRef>
              <c:f>'[画图工具（行政审批局).xlsx]收支总计 (2)'!$C$1</c:f>
              <c:strCache>
                <c:ptCount val="1"/>
                <c:pt idx="0">
                  <c:v>财政拨款支出总计</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(2)'!$A$2:$A$6</c:f>
              <c:strCache>
                <c:ptCount val="5"/>
                <c:pt idx="0">
                  <c:v>2021年</c:v>
                </c:pt>
                <c:pt idx="1">
                  <c:v>2022年</c:v>
                </c:pt>
                <c:pt idx="2">
                  <c:v>2021年</c:v>
                </c:pt>
                <c:pt idx="3">
                  <c:v>2022年</c:v>
                </c:pt>
              </c:strCache>
            </c:strRef>
          </c:cat>
          <c:val>
            <c:numRef>
              <c:f>'[画图工具（行政审批局).xlsx]收支总计 (2)'!$C$2:$C$6</c:f>
              <c:numCache>
                <c:formatCode>General</c:formatCode>
                <c:ptCount val="5"/>
                <c:pt idx="2">
                  <c:v>1036.88</c:v>
                </c:pt>
                <c:pt idx="3">
                  <c:v>1953.38</c:v>
                </c:pt>
              </c:numCache>
            </c:numRef>
          </c:val>
        </c:ser>
        <c:ser>
          <c:idx val="2"/>
          <c:order val="2"/>
          <c:tx>
            <c:strRef>
              <c:f>'[画图工具（行政审批局).xlsx]收支总计 (2)'!$D$1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 (2)'!$A$2:$A$6</c:f>
              <c:strCache>
                <c:ptCount val="5"/>
                <c:pt idx="0">
                  <c:v>2021年</c:v>
                </c:pt>
                <c:pt idx="1">
                  <c:v>2022年</c:v>
                </c:pt>
                <c:pt idx="2">
                  <c:v>2021年</c:v>
                </c:pt>
                <c:pt idx="3">
                  <c:v>2022年</c:v>
                </c:pt>
              </c:strCache>
            </c:strRef>
          </c:cat>
          <c:val>
            <c:numRef>
              <c:f>'[画图工具（行政审批局).xlsx]收支总计 (2)'!$D$2:$D$6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162176"/>
        <c:axId val="250188544"/>
      </c:barChart>
      <c:catAx>
        <c:axId val="250162176"/>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false"/>
      <c:spPr>
        <a:noFill/>
        <a:ln>
          <a:noFill/>
        </a:ln>
        <a:effectLst/>
      </c:spPr>
    </c:title>
    <c:autoTitleDeleted val="false"/>
    <c:plotArea>
      <c:layout/>
      <c:barChart>
        <c:barDir val="col"/>
        <c:grouping val="clustered"/>
        <c:varyColors val="false"/>
        <c:ser>
          <c:idx val="0"/>
          <c:order val="0"/>
          <c:tx>
            <c:strRef>
              <c:f>'[画图工具（行政审批局).xlsx]Sheet1 (4)'!$B$1</c:f>
              <c:strCache>
                <c:ptCount val="1"/>
                <c:pt idx="0">
                  <c:v>一般公共预算财政拨款支出（单位：万元）</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'[画图工具（行政审批局).xlsx]Sheet1 (4)'!$A$2:$A$3</c:f>
              <c:strCache>
                <c:ptCount val="2"/>
                <c:pt idx="0">
                  <c:v>2021年</c:v>
                </c:pt>
                <c:pt idx="1">
                  <c:v>2022年</c:v>
                </c:pt>
              </c:strCache>
            </c:strRef>
          </c:cat>
          <c:val>
            <c:numRef>
              <c:f>'[画图工具（行政审批局).xlsx]Sheet1 (4)'!$B$2:$B$3</c:f>
              <c:numCache>
                <c:formatCode>General</c:formatCode>
                <c:ptCount val="2"/>
                <c:pt idx="0">
                  <c:v>1036.88</c:v>
                </c:pt>
                <c:pt idx="1">
                  <c:v>1953.38</c:v>
                </c:pt>
              </c:numCache>
            </c:numRef>
          </c:val>
        </c:ser>
        <c:dLbls>
          <c:showLegendKey val="false"/>
          <c:showVal val="true"/>
          <c:showCatName val="false"/>
          <c:showSerName val="false"/>
          <c:showPercent val="false"/>
          <c:showBubbleSize val="false"/>
        </c:dLbls>
        <c:gapWidth val="100"/>
        <c:overlap val="-24"/>
        <c:axId val="252047360"/>
        <c:axId val="252048896"/>
      </c:barChart>
      <c:catAx>
        <c:axId val="252047360"/>
        <c:scaling>
          <c:orientation val="minMax"/>
        </c:scaling>
        <c:delete val="false"/>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lang="en-US" altLang="zh-CN"/>
              <a:t>一般公共预算财政拨款支出决算结构图                   </a:t>
            </a:r>
            <a:r>
              <a:t>（单位：万元）</a:t>
            </a:r>
          </a:p>
        </c:rich>
      </c:tx>
      <c:layout>
        <c:manualLayout>
          <c:xMode val="edge"/>
          <c:yMode val="edge"/>
          <c:x val="0.0886111111111111"/>
          <c:y val="0.0377142857142857"/>
        </c:manualLayout>
      </c:layout>
      <c:overlay val="false"/>
      <c:spPr>
        <a:noFill/>
        <a:ln>
          <a:noFill/>
        </a:ln>
        <a:effectLst/>
      </c:spPr>
    </c:title>
    <c:autoTitleDeleted val="false"/>
    <c:plotArea>
      <c:layout/>
      <c:pieChart>
        <c:varyColors val="true"/>
        <c:ser>
          <c:idx val="0"/>
          <c:order val="0"/>
          <c:tx>
            <c:strRef>
              <c:f>'[画图工具（行政审批局).xlsx]一般公共预算财政拨款支出 (3)'!$B$1</c:f>
              <c:strCache>
                <c:ptCount val="1"/>
                <c:pt idx="0">
                  <c:v>一般公共预算财政拨款支出 决算结构图（单位：万元）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Pt>
            <c:idx val="2"/>
            <c:bubble3D val="false"/>
            <c:spPr>
              <a:solidFill>
                <a:schemeClr val="accent3">
                  <a:shade val="76667"/>
                </a:schemeClr>
              </a:solidFill>
              <a:ln>
                <a:noFill/>
              </a:ln>
              <a:effectLst>
                <a:outerShdw blurRad="254000" sx="102000" sy="102000" algn="ctr" rotWithShape="0">
                  <a:prstClr val="black">
                    <a:alpha val="20000"/>
                  </a:prstClr>
                </a:outerShdw>
              </a:effectLst>
            </c:spPr>
          </c:dPt>
          <c:dPt>
            <c:idx val="3"/>
            <c:bubble3D val="false"/>
            <c:spPr>
              <a:solidFill>
                <a:schemeClr val="accent4">
                  <a:shade val="76667"/>
                </a:schemeClr>
              </a:solidFill>
              <a:ln>
                <a:noFill/>
              </a:ln>
              <a:effectLst>
                <a:outerShdw blurRad="254000" sx="102000" sy="102000" algn="ctr" rotWithShape="0">
                  <a:prstClr val="black">
                    <a:alpha val="20000"/>
                  </a:prstClr>
                </a:outerShdw>
              </a:effectLst>
            </c:spPr>
          </c:dPt>
          <c:dPt>
            <c:idx val="4"/>
            <c:bubble3D val="false"/>
            <c:spPr>
              <a:solidFill>
                <a:schemeClr val="accent5">
                  <a:shade val="76667"/>
                </a:schemeClr>
              </a:solidFill>
              <a:ln>
                <a:noFill/>
              </a:ln>
              <a:effectLst>
                <a:outerShdw blurRad="254000" sx="102000" sy="102000" algn="ctr" rotWithShape="0">
                  <a:prstClr val="black">
                    <a:alpha val="20000"/>
                  </a:prstClr>
                </a:outerShdw>
              </a:effectLst>
            </c:spPr>
          </c:dPt>
          <c:dPt>
            <c:idx val="5"/>
            <c:bubble3D val="false"/>
            <c:spPr>
              <a:solidFill>
                <a:schemeClr val="accent6">
                  <a:shade val="76667"/>
                </a:schemeClr>
              </a:solidFill>
              <a:ln>
                <a:noFill/>
              </a:ln>
              <a:effectLst>
                <a:outerShdw blurRad="254000" sx="102000" sy="102000" algn="ctr" rotWithShape="0">
                  <a:prstClr val="black">
                    <a:alpha val="20000"/>
                  </a:prstClr>
                </a:outerShdw>
              </a:effectLst>
            </c:spPr>
          </c:dPt>
          <c:dPt>
            <c:idx val="6"/>
            <c:bubble3D val="false"/>
            <c:spPr>
              <a:solidFill>
                <a:schemeClr val="accent1">
                  <a:tint val="76667"/>
                </a:schemeClr>
              </a:solidFill>
              <a:ln>
                <a:noFill/>
              </a:ln>
              <a:effectLst>
                <a:outerShdw blurRad="254000" sx="102000" sy="102000" algn="ctr" rotWithShape="0">
                  <a:prstClr val="black">
                    <a:alpha val="20000"/>
                  </a:prstClr>
                </a:outerShdw>
              </a:effectLst>
            </c:spPr>
          </c:dPt>
          <c:dLbls>
            <c:dLbl>
              <c:idx val="0"/>
              <c:layout>
                <c:manualLayout>
                  <c:x val="-0.037552118266589"/>
                  <c:y val="0.216011413207371"/>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724784540656822"/>
                  <c:y val="0.133400858608809"/>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773196742137636"/>
                  <c:y val="0.084899283372153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0100957633673282"/>
                  <c:y val="0.16013493014254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0425212077125562"/>
                  <c:y val="0.19523840173739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0578729725531927"/>
                  <c:y val="0.318841498405478"/>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'[画图工具（行政审批局).xlsx]一般公共预算财政拨款支出 (3)'!$A$2:$A$8</c:f>
              <c:strCache>
                <c:ptCount val="7"/>
                <c:pt idx="0">
                  <c:v>文化旅游体育与传媒支出</c:v>
                </c:pt>
                <c:pt idx="1">
                  <c:v>社会保障和就业支出</c:v>
                </c:pt>
                <c:pt idx="2">
                  <c:v>卫生健康支出</c:v>
                </c:pt>
                <c:pt idx="3">
                  <c:v>农林水支出</c:v>
                </c:pt>
                <c:pt idx="4">
                  <c:v>资源勘探工业信息等支出</c:v>
                </c:pt>
                <c:pt idx="5">
                  <c:v>商业服务业等支出</c:v>
                </c:pt>
                <c:pt idx="6">
                  <c:v>住房保障支出</c:v>
                </c:pt>
              </c:strCache>
            </c:strRef>
          </c:cat>
          <c:val>
            <c:numRef>
              <c:f>'[画图工具（行政审批局).xlsx]一般公共预算财政拨款支出 (3)'!$B$2:$B$8</c:f>
              <c:numCache>
                <c:formatCode>General</c:formatCode>
                <c:ptCount val="7"/>
                <c:pt idx="0">
                  <c:v>15</c:v>
                </c:pt>
                <c:pt idx="1">
                  <c:v>17.37</c:v>
                </c:pt>
                <c:pt idx="2">
                  <c:v>8.84</c:v>
                </c:pt>
                <c:pt idx="3">
                  <c:v>130.84</c:v>
                </c:pt>
                <c:pt idx="4">
                  <c:v>9</c:v>
                </c:pt>
                <c:pt idx="5">
                  <c:v>1754.39</c:v>
                </c:pt>
                <c:pt idx="6">
                  <c:v>17.94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overlay val="false"/>
      <c:spPr>
        <a:noFill/>
        <a:ln>
          <a:noFill/>
        </a:ln>
        <a:effectLst/>
      </c:spPr>
    </c:title>
    <c:autoTitleDeleted val="false"/>
    <c:plotArea>
      <c:layout/>
      <c:pieChart>
        <c:varyColors val="true"/>
        <c:ser>
          <c:idx val="0"/>
          <c:order val="0"/>
          <c:tx>
            <c:strRef>
              <c:f>'[画图工具（行政审批局).xlsx]“三公”经费财政拨款支出'!$B$1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0.34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106</Pages>
  <Words>53910</Words>
  <Characters>57231</Characters>
  <Lines>145</Lines>
  <Paragraphs>40</Paragraphs>
  <TotalTime>10</TotalTime>
  <ScaleCrop>false</ScaleCrop>
  <LinksUpToDate>false</LinksUpToDate>
  <CharactersWithSpaces>76692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2020-09-24T18:23:00Z</dcterms:created>
  <dc:creator>曹颖</dc:creator>
  <cp:lastModifiedBy>user</cp:lastModifiedBy>
  <cp:lastPrinted>2021-06-14T11:46:00Z</cp:lastPrinted>
  <dcterms:modified xsi:type="dcterms:W3CDTF">2025-02-08T15:12:24Z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4B794A1E97F04553A676B56566A9412B_13</vt:lpwstr>
  </property>
</Properties>
</file>