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165" w:name="_GoBack"/>
      <w:bookmarkEnd w:id="165"/>
      <w:bookmarkStart w:id="0" w:name="_Toc15377193"/>
      <w:bookmarkStart w:id="1" w:name="_Toc15396597"/>
      <w:bookmarkStart w:id="2" w:name="_Toc15378441"/>
      <w:bookmarkStart w:id="3" w:name="_Toc15377425"/>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723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pStyle w:val="12"/>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06268"/>
      <w:bookmarkStart w:id="9" w:name="_Toc15377194"/>
      <w:bookmarkStart w:id="10" w:name="_Toc15396598"/>
      <w:bookmarkStart w:id="11" w:name="_Toc15396476"/>
      <w:bookmarkStart w:id="12" w:name="_Toc15377426"/>
      <w:bookmarkStart w:id="13" w:name="_Toc12455"/>
      <w:r>
        <w:rPr>
          <w:rFonts w:hint="eastAsia" w:ascii="方正小标宋简体" w:hAnsi="方正小标宋简体" w:eastAsia="方正小标宋简体" w:cs="方正小标宋简体"/>
          <w:color w:val="auto"/>
          <w:sz w:val="72"/>
          <w:szCs w:val="72"/>
          <w:highlight w:val="none"/>
          <w:lang w:eastAsia="zh-CN"/>
        </w:rPr>
        <w:t>中共四川省广元市朝天区委宣传部</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p>
    <w:p>
      <w:pPr>
        <w:pStyle w:val="12"/>
        <w:rPr>
          <w:rFonts w:hint="eastAsia" w:ascii="方正小标宋简体" w:hAnsi="方正小标宋简体" w:eastAsia="方正小标宋简体" w:cs="方正小标宋简体"/>
          <w:color w:val="auto"/>
          <w:sz w:val="72"/>
          <w:szCs w:val="72"/>
          <w:highlight w:val="none"/>
        </w:rPr>
      </w:pPr>
    </w:p>
    <w:p>
      <w:pPr>
        <w:pStyle w:val="12"/>
        <w:rPr>
          <w:rFonts w:hint="eastAsia" w:ascii="方正小标宋简体" w:hAnsi="方正小标宋简体" w:eastAsia="方正小标宋简体" w:cs="方正小标宋简体"/>
          <w:color w:val="auto"/>
          <w:sz w:val="72"/>
          <w:szCs w:val="72"/>
          <w:highlight w:val="none"/>
        </w:rPr>
      </w:pPr>
    </w:p>
    <w:p>
      <w:pPr>
        <w:pStyle w:val="12"/>
        <w:rPr>
          <w:rFonts w:hint="eastAsia" w:ascii="方正小标宋简体" w:hAnsi="方正小标宋简体" w:eastAsia="方正小标宋简体" w:cs="方正小标宋简体"/>
          <w:color w:val="auto"/>
          <w:sz w:val="72"/>
          <w:szCs w:val="72"/>
          <w:highlight w:val="none"/>
        </w:rPr>
      </w:pPr>
    </w:p>
    <w:p>
      <w:pPr>
        <w:pStyle w:val="12"/>
        <w:rPr>
          <w:rFonts w:hint="eastAsia" w:ascii="方正小标宋简体" w:hAnsi="方正小标宋简体" w:eastAsia="方正小标宋简体" w:cs="方正小标宋简体"/>
          <w:color w:val="auto"/>
          <w:sz w:val="72"/>
          <w:szCs w:val="72"/>
          <w:highlight w:val="none"/>
        </w:rPr>
      </w:pPr>
    </w:p>
    <w:p>
      <w:pPr>
        <w:pStyle w:val="12"/>
        <w:rPr>
          <w:rFonts w:hint="eastAsia" w:ascii="方正小标宋简体" w:hAnsi="方正小标宋简体" w:eastAsia="方正小标宋简体" w:cs="方正小标宋简体"/>
          <w:color w:val="auto"/>
          <w:sz w:val="72"/>
          <w:szCs w:val="72"/>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adjustRightInd w:val="0"/>
        <w:snapToGrid w:val="0"/>
        <w:spacing w:line="360" w:lineRule="auto"/>
        <w:jc w:val="center"/>
        <w:outlineLvl w:val="0"/>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目录</w:t>
      </w:r>
      <w:bookmarkEnd w:id="13"/>
    </w:p>
    <w:sdt>
      <w:sdtPr>
        <w:rPr>
          <w:rFonts w:ascii="宋体" w:hAnsi="宋体" w:eastAsia="宋体" w:cs="Times New Roman"/>
          <w:kern w:val="2"/>
          <w:sz w:val="21"/>
          <w:szCs w:val="24"/>
          <w:lang w:val="en-US" w:eastAsia="zh-CN" w:bidi="ar-SA"/>
        </w:rPr>
        <w:id w:val="147469716"/>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6"/>
            <w:tabs>
              <w:tab w:val="right" w:leader="dot" w:pos="8306"/>
            </w:tabs>
          </w:pPr>
          <w:r>
            <w:fldChar w:fldCharType="begin"/>
          </w:r>
          <w:r>
            <w:instrText xml:space="preserve">TOC \o "1-3" \h \u </w:instrText>
          </w:r>
          <w:r>
            <w:fldChar w:fldCharType="separate"/>
          </w:r>
        </w:p>
        <w:p>
          <w:pPr>
            <w:pStyle w:val="36"/>
            <w:tabs>
              <w:tab w:val="right" w:leader="dot" w:pos="8306"/>
            </w:tabs>
          </w:pPr>
          <w:r>
            <w:fldChar w:fldCharType="begin"/>
          </w:r>
          <w:r>
            <w:instrText xml:space="preserve"> HYPERLINK \l _Toc6228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_Toc6228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_Toc19681 </w:instrText>
          </w:r>
          <w:r>
            <w:fldChar w:fldCharType="separate"/>
          </w:r>
          <w:r>
            <w:rPr>
              <w:rFonts w:hint="eastAsia" w:ascii="黑体" w:hAnsi="黑体" w:eastAsia="黑体"/>
              <w:highlight w:val="none"/>
            </w:rPr>
            <w:t>一、</w:t>
          </w:r>
          <w:r>
            <w:rPr>
              <w:rFonts w:hint="eastAsia" w:ascii="黑体" w:hAnsi="黑体" w:eastAsia="黑体"/>
              <w:highlight w:val="none"/>
              <w:lang w:eastAsia="zh-CN"/>
            </w:rPr>
            <w:t>部门职责</w:t>
          </w:r>
          <w:r>
            <w:tab/>
          </w:r>
          <w:r>
            <w:fldChar w:fldCharType="begin"/>
          </w:r>
          <w:r>
            <w:instrText xml:space="preserve"> PAGEREF _Toc19681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_Toc26212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_Toc26212 \h </w:instrText>
          </w:r>
          <w:r>
            <w:fldChar w:fldCharType="separate"/>
          </w:r>
          <w:r>
            <w:t>5</w:t>
          </w:r>
          <w:r>
            <w:fldChar w:fldCharType="end"/>
          </w:r>
          <w:r>
            <w:fldChar w:fldCharType="end"/>
          </w:r>
        </w:p>
        <w:p>
          <w:pPr>
            <w:pStyle w:val="36"/>
            <w:tabs>
              <w:tab w:val="right" w:leader="dot" w:pos="8306"/>
            </w:tabs>
          </w:pPr>
          <w:r>
            <w:fldChar w:fldCharType="begin"/>
          </w:r>
          <w:r>
            <w:instrText xml:space="preserve"> HYPERLINK \l _Toc24651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_Toc24651 \h </w:instrText>
          </w:r>
          <w:r>
            <w:fldChar w:fldCharType="separate"/>
          </w:r>
          <w:r>
            <w:t>6</w:t>
          </w:r>
          <w:r>
            <w:fldChar w:fldCharType="end"/>
          </w:r>
          <w:r>
            <w:fldChar w:fldCharType="end"/>
          </w:r>
        </w:p>
        <w:p>
          <w:pPr>
            <w:pStyle w:val="37"/>
            <w:tabs>
              <w:tab w:val="right" w:leader="dot" w:pos="8306"/>
            </w:tabs>
          </w:pPr>
          <w:r>
            <w:fldChar w:fldCharType="begin"/>
          </w:r>
          <w:r>
            <w:instrText xml:space="preserve"> HYPERLINK \l _Toc7026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_Toc7026 \h </w:instrText>
          </w:r>
          <w:r>
            <w:fldChar w:fldCharType="separate"/>
          </w:r>
          <w:r>
            <w:t>6</w:t>
          </w:r>
          <w:r>
            <w:fldChar w:fldCharType="end"/>
          </w:r>
          <w:r>
            <w:fldChar w:fldCharType="end"/>
          </w:r>
        </w:p>
        <w:p>
          <w:pPr>
            <w:pStyle w:val="37"/>
            <w:tabs>
              <w:tab w:val="right" w:leader="dot" w:pos="8306"/>
            </w:tabs>
          </w:pPr>
          <w:r>
            <w:fldChar w:fldCharType="begin"/>
          </w:r>
          <w:r>
            <w:instrText xml:space="preserve"> HYPERLINK \l _Toc15064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_Toc15064 \h </w:instrText>
          </w:r>
          <w:r>
            <w:fldChar w:fldCharType="separate"/>
          </w:r>
          <w:r>
            <w:t>6</w:t>
          </w:r>
          <w:r>
            <w:fldChar w:fldCharType="end"/>
          </w:r>
          <w:r>
            <w:fldChar w:fldCharType="end"/>
          </w:r>
        </w:p>
        <w:p>
          <w:pPr>
            <w:pStyle w:val="37"/>
            <w:tabs>
              <w:tab w:val="right" w:leader="dot" w:pos="8306"/>
            </w:tabs>
          </w:pPr>
          <w:r>
            <w:fldChar w:fldCharType="begin"/>
          </w:r>
          <w:r>
            <w:instrText xml:space="preserve"> HYPERLINK \l _Toc23063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_Toc23063 \h </w:instrText>
          </w:r>
          <w:r>
            <w:fldChar w:fldCharType="separate"/>
          </w:r>
          <w:r>
            <w:t>7</w:t>
          </w:r>
          <w:r>
            <w:fldChar w:fldCharType="end"/>
          </w:r>
          <w:r>
            <w:fldChar w:fldCharType="end"/>
          </w:r>
        </w:p>
        <w:p>
          <w:pPr>
            <w:pStyle w:val="37"/>
            <w:tabs>
              <w:tab w:val="right" w:leader="dot" w:pos="8306"/>
            </w:tabs>
          </w:pPr>
          <w:r>
            <w:fldChar w:fldCharType="begin"/>
          </w:r>
          <w:r>
            <w:instrText xml:space="preserve"> HYPERLINK \l _Toc7459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_Toc7459 \h </w:instrText>
          </w:r>
          <w:r>
            <w:fldChar w:fldCharType="separate"/>
          </w:r>
          <w:r>
            <w:t>8</w:t>
          </w:r>
          <w:r>
            <w:fldChar w:fldCharType="end"/>
          </w:r>
          <w:r>
            <w:fldChar w:fldCharType="end"/>
          </w:r>
        </w:p>
        <w:p>
          <w:pPr>
            <w:pStyle w:val="37"/>
            <w:tabs>
              <w:tab w:val="right" w:leader="dot" w:pos="8306"/>
            </w:tabs>
          </w:pPr>
          <w:r>
            <w:fldChar w:fldCharType="begin"/>
          </w:r>
          <w:r>
            <w:instrText xml:space="preserve"> HYPERLINK \l _Toc28758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_Toc28758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_Toc1557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_Toc1557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_Toc1557 </w:instrText>
          </w:r>
          <w:r>
            <w:fldChar w:fldCharType="separate"/>
          </w:r>
          <w:r>
            <w:rPr>
              <w:rFonts w:hint="eastAsia" w:ascii="仿宋" w:hAnsi="仿宋" w:eastAsia="仿宋"/>
              <w:szCs w:val="32"/>
              <w:highlight w:val="none"/>
            </w:rPr>
            <w:t>（</w:t>
          </w:r>
          <w:r>
            <w:rPr>
              <w:rFonts w:hint="eastAsia" w:ascii="仿宋" w:hAnsi="仿宋" w:eastAsia="仿宋"/>
              <w:szCs w:val="32"/>
              <w:highlight w:val="none"/>
              <w:lang w:eastAsia="zh-CN"/>
            </w:rPr>
            <w:t>二</w:t>
          </w:r>
          <w:r>
            <w:rPr>
              <w:rFonts w:hint="eastAsia" w:ascii="仿宋" w:hAnsi="仿宋" w:eastAsia="仿宋"/>
              <w:szCs w:val="32"/>
              <w:highlight w:val="none"/>
            </w:rPr>
            <w:t>）一般公共预算财政拨款支出决算</w:t>
          </w:r>
          <w:r>
            <w:rPr>
              <w:rFonts w:hint="eastAsia" w:ascii="仿宋" w:hAnsi="仿宋" w:eastAsia="仿宋"/>
              <w:szCs w:val="32"/>
              <w:highlight w:val="none"/>
              <w:lang w:eastAsia="zh-CN"/>
            </w:rPr>
            <w:t>结构</w:t>
          </w:r>
          <w:r>
            <w:rPr>
              <w:rFonts w:hint="eastAsia" w:ascii="仿宋" w:hAnsi="仿宋" w:eastAsia="仿宋"/>
              <w:szCs w:val="32"/>
              <w:highlight w:val="none"/>
            </w:rPr>
            <w:t>情况</w:t>
          </w:r>
          <w:r>
            <w:tab/>
          </w:r>
          <w:r>
            <w:rPr>
              <w:rFonts w:hint="eastAsia"/>
              <w:lang w:val="en-US" w:eastAsia="zh-CN"/>
            </w:rPr>
            <w:t>9</w:t>
          </w:r>
          <w:r>
            <w:fldChar w:fldCharType="end"/>
          </w:r>
        </w:p>
        <w:p>
          <w:pPr>
            <w:pStyle w:val="38"/>
            <w:tabs>
              <w:tab w:val="right" w:leader="dot" w:pos="8306"/>
            </w:tabs>
          </w:pPr>
          <w:r>
            <w:fldChar w:fldCharType="begin"/>
          </w:r>
          <w:r>
            <w:instrText xml:space="preserve"> HYPERLINK \l _Toc1557 </w:instrText>
          </w:r>
          <w:r>
            <w:fldChar w:fldCharType="separate"/>
          </w:r>
          <w:r>
            <w:rPr>
              <w:rFonts w:hint="eastAsia" w:ascii="仿宋" w:hAnsi="仿宋" w:eastAsia="仿宋"/>
              <w:szCs w:val="32"/>
              <w:highlight w:val="none"/>
            </w:rPr>
            <w:t>（</w:t>
          </w:r>
          <w:r>
            <w:rPr>
              <w:rFonts w:hint="eastAsia" w:ascii="仿宋" w:hAnsi="仿宋" w:eastAsia="仿宋"/>
              <w:szCs w:val="32"/>
              <w:highlight w:val="none"/>
              <w:lang w:eastAsia="zh-CN"/>
            </w:rPr>
            <w:t>三</w:t>
          </w:r>
          <w:r>
            <w:rPr>
              <w:rFonts w:hint="eastAsia" w:ascii="仿宋" w:hAnsi="仿宋" w:eastAsia="仿宋"/>
              <w:szCs w:val="32"/>
              <w:highlight w:val="none"/>
            </w:rPr>
            <w:t>）一般公共预算财政拨款支出决算</w:t>
          </w:r>
          <w:r>
            <w:rPr>
              <w:rFonts w:hint="eastAsia" w:ascii="仿宋" w:hAnsi="仿宋" w:eastAsia="仿宋"/>
              <w:szCs w:val="32"/>
              <w:highlight w:val="none"/>
              <w:lang w:eastAsia="zh-CN"/>
            </w:rPr>
            <w:t>具体</w:t>
          </w:r>
          <w:r>
            <w:rPr>
              <w:rFonts w:hint="eastAsia" w:ascii="仿宋" w:hAnsi="仿宋" w:eastAsia="仿宋"/>
              <w:szCs w:val="32"/>
              <w:highlight w:val="none"/>
            </w:rPr>
            <w:t>情况</w:t>
          </w:r>
          <w:r>
            <w:tab/>
          </w:r>
          <w:r>
            <w:rPr>
              <w:rFonts w:hint="eastAsia"/>
              <w:lang w:val="en-US" w:eastAsia="zh-CN"/>
            </w:rPr>
            <w:t>1</w:t>
          </w:r>
          <w:r>
            <w:fldChar w:fldCharType="end"/>
          </w:r>
          <w:r>
            <w:rPr>
              <w:rFonts w:hint="eastAsia"/>
              <w:lang w:val="en-US" w:eastAsia="zh-CN"/>
            </w:rPr>
            <w:t>0</w:t>
          </w:r>
        </w:p>
        <w:p>
          <w:pPr>
            <w:pStyle w:val="37"/>
            <w:tabs>
              <w:tab w:val="right" w:leader="dot" w:pos="8306"/>
            </w:tabs>
          </w:pPr>
          <w:r>
            <w:fldChar w:fldCharType="begin"/>
          </w:r>
          <w:r>
            <w:instrText xml:space="preserve"> HYPERLINK \l _Toc505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_Toc505 \h </w:instrText>
          </w:r>
          <w:r>
            <w:fldChar w:fldCharType="separate"/>
          </w:r>
          <w:r>
            <w:t>11</w:t>
          </w:r>
          <w:r>
            <w:fldChar w:fldCharType="end"/>
          </w:r>
          <w:r>
            <w:fldChar w:fldCharType="end"/>
          </w:r>
        </w:p>
        <w:p>
          <w:pPr>
            <w:pStyle w:val="37"/>
            <w:tabs>
              <w:tab w:val="right" w:leader="dot" w:pos="8306"/>
            </w:tabs>
          </w:pPr>
          <w:r>
            <w:fldChar w:fldCharType="begin"/>
          </w:r>
          <w:r>
            <w:instrText xml:space="preserve"> HYPERLINK \l _Toc6506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_Toc6506 \h </w:instrText>
          </w:r>
          <w:r>
            <w:fldChar w:fldCharType="separate"/>
          </w:r>
          <w:r>
            <w:t>12</w:t>
          </w:r>
          <w:r>
            <w:fldChar w:fldCharType="end"/>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pPr>
          <w:r>
            <w:fldChar w:fldCharType="begin"/>
          </w:r>
          <w:r>
            <w:instrText xml:space="preserve"> HYPERLINK \l _Toc20862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_Toc20862 \h </w:instrText>
          </w:r>
          <w:r>
            <w:fldChar w:fldCharType="separate"/>
          </w:r>
          <w:r>
            <w:t>12</w:t>
          </w:r>
          <w:r>
            <w:fldChar w:fldCharType="end"/>
          </w:r>
          <w:r>
            <w:fldChar w:fldCharType="end"/>
          </w:r>
        </w:p>
        <w:p>
          <w:pPr>
            <w:pStyle w:val="38"/>
            <w:tabs>
              <w:tab w:val="right" w:leader="dot" w:pos="8306"/>
            </w:tabs>
            <w:rPr>
              <w:rFonts w:hint="eastAsia" w:eastAsiaTheme="minorEastAsia"/>
              <w:lang w:val="en-US" w:eastAsia="zh-CN"/>
            </w:rPr>
          </w:pPr>
          <w:r>
            <w:fldChar w:fldCharType="begin"/>
          </w:r>
          <w:r>
            <w:instrText xml:space="preserve"> HYPERLINK \l _Toc20862 </w:instrText>
          </w:r>
          <w:r>
            <w:fldChar w:fldCharType="separate"/>
          </w:r>
          <w:r>
            <w:rPr>
              <w:rFonts w:hint="eastAsia" w:ascii="仿宋" w:hAnsi="仿宋" w:eastAsia="仿宋"/>
              <w:szCs w:val="32"/>
              <w:highlight w:val="none"/>
            </w:rPr>
            <w:t>（</w:t>
          </w:r>
          <w:r>
            <w:rPr>
              <w:rFonts w:hint="eastAsia" w:ascii="仿宋" w:hAnsi="仿宋" w:eastAsia="仿宋"/>
              <w:szCs w:val="32"/>
              <w:highlight w:val="none"/>
              <w:lang w:eastAsia="zh-CN"/>
            </w:rPr>
            <w:t>二</w:t>
          </w:r>
          <w:r>
            <w:rPr>
              <w:rFonts w:hint="eastAsia" w:ascii="仿宋" w:hAnsi="仿宋" w:eastAsia="仿宋"/>
              <w:szCs w:val="32"/>
              <w:highlight w:val="none"/>
            </w:rPr>
            <w:t>）“三公”经费财政拨款支出决算</w:t>
          </w:r>
          <w:r>
            <w:rPr>
              <w:rFonts w:hint="eastAsia" w:ascii="仿宋" w:hAnsi="仿宋" w:eastAsia="仿宋"/>
              <w:szCs w:val="32"/>
              <w:highlight w:val="none"/>
              <w:lang w:eastAsia="zh-CN"/>
            </w:rPr>
            <w:t>具体</w:t>
          </w:r>
          <w:r>
            <w:rPr>
              <w:rFonts w:hint="eastAsia" w:ascii="仿宋" w:hAnsi="仿宋" w:eastAsia="仿宋"/>
              <w:szCs w:val="32"/>
              <w:highlight w:val="none"/>
            </w:rPr>
            <w:t>情况说明</w:t>
          </w:r>
          <w:r>
            <w:tab/>
          </w:r>
          <w:r>
            <w:rPr>
              <w:rFonts w:hint="eastAsia"/>
              <w:lang w:val="en-US" w:eastAsia="zh-CN"/>
            </w:rPr>
            <w:t>1</w:t>
          </w:r>
          <w:r>
            <w:fldChar w:fldCharType="end"/>
          </w:r>
          <w:r>
            <w:rPr>
              <w:rFonts w:hint="eastAsia"/>
              <w:lang w:val="en-US" w:eastAsia="zh-CN"/>
            </w:rPr>
            <w:t>3</w:t>
          </w:r>
        </w:p>
        <w:p>
          <w:pPr>
            <w:pStyle w:val="37"/>
            <w:tabs>
              <w:tab w:val="right" w:leader="dot" w:pos="8306"/>
            </w:tabs>
          </w:pPr>
          <w:r>
            <w:fldChar w:fldCharType="begin"/>
          </w:r>
          <w:r>
            <w:instrText xml:space="preserve"> HYPERLINK \l _Toc3716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_Toc3716 \h </w:instrText>
          </w:r>
          <w:r>
            <w:fldChar w:fldCharType="separate"/>
          </w:r>
          <w:r>
            <w:t>13</w:t>
          </w:r>
          <w:r>
            <w:fldChar w:fldCharType="end"/>
          </w:r>
          <w:r>
            <w:fldChar w:fldCharType="end"/>
          </w:r>
        </w:p>
        <w:p>
          <w:pPr>
            <w:pStyle w:val="37"/>
            <w:tabs>
              <w:tab w:val="right" w:leader="dot" w:pos="8306"/>
            </w:tabs>
          </w:pPr>
          <w:r>
            <w:fldChar w:fldCharType="begin"/>
          </w:r>
          <w:r>
            <w:instrText xml:space="preserve"> HYPERLINK \l _Toc22361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_Toc22361 \h </w:instrText>
          </w:r>
          <w:r>
            <w:fldChar w:fldCharType="separate"/>
          </w:r>
          <w:r>
            <w:t>13</w:t>
          </w:r>
          <w:r>
            <w:fldChar w:fldCharType="end"/>
          </w:r>
          <w:r>
            <w:fldChar w:fldCharType="end"/>
          </w:r>
        </w:p>
        <w:p>
          <w:pPr>
            <w:pStyle w:val="37"/>
            <w:tabs>
              <w:tab w:val="right" w:leader="dot" w:pos="8306"/>
            </w:tabs>
          </w:pPr>
          <w:r>
            <w:fldChar w:fldCharType="begin"/>
          </w:r>
          <w:r>
            <w:instrText xml:space="preserve"> HYPERLINK \l _Toc6204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_Toc6204 \h </w:instrText>
          </w:r>
          <w:r>
            <w:fldChar w:fldCharType="separate"/>
          </w:r>
          <w:r>
            <w:t>13</w:t>
          </w:r>
          <w:r>
            <w:fldChar w:fldCharType="end"/>
          </w:r>
          <w:r>
            <w:fldChar w:fldCharType="end"/>
          </w:r>
        </w:p>
        <w:p>
          <w:pPr>
            <w:pStyle w:val="38"/>
            <w:tabs>
              <w:tab w:val="right" w:leader="dot" w:pos="8306"/>
            </w:tabs>
          </w:pPr>
          <w:r>
            <w:fldChar w:fldCharType="begin"/>
          </w:r>
          <w:r>
            <w:instrText xml:space="preserve"> HYPERLINK \l _Toc3555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_Toc3555 \h </w:instrText>
          </w:r>
          <w:r>
            <w:fldChar w:fldCharType="separate"/>
          </w:r>
          <w:r>
            <w:t>13</w:t>
          </w:r>
          <w:r>
            <w:fldChar w:fldCharType="end"/>
          </w:r>
          <w:r>
            <w:fldChar w:fldCharType="end"/>
          </w:r>
        </w:p>
        <w:p>
          <w:pPr>
            <w:pStyle w:val="38"/>
            <w:tabs>
              <w:tab w:val="right" w:leader="dot" w:pos="8306"/>
            </w:tabs>
          </w:pPr>
          <w:r>
            <w:fldChar w:fldCharType="begin"/>
          </w:r>
          <w:r>
            <w:instrText xml:space="preserve"> HYPERLINK \l _Toc9388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_Toc9388 \h </w:instrText>
          </w:r>
          <w:r>
            <w:fldChar w:fldCharType="separate"/>
          </w:r>
          <w:r>
            <w:t>14</w:t>
          </w:r>
          <w:r>
            <w:fldChar w:fldCharType="end"/>
          </w:r>
          <w:r>
            <w:fldChar w:fldCharType="end"/>
          </w:r>
        </w:p>
        <w:p>
          <w:pPr>
            <w:pStyle w:val="38"/>
            <w:tabs>
              <w:tab w:val="right" w:leader="dot" w:pos="8306"/>
            </w:tabs>
          </w:pPr>
          <w:r>
            <w:fldChar w:fldCharType="begin"/>
          </w:r>
          <w:r>
            <w:instrText xml:space="preserve"> HYPERLINK \l _Toc22275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_Toc22275 \h </w:instrText>
          </w:r>
          <w:r>
            <w:fldChar w:fldCharType="separate"/>
          </w:r>
          <w:r>
            <w:t>14</w:t>
          </w:r>
          <w:r>
            <w:fldChar w:fldCharType="end"/>
          </w:r>
          <w:r>
            <w:fldChar w:fldCharType="end"/>
          </w:r>
        </w:p>
        <w:p>
          <w:pPr>
            <w:pStyle w:val="38"/>
            <w:tabs>
              <w:tab w:val="right" w:leader="dot" w:pos="8306"/>
            </w:tabs>
          </w:pPr>
          <w:r>
            <w:fldChar w:fldCharType="begin"/>
          </w:r>
          <w:r>
            <w:instrText xml:space="preserve"> HYPERLINK \l _Toc531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_Toc531 \h </w:instrText>
          </w:r>
          <w:r>
            <w:fldChar w:fldCharType="separate"/>
          </w:r>
          <w:r>
            <w:t>14</w:t>
          </w:r>
          <w:r>
            <w:fldChar w:fldCharType="end"/>
          </w:r>
          <w:r>
            <w:fldChar w:fldCharType="end"/>
          </w:r>
        </w:p>
        <w:p>
          <w:pPr>
            <w:pStyle w:val="36"/>
            <w:tabs>
              <w:tab w:val="right" w:leader="dot" w:pos="8306"/>
            </w:tabs>
          </w:pPr>
          <w:r>
            <w:fldChar w:fldCharType="begin"/>
          </w:r>
          <w:r>
            <w:instrText xml:space="preserve"> HYPERLINK \l _Toc2070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_Toc2070 \h </w:instrText>
          </w:r>
          <w:r>
            <w:fldChar w:fldCharType="separate"/>
          </w:r>
          <w:r>
            <w:t>15</w:t>
          </w:r>
          <w:r>
            <w:fldChar w:fldCharType="end"/>
          </w:r>
          <w:r>
            <w:fldChar w:fldCharType="end"/>
          </w:r>
        </w:p>
        <w:p>
          <w:pPr>
            <w:pStyle w:val="36"/>
            <w:tabs>
              <w:tab w:val="right" w:leader="dot" w:pos="8306"/>
            </w:tabs>
          </w:pPr>
          <w:r>
            <w:fldChar w:fldCharType="begin"/>
          </w:r>
          <w:r>
            <w:instrText xml:space="preserve"> HYPERLINK \l _Toc6804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_Toc6804 \h </w:instrText>
          </w:r>
          <w:r>
            <w:fldChar w:fldCharType="separate"/>
          </w:r>
          <w:r>
            <w:t>18</w:t>
          </w:r>
          <w:r>
            <w:fldChar w:fldCharType="end"/>
          </w:r>
          <w:r>
            <w:fldChar w:fldCharType="end"/>
          </w:r>
        </w:p>
        <w:p>
          <w:pPr>
            <w:pStyle w:val="36"/>
            <w:tabs>
              <w:tab w:val="right" w:leader="dot" w:pos="8306"/>
            </w:tabs>
          </w:pPr>
          <w:r>
            <w:fldChar w:fldCharType="begin"/>
          </w:r>
          <w:r>
            <w:instrText xml:space="preserve"> HYPERLINK \l _Toc7794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_Toc7794 \h </w:instrText>
          </w:r>
          <w:r>
            <w:fldChar w:fldCharType="separate"/>
          </w:r>
          <w:r>
            <w:t>84</w:t>
          </w:r>
          <w:r>
            <w:fldChar w:fldCharType="end"/>
          </w:r>
          <w:r>
            <w:fldChar w:fldCharType="end"/>
          </w:r>
        </w:p>
        <w:p>
          <w:pPr>
            <w:pStyle w:val="2"/>
          </w:pPr>
          <w:r>
            <w:fldChar w:fldCharType="end"/>
          </w:r>
        </w:p>
      </w:sdtContent>
    </w:sdt>
    <w:p>
      <w:pPr>
        <w:widowControl/>
        <w:jc w:val="center"/>
        <w:rPr>
          <w:rFonts w:ascii="黑体" w:hAnsi="黑体" w:eastAsia="黑体" w:cstheme="minorBidi"/>
          <w:color w:val="auto"/>
          <w:sz w:val="28"/>
          <w:szCs w:val="28"/>
          <w:highlight w:val="none"/>
        </w:rPr>
      </w:pPr>
    </w:p>
    <w:p>
      <w:pPr>
        <w:widowControl/>
        <w:spacing w:line="440" w:lineRule="exact"/>
        <w:jc w:val="left"/>
        <w:rPr>
          <w:rFonts w:ascii="仿宋" w:hAnsi="仿宋" w:eastAsia="仿宋"/>
          <w:bCs/>
          <w:color w:val="auto"/>
          <w:kern w:val="44"/>
          <w:sz w:val="24"/>
          <w:highlight w:val="none"/>
        </w:rPr>
      </w:pPr>
      <w:bookmarkStart w:id="14" w:name="_Toc15396599"/>
      <w:bookmarkStart w:id="15" w:name="_Toc15377196"/>
      <w:r>
        <w:rPr>
          <w:rFonts w:ascii="仿宋" w:hAnsi="仿宋" w:eastAsia="仿宋"/>
          <w:b/>
          <w:color w:val="auto"/>
          <w:sz w:val="24"/>
          <w:highlight w:val="none"/>
        </w:rPr>
        <w:br w:type="page"/>
      </w:r>
    </w:p>
    <w:p>
      <w:pPr>
        <w:pStyle w:val="3"/>
        <w:pageBreakBefore w:val="0"/>
        <w:kinsoku/>
        <w:wordWrap/>
        <w:overflowPunct/>
        <w:topLinePunct w:val="0"/>
        <w:bidi w:val="0"/>
        <w:spacing w:line="570" w:lineRule="exact"/>
        <w:jc w:val="center"/>
        <w:textAlignment w:val="auto"/>
        <w:rPr>
          <w:rFonts w:ascii="黑体" w:eastAsia="黑体"/>
          <w:color w:val="auto"/>
          <w:sz w:val="32"/>
          <w:szCs w:val="32"/>
          <w:highlight w:val="none"/>
        </w:rPr>
      </w:pPr>
      <w:bookmarkStart w:id="16" w:name="_Toc6228"/>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pStyle w:val="4"/>
        <w:pageBreakBefore w:val="0"/>
        <w:kinsoku/>
        <w:wordWrap/>
        <w:overflowPunct/>
        <w:topLinePunct w:val="0"/>
        <w:bidi w:val="0"/>
        <w:spacing w:line="570" w:lineRule="exact"/>
        <w:ind w:firstLine="640" w:firstLineChars="200"/>
        <w:textAlignment w:val="auto"/>
        <w:rPr>
          <w:rStyle w:val="30"/>
          <w:rFonts w:hint="eastAsia" w:ascii="仿宋" w:hAnsi="仿宋" w:eastAsia="黑体"/>
          <w:b w:val="0"/>
          <w:bCs w:val="0"/>
          <w:color w:val="auto"/>
          <w:highlight w:val="none"/>
          <w:lang w:eastAsia="zh-CN"/>
        </w:rPr>
      </w:pPr>
      <w:bookmarkStart w:id="17" w:name="_Toc15396600"/>
      <w:bookmarkStart w:id="18" w:name="_Toc15377197"/>
      <w:bookmarkStart w:id="19" w:name="_Toc19681"/>
      <w:r>
        <w:rPr>
          <w:rFonts w:hint="eastAsia" w:ascii="黑体" w:hAnsi="黑体" w:eastAsia="黑体"/>
          <w:b w:val="0"/>
          <w:color w:val="auto"/>
          <w:highlight w:val="none"/>
        </w:rPr>
        <w:t>一、</w:t>
      </w:r>
      <w:bookmarkEnd w:id="17"/>
      <w:bookmarkEnd w:id="18"/>
      <w:r>
        <w:rPr>
          <w:rFonts w:hint="eastAsia" w:ascii="黑体" w:hAnsi="黑体" w:eastAsia="黑体"/>
          <w:b w:val="0"/>
          <w:color w:val="auto"/>
          <w:highlight w:val="none"/>
          <w:lang w:eastAsia="zh-CN"/>
        </w:rPr>
        <w:t>部门职责</w:t>
      </w:r>
      <w:bookmarkEnd w:id="19"/>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bookmarkStart w:id="20" w:name="_Toc15396601"/>
      <w:bookmarkStart w:id="21" w:name="_Toc1537720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拟订全区宣传思想文化工作重大政策和事业产业发展总体规划，统筹协调推进宣传思想文化领域法治建设，按照区委统一部署，协调宣传思想文化系统各部门（单位）之间的工作。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2）统筹协调全区党的意识形态工作，贯彻落实中央和省委、市委、区委关于意识形态工作的决策部署，组织协调意识形态工作责任制落实的日常监督检查，分析研判意识形态领域情况，配合巡视巡察工作开展专项检查。</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（3）统筹指导协调理论研究、理论学习、理论宣传工作，组织推动理论武装工作，指导推动哲学社会科学工作，实施马克思主义理论研究和建设工程。</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（4）负责规划组织全局性思想政治工作，配合区委组织部做好党员教育工作，会同有关部门研究和改进群众思想教育工作。组织重大先进典型的学习和推广。</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（5）统筹指导协调推动精神文化产品的创作和生产，协调组织中华优秀传统文化和朝天特色文化传承发展工作，指导协调推动群众文化建设。</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（6）统筹组织协调精神文明建设工作，协调推动精神文明创建、公民思想道德建设和志愿服务工作。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（7）统筹分析研判和引导社会舆论，指导协调区内新闻单位工作，负责组织协调重大新闻宣传活动和重大突发公共事件应急新闻工作。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（8）统筹协调对外宣传工作，组织指导重大对外宣传活动和对外文化交流工作，协调推动中华文化走出去工作。负责会同有关部门做好境外来访记者采访事务方面的工作。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（9）负责人权宣传工作的组织协调，会同有关部门组织涉及民族地区、反邪教等方面的对外宣传和舆论斗争工作。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10）统筹协调全区网络安全和信息化工作，拟订发展规划和重大政策，推进网络安全信息化、标准化建设。统筹协调网络意识形态工作，负责指导、督促、检查网络意识形态工作责任制的贯彻落实。负责新媒体的建设与管理工作。负责全区互联网信息内容管理、宣传管理和舆论引导工作及其监督执法工作。协调处理全区网络安全和信息化重大突发事件与有关应急工作。统筹推动网络阵地建设，依法负责网络新闻业务和论坛、博客、搜索引擎等功能业务的审批及日常监管，指导有关部门开展互联网基础管理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（11）统筹指导舆情信息工作，组织协调开展舆论信息收集分析研判工作，跟踪了解、研究掌握宣传舆情动态。</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12）统筹协调组织开展新闻发布工作，承担区委新闻发布有关组织协调工作，负责区政府新闻发布组织实施工作，指导区委、区政府各部门（单位）新闻发布工作，推动新闻发言人制度建设。拟订我区重大问题宣传口径。</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13）对新闻出版、文化艺术、广播电视、电影和旅游业改革发展研究提出政策性建议，统筹指导推进文化体制改革和文化事业、文化产业及旅游业发展，统筹区属国有文化资产监管工作，组织研究区属国有文化资产监管重大政策，会同有关单位负责相关工作开展。</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14）负责管理新闻出版行政事务和所涉及的行政审批工作，监督管理出版物内容和质量，监督管理印刷业、管理著作权等。组织指导协调“扫黄打非”工作。负责中央、省、市和区外新闻媒体在朝天采访活动的监督管理。负责新闻记者证管理工作。</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（15）负责管理电影行政事务和所涉及的行政审批工作，指导监管电影制片、发行、放映工作，组织对电影内容进行审查，指导协调和参与重大电影活动和电影对外合作交流等。</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16）受区委委托，会同区委组织部管理文化旅游、新闻、出版、广播电视、电影、社会科学研究和互联网信息等方面区直宣传思想文化单位的领导干部。负责有关重要宣传舆论阵地和重要岗位领导干部管理。负责组织开展宣传思想文化战线干部教育培训和人才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textAlignment w:val="auto"/>
        <w:outlineLvl w:val="9"/>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（17）归口领导区文化旅游和体育局(区广播电视局)等宣传思想文化和旅游单位。</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黑体" w:eastAsia="黑体"/>
          <w:b w:val="0"/>
          <w:color w:val="auto"/>
          <w:sz w:val="32"/>
          <w:szCs w:val="32"/>
          <w:highlight w:val="none"/>
        </w:rPr>
      </w:pPr>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（18）承担区精神文明建设委员会、区委宣传思想工作领导小组、区“扫黄打非”工作领导小组的日常工作。</w:t>
      </w:r>
    </w:p>
    <w:p>
      <w:pPr>
        <w:pStyle w:val="4"/>
        <w:pageBreakBefore w:val="0"/>
        <w:widowControl w:val="0"/>
        <w:kinsoku/>
        <w:wordWrap/>
        <w:overflowPunct/>
        <w:topLinePunct w:val="0"/>
        <w:autoSpaceDE/>
        <w:autoSpaceDN/>
        <w:bidi w:val="0"/>
        <w:spacing w:line="570" w:lineRule="exact"/>
        <w:ind w:firstLine="640" w:firstLineChars="200"/>
        <w:textAlignment w:val="auto"/>
        <w:rPr>
          <w:rStyle w:val="30"/>
          <w:b w:val="0"/>
          <w:bCs w:val="0"/>
          <w:color w:val="auto"/>
          <w:highlight w:val="none"/>
        </w:rPr>
      </w:pPr>
      <w:bookmarkStart w:id="22" w:name="_Toc26212"/>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textAlignment w:val="auto"/>
        <w:outlineLvl w:val="9"/>
        <w:rPr>
          <w:rFonts w:hint="eastAsia" w:ascii="黑体" w:hAnsi="黑体" w:eastAsia="黑体"/>
          <w:b w:val="0"/>
          <w:bCs/>
          <w:color w:val="auto"/>
          <w:highlight w:val="none"/>
        </w:rPr>
      </w:pPr>
      <w:bookmarkStart w:id="23" w:name="_Toc15396602"/>
      <w:bookmarkStart w:id="24" w:name="_Toc15377204"/>
      <w:r>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bidi="ar-SA"/>
        </w:rPr>
        <w:t>中共广元市朝天区委宣传部下属二级预算单位0个，其中行政单位1个，事业单位2个。内设机构：办公室，理论宣教股，社会宣传股，新闻传播股（区委网信办秘书股），出版和电影股总编制27名，其中行政编制15名，参照公务员法管理的事业编制0名，事业编制10名，工勤编制2名。在职人员总数25人，其中行政人员11人，参照公务员法管理的事业人员2人，事业人员10人，工勤人员2人。2022年调入3人，退休1人。</w:t>
      </w:r>
    </w:p>
    <w:p>
      <w:pPr>
        <w:pStyle w:val="3"/>
        <w:pageBreakBefore w:val="0"/>
        <w:kinsoku/>
        <w:wordWrap/>
        <w:overflowPunct/>
        <w:topLinePunct w:val="0"/>
        <w:bidi w:val="0"/>
        <w:spacing w:line="570" w:lineRule="exact"/>
        <w:ind w:right="440"/>
        <w:jc w:val="center"/>
        <w:textAlignment w:val="auto"/>
        <w:rPr>
          <w:color w:val="auto"/>
          <w:highlight w:val="none"/>
        </w:rPr>
      </w:pPr>
      <w:r>
        <w:rPr>
          <w:rFonts w:hint="eastAsia" w:ascii="黑体" w:hAnsi="黑体" w:eastAsia="黑体"/>
          <w:b w:val="0"/>
          <w:bCs/>
          <w:color w:val="auto"/>
          <w:highlight w:val="none"/>
          <w:lang w:val="en-US" w:eastAsia="zh-CN"/>
        </w:rPr>
        <w:t xml:space="preserve"> </w:t>
      </w:r>
      <w:bookmarkStart w:id="25" w:name="_Toc2465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3"/>
      <w:bookmarkEnd w:id="24"/>
      <w:bookmarkEnd w:id="25"/>
    </w:p>
    <w:p>
      <w:pPr>
        <w:pStyle w:val="28"/>
        <w:pageBreakBefore w:val="0"/>
        <w:numPr>
          <w:ilvl w:val="0"/>
          <w:numId w:val="1"/>
        </w:numPr>
        <w:kinsoku/>
        <w:wordWrap/>
        <w:overflowPunct/>
        <w:topLinePunct w:val="0"/>
        <w:bidi w:val="0"/>
        <w:spacing w:line="570" w:lineRule="exact"/>
        <w:ind w:firstLineChars="0"/>
        <w:textAlignment w:val="auto"/>
        <w:outlineLvl w:val="1"/>
        <w:rPr>
          <w:rStyle w:val="30"/>
          <w:rFonts w:ascii="黑体" w:hAnsi="黑体" w:eastAsia="黑体"/>
          <w:b w:val="0"/>
          <w:color w:val="auto"/>
          <w:highlight w:val="none"/>
        </w:rPr>
      </w:pPr>
      <w:bookmarkStart w:id="26" w:name="_Toc15396603"/>
      <w:bookmarkStart w:id="27" w:name="_Toc15377205"/>
      <w:bookmarkStart w:id="28" w:name="_Toc7026"/>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1270.61万元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1270.61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423.83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sz w:val="32"/>
          <w:szCs w:val="32"/>
          <w:lang w:eastAsia="zh-CN"/>
        </w:rPr>
        <w:t>增：本年度预算较</w:t>
      </w:r>
      <w:r>
        <w:rPr>
          <w:rFonts w:hint="eastAsia" w:ascii="仿宋" w:hAnsi="仿宋" w:eastAsia="仿宋" w:cs="仿宋"/>
          <w:sz w:val="32"/>
          <w:szCs w:val="32"/>
          <w:lang w:val="en-US" w:eastAsia="zh-CN"/>
        </w:rPr>
        <w:t>2021年新增理论宣传、融媒体中心房屋租赁费、创建第七届全国文明城市经费、《习近平谈治国理政》第四卷征订费项目等，融媒体中心建设项目在去年基础上增加预算50万元，天府旅游名县创建奖励金项目增加70万元。</w:t>
      </w:r>
    </w:p>
    <w:p>
      <w:pPr>
        <w:pageBreakBefore w:val="0"/>
        <w:kinsoku/>
        <w:wordWrap/>
        <w:overflowPunct/>
        <w:topLinePunct w:val="0"/>
        <w:bidi w:val="0"/>
        <w:spacing w:line="240" w:lineRule="auto"/>
        <w:ind w:firstLine="640" w:firstLineChars="200"/>
        <w:jc w:val="center"/>
        <w:textAlignment w:val="auto"/>
        <w:rPr>
          <w:rFonts w:hint="eastAsia" w:ascii="仿宋" w:hAnsi="仿宋" w:eastAsia="仿宋"/>
          <w:color w:val="auto"/>
          <w:sz w:val="32"/>
          <w:szCs w:val="32"/>
          <w:highlight w:val="none"/>
          <w:lang w:eastAsia="zh-CN"/>
        </w:rPr>
      </w:pPr>
      <w:bookmarkStart w:id="29" w:name="_Toc15396604"/>
      <w:bookmarkStart w:id="30" w:name="_Toc15377206"/>
      <w:r>
        <w:rPr>
          <w:rFonts w:hint="eastAsia" w:ascii="仿宋" w:hAnsi="仿宋" w:eastAsia="仿宋"/>
          <w:color w:val="auto"/>
          <w:sz w:val="32"/>
          <w:szCs w:val="32"/>
          <w:highlight w:val="none"/>
          <w:lang w:eastAsia="zh-CN"/>
        </w:rPr>
        <w:drawing>
          <wp:inline distT="0" distB="0" distL="114300" distR="114300">
            <wp:extent cx="3328035" cy="2181860"/>
            <wp:effectExtent l="0" t="0" r="9525" b="12700"/>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3328035" cy="2181860"/>
                    </a:xfrm>
                    <a:prstGeom prst="rect">
                      <a:avLst/>
                    </a:prstGeom>
                  </pic:spPr>
                </pic:pic>
              </a:graphicData>
            </a:graphic>
          </wp:inline>
        </w:drawing>
      </w:r>
    </w:p>
    <w:p>
      <w:pPr>
        <w:pageBreakBefore w:val="0"/>
        <w:kinsoku/>
        <w:wordWrap/>
        <w:overflowPunct/>
        <w:topLinePunct w:val="0"/>
        <w:bidi w:val="0"/>
        <w:spacing w:line="570" w:lineRule="exact"/>
        <w:ind w:firstLine="640" w:firstLineChars="200"/>
        <w:jc w:val="center"/>
        <w:textAlignment w:val="auto"/>
        <w:rPr>
          <w:rStyle w:val="30"/>
          <w:rFonts w:ascii="黑体" w:hAnsi="黑体" w:eastAsia="黑体"/>
          <w:b w:val="0"/>
          <w:color w:val="auto"/>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8"/>
        <w:pageBreakBefore w:val="0"/>
        <w:numPr>
          <w:ilvl w:val="0"/>
          <w:numId w:val="1"/>
        </w:numPr>
        <w:kinsoku/>
        <w:wordWrap/>
        <w:overflowPunct/>
        <w:topLinePunct w:val="0"/>
        <w:bidi w:val="0"/>
        <w:spacing w:line="570" w:lineRule="exact"/>
        <w:ind w:firstLineChars="0"/>
        <w:textAlignment w:val="auto"/>
        <w:outlineLvl w:val="1"/>
        <w:rPr>
          <w:rStyle w:val="30"/>
          <w:rFonts w:ascii="黑体" w:hAnsi="黑体" w:eastAsia="黑体"/>
          <w:b w:val="0"/>
          <w:color w:val="auto"/>
          <w:highlight w:val="none"/>
        </w:rPr>
      </w:pPr>
      <w:bookmarkStart w:id="31" w:name="_Toc1506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9"/>
      <w:bookmarkEnd w:id="30"/>
      <w:bookmarkEnd w:id="31"/>
    </w:p>
    <w:p>
      <w:pPr>
        <w:pageBreakBefore w:val="0"/>
        <w:kinsoku/>
        <w:wordWrap/>
        <w:overflowPunct/>
        <w:topLinePunct w:val="0"/>
        <w:bidi w:val="0"/>
        <w:spacing w:line="570" w:lineRule="exact"/>
        <w:ind w:firstLine="640" w:firstLineChars="200"/>
        <w:textAlignment w:val="auto"/>
        <w:outlineLvl w:val="1"/>
        <w:rPr>
          <w:rFonts w:ascii="仿宋_GB2312" w:eastAsia="仿宋_GB2312"/>
          <w:color w:val="auto"/>
          <w:sz w:val="32"/>
          <w:szCs w:val="32"/>
          <w:highlight w:val="none"/>
        </w:rPr>
      </w:pPr>
      <w:bookmarkStart w:id="32" w:name="_Toc1837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1270.61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1248.21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98.2</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无国有资本经营预算财政拨款收入、</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eastAsia="zh-CN"/>
        </w:rPr>
        <w:t>及</w:t>
      </w:r>
      <w:r>
        <w:rPr>
          <w:rFonts w:hint="eastAsia" w:ascii="仿宋" w:hAnsi="仿宋" w:eastAsia="仿宋"/>
          <w:color w:val="auto"/>
          <w:sz w:val="32"/>
          <w:szCs w:val="32"/>
          <w:highlight w:val="none"/>
        </w:rPr>
        <w:t>其他收入。</w:t>
      </w:r>
      <w:bookmarkEnd w:id="32"/>
    </w:p>
    <w:p>
      <w:pPr>
        <w:pageBreakBefore w:val="0"/>
        <w:kinsoku/>
        <w:wordWrap/>
        <w:overflowPunct/>
        <w:topLinePunct w:val="0"/>
        <w:bidi w:val="0"/>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bookmarkStart w:id="33" w:name="_Toc15396605"/>
      <w:bookmarkStart w:id="34" w:name="_Toc15377207"/>
      <w:r>
        <w:rPr>
          <w:rFonts w:hint="eastAsia" w:ascii="仿宋" w:hAnsi="仿宋" w:eastAsia="仿宋"/>
          <w:color w:val="auto"/>
          <w:sz w:val="32"/>
          <w:szCs w:val="32"/>
          <w:highlight w:val="none"/>
          <w:lang w:eastAsia="zh-CN"/>
        </w:rPr>
        <w:drawing>
          <wp:inline distT="0" distB="0" distL="114300" distR="114300">
            <wp:extent cx="3371215" cy="2305050"/>
            <wp:effectExtent l="0" t="0" r="12065" b="11430"/>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7"/>
                    <a:stretch>
                      <a:fillRect/>
                    </a:stretch>
                  </pic:blipFill>
                  <pic:spPr>
                    <a:xfrm>
                      <a:off x="0" y="0"/>
                      <a:ext cx="3371215" cy="2305050"/>
                    </a:xfrm>
                    <a:prstGeom prst="rect">
                      <a:avLst/>
                    </a:prstGeom>
                  </pic:spPr>
                </pic:pic>
              </a:graphicData>
            </a:graphic>
          </wp:inline>
        </w:drawing>
      </w:r>
    </w:p>
    <w:p>
      <w:pPr>
        <w:pStyle w:val="28"/>
        <w:pageBreakBefore w:val="0"/>
        <w:numPr>
          <w:ilvl w:val="0"/>
          <w:numId w:val="0"/>
        </w:numPr>
        <w:kinsoku/>
        <w:wordWrap/>
        <w:overflowPunct/>
        <w:topLinePunct w:val="0"/>
        <w:bidi w:val="0"/>
        <w:spacing w:line="570" w:lineRule="exact"/>
        <w:ind w:left="640" w:leftChars="0"/>
        <w:jc w:val="center"/>
        <w:textAlignment w:val="auto"/>
        <w:outlineLvl w:val="1"/>
        <w:rPr>
          <w:rFonts w:hint="eastAsia" w:ascii="仿宋" w:hAnsi="仿宋" w:eastAsia="仿宋"/>
          <w:color w:val="auto"/>
          <w:sz w:val="32"/>
          <w:szCs w:val="32"/>
          <w:highlight w:val="none"/>
        </w:rPr>
      </w:pPr>
      <w:bookmarkStart w:id="35" w:name="_Toc25724"/>
      <w:r>
        <w:rPr>
          <w:rFonts w:hint="eastAsia" w:ascii="仿宋" w:hAnsi="仿宋" w:eastAsia="仿宋"/>
          <w:color w:val="auto"/>
          <w:sz w:val="32"/>
          <w:szCs w:val="32"/>
          <w:highlight w:val="none"/>
        </w:rPr>
        <w:t>（图2：收入决算结构图）</w:t>
      </w:r>
      <w:bookmarkEnd w:id="35"/>
    </w:p>
    <w:p>
      <w:pPr>
        <w:pStyle w:val="28"/>
        <w:pageBreakBefore w:val="0"/>
        <w:numPr>
          <w:ilvl w:val="0"/>
          <w:numId w:val="0"/>
        </w:numPr>
        <w:kinsoku/>
        <w:wordWrap/>
        <w:overflowPunct/>
        <w:topLinePunct w:val="0"/>
        <w:bidi w:val="0"/>
        <w:spacing w:line="570" w:lineRule="exact"/>
        <w:jc w:val="both"/>
        <w:textAlignment w:val="auto"/>
        <w:outlineLvl w:val="9"/>
        <w:rPr>
          <w:rFonts w:hint="eastAsia" w:ascii="仿宋" w:hAnsi="仿宋" w:eastAsia="仿宋"/>
          <w:color w:val="auto"/>
          <w:sz w:val="32"/>
          <w:szCs w:val="32"/>
          <w:highlight w:val="none"/>
        </w:rPr>
      </w:pPr>
    </w:p>
    <w:p>
      <w:pPr>
        <w:pStyle w:val="28"/>
        <w:pageBreakBefore w:val="0"/>
        <w:numPr>
          <w:ilvl w:val="0"/>
          <w:numId w:val="1"/>
        </w:numPr>
        <w:kinsoku/>
        <w:wordWrap/>
        <w:overflowPunct/>
        <w:topLinePunct w:val="0"/>
        <w:bidi w:val="0"/>
        <w:spacing w:line="570" w:lineRule="exact"/>
        <w:ind w:firstLineChars="0"/>
        <w:textAlignment w:val="auto"/>
        <w:outlineLvl w:val="1"/>
        <w:rPr>
          <w:rStyle w:val="30"/>
          <w:rFonts w:ascii="黑体" w:hAnsi="黑体" w:eastAsia="黑体"/>
          <w:b w:val="0"/>
          <w:color w:val="auto"/>
          <w:highlight w:val="none"/>
        </w:rPr>
      </w:pPr>
      <w:bookmarkStart w:id="36" w:name="_Toc23063"/>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3"/>
      <w:bookmarkEnd w:id="34"/>
      <w:bookmarkEnd w:id="36"/>
    </w:p>
    <w:p>
      <w:pPr>
        <w:pageBreakBefore w:val="0"/>
        <w:kinsoku/>
        <w:wordWrap/>
        <w:overflowPunct/>
        <w:topLinePunct w:val="0"/>
        <w:bidi w:val="0"/>
        <w:spacing w:line="570" w:lineRule="exact"/>
        <w:ind w:firstLine="640" w:firstLineChars="200"/>
        <w:textAlignment w:val="auto"/>
        <w:outlineLvl w:val="1"/>
        <w:rPr>
          <w:rFonts w:hint="eastAsia" w:ascii="仿宋" w:hAnsi="仿宋" w:eastAsia="仿宋"/>
          <w:color w:val="auto"/>
          <w:sz w:val="32"/>
          <w:szCs w:val="32"/>
          <w:highlight w:val="none"/>
        </w:rPr>
      </w:pPr>
      <w:bookmarkStart w:id="37" w:name="_Toc2872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1270.61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379.66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890.95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对附属单位补助支出。</w:t>
      </w:r>
      <w:bookmarkEnd w:id="37"/>
    </w:p>
    <w:p>
      <w:pPr>
        <w:pageBreakBefore w:val="0"/>
        <w:kinsoku/>
        <w:wordWrap/>
        <w:overflowPunct/>
        <w:topLinePunct w:val="0"/>
        <w:bidi w:val="0"/>
        <w:spacing w:line="240" w:lineRule="auto"/>
        <w:ind w:firstLine="640"/>
        <w:jc w:val="center"/>
        <w:textAlignment w:val="auto"/>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3301365" cy="2349500"/>
            <wp:effectExtent l="0" t="0" r="5715" b="12700"/>
            <wp:docPr id="3" name="图片 3"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true"/>
                    </pic:cNvPicPr>
                  </pic:nvPicPr>
                  <pic:blipFill>
                    <a:blip r:embed="rId8"/>
                    <a:stretch>
                      <a:fillRect/>
                    </a:stretch>
                  </pic:blipFill>
                  <pic:spPr>
                    <a:xfrm>
                      <a:off x="0" y="0"/>
                      <a:ext cx="3301365" cy="2349500"/>
                    </a:xfrm>
                    <a:prstGeom prst="rect">
                      <a:avLst/>
                    </a:prstGeom>
                  </pic:spPr>
                </pic:pic>
              </a:graphicData>
            </a:graphic>
          </wp:inline>
        </w:drawing>
      </w:r>
    </w:p>
    <w:p>
      <w:pPr>
        <w:pageBreakBefore w:val="0"/>
        <w:kinsoku/>
        <w:wordWrap/>
        <w:overflowPunct/>
        <w:topLinePunct w:val="0"/>
        <w:bidi w:val="0"/>
        <w:spacing w:line="570" w:lineRule="exact"/>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pStyle w:val="2"/>
      </w:pPr>
    </w:p>
    <w:p>
      <w:pPr>
        <w:pageBreakBefore w:val="0"/>
        <w:kinsoku/>
        <w:wordWrap/>
        <w:overflowPunct/>
        <w:topLinePunct w:val="0"/>
        <w:bidi w:val="0"/>
        <w:spacing w:line="570" w:lineRule="exact"/>
        <w:ind w:firstLine="640" w:firstLineChars="200"/>
        <w:textAlignment w:val="auto"/>
        <w:outlineLvl w:val="1"/>
        <w:rPr>
          <w:rStyle w:val="30"/>
          <w:rFonts w:ascii="黑体" w:hAnsi="黑体" w:eastAsia="黑体"/>
          <w:b w:val="0"/>
          <w:color w:val="auto"/>
          <w:highlight w:val="none"/>
        </w:rPr>
      </w:pPr>
      <w:bookmarkStart w:id="38" w:name="_Toc15377208"/>
      <w:bookmarkStart w:id="39" w:name="_Toc7459"/>
      <w:bookmarkStart w:id="40" w:name="_Toc15396606"/>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8"/>
      <w:bookmarkEnd w:id="39"/>
      <w:bookmarkEnd w:id="40"/>
    </w:p>
    <w:p>
      <w:pPr>
        <w:pageBreakBefore w:val="0"/>
        <w:kinsoku/>
        <w:wordWrap/>
        <w:overflowPunct/>
        <w:topLinePunct w:val="0"/>
        <w:bidi w:val="0"/>
        <w:spacing w:line="570" w:lineRule="exact"/>
        <w:ind w:firstLine="64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1270.61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423.83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项目预算增加。</w:t>
      </w:r>
    </w:p>
    <w:p>
      <w:pPr>
        <w:pageBreakBefore w:val="0"/>
        <w:kinsoku/>
        <w:wordWrap/>
        <w:overflowPunct/>
        <w:topLinePunct w:val="0"/>
        <w:bidi w:val="0"/>
        <w:spacing w:line="240" w:lineRule="auto"/>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05200" cy="2177415"/>
            <wp:effectExtent l="0" t="0" r="0" b="1905"/>
            <wp:docPr id="4" name="图片 4"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true"/>
                    </pic:cNvPicPr>
                  </pic:nvPicPr>
                  <pic:blipFill>
                    <a:blip r:embed="rId9"/>
                    <a:stretch>
                      <a:fillRect/>
                    </a:stretch>
                  </pic:blipFill>
                  <pic:spPr>
                    <a:xfrm>
                      <a:off x="0" y="0"/>
                      <a:ext cx="3505200" cy="2177415"/>
                    </a:xfrm>
                    <a:prstGeom prst="rect">
                      <a:avLst/>
                    </a:prstGeom>
                  </pic:spPr>
                </pic:pic>
              </a:graphicData>
            </a:graphic>
          </wp:inline>
        </w:drawing>
      </w:r>
    </w:p>
    <w:p>
      <w:pPr>
        <w:pageBreakBefore w:val="0"/>
        <w:kinsoku/>
        <w:wordWrap/>
        <w:overflowPunct/>
        <w:topLinePunct w:val="0"/>
        <w:bidi w:val="0"/>
        <w:spacing w:line="570" w:lineRule="exact"/>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pageBreakBefore w:val="0"/>
        <w:kinsoku/>
        <w:wordWrap/>
        <w:overflowPunct/>
        <w:topLinePunct w:val="0"/>
        <w:bidi w:val="0"/>
        <w:spacing w:line="570" w:lineRule="exact"/>
        <w:textAlignment w:val="auto"/>
        <w:rPr>
          <w:rFonts w:ascii="仿宋" w:hAnsi="仿宋" w:eastAsia="仿宋"/>
          <w:b/>
          <w:color w:val="auto"/>
          <w:sz w:val="32"/>
          <w:szCs w:val="32"/>
          <w:highlight w:val="none"/>
        </w:rPr>
      </w:pPr>
    </w:p>
    <w:p>
      <w:pPr>
        <w:pageBreakBefore w:val="0"/>
        <w:kinsoku/>
        <w:wordWrap/>
        <w:overflowPunct/>
        <w:topLinePunct w:val="0"/>
        <w:bidi w:val="0"/>
        <w:spacing w:line="570" w:lineRule="exact"/>
        <w:ind w:firstLine="640" w:firstLineChars="200"/>
        <w:textAlignment w:val="auto"/>
        <w:outlineLvl w:val="1"/>
        <w:rPr>
          <w:rStyle w:val="30"/>
          <w:rFonts w:ascii="黑体" w:hAnsi="黑体" w:eastAsia="黑体"/>
          <w:b w:val="0"/>
          <w:color w:val="auto"/>
          <w:highlight w:val="none"/>
        </w:rPr>
      </w:pPr>
      <w:bookmarkStart w:id="41" w:name="_Toc28758"/>
      <w:bookmarkStart w:id="42" w:name="_Toc15377209"/>
      <w:bookmarkStart w:id="4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41"/>
      <w:bookmarkEnd w:id="42"/>
      <w:bookmarkEnd w:id="43"/>
    </w:p>
    <w:p>
      <w:pPr>
        <w:pageBreakBefore w:val="0"/>
        <w:kinsoku/>
        <w:wordWrap/>
        <w:overflowPunct/>
        <w:topLinePunct w:val="0"/>
        <w:bidi w:val="0"/>
        <w:spacing w:line="570" w:lineRule="exact"/>
        <w:ind w:firstLine="642" w:firstLineChars="200"/>
        <w:textAlignment w:val="auto"/>
        <w:outlineLvl w:val="2"/>
        <w:rPr>
          <w:rFonts w:ascii="仿宋" w:hAnsi="仿宋" w:eastAsia="仿宋"/>
          <w:b/>
          <w:color w:val="auto"/>
          <w:sz w:val="32"/>
          <w:szCs w:val="32"/>
          <w:highlight w:val="none"/>
        </w:rPr>
      </w:pPr>
      <w:bookmarkStart w:id="44" w:name="_Toc1557"/>
      <w:bookmarkStart w:id="45" w:name="_Toc15377210"/>
      <w:r>
        <w:rPr>
          <w:rFonts w:hint="eastAsia" w:ascii="仿宋" w:hAnsi="仿宋" w:eastAsia="仿宋"/>
          <w:b/>
          <w:color w:val="auto"/>
          <w:sz w:val="32"/>
          <w:szCs w:val="32"/>
          <w:highlight w:val="none"/>
        </w:rPr>
        <w:t>（一）一般公共预算财政拨款支出决算总体情况</w:t>
      </w:r>
      <w:bookmarkEnd w:id="44"/>
      <w:bookmarkEnd w:id="45"/>
    </w:p>
    <w:p>
      <w:pPr>
        <w:pageBreakBefore w:val="0"/>
        <w:kinsoku/>
        <w:wordWrap/>
        <w:overflowPunct/>
        <w:topLinePunct w:val="0"/>
        <w:bidi w:val="0"/>
        <w:spacing w:line="570" w:lineRule="exact"/>
        <w:ind w:firstLine="640" w:firstLineChars="200"/>
        <w:textAlignment w:val="auto"/>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1248.21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423.99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2022年预算项目增加。</w:t>
      </w:r>
    </w:p>
    <w:p>
      <w:pPr>
        <w:pStyle w:val="2"/>
        <w:jc w:val="center"/>
        <w:rPr>
          <w:rFonts w:hint="eastAsia"/>
          <w:lang w:val="en-US" w:eastAsia="zh-CN"/>
        </w:rPr>
      </w:pPr>
      <w:r>
        <w:rPr>
          <w:rFonts w:hint="eastAsia"/>
          <w:lang w:val="en-US" w:eastAsia="zh-CN"/>
        </w:rPr>
        <w:drawing>
          <wp:inline distT="0" distB="0" distL="114300" distR="114300">
            <wp:extent cx="3505200" cy="2177415"/>
            <wp:effectExtent l="0" t="0" r="0" b="1905"/>
            <wp:docPr id="5" name="图片 5"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true"/>
                    </pic:cNvPicPr>
                  </pic:nvPicPr>
                  <pic:blipFill>
                    <a:blip r:embed="rId10"/>
                    <a:stretch>
                      <a:fillRect/>
                    </a:stretch>
                  </pic:blipFill>
                  <pic:spPr>
                    <a:xfrm>
                      <a:off x="0" y="0"/>
                      <a:ext cx="3505200" cy="2177415"/>
                    </a:xfrm>
                    <a:prstGeom prst="rect">
                      <a:avLst/>
                    </a:prstGeom>
                  </pic:spPr>
                </pic:pic>
              </a:graphicData>
            </a:graphic>
          </wp:inline>
        </w:drawing>
      </w:r>
    </w:p>
    <w:p>
      <w:pPr>
        <w:pageBreakBefore w:val="0"/>
        <w:kinsoku/>
        <w:wordWrap/>
        <w:overflowPunct/>
        <w:topLinePunct w:val="0"/>
        <w:bidi w:val="0"/>
        <w:spacing w:line="570" w:lineRule="exact"/>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pageBreakBefore w:val="0"/>
        <w:kinsoku/>
        <w:wordWrap/>
        <w:overflowPunct/>
        <w:topLinePunct w:val="0"/>
        <w:bidi w:val="0"/>
        <w:spacing w:line="570" w:lineRule="exact"/>
        <w:ind w:firstLine="640" w:firstLineChars="200"/>
        <w:textAlignment w:val="auto"/>
        <w:rPr>
          <w:rFonts w:hint="default" w:ascii="仿宋" w:hAnsi="仿宋" w:eastAsia="仿宋"/>
          <w:color w:val="auto"/>
          <w:sz w:val="32"/>
          <w:szCs w:val="32"/>
          <w:highlight w:val="none"/>
          <w:lang w:val="en-US" w:eastAsia="zh-CN"/>
        </w:rPr>
      </w:pPr>
    </w:p>
    <w:p>
      <w:pPr>
        <w:pageBreakBefore w:val="0"/>
        <w:kinsoku/>
        <w:wordWrap/>
        <w:overflowPunct/>
        <w:topLinePunct w:val="0"/>
        <w:bidi w:val="0"/>
        <w:spacing w:line="570" w:lineRule="exact"/>
        <w:ind w:firstLine="642" w:firstLineChars="200"/>
        <w:textAlignment w:val="auto"/>
        <w:outlineLvl w:val="2"/>
        <w:rPr>
          <w:rFonts w:ascii="仿宋" w:hAnsi="仿宋" w:eastAsia="仿宋"/>
          <w:b/>
          <w:color w:val="auto"/>
          <w:sz w:val="32"/>
          <w:szCs w:val="32"/>
          <w:highlight w:val="none"/>
        </w:rPr>
      </w:pPr>
      <w:bookmarkStart w:id="46" w:name="_Toc15377211"/>
      <w:bookmarkStart w:id="47" w:name="_Toc965"/>
      <w:r>
        <w:rPr>
          <w:rFonts w:hint="eastAsia" w:ascii="仿宋" w:hAnsi="仿宋" w:eastAsia="仿宋"/>
          <w:b/>
          <w:color w:val="auto"/>
          <w:sz w:val="32"/>
          <w:szCs w:val="32"/>
          <w:highlight w:val="none"/>
        </w:rPr>
        <w:t>（二）一般公共预算财政拨款支出决算结构情况</w:t>
      </w:r>
      <w:bookmarkEnd w:id="46"/>
      <w:bookmarkEnd w:id="47"/>
    </w:p>
    <w:p>
      <w:pPr>
        <w:pageBreakBefore w:val="0"/>
        <w:kinsoku/>
        <w:wordWrap/>
        <w:overflowPunct/>
        <w:topLinePunct w:val="0"/>
        <w:bidi w:val="0"/>
        <w:spacing w:line="57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1248.21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910.86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266.59</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21.4</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27.68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14.09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28.99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wordWrap/>
        <w:overflowPunct/>
        <w:topLinePunct w:val="0"/>
        <w:bidi w:val="0"/>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55365" cy="2364740"/>
            <wp:effectExtent l="0" t="0" r="10795" b="12700"/>
            <wp:docPr id="6" name="图片 6"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true"/>
                    </pic:cNvPicPr>
                  </pic:nvPicPr>
                  <pic:blipFill>
                    <a:blip r:embed="rId11"/>
                    <a:stretch>
                      <a:fillRect/>
                    </a:stretch>
                  </pic:blipFill>
                  <pic:spPr>
                    <a:xfrm>
                      <a:off x="0" y="0"/>
                      <a:ext cx="3555365" cy="2364740"/>
                    </a:xfrm>
                    <a:prstGeom prst="rect">
                      <a:avLst/>
                    </a:prstGeom>
                  </pic:spPr>
                </pic:pic>
              </a:graphicData>
            </a:graphic>
          </wp:inline>
        </w:drawing>
      </w:r>
    </w:p>
    <w:p>
      <w:pPr>
        <w:pageBreakBefore w:val="0"/>
        <w:kinsoku/>
        <w:wordWrap/>
        <w:overflowPunct/>
        <w:topLinePunct w:val="0"/>
        <w:bidi w:val="0"/>
        <w:spacing w:line="570" w:lineRule="exact"/>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pageBreakBefore w:val="0"/>
        <w:kinsoku/>
        <w:wordWrap/>
        <w:overflowPunct/>
        <w:topLinePunct w:val="0"/>
        <w:bidi w:val="0"/>
        <w:spacing w:line="570" w:lineRule="exact"/>
        <w:ind w:firstLine="640"/>
        <w:textAlignment w:val="auto"/>
        <w:rPr>
          <w:rFonts w:hint="eastAsia" w:ascii="仿宋" w:hAnsi="仿宋" w:eastAsia="仿宋"/>
          <w:color w:val="auto"/>
          <w:sz w:val="32"/>
          <w:szCs w:val="32"/>
          <w:highlight w:val="none"/>
        </w:rPr>
      </w:pPr>
    </w:p>
    <w:p>
      <w:pPr>
        <w:pageBreakBefore w:val="0"/>
        <w:kinsoku/>
        <w:wordWrap/>
        <w:overflowPunct/>
        <w:topLinePunct w:val="0"/>
        <w:bidi w:val="0"/>
        <w:spacing w:line="570" w:lineRule="exact"/>
        <w:ind w:firstLine="642" w:firstLineChars="200"/>
        <w:textAlignment w:val="auto"/>
        <w:outlineLvl w:val="2"/>
        <w:rPr>
          <w:rFonts w:ascii="仿宋" w:hAnsi="仿宋" w:eastAsia="仿宋"/>
          <w:b/>
          <w:color w:val="auto"/>
          <w:sz w:val="32"/>
          <w:szCs w:val="32"/>
          <w:highlight w:val="none"/>
        </w:rPr>
      </w:pPr>
      <w:bookmarkStart w:id="48" w:name="_Toc18207"/>
      <w:bookmarkStart w:id="49" w:name="_Toc15377212"/>
      <w:r>
        <w:rPr>
          <w:rFonts w:hint="eastAsia" w:ascii="仿宋" w:hAnsi="仿宋" w:eastAsia="仿宋"/>
          <w:b/>
          <w:color w:val="auto"/>
          <w:sz w:val="32"/>
          <w:szCs w:val="32"/>
          <w:highlight w:val="none"/>
        </w:rPr>
        <w:t>（三）一般公共预算财政拨款支出决算具体情况</w:t>
      </w:r>
      <w:bookmarkEnd w:id="48"/>
      <w:bookmarkEnd w:id="49"/>
    </w:p>
    <w:p>
      <w:pPr>
        <w:pageBreakBefore w:val="0"/>
        <w:kinsoku/>
        <w:wordWrap/>
        <w:overflowPunct/>
        <w:topLinePunct w:val="0"/>
        <w:bidi w:val="0"/>
        <w:spacing w:line="570" w:lineRule="exact"/>
        <w:ind w:firstLine="642" w:firstLineChars="200"/>
        <w:textAlignment w:val="auto"/>
        <w:outlineLvl w:val="1"/>
        <w:rPr>
          <w:rFonts w:ascii="仿宋" w:hAnsi="仿宋" w:eastAsia="仿宋"/>
          <w:color w:val="auto"/>
          <w:sz w:val="32"/>
          <w:szCs w:val="32"/>
          <w:highlight w:val="none"/>
        </w:rPr>
      </w:pPr>
      <w:bookmarkStart w:id="50" w:name="_Toc15377213"/>
      <w:bookmarkStart w:id="51" w:name="_Toc15378460"/>
      <w:bookmarkStart w:id="52" w:name="_Toc15377444"/>
      <w:bookmarkStart w:id="53" w:name="_Toc723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1248.21</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50"/>
      <w:bookmarkEnd w:id="51"/>
      <w:bookmarkEnd w:id="52"/>
      <w:bookmarkEnd w:id="53"/>
    </w:p>
    <w:p>
      <w:p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一般公共服务（类）宣传事务（款）行政运行（项）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210.06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一般公共服务（类）宣传事务（款）一般行政管理事务（项）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412.94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Style w:val="18"/>
          <w:rFonts w:ascii="仿宋" w:hAnsi="仿宋" w:eastAsia="仿宋"/>
          <w:bCs/>
          <w:color w:val="auto"/>
          <w:sz w:val="32"/>
          <w:szCs w:val="32"/>
          <w:highlight w:val="none"/>
        </w:rPr>
      </w:pPr>
      <w:r>
        <w:rPr>
          <w:rStyle w:val="18"/>
          <w:rFonts w:ascii="仿宋" w:hAnsi="仿宋" w:eastAsia="仿宋"/>
          <w:bCs/>
          <w:color w:val="auto"/>
          <w:sz w:val="32"/>
          <w:szCs w:val="32"/>
          <w:highlight w:val="none"/>
        </w:rPr>
        <w:t>3.</w:t>
      </w:r>
      <w:r>
        <w:rPr>
          <w:rStyle w:val="18"/>
          <w:rFonts w:hint="eastAsia" w:ascii="仿宋" w:hAnsi="仿宋" w:eastAsia="仿宋"/>
          <w:bCs/>
          <w:color w:val="auto"/>
          <w:sz w:val="32"/>
          <w:szCs w:val="32"/>
          <w:highlight w:val="none"/>
        </w:rPr>
        <w:t>一般公共服务（类）宣传事务（款）</w:t>
      </w:r>
      <w:r>
        <w:rPr>
          <w:rStyle w:val="18"/>
          <w:rFonts w:hint="eastAsia" w:ascii="仿宋" w:hAnsi="仿宋" w:eastAsia="仿宋"/>
          <w:bCs/>
          <w:color w:val="auto"/>
          <w:sz w:val="32"/>
          <w:szCs w:val="32"/>
          <w:highlight w:val="none"/>
          <w:lang w:eastAsia="zh-CN"/>
        </w:rPr>
        <w:t>宣传管理</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54.4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hint="eastAsia" w:ascii="仿宋" w:hAnsi="仿宋" w:eastAsia="仿宋"/>
          <w:bCs/>
          <w:color w:val="auto"/>
          <w:sz w:val="32"/>
          <w:szCs w:val="32"/>
          <w:highlight w:val="none"/>
        </w:rPr>
        <w:t>一般公共服务（类）宣传事务（款）事业运行（项）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98.84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Style w:val="18"/>
          <w:rFonts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一般公共服务（类）宣传事务（款）</w:t>
      </w:r>
      <w:r>
        <w:rPr>
          <w:rStyle w:val="18"/>
          <w:rFonts w:hint="eastAsia" w:ascii="仿宋" w:hAnsi="仿宋" w:eastAsia="仿宋"/>
          <w:bCs/>
          <w:color w:val="auto"/>
          <w:sz w:val="32"/>
          <w:szCs w:val="32"/>
          <w:highlight w:val="none"/>
          <w:lang w:eastAsia="zh-CN"/>
        </w:rPr>
        <w:t>其他宣传事务</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134.62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6.</w:t>
      </w:r>
      <w:r>
        <w:rPr>
          <w:rStyle w:val="18"/>
          <w:rFonts w:hint="eastAsia" w:ascii="仿宋" w:hAnsi="仿宋" w:eastAsia="仿宋"/>
          <w:bCs/>
          <w:color w:val="auto"/>
          <w:sz w:val="32"/>
          <w:szCs w:val="32"/>
          <w:highlight w:val="none"/>
        </w:rPr>
        <w:t>文化旅游体育与传媒（类）文化和旅游（款）其他文化和旅游支出（项）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50.1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文化旅游体育与传媒（类）</w:t>
      </w:r>
      <w:r>
        <w:rPr>
          <w:rStyle w:val="18"/>
          <w:rFonts w:hint="eastAsia" w:ascii="仿宋" w:hAnsi="仿宋" w:eastAsia="仿宋"/>
          <w:bCs/>
          <w:color w:val="auto"/>
          <w:sz w:val="32"/>
          <w:szCs w:val="32"/>
          <w:highlight w:val="none"/>
          <w:lang w:eastAsia="zh-CN"/>
        </w:rPr>
        <w:t>新闻出版电影</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电影</w:t>
      </w:r>
      <w:r>
        <w:rPr>
          <w:rStyle w:val="18"/>
          <w:rFonts w:hint="eastAsia" w:ascii="仿宋" w:hAnsi="仿宋" w:eastAsia="仿宋"/>
          <w:bCs/>
          <w:color w:val="auto"/>
          <w:sz w:val="32"/>
          <w:szCs w:val="32"/>
          <w:highlight w:val="none"/>
        </w:rPr>
        <w:t>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1.99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8.</w:t>
      </w:r>
      <w:r>
        <w:rPr>
          <w:rStyle w:val="18"/>
          <w:rFonts w:hint="eastAsia" w:ascii="仿宋" w:hAnsi="仿宋" w:eastAsia="仿宋"/>
          <w:bCs/>
          <w:color w:val="auto"/>
          <w:sz w:val="32"/>
          <w:szCs w:val="32"/>
          <w:highlight w:val="none"/>
        </w:rPr>
        <w:t>文化旅游体育与传媒（类）其他文化旅游体育与传媒支出（款）宣传文化发展专项支出（项）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9</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文化旅游体育与传媒（类）其他文化旅游体育与传媒支出（款）其他文化旅游体育与传媒支出（项）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204.5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社会保障和就业（类）行政事业单位养老支出（款）机关事业单位基本养老保险缴费支出（项）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27.68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11</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（类）行政事业单位医疗（款）行政单位医疗（项）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9.31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Style w:val="18"/>
          <w:rFonts w:hint="eastAsia" w:ascii="仿宋" w:hAnsi="仿宋" w:eastAsia="仿宋"/>
          <w:bCs/>
          <w:color w:val="auto"/>
          <w:sz w:val="32"/>
          <w:szCs w:val="32"/>
          <w:highlight w:val="none"/>
          <w:lang w:val="en-US" w:eastAsia="zh-CN"/>
        </w:rPr>
      </w:pPr>
      <w:r>
        <w:rPr>
          <w:rStyle w:val="18"/>
          <w:rFonts w:hint="eastAsia" w:ascii="仿宋" w:hAnsi="仿宋" w:eastAsia="仿宋"/>
          <w:bCs/>
          <w:color w:val="auto"/>
          <w:sz w:val="32"/>
          <w:szCs w:val="32"/>
          <w:highlight w:val="none"/>
          <w:lang w:val="en-US" w:eastAsia="zh-CN"/>
        </w:rPr>
        <w:t>12</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w:t>
      </w:r>
      <w:r>
        <w:rPr>
          <w:rStyle w:val="18"/>
          <w:rFonts w:hint="eastAsia" w:ascii="仿宋" w:hAnsi="仿宋" w:eastAsia="仿宋"/>
          <w:bCs/>
          <w:color w:val="auto"/>
          <w:sz w:val="32"/>
          <w:szCs w:val="32"/>
          <w:highlight w:val="none"/>
          <w:lang w:eastAsia="zh-CN"/>
        </w:rPr>
        <w:t>事业</w:t>
      </w:r>
      <w:r>
        <w:rPr>
          <w:rStyle w:val="18"/>
          <w:rFonts w:hint="eastAsia" w:ascii="仿宋" w:hAnsi="仿宋" w:eastAsia="仿宋"/>
          <w:bCs/>
          <w:color w:val="auto"/>
          <w:sz w:val="32"/>
          <w:szCs w:val="32"/>
          <w:highlight w:val="none"/>
        </w:rPr>
        <w:t>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4.78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13</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w:t>
      </w:r>
      <w:r>
        <w:rPr>
          <w:rStyle w:val="18"/>
          <w:rFonts w:hint="eastAsia" w:ascii="仿宋" w:hAnsi="仿宋" w:eastAsia="仿宋"/>
          <w:bCs/>
          <w:color w:val="auto"/>
          <w:sz w:val="32"/>
          <w:szCs w:val="32"/>
          <w:highlight w:val="none"/>
        </w:rPr>
        <w:t>（类）住房改革支出（款）住房公积金（项）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28.99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pageBreakBefore w:val="0"/>
        <w:tabs>
          <w:tab w:val="right" w:pos="8306"/>
        </w:tabs>
        <w:kinsoku/>
        <w:wordWrap/>
        <w:overflowPunct/>
        <w:topLinePunct w:val="0"/>
        <w:bidi w:val="0"/>
        <w:spacing w:line="570" w:lineRule="exact"/>
        <w:ind w:firstLine="640"/>
        <w:textAlignment w:val="auto"/>
        <w:outlineLvl w:val="1"/>
        <w:rPr>
          <w:rStyle w:val="30"/>
          <w:color w:val="auto"/>
          <w:highlight w:val="none"/>
        </w:rPr>
      </w:pPr>
      <w:bookmarkStart w:id="54" w:name="_Toc505"/>
      <w:bookmarkStart w:id="55" w:name="_Toc15396608"/>
      <w:bookmarkStart w:id="56"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4"/>
      <w:bookmarkEnd w:id="55"/>
      <w:bookmarkEnd w:id="56"/>
      <w:r>
        <w:rPr>
          <w:rStyle w:val="30"/>
          <w:rFonts w:ascii="黑体" w:hAnsi="黑体" w:eastAsia="黑体"/>
          <w:b w:val="0"/>
          <w:color w:val="auto"/>
          <w:highlight w:val="none"/>
        </w:rPr>
        <w:tab/>
      </w:r>
    </w:p>
    <w:p>
      <w:pPr>
        <w:pageBreakBefore w:val="0"/>
        <w:kinsoku/>
        <w:wordWrap/>
        <w:overflowPunct/>
        <w:topLinePunct w:val="0"/>
        <w:bidi w:val="0"/>
        <w:spacing w:line="570"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379.66</w:t>
      </w:r>
      <w:r>
        <w:rPr>
          <w:rFonts w:hint="eastAsia" w:ascii="仿宋" w:hAnsi="仿宋" w:eastAsia="仿宋"/>
          <w:color w:val="auto"/>
          <w:sz w:val="32"/>
          <w:szCs w:val="32"/>
          <w:highlight w:val="none"/>
        </w:rPr>
        <w:t>万元，其中：</w:t>
      </w:r>
    </w:p>
    <w:p>
      <w:pPr>
        <w:pageBreakBefore w:val="0"/>
        <w:kinsoku/>
        <w:wordWrap/>
        <w:overflowPunct/>
        <w:topLinePunct w:val="0"/>
        <w:bidi w:val="0"/>
        <w:spacing w:line="570" w:lineRule="exact"/>
        <w:ind w:firstLine="645"/>
        <w:textAlignment w:val="auto"/>
        <w:rPr>
          <w:rFonts w:hint="eastAsia" w:ascii="黑体" w:eastAsia="黑体"/>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342.41</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37.25</w:t>
      </w:r>
      <w:r>
        <w:rPr>
          <w:rFonts w:hint="eastAsia" w:ascii="仿宋" w:hAnsi="仿宋" w:eastAsia="仿宋"/>
          <w:color w:val="auto"/>
          <w:sz w:val="32"/>
          <w:szCs w:val="32"/>
          <w:highlight w:val="none"/>
        </w:rPr>
        <w:t>万元，主要包括：办公费、水费、电费、邮电费、差旅费、会议费、培训费、公务接待费、工会经费、其他交通费、税金及附加费用等。</w:t>
      </w:r>
      <w:bookmarkStart w:id="57" w:name="_Toc15377215"/>
      <w:bookmarkStart w:id="58" w:name="_Toc15396609"/>
      <w:bookmarkStart w:id="59" w:name="_Toc6506"/>
    </w:p>
    <w:p>
      <w:pPr>
        <w:pageBreakBefore w:val="0"/>
        <w:kinsoku/>
        <w:wordWrap/>
        <w:overflowPunct/>
        <w:topLinePunct w:val="0"/>
        <w:bidi w:val="0"/>
        <w:spacing w:line="570" w:lineRule="exact"/>
        <w:ind w:firstLine="640"/>
        <w:textAlignment w:val="auto"/>
        <w:outlineLvl w:val="1"/>
        <w:rPr>
          <w:rStyle w:val="30"/>
          <w:rFonts w:ascii="黑体" w:hAnsi="黑体" w:eastAsia="黑体"/>
          <w:b w:val="0"/>
          <w:color w:val="auto"/>
          <w:highlight w:val="none"/>
        </w:rPr>
      </w:pPr>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7"/>
      <w:bookmarkEnd w:id="58"/>
      <w:bookmarkEnd w:id="59"/>
    </w:p>
    <w:p>
      <w:pPr>
        <w:pageBreakBefore w:val="0"/>
        <w:kinsoku/>
        <w:wordWrap/>
        <w:overflowPunct/>
        <w:topLinePunct w:val="0"/>
        <w:bidi w:val="0"/>
        <w:spacing w:line="570" w:lineRule="exact"/>
        <w:ind w:firstLine="640"/>
        <w:textAlignment w:val="auto"/>
        <w:outlineLvl w:val="2"/>
        <w:rPr>
          <w:rFonts w:ascii="仿宋" w:hAnsi="仿宋" w:eastAsia="仿宋"/>
          <w:b/>
          <w:color w:val="auto"/>
          <w:sz w:val="32"/>
          <w:szCs w:val="32"/>
          <w:highlight w:val="none"/>
        </w:rPr>
      </w:pPr>
      <w:bookmarkStart w:id="60" w:name="_Toc20862"/>
      <w:bookmarkStart w:id="61" w:name="_Toc15377216"/>
      <w:r>
        <w:rPr>
          <w:rFonts w:hint="eastAsia" w:ascii="仿宋" w:hAnsi="仿宋" w:eastAsia="仿宋"/>
          <w:b/>
          <w:color w:val="auto"/>
          <w:sz w:val="32"/>
          <w:szCs w:val="32"/>
          <w:highlight w:val="none"/>
        </w:rPr>
        <w:t>（一）“三公”经费财政拨款支出决算总体情况说明</w:t>
      </w:r>
      <w:bookmarkEnd w:id="60"/>
      <w:bookmarkEnd w:id="61"/>
    </w:p>
    <w:p>
      <w:pPr>
        <w:pageBreakBefore w:val="0"/>
        <w:kinsoku/>
        <w:wordWrap/>
        <w:overflowPunct/>
        <w:topLinePunct w:val="0"/>
        <w:bidi w:val="0"/>
        <w:spacing w:line="57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0.39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0.4万元，下降2%。</w:t>
      </w:r>
      <w:r>
        <w:rPr>
          <w:rFonts w:hint="eastAsia" w:ascii="仿宋" w:hAnsi="仿宋" w:eastAsia="仿宋"/>
          <w:color w:val="auto"/>
          <w:sz w:val="32"/>
          <w:szCs w:val="32"/>
          <w:highlight w:val="none"/>
        </w:rPr>
        <w:t>决算数与预算数持平。</w:t>
      </w:r>
    </w:p>
    <w:p>
      <w:pPr>
        <w:pageBreakBefore w:val="0"/>
        <w:kinsoku/>
        <w:wordWrap/>
        <w:overflowPunct/>
        <w:topLinePunct w:val="0"/>
        <w:bidi w:val="0"/>
        <w:spacing w:line="570" w:lineRule="exact"/>
        <w:ind w:firstLine="640"/>
        <w:textAlignment w:val="auto"/>
        <w:outlineLvl w:val="2"/>
        <w:rPr>
          <w:rFonts w:ascii="仿宋" w:hAnsi="仿宋" w:eastAsia="仿宋"/>
          <w:b/>
          <w:color w:val="auto"/>
          <w:sz w:val="32"/>
          <w:szCs w:val="32"/>
          <w:highlight w:val="none"/>
        </w:rPr>
      </w:pPr>
      <w:bookmarkStart w:id="62" w:name="_Toc15377217"/>
      <w:bookmarkStart w:id="63" w:name="_Toc25979"/>
      <w:r>
        <w:rPr>
          <w:rFonts w:hint="eastAsia" w:ascii="仿宋" w:hAnsi="仿宋" w:eastAsia="仿宋"/>
          <w:b/>
          <w:color w:val="auto"/>
          <w:sz w:val="32"/>
          <w:szCs w:val="32"/>
          <w:highlight w:val="none"/>
        </w:rPr>
        <w:t>（二）“三公”经费财政拨款支出决算具体情况说明</w:t>
      </w:r>
      <w:bookmarkEnd w:id="62"/>
      <w:bookmarkEnd w:id="63"/>
    </w:p>
    <w:p>
      <w:pPr>
        <w:pageBreakBefore w:val="0"/>
        <w:kinsoku/>
        <w:wordWrap/>
        <w:overflowPunct/>
        <w:topLinePunct w:val="0"/>
        <w:bidi w:val="0"/>
        <w:spacing w:line="57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jc w:val="center"/>
        <w:rPr>
          <w:rFonts w:hint="eastAsia" w:eastAsia="宋体"/>
          <w:lang w:eastAsia="zh-CN"/>
        </w:rPr>
      </w:pPr>
      <w:r>
        <w:rPr>
          <w:rFonts w:hint="eastAsia" w:eastAsia="宋体"/>
          <w:lang w:eastAsia="zh-CN"/>
        </w:rPr>
        <w:drawing>
          <wp:inline distT="0" distB="0" distL="114300" distR="114300">
            <wp:extent cx="3263265" cy="2276475"/>
            <wp:effectExtent l="0" t="0" r="13335" b="9525"/>
            <wp:docPr id="7" name="图片 7"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true"/>
                    </pic:cNvPicPr>
                  </pic:nvPicPr>
                  <pic:blipFill>
                    <a:blip r:embed="rId12"/>
                    <a:stretch>
                      <a:fillRect/>
                    </a:stretch>
                  </pic:blipFill>
                  <pic:spPr>
                    <a:xfrm>
                      <a:off x="0" y="0"/>
                      <a:ext cx="3263265" cy="2276475"/>
                    </a:xfrm>
                    <a:prstGeom prst="rect">
                      <a:avLst/>
                    </a:prstGeom>
                  </pic:spPr>
                </pic:pic>
              </a:graphicData>
            </a:graphic>
          </wp:inline>
        </w:drawing>
      </w:r>
    </w:p>
    <w:p>
      <w:pPr>
        <w:pageBreakBefore w:val="0"/>
        <w:kinsoku/>
        <w:wordWrap/>
        <w:overflowPunct/>
        <w:topLinePunct w:val="0"/>
        <w:bidi w:val="0"/>
        <w:spacing w:line="570" w:lineRule="exact"/>
        <w:ind w:firstLine="64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Times New Roman" w:eastAsia="仿宋_GB2312" w:cs="Times New Roman"/>
          <w:color w:val="auto"/>
          <w:sz w:val="32"/>
          <w:szCs w:val="32"/>
          <w:highlight w:val="none"/>
          <w:lang w:val="en-US" w:eastAsia="zh-CN"/>
        </w:rPr>
        <w:t>年初未安排预算</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因公出国</w:t>
      </w:r>
      <w:r>
        <w:rPr>
          <w:rFonts w:hint="eastAsia" w:ascii="仿宋_GB2312" w:hAnsi="Times New Roman" w:eastAsia="仿宋_GB2312" w:cs="Times New Roman"/>
          <w:color w:val="auto"/>
          <w:sz w:val="32"/>
          <w:szCs w:val="32"/>
          <w:highlight w:val="none"/>
        </w:rPr>
        <w:t>（境）</w:t>
      </w:r>
      <w:r>
        <w:rPr>
          <w:rFonts w:hint="eastAsia" w:ascii="仿宋_GB2312" w:hAnsi="Times New Roman" w:eastAsia="仿宋_GB2312" w:cs="Times New Roman"/>
          <w:color w:val="auto"/>
          <w:sz w:val="32"/>
          <w:szCs w:val="32"/>
          <w:highlight w:val="none"/>
          <w:lang w:val="en-US" w:eastAsia="zh-CN"/>
        </w:rPr>
        <w:t>支出决算较2021年无变化</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Times New Roman" w:eastAsia="仿宋_GB2312" w:cs="Times New Roman"/>
          <w:color w:val="auto"/>
          <w:sz w:val="32"/>
          <w:szCs w:val="32"/>
          <w:highlight w:val="none"/>
          <w:lang w:val="en-US" w:eastAsia="zh-CN"/>
        </w:rPr>
        <w:t>年初未安排预算</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w:t>
      </w:r>
      <w:r>
        <w:rPr>
          <w:rFonts w:hint="eastAsia" w:ascii="仿宋_GB2312" w:hAnsi="Times New Roman" w:eastAsia="仿宋_GB2312" w:cs="Times New Roman"/>
          <w:color w:val="auto"/>
          <w:sz w:val="32"/>
          <w:szCs w:val="32"/>
          <w:highlight w:val="none"/>
          <w:lang w:val="en-US" w:eastAsia="zh-CN"/>
        </w:rPr>
        <w:t>决算较2021年无变化</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0.39</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严格三公经费支出。其中：</w:t>
      </w: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日常</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lang w:eastAsia="zh-CN"/>
        </w:rPr>
        <w:t>具体包括南充市委宣传部到朝考察接待费</w:t>
      </w:r>
      <w:r>
        <w:rPr>
          <w:rFonts w:hint="eastAsia" w:ascii="仿宋_GB2312" w:eastAsia="仿宋_GB2312"/>
          <w:color w:val="auto"/>
          <w:sz w:val="32"/>
          <w:szCs w:val="32"/>
          <w:highlight w:val="none"/>
          <w:shd w:val="clear" w:color="auto" w:fill="auto"/>
          <w:lang w:val="en-US" w:eastAsia="zh-CN"/>
        </w:rPr>
        <w:t>0.15万元，中央电视台（CCTV4）采访拍摄工作餐0.16万元，农民日报、光明日报社记者来朝采访工作餐0.08万元</w:t>
      </w:r>
      <w:r>
        <w:rPr>
          <w:rFonts w:hint="eastAsia" w:ascii="仿宋_GB2312" w:eastAsia="仿宋_GB2312"/>
          <w:color w:val="auto"/>
          <w:sz w:val="32"/>
          <w:szCs w:val="32"/>
          <w:highlight w:val="none"/>
          <w:shd w:val="clear" w:color="auto" w:fill="auto"/>
        </w:rPr>
        <w:t>。</w:t>
      </w:r>
    </w:p>
    <w:p>
      <w:pPr>
        <w:pageBreakBefore w:val="0"/>
        <w:kinsoku/>
        <w:wordWrap/>
        <w:overflowPunct/>
        <w:topLinePunct w:val="0"/>
        <w:bidi w:val="0"/>
        <w:spacing w:line="570" w:lineRule="exact"/>
        <w:ind w:firstLine="642" w:firstLineChars="200"/>
        <w:textAlignment w:val="auto"/>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64" w:name="_Toc15396610"/>
      <w:bookmarkStart w:id="65" w:name="_Toc15377218"/>
    </w:p>
    <w:p>
      <w:pPr>
        <w:pageBreakBefore w:val="0"/>
        <w:kinsoku/>
        <w:wordWrap/>
        <w:overflowPunct/>
        <w:topLinePunct w:val="0"/>
        <w:bidi w:val="0"/>
        <w:spacing w:line="570" w:lineRule="exact"/>
        <w:ind w:firstLine="640"/>
        <w:textAlignment w:val="auto"/>
        <w:outlineLvl w:val="1"/>
        <w:rPr>
          <w:rStyle w:val="30"/>
          <w:rFonts w:ascii="黑体" w:hAnsi="黑体" w:eastAsia="黑体"/>
          <w:color w:val="auto"/>
          <w:highlight w:val="none"/>
        </w:rPr>
      </w:pPr>
      <w:bookmarkStart w:id="66" w:name="_Toc3716"/>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4"/>
      <w:bookmarkEnd w:id="65"/>
      <w:bookmarkEnd w:id="66"/>
    </w:p>
    <w:p>
      <w:pPr>
        <w:pageBreakBefore w:val="0"/>
        <w:kinsoku/>
        <w:wordWrap/>
        <w:overflowPunct/>
        <w:topLinePunct w:val="0"/>
        <w:bidi w:val="0"/>
        <w:spacing w:line="57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22.4</w:t>
      </w:r>
      <w:r>
        <w:rPr>
          <w:rFonts w:hint="eastAsia" w:ascii="仿宋_GB2312" w:eastAsia="仿宋_GB2312"/>
          <w:color w:val="auto"/>
          <w:sz w:val="32"/>
          <w:szCs w:val="32"/>
          <w:highlight w:val="none"/>
        </w:rPr>
        <w:t>万元。</w:t>
      </w:r>
    </w:p>
    <w:p>
      <w:pPr>
        <w:pageBreakBefore w:val="0"/>
        <w:numPr>
          <w:ilvl w:val="0"/>
          <w:numId w:val="2"/>
        </w:numPr>
        <w:kinsoku/>
        <w:wordWrap/>
        <w:overflowPunct/>
        <w:topLinePunct w:val="0"/>
        <w:bidi w:val="0"/>
        <w:spacing w:line="570" w:lineRule="exact"/>
        <w:ind w:firstLine="640"/>
        <w:textAlignment w:val="auto"/>
        <w:outlineLvl w:val="1"/>
        <w:rPr>
          <w:rStyle w:val="30"/>
          <w:rFonts w:ascii="黑体" w:hAnsi="黑体" w:eastAsia="黑体"/>
          <w:b w:val="0"/>
          <w:color w:val="auto"/>
          <w:highlight w:val="none"/>
        </w:rPr>
      </w:pPr>
      <w:bookmarkStart w:id="67" w:name="_Toc22361"/>
      <w:bookmarkStart w:id="68" w:name="_Toc15377219"/>
      <w:bookmarkStart w:id="69" w:name="_Toc15396611"/>
      <w:r>
        <w:rPr>
          <w:rStyle w:val="30"/>
          <w:rFonts w:hint="eastAsia" w:ascii="黑体" w:hAnsi="黑体" w:eastAsia="黑体"/>
          <w:b w:val="0"/>
          <w:color w:val="auto"/>
          <w:highlight w:val="none"/>
        </w:rPr>
        <w:t>国有资本经营预算支出决算情况说明</w:t>
      </w:r>
      <w:bookmarkEnd w:id="67"/>
      <w:bookmarkEnd w:id="68"/>
      <w:bookmarkEnd w:id="69"/>
    </w:p>
    <w:p>
      <w:pPr>
        <w:pageBreakBefore w:val="0"/>
        <w:kinsoku/>
        <w:wordWrap/>
        <w:overflowPunct/>
        <w:topLinePunct w:val="0"/>
        <w:bidi w:val="0"/>
        <w:spacing w:line="570" w:lineRule="exact"/>
        <w:ind w:firstLine="640"/>
        <w:textAlignment w:val="auto"/>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2"/>
        </w:numPr>
        <w:kinsoku/>
        <w:wordWrap/>
        <w:overflowPunct/>
        <w:topLinePunct w:val="0"/>
        <w:bidi w:val="0"/>
        <w:spacing w:line="570" w:lineRule="exact"/>
        <w:ind w:firstLine="640"/>
        <w:textAlignment w:val="auto"/>
        <w:outlineLvl w:val="1"/>
        <w:rPr>
          <w:rStyle w:val="30"/>
          <w:rFonts w:hint="eastAsia" w:ascii="黑体" w:hAnsi="黑体" w:eastAsia="黑体"/>
          <w:b w:val="0"/>
          <w:color w:val="auto"/>
          <w:highlight w:val="none"/>
        </w:rPr>
      </w:pPr>
      <w:bookmarkStart w:id="70" w:name="_Toc15377221"/>
      <w:bookmarkStart w:id="71" w:name="_Toc6204"/>
      <w:bookmarkStart w:id="72" w:name="_Toc15396612"/>
      <w:r>
        <w:rPr>
          <w:rStyle w:val="30"/>
          <w:rFonts w:hint="eastAsia" w:ascii="黑体" w:hAnsi="黑体" w:eastAsia="黑体"/>
          <w:b w:val="0"/>
          <w:color w:val="auto"/>
          <w:highlight w:val="none"/>
        </w:rPr>
        <w:t>其他重要事项的情况说明</w:t>
      </w:r>
      <w:bookmarkEnd w:id="70"/>
      <w:bookmarkEnd w:id="71"/>
      <w:bookmarkEnd w:id="72"/>
    </w:p>
    <w:p>
      <w:pPr>
        <w:pageBreakBefore w:val="0"/>
        <w:kinsoku/>
        <w:wordWrap/>
        <w:overflowPunct/>
        <w:topLinePunct w:val="0"/>
        <w:bidi w:val="0"/>
        <w:spacing w:line="570" w:lineRule="exact"/>
        <w:ind w:firstLine="642" w:firstLineChars="200"/>
        <w:textAlignment w:val="auto"/>
        <w:outlineLvl w:val="2"/>
        <w:rPr>
          <w:rFonts w:ascii="仿宋" w:hAnsi="仿宋" w:eastAsia="仿宋"/>
          <w:color w:val="auto"/>
          <w:sz w:val="32"/>
          <w:szCs w:val="32"/>
          <w:highlight w:val="none"/>
        </w:rPr>
      </w:pPr>
      <w:bookmarkStart w:id="73" w:name="_Toc3555"/>
      <w:bookmarkStart w:id="74" w:name="_Toc15377222"/>
      <w:r>
        <w:rPr>
          <w:rFonts w:hint="eastAsia" w:ascii="仿宋" w:hAnsi="仿宋" w:eastAsia="仿宋"/>
          <w:b/>
          <w:color w:val="auto"/>
          <w:sz w:val="32"/>
          <w:szCs w:val="32"/>
          <w:highlight w:val="none"/>
        </w:rPr>
        <w:t>（一）机关运行经费支出情况</w:t>
      </w:r>
      <w:bookmarkEnd w:id="73"/>
      <w:bookmarkEnd w:id="74"/>
    </w:p>
    <w:p>
      <w:pPr>
        <w:pageBreakBefore w:val="0"/>
        <w:kinsoku/>
        <w:wordWrap/>
        <w:overflowPunct/>
        <w:topLinePunct w:val="0"/>
        <w:bidi w:val="0"/>
        <w:spacing w:line="570" w:lineRule="exact"/>
        <w:ind w:firstLine="640" w:firstLineChars="200"/>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区委宣传部</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37.25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12.05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47.79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。主要原因是本年度宣传事务较上年需求大幅增长导致经费增加</w:t>
      </w:r>
      <w:r>
        <w:rPr>
          <w:rFonts w:hint="eastAsia" w:ascii="仿宋_GB2312" w:eastAsia="仿宋_GB2312"/>
          <w:color w:val="auto"/>
          <w:sz w:val="32"/>
          <w:szCs w:val="32"/>
          <w:highlight w:val="none"/>
          <w:lang w:eastAsia="zh-CN"/>
        </w:rPr>
        <w:t>。</w:t>
      </w:r>
    </w:p>
    <w:p>
      <w:pPr>
        <w:pageBreakBefore w:val="0"/>
        <w:kinsoku/>
        <w:wordWrap/>
        <w:overflowPunct/>
        <w:topLinePunct w:val="0"/>
        <w:autoSpaceDE w:val="0"/>
        <w:autoSpaceDN w:val="0"/>
        <w:bidi w:val="0"/>
        <w:adjustRightInd w:val="0"/>
        <w:spacing w:line="570" w:lineRule="exact"/>
        <w:ind w:firstLine="642" w:firstLineChars="200"/>
        <w:jc w:val="left"/>
        <w:textAlignment w:val="auto"/>
        <w:outlineLvl w:val="2"/>
        <w:rPr>
          <w:rFonts w:ascii="仿宋" w:hAnsi="仿宋" w:eastAsia="仿宋"/>
          <w:b/>
          <w:color w:val="auto"/>
          <w:sz w:val="32"/>
          <w:szCs w:val="32"/>
          <w:highlight w:val="none"/>
        </w:rPr>
      </w:pPr>
      <w:bookmarkStart w:id="75" w:name="_Toc9388"/>
      <w:bookmarkStart w:id="76" w:name="_Toc15377223"/>
      <w:r>
        <w:rPr>
          <w:rFonts w:hint="eastAsia" w:ascii="仿宋" w:hAnsi="仿宋" w:eastAsia="仿宋"/>
          <w:b/>
          <w:color w:val="auto"/>
          <w:sz w:val="32"/>
          <w:szCs w:val="32"/>
          <w:highlight w:val="none"/>
        </w:rPr>
        <w:t>（二）政府采购支出情况</w:t>
      </w:r>
      <w:bookmarkEnd w:id="75"/>
      <w:bookmarkEnd w:id="76"/>
    </w:p>
    <w:p>
      <w:pPr>
        <w:pageBreakBefore w:val="0"/>
        <w:kinsoku/>
        <w:wordWrap/>
        <w:overflowPunct/>
        <w:topLinePunct w:val="0"/>
        <w:bidi w:val="0"/>
        <w:spacing w:line="57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年，宣传部政府采购支出总额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topLinePunct w:val="0"/>
        <w:autoSpaceDE w:val="0"/>
        <w:autoSpaceDN w:val="0"/>
        <w:bidi w:val="0"/>
        <w:adjustRightInd w:val="0"/>
        <w:spacing w:line="570" w:lineRule="exact"/>
        <w:ind w:firstLine="642" w:firstLineChars="200"/>
        <w:jc w:val="left"/>
        <w:textAlignment w:val="auto"/>
        <w:outlineLvl w:val="2"/>
        <w:rPr>
          <w:rFonts w:ascii="仿宋" w:hAnsi="仿宋" w:eastAsia="仿宋"/>
          <w:b/>
          <w:color w:val="auto"/>
          <w:sz w:val="32"/>
          <w:szCs w:val="32"/>
          <w:highlight w:val="none"/>
        </w:rPr>
      </w:pPr>
      <w:bookmarkStart w:id="77" w:name="_Toc22275"/>
      <w:bookmarkStart w:id="78" w:name="_Toc15377224"/>
      <w:r>
        <w:rPr>
          <w:rFonts w:hint="eastAsia" w:ascii="仿宋" w:hAnsi="仿宋" w:eastAsia="仿宋"/>
          <w:b/>
          <w:color w:val="auto"/>
          <w:sz w:val="32"/>
          <w:szCs w:val="32"/>
          <w:highlight w:val="none"/>
        </w:rPr>
        <w:t>（三）国有资产占有使用情况</w:t>
      </w:r>
      <w:bookmarkEnd w:id="77"/>
      <w:bookmarkEnd w:id="78"/>
    </w:p>
    <w:p>
      <w:pPr>
        <w:pageBreakBefore w:val="0"/>
        <w:kinsoku/>
        <w:wordWrap/>
        <w:overflowPunct/>
        <w:topLinePunct w:val="0"/>
        <w:bidi w:val="0"/>
        <w:spacing w:line="57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日，宣传部共有车辆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wordWrap/>
        <w:overflowPunct/>
        <w:topLinePunct w:val="0"/>
        <w:autoSpaceDE w:val="0"/>
        <w:autoSpaceDN w:val="0"/>
        <w:bidi w:val="0"/>
        <w:adjustRightInd w:val="0"/>
        <w:spacing w:line="570" w:lineRule="exact"/>
        <w:ind w:firstLine="642" w:firstLineChars="200"/>
        <w:jc w:val="left"/>
        <w:textAlignment w:val="auto"/>
        <w:outlineLvl w:val="2"/>
        <w:rPr>
          <w:rFonts w:ascii="仿宋" w:hAnsi="仿宋" w:eastAsia="仿宋"/>
          <w:b/>
          <w:color w:val="auto"/>
          <w:sz w:val="32"/>
          <w:szCs w:val="32"/>
          <w:highlight w:val="none"/>
        </w:rPr>
      </w:pPr>
      <w:bookmarkStart w:id="79" w:name="_Toc531"/>
      <w:r>
        <w:rPr>
          <w:rFonts w:hint="eastAsia" w:ascii="仿宋" w:hAnsi="仿宋" w:eastAsia="仿宋"/>
          <w:b/>
          <w:color w:val="auto"/>
          <w:sz w:val="32"/>
          <w:szCs w:val="32"/>
          <w:highlight w:val="none"/>
        </w:rPr>
        <w:t>（四）预算绩效管理情况</w:t>
      </w:r>
      <w:bookmarkEnd w:id="79"/>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年度预算编制阶段，对</w:t>
      </w:r>
      <w:r>
        <w:rPr>
          <w:rFonts w:hint="eastAsia" w:ascii="仿宋_GB2312" w:hAnsi="仿宋_GB2312" w:eastAsia="仿宋_GB2312" w:cs="仿宋_GB2312"/>
          <w:color w:val="auto"/>
          <w:sz w:val="32"/>
          <w:szCs w:val="32"/>
          <w:highlight w:val="none"/>
          <w:lang w:eastAsia="zh-CN"/>
        </w:rPr>
        <w:t>新闻宣传、社会宣传、理论宣传</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个项目开展绩效监控。组织对2022年度一般公共预算、政府性基金预算以及资本资产全面开展绩效自评，形成</w:t>
      </w:r>
      <w:r>
        <w:rPr>
          <w:rFonts w:hint="eastAsia" w:ascii="仿宋_GB2312" w:hAnsi="仿宋_GB2312" w:eastAsia="仿宋_GB2312" w:cs="仿宋_GB2312"/>
          <w:color w:val="auto"/>
          <w:sz w:val="32"/>
          <w:szCs w:val="32"/>
          <w:highlight w:val="none"/>
          <w:lang w:eastAsia="zh-CN"/>
        </w:rPr>
        <w:t>区委宣传部</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新闻宣传</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宣传部</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全面保障</w:t>
      </w:r>
      <w:r>
        <w:rPr>
          <w:rFonts w:hint="eastAsia" w:ascii="仿宋_GB2312" w:hAnsi="仿宋_GB2312" w:eastAsia="仿宋_GB2312" w:cs="仿宋_GB2312"/>
          <w:color w:val="auto"/>
          <w:sz w:val="32"/>
          <w:szCs w:val="32"/>
          <w:highlight w:val="none"/>
        </w:rPr>
        <w:t>年末实有在职人员25人，其中：公务员13人、事业人员12人、工勤人员2人</w:t>
      </w:r>
      <w:r>
        <w:rPr>
          <w:rFonts w:hint="eastAsia" w:ascii="仿宋_GB2312" w:hAnsi="仿宋_GB2312" w:eastAsia="仿宋_GB2312" w:cs="仿宋_GB2312"/>
          <w:color w:val="auto"/>
          <w:sz w:val="32"/>
          <w:szCs w:val="32"/>
          <w:highlight w:val="none"/>
          <w:lang w:eastAsia="zh-CN"/>
        </w:rPr>
        <w:t>工资福利支出；按时按质完成区委、区政府各项目标任务。</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新闻宣传</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分，绩效自评综述：围绕区委区政府2022年中心工作和重点工作，加强与18家媒体合作，落实好全年的对外宣传任务，不断提升朝天知名度和影响力。</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社会宣传</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分，绩效自评综述：全面宣传、贯彻党的政策、方针，制作宣传标语不少于50幅，引导社会舆论，营造良好的社会氛围；根据区委工作安排，开展各类文化文艺活动、创作采风活动不少于5场次</w:t>
      </w:r>
      <w:r>
        <w:rPr>
          <w:rFonts w:hint="eastAsia" w:ascii="仿宋_GB2312" w:hAnsi="仿宋_GB2312" w:eastAsia="仿宋_GB2312" w:cs="仿宋_GB2312"/>
          <w:color w:val="auto"/>
          <w:sz w:val="32"/>
          <w:szCs w:val="32"/>
          <w:highlight w:val="none"/>
          <w:lang w:eastAsia="zh-CN"/>
        </w:rPr>
        <w:t>。</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理论宣传</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分，绩效自评综述：完成党委（党组）理论学习中心组列席旁听12次，区委理论学习中心组开展集中学习研讨7次，推出高质量理论文章10余篇。</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绩效自评报告详见附件。</w:t>
      </w:r>
    </w:p>
    <w:p>
      <w:pPr>
        <w:pStyle w:val="2"/>
      </w:pPr>
    </w:p>
    <w:p>
      <w:pPr>
        <w:pageBreakBefore w:val="0"/>
        <w:numPr>
          <w:ilvl w:val="0"/>
          <w:numId w:val="3"/>
        </w:numPr>
        <w:kinsoku/>
        <w:wordWrap/>
        <w:overflowPunct/>
        <w:topLinePunct w:val="0"/>
        <w:bidi w:val="0"/>
        <w:spacing w:line="570" w:lineRule="exact"/>
        <w:ind w:firstLine="660" w:firstLineChars="150"/>
        <w:jc w:val="center"/>
        <w:textAlignment w:val="auto"/>
        <w:outlineLvl w:val="0"/>
        <w:rPr>
          <w:rStyle w:val="29"/>
          <w:rFonts w:ascii="黑体" w:hAnsi="黑体" w:eastAsia="黑体"/>
          <w:b w:val="0"/>
          <w:color w:val="auto"/>
          <w:highlight w:val="none"/>
        </w:rPr>
      </w:pPr>
      <w:bookmarkStart w:id="80" w:name="_Toc15396613"/>
      <w:bookmarkStart w:id="81" w:name="_Toc15377225"/>
      <w:bookmarkStart w:id="82" w:name="_Toc2070"/>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80"/>
      <w:bookmarkEnd w:id="81"/>
      <w:bookmarkEnd w:id="82"/>
    </w:p>
    <w:p>
      <w:pPr>
        <w:pageBreakBefore w:val="0"/>
        <w:kinsoku/>
        <w:wordWrap/>
        <w:overflowPunct/>
        <w:topLinePunct w:val="0"/>
        <w:bidi w:val="0"/>
        <w:spacing w:line="570" w:lineRule="exact"/>
        <w:jc w:val="left"/>
        <w:textAlignment w:val="auto"/>
        <w:rPr>
          <w:rFonts w:ascii="宋体"/>
          <w:b/>
          <w:color w:val="auto"/>
          <w:sz w:val="44"/>
          <w:szCs w:val="44"/>
          <w:highlight w:val="none"/>
        </w:rPr>
      </w:pPr>
    </w:p>
    <w:p>
      <w:pPr>
        <w:pStyle w:val="27"/>
        <w:spacing w:line="560" w:lineRule="exact"/>
        <w:ind w:firstLine="640" w:firstLineChars="200"/>
        <w:outlineLvl w:val="1"/>
        <w:rPr>
          <w:rFonts w:ascii="仿宋_GB2312" w:eastAsia="仿宋_GB2312"/>
          <w:color w:val="auto"/>
          <w:sz w:val="32"/>
          <w:szCs w:val="32"/>
          <w:highlight w:val="none"/>
        </w:rPr>
      </w:pPr>
      <w:bookmarkStart w:id="83" w:name="_Toc1437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83"/>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年初结转和结余：指以前年度尚未完成、结转到本年按有关规定继续使用的资金。</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一般公共服务（类）宣传事务（款）行政运行（项）：指行政单位(包括实行公务员管理的事业单位)的基本支出。</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一般公共服务（类）宣传事务（款）一般行政管理事务（项）：指行政单位(包括实行公务员管理的事业单位)未单独设置项级科目的其他项目支出。</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5</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一般公共服务（类）宣传事务（款）事业运行（项）：指事业单位的基本支出，不包括行政单位(包括实行公务员管理的事业单位)后勤服务中心、医务室等附属事业单位。</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6</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文化旅游体育与传媒（类）文化和旅游（款）其他文化和旅游支出（项）：指其他用于文化和旅游方面的支出。</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7</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文化旅游体育与传媒（类）其他文化旅游体育与传媒支出（款）宣传文化发展专项支出（项）：指按照国家有关政策支持宣传文化单位发展的专项支出。</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8</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文化旅游体育与传媒（类）其他文化旅游体育与传媒支出（款）其他文化旅游体育与传媒支出（项）：指其他用于文化旅游体育与传媒方面的支出。</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9</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社会保障和就业（类）行政事业单位养老支出（款）机关事业单位基本养老保险缴费支出（项）：指机关事业单位实施养老保险制度由单位缴纳的基本养老保险费支出。</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10</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卫生健康（类）行政事业单位医疗（款）行政单位医疗（项）</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指财政部门安排的行政单位(包括实行公务员管理的事业单位)基本医疗保险缴费经费，未参加医疗保险的行政单位的公费医疗经费，按国家规定享受离休人员、红军老战士待遇人员的医疗经费。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11</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住房保障（类）住房改革支出（款）住房公积金（项）：</w:t>
      </w:r>
      <w:r>
        <w:rPr>
          <w:rFonts w:hint="eastAsia" w:ascii="仿宋_GB2312" w:eastAsia="仿宋_GB2312"/>
          <w:color w:val="auto"/>
          <w:sz w:val="32"/>
          <w:szCs w:val="32"/>
          <w:highlight w:val="none"/>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ind w:left="0" w:leftChars="0" w:firstLine="0" w:firstLineChars="0"/>
        <w:rPr>
          <w:rFonts w:hint="eastAsia"/>
        </w:rPr>
      </w:pPr>
      <w:bookmarkStart w:id="84" w:name="_Toc15396614"/>
      <w:bookmarkStart w:id="85" w:name="_Toc15377226"/>
    </w:p>
    <w:p>
      <w:pPr>
        <w:pageBreakBefore w:val="0"/>
        <w:kinsoku/>
        <w:wordWrap/>
        <w:overflowPunct/>
        <w:topLinePunct w:val="0"/>
        <w:bidi w:val="0"/>
        <w:spacing w:line="570" w:lineRule="exact"/>
        <w:jc w:val="center"/>
        <w:textAlignment w:val="auto"/>
        <w:outlineLvl w:val="9"/>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ind w:left="0" w:leftChars="0" w:firstLine="0" w:firstLineChars="0"/>
        <w:rPr>
          <w:rFonts w:hint="eastAsia"/>
        </w:rPr>
      </w:pPr>
    </w:p>
    <w:p>
      <w:pPr>
        <w:pageBreakBefore w:val="0"/>
        <w:kinsoku/>
        <w:wordWrap/>
        <w:overflowPunct/>
        <w:topLinePunct w:val="0"/>
        <w:bidi w:val="0"/>
        <w:spacing w:line="570" w:lineRule="exact"/>
        <w:jc w:val="both"/>
        <w:textAlignment w:val="auto"/>
        <w:outlineLvl w:val="9"/>
        <w:rPr>
          <w:rFonts w:hint="eastAsia" w:ascii="黑体" w:hAnsi="黑体" w:eastAsia="黑体"/>
          <w:color w:val="auto"/>
          <w:sz w:val="44"/>
          <w:szCs w:val="44"/>
          <w:highlight w:val="none"/>
        </w:rPr>
      </w:pPr>
    </w:p>
    <w:p>
      <w:pPr>
        <w:pageBreakBefore w:val="0"/>
        <w:kinsoku/>
        <w:wordWrap/>
        <w:overflowPunct/>
        <w:topLinePunct w:val="0"/>
        <w:bidi w:val="0"/>
        <w:spacing w:line="570" w:lineRule="exact"/>
        <w:jc w:val="center"/>
        <w:textAlignment w:val="auto"/>
        <w:outlineLvl w:val="0"/>
        <w:rPr>
          <w:rStyle w:val="29"/>
          <w:rFonts w:hint="eastAsia" w:ascii="黑体" w:hAnsi="黑体" w:eastAsia="黑体"/>
          <w:b w:val="0"/>
          <w:color w:val="auto"/>
          <w:highlight w:val="none"/>
          <w:lang w:eastAsia="zh-CN"/>
        </w:rPr>
      </w:pPr>
      <w:bookmarkStart w:id="86" w:name="_Toc680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84"/>
      <w:bookmarkEnd w:id="86"/>
    </w:p>
    <w:p>
      <w:pPr>
        <w:keepNext w:val="0"/>
        <w:keepLines w:val="0"/>
        <w:pageBreakBefore w:val="0"/>
        <w:kinsoku/>
        <w:wordWrap/>
        <w:overflowPunct/>
        <w:topLinePunct w:val="0"/>
        <w:autoSpaceDE/>
        <w:autoSpaceDN/>
        <w:bidi w:val="0"/>
        <w:spacing w:line="570"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87" w:name="_Toc12436"/>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87"/>
    </w:p>
    <w:p>
      <w:pPr>
        <w:widowControl/>
        <w:spacing w:line="580" w:lineRule="exact"/>
        <w:contextualSpacing/>
        <w:jc w:val="center"/>
        <w:rPr>
          <w:rFonts w:hint="eastAsia" w:ascii="方正小标宋简体" w:hAnsi="方正小标宋简体" w:eastAsia="方正小标宋简体" w:cs="方正小标宋简体"/>
          <w:b w:val="0"/>
          <w:bCs/>
          <w:sz w:val="44"/>
          <w:szCs w:val="44"/>
          <w:shd w:val="clear" w:color="auto" w:fill="FFFFFF"/>
        </w:rPr>
      </w:pPr>
    </w:p>
    <w:p>
      <w:pPr>
        <w:widowControl/>
        <w:spacing w:line="580" w:lineRule="exact"/>
        <w:contextualSpacing/>
        <w:jc w:val="center"/>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202</w:t>
      </w:r>
      <w:r>
        <w:rPr>
          <w:rFonts w:hint="eastAsia" w:ascii="方正小标宋简体" w:hAnsi="方正小标宋简体" w:eastAsia="方正小标宋简体" w:cs="方正小标宋简体"/>
          <w:b w:val="0"/>
          <w:bCs/>
          <w:sz w:val="44"/>
          <w:szCs w:val="44"/>
          <w:shd w:val="clear" w:color="auto" w:fill="FFFFFF"/>
          <w:lang w:val="en-US" w:eastAsia="zh-CN"/>
        </w:rPr>
        <w:t>2</w:t>
      </w:r>
      <w:r>
        <w:rPr>
          <w:rFonts w:hint="eastAsia" w:ascii="方正小标宋简体" w:hAnsi="方正小标宋简体" w:eastAsia="方正小标宋简体" w:cs="方正小标宋简体"/>
          <w:b w:val="0"/>
          <w:bCs/>
          <w:sz w:val="44"/>
          <w:szCs w:val="44"/>
          <w:shd w:val="clear" w:color="auto" w:fill="FFFFFF"/>
        </w:rPr>
        <w:t>年</w:t>
      </w:r>
      <w:r>
        <w:rPr>
          <w:rFonts w:hint="eastAsia" w:ascii="方正小标宋简体" w:hAnsi="方正小标宋简体" w:eastAsia="方正小标宋简体" w:cs="方正小标宋简体"/>
          <w:b w:val="0"/>
          <w:bCs/>
          <w:sz w:val="44"/>
          <w:szCs w:val="44"/>
          <w:shd w:val="clear" w:color="auto" w:fill="FFFFFF"/>
          <w:lang w:eastAsia="zh-CN"/>
        </w:rPr>
        <w:t>度</w:t>
      </w:r>
      <w:r>
        <w:rPr>
          <w:rFonts w:hint="eastAsia" w:ascii="方正小标宋简体" w:hAnsi="方正小标宋简体" w:eastAsia="方正小标宋简体" w:cs="方正小标宋简体"/>
          <w:b w:val="0"/>
          <w:bCs/>
          <w:sz w:val="44"/>
          <w:szCs w:val="44"/>
          <w:shd w:val="clear" w:color="auto" w:fill="FFFFFF"/>
        </w:rPr>
        <w:t>部门整体支出绩效自评报告</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p>
    <w:p>
      <w:pPr>
        <w:widowControl/>
        <w:autoSpaceDE w:val="0"/>
        <w:adjustRightInd w:val="0"/>
        <w:snapToGrid w:val="0"/>
        <w:spacing w:line="500"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lang w:eastAsia="zh-CN"/>
        </w:rPr>
      </w:pPr>
      <w:bookmarkStart w:id="88" w:name="_Toc14133"/>
      <w:r>
        <w:rPr>
          <w:rFonts w:hint="eastAsia" w:ascii="黑体" w:hAnsi="黑体" w:eastAsia="黑体" w:cs="Times New Roman"/>
          <w:color w:val="000000"/>
          <w:kern w:val="0"/>
          <w:sz w:val="32"/>
          <w:szCs w:val="32"/>
          <w:shd w:val="clear" w:color="auto" w:fill="FFFFFF"/>
        </w:rPr>
        <w:t>一、部门（单位）</w:t>
      </w:r>
      <w:r>
        <w:rPr>
          <w:rFonts w:hint="eastAsia" w:ascii="黑体" w:hAnsi="黑体" w:eastAsia="黑体" w:cs="Times New Roman"/>
          <w:color w:val="000000"/>
          <w:kern w:val="0"/>
          <w:sz w:val="32"/>
          <w:szCs w:val="32"/>
          <w:shd w:val="clear" w:color="auto" w:fill="FFFFFF"/>
          <w:lang w:eastAsia="zh-CN"/>
        </w:rPr>
        <w:t>基本情况</w:t>
      </w:r>
      <w:bookmarkEnd w:id="88"/>
    </w:p>
    <w:p>
      <w:pPr>
        <w:widowControl/>
        <w:autoSpaceDE w:val="0"/>
        <w:adjustRightInd w:val="0"/>
        <w:snapToGrid w:val="0"/>
        <w:spacing w:line="500" w:lineRule="exact"/>
        <w:ind w:firstLine="640" w:firstLineChars="200"/>
        <w:contextualSpacing/>
        <w:jc w:val="left"/>
        <w:rPr>
          <w:rFonts w:hint="eastAsia" w:ascii="仿宋_GB2312" w:hAnsi="仿宋" w:eastAsia="仿宋_GB2312"/>
          <w:sz w:val="32"/>
          <w:szCs w:val="32"/>
        </w:rPr>
      </w:pPr>
      <w:r>
        <w:rPr>
          <w:rFonts w:hint="eastAsia" w:ascii="楷体_GB2312" w:hAnsi="Times New Roman" w:eastAsia="楷体_GB2312" w:cs="Times New Roman"/>
          <w:color w:val="000000"/>
          <w:kern w:val="0"/>
          <w:sz w:val="32"/>
          <w:szCs w:val="32"/>
          <w:shd w:val="clear" w:color="auto" w:fill="FFFFFF"/>
        </w:rPr>
        <w:t>（一）机构组成。</w:t>
      </w:r>
      <w:r>
        <w:rPr>
          <w:rFonts w:hint="eastAsia" w:ascii="仿宋_GB2312" w:hAnsi="仿宋" w:eastAsia="仿宋_GB2312"/>
          <w:sz w:val="32"/>
          <w:szCs w:val="32"/>
        </w:rPr>
        <w:t>中共广元市朝天区委宣传部</w:t>
      </w:r>
      <w:r>
        <w:rPr>
          <w:rFonts w:hint="eastAsia" w:ascii="仿宋_GB2312" w:hAnsi="仿宋" w:eastAsia="仿宋_GB2312"/>
          <w:sz w:val="32"/>
          <w:szCs w:val="32"/>
          <w:lang w:eastAsia="zh-CN"/>
        </w:rPr>
        <w:t>属一级预算单位，</w:t>
      </w:r>
      <w:r>
        <w:rPr>
          <w:rFonts w:hint="eastAsia" w:ascii="仿宋_GB2312" w:hAnsi="仿宋" w:eastAsia="仿宋_GB2312"/>
          <w:sz w:val="32"/>
          <w:szCs w:val="32"/>
        </w:rPr>
        <w:t>下属二级预算单位</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个，其中行政单位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个，事业单位</w:t>
      </w:r>
      <w:r>
        <w:rPr>
          <w:rFonts w:hint="eastAsia" w:ascii="仿宋_GB2312" w:hAnsi="仿宋" w:eastAsia="仿宋_GB2312"/>
          <w:sz w:val="32"/>
          <w:szCs w:val="32"/>
          <w:lang w:val="en-US" w:eastAsia="zh-CN"/>
        </w:rPr>
        <w:t>2</w:t>
      </w:r>
      <w:r>
        <w:rPr>
          <w:rFonts w:hint="eastAsia" w:ascii="仿宋_GB2312" w:hAnsi="仿宋" w:eastAsia="仿宋_GB2312"/>
          <w:sz w:val="32"/>
          <w:szCs w:val="32"/>
        </w:rPr>
        <w:t>个。总编制</w:t>
      </w:r>
      <w:r>
        <w:rPr>
          <w:rFonts w:hint="eastAsia" w:ascii="仿宋_GB2312" w:hAnsi="仿宋" w:eastAsia="仿宋_GB2312"/>
          <w:sz w:val="32"/>
          <w:szCs w:val="32"/>
          <w:lang w:val="en-US" w:eastAsia="zh-CN"/>
        </w:rPr>
        <w:t>27</w:t>
      </w:r>
      <w:r>
        <w:rPr>
          <w:rFonts w:hint="eastAsia" w:ascii="仿宋_GB2312" w:hAnsi="仿宋" w:eastAsia="仿宋_GB2312"/>
          <w:sz w:val="32"/>
          <w:szCs w:val="32"/>
        </w:rPr>
        <w:t>名，其中行政编制</w:t>
      </w:r>
      <w:r>
        <w:rPr>
          <w:rFonts w:hint="eastAsia" w:ascii="仿宋_GB2312" w:hAnsi="仿宋" w:eastAsia="仿宋_GB2312"/>
          <w:sz w:val="32"/>
          <w:szCs w:val="32"/>
          <w:lang w:val="en-US" w:eastAsia="zh-CN"/>
        </w:rPr>
        <w:t>15</w:t>
      </w:r>
      <w:r>
        <w:rPr>
          <w:rFonts w:hint="eastAsia" w:ascii="仿宋_GB2312" w:hAnsi="仿宋" w:eastAsia="仿宋_GB2312"/>
          <w:sz w:val="32"/>
          <w:szCs w:val="32"/>
        </w:rPr>
        <w:t>名，参照公务员法管理的事业编制</w:t>
      </w:r>
      <w:r>
        <w:rPr>
          <w:rFonts w:hint="eastAsia" w:ascii="仿宋_GB2312" w:hAnsi="仿宋" w:eastAsia="仿宋_GB2312"/>
          <w:sz w:val="32"/>
          <w:szCs w:val="32"/>
          <w:lang w:val="en-US" w:eastAsia="zh-CN"/>
        </w:rPr>
        <w:t>0</w:t>
      </w:r>
      <w:r>
        <w:rPr>
          <w:rFonts w:hint="eastAsia" w:ascii="仿宋_GB2312" w:hAnsi="仿宋" w:eastAsia="仿宋_GB2312"/>
          <w:sz w:val="32"/>
          <w:szCs w:val="32"/>
        </w:rPr>
        <w:t>名，事业编制</w:t>
      </w:r>
      <w:r>
        <w:rPr>
          <w:rFonts w:hint="eastAsia" w:ascii="仿宋_GB2312" w:hAnsi="仿宋" w:eastAsia="仿宋_GB2312"/>
          <w:sz w:val="32"/>
          <w:szCs w:val="32"/>
          <w:lang w:val="en-US" w:eastAsia="zh-CN"/>
        </w:rPr>
        <w:t>10</w:t>
      </w:r>
      <w:r>
        <w:rPr>
          <w:rFonts w:hint="eastAsia" w:ascii="仿宋_GB2312" w:hAnsi="仿宋" w:eastAsia="仿宋_GB2312"/>
          <w:sz w:val="32"/>
          <w:szCs w:val="32"/>
        </w:rPr>
        <w:t>名，工勤编制</w:t>
      </w:r>
      <w:r>
        <w:rPr>
          <w:rFonts w:hint="eastAsia" w:ascii="仿宋_GB2312" w:hAnsi="仿宋" w:eastAsia="仿宋_GB2312"/>
          <w:sz w:val="32"/>
          <w:szCs w:val="32"/>
          <w:lang w:val="en-US" w:eastAsia="zh-CN"/>
        </w:rPr>
        <w:t>2</w:t>
      </w:r>
      <w:r>
        <w:rPr>
          <w:rFonts w:hint="eastAsia" w:ascii="仿宋_GB2312" w:hAnsi="仿宋" w:eastAsia="仿宋_GB2312"/>
          <w:sz w:val="32"/>
          <w:szCs w:val="32"/>
        </w:rPr>
        <w:t>名。</w:t>
      </w:r>
    </w:p>
    <w:p>
      <w:pPr>
        <w:spacing w:line="576" w:lineRule="exact"/>
        <w:ind w:firstLine="640" w:firstLineChars="200"/>
        <w:jc w:val="left"/>
        <w:outlineLvl w:val="2"/>
        <w:rPr>
          <w:rFonts w:hint="eastAsia" w:ascii="楷体_GB2312" w:hAnsi="Times New Roman" w:eastAsia="楷体_GB2312" w:cs="Times New Roman"/>
          <w:color w:val="000000"/>
          <w:kern w:val="0"/>
          <w:sz w:val="32"/>
          <w:szCs w:val="32"/>
          <w:shd w:val="clear" w:color="auto" w:fill="FFFFFF"/>
        </w:rPr>
      </w:pPr>
      <w:bookmarkStart w:id="89" w:name="_Toc2084"/>
      <w:r>
        <w:rPr>
          <w:rFonts w:hint="eastAsia" w:ascii="楷体_GB2312" w:hAnsi="Times New Roman" w:eastAsia="楷体_GB2312" w:cs="Times New Roman"/>
          <w:color w:val="000000"/>
          <w:kern w:val="0"/>
          <w:sz w:val="32"/>
          <w:szCs w:val="32"/>
          <w:shd w:val="clear" w:color="auto" w:fill="FFFFFF"/>
        </w:rPr>
        <w:t>（二）机构职能。</w:t>
      </w:r>
      <w:bookmarkEnd w:id="89"/>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szCs w:val="32"/>
        </w:rPr>
        <w:t>拟订全区宣传思想文化工作重大政策和事业产业发展总体规划。</w:t>
      </w:r>
      <w:r>
        <w:rPr>
          <w:rFonts w:hint="eastAsia" w:ascii="仿宋_GB2312" w:hAnsi="仿宋_GB2312" w:eastAsia="仿宋_GB2312" w:cs="仿宋_GB2312"/>
          <w:sz w:val="32"/>
          <w:szCs w:val="32"/>
        </w:rPr>
        <w:t>统</w:t>
      </w:r>
      <w:r>
        <w:rPr>
          <w:rFonts w:hint="eastAsia" w:ascii="仿宋_GB2312" w:hAnsi="仿宋_GB2312" w:eastAsia="仿宋_GB2312"/>
          <w:sz w:val="32"/>
          <w:szCs w:val="32"/>
        </w:rPr>
        <w:t>筹协调全区党的意识形态工作</w:t>
      </w:r>
      <w:r>
        <w:rPr>
          <w:rFonts w:hint="eastAsia" w:ascii="仿宋_GB2312" w:hAnsi="仿宋_GB2312" w:eastAsia="仿宋_GB2312" w:cs="仿宋_GB2312"/>
          <w:sz w:val="32"/>
          <w:szCs w:val="32"/>
        </w:rPr>
        <w:t>。统筹指导协调理论研究、理论学习、理论宣传工作。负责规划组织全局性思想政治工作，</w:t>
      </w:r>
      <w:r>
        <w:rPr>
          <w:rFonts w:hint="eastAsia" w:ascii="仿宋_GB2312" w:hAnsi="仿宋_GB2312" w:eastAsia="仿宋_GB2312"/>
          <w:sz w:val="32"/>
          <w:szCs w:val="32"/>
        </w:rPr>
        <w:t>配合区委组织部做好党员教育工作。</w:t>
      </w:r>
      <w:r>
        <w:rPr>
          <w:rFonts w:hint="eastAsia" w:ascii="仿宋_GB2312" w:hAnsi="仿宋_GB2312" w:eastAsia="仿宋_GB2312" w:cs="仿宋_GB2312"/>
          <w:sz w:val="32"/>
          <w:szCs w:val="32"/>
        </w:rPr>
        <w:t>统筹指导协调推动精神文化产品的创作和生产，</w:t>
      </w:r>
      <w:r>
        <w:rPr>
          <w:rFonts w:hint="eastAsia" w:ascii="仿宋_GB2312" w:hAnsi="仿宋_GB2312" w:eastAsia="仿宋_GB2312"/>
          <w:sz w:val="32"/>
          <w:szCs w:val="32"/>
        </w:rPr>
        <w:t>指导协调推动群众文化建设。</w:t>
      </w:r>
      <w:r>
        <w:rPr>
          <w:rFonts w:hint="eastAsia" w:ascii="仿宋_GB2312" w:hAnsi="仿宋_GB2312" w:eastAsia="仿宋_GB2312" w:cs="仿宋_GB2312"/>
          <w:sz w:val="32"/>
          <w:szCs w:val="32"/>
        </w:rPr>
        <w:t>统筹组织协调精神文明建设工作，协调推动精神文明创建、公民思想道德建设和志愿服务工作。统筹分析研判和引导社会舆论，指导协调区内新闻单位工作。统筹协调对外宣传工作。统筹指导推进文化体制改革和文化事业、文化产业及旅游业发展。负责管理新闻出版行政事务和所涉及的行政审批工作，监督管理出版物内容和质量，监督管理印刷业、管理著作权等。组织指导协调“扫黄打非”工作。负责中央、省、市和区外新闻媒体在朝天采访活动的监督管理。负责新闻记者证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spacing w:line="576"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在职人员总数25人，其中行政人员11人，参照公务员法管理的事业人员2人，事业人员10人，工勤人员2人。2022年调入3人，退休1人。</w:t>
      </w:r>
    </w:p>
    <w:p>
      <w:pPr>
        <w:spacing w:line="576" w:lineRule="exact"/>
        <w:ind w:firstLine="640" w:firstLineChars="200"/>
        <w:jc w:val="left"/>
        <w:outlineLvl w:val="2"/>
        <w:rPr>
          <w:rFonts w:hint="eastAsia" w:ascii="楷体_GB2312" w:hAnsi="Times New Roman" w:eastAsia="楷体_GB2312" w:cs="Times New Roman"/>
          <w:color w:val="000000"/>
          <w:kern w:val="0"/>
          <w:sz w:val="32"/>
          <w:szCs w:val="32"/>
          <w:shd w:val="clear" w:color="auto" w:fill="FFFFFF"/>
          <w:lang w:eastAsia="zh-CN"/>
        </w:rPr>
      </w:pPr>
      <w:bookmarkStart w:id="90" w:name="_Toc27348"/>
      <w:r>
        <w:rPr>
          <w:rFonts w:hint="eastAsia" w:ascii="楷体_GB2312" w:hAnsi="Times New Roman" w:eastAsia="楷体_GB2312" w:cs="Times New Roman"/>
          <w:color w:val="000000"/>
          <w:kern w:val="0"/>
          <w:sz w:val="32"/>
          <w:szCs w:val="32"/>
          <w:shd w:val="clear" w:color="auto" w:fill="FFFFFF"/>
        </w:rPr>
        <w:t>（</w:t>
      </w:r>
      <w:r>
        <w:rPr>
          <w:rFonts w:hint="eastAsia" w:ascii="楷体_GB2312" w:hAnsi="Times New Roman" w:eastAsia="楷体_GB2312" w:cs="Times New Roman"/>
          <w:color w:val="000000"/>
          <w:kern w:val="0"/>
          <w:sz w:val="32"/>
          <w:szCs w:val="32"/>
          <w:shd w:val="clear" w:color="auto" w:fill="FFFFFF"/>
          <w:lang w:eastAsia="zh-CN"/>
        </w:rPr>
        <w:t>三</w:t>
      </w:r>
      <w:r>
        <w:rPr>
          <w:rFonts w:hint="eastAsia" w:ascii="楷体_GB2312" w:hAnsi="Times New Roman" w:eastAsia="楷体_GB2312" w:cs="Times New Roman"/>
          <w:color w:val="000000"/>
          <w:kern w:val="0"/>
          <w:sz w:val="32"/>
          <w:szCs w:val="32"/>
          <w:shd w:val="clear" w:color="auto" w:fill="FFFFFF"/>
        </w:rPr>
        <w:t>）</w:t>
      </w:r>
      <w:r>
        <w:rPr>
          <w:rFonts w:hint="eastAsia" w:ascii="楷体_GB2312" w:hAnsi="Times New Roman" w:eastAsia="楷体_GB2312" w:cs="Times New Roman"/>
          <w:color w:val="000000"/>
          <w:kern w:val="0"/>
          <w:sz w:val="32"/>
          <w:szCs w:val="32"/>
          <w:shd w:val="clear" w:color="auto" w:fill="FFFFFF"/>
          <w:lang w:eastAsia="zh-CN"/>
        </w:rPr>
        <w:t>年度主要工作任务。</w:t>
      </w:r>
      <w:bookmarkEnd w:id="90"/>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围绕区委区政府2022年中心工作和重点工作，加强与18家媒体合作，落实好全年的对外宣传任务，不断提升朝天知名度和影响力。</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全面宣传、贯彻党的政策、方针，制作宣传标语不少于50幅，引导社会舆论，营造良好的社会氛围；根据区委工作安排，开展各类文化文艺活动、创作采风活动不少于5场次</w:t>
      </w:r>
      <w:r>
        <w:rPr>
          <w:rFonts w:hint="eastAsia" w:ascii="仿宋_GB2312" w:hAnsi="仿宋_GB2312" w:eastAsia="仿宋_GB2312" w:cs="仿宋_GB2312"/>
          <w:color w:val="auto"/>
          <w:sz w:val="32"/>
          <w:szCs w:val="32"/>
          <w:highlight w:val="none"/>
          <w:lang w:eastAsia="zh-CN"/>
        </w:rPr>
        <w:t>。</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完成党委（党组）理论学习中心组列席旁听12次，区委理论学习中心组开展集中学习研讨7次，推出高质量理论文章10余篇。</w:t>
      </w:r>
    </w:p>
    <w:p>
      <w:pPr>
        <w:pageBreakBefore w:val="0"/>
        <w:widowControl/>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与各大新闻媒体合作，持续为天府旅游名县创建宣传造势</w:t>
      </w:r>
      <w:r>
        <w:rPr>
          <w:rFonts w:hint="eastAsia" w:ascii="仿宋_GB2312" w:hAnsi="仿宋_GB2312" w:eastAsia="仿宋_GB2312" w:cs="仿宋_GB2312"/>
          <w:color w:val="auto"/>
          <w:sz w:val="32"/>
          <w:szCs w:val="32"/>
          <w:highlight w:val="none"/>
          <w:lang w:eastAsia="zh-CN"/>
        </w:rPr>
        <w:t>；保障全区15 所已建项目学校的正常运转；保障广大群众读书、观影、开展文化活动等基本文化权益。</w:t>
      </w:r>
    </w:p>
    <w:p>
      <w:pPr>
        <w:spacing w:line="576" w:lineRule="exact"/>
        <w:ind w:firstLine="640" w:firstLineChars="200"/>
        <w:jc w:val="left"/>
        <w:outlineLvl w:val="2"/>
        <w:rPr>
          <w:rFonts w:hint="eastAsia"/>
          <w:lang w:eastAsia="zh-CN"/>
        </w:rPr>
      </w:pPr>
      <w:bookmarkStart w:id="91" w:name="_Toc30327"/>
      <w:r>
        <w:rPr>
          <w:rFonts w:hint="eastAsia" w:ascii="楷体_GB2312" w:hAnsi="Times New Roman" w:eastAsia="楷体_GB2312" w:cs="Times New Roman"/>
          <w:color w:val="000000"/>
          <w:kern w:val="0"/>
          <w:sz w:val="32"/>
          <w:szCs w:val="32"/>
          <w:shd w:val="clear" w:color="auto" w:fill="FFFFFF"/>
        </w:rPr>
        <w:t>（</w:t>
      </w:r>
      <w:r>
        <w:rPr>
          <w:rFonts w:hint="eastAsia" w:ascii="楷体_GB2312" w:hAnsi="Times New Roman" w:eastAsia="楷体_GB2312" w:cs="Times New Roman"/>
          <w:color w:val="000000"/>
          <w:kern w:val="0"/>
          <w:sz w:val="32"/>
          <w:szCs w:val="32"/>
          <w:shd w:val="clear" w:color="auto" w:fill="FFFFFF"/>
          <w:lang w:eastAsia="zh-CN"/>
        </w:rPr>
        <w:t>四</w:t>
      </w:r>
      <w:r>
        <w:rPr>
          <w:rFonts w:hint="eastAsia" w:ascii="楷体_GB2312" w:hAnsi="Times New Roman" w:eastAsia="楷体_GB2312" w:cs="Times New Roman"/>
          <w:color w:val="000000"/>
          <w:kern w:val="0"/>
          <w:sz w:val="32"/>
          <w:szCs w:val="32"/>
          <w:shd w:val="clear" w:color="auto" w:fill="FFFFFF"/>
        </w:rPr>
        <w:t>）</w:t>
      </w:r>
      <w:r>
        <w:rPr>
          <w:rFonts w:hint="eastAsia" w:ascii="楷体_GB2312" w:hAnsi="Times New Roman" w:eastAsia="楷体_GB2312" w:cs="Times New Roman"/>
          <w:color w:val="000000"/>
          <w:kern w:val="0"/>
          <w:sz w:val="32"/>
          <w:szCs w:val="32"/>
          <w:shd w:val="clear" w:color="auto" w:fill="FFFFFF"/>
          <w:lang w:eastAsia="zh-CN"/>
        </w:rPr>
        <w:t>部门整体支出绩效目标</w:t>
      </w:r>
      <w:r>
        <w:rPr>
          <w:rFonts w:hint="eastAsia" w:ascii="楷体_GB2312" w:hAnsi="Times New Roman" w:eastAsia="楷体_GB2312" w:cs="Times New Roman"/>
          <w:color w:val="000000"/>
          <w:kern w:val="0"/>
          <w:sz w:val="32"/>
          <w:szCs w:val="32"/>
          <w:shd w:val="clear" w:color="auto" w:fill="FFFFFF"/>
        </w:rPr>
        <w:t>。</w:t>
      </w:r>
      <w:bookmarkEnd w:id="91"/>
    </w:p>
    <w:p>
      <w:pPr>
        <w:ind w:firstLine="640" w:firstLineChars="200"/>
        <w:rPr>
          <w:rFonts w:hint="eastAsia" w:ascii="黑体" w:hAnsi="黑体" w:eastAsia="黑体" w:cs="Times New Roman"/>
          <w:color w:val="000000"/>
          <w:kern w:val="0"/>
          <w:sz w:val="32"/>
          <w:szCs w:val="32"/>
          <w:shd w:val="clear" w:color="auto" w:fill="FFFFFF"/>
        </w:rPr>
      </w:pPr>
      <w:r>
        <w:rPr>
          <w:rFonts w:hint="eastAsia" w:ascii="仿宋" w:hAnsi="仿宋" w:eastAsia="仿宋" w:cs="仿宋"/>
          <w:sz w:val="32"/>
          <w:szCs w:val="32"/>
          <w:lang w:eastAsia="zh-CN"/>
        </w:rPr>
        <w:t>区委宣传部</w:t>
      </w: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初预算编制紧密结合本单位实际，牢固树立过“紧日子“的思想，严格执行相关规定，认真贯彻落实党政机关厉行节约长效机制，严格控制各项开支，区委宣传部整体效益完成较好，各项工作有序推进，按时完成。合理分配预算资金，较好的完成了各项工作任务。截止</w:t>
      </w:r>
      <w:r>
        <w:rPr>
          <w:rFonts w:hint="eastAsia" w:ascii="仿宋" w:hAnsi="仿宋" w:eastAsia="仿宋" w:cs="仿宋"/>
          <w:sz w:val="32"/>
          <w:szCs w:val="32"/>
          <w:lang w:val="en-US" w:eastAsia="zh-CN"/>
        </w:rPr>
        <w:t>2022年12月底，基本支出379.65万元，主要用于保障单位全体干部职工工资福利及商品和服务支出；新闻宣传、社会宣传、理论宣传、融媒体中心建设等项目支出890.95万元。全年累计支出1270.6万元。</w:t>
      </w:r>
    </w:p>
    <w:p>
      <w:pPr>
        <w:widowControl/>
        <w:autoSpaceDE w:val="0"/>
        <w:adjustRightInd w:val="0"/>
        <w:snapToGrid w:val="0"/>
        <w:spacing w:line="500"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rPr>
      </w:pPr>
      <w:bookmarkStart w:id="92" w:name="_Toc23528"/>
      <w:r>
        <w:rPr>
          <w:rFonts w:hint="eastAsia" w:ascii="黑体" w:hAnsi="黑体" w:eastAsia="黑体" w:cs="Times New Roman"/>
          <w:color w:val="000000"/>
          <w:kern w:val="0"/>
          <w:sz w:val="32"/>
          <w:szCs w:val="32"/>
          <w:shd w:val="clear" w:color="auto" w:fill="FFFFFF"/>
        </w:rPr>
        <w:t>二、部门资金收支情况</w:t>
      </w:r>
      <w:bookmarkEnd w:id="92"/>
    </w:p>
    <w:p>
      <w:pPr>
        <w:widowControl/>
        <w:autoSpaceDE w:val="0"/>
        <w:adjustRightInd w:val="0"/>
        <w:snapToGrid w:val="0"/>
        <w:spacing w:line="500" w:lineRule="exact"/>
        <w:ind w:firstLine="640" w:firstLineChars="200"/>
        <w:contextualSpacing/>
        <w:jc w:val="left"/>
        <w:outlineLvl w:val="2"/>
        <w:rPr>
          <w:rFonts w:hint="eastAsia" w:ascii="楷体_GB2312" w:hAnsi="Times New Roman" w:eastAsia="楷体_GB2312" w:cs="Times New Roman"/>
          <w:color w:val="000000"/>
          <w:kern w:val="0"/>
          <w:sz w:val="32"/>
          <w:szCs w:val="32"/>
          <w:shd w:val="clear" w:color="auto" w:fill="FFFFFF"/>
        </w:rPr>
      </w:pPr>
      <w:bookmarkStart w:id="93" w:name="_Toc26681"/>
      <w:r>
        <w:rPr>
          <w:rFonts w:hint="eastAsia" w:ascii="楷体_GB2312" w:hAnsi="Times New Roman" w:eastAsia="楷体_GB2312" w:cs="Times New Roman"/>
          <w:color w:val="000000"/>
          <w:kern w:val="0"/>
          <w:sz w:val="32"/>
          <w:szCs w:val="32"/>
          <w:shd w:val="clear" w:color="auto" w:fill="FFFFFF"/>
        </w:rPr>
        <w:t>（一）部门</w:t>
      </w:r>
      <w:r>
        <w:rPr>
          <w:rFonts w:hint="eastAsia" w:ascii="楷体_GB2312" w:hAnsi="Times New Roman" w:eastAsia="楷体_GB2312" w:cs="Times New Roman"/>
          <w:color w:val="000000"/>
          <w:kern w:val="0"/>
          <w:sz w:val="32"/>
          <w:szCs w:val="32"/>
          <w:shd w:val="clear" w:color="auto" w:fill="FFFFFF"/>
          <w:lang w:eastAsia="zh-CN"/>
        </w:rPr>
        <w:t>财政拨款</w:t>
      </w:r>
      <w:r>
        <w:rPr>
          <w:rFonts w:hint="eastAsia" w:ascii="楷体_GB2312" w:hAnsi="Times New Roman" w:eastAsia="楷体_GB2312" w:cs="Times New Roman"/>
          <w:color w:val="000000"/>
          <w:kern w:val="0"/>
          <w:sz w:val="32"/>
          <w:szCs w:val="32"/>
          <w:shd w:val="clear" w:color="auto" w:fill="FFFFFF"/>
        </w:rPr>
        <w:t>收入情况。</w:t>
      </w:r>
      <w:bookmarkEnd w:id="93"/>
    </w:p>
    <w:p>
      <w:pPr>
        <w:ind w:firstLine="640" w:firstLineChars="200"/>
        <w:rPr>
          <w:rFonts w:hint="eastAsia" w:ascii="楷体_GB2312" w:hAnsi="Times New Roman" w:eastAsia="楷体_GB2312" w:cs="Times New Roman"/>
          <w:color w:val="auto"/>
          <w:kern w:val="0"/>
          <w:sz w:val="32"/>
          <w:szCs w:val="32"/>
          <w:shd w:val="clear" w:color="auto" w:fill="FFFFFF"/>
        </w:rPr>
      </w:pPr>
      <w:r>
        <w:rPr>
          <w:rFonts w:hint="eastAsia" w:ascii="仿宋" w:hAnsi="仿宋" w:eastAsia="仿宋" w:cs="仿宋"/>
          <w:color w:val="auto"/>
          <w:sz w:val="32"/>
          <w:szCs w:val="32"/>
          <w:lang w:eastAsia="zh-CN"/>
        </w:rPr>
        <w:t>区委宣传部2022年</w:t>
      </w:r>
      <w:r>
        <w:rPr>
          <w:rFonts w:hint="eastAsia" w:ascii="仿宋" w:hAnsi="仿宋" w:eastAsia="仿宋" w:cs="仿宋"/>
          <w:color w:val="auto"/>
          <w:sz w:val="32"/>
          <w:szCs w:val="32"/>
        </w:rPr>
        <w:t>部门预算收入总数</w:t>
      </w:r>
      <w:r>
        <w:rPr>
          <w:rFonts w:hint="eastAsia" w:ascii="仿宋_GB2312" w:hAnsi="仿宋_GB2312" w:eastAsia="仿宋_GB2312" w:cs="仿宋_GB2312"/>
          <w:color w:val="auto"/>
          <w:sz w:val="32"/>
          <w:szCs w:val="32"/>
          <w:lang w:val="en-US" w:eastAsia="zh-CN"/>
        </w:rPr>
        <w:t>1270.61</w:t>
      </w:r>
      <w:r>
        <w:rPr>
          <w:rFonts w:hint="eastAsia" w:ascii="仿宋" w:hAnsi="仿宋" w:eastAsia="仿宋" w:cs="仿宋"/>
          <w:color w:val="auto"/>
          <w:sz w:val="32"/>
          <w:szCs w:val="32"/>
        </w:rPr>
        <w:t>万元，较</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部门预算收入总数</w:t>
      </w:r>
      <w:r>
        <w:rPr>
          <w:rFonts w:hint="eastAsia" w:ascii="仿宋" w:hAnsi="仿宋" w:eastAsia="仿宋" w:cs="仿宋"/>
          <w:color w:val="auto"/>
          <w:sz w:val="32"/>
          <w:szCs w:val="32"/>
          <w:lang w:val="en-US" w:eastAsia="zh-CN"/>
        </w:rPr>
        <w:t>846.78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423.83万元，同比增长50</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eastAsia="zh-CN"/>
        </w:rPr>
        <w:t>项目预算增加，项目预算支出增长</w:t>
      </w:r>
      <w:r>
        <w:rPr>
          <w:rFonts w:hint="eastAsia" w:ascii="仿宋" w:hAnsi="仿宋" w:eastAsia="仿宋" w:cs="仿宋"/>
          <w:color w:val="auto"/>
          <w:sz w:val="32"/>
          <w:szCs w:val="32"/>
        </w:rPr>
        <w:t>。</w:t>
      </w:r>
    </w:p>
    <w:p>
      <w:pPr>
        <w:widowControl/>
        <w:numPr>
          <w:ilvl w:val="0"/>
          <w:numId w:val="4"/>
        </w:numPr>
        <w:autoSpaceDE w:val="0"/>
        <w:adjustRightInd w:val="0"/>
        <w:snapToGrid w:val="0"/>
        <w:spacing w:line="500" w:lineRule="exact"/>
        <w:ind w:firstLine="640" w:firstLineChars="200"/>
        <w:contextualSpacing/>
        <w:jc w:val="left"/>
        <w:outlineLvl w:val="2"/>
        <w:rPr>
          <w:rFonts w:hint="eastAsia" w:ascii="楷体_GB2312" w:hAnsi="Times New Roman" w:eastAsia="楷体_GB2312" w:cs="Times New Roman"/>
          <w:color w:val="auto"/>
          <w:kern w:val="0"/>
          <w:sz w:val="32"/>
          <w:szCs w:val="32"/>
          <w:shd w:val="clear" w:color="auto" w:fill="FFFFFF"/>
        </w:rPr>
      </w:pPr>
      <w:bookmarkStart w:id="94" w:name="_Toc19531"/>
      <w:r>
        <w:rPr>
          <w:rFonts w:hint="eastAsia" w:ascii="楷体_GB2312" w:hAnsi="Times New Roman" w:eastAsia="楷体_GB2312" w:cs="Times New Roman"/>
          <w:color w:val="auto"/>
          <w:kern w:val="0"/>
          <w:sz w:val="32"/>
          <w:szCs w:val="32"/>
          <w:shd w:val="clear" w:color="auto" w:fill="FFFFFF"/>
        </w:rPr>
        <w:t>部门</w:t>
      </w:r>
      <w:r>
        <w:rPr>
          <w:rFonts w:hint="eastAsia" w:ascii="楷体_GB2312" w:hAnsi="Times New Roman" w:eastAsia="楷体_GB2312" w:cs="Times New Roman"/>
          <w:color w:val="auto"/>
          <w:kern w:val="0"/>
          <w:sz w:val="32"/>
          <w:szCs w:val="32"/>
          <w:shd w:val="clear" w:color="auto" w:fill="FFFFFF"/>
          <w:lang w:eastAsia="zh-CN"/>
        </w:rPr>
        <w:t>财政拨款</w:t>
      </w:r>
      <w:r>
        <w:rPr>
          <w:rFonts w:hint="eastAsia" w:ascii="楷体_GB2312" w:hAnsi="Times New Roman" w:eastAsia="楷体_GB2312" w:cs="Times New Roman"/>
          <w:color w:val="auto"/>
          <w:kern w:val="0"/>
          <w:sz w:val="32"/>
          <w:szCs w:val="32"/>
          <w:shd w:val="clear" w:color="auto" w:fill="FFFFFF"/>
        </w:rPr>
        <w:t>支出情况。</w:t>
      </w:r>
      <w:bookmarkEnd w:id="94"/>
    </w:p>
    <w:p>
      <w:pPr>
        <w:ind w:firstLine="640" w:firstLineChars="200"/>
        <w:rPr>
          <w:rFonts w:ascii="仿宋" w:hAnsi="仿宋" w:eastAsia="仿宋" w:cs="仿宋"/>
          <w:sz w:val="32"/>
          <w:szCs w:val="32"/>
        </w:rPr>
      </w:pP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部门预算支出总数</w:t>
      </w:r>
      <w:r>
        <w:rPr>
          <w:rFonts w:hint="eastAsia" w:ascii="仿宋_GB2312" w:hAnsi="仿宋_GB2312" w:eastAsia="仿宋_GB2312" w:cs="仿宋_GB2312"/>
          <w:color w:val="auto"/>
          <w:sz w:val="32"/>
          <w:szCs w:val="32"/>
          <w:lang w:val="en-US" w:eastAsia="zh-CN"/>
        </w:rPr>
        <w:t>1270.61</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846.78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50</w:t>
      </w:r>
      <w:r>
        <w:rPr>
          <w:rFonts w:hint="eastAsia" w:ascii="仿宋" w:hAnsi="仿宋" w:eastAsia="仿宋" w:cs="仿宋"/>
          <w:sz w:val="32"/>
          <w:szCs w:val="32"/>
        </w:rPr>
        <w:t>％。主要原因是</w:t>
      </w:r>
      <w:r>
        <w:rPr>
          <w:rFonts w:hint="eastAsia" w:ascii="仿宋" w:hAnsi="仿宋" w:eastAsia="仿宋" w:cs="仿宋"/>
          <w:sz w:val="32"/>
          <w:szCs w:val="32"/>
          <w:lang w:eastAsia="zh-CN"/>
        </w:rPr>
        <w:t>项目支出增加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人员类项目</w:t>
      </w:r>
      <w:r>
        <w:rPr>
          <w:rFonts w:hint="eastAsia" w:ascii="仿宋" w:hAnsi="仿宋" w:eastAsia="仿宋" w:cs="仿宋"/>
          <w:sz w:val="32"/>
          <w:szCs w:val="32"/>
        </w:rPr>
        <w:t>支出</w:t>
      </w:r>
      <w:r>
        <w:rPr>
          <w:rFonts w:hint="eastAsia" w:ascii="仿宋_GB2312" w:hAnsi="仿宋" w:eastAsia="仿宋_GB2312"/>
          <w:sz w:val="32"/>
          <w:szCs w:val="32"/>
          <w:lang w:val="en-US" w:eastAsia="zh-CN"/>
        </w:rPr>
        <w:t>339.07</w:t>
      </w:r>
      <w:r>
        <w:rPr>
          <w:rFonts w:hint="eastAsia" w:ascii="仿宋" w:hAnsi="仿宋" w:eastAsia="仿宋" w:cs="仿宋"/>
          <w:sz w:val="32"/>
          <w:szCs w:val="32"/>
        </w:rPr>
        <w:t>万元，主要包括</w:t>
      </w:r>
      <w:r>
        <w:rPr>
          <w:rFonts w:hint="eastAsia" w:ascii="仿宋_GB2312" w:hAnsi="仿宋_GB2312" w:eastAsia="仿宋_GB2312" w:cs="仿宋_GB2312"/>
          <w:sz w:val="32"/>
          <w:szCs w:val="32"/>
          <w:lang w:eastAsia="zh-CN"/>
        </w:rPr>
        <w:t>工资、保险、公积金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工资福利支出等</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运转类项目</w:t>
      </w:r>
      <w:r>
        <w:rPr>
          <w:rFonts w:hint="eastAsia" w:ascii="仿宋" w:hAnsi="仿宋" w:eastAsia="仿宋" w:cs="仿宋"/>
          <w:sz w:val="32"/>
          <w:szCs w:val="32"/>
        </w:rPr>
        <w:t>支出</w:t>
      </w:r>
      <w:r>
        <w:rPr>
          <w:rFonts w:hint="eastAsia" w:ascii="仿宋" w:hAnsi="仿宋" w:eastAsia="仿宋" w:cs="仿宋"/>
          <w:sz w:val="32"/>
          <w:szCs w:val="32"/>
          <w:lang w:eastAsia="zh-CN"/>
        </w:rPr>
        <w:t>预算</w:t>
      </w:r>
      <w:r>
        <w:rPr>
          <w:rFonts w:hint="eastAsia" w:ascii="仿宋_GB2312" w:hAnsi="仿宋" w:eastAsia="仿宋_GB2312"/>
          <w:sz w:val="32"/>
          <w:szCs w:val="32"/>
          <w:lang w:val="en-US" w:eastAsia="zh-CN"/>
        </w:rPr>
        <w:t>40.58</w:t>
      </w:r>
      <w:r>
        <w:rPr>
          <w:rFonts w:hint="eastAsia" w:ascii="仿宋" w:hAnsi="仿宋" w:eastAsia="仿宋" w:cs="仿宋"/>
          <w:sz w:val="32"/>
          <w:szCs w:val="32"/>
        </w:rPr>
        <w:t>万元，主要包括</w:t>
      </w:r>
      <w:r>
        <w:rPr>
          <w:rFonts w:hint="eastAsia" w:ascii="仿宋_GB2312" w:hAnsi="仿宋_GB2312" w:eastAsia="仿宋_GB2312" w:cs="仿宋_GB2312"/>
          <w:sz w:val="32"/>
          <w:szCs w:val="32"/>
          <w:lang w:eastAsia="zh-CN"/>
        </w:rPr>
        <w:t>办公费、差旅费、培训费、维护费、水费、电费、物业管理费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商品和服务支出</w:t>
      </w:r>
      <w:r>
        <w:rPr>
          <w:rFonts w:hint="eastAsia" w:ascii="仿宋" w:hAnsi="仿宋" w:eastAsia="仿宋" w:cs="仿宋"/>
          <w:sz w:val="32"/>
          <w:szCs w:val="32"/>
        </w:rPr>
        <w:t xml:space="preserve">等。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专项预算</w:t>
      </w:r>
      <w:r>
        <w:rPr>
          <w:rFonts w:hint="eastAsia" w:ascii="仿宋" w:hAnsi="仿宋" w:eastAsia="仿宋" w:cs="仿宋"/>
          <w:sz w:val="32"/>
          <w:szCs w:val="32"/>
        </w:rPr>
        <w:t>项目</w:t>
      </w:r>
      <w:r>
        <w:rPr>
          <w:rFonts w:hint="eastAsia" w:ascii="仿宋" w:hAnsi="仿宋" w:eastAsia="仿宋" w:cs="仿宋"/>
          <w:sz w:val="32"/>
          <w:szCs w:val="32"/>
          <w:lang w:eastAsia="zh-CN"/>
        </w:rPr>
        <w:t>支出</w:t>
      </w:r>
      <w:r>
        <w:rPr>
          <w:rFonts w:hint="eastAsia" w:ascii="仿宋" w:hAnsi="仿宋" w:eastAsia="仿宋" w:cs="仿宋"/>
          <w:sz w:val="32"/>
          <w:szCs w:val="32"/>
        </w:rPr>
        <w:t>预算</w:t>
      </w:r>
      <w:r>
        <w:rPr>
          <w:rFonts w:hint="eastAsia" w:ascii="仿宋_GB2312" w:hAnsi="仿宋" w:eastAsia="仿宋_GB2312"/>
          <w:sz w:val="32"/>
          <w:szCs w:val="32"/>
          <w:lang w:val="en-US" w:eastAsia="zh-CN"/>
        </w:rPr>
        <w:t>890.95</w:t>
      </w:r>
      <w:r>
        <w:rPr>
          <w:rFonts w:hint="eastAsia" w:ascii="仿宋" w:hAnsi="仿宋" w:eastAsia="仿宋" w:cs="仿宋"/>
          <w:sz w:val="32"/>
          <w:szCs w:val="32"/>
        </w:rPr>
        <w:t>万元</w:t>
      </w:r>
      <w:r>
        <w:rPr>
          <w:rFonts w:hint="eastAsia" w:ascii="仿宋" w:hAnsi="仿宋" w:eastAsia="仿宋" w:cs="仿宋"/>
          <w:sz w:val="32"/>
          <w:szCs w:val="32"/>
          <w:lang w:eastAsia="zh-CN"/>
        </w:rPr>
        <w:t>，主要包括</w:t>
      </w:r>
      <w:r>
        <w:rPr>
          <w:rFonts w:hint="eastAsia" w:ascii="仿宋_GB2312" w:hAnsi="仿宋" w:eastAsia="仿宋_GB2312"/>
          <w:sz w:val="32"/>
          <w:szCs w:val="32"/>
          <w:lang w:val="en-US" w:eastAsia="zh-CN"/>
        </w:rPr>
        <w:t>新闻宣传、社会宣传、理论宣传、融媒体中心建设、融媒体房屋租赁、天府旅游名县创建经费、彩票公益金项目及中省支持地方公共文化服务体系建设资金项目</w:t>
      </w:r>
      <w:r>
        <w:rPr>
          <w:rFonts w:hint="eastAsia" w:ascii="仿宋" w:hAnsi="仿宋" w:eastAsia="仿宋" w:cs="仿宋"/>
          <w:sz w:val="32"/>
          <w:szCs w:val="32"/>
          <w:lang w:eastAsia="zh-CN"/>
        </w:rPr>
        <w:t>经费等</w:t>
      </w:r>
      <w:r>
        <w:rPr>
          <w:rFonts w:hint="eastAsia" w:ascii="仿宋" w:hAnsi="仿宋" w:eastAsia="仿宋" w:cs="仿宋"/>
          <w:sz w:val="32"/>
          <w:szCs w:val="32"/>
        </w:rPr>
        <w:t>。</w:t>
      </w:r>
    </w:p>
    <w:p>
      <w:pPr>
        <w:ind w:firstLine="640" w:firstLineChars="200"/>
        <w:outlineLvl w:val="2"/>
        <w:rPr>
          <w:rFonts w:hint="eastAsia" w:ascii="黑体" w:hAnsi="黑体" w:eastAsia="仿宋" w:cs="Times New Roman"/>
          <w:color w:val="000000"/>
          <w:kern w:val="0"/>
          <w:sz w:val="32"/>
          <w:szCs w:val="32"/>
          <w:shd w:val="clear" w:color="auto" w:fill="FFFFFF"/>
          <w:lang w:eastAsia="zh-CN"/>
        </w:rPr>
      </w:pPr>
      <w:bookmarkStart w:id="95" w:name="_Toc2096"/>
      <w:r>
        <w:rPr>
          <w:rFonts w:hint="eastAsia" w:ascii="仿宋" w:hAnsi="仿宋" w:eastAsia="仿宋" w:cs="仿宋"/>
          <w:sz w:val="32"/>
          <w:szCs w:val="32"/>
          <w:lang w:eastAsia="zh-CN"/>
        </w:rPr>
        <w:t>（三）</w:t>
      </w:r>
      <w:r>
        <w:rPr>
          <w:rFonts w:hint="eastAsia" w:ascii="仿宋" w:hAnsi="仿宋" w:eastAsia="仿宋" w:cs="仿宋"/>
          <w:sz w:val="32"/>
          <w:szCs w:val="32"/>
        </w:rPr>
        <w:t xml:space="preserve"> </w:t>
      </w:r>
      <w:r>
        <w:rPr>
          <w:rFonts w:hint="eastAsia" w:ascii="仿宋" w:hAnsi="仿宋" w:eastAsia="仿宋" w:cs="仿宋"/>
          <w:sz w:val="32"/>
          <w:szCs w:val="32"/>
          <w:lang w:eastAsia="zh-CN"/>
        </w:rPr>
        <w:t>部门无财政拨款结转结余。</w:t>
      </w:r>
      <w:bookmarkEnd w:id="95"/>
    </w:p>
    <w:p>
      <w:pPr>
        <w:numPr>
          <w:ilvl w:val="0"/>
          <w:numId w:val="5"/>
        </w:numPr>
        <w:ind w:firstLine="640" w:firstLineChars="200"/>
        <w:outlineLvl w:val="1"/>
        <w:rPr>
          <w:rFonts w:hint="eastAsia" w:ascii="黑体" w:hAnsi="黑体" w:eastAsia="黑体" w:cs="Times New Roman"/>
          <w:color w:val="000000"/>
          <w:kern w:val="0"/>
          <w:sz w:val="32"/>
          <w:szCs w:val="32"/>
          <w:shd w:val="clear" w:color="auto" w:fill="FFFFFF"/>
        </w:rPr>
      </w:pPr>
      <w:bookmarkStart w:id="96" w:name="_Toc21154"/>
      <w:r>
        <w:rPr>
          <w:rFonts w:hint="eastAsia" w:ascii="黑体" w:hAnsi="黑体" w:eastAsia="黑体" w:cs="Times New Roman"/>
          <w:color w:val="000000"/>
          <w:kern w:val="0"/>
          <w:sz w:val="32"/>
          <w:szCs w:val="32"/>
          <w:shd w:val="clear" w:color="auto" w:fill="FFFFFF"/>
        </w:rPr>
        <w:t>部门整体绩效</w:t>
      </w:r>
      <w:r>
        <w:rPr>
          <w:rFonts w:hint="eastAsia" w:ascii="黑体" w:hAnsi="黑体" w:eastAsia="黑体" w:cs="Times New Roman"/>
          <w:color w:val="000000"/>
          <w:kern w:val="0"/>
          <w:sz w:val="32"/>
          <w:szCs w:val="32"/>
          <w:shd w:val="clear" w:color="auto" w:fill="FFFFFF"/>
          <w:lang w:eastAsia="zh-CN"/>
        </w:rPr>
        <w:t>分析</w:t>
      </w:r>
      <w:bookmarkEnd w:id="96"/>
    </w:p>
    <w:p>
      <w:pPr>
        <w:numPr>
          <w:ilvl w:val="0"/>
          <w:numId w:val="0"/>
        </w:numPr>
        <w:ind w:firstLine="640" w:firstLineChars="200"/>
        <w:outlineLvl w:val="2"/>
        <w:rPr>
          <w:rFonts w:hint="eastAsia" w:ascii="楷体_GB2312" w:hAnsi="Times New Roman" w:eastAsia="楷体_GB2312" w:cs="Times New Roman"/>
          <w:color w:val="auto"/>
          <w:kern w:val="0"/>
          <w:sz w:val="32"/>
          <w:szCs w:val="32"/>
          <w:shd w:val="clear" w:color="auto" w:fill="FFFFFF"/>
        </w:rPr>
      </w:pPr>
      <w:bookmarkStart w:id="97" w:name="_Toc5532"/>
      <w:r>
        <w:rPr>
          <w:rFonts w:hint="eastAsia" w:ascii="楷体_GB2312" w:hAnsi="Times New Roman" w:eastAsia="楷体_GB2312" w:cs="Times New Roman"/>
          <w:color w:val="auto"/>
          <w:kern w:val="0"/>
          <w:sz w:val="32"/>
          <w:szCs w:val="32"/>
          <w:shd w:val="clear" w:color="auto" w:fill="FFFFFF"/>
          <w:lang w:eastAsia="zh-CN"/>
        </w:rPr>
        <w:t>（一）</w:t>
      </w:r>
      <w:r>
        <w:rPr>
          <w:rFonts w:hint="eastAsia" w:ascii="楷体_GB2312" w:hAnsi="Times New Roman" w:eastAsia="楷体_GB2312" w:cs="Times New Roman"/>
          <w:color w:val="auto"/>
          <w:kern w:val="0"/>
          <w:sz w:val="32"/>
          <w:szCs w:val="32"/>
          <w:shd w:val="clear" w:color="auto" w:fill="FFFFFF"/>
        </w:rPr>
        <w:t>部门预算项目绩效</w:t>
      </w:r>
      <w:r>
        <w:rPr>
          <w:rFonts w:hint="eastAsia" w:ascii="楷体_GB2312" w:hAnsi="Times New Roman" w:eastAsia="楷体_GB2312" w:cs="Times New Roman"/>
          <w:color w:val="auto"/>
          <w:kern w:val="0"/>
          <w:sz w:val="32"/>
          <w:szCs w:val="32"/>
          <w:shd w:val="clear" w:color="auto" w:fill="FFFFFF"/>
          <w:lang w:eastAsia="zh-CN"/>
        </w:rPr>
        <w:t>分析</w:t>
      </w:r>
      <w:r>
        <w:rPr>
          <w:rFonts w:hint="eastAsia" w:ascii="楷体_GB2312" w:hAnsi="Times New Roman" w:eastAsia="楷体_GB2312" w:cs="Times New Roman"/>
          <w:color w:val="auto"/>
          <w:kern w:val="0"/>
          <w:sz w:val="32"/>
          <w:szCs w:val="32"/>
          <w:shd w:val="clear" w:color="auto" w:fill="FFFFFF"/>
        </w:rPr>
        <w:t>。</w:t>
      </w:r>
      <w:bookmarkEnd w:id="97"/>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1.人员类项目绩效分析</w:t>
      </w:r>
    </w:p>
    <w:p>
      <w:pPr>
        <w:pStyle w:val="2"/>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严格执行相关政策、保障工资及时、足额发放和社保及时、足额缴纳，预算编制科学合理，减少结余资金。</w:t>
      </w:r>
    </w:p>
    <w:p>
      <w:pPr>
        <w:pStyle w:val="2"/>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2.运转类项目绩效分析</w:t>
      </w:r>
    </w:p>
    <w:p>
      <w:pPr>
        <w:pStyle w:val="2"/>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提高预算编制质量、严格执行预算，保障单位日常运转。</w:t>
      </w:r>
    </w:p>
    <w:p>
      <w:pPr>
        <w:pStyle w:val="2"/>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3.特定目标类类项目绩效分析</w:t>
      </w:r>
    </w:p>
    <w:p>
      <w:pPr>
        <w:pStyle w:val="2"/>
        <w:ind w:left="0" w:leftChars="0" w:firstLine="640" w:firstLineChars="200"/>
        <w:rPr>
          <w:rFonts w:hint="default"/>
          <w:color w:val="auto"/>
          <w:lang w:val="en-US" w:eastAsia="zh-CN"/>
        </w:rPr>
      </w:pPr>
      <w:r>
        <w:rPr>
          <w:rFonts w:hint="eastAsia" w:ascii="仿宋" w:hAnsi="仿宋" w:eastAsia="仿宋" w:cs="仿宋"/>
          <w:color w:val="auto"/>
          <w:sz w:val="32"/>
          <w:szCs w:val="32"/>
          <w:lang w:val="en-US" w:eastAsia="zh-CN"/>
        </w:rPr>
        <w:t>特定目标类项目主要涉及2022年度新闻宣传、社会宣传、理论宣传、天府旅游名县创建经费及融媒体建设资金及租赁费用等，绩效目标设定合理，项目管理规范，资金使用合规，2022年高质量完成省委、市委宣传部和区委下达的各项目标任务。</w:t>
      </w:r>
    </w:p>
    <w:p>
      <w:pPr>
        <w:numPr>
          <w:ilvl w:val="0"/>
          <w:numId w:val="0"/>
        </w:numPr>
        <w:ind w:firstLine="640" w:firstLineChars="200"/>
        <w:outlineLvl w:val="2"/>
        <w:rPr>
          <w:rFonts w:hint="eastAsia" w:ascii="楷体_GB2312" w:hAnsi="Times New Roman" w:eastAsia="楷体_GB2312" w:cs="Times New Roman"/>
          <w:color w:val="auto"/>
          <w:kern w:val="0"/>
          <w:sz w:val="32"/>
          <w:szCs w:val="32"/>
          <w:shd w:val="clear" w:color="auto" w:fill="FFFFFF"/>
          <w:lang w:val="en-US" w:eastAsia="zh-CN"/>
        </w:rPr>
      </w:pPr>
      <w:bookmarkStart w:id="98" w:name="_Toc20393"/>
      <w:r>
        <w:rPr>
          <w:rFonts w:hint="eastAsia" w:ascii="楷体_GB2312" w:hAnsi="Times New Roman" w:eastAsia="楷体_GB2312" w:cs="Times New Roman"/>
          <w:color w:val="auto"/>
          <w:kern w:val="0"/>
          <w:sz w:val="32"/>
          <w:szCs w:val="32"/>
          <w:shd w:val="clear" w:color="auto" w:fill="FFFFFF"/>
          <w:lang w:val="en-US" w:eastAsia="zh-CN"/>
        </w:rPr>
        <w:t>（二）部门整体履职情况分析</w:t>
      </w:r>
      <w:r>
        <w:rPr>
          <w:rFonts w:hint="eastAsia" w:ascii="楷体_GB2312" w:eastAsia="楷体_GB2312" w:cs="Times New Roman"/>
          <w:color w:val="auto"/>
          <w:kern w:val="0"/>
          <w:sz w:val="32"/>
          <w:szCs w:val="32"/>
          <w:shd w:val="clear" w:color="auto" w:fill="FFFFFF"/>
          <w:lang w:val="en-US" w:eastAsia="zh-CN"/>
        </w:rPr>
        <w:t>。</w:t>
      </w:r>
      <w:bookmarkEnd w:id="98"/>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财政部门要求，全面实施了预算项目绩效目标管理，一是落实组织保障，由单位分管领导常务副部长牵头抓，各项目股室具体抓，财务人员配合抓的体系。二是规范过程管理，编制预算时对申报的项目加强审核、合理保障，所有项目必须有明细的资金测算。在预算执行过程中加强了绩效运行监控，对执行中存在偏差的项目进行了原因分析和及时整改，确保达到年初绩效目标。项目结束后积极进行绩效评价，强化了结果运用。三是加强基础支撑，对所有项目财务支出进行规范，从严执行预算。全年预算管理执行到位。</w:t>
      </w:r>
    </w:p>
    <w:p>
      <w:pPr>
        <w:ind w:firstLine="640" w:firstLineChars="200"/>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（三）结果应用情况。</w:t>
      </w:r>
      <w:r>
        <w:rPr>
          <w:rFonts w:hint="eastAsia" w:ascii="仿宋" w:hAnsi="仿宋" w:eastAsia="仿宋" w:cs="仿宋"/>
          <w:sz w:val="32"/>
          <w:szCs w:val="32"/>
          <w:lang w:val="en-US" w:eastAsia="zh-CN"/>
        </w:rPr>
        <w:t>我部2022年度严格遵循资产管理制度，定期清查盘点，做到账、卡、物相符，防止资产流失，按时上报资产信息系统。严格按照资产采购程序进行采购，规范管控资产变动。根据上级部门要求，不断加强自身的制度建设，对内控管理的各个环节加强制约，不断完善新业务的操作规程和流程，同时加强考核。从制度会计审核、安全等多方面，形成相互融通相互制约机制。严格执行预、决算资金管理办法，资金的使用符合相关的预算财务管理制度的规定，按照相关要求在财政部门批复后二十日内向社会公开本部门预、决算，部门整体支出绩效自评资料将按要求开展公示公开。</w:t>
      </w:r>
    </w:p>
    <w:p>
      <w:pPr>
        <w:ind w:firstLine="640" w:firstLineChars="200"/>
        <w:outlineLvl w:val="2"/>
        <w:rPr>
          <w:rFonts w:hint="eastAsia" w:ascii="黑体" w:hAnsi="黑体" w:eastAsia="黑体" w:cs="黑体"/>
          <w:color w:val="auto"/>
          <w:sz w:val="32"/>
          <w:szCs w:val="32"/>
          <w:lang w:val="en-US" w:eastAsia="zh-CN"/>
        </w:rPr>
      </w:pPr>
      <w:bookmarkStart w:id="99" w:name="_Toc6851"/>
      <w:r>
        <w:rPr>
          <w:rFonts w:hint="eastAsia" w:ascii="黑体" w:hAnsi="黑体" w:eastAsia="黑体" w:cs="黑体"/>
          <w:color w:val="auto"/>
          <w:sz w:val="32"/>
          <w:szCs w:val="32"/>
          <w:lang w:val="en-US" w:eastAsia="zh-CN"/>
        </w:rPr>
        <w:t>（四）自评质量</w:t>
      </w:r>
      <w:bookmarkEnd w:id="99"/>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格按照相关规定使用专项经费，严格按照预算项目和用途做到专款专用，规范核算。专项项目均制定了期限规划，符合区委、区政府各项安排部署要求，均编制绩效目标，并细化到三级指标，年中及时调整资金运用方向，确保资金使用最大化，年底圆满完成全年各项工作目标任务。</w:t>
      </w:r>
    </w:p>
    <w:p>
      <w:pPr>
        <w:ind w:firstLine="640" w:firstLineChars="200"/>
        <w:outlineLvl w:val="1"/>
        <w:rPr>
          <w:rFonts w:hint="eastAsia" w:ascii="黑体" w:hAnsi="黑体" w:eastAsia="黑体" w:cs="黑体"/>
          <w:sz w:val="32"/>
          <w:szCs w:val="32"/>
          <w:lang w:val="en-US" w:eastAsia="zh-CN"/>
        </w:rPr>
      </w:pPr>
      <w:bookmarkStart w:id="100" w:name="_Toc1831"/>
      <w:r>
        <w:rPr>
          <w:rFonts w:hint="eastAsia" w:ascii="黑体" w:hAnsi="黑体" w:eastAsia="黑体" w:cs="黑体"/>
          <w:sz w:val="32"/>
          <w:szCs w:val="32"/>
          <w:lang w:val="en-US" w:eastAsia="zh-CN"/>
        </w:rPr>
        <w:t>四、自评结论及建议</w:t>
      </w:r>
      <w:bookmarkEnd w:id="100"/>
    </w:p>
    <w:p>
      <w:pPr>
        <w:widowControl/>
        <w:autoSpaceDE w:val="0"/>
        <w:adjustRightInd w:val="0"/>
        <w:snapToGrid w:val="0"/>
        <w:spacing w:line="500" w:lineRule="exact"/>
        <w:ind w:firstLine="640" w:firstLineChars="200"/>
        <w:contextualSpacing/>
        <w:jc w:val="left"/>
        <w:outlineLvl w:val="2"/>
        <w:rPr>
          <w:rFonts w:hint="eastAsia" w:ascii="楷体_GB2312" w:hAnsi="Times New Roman" w:eastAsia="楷体_GB2312" w:cs="Times New Roman"/>
          <w:color w:val="000000"/>
          <w:kern w:val="0"/>
          <w:sz w:val="32"/>
          <w:szCs w:val="32"/>
          <w:shd w:val="clear" w:color="auto" w:fill="FFFFFF"/>
        </w:rPr>
      </w:pPr>
      <w:bookmarkStart w:id="101" w:name="_Toc27798"/>
      <w:r>
        <w:rPr>
          <w:rFonts w:hint="eastAsia" w:ascii="楷体_GB2312" w:hAnsi="Times New Roman" w:eastAsia="楷体_GB2312" w:cs="Times New Roman"/>
          <w:color w:val="000000"/>
          <w:kern w:val="0"/>
          <w:sz w:val="32"/>
          <w:szCs w:val="32"/>
          <w:shd w:val="clear" w:color="auto" w:fill="FFFFFF"/>
        </w:rPr>
        <w:t>（一）自评结论。</w:t>
      </w:r>
      <w:bookmarkEnd w:id="101"/>
    </w:p>
    <w:p>
      <w:pPr>
        <w:widowControl/>
        <w:autoSpaceDE w:val="0"/>
        <w:adjustRightInd w:val="0"/>
        <w:snapToGrid w:val="0"/>
        <w:spacing w:line="500" w:lineRule="exact"/>
        <w:ind w:firstLine="640" w:firstLineChars="200"/>
        <w:contextualSpacing/>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从整体上看，我单位资金运行维护决策正确，资金管理规范，项目管理到位，政策执行有力，有效发挥了财政资金的使用效益。在人员、公用经费支出上严格执行区委各项制度规定；在专项资金的使用上，严格按照项目管理及年初目标申报要求执行；三公经费支出严格控制在预算范围内。部门整体绩效评价良好。</w:t>
      </w:r>
    </w:p>
    <w:p>
      <w:pPr>
        <w:widowControl/>
        <w:autoSpaceDE w:val="0"/>
        <w:adjustRightInd w:val="0"/>
        <w:snapToGrid w:val="0"/>
        <w:spacing w:line="500" w:lineRule="exact"/>
        <w:ind w:firstLine="640" w:firstLineChars="200"/>
        <w:contextualSpacing/>
        <w:jc w:val="left"/>
        <w:outlineLvl w:val="2"/>
        <w:rPr>
          <w:rFonts w:hint="eastAsia" w:ascii="楷体_GB2312" w:hAnsi="Times New Roman" w:eastAsia="楷体_GB2312" w:cs="Times New Roman"/>
          <w:color w:val="000000"/>
          <w:kern w:val="0"/>
          <w:sz w:val="32"/>
          <w:szCs w:val="32"/>
          <w:shd w:val="clear" w:color="auto" w:fill="FFFFFF"/>
        </w:rPr>
      </w:pPr>
      <w:bookmarkStart w:id="102" w:name="_Toc16741"/>
      <w:r>
        <w:rPr>
          <w:rFonts w:hint="eastAsia" w:ascii="楷体_GB2312" w:hAnsi="Times New Roman" w:eastAsia="楷体_GB2312" w:cs="Times New Roman"/>
          <w:color w:val="000000"/>
          <w:kern w:val="0"/>
          <w:sz w:val="32"/>
          <w:szCs w:val="32"/>
          <w:shd w:val="clear" w:color="auto" w:fill="FFFFFF"/>
        </w:rPr>
        <w:t>（二）存在问题。</w:t>
      </w:r>
      <w:bookmarkEnd w:id="102"/>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目前本单位的整体支出绩效还有细化的空间，</w:t>
      </w:r>
      <w:r>
        <w:rPr>
          <w:rFonts w:hint="eastAsia" w:ascii="仿宋_GB2312" w:hAnsi="Times New Roman" w:eastAsia="仿宋_GB2312" w:cs="Times New Roman"/>
          <w:color w:val="000000"/>
          <w:kern w:val="0"/>
          <w:sz w:val="32"/>
          <w:szCs w:val="32"/>
          <w:shd w:val="clear" w:color="auto" w:fill="FFFFFF"/>
          <w:lang w:eastAsia="zh-CN"/>
        </w:rPr>
        <w:t>以</w:t>
      </w:r>
      <w:r>
        <w:rPr>
          <w:rFonts w:hint="eastAsia" w:ascii="仿宋_GB2312" w:hAnsi="Times New Roman" w:eastAsia="仿宋_GB2312" w:cs="Times New Roman"/>
          <w:color w:val="000000"/>
          <w:kern w:val="0"/>
          <w:sz w:val="32"/>
          <w:szCs w:val="32"/>
          <w:shd w:val="clear" w:color="auto" w:fill="FFFFFF"/>
        </w:rPr>
        <w:t>达到更加优化效益的目的。</w:t>
      </w:r>
    </w:p>
    <w:p>
      <w:pPr>
        <w:widowControl/>
        <w:autoSpaceDE w:val="0"/>
        <w:adjustRightInd w:val="0"/>
        <w:snapToGrid w:val="0"/>
        <w:spacing w:line="500" w:lineRule="exact"/>
        <w:ind w:firstLine="640" w:firstLineChars="200"/>
        <w:contextualSpacing/>
        <w:jc w:val="left"/>
        <w:outlineLvl w:val="2"/>
        <w:rPr>
          <w:rFonts w:hint="eastAsia" w:ascii="楷体_GB2312" w:hAnsi="Times New Roman" w:eastAsia="楷体_GB2312" w:cs="Times New Roman"/>
          <w:color w:val="000000"/>
          <w:kern w:val="0"/>
          <w:sz w:val="32"/>
          <w:szCs w:val="32"/>
          <w:shd w:val="clear" w:color="auto" w:fill="FFFFFF"/>
        </w:rPr>
      </w:pPr>
      <w:bookmarkStart w:id="103" w:name="_Toc25816"/>
      <w:r>
        <w:rPr>
          <w:rFonts w:hint="eastAsia" w:ascii="楷体_GB2312" w:hAnsi="Times New Roman" w:eastAsia="楷体_GB2312" w:cs="Times New Roman"/>
          <w:color w:val="000000"/>
          <w:kern w:val="0"/>
          <w:sz w:val="32"/>
          <w:szCs w:val="32"/>
          <w:shd w:val="clear" w:color="auto" w:fill="FFFFFF"/>
        </w:rPr>
        <w:t>（三）改进建议。</w:t>
      </w:r>
      <w:bookmarkEnd w:id="103"/>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今后，将对照本单位整体支出绩效评价内容，逐项梳理，逐项对标，强化财政支出绩效理念和责任意识，提高财政资金的使用效益。</w:t>
      </w:r>
    </w:p>
    <w:p>
      <w:pPr>
        <w:pStyle w:val="15"/>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36"/>
        <w:gridCol w:w="1067"/>
        <w:gridCol w:w="1206"/>
        <w:gridCol w:w="399"/>
        <w:gridCol w:w="1251"/>
        <w:gridCol w:w="576"/>
        <w:gridCol w:w="848"/>
        <w:gridCol w:w="576"/>
        <w:gridCol w:w="577"/>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严格执行相关政策，保障独子费及时足额发放，预算编制科学合理，减少结余资金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该项目为人员类项目，主要保障部门内在职人员中有独生子女情况的6人，为其发放独子费。2022年，该预算项目资金按月支付，及时足额发放，预算执行率100%，年末无资金结余情况。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该项目为人员类项目，主要保障部门13名公务员目标绩效奖。2022年，该预算项目资金按月支付，及时足额发放，预算执行率100%，年末无资金结余情况。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严格执行相关政策，保障单位公务员、工勤人员车补足额及时发放到位，科学预算，减少结余资金。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该项目为人员类项目，主要保障部门13名公务员2名机关工勤人员2022年度车补。2022年，该预算项目资金按季度支付，及时足额发放，预算执行率100%，年末无资金结余情况。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该项目为人员类项目，主要保障部门13名公务员2名机关工勤人员2022年度工资，包括基本工资、津贴补贴等。2022年，该预算项目资金按月支付，及时足额发放，预算执行率100%，年末无资金结余情况。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117.68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122.26</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122.26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117.68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122.26</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122.26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60.29</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60.29</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该项目为人员类项目，主要保障部门13名公务员2名机关工勤人员2022年度养老保险缴费等。2022年，该预算项目资金按月支付，及时足额缴纳，预算执行率100%，年末无资金结余情况。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18.45</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18.45</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9.23</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9.23</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该项目为人员类项目，主要保障部门13名公务员2名机关工勤人员2022年度医疗保险缴费等。2022年，该预算项目资金按月支付，及时足额缴纳，预算执行率100%，年末无资金结余情况。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该项目为人员类项目，主要保障部门13名公务员和2名机关工勤人员2022年度住房公积金缴费等。2022年，该预算项目资金按月支付，及时足额缴纳，预算执行率100%，年末无资金结余情况。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18.77</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18.77</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该项目为人员类项目，主要保障部门2名机关工勤人员目标绩效奖。2022年，该预算项目资金按月支付，及时足额发放，预算执行率100%，年末无资金结余情况。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与各大新闻媒体合作，持续为天府旅游名县创建宣传造势，营造浓厚的创建氛围。</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该项目为特定目标类项目，主要通过社会宣传、新闻宣传、外宣活动及文旅资源推介等工作开展。2022年，该预算项目资金有序支付，预算执行率100%，年末无资金结余情况。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天府旅游名县创建资金支出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项目负责人：李可奴</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51081222T000005673837-公益电影放映市级配套补助资金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完成全区农村公益电影放映任务及资金支付。</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及2022年度完成全区139个行政村（社区）1668场，每村每年12场次公益电影放映任务。影片审核合格率达96%及以上，新片播放率占总场次的20%；按时足额拨付市级补助放映标准18元/场次资金，不断满足农村广大农民群众文化精神生活的需求，促进社会主义核心价值观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新片播放率占总场次比例</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影片审核合格率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放映场次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满足群众精神文化需求，丰富业余生活，促进社会主义核心价值观的宣教</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制度化、长效化落实，保障人民群众基本文化权益</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观影群众满意度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项目负责人：李锐</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51081222T000005674420-融媒体建设项目资金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融媒体中心建设项目已完工，项目中标金额1415.42万元，分年度预算资金，已预算450万元，2022年新增预算100万元。</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融媒体中心建设项目已完工，项目中标金额1415.42万元，分年度预算资金，已预算450万元，2022年新增预算100万元。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影响力、公信力</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项目负责人：马兴成</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51081222T000005783116-2022年中央支持地方公共文化服务体系建设补助资金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改善基层公共文化服务设施条件，加强基层公服人才队伍建设，促进基本公服标准化，均等化，保障广大群众读书、观影、开展文化活动等基本文化权益。</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基层公共文化服务设施条件，加强基层公服人才队伍建设，促进基本公服标准化，均等化，保障广大群众读书、观影、开展文化活动等基本文化权益。全年电影放映场次达12场次/村，农家书屋图书补充更新种类≥60种，实时开展各类群众文化活动，参与人次增长率达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平均每村电影放映场次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平均每农家书屋图书补充更新种类</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平均每书屋开展阅读活动数量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全年开展群众文化活动数量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建成乡村振兴样板镇数量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群众文化活动参加人次增长率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国民综合阅读率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群众对国家基本公共文化服务满意度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项目负责人：李锐</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51081222T000005936229-理论宣传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2022年开展集中学习研讨8次，购买理论学习书籍6000余册；邀请国家级专家授课5场次；举办理论培训2期；形成理论调研成果10篇，并在市级及以上媒体刊发。</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2022年开展集中学习研讨8次，购买理论学习书籍6000余册；邀请国家级专家授课5场次；举办理论培训2期；形成理论调研成果10篇，并在市级及以上媒体刊发。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22.41</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22.41</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学习培训（会议）天数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撰写理论文章</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举办培训期数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培训参会人次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邀请专家人次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购买理论书籍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册</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理论文章完成及刊发率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培训人员合格率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学习（培训）计划按期完成率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人均培训成本控制率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培训（参会）人员满意度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项目负责人：马磊</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51081222T000005942127-2022年新闻宣传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根据区委工作安排及新闻宣传工作职能需要，2022年计划与中省18家媒体合作，发布宣传稿件3000余条，其中头版或专版不少于7条；全面完成市区外宣目标任务，不断提升朝天知名度、美誉度和影响力。</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2022年完成与中省等20家媒体合作，发布宣传稿件3000余条，其中头版或专版不低于7条；全面完成市区外宣目标任务，不断提升朝天知名度、美誉度和影响力。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媒体合作数量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稿件发布数量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举办宣传活动</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头版和专版发布情况</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宣传贯彻政策知晓率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干群满意度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项目负责人：马兴成</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51081222T000005942150-2022年社会宣传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紧紧围绕区委区政府中心工作，立足自身优势，不断丰富宣传载体，扎实开展各类社会宣传活动，计划举办文化文艺采风活动5场次，重大节庆活动期间氛围营造广告宣传标语制作全年不少于50余幅，适时制作宣传小视频等。</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扎实开展各类社会宣传活动，举办文化文艺采风活动5场次，重大节庆活动期间氛围营造广告宣传标语制作全年不少于50余幅，适时制作宣传小视频等。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举办文化文艺活动</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广告位租赁</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新发布及维修宣传标语</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幅</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合同验收合格率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宣传党的方针、政策，营造良好社会氛围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干群满意度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项目负责人：李可奴</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51081222T000005942201-2022年农村公益电影放映补助经费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2022年完成124个行政村1488场次农村公益电影放映任务。</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2022年完成124个行政村1488场次农村公益电影放映任务，影片审核合格率达96%及以上，新片播放率占总场次的20%；不断满足农村广大农民群众文化精神生活的需求，促进社会主义核心价值观的宣传教育。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放映场次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影片审核合格率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满足群众精神文化需求，丰富业余生活，促进社会主义核心价值观的宣教</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制度化、长效化落实，保障人民群众基本文化权益</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观影群众满意度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项目负责人：李锐</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51081222T000005942795-融媒体中心房屋租赁费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融媒体中心办公用房租赁，租期10年，面积1094.37平方米。</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租用鑫地源房屋，保障区融媒体中心正常办公条件。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办公用地面积</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1094.37</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1094.37</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符合融媒体办公条件要求</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租赁期间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租赁单价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租赁双方满意度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项目负责人：马兴成</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51081222T000006648580-2022年新时代文明实践中心建设项目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保障区级文明实践中心办公运转，文明实践活动按要求开展。</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该项目为特定目标类项目，主要用于保障区级文明实践中心办公运转，文明实践活动按要求开展。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文明实践志愿服务活动品牌数量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开展文明志愿服务活动</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文明实践志愿服务队伍建设</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新时代文明实践所设备配置资金占比</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形成富有地方特色的工作经验时间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现有平台整合效果</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新时代文明实践中心建设数量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实践站年度开展文明实践活动的参与人数占比</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文明实践志愿者骨干培训覆盖率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对文明实践志愿服务活动满意度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项目负责人：王佳宁</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51081222T000007031508-宣传经费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结合部门职能，根据区委工作安排部署，宣传工作经费，用于重大节庆活动期间氛围营造。</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该项目为特定目标类项目，主要用于保障重大节庆活动期间，社会氛围营造。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158.32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158.32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158.32</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158.32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宣传经费支出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158.32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158.32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项目负责人：李桂华</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51081222T000007093635-中央专项彩票公益金支持乡村学校少年宫项目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保障全区15所少年宫日常活动开展，确保项目常态化运转。</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保障全区15所少年宫日常活动开展，确保项目常态化运转。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项目学校平均设置活动项目数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校外辅导员人数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学生参与率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活动器材质量使用合格率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项目受益未成年人数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项目投入使用时间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12月31日前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12月</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项目培训完成时间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10月底前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10月</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学校教育质量及校园文明程度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学生、教师、家长满意度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项目负责人：何涛</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51081222T000007451445-创建第七届全国文明城市经费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积极创建全国文明城市。</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全国文明城市经费，主要用于创建期间氛围营造、宣传教育、活动开展、实地点位提升等方面，为顺利通过年度测评，圆满完成市委市政府下达的创建任务提供保障。根据实际情况，计划采购办公设备一批，印制宣传海报、宣传单及文明手册、调查问卷等，制作创文雨伞、凉扇、环保袋，开展创文宣讲等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印制创文宣传物品</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开展创文宣传活动</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采购创文办公设施设备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印发宣传资料</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万份</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开展宣传活动的参与人数占比</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项目有序推进，按期完成，达到了预期效果。为我部在下一年工作推进和预算安排上提供了对比数据。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项目负责人：向德孟</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14.17</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14.17</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8.67</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8.67</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保障驻村工作队驻村工作开展，全面完成市区下达目标任务。</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保障驻村工作队3人驻村工作开展，全面完成市区下达目标任务。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项目负责人：邱慧清</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51081223T000007854093-</w:t>
            </w:r>
            <w:r>
              <w:rPr>
                <w:rFonts w:hint="eastAsia" w:ascii="宋体" w:hAnsi="宋体" w:cs="宋体"/>
                <w:i w:val="0"/>
                <w:iCs w:val="0"/>
                <w:color w:val="000000"/>
                <w:kern w:val="0"/>
                <w:sz w:val="18"/>
                <w:szCs w:val="18"/>
                <w:u w:val="none"/>
                <w:lang w:val="en-US" w:eastAsia="zh-CN" w:bidi="ar"/>
              </w:rPr>
              <w:t>《习近平谈治国理政》第四卷</w:t>
            </w:r>
            <w:r>
              <w:rPr>
                <w:rFonts w:ascii="宋体" w:hAnsi="宋体" w:eastAsia="宋体" w:cs="宋体"/>
                <w:i w:val="0"/>
                <w:iCs w:val="0"/>
                <w:color w:val="000000"/>
                <w:kern w:val="0"/>
                <w:sz w:val="18"/>
                <w:szCs w:val="18"/>
                <w:u w:val="none"/>
                <w:lang w:val="en-US" w:eastAsia="zh-CN" w:bidi="ar"/>
              </w:rPr>
              <w:t>征订费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征订习近平谈治国理政6800册。</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习近平谈治国理政列入朝天区各级党委（党组）理论学习中心组学习计划，纳入干部培训教学重要内容，作为思想政治教育重要教材，引导广大党员、干部、群众读原著学原文、悟原理知原义。为满足朝天区广大党员、干部群众学习需求，需征订该书6800册，单价为80元/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54.40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54.40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征订数量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教材保障率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2022年内</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满足广大干群学习需求</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干群满意度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项目负责人：马磊</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51081223T000008401565-乡镇公共文化服务提质增效工程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2022年试点乡镇文化设施补短项目经费,用于书法室、画室、琴室、棋室打造设备采购。</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2022年试点乡镇文化设施补短项目经费,用于书法室、画室、琴室、棋室打造设备采购。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画室设备采购</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书法室设备采购</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琴室设备购置</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棋牌室、综合室设备购置</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绿植等其他设备购置</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项目使用时间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活动器材使用合格率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人民精神文化生活</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项目负责人：李桂华</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51081223T000008402489-乡村学校少年宫运转补助资金（转斗学校）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中共广元市朝天区委宣传部部门</w:t>
            </w:r>
          </w:p>
        </w:tc>
        <w:tc>
          <w:tcPr>
            <w:tcW w:w="4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保障转斗小学少年宫正常运转。</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保障转斗小学少年宫正常运转。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项目负责人：何涛</w:t>
            </w:r>
          </w:p>
        </w:tc>
        <w:tc>
          <w:tcPr>
            <w:tcW w:w="2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财务负责人：马军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6"/>
        <w:pageBreakBefore w:val="0"/>
        <w:kinsoku/>
        <w:wordWrap/>
        <w:overflowPunct/>
        <w:topLinePunct w:val="0"/>
        <w:bidi w:val="0"/>
        <w:spacing w:line="570" w:lineRule="exact"/>
        <w:textAlignment w:val="auto"/>
        <w:outlineLvl w:val="1"/>
        <w:rPr>
          <w:rFonts w:hint="eastAsia" w:eastAsia="仿宋_GB2312"/>
          <w:color w:val="auto"/>
          <w:sz w:val="32"/>
          <w:szCs w:val="32"/>
          <w:highlight w:val="none"/>
          <w:lang w:val="en-US" w:eastAsia="zh-CN"/>
        </w:rPr>
      </w:pPr>
      <w:bookmarkStart w:id="104" w:name="_Toc16716"/>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104"/>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2022年专项资金预算项目绩效自评报告</w:t>
      </w:r>
    </w:p>
    <w:p>
      <w:pPr>
        <w:autoSpaceDE w:val="0"/>
        <w:spacing w:line="540" w:lineRule="exact"/>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（新闻宣传）</w:t>
      </w:r>
    </w:p>
    <w:p>
      <w:pPr>
        <w:autoSpaceDE w:val="0"/>
        <w:spacing w:line="540" w:lineRule="exact"/>
        <w:ind w:firstLine="616" w:firstLineChars="200"/>
        <w:rPr>
          <w:rFonts w:hint="eastAsia" w:ascii="黑体" w:hAnsi="黑体" w:eastAsia="黑体"/>
          <w:spacing w:val="-6"/>
          <w:sz w:val="32"/>
          <w:szCs w:val="32"/>
        </w:rPr>
      </w:pPr>
    </w:p>
    <w:p>
      <w:pPr>
        <w:autoSpaceDE w:val="0"/>
        <w:spacing w:line="540" w:lineRule="exact"/>
        <w:ind w:firstLine="616" w:firstLineChars="200"/>
        <w:outlineLvl w:val="1"/>
        <w:rPr>
          <w:rFonts w:ascii="黑体" w:hAnsi="黑体" w:eastAsia="黑体"/>
          <w:spacing w:val="-6"/>
          <w:sz w:val="32"/>
          <w:szCs w:val="32"/>
        </w:rPr>
      </w:pPr>
      <w:bookmarkStart w:id="105" w:name="_Toc4660"/>
      <w:r>
        <w:rPr>
          <w:rFonts w:hint="eastAsia" w:ascii="黑体" w:hAnsi="黑体" w:eastAsia="黑体"/>
          <w:spacing w:val="-6"/>
          <w:sz w:val="32"/>
          <w:szCs w:val="32"/>
        </w:rPr>
        <w:t>一、项目概况</w:t>
      </w:r>
      <w:bookmarkEnd w:id="105"/>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根据区委工作安排，区委宣传部紧扣全区工作大局和特色禀赋讲述“朝天故事”，与中央、省、市主流媒体开展深度合作，主动策划选题，在攻大媒、上头版、出精品上取得突破。全年媒体合作达</w:t>
      </w:r>
      <w:r>
        <w:rPr>
          <w:rFonts w:hint="eastAsia" w:ascii="仿宋_GB2312" w:hAnsi="仿宋" w:eastAsia="仿宋_GB2312"/>
          <w:sz w:val="32"/>
          <w:szCs w:val="32"/>
          <w:lang w:val="en-US" w:eastAsia="zh-CN"/>
        </w:rPr>
        <w:t xml:space="preserve"> 20</w:t>
      </w:r>
      <w:r>
        <w:rPr>
          <w:rFonts w:hint="eastAsia" w:ascii="仿宋_GB2312" w:hAnsi="仿宋" w:eastAsia="仿宋_GB2312"/>
          <w:sz w:val="32"/>
          <w:szCs w:val="32"/>
        </w:rPr>
        <w:t>家以上，累计刊发新闻稿件</w:t>
      </w:r>
      <w:r>
        <w:rPr>
          <w:rFonts w:hint="eastAsia" w:ascii="仿宋_GB2312" w:hAnsi="仿宋" w:eastAsia="仿宋_GB2312"/>
          <w:sz w:val="32"/>
          <w:szCs w:val="32"/>
          <w:lang w:val="en-US" w:eastAsia="zh-CN"/>
        </w:rPr>
        <w:t>7700</w:t>
      </w:r>
      <w:r>
        <w:rPr>
          <w:rFonts w:hint="eastAsia" w:ascii="仿宋_GB2312" w:hAnsi="仿宋" w:eastAsia="仿宋_GB2312"/>
          <w:sz w:val="32"/>
          <w:szCs w:val="32"/>
        </w:rPr>
        <w:t>余条，合作经费预计150万元。</w:t>
      </w:r>
    </w:p>
    <w:p>
      <w:pPr>
        <w:ind w:firstLine="616" w:firstLineChars="200"/>
        <w:rPr>
          <w:rFonts w:ascii="仿宋_GB2312" w:hAnsi="仿宋" w:eastAsia="仿宋_GB2312"/>
          <w:sz w:val="32"/>
          <w:szCs w:val="32"/>
        </w:rPr>
      </w:pPr>
      <w:r>
        <w:rPr>
          <w:rFonts w:hint="eastAsia" w:ascii="楷体_GB2312" w:hAnsi="Times New Roman" w:eastAsia="楷体_GB2312"/>
          <w:bCs/>
          <w:spacing w:val="-6"/>
          <w:sz w:val="32"/>
          <w:szCs w:val="32"/>
        </w:rPr>
        <w:t>（一）项目资金申报及批复情况。</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年度新闻宣传经费预算</w:t>
      </w:r>
      <w:r>
        <w:rPr>
          <w:rFonts w:ascii="仿宋_GB2312" w:hAnsi="仿宋" w:eastAsia="仿宋_GB2312"/>
          <w:sz w:val="32"/>
          <w:szCs w:val="32"/>
        </w:rPr>
        <w:t>150</w:t>
      </w:r>
      <w:r>
        <w:rPr>
          <w:rFonts w:hint="eastAsia" w:ascii="仿宋_GB2312" w:hAnsi="仿宋" w:eastAsia="仿宋_GB2312"/>
          <w:sz w:val="32"/>
          <w:szCs w:val="32"/>
        </w:rPr>
        <w:t>万元，按年度进行申报，资金及时批复到位，其符合资金管理办法相关规定；</w:t>
      </w:r>
    </w:p>
    <w:p>
      <w:pPr>
        <w:ind w:firstLine="770" w:firstLineChars="250"/>
        <w:rPr>
          <w:rFonts w:ascii="仿宋_GB2312" w:hAnsi="仿宋" w:eastAsia="仿宋_GB2312"/>
          <w:color w:val="auto"/>
          <w:sz w:val="32"/>
          <w:szCs w:val="32"/>
        </w:rPr>
      </w:pPr>
      <w:r>
        <w:rPr>
          <w:rFonts w:hint="eastAsia" w:ascii="楷体_GB2312" w:hAnsi="Times New Roman" w:eastAsia="楷体_GB2312"/>
          <w:bCs/>
          <w:color w:val="auto"/>
          <w:spacing w:val="-6"/>
          <w:sz w:val="32"/>
          <w:szCs w:val="32"/>
        </w:rPr>
        <w:t>（二）项目绩效目标。</w:t>
      </w:r>
      <w:r>
        <w:rPr>
          <w:rFonts w:hint="eastAsia" w:ascii="仿宋_GB2312" w:hAnsi="仿宋" w:eastAsia="仿宋_GB2312"/>
          <w:color w:val="auto"/>
          <w:sz w:val="32"/>
          <w:szCs w:val="32"/>
        </w:rPr>
        <w:t>2022 年，新闻宣传工作紧扣全区工作大局和特色禀赋讲述“朝天故事”，与中央、省、市主流媒体开展深度合作，主动策划选题，在攻大媒、上头版、出精品上取得新的突破。全年在市级及以上主流媒体刊发新闻稿件7700余条，其中《人民日报》刊发2篇，中央电视台刊播42条(新闻联播6条),《四川日报》刊发39篇，四川电视台107 条(四川新闻33条)，广元日报刊发头版32个(头条7个)，广元电视台刊播广元新闻头条15个,全面展示了朝天发展成就和良好形象，“栈道之都、养生朝天”名片更加靓丽。</w:t>
      </w:r>
    </w:p>
    <w:p>
      <w:pPr>
        <w:autoSpaceDE w:val="0"/>
        <w:spacing w:line="540" w:lineRule="exact"/>
        <w:ind w:firstLine="616" w:firstLineChars="200"/>
        <w:rPr>
          <w:rFonts w:ascii="仿宋_GB2312" w:hAnsi="Times New Roman" w:eastAsia="仿宋_GB2312"/>
          <w:color w:val="auto"/>
          <w:spacing w:val="-6"/>
          <w:sz w:val="32"/>
          <w:szCs w:val="32"/>
        </w:rPr>
      </w:pPr>
      <w:r>
        <w:rPr>
          <w:rFonts w:hint="eastAsia" w:ascii="楷体_GB2312" w:hAnsi="Times New Roman" w:eastAsia="楷体_GB2312"/>
          <w:bCs/>
          <w:color w:val="auto"/>
          <w:spacing w:val="-6"/>
          <w:sz w:val="32"/>
          <w:szCs w:val="32"/>
        </w:rPr>
        <w:t>（三）项目资金申报相符性。</w:t>
      </w:r>
      <w:r>
        <w:rPr>
          <w:rFonts w:hint="eastAsia" w:ascii="仿宋_GB2312" w:hAnsi="Times New Roman" w:eastAsia="仿宋_GB2312"/>
          <w:color w:val="auto"/>
          <w:spacing w:val="-6"/>
          <w:sz w:val="32"/>
          <w:szCs w:val="32"/>
        </w:rPr>
        <w:t>新闻宣传项目申报内容与具体实施内容相符、申报目标合理可行。</w:t>
      </w:r>
    </w:p>
    <w:p>
      <w:pPr>
        <w:autoSpaceDE w:val="0"/>
        <w:spacing w:line="540" w:lineRule="exact"/>
        <w:ind w:firstLine="616" w:firstLineChars="200"/>
        <w:outlineLvl w:val="1"/>
        <w:rPr>
          <w:rFonts w:ascii="黑体" w:hAnsi="黑体" w:eastAsia="黑体"/>
          <w:color w:val="auto"/>
          <w:spacing w:val="-6"/>
          <w:sz w:val="32"/>
          <w:szCs w:val="32"/>
        </w:rPr>
      </w:pPr>
      <w:bookmarkStart w:id="106" w:name="_Toc31907"/>
      <w:r>
        <w:rPr>
          <w:rFonts w:hint="eastAsia" w:ascii="黑体" w:hAnsi="黑体" w:eastAsia="黑体"/>
          <w:color w:val="auto"/>
          <w:spacing w:val="-6"/>
          <w:sz w:val="32"/>
          <w:szCs w:val="32"/>
        </w:rPr>
        <w:t>二、项目实施及管理情况</w:t>
      </w:r>
      <w:bookmarkEnd w:id="106"/>
    </w:p>
    <w:p>
      <w:pPr>
        <w:autoSpaceDE w:val="0"/>
        <w:spacing w:line="540" w:lineRule="exact"/>
        <w:ind w:firstLine="616" w:firstLineChars="200"/>
        <w:outlineLvl w:val="2"/>
        <w:rPr>
          <w:rFonts w:ascii="楷体_GB2312" w:hAnsi="Times New Roman" w:eastAsia="楷体_GB2312"/>
          <w:bCs/>
          <w:color w:val="auto"/>
          <w:spacing w:val="-6"/>
          <w:sz w:val="32"/>
          <w:szCs w:val="32"/>
        </w:rPr>
      </w:pPr>
      <w:bookmarkStart w:id="107" w:name="_Toc13842"/>
      <w:r>
        <w:rPr>
          <w:rFonts w:hint="eastAsia" w:ascii="楷体_GB2312" w:hAnsi="Times New Roman" w:eastAsia="楷体_GB2312"/>
          <w:bCs/>
          <w:color w:val="auto"/>
          <w:spacing w:val="-6"/>
          <w:sz w:val="32"/>
          <w:szCs w:val="32"/>
        </w:rPr>
        <w:t>（一）资金计划、到位及使用情况</w:t>
      </w:r>
      <w:bookmarkEnd w:id="107"/>
    </w:p>
    <w:p>
      <w:pPr>
        <w:spacing w:line="560" w:lineRule="exact"/>
        <w:ind w:firstLine="645"/>
        <w:rPr>
          <w:rFonts w:ascii="仿宋_GB2312" w:hAnsi="Times New Roman" w:eastAsia="仿宋_GB2312"/>
          <w:color w:val="auto"/>
          <w:spacing w:val="-6"/>
          <w:sz w:val="32"/>
          <w:szCs w:val="32"/>
        </w:rPr>
      </w:pPr>
      <w:r>
        <w:rPr>
          <w:rFonts w:ascii="仿宋_GB2312" w:hAnsi="Times New Roman" w:eastAsia="仿宋_GB2312"/>
          <w:color w:val="auto"/>
          <w:spacing w:val="-6"/>
          <w:sz w:val="32"/>
          <w:szCs w:val="32"/>
        </w:rPr>
        <w:t>1.</w:t>
      </w:r>
      <w:r>
        <w:rPr>
          <w:rFonts w:hint="eastAsia" w:ascii="仿宋_GB2312" w:hAnsi="Times New Roman" w:eastAsia="仿宋_GB2312"/>
          <w:color w:val="auto"/>
          <w:spacing w:val="-6"/>
          <w:sz w:val="32"/>
          <w:szCs w:val="32"/>
        </w:rPr>
        <w:t>资金计划及到位。</w:t>
      </w:r>
      <w:r>
        <w:rPr>
          <w:rFonts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年新闻宣传经费申报财政预算</w:t>
      </w:r>
      <w:r>
        <w:rPr>
          <w:rFonts w:ascii="仿宋_GB2312" w:hAnsi="仿宋" w:eastAsia="仿宋_GB2312"/>
          <w:color w:val="auto"/>
          <w:sz w:val="32"/>
          <w:szCs w:val="32"/>
        </w:rPr>
        <w:t>150</w:t>
      </w:r>
      <w:r>
        <w:rPr>
          <w:rFonts w:hint="eastAsia" w:ascii="仿宋_GB2312" w:hAnsi="仿宋" w:eastAsia="仿宋_GB2312"/>
          <w:color w:val="auto"/>
          <w:sz w:val="32"/>
          <w:szCs w:val="32"/>
        </w:rPr>
        <w:t>万元，批复下达资金</w:t>
      </w:r>
      <w:r>
        <w:rPr>
          <w:rFonts w:ascii="仿宋_GB2312" w:hAnsi="仿宋" w:eastAsia="仿宋_GB2312"/>
          <w:color w:val="auto"/>
          <w:sz w:val="32"/>
          <w:szCs w:val="32"/>
        </w:rPr>
        <w:t>150</w:t>
      </w:r>
      <w:r>
        <w:rPr>
          <w:rFonts w:hint="eastAsia" w:ascii="仿宋_GB2312" w:hAnsi="仿宋" w:eastAsia="仿宋_GB2312"/>
          <w:color w:val="auto"/>
          <w:sz w:val="32"/>
          <w:szCs w:val="32"/>
        </w:rPr>
        <w:t>万元，到位</w:t>
      </w:r>
      <w:r>
        <w:rPr>
          <w:rFonts w:ascii="仿宋_GB2312" w:hAnsi="仿宋" w:eastAsia="仿宋_GB2312"/>
          <w:color w:val="auto"/>
          <w:sz w:val="32"/>
          <w:szCs w:val="32"/>
        </w:rPr>
        <w:t>150</w:t>
      </w:r>
      <w:r>
        <w:rPr>
          <w:rFonts w:hint="eastAsia" w:ascii="仿宋_GB2312" w:hAnsi="仿宋" w:eastAsia="仿宋_GB2312"/>
          <w:color w:val="auto"/>
          <w:sz w:val="32"/>
          <w:szCs w:val="32"/>
        </w:rPr>
        <w:t>万元，资金到位率</w:t>
      </w:r>
      <w:r>
        <w:rPr>
          <w:rFonts w:ascii="仿宋_GB2312" w:hAnsi="仿宋" w:eastAsia="仿宋_GB2312"/>
          <w:color w:val="auto"/>
          <w:sz w:val="32"/>
          <w:szCs w:val="32"/>
        </w:rPr>
        <w:t>100%</w:t>
      </w:r>
      <w:r>
        <w:rPr>
          <w:rFonts w:hint="eastAsia" w:ascii="仿宋_GB2312" w:hAnsi="仿宋" w:eastAsia="仿宋_GB2312"/>
          <w:color w:val="auto"/>
          <w:sz w:val="32"/>
          <w:szCs w:val="32"/>
        </w:rPr>
        <w:t>。</w:t>
      </w:r>
    </w:p>
    <w:p>
      <w:pPr>
        <w:spacing w:line="560" w:lineRule="exact"/>
        <w:ind w:firstLine="645"/>
        <w:rPr>
          <w:rFonts w:ascii="仿宋_GB2312" w:hAnsi="仿宋" w:eastAsia="仿宋_GB2312"/>
          <w:color w:val="auto"/>
          <w:sz w:val="32"/>
          <w:szCs w:val="32"/>
        </w:rPr>
      </w:pPr>
      <w:r>
        <w:rPr>
          <w:rFonts w:ascii="仿宋_GB2312" w:hAnsi="Times New Roman" w:eastAsia="仿宋_GB2312"/>
          <w:color w:val="auto"/>
          <w:spacing w:val="-6"/>
          <w:sz w:val="32"/>
          <w:szCs w:val="32"/>
        </w:rPr>
        <w:t>2.</w:t>
      </w:r>
      <w:r>
        <w:rPr>
          <w:rFonts w:hint="eastAsia" w:ascii="仿宋_GB2312" w:hAnsi="Times New Roman" w:eastAsia="仿宋_GB2312"/>
          <w:color w:val="auto"/>
          <w:spacing w:val="-6"/>
          <w:sz w:val="32"/>
          <w:szCs w:val="32"/>
        </w:rPr>
        <w:t>资金使用。</w:t>
      </w:r>
      <w:r>
        <w:rPr>
          <w:rFonts w:hint="eastAsia" w:ascii="仿宋_GB2312" w:hAnsi="仿宋" w:eastAsia="仿宋_GB2312"/>
          <w:color w:val="auto"/>
          <w:sz w:val="32"/>
          <w:szCs w:val="32"/>
          <w:lang w:val="zh-CN"/>
        </w:rPr>
        <w:t>截止</w:t>
      </w:r>
      <w:r>
        <w:rPr>
          <w:rFonts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年底</w:t>
      </w:r>
      <w:r>
        <w:rPr>
          <w:rFonts w:hint="eastAsia" w:ascii="仿宋_GB2312" w:hAnsi="仿宋" w:eastAsia="仿宋_GB2312"/>
          <w:color w:val="auto"/>
          <w:sz w:val="32"/>
          <w:szCs w:val="32"/>
          <w:lang w:val="zh-CN"/>
        </w:rPr>
        <w:t>，新闻宣传经费实际支出</w:t>
      </w:r>
      <w:r>
        <w:rPr>
          <w:rFonts w:hint="eastAsia" w:ascii="仿宋_GB2312" w:hAnsi="仿宋" w:eastAsia="仿宋_GB2312"/>
          <w:color w:val="auto"/>
          <w:sz w:val="32"/>
          <w:szCs w:val="32"/>
          <w:lang w:val="en-US" w:eastAsia="zh-CN"/>
        </w:rPr>
        <w:t>150</w:t>
      </w:r>
      <w:r>
        <w:rPr>
          <w:rFonts w:hint="eastAsia" w:ascii="仿宋_GB2312" w:hAnsi="仿宋" w:eastAsia="仿宋_GB2312"/>
          <w:color w:val="auto"/>
          <w:sz w:val="32"/>
          <w:szCs w:val="32"/>
        </w:rPr>
        <w:t>万元，完成预算的</w:t>
      </w:r>
      <w:r>
        <w:rPr>
          <w:rFonts w:ascii="仿宋_GB2312" w:hAnsi="仿宋" w:eastAsia="仿宋_GB2312"/>
          <w:color w:val="auto"/>
          <w:sz w:val="32"/>
          <w:szCs w:val="32"/>
        </w:rPr>
        <w:t>100%</w:t>
      </w:r>
      <w:r>
        <w:rPr>
          <w:rFonts w:hint="eastAsia" w:ascii="仿宋_GB2312" w:hAnsi="仿宋" w:eastAsia="仿宋_GB2312"/>
          <w:color w:val="auto"/>
          <w:sz w:val="32"/>
          <w:szCs w:val="32"/>
        </w:rPr>
        <w:t>（因新闻宣传项目有其特殊性，存在跨年度支付当年项目资金的情况</w:t>
      </w:r>
      <w:r>
        <w:rPr>
          <w:rFonts w:ascii="仿宋_GB2312" w:hAnsi="仿宋" w:eastAsia="仿宋_GB2312"/>
          <w:color w:val="auto"/>
          <w:sz w:val="32"/>
          <w:szCs w:val="32"/>
        </w:rPr>
        <w:t>)</w:t>
      </w:r>
      <w:r>
        <w:rPr>
          <w:rFonts w:hint="eastAsia" w:ascii="仿宋_GB2312" w:hAnsi="仿宋" w:eastAsia="仿宋_GB2312"/>
          <w:color w:val="auto"/>
          <w:sz w:val="32"/>
          <w:szCs w:val="32"/>
        </w:rPr>
        <w:t>。其中：支</w:t>
      </w:r>
      <w:r>
        <w:rPr>
          <w:rFonts w:hint="eastAsia" w:ascii="仿宋_GB2312" w:hAnsi="仿宋" w:eastAsia="仿宋_GB2312"/>
          <w:color w:val="auto"/>
          <w:sz w:val="32"/>
          <w:szCs w:val="32"/>
          <w:lang w:eastAsia="zh-CN"/>
        </w:rPr>
        <w:t>今日头条、</w:t>
      </w:r>
      <w:r>
        <w:rPr>
          <w:rFonts w:hint="eastAsia" w:ascii="仿宋_GB2312" w:hAnsi="仿宋" w:eastAsia="仿宋_GB2312"/>
          <w:color w:val="auto"/>
          <w:sz w:val="32"/>
          <w:szCs w:val="32"/>
        </w:rPr>
        <w:t>中国网、四川新闻网、</w:t>
      </w:r>
      <w:r>
        <w:rPr>
          <w:rFonts w:hint="eastAsia" w:ascii="仿宋_GB2312" w:hAnsi="仿宋" w:eastAsia="仿宋_GB2312"/>
          <w:color w:val="auto"/>
          <w:sz w:val="32"/>
          <w:szCs w:val="32"/>
          <w:lang w:eastAsia="zh-CN"/>
        </w:rPr>
        <w:t>西部报道网、西南商报、</w:t>
      </w:r>
      <w:r>
        <w:rPr>
          <w:rFonts w:hint="eastAsia" w:ascii="仿宋_GB2312" w:hAnsi="仿宋" w:eastAsia="仿宋_GB2312"/>
          <w:color w:val="auto"/>
          <w:sz w:val="32"/>
          <w:szCs w:val="32"/>
        </w:rPr>
        <w:t>中国改革报、</w:t>
      </w:r>
      <w:r>
        <w:rPr>
          <w:rFonts w:hint="eastAsia" w:ascii="仿宋_GB2312" w:hAnsi="仿宋" w:eastAsia="仿宋_GB2312"/>
          <w:color w:val="auto"/>
          <w:sz w:val="32"/>
          <w:szCs w:val="32"/>
          <w:lang w:eastAsia="zh-CN"/>
        </w:rPr>
        <w:t>四川发布、</w:t>
      </w:r>
      <w:r>
        <w:rPr>
          <w:rFonts w:hint="eastAsia" w:ascii="仿宋_GB2312" w:hAnsi="仿宋" w:eastAsia="仿宋_GB2312"/>
          <w:color w:val="auto"/>
          <w:sz w:val="32"/>
          <w:szCs w:val="32"/>
        </w:rPr>
        <w:t>四川日报、四川工人日报</w:t>
      </w:r>
      <w:r>
        <w:rPr>
          <w:rFonts w:hint="eastAsia" w:ascii="仿宋_GB2312" w:hAnsi="仿宋" w:eastAsia="仿宋_GB2312"/>
          <w:color w:val="auto"/>
          <w:sz w:val="32"/>
          <w:szCs w:val="32"/>
          <w:lang w:eastAsia="zh-CN"/>
        </w:rPr>
        <w:t>、四川经济日报</w:t>
      </w:r>
      <w:r>
        <w:rPr>
          <w:rFonts w:hint="eastAsia" w:ascii="仿宋_GB2312" w:hAnsi="仿宋" w:eastAsia="仿宋_GB2312"/>
          <w:color w:val="auto"/>
          <w:sz w:val="32"/>
          <w:szCs w:val="32"/>
        </w:rPr>
        <w:t>等多家媒体合作费用</w:t>
      </w:r>
      <w:r>
        <w:rPr>
          <w:rFonts w:hint="eastAsia" w:ascii="仿宋_GB2312" w:hAnsi="仿宋" w:eastAsia="仿宋_GB2312"/>
          <w:color w:val="auto"/>
          <w:sz w:val="32"/>
          <w:szCs w:val="32"/>
          <w:lang w:val="en-US" w:eastAsia="zh-CN"/>
        </w:rPr>
        <w:t>70</w:t>
      </w:r>
      <w:r>
        <w:rPr>
          <w:rFonts w:hint="eastAsia" w:ascii="仿宋_GB2312" w:hAnsi="仿宋" w:eastAsia="仿宋_GB2312"/>
          <w:color w:val="auto"/>
          <w:sz w:val="32"/>
          <w:szCs w:val="32"/>
        </w:rPr>
        <w:t>万元；支</w:t>
      </w:r>
      <w:r>
        <w:rPr>
          <w:rFonts w:hint="eastAsia" w:ascii="仿宋_GB2312" w:hAnsi="仿宋" w:eastAsia="仿宋_GB2312"/>
          <w:color w:val="auto"/>
          <w:sz w:val="32"/>
          <w:szCs w:val="32"/>
          <w:lang w:eastAsia="zh-CN"/>
        </w:rPr>
        <w:t>核桃</w:t>
      </w:r>
      <w:r>
        <w:rPr>
          <w:rFonts w:hint="eastAsia" w:ascii="仿宋_GB2312" w:hAnsi="仿宋" w:eastAsia="仿宋_GB2312"/>
          <w:color w:val="auto"/>
          <w:sz w:val="32"/>
          <w:szCs w:val="32"/>
        </w:rPr>
        <w:t>文化旅游节</w:t>
      </w:r>
      <w:r>
        <w:rPr>
          <w:rFonts w:hint="eastAsia" w:ascii="仿宋_GB2312" w:hAnsi="仿宋" w:eastAsia="仿宋_GB2312"/>
          <w:color w:val="auto"/>
          <w:sz w:val="32"/>
          <w:szCs w:val="32"/>
          <w:lang w:eastAsia="zh-CN"/>
        </w:rPr>
        <w:t>、生态康养文旅、行摄中国</w:t>
      </w:r>
      <w:r>
        <w:rPr>
          <w:rFonts w:hint="eastAsia" w:ascii="仿宋_GB2312" w:hAnsi="仿宋" w:eastAsia="仿宋_GB2312"/>
          <w:color w:val="auto"/>
          <w:sz w:val="32"/>
          <w:szCs w:val="32"/>
          <w:lang w:val="en-US" w:eastAsia="zh-CN"/>
        </w:rPr>
        <w:t>.朝天行活动推广、</w:t>
      </w:r>
      <w:r>
        <w:rPr>
          <w:rFonts w:hint="eastAsia" w:ascii="仿宋_GB2312" w:hAnsi="仿宋" w:eastAsia="仿宋_GB2312"/>
          <w:color w:val="auto"/>
          <w:sz w:val="32"/>
          <w:szCs w:val="32"/>
          <w:lang w:eastAsia="zh-CN"/>
        </w:rPr>
        <w:t>曾家山采风活动及冰雪节</w:t>
      </w:r>
      <w:r>
        <w:rPr>
          <w:rFonts w:hint="eastAsia" w:ascii="仿宋_GB2312" w:hAnsi="仿宋" w:eastAsia="仿宋_GB2312"/>
          <w:color w:val="auto"/>
          <w:sz w:val="32"/>
          <w:szCs w:val="32"/>
        </w:rPr>
        <w:t>等专题宣传</w:t>
      </w:r>
      <w:r>
        <w:rPr>
          <w:rFonts w:hint="eastAsia" w:ascii="仿宋_GB2312" w:hAnsi="仿宋" w:eastAsia="仿宋_GB2312"/>
          <w:color w:val="auto"/>
          <w:sz w:val="32"/>
          <w:szCs w:val="32"/>
          <w:lang w:eastAsia="zh-CN"/>
        </w:rPr>
        <w:t>费</w:t>
      </w:r>
      <w:r>
        <w:rPr>
          <w:rFonts w:hint="eastAsia" w:ascii="仿宋_GB2312" w:hAnsi="仿宋" w:eastAsia="仿宋_GB2312"/>
          <w:color w:val="auto"/>
          <w:sz w:val="32"/>
          <w:szCs w:val="32"/>
          <w:lang w:val="en-US" w:eastAsia="zh-CN"/>
        </w:rPr>
        <w:t>70.8</w:t>
      </w:r>
      <w:r>
        <w:rPr>
          <w:rFonts w:hint="eastAsia" w:ascii="仿宋_GB2312" w:hAnsi="仿宋" w:eastAsia="仿宋_GB2312"/>
          <w:color w:val="auto"/>
          <w:sz w:val="32"/>
          <w:szCs w:val="32"/>
        </w:rPr>
        <w:t>万元；支新闻媒体活动会务费等支出</w:t>
      </w:r>
      <w:r>
        <w:rPr>
          <w:rFonts w:hint="eastAsia" w:ascii="仿宋_GB2312" w:hAnsi="仿宋" w:eastAsia="仿宋_GB2312"/>
          <w:color w:val="auto"/>
          <w:sz w:val="32"/>
          <w:szCs w:val="32"/>
          <w:lang w:val="en-US" w:eastAsia="zh-CN"/>
        </w:rPr>
        <w:t>9.2</w:t>
      </w:r>
      <w:r>
        <w:rPr>
          <w:rFonts w:hint="eastAsia" w:ascii="仿宋_GB2312" w:hAnsi="仿宋" w:eastAsia="仿宋_GB2312"/>
          <w:color w:val="auto"/>
          <w:sz w:val="32"/>
          <w:szCs w:val="32"/>
        </w:rPr>
        <w:t>万元。</w:t>
      </w:r>
    </w:p>
    <w:p>
      <w:pPr>
        <w:autoSpaceDE w:val="0"/>
        <w:spacing w:line="540" w:lineRule="exact"/>
        <w:ind w:firstLine="616" w:firstLineChars="200"/>
        <w:outlineLvl w:val="2"/>
        <w:rPr>
          <w:rFonts w:ascii="楷体_GB2312" w:hAnsi="Times New Roman" w:eastAsia="楷体_GB2312"/>
          <w:bCs/>
          <w:color w:val="auto"/>
          <w:spacing w:val="-6"/>
          <w:sz w:val="32"/>
          <w:szCs w:val="32"/>
        </w:rPr>
      </w:pPr>
      <w:bookmarkStart w:id="108" w:name="_Toc12030"/>
      <w:r>
        <w:rPr>
          <w:rFonts w:hint="eastAsia" w:ascii="楷体_GB2312" w:hAnsi="Times New Roman" w:eastAsia="楷体_GB2312"/>
          <w:bCs/>
          <w:color w:val="auto"/>
          <w:spacing w:val="-6"/>
          <w:sz w:val="32"/>
          <w:szCs w:val="32"/>
        </w:rPr>
        <w:t>（二）项目财务管理情况</w:t>
      </w:r>
      <w:bookmarkEnd w:id="108"/>
    </w:p>
    <w:p>
      <w:pPr>
        <w:spacing w:line="560" w:lineRule="exact"/>
        <w:ind w:firstLine="645"/>
        <w:rPr>
          <w:rFonts w:ascii="仿宋_GB2312" w:hAnsi="仿宋" w:eastAsia="仿宋_GB2312"/>
          <w:color w:val="auto"/>
          <w:sz w:val="32"/>
          <w:szCs w:val="32"/>
        </w:rPr>
      </w:pPr>
      <w:r>
        <w:rPr>
          <w:rFonts w:hint="eastAsia" w:ascii="仿宋_GB2312" w:hAnsi="仿宋" w:eastAsia="仿宋_GB2312"/>
          <w:color w:val="auto"/>
          <w:sz w:val="32"/>
          <w:szCs w:val="32"/>
        </w:rPr>
        <w:t>该项目</w:t>
      </w:r>
      <w:r>
        <w:rPr>
          <w:rFonts w:hint="eastAsia" w:ascii="仿宋_GB2312" w:hAnsi="仿宋" w:eastAsia="仿宋_GB2312"/>
          <w:color w:val="auto"/>
          <w:sz w:val="32"/>
          <w:szCs w:val="32"/>
          <w:lang w:val="zh-CN"/>
        </w:rPr>
        <w:t>支出采取财政直付方式进行，严格按照机关财务管理制度，由经办股室核实并签署意见，财务审核相关票据及附件，报领导审批通过后执行，</w:t>
      </w:r>
      <w:r>
        <w:rPr>
          <w:rFonts w:hint="eastAsia" w:ascii="仿宋_GB2312" w:hAnsi="Times New Roman" w:eastAsia="仿宋_GB2312"/>
          <w:color w:val="auto"/>
          <w:spacing w:val="-6"/>
          <w:sz w:val="32"/>
          <w:szCs w:val="32"/>
        </w:rPr>
        <w:t>严格执行财务管理制度，</w:t>
      </w:r>
      <w:r>
        <w:rPr>
          <w:rFonts w:hint="eastAsia" w:ascii="仿宋_GB2312" w:hAnsi="仿宋" w:eastAsia="仿宋_GB2312"/>
          <w:color w:val="auto"/>
          <w:sz w:val="32"/>
          <w:szCs w:val="32"/>
          <w:lang w:val="zh-CN"/>
        </w:rPr>
        <w:t>及时、规范对收支进行财务处理和会计核算。</w:t>
      </w:r>
    </w:p>
    <w:p>
      <w:pPr>
        <w:autoSpaceDE w:val="0"/>
        <w:spacing w:line="540" w:lineRule="exact"/>
        <w:ind w:firstLine="616" w:firstLineChars="200"/>
        <w:outlineLvl w:val="2"/>
        <w:rPr>
          <w:rFonts w:ascii="楷体_GB2312" w:hAnsi="Times New Roman" w:eastAsia="楷体_GB2312"/>
          <w:bCs/>
          <w:color w:val="auto"/>
          <w:spacing w:val="-6"/>
          <w:sz w:val="32"/>
          <w:szCs w:val="32"/>
        </w:rPr>
      </w:pPr>
      <w:bookmarkStart w:id="109" w:name="_Toc26175"/>
      <w:r>
        <w:rPr>
          <w:rFonts w:hint="eastAsia" w:ascii="楷体_GB2312" w:hAnsi="Times New Roman" w:eastAsia="楷体_GB2312"/>
          <w:bCs/>
          <w:color w:val="auto"/>
          <w:spacing w:val="-6"/>
          <w:sz w:val="32"/>
          <w:szCs w:val="32"/>
        </w:rPr>
        <w:t>（三）项目组织实施情况</w:t>
      </w:r>
      <w:bookmarkEnd w:id="109"/>
    </w:p>
    <w:p>
      <w:pPr>
        <w:spacing w:line="560" w:lineRule="exact"/>
        <w:ind w:firstLine="645"/>
        <w:rPr>
          <w:rFonts w:ascii="仿宋_GB2312" w:hAnsi="仿宋" w:eastAsia="仿宋_GB2312"/>
          <w:color w:val="auto"/>
          <w:sz w:val="32"/>
          <w:szCs w:val="32"/>
          <w:shd w:val="clear" w:color="auto" w:fill="auto"/>
          <w:lang w:val="zh-CN"/>
        </w:rPr>
      </w:pPr>
      <w:r>
        <w:rPr>
          <w:rFonts w:hint="eastAsia" w:ascii="仿宋_GB2312" w:hAnsi="仿宋" w:eastAsia="仿宋_GB2312"/>
          <w:color w:val="auto"/>
          <w:sz w:val="32"/>
          <w:szCs w:val="32"/>
          <w:shd w:val="clear" w:color="auto" w:fill="auto"/>
          <w:lang w:val="zh-CN"/>
        </w:rPr>
        <w:t>该项目主要由区委外宣办组织负责实施，区委宣传部新闻传播股具体落实。我部结合区委、区政府全年工作安排及部署，与主流媒体签订年度合作协议，合作媒体对需要报道的事件，通过对外宣办提供的选题进行策划，通过电视、报纸、网络、微信、微博等传统媒体与新兴媒体进行系列报道、深度报道、专题报道。</w:t>
      </w:r>
      <w:r>
        <w:rPr>
          <w:rFonts w:ascii="仿宋_GB2312" w:hAnsi="仿宋" w:eastAsia="仿宋_GB2312"/>
          <w:color w:val="auto"/>
          <w:sz w:val="32"/>
          <w:szCs w:val="32"/>
          <w:shd w:val="clear" w:color="auto" w:fill="auto"/>
        </w:rPr>
        <w:t>202</w:t>
      </w:r>
      <w:r>
        <w:rPr>
          <w:rFonts w:hint="eastAsia" w:ascii="仿宋_GB2312" w:hAnsi="仿宋" w:eastAsia="仿宋_GB2312"/>
          <w:color w:val="auto"/>
          <w:sz w:val="32"/>
          <w:szCs w:val="32"/>
          <w:shd w:val="clear" w:color="auto" w:fill="auto"/>
          <w:lang w:val="en-US" w:eastAsia="zh-CN"/>
        </w:rPr>
        <w:t>2</w:t>
      </w:r>
      <w:r>
        <w:rPr>
          <w:rFonts w:hint="eastAsia" w:ascii="仿宋_GB2312" w:hAnsi="仿宋" w:eastAsia="仿宋_GB2312"/>
          <w:color w:val="auto"/>
          <w:sz w:val="32"/>
          <w:szCs w:val="32"/>
          <w:shd w:val="clear" w:color="auto" w:fill="auto"/>
          <w:lang w:val="zh-CN"/>
        </w:rPr>
        <w:t>年，与中央、省、市三级媒体建立了宣传合作关系，包括人民日报、中国县域经济报、中央电视台、人民网、国际在线、中国网、四川日报、四川农村日报、华西都市报（封面新闻）、四川电视台、广元日报、广元电视台、广元新闻网等；完成</w:t>
      </w:r>
      <w:r>
        <w:rPr>
          <w:rFonts w:hint="eastAsia" w:ascii="仿宋_GB2312" w:hAnsi="仿宋" w:eastAsia="仿宋_GB2312"/>
          <w:color w:val="auto"/>
          <w:sz w:val="32"/>
          <w:szCs w:val="32"/>
          <w:shd w:val="clear" w:color="auto" w:fill="auto"/>
          <w:lang w:val="en-US" w:eastAsia="zh-CN"/>
        </w:rPr>
        <w:t>7</w:t>
      </w:r>
      <w:r>
        <w:rPr>
          <w:rFonts w:ascii="仿宋_GB2312" w:hAnsi="仿宋" w:eastAsia="仿宋_GB2312"/>
          <w:color w:val="auto"/>
          <w:sz w:val="32"/>
          <w:szCs w:val="32"/>
          <w:shd w:val="clear" w:color="auto" w:fill="auto"/>
        </w:rPr>
        <w:t>000</w:t>
      </w:r>
      <w:r>
        <w:rPr>
          <w:rFonts w:hint="eastAsia" w:ascii="仿宋_GB2312" w:hAnsi="仿宋" w:eastAsia="仿宋_GB2312"/>
          <w:color w:val="auto"/>
          <w:sz w:val="32"/>
          <w:szCs w:val="32"/>
          <w:shd w:val="clear" w:color="auto" w:fill="auto"/>
          <w:lang w:val="zh-CN"/>
        </w:rPr>
        <w:t>条以上新闻稿件的刊发（播），全面展示了朝天发展成就和良好形象。外宣工作通过建机制、树品牌、强影响，成效明显，相关经验得到市委宣传部充分认可，在全市外宣工作推进上作经验交流。</w:t>
      </w:r>
    </w:p>
    <w:p>
      <w:pPr>
        <w:autoSpaceDE w:val="0"/>
        <w:spacing w:line="540" w:lineRule="exact"/>
        <w:ind w:firstLine="616" w:firstLineChars="200"/>
        <w:outlineLvl w:val="1"/>
        <w:rPr>
          <w:rFonts w:ascii="黑体" w:hAnsi="黑体" w:eastAsia="黑体"/>
          <w:color w:val="auto"/>
          <w:spacing w:val="-6"/>
          <w:sz w:val="32"/>
          <w:szCs w:val="32"/>
        </w:rPr>
      </w:pPr>
      <w:bookmarkStart w:id="110" w:name="_Toc25947"/>
      <w:r>
        <w:rPr>
          <w:rFonts w:hint="eastAsia" w:ascii="黑体" w:hAnsi="黑体" w:eastAsia="黑体"/>
          <w:color w:val="auto"/>
          <w:spacing w:val="-6"/>
          <w:sz w:val="32"/>
          <w:szCs w:val="32"/>
        </w:rPr>
        <w:t>三、项目绩效情况</w:t>
      </w:r>
      <w:bookmarkEnd w:id="110"/>
      <w:r>
        <w:rPr>
          <w:rFonts w:ascii="黑体" w:hAnsi="黑体" w:eastAsia="黑体"/>
          <w:color w:val="auto"/>
          <w:spacing w:val="-6"/>
          <w:sz w:val="32"/>
          <w:szCs w:val="32"/>
        </w:rPr>
        <w:tab/>
      </w:r>
    </w:p>
    <w:p>
      <w:pPr>
        <w:autoSpaceDE w:val="0"/>
        <w:spacing w:line="540" w:lineRule="exact"/>
        <w:ind w:firstLine="616" w:firstLineChars="200"/>
        <w:outlineLvl w:val="2"/>
        <w:rPr>
          <w:rFonts w:ascii="楷体_GB2312" w:hAnsi="Times New Roman" w:eastAsia="楷体_GB2312"/>
          <w:bCs/>
          <w:color w:val="auto"/>
          <w:spacing w:val="-6"/>
          <w:sz w:val="32"/>
          <w:szCs w:val="32"/>
        </w:rPr>
      </w:pPr>
      <w:bookmarkStart w:id="111" w:name="_Toc6301"/>
      <w:r>
        <w:rPr>
          <w:rFonts w:hint="eastAsia" w:ascii="楷体_GB2312" w:hAnsi="Times New Roman" w:eastAsia="楷体_GB2312"/>
          <w:bCs/>
          <w:color w:val="auto"/>
          <w:spacing w:val="-6"/>
          <w:sz w:val="32"/>
          <w:szCs w:val="32"/>
        </w:rPr>
        <w:t>（一）项目完成情况</w:t>
      </w:r>
      <w:bookmarkEnd w:id="111"/>
    </w:p>
    <w:p>
      <w:pPr>
        <w:autoSpaceDE w:val="0"/>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2022 年，新闻宣传工作紧扣全区工作大局和特色禀赋讲述“朝天故事”，与中央、省、市主流媒体开展深度合作，主动策划选题，在攻大媒、上头版、出精品上取得新的突破。全年在市级及以上主流媒体刊发新闻稿件7700余条，其中《人民日报》刊发2篇，中央电视台刊播42条(新闻联播6条),《四川日报》刊发39篇，四川电视台107 条(四川新闻33条)，广元日报刊发头版32个(头条7个)，广元电视台刊播广元新闻头条15个,全面展示了朝天发展成就和良好形象，“栈道之都、养生朝天”名片更加靓丽。</w:t>
      </w:r>
    </w:p>
    <w:p>
      <w:pPr>
        <w:autoSpaceDE w:val="0"/>
        <w:spacing w:line="540" w:lineRule="exact"/>
        <w:ind w:firstLine="616" w:firstLineChars="200"/>
        <w:outlineLvl w:val="2"/>
        <w:rPr>
          <w:rFonts w:ascii="楷体_GB2312" w:hAnsi="Times New Roman" w:eastAsia="楷体_GB2312"/>
          <w:bCs/>
          <w:spacing w:val="-6"/>
          <w:sz w:val="32"/>
          <w:szCs w:val="32"/>
        </w:rPr>
      </w:pPr>
      <w:bookmarkStart w:id="112" w:name="_Toc20358"/>
      <w:r>
        <w:rPr>
          <w:rFonts w:hint="eastAsia" w:ascii="楷体_GB2312" w:hAnsi="Times New Roman" w:eastAsia="楷体_GB2312"/>
          <w:bCs/>
          <w:spacing w:val="-6"/>
          <w:sz w:val="32"/>
          <w:szCs w:val="32"/>
        </w:rPr>
        <w:t>（二）项目效益情况</w:t>
      </w:r>
      <w:bookmarkEnd w:id="112"/>
    </w:p>
    <w:p>
      <w:pPr>
        <w:ind w:firstLine="800" w:firstLineChars="25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宣传效益</w:t>
      </w:r>
    </w:p>
    <w:p>
      <w:pPr>
        <w:ind w:firstLine="800" w:firstLineChars="250"/>
        <w:rPr>
          <w:rFonts w:ascii="仿宋_GB2312" w:eastAsia="仿宋_GB2312"/>
          <w:color w:val="auto"/>
          <w:sz w:val="32"/>
          <w:szCs w:val="32"/>
        </w:rPr>
      </w:pPr>
      <w:r>
        <w:rPr>
          <w:rFonts w:hint="eastAsia" w:ascii="仿宋_GB2312" w:eastAsia="仿宋_GB2312"/>
          <w:color w:val="auto"/>
          <w:sz w:val="32"/>
          <w:szCs w:val="32"/>
        </w:rPr>
        <w:t>区委宣传部与多家媒体合作，通过动态新闻报道和深度专题报道相结合的方式，大力宣传朝天区重大决策部署和生动实践，推出了一批有深度、有影响的重点报道。</w:t>
      </w:r>
    </w:p>
    <w:p>
      <w:pPr>
        <w:ind w:firstLine="800" w:firstLineChars="25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社会效益</w:t>
      </w:r>
    </w:p>
    <w:p>
      <w:pPr>
        <w:ind w:firstLine="800" w:firstLineChars="250"/>
        <w:rPr>
          <w:rFonts w:ascii="仿宋_GB2312" w:eastAsia="仿宋_GB2312"/>
          <w:color w:val="auto"/>
          <w:sz w:val="32"/>
          <w:szCs w:val="32"/>
        </w:rPr>
      </w:pPr>
      <w:r>
        <w:rPr>
          <w:rFonts w:hint="eastAsia" w:ascii="仿宋_GB2312" w:eastAsia="仿宋_GB2312"/>
          <w:color w:val="auto"/>
          <w:sz w:val="32"/>
          <w:szCs w:val="32"/>
        </w:rPr>
        <w:t>采取传统媒体和新媒体相结合的宣传矩阵，满足了不同年龄、不同职业的干部群众对新闻信息的需求。通过对朝天的全面宣传，激发了干部群众热爱朝天，建设朝天的热情，增强了幸福感、满意度。</w:t>
      </w:r>
    </w:p>
    <w:p>
      <w:pPr>
        <w:ind w:firstLine="800" w:firstLineChars="25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经济效益</w:t>
      </w:r>
    </w:p>
    <w:p>
      <w:pPr>
        <w:ind w:firstLine="800" w:firstLineChars="250"/>
        <w:rPr>
          <w:rFonts w:ascii="仿宋_GB2312" w:eastAsia="仿宋_GB2312"/>
          <w:color w:val="auto"/>
          <w:sz w:val="32"/>
          <w:szCs w:val="32"/>
        </w:rPr>
      </w:pPr>
      <w:r>
        <w:rPr>
          <w:rFonts w:hint="eastAsia" w:ascii="仿宋_GB2312" w:eastAsia="仿宋_GB2312"/>
          <w:color w:val="auto"/>
          <w:sz w:val="32"/>
          <w:szCs w:val="32"/>
        </w:rPr>
        <w:t>通过新闻宣传，为朝天经济社会发展营造了良好的舆论氛围，激发了全区人民奋斗进取创造美好生活的精神动力，同时对促成各类招商引资项目起到了积极的宣传引导作用。</w:t>
      </w:r>
    </w:p>
    <w:p>
      <w:pPr>
        <w:pageBreakBefore w:val="0"/>
        <w:widowControl w:val="0"/>
        <w:kinsoku/>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kern w:val="0"/>
          <w:sz w:val="32"/>
          <w:szCs w:val="32"/>
          <w:lang w:val="en-US" w:eastAsia="zh-CN"/>
        </w:rPr>
      </w:pPr>
    </w:p>
    <w:p>
      <w:pPr>
        <w:pStyle w:val="6"/>
        <w:rPr>
          <w:rFonts w:hint="eastAsia"/>
          <w:lang w:val="en-US" w:eastAsia="zh-CN"/>
        </w:rPr>
      </w:pPr>
    </w:p>
    <w:p>
      <w:pPr>
        <w:pageBreakBefore w:val="0"/>
        <w:widowControl w:val="0"/>
        <w:kinsoku/>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kern w:val="0"/>
          <w:sz w:val="32"/>
          <w:szCs w:val="32"/>
          <w:lang w:val="en-US" w:eastAsia="zh-CN"/>
        </w:rPr>
      </w:pPr>
    </w:p>
    <w:p>
      <w:pPr>
        <w:pageBreakBefore w:val="0"/>
        <w:widowControl w:val="0"/>
        <w:kinsoku/>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kern w:val="0"/>
          <w:sz w:val="32"/>
          <w:szCs w:val="32"/>
          <w:lang w:val="en-US" w:eastAsia="zh-CN"/>
        </w:rPr>
      </w:pPr>
    </w:p>
    <w:p>
      <w:pPr>
        <w:pageBreakBefore w:val="0"/>
        <w:widowControl w:val="0"/>
        <w:kinsoku/>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kern w:val="0"/>
          <w:sz w:val="32"/>
          <w:szCs w:val="32"/>
          <w:lang w:val="en-US" w:eastAsia="zh-CN"/>
        </w:rPr>
      </w:pPr>
    </w:p>
    <w:p>
      <w:pPr>
        <w:pStyle w:val="2"/>
        <w:rPr>
          <w:rFonts w:hint="eastAsia" w:ascii="仿宋_GB2312" w:hAnsi="仿宋_GB2312" w:eastAsia="仿宋_GB2312" w:cs="仿宋_GB2312"/>
          <w:kern w:val="0"/>
          <w:sz w:val="32"/>
          <w:szCs w:val="32"/>
          <w:lang w:val="en-US" w:eastAsia="zh-CN"/>
        </w:rPr>
      </w:pPr>
    </w:p>
    <w:p>
      <w:pPr>
        <w:rPr>
          <w:rFonts w:hint="eastAsia"/>
          <w:lang w:val="en-US" w:eastAsia="zh-CN"/>
        </w:rPr>
      </w:pPr>
    </w:p>
    <w:p>
      <w:pPr>
        <w:pStyle w:val="6"/>
        <w:ind w:left="0" w:leftChars="0" w:firstLine="0" w:firstLineChars="0"/>
        <w:rPr>
          <w:rFonts w:hint="eastAsia"/>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2022年专项资金预算项目绩效自评报告</w:t>
      </w: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（社会宣传）</w:t>
      </w:r>
    </w:p>
    <w:p>
      <w:pPr>
        <w:autoSpaceDE w:val="0"/>
        <w:spacing w:line="540" w:lineRule="exact"/>
        <w:ind w:firstLine="616" w:firstLineChars="200"/>
        <w:rPr>
          <w:rFonts w:hint="eastAsia" w:ascii="黑体" w:hAnsi="黑体" w:eastAsia="黑体" w:cs="Times New Roman"/>
          <w:spacing w:val="-6"/>
          <w:sz w:val="32"/>
          <w:szCs w:val="32"/>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113" w:name="_Toc20846"/>
      <w:r>
        <w:rPr>
          <w:rFonts w:hint="eastAsia" w:ascii="黑体" w:hAnsi="黑体" w:eastAsia="黑体" w:cs="Times New Roman"/>
          <w:spacing w:val="-6"/>
          <w:sz w:val="32"/>
          <w:szCs w:val="32"/>
        </w:rPr>
        <w:t>一、项目概况</w:t>
      </w:r>
      <w:bookmarkEnd w:id="113"/>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2022年紧紧围绕区委区政府中心工作，立足自身优势，不断丰富宣传载体，全面宣传、贯彻党的政策、方针，引导社会舆论，营造良好的社会氛围；今年以来通过开展天府旅游名县创建、四川省旅游景区发展大会、大蜀道文化旅游节、广元市文化旅游发展大会等3多次专题社会氛围营造工作，大力宣传全区社会经济生活发生的翻天覆地的变化，激发全区人民奋发向上；大力开展文艺活动，培养文艺人才，创作文艺精品，实现全区文化大繁荣，为“文化强区”做出贡献。全年制作户外大型宣传标语60余幅，其他小型横幅等百余件；举办文化文艺活动5场次；录制文明城市创建、知客讲党史等宣传小视频10余件。</w:t>
      </w:r>
    </w:p>
    <w:p>
      <w:pPr>
        <w:ind w:firstLine="616" w:firstLineChars="200"/>
        <w:rPr>
          <w:rFonts w:hint="eastAsia" w:ascii="仿宋_GB2312" w:hAnsi="仿宋" w:eastAsia="仿宋_GB2312"/>
          <w:color w:val="auto"/>
          <w:sz w:val="32"/>
          <w:szCs w:val="32"/>
        </w:rPr>
      </w:pPr>
      <w:r>
        <w:rPr>
          <w:rFonts w:hint="eastAsia" w:ascii="楷体_GB2312" w:hAnsi="Times New Roman" w:eastAsia="楷体_GB2312" w:cs="Times New Roman"/>
          <w:bCs/>
          <w:color w:val="auto"/>
          <w:spacing w:val="-6"/>
          <w:sz w:val="32"/>
          <w:szCs w:val="32"/>
        </w:rPr>
        <w:t>（一）项目资金申报及批复情况。</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年度</w:t>
      </w:r>
      <w:r>
        <w:rPr>
          <w:rFonts w:hint="eastAsia" w:ascii="仿宋_GB2312" w:hAnsi="仿宋" w:eastAsia="仿宋_GB2312"/>
          <w:color w:val="auto"/>
          <w:sz w:val="32"/>
          <w:szCs w:val="32"/>
          <w:lang w:eastAsia="zh-CN"/>
        </w:rPr>
        <w:t>社会</w:t>
      </w:r>
      <w:r>
        <w:rPr>
          <w:rFonts w:hint="eastAsia" w:ascii="仿宋_GB2312" w:hAnsi="仿宋" w:eastAsia="仿宋_GB2312"/>
          <w:color w:val="auto"/>
          <w:sz w:val="32"/>
          <w:szCs w:val="32"/>
        </w:rPr>
        <w:t>宣传经费预算</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0万元，按年度进行申报，资金及时批复到位，其符合资金管理办法相关规定；</w:t>
      </w:r>
    </w:p>
    <w:p>
      <w:pPr>
        <w:ind w:firstLine="616" w:firstLineChars="200"/>
        <w:rPr>
          <w:rFonts w:hint="eastAsia" w:ascii="仿宋_GB2312" w:hAnsi="仿宋" w:eastAsia="仿宋_GB2312"/>
          <w:color w:val="auto"/>
          <w:sz w:val="32"/>
          <w:szCs w:val="32"/>
          <w:lang w:val="en-US" w:eastAsia="zh-CN"/>
        </w:rPr>
      </w:pPr>
      <w:r>
        <w:rPr>
          <w:rFonts w:hint="eastAsia" w:ascii="楷体_GB2312" w:hAnsi="Times New Roman" w:eastAsia="楷体_GB2312" w:cs="Times New Roman"/>
          <w:bCs/>
          <w:color w:val="auto"/>
          <w:spacing w:val="-6"/>
          <w:sz w:val="32"/>
          <w:szCs w:val="32"/>
        </w:rPr>
        <w:t>（二）项目绩效目标。</w:t>
      </w:r>
      <w:r>
        <w:rPr>
          <w:rFonts w:hint="eastAsia" w:ascii="仿宋_GB2312" w:hAnsi="仿宋" w:eastAsia="仿宋_GB2312"/>
          <w:color w:val="auto"/>
          <w:sz w:val="32"/>
          <w:szCs w:val="32"/>
          <w:lang w:val="en-US" w:eastAsia="zh-CN"/>
        </w:rPr>
        <w:t>2022年，社会宣传紧扣全区中心工作安排，大力宣传全区社会经济生活发生的翻天覆地的变化，激发全区人民奋发向上；大力开展文艺活动，培养文艺人才，创作文艺精品，实现全区文化大繁荣，为“文化强区”做出贡献。全年制作户外大型宣传标语60余幅，其他小型横幅等百余件；举办文化文艺活动5场次；录制文明城市创建、知客讲党史等宣传小视频10余件。</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lang w:eastAsia="zh-CN"/>
        </w:rPr>
        <w:t>社会宣传</w:t>
      </w:r>
      <w:r>
        <w:rPr>
          <w:rFonts w:hint="eastAsia" w:ascii="仿宋_GB2312" w:hAnsi="Times New Roman" w:eastAsia="仿宋_GB2312" w:cs="Times New Roman"/>
          <w:spacing w:val="-6"/>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14" w:name="_Toc19896"/>
      <w:r>
        <w:rPr>
          <w:rFonts w:hint="eastAsia" w:ascii="黑体" w:hAnsi="黑体" w:eastAsia="黑体" w:cs="Times New Roman"/>
          <w:spacing w:val="-6"/>
          <w:sz w:val="32"/>
          <w:szCs w:val="32"/>
        </w:rPr>
        <w:t>二、项目实施及管理情况</w:t>
      </w:r>
      <w:bookmarkEnd w:id="114"/>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5" w:name="_Toc12550"/>
      <w:r>
        <w:rPr>
          <w:rFonts w:hint="eastAsia" w:ascii="楷体_GB2312" w:hAnsi="Times New Roman" w:eastAsia="楷体_GB2312" w:cs="Times New Roman"/>
          <w:bCs/>
          <w:spacing w:val="-6"/>
          <w:sz w:val="32"/>
          <w:szCs w:val="32"/>
        </w:rPr>
        <w:t>（一）资金计划、到位及使用情况</w:t>
      </w:r>
      <w:bookmarkEnd w:id="115"/>
    </w:p>
    <w:p>
      <w:pPr>
        <w:spacing w:line="560" w:lineRule="exact"/>
        <w:ind w:firstLine="645"/>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社会</w:t>
      </w:r>
      <w:r>
        <w:rPr>
          <w:rFonts w:hint="eastAsia" w:ascii="仿宋_GB2312" w:hAnsi="仿宋" w:eastAsia="仿宋_GB2312"/>
          <w:sz w:val="32"/>
          <w:szCs w:val="32"/>
        </w:rPr>
        <w:t>宣传经费</w:t>
      </w:r>
      <w:r>
        <w:rPr>
          <w:rFonts w:hint="eastAsia" w:ascii="仿宋_GB2312" w:hAnsi="仿宋" w:eastAsia="仿宋_GB2312"/>
          <w:sz w:val="32"/>
          <w:szCs w:val="32"/>
          <w:lang w:eastAsia="zh-CN"/>
        </w:rPr>
        <w:t>申报</w:t>
      </w:r>
      <w:r>
        <w:rPr>
          <w:rFonts w:hint="eastAsia" w:ascii="仿宋_GB2312" w:hAnsi="仿宋" w:eastAsia="仿宋_GB2312"/>
          <w:sz w:val="32"/>
          <w:szCs w:val="32"/>
        </w:rPr>
        <w:t>财政预算</w:t>
      </w:r>
      <w:r>
        <w:rPr>
          <w:rFonts w:hint="eastAsia" w:ascii="仿宋_GB2312" w:hAnsi="仿宋" w:eastAsia="仿宋_GB2312"/>
          <w:sz w:val="32"/>
          <w:szCs w:val="32"/>
          <w:lang w:val="en-US" w:eastAsia="zh-CN"/>
        </w:rPr>
        <w:t>5</w:t>
      </w:r>
      <w:r>
        <w:rPr>
          <w:rFonts w:hint="eastAsia" w:ascii="仿宋_GB2312" w:hAnsi="仿宋" w:eastAsia="仿宋_GB2312"/>
          <w:sz w:val="32"/>
          <w:szCs w:val="32"/>
        </w:rPr>
        <w:t>0万元，批复下达资金</w:t>
      </w:r>
      <w:r>
        <w:rPr>
          <w:rFonts w:hint="eastAsia" w:ascii="仿宋_GB2312" w:hAnsi="仿宋" w:eastAsia="仿宋_GB2312"/>
          <w:sz w:val="32"/>
          <w:szCs w:val="32"/>
          <w:lang w:val="en-US" w:eastAsia="zh-CN"/>
        </w:rPr>
        <w:t>5</w:t>
      </w:r>
      <w:r>
        <w:rPr>
          <w:rFonts w:hint="eastAsia" w:ascii="仿宋_GB2312" w:hAnsi="仿宋" w:eastAsia="仿宋_GB2312"/>
          <w:sz w:val="32"/>
          <w:szCs w:val="32"/>
        </w:rPr>
        <w:t>0万元，到位</w:t>
      </w:r>
      <w:r>
        <w:rPr>
          <w:rFonts w:hint="eastAsia" w:ascii="仿宋_GB2312" w:hAnsi="仿宋" w:eastAsia="仿宋_GB2312"/>
          <w:sz w:val="32"/>
          <w:szCs w:val="32"/>
          <w:lang w:val="en-US" w:eastAsia="zh-CN"/>
        </w:rPr>
        <w:t>5</w:t>
      </w:r>
      <w:r>
        <w:rPr>
          <w:rFonts w:hint="eastAsia" w:ascii="仿宋_GB2312" w:hAnsi="仿宋" w:eastAsia="仿宋_GB2312"/>
          <w:sz w:val="32"/>
          <w:szCs w:val="32"/>
        </w:rPr>
        <w:t>0万元，资金到位率100%。</w:t>
      </w:r>
    </w:p>
    <w:p>
      <w:pPr>
        <w:spacing w:line="560" w:lineRule="exact"/>
        <w:ind w:firstLine="645"/>
        <w:rPr>
          <w:rFonts w:hint="eastAsia" w:ascii="仿宋_GB2312" w:hAnsi="仿宋" w:eastAsia="仿宋_GB2312"/>
          <w:color w:val="auto"/>
          <w:sz w:val="32"/>
          <w:szCs w:val="32"/>
        </w:rPr>
      </w:pPr>
      <w:r>
        <w:rPr>
          <w:rFonts w:hint="eastAsia" w:ascii="仿宋_GB2312" w:hAnsi="Times New Roman" w:eastAsia="仿宋_GB2312" w:cs="Times New Roman"/>
          <w:color w:val="auto"/>
          <w:spacing w:val="-6"/>
          <w:sz w:val="32"/>
          <w:szCs w:val="32"/>
        </w:rPr>
        <w:t>2.资金使用。</w:t>
      </w:r>
      <w:r>
        <w:rPr>
          <w:rFonts w:hint="eastAsia" w:ascii="仿宋_GB2312" w:hAnsi="仿宋" w:eastAsia="仿宋_GB2312"/>
          <w:color w:val="auto"/>
          <w:sz w:val="32"/>
          <w:szCs w:val="32"/>
          <w:lang w:val="zh-CN"/>
        </w:rPr>
        <w:t>截止</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年底</w:t>
      </w:r>
      <w:r>
        <w:rPr>
          <w:rFonts w:hint="eastAsia" w:ascii="仿宋_GB2312" w:hAnsi="仿宋" w:eastAsia="仿宋_GB2312"/>
          <w:color w:val="auto"/>
          <w:sz w:val="32"/>
          <w:szCs w:val="32"/>
          <w:lang w:val="zh-CN"/>
        </w:rPr>
        <w:t>，社会宣传经费实际支出</w:t>
      </w:r>
      <w:r>
        <w:rPr>
          <w:rFonts w:hint="eastAsia" w:ascii="仿宋_GB2312" w:hAnsi="仿宋" w:eastAsia="仿宋_GB2312"/>
          <w:color w:val="auto"/>
          <w:sz w:val="32"/>
          <w:szCs w:val="32"/>
          <w:lang w:val="en-US" w:eastAsia="zh-CN"/>
        </w:rPr>
        <w:t>50</w:t>
      </w:r>
      <w:r>
        <w:rPr>
          <w:rFonts w:hint="eastAsia" w:ascii="仿宋_GB2312" w:hAnsi="仿宋" w:eastAsia="仿宋_GB2312"/>
          <w:color w:val="auto"/>
          <w:sz w:val="32"/>
          <w:szCs w:val="32"/>
        </w:rPr>
        <w:t>万元，完成预算的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%。其中：</w:t>
      </w:r>
      <w:r>
        <w:rPr>
          <w:rFonts w:hint="eastAsia" w:ascii="仿宋_GB2312" w:hAnsi="仿宋" w:eastAsia="仿宋_GB2312"/>
          <w:color w:val="auto"/>
          <w:sz w:val="32"/>
          <w:szCs w:val="32"/>
          <w:lang w:eastAsia="zh-CN"/>
        </w:rPr>
        <w:t>重大节庆活动期间，户外广告标语制作、维修维护及广告位租赁费用</w:t>
      </w:r>
      <w:r>
        <w:rPr>
          <w:rFonts w:hint="eastAsia" w:ascii="仿宋_GB2312" w:hAnsi="仿宋" w:eastAsia="仿宋_GB2312"/>
          <w:color w:val="auto"/>
          <w:sz w:val="32"/>
          <w:szCs w:val="32"/>
          <w:lang w:val="en-US" w:eastAsia="zh-CN"/>
        </w:rPr>
        <w:t>34.02万元；长寿老人画展、画册打印装订及《文明之钥》专题片拍摄制作、知客论文创作等费用15.98万元</w:t>
      </w:r>
      <w:r>
        <w:rPr>
          <w:rFonts w:hint="eastAsia" w:ascii="仿宋_GB2312" w:hAnsi="仿宋" w:eastAsia="仿宋_GB2312"/>
          <w:color w:val="auto"/>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6" w:name="_Toc9227"/>
      <w:r>
        <w:rPr>
          <w:rFonts w:hint="eastAsia" w:ascii="楷体_GB2312" w:hAnsi="Times New Roman" w:eastAsia="楷体_GB2312" w:cs="Times New Roman"/>
          <w:bCs/>
          <w:spacing w:val="-6"/>
          <w:sz w:val="32"/>
          <w:szCs w:val="32"/>
        </w:rPr>
        <w:t>（二）项目财务管理情况</w:t>
      </w:r>
      <w:bookmarkEnd w:id="116"/>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lang w:eastAsia="zh-CN"/>
        </w:rPr>
        <w:t>该项目</w:t>
      </w:r>
      <w:r>
        <w:rPr>
          <w:rFonts w:hint="eastAsia" w:ascii="仿宋_GB2312" w:hAnsi="仿宋" w:eastAsia="仿宋_GB2312"/>
          <w:sz w:val="32"/>
          <w:szCs w:val="32"/>
          <w:lang w:val="zh-CN"/>
        </w:rPr>
        <w:t>支出采取财政直付方式进行，严格按照机关财务管理制度，由经办股室核实并签署意见，财务审核相关票据及附件，报领导审批通过后执行，</w:t>
      </w:r>
      <w:r>
        <w:rPr>
          <w:rFonts w:hint="eastAsia" w:ascii="仿宋_GB2312" w:hAnsi="Times New Roman" w:eastAsia="仿宋_GB2312" w:cs="Times New Roman"/>
          <w:spacing w:val="-6"/>
          <w:sz w:val="32"/>
          <w:szCs w:val="32"/>
        </w:rPr>
        <w:t>严格执行财务管理制度</w:t>
      </w:r>
      <w:r>
        <w:rPr>
          <w:rFonts w:hint="eastAsia" w:ascii="仿宋_GB2312" w:hAnsi="Times New Roman" w:eastAsia="仿宋_GB2312" w:cs="Times New Roman"/>
          <w:spacing w:val="-6"/>
          <w:sz w:val="32"/>
          <w:szCs w:val="32"/>
          <w:lang w:eastAsia="zh-CN"/>
        </w:rPr>
        <w:t>，</w:t>
      </w:r>
      <w:r>
        <w:rPr>
          <w:rFonts w:hint="eastAsia" w:ascii="仿宋_GB2312" w:hAnsi="仿宋" w:eastAsia="仿宋_GB2312"/>
          <w:sz w:val="32"/>
          <w:szCs w:val="32"/>
          <w:lang w:val="zh-CN"/>
        </w:rPr>
        <w:t>及时、规范对收支进行财务处理和会计核算。</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7" w:name="_Toc17371"/>
      <w:r>
        <w:rPr>
          <w:rFonts w:hint="eastAsia" w:ascii="楷体_GB2312" w:hAnsi="Times New Roman" w:eastAsia="楷体_GB2312" w:cs="Times New Roman"/>
          <w:bCs/>
          <w:spacing w:val="-6"/>
          <w:sz w:val="32"/>
          <w:szCs w:val="32"/>
        </w:rPr>
        <w:t>（三）项目组织实施情况</w:t>
      </w:r>
      <w:bookmarkEnd w:id="117"/>
    </w:p>
    <w:p>
      <w:pPr>
        <w:ind w:firstLine="640" w:firstLineChars="200"/>
        <w:rPr>
          <w:rFonts w:hint="eastAsia" w:ascii="仿宋_GB2312" w:hAnsi="仿宋" w:eastAsia="仿宋_GB2312"/>
          <w:color w:val="FF0000"/>
          <w:sz w:val="32"/>
          <w:szCs w:val="32"/>
          <w:lang w:val="zh-CN"/>
        </w:rPr>
      </w:pPr>
      <w:r>
        <w:rPr>
          <w:rFonts w:hint="eastAsia" w:ascii="仿宋_GB2312" w:hAnsi="仿宋" w:eastAsia="仿宋_GB2312"/>
          <w:sz w:val="32"/>
          <w:szCs w:val="32"/>
          <w:lang w:val="zh-CN" w:eastAsia="zh-CN"/>
        </w:rPr>
        <w:t>该项目主要由区委宣传部社会宣传股具体落实，执行过程中</w:t>
      </w:r>
      <w:r>
        <w:rPr>
          <w:rFonts w:hint="eastAsia" w:ascii="仿宋_GB2312" w:hAnsi="仿宋" w:eastAsia="仿宋_GB2312"/>
          <w:sz w:val="32"/>
          <w:szCs w:val="32"/>
          <w:lang w:val="en-US" w:eastAsia="zh-CN"/>
        </w:rPr>
        <w:t>严格落实《中国共产党宣传工作条例》《朝天区党政宣传标语设置管</w:t>
      </w:r>
      <w:r>
        <w:rPr>
          <w:rFonts w:ascii="仿宋_GB2312" w:hAnsi="仿宋_GB2312" w:eastAsia="仿宋_GB2312" w:cs="仿宋_GB2312"/>
          <w:b w:val="0"/>
          <w:bCs/>
          <w:color w:val="000000"/>
          <w:kern w:val="2"/>
          <w:sz w:val="32"/>
          <w:szCs w:val="32"/>
        </w:rPr>
        <w:t>理办法（试行）》等文件精神</w:t>
      </w:r>
      <w:r>
        <w:rPr>
          <w:rFonts w:hint="eastAsia" w:ascii="仿宋_GB2312" w:hAnsi="仿宋_GB2312" w:eastAsia="仿宋_GB2312" w:cs="仿宋_GB2312"/>
          <w:b w:val="0"/>
          <w:bCs/>
          <w:color w:val="000000"/>
          <w:kern w:val="2"/>
          <w:sz w:val="32"/>
          <w:szCs w:val="32"/>
          <w:lang w:eastAsia="zh-CN"/>
        </w:rPr>
        <w:t>执行。</w:t>
      </w:r>
    </w:p>
    <w:p>
      <w:pPr>
        <w:autoSpaceDE w:val="0"/>
        <w:spacing w:line="540" w:lineRule="exact"/>
        <w:ind w:firstLine="616" w:firstLineChars="200"/>
        <w:outlineLvl w:val="1"/>
        <w:rPr>
          <w:rFonts w:hint="eastAsia" w:ascii="黑体" w:hAnsi="黑体" w:eastAsia="黑体" w:cs="Times New Roman"/>
          <w:spacing w:val="-6"/>
          <w:sz w:val="32"/>
          <w:szCs w:val="32"/>
        </w:rPr>
      </w:pPr>
      <w:bookmarkStart w:id="118" w:name="_Toc19134"/>
      <w:r>
        <w:rPr>
          <w:rFonts w:hint="eastAsia" w:ascii="黑体" w:hAnsi="黑体" w:eastAsia="黑体" w:cs="Times New Roman"/>
          <w:spacing w:val="-6"/>
          <w:sz w:val="32"/>
          <w:szCs w:val="32"/>
        </w:rPr>
        <w:t>三、项目绩效情况</w:t>
      </w:r>
      <w:bookmarkEnd w:id="118"/>
      <w:r>
        <w:rPr>
          <w:rFonts w:hint="eastAsia" w:ascii="黑体" w:hAnsi="黑体" w:eastAsia="黑体" w:cs="Times New Roman"/>
          <w:spacing w:val="-6"/>
          <w:sz w:val="32"/>
          <w:szCs w:val="32"/>
        </w:rPr>
        <w:tab/>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9" w:name="_Toc20560"/>
      <w:r>
        <w:rPr>
          <w:rFonts w:hint="eastAsia" w:ascii="楷体_GB2312" w:hAnsi="Times New Roman" w:eastAsia="楷体_GB2312" w:cs="Times New Roman"/>
          <w:bCs/>
          <w:spacing w:val="-6"/>
          <w:sz w:val="32"/>
          <w:szCs w:val="32"/>
        </w:rPr>
        <w:t>（一）项目完成情况</w:t>
      </w:r>
      <w:bookmarkEnd w:id="119"/>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2022年开展天府旅游名县创建、四川省旅游景区发展大会、大蜀道文化旅游节、广元市文化旅游发展大会等3多次专题社会氛围营造工作，大力宣传全区社会经济生活发生的翻天覆地的变化，激发全区人民奋发向上；大力开展文艺活动，培养文艺人才，创作文艺精品，实现全区文化大繁荣，为“文化强区”做出贡献。全年制作户外大型宣传标语60余幅，其他小型横幅等百余件；举办文化文艺活动5场次；录制文明城市创建、知客讲党史等宣传小视频10余件。</w:t>
      </w:r>
    </w:p>
    <w:p>
      <w:pPr>
        <w:autoSpaceDE w:val="0"/>
        <w:spacing w:line="540" w:lineRule="exact"/>
        <w:ind w:firstLine="616" w:firstLineChars="200"/>
        <w:outlineLvl w:val="2"/>
        <w:rPr>
          <w:rFonts w:hint="eastAsia" w:ascii="黑体" w:hAnsi="黑体" w:eastAsia="黑体" w:cs="Times New Roman"/>
          <w:spacing w:val="-6"/>
          <w:sz w:val="32"/>
          <w:szCs w:val="32"/>
        </w:rPr>
      </w:pPr>
      <w:bookmarkStart w:id="120" w:name="_Toc18777"/>
      <w:r>
        <w:rPr>
          <w:rFonts w:hint="eastAsia" w:ascii="楷体_GB2312" w:hAnsi="Times New Roman" w:eastAsia="楷体_GB2312" w:cs="Times New Roman"/>
          <w:bCs/>
          <w:spacing w:val="-6"/>
          <w:sz w:val="32"/>
          <w:szCs w:val="32"/>
        </w:rPr>
        <w:t>（二）项目效益情况</w:t>
      </w:r>
      <w:bookmarkEnd w:id="120"/>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1.经济效益。作为公益性广告项目，不带来直接经济收益，通过资金的投入，提升了文化旅游知名度。</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社会效益。通过不断丰富宣传载体，全面宣传、贯彻党的政策、方针，引导社会舆论，营造良好的社会氛围，通过大力开展文艺活动，培养文艺人才，创作文艺精品，实现全区文化大繁荣，为“文化强区”做出贡献。</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3.生态效益。由于公益广告属于公益性项目,不产生直接生态效益。</w:t>
      </w:r>
    </w:p>
    <w:p>
      <w:pPr>
        <w:autoSpaceDE w:val="0"/>
        <w:spacing w:line="540" w:lineRule="exac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 xml:space="preserve">    </w:t>
      </w:r>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p>
    <w:p>
      <w:pPr>
        <w:pStyle w:val="2"/>
        <w:ind w:left="0" w:leftChars="0" w:firstLine="0" w:firstLineChars="0"/>
        <w:rPr>
          <w:rFonts w:hint="eastAsia" w:ascii="方正小标宋简体" w:hAnsi="方正小标宋简体" w:eastAsia="方正小标宋简体" w:cs="方正小标宋简体"/>
          <w:b w:val="0"/>
          <w:bCs/>
          <w:color w:val="000000"/>
          <w:spacing w:val="-6"/>
          <w:kern w:val="0"/>
          <w:sz w:val="44"/>
          <w:szCs w:val="44"/>
        </w:rPr>
      </w:pPr>
    </w:p>
    <w:p>
      <w:pPr>
        <w:rPr>
          <w:rFonts w:hint="eastAsia"/>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2022年专项资金预算项目绩效自评报告</w:t>
      </w: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（理论宣传）</w:t>
      </w:r>
    </w:p>
    <w:p>
      <w:pPr>
        <w:spacing w:line="560" w:lineRule="exact"/>
        <w:rPr>
          <w:rFonts w:hint="eastAsia" w:ascii="黑体" w:hAnsi="黑体" w:eastAsia="黑体"/>
          <w:sz w:val="32"/>
          <w:szCs w:val="32"/>
        </w:rPr>
      </w:pPr>
    </w:p>
    <w:p>
      <w:pPr>
        <w:autoSpaceDE w:val="0"/>
        <w:spacing w:line="540" w:lineRule="exact"/>
        <w:ind w:firstLine="616" w:firstLineChars="200"/>
        <w:outlineLvl w:val="1"/>
        <w:rPr>
          <w:rFonts w:hint="eastAsia" w:ascii="仿宋_GB2312" w:hAnsi="仿宋" w:eastAsia="仿宋_GB2312"/>
          <w:sz w:val="32"/>
          <w:szCs w:val="32"/>
          <w:lang w:val="en-US" w:eastAsia="zh-CN"/>
        </w:rPr>
      </w:pPr>
      <w:bookmarkStart w:id="121" w:name="_Toc30644"/>
      <w:r>
        <w:rPr>
          <w:rFonts w:hint="eastAsia" w:ascii="黑体" w:hAnsi="黑体" w:eastAsia="黑体" w:cs="Times New Roman"/>
          <w:spacing w:val="-6"/>
          <w:sz w:val="32"/>
          <w:szCs w:val="32"/>
        </w:rPr>
        <w:t>一、项目概况</w:t>
      </w:r>
      <w:bookmarkEnd w:id="121"/>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 w:eastAsia="仿宋_GB2312"/>
          <w:color w:val="auto"/>
          <w:sz w:val="32"/>
          <w:szCs w:val="32"/>
          <w:lang w:val="en-US" w:eastAsia="zh-CN"/>
        </w:rPr>
        <w:t>2022年紧紧围绕区委区政府中心工作，</w:t>
      </w:r>
      <w:r>
        <w:rPr>
          <w:rFonts w:hint="eastAsia" w:ascii="仿宋_GB2312" w:hAnsi="仿宋_GB2312" w:eastAsia="仿宋_GB2312" w:cs="仿宋_GB2312"/>
          <w:b w:val="0"/>
          <w:bCs w:val="0"/>
          <w:i w:val="0"/>
          <w:iCs w:val="0"/>
          <w:caps w:val="0"/>
          <w:color w:val="auto"/>
          <w:spacing w:val="0"/>
          <w:sz w:val="32"/>
          <w:szCs w:val="32"/>
        </w:rPr>
        <w:t>探索开展</w:t>
      </w:r>
      <w:r>
        <w:rPr>
          <w:rFonts w:hint="eastAsia" w:ascii="仿宋_GB2312" w:hAnsi="仿宋_GB2312" w:eastAsia="仿宋_GB2312" w:cs="仿宋_GB2312"/>
          <w:b w:val="0"/>
          <w:bCs w:val="0"/>
          <w:i w:val="0"/>
          <w:iCs w:val="0"/>
          <w:caps w:val="0"/>
          <w:color w:val="auto"/>
          <w:spacing w:val="0"/>
          <w:sz w:val="32"/>
          <w:szCs w:val="32"/>
          <w:lang w:val="en-US" w:eastAsia="zh-CN"/>
        </w:rPr>
        <w:t>党委（党组）</w:t>
      </w:r>
      <w:r>
        <w:rPr>
          <w:rFonts w:hint="eastAsia" w:ascii="仿宋_GB2312" w:hAnsi="仿宋_GB2312" w:eastAsia="仿宋_GB2312" w:cs="仿宋_GB2312"/>
          <w:b w:val="0"/>
          <w:bCs w:val="0"/>
          <w:i w:val="0"/>
          <w:iCs w:val="0"/>
          <w:caps w:val="0"/>
          <w:color w:val="auto"/>
          <w:spacing w:val="0"/>
          <w:sz w:val="32"/>
          <w:szCs w:val="32"/>
        </w:rPr>
        <w:t>理论学习中心组“联学+</w:t>
      </w:r>
      <w:r>
        <w:rPr>
          <w:rFonts w:hint="eastAsia" w:ascii="仿宋_GB2312" w:hAnsi="仿宋_GB2312" w:eastAsia="仿宋_GB2312" w:cs="仿宋_GB2312"/>
          <w:b w:val="0"/>
          <w:bCs w:val="0"/>
          <w:i w:val="0"/>
          <w:iCs w:val="0"/>
          <w:caps w:val="0"/>
          <w:color w:val="auto"/>
          <w:spacing w:val="0"/>
          <w:sz w:val="32"/>
          <w:szCs w:val="32"/>
          <w:lang w:val="en-US" w:eastAsia="zh-CN"/>
        </w:rPr>
        <w:t>旁</w:t>
      </w:r>
      <w:r>
        <w:rPr>
          <w:rFonts w:hint="eastAsia" w:ascii="仿宋_GB2312" w:hAnsi="仿宋_GB2312" w:eastAsia="仿宋_GB2312" w:cs="仿宋_GB2312"/>
          <w:b w:val="0"/>
          <w:bCs w:val="0"/>
          <w:i w:val="0"/>
          <w:iCs w:val="0"/>
          <w:caps w:val="0"/>
          <w:color w:val="auto"/>
          <w:spacing w:val="0"/>
          <w:sz w:val="32"/>
          <w:szCs w:val="32"/>
        </w:rPr>
        <w:t>听”，</w:t>
      </w:r>
      <w:r>
        <w:rPr>
          <w:rFonts w:hint="eastAsia" w:ascii="仿宋_GB2312" w:hAnsi="仿宋_GB2312" w:eastAsia="仿宋_GB2312" w:cs="仿宋_GB2312"/>
          <w:b w:val="0"/>
          <w:bCs w:val="0"/>
          <w:color w:val="auto"/>
          <w:sz w:val="32"/>
          <w:szCs w:val="32"/>
          <w:lang w:val="en-US" w:eastAsia="zh-CN"/>
        </w:rPr>
        <w:t>邀请国家级专家教授线上开展中心组学习；打造“朝天说”基层理论宣讲“一地一品”品牌建设；升华“书香朝天”建设，推出“最美朝天声音”“全民阅读推广大使”等</w:t>
      </w:r>
      <w:r>
        <w:rPr>
          <w:rFonts w:hint="eastAsia" w:ascii="仿宋_GB2312" w:hAnsi="仿宋_GB2312" w:eastAsia="仿宋_GB2312" w:cs="仿宋_GB2312"/>
          <w:b w:val="0"/>
          <w:bCs w:val="0"/>
          <w:color w:val="auto"/>
          <w:spacing w:val="-6"/>
          <w:sz w:val="32"/>
          <w:szCs w:val="32"/>
          <w:lang w:val="en-US" w:eastAsia="zh-CN"/>
        </w:rPr>
        <w:t>活动；“学习强国”供稿位列全市各县区第一。</w:t>
      </w:r>
    </w:p>
    <w:p>
      <w:pPr>
        <w:ind w:firstLine="616" w:firstLineChars="200"/>
        <w:rPr>
          <w:rFonts w:hint="eastAsia" w:ascii="仿宋_GB2312" w:hAnsi="仿宋" w:eastAsia="仿宋_GB2312"/>
          <w:color w:val="auto"/>
          <w:sz w:val="32"/>
          <w:szCs w:val="32"/>
        </w:rPr>
      </w:pPr>
      <w:r>
        <w:rPr>
          <w:rFonts w:hint="eastAsia" w:ascii="楷体_GB2312" w:hAnsi="Times New Roman" w:eastAsia="楷体_GB2312" w:cs="Times New Roman"/>
          <w:bCs/>
          <w:color w:val="auto"/>
          <w:spacing w:val="-6"/>
          <w:sz w:val="32"/>
          <w:szCs w:val="32"/>
        </w:rPr>
        <w:t>（一）项目资金申报及批复情况。</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年度</w:t>
      </w:r>
      <w:r>
        <w:rPr>
          <w:rFonts w:hint="eastAsia" w:ascii="仿宋_GB2312" w:hAnsi="仿宋" w:eastAsia="仿宋_GB2312"/>
          <w:color w:val="auto"/>
          <w:sz w:val="32"/>
          <w:szCs w:val="32"/>
          <w:lang w:eastAsia="zh-CN"/>
        </w:rPr>
        <w:t>理论</w:t>
      </w:r>
      <w:r>
        <w:rPr>
          <w:rFonts w:hint="eastAsia" w:ascii="仿宋_GB2312" w:hAnsi="仿宋" w:eastAsia="仿宋_GB2312"/>
          <w:color w:val="auto"/>
          <w:sz w:val="32"/>
          <w:szCs w:val="32"/>
        </w:rPr>
        <w:t>宣传经费预算</w:t>
      </w:r>
      <w:r>
        <w:rPr>
          <w:rFonts w:hint="eastAsia" w:ascii="仿宋_GB2312" w:hAnsi="仿宋" w:eastAsia="仿宋_GB2312"/>
          <w:color w:val="auto"/>
          <w:sz w:val="32"/>
          <w:szCs w:val="32"/>
          <w:lang w:val="en-US" w:eastAsia="zh-CN"/>
        </w:rPr>
        <w:t>22.41</w:t>
      </w:r>
      <w:r>
        <w:rPr>
          <w:rFonts w:hint="eastAsia" w:ascii="仿宋_GB2312" w:hAnsi="仿宋" w:eastAsia="仿宋_GB2312"/>
          <w:color w:val="auto"/>
          <w:sz w:val="32"/>
          <w:szCs w:val="32"/>
        </w:rPr>
        <w:t>万元，按年度进行申报，资金及时批复到位，其符合资金管理办法相关规定；</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16" w:firstLineChars="200"/>
        <w:textAlignment w:val="auto"/>
        <w:rPr>
          <w:rFonts w:hint="eastAsia" w:ascii="仿宋_GB2312" w:hAnsi="仿宋" w:eastAsia="仿宋_GB2312"/>
          <w:color w:val="auto"/>
          <w:sz w:val="32"/>
          <w:szCs w:val="32"/>
          <w:lang w:val="en-US" w:eastAsia="zh-CN"/>
        </w:rPr>
      </w:pPr>
      <w:r>
        <w:rPr>
          <w:rFonts w:hint="eastAsia" w:ascii="楷体_GB2312" w:hAnsi="Times New Roman" w:eastAsia="楷体_GB2312" w:cs="Times New Roman"/>
          <w:bCs/>
          <w:color w:val="auto"/>
          <w:spacing w:val="-6"/>
          <w:sz w:val="32"/>
          <w:szCs w:val="32"/>
        </w:rPr>
        <w:t>（二）项目绩效目标。</w:t>
      </w:r>
      <w:r>
        <w:rPr>
          <w:rFonts w:hint="eastAsia" w:ascii="仿宋_GB2312" w:hAnsi="仿宋" w:eastAsia="仿宋_GB2312"/>
          <w:color w:val="auto"/>
          <w:sz w:val="32"/>
          <w:szCs w:val="32"/>
          <w:lang w:val="en-US" w:eastAsia="zh-CN"/>
        </w:rPr>
        <w:t>2022年，理论宣传紧扣全区中心工作安排，通过</w:t>
      </w:r>
      <w:r>
        <w:rPr>
          <w:rFonts w:hint="eastAsia" w:ascii="仿宋_GB2312" w:hAnsi="仿宋_GB2312" w:eastAsia="仿宋_GB2312" w:cs="仿宋_GB2312"/>
          <w:b w:val="0"/>
          <w:bCs w:val="0"/>
          <w:color w:val="auto"/>
          <w:sz w:val="32"/>
          <w:szCs w:val="32"/>
          <w:lang w:val="en-US" w:eastAsia="zh-CN"/>
        </w:rPr>
        <w:t>开展党委（党组）理论学习中心组列席旁听12次，区委理论学习中心组开展集中学习研讨7次，推出高质量理论文章10余篇。大力推进“朝天说”基层理论宣讲品牌建设，创作“朝天说”—带您学习党的二十大精神微视频20个、“理响巴蜀”微视频7个，开展宣讲500余场次，受众15万余人。“学习强国”全国、全省平台分别采用7条、195条</w:t>
      </w:r>
      <w:r>
        <w:rPr>
          <w:rFonts w:hint="eastAsia" w:ascii="仿宋_GB2312" w:hAnsi="仿宋_GB2312" w:eastAsia="仿宋_GB2312" w:cs="仿宋_GB2312"/>
          <w:b w:val="0"/>
          <w:bCs w:val="0"/>
          <w:color w:val="auto"/>
          <w:sz w:val="32"/>
          <w:szCs w:val="32"/>
        </w:rPr>
        <w:t>。</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楷体_GB2312" w:hAnsi="Times New Roman" w:eastAsia="楷体_GB2312" w:cs="Times New Roman"/>
          <w:bCs/>
          <w:color w:val="auto"/>
          <w:spacing w:val="-6"/>
          <w:sz w:val="32"/>
          <w:szCs w:val="32"/>
        </w:rPr>
        <w:t>（三）项目资金申报相符性。</w:t>
      </w:r>
      <w:r>
        <w:rPr>
          <w:rFonts w:hint="eastAsia" w:ascii="仿宋_GB2312" w:hAnsi="Times New Roman" w:eastAsia="仿宋_GB2312" w:cs="Times New Roman"/>
          <w:color w:val="auto"/>
          <w:spacing w:val="-6"/>
          <w:sz w:val="32"/>
          <w:szCs w:val="32"/>
          <w:lang w:eastAsia="zh-CN"/>
        </w:rPr>
        <w:t>理论宣传</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outlineLvl w:val="1"/>
        <w:rPr>
          <w:rFonts w:hint="eastAsia" w:ascii="黑体" w:hAnsi="黑体" w:eastAsia="黑体" w:cs="Times New Roman"/>
          <w:color w:val="auto"/>
          <w:spacing w:val="-6"/>
          <w:sz w:val="32"/>
          <w:szCs w:val="32"/>
        </w:rPr>
      </w:pPr>
      <w:bookmarkStart w:id="122" w:name="_Toc15408"/>
      <w:r>
        <w:rPr>
          <w:rFonts w:hint="eastAsia" w:ascii="黑体" w:hAnsi="黑体" w:eastAsia="黑体" w:cs="Times New Roman"/>
          <w:color w:val="auto"/>
          <w:spacing w:val="-6"/>
          <w:sz w:val="32"/>
          <w:szCs w:val="32"/>
        </w:rPr>
        <w:t>二、项目实施及管理情况</w:t>
      </w:r>
      <w:bookmarkEnd w:id="122"/>
    </w:p>
    <w:p>
      <w:pPr>
        <w:autoSpaceDE w:val="0"/>
        <w:spacing w:line="540" w:lineRule="exact"/>
        <w:ind w:firstLine="616" w:firstLineChars="200"/>
        <w:outlineLvl w:val="2"/>
        <w:rPr>
          <w:rFonts w:hint="eastAsia" w:ascii="楷体_GB2312" w:hAnsi="Times New Roman" w:eastAsia="楷体_GB2312" w:cs="Times New Roman"/>
          <w:bCs/>
          <w:color w:val="auto"/>
          <w:spacing w:val="-6"/>
          <w:sz w:val="32"/>
          <w:szCs w:val="32"/>
        </w:rPr>
      </w:pPr>
      <w:bookmarkStart w:id="123" w:name="_Toc27716"/>
      <w:r>
        <w:rPr>
          <w:rFonts w:hint="eastAsia" w:ascii="楷体_GB2312" w:hAnsi="Times New Roman" w:eastAsia="楷体_GB2312" w:cs="Times New Roman"/>
          <w:bCs/>
          <w:color w:val="auto"/>
          <w:spacing w:val="-6"/>
          <w:sz w:val="32"/>
          <w:szCs w:val="32"/>
        </w:rPr>
        <w:t>（一）资金计划、到位及使用情况</w:t>
      </w:r>
      <w:bookmarkEnd w:id="123"/>
    </w:p>
    <w:p>
      <w:pPr>
        <w:spacing w:line="560" w:lineRule="exact"/>
        <w:ind w:firstLine="645"/>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1.资金计划及到位。</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理论</w:t>
      </w:r>
      <w:r>
        <w:rPr>
          <w:rFonts w:hint="eastAsia" w:ascii="仿宋_GB2312" w:hAnsi="仿宋" w:eastAsia="仿宋_GB2312"/>
          <w:color w:val="auto"/>
          <w:sz w:val="32"/>
          <w:szCs w:val="32"/>
        </w:rPr>
        <w:t>宣传经费</w:t>
      </w:r>
      <w:r>
        <w:rPr>
          <w:rFonts w:hint="eastAsia" w:ascii="仿宋_GB2312" w:hAnsi="仿宋" w:eastAsia="仿宋_GB2312"/>
          <w:color w:val="auto"/>
          <w:sz w:val="32"/>
          <w:szCs w:val="32"/>
          <w:lang w:eastAsia="zh-CN"/>
        </w:rPr>
        <w:t>申报</w:t>
      </w:r>
      <w:r>
        <w:rPr>
          <w:rFonts w:hint="eastAsia" w:ascii="仿宋_GB2312" w:hAnsi="仿宋" w:eastAsia="仿宋_GB2312"/>
          <w:color w:val="auto"/>
          <w:sz w:val="32"/>
          <w:szCs w:val="32"/>
        </w:rPr>
        <w:t>财政预算</w:t>
      </w:r>
      <w:r>
        <w:rPr>
          <w:rFonts w:hint="eastAsia" w:ascii="仿宋_GB2312" w:hAnsi="仿宋" w:eastAsia="仿宋_GB2312"/>
          <w:color w:val="auto"/>
          <w:sz w:val="32"/>
          <w:szCs w:val="32"/>
          <w:lang w:val="en-US" w:eastAsia="zh-CN"/>
        </w:rPr>
        <w:t>22.41</w:t>
      </w:r>
      <w:r>
        <w:rPr>
          <w:rFonts w:hint="eastAsia" w:ascii="仿宋_GB2312" w:hAnsi="仿宋" w:eastAsia="仿宋_GB2312"/>
          <w:color w:val="auto"/>
          <w:sz w:val="32"/>
          <w:szCs w:val="32"/>
        </w:rPr>
        <w:t>万元，批复下达资金</w:t>
      </w:r>
      <w:r>
        <w:rPr>
          <w:rFonts w:hint="eastAsia" w:ascii="仿宋_GB2312" w:hAnsi="仿宋" w:eastAsia="仿宋_GB2312"/>
          <w:color w:val="auto"/>
          <w:sz w:val="32"/>
          <w:szCs w:val="32"/>
          <w:lang w:val="en-US" w:eastAsia="zh-CN"/>
        </w:rPr>
        <w:t>22.41</w:t>
      </w:r>
      <w:r>
        <w:rPr>
          <w:rFonts w:hint="eastAsia" w:ascii="仿宋_GB2312" w:hAnsi="仿宋" w:eastAsia="仿宋_GB2312"/>
          <w:color w:val="auto"/>
          <w:sz w:val="32"/>
          <w:szCs w:val="32"/>
        </w:rPr>
        <w:t>万元，到位</w:t>
      </w:r>
      <w:r>
        <w:rPr>
          <w:rFonts w:hint="eastAsia" w:ascii="仿宋_GB2312" w:hAnsi="仿宋" w:eastAsia="仿宋_GB2312"/>
          <w:color w:val="auto"/>
          <w:sz w:val="32"/>
          <w:szCs w:val="32"/>
          <w:lang w:val="en-US" w:eastAsia="zh-CN"/>
        </w:rPr>
        <w:t>22.41</w:t>
      </w:r>
      <w:r>
        <w:rPr>
          <w:rFonts w:hint="eastAsia" w:ascii="仿宋_GB2312" w:hAnsi="仿宋" w:eastAsia="仿宋_GB2312"/>
          <w:color w:val="auto"/>
          <w:sz w:val="32"/>
          <w:szCs w:val="32"/>
        </w:rPr>
        <w:t>万元，资金到位率100%。</w:t>
      </w:r>
    </w:p>
    <w:p>
      <w:pPr>
        <w:spacing w:line="560" w:lineRule="exact"/>
        <w:ind w:firstLine="645"/>
        <w:rPr>
          <w:rFonts w:hint="eastAsia" w:ascii="仿宋_GB2312" w:hAnsi="仿宋" w:eastAsia="仿宋_GB2312"/>
          <w:color w:val="auto"/>
          <w:sz w:val="32"/>
          <w:szCs w:val="32"/>
        </w:rPr>
      </w:pPr>
      <w:r>
        <w:rPr>
          <w:rFonts w:hint="eastAsia" w:ascii="仿宋_GB2312" w:hAnsi="Times New Roman" w:eastAsia="仿宋_GB2312" w:cs="Times New Roman"/>
          <w:color w:val="auto"/>
          <w:spacing w:val="-6"/>
          <w:sz w:val="32"/>
          <w:szCs w:val="32"/>
        </w:rPr>
        <w:t>2.资金使用。</w:t>
      </w:r>
      <w:r>
        <w:rPr>
          <w:rFonts w:hint="eastAsia" w:ascii="仿宋_GB2312" w:hAnsi="仿宋" w:eastAsia="仿宋_GB2312"/>
          <w:color w:val="auto"/>
          <w:sz w:val="32"/>
          <w:szCs w:val="32"/>
          <w:lang w:val="zh-CN"/>
        </w:rPr>
        <w:t>截止</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年底</w:t>
      </w:r>
      <w:r>
        <w:rPr>
          <w:rFonts w:hint="eastAsia" w:ascii="仿宋_GB2312" w:hAnsi="仿宋" w:eastAsia="仿宋_GB2312"/>
          <w:color w:val="auto"/>
          <w:sz w:val="32"/>
          <w:szCs w:val="32"/>
          <w:lang w:val="zh-CN"/>
        </w:rPr>
        <w:t>，理论宣传经费实际支出</w:t>
      </w:r>
      <w:r>
        <w:rPr>
          <w:rFonts w:hint="eastAsia" w:ascii="仿宋_GB2312" w:hAnsi="仿宋" w:eastAsia="仿宋_GB2312"/>
          <w:color w:val="auto"/>
          <w:sz w:val="32"/>
          <w:szCs w:val="32"/>
          <w:lang w:val="en-US" w:eastAsia="zh-CN"/>
        </w:rPr>
        <w:t>22.41</w:t>
      </w:r>
      <w:r>
        <w:rPr>
          <w:rFonts w:hint="eastAsia" w:ascii="仿宋_GB2312" w:hAnsi="仿宋" w:eastAsia="仿宋_GB2312"/>
          <w:color w:val="auto"/>
          <w:sz w:val="32"/>
          <w:szCs w:val="32"/>
        </w:rPr>
        <w:t>万元，完成预算的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%。其中</w:t>
      </w:r>
      <w:r>
        <w:rPr>
          <w:rFonts w:hint="eastAsia" w:ascii="仿宋_GB2312" w:hAnsi="仿宋" w:eastAsia="仿宋_GB2312"/>
          <w:color w:val="auto"/>
          <w:sz w:val="32"/>
          <w:szCs w:val="32"/>
          <w:lang w:eastAsia="zh-CN"/>
        </w:rPr>
        <w:t>：培训费及会议资料印制费用支出</w:t>
      </w:r>
      <w:r>
        <w:rPr>
          <w:rFonts w:hint="eastAsia" w:ascii="仿宋_GB2312" w:hAnsi="仿宋" w:eastAsia="仿宋_GB2312"/>
          <w:color w:val="auto"/>
          <w:sz w:val="32"/>
          <w:szCs w:val="32"/>
          <w:lang w:val="en-US" w:eastAsia="zh-CN"/>
        </w:rPr>
        <w:t>10.5万元；理论文章刊发费用2万元；理论学习中心组学习书籍采购费用3.7万元；学习强国平台管理及理论宣讲宣传短视频制作等费用6.21万元</w:t>
      </w:r>
      <w:r>
        <w:rPr>
          <w:rFonts w:hint="eastAsia" w:ascii="仿宋_GB2312" w:hAnsi="仿宋" w:eastAsia="仿宋_GB2312"/>
          <w:color w:val="auto"/>
          <w:sz w:val="32"/>
          <w:szCs w:val="32"/>
        </w:rPr>
        <w:t>。</w:t>
      </w:r>
    </w:p>
    <w:p>
      <w:pPr>
        <w:autoSpaceDE w:val="0"/>
        <w:spacing w:line="540" w:lineRule="exact"/>
        <w:ind w:firstLine="616" w:firstLineChars="200"/>
        <w:outlineLvl w:val="2"/>
        <w:rPr>
          <w:rFonts w:hint="eastAsia" w:ascii="楷体_GB2312" w:hAnsi="Times New Roman" w:eastAsia="楷体_GB2312" w:cs="Times New Roman"/>
          <w:bCs/>
          <w:color w:val="auto"/>
          <w:spacing w:val="-6"/>
          <w:sz w:val="32"/>
          <w:szCs w:val="32"/>
        </w:rPr>
      </w:pPr>
      <w:bookmarkStart w:id="124" w:name="_Toc24289"/>
      <w:r>
        <w:rPr>
          <w:rFonts w:hint="eastAsia" w:ascii="楷体_GB2312" w:hAnsi="Times New Roman" w:eastAsia="楷体_GB2312" w:cs="Times New Roman"/>
          <w:bCs/>
          <w:color w:val="auto"/>
          <w:spacing w:val="-6"/>
          <w:sz w:val="32"/>
          <w:szCs w:val="32"/>
        </w:rPr>
        <w:t>（二）项目财务管理情况</w:t>
      </w:r>
      <w:bookmarkEnd w:id="124"/>
    </w:p>
    <w:p>
      <w:pPr>
        <w:spacing w:line="560" w:lineRule="exact"/>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该项目</w:t>
      </w:r>
      <w:r>
        <w:rPr>
          <w:rFonts w:hint="eastAsia" w:ascii="仿宋_GB2312" w:hAnsi="仿宋" w:eastAsia="仿宋_GB2312"/>
          <w:color w:val="auto"/>
          <w:sz w:val="32"/>
          <w:szCs w:val="32"/>
          <w:lang w:val="zh-CN"/>
        </w:rPr>
        <w:t>支出采取财政直付方式进行，严格按照机关财务管理制度，由经办股室核实并签署意见，财务审核相关票据及附件，报领导审批通过后执行，</w:t>
      </w:r>
      <w:r>
        <w:rPr>
          <w:rFonts w:hint="eastAsia" w:ascii="仿宋_GB2312" w:hAnsi="Times New Roman" w:eastAsia="仿宋_GB2312" w:cs="Times New Roman"/>
          <w:color w:val="auto"/>
          <w:spacing w:val="-6"/>
          <w:sz w:val="32"/>
          <w:szCs w:val="32"/>
        </w:rPr>
        <w:t>严格执行财务管理制度</w:t>
      </w:r>
      <w:r>
        <w:rPr>
          <w:rFonts w:hint="eastAsia" w:ascii="仿宋_GB2312" w:hAnsi="Times New Roman" w:eastAsia="仿宋_GB2312" w:cs="Times New Roman"/>
          <w:color w:val="auto"/>
          <w:spacing w:val="-6"/>
          <w:sz w:val="32"/>
          <w:szCs w:val="32"/>
          <w:lang w:eastAsia="zh-CN"/>
        </w:rPr>
        <w:t>，</w:t>
      </w:r>
      <w:r>
        <w:rPr>
          <w:rFonts w:hint="eastAsia" w:ascii="仿宋_GB2312" w:hAnsi="仿宋" w:eastAsia="仿宋_GB2312"/>
          <w:color w:val="auto"/>
          <w:sz w:val="32"/>
          <w:szCs w:val="32"/>
          <w:lang w:val="zh-CN"/>
        </w:rPr>
        <w:t>及时、规范对收支进行财务处理和会计核算。</w:t>
      </w:r>
    </w:p>
    <w:p>
      <w:pPr>
        <w:autoSpaceDE w:val="0"/>
        <w:spacing w:line="540" w:lineRule="exact"/>
        <w:ind w:firstLine="616" w:firstLineChars="200"/>
        <w:outlineLvl w:val="2"/>
        <w:rPr>
          <w:rFonts w:hint="eastAsia" w:ascii="楷体_GB2312" w:hAnsi="Times New Roman" w:eastAsia="楷体_GB2312" w:cs="Times New Roman"/>
          <w:bCs/>
          <w:color w:val="auto"/>
          <w:spacing w:val="-6"/>
          <w:sz w:val="32"/>
          <w:szCs w:val="32"/>
        </w:rPr>
      </w:pPr>
      <w:bookmarkStart w:id="125" w:name="_Toc19507"/>
      <w:r>
        <w:rPr>
          <w:rFonts w:hint="eastAsia" w:ascii="楷体_GB2312" w:hAnsi="Times New Roman" w:eastAsia="楷体_GB2312" w:cs="Times New Roman"/>
          <w:bCs/>
          <w:color w:val="auto"/>
          <w:spacing w:val="-6"/>
          <w:sz w:val="32"/>
          <w:szCs w:val="32"/>
        </w:rPr>
        <w:t>（三）项目组织实施情况</w:t>
      </w:r>
      <w:bookmarkEnd w:id="125"/>
    </w:p>
    <w:p>
      <w:pPr>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eastAsia="zh-CN"/>
        </w:rPr>
        <w:t>该项目主要由区委宣传部理论宣教股具体落实，执行过程中</w:t>
      </w:r>
      <w:r>
        <w:rPr>
          <w:rFonts w:hint="eastAsia" w:ascii="仿宋_GB2312" w:hAnsi="仿宋" w:eastAsia="仿宋_GB2312"/>
          <w:color w:val="auto"/>
          <w:sz w:val="32"/>
          <w:szCs w:val="32"/>
          <w:lang w:val="en-US" w:eastAsia="zh-CN"/>
        </w:rPr>
        <w:t>严格落实《中国共产党宣传工作条例》</w:t>
      </w:r>
      <w:r>
        <w:rPr>
          <w:rFonts w:hint="eastAsia" w:ascii="仿宋_GB2312" w:hAnsi="仿宋_GB2312" w:eastAsia="仿宋_GB2312" w:cs="仿宋_GB2312"/>
          <w:b w:val="0"/>
          <w:bCs w:val="0"/>
          <w:color w:val="auto"/>
          <w:sz w:val="32"/>
          <w:szCs w:val="32"/>
          <w:lang w:val="en-US" w:eastAsia="zh-CN"/>
        </w:rPr>
        <w:t>《党委（党组）意识形态工作责任制责任清单》</w:t>
      </w:r>
      <w:r>
        <w:rPr>
          <w:rFonts w:ascii="仿宋_GB2312" w:hAnsi="仿宋_GB2312" w:eastAsia="仿宋_GB2312" w:cs="仿宋_GB2312"/>
          <w:b w:val="0"/>
          <w:bCs/>
          <w:color w:val="auto"/>
          <w:kern w:val="2"/>
          <w:sz w:val="32"/>
          <w:szCs w:val="32"/>
        </w:rPr>
        <w:t>等文件精神</w:t>
      </w:r>
      <w:r>
        <w:rPr>
          <w:rFonts w:hint="eastAsia" w:ascii="仿宋_GB2312" w:hAnsi="仿宋_GB2312" w:eastAsia="仿宋_GB2312" w:cs="仿宋_GB2312"/>
          <w:b w:val="0"/>
          <w:bCs/>
          <w:color w:val="auto"/>
          <w:kern w:val="2"/>
          <w:sz w:val="32"/>
          <w:szCs w:val="32"/>
          <w:lang w:eastAsia="zh-CN"/>
        </w:rPr>
        <w:t>。</w:t>
      </w:r>
      <w:r>
        <w:rPr>
          <w:rFonts w:hint="eastAsia" w:ascii="仿宋_GB2312" w:hAnsi="仿宋" w:eastAsia="仿宋_GB2312"/>
          <w:color w:val="auto"/>
          <w:sz w:val="32"/>
          <w:szCs w:val="32"/>
          <w:lang w:val="en-US" w:eastAsia="zh-CN"/>
        </w:rPr>
        <w:t>2022年紧紧围绕区委区政府中心工作，通过</w:t>
      </w:r>
      <w:r>
        <w:rPr>
          <w:rFonts w:hint="eastAsia" w:ascii="仿宋_GB2312" w:hAnsi="仿宋_GB2312" w:eastAsia="仿宋_GB2312" w:cs="仿宋_GB2312"/>
          <w:b w:val="0"/>
          <w:bCs w:val="0"/>
          <w:color w:val="auto"/>
          <w:sz w:val="32"/>
          <w:szCs w:val="32"/>
          <w:lang w:val="en-US" w:eastAsia="zh-CN"/>
        </w:rPr>
        <w:t>开展党委（党组）理论学习中心组列席旁听12次，区委理论学习中心组开展集中学习研讨7次，推出高质量理论文章10余篇。大力推进“朝天说”基层理论宣讲品牌建设，创作“朝天说”—带您学习党的二十大精神微视频20个、“理响巴蜀”微视频7个，开展宣讲500余场次，受众15万余人次。</w:t>
      </w:r>
    </w:p>
    <w:p>
      <w:pPr>
        <w:autoSpaceDE w:val="0"/>
        <w:spacing w:line="540" w:lineRule="exact"/>
        <w:ind w:firstLine="616" w:firstLineChars="200"/>
        <w:outlineLvl w:val="1"/>
        <w:rPr>
          <w:rFonts w:hint="eastAsia" w:ascii="黑体" w:hAnsi="黑体" w:eastAsia="黑体" w:cs="Times New Roman"/>
          <w:color w:val="auto"/>
          <w:spacing w:val="-6"/>
          <w:sz w:val="32"/>
          <w:szCs w:val="32"/>
        </w:rPr>
      </w:pPr>
      <w:bookmarkStart w:id="126" w:name="_Toc2993"/>
      <w:r>
        <w:rPr>
          <w:rFonts w:hint="eastAsia" w:ascii="黑体" w:hAnsi="黑体" w:eastAsia="黑体" w:cs="Times New Roman"/>
          <w:color w:val="auto"/>
          <w:spacing w:val="-6"/>
          <w:sz w:val="32"/>
          <w:szCs w:val="32"/>
        </w:rPr>
        <w:t>三、项目绩效情况</w:t>
      </w:r>
      <w:bookmarkEnd w:id="126"/>
      <w:r>
        <w:rPr>
          <w:rFonts w:hint="eastAsia" w:ascii="黑体" w:hAnsi="黑体" w:eastAsia="黑体" w:cs="Times New Roman"/>
          <w:color w:val="auto"/>
          <w:spacing w:val="-6"/>
          <w:sz w:val="32"/>
          <w:szCs w:val="32"/>
        </w:rPr>
        <w:tab/>
      </w:r>
    </w:p>
    <w:p>
      <w:pPr>
        <w:autoSpaceDE w:val="0"/>
        <w:spacing w:line="540" w:lineRule="exact"/>
        <w:ind w:firstLine="616" w:firstLineChars="200"/>
        <w:outlineLvl w:val="2"/>
        <w:rPr>
          <w:rFonts w:hint="eastAsia" w:ascii="楷体_GB2312" w:hAnsi="Times New Roman" w:eastAsia="楷体_GB2312" w:cs="Times New Roman"/>
          <w:bCs/>
          <w:color w:val="auto"/>
          <w:spacing w:val="-6"/>
          <w:sz w:val="32"/>
          <w:szCs w:val="32"/>
        </w:rPr>
      </w:pPr>
      <w:bookmarkStart w:id="127" w:name="_Toc29192"/>
      <w:r>
        <w:rPr>
          <w:rFonts w:hint="eastAsia" w:ascii="楷体_GB2312" w:hAnsi="Times New Roman" w:eastAsia="楷体_GB2312" w:cs="Times New Roman"/>
          <w:bCs/>
          <w:color w:val="auto"/>
          <w:spacing w:val="-6"/>
          <w:sz w:val="32"/>
          <w:szCs w:val="32"/>
        </w:rPr>
        <w:t>（一）项目完成情况</w:t>
      </w:r>
      <w:bookmarkEnd w:id="127"/>
    </w:p>
    <w:p>
      <w:pPr>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2022年开展</w:t>
      </w:r>
      <w:r>
        <w:rPr>
          <w:rFonts w:hint="eastAsia" w:ascii="仿宋_GB2312" w:hAnsi="仿宋_GB2312" w:eastAsia="仿宋_GB2312" w:cs="仿宋_GB2312"/>
          <w:b w:val="0"/>
          <w:bCs w:val="0"/>
          <w:color w:val="auto"/>
          <w:sz w:val="32"/>
          <w:szCs w:val="32"/>
          <w:lang w:val="en-US" w:eastAsia="zh-CN"/>
        </w:rPr>
        <w:t>党委（党组）理论学习中心组列席旁听12次，区委理论学习中心组开展集中学习研讨7次，推出高质量理论文章10余篇。大力推进“朝天说”基层理论宣讲品牌建设，创作“朝天说”—带您学习党的二十大精神微视频20个、“理响巴蜀”微视频7个，开展宣讲500余场次，受众15万余人。</w:t>
      </w:r>
    </w:p>
    <w:p>
      <w:pPr>
        <w:autoSpaceDE w:val="0"/>
        <w:spacing w:line="540" w:lineRule="exact"/>
        <w:ind w:firstLine="616" w:firstLineChars="200"/>
        <w:outlineLvl w:val="2"/>
        <w:rPr>
          <w:rFonts w:hint="eastAsia" w:ascii="黑体" w:hAnsi="黑体" w:eastAsia="黑体" w:cs="Times New Roman"/>
          <w:color w:val="auto"/>
          <w:spacing w:val="-6"/>
          <w:sz w:val="32"/>
          <w:szCs w:val="32"/>
        </w:rPr>
      </w:pPr>
      <w:bookmarkStart w:id="128" w:name="_Toc24320"/>
      <w:r>
        <w:rPr>
          <w:rFonts w:hint="eastAsia" w:ascii="楷体_GB2312" w:hAnsi="Times New Roman" w:eastAsia="楷体_GB2312" w:cs="Times New Roman"/>
          <w:bCs/>
          <w:color w:val="auto"/>
          <w:spacing w:val="-6"/>
          <w:sz w:val="32"/>
          <w:szCs w:val="32"/>
        </w:rPr>
        <w:t>（二）项目效益情况</w:t>
      </w:r>
      <w:bookmarkEnd w:id="128"/>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1.经济效益。不带来直接经济收益。</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2.社会效益。理论水平进一步提升，知识储备增加，发挥理论宣传指导性及对社会对人们的舆论导向作用</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3.生态效益。不产生直接生态效益。</w:t>
      </w:r>
    </w:p>
    <w:p>
      <w:pPr>
        <w:autoSpaceDE w:val="0"/>
        <w:spacing w:line="540" w:lineRule="exact"/>
        <w:rPr>
          <w:rFonts w:hint="eastAsia" w:ascii="仿宋_GB2312" w:hAnsi="宋体" w:eastAsia="仿宋_GB2312" w:cs="Times New Roman"/>
          <w:color w:val="auto"/>
          <w:spacing w:val="-6"/>
          <w:kern w:val="0"/>
          <w:sz w:val="32"/>
          <w:szCs w:val="32"/>
        </w:rPr>
      </w:pPr>
      <w:r>
        <w:rPr>
          <w:rFonts w:hint="eastAsia" w:ascii="仿宋_GB2312" w:hAnsi="宋体" w:eastAsia="仿宋_GB2312" w:cs="Times New Roman"/>
          <w:color w:val="auto"/>
          <w:spacing w:val="-6"/>
          <w:kern w:val="0"/>
          <w:sz w:val="32"/>
          <w:szCs w:val="32"/>
        </w:rPr>
        <w:t xml:space="preserve">    </w:t>
      </w:r>
    </w:p>
    <w:p>
      <w:pPr>
        <w:autoSpaceDE w:val="0"/>
        <w:spacing w:line="540" w:lineRule="exact"/>
        <w:jc w:val="left"/>
        <w:rPr>
          <w:rFonts w:hint="eastAsia" w:ascii="楷体_GB2312" w:hAnsi="楷体_GB2312" w:eastAsia="楷体_GB2312" w:cs="楷体_GB2312"/>
          <w:color w:val="auto"/>
          <w:spacing w:val="-6"/>
          <w:sz w:val="32"/>
          <w:szCs w:val="32"/>
          <w:lang w:val="en-US" w:eastAsia="zh-CN"/>
        </w:rPr>
      </w:pPr>
    </w:p>
    <w:p>
      <w:pPr>
        <w:autoSpaceDE w:val="0"/>
        <w:spacing w:line="540" w:lineRule="exact"/>
        <w:jc w:val="left"/>
        <w:rPr>
          <w:rFonts w:hint="eastAsia" w:ascii="楷体_GB2312" w:hAnsi="楷体_GB2312" w:eastAsia="楷体_GB2312" w:cs="楷体_GB2312"/>
          <w:color w:val="auto"/>
          <w:spacing w:val="-6"/>
          <w:sz w:val="32"/>
          <w:szCs w:val="32"/>
          <w:lang w:val="en-US" w:eastAsia="zh-CN"/>
        </w:rPr>
      </w:pPr>
    </w:p>
    <w:p>
      <w:pPr>
        <w:autoSpaceDE w:val="0"/>
        <w:spacing w:line="540" w:lineRule="exact"/>
        <w:jc w:val="left"/>
        <w:rPr>
          <w:rFonts w:hint="eastAsia" w:ascii="楷体_GB2312" w:hAnsi="楷体_GB2312" w:eastAsia="楷体_GB2312" w:cs="楷体_GB2312"/>
          <w:color w:val="auto"/>
          <w:spacing w:val="-6"/>
          <w:sz w:val="32"/>
          <w:szCs w:val="32"/>
          <w:lang w:val="en-US" w:eastAsia="zh-CN"/>
        </w:rPr>
      </w:pPr>
    </w:p>
    <w:p>
      <w:pPr>
        <w:autoSpaceDE w:val="0"/>
        <w:spacing w:line="540" w:lineRule="exact"/>
        <w:jc w:val="left"/>
        <w:rPr>
          <w:rFonts w:hint="eastAsia" w:ascii="楷体_GB2312" w:hAnsi="楷体_GB2312" w:eastAsia="楷体_GB2312" w:cs="楷体_GB2312"/>
          <w:color w:val="auto"/>
          <w:spacing w:val="-6"/>
          <w:sz w:val="32"/>
          <w:szCs w:val="32"/>
          <w:lang w:val="en-US" w:eastAsia="zh-CN"/>
        </w:rPr>
      </w:pPr>
    </w:p>
    <w:p>
      <w:pPr>
        <w:autoSpaceDE w:val="0"/>
        <w:spacing w:line="540" w:lineRule="exact"/>
        <w:jc w:val="left"/>
        <w:rPr>
          <w:rFonts w:hint="eastAsia" w:ascii="楷体_GB2312" w:hAnsi="楷体_GB2312" w:eastAsia="楷体_GB2312" w:cs="楷体_GB2312"/>
          <w:color w:val="auto"/>
          <w:spacing w:val="-6"/>
          <w:sz w:val="32"/>
          <w:szCs w:val="32"/>
          <w:lang w:val="en-US" w:eastAsia="zh-CN"/>
        </w:rPr>
      </w:pPr>
    </w:p>
    <w:p>
      <w:pPr>
        <w:pStyle w:val="6"/>
        <w:rPr>
          <w:rFonts w:hint="eastAsia"/>
          <w:color w:val="auto"/>
          <w:lang w:val="en-US" w:eastAsia="zh-CN"/>
        </w:rPr>
      </w:pPr>
    </w:p>
    <w:p>
      <w:pPr>
        <w:pStyle w:val="6"/>
        <w:rPr>
          <w:rFonts w:hint="eastAsia"/>
          <w:color w:val="auto"/>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2022年专项资金预算项目绩效自评报告</w:t>
      </w:r>
    </w:p>
    <w:p>
      <w:pPr>
        <w:pStyle w:val="35"/>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（天府旅游名县创建）</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1"/>
        <w:rPr>
          <w:rFonts w:ascii="黑体" w:hAnsi="宋体" w:eastAsia="黑体"/>
          <w:color w:val="auto"/>
          <w:sz w:val="32"/>
          <w:szCs w:val="32"/>
          <w:lang w:val="zh-CN"/>
        </w:rPr>
      </w:pPr>
      <w:bookmarkStart w:id="129" w:name="_Toc19664"/>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bookmarkEnd w:id="129"/>
    </w:p>
    <w:p>
      <w:pPr>
        <w:ind w:firstLine="642" w:firstLineChars="200"/>
        <w:rPr>
          <w:rFonts w:hint="eastAsia" w:ascii="仿宋_GB2312" w:hAnsi="仿宋" w:eastAsia="仿宋_GB2312"/>
          <w:color w:val="auto"/>
          <w:sz w:val="32"/>
          <w:szCs w:val="32"/>
          <w:lang w:eastAsia="zh-CN"/>
        </w:rPr>
      </w:pPr>
      <w:r>
        <w:rPr>
          <w:rFonts w:hint="eastAsia" w:ascii="楷体_GB2312" w:hAnsi="宋体" w:eastAsia="楷体_GB2312"/>
          <w:b/>
          <w:color w:val="auto"/>
          <w:sz w:val="32"/>
          <w:szCs w:val="32"/>
          <w:lang w:val="zh-CN"/>
        </w:rPr>
        <w:t>（一）项目资金申报及批复情况。</w:t>
      </w:r>
      <w:r>
        <w:rPr>
          <w:rFonts w:hint="eastAsia" w:ascii="仿宋_GB2312" w:hAnsi="仿宋_GB2312" w:eastAsia="仿宋_GB2312" w:cs="仿宋_GB2312"/>
          <w:color w:val="auto"/>
          <w:sz w:val="32"/>
          <w:szCs w:val="32"/>
          <w:lang w:val="en-US" w:eastAsia="zh-CN"/>
        </w:rPr>
        <w:t>2022年天府旅游名县创建经费预算100万元，项目</w:t>
      </w:r>
      <w:r>
        <w:rPr>
          <w:rFonts w:hint="eastAsia" w:ascii="仿宋_GB2312" w:hAnsi="仿宋" w:eastAsia="仿宋_GB2312"/>
          <w:color w:val="auto"/>
          <w:sz w:val="32"/>
          <w:szCs w:val="32"/>
          <w:lang w:eastAsia="zh-CN"/>
        </w:rPr>
        <w:t>按年度进行申报，资金及时批复到位，其符合资金管理办法相关规定。</w:t>
      </w:r>
    </w:p>
    <w:p>
      <w:pPr>
        <w:pStyle w:val="14"/>
        <w:widowControl/>
        <w:ind w:firstLine="642" w:firstLineChars="200"/>
        <w:rPr>
          <w:rFonts w:hint="default" w:ascii="仿宋_GB2312" w:eastAsia="仿宋_GB2312"/>
          <w:color w:val="auto"/>
          <w:sz w:val="32"/>
          <w:szCs w:val="32"/>
          <w:lang w:val="en-US" w:eastAsia="zh-CN"/>
        </w:rPr>
      </w:pPr>
      <w:r>
        <w:rPr>
          <w:rFonts w:hint="eastAsia" w:ascii="楷体_GB2312" w:hAnsi="宋体" w:eastAsia="楷体_GB2312"/>
          <w:b/>
          <w:color w:val="auto"/>
          <w:sz w:val="32"/>
          <w:szCs w:val="32"/>
          <w:lang w:val="zh-CN"/>
        </w:rPr>
        <w:t>（二）项目绩效目标。</w:t>
      </w:r>
      <w:r>
        <w:rPr>
          <w:rFonts w:hint="eastAsia" w:ascii="仿宋_GB2312" w:hAnsi="宋体" w:eastAsia="仿宋_GB2312"/>
          <w:color w:val="auto"/>
          <w:sz w:val="32"/>
          <w:szCs w:val="32"/>
          <w:lang w:val="zh-CN"/>
        </w:rPr>
        <w:t>通过社会宣传、新闻宣传、外宣活动及文旅资源推介等工作开展，充分展示</w:t>
      </w:r>
      <w:r>
        <w:rPr>
          <w:rFonts w:hint="eastAsia" w:ascii="仿宋_GB2312" w:hAnsi="仿宋_GB2312" w:eastAsia="仿宋_GB2312" w:cs="仿宋_GB2312"/>
          <w:color w:val="auto"/>
          <w:sz w:val="32"/>
          <w:szCs w:val="32"/>
        </w:rPr>
        <w:t>我区创建天府旅游名县决策部署、思路举措和成效经验，提高社会知晓度、满意度和参与度，提升新闻媒体对我区创建天府旅游名县工作的认可度，持续营造良好的舆论</w:t>
      </w:r>
      <w:r>
        <w:rPr>
          <w:rFonts w:hint="eastAsia" w:ascii="仿宋_GB2312" w:hAnsi="仿宋_GB2312" w:eastAsia="仿宋_GB2312" w:cs="仿宋_GB2312"/>
          <w:color w:val="auto"/>
          <w:sz w:val="32"/>
          <w:szCs w:val="32"/>
          <w:lang w:eastAsia="zh-CN"/>
        </w:rPr>
        <w:t>及社会宣传</w:t>
      </w:r>
      <w:r>
        <w:rPr>
          <w:rFonts w:hint="eastAsia" w:ascii="仿宋_GB2312" w:hAnsi="仿宋_GB2312" w:eastAsia="仿宋_GB2312" w:cs="仿宋_GB2312"/>
          <w:color w:val="auto"/>
          <w:sz w:val="32"/>
          <w:szCs w:val="32"/>
        </w:rPr>
        <w:t>氛围。</w:t>
      </w:r>
    </w:p>
    <w:p>
      <w:pPr>
        <w:spacing w:line="576" w:lineRule="exact"/>
        <w:ind w:firstLine="642" w:firstLineChars="200"/>
        <w:rPr>
          <w:rFonts w:ascii="仿宋_GB2312" w:hAnsi="宋体"/>
          <w:color w:val="auto"/>
          <w:sz w:val="32"/>
          <w:szCs w:val="32"/>
          <w:lang w:val="zh-CN"/>
        </w:rPr>
      </w:pPr>
      <w:r>
        <w:rPr>
          <w:rFonts w:hint="eastAsia" w:ascii="楷体_GB2312" w:hAnsi="宋体" w:eastAsia="楷体_GB2312"/>
          <w:b/>
          <w:color w:val="auto"/>
          <w:sz w:val="32"/>
          <w:szCs w:val="32"/>
          <w:lang w:val="zh-CN"/>
        </w:rPr>
        <w:t>（三）项目资金申报相符性。</w:t>
      </w:r>
      <w:r>
        <w:rPr>
          <w:rFonts w:eastAsia="仿宋_GB2312"/>
          <w:color w:val="auto"/>
          <w:sz w:val="32"/>
          <w:szCs w:val="32"/>
        </w:rPr>
        <w:t>根据中共四川省委办公厅四川省人民政府办公厅印发《关于开展天府旅游名县建设的实施意见》文件精神，我</w:t>
      </w:r>
      <w:r>
        <w:rPr>
          <w:rFonts w:hint="eastAsia" w:eastAsia="仿宋_GB2312"/>
          <w:color w:val="auto"/>
          <w:sz w:val="32"/>
          <w:szCs w:val="32"/>
          <w:lang w:val="en-US" w:eastAsia="zh-CN"/>
        </w:rPr>
        <w:t>部</w:t>
      </w:r>
      <w:r>
        <w:rPr>
          <w:rFonts w:eastAsia="仿宋_GB2312"/>
          <w:color w:val="auto"/>
          <w:sz w:val="32"/>
          <w:szCs w:val="32"/>
        </w:rPr>
        <w:t>把创天府旅游名县</w:t>
      </w:r>
      <w:r>
        <w:rPr>
          <w:rFonts w:hint="eastAsia" w:eastAsia="仿宋_GB2312"/>
          <w:color w:val="auto"/>
          <w:sz w:val="32"/>
          <w:szCs w:val="32"/>
          <w:lang w:val="en-US" w:eastAsia="zh-CN"/>
        </w:rPr>
        <w:t>宣传工作</w:t>
      </w:r>
      <w:r>
        <w:rPr>
          <w:rFonts w:eastAsia="仿宋_GB2312"/>
          <w:color w:val="auto"/>
          <w:sz w:val="32"/>
          <w:szCs w:val="32"/>
        </w:rPr>
        <w:t>作为当年工作的头等大事来抓</w:t>
      </w:r>
      <w:r>
        <w:rPr>
          <w:rFonts w:hint="eastAsia" w:eastAsia="仿宋_GB2312"/>
          <w:color w:val="auto"/>
          <w:sz w:val="32"/>
          <w:szCs w:val="32"/>
          <w:lang w:eastAsia="zh-CN"/>
        </w:rPr>
        <w:t>，</w:t>
      </w:r>
      <w:r>
        <w:rPr>
          <w:rFonts w:hint="eastAsia" w:eastAsia="仿宋_GB2312"/>
          <w:color w:val="auto"/>
          <w:sz w:val="32"/>
          <w:szCs w:val="32"/>
          <w:lang w:val="en-US" w:eastAsia="zh-CN"/>
        </w:rPr>
        <w:t>及时制定</w:t>
      </w:r>
      <w:r>
        <w:rPr>
          <w:rFonts w:hint="eastAsia" w:eastAsia="仿宋_GB2312"/>
          <w:color w:val="auto"/>
          <w:sz w:val="32"/>
          <w:szCs w:val="32"/>
        </w:rPr>
        <w:t>朝天区创建天府旅游名县宣传方案</w:t>
      </w:r>
      <w:r>
        <w:rPr>
          <w:rFonts w:hint="eastAsia" w:eastAsia="仿宋_GB2312"/>
          <w:color w:val="auto"/>
          <w:sz w:val="32"/>
          <w:szCs w:val="32"/>
          <w:lang w:eastAsia="zh-CN"/>
        </w:rPr>
        <w:t>，并按方案要求抓好落实。</w:t>
      </w:r>
      <w:r>
        <w:rPr>
          <w:rFonts w:eastAsia="仿宋_GB2312"/>
          <w:color w:val="auto"/>
          <w:sz w:val="32"/>
          <w:szCs w:val="32"/>
        </w:rPr>
        <w:t>202</w:t>
      </w:r>
      <w:r>
        <w:rPr>
          <w:rFonts w:hint="eastAsia" w:eastAsia="仿宋_GB2312"/>
          <w:color w:val="auto"/>
          <w:sz w:val="32"/>
          <w:szCs w:val="32"/>
        </w:rPr>
        <w:t>1</w:t>
      </w:r>
      <w:r>
        <w:rPr>
          <w:rFonts w:eastAsia="仿宋_GB2312"/>
          <w:color w:val="auto"/>
          <w:sz w:val="32"/>
          <w:szCs w:val="32"/>
        </w:rPr>
        <w:t>年</w:t>
      </w:r>
      <w:r>
        <w:rPr>
          <w:rFonts w:hint="eastAsia" w:eastAsia="仿宋_GB2312"/>
          <w:color w:val="auto"/>
          <w:sz w:val="32"/>
          <w:szCs w:val="32"/>
        </w:rPr>
        <w:t>9</w:t>
      </w:r>
      <w:r>
        <w:rPr>
          <w:rFonts w:eastAsia="仿宋_GB2312"/>
          <w:color w:val="auto"/>
          <w:sz w:val="32"/>
          <w:szCs w:val="32"/>
        </w:rPr>
        <w:t>月</w:t>
      </w:r>
      <w:r>
        <w:rPr>
          <w:rFonts w:hint="eastAsia" w:eastAsia="仿宋_GB2312"/>
          <w:color w:val="auto"/>
          <w:sz w:val="32"/>
          <w:szCs w:val="32"/>
        </w:rPr>
        <w:t>28日</w:t>
      </w:r>
      <w:r>
        <w:rPr>
          <w:rFonts w:eastAsia="仿宋_GB2312"/>
          <w:color w:val="auto"/>
          <w:sz w:val="32"/>
          <w:szCs w:val="32"/>
        </w:rPr>
        <w:t>，中共四川省委、四川省人民政府正式确定</w:t>
      </w:r>
      <w:r>
        <w:rPr>
          <w:rFonts w:hint="eastAsia" w:eastAsia="仿宋_GB2312"/>
          <w:color w:val="auto"/>
          <w:sz w:val="32"/>
          <w:szCs w:val="32"/>
        </w:rPr>
        <w:t>朝天区</w:t>
      </w:r>
      <w:r>
        <w:rPr>
          <w:rFonts w:eastAsia="仿宋_GB2312"/>
          <w:color w:val="auto"/>
          <w:sz w:val="32"/>
          <w:szCs w:val="32"/>
        </w:rPr>
        <w:t>为天府旅游名县。</w:t>
      </w:r>
      <w:r>
        <w:rPr>
          <w:rFonts w:hint="eastAsia" w:ascii="仿宋_GB2312" w:hAnsi="仿宋_GB2312" w:eastAsia="仿宋_GB2312" w:cs="仿宋_GB2312"/>
          <w:color w:val="auto"/>
          <w:sz w:val="32"/>
          <w:szCs w:val="32"/>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1"/>
        <w:rPr>
          <w:rFonts w:ascii="黑体" w:hAnsi="宋体" w:eastAsia="黑体"/>
          <w:color w:val="auto"/>
          <w:sz w:val="32"/>
          <w:szCs w:val="32"/>
        </w:rPr>
      </w:pPr>
      <w:bookmarkStart w:id="130" w:name="_Toc26409"/>
      <w:r>
        <w:rPr>
          <w:rFonts w:hint="eastAsia" w:ascii="黑体" w:hAnsi="宋体" w:eastAsia="黑体"/>
          <w:color w:val="auto"/>
          <w:sz w:val="32"/>
          <w:szCs w:val="32"/>
        </w:rPr>
        <w:t>二、项目实施及管理情况</w:t>
      </w:r>
      <w:bookmarkEnd w:id="130"/>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2"/>
        <w:rPr>
          <w:rFonts w:ascii="楷体_GB2312" w:hAnsi="宋体" w:eastAsia="楷体_GB2312"/>
          <w:b/>
          <w:color w:val="auto"/>
          <w:sz w:val="32"/>
          <w:szCs w:val="32"/>
          <w:lang w:val="zh-CN"/>
        </w:rPr>
      </w:pPr>
      <w:r>
        <w:rPr>
          <w:rFonts w:hint="eastAsia" w:ascii="仿宋_GB2312" w:hAnsi="宋体"/>
          <w:color w:val="auto"/>
          <w:sz w:val="32"/>
          <w:szCs w:val="32"/>
          <w:lang w:val="zh-CN"/>
        </w:rPr>
        <w:tab/>
      </w:r>
      <w:bookmarkStart w:id="131" w:name="_Toc9971"/>
      <w:r>
        <w:rPr>
          <w:rFonts w:hint="eastAsia" w:ascii="楷体_GB2312" w:hAnsi="宋体" w:eastAsia="楷体_GB2312"/>
          <w:b/>
          <w:color w:val="auto"/>
          <w:sz w:val="32"/>
          <w:szCs w:val="32"/>
          <w:lang w:val="zh-CN"/>
        </w:rPr>
        <w:t>（一）资金计划、到位及使用情况。</w:t>
      </w:r>
      <w:bookmarkEnd w:id="131"/>
    </w:p>
    <w:p>
      <w:pPr>
        <w:spacing w:line="560" w:lineRule="exact"/>
        <w:ind w:firstLine="645"/>
        <w:rPr>
          <w:rFonts w:hint="eastAsia" w:ascii="仿宋_GB2312" w:hAnsi="仿宋" w:eastAsia="仿宋_GB2312"/>
          <w:color w:val="auto"/>
          <w:sz w:val="32"/>
          <w:szCs w:val="32"/>
        </w:rPr>
      </w:pPr>
      <w:r>
        <w:rPr>
          <w:rFonts w:hint="eastAsia" w:ascii="仿宋_GB2312" w:hAnsi="仿宋_GB2312" w:eastAsia="仿宋_GB2312" w:cs="仿宋_GB2312"/>
          <w:b/>
          <w:bCs/>
          <w:color w:val="auto"/>
          <w:sz w:val="32"/>
          <w:szCs w:val="32"/>
          <w:lang w:val="zh-CN"/>
        </w:rPr>
        <w:t>1．资金计划及到位。</w:t>
      </w:r>
      <w:r>
        <w:rPr>
          <w:rFonts w:hint="eastAsia" w:ascii="仿宋_GB2312" w:hAnsi="仿宋_GB2312" w:eastAsia="仿宋_GB2312" w:cs="仿宋_GB2312"/>
          <w:color w:val="auto"/>
          <w:sz w:val="32"/>
          <w:szCs w:val="32"/>
          <w:lang w:val="zh-CN"/>
        </w:rPr>
        <w:t>天府旅游名县创建</w:t>
      </w:r>
      <w:r>
        <w:rPr>
          <w:rFonts w:hint="eastAsia" w:ascii="仿宋_GB2312" w:hAnsi="仿宋" w:eastAsia="仿宋_GB2312"/>
          <w:color w:val="auto"/>
          <w:sz w:val="32"/>
          <w:szCs w:val="32"/>
          <w:lang w:eastAsia="zh-CN"/>
        </w:rPr>
        <w:t>经费项目</w:t>
      </w:r>
      <w:r>
        <w:rPr>
          <w:rFonts w:hint="eastAsia" w:ascii="仿宋_GB2312" w:hAnsi="仿宋" w:eastAsia="仿宋_GB2312"/>
          <w:color w:val="auto"/>
          <w:sz w:val="32"/>
          <w:szCs w:val="32"/>
        </w:rPr>
        <w:t>财政预算</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万元，批复下达资金</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万元，到位</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万元，资金到位率100%。</w:t>
      </w:r>
    </w:p>
    <w:p>
      <w:pPr>
        <w:spacing w:line="579" w:lineRule="exact"/>
        <w:ind w:firstLine="642" w:firstLineChars="200"/>
        <w:jc w:val="left"/>
        <w:rPr>
          <w:rFonts w:eastAsia="仿宋_GB2312"/>
          <w:color w:val="auto"/>
          <w:sz w:val="32"/>
          <w:szCs w:val="32"/>
        </w:rPr>
      </w:pPr>
      <w:r>
        <w:rPr>
          <w:rFonts w:hint="eastAsia" w:ascii="仿宋_GB2312" w:hAnsi="仿宋_GB2312" w:eastAsia="仿宋_GB2312" w:cs="仿宋_GB2312"/>
          <w:b/>
          <w:bCs/>
          <w:color w:val="auto"/>
          <w:sz w:val="32"/>
          <w:szCs w:val="32"/>
          <w:lang w:val="zh-CN"/>
        </w:rPr>
        <w:t>2．资金使用。</w:t>
      </w:r>
      <w:r>
        <w:rPr>
          <w:rFonts w:eastAsia="仿宋_GB2312"/>
          <w:color w:val="auto"/>
          <w:sz w:val="32"/>
          <w:szCs w:val="32"/>
        </w:rPr>
        <w:t>根据《四川省省级文化和旅游发展专项资金管理办法》，</w:t>
      </w:r>
      <w:r>
        <w:rPr>
          <w:rFonts w:hint="eastAsia" w:eastAsia="仿宋_GB2312"/>
          <w:color w:val="auto"/>
          <w:sz w:val="32"/>
          <w:szCs w:val="32"/>
        </w:rPr>
        <w:t>我</w:t>
      </w:r>
      <w:r>
        <w:rPr>
          <w:rFonts w:hint="eastAsia" w:eastAsia="仿宋_GB2312"/>
          <w:color w:val="auto"/>
          <w:sz w:val="32"/>
          <w:szCs w:val="32"/>
          <w:lang w:val="en-US" w:eastAsia="zh-CN"/>
        </w:rPr>
        <w:t>部</w:t>
      </w:r>
      <w:r>
        <w:rPr>
          <w:rFonts w:hint="eastAsia" w:eastAsia="仿宋_GB2312"/>
          <w:color w:val="auto"/>
          <w:sz w:val="32"/>
          <w:szCs w:val="32"/>
        </w:rPr>
        <w:t>严格落实资金使用用途、支付进度</w:t>
      </w:r>
      <w:r>
        <w:rPr>
          <w:rFonts w:hint="eastAsia" w:eastAsia="仿宋_GB2312"/>
          <w:color w:val="auto"/>
          <w:sz w:val="32"/>
          <w:szCs w:val="32"/>
          <w:lang w:eastAsia="zh-CN"/>
        </w:rPr>
        <w:t>、</w:t>
      </w:r>
      <w:r>
        <w:rPr>
          <w:rFonts w:hint="eastAsia" w:eastAsia="仿宋_GB2312"/>
          <w:color w:val="auto"/>
          <w:sz w:val="32"/>
          <w:szCs w:val="32"/>
        </w:rPr>
        <w:t>支付标准，做到专款专用，确保资金使用规范安全，按时</w:t>
      </w:r>
      <w:r>
        <w:rPr>
          <w:rFonts w:eastAsia="仿宋_GB2312"/>
          <w:color w:val="auto"/>
          <w:sz w:val="32"/>
          <w:szCs w:val="32"/>
        </w:rPr>
        <w:t>完成了所有项目绩效目标。具体使用情况如下: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一是新闻宣传。</w:t>
      </w:r>
      <w:r>
        <w:rPr>
          <w:rFonts w:hint="eastAsia" w:ascii="仿宋_GB2312" w:hAnsi="仿宋_GB2312" w:eastAsia="仿宋_GB2312" w:cs="仿宋_GB2312"/>
          <w:b w:val="0"/>
          <w:bCs/>
          <w:color w:val="auto"/>
          <w:sz w:val="32"/>
          <w:szCs w:val="32"/>
        </w:rPr>
        <w:t>2020年以来，持续为天府旅游名县创建宣传造势。区委宣传部与人民网、中国县域经济报、四川日报、四川新闻网等市级及以上18家媒体建立了年度合作关系，与中国新闻社、封面新闻等媒体建立了深度合作关系。精心策划开展了千里嘉陵第一漂、中外摄影师天府旅游朝天行、海外华文媒体朝天行、朝天文旅资源成都推介会等重大外宣活动。组织区内外媒体参加了第二届美丽中国田博会、第二届嘉陵江文化旅游节、四川省第十一届（冬季）乡村文化旅游节、四川省旅游景区发展大会等大型文旅活动专题宣传。</w:t>
      </w:r>
      <w:r>
        <w:rPr>
          <w:rFonts w:hint="eastAsia" w:ascii="仿宋_GB2312" w:hAnsi="仿宋_GB2312" w:eastAsia="仿宋_GB2312" w:cs="仿宋_GB2312"/>
          <w:b w:val="0"/>
          <w:bCs/>
          <w:color w:val="auto"/>
          <w:sz w:val="32"/>
          <w:szCs w:val="32"/>
          <w:lang w:eastAsia="zh-CN"/>
        </w:rPr>
        <w:t>累计使用资金</w:t>
      </w:r>
      <w:r>
        <w:rPr>
          <w:rFonts w:hint="eastAsia" w:ascii="仿宋_GB2312" w:hAnsi="仿宋_GB2312" w:eastAsia="仿宋_GB2312" w:cs="仿宋_GB2312"/>
          <w:b w:val="0"/>
          <w:bCs/>
          <w:color w:val="auto"/>
          <w:sz w:val="32"/>
          <w:szCs w:val="32"/>
          <w:lang w:val="en-US" w:eastAsia="zh-CN"/>
        </w:rPr>
        <w:t>69.36万元。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楷体_GB2312" w:hAnsi="宋体" w:eastAsia="楷体_GB2312" w:cs="Times New Roman"/>
          <w:b/>
          <w:color w:val="auto"/>
          <w:kern w:val="2"/>
          <w:sz w:val="32"/>
          <w:szCs w:val="32"/>
          <w:lang w:val="en-US" w:eastAsia="zh-CN" w:bidi="ar-SA"/>
        </w:rPr>
      </w:pPr>
      <w:r>
        <w:rPr>
          <w:rFonts w:hint="eastAsia" w:ascii="仿宋_GB2312" w:hAnsi="仿宋_GB2312" w:eastAsia="仿宋_GB2312" w:cs="仿宋_GB2312"/>
          <w:b/>
          <w:color w:val="auto"/>
          <w:sz w:val="32"/>
          <w:szCs w:val="32"/>
          <w:lang w:val="en-US" w:eastAsia="zh-CN"/>
        </w:rPr>
        <w:t>二是社会宣传及文艺宣传。</w:t>
      </w:r>
      <w:r>
        <w:rPr>
          <w:rFonts w:hint="eastAsia" w:ascii="仿宋_GB2312" w:eastAsia="仿宋_GB2312"/>
          <w:color w:val="auto"/>
          <w:sz w:val="32"/>
          <w:szCs w:val="32"/>
          <w:lang w:val="en-US" w:eastAsia="zh-CN"/>
        </w:rPr>
        <w:t>制作</w:t>
      </w:r>
      <w:r>
        <w:rPr>
          <w:rFonts w:hint="eastAsia" w:ascii="仿宋_GB2312" w:eastAsia="仿宋_GB2312"/>
          <w:color w:val="auto"/>
          <w:sz w:val="32"/>
          <w:szCs w:val="32"/>
        </w:rPr>
        <w:t>大型户外宣传标语</w:t>
      </w:r>
      <w:r>
        <w:rPr>
          <w:rFonts w:hint="eastAsia" w:ascii="仿宋_GB2312" w:eastAsia="仿宋_GB2312"/>
          <w:color w:val="auto"/>
          <w:sz w:val="32"/>
          <w:szCs w:val="32"/>
          <w:lang w:val="en-US" w:eastAsia="zh-CN"/>
        </w:rPr>
        <w:t>30余幅，</w:t>
      </w:r>
      <w:r>
        <w:rPr>
          <w:rFonts w:hint="eastAsia" w:ascii="仿宋_GB2312" w:eastAsia="仿宋_GB2312"/>
          <w:color w:val="auto"/>
          <w:sz w:val="32"/>
          <w:szCs w:val="32"/>
        </w:rPr>
        <w:t>悬挂、张贴创建宣传标语</w:t>
      </w:r>
      <w:r>
        <w:rPr>
          <w:rFonts w:hint="eastAsia" w:ascii="仿宋_GB2312" w:eastAsia="仿宋_GB2312"/>
          <w:color w:val="auto"/>
          <w:sz w:val="32"/>
          <w:szCs w:val="32"/>
          <w:lang w:val="en-US" w:eastAsia="zh-CN"/>
        </w:rPr>
        <w:t>300</w:t>
      </w:r>
      <w:r>
        <w:rPr>
          <w:rFonts w:hint="eastAsia" w:ascii="仿宋_GB2312" w:eastAsia="仿宋_GB2312"/>
          <w:color w:val="auto"/>
          <w:sz w:val="32"/>
          <w:szCs w:val="32"/>
        </w:rPr>
        <w:t>余幅</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张贴海报2000余张，悬挂公路道旗1500余组，车贴2000余张，组织文艺采风活动2场次，使用资金39.54万元；印制出版散文集《山月归你你归我》旅游伴手礼3000册，使用资金16.1万元；在《中国城市》杂志104期对朝天进行了20个版面的专版图文宣传，宣传费用10万元。社会宣传及文化文艺累计支出65.64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2"/>
        <w:rPr>
          <w:rFonts w:ascii="楷体_GB2312" w:hAnsi="宋体" w:eastAsia="楷体_GB2312"/>
          <w:b/>
          <w:color w:val="auto"/>
          <w:sz w:val="32"/>
          <w:szCs w:val="32"/>
          <w:lang w:val="zh-CN"/>
        </w:rPr>
      </w:pPr>
      <w:bookmarkStart w:id="132" w:name="_Toc19588"/>
      <w:r>
        <w:rPr>
          <w:rFonts w:hint="eastAsia" w:ascii="楷体_GB2312" w:hAnsi="宋体" w:eastAsia="楷体_GB2312"/>
          <w:b/>
          <w:color w:val="auto"/>
          <w:sz w:val="32"/>
          <w:szCs w:val="32"/>
          <w:lang w:val="zh-CN"/>
        </w:rPr>
        <w:t>（二）项目财务管理情况。</w:t>
      </w:r>
      <w:bookmarkEnd w:id="132"/>
    </w:p>
    <w:p>
      <w:pPr>
        <w:spacing w:line="560" w:lineRule="exact"/>
        <w:ind w:firstLine="645"/>
        <w:rPr>
          <w:rFonts w:eastAsia="仿宋_GB2312"/>
          <w:color w:val="auto"/>
          <w:sz w:val="32"/>
          <w:szCs w:val="32"/>
        </w:rPr>
      </w:pPr>
      <w:r>
        <w:rPr>
          <w:rFonts w:eastAsia="仿宋_GB2312"/>
          <w:color w:val="auto"/>
          <w:sz w:val="32"/>
          <w:szCs w:val="32"/>
        </w:rPr>
        <w:t>202</w:t>
      </w:r>
      <w:r>
        <w:rPr>
          <w:rFonts w:hint="eastAsia" w:eastAsia="仿宋_GB2312"/>
          <w:color w:val="auto"/>
          <w:sz w:val="32"/>
          <w:szCs w:val="32"/>
          <w:lang w:val="en-US" w:eastAsia="zh-CN"/>
        </w:rPr>
        <w:t>2</w:t>
      </w:r>
      <w:r>
        <w:rPr>
          <w:rFonts w:eastAsia="仿宋_GB2312"/>
          <w:color w:val="auto"/>
          <w:sz w:val="32"/>
          <w:szCs w:val="32"/>
        </w:rPr>
        <w:t>年</w:t>
      </w:r>
      <w:r>
        <w:rPr>
          <w:rFonts w:hint="eastAsia" w:eastAsia="仿宋_GB2312"/>
          <w:color w:val="auto"/>
          <w:sz w:val="32"/>
          <w:szCs w:val="32"/>
        </w:rPr>
        <w:t>，</w:t>
      </w:r>
      <w:r>
        <w:rPr>
          <w:rFonts w:eastAsia="仿宋_GB2312"/>
          <w:color w:val="auto"/>
          <w:sz w:val="32"/>
          <w:szCs w:val="32"/>
        </w:rPr>
        <w:t>我</w:t>
      </w:r>
      <w:r>
        <w:rPr>
          <w:rFonts w:hint="eastAsia" w:eastAsia="仿宋_GB2312"/>
          <w:color w:val="auto"/>
          <w:sz w:val="32"/>
          <w:szCs w:val="32"/>
          <w:lang w:val="en-US" w:eastAsia="zh-CN"/>
        </w:rPr>
        <w:t>部</w:t>
      </w:r>
      <w:r>
        <w:rPr>
          <w:rFonts w:eastAsia="仿宋_GB2312"/>
          <w:color w:val="auto"/>
          <w:sz w:val="32"/>
          <w:szCs w:val="32"/>
        </w:rPr>
        <w:t>严格按照专项资金管理办法和专项资金文件指定用途，健全了财务管理制度，严格执行财经管理规定，规范会计核算，做到了专款专用，全面完成了</w:t>
      </w:r>
      <w:r>
        <w:rPr>
          <w:rFonts w:hint="eastAsia" w:eastAsia="仿宋_GB2312"/>
          <w:color w:val="auto"/>
          <w:sz w:val="32"/>
          <w:szCs w:val="32"/>
          <w:lang w:val="en-US" w:eastAsia="zh-CN"/>
        </w:rPr>
        <w:t>工作</w:t>
      </w:r>
      <w:r>
        <w:rPr>
          <w:rFonts w:eastAsia="仿宋_GB2312"/>
          <w:color w:val="auto"/>
          <w:sz w:val="32"/>
          <w:szCs w:val="32"/>
        </w:rPr>
        <w:t>任务，达到了预期目标。</w:t>
      </w:r>
      <w:r>
        <w:rPr>
          <w:rFonts w:hint="eastAsia" w:ascii="仿宋_GB2312" w:hAnsi="仿宋" w:eastAsia="仿宋_GB2312"/>
          <w:color w:val="auto"/>
          <w:sz w:val="32"/>
          <w:szCs w:val="32"/>
          <w:lang w:val="zh-CN"/>
        </w:rPr>
        <w:t>会计核算过程中，该项目未单设科目核算，统筹于新闻宣传和社会宣传项目下核算。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2"/>
        <w:rPr>
          <w:rFonts w:ascii="楷体_GB2312" w:hAnsi="宋体" w:eastAsia="楷体_GB2312"/>
          <w:b/>
          <w:color w:val="auto"/>
          <w:sz w:val="32"/>
          <w:szCs w:val="32"/>
          <w:lang w:val="zh-CN"/>
        </w:rPr>
      </w:pPr>
      <w:bookmarkStart w:id="133" w:name="_Toc14517"/>
      <w:r>
        <w:rPr>
          <w:rFonts w:hint="eastAsia" w:ascii="楷体_GB2312" w:hAnsi="宋体" w:eastAsia="楷体_GB2312"/>
          <w:b/>
          <w:color w:val="auto"/>
          <w:sz w:val="32"/>
          <w:szCs w:val="32"/>
          <w:lang w:val="zh-CN"/>
        </w:rPr>
        <w:t>（三）项目组织实施情况。</w:t>
      </w:r>
      <w:bookmarkEnd w:id="133"/>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是加强组织领导。天府旅游名县创建宣传工作由区委常委、宣传部长牵头，常务副部长统筹落实，其余分管领导对各自分管领域负责管理，由新闻传播股及社会宣传股具体实施，按文件要求做好项目的规划并组织实施，加快项目建设进度，随时对项目与资金进行监督与管理，确保项目按时完成。二是强化日常监督管理。积极与财政部门建立统筹协调、密切配合、分工协作的工作机制，制定完善了相关考核办法，定期对各单位项目使用情况进行监督检查。三是严格执行财政专项资金管理制度，设立明细专账，实行专人管理，无任何单位和个人截留或挪作他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1"/>
        <w:rPr>
          <w:rFonts w:ascii="仿宋_GB2312" w:hAnsi="宋体"/>
          <w:color w:val="auto"/>
          <w:sz w:val="32"/>
          <w:szCs w:val="32"/>
          <w:lang w:val="zh-CN"/>
        </w:rPr>
      </w:pPr>
      <w:bookmarkStart w:id="134" w:name="_Toc31338"/>
      <w:r>
        <w:rPr>
          <w:rFonts w:hint="eastAsia" w:ascii="黑体" w:hAnsi="宋体" w:eastAsia="黑体"/>
          <w:color w:val="auto"/>
          <w:sz w:val="32"/>
          <w:szCs w:val="32"/>
        </w:rPr>
        <w:t>三、项目绩效情况</w:t>
      </w:r>
      <w:bookmarkEnd w:id="134"/>
      <w:r>
        <w:rPr>
          <w:rFonts w:hint="eastAsia" w:ascii="仿宋_GB2312" w:hAnsi="宋体"/>
          <w:color w:val="auto"/>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2"/>
        <w:rPr>
          <w:rFonts w:ascii="楷体_GB2312" w:hAnsi="宋体" w:eastAsia="楷体_GB2312"/>
          <w:b/>
          <w:color w:val="auto"/>
          <w:sz w:val="32"/>
          <w:szCs w:val="32"/>
          <w:lang w:val="zh-CN"/>
        </w:rPr>
      </w:pPr>
      <w:bookmarkStart w:id="135" w:name="_Toc2976"/>
      <w:r>
        <w:rPr>
          <w:rFonts w:hint="eastAsia" w:ascii="楷体_GB2312" w:hAnsi="宋体" w:eastAsia="楷体_GB2312"/>
          <w:b/>
          <w:color w:val="auto"/>
          <w:sz w:val="32"/>
          <w:szCs w:val="32"/>
          <w:lang w:val="zh-CN"/>
        </w:rPr>
        <w:t>（一）项目完成情况。</w:t>
      </w:r>
      <w:bookmarkEnd w:id="135"/>
    </w:p>
    <w:p>
      <w:pPr>
        <w:adjustRightInd w:val="0"/>
        <w:snapToGrid w:val="0"/>
        <w:spacing w:line="560" w:lineRule="exact"/>
        <w:ind w:firstLine="72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1.数量指标。</w:t>
      </w:r>
      <w:r>
        <w:rPr>
          <w:rFonts w:hint="eastAsia" w:ascii="仿宋_GB2312" w:hAnsi="仿宋_GB2312" w:eastAsia="仿宋_GB2312" w:cs="仿宋_GB2312"/>
          <w:b w:val="0"/>
          <w:bCs w:val="0"/>
          <w:color w:val="auto"/>
          <w:sz w:val="32"/>
          <w:szCs w:val="32"/>
        </w:rPr>
        <w:t>累计在合作媒体刊发刊播创建天府旅游名县专题稿件900余条（篇）；推出天府旅游名县创建专版6个；开展外宣活动和文旅活动专题宣传10余次。</w:t>
      </w:r>
      <w:r>
        <w:rPr>
          <w:rFonts w:hint="eastAsia" w:ascii="仿宋_GB2312" w:hAnsi="仿宋_GB2312" w:eastAsia="仿宋_GB2312" w:cs="仿宋_GB2312"/>
          <w:b w:val="0"/>
          <w:bCs w:val="0"/>
          <w:color w:val="auto"/>
          <w:sz w:val="32"/>
          <w:szCs w:val="32"/>
          <w:lang w:val="en-US" w:eastAsia="zh-CN"/>
        </w:rPr>
        <w:t>制作</w:t>
      </w:r>
      <w:r>
        <w:rPr>
          <w:rFonts w:hint="eastAsia" w:ascii="仿宋_GB2312" w:hAnsi="仿宋_GB2312" w:eastAsia="仿宋_GB2312" w:cs="仿宋_GB2312"/>
          <w:b w:val="0"/>
          <w:bCs w:val="0"/>
          <w:color w:val="auto"/>
          <w:sz w:val="32"/>
          <w:szCs w:val="32"/>
        </w:rPr>
        <w:t>大型户外宣传标语</w:t>
      </w:r>
      <w:r>
        <w:rPr>
          <w:rFonts w:hint="eastAsia" w:ascii="仿宋_GB2312" w:hAnsi="仿宋_GB2312" w:eastAsia="仿宋_GB2312" w:cs="仿宋_GB2312"/>
          <w:b w:val="0"/>
          <w:bCs w:val="0"/>
          <w:color w:val="auto"/>
          <w:sz w:val="32"/>
          <w:szCs w:val="32"/>
          <w:lang w:val="en-US" w:eastAsia="zh-CN"/>
        </w:rPr>
        <w:t>30余幅，</w:t>
      </w:r>
      <w:r>
        <w:rPr>
          <w:rFonts w:hint="eastAsia" w:ascii="仿宋_GB2312" w:hAnsi="仿宋_GB2312" w:eastAsia="仿宋_GB2312" w:cs="仿宋_GB2312"/>
          <w:b w:val="0"/>
          <w:bCs w:val="0"/>
          <w:color w:val="auto"/>
          <w:sz w:val="32"/>
          <w:szCs w:val="32"/>
        </w:rPr>
        <w:t>悬挂、张贴创建宣传标语</w:t>
      </w:r>
      <w:r>
        <w:rPr>
          <w:rFonts w:hint="eastAsia" w:ascii="仿宋_GB2312" w:hAnsi="仿宋_GB2312" w:eastAsia="仿宋_GB2312" w:cs="仿宋_GB2312"/>
          <w:b w:val="0"/>
          <w:bCs w:val="0"/>
          <w:color w:val="auto"/>
          <w:sz w:val="32"/>
          <w:szCs w:val="32"/>
          <w:lang w:val="en-US" w:eastAsia="zh-CN"/>
        </w:rPr>
        <w:t>300</w:t>
      </w:r>
      <w:r>
        <w:rPr>
          <w:rFonts w:hint="eastAsia" w:ascii="仿宋_GB2312" w:hAnsi="仿宋_GB2312" w:eastAsia="仿宋_GB2312" w:cs="仿宋_GB2312"/>
          <w:b w:val="0"/>
          <w:bCs w:val="0"/>
          <w:color w:val="auto"/>
          <w:sz w:val="32"/>
          <w:szCs w:val="32"/>
        </w:rPr>
        <w:t>余幅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张贴海报2000余张，悬挂公路道旗1500余组，车贴2000余张，</w:t>
      </w:r>
    </w:p>
    <w:p>
      <w:pPr>
        <w:adjustRightInd w:val="0"/>
        <w:snapToGrid w:val="0"/>
        <w:spacing w:line="560" w:lineRule="exact"/>
        <w:ind w:firstLine="72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kern w:val="2"/>
          <w:sz w:val="32"/>
          <w:szCs w:val="32"/>
          <w:lang w:val="en-US" w:eastAsia="zh-CN" w:bidi="ar-SA"/>
        </w:rPr>
        <w:t>2.质量指标。</w:t>
      </w:r>
      <w:r>
        <w:rPr>
          <w:rFonts w:hint="eastAsia" w:ascii="仿宋_GB2312" w:hAnsi="仿宋_GB2312" w:eastAsia="仿宋_GB2312" w:cs="仿宋_GB2312"/>
          <w:b w:val="0"/>
          <w:bCs w:val="0"/>
          <w:color w:val="auto"/>
          <w:sz w:val="32"/>
          <w:szCs w:val="32"/>
          <w:lang w:val="en-US" w:eastAsia="zh-CN"/>
        </w:rPr>
        <w:t>新闻宣传</w:t>
      </w:r>
      <w:r>
        <w:rPr>
          <w:rFonts w:hint="eastAsia" w:ascii="仿宋_GB2312" w:hAnsi="仿宋_GB2312" w:eastAsia="仿宋_GB2312" w:cs="仿宋_GB2312"/>
          <w:b w:val="0"/>
          <w:bCs w:val="0"/>
          <w:color w:val="auto"/>
          <w:sz w:val="32"/>
          <w:szCs w:val="32"/>
        </w:rPr>
        <w:t>在攻大媒、上头条、出专版、创爆款上取得显著成效。其中《我们的家园》《寻奇天下·曾家山“天盆”》在中央电视台重磅推出， 在《山地田园梦 欢乐庆丰收》在中国县域经济报头版头条刊发，《广元朝天按下创建天府旅游名县“快进键” 谱写文旅经济高质量发展新篇章》《广元市朝天区：建设高品质全国生态康养旅游目的的》《广元朝天区：全力打造文旅经济发展高地》等稿件在《中国旅游报》《四川日报》专版刊发，累计推出《生活在这里》《这里是曾家山》《广元攀枝花的康养之争》新媒体爆款50余个，为我区创建天府旅游名县营造了浓厚舆论环境。</w:t>
      </w:r>
      <w:r>
        <w:rPr>
          <w:rFonts w:hint="eastAsia" w:ascii="仿宋_GB2312" w:hAnsi="仿宋_GB2312" w:eastAsia="仿宋_GB2312" w:cs="仿宋_GB2312"/>
          <w:b w:val="0"/>
          <w:bCs w:val="0"/>
          <w:color w:val="auto"/>
          <w:sz w:val="32"/>
          <w:szCs w:val="32"/>
          <w:lang w:eastAsia="zh-CN"/>
        </w:rPr>
        <w:t>户外广告标语制作均按质完成，达到验收标准。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3.时效指标。</w:t>
      </w:r>
      <w:r>
        <w:rPr>
          <w:rFonts w:hint="eastAsia" w:ascii="仿宋_GB2312" w:hAnsi="仿宋_GB2312" w:eastAsia="仿宋_GB2312" w:cs="仿宋_GB2312"/>
          <w:b w:val="0"/>
          <w:bCs w:val="0"/>
          <w:color w:val="auto"/>
          <w:sz w:val="32"/>
          <w:szCs w:val="32"/>
        </w:rPr>
        <w:t>把好时、效、度，按照年度新闻宣传工作计划</w:t>
      </w:r>
      <w:r>
        <w:rPr>
          <w:rFonts w:hint="eastAsia" w:ascii="仿宋_GB2312" w:hAnsi="仿宋_GB2312" w:eastAsia="仿宋_GB2312" w:cs="仿宋_GB2312"/>
          <w:b w:val="0"/>
          <w:bCs w:val="0"/>
          <w:color w:val="auto"/>
          <w:sz w:val="32"/>
          <w:szCs w:val="32"/>
          <w:lang w:val="en-US" w:eastAsia="zh-CN"/>
        </w:rPr>
        <w:t>和时间节点所实施的项目已经全面完成，完成率达100%。</w:t>
      </w:r>
    </w:p>
    <w:p>
      <w:pPr>
        <w:ind w:firstLine="64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kern w:val="2"/>
          <w:sz w:val="32"/>
          <w:szCs w:val="32"/>
          <w:lang w:val="en-US" w:eastAsia="zh-CN" w:bidi="ar-SA"/>
        </w:rPr>
        <w:t>4.效益指标。</w:t>
      </w:r>
      <w:r>
        <w:rPr>
          <w:rFonts w:hint="eastAsia" w:ascii="仿宋_GB2312" w:hAnsi="仿宋_GB2312" w:eastAsia="仿宋_GB2312" w:cs="仿宋_GB2312"/>
          <w:b w:val="0"/>
          <w:bCs w:val="0"/>
          <w:color w:val="auto"/>
          <w:sz w:val="32"/>
          <w:szCs w:val="32"/>
        </w:rPr>
        <w:t>通过全面、系统、深入的新闻宣传报道和活动开展，充分展示了我区丰富的文化旅游资源和生态康养旅游高质量发展态势，生动呈现了我区在打造文旅品牌、发展智慧旅游、拓展文旅业态、完善基础配套、优化服务保障等方面的进展成效，把项目资金效益发挥到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2"/>
        <w:rPr>
          <w:rFonts w:hint="eastAsia" w:ascii="仿宋_GB2312" w:hAnsi="仿宋_GB2312" w:eastAsia="仿宋_GB2312" w:cs="仿宋_GB2312"/>
          <w:b w:val="0"/>
          <w:bCs w:val="0"/>
          <w:color w:val="auto"/>
          <w:sz w:val="32"/>
          <w:szCs w:val="32"/>
          <w:lang w:val="zh-CN"/>
        </w:rPr>
      </w:pPr>
      <w:bookmarkStart w:id="136" w:name="_Toc22892"/>
      <w:r>
        <w:rPr>
          <w:rFonts w:hint="eastAsia" w:ascii="楷体_GB2312" w:hAnsi="宋体" w:eastAsia="楷体_GB2312"/>
          <w:b/>
          <w:color w:val="auto"/>
          <w:sz w:val="32"/>
          <w:szCs w:val="32"/>
          <w:lang w:val="zh-CN"/>
        </w:rPr>
        <w:t>（二）项目效益情况。</w:t>
      </w:r>
      <w:bookmarkEnd w:id="136"/>
    </w:p>
    <w:p>
      <w:pPr>
        <w:spacing w:line="579"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zh-CN"/>
        </w:rPr>
        <w:t>通过创建天府旅游名县专题宣传，把有限的资金用在无限的作用发挥上，实现资金投入和产出高性价比。近年来，通过新闻宣传换取了朝天旅游人流物流财流，朝天全域全季旅游赢得了突破性发展，人民群众的获得感、幸福感十足，得到上级领导充分认可，为天府旅游旅游名县的成功创建提供了舆论支撑。</w:t>
      </w:r>
      <w:r>
        <w:rPr>
          <w:rFonts w:hint="eastAsia" w:ascii="仿宋_GB2312" w:hAnsi="仿宋_GB2312" w:eastAsia="仿宋_GB2312" w:cs="仿宋_GB2312"/>
          <w:b w:val="0"/>
          <w:bCs w:val="0"/>
          <w:color w:val="auto"/>
          <w:sz w:val="32"/>
          <w:szCs w:val="32"/>
        </w:rPr>
        <w:t>通过项目的实施,进一步彰显了名县品牌优势与影响力，文化旅游设施设备服务功能得到了可持续性发展,项目具有可复制性。</w:t>
      </w:r>
    </w:p>
    <w:p>
      <w:pPr>
        <w:pageBreakBefore w:val="0"/>
        <w:kinsoku/>
        <w:wordWrap/>
        <w:overflowPunct/>
        <w:topLinePunct w:val="0"/>
        <w:bidi w:val="0"/>
        <w:spacing w:line="570" w:lineRule="exact"/>
        <w:textAlignment w:val="auto"/>
        <w:rPr>
          <w:rStyle w:val="29"/>
          <w:rFonts w:ascii="黑体" w:hAnsi="黑体" w:eastAsia="黑体"/>
          <w:b w:val="0"/>
          <w:color w:val="auto"/>
          <w:highlight w:val="none"/>
        </w:rPr>
      </w:pPr>
    </w:p>
    <w:p>
      <w:pPr>
        <w:pageBreakBefore w:val="0"/>
        <w:widowControl/>
        <w:kinsoku/>
        <w:wordWrap/>
        <w:overflowPunct/>
        <w:topLinePunct w:val="0"/>
        <w:bidi w:val="0"/>
        <w:spacing w:line="570" w:lineRule="exact"/>
        <w:jc w:val="left"/>
        <w:textAlignment w:val="auto"/>
        <w:rPr>
          <w:rStyle w:val="29"/>
          <w:rFonts w:ascii="黑体" w:hAnsi="黑体" w:eastAsia="黑体"/>
          <w:b w:val="0"/>
          <w:color w:val="auto"/>
          <w:highlight w:val="none"/>
        </w:rPr>
      </w:pPr>
      <w:r>
        <w:rPr>
          <w:rStyle w:val="29"/>
          <w:rFonts w:ascii="黑体" w:hAnsi="黑体" w:eastAsia="黑体"/>
          <w:b w:val="0"/>
          <w:color w:val="auto"/>
          <w:highlight w:val="none"/>
        </w:rPr>
        <w:br w:type="page"/>
      </w:r>
    </w:p>
    <w:p>
      <w:pPr>
        <w:pageBreakBefore w:val="0"/>
        <w:kinsoku/>
        <w:wordWrap/>
        <w:overflowPunct/>
        <w:topLinePunct w:val="0"/>
        <w:bidi w:val="0"/>
        <w:spacing w:line="570" w:lineRule="exact"/>
        <w:jc w:val="center"/>
        <w:textAlignment w:val="auto"/>
        <w:outlineLvl w:val="0"/>
        <w:rPr>
          <w:rFonts w:hint="eastAsia" w:ascii="仿宋" w:hAnsi="仿宋" w:eastAsia="仿宋"/>
          <w:b w:val="0"/>
          <w:color w:val="auto"/>
          <w:highlight w:val="none"/>
        </w:rPr>
      </w:pPr>
      <w:bookmarkStart w:id="137" w:name="_Toc15396618"/>
      <w:bookmarkStart w:id="138" w:name="_Toc779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85"/>
      <w:bookmarkEnd w:id="137"/>
      <w:bookmarkEnd w:id="138"/>
      <w:bookmarkStart w:id="139" w:name="_Toc15396619"/>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40" w:name="_Toc27668"/>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139"/>
      <w:bookmarkEnd w:id="140"/>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41" w:name="_Toc30017"/>
      <w:bookmarkStart w:id="142"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141"/>
      <w:bookmarkEnd w:id="142"/>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43" w:name="_Toc15396621"/>
      <w:bookmarkStart w:id="144" w:name="_Toc27375"/>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143"/>
      <w:bookmarkEnd w:id="144"/>
    </w:p>
    <w:p>
      <w:pPr>
        <w:pStyle w:val="4"/>
        <w:pageBreakBefore w:val="0"/>
        <w:kinsoku/>
        <w:wordWrap/>
        <w:overflowPunct/>
        <w:topLinePunct w:val="0"/>
        <w:bidi w:val="0"/>
        <w:spacing w:line="570" w:lineRule="exact"/>
        <w:textAlignment w:val="auto"/>
        <w:rPr>
          <w:rFonts w:ascii="仿宋" w:hAnsi="仿宋" w:eastAsia="仿宋"/>
          <w:b w:val="0"/>
          <w:color w:val="auto"/>
          <w:highlight w:val="none"/>
        </w:rPr>
      </w:pPr>
      <w:bookmarkStart w:id="145" w:name="_Toc15396622"/>
      <w:bookmarkStart w:id="146" w:name="_Toc2456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145"/>
      <w:bookmarkEnd w:id="146"/>
    </w:p>
    <w:p>
      <w:pPr>
        <w:pStyle w:val="4"/>
        <w:pageBreakBefore w:val="0"/>
        <w:kinsoku/>
        <w:wordWrap/>
        <w:overflowPunct/>
        <w:topLinePunct w:val="0"/>
        <w:bidi w:val="0"/>
        <w:spacing w:line="570" w:lineRule="exact"/>
        <w:textAlignment w:val="auto"/>
        <w:rPr>
          <w:rStyle w:val="30"/>
          <w:rFonts w:ascii="仿宋" w:hAnsi="仿宋" w:eastAsia="仿宋"/>
          <w:b w:val="0"/>
          <w:bCs w:val="0"/>
          <w:color w:val="auto"/>
          <w:highlight w:val="none"/>
        </w:rPr>
      </w:pPr>
      <w:bookmarkStart w:id="147" w:name="_Toc8629"/>
      <w:bookmarkStart w:id="148"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147"/>
      <w:bookmarkEnd w:id="148"/>
      <w:bookmarkStart w:id="149" w:name="_Toc15396624"/>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50" w:name="_Toc20790"/>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149"/>
      <w:bookmarkEnd w:id="150"/>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51" w:name="_Toc7872"/>
      <w:bookmarkStart w:id="152"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51"/>
      <w:bookmarkEnd w:id="152"/>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53" w:name="_Toc15396626"/>
      <w:bookmarkStart w:id="154" w:name="_Toc12973"/>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53"/>
      <w:bookmarkEnd w:id="154"/>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55" w:name="_Toc3893"/>
      <w:bookmarkStart w:id="156"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55"/>
      <w:bookmarkEnd w:id="156"/>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57" w:name="_Toc15396628"/>
      <w:bookmarkStart w:id="158" w:name="_Toc18143"/>
      <w:r>
        <w:rPr>
          <w:rStyle w:val="30"/>
          <w:rFonts w:hint="eastAsia" w:ascii="仿宋" w:hAnsi="仿宋" w:eastAsia="仿宋"/>
          <w:b w:val="0"/>
          <w:bCs w:val="0"/>
          <w:color w:val="auto"/>
          <w:highlight w:val="none"/>
        </w:rPr>
        <w:t>十、</w:t>
      </w:r>
      <w:bookmarkEnd w:id="157"/>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58"/>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59" w:name="_Toc15396629"/>
      <w:bookmarkStart w:id="160" w:name="_Toc13713"/>
      <w:r>
        <w:rPr>
          <w:rStyle w:val="30"/>
          <w:rFonts w:hint="eastAsia" w:ascii="仿宋" w:hAnsi="仿宋" w:eastAsia="仿宋"/>
          <w:b w:val="0"/>
          <w:bCs w:val="0"/>
          <w:color w:val="auto"/>
          <w:highlight w:val="none"/>
        </w:rPr>
        <w:t>十一、</w:t>
      </w:r>
      <w:bookmarkEnd w:id="159"/>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60"/>
    </w:p>
    <w:p>
      <w:pPr>
        <w:pStyle w:val="4"/>
        <w:pageBreakBefore w:val="0"/>
        <w:kinsoku/>
        <w:wordWrap/>
        <w:overflowPunct/>
        <w:topLinePunct w:val="0"/>
        <w:bidi w:val="0"/>
        <w:spacing w:line="570" w:lineRule="exact"/>
        <w:textAlignment w:val="auto"/>
        <w:rPr>
          <w:rFonts w:ascii="仿宋" w:hAnsi="仿宋" w:eastAsia="仿宋"/>
          <w:color w:val="auto"/>
          <w:highlight w:val="none"/>
        </w:rPr>
      </w:pPr>
      <w:bookmarkStart w:id="161" w:name="_Toc15396630"/>
      <w:bookmarkStart w:id="162" w:name="_Toc28704"/>
      <w:r>
        <w:rPr>
          <w:rStyle w:val="30"/>
          <w:rFonts w:hint="eastAsia" w:ascii="仿宋" w:hAnsi="仿宋" w:eastAsia="仿宋"/>
          <w:b w:val="0"/>
          <w:bCs w:val="0"/>
          <w:color w:val="auto"/>
          <w:highlight w:val="none"/>
        </w:rPr>
        <w:t>十二、</w:t>
      </w:r>
      <w:bookmarkEnd w:id="161"/>
      <w:r>
        <w:rPr>
          <w:rStyle w:val="30"/>
          <w:rFonts w:hint="eastAsia" w:ascii="仿宋" w:hAnsi="仿宋" w:eastAsia="仿宋"/>
          <w:b w:val="0"/>
          <w:bCs w:val="0"/>
          <w:color w:val="auto"/>
          <w:highlight w:val="none"/>
          <w:lang w:eastAsia="zh-CN"/>
        </w:rPr>
        <w:t>国有资本经营预算财政拨款支出决算表</w:t>
      </w:r>
      <w:bookmarkEnd w:id="162"/>
    </w:p>
    <w:p>
      <w:pPr>
        <w:pStyle w:val="4"/>
        <w:pageBreakBefore w:val="0"/>
        <w:kinsoku/>
        <w:wordWrap/>
        <w:overflowPunct/>
        <w:topLinePunct w:val="0"/>
        <w:bidi w:val="0"/>
        <w:spacing w:line="570" w:lineRule="exact"/>
        <w:textAlignment w:val="auto"/>
        <w:rPr>
          <w:rFonts w:hint="eastAsia" w:eastAsia="仿宋"/>
          <w:color w:val="auto"/>
          <w:highlight w:val="none"/>
          <w:lang w:eastAsia="zh-CN"/>
        </w:rPr>
      </w:pPr>
      <w:bookmarkStart w:id="163" w:name="_Toc15396631"/>
      <w:bookmarkStart w:id="164" w:name="_Toc5490"/>
      <w:r>
        <w:rPr>
          <w:rStyle w:val="30"/>
          <w:rFonts w:hint="eastAsia" w:ascii="仿宋" w:hAnsi="仿宋" w:eastAsia="仿宋"/>
          <w:b w:val="0"/>
          <w:bCs w:val="0"/>
          <w:color w:val="auto"/>
          <w:highlight w:val="none"/>
        </w:rPr>
        <w:t>十三、</w:t>
      </w:r>
      <w:bookmarkEnd w:id="163"/>
      <w:r>
        <w:rPr>
          <w:rStyle w:val="30"/>
          <w:rFonts w:hint="eastAsia" w:ascii="仿宋" w:hAnsi="仿宋" w:eastAsia="仿宋"/>
          <w:b w:val="0"/>
          <w:bCs w:val="0"/>
          <w:color w:val="auto"/>
          <w:highlight w:val="none"/>
          <w:lang w:eastAsia="zh-CN"/>
        </w:rPr>
        <w:t>财政拨款“三公”经费支出决算表</w:t>
      </w:r>
      <w:bookmarkEnd w:id="16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45B5B"/>
    <w:multiLevelType w:val="singleLevel"/>
    <w:tmpl w:val="9B245B5B"/>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2836126"/>
    <w:multiLevelType w:val="singleLevel"/>
    <w:tmpl w:val="62836126"/>
    <w:lvl w:ilvl="0" w:tentative="0">
      <w:start w:val="2"/>
      <w:numFmt w:val="chineseCounting"/>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06C6"/>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14167"/>
    <w:rsid w:val="015975B8"/>
    <w:rsid w:val="01ED08E8"/>
    <w:rsid w:val="02143E91"/>
    <w:rsid w:val="02665EE8"/>
    <w:rsid w:val="02913F75"/>
    <w:rsid w:val="050242AD"/>
    <w:rsid w:val="05373674"/>
    <w:rsid w:val="058368B9"/>
    <w:rsid w:val="066E0107"/>
    <w:rsid w:val="076B0E5A"/>
    <w:rsid w:val="079455C8"/>
    <w:rsid w:val="07996F6E"/>
    <w:rsid w:val="08200168"/>
    <w:rsid w:val="09D40957"/>
    <w:rsid w:val="0A2032A3"/>
    <w:rsid w:val="0BE44CF2"/>
    <w:rsid w:val="0D0429D6"/>
    <w:rsid w:val="0E952CD8"/>
    <w:rsid w:val="0F98263C"/>
    <w:rsid w:val="101860EC"/>
    <w:rsid w:val="10C055FF"/>
    <w:rsid w:val="118107EC"/>
    <w:rsid w:val="12E22339"/>
    <w:rsid w:val="134F427F"/>
    <w:rsid w:val="136F1CA1"/>
    <w:rsid w:val="13A06CBF"/>
    <w:rsid w:val="13D50BC4"/>
    <w:rsid w:val="14101C60"/>
    <w:rsid w:val="14724032"/>
    <w:rsid w:val="147B3AE9"/>
    <w:rsid w:val="14972381"/>
    <w:rsid w:val="14980CCE"/>
    <w:rsid w:val="15E57CA6"/>
    <w:rsid w:val="16A83787"/>
    <w:rsid w:val="16BB723D"/>
    <w:rsid w:val="16D276A1"/>
    <w:rsid w:val="173B7EE0"/>
    <w:rsid w:val="181B5077"/>
    <w:rsid w:val="189664AC"/>
    <w:rsid w:val="189A336A"/>
    <w:rsid w:val="1AA255DC"/>
    <w:rsid w:val="1BB426AD"/>
    <w:rsid w:val="1BE8440E"/>
    <w:rsid w:val="1C29162E"/>
    <w:rsid w:val="1D155CEE"/>
    <w:rsid w:val="1DC43CB7"/>
    <w:rsid w:val="1E0C3C6C"/>
    <w:rsid w:val="1FF35744"/>
    <w:rsid w:val="201420CE"/>
    <w:rsid w:val="20473E62"/>
    <w:rsid w:val="20AD3C62"/>
    <w:rsid w:val="21CE31C8"/>
    <w:rsid w:val="234C2589"/>
    <w:rsid w:val="23860B96"/>
    <w:rsid w:val="23975054"/>
    <w:rsid w:val="23B95E70"/>
    <w:rsid w:val="240371BF"/>
    <w:rsid w:val="24967F5F"/>
    <w:rsid w:val="24B937DC"/>
    <w:rsid w:val="250E527E"/>
    <w:rsid w:val="259A75DB"/>
    <w:rsid w:val="259C15A5"/>
    <w:rsid w:val="25D927CC"/>
    <w:rsid w:val="27C43035"/>
    <w:rsid w:val="2927562A"/>
    <w:rsid w:val="29FD04D3"/>
    <w:rsid w:val="2ABA427C"/>
    <w:rsid w:val="2C1874AC"/>
    <w:rsid w:val="2C8A61B5"/>
    <w:rsid w:val="2DF04E50"/>
    <w:rsid w:val="2E1F51D1"/>
    <w:rsid w:val="2E903C71"/>
    <w:rsid w:val="2E93341D"/>
    <w:rsid w:val="2F040D46"/>
    <w:rsid w:val="2F5D1CAF"/>
    <w:rsid w:val="304A5AD5"/>
    <w:rsid w:val="31903F88"/>
    <w:rsid w:val="319F7F4E"/>
    <w:rsid w:val="3304709D"/>
    <w:rsid w:val="34AA5361"/>
    <w:rsid w:val="35265596"/>
    <w:rsid w:val="35320590"/>
    <w:rsid w:val="353A0C58"/>
    <w:rsid w:val="36257BF7"/>
    <w:rsid w:val="36AA5135"/>
    <w:rsid w:val="370A472D"/>
    <w:rsid w:val="37160A8C"/>
    <w:rsid w:val="376D39B2"/>
    <w:rsid w:val="37E16F03"/>
    <w:rsid w:val="38B247E4"/>
    <w:rsid w:val="38D469F0"/>
    <w:rsid w:val="39132B62"/>
    <w:rsid w:val="392B61B6"/>
    <w:rsid w:val="3A331955"/>
    <w:rsid w:val="3B141786"/>
    <w:rsid w:val="3BB667E1"/>
    <w:rsid w:val="3C4566D0"/>
    <w:rsid w:val="3C540675"/>
    <w:rsid w:val="3D936435"/>
    <w:rsid w:val="3D98207C"/>
    <w:rsid w:val="3E471540"/>
    <w:rsid w:val="3E78745D"/>
    <w:rsid w:val="40D73BA8"/>
    <w:rsid w:val="40FD484E"/>
    <w:rsid w:val="41764F49"/>
    <w:rsid w:val="4287536C"/>
    <w:rsid w:val="43081BD1"/>
    <w:rsid w:val="436F1B47"/>
    <w:rsid w:val="449D509B"/>
    <w:rsid w:val="449F737F"/>
    <w:rsid w:val="44E268DA"/>
    <w:rsid w:val="45010FCD"/>
    <w:rsid w:val="457479F1"/>
    <w:rsid w:val="46FE1381"/>
    <w:rsid w:val="47D429C9"/>
    <w:rsid w:val="48512B51"/>
    <w:rsid w:val="497D499A"/>
    <w:rsid w:val="4A627F82"/>
    <w:rsid w:val="4B0E749A"/>
    <w:rsid w:val="4B4F25DA"/>
    <w:rsid w:val="4BE068DB"/>
    <w:rsid w:val="4D577224"/>
    <w:rsid w:val="4EAB630A"/>
    <w:rsid w:val="4ECE2238"/>
    <w:rsid w:val="4EF97966"/>
    <w:rsid w:val="4F1A75A3"/>
    <w:rsid w:val="50E40BA4"/>
    <w:rsid w:val="51782617"/>
    <w:rsid w:val="537361E4"/>
    <w:rsid w:val="537E6D0A"/>
    <w:rsid w:val="54F603FD"/>
    <w:rsid w:val="55931DC2"/>
    <w:rsid w:val="562E599A"/>
    <w:rsid w:val="589215C1"/>
    <w:rsid w:val="5ABC4C97"/>
    <w:rsid w:val="5AF92295"/>
    <w:rsid w:val="5BB22BCA"/>
    <w:rsid w:val="5CD71FC4"/>
    <w:rsid w:val="5E9912BE"/>
    <w:rsid w:val="5EF4579B"/>
    <w:rsid w:val="616752DB"/>
    <w:rsid w:val="62487DE4"/>
    <w:rsid w:val="62761605"/>
    <w:rsid w:val="63224191"/>
    <w:rsid w:val="63E55195"/>
    <w:rsid w:val="64D16632"/>
    <w:rsid w:val="64DB6CED"/>
    <w:rsid w:val="654672B3"/>
    <w:rsid w:val="65F11928"/>
    <w:rsid w:val="66562C79"/>
    <w:rsid w:val="66FD119D"/>
    <w:rsid w:val="67220C6C"/>
    <w:rsid w:val="67D0065F"/>
    <w:rsid w:val="68FC6787"/>
    <w:rsid w:val="69033CA3"/>
    <w:rsid w:val="69DE1DDD"/>
    <w:rsid w:val="69F17170"/>
    <w:rsid w:val="6AB9122B"/>
    <w:rsid w:val="6C4A05C8"/>
    <w:rsid w:val="6D1F1741"/>
    <w:rsid w:val="6D2F5EB0"/>
    <w:rsid w:val="6DE85CF0"/>
    <w:rsid w:val="6E7E3605"/>
    <w:rsid w:val="6EBA5F8A"/>
    <w:rsid w:val="6FF5CC65"/>
    <w:rsid w:val="7026309C"/>
    <w:rsid w:val="70DA6AD2"/>
    <w:rsid w:val="70F61E5B"/>
    <w:rsid w:val="715C0E4B"/>
    <w:rsid w:val="71663DE2"/>
    <w:rsid w:val="72734D90"/>
    <w:rsid w:val="73AD73D5"/>
    <w:rsid w:val="73B6EB34"/>
    <w:rsid w:val="73DC65DE"/>
    <w:rsid w:val="74221C3A"/>
    <w:rsid w:val="744731E5"/>
    <w:rsid w:val="75583EF3"/>
    <w:rsid w:val="766A3D7B"/>
    <w:rsid w:val="766A6123"/>
    <w:rsid w:val="76A96C4B"/>
    <w:rsid w:val="76E3355F"/>
    <w:rsid w:val="7725204A"/>
    <w:rsid w:val="77277B70"/>
    <w:rsid w:val="77336515"/>
    <w:rsid w:val="77462E72"/>
    <w:rsid w:val="778769C8"/>
    <w:rsid w:val="77AD4519"/>
    <w:rsid w:val="79EE5BA4"/>
    <w:rsid w:val="7A24576C"/>
    <w:rsid w:val="7A894339"/>
    <w:rsid w:val="7AF83CFD"/>
    <w:rsid w:val="7EC550D4"/>
    <w:rsid w:val="7EDC652F"/>
    <w:rsid w:val="7EEA1BAF"/>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ind w:left="200" w:leftChars="200" w:hanging="200" w:hangingChars="200"/>
    </w:p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paragraph" w:customStyle="1" w:styleId="3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15903</Words>
  <Characters>16830</Characters>
  <Lines>61</Lines>
  <Paragraphs>17</Paragraphs>
  <TotalTime>16</TotalTime>
  <ScaleCrop>false</ScaleCrop>
  <LinksUpToDate>false</LinksUpToDate>
  <CharactersWithSpaces>16954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2023-10-20T10:23:00Z</cp:lastPrinted>
  <dcterms:modified xsi:type="dcterms:W3CDTF">2025-02-08T15:33:09Z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693704188D314F799B62744C842BCE98_13</vt:lpwstr>
  </property>
</Properties>
</file>