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96597"/>
      <w:bookmarkStart w:id="1" w:name="_Toc15378441"/>
      <w:bookmarkStart w:id="2" w:name="_Toc15377425"/>
      <w:bookmarkStart w:id="3" w:name="_Toc15396475"/>
      <w:bookmarkStart w:id="4" w:name="_Toc15377193"/>
      <w:bookmarkStart w:id="5" w:name="_Toc15306267"/>
      <w:bookmarkStart w:id="75" w:name="_GoBack"/>
      <w:bookmarkEnd w:id="75"/>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bookmarkEnd w:id="5"/>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方正小标宋简体" w:hAnsi="方正小标宋简体" w:eastAsia="方正小标宋简体" w:cs="方正小标宋简体"/>
          <w:color w:val="auto"/>
          <w:sz w:val="72"/>
          <w:szCs w:val="72"/>
          <w:highlight w:val="none"/>
        </w:rPr>
      </w:pPr>
      <w:bookmarkStart w:id="6" w:name="_Toc15396476"/>
      <w:bookmarkStart w:id="7" w:name="_Toc15396598"/>
      <w:bookmarkStart w:id="8" w:name="_Toc15377426"/>
      <w:bookmarkStart w:id="9" w:name="_Toc15377194"/>
      <w:bookmarkStart w:id="10" w:name="_Toc15378442"/>
      <w:bookmarkStart w:id="11" w:name="_Toc15306268"/>
      <w:r>
        <w:rPr>
          <w:rFonts w:hint="eastAsia" w:ascii="方正小标宋简体" w:hAnsi="方正小标宋简体" w:eastAsia="方正小标宋简体" w:cs="方正小标宋简体"/>
          <w:color w:val="auto"/>
          <w:sz w:val="72"/>
          <w:szCs w:val="72"/>
          <w:highlight w:val="none"/>
          <w:lang w:eastAsia="zh-CN"/>
        </w:rPr>
        <w:t>中共广元市朝天区委党校</w:t>
      </w: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1"/>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p>
      <w:pPr>
        <w:rPr>
          <w:color w:val="auto"/>
          <w:highlight w:val="none"/>
        </w:rPr>
      </w:pP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p>
    <w:p>
      <w:pPr>
        <w:pStyle w:val="12"/>
        <w:adjustRightInd w:val="0"/>
        <w:snapToGrid w:val="0"/>
        <w:spacing w:line="440" w:lineRule="exact"/>
        <w:jc w:val="left"/>
        <w:rPr>
          <w:rFonts w:ascii="仿宋" w:hAnsi="仿宋" w:eastAsia="仿宋"/>
          <w:color w:val="auto"/>
          <w:sz w:val="24"/>
          <w:highlight w:val="none"/>
        </w:rPr>
      </w:pPr>
      <w:r>
        <w:rPr>
          <w:rFonts w:hint="eastAsia"/>
          <w:color w:val="auto"/>
          <w:sz w:val="24"/>
          <w:highlight w:val="none"/>
        </w:rPr>
        <w:t>一、基本职能及主要工作</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二、机构设置</w:t>
      </w:r>
    </w:p>
    <w:p>
      <w:pPr>
        <w:pStyle w:val="11"/>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rPr>
        <w:t>部门决算情况说明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2"/>
        <w:adjustRightInd w:val="0"/>
        <w:snapToGrid w:val="0"/>
        <w:spacing w:line="440" w:lineRule="exact"/>
        <w:ind w:leftChars="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asciiTheme="minorEastAsia" w:hAnsiTheme="minorEastAsia" w:eastAsiaTheme="minorEastAsia" w:cstheme="minorEastAsia"/>
          <w:color w:val="auto"/>
          <w:sz w:val="24"/>
          <w:highlight w:val="none"/>
        </w:rPr>
      </w:pPr>
      <w:r>
        <w:rPr>
          <w:rStyle w:val="17"/>
          <w:rFonts w:hint="eastAsia" w:asciiTheme="minorEastAsia" w:hAnsiTheme="minorEastAsia" w:eastAsiaTheme="minorEastAsia" w:cstheme="minorEastAsia"/>
          <w:color w:val="auto"/>
          <w:sz w:val="24"/>
          <w:highlight w:val="none"/>
          <w:u w:val="none"/>
          <w:lang w:eastAsia="zh-CN"/>
        </w:rPr>
        <w:t>十</w:t>
      </w:r>
      <w:r>
        <w:rPr>
          <w:rStyle w:val="17"/>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lang w:val="en-US" w:eastAsia="zh-CN"/>
        </w:rPr>
        <w:t>预算绩效管理情况</w:t>
      </w:r>
      <w:r>
        <w:rPr>
          <w:rFonts w:hint="eastAsia" w:asciiTheme="minorEastAsia" w:hAnsiTheme="minorEastAsia" w:eastAsiaTheme="minorEastAsia" w:cstheme="minorEastAsia"/>
          <w:color w:val="auto"/>
          <w:sz w:val="24"/>
          <w:highlight w:val="none"/>
        </w:rPr>
        <w:tab/>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default" w:eastAsiaTheme="minorEastAsia"/>
          <w:lang w:val="en-US" w:eastAsia="zh-CN"/>
        </w:rPr>
      </w:pPr>
      <w:r>
        <w:rPr>
          <w:rFonts w:hint="eastAsia" w:asciiTheme="minorEastAsia" w:hAnsiTheme="minorEastAsia" w:eastAsiaTheme="minorEastAsia" w:cstheme="minorEastAsia"/>
          <w:color w:val="auto"/>
          <w:sz w:val="24"/>
          <w:highlight w:val="none"/>
          <w:lang w:val="en-US" w:eastAsia="zh-CN"/>
        </w:rPr>
        <w:t>十一、</w:t>
      </w:r>
      <w:r>
        <w:rPr>
          <w:rFonts w:hint="eastAsia" w:asciiTheme="minorEastAsia" w:hAnsiTheme="minorEastAsia" w:eastAsiaTheme="minorEastAsia" w:cstheme="minorEastAsia"/>
          <w:color w:val="auto"/>
          <w:sz w:val="24"/>
          <w:highlight w:val="none"/>
        </w:rPr>
        <w:t>其他重要事项的情况说明</w:t>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2"/>
        <w:adjustRightInd w:val="0"/>
        <w:snapToGrid w:val="0"/>
        <w:spacing w:line="440" w:lineRule="exact"/>
        <w:jc w:val="left"/>
        <w:rPr>
          <w:rFonts w:ascii="仿宋" w:hAnsi="仿宋" w:eastAsia="仿宋" w:cstheme="minorBidi"/>
          <w:color w:val="auto"/>
          <w:sz w:val="24"/>
          <w:highlight w:val="none"/>
        </w:rPr>
      </w:pPr>
      <w:r>
        <w:rPr>
          <w:rFonts w:hint="eastAsia" w:ascii="仿宋" w:hAnsi="仿宋" w:eastAsia="仿宋"/>
          <w:color w:val="auto"/>
          <w:sz w:val="24"/>
          <w:highlight w:val="none"/>
        </w:rPr>
        <w:t>一、</w:t>
      </w:r>
      <w:r>
        <w:rPr>
          <w:rFonts w:hint="eastAsia"/>
          <w:color w:val="auto"/>
          <w:sz w:val="24"/>
          <w:highlight w:val="none"/>
        </w:rPr>
        <w:t>收入支出决算总表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二、收入决算表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四、财政拨款收入支出决算总表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五、财政拨款支出决算明细表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六、一般公共预算财政拨款支出决算表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七、一般公共预算财政拨款支出决算明细表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八、一般公共预算财政拨款基本支出决算表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九、一般公共预算财政拨款项目支出决算表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十、一般公共预算财政拨款“三公”经费支出决算表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十一、政府性基金预算财政拨款收入支出决算表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十二、政府性基金预算财政拨款“三公”经费支出决算表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十三、国有资本经营预算</w:t>
      </w:r>
      <w:r>
        <w:rPr>
          <w:rFonts w:hint="eastAsia" w:asciiTheme="minorEastAsia" w:hAnsiTheme="minorEastAsia" w:eastAsiaTheme="minorEastAsia" w:cstheme="minorEastAsia"/>
          <w:color w:val="auto"/>
          <w:sz w:val="24"/>
          <w:highlight w:val="none"/>
          <w:lang w:eastAsia="zh-CN"/>
        </w:rPr>
        <w:t>财政拨款收入</w:t>
      </w:r>
      <w:r>
        <w:rPr>
          <w:rFonts w:hint="eastAsia" w:asciiTheme="minorEastAsia" w:hAnsiTheme="minorEastAsia" w:eastAsiaTheme="minorEastAsia" w:cstheme="minorEastAsia"/>
          <w:color w:val="auto"/>
          <w:sz w:val="24"/>
          <w:highlight w:val="none"/>
        </w:rPr>
        <w:t>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十四、国有资本经营预算财政拨款支出决算表</w:t>
      </w:r>
    </w:p>
    <w:p>
      <w:pPr>
        <w:widowControl/>
        <w:adjustRightInd w:val="0"/>
        <w:snapToGrid w:val="0"/>
        <w:spacing w:line="440" w:lineRule="exact"/>
        <w:ind w:firstLine="1320" w:firstLineChars="550"/>
        <w:jc w:val="left"/>
        <w:rPr>
          <w:rFonts w:ascii="仿宋" w:hAnsi="仿宋" w:eastAsia="仿宋"/>
          <w:color w:val="auto"/>
          <w:sz w:val="24"/>
          <w:highlight w:val="none"/>
        </w:rPr>
      </w:pPr>
      <w:r>
        <w:rPr>
          <w:rFonts w:ascii="仿宋" w:hAnsi="仿宋" w:eastAsia="仿宋"/>
          <w:color w:val="auto"/>
          <w:sz w:val="24"/>
          <w:highlight w:val="none"/>
        </w:rPr>
        <w:t>(注：</w:t>
      </w:r>
      <w:r>
        <w:rPr>
          <w:rFonts w:hint="eastAsia" w:ascii="仿宋" w:hAnsi="仿宋" w:eastAsia="仿宋"/>
          <w:color w:val="auto"/>
          <w:sz w:val="24"/>
          <w:highlight w:val="none"/>
        </w:rPr>
        <w:t>请部门根据实际注明页码</w:t>
      </w:r>
      <w:r>
        <w:rPr>
          <w:rFonts w:ascii="仿宋" w:hAnsi="仿宋" w:eastAsia="仿宋"/>
          <w:color w:val="auto"/>
          <w:sz w:val="24"/>
          <w:highlight w:val="none"/>
        </w:rPr>
        <w:t>)</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3"/>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Style w:val="26"/>
          <w:rFonts w:hint="eastAsia" w:ascii="黑体" w:hAnsi="黑体" w:eastAsia="黑体"/>
          <w:b w:val="0"/>
          <w:bCs w:val="0"/>
          <w:color w:val="auto"/>
          <w:highlight w:val="none"/>
        </w:rPr>
        <w:t>部门概况</w:t>
      </w:r>
      <w:bookmarkEnd w:id="12"/>
      <w:bookmarkEnd w:id="13"/>
    </w:p>
    <w:p>
      <w:pPr>
        <w:pStyle w:val="4"/>
        <w:pageBreakBefore w:val="0"/>
        <w:widowControl w:val="0"/>
        <w:kinsoku/>
        <w:wordWrap/>
        <w:overflowPunct/>
        <w:topLinePunct w:val="0"/>
        <w:autoSpaceDE/>
        <w:autoSpaceDN/>
        <w:bidi w:val="0"/>
        <w:spacing w:line="576" w:lineRule="exact"/>
        <w:textAlignment w:val="auto"/>
        <w:rPr>
          <w:rStyle w:val="27"/>
          <w:rFonts w:ascii="仿宋" w:hAnsi="仿宋" w:eastAsia="仿宋"/>
          <w:b w:val="0"/>
          <w:bCs w:val="0"/>
          <w:color w:val="auto"/>
          <w:highlight w:val="none"/>
        </w:rPr>
      </w:pPr>
      <w:bookmarkStart w:id="14" w:name="_Toc15396600"/>
      <w:bookmarkStart w:id="15" w:name="_Toc15377197"/>
      <w:r>
        <w:rPr>
          <w:rFonts w:hint="eastAsia" w:ascii="黑体" w:hAnsi="黑体" w:eastAsia="黑体"/>
          <w:b w:val="0"/>
          <w:color w:val="auto"/>
          <w:highlight w:val="none"/>
        </w:rPr>
        <w:t>一、基</w:t>
      </w:r>
      <w:r>
        <w:rPr>
          <w:rStyle w:val="27"/>
          <w:rFonts w:hint="eastAsia" w:ascii="黑体" w:hAnsi="黑体" w:eastAsia="黑体"/>
          <w:b w:val="0"/>
          <w:bCs w:val="0"/>
          <w:color w:val="auto"/>
          <w:highlight w:val="none"/>
        </w:rPr>
        <w:t>本职能及主要工作</w:t>
      </w:r>
      <w:bookmarkEnd w:id="14"/>
      <w:bookmarkEnd w:id="15"/>
    </w:p>
    <w:p>
      <w:pPr>
        <w:pStyle w:val="2"/>
        <w:pageBreakBefore w:val="0"/>
        <w:widowControl w:val="0"/>
        <w:kinsoku/>
        <w:wordWrap/>
        <w:overflowPunct/>
        <w:topLinePunct w:val="0"/>
        <w:autoSpaceDE/>
        <w:autoSpaceDN/>
        <w:bidi w:val="0"/>
        <w:adjustRightInd w:val="0"/>
        <w:snapToGrid w:val="0"/>
        <w:spacing w:before="93" w:line="576" w:lineRule="exact"/>
        <w:ind w:firstLine="672" w:firstLineChars="210"/>
        <w:textAlignment w:val="auto"/>
        <w:outlineLvl w:val="2"/>
        <w:rPr>
          <w:rFonts w:hint="eastAsia" w:ascii="仿宋" w:hAnsi="仿宋" w:eastAsia="仿宋"/>
          <w:bCs/>
          <w:color w:val="auto"/>
          <w:sz w:val="32"/>
          <w:szCs w:val="32"/>
          <w:highlight w:val="none"/>
        </w:rPr>
      </w:pPr>
      <w:bookmarkStart w:id="16" w:name="_Toc15378445"/>
      <w:bookmarkStart w:id="17" w:name="_Toc15377198"/>
      <w:r>
        <w:rPr>
          <w:rFonts w:hint="eastAsia" w:ascii="仿宋" w:hAnsi="仿宋" w:eastAsia="仿宋"/>
          <w:bCs/>
          <w:color w:val="auto"/>
          <w:sz w:val="32"/>
          <w:szCs w:val="32"/>
          <w:highlight w:val="none"/>
        </w:rPr>
        <w:t>（一）主要职能。</w:t>
      </w:r>
    </w:p>
    <w:bookmarkEnd w:id="16"/>
    <w:bookmarkEnd w:id="17"/>
    <w:p>
      <w:pPr>
        <w:pStyle w:val="2"/>
        <w:pageBreakBefore w:val="0"/>
        <w:widowControl w:val="0"/>
        <w:kinsoku/>
        <w:wordWrap/>
        <w:overflowPunct/>
        <w:topLinePunct w:val="0"/>
        <w:autoSpaceDE/>
        <w:autoSpaceDN/>
        <w:bidi w:val="0"/>
        <w:adjustRightInd w:val="0"/>
        <w:snapToGrid w:val="0"/>
        <w:spacing w:before="72" w:line="576" w:lineRule="exact"/>
        <w:ind w:firstLine="672" w:firstLineChars="210"/>
        <w:textAlignment w:val="auto"/>
        <w:rPr>
          <w:rFonts w:hAnsi="仿宋"/>
          <w:bCs/>
          <w:color w:val="000000"/>
          <w:sz w:val="32"/>
          <w:szCs w:val="32"/>
        </w:rPr>
      </w:pPr>
      <w:bookmarkStart w:id="18" w:name="_Toc15377199"/>
      <w:bookmarkStart w:id="19" w:name="_Toc15378446"/>
      <w:r>
        <w:rPr>
          <w:rFonts w:hint="eastAsia" w:hAnsi="仿宋"/>
          <w:bCs/>
          <w:color w:val="000000"/>
          <w:sz w:val="32"/>
          <w:szCs w:val="32"/>
        </w:rPr>
        <w:t>1、负责全区副科级干部、后备干部、青年干部、村（社区）党组织书记和理论宣传骨干等人员的培训工作，会同组织部门做好参训人员在校学习期间的管理、考核等工作。</w:t>
      </w:r>
    </w:p>
    <w:p>
      <w:pPr>
        <w:pStyle w:val="2"/>
        <w:adjustRightInd w:val="0"/>
        <w:snapToGrid w:val="0"/>
        <w:spacing w:before="72" w:line="576" w:lineRule="atLeast"/>
        <w:ind w:firstLine="672" w:firstLineChars="210"/>
        <w:rPr>
          <w:rFonts w:hAnsi="仿宋"/>
          <w:bCs/>
          <w:color w:val="000000"/>
          <w:sz w:val="32"/>
          <w:szCs w:val="32"/>
        </w:rPr>
      </w:pPr>
      <w:r>
        <w:rPr>
          <w:rFonts w:hint="eastAsia" w:hAnsi="仿宋"/>
          <w:bCs/>
          <w:color w:val="000000"/>
          <w:sz w:val="32"/>
          <w:szCs w:val="32"/>
        </w:rPr>
        <w:t>2、研究、宣传马克思列宁主义、毛泽东思想、邓小平理论、</w:t>
      </w:r>
      <w:r>
        <w:rPr>
          <w:rFonts w:hint="eastAsia" w:hAnsi="仿宋"/>
          <w:bCs/>
          <w:color w:val="000000"/>
          <w:sz w:val="32"/>
          <w:szCs w:val="32"/>
          <w:lang w:eastAsia="zh-CN"/>
        </w:rPr>
        <w:t>“三个代表”重要思想</w:t>
      </w:r>
      <w:r>
        <w:rPr>
          <w:rFonts w:hint="eastAsia" w:hAnsi="仿宋"/>
          <w:bCs/>
          <w:color w:val="000000"/>
          <w:sz w:val="32"/>
          <w:szCs w:val="32"/>
        </w:rPr>
        <w:t>、科学发展观、习近平新时代中国特色社会主义思想，围绕党的中心任务和区委的部署对全区重大现实问题开展理论研究，为教学和社会实践服务，将重要成果提供给区委供决策参考。</w:t>
      </w:r>
    </w:p>
    <w:p>
      <w:pPr>
        <w:pStyle w:val="2"/>
        <w:adjustRightInd w:val="0"/>
        <w:snapToGrid w:val="0"/>
        <w:spacing w:before="72" w:line="576" w:lineRule="atLeast"/>
        <w:ind w:firstLine="672" w:firstLineChars="210"/>
        <w:rPr>
          <w:rFonts w:hAnsi="仿宋"/>
          <w:bCs/>
          <w:color w:val="000000"/>
          <w:sz w:val="32"/>
          <w:szCs w:val="32"/>
        </w:rPr>
      </w:pPr>
      <w:r>
        <w:rPr>
          <w:rFonts w:hint="eastAsia" w:hAnsi="仿宋"/>
          <w:bCs/>
          <w:color w:val="000000"/>
          <w:sz w:val="32"/>
          <w:szCs w:val="32"/>
        </w:rPr>
        <w:t>3、受区委委托举办领导干部研讨班，研究区委提出的重大理论和方针政策。</w:t>
      </w:r>
    </w:p>
    <w:p>
      <w:pPr>
        <w:pStyle w:val="2"/>
        <w:adjustRightInd w:val="0"/>
        <w:snapToGrid w:val="0"/>
        <w:spacing w:before="72" w:line="576" w:lineRule="atLeast"/>
        <w:ind w:firstLine="672" w:firstLineChars="210"/>
        <w:rPr>
          <w:rFonts w:hint="eastAsia" w:hAnsi="仿宋"/>
          <w:bCs/>
          <w:color w:val="000000"/>
          <w:sz w:val="32"/>
          <w:szCs w:val="32"/>
        </w:rPr>
      </w:pPr>
      <w:r>
        <w:rPr>
          <w:rFonts w:hint="eastAsia" w:hAnsi="方正仿宋_GBK" w:cs="方正仿宋_GBK"/>
          <w:sz w:val="32"/>
          <w:szCs w:val="32"/>
        </w:rPr>
        <w:t>4、完成区委和上级党校交办的其他事项。</w:t>
      </w:r>
    </w:p>
    <w:p>
      <w:pPr>
        <w:pStyle w:val="2"/>
        <w:adjustRightInd w:val="0"/>
        <w:snapToGrid w:val="0"/>
        <w:spacing w:before="93" w:line="600" w:lineRule="exact"/>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（二）</w:t>
      </w:r>
      <w:r>
        <w:rPr>
          <w:rFonts w:ascii="仿宋" w:hAnsi="仿宋" w:eastAsia="仿宋"/>
          <w:bCs/>
          <w:color w:val="auto"/>
          <w:sz w:val="32"/>
          <w:szCs w:val="32"/>
          <w:highlight w:val="none"/>
        </w:rPr>
        <w:t>20</w:t>
      </w:r>
      <w:r>
        <w:rPr>
          <w:rFonts w:hint="eastAsia" w:ascii="仿宋" w:hAnsi="仿宋" w:eastAsia="仿宋"/>
          <w:bCs/>
          <w:color w:val="auto"/>
          <w:sz w:val="32"/>
          <w:szCs w:val="32"/>
          <w:highlight w:val="none"/>
          <w:lang w:val="en-US" w:eastAsia="zh-CN"/>
        </w:rPr>
        <w:t>21</w:t>
      </w:r>
      <w:r>
        <w:rPr>
          <w:rFonts w:hint="eastAsia" w:ascii="仿宋" w:hAnsi="仿宋" w:eastAsia="仿宋"/>
          <w:bCs/>
          <w:color w:val="auto"/>
          <w:sz w:val="32"/>
          <w:szCs w:val="32"/>
          <w:highlight w:val="none"/>
        </w:rPr>
        <w:t>年重点工作完成情况。</w:t>
      </w:r>
      <w:bookmarkEnd w:id="18"/>
      <w:bookmarkEnd w:id="19"/>
    </w:p>
    <w:p>
      <w:pPr>
        <w:overflowPunct w:val="0"/>
        <w:spacing w:line="576" w:lineRule="exact"/>
        <w:ind w:firstLine="640" w:firstLineChars="200"/>
        <w:rPr>
          <w:rFonts w:ascii="仿宋_GB2312" w:hAnsi="楷体" w:eastAsia="仿宋_GB2312" w:cs="楷体"/>
          <w:sz w:val="32"/>
          <w:szCs w:val="32"/>
        </w:rPr>
      </w:pPr>
      <w:r>
        <w:rPr>
          <w:rFonts w:hint="eastAsia" w:ascii="楷体_GB2312" w:hAnsi="楷体" w:eastAsia="楷体_GB2312" w:cs="华文仿宋"/>
          <w:sz w:val="32"/>
          <w:szCs w:val="32"/>
          <w:lang w:val="en-US" w:eastAsia="zh-CN"/>
        </w:rPr>
        <w:t>1、</w:t>
      </w:r>
      <w:r>
        <w:rPr>
          <w:rFonts w:hint="eastAsia" w:ascii="楷体_GB2312" w:hAnsi="楷体" w:eastAsia="楷体_GB2312" w:cs="华文仿宋"/>
          <w:sz w:val="32"/>
          <w:szCs w:val="32"/>
        </w:rPr>
        <w:t>从严治党，党校政治建设不断加强。</w:t>
      </w:r>
      <w:r>
        <w:rPr>
          <w:rFonts w:hint="eastAsia" w:ascii="仿宋_GB2312" w:hAnsi="华文楷体" w:eastAsia="仿宋_GB2312" w:cs="华文楷体"/>
          <w:sz w:val="32"/>
          <w:szCs w:val="32"/>
        </w:rPr>
        <w:t>一是认真学习贯彻习近平新时代中国特色社会主义思想和党的十九大和党的十九届五中、六中全会和省委、市委、区委全会精神以及决策部署，将其纳入主体班次重要教学内容，在学习贯彻上做到了学习有记录、贯彻有举措、落实有成效。二是严守政治纪律和政治规矩，增强“四个意识”，坚定“四个自信”，做到“两个维护”，在思想上政治上行动上同以习近平同志为核心的党中央保持高度一致。三是</w:t>
      </w:r>
      <w:r>
        <w:rPr>
          <w:rFonts w:hint="eastAsia" w:ascii="仿宋_GB2312" w:eastAsia="仿宋_GB2312"/>
          <w:sz w:val="32"/>
          <w:szCs w:val="32"/>
        </w:rPr>
        <w:t>抓实党风廉政建设。持续推动全面从严治党，不断强化严以治校、严以治教、严以治学。深入开展“四责同述”活动，细化</w:t>
      </w:r>
      <w:r>
        <w:rPr>
          <w:rFonts w:hint="eastAsia" w:ascii="仿宋_GB2312" w:eastAsia="仿宋_GB2312"/>
          <w:sz w:val="32"/>
          <w:szCs w:val="32"/>
          <w:lang w:eastAsia="zh-CN"/>
        </w:rPr>
        <w:t>落实全面从严治党</w:t>
      </w:r>
      <w:r>
        <w:rPr>
          <w:rFonts w:hint="eastAsia" w:ascii="仿宋_GB2312" w:eastAsia="仿宋_GB2312"/>
          <w:sz w:val="32"/>
          <w:szCs w:val="32"/>
        </w:rPr>
        <w:t>“三张清单”，积极做好党务校务公开，加强校风建设营造风清气正的校园氛围。</w:t>
      </w:r>
      <w:r>
        <w:rPr>
          <w:rFonts w:hint="eastAsia" w:ascii="仿宋_GB2312" w:hAnsi="华文楷体" w:eastAsia="仿宋_GB2312" w:cs="华文楷体"/>
          <w:sz w:val="32"/>
          <w:szCs w:val="32"/>
        </w:rPr>
        <w:t>始终将党风廉政建设纳入党校主体班次教学内容，全年安排21个课时进行专题学习，全年校委会班子成员无违法违纪事件发生。四是狠抓干部纪律作风整顿工作。</w:t>
      </w:r>
      <w:r>
        <w:rPr>
          <w:rFonts w:hint="eastAsia" w:ascii="仿宋_GB2312" w:hAnsi="仿宋" w:eastAsia="仿宋_GB2312"/>
          <w:color w:val="000000" w:themeColor="text1"/>
          <w:sz w:val="32"/>
          <w:szCs w:val="32"/>
          <w14:textFill>
            <w14:solidFill>
              <w14:schemeClr w14:val="tx1"/>
            </w14:solidFill>
          </w14:textFill>
        </w:rPr>
        <w:t>按照区委关于开展全区</w:t>
      </w:r>
      <w:r>
        <w:rPr>
          <w:rFonts w:hint="eastAsia" w:ascii="仿宋_GB2312" w:hAnsi="仿宋" w:eastAsia="仿宋_GB2312" w:cs="仿宋_GB2312"/>
          <w:color w:val="000000" w:themeColor="text1"/>
          <w:sz w:val="32"/>
          <w:szCs w:val="32"/>
          <w14:textFill>
            <w14:solidFill>
              <w14:schemeClr w14:val="tx1"/>
            </w14:solidFill>
          </w14:textFill>
        </w:rPr>
        <w:t>干部纪律作风整顿工作统一要求，</w:t>
      </w:r>
      <w:r>
        <w:rPr>
          <w:rFonts w:hint="eastAsia" w:ascii="仿宋_GB2312" w:hAnsi="仿宋" w:eastAsia="仿宋_GB2312"/>
          <w:color w:val="000000" w:themeColor="text1"/>
          <w:sz w:val="32"/>
          <w:szCs w:val="32"/>
          <w14:textFill>
            <w14:solidFill>
              <w14:schemeClr w14:val="tx1"/>
            </w14:solidFill>
          </w14:textFill>
        </w:rPr>
        <w:t>及时召开校委会扩大会议，通过自己查、相互提、领导点、集体审等方式，深入查找校委会领导班子和个人在干部纪律作风整顿方面存在的突出问题，查找出“小进即满、不思进取”“办事拖沓、效率低下”等4个方面31个问题，制定整改措施66条，目前已经全部整改到位。</w:t>
      </w:r>
      <w:r>
        <w:rPr>
          <w:rFonts w:hint="eastAsia" w:ascii="仿宋_GB2312" w:hAnsi="华文楷体" w:eastAsia="仿宋_GB2312" w:cs="华文楷体"/>
          <w:sz w:val="32"/>
          <w:szCs w:val="32"/>
        </w:rPr>
        <w:t>五是认真贯彻民主集中制。严格落实“三重一大”制度，民主理财、集体决策制度在党校落地落实。六是抓实意识形态工作。严格执行“学术研究无禁区、课堂讲授有纪律、公开发表有要求”规定，全年定期分析研判意识形态工作4次，意识形态阵地建设可管可控，全年无意识形态领域责任事故发生。七是</w:t>
      </w:r>
      <w:r>
        <w:rPr>
          <w:rFonts w:hint="eastAsia" w:ascii="仿宋_GB2312" w:eastAsia="仿宋_GB2312"/>
          <w:sz w:val="32"/>
          <w:szCs w:val="32"/>
        </w:rPr>
        <w:t>加强机关党的建设。坚持机关党建与业务工作融合发展，持续推进党支部标准化规范化建设，严格落实“三会一课”等系列规章制度，扎实开展“红色星期五”主题党日等活动，不断增强党支部组织力、凝聚力、执行力。八是抓实疫情防控工作。在做好学校疫情防控工作的同时，全力配合区疫情防控指挥部、区卫健局做好疫情隔离点的相关工作，得到了区委、区政府领导的充分肯定。</w:t>
      </w:r>
    </w:p>
    <w:p>
      <w:pPr>
        <w:overflowPunct w:val="0"/>
        <w:spacing w:line="576" w:lineRule="exact"/>
        <w:ind w:firstLine="640" w:firstLineChars="200"/>
        <w:rPr>
          <w:rFonts w:ascii="仿宋_GB2312" w:hAnsi="仿宋_GB2312" w:eastAsia="仿宋_GB2312" w:cs="仿宋_GB2312"/>
          <w:sz w:val="32"/>
          <w:szCs w:val="32"/>
        </w:rPr>
      </w:pPr>
      <w:r>
        <w:rPr>
          <w:rFonts w:hint="eastAsia" w:ascii="楷体_GB2312" w:hAnsi="楷体" w:eastAsia="楷体_GB2312" w:cs="华文仿宋"/>
          <w:sz w:val="32"/>
          <w:szCs w:val="32"/>
          <w:lang w:val="en-US" w:eastAsia="zh-CN"/>
        </w:rPr>
        <w:t>2、</w:t>
      </w:r>
      <w:r>
        <w:rPr>
          <w:rFonts w:hint="eastAsia" w:ascii="楷体_GB2312" w:hAnsi="楷体" w:eastAsia="楷体_GB2312" w:cs="华文仿宋"/>
          <w:sz w:val="32"/>
          <w:szCs w:val="32"/>
        </w:rPr>
        <w:t>党校姓党，党委主体责任履职到位。</w:t>
      </w:r>
      <w:r>
        <w:rPr>
          <w:rFonts w:hint="eastAsia" w:ascii="仿宋_GB2312" w:hAnsi="仿宋_GB2312" w:eastAsia="仿宋_GB2312" w:cs="仿宋_GB2312"/>
          <w:sz w:val="32"/>
          <w:szCs w:val="32"/>
        </w:rPr>
        <w:t>一是</w:t>
      </w:r>
      <w:r>
        <w:rPr>
          <w:rFonts w:hint="eastAsia" w:ascii="仿宋_GB2312" w:hAnsi="仿宋" w:eastAsia="仿宋_GB2312"/>
          <w:sz w:val="32"/>
          <w:szCs w:val="32"/>
        </w:rPr>
        <w:t>区委、政府高度重视。</w:t>
      </w:r>
      <w:r>
        <w:rPr>
          <w:rFonts w:hint="eastAsia" w:ascii="仿宋_GB2312" w:hAnsi="仿宋_GB2312" w:eastAsia="仿宋_GB2312" w:cs="仿宋_GB2312"/>
          <w:sz w:val="32"/>
          <w:szCs w:val="32"/>
        </w:rPr>
        <w:t>年初，区委把党校工作纳入专题安排部署，区委常委会、区政府常务会分别2次专题研究党校工作，区委主要领导到党校调研指导工作3次，讲党课1次，中青班授课1次。区委党校校长参加学校重大活动2次，协调解决校园文化建设、教学基地打造、疫情防控、经费保障等问题。严格落实</w:t>
      </w:r>
      <w:r>
        <w:rPr>
          <w:rFonts w:hint="eastAsia" w:ascii="仿宋_GB2312" w:hAnsi="华文仿宋" w:eastAsia="仿宋_GB2312" w:cs="华文仿宋"/>
          <w:sz w:val="32"/>
          <w:szCs w:val="32"/>
        </w:rPr>
        <w:t>《朝天区党政领导干部上讲台实施办法》，将领导干部到党校上讲台纳入教学计划，全年全区在党校主体班次上授课的县级以上领导干部8名，科级领导干部20名，总课时占主体班次总课时的34%。二是</w:t>
      </w:r>
      <w:r>
        <w:rPr>
          <w:rFonts w:hint="eastAsia" w:ascii="仿宋_GB2312" w:hAnsi="仿宋_GB2312" w:eastAsia="仿宋_GB2312" w:cs="仿宋_GB2312"/>
          <w:sz w:val="32"/>
          <w:szCs w:val="32"/>
        </w:rPr>
        <w:t>贯彻《条例》坚强有力。认真贯彻落实</w:t>
      </w:r>
      <w:r>
        <w:rPr>
          <w:rFonts w:hint="eastAsia" w:ascii="仿宋_GB2312" w:hAnsi="仿宋_GB2312" w:eastAsia="仿宋_GB2312" w:cs="仿宋_GB2312"/>
          <w:sz w:val="32"/>
          <w:szCs w:val="32"/>
          <w:lang w:eastAsia="zh-CN"/>
        </w:rPr>
        <w:t>《中国共产党党校（行政学院）工作条例》</w:t>
      </w:r>
      <w:r>
        <w:rPr>
          <w:rFonts w:hint="eastAsia" w:ascii="仿宋_GB2312" w:hAnsi="仿宋_GB2312" w:eastAsia="仿宋_GB2312" w:cs="仿宋_GB2312"/>
          <w:sz w:val="32"/>
          <w:szCs w:val="32"/>
        </w:rPr>
        <w:t>和中央、省委、市委和区委全会精神以及重大决策部署，结合党校教学科研工作实际，</w:t>
      </w:r>
      <w:r>
        <w:rPr>
          <w:rFonts w:hint="eastAsia" w:ascii="仿宋_GB2312" w:hAnsi="仿宋" w:eastAsia="仿宋_GB2312"/>
          <w:sz w:val="32"/>
          <w:szCs w:val="32"/>
        </w:rPr>
        <w:t>充分发挥党校思想引领的主渠道和决策咨询的智库作用。</w:t>
      </w:r>
      <w:bookmarkStart w:id="20" w:name="_Hlk69378238"/>
      <w:r>
        <w:rPr>
          <w:rFonts w:hint="eastAsia" w:ascii="仿宋_GB2312" w:hAnsi="仿宋" w:eastAsia="仿宋_GB2312"/>
          <w:sz w:val="32"/>
          <w:szCs w:val="32"/>
        </w:rPr>
        <w:t>全年</w:t>
      </w:r>
      <w:r>
        <w:rPr>
          <w:rFonts w:hint="eastAsia" w:ascii="仿宋_GB2312" w:hAnsi="仿宋_GB2312" w:eastAsia="仿宋_GB2312" w:cs="仿宋_GB2312"/>
          <w:sz w:val="32"/>
          <w:szCs w:val="32"/>
        </w:rPr>
        <w:t>组织召开校委会议22次、理论学习中心组会议6次、理论研讨会2次。三是办学质量评估有序推进。</w:t>
      </w:r>
      <w:r>
        <w:rPr>
          <w:rFonts w:hint="eastAsia" w:ascii="仿宋_GB2312" w:hAnsi="仿宋_GB2312" w:eastAsia="仿宋_GB2312" w:cs="仿宋_GB2312"/>
          <w:color w:val="000000" w:themeColor="text1"/>
          <w:sz w:val="32"/>
          <w:szCs w:val="32"/>
          <w14:textFill>
            <w14:solidFill>
              <w14:schemeClr w14:val="tx1"/>
            </w14:solidFill>
          </w14:textFill>
        </w:rPr>
        <w:t>严格</w:t>
      </w:r>
      <w:r>
        <w:rPr>
          <w:rFonts w:hint="eastAsia" w:ascii="仿宋_GB2312" w:eastAsia="仿宋_GB2312"/>
          <w:color w:val="000000" w:themeColor="text1"/>
          <w:sz w:val="32"/>
          <w:szCs w:val="32"/>
          <w14:textFill>
            <w14:solidFill>
              <w14:schemeClr w14:val="tx1"/>
            </w14:solidFill>
          </w14:textFill>
        </w:rPr>
        <w:t>按照县级党校办学质量要求，对照《县级党校办学质量评估指标体系评分细则》，扎实开展自查评估。2021年5月，</w:t>
      </w:r>
      <w:r>
        <w:rPr>
          <w:rFonts w:hint="eastAsia" w:ascii="仿宋_GB2312" w:hAnsi="仿宋_GB2312" w:eastAsia="仿宋_GB2312" w:cs="仿宋_GB2312"/>
          <w:bCs/>
          <w:color w:val="000000" w:themeColor="text1"/>
          <w:sz w:val="32"/>
          <w:szCs w:val="32"/>
          <w14:textFill>
            <w14:solidFill>
              <w14:schemeClr w14:val="tx1"/>
            </w14:solidFill>
          </w14:textFill>
        </w:rPr>
        <w:t>经全市党校系统办学质量评估领导小组初评，我校</w:t>
      </w:r>
      <w:r>
        <w:rPr>
          <w:rFonts w:hint="eastAsia" w:ascii="仿宋_GB2312" w:hAnsi="仿宋" w:eastAsia="仿宋_GB2312"/>
          <w:color w:val="000000" w:themeColor="text1"/>
          <w:sz w:val="32"/>
          <w:szCs w:val="32"/>
          <w14:textFill>
            <w14:solidFill>
              <w14:schemeClr w14:val="tx1"/>
            </w14:solidFill>
          </w14:textFill>
        </w:rPr>
        <w:t>得分91.5分，各项整改工作正有序推进。</w:t>
      </w:r>
      <w:r>
        <w:rPr>
          <w:rFonts w:hint="eastAsia" w:ascii="仿宋_GB2312" w:hAnsi="仿宋_GB2312" w:eastAsia="仿宋_GB2312" w:cs="仿宋_GB2312"/>
          <w:sz w:val="32"/>
          <w:szCs w:val="32"/>
        </w:rPr>
        <w:t>四是领导班子配齐配强。学校实行校务委员会领导体制，配备校委会领导班子5人，其中校长1人（区委组织部长兼任），常务副校长1人，副校长2人，校委委员1人，常务副校长兼任区委组织部副部长，被选为区委候补委员。</w:t>
      </w:r>
    </w:p>
    <w:bookmarkEnd w:id="20"/>
    <w:p>
      <w:pPr>
        <w:overflowPunct w:val="0"/>
        <w:spacing w:line="576" w:lineRule="exact"/>
        <w:ind w:firstLine="630"/>
        <w:rPr>
          <w:rFonts w:ascii="仿宋_GB2312" w:hAnsi="华文仿宋" w:eastAsia="仿宋_GB2312" w:cs="华文仿宋"/>
          <w:sz w:val="32"/>
          <w:szCs w:val="32"/>
        </w:rPr>
      </w:pPr>
      <w:r>
        <w:rPr>
          <w:rFonts w:hint="eastAsia" w:ascii="楷体_GB2312" w:hAnsi="楷体" w:eastAsia="楷体_GB2312" w:cs="华文仿宋"/>
          <w:sz w:val="32"/>
          <w:szCs w:val="32"/>
          <w:lang w:val="en-US" w:eastAsia="zh-CN"/>
        </w:rPr>
        <w:t>3、</w:t>
      </w:r>
      <w:r>
        <w:rPr>
          <w:rFonts w:hint="eastAsia" w:ascii="楷体_GB2312" w:hAnsi="楷体" w:eastAsia="楷体_GB2312" w:cs="华文仿宋"/>
          <w:sz w:val="32"/>
          <w:szCs w:val="32"/>
        </w:rPr>
        <w:t>教学优先，干部培训工作成绩突出。</w:t>
      </w:r>
      <w:r>
        <w:rPr>
          <w:rFonts w:hint="eastAsia" w:ascii="仿宋_GB2312" w:hAnsi="楷体" w:eastAsia="仿宋_GB2312" w:cs="楷体"/>
          <w:sz w:val="32"/>
          <w:szCs w:val="32"/>
        </w:rPr>
        <w:t>一是培训任务圆满完成。</w:t>
      </w:r>
      <w:r>
        <w:rPr>
          <w:rFonts w:hint="eastAsia" w:ascii="仿宋_GB2312" w:hAnsi="仿宋_GB2312" w:eastAsia="仿宋_GB2312" w:cs="仿宋_GB2312"/>
          <w:sz w:val="32"/>
          <w:szCs w:val="32"/>
        </w:rPr>
        <w:t>全年共举办主体班12期，参训学员2043人次，其中：由市委党校统筹办班3期/179人次，区委党校承办的主体班次9 期/1864人次。二是</w:t>
      </w:r>
      <w:r>
        <w:rPr>
          <w:rFonts w:hint="eastAsia" w:ascii="仿宋_GB2312" w:hAnsi="华文仿宋" w:eastAsia="仿宋_GB2312" w:cs="华文仿宋"/>
          <w:sz w:val="32"/>
          <w:szCs w:val="32"/>
        </w:rPr>
        <w:t>教学方式不断创新。突出党的理论教育和党性教育，主体班次党性教育课程比重达42%。综合运用讲授式、案例式、模拟式、体验式等互动式教学方法，学员效果评价良好。</w:t>
      </w:r>
      <w:r>
        <w:rPr>
          <w:rFonts w:hint="eastAsia" w:ascii="仿宋_GB2312" w:hAnsi="Times New Roman" w:eastAsia="仿宋_GB2312"/>
          <w:sz w:val="32"/>
          <w:szCs w:val="32"/>
          <w:shd w:val="clear" w:color="auto" w:fill="FFFFFF"/>
        </w:rPr>
        <w:t>强化研修班培训，采取课堂教学、体验教学、研讨交流、实地考察、异地培训、顶岗实训等教学方式，分经济社会发展和执政能力提升（区委党校）、党史党性教育（四川长征干部学院雅安夹金山分院）、高校专业提能（浙江大学）、跟岗实训调研（台州市路桥区、杭州市滨江区相关单位）、总结提升5个阶段进行，培训年轻干部54名，平均年龄31.4岁。培训得到了市委组织部、区委组织部领导的充分肯定。</w:t>
      </w:r>
      <w:r>
        <w:rPr>
          <w:rFonts w:hint="eastAsia" w:ascii="仿宋_GB2312" w:hAnsi="华文仿宋" w:eastAsia="仿宋_GB2312" w:cs="华文仿宋"/>
          <w:sz w:val="32"/>
          <w:szCs w:val="32"/>
        </w:rPr>
        <w:t>三是</w:t>
      </w:r>
      <w:r>
        <w:rPr>
          <w:rFonts w:hint="eastAsia" w:ascii="仿宋_GB2312" w:hAnsi="仿宋_GB2312" w:eastAsia="仿宋_GB2312" w:cs="仿宋_GB2312"/>
          <w:color w:val="000000"/>
          <w:kern w:val="0"/>
          <w:sz w:val="32"/>
          <w:szCs w:val="32"/>
        </w:rPr>
        <w:t>教学课程不断优化。</w:t>
      </w:r>
      <w:r>
        <w:rPr>
          <w:rFonts w:hint="eastAsia" w:ascii="仿宋_GB2312" w:hAnsi="仿宋_GB2312" w:eastAsia="仿宋_GB2312" w:cs="仿宋_GB2312"/>
          <w:sz w:val="32"/>
          <w:szCs w:val="32"/>
        </w:rPr>
        <w:t>联合区老区建设促进会推出《朝天区革命老区发展史》，已纳入我区主体班次党史学习教育培训内容。</w:t>
      </w:r>
      <w:r>
        <w:rPr>
          <w:rFonts w:hint="eastAsia" w:ascii="仿宋_GB2312" w:hAnsi="仿宋_GB2312" w:eastAsia="仿宋_GB2312" w:cs="仿宋_GB2312"/>
          <w:color w:val="000000"/>
          <w:kern w:val="0"/>
          <w:sz w:val="32"/>
          <w:szCs w:val="32"/>
        </w:rPr>
        <w:t>新打造</w:t>
      </w:r>
      <w:r>
        <w:rPr>
          <w:rFonts w:hint="eastAsia" w:ascii="仿宋_GB2312" w:eastAsia="仿宋_GB2312"/>
          <w:sz w:val="32"/>
          <w:szCs w:val="32"/>
        </w:rPr>
        <w:t>10门新课程，其中：《绿水青山就是金山银山—广元市朝天区曾家山生态康养的嬗变之路》《中华民族伟大复兴进入了不可逆转的历史进程》被列为市委党校新专题。</w:t>
      </w:r>
      <w:r>
        <w:rPr>
          <w:rFonts w:hint="eastAsia" w:ascii="仿宋_GB2312" w:hAnsi="仿宋_GB2312" w:eastAsia="仿宋_GB2312" w:cs="仿宋_GB2312"/>
          <w:color w:val="000000"/>
          <w:kern w:val="0"/>
          <w:sz w:val="32"/>
          <w:szCs w:val="32"/>
        </w:rPr>
        <w:t>四是教学基地升级打造</w:t>
      </w:r>
      <w:r>
        <w:rPr>
          <w:rFonts w:hint="eastAsia" w:ascii="仿宋_GB2312" w:hAnsi="仿宋_GB2312" w:eastAsia="仿宋_GB2312" w:cs="仿宋_GB2312"/>
          <w:sz w:val="32"/>
          <w:szCs w:val="32"/>
        </w:rPr>
        <w:t>。</w:t>
      </w:r>
      <w:r>
        <w:rPr>
          <w:rFonts w:hint="eastAsia" w:ascii="仿宋_GB2312" w:hAnsi="华文仿宋" w:eastAsia="仿宋_GB2312" w:cs="华文仿宋"/>
          <w:sz w:val="32"/>
          <w:szCs w:val="32"/>
        </w:rPr>
        <w:t>全区拟定的13个教学点的打造已完成了教学线路设计，目前正在进行教学提纲的撰写。曾家山被市委党校命名为“两山”理论实践教研基地，正式成为省市主体班次学员现场教学点。五是对外合作全面开展。今年1</w:t>
      </w:r>
      <w:r>
        <w:rPr>
          <w:rFonts w:ascii="仿宋_GB2312" w:hAnsi="华文仿宋" w:eastAsia="仿宋_GB2312" w:cs="华文仿宋"/>
          <w:sz w:val="32"/>
          <w:szCs w:val="32"/>
        </w:rPr>
        <w:t>1</w:t>
      </w:r>
      <w:r>
        <w:rPr>
          <w:rFonts w:hint="eastAsia" w:ascii="仿宋_GB2312" w:hAnsi="华文仿宋" w:eastAsia="仿宋_GB2312" w:cs="华文仿宋"/>
          <w:sz w:val="32"/>
          <w:szCs w:val="32"/>
        </w:rPr>
        <w:t>月，我校和四川长征干部学院雅安夹金山分院签订《合作协议书》，</w:t>
      </w:r>
      <w:r>
        <w:rPr>
          <w:rFonts w:ascii="Times New Roman" w:hAnsi="Times New Roman" w:eastAsia="仿宋_GB2312" w:cs="Times New Roman"/>
          <w:sz w:val="32"/>
          <w:szCs w:val="32"/>
        </w:rPr>
        <w:t>就</w:t>
      </w:r>
      <w:r>
        <w:rPr>
          <w:rFonts w:hint="eastAsia" w:ascii="Times New Roman" w:hAnsi="Times New Roman" w:eastAsia="仿宋_GB2312" w:cs="Times New Roman"/>
          <w:sz w:val="32"/>
          <w:szCs w:val="32"/>
        </w:rPr>
        <w:t>打造党性教育基地、强化党员培训和深化党的实践</w:t>
      </w:r>
      <w:r>
        <w:rPr>
          <w:rFonts w:ascii="Times New Roman" w:hAnsi="Times New Roman" w:eastAsia="仿宋_GB2312" w:cs="Times New Roman"/>
          <w:sz w:val="32"/>
          <w:szCs w:val="32"/>
        </w:rPr>
        <w:t>研究等方面开展多领域、多层次合作</w:t>
      </w:r>
      <w:r>
        <w:rPr>
          <w:rFonts w:hint="eastAsia" w:ascii="Times New Roman" w:hAnsi="Times New Roman" w:eastAsia="仿宋_GB2312" w:cs="Times New Roman"/>
          <w:sz w:val="32"/>
          <w:szCs w:val="32"/>
        </w:rPr>
        <w:t>，力争在</w:t>
      </w:r>
      <w:r>
        <w:rPr>
          <w:rFonts w:hint="eastAsia" w:ascii="仿宋_GB2312" w:hAnsi="Times New Roman" w:eastAsia="仿宋_GB2312" w:cs="Times New Roman"/>
          <w:sz w:val="32"/>
          <w:szCs w:val="32"/>
        </w:rPr>
        <w:t>教学、科研及产学合作方面取得实质进展。</w:t>
      </w:r>
      <w:r>
        <w:rPr>
          <w:rFonts w:hint="eastAsia" w:ascii="仿宋_GB2312" w:hAnsi="华文仿宋" w:eastAsia="仿宋_GB2312" w:cs="华文仿宋"/>
          <w:sz w:val="32"/>
          <w:szCs w:val="32"/>
        </w:rPr>
        <w:t>六是积极参加全区“铭记党史聚力量、坚守初心开新局”微党课竞演活动，获得一等奖、三等奖好成绩。在全市、全区党史知识竞赛中分别获得三等奖和第二名。</w:t>
      </w:r>
    </w:p>
    <w:p>
      <w:pPr>
        <w:overflowPunct w:val="0"/>
        <w:spacing w:line="576" w:lineRule="exact"/>
        <w:ind w:firstLine="640" w:firstLineChars="200"/>
        <w:rPr>
          <w:rFonts w:ascii="仿宋_GB2312" w:hAnsi="仿宋_GB2312" w:eastAsia="仿宋_GB2312" w:cs="仿宋_GB2312"/>
          <w:sz w:val="32"/>
          <w:szCs w:val="32"/>
        </w:rPr>
      </w:pPr>
      <w:r>
        <w:rPr>
          <w:rFonts w:hint="eastAsia" w:ascii="楷体_GB2312" w:hAnsi="楷体" w:eastAsia="楷体_GB2312" w:cs="华文仿宋"/>
          <w:sz w:val="32"/>
          <w:szCs w:val="32"/>
          <w:lang w:val="en-US" w:eastAsia="zh-CN"/>
        </w:rPr>
        <w:t>4、</w:t>
      </w:r>
      <w:r>
        <w:rPr>
          <w:rFonts w:hint="eastAsia" w:ascii="楷体_GB2312" w:hAnsi="楷体" w:eastAsia="楷体_GB2312" w:cs="华文仿宋"/>
          <w:sz w:val="32"/>
          <w:szCs w:val="32"/>
        </w:rPr>
        <w:t>科研立校，理论成果不断丰富。</w:t>
      </w:r>
      <w:r>
        <w:rPr>
          <w:rFonts w:hint="eastAsia" w:ascii="仿宋_GB2312" w:hAnsi="仿宋_GB2312" w:eastAsia="仿宋_GB2312" w:cs="仿宋_GB2312"/>
          <w:color w:val="000000"/>
          <w:kern w:val="0"/>
          <w:sz w:val="32"/>
          <w:szCs w:val="32"/>
        </w:rPr>
        <w:t>一是“好案例”方面：完成《</w:t>
      </w:r>
      <w:r>
        <w:rPr>
          <w:rFonts w:hint="eastAsia" w:ascii="仿宋_GB2312" w:eastAsia="仿宋_GB2312"/>
          <w:sz w:val="32"/>
          <w:szCs w:val="32"/>
        </w:rPr>
        <w:t>特色产业成乡村振兴金钥匙</w:t>
      </w:r>
      <w:r>
        <w:rPr>
          <w:rFonts w:hint="eastAsia" w:ascii="仿宋_GB2312" w:hAnsi="宋体" w:eastAsia="仿宋_GB2312"/>
          <w:sz w:val="32"/>
          <w:szCs w:val="32"/>
        </w:rPr>
        <w:t>——</w:t>
      </w:r>
      <w:r>
        <w:rPr>
          <w:rFonts w:hint="eastAsia" w:ascii="仿宋_GB2312" w:eastAsia="仿宋_GB2312"/>
          <w:sz w:val="32"/>
          <w:szCs w:val="32"/>
        </w:rPr>
        <w:t>特色产业助推贫困地区农民增收的“朝天实践”</w:t>
      </w:r>
      <w:r>
        <w:rPr>
          <w:rFonts w:hint="eastAsia" w:ascii="仿宋_GB2312" w:hAnsi="仿宋_GB2312" w:eastAsia="仿宋_GB2312" w:cs="仿宋_GB2312"/>
          <w:color w:val="000000"/>
          <w:kern w:val="0"/>
          <w:sz w:val="32"/>
          <w:szCs w:val="32"/>
        </w:rPr>
        <w:t>》《</w:t>
      </w:r>
      <w:r>
        <w:rPr>
          <w:rFonts w:hint="eastAsia" w:ascii="仿宋_GB2312" w:eastAsia="仿宋_GB2312"/>
          <w:color w:val="000000" w:themeColor="text1"/>
          <w:sz w:val="32"/>
          <w:szCs w:val="32"/>
          <w14:textFill>
            <w14:solidFill>
              <w14:schemeClr w14:val="tx1"/>
            </w14:solidFill>
          </w14:textFill>
        </w:rPr>
        <w:t>六共联动”共推川陕边际基层治理——朝天区与陕西省宁强县共抓边际联防联治的探索与实践</w:t>
      </w:r>
      <w:r>
        <w:rPr>
          <w:rFonts w:hint="eastAsia" w:ascii="仿宋_GB2312" w:hAnsi="仿宋_GB2312" w:eastAsia="仿宋_GB2312" w:cs="仿宋_GB2312"/>
          <w:color w:val="000000"/>
          <w:kern w:val="0"/>
          <w:sz w:val="32"/>
          <w:szCs w:val="32"/>
        </w:rPr>
        <w:t>》案例2个</w:t>
      </w:r>
      <w:r>
        <w:rPr>
          <w:rFonts w:hint="eastAsia" w:ascii="仿宋_GB2312" w:eastAsia="仿宋_GB2312"/>
          <w:color w:val="000000" w:themeColor="text1"/>
          <w:sz w:val="32"/>
          <w:szCs w:val="32"/>
          <w14:textFill>
            <w14:solidFill>
              <w14:schemeClr w14:val="tx1"/>
            </w14:solidFill>
          </w14:textFill>
        </w:rPr>
        <w:t>。二是在“好课题”方面：</w:t>
      </w:r>
      <w:r>
        <w:rPr>
          <w:rFonts w:hint="eastAsia" w:ascii="仿宋_GB2312" w:hAnsi="仿宋_GB2312" w:eastAsia="仿宋_GB2312" w:cs="仿宋_GB2312"/>
          <w:sz w:val="32"/>
          <w:szCs w:val="32"/>
        </w:rPr>
        <w:t>承接四川省委党校2021年度重点课题《红军长征在广元》委托子课题《红军长征在朝天》并如期结项；联合立项市委党校重点课题、一般课题各1个；立项区委党校重点课题1个，一般课题2个，其中重点课题《脱贫攻坚与乡村振兴有效衔接的调查与研究——以朝天区为例》已结项。</w:t>
      </w:r>
      <w:r>
        <w:rPr>
          <w:rFonts w:hint="eastAsia" w:ascii="仿宋_GB2312" w:hAnsi="仿宋_GB2312" w:eastAsia="仿宋_GB2312" w:cs="仿宋_GB2312"/>
          <w:color w:val="000000" w:themeColor="text1"/>
          <w:kern w:val="0"/>
          <w:sz w:val="32"/>
          <w:szCs w:val="32"/>
          <w14:textFill>
            <w14:solidFill>
              <w14:schemeClr w14:val="tx1"/>
            </w14:solidFill>
          </w14:textFill>
        </w:rPr>
        <w:t>三是在“好文章”方面：</w:t>
      </w:r>
      <w:r>
        <w:rPr>
          <w:rFonts w:hint="eastAsia" w:ascii="仿宋_GB2312" w:hAnsi="仿宋_GB2312" w:eastAsia="仿宋_GB2312" w:cs="仿宋_GB2312"/>
          <w:sz w:val="32"/>
          <w:szCs w:val="32"/>
        </w:rPr>
        <w:t>全年共撰写理论文章8篇，其中《不忘初心，坚持以人民为中心的发展思想》《增强“三个学习”，做实“三个角色”》被学习强国平台刊发，《从&lt;共产党宣言&gt;中探源中国共产党的初心和使命》入选四川省庆祝中国共产党成立100周年理论研讨会论文，《坚持思想建党，理论强党的经验启示》等2篇理论文章入选广元市庆祝中国共产党成立100周年理论研讨会优秀论文，并纳入《“回望百年路 奋斗新征程”——广元市委党校主体班党史学习教育辅导资料》；积极参加省委党校“学习宣传党的十九届六中全会精神”理论研讨会征文，上报《不忘初心，坚持以人民为中心的发展思想》《中国共产党百年外交思想及重要经验》理论文章2篇。</w:t>
      </w:r>
    </w:p>
    <w:p>
      <w:pPr>
        <w:pStyle w:val="7"/>
        <w:overflowPunct w:val="0"/>
        <w:spacing w:line="576" w:lineRule="exact"/>
        <w:ind w:firstLine="640" w:firstLineChars="200"/>
        <w:rPr>
          <w:rFonts w:ascii="仿宋_GB2312" w:hAnsi="仿宋_GB2312" w:eastAsia="仿宋_GB2312" w:cs="仿宋_GB2312"/>
          <w:sz w:val="32"/>
          <w:szCs w:val="32"/>
        </w:rPr>
      </w:pPr>
      <w:r>
        <w:rPr>
          <w:rFonts w:hint="eastAsia" w:ascii="楷体_GB2312" w:hAnsi="楷体" w:eastAsia="楷体_GB2312" w:cs="华文仿宋"/>
          <w:sz w:val="32"/>
          <w:szCs w:val="32"/>
          <w:lang w:val="en-US" w:eastAsia="zh-CN"/>
        </w:rPr>
        <w:t>5、</w:t>
      </w:r>
      <w:r>
        <w:rPr>
          <w:rFonts w:hint="eastAsia" w:ascii="楷体_GB2312" w:hAnsi="楷体" w:eastAsia="楷体_GB2312" w:cs="华文仿宋"/>
          <w:sz w:val="32"/>
          <w:szCs w:val="32"/>
        </w:rPr>
        <w:t>人才强校，干部队伍建设不断加强。</w:t>
      </w:r>
      <w:r>
        <w:rPr>
          <w:rFonts w:hint="eastAsia" w:ascii="仿宋_GB2312" w:hAnsi="仿宋_GB2312" w:eastAsia="仿宋_GB2312" w:cs="仿宋_GB2312"/>
          <w:sz w:val="32"/>
          <w:szCs w:val="32"/>
        </w:rPr>
        <w:t>一是加强领导班子建设。</w:t>
      </w:r>
      <w:r>
        <w:rPr>
          <w:rFonts w:hint="eastAsia" w:ascii="仿宋_GB2312" w:eastAsia="仿宋_GB2312"/>
          <w:sz w:val="32"/>
          <w:szCs w:val="32"/>
        </w:rPr>
        <w:t>健全校委会领导班子，常态化开展党性教育和党性锻炼，</w:t>
      </w:r>
      <w:r>
        <w:rPr>
          <w:rFonts w:hint="eastAsia" w:ascii="仿宋_GB2312" w:hAnsi="仿宋_GB2312" w:eastAsia="仿宋_GB2312" w:cs="仿宋_GB2312"/>
          <w:sz w:val="32"/>
          <w:szCs w:val="32"/>
        </w:rPr>
        <w:t>不断提高领导班子的理论水平和政策修养。内部提拔正科级班主任1名，提拔副校长1名，调任副校长1名，实现班子年轻化。二是加强干部队伍建设。先后派人参加全省、全市党校系统业务能力提升管理骨干培训班、综合管理能力提升班5人次。组织全体干部职工到延安参加红色教育培训一周。三是加强师资队伍建设。新引进硕士研究生专职教师2名，学校专职教师增至5名，专职教师占总编制数45%，选派3名专职教师参加全省党校（行</w:t>
      </w:r>
      <w:r>
        <w:rPr>
          <w:rFonts w:hint="eastAsia" w:ascii="仿宋_GB2312" w:hAnsi="仿宋_GB2312" w:eastAsia="仿宋_GB2312" w:cs="仿宋_GB2312"/>
          <w:spacing w:val="-6"/>
          <w:sz w:val="32"/>
          <w:szCs w:val="32"/>
        </w:rPr>
        <w:t>政学院）系统骨干师资专业能力提升培训班，选派1名专职教师参加全区中青年干部培训班，实现了干部年平均次数达2次以上。</w:t>
      </w:r>
    </w:p>
    <w:p>
      <w:pPr>
        <w:pageBreakBefore w:val="0"/>
        <w:kinsoku/>
        <w:wordWrap/>
        <w:overflowPunct w:val="0"/>
        <w:topLinePunct w:val="0"/>
        <w:autoSpaceDE/>
        <w:autoSpaceDN/>
        <w:bidi w:val="0"/>
        <w:adjustRightInd/>
        <w:snapToGrid/>
        <w:spacing w:line="576" w:lineRule="exact"/>
        <w:ind w:firstLine="640" w:firstLineChars="200"/>
        <w:textAlignment w:val="auto"/>
        <w:rPr>
          <w:rFonts w:hint="eastAsia" w:ascii="仿宋" w:hAnsi="仿宋" w:eastAsia="仿宋"/>
          <w:bCs/>
          <w:color w:val="auto"/>
          <w:sz w:val="32"/>
          <w:szCs w:val="32"/>
          <w:highlight w:val="none"/>
        </w:rPr>
      </w:pPr>
      <w:r>
        <w:rPr>
          <w:rFonts w:hint="eastAsia" w:ascii="楷体_GB2312" w:hAnsi="楷体" w:eastAsia="楷体_GB2312" w:cs="华文仿宋"/>
          <w:sz w:val="32"/>
          <w:szCs w:val="32"/>
          <w:lang w:val="en-US" w:eastAsia="zh-CN"/>
        </w:rPr>
        <w:t>6、</w:t>
      </w:r>
      <w:r>
        <w:rPr>
          <w:rFonts w:hint="eastAsia" w:ascii="楷体_GB2312" w:hAnsi="楷体" w:eastAsia="楷体_GB2312" w:cs="华文仿宋"/>
          <w:sz w:val="32"/>
          <w:szCs w:val="32"/>
        </w:rPr>
        <w:t>红色传承，</w:t>
      </w:r>
      <w:bookmarkStart w:id="21" w:name="_Hlk68876029"/>
      <w:r>
        <w:rPr>
          <w:rFonts w:hint="eastAsia" w:ascii="楷体_GB2312" w:hAnsi="楷体" w:eastAsia="楷体_GB2312" w:cs="华文仿宋"/>
          <w:sz w:val="32"/>
          <w:szCs w:val="32"/>
        </w:rPr>
        <w:t>党史学习教育有声有色。</w:t>
      </w:r>
      <w:bookmarkEnd w:id="21"/>
      <w:r>
        <w:rPr>
          <w:rFonts w:hint="eastAsia" w:ascii="仿宋_GB2312" w:hAnsi="仿宋_GB2312" w:eastAsia="仿宋_GB2312" w:cs="仿宋_GB2312"/>
          <w:color w:val="000000"/>
          <w:sz w:val="32"/>
          <w:szCs w:val="32"/>
        </w:rPr>
        <w:t>自去年开始，先后投入100余万元，修建了“永远跟党走”“直道而行”“伟人墙”“入党誓词”等大型红色标志牌，对书香社、学员之家、学员活动室等校内活动阵地进行翻修改造，打造了思源长廊党史图文展。通过现场教学和参观学习，让学员和党员干部亲身感受到中国共产党一路走来的风雨征程，从而坚定理想信念，传承红色基因，争做红色传人。截至目前，</w:t>
      </w:r>
      <w:r>
        <w:rPr>
          <w:rFonts w:hint="eastAsia" w:ascii="仿宋_GB2312" w:hAnsi="仿宋_GB2312" w:eastAsia="仿宋_GB2312" w:cs="仿宋_GB2312"/>
          <w:sz w:val="32"/>
          <w:szCs w:val="32"/>
        </w:rPr>
        <w:t>区委党史学习教育县级领导班子中心组学习暨县级领导干部专题读书班、区委党史学习教育集体备课组、区内各民主党派以及区级各部门先后到党史文化长廊开展现场教学40场次，受众2000余人次（含主体班次学员），开展党史集中宣讲10场次，辅导各级党委（党组）中心组党史学习30场次。</w:t>
      </w:r>
    </w:p>
    <w:p>
      <w:pPr>
        <w:pStyle w:val="4"/>
        <w:pageBreakBefore w:val="0"/>
        <w:kinsoku/>
        <w:wordWrap/>
        <w:topLinePunct w:val="0"/>
        <w:autoSpaceDE/>
        <w:autoSpaceDN/>
        <w:bidi w:val="0"/>
        <w:adjustRightInd/>
        <w:snapToGrid/>
        <w:spacing w:line="576" w:lineRule="exact"/>
        <w:textAlignment w:val="auto"/>
        <w:rPr>
          <w:rStyle w:val="27"/>
          <w:b w:val="0"/>
          <w:bCs w:val="0"/>
          <w:color w:val="auto"/>
          <w:highlight w:val="none"/>
        </w:rPr>
      </w:pPr>
      <w:bookmarkStart w:id="22" w:name="_Toc15396601"/>
      <w:bookmarkStart w:id="23" w:name="_Toc15377200"/>
      <w:r>
        <w:rPr>
          <w:rFonts w:hint="eastAsia" w:ascii="黑体" w:eastAsia="黑体"/>
          <w:b w:val="0"/>
          <w:color w:val="auto"/>
          <w:highlight w:val="none"/>
        </w:rPr>
        <w:t>二、</w:t>
      </w:r>
      <w:r>
        <w:rPr>
          <w:rFonts w:hint="eastAsia" w:ascii="黑体" w:hAnsi="黑体" w:eastAsia="黑体"/>
          <w:b w:val="0"/>
          <w:color w:val="auto"/>
          <w:highlight w:val="none"/>
        </w:rPr>
        <w:t>机</w:t>
      </w:r>
      <w:r>
        <w:rPr>
          <w:rStyle w:val="27"/>
          <w:rFonts w:hint="eastAsia" w:ascii="黑体" w:hAnsi="黑体" w:eastAsia="黑体"/>
          <w:b w:val="0"/>
          <w:bCs w:val="0"/>
          <w:color w:val="auto"/>
          <w:highlight w:val="none"/>
        </w:rPr>
        <w:t>构设置</w:t>
      </w:r>
      <w:bookmarkEnd w:id="22"/>
      <w:bookmarkEnd w:id="23"/>
    </w:p>
    <w:p>
      <w:pPr>
        <w:pageBreakBefore w:val="0"/>
        <w:widowControl/>
        <w:kinsoku/>
        <w:wordWrap/>
        <w:topLinePunct w:val="0"/>
        <w:autoSpaceDE/>
        <w:autoSpaceDN/>
        <w:bidi w:val="0"/>
        <w:adjustRightInd/>
        <w:snapToGrid/>
        <w:spacing w:line="576" w:lineRule="exact"/>
        <w:ind w:firstLine="640" w:firstLineChars="200"/>
        <w:jc w:val="left"/>
        <w:textAlignment w:val="auto"/>
        <w:rPr>
          <w:rFonts w:hint="eastAsia" w:ascii="仿宋" w:hAnsi="仿宋" w:eastAsia="仿宋"/>
          <w:color w:val="auto"/>
          <w:kern w:val="0"/>
          <w:sz w:val="32"/>
          <w:szCs w:val="32"/>
          <w:highlight w:val="none"/>
          <w:lang w:eastAsia="zh-CN"/>
        </w:rPr>
      </w:pPr>
      <w:r>
        <w:rPr>
          <w:rFonts w:hint="eastAsia" w:ascii="仿宋" w:hAnsi="仿宋" w:eastAsia="仿宋"/>
          <w:color w:val="auto"/>
          <w:sz w:val="32"/>
          <w:szCs w:val="32"/>
          <w:highlight w:val="none"/>
          <w:lang w:eastAsia="zh-CN"/>
        </w:rPr>
        <w:t>中共广元市朝天区委党校是</w:t>
      </w:r>
      <w:r>
        <w:rPr>
          <w:rFonts w:hint="eastAsia" w:ascii="仿宋" w:hAnsi="仿宋" w:eastAsia="仿宋"/>
          <w:color w:val="auto"/>
          <w:sz w:val="32"/>
          <w:szCs w:val="32"/>
          <w:highlight w:val="none"/>
        </w:rPr>
        <w:t>参照公务员法管理的事业单位</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纳入20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年度部门决算编制范围</w:t>
      </w:r>
      <w:r>
        <w:rPr>
          <w:rFonts w:hint="eastAsia" w:ascii="仿宋" w:hAnsi="仿宋" w:eastAsia="仿宋"/>
          <w:color w:val="auto"/>
          <w:sz w:val="32"/>
          <w:szCs w:val="32"/>
          <w:highlight w:val="none"/>
          <w:lang w:eastAsia="zh-CN"/>
        </w:rPr>
        <w:t>。</w:t>
      </w:r>
    </w:p>
    <w:p>
      <w:pPr>
        <w:pStyle w:val="3"/>
        <w:pageBreakBefore w:val="0"/>
        <w:kinsoku/>
        <w:wordWrap/>
        <w:topLinePunct w:val="0"/>
        <w:autoSpaceDE/>
        <w:autoSpaceDN/>
        <w:bidi w:val="0"/>
        <w:adjustRightInd/>
        <w:snapToGrid/>
        <w:spacing w:line="576" w:lineRule="exact"/>
        <w:ind w:right="440"/>
        <w:jc w:val="center"/>
        <w:textAlignment w:val="auto"/>
        <w:rPr>
          <w:color w:val="auto"/>
          <w:highlight w:val="none"/>
        </w:rPr>
      </w:pPr>
      <w:bookmarkStart w:id="24" w:name="_Toc15377204"/>
      <w:bookmarkStart w:id="25"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6"/>
          <w:rFonts w:hint="eastAsia" w:ascii="黑体" w:hAnsi="黑体" w:eastAsia="黑体"/>
          <w:b w:val="0"/>
          <w:bCs/>
          <w:color w:val="auto"/>
          <w:highlight w:val="none"/>
        </w:rPr>
        <w:t>部门决算情况说明</w:t>
      </w:r>
      <w:bookmarkEnd w:id="24"/>
      <w:bookmarkEnd w:id="25"/>
    </w:p>
    <w:p>
      <w:pPr>
        <w:pStyle w:val="25"/>
        <w:pageBreakBefore w:val="0"/>
        <w:numPr>
          <w:ilvl w:val="0"/>
          <w:numId w:val="1"/>
        </w:numPr>
        <w:kinsoku/>
        <w:wordWrap/>
        <w:topLinePunct w:val="0"/>
        <w:autoSpaceDE/>
        <w:autoSpaceDN/>
        <w:bidi w:val="0"/>
        <w:adjustRightInd/>
        <w:snapToGrid/>
        <w:spacing w:line="576" w:lineRule="exact"/>
        <w:ind w:firstLineChars="0"/>
        <w:textAlignment w:val="auto"/>
        <w:outlineLvl w:val="1"/>
        <w:rPr>
          <w:rStyle w:val="27"/>
          <w:rFonts w:ascii="黑体" w:hAnsi="黑体" w:eastAsia="黑体"/>
          <w:b w:val="0"/>
          <w:color w:val="auto"/>
          <w:highlight w:val="none"/>
        </w:rPr>
      </w:pPr>
      <w:bookmarkStart w:id="26" w:name="_Toc15377205"/>
      <w:bookmarkStart w:id="27" w:name="_Toc15396603"/>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26"/>
      <w:bookmarkEnd w:id="27"/>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268.68</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131.66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96.09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一是将干部培训费纳入预算，二是人员增加，人员经费、公用经费增加。</w:t>
      </w:r>
    </w:p>
    <w:p>
      <w:pPr>
        <w:pStyle w:val="2"/>
        <w:rPr>
          <w:rFonts w:ascii="仿宋_GB2312" w:eastAsia="仿宋_GB2312"/>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5246370" cy="1916430"/>
            <wp:effectExtent l="0" t="0" r="11430" b="7620"/>
            <wp:docPr id="2" name="图片 2" descr="166247115459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1662471154594"/>
                    <pic:cNvPicPr>
                      <a:picLocks noChangeAspect="true"/>
                    </pic:cNvPicPr>
                  </pic:nvPicPr>
                  <pic:blipFill>
                    <a:blip r:embed="rId6"/>
                    <a:stretch>
                      <a:fillRect/>
                    </a:stretch>
                  </pic:blipFill>
                  <pic:spPr>
                    <a:xfrm>
                      <a:off x="0" y="0"/>
                      <a:ext cx="5246370" cy="1916430"/>
                    </a:xfrm>
                    <a:prstGeom prst="rect">
                      <a:avLst/>
                    </a:prstGeom>
                  </pic:spPr>
                </pic:pic>
              </a:graphicData>
            </a:graphic>
          </wp:inline>
        </w:drawing>
      </w:r>
    </w:p>
    <w:p>
      <w:pPr>
        <w:pStyle w:val="25"/>
        <w:numPr>
          <w:ilvl w:val="0"/>
          <w:numId w:val="1"/>
        </w:numPr>
        <w:spacing w:line="600" w:lineRule="exact"/>
        <w:ind w:firstLineChars="0"/>
        <w:outlineLvl w:val="1"/>
        <w:rPr>
          <w:rStyle w:val="27"/>
          <w:rFonts w:ascii="黑体" w:hAnsi="黑体" w:eastAsia="黑体"/>
          <w:b w:val="0"/>
          <w:color w:val="auto"/>
          <w:highlight w:val="none"/>
        </w:rPr>
      </w:pPr>
      <w:bookmarkStart w:id="28" w:name="_Toc15396604"/>
      <w:bookmarkStart w:id="29" w:name="_Toc15377206"/>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28"/>
      <w:bookmarkEnd w:id="29"/>
    </w:p>
    <w:p>
      <w:pPr>
        <w:spacing w:line="600" w:lineRule="exact"/>
        <w:ind w:firstLine="640" w:firstLineChars="200"/>
        <w:rPr>
          <w:rFonts w:ascii="仿宋_GB2312" w:eastAsia="仿宋_GB2312"/>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268.68</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268.68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pStyle w:val="2"/>
        <w:rPr>
          <w:rFonts w:ascii="仿宋_GB2312" w:eastAsia="仿宋_GB2312"/>
          <w:color w:val="auto"/>
          <w:sz w:val="32"/>
          <w:szCs w:val="32"/>
          <w:highlight w:val="none"/>
        </w:rPr>
      </w:pPr>
      <w:r>
        <w:drawing>
          <wp:inline distT="0" distB="0" distL="114300" distR="114300">
            <wp:extent cx="5092700" cy="3133725"/>
            <wp:effectExtent l="0" t="0" r="12700" b="9525"/>
            <wp:docPr id="3"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true"/>
                    </pic:cNvPicPr>
                  </pic:nvPicPr>
                  <pic:blipFill>
                    <a:blip r:embed="rId7"/>
                    <a:stretch>
                      <a:fillRect/>
                    </a:stretch>
                  </pic:blipFill>
                  <pic:spPr>
                    <a:xfrm>
                      <a:off x="0" y="0"/>
                      <a:ext cx="5092700" cy="3133725"/>
                    </a:xfrm>
                    <a:prstGeom prst="rect">
                      <a:avLst/>
                    </a:prstGeom>
                    <a:noFill/>
                    <a:ln>
                      <a:noFill/>
                    </a:ln>
                  </pic:spPr>
                </pic:pic>
              </a:graphicData>
            </a:graphic>
          </wp:inline>
        </w:drawing>
      </w:r>
    </w:p>
    <w:p>
      <w:pPr>
        <w:pStyle w:val="25"/>
        <w:numPr>
          <w:ilvl w:val="0"/>
          <w:numId w:val="1"/>
        </w:numPr>
        <w:spacing w:line="600" w:lineRule="exact"/>
        <w:ind w:firstLineChars="0"/>
        <w:outlineLvl w:val="1"/>
        <w:rPr>
          <w:rStyle w:val="27"/>
          <w:rFonts w:ascii="黑体" w:hAnsi="黑体" w:eastAsia="黑体"/>
          <w:b w:val="0"/>
          <w:color w:val="auto"/>
          <w:highlight w:val="none"/>
        </w:rPr>
      </w:pPr>
      <w:bookmarkStart w:id="30" w:name="_Toc15377207"/>
      <w:bookmarkStart w:id="31" w:name="_Toc15396605"/>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30"/>
      <w:bookmarkEnd w:id="31"/>
    </w:p>
    <w:p>
      <w:pPr>
        <w:spacing w:line="600" w:lineRule="exact"/>
        <w:ind w:firstLine="640" w:firstLineChars="200"/>
        <w:outlineLvl w:val="1"/>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268.68</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131.17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48.82</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137.51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51.18</w:t>
      </w:r>
      <w:r>
        <w:rPr>
          <w:rFonts w:ascii="仿宋" w:hAnsi="仿宋" w:eastAsia="仿宋"/>
          <w:color w:val="auto"/>
          <w:sz w:val="32"/>
          <w:szCs w:val="32"/>
          <w:highlight w:val="none"/>
        </w:rPr>
        <w:t>%</w:t>
      </w:r>
    </w:p>
    <w:p>
      <w:pPr>
        <w:pStyle w:val="2"/>
        <w:rPr>
          <w:rFonts w:ascii="仿宋" w:hAnsi="仿宋" w:eastAsia="仿宋"/>
          <w:color w:val="auto"/>
          <w:sz w:val="32"/>
          <w:szCs w:val="32"/>
          <w:highlight w:val="none"/>
          <w:shd w:val="pct10" w:color="auto" w:fill="FFFFFF"/>
        </w:rPr>
      </w:pPr>
      <w:r>
        <w:drawing>
          <wp:inline distT="0" distB="0" distL="114300" distR="114300">
            <wp:extent cx="5238750" cy="2966720"/>
            <wp:effectExtent l="0" t="0" r="0" b="5080"/>
            <wp:docPr id="4"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true"/>
                    </pic:cNvPicPr>
                  </pic:nvPicPr>
                  <pic:blipFill>
                    <a:blip r:embed="rId8"/>
                    <a:stretch>
                      <a:fillRect/>
                    </a:stretch>
                  </pic:blipFill>
                  <pic:spPr>
                    <a:xfrm>
                      <a:off x="0" y="0"/>
                      <a:ext cx="5238750" cy="2966720"/>
                    </a:xfrm>
                    <a:prstGeom prst="rect">
                      <a:avLst/>
                    </a:prstGeom>
                    <a:noFill/>
                    <a:ln>
                      <a:noFill/>
                    </a:ln>
                  </pic:spPr>
                </pic:pic>
              </a:graphicData>
            </a:graphic>
          </wp:inline>
        </w:drawing>
      </w:r>
    </w:p>
    <w:p>
      <w:pPr>
        <w:spacing w:line="600" w:lineRule="exact"/>
        <w:outlineLvl w:val="1"/>
        <w:rPr>
          <w:rStyle w:val="27"/>
          <w:rFonts w:ascii="黑体" w:hAnsi="黑体" w:eastAsia="黑体"/>
          <w:b w:val="0"/>
          <w:color w:val="auto"/>
          <w:highlight w:val="none"/>
        </w:rPr>
      </w:pPr>
      <w:bookmarkStart w:id="32" w:name="_Toc15377208"/>
      <w:bookmarkStart w:id="33" w:name="_Toc15396606"/>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32"/>
      <w:bookmarkEnd w:id="33"/>
    </w:p>
    <w:p>
      <w:pPr>
        <w:spacing w:line="600" w:lineRule="exact"/>
        <w:ind w:firstLine="64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268.68</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131.66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96.09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一是将干部培训费纳入预算，二是人员增加，人员经费、公用经费增加。</w:t>
      </w:r>
    </w:p>
    <w:p>
      <w:pPr>
        <w:pStyle w:val="2"/>
        <w:rPr>
          <w:rFonts w:ascii="仿宋" w:hAnsi="仿宋" w:eastAsia="仿宋"/>
          <w:b/>
          <w:color w:val="auto"/>
          <w:sz w:val="32"/>
          <w:szCs w:val="32"/>
          <w:highlight w:val="none"/>
        </w:rPr>
      </w:pPr>
      <w:r>
        <w:drawing>
          <wp:inline distT="0" distB="0" distL="114300" distR="114300">
            <wp:extent cx="5267960" cy="2929255"/>
            <wp:effectExtent l="0" t="0" r="8890" b="4445"/>
            <wp:docPr id="5"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true"/>
                    </pic:cNvPicPr>
                  </pic:nvPicPr>
                  <pic:blipFill>
                    <a:blip r:embed="rId9"/>
                    <a:stretch>
                      <a:fillRect/>
                    </a:stretch>
                  </pic:blipFill>
                  <pic:spPr>
                    <a:xfrm>
                      <a:off x="0" y="0"/>
                      <a:ext cx="5267960" cy="2929255"/>
                    </a:xfrm>
                    <a:prstGeom prst="rect">
                      <a:avLst/>
                    </a:prstGeom>
                    <a:noFill/>
                    <a:ln>
                      <a:noFill/>
                    </a:ln>
                  </pic:spPr>
                </pic:pic>
              </a:graphicData>
            </a:graphic>
          </wp:inline>
        </w:drawing>
      </w:r>
    </w:p>
    <w:p>
      <w:pPr>
        <w:spacing w:line="600" w:lineRule="exact"/>
        <w:ind w:firstLine="640" w:firstLineChars="200"/>
        <w:outlineLvl w:val="1"/>
        <w:rPr>
          <w:rStyle w:val="27"/>
          <w:rFonts w:ascii="黑体" w:hAnsi="黑体" w:eastAsia="黑体"/>
          <w:b w:val="0"/>
          <w:color w:val="auto"/>
          <w:highlight w:val="none"/>
        </w:rPr>
      </w:pPr>
      <w:bookmarkStart w:id="34" w:name="_Toc15377209"/>
      <w:bookmarkStart w:id="35"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34"/>
      <w:bookmarkEnd w:id="35"/>
    </w:p>
    <w:p>
      <w:pPr>
        <w:spacing w:line="600" w:lineRule="exact"/>
        <w:ind w:firstLine="642" w:firstLineChars="200"/>
        <w:outlineLvl w:val="2"/>
        <w:rPr>
          <w:rFonts w:ascii="仿宋" w:hAnsi="仿宋" w:eastAsia="仿宋"/>
          <w:b/>
          <w:color w:val="auto"/>
          <w:sz w:val="32"/>
          <w:szCs w:val="32"/>
          <w:highlight w:val="none"/>
        </w:rPr>
      </w:pPr>
      <w:bookmarkStart w:id="36" w:name="_Toc15377210"/>
      <w:r>
        <w:rPr>
          <w:rFonts w:hint="eastAsia" w:ascii="仿宋" w:hAnsi="仿宋" w:eastAsia="仿宋"/>
          <w:b/>
          <w:color w:val="auto"/>
          <w:sz w:val="32"/>
          <w:szCs w:val="32"/>
          <w:highlight w:val="none"/>
        </w:rPr>
        <w:t>（一）一般公共预算财政拨款支出决算总体情况</w:t>
      </w:r>
      <w:bookmarkEnd w:id="36"/>
    </w:p>
    <w:p>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268.68</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131.66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96.09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一是将干部培训费纳入预算，二是人员增加，人员经费、公用经费增加。</w:t>
      </w:r>
    </w:p>
    <w:p>
      <w:pPr>
        <w:pStyle w:val="2"/>
        <w:rPr>
          <w:rFonts w:hint="eastAsia" w:ascii="仿宋" w:hAnsi="仿宋" w:eastAsia="仿宋"/>
          <w:color w:val="auto"/>
          <w:sz w:val="32"/>
          <w:szCs w:val="32"/>
          <w:highlight w:val="none"/>
          <w:lang w:eastAsia="zh-CN"/>
        </w:rPr>
      </w:pPr>
      <w:r>
        <w:drawing>
          <wp:inline distT="0" distB="0" distL="114300" distR="114300">
            <wp:extent cx="5246370" cy="1548765"/>
            <wp:effectExtent l="0" t="0" r="11430" b="1333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10"/>
                    <a:stretch>
                      <a:fillRect/>
                    </a:stretch>
                  </pic:blipFill>
                  <pic:spPr>
                    <a:xfrm>
                      <a:off x="0" y="0"/>
                      <a:ext cx="5246370" cy="1548765"/>
                    </a:xfrm>
                    <a:prstGeom prst="rect">
                      <a:avLst/>
                    </a:prstGeom>
                    <a:noFill/>
                    <a:ln>
                      <a:noFill/>
                    </a:ln>
                  </pic:spPr>
                </pic:pic>
              </a:graphicData>
            </a:graphic>
          </wp:inline>
        </w:drawing>
      </w:r>
    </w:p>
    <w:p>
      <w:pPr>
        <w:spacing w:line="600" w:lineRule="exact"/>
        <w:outlineLvl w:val="2"/>
        <w:rPr>
          <w:rFonts w:ascii="仿宋" w:hAnsi="仿宋" w:eastAsia="仿宋"/>
          <w:b/>
          <w:color w:val="auto"/>
          <w:sz w:val="32"/>
          <w:szCs w:val="32"/>
          <w:highlight w:val="none"/>
        </w:rPr>
      </w:pPr>
      <w:bookmarkStart w:id="37" w:name="_Toc15377211"/>
      <w:r>
        <w:rPr>
          <w:rFonts w:hint="eastAsia" w:ascii="仿宋" w:hAnsi="仿宋" w:eastAsia="仿宋"/>
          <w:b/>
          <w:color w:val="auto"/>
          <w:sz w:val="32"/>
          <w:szCs w:val="32"/>
          <w:highlight w:val="none"/>
        </w:rPr>
        <w:t>（二）一般公共预算财政拨款支出决算结构情况</w:t>
      </w:r>
      <w:bookmarkEnd w:id="37"/>
    </w:p>
    <w:p>
      <w:pPr>
        <w:spacing w:line="600" w:lineRule="exact"/>
        <w:ind w:firstLine="640"/>
        <w:rPr>
          <w:rFonts w:hint="eastAsia" w:ascii="仿宋" w:hAnsi="仿宋" w:eastAsia="仿宋"/>
          <w:b w:val="0"/>
          <w:bCs w:val="0"/>
          <w:color w:val="auto"/>
          <w:sz w:val="32"/>
          <w:szCs w:val="32"/>
          <w:highlight w:val="none"/>
        </w:rPr>
      </w:pPr>
      <w:r>
        <w:rPr>
          <w:rFonts w:ascii="仿宋" w:hAnsi="仿宋" w:eastAsia="仿宋"/>
          <w:b w:val="0"/>
          <w:bCs w:val="0"/>
          <w:color w:val="auto"/>
          <w:sz w:val="32"/>
          <w:szCs w:val="32"/>
          <w:highlight w:val="none"/>
        </w:rPr>
        <w:t>20</w:t>
      </w:r>
      <w:r>
        <w:rPr>
          <w:rFonts w:hint="eastAsia" w:ascii="仿宋" w:hAnsi="仿宋" w:eastAsia="仿宋"/>
          <w:b w:val="0"/>
          <w:bCs w:val="0"/>
          <w:color w:val="auto"/>
          <w:sz w:val="32"/>
          <w:szCs w:val="32"/>
          <w:highlight w:val="none"/>
          <w:lang w:val="en-US" w:eastAsia="zh-CN"/>
        </w:rPr>
        <w:t>21</w:t>
      </w:r>
      <w:r>
        <w:rPr>
          <w:rFonts w:hint="eastAsia" w:ascii="仿宋" w:hAnsi="仿宋" w:eastAsia="仿宋"/>
          <w:b w:val="0"/>
          <w:bCs w:val="0"/>
          <w:color w:val="auto"/>
          <w:sz w:val="32"/>
          <w:szCs w:val="32"/>
          <w:highlight w:val="none"/>
        </w:rPr>
        <w:t>年一般公共预算财政拨款支出</w:t>
      </w:r>
      <w:r>
        <w:rPr>
          <w:rFonts w:hint="eastAsia" w:ascii="仿宋" w:hAnsi="仿宋" w:eastAsia="仿宋"/>
          <w:b w:val="0"/>
          <w:bCs w:val="0"/>
          <w:color w:val="auto"/>
          <w:sz w:val="32"/>
          <w:szCs w:val="32"/>
          <w:highlight w:val="none"/>
          <w:lang w:val="en-US" w:eastAsia="zh-CN"/>
        </w:rPr>
        <w:t>268.68</w:t>
      </w:r>
      <w:r>
        <w:rPr>
          <w:rFonts w:hint="eastAsia" w:ascii="仿宋" w:hAnsi="仿宋" w:eastAsia="仿宋"/>
          <w:b w:val="0"/>
          <w:bCs w:val="0"/>
          <w:color w:val="auto"/>
          <w:sz w:val="32"/>
          <w:szCs w:val="32"/>
          <w:highlight w:val="none"/>
        </w:rPr>
        <w:t>万元，主要用于以下方面</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eastAsia="zh-CN"/>
        </w:rPr>
        <w:t>行政运行支出</w:t>
      </w:r>
      <w:r>
        <w:rPr>
          <w:rFonts w:hint="eastAsia" w:ascii="仿宋" w:hAnsi="仿宋" w:eastAsia="仿宋"/>
          <w:b w:val="0"/>
          <w:bCs w:val="0"/>
          <w:color w:val="auto"/>
          <w:sz w:val="32"/>
          <w:szCs w:val="32"/>
          <w:highlight w:val="none"/>
          <w:lang w:val="en-US" w:eastAsia="zh-CN"/>
        </w:rPr>
        <w:t>71.49万元，占26.61%；</w:t>
      </w:r>
      <w:r>
        <w:rPr>
          <w:rFonts w:hint="eastAsia" w:ascii="仿宋" w:hAnsi="仿宋" w:eastAsia="仿宋"/>
          <w:b w:val="0"/>
          <w:bCs w:val="0"/>
          <w:color w:val="auto"/>
          <w:sz w:val="32"/>
          <w:szCs w:val="32"/>
          <w:highlight w:val="none"/>
        </w:rPr>
        <w:t>一般公共服务（类）支出</w:t>
      </w:r>
      <w:r>
        <w:rPr>
          <w:rFonts w:hint="eastAsia" w:ascii="仿宋" w:hAnsi="仿宋" w:eastAsia="仿宋"/>
          <w:b w:val="0"/>
          <w:bCs w:val="0"/>
          <w:color w:val="auto"/>
          <w:sz w:val="32"/>
          <w:szCs w:val="32"/>
          <w:highlight w:val="none"/>
          <w:lang w:val="en-US" w:eastAsia="zh-CN"/>
        </w:rPr>
        <w:t>137.11</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51.03</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eastAsia="zh-CN"/>
        </w:rPr>
        <w:t>机关服务支出</w:t>
      </w:r>
      <w:r>
        <w:rPr>
          <w:rFonts w:hint="eastAsia" w:ascii="仿宋" w:hAnsi="仿宋" w:eastAsia="仿宋"/>
          <w:b w:val="0"/>
          <w:bCs w:val="0"/>
          <w:color w:val="auto"/>
          <w:sz w:val="32"/>
          <w:szCs w:val="32"/>
          <w:highlight w:val="none"/>
          <w:lang w:val="en-US" w:eastAsia="zh-CN"/>
        </w:rPr>
        <w:t>37.4万元，占13.92%；</w:t>
      </w:r>
      <w:r>
        <w:rPr>
          <w:rFonts w:hint="eastAsia" w:ascii="仿宋" w:hAnsi="仿宋" w:eastAsia="仿宋"/>
          <w:b w:val="0"/>
          <w:bCs w:val="0"/>
          <w:color w:val="auto"/>
          <w:sz w:val="32"/>
          <w:szCs w:val="32"/>
          <w:highlight w:val="none"/>
        </w:rPr>
        <w:t>社会保障和就业（类）支出</w:t>
      </w:r>
      <w:r>
        <w:rPr>
          <w:rFonts w:hint="eastAsia" w:ascii="仿宋" w:hAnsi="仿宋" w:eastAsia="仿宋"/>
          <w:b w:val="0"/>
          <w:bCs w:val="0"/>
          <w:color w:val="auto"/>
          <w:sz w:val="32"/>
          <w:szCs w:val="32"/>
          <w:highlight w:val="none"/>
          <w:lang w:val="en-US" w:eastAsia="zh-CN"/>
        </w:rPr>
        <w:t>10.3</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3.83</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；卫生健康支出</w:t>
      </w:r>
      <w:r>
        <w:rPr>
          <w:rFonts w:hint="eastAsia" w:ascii="仿宋" w:hAnsi="仿宋" w:eastAsia="仿宋"/>
          <w:b w:val="0"/>
          <w:bCs w:val="0"/>
          <w:color w:val="auto"/>
          <w:sz w:val="32"/>
          <w:szCs w:val="32"/>
          <w:highlight w:val="none"/>
          <w:lang w:val="en-US" w:eastAsia="zh-CN"/>
        </w:rPr>
        <w:t>4.79</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1.78</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lang w:eastAsia="zh-CN"/>
        </w:rPr>
        <w:t>农林水支出</w:t>
      </w:r>
      <w:r>
        <w:rPr>
          <w:rFonts w:hint="eastAsia" w:ascii="仿宋" w:hAnsi="仿宋" w:eastAsia="仿宋"/>
          <w:b w:val="0"/>
          <w:bCs w:val="0"/>
          <w:color w:val="auto"/>
          <w:sz w:val="32"/>
          <w:szCs w:val="32"/>
          <w:highlight w:val="none"/>
          <w:lang w:val="en-US" w:eastAsia="zh-CN"/>
        </w:rPr>
        <w:t>0.4万元，占0.15%；</w:t>
      </w:r>
      <w:r>
        <w:rPr>
          <w:rFonts w:hint="eastAsia" w:ascii="仿宋" w:hAnsi="仿宋" w:eastAsia="仿宋"/>
          <w:b w:val="0"/>
          <w:bCs w:val="0"/>
          <w:color w:val="auto"/>
          <w:sz w:val="32"/>
          <w:szCs w:val="32"/>
          <w:highlight w:val="none"/>
        </w:rPr>
        <w:t>住房保障支出</w:t>
      </w:r>
      <w:r>
        <w:rPr>
          <w:rFonts w:hint="eastAsia" w:ascii="仿宋" w:hAnsi="仿宋" w:eastAsia="仿宋"/>
          <w:b w:val="0"/>
          <w:bCs w:val="0"/>
          <w:color w:val="auto"/>
          <w:sz w:val="32"/>
          <w:szCs w:val="32"/>
          <w:highlight w:val="none"/>
          <w:lang w:val="en-US" w:eastAsia="zh-CN"/>
        </w:rPr>
        <w:t>7.19</w:t>
      </w:r>
      <w:r>
        <w:rPr>
          <w:rFonts w:hint="eastAsia" w:ascii="仿宋" w:hAnsi="仿宋" w:eastAsia="仿宋"/>
          <w:b w:val="0"/>
          <w:bCs w:val="0"/>
          <w:color w:val="auto"/>
          <w:sz w:val="32"/>
          <w:szCs w:val="32"/>
          <w:highlight w:val="none"/>
        </w:rPr>
        <w:t>万元，占</w:t>
      </w:r>
      <w:r>
        <w:rPr>
          <w:rFonts w:hint="eastAsia" w:ascii="仿宋" w:hAnsi="仿宋" w:eastAsia="仿宋"/>
          <w:b w:val="0"/>
          <w:bCs w:val="0"/>
          <w:color w:val="auto"/>
          <w:sz w:val="32"/>
          <w:szCs w:val="32"/>
          <w:highlight w:val="none"/>
          <w:lang w:val="en-US" w:eastAsia="zh-CN"/>
        </w:rPr>
        <w:t>2.68</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w:t>
      </w:r>
    </w:p>
    <w:p>
      <w:pPr>
        <w:pStyle w:val="2"/>
        <w:ind w:left="600" w:hanging="600" w:hangingChars="200"/>
        <w:rPr>
          <w:rFonts w:ascii="仿宋" w:hAnsi="仿宋" w:eastAsia="仿宋"/>
          <w:b/>
          <w:color w:val="auto"/>
          <w:sz w:val="32"/>
          <w:szCs w:val="32"/>
          <w:highlight w:val="none"/>
        </w:rPr>
      </w:pPr>
      <w:r>
        <w:drawing>
          <wp:inline distT="0" distB="0" distL="114300" distR="114300">
            <wp:extent cx="5271135" cy="3201035"/>
            <wp:effectExtent l="0" t="0" r="5715" b="18415"/>
            <wp:docPr id="6"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true"/>
                    </pic:cNvPicPr>
                  </pic:nvPicPr>
                  <pic:blipFill>
                    <a:blip r:embed="rId11"/>
                    <a:stretch>
                      <a:fillRect/>
                    </a:stretch>
                  </pic:blipFill>
                  <pic:spPr>
                    <a:xfrm>
                      <a:off x="0" y="0"/>
                      <a:ext cx="5271135" cy="3201035"/>
                    </a:xfrm>
                    <a:prstGeom prst="rect">
                      <a:avLst/>
                    </a:prstGeom>
                    <a:noFill/>
                    <a:ln>
                      <a:noFill/>
                    </a:ln>
                  </pic:spPr>
                </pic:pic>
              </a:graphicData>
            </a:graphic>
          </wp:inline>
        </w:drawing>
      </w:r>
      <w:bookmarkStart w:id="38" w:name="_Toc15377212"/>
      <w:r>
        <w:rPr>
          <w:rFonts w:hint="eastAsia" w:ascii="仿宋" w:hAnsi="仿宋" w:eastAsia="仿宋"/>
          <w:b/>
          <w:color w:val="auto"/>
          <w:sz w:val="32"/>
          <w:szCs w:val="32"/>
          <w:highlight w:val="none"/>
        </w:rPr>
        <w:t>（三）一般公共预算财政拨款支出决算具体情况</w:t>
      </w:r>
      <w:bookmarkEnd w:id="38"/>
    </w:p>
    <w:p>
      <w:pPr>
        <w:spacing w:line="600" w:lineRule="exact"/>
        <w:ind w:firstLine="640" w:firstLineChars="200"/>
        <w:outlineLvl w:val="2"/>
        <w:rPr>
          <w:rFonts w:ascii="仿宋" w:hAnsi="仿宋" w:eastAsia="仿宋"/>
          <w:b w:val="0"/>
          <w:bCs/>
          <w:color w:val="auto"/>
          <w:sz w:val="32"/>
          <w:szCs w:val="32"/>
          <w:highlight w:val="none"/>
        </w:rPr>
      </w:pPr>
      <w:bookmarkStart w:id="39" w:name="_Toc15377213"/>
      <w:bookmarkStart w:id="40" w:name="_Toc15378460"/>
      <w:bookmarkStart w:id="41" w:name="_Toc15377444"/>
      <w:r>
        <w:rPr>
          <w:rFonts w:hint="eastAsia" w:ascii="仿宋" w:hAnsi="仿宋" w:eastAsia="仿宋"/>
          <w:b w:val="0"/>
          <w:bCs/>
          <w:color w:val="auto"/>
          <w:sz w:val="32"/>
          <w:szCs w:val="32"/>
          <w:highlight w:val="none"/>
        </w:rPr>
        <w:t>20</w:t>
      </w:r>
      <w:r>
        <w:rPr>
          <w:rFonts w:hint="eastAsia" w:ascii="仿宋" w:hAnsi="仿宋" w:eastAsia="仿宋"/>
          <w:b w:val="0"/>
          <w:bCs/>
          <w:color w:val="auto"/>
          <w:sz w:val="32"/>
          <w:szCs w:val="32"/>
          <w:highlight w:val="none"/>
          <w:lang w:val="en-US" w:eastAsia="zh-CN"/>
        </w:rPr>
        <w:t>21</w:t>
      </w:r>
      <w:r>
        <w:rPr>
          <w:rFonts w:hint="eastAsia" w:ascii="仿宋" w:hAnsi="仿宋" w:eastAsia="仿宋"/>
          <w:b w:val="0"/>
          <w:bCs/>
          <w:color w:val="auto"/>
          <w:sz w:val="32"/>
          <w:szCs w:val="32"/>
          <w:highlight w:val="none"/>
        </w:rPr>
        <w:t>年</w:t>
      </w:r>
      <w:r>
        <w:rPr>
          <w:rFonts w:hint="eastAsia" w:ascii="仿宋" w:hAnsi="仿宋" w:eastAsia="仿宋"/>
          <w:b w:val="0"/>
          <w:bCs/>
          <w:color w:val="auto"/>
          <w:sz w:val="32"/>
          <w:szCs w:val="32"/>
          <w:highlight w:val="none"/>
          <w:lang w:eastAsia="zh-CN"/>
        </w:rPr>
        <w:t>一</w:t>
      </w:r>
      <w:r>
        <w:rPr>
          <w:rFonts w:hint="eastAsia" w:ascii="仿宋" w:hAnsi="仿宋" w:eastAsia="仿宋"/>
          <w:b w:val="0"/>
          <w:bCs/>
          <w:color w:val="auto"/>
          <w:sz w:val="32"/>
          <w:szCs w:val="32"/>
          <w:highlight w:val="none"/>
        </w:rPr>
        <w:t>般公共预算支出决算数为</w:t>
      </w:r>
      <w:r>
        <w:rPr>
          <w:rFonts w:hint="eastAsia" w:ascii="仿宋" w:hAnsi="仿宋" w:eastAsia="仿宋"/>
          <w:b w:val="0"/>
          <w:bCs/>
          <w:color w:val="auto"/>
          <w:sz w:val="32"/>
          <w:szCs w:val="32"/>
          <w:highlight w:val="none"/>
          <w:lang w:val="en-US" w:eastAsia="zh-CN"/>
        </w:rPr>
        <w:t>268.68万元</w:t>
      </w:r>
      <w:r>
        <w:rPr>
          <w:rFonts w:hint="eastAsia"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。其中：</w:t>
      </w:r>
      <w:bookmarkEnd w:id="39"/>
      <w:bookmarkEnd w:id="40"/>
      <w:bookmarkEnd w:id="41"/>
    </w:p>
    <w:p>
      <w:pPr>
        <w:spacing w:line="600" w:lineRule="exact"/>
        <w:ind w:firstLine="640" w:firstLineChars="200"/>
        <w:rPr>
          <w:rFonts w:ascii="仿宋" w:hAnsi="仿宋" w:eastAsia="仿宋"/>
          <w:b w:val="0"/>
          <w:bCs/>
          <w:color w:val="auto"/>
          <w:sz w:val="32"/>
          <w:szCs w:val="32"/>
          <w:highlight w:val="none"/>
        </w:rPr>
      </w:pPr>
      <w:r>
        <w:rPr>
          <w:rStyle w:val="16"/>
          <w:rFonts w:hint="eastAsia" w:ascii="仿宋" w:hAnsi="仿宋" w:eastAsia="仿宋"/>
          <w:b w:val="0"/>
          <w:bCs/>
          <w:color w:val="auto"/>
          <w:sz w:val="32"/>
          <w:szCs w:val="32"/>
          <w:highlight w:val="none"/>
          <w:lang w:val="en-US" w:eastAsia="zh-CN"/>
        </w:rPr>
        <w:t>1</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教育（类）</w:t>
      </w:r>
      <w:r>
        <w:rPr>
          <w:rStyle w:val="16"/>
          <w:rFonts w:hint="eastAsia" w:ascii="仿宋" w:hAnsi="仿宋" w:eastAsia="仿宋"/>
          <w:b w:val="0"/>
          <w:bCs/>
          <w:color w:val="auto"/>
          <w:sz w:val="32"/>
          <w:szCs w:val="32"/>
          <w:highlight w:val="none"/>
          <w:lang w:val="en-US" w:eastAsia="zh-CN"/>
        </w:rPr>
        <w:t>205</w:t>
      </w:r>
      <w:r>
        <w:rPr>
          <w:rStyle w:val="16"/>
          <w:rFonts w:hint="eastAsia" w:ascii="仿宋" w:hAnsi="仿宋" w:eastAsia="仿宋"/>
          <w:b w:val="0"/>
          <w:bCs/>
          <w:color w:val="auto"/>
          <w:sz w:val="32"/>
          <w:szCs w:val="32"/>
          <w:highlight w:val="none"/>
        </w:rPr>
        <w:t>（款）</w:t>
      </w:r>
      <w:r>
        <w:rPr>
          <w:rStyle w:val="16"/>
          <w:rFonts w:hint="eastAsia" w:ascii="仿宋" w:hAnsi="仿宋" w:eastAsia="仿宋"/>
          <w:b w:val="0"/>
          <w:bCs/>
          <w:color w:val="auto"/>
          <w:sz w:val="32"/>
          <w:szCs w:val="32"/>
          <w:highlight w:val="none"/>
          <w:lang w:val="en-US" w:eastAsia="zh-CN"/>
        </w:rPr>
        <w:t>01</w:t>
      </w:r>
      <w:r>
        <w:rPr>
          <w:rStyle w:val="16"/>
          <w:rFonts w:hint="eastAsia" w:ascii="仿宋" w:hAnsi="仿宋" w:eastAsia="仿宋"/>
          <w:b w:val="0"/>
          <w:bCs/>
          <w:color w:val="auto"/>
          <w:sz w:val="32"/>
          <w:szCs w:val="32"/>
          <w:highlight w:val="none"/>
        </w:rPr>
        <w:t>（项）</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246</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pPr>
        <w:spacing w:line="600" w:lineRule="exact"/>
        <w:ind w:firstLine="640" w:firstLineChars="200"/>
        <w:rPr>
          <w:rStyle w:val="16"/>
          <w:rFonts w:hint="eastAsia" w:ascii="仿宋" w:hAnsi="仿宋" w:eastAsia="仿宋"/>
          <w:b w:val="0"/>
          <w:bCs/>
          <w:color w:val="auto"/>
          <w:sz w:val="32"/>
          <w:szCs w:val="32"/>
          <w:highlight w:val="none"/>
        </w:rPr>
      </w:pPr>
      <w:r>
        <w:rPr>
          <w:rStyle w:val="16"/>
          <w:rFonts w:hint="eastAsia" w:ascii="仿宋" w:hAnsi="仿宋" w:eastAsia="仿宋"/>
          <w:b w:val="0"/>
          <w:bCs/>
          <w:color w:val="auto"/>
          <w:sz w:val="32"/>
          <w:szCs w:val="32"/>
          <w:highlight w:val="none"/>
          <w:lang w:val="en-US" w:eastAsia="zh-CN"/>
        </w:rPr>
        <w:t>2</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社会保障和就业（类）</w:t>
      </w:r>
      <w:r>
        <w:rPr>
          <w:rStyle w:val="16"/>
          <w:rFonts w:hint="eastAsia" w:ascii="仿宋" w:hAnsi="仿宋" w:eastAsia="仿宋"/>
          <w:b w:val="0"/>
          <w:bCs/>
          <w:color w:val="auto"/>
          <w:sz w:val="32"/>
          <w:szCs w:val="32"/>
          <w:highlight w:val="none"/>
          <w:lang w:val="en-US" w:eastAsia="zh-CN"/>
        </w:rPr>
        <w:t>208</w:t>
      </w:r>
      <w:r>
        <w:rPr>
          <w:rStyle w:val="16"/>
          <w:rFonts w:hint="eastAsia" w:ascii="仿宋" w:hAnsi="仿宋" w:eastAsia="仿宋"/>
          <w:b w:val="0"/>
          <w:bCs/>
          <w:color w:val="auto"/>
          <w:sz w:val="32"/>
          <w:szCs w:val="32"/>
          <w:highlight w:val="none"/>
        </w:rPr>
        <w:t>（款）</w:t>
      </w:r>
      <w:r>
        <w:rPr>
          <w:rStyle w:val="16"/>
          <w:rFonts w:hint="eastAsia" w:ascii="仿宋" w:hAnsi="仿宋" w:eastAsia="仿宋"/>
          <w:b w:val="0"/>
          <w:bCs/>
          <w:color w:val="auto"/>
          <w:sz w:val="32"/>
          <w:szCs w:val="32"/>
          <w:highlight w:val="none"/>
          <w:lang w:val="en-US" w:eastAsia="zh-CN"/>
        </w:rPr>
        <w:t>05</w:t>
      </w:r>
      <w:r>
        <w:rPr>
          <w:rStyle w:val="16"/>
          <w:rFonts w:hint="eastAsia" w:ascii="仿宋" w:hAnsi="仿宋" w:eastAsia="仿宋"/>
          <w:b w:val="0"/>
          <w:bCs/>
          <w:color w:val="auto"/>
          <w:sz w:val="32"/>
          <w:szCs w:val="32"/>
          <w:highlight w:val="none"/>
        </w:rPr>
        <w:t>（项）</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9.87</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pPr>
        <w:spacing w:line="600" w:lineRule="exact"/>
        <w:ind w:firstLine="640" w:firstLineChars="200"/>
        <w:rPr>
          <w:b w:val="0"/>
          <w:bCs/>
        </w:rPr>
      </w:pPr>
      <w:r>
        <w:rPr>
          <w:rStyle w:val="16"/>
          <w:rFonts w:hint="eastAsia" w:ascii="仿宋" w:hAnsi="仿宋" w:eastAsia="仿宋"/>
          <w:b w:val="0"/>
          <w:bCs/>
          <w:color w:val="auto"/>
          <w:sz w:val="32"/>
          <w:szCs w:val="32"/>
          <w:highlight w:val="none"/>
          <w:lang w:val="en-US" w:eastAsia="zh-CN"/>
        </w:rPr>
        <w:t>3</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社会保障和就业（类）</w:t>
      </w:r>
      <w:r>
        <w:rPr>
          <w:rStyle w:val="16"/>
          <w:rFonts w:hint="eastAsia" w:ascii="仿宋" w:hAnsi="仿宋" w:eastAsia="仿宋"/>
          <w:b w:val="0"/>
          <w:bCs/>
          <w:color w:val="auto"/>
          <w:sz w:val="32"/>
          <w:szCs w:val="32"/>
          <w:highlight w:val="none"/>
          <w:lang w:val="en-US" w:eastAsia="zh-CN"/>
        </w:rPr>
        <w:t>208</w:t>
      </w:r>
      <w:r>
        <w:rPr>
          <w:rStyle w:val="16"/>
          <w:rFonts w:hint="eastAsia" w:ascii="仿宋" w:hAnsi="仿宋" w:eastAsia="仿宋"/>
          <w:b w:val="0"/>
          <w:bCs/>
          <w:color w:val="auto"/>
          <w:sz w:val="32"/>
          <w:szCs w:val="32"/>
          <w:highlight w:val="none"/>
        </w:rPr>
        <w:t>（款）</w:t>
      </w:r>
      <w:r>
        <w:rPr>
          <w:rStyle w:val="16"/>
          <w:rFonts w:hint="eastAsia" w:ascii="仿宋" w:hAnsi="仿宋" w:eastAsia="仿宋"/>
          <w:b w:val="0"/>
          <w:bCs/>
          <w:color w:val="auto"/>
          <w:sz w:val="32"/>
          <w:szCs w:val="32"/>
          <w:highlight w:val="none"/>
          <w:lang w:val="en-US" w:eastAsia="zh-CN"/>
        </w:rPr>
        <w:t>99</w:t>
      </w:r>
      <w:r>
        <w:rPr>
          <w:rStyle w:val="16"/>
          <w:rFonts w:hint="eastAsia" w:ascii="仿宋" w:hAnsi="仿宋" w:eastAsia="仿宋"/>
          <w:b w:val="0"/>
          <w:bCs/>
          <w:color w:val="auto"/>
          <w:sz w:val="32"/>
          <w:szCs w:val="32"/>
          <w:highlight w:val="none"/>
        </w:rPr>
        <w:t>（项）</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0.43</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pPr>
        <w:spacing w:line="600" w:lineRule="exact"/>
        <w:ind w:firstLine="640" w:firstLineChars="200"/>
        <w:rPr>
          <w:rFonts w:ascii="仿宋" w:hAnsi="仿宋" w:eastAsia="仿宋"/>
          <w:b w:val="0"/>
          <w:bCs/>
          <w:color w:val="auto"/>
          <w:sz w:val="32"/>
          <w:szCs w:val="32"/>
          <w:highlight w:val="none"/>
        </w:rPr>
      </w:pPr>
      <w:r>
        <w:rPr>
          <w:rStyle w:val="16"/>
          <w:rFonts w:hint="eastAsia" w:ascii="仿宋" w:hAnsi="仿宋" w:eastAsia="仿宋"/>
          <w:b w:val="0"/>
          <w:bCs/>
          <w:color w:val="auto"/>
          <w:sz w:val="32"/>
          <w:szCs w:val="32"/>
          <w:highlight w:val="none"/>
          <w:lang w:val="en-US" w:eastAsia="zh-CN"/>
        </w:rPr>
        <w:t>4</w:t>
      </w:r>
      <w:r>
        <w:rPr>
          <w:rStyle w:val="16"/>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卫生健康</w:t>
      </w:r>
      <w:r>
        <w:rPr>
          <w:rStyle w:val="16"/>
          <w:rFonts w:hint="eastAsia" w:ascii="仿宋" w:hAnsi="仿宋" w:eastAsia="仿宋"/>
          <w:b w:val="0"/>
          <w:bCs/>
          <w:color w:val="auto"/>
          <w:sz w:val="32"/>
          <w:szCs w:val="32"/>
          <w:highlight w:val="none"/>
        </w:rPr>
        <w:t>（类）</w:t>
      </w:r>
      <w:r>
        <w:rPr>
          <w:rStyle w:val="16"/>
          <w:rFonts w:hint="eastAsia" w:ascii="仿宋" w:hAnsi="仿宋" w:eastAsia="仿宋"/>
          <w:b w:val="0"/>
          <w:bCs/>
          <w:color w:val="auto"/>
          <w:sz w:val="32"/>
          <w:szCs w:val="32"/>
          <w:highlight w:val="none"/>
          <w:lang w:val="en-US" w:eastAsia="zh-CN"/>
        </w:rPr>
        <w:t>210</w:t>
      </w:r>
      <w:r>
        <w:rPr>
          <w:rStyle w:val="16"/>
          <w:rFonts w:hint="eastAsia" w:ascii="仿宋" w:hAnsi="仿宋" w:eastAsia="仿宋"/>
          <w:b w:val="0"/>
          <w:bCs/>
          <w:color w:val="auto"/>
          <w:sz w:val="32"/>
          <w:szCs w:val="32"/>
          <w:highlight w:val="none"/>
        </w:rPr>
        <w:t>（款）</w:t>
      </w:r>
      <w:r>
        <w:rPr>
          <w:rStyle w:val="16"/>
          <w:rFonts w:hint="eastAsia" w:ascii="仿宋" w:hAnsi="仿宋" w:eastAsia="仿宋"/>
          <w:b w:val="0"/>
          <w:bCs/>
          <w:color w:val="auto"/>
          <w:sz w:val="32"/>
          <w:szCs w:val="32"/>
          <w:highlight w:val="none"/>
          <w:lang w:val="en-US" w:eastAsia="zh-CN"/>
        </w:rPr>
        <w:t>11</w:t>
      </w:r>
      <w:r>
        <w:rPr>
          <w:rStyle w:val="16"/>
          <w:rFonts w:hint="eastAsia" w:ascii="仿宋" w:hAnsi="仿宋" w:eastAsia="仿宋"/>
          <w:b w:val="0"/>
          <w:bCs/>
          <w:color w:val="auto"/>
          <w:sz w:val="32"/>
          <w:szCs w:val="32"/>
          <w:highlight w:val="none"/>
        </w:rPr>
        <w:t>（项）</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4.79</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，决算数等于预算数。</w:t>
      </w:r>
    </w:p>
    <w:p>
      <w:pPr>
        <w:spacing w:line="600" w:lineRule="exact"/>
        <w:ind w:firstLine="640" w:firstLineChars="200"/>
        <w:rPr>
          <w:rFonts w:hint="eastAsia" w:ascii="仿宋" w:hAnsi="仿宋" w:eastAsia="仿宋"/>
          <w:b w:val="0"/>
          <w:bCs/>
          <w:color w:val="auto"/>
          <w:sz w:val="32"/>
          <w:szCs w:val="32"/>
          <w:highlight w:val="none"/>
          <w:lang w:val="en-US" w:eastAsia="zh-CN"/>
        </w:rPr>
      </w:pPr>
      <w:r>
        <w:rPr>
          <w:rFonts w:hint="eastAsia" w:ascii="仿宋" w:hAnsi="仿宋" w:eastAsia="仿宋"/>
          <w:b w:val="0"/>
          <w:bCs/>
          <w:color w:val="auto"/>
          <w:sz w:val="32"/>
          <w:szCs w:val="32"/>
          <w:highlight w:val="none"/>
          <w:lang w:val="en-US" w:eastAsia="zh-CN"/>
        </w:rPr>
        <w:t>5.农林水（类）213（款）05（项）：支出决算为0.4万元，完成预算100%，决算数等于预算数。</w:t>
      </w:r>
    </w:p>
    <w:p>
      <w:pPr>
        <w:pStyle w:val="2"/>
        <w:rPr>
          <w:rFonts w:hint="default"/>
          <w:b w:val="0"/>
          <w:bCs/>
          <w:lang w:val="en-US" w:eastAsia="zh-CN"/>
        </w:rPr>
      </w:pPr>
      <w:r>
        <w:rPr>
          <w:rFonts w:hint="eastAsia" w:ascii="仿宋" w:hAnsi="仿宋" w:eastAsia="仿宋"/>
          <w:b w:val="0"/>
          <w:bCs/>
          <w:color w:val="auto"/>
          <w:sz w:val="32"/>
          <w:szCs w:val="32"/>
          <w:highlight w:val="none"/>
          <w:lang w:val="en-US" w:eastAsia="zh-CN"/>
        </w:rPr>
        <w:t xml:space="preserve">    6.住房保障（类）211（款）02（项）：支出决算为7.19万元，完成预算100%，决算数等于预算数。</w:t>
      </w:r>
    </w:p>
    <w:p>
      <w:pPr>
        <w:tabs>
          <w:tab w:val="right" w:pos="8306"/>
        </w:tabs>
        <w:spacing w:line="600" w:lineRule="exact"/>
        <w:ind w:firstLine="640"/>
        <w:outlineLvl w:val="1"/>
        <w:rPr>
          <w:rStyle w:val="27"/>
          <w:color w:val="auto"/>
          <w:highlight w:val="none"/>
        </w:rPr>
      </w:pPr>
      <w:bookmarkStart w:id="42" w:name="_Toc15396608"/>
      <w:bookmarkStart w:id="43"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42"/>
      <w:bookmarkEnd w:id="43"/>
      <w:r>
        <w:rPr>
          <w:rStyle w:val="27"/>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131.17</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122.17</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等。</w:t>
      </w:r>
    </w:p>
    <w:p>
      <w:pPr>
        <w:spacing w:line="600" w:lineRule="exact"/>
        <w:ind w:firstLine="640"/>
        <w:outlineLvl w:val="1"/>
        <w:rPr>
          <w:rStyle w:val="27"/>
          <w:rFonts w:ascii="黑体" w:hAnsi="黑体" w:eastAsia="黑体"/>
          <w:b w:val="0"/>
          <w:color w:val="auto"/>
          <w:highlight w:val="none"/>
        </w:rPr>
      </w:pPr>
      <w:bookmarkStart w:id="44" w:name="_Toc15396609"/>
      <w:bookmarkStart w:id="45" w:name="_Toc15377215"/>
      <w:r>
        <w:rPr>
          <w:rFonts w:hint="eastAsia" w:ascii="黑体" w:eastAsia="黑体"/>
          <w:color w:val="auto"/>
          <w:sz w:val="32"/>
          <w:szCs w:val="32"/>
          <w:highlight w:val="none"/>
        </w:rPr>
        <w:t>七、</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三公”经费财政拨款支出决算情况说明</w:t>
      </w:r>
      <w:bookmarkEnd w:id="44"/>
      <w:bookmarkEnd w:id="45"/>
    </w:p>
    <w:p>
      <w:pPr>
        <w:spacing w:line="600" w:lineRule="exact"/>
        <w:ind w:firstLine="640"/>
        <w:outlineLvl w:val="2"/>
        <w:rPr>
          <w:rFonts w:ascii="仿宋" w:hAnsi="仿宋" w:eastAsia="仿宋"/>
          <w:b/>
          <w:color w:val="auto"/>
          <w:sz w:val="32"/>
          <w:szCs w:val="32"/>
          <w:highlight w:val="none"/>
        </w:rPr>
      </w:pPr>
      <w:bookmarkStart w:id="46" w:name="_Toc15377216"/>
      <w:r>
        <w:rPr>
          <w:rFonts w:hint="eastAsia" w:ascii="仿宋" w:hAnsi="仿宋" w:eastAsia="仿宋"/>
          <w:b/>
          <w:color w:val="auto"/>
          <w:sz w:val="32"/>
          <w:szCs w:val="32"/>
          <w:highlight w:val="none"/>
        </w:rPr>
        <w:t>（一）“三公”经费财政拨款支出决算总体情况说明</w:t>
      </w:r>
      <w:bookmarkEnd w:id="46"/>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0.46</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，决算数与预算数持平。</w:t>
      </w:r>
    </w:p>
    <w:p>
      <w:pPr>
        <w:spacing w:line="600" w:lineRule="exact"/>
        <w:ind w:firstLine="640"/>
        <w:outlineLvl w:val="2"/>
        <w:rPr>
          <w:rFonts w:ascii="仿宋" w:hAnsi="仿宋" w:eastAsia="仿宋"/>
          <w:b/>
          <w:color w:val="auto"/>
          <w:sz w:val="32"/>
          <w:szCs w:val="32"/>
          <w:highlight w:val="none"/>
        </w:rPr>
      </w:pPr>
      <w:bookmarkStart w:id="47" w:name="_Toc15377217"/>
      <w:r>
        <w:rPr>
          <w:rFonts w:hint="eastAsia" w:ascii="仿宋" w:hAnsi="仿宋" w:eastAsia="仿宋"/>
          <w:b/>
          <w:color w:val="auto"/>
          <w:sz w:val="32"/>
          <w:szCs w:val="32"/>
          <w:highlight w:val="none"/>
        </w:rPr>
        <w:t>（二）“三公”经费财政拨款支出决算具体情况说明</w:t>
      </w:r>
      <w:bookmarkEnd w:id="47"/>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0.46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pPr>
      <w:r>
        <w:drawing>
          <wp:inline distT="0" distB="0" distL="114300" distR="114300">
            <wp:extent cx="5166360" cy="2821305"/>
            <wp:effectExtent l="0" t="0" r="15240" b="17145"/>
            <wp:docPr id="7"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true"/>
                    </pic:cNvPicPr>
                  </pic:nvPicPr>
                  <pic:blipFill>
                    <a:blip r:embed="rId12"/>
                    <a:stretch>
                      <a:fillRect/>
                    </a:stretch>
                  </pic:blipFill>
                  <pic:spPr>
                    <a:xfrm>
                      <a:off x="0" y="0"/>
                      <a:ext cx="5166360" cy="2821305"/>
                    </a:xfrm>
                    <a:prstGeom prst="rect">
                      <a:avLst/>
                    </a:prstGeom>
                    <a:noFill/>
                    <a:ln>
                      <a:noFill/>
                    </a:ln>
                  </pic:spPr>
                </pic:pic>
              </a:graphicData>
            </a:graphic>
          </wp:inline>
        </w:drawing>
      </w:r>
    </w:p>
    <w:p>
      <w:pPr>
        <w:spacing w:line="600" w:lineRule="exact"/>
        <w:ind w:firstLine="645"/>
        <w:rPr>
          <w:b w:val="0"/>
          <w:bCs/>
          <w:highlight w:val="none"/>
        </w:rPr>
      </w:pPr>
      <w:r>
        <w:rPr>
          <w:rFonts w:ascii="仿宋_GB2312" w:eastAsia="仿宋_GB2312"/>
          <w:b w:val="0"/>
          <w:bCs/>
          <w:color w:val="auto"/>
          <w:sz w:val="32"/>
          <w:szCs w:val="32"/>
          <w:highlight w:val="none"/>
        </w:rPr>
        <w:t>1.</w:t>
      </w:r>
      <w:r>
        <w:rPr>
          <w:rFonts w:hint="eastAsia" w:ascii="仿宋_GB2312" w:eastAsia="仿宋_GB2312"/>
          <w:b w:val="0"/>
          <w:bCs/>
          <w:color w:val="auto"/>
          <w:sz w:val="32"/>
          <w:szCs w:val="32"/>
          <w:highlight w:val="none"/>
        </w:rPr>
        <w:t>因公出国（境）经费支出</w:t>
      </w:r>
      <w:r>
        <w:rPr>
          <w:rFonts w:hint="eastAsia" w:ascii="仿宋_GB2312" w:eastAsia="仿宋_GB2312"/>
          <w:b w:val="0"/>
          <w:bCs/>
          <w:color w:val="auto"/>
          <w:sz w:val="32"/>
          <w:szCs w:val="32"/>
          <w:highlight w:val="none"/>
          <w:lang w:val="en-US" w:eastAsia="zh-CN"/>
        </w:rPr>
        <w:t>0</w:t>
      </w:r>
      <w:r>
        <w:rPr>
          <w:rFonts w:hint="eastAsia" w:ascii="仿宋_GB2312" w:eastAsia="仿宋_GB2312"/>
          <w:b w:val="0"/>
          <w:bCs/>
          <w:color w:val="auto"/>
          <w:sz w:val="32"/>
          <w:szCs w:val="32"/>
          <w:highlight w:val="none"/>
        </w:rPr>
        <w:t>万元，</w:t>
      </w:r>
      <w:r>
        <w:rPr>
          <w:rFonts w:hint="eastAsia" w:ascii="仿宋" w:hAnsi="仿宋" w:eastAsia="仿宋"/>
          <w:b w:val="0"/>
          <w:bCs/>
          <w:color w:val="auto"/>
          <w:sz w:val="32"/>
          <w:szCs w:val="32"/>
          <w:highlight w:val="none"/>
          <w:lang w:val="en-US" w:eastAsia="zh-CN"/>
        </w:rPr>
        <w:t>年初未安排预算</w:t>
      </w:r>
    </w:p>
    <w:p>
      <w:pPr>
        <w:spacing w:line="600" w:lineRule="exact"/>
        <w:ind w:firstLine="645"/>
        <w:rPr>
          <w:b w:val="0"/>
          <w:bCs/>
          <w:highlight w:val="none"/>
        </w:rPr>
      </w:pPr>
      <w:r>
        <w:rPr>
          <w:rFonts w:ascii="仿宋_GB2312" w:eastAsia="仿宋_GB2312"/>
          <w:b w:val="0"/>
          <w:bCs/>
          <w:color w:val="auto"/>
          <w:sz w:val="32"/>
          <w:szCs w:val="32"/>
          <w:highlight w:val="none"/>
        </w:rPr>
        <w:t>2.</w:t>
      </w:r>
      <w:r>
        <w:rPr>
          <w:rFonts w:hint="eastAsia" w:ascii="仿宋_GB2312" w:eastAsia="仿宋_GB2312"/>
          <w:b w:val="0"/>
          <w:bCs/>
          <w:color w:val="auto"/>
          <w:sz w:val="32"/>
          <w:szCs w:val="32"/>
          <w:highlight w:val="none"/>
        </w:rPr>
        <w:t>公务用车购置及运行维护费支出</w:t>
      </w:r>
      <w:r>
        <w:rPr>
          <w:rFonts w:hint="eastAsia" w:ascii="仿宋_GB2312" w:eastAsia="仿宋_GB2312"/>
          <w:b w:val="0"/>
          <w:bCs/>
          <w:color w:val="auto"/>
          <w:sz w:val="32"/>
          <w:szCs w:val="32"/>
          <w:highlight w:val="none"/>
          <w:lang w:val="en-US" w:eastAsia="zh-CN"/>
        </w:rPr>
        <w:t>0</w:t>
      </w:r>
      <w:r>
        <w:rPr>
          <w:rFonts w:hint="eastAsia" w:ascii="仿宋_GB2312" w:eastAsia="仿宋_GB2312"/>
          <w:b w:val="0"/>
          <w:bCs/>
          <w:color w:val="auto"/>
          <w:sz w:val="32"/>
          <w:szCs w:val="32"/>
          <w:highlight w:val="none"/>
        </w:rPr>
        <w:t>万元,</w:t>
      </w:r>
      <w:r>
        <w:rPr>
          <w:rFonts w:hint="eastAsia" w:ascii="仿宋_GB2312" w:eastAsia="仿宋_GB2312"/>
          <w:b w:val="0"/>
          <w:bCs/>
          <w:color w:val="auto"/>
          <w:sz w:val="32"/>
          <w:szCs w:val="32"/>
          <w:highlight w:val="none"/>
          <w:lang w:eastAsia="zh-CN"/>
        </w:rPr>
        <w:t>我单位无公务车，</w:t>
      </w:r>
      <w:r>
        <w:rPr>
          <w:rFonts w:hint="eastAsia" w:ascii="仿宋" w:hAnsi="仿宋" w:eastAsia="仿宋"/>
          <w:b w:val="0"/>
          <w:bCs/>
          <w:color w:val="auto"/>
          <w:sz w:val="32"/>
          <w:szCs w:val="32"/>
          <w:highlight w:val="none"/>
          <w:lang w:val="en-US" w:eastAsia="zh-CN"/>
        </w:rPr>
        <w:t>年初未安排预算</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eastAsia="zh-CN"/>
        </w:rPr>
        <w:t>0.46</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eastAsia="zh-CN"/>
        </w:rPr>
        <w:t>0.01</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eastAsia="zh-CN"/>
        </w:rPr>
        <w:t>2.12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公务接待人次减少</w:t>
      </w:r>
      <w:r>
        <w:rPr>
          <w:rFonts w:hint="eastAsia" w:ascii="仿宋_GB2312" w:eastAsia="仿宋_GB2312"/>
          <w:color w:val="auto"/>
          <w:sz w:val="32"/>
          <w:szCs w:val="32"/>
          <w:highlight w:val="none"/>
        </w:rPr>
        <w:t>。其中：</w:t>
      </w:r>
    </w:p>
    <w:p>
      <w:pPr>
        <w:spacing w:line="600" w:lineRule="exact"/>
        <w:ind w:firstLine="640"/>
        <w:outlineLvl w:val="1"/>
        <w:rPr>
          <w:rFonts w:hint="eastAsia" w:ascii="黑体" w:eastAsia="仿宋_GB2312"/>
          <w:color w:val="auto"/>
          <w:sz w:val="32"/>
          <w:szCs w:val="32"/>
          <w:highlight w:val="none"/>
          <w:lang w:val="en-US" w:eastAsia="zh-CN"/>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0.46</w:t>
      </w:r>
      <w:r>
        <w:rPr>
          <w:rFonts w:hint="eastAsia" w:ascii="仿宋_GB2312" w:eastAsia="仿宋_GB2312"/>
          <w:color w:val="auto"/>
          <w:sz w:val="32"/>
          <w:szCs w:val="32"/>
          <w:highlight w:val="none"/>
        </w:rPr>
        <w:t>万元，主要用于开展业务活动开支的用餐费。国内公务接待</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57</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0.46</w:t>
      </w:r>
      <w:r>
        <w:rPr>
          <w:rFonts w:hint="eastAsia" w:ascii="仿宋_GB2312" w:eastAsia="仿宋_GB2312"/>
          <w:color w:val="auto"/>
          <w:sz w:val="32"/>
          <w:szCs w:val="32"/>
          <w:highlight w:val="none"/>
        </w:rPr>
        <w:t>万元，具体内容包括</w:t>
      </w:r>
      <w:bookmarkStart w:id="48" w:name="_Toc15396610"/>
      <w:bookmarkStart w:id="49" w:name="_Toc15377218"/>
      <w:r>
        <w:rPr>
          <w:rFonts w:hint="eastAsia" w:ascii="仿宋_GB2312" w:eastAsia="仿宋_GB2312"/>
          <w:color w:val="auto"/>
          <w:sz w:val="32"/>
          <w:szCs w:val="32"/>
          <w:highlight w:val="none"/>
          <w:lang w:val="en-US" w:eastAsia="zh-CN"/>
        </w:rPr>
        <w:t>:其他县区党校交流会、市委党校到朝天区调研等。</w:t>
      </w:r>
    </w:p>
    <w:p>
      <w:pPr>
        <w:spacing w:line="600" w:lineRule="exact"/>
        <w:ind w:firstLine="640"/>
        <w:outlineLvl w:val="1"/>
        <w:rPr>
          <w:rStyle w:val="27"/>
          <w:rFonts w:ascii="黑体" w:hAnsi="黑体" w:eastAsia="黑体"/>
          <w:color w:val="auto"/>
          <w:highlight w:val="none"/>
        </w:rPr>
      </w:pPr>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48"/>
      <w:bookmarkEnd w:id="49"/>
    </w:p>
    <w:p>
      <w:pPr>
        <w:spacing w:line="600" w:lineRule="exact"/>
        <w:ind w:firstLine="640"/>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本单位无</w:t>
      </w:r>
      <w:r>
        <w:rPr>
          <w:rFonts w:hint="eastAsia" w:ascii="仿宋_GB2312" w:eastAsia="仿宋_GB2312"/>
          <w:color w:val="auto"/>
          <w:sz w:val="32"/>
          <w:szCs w:val="32"/>
          <w:highlight w:val="none"/>
        </w:rPr>
        <w:t>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p>
    <w:p>
      <w:pPr>
        <w:numPr>
          <w:ilvl w:val="0"/>
          <w:numId w:val="2"/>
        </w:numPr>
        <w:spacing w:line="600" w:lineRule="exact"/>
        <w:ind w:firstLine="640"/>
        <w:outlineLvl w:val="1"/>
        <w:rPr>
          <w:rStyle w:val="27"/>
          <w:rFonts w:ascii="黑体" w:hAnsi="黑体" w:eastAsia="黑体"/>
          <w:b w:val="0"/>
          <w:color w:val="auto"/>
          <w:highlight w:val="none"/>
        </w:rPr>
      </w:pPr>
      <w:bookmarkStart w:id="50" w:name="_Toc15377219"/>
      <w:bookmarkStart w:id="51" w:name="_Toc15396611"/>
      <w:r>
        <w:rPr>
          <w:rStyle w:val="27"/>
          <w:rFonts w:hint="eastAsia" w:ascii="黑体" w:hAnsi="黑体" w:eastAsia="黑体"/>
          <w:b w:val="0"/>
          <w:color w:val="auto"/>
          <w:highlight w:val="none"/>
        </w:rPr>
        <w:t>国有资本经营预算支出决算情况说明</w:t>
      </w:r>
      <w:bookmarkEnd w:id="50"/>
      <w:bookmarkEnd w:id="51"/>
    </w:p>
    <w:p>
      <w:pPr>
        <w:spacing w:line="600" w:lineRule="exact"/>
        <w:ind w:firstLine="640"/>
        <w:rPr>
          <w:rFonts w:hint="eastAsia"/>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本单位无</w:t>
      </w:r>
      <w:r>
        <w:rPr>
          <w:rFonts w:hint="eastAsia" w:ascii="仿宋_GB2312" w:eastAsia="仿宋_GB2312"/>
          <w:color w:val="auto"/>
          <w:sz w:val="32"/>
          <w:szCs w:val="32"/>
          <w:highlight w:val="none"/>
        </w:rPr>
        <w:t>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bookmarkStart w:id="52" w:name="_Toc15396612"/>
      <w:bookmarkStart w:id="53" w:name="_Toc15377221"/>
    </w:p>
    <w:p>
      <w:pPr>
        <w:numPr>
          <w:ilvl w:val="0"/>
          <w:numId w:val="2"/>
        </w:numPr>
        <w:spacing w:line="600" w:lineRule="exact"/>
        <w:ind w:firstLine="640"/>
        <w:outlineLvl w:val="1"/>
        <w:rPr>
          <w:rStyle w:val="27"/>
          <w:rFonts w:hint="eastAsia" w:ascii="黑体" w:hAnsi="黑体" w:eastAsia="黑体"/>
          <w:b w:val="0"/>
          <w:color w:val="auto"/>
          <w:highlight w:val="none"/>
        </w:rPr>
      </w:pPr>
      <w:r>
        <w:rPr>
          <w:rStyle w:val="27"/>
          <w:rFonts w:hint="eastAsia" w:ascii="黑体" w:hAnsi="黑体" w:eastAsia="黑体"/>
          <w:b w:val="0"/>
          <w:color w:val="auto"/>
          <w:highlight w:val="none"/>
          <w:lang w:val="en-US" w:eastAsia="zh-CN"/>
        </w:rPr>
        <w:t>预算绩效管理情况</w:t>
      </w:r>
    </w:p>
    <w:p>
      <w:pPr>
        <w:numPr>
          <w:ilvl w:val="0"/>
          <w:numId w:val="0"/>
        </w:numPr>
        <w:spacing w:line="600" w:lineRule="exact"/>
        <w:ind w:firstLine="640" w:firstLineChars="200"/>
        <w:outlineLvl w:val="1"/>
        <w:rPr>
          <w:rFonts w:hint="eastAsia"/>
          <w:color w:val="auto"/>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楷体_GB2312" w:hAnsi="宋体" w:eastAsia="楷体_GB2312" w:cs="Times New Roman"/>
          <w:color w:val="auto"/>
          <w:spacing w:val="-6"/>
          <w:sz w:val="32"/>
          <w:szCs w:val="32"/>
        </w:rPr>
        <w:t>干部培训费</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3个项目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中共广元市朝天区委党校</w:t>
      </w:r>
      <w:r>
        <w:rPr>
          <w:rFonts w:hint="eastAsia" w:ascii="仿宋_GB2312" w:hAnsi="仿宋_GB2312" w:eastAsia="仿宋_GB2312" w:cs="仿宋_GB2312"/>
          <w:color w:val="auto"/>
          <w:sz w:val="32"/>
          <w:szCs w:val="32"/>
          <w:highlight w:val="none"/>
        </w:rPr>
        <w:t>部门整体绩效评价报告》见附件（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numPr>
          <w:ilvl w:val="0"/>
          <w:numId w:val="2"/>
        </w:numPr>
        <w:spacing w:line="600" w:lineRule="exact"/>
        <w:ind w:firstLine="640"/>
        <w:outlineLvl w:val="1"/>
        <w:rPr>
          <w:rStyle w:val="27"/>
          <w:rFonts w:hint="eastAsia" w:ascii="黑体" w:hAnsi="黑体" w:eastAsia="黑体"/>
          <w:b w:val="0"/>
          <w:color w:val="auto"/>
          <w:highlight w:val="none"/>
        </w:rPr>
      </w:pPr>
      <w:r>
        <w:rPr>
          <w:rStyle w:val="27"/>
          <w:rFonts w:hint="eastAsia" w:ascii="黑体" w:hAnsi="黑体" w:eastAsia="黑体"/>
          <w:b w:val="0"/>
          <w:color w:val="auto"/>
          <w:highlight w:val="none"/>
        </w:rPr>
        <w:t>其他重要事项的情况说明</w:t>
      </w:r>
      <w:bookmarkEnd w:id="52"/>
      <w:bookmarkEnd w:id="53"/>
    </w:p>
    <w:p>
      <w:pPr>
        <w:spacing w:line="600" w:lineRule="exact"/>
        <w:ind w:firstLine="642" w:firstLineChars="200"/>
        <w:outlineLvl w:val="2"/>
        <w:rPr>
          <w:rFonts w:ascii="仿宋" w:hAnsi="仿宋" w:eastAsia="仿宋"/>
          <w:color w:val="auto"/>
          <w:sz w:val="32"/>
          <w:szCs w:val="32"/>
          <w:highlight w:val="none"/>
        </w:rPr>
      </w:pPr>
      <w:bookmarkStart w:id="54" w:name="_Toc15377222"/>
      <w:r>
        <w:rPr>
          <w:rFonts w:hint="eastAsia" w:ascii="仿宋" w:hAnsi="仿宋" w:eastAsia="仿宋"/>
          <w:b/>
          <w:color w:val="auto"/>
          <w:sz w:val="32"/>
          <w:szCs w:val="32"/>
          <w:highlight w:val="none"/>
        </w:rPr>
        <w:t>（一）机关运行经费支出情况</w:t>
      </w:r>
      <w:bookmarkEnd w:id="54"/>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中共广元市朝天区委党校</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0.6</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6.25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填报口径不同。</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55" w:name="_Toc15377223"/>
      <w:r>
        <w:rPr>
          <w:rFonts w:hint="eastAsia" w:ascii="仿宋" w:hAnsi="仿宋" w:eastAsia="仿宋"/>
          <w:b/>
          <w:color w:val="auto"/>
          <w:sz w:val="32"/>
          <w:szCs w:val="32"/>
          <w:highlight w:val="none"/>
        </w:rPr>
        <w:t>（二）政府采购支出情况</w:t>
      </w:r>
      <w:bookmarkEnd w:id="55"/>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中共广元市朝天区委党校未安排</w:t>
      </w:r>
      <w:r>
        <w:rPr>
          <w:rFonts w:hint="eastAsia" w:ascii="仿宋_GB2312" w:eastAsia="仿宋_GB2312"/>
          <w:color w:val="auto"/>
          <w:sz w:val="32"/>
          <w:szCs w:val="32"/>
          <w:highlight w:val="none"/>
        </w:rPr>
        <w:t>政府采购支出</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56" w:name="_Toc15377224"/>
      <w:r>
        <w:rPr>
          <w:rFonts w:hint="eastAsia" w:ascii="仿宋" w:hAnsi="仿宋" w:eastAsia="仿宋"/>
          <w:b/>
          <w:color w:val="auto"/>
          <w:sz w:val="32"/>
          <w:szCs w:val="32"/>
          <w:highlight w:val="none"/>
        </w:rPr>
        <w:t>（三）国有资产占有使用情况</w:t>
      </w:r>
      <w:bookmarkEnd w:id="56"/>
    </w:p>
    <w:p>
      <w:pPr>
        <w:autoSpaceDE w:val="0"/>
        <w:autoSpaceDN w:val="0"/>
        <w:adjustRightInd w:val="0"/>
        <w:spacing w:line="600" w:lineRule="exact"/>
        <w:ind w:firstLine="640" w:firstLineChars="200"/>
        <w:jc w:val="left"/>
        <w:rPr>
          <w:rFonts w:ascii="仿宋_GB2312" w:eastAsia="仿宋_GB2312"/>
          <w:b/>
          <w:color w:val="auto"/>
          <w:sz w:val="32"/>
          <w:szCs w:val="32"/>
          <w:highlight w:val="none"/>
        </w:rPr>
      </w:pPr>
      <w:r>
        <w:rPr>
          <w:rFonts w:hint="eastAsia" w:ascii="仿宋_GB2312" w:eastAsia="仿宋_GB2312"/>
          <w:color w:val="000000"/>
          <w:sz w:val="32"/>
          <w:szCs w:val="32"/>
        </w:rPr>
        <w:t>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日，中共广元市朝天区委党校无公务车辆。</w:t>
      </w:r>
      <w:r>
        <w:rPr>
          <w:rFonts w:ascii="仿宋_GB2312" w:eastAsia="仿宋_GB2312"/>
          <w:b/>
          <w:color w:val="auto"/>
          <w:sz w:val="32"/>
          <w:szCs w:val="32"/>
          <w:highlight w:val="none"/>
        </w:rPr>
        <w:br w:type="page"/>
      </w:r>
    </w:p>
    <w:p>
      <w:pPr>
        <w:numPr>
          <w:ilvl w:val="0"/>
          <w:numId w:val="3"/>
        </w:numPr>
        <w:spacing w:line="600" w:lineRule="exact"/>
        <w:ind w:firstLine="660" w:firstLineChars="150"/>
        <w:jc w:val="center"/>
        <w:outlineLvl w:val="0"/>
        <w:rPr>
          <w:rStyle w:val="26"/>
          <w:rFonts w:ascii="黑体" w:hAnsi="黑体" w:eastAsia="黑体"/>
          <w:b w:val="0"/>
          <w:color w:val="auto"/>
          <w:highlight w:val="none"/>
        </w:rPr>
      </w:pPr>
      <w:bookmarkStart w:id="57" w:name="_Toc15377225"/>
      <w:bookmarkStart w:id="58" w:name="_Toc15396613"/>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bookmarkEnd w:id="57"/>
      <w:bookmarkEnd w:id="58"/>
    </w:p>
    <w:p>
      <w:pPr>
        <w:spacing w:line="600" w:lineRule="exact"/>
        <w:jc w:val="left"/>
        <w:rPr>
          <w:rFonts w:ascii="宋体"/>
          <w:b/>
          <w:color w:val="auto"/>
          <w:sz w:val="44"/>
          <w:szCs w:val="44"/>
          <w:highlight w:val="none"/>
        </w:rPr>
      </w:pP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事业收入：指事业单位开展专业业务活动及辅助活动取得的收入。如…（二级预算单位事业收入情况）等。</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经营收入：指事业单位在专业业务活动及其辅助活动之外开展非独立核算经营活动取得的收入。如…（二级预算单位经营收入情况）等。</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其他收入：指单位取得的除上述收入以外的各项收入。主要是…（收入类型）等。</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一般公共服务（类）…（款）…（项）：指……。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10.</w:t>
      </w:r>
      <w:r>
        <w:rPr>
          <w:rFonts w:hint="eastAsia" w:ascii="仿宋_GB2312" w:eastAsia="仿宋_GB2312"/>
          <w:color w:val="auto"/>
          <w:sz w:val="32"/>
          <w:szCs w:val="32"/>
          <w:highlight w:val="none"/>
        </w:rPr>
        <w:t>外交（类）…（款）…（项）：指……。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11.</w:t>
      </w:r>
      <w:r>
        <w:rPr>
          <w:rFonts w:hint="eastAsia" w:ascii="仿宋_GB2312" w:eastAsia="仿宋_GB2312"/>
          <w:color w:val="auto"/>
          <w:sz w:val="32"/>
          <w:szCs w:val="32"/>
          <w:highlight w:val="none"/>
        </w:rPr>
        <w:t>公共安全（类）…（款）…（项）：指……。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12.</w:t>
      </w:r>
      <w:r>
        <w:rPr>
          <w:rFonts w:hint="eastAsia" w:ascii="仿宋_GB2312" w:eastAsia="仿宋_GB2312"/>
          <w:color w:val="auto"/>
          <w:sz w:val="32"/>
          <w:szCs w:val="32"/>
          <w:highlight w:val="none"/>
        </w:rPr>
        <w:t>教育（类）…（款）…（项）：指……。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13.</w:t>
      </w:r>
      <w:r>
        <w:rPr>
          <w:rFonts w:hint="eastAsia" w:ascii="仿宋_GB2312" w:eastAsia="仿宋_GB2312"/>
          <w:color w:val="auto"/>
          <w:sz w:val="32"/>
          <w:szCs w:val="32"/>
          <w:highlight w:val="none"/>
        </w:rPr>
        <w:t>科学技术（类）…（款）…（项）：指……。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14.</w:t>
      </w:r>
      <w:r>
        <w:rPr>
          <w:rFonts w:hint="eastAsia" w:ascii="仿宋_GB2312" w:eastAsia="仿宋_GB2312"/>
          <w:color w:val="auto"/>
          <w:sz w:val="32"/>
          <w:szCs w:val="32"/>
          <w:highlight w:val="none"/>
        </w:rPr>
        <w:t>文化体育与传媒（类）…（款）…（项）：指……。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15.</w:t>
      </w:r>
      <w:r>
        <w:rPr>
          <w:rFonts w:hint="eastAsia" w:ascii="仿宋_GB2312" w:eastAsia="仿宋_GB2312"/>
          <w:color w:val="auto"/>
          <w:sz w:val="32"/>
          <w:szCs w:val="32"/>
          <w:highlight w:val="none"/>
        </w:rPr>
        <w:t>社会保障和就业（类）…（款）…（项）：指……。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16.</w:t>
      </w:r>
      <w:r>
        <w:rPr>
          <w:rFonts w:hint="eastAsia" w:ascii="仿宋_GB2312" w:eastAsia="仿宋_GB2312"/>
          <w:color w:val="auto"/>
          <w:sz w:val="32"/>
          <w:szCs w:val="32"/>
          <w:highlight w:val="none"/>
        </w:rPr>
        <w:t>医疗卫生与计划生育（类）…（款）…（项）：指……。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17.</w:t>
      </w:r>
      <w:r>
        <w:rPr>
          <w:rFonts w:hint="eastAsia" w:ascii="仿宋_GB2312" w:eastAsia="仿宋_GB2312"/>
          <w:color w:val="auto"/>
          <w:sz w:val="32"/>
          <w:szCs w:val="32"/>
          <w:highlight w:val="none"/>
        </w:rPr>
        <w:t>节能环保（类）…（款）…（项）：指……。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18.</w:t>
      </w:r>
      <w:r>
        <w:rPr>
          <w:rFonts w:hint="eastAsia" w:ascii="仿宋_GB2312" w:eastAsia="仿宋_GB2312"/>
          <w:color w:val="auto"/>
          <w:sz w:val="32"/>
          <w:szCs w:val="32"/>
          <w:highlight w:val="none"/>
        </w:rPr>
        <w:t>城乡社区（类）…（款）…（项）：指……。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19.</w:t>
      </w:r>
      <w:r>
        <w:rPr>
          <w:rFonts w:hint="eastAsia" w:ascii="仿宋_GB2312" w:eastAsia="仿宋_GB2312"/>
          <w:color w:val="auto"/>
          <w:sz w:val="32"/>
          <w:szCs w:val="32"/>
          <w:highlight w:val="none"/>
        </w:rPr>
        <w:t>农林水（类）…（款）…（项）：指……。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rPr>
        <w:t>交通运输（类）…（款）…（项）：指……。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21.</w:t>
      </w:r>
      <w:r>
        <w:rPr>
          <w:rFonts w:hint="eastAsia" w:ascii="仿宋_GB2312" w:eastAsia="仿宋_GB2312"/>
          <w:color w:val="auto"/>
          <w:sz w:val="32"/>
          <w:szCs w:val="32"/>
          <w:highlight w:val="none"/>
        </w:rPr>
        <w:t>资源勘探信息等（类）…（款）…（项）：指……。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22.</w:t>
      </w:r>
      <w:r>
        <w:rPr>
          <w:rFonts w:hint="eastAsia" w:ascii="仿宋_GB2312" w:eastAsia="仿宋_GB2312"/>
          <w:color w:val="auto"/>
          <w:sz w:val="32"/>
          <w:szCs w:val="32"/>
          <w:highlight w:val="none"/>
        </w:rPr>
        <w:t>商业服务业（类）…（款）…（项）：指……。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23.</w:t>
      </w:r>
      <w:r>
        <w:rPr>
          <w:rFonts w:hint="eastAsia" w:ascii="仿宋_GB2312" w:eastAsia="仿宋_GB2312"/>
          <w:color w:val="auto"/>
          <w:sz w:val="32"/>
          <w:szCs w:val="32"/>
          <w:highlight w:val="none"/>
        </w:rPr>
        <w:t>金融（类）…（款）…（项）：指……。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24.</w:t>
      </w:r>
      <w:r>
        <w:rPr>
          <w:rFonts w:hint="eastAsia" w:ascii="仿宋_GB2312" w:eastAsia="仿宋_GB2312"/>
          <w:color w:val="auto"/>
          <w:sz w:val="32"/>
          <w:szCs w:val="32"/>
          <w:highlight w:val="none"/>
        </w:rPr>
        <w:t>国土海洋气象等（类）…（款）…（项）：指……。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25.</w:t>
      </w:r>
      <w:r>
        <w:rPr>
          <w:rFonts w:hint="eastAsia" w:ascii="仿宋_GB2312" w:eastAsia="仿宋_GB2312"/>
          <w:color w:val="auto"/>
          <w:sz w:val="32"/>
          <w:szCs w:val="32"/>
          <w:highlight w:val="none"/>
        </w:rPr>
        <w:t>住房保障（类）…（款）…（项）：指……。</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26.</w:t>
      </w:r>
      <w:r>
        <w:rPr>
          <w:rFonts w:hint="eastAsia" w:ascii="仿宋_GB2312" w:eastAsia="仿宋_GB2312"/>
          <w:color w:val="auto"/>
          <w:sz w:val="32"/>
          <w:szCs w:val="32"/>
          <w:highlight w:val="none"/>
        </w:rPr>
        <w:t>粮油物资储备（类）…（款）…（项）：指……。</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（解释本部门决算报表中</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全部功能分类科目至项级，</w:t>
      </w:r>
      <w:r>
        <w:rPr>
          <w:rFonts w:hint="eastAsia" w:ascii="仿宋" w:hAnsi="仿宋" w:eastAsia="仿宋"/>
          <w:b/>
          <w:color w:val="auto"/>
          <w:sz w:val="32"/>
          <w:szCs w:val="32"/>
          <w:highlight w:val="none"/>
          <w:lang w:eastAsia="zh-CN"/>
        </w:rPr>
        <w:t>不涉及的科目请自行删除。</w:t>
      </w:r>
      <w:r>
        <w:rPr>
          <w:rFonts w:hint="eastAsia" w:ascii="仿宋" w:hAnsi="仿宋" w:eastAsia="仿宋"/>
          <w:b/>
          <w:color w:val="auto"/>
          <w:sz w:val="32"/>
          <w:szCs w:val="32"/>
          <w:highlight w:val="none"/>
        </w:rPr>
        <w:t>请参照《</w:t>
      </w:r>
      <w:r>
        <w:rPr>
          <w:rFonts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年政府收支分类科目》增减内容。）</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27.</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28.</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29.</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30.</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31.</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32.</w:t>
      </w:r>
      <w:r>
        <w:rPr>
          <w:rFonts w:hint="eastAsia" w:ascii="仿宋_GB2312" w:eastAsia="仿宋_GB2312"/>
          <w:color w:val="auto"/>
          <w:sz w:val="32"/>
          <w:szCs w:val="32"/>
          <w:highlight w:val="none"/>
        </w:rPr>
        <w:t>……。</w:t>
      </w:r>
    </w:p>
    <w:p>
      <w:pPr>
        <w:pStyle w:val="24"/>
        <w:spacing w:line="560" w:lineRule="exact"/>
        <w:ind w:firstLine="640" w:firstLineChars="200"/>
        <w:rPr>
          <w:rFonts w:ascii="仿宋_GB2312" w:eastAsia="仿宋_GB2312" w:cs="黑体"/>
          <w:color w:val="auto"/>
          <w:sz w:val="32"/>
          <w:szCs w:val="32"/>
          <w:highlight w:val="none"/>
        </w:rPr>
      </w:pPr>
    </w:p>
    <w:p>
      <w:pPr>
        <w:ind w:firstLine="642"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（名词解释部分请根据各部门实际列支情况罗列，并根据本部门职责职能增减名词解释内容。）</w:t>
      </w:r>
    </w:p>
    <w:p>
      <w:pPr>
        <w:spacing w:line="600" w:lineRule="exact"/>
        <w:jc w:val="center"/>
        <w:outlineLvl w:val="0"/>
        <w:rPr>
          <w:rStyle w:val="26"/>
          <w:rFonts w:hint="eastAsia" w:ascii="黑体" w:hAnsi="黑体" w:eastAsia="黑体"/>
          <w:b w:val="0"/>
          <w:color w:val="auto"/>
          <w:highlight w:val="none"/>
          <w:lang w:eastAsia="zh-CN"/>
        </w:rPr>
      </w:pPr>
      <w:bookmarkStart w:id="59" w:name="_Toc15377226"/>
      <w:r>
        <w:rPr>
          <w:rFonts w:ascii="宋体"/>
          <w:b/>
          <w:color w:val="auto"/>
          <w:sz w:val="44"/>
          <w:szCs w:val="44"/>
          <w:highlight w:val="none"/>
        </w:rPr>
        <w:br w:type="page"/>
      </w:r>
      <w:bookmarkStart w:id="60" w:name="_Toc15396614"/>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四部分 附件</w:t>
      </w:r>
      <w:bookmarkEnd w:id="60"/>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方正小标宋简体" w:hAnsi="方正小标宋简体" w:eastAsia="黑体" w:cs="方正小标宋简体"/>
          <w:color w:val="auto"/>
          <w:sz w:val="44"/>
          <w:szCs w:val="44"/>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eastAsia="zh-CN"/>
        </w:rPr>
        <w:t>一</w:t>
      </w:r>
    </w:p>
    <w:p>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color w:val="auto"/>
          <w:kern w:val="0"/>
          <w:sz w:val="40"/>
          <w:szCs w:val="44"/>
          <w:highlight w:val="none"/>
          <w:lang w:eastAsia="zh-CN"/>
        </w:rPr>
      </w:pPr>
      <w:r>
        <w:rPr>
          <w:rFonts w:hint="eastAsia" w:ascii="方正小标宋简体" w:hAnsi="宋体" w:eastAsia="方正小标宋简体"/>
          <w:color w:val="auto"/>
          <w:kern w:val="0"/>
          <w:sz w:val="40"/>
          <w:szCs w:val="44"/>
          <w:highlight w:val="none"/>
          <w:lang w:eastAsia="zh-CN"/>
        </w:rPr>
        <w:t>中共广元市朝天区委党校</w:t>
      </w:r>
    </w:p>
    <w:p>
      <w:pPr>
        <w:keepNext w:val="0"/>
        <w:keepLines w:val="0"/>
        <w:pageBreakBefore w:val="0"/>
        <w:kinsoku/>
        <w:wordWrap/>
        <w:overflowPunct/>
        <w:topLinePunct w:val="0"/>
        <w:autoSpaceDE/>
        <w:autoSpaceDN/>
        <w:bidi w:val="0"/>
        <w:spacing w:line="572" w:lineRule="exact"/>
        <w:jc w:val="center"/>
        <w:textAlignment w:val="auto"/>
        <w:rPr>
          <w:rFonts w:ascii="方正小标宋简体" w:hAnsi="宋体" w:eastAsia="方正小标宋简体"/>
          <w:color w:val="auto"/>
          <w:kern w:val="0"/>
          <w:sz w:val="40"/>
          <w:szCs w:val="44"/>
          <w:highlight w:val="none"/>
          <w:lang w:val="zh-CN"/>
        </w:rPr>
      </w:pPr>
      <w:r>
        <w:rPr>
          <w:rFonts w:hint="eastAsia" w:ascii="方正小标宋简体" w:hAnsi="宋体" w:eastAsia="方正小标宋简体"/>
          <w:color w:val="auto"/>
          <w:kern w:val="0"/>
          <w:sz w:val="40"/>
          <w:szCs w:val="44"/>
          <w:highlight w:val="none"/>
        </w:rPr>
        <w:t>202</w:t>
      </w:r>
      <w:r>
        <w:rPr>
          <w:rFonts w:hint="eastAsia" w:ascii="方正小标宋简体" w:hAnsi="宋体" w:eastAsia="方正小标宋简体"/>
          <w:color w:val="auto"/>
          <w:kern w:val="0"/>
          <w:sz w:val="40"/>
          <w:szCs w:val="44"/>
          <w:highlight w:val="none"/>
          <w:lang w:val="en-US" w:eastAsia="zh-CN"/>
        </w:rPr>
        <w:t>1</w:t>
      </w:r>
      <w:r>
        <w:rPr>
          <w:rFonts w:hint="eastAsia" w:ascii="方正小标宋简体" w:hAnsi="宋体" w:eastAsia="方正小标宋简体"/>
          <w:color w:val="auto"/>
          <w:kern w:val="0"/>
          <w:sz w:val="40"/>
          <w:szCs w:val="44"/>
          <w:highlight w:val="none"/>
        </w:rPr>
        <w:t>年部门整体绩效评价报告</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rPr>
        <w:t>一、</w:t>
      </w:r>
      <w:r>
        <w:rPr>
          <w:rFonts w:hint="eastAsia" w:ascii="黑体" w:hAnsi="宋体" w:eastAsia="黑体" w:cs="宋体"/>
          <w:color w:val="auto"/>
          <w:kern w:val="0"/>
          <w:sz w:val="32"/>
          <w:szCs w:val="32"/>
          <w:highlight w:val="none"/>
          <w:shd w:val="clear" w:color="auto" w:fill="FFFFFF"/>
          <w:lang w:val="zh-CN"/>
        </w:rPr>
        <w:t>部门（单位）概况</w:t>
      </w:r>
    </w:p>
    <w:p>
      <w:pPr>
        <w:overflowPunct w:val="0"/>
        <w:adjustRightInd w:val="0"/>
        <w:snapToGrid w:val="0"/>
        <w:spacing w:line="576" w:lineRule="exact"/>
        <w:ind w:firstLine="640" w:firstLineChars="200"/>
        <w:contextualSpacing/>
        <w:jc w:val="left"/>
        <w:rPr>
          <w:rFonts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（一）机构组成。</w:t>
      </w:r>
      <w:r>
        <w:rPr>
          <w:rFonts w:hint="eastAsia" w:ascii="仿宋_GB2312" w:hAnsi="仿宋_GB2312" w:eastAsia="仿宋_GB2312" w:cs="仿宋_GB2312"/>
          <w:sz w:val="32"/>
          <w:szCs w:val="32"/>
        </w:rPr>
        <w:t>中共广元市朝天区委党校属财政一级预算单位，无下属二级预算单位，属于参照公务员法管理的事业单位。总编制9名，其中行政编制4名，事业编制5名。在职人员总数9人，其中行政人员4人，事业人员5人另外有财政定补人员1人，遗属1人</w:t>
      </w:r>
      <w:r>
        <w:rPr>
          <w:rFonts w:hint="eastAsia" w:ascii="仿宋_GB2312" w:hAnsi="仿宋" w:eastAsia="仿宋_GB2312"/>
          <w:sz w:val="32"/>
          <w:szCs w:val="32"/>
        </w:rPr>
        <w:t>。</w:t>
      </w:r>
    </w:p>
    <w:p>
      <w:pPr>
        <w:overflowPunct w:val="0"/>
        <w:spacing w:line="576" w:lineRule="exact"/>
        <w:ind w:firstLine="640" w:firstLineChars="200"/>
        <w:rPr>
          <w:rFonts w:hint="eastAsia" w:ascii="仿宋_GB2312" w:hAnsi="仿宋" w:eastAsia="仿宋_GB2312" w:cs="仿宋"/>
          <w:sz w:val="32"/>
          <w:szCs w:val="32"/>
        </w:rPr>
      </w:pPr>
      <w:r>
        <w:rPr>
          <w:rFonts w:hint="eastAsia" w:ascii="仿宋_GB2312" w:hAnsi="宋体" w:eastAsia="仿宋_GB2312" w:cs="宋体"/>
          <w:color w:val="auto"/>
          <w:kern w:val="0"/>
          <w:sz w:val="32"/>
          <w:szCs w:val="32"/>
          <w:highlight w:val="none"/>
          <w:shd w:val="clear" w:color="auto" w:fill="FFFFFF"/>
          <w:lang w:val="zh-CN"/>
        </w:rPr>
        <w:t>（二）机构职能。</w:t>
      </w:r>
      <w:r>
        <w:rPr>
          <w:rFonts w:hint="eastAsia" w:ascii="仿宋_GB2312" w:hAnsi="仿宋" w:eastAsia="仿宋_GB2312" w:cs="仿宋"/>
          <w:sz w:val="32"/>
          <w:szCs w:val="32"/>
        </w:rPr>
        <w:t xml:space="preserve">1.负责全区副科级干部、后备干部、青年干部、村（社区）党组织书记和理论宣传骨干等人员的培训工作，会同组织部门做好参训人员在校学习期间的管理、考核工作。 </w:t>
      </w:r>
    </w:p>
    <w:p>
      <w:pPr>
        <w:overflowPunct w:val="0"/>
        <w:spacing w:line="576"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2.研究宣传马克思列宁主义、毛泽东思想、邓小平理论，</w:t>
      </w:r>
      <w:r>
        <w:rPr>
          <w:rFonts w:hint="eastAsia" w:ascii="仿宋_GB2312" w:hAnsi="仿宋" w:eastAsia="仿宋_GB2312" w:cs="仿宋"/>
          <w:sz w:val="32"/>
          <w:szCs w:val="32"/>
          <w:lang w:eastAsia="zh-CN"/>
        </w:rPr>
        <w:t>“三个代表”重要思想</w:t>
      </w:r>
      <w:r>
        <w:rPr>
          <w:rFonts w:hint="eastAsia" w:ascii="仿宋_GB2312" w:hAnsi="仿宋" w:eastAsia="仿宋_GB2312" w:cs="仿宋"/>
          <w:sz w:val="32"/>
          <w:szCs w:val="32"/>
        </w:rPr>
        <w:t>、科学发展观、习近平新时代中国特色社会主义思想，围绕党的中心任务和区委部署对全区重大现实问题开展理论研究，为教学和社会实践服务，将重要成果提供给区委供决策参考。</w:t>
      </w:r>
    </w:p>
    <w:p>
      <w:pPr>
        <w:overflowPunct w:val="0"/>
        <w:spacing w:line="576"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3.受区委委托举办领导干部研讨班，研究区委提出的重大理论和方针政策。</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仿宋_GB2312" w:hAnsi="宋体" w:eastAsia="仿宋_GB2312" w:cs="宋体"/>
          <w:color w:val="auto"/>
          <w:kern w:val="0"/>
          <w:sz w:val="32"/>
          <w:szCs w:val="32"/>
          <w:highlight w:val="none"/>
          <w:shd w:val="clear" w:color="auto" w:fill="FFFFFF"/>
          <w:lang w:val="zh-CN"/>
        </w:rPr>
      </w:pPr>
      <w:r>
        <w:rPr>
          <w:rFonts w:hint="eastAsia" w:ascii="仿宋_GB2312" w:hAnsi="仿宋" w:eastAsia="仿宋_GB2312" w:cs="仿宋"/>
          <w:sz w:val="32"/>
          <w:szCs w:val="32"/>
        </w:rPr>
        <w:t>4.完成区委和上级党校交办的其他事项。</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（三）人员概况。</w:t>
      </w:r>
      <w:r>
        <w:rPr>
          <w:rFonts w:hint="eastAsia" w:ascii="仿宋_GB2312" w:hAnsi="仿宋" w:eastAsia="仿宋_GB2312"/>
          <w:sz w:val="32"/>
          <w:szCs w:val="32"/>
        </w:rPr>
        <w:t>年末实有在职人员总数11人，其中参照公务员法管理的事业人员5人，事业人员6人，财政定补1人，遗属补助1人。</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二、部门财政资金收支情况</w:t>
      </w:r>
    </w:p>
    <w:p>
      <w:pPr>
        <w:overflowPunct w:val="0"/>
        <w:spacing w:line="576" w:lineRule="exact"/>
        <w:ind w:firstLine="640" w:firstLineChars="200"/>
        <w:rPr>
          <w:rFonts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（一）部门财政资金收入情况。</w:t>
      </w:r>
      <w:r>
        <w:rPr>
          <w:rFonts w:hint="eastAsia" w:ascii="仿宋_GB2312" w:hAnsi="仿宋" w:eastAsia="仿宋_GB2312" w:cs="仿宋"/>
          <w:sz w:val="32"/>
          <w:szCs w:val="32"/>
        </w:rPr>
        <w:t>区委党校2021年部门预算收入总数268.68万元，较2020部门预算收入总数137.02万元增长96.08%；主要原因是人员增加，项目增加。</w:t>
      </w:r>
    </w:p>
    <w:p>
      <w:pPr>
        <w:overflowPunct w:val="0"/>
        <w:spacing w:line="576" w:lineRule="exact"/>
        <w:ind w:firstLine="640" w:firstLineChars="200"/>
        <w:rPr>
          <w:rFonts w:hint="eastAsia" w:ascii="仿宋_GB2312" w:hAnsi="仿宋" w:eastAsia="仿宋_GB2312" w:cs="仿宋"/>
          <w:sz w:val="32"/>
          <w:szCs w:val="32"/>
        </w:rPr>
      </w:pPr>
      <w:r>
        <w:rPr>
          <w:rFonts w:hint="eastAsia" w:ascii="仿宋_GB2312" w:hAnsi="宋体" w:eastAsia="仿宋_GB2312" w:cs="宋体"/>
          <w:color w:val="auto"/>
          <w:kern w:val="0"/>
          <w:sz w:val="32"/>
          <w:szCs w:val="32"/>
          <w:highlight w:val="none"/>
          <w:shd w:val="clear" w:color="auto" w:fill="FFFFFF"/>
          <w:lang w:val="zh-CN"/>
        </w:rPr>
        <w:t>（二）部门财政资金支出情况。</w:t>
      </w:r>
      <w:r>
        <w:rPr>
          <w:rFonts w:hint="eastAsia" w:ascii="仿宋_GB2312" w:hAnsi="仿宋" w:eastAsia="仿宋_GB2312" w:cs="仿宋"/>
          <w:sz w:val="32"/>
          <w:szCs w:val="32"/>
        </w:rPr>
        <w:t>2021年部门预算支出总数268.68万元，较2020年部门预算支出总数137.02万元增长96.08％。主要原因是人员经费、公用经费、项目经费支出增加。</w:t>
      </w:r>
    </w:p>
    <w:p>
      <w:pPr>
        <w:overflowPunct w:val="0"/>
        <w:spacing w:line="576"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人员类项目支出122.17万元，主要包括</w:t>
      </w:r>
      <w:r>
        <w:rPr>
          <w:rFonts w:hint="eastAsia" w:ascii="仿宋_GB2312" w:hAnsi="仿宋_GB2312" w:eastAsia="仿宋_GB2312" w:cs="仿宋_GB2312"/>
          <w:sz w:val="32"/>
          <w:szCs w:val="32"/>
        </w:rPr>
        <w:t>工资、保险、公积金等工资福利支出等</w:t>
      </w:r>
      <w:r>
        <w:rPr>
          <w:rFonts w:hint="eastAsia" w:ascii="仿宋_GB2312" w:hAnsi="仿宋" w:eastAsia="仿宋_GB2312" w:cs="仿宋"/>
          <w:sz w:val="32"/>
          <w:szCs w:val="32"/>
        </w:rPr>
        <w:t>。</w:t>
      </w:r>
    </w:p>
    <w:p>
      <w:pPr>
        <w:overflowPunct w:val="0"/>
        <w:spacing w:line="576"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运转类项目支出预算9万元，主要包括</w:t>
      </w:r>
      <w:r>
        <w:rPr>
          <w:rFonts w:hint="eastAsia" w:ascii="仿宋_GB2312" w:hAnsi="仿宋_GB2312" w:eastAsia="仿宋_GB2312" w:cs="仿宋_GB2312"/>
          <w:sz w:val="32"/>
          <w:szCs w:val="32"/>
        </w:rPr>
        <w:t>办公费、差旅费、培训费、维护费、水费、电费、物业管理费等商品和服务支出</w:t>
      </w:r>
      <w:r>
        <w:rPr>
          <w:rFonts w:hint="eastAsia" w:ascii="仿宋_GB2312" w:hAnsi="仿宋" w:eastAsia="仿宋_GB2312" w:cs="仿宋"/>
          <w:sz w:val="32"/>
          <w:szCs w:val="32"/>
        </w:rPr>
        <w:t xml:space="preserve">等。 </w:t>
      </w:r>
    </w:p>
    <w:p>
      <w:pPr>
        <w:overflowPunct w:val="0"/>
        <w:spacing w:line="576" w:lineRule="exact"/>
        <w:ind w:firstLine="640" w:firstLineChars="200"/>
        <w:rPr>
          <w:rFonts w:ascii="仿宋_GB2312" w:hAnsi="宋体" w:eastAsia="仿宋_GB2312" w:cs="宋体"/>
          <w:color w:val="auto"/>
          <w:kern w:val="0"/>
          <w:sz w:val="32"/>
          <w:szCs w:val="32"/>
          <w:highlight w:val="none"/>
          <w:shd w:val="clear" w:color="auto" w:fill="FFFFFF"/>
          <w:lang w:val="zh-CN"/>
        </w:rPr>
      </w:pPr>
      <w:r>
        <w:rPr>
          <w:rFonts w:hint="eastAsia" w:ascii="仿宋_GB2312" w:hAnsi="仿宋" w:eastAsia="仿宋_GB2312" w:cs="仿宋"/>
          <w:sz w:val="32"/>
          <w:szCs w:val="32"/>
        </w:rPr>
        <w:t xml:space="preserve">专项预算项目支出预算137.51万元，主要包括干部培训费、物业管理费、师资培训费、公务交通补贴、金财网维护费、引进人才安家费等。 </w:t>
      </w:r>
    </w:p>
    <w:p>
      <w:pPr>
        <w:keepNext w:val="0"/>
        <w:keepLines w:val="0"/>
        <w:pageBreakBefore w:val="0"/>
        <w:widowControl/>
        <w:numPr>
          <w:ilvl w:val="0"/>
          <w:numId w:val="1"/>
        </w:numPr>
        <w:kinsoku/>
        <w:wordWrap/>
        <w:overflowPunct/>
        <w:topLinePunct w:val="0"/>
        <w:autoSpaceDE/>
        <w:autoSpaceDN/>
        <w:bidi w:val="0"/>
        <w:adjustRightInd w:val="0"/>
        <w:snapToGrid w:val="0"/>
        <w:spacing w:line="572" w:lineRule="exact"/>
        <w:ind w:left="1360" w:leftChars="0" w:hanging="720" w:firstLineChars="0"/>
        <w:contextualSpacing/>
        <w:jc w:val="left"/>
        <w:textAlignment w:val="auto"/>
        <w:rPr>
          <w:rFonts w:hint="eastAsia" w:ascii="黑体" w:hAnsi="宋体" w:eastAsia="黑体" w:cs="宋体"/>
          <w:color w:val="auto"/>
          <w:kern w:val="0"/>
          <w:sz w:val="32"/>
          <w:szCs w:val="32"/>
          <w:highlight w:val="none"/>
          <w:u w:val="none"/>
          <w:shd w:val="clear" w:color="auto" w:fill="FFFFFF"/>
        </w:rPr>
      </w:pPr>
      <w:r>
        <w:rPr>
          <w:rFonts w:hint="eastAsia" w:ascii="黑体" w:hAnsi="宋体" w:eastAsia="黑体" w:cs="宋体"/>
          <w:color w:val="auto"/>
          <w:kern w:val="0"/>
          <w:sz w:val="32"/>
          <w:szCs w:val="32"/>
          <w:highlight w:val="none"/>
          <w:u w:val="none"/>
          <w:shd w:val="clear" w:color="auto" w:fill="FFFFFF"/>
        </w:rPr>
        <w:t>部门整体预算绩效管理情况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2" w:lineRule="exact"/>
        <w:ind w:left="640" w:leftChars="0"/>
        <w:contextualSpacing/>
        <w:jc w:val="left"/>
        <w:textAlignment w:val="auto"/>
        <w:rPr>
          <w:rFonts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（一）部门预算项目绩效管理。</w:t>
      </w:r>
    </w:p>
    <w:p>
      <w:pPr>
        <w:overflowPunct w:val="0"/>
        <w:spacing w:line="576" w:lineRule="exact"/>
        <w:ind w:firstLine="640" w:firstLineChars="200"/>
        <w:rPr>
          <w:rFonts w:ascii="黑体" w:hAnsi="黑体" w:eastAsia="黑体"/>
          <w:sz w:val="32"/>
          <w:szCs w:val="32"/>
        </w:rPr>
      </w:pPr>
      <w:r>
        <w:rPr>
          <w:rFonts w:hint="eastAsia" w:ascii="仿宋_GB2312" w:hAnsi="仿宋_GB2312" w:eastAsia="仿宋_GB2312" w:cs="仿宋_GB2312"/>
          <w:sz w:val="32"/>
          <w:szCs w:val="32"/>
        </w:rPr>
        <w:t>根据财政部门要求，全面实施了预算项目绩效目标管理，一是落实组织保障，由单位分管领导常务副校长牵头抓，各项目股室具体抓，财务人员配合抓的体系。二是规范过程管理，编制预算时对申报的项目加强审核、合理保障，所有项目必须有明细的资金测算。在预算执行过程中加强了绩效运行监控，对执行中存在偏差的项目进行了原因分析和及时整改，确保达到年初绩效目标。项目结束后积极进行绩效评价，强化了结果运用。三是加强基础支撑，对所有项目财务支出进行规范，从严执行预算。全年预算管理执行到位。</w:t>
      </w:r>
    </w:p>
    <w:p>
      <w:pPr>
        <w:keepNext w:val="0"/>
        <w:keepLines w:val="0"/>
        <w:pageBreakBefore w:val="0"/>
        <w:widowControl/>
        <w:numPr>
          <w:ilvl w:val="0"/>
          <w:numId w:val="4"/>
        </w:numPr>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结果应用情况。</w:t>
      </w:r>
    </w:p>
    <w:p>
      <w:pPr>
        <w:pStyle w:val="2"/>
        <w:numPr>
          <w:ilvl w:val="0"/>
          <w:numId w:val="0"/>
        </w:numPr>
        <w:rPr>
          <w:rFonts w:hint="default" w:eastAsia="仿宋_GB2312"/>
          <w:lang w:val="en-US" w:eastAsia="zh-CN"/>
        </w:rPr>
      </w:pPr>
      <w:r>
        <w:rPr>
          <w:rFonts w:hint="eastAsia"/>
          <w:lang w:val="en-US" w:eastAsia="zh-CN"/>
        </w:rPr>
        <w:t xml:space="preserve">    </w:t>
      </w:r>
      <w:r>
        <w:rPr>
          <w:rFonts w:hint="eastAsia" w:ascii="仿宋_GB2312" w:hAnsi="仿宋_GB2312" w:eastAsia="仿宋_GB2312" w:cs="仿宋_GB2312"/>
          <w:sz w:val="32"/>
          <w:szCs w:val="32"/>
        </w:rPr>
        <w:t>根据部门整体支出绩效评价指标，我校2021年度自评得分为98分。</w:t>
      </w:r>
    </w:p>
    <w:p>
      <w:pPr>
        <w:widowControl/>
        <w:numPr>
          <w:ilvl w:val="0"/>
          <w:numId w:val="5"/>
        </w:numPr>
        <w:adjustRightInd w:val="0"/>
        <w:snapToGrid w:val="0"/>
        <w:spacing w:line="580" w:lineRule="exact"/>
        <w:ind w:firstLine="640" w:firstLineChars="200"/>
        <w:contextualSpacing/>
        <w:jc w:val="left"/>
        <w:rPr>
          <w:rFonts w:hint="eastAsia" w:ascii="仿宋_GB2312" w:hAnsi="宋体" w:eastAsia="仿宋_GB2312" w:cs="宋体"/>
          <w:color w:val="auto"/>
          <w:kern w:val="0"/>
          <w:sz w:val="32"/>
          <w:szCs w:val="32"/>
          <w:highlight w:val="none"/>
          <w:u w:val="none"/>
          <w:shd w:val="clear" w:color="auto" w:fill="FFFFFF"/>
          <w:lang w:val="zh-CN"/>
        </w:rPr>
      </w:pPr>
      <w:r>
        <w:rPr>
          <w:rFonts w:hint="eastAsia" w:ascii="仿宋_GB2312" w:hAnsi="宋体" w:eastAsia="仿宋_GB2312" w:cs="宋体"/>
          <w:color w:val="auto"/>
          <w:kern w:val="0"/>
          <w:sz w:val="32"/>
          <w:szCs w:val="32"/>
          <w:highlight w:val="none"/>
          <w:u w:val="none"/>
          <w:shd w:val="clear" w:color="auto" w:fill="FFFFFF"/>
          <w:lang w:val="zh-CN"/>
        </w:rPr>
        <w:t>自评质量</w:t>
      </w:r>
    </w:p>
    <w:p>
      <w:pPr>
        <w:pStyle w:val="13"/>
        <w:overflowPunct w:val="0"/>
        <w:spacing w:before="0" w:beforeAutospacing="0" w:after="0" w:afterAutospacing="0" w:line="576" w:lineRule="exact"/>
        <w:ind w:firstLine="633" w:firstLineChars="198"/>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据考核评分细则，从整体上看，</w:t>
      </w:r>
      <w:r>
        <w:rPr>
          <w:rFonts w:hint="eastAsia" w:ascii="仿宋_GB2312" w:hAnsi="仿宋_GB2312" w:cs="仿宋_GB2312"/>
          <w:color w:val="000000"/>
          <w:sz w:val="32"/>
          <w:szCs w:val="32"/>
        </w:rPr>
        <w:t>2021</w:t>
      </w:r>
      <w:r>
        <w:rPr>
          <w:rFonts w:hint="eastAsia" w:ascii="仿宋_GB2312" w:hAnsi="仿宋_GB2312" w:eastAsia="仿宋_GB2312" w:cs="仿宋_GB2312"/>
          <w:color w:val="000000"/>
          <w:sz w:val="32"/>
          <w:szCs w:val="32"/>
        </w:rPr>
        <w:t>年我单位资金运行维护决策正确，资金管理规范，项目管理到位，政策执行有力，有效发挥了财政资金的使用效率。在人员经费支出、公共支出严格执行区委区政府的各项制度；在项目经费的使用上，在保证各项任务顺利完成的同时，严格落实厉行节约的原则；三公经费的使用严格控制在预算申报的范围内。</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numPr>
          <w:ilvl w:val="0"/>
          <w:numId w:val="0"/>
        </w:numPr>
        <w:overflowPunct w:val="0"/>
        <w:spacing w:line="576" w:lineRule="exact"/>
        <w:ind w:firstLine="640" w:firstLineChars="200"/>
        <w:rPr>
          <w:rFonts w:ascii="仿宋_GB2312" w:hAnsi="仿宋_GB2312" w:eastAsia="仿宋_GB2312" w:cs="仿宋_GB2312"/>
          <w:sz w:val="32"/>
          <w:szCs w:val="32"/>
        </w:rPr>
      </w:pPr>
      <w:r>
        <w:rPr>
          <w:rFonts w:hint="eastAsia" w:ascii="仿宋_GB2312" w:hAnsi="宋体" w:eastAsia="仿宋_GB2312" w:cs="宋体"/>
          <w:color w:val="auto"/>
          <w:kern w:val="0"/>
          <w:sz w:val="32"/>
          <w:szCs w:val="32"/>
          <w:highlight w:val="none"/>
          <w:shd w:val="clear" w:color="auto" w:fill="FFFFFF"/>
          <w:lang w:val="zh-CN"/>
        </w:rPr>
        <w:t>（一）存在问题。</w:t>
      </w:r>
      <w:r>
        <w:rPr>
          <w:rFonts w:hint="eastAsia" w:ascii="仿宋_GB2312" w:hAnsi="仿宋_GB2312" w:eastAsia="仿宋_GB2312" w:cs="仿宋_GB2312"/>
          <w:sz w:val="32"/>
          <w:szCs w:val="32"/>
        </w:rPr>
        <w:t>预算编制工作有待细化。预算编制不够明确和细化，预算编制的合理性需要提高，预算执行力度还要进一步加强。</w:t>
      </w:r>
    </w:p>
    <w:p>
      <w:pPr>
        <w:numPr>
          <w:ilvl w:val="0"/>
          <w:numId w:val="6"/>
        </w:num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因单位全额编制少导致经费不足：绩效工资和日常公用经费不足、与实际支出相差较大。</w:t>
      </w:r>
    </w:p>
    <w:p>
      <w:pPr>
        <w:numPr>
          <w:ilvl w:val="0"/>
          <w:numId w:val="6"/>
        </w:numPr>
        <w:overflowPunct w:val="0"/>
        <w:spacing w:line="576" w:lineRule="exact"/>
        <w:ind w:firstLine="640" w:firstLineChars="200"/>
        <w:rPr>
          <w:rFonts w:ascii="楷体_GB2312" w:hAnsi="Times New Roman" w:eastAsia="楷体_GB2312" w:cs="Times New Roman"/>
          <w:color w:val="000000"/>
          <w:kern w:val="0"/>
          <w:sz w:val="32"/>
          <w:szCs w:val="32"/>
          <w:shd w:val="clear" w:color="auto" w:fill="FFFFFF"/>
        </w:rPr>
      </w:pPr>
      <w:r>
        <w:rPr>
          <w:rFonts w:hint="eastAsia" w:ascii="仿宋_GB2312" w:hAnsi="仿宋_GB2312" w:eastAsia="仿宋_GB2312" w:cs="仿宋_GB2312"/>
          <w:sz w:val="32"/>
          <w:szCs w:val="32"/>
        </w:rPr>
        <w:t>公用经费控制有一定难度，基本为刚性支出。</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ascii="仿宋_GB2312" w:hAnsi="宋体" w:eastAsia="仿宋_GB2312" w:cs="宋体"/>
          <w:color w:val="auto"/>
          <w:kern w:val="0"/>
          <w:sz w:val="32"/>
          <w:szCs w:val="32"/>
          <w:highlight w:val="none"/>
          <w:shd w:val="clear" w:color="auto" w:fill="FFFFFF"/>
          <w:lang w:val="zh-CN"/>
        </w:rPr>
      </w:pPr>
    </w:p>
    <w:p>
      <w:pPr>
        <w:keepNext w:val="0"/>
        <w:keepLines w:val="0"/>
        <w:pageBreakBefore w:val="0"/>
        <w:widowControl/>
        <w:numPr>
          <w:ilvl w:val="0"/>
          <w:numId w:val="4"/>
        </w:numPr>
        <w:kinsoku/>
        <w:wordWrap/>
        <w:overflowPunct/>
        <w:topLinePunct w:val="0"/>
        <w:autoSpaceDE/>
        <w:autoSpaceDN/>
        <w:bidi w:val="0"/>
        <w:adjustRightInd w:val="0"/>
        <w:snapToGrid w:val="0"/>
        <w:spacing w:line="576" w:lineRule="exact"/>
        <w:ind w:left="0" w:leftChars="0"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改进建议。</w:t>
      </w:r>
    </w:p>
    <w:p>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针对上述存在的问题及对外整体支出管理工作的需要，拟实施的改进措施如下：</w:t>
      </w:r>
    </w:p>
    <w:p>
      <w:pPr>
        <w:numPr>
          <w:ilvl w:val="0"/>
          <w:numId w:val="7"/>
        </w:num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numPr>
          <w:ilvl w:val="0"/>
          <w:numId w:val="7"/>
        </w:num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财务管理，严格财务审核。加强单位财务管理，健全单位财务管理制度体系，规范单位财务行为。在费用报账支付时，按照预算规定的费用项目和用途进行资金使用审核、列报支付、财务核算，杜绝超支现象的发生。</w:t>
      </w:r>
    </w:p>
    <w:p>
      <w:pPr>
        <w:numPr>
          <w:ilvl w:val="0"/>
          <w:numId w:val="7"/>
        </w:numPr>
        <w:overflowPunct w:val="0"/>
        <w:spacing w:line="57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4、加强对项目实施主体、财务管理人员的培养，加强业务培训，提升管理能力和水平，以便于更好的开展绩效工作。</w:t>
      </w:r>
    </w:p>
    <w:p>
      <w:pPr>
        <w:pStyle w:val="2"/>
        <w:numPr>
          <w:ilvl w:val="0"/>
          <w:numId w:val="0"/>
        </w:numPr>
        <w:ind w:leftChars="200"/>
        <w:rPr>
          <w:rFonts w:hint="eastAsia"/>
          <w:lang w:val="zh-CN"/>
        </w:rPr>
      </w:pPr>
    </w:p>
    <w:p>
      <w:pPr>
        <w:pStyle w:val="2"/>
        <w:numPr>
          <w:ilvl w:val="0"/>
          <w:numId w:val="0"/>
        </w:numPr>
        <w:ind w:leftChars="200"/>
        <w:rPr>
          <w:rFonts w:hint="eastAsia"/>
          <w:lang w:val="zh-CN"/>
        </w:rPr>
      </w:pPr>
    </w:p>
    <w:p>
      <w:pPr>
        <w:pStyle w:val="2"/>
        <w:numPr>
          <w:ilvl w:val="0"/>
          <w:numId w:val="0"/>
        </w:numPr>
        <w:ind w:leftChars="200"/>
        <w:rPr>
          <w:rFonts w:hint="eastAsia"/>
          <w:lang w:val="zh-CN"/>
        </w:rPr>
      </w:pPr>
    </w:p>
    <w:p>
      <w:pPr>
        <w:pStyle w:val="2"/>
        <w:numPr>
          <w:ilvl w:val="0"/>
          <w:numId w:val="0"/>
        </w:numPr>
        <w:ind w:leftChars="200"/>
        <w:rPr>
          <w:rFonts w:hint="eastAsia"/>
          <w:lang w:val="zh-CN"/>
        </w:rPr>
      </w:pPr>
    </w:p>
    <w:p>
      <w:pPr>
        <w:pStyle w:val="2"/>
        <w:numPr>
          <w:ilvl w:val="0"/>
          <w:numId w:val="0"/>
        </w:numPr>
        <w:ind w:leftChars="200"/>
        <w:rPr>
          <w:rFonts w:hint="eastAsia"/>
          <w:lang w:val="zh-CN"/>
        </w:rPr>
      </w:pPr>
    </w:p>
    <w:p>
      <w:pPr>
        <w:pStyle w:val="2"/>
        <w:numPr>
          <w:ilvl w:val="0"/>
          <w:numId w:val="0"/>
        </w:numPr>
        <w:ind w:leftChars="200"/>
        <w:rPr>
          <w:rFonts w:hint="eastAsia"/>
          <w:lang w:val="zh-CN"/>
        </w:rPr>
      </w:pPr>
    </w:p>
    <w:p>
      <w:pPr>
        <w:pStyle w:val="2"/>
        <w:numPr>
          <w:ilvl w:val="0"/>
          <w:numId w:val="0"/>
        </w:numPr>
        <w:ind w:leftChars="200"/>
        <w:rPr>
          <w:rFonts w:hint="eastAsia"/>
          <w:lang w:val="zh-CN"/>
        </w:rPr>
      </w:pPr>
    </w:p>
    <w:p>
      <w:pPr>
        <w:pStyle w:val="2"/>
        <w:numPr>
          <w:ilvl w:val="0"/>
          <w:numId w:val="0"/>
        </w:numPr>
        <w:ind w:leftChars="200"/>
        <w:rPr>
          <w:rFonts w:hint="eastAsia"/>
          <w:lang w:val="zh-CN"/>
        </w:rPr>
      </w:pPr>
    </w:p>
    <w:p>
      <w:pPr>
        <w:pStyle w:val="2"/>
        <w:numPr>
          <w:ilvl w:val="0"/>
          <w:numId w:val="0"/>
        </w:numPr>
        <w:ind w:leftChars="200"/>
        <w:rPr>
          <w:rFonts w:hint="eastAsia"/>
          <w:lang w:val="zh-CN"/>
        </w:rPr>
      </w:pPr>
    </w:p>
    <w:p>
      <w:pPr>
        <w:pStyle w:val="2"/>
        <w:numPr>
          <w:ilvl w:val="0"/>
          <w:numId w:val="0"/>
        </w:numPr>
        <w:ind w:leftChars="200"/>
        <w:rPr>
          <w:rFonts w:hint="eastAsia"/>
          <w:lang w:val="zh-CN"/>
        </w:rPr>
      </w:pPr>
    </w:p>
    <w:p>
      <w:pPr>
        <w:pStyle w:val="2"/>
        <w:numPr>
          <w:ilvl w:val="0"/>
          <w:numId w:val="0"/>
        </w:numPr>
        <w:ind w:leftChars="200"/>
        <w:rPr>
          <w:rFonts w:hint="eastAsia"/>
          <w:lang w:val="zh-CN"/>
        </w:rPr>
      </w:pPr>
    </w:p>
    <w:p>
      <w:pPr>
        <w:pStyle w:val="2"/>
        <w:numPr>
          <w:ilvl w:val="0"/>
          <w:numId w:val="0"/>
        </w:numPr>
        <w:ind w:leftChars="200"/>
        <w:rPr>
          <w:rFonts w:hint="eastAsia"/>
          <w:lang w:val="zh-CN"/>
        </w:rPr>
      </w:pPr>
    </w:p>
    <w:p>
      <w:pPr>
        <w:pStyle w:val="2"/>
        <w:numPr>
          <w:ilvl w:val="0"/>
          <w:numId w:val="0"/>
        </w:numPr>
        <w:ind w:leftChars="200"/>
        <w:rPr>
          <w:rFonts w:hint="eastAsia"/>
          <w:lang w:val="zh-CN"/>
        </w:rPr>
      </w:pPr>
    </w:p>
    <w:p>
      <w:pPr>
        <w:pStyle w:val="2"/>
        <w:numPr>
          <w:ilvl w:val="0"/>
          <w:numId w:val="0"/>
        </w:numPr>
        <w:ind w:leftChars="200"/>
        <w:rPr>
          <w:rFonts w:hint="eastAsia"/>
          <w:lang w:val="zh-CN"/>
        </w:rPr>
      </w:pPr>
    </w:p>
    <w:p>
      <w:pPr>
        <w:pStyle w:val="2"/>
        <w:numPr>
          <w:ilvl w:val="0"/>
          <w:numId w:val="0"/>
        </w:numPr>
        <w:ind w:leftChars="200"/>
        <w:rPr>
          <w:rFonts w:hint="eastAsia"/>
          <w:lang w:val="zh-CN"/>
        </w:rPr>
      </w:pPr>
    </w:p>
    <w:p>
      <w:pPr>
        <w:pStyle w:val="2"/>
        <w:numPr>
          <w:ilvl w:val="0"/>
          <w:numId w:val="0"/>
        </w:numPr>
        <w:ind w:leftChars="200"/>
        <w:rPr>
          <w:rFonts w:hint="eastAsia"/>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color w:val="auto"/>
          <w:highlight w:val="none"/>
          <w:lang w:val="zh-CN"/>
        </w:rPr>
      </w:pPr>
      <w:r>
        <w:rPr>
          <w:rFonts w:hint="eastAsia" w:hAnsi="宋体" w:cs="宋体"/>
          <w:color w:val="auto"/>
          <w:kern w:val="0"/>
          <w:sz w:val="32"/>
          <w:szCs w:val="32"/>
          <w:highlight w:val="none"/>
          <w:shd w:val="clear" w:color="auto" w:fill="FFFFFF"/>
          <w:lang w:val="zh-CN"/>
        </w:rPr>
        <w:t>附件二</w:t>
      </w:r>
    </w:p>
    <w:p>
      <w:pPr>
        <w:keepNext w:val="0"/>
        <w:keepLines w:val="0"/>
        <w:pageBreakBefore w:val="0"/>
        <w:widowControl w:val="0"/>
        <w:kinsoku/>
        <w:wordWrap/>
        <w:overflowPunct/>
        <w:topLinePunct w:val="0"/>
        <w:autoSpaceDE/>
        <w:autoSpaceDN/>
        <w:bidi w:val="0"/>
        <w:spacing w:line="600" w:lineRule="exact"/>
        <w:jc w:val="center"/>
        <w:textAlignment w:val="auto"/>
        <w:rPr>
          <w:rFonts w:ascii="宋体" w:hAnsi="宋体" w:eastAsia="宋体" w:cs="Times New Roman"/>
          <w:color w:val="auto"/>
          <w:kern w:val="2"/>
          <w:sz w:val="32"/>
          <w:szCs w:val="32"/>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2021年干部培训费</w:t>
      </w:r>
      <w:r>
        <w:rPr>
          <w:rFonts w:hint="eastAsia" w:ascii="方正小标宋简体" w:hAnsi="方正小标宋简体" w:eastAsia="方正小标宋简体" w:cs="方正小标宋简体"/>
          <w:color w:val="auto"/>
          <w:kern w:val="2"/>
          <w:sz w:val="40"/>
          <w:szCs w:val="40"/>
          <w:highlight w:val="none"/>
          <w:lang w:val="zh-CN" w:eastAsia="zh-CN" w:bidi="ar-SA"/>
        </w:rPr>
        <w:t>专项预算项目支出绩效自评报</w:t>
      </w:r>
      <w:r>
        <w:rPr>
          <w:rFonts w:hint="eastAsia" w:ascii="方正小标宋简体" w:hAnsi="方正小标宋简体" w:eastAsia="方正小标宋简体" w:cs="方正小标宋简体"/>
          <w:color w:val="auto"/>
          <w:kern w:val="2"/>
          <w:sz w:val="40"/>
          <w:szCs w:val="40"/>
          <w:highlight w:val="none"/>
          <w:lang w:val="en-US" w:eastAsia="zh-CN" w:bidi="ar-SA"/>
        </w:rPr>
        <w:t xml:space="preserve">  </w:t>
      </w:r>
      <w:r>
        <w:rPr>
          <w:rFonts w:hint="eastAsia" w:ascii="方正小标宋简体" w:hAnsi="方正小标宋简体" w:eastAsia="方正小标宋简体" w:cs="方正小标宋简体"/>
          <w:color w:val="auto"/>
          <w:kern w:val="2"/>
          <w:sz w:val="40"/>
          <w:szCs w:val="40"/>
          <w:highlight w:val="none"/>
          <w:lang w:val="zh-CN" w:eastAsia="zh-CN" w:bidi="ar-SA"/>
        </w:rPr>
        <w:t>告</w:t>
      </w:r>
      <w:r>
        <w:rPr>
          <w:rFonts w:hint="eastAsia" w:ascii="方正小标宋简体" w:hAnsi="方正小标宋简体" w:eastAsia="方正小标宋简体" w:cs="方正小标宋简体"/>
          <w:color w:val="auto"/>
          <w:kern w:val="2"/>
          <w:sz w:val="40"/>
          <w:szCs w:val="40"/>
          <w:highlight w:val="none"/>
          <w:lang w:val="en-US" w:eastAsia="zh-CN" w:bidi="ar-SA"/>
        </w:rPr>
        <w:t xml:space="preserve"> </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color w:val="auto"/>
          <w:sz w:val="32"/>
          <w:szCs w:val="32"/>
          <w:highlight w:val="none"/>
          <w:lang w:val="zh-CN"/>
        </w:rPr>
      </w:pPr>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楷体_GB2312" w:hAnsi="楷体_GB2312" w:eastAsia="楷体_GB2312" w:cs="楷体_GB2312"/>
          <w:sz w:val="32"/>
          <w:szCs w:val="32"/>
        </w:rPr>
        <w:t>（一）项目基本情况</w:t>
      </w:r>
      <w:r>
        <w:rPr>
          <w:rFonts w:hint="eastAsia" w:ascii="仿宋_GB2312" w:hAnsi="仿宋" w:eastAsia="仿宋_GB2312"/>
          <w:sz w:val="32"/>
          <w:szCs w:val="32"/>
        </w:rPr>
        <w:t>：根据《四川省委组织部 中共四川省委党校 四川行政学院关于印发市县级党校办学质量评估办法（试行）的通知（川组训</w:t>
      </w:r>
      <w:r>
        <w:rPr>
          <w:rFonts w:hint="eastAsia" w:ascii="仿宋_GB2312" w:hAnsi="仿宋_GB2312" w:eastAsia="仿宋_GB2312" w:cs="仿宋_GB2312"/>
          <w:sz w:val="32"/>
          <w:szCs w:val="32"/>
        </w:rPr>
        <w:t>〔</w:t>
      </w:r>
      <w:r>
        <w:rPr>
          <w:rFonts w:hint="eastAsia" w:ascii="仿宋_GB2312" w:hAnsi="仿宋" w:eastAsia="仿宋_GB2312"/>
          <w:sz w:val="32"/>
          <w:szCs w:val="32"/>
        </w:rPr>
        <w:t>2020</w:t>
      </w:r>
      <w:r>
        <w:rPr>
          <w:rFonts w:hint="eastAsia" w:ascii="仿宋_GB2312" w:hAnsi="仿宋_GB2312" w:eastAsia="仿宋_GB2312" w:cs="仿宋_GB2312"/>
          <w:sz w:val="32"/>
          <w:szCs w:val="32"/>
        </w:rPr>
        <w:t>〕29号</w:t>
      </w:r>
      <w:r>
        <w:rPr>
          <w:rFonts w:hint="eastAsia" w:ascii="仿宋_GB2312" w:hAnsi="仿宋" w:eastAsia="仿宋_GB2312"/>
          <w:sz w:val="32"/>
          <w:szCs w:val="32"/>
        </w:rPr>
        <w:t>）》文件的要求，需要将干部培训费由财政经费足额保障。2021年实施了</w:t>
      </w:r>
      <w:r>
        <w:rPr>
          <w:rFonts w:hint="eastAsia" w:ascii="仿宋_GB2312" w:hAnsi="仿宋_GB2312" w:eastAsia="仿宋_GB2312" w:cs="仿宋_GB2312"/>
          <w:sz w:val="32"/>
          <w:szCs w:val="32"/>
        </w:rPr>
        <w:t>主体班12期，参训学员2043人次</w:t>
      </w:r>
      <w:r>
        <w:rPr>
          <w:rFonts w:hint="eastAsia" w:ascii="仿宋_GB2312" w:hAnsi="仿宋" w:eastAsia="仿宋_GB2312"/>
          <w:sz w:val="32"/>
          <w:szCs w:val="32"/>
        </w:rPr>
        <w:t>培训任务。</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ascii="仿宋_GB2312" w:hAnsi="Times New Roman" w:eastAsia="楷体_GB2312" w:cs="Times New Roman"/>
          <w:sz w:val="32"/>
          <w:szCs w:val="32"/>
        </w:rPr>
      </w:pPr>
      <w:r>
        <w:rPr>
          <w:rFonts w:hint="eastAsia" w:ascii="楷体_GB2312" w:hAnsi="Times New Roman" w:eastAsia="楷体_GB2312" w:cs="Times New Roman"/>
          <w:bCs/>
          <w:sz w:val="32"/>
          <w:szCs w:val="32"/>
        </w:rPr>
        <w:t>（二）项目绩效目标；</w:t>
      </w:r>
      <w:r>
        <w:rPr>
          <w:rFonts w:hint="eastAsia" w:ascii="仿宋_GB2312" w:hAnsi="仿宋_GB2312" w:eastAsia="仿宋_GB2312" w:cs="仿宋_GB2312"/>
          <w:bCs/>
          <w:sz w:val="32"/>
          <w:szCs w:val="32"/>
        </w:rPr>
        <w:t>通过培训，增强了朝天干部的党性修养、提高了政治觉悟、政治能力和执政本领。</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楷体_GB2312" w:hAnsi="Times New Roman" w:eastAsia="楷体_GB2312" w:cs="Times New Roman"/>
          <w:bCs/>
          <w:sz w:val="32"/>
          <w:szCs w:val="32"/>
        </w:rPr>
        <w:t>（三）</w:t>
      </w:r>
      <w:r>
        <w:rPr>
          <w:rFonts w:hint="eastAsia" w:ascii="楷体" w:hAnsi="楷体" w:eastAsia="楷体" w:cs="楷体"/>
          <w:sz w:val="32"/>
          <w:szCs w:val="32"/>
        </w:rPr>
        <w:t>项目资金申报相符性：</w:t>
      </w:r>
      <w:r>
        <w:rPr>
          <w:rFonts w:hint="eastAsia" w:ascii="仿宋_GB2312" w:hAnsi="仿宋_GB2312" w:eastAsia="仿宋_GB2312" w:cs="仿宋_GB2312"/>
          <w:sz w:val="32"/>
          <w:szCs w:val="32"/>
        </w:rPr>
        <w:t>按照区委党校《教学管理制度》，实行“实报实销”的原则执行。</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二、项目实施及管理情况</w:t>
      </w:r>
    </w:p>
    <w:p>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textAlignment w:val="auto"/>
        <w:rPr>
          <w:rFonts w:hint="eastAsia" w:ascii="仿宋_GB2312" w:hAnsi="仿宋" w:eastAsia="仿宋_GB2312"/>
          <w:sz w:val="32"/>
          <w:szCs w:val="32"/>
        </w:rPr>
      </w:pPr>
      <w:r>
        <w:rPr>
          <w:rFonts w:hint="eastAsia" w:ascii="楷体_GB2312" w:hAnsi="楷体_GB2312" w:eastAsia="楷体_GB2312" w:cs="楷体_GB2312"/>
          <w:sz w:val="32"/>
          <w:szCs w:val="32"/>
        </w:rPr>
        <w:t>（一）资金到位情况</w:t>
      </w:r>
      <w:r>
        <w:rPr>
          <w:rFonts w:hint="eastAsia" w:ascii="仿宋_GB2312" w:hAnsi="仿宋" w:eastAsia="仿宋_GB2312"/>
          <w:sz w:val="32"/>
          <w:szCs w:val="32"/>
        </w:rPr>
        <w:t>：区财政拨付干部培训费100万元</w:t>
      </w:r>
    </w:p>
    <w:p>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textAlignment w:val="auto"/>
        <w:rPr>
          <w:rFonts w:ascii="仿宋_GB2312" w:hAnsi="仿宋" w:eastAsia="仿宋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pacing w:val="-6"/>
          <w:sz w:val="32"/>
          <w:szCs w:val="32"/>
        </w:rPr>
        <w:t>预算资金执行情况</w:t>
      </w:r>
      <w:r>
        <w:rPr>
          <w:rFonts w:hint="eastAsia" w:ascii="仿宋_GB2312" w:hAnsi="仿宋" w:eastAsia="仿宋_GB2312"/>
          <w:spacing w:val="-6"/>
          <w:sz w:val="32"/>
          <w:szCs w:val="32"/>
        </w:rPr>
        <w:t>：2021年用于干部培训费100万元。</w:t>
      </w:r>
    </w:p>
    <w:p>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（三）项目资金规范运行情况</w:t>
      </w:r>
      <w:r>
        <w:rPr>
          <w:rFonts w:hint="eastAsia" w:ascii="仿宋_GB2312" w:hAnsi="仿宋" w:eastAsia="仿宋_GB2312"/>
          <w:sz w:val="32"/>
          <w:szCs w:val="32"/>
        </w:rPr>
        <w:t>：</w:t>
      </w:r>
      <w:r>
        <w:rPr>
          <w:rFonts w:hint="eastAsia" w:ascii="仿宋_GB2312" w:hAnsi="仿宋_GB2312" w:eastAsia="仿宋_GB2312" w:cs="仿宋_GB2312"/>
          <w:sz w:val="32"/>
          <w:szCs w:val="32"/>
          <w:lang w:val="zh-CN"/>
        </w:rPr>
        <w:t>严格按照项目资金管理办法对资金进行申报、划拨、使用，并及时做好相关账务处理和会计核算</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spacing w:line="520" w:lineRule="exact"/>
        <w:textAlignment w:val="auto"/>
        <w:rPr>
          <w:rFonts w:ascii="仿宋_GB2312" w:hAnsi="Times New Roman" w:eastAsia="仿宋_GB2312" w:cs="Times New Roman"/>
          <w:sz w:val="32"/>
          <w:szCs w:val="32"/>
        </w:rPr>
      </w:pPr>
      <w:r>
        <w:rPr>
          <w:rFonts w:hint="eastAsia" w:ascii="楷体_GB2312" w:hAnsi="楷体_GB2312" w:eastAsia="楷体_GB2312" w:cs="楷体_GB2312"/>
          <w:sz w:val="32"/>
          <w:szCs w:val="32"/>
        </w:rPr>
        <w:t>（四）财务管理情况</w:t>
      </w:r>
      <w:r>
        <w:rPr>
          <w:rFonts w:hint="eastAsia" w:ascii="仿宋_GB2312" w:hAnsi="仿宋" w:eastAsia="仿宋_GB2312"/>
          <w:sz w:val="32"/>
          <w:szCs w:val="32"/>
        </w:rPr>
        <w:t>：单位财务管理制度健全，严格执行财务管理制度，及时进行账务处理，会计核算规范。</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三、项目绩效情况</w:t>
      </w:r>
      <w:r>
        <w:rPr>
          <w:rFonts w:hint="eastAsia" w:ascii="黑体" w:hAnsi="黑体" w:eastAsia="黑体" w:cs="Times New Roman"/>
          <w:sz w:val="32"/>
          <w:szCs w:val="32"/>
        </w:rPr>
        <w:tab/>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（一）项目完成情况</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ascii="仿宋_GB2312" w:hAnsi="Times New Roman" w:eastAsia="仿宋_GB2312"/>
          <w:sz w:val="32"/>
          <w:szCs w:val="32"/>
          <w:shd w:val="clear" w:color="auto" w:fill="FFFFFF"/>
        </w:rPr>
      </w:pPr>
      <w:r>
        <w:rPr>
          <w:rFonts w:hint="eastAsia" w:ascii="仿宋_GB2312" w:hAnsi="仿宋_GB2312" w:eastAsia="仿宋_GB2312" w:cs="仿宋_GB2312"/>
          <w:sz w:val="32"/>
          <w:szCs w:val="32"/>
        </w:rPr>
        <w:t>全年共举办主体班12期，参训学员2043人次，其中：由市委党校统筹办班3期/179人次，区委党校承办的主体班次9 期/1864人次。</w:t>
      </w:r>
    </w:p>
    <w:p>
      <w:pPr>
        <w:keepNext w:val="0"/>
        <w:keepLines w:val="0"/>
        <w:pageBreakBefore w:val="0"/>
        <w:widowControl w:val="0"/>
        <w:numPr>
          <w:ilvl w:val="0"/>
          <w:numId w:val="8"/>
        </w:numPr>
        <w:kinsoku/>
        <w:wordWrap/>
        <w:overflowPunct w:val="0"/>
        <w:topLinePunct w:val="0"/>
        <w:autoSpaceDE/>
        <w:autoSpaceDN/>
        <w:bidi w:val="0"/>
        <w:adjustRightInd/>
        <w:snapToGrid/>
        <w:spacing w:line="520" w:lineRule="exact"/>
        <w:ind w:firstLine="640" w:firstLineChars="200"/>
        <w:textAlignment w:val="auto"/>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项目效益情况</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ascii="楷体_GB2312" w:hAnsi="Times New Roman" w:eastAsia="楷体_GB2312" w:cs="Times New Roman"/>
          <w:bCs/>
          <w:sz w:val="32"/>
          <w:szCs w:val="32"/>
        </w:rPr>
      </w:pPr>
      <w:r>
        <w:rPr>
          <w:rFonts w:hint="eastAsia" w:ascii="仿宋_GB2312" w:hAnsi="华文仿宋" w:eastAsia="仿宋_GB2312" w:cs="华文仿宋"/>
          <w:sz w:val="32"/>
          <w:szCs w:val="32"/>
        </w:rPr>
        <w:t>教学方式不断创新。突出党的理论教育和党性教育，主体班次党性教育课程比重达42%。综合运用讲授式、案例式、模拟式、体验式等互动式教学方法，学员效果评价良好。</w:t>
      </w:r>
      <w:r>
        <w:rPr>
          <w:rFonts w:hint="eastAsia" w:ascii="仿宋_GB2312" w:hAnsi="Times New Roman" w:eastAsia="仿宋_GB2312"/>
          <w:sz w:val="32"/>
          <w:szCs w:val="32"/>
          <w:shd w:val="clear" w:color="auto" w:fill="FFFFFF"/>
        </w:rPr>
        <w:t>强化研修班培训，采取课堂教学、体验教学、研讨交流、实地考察、异地培训、顶岗实训等教学方式，分经济社会发展和执政能力提升（区委党校）、党史党性教育（四川长征干部学院雅安夹金山分院）、高校专业提能（浙江大学）、跟岗实训调研（台州市路桥区、杭州市滨江区相关单位）、总结提升5个阶段进行，培训年轻干部54名，平均年龄31.4岁。培训得到了市委组织部、区委组织部领导的充分肯定。</w:t>
      </w:r>
    </w:p>
    <w:p>
      <w:pPr>
        <w:keepNext w:val="0"/>
        <w:keepLines w:val="0"/>
        <w:pageBreakBefore w:val="0"/>
        <w:widowControl w:val="0"/>
        <w:numPr>
          <w:ilvl w:val="0"/>
          <w:numId w:val="9"/>
        </w:numPr>
        <w:kinsoku/>
        <w:wordWrap/>
        <w:overflowPunct w:val="0"/>
        <w:topLinePunct w:val="0"/>
        <w:autoSpaceDE/>
        <w:autoSpaceDN/>
        <w:bidi w:val="0"/>
        <w:adjustRightInd/>
        <w:snapToGrid/>
        <w:spacing w:line="52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问题及建议</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eastAsia" w:ascii="楷体_GB2312" w:hAnsi="楷体" w:eastAsia="楷体_GB2312" w:cs="楷体"/>
          <w:sz w:val="32"/>
          <w:szCs w:val="32"/>
        </w:rPr>
      </w:pPr>
      <w:r>
        <w:rPr>
          <w:rFonts w:hint="eastAsia" w:ascii="楷体_GB2312" w:hAnsi="楷体" w:eastAsia="楷体_GB2312" w:cs="楷体"/>
          <w:sz w:val="32"/>
          <w:szCs w:val="32"/>
        </w:rPr>
        <w:t>（一）存在的问题</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1.干部培训实效有待加强，如外出学习较少，视野开拓不足；</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2.基地打造不力，市级现场教学基地仍为空白；</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3.干教培训时间紧，任务重，人手少。</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eastAsia" w:ascii="楷体_GB2312" w:hAnsi="楷体" w:eastAsia="楷体_GB2312" w:cs="楷体"/>
          <w:sz w:val="32"/>
          <w:szCs w:val="32"/>
        </w:rPr>
      </w:pPr>
      <w:r>
        <w:rPr>
          <w:rFonts w:hint="eastAsia" w:ascii="楷体_GB2312" w:hAnsi="楷体" w:eastAsia="楷体_GB2312" w:cs="楷体"/>
          <w:sz w:val="32"/>
          <w:szCs w:val="32"/>
        </w:rPr>
        <w:t>（二）相关建议</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在干部培训质量上实现新突破。全面完成2022年省委、市委组织部门和党校备案的主体班次培训计划，在完成“量”的基础上，重点在“质”上下功夫，力争按照2021年中青班的培训模式完成主体班次培训，在干部培训质量上实现新突破。</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tbl>
      <w:tblPr>
        <w:tblStyle w:val="14"/>
        <w:tblpPr w:leftFromText="180" w:rightFromText="180" w:vertAnchor="text" w:horzAnchor="page" w:tblpX="1768" w:tblpY="539"/>
        <w:tblOverlap w:val="never"/>
        <w:tblW w:w="8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6"/>
        <w:gridCol w:w="935"/>
        <w:gridCol w:w="844"/>
        <w:gridCol w:w="1511"/>
        <w:gridCol w:w="1545"/>
        <w:gridCol w:w="2077"/>
        <w:gridCol w:w="1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886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886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886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部门（单位）盖章：中共广元市朝天区委党校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项目支出名称</w:t>
            </w:r>
          </w:p>
        </w:tc>
        <w:tc>
          <w:tcPr>
            <w:tcW w:w="74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干部培训费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74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中共广元市朝天区委党校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w:t>
            </w:r>
          </w:p>
        </w:tc>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全年预算数（万元） </w:t>
            </w:r>
          </w:p>
        </w:tc>
        <w:tc>
          <w:tcPr>
            <w:tcW w:w="3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其中：一般公共预算</w:t>
            </w:r>
          </w:p>
        </w:tc>
        <w:tc>
          <w:tcPr>
            <w:tcW w:w="3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其中：一般公共预算</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3"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w:t>
            </w:r>
          </w:p>
        </w:tc>
        <w:tc>
          <w:tcPr>
            <w:tcW w:w="3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w:t>
            </w:r>
          </w:p>
        </w:tc>
        <w:tc>
          <w:tcPr>
            <w:tcW w:w="3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社会保险基金预算</w:t>
            </w:r>
          </w:p>
        </w:tc>
        <w:tc>
          <w:tcPr>
            <w:tcW w:w="3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社会保险基金预算</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3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0" w:hRule="atLeast"/>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目标完成情况</w:t>
            </w:r>
          </w:p>
        </w:tc>
        <w:tc>
          <w:tcPr>
            <w:tcW w:w="48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全年预期目标</w:t>
            </w:r>
          </w:p>
        </w:tc>
        <w:tc>
          <w:tcPr>
            <w:tcW w:w="3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6"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3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2021年全区干部教育培训班次计划，2021年共举办培训班11期,培训对象：全区科技领导干部（含企事业单位领导人员）、村（社区）党组织书记、区本级掌握的优秀年轻干部和选调生、基层中青年干部、新提拔（晋升）为领导干部,新任机关党组织书记县级领导干部和科级主要负责同志、乡村振兴有关工作人员、乡镇、相关部门城乡基层治理分管领导、股长、全区公务员及参公人员、基层党员、入党积极分子，共涉及2043人。</w:t>
            </w:r>
          </w:p>
        </w:tc>
        <w:tc>
          <w:tcPr>
            <w:tcW w:w="354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2021年全区干部教育培训班次计划，2021年共举办培训班11期,培训对象：全区科技领导干部（含企事业单位领导人员）、村（社区）党组织书记、区本级掌握的优秀年轻干部和选调生、基层中青年干部、新提拔（晋升）为领导干部,新任机关党组织书记县级领导干部和科级主要负责同志、乡村振兴有关工作人员、乡镇、相关部门城乡基层治理分管领导、股长、全区公务员及参公人员、基层党员、入党积极分子，共涉及2043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全年预期指标值                        </w:t>
            </w:r>
          </w:p>
        </w:tc>
        <w:tc>
          <w:tcPr>
            <w:tcW w:w="3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全年实际完成指标值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培训班次</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11期</w:t>
            </w:r>
          </w:p>
        </w:tc>
        <w:tc>
          <w:tcPr>
            <w:tcW w:w="3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0"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培训人数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≥2000人</w:t>
            </w:r>
          </w:p>
        </w:tc>
        <w:tc>
          <w:tcPr>
            <w:tcW w:w="3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质量指标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培训合格率100%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培训合格率100%</w:t>
            </w:r>
          </w:p>
        </w:tc>
        <w:tc>
          <w:tcPr>
            <w:tcW w:w="3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时效指标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春季班完成时限</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3-7月</w:t>
            </w:r>
          </w:p>
        </w:tc>
        <w:tc>
          <w:tcPr>
            <w:tcW w:w="3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根据教学安排100%完成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秋季班完成时限</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9-12月</w:t>
            </w:r>
          </w:p>
        </w:tc>
        <w:tc>
          <w:tcPr>
            <w:tcW w:w="3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根据教学安排100%完成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6"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成本指标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成本控制</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100万</w:t>
            </w:r>
          </w:p>
        </w:tc>
        <w:tc>
          <w:tcPr>
            <w:tcW w:w="3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严格预算支出，100万元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社会效益指标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参与人次</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≥2000人</w:t>
            </w:r>
          </w:p>
        </w:tc>
        <w:tc>
          <w:tcPr>
            <w:tcW w:w="3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学员满意度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35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r>
    </w:tbl>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pStyle w:val="2"/>
        <w:rPr>
          <w:rFonts w:hint="eastAsia"/>
          <w:color w:val="auto"/>
          <w:highlight w:val="none"/>
          <w:lang w:val="zh-CN"/>
        </w:rPr>
      </w:pPr>
    </w:p>
    <w:p>
      <w:pPr>
        <w:spacing w:line="580" w:lineRule="exact"/>
        <w:rPr>
          <w:rStyle w:val="26"/>
          <w:rFonts w:ascii="黑体" w:hAnsi="黑体" w:eastAsia="黑体"/>
          <w:b w:val="0"/>
          <w:color w:val="auto"/>
          <w:highlight w:val="none"/>
        </w:rPr>
      </w:pPr>
    </w:p>
    <w:p>
      <w:pPr>
        <w:pStyle w:val="2"/>
        <w:rPr>
          <w:rStyle w:val="26"/>
          <w:rFonts w:ascii="黑体" w:hAnsi="黑体" w:eastAsia="黑体"/>
          <w:b w:val="0"/>
          <w:color w:val="auto"/>
          <w:highlight w:val="none"/>
        </w:rPr>
      </w:pPr>
    </w:p>
    <w:p>
      <w:pPr>
        <w:pStyle w:val="2"/>
        <w:rPr>
          <w:rFonts w:hint="eastAsia"/>
          <w:color w:val="auto"/>
          <w:highlight w:val="none"/>
          <w:lang w:val="zh-CN"/>
        </w:rPr>
      </w:pPr>
      <w:r>
        <w:rPr>
          <w:rFonts w:hint="eastAsia" w:hAnsi="宋体" w:cs="宋体"/>
          <w:color w:val="auto"/>
          <w:kern w:val="0"/>
          <w:sz w:val="32"/>
          <w:szCs w:val="32"/>
          <w:highlight w:val="none"/>
          <w:shd w:val="clear" w:color="auto" w:fill="FFFFFF"/>
          <w:lang w:val="zh-CN"/>
        </w:rPr>
        <w:t>附件三</w:t>
      </w:r>
    </w:p>
    <w:p>
      <w:pPr>
        <w:overflowPunct w:val="0"/>
        <w:spacing w:line="576" w:lineRule="exact"/>
        <w:jc w:val="center"/>
        <w:rPr>
          <w:rFonts w:hint="eastAsia" w:ascii="方正小标宋简体" w:hAnsi="??" w:eastAsia="方正小标宋简体" w:cs="Times New Roman"/>
          <w:color w:val="000000"/>
          <w:kern w:val="0"/>
          <w:sz w:val="44"/>
          <w:szCs w:val="44"/>
        </w:rPr>
      </w:pPr>
      <w:r>
        <w:rPr>
          <w:rFonts w:hint="eastAsia" w:ascii="方正小标宋简体" w:hAnsi="??" w:eastAsia="方正小标宋简体" w:cs="Times New Roman"/>
          <w:color w:val="000000"/>
          <w:kern w:val="0"/>
          <w:sz w:val="44"/>
          <w:szCs w:val="44"/>
        </w:rPr>
        <w:t>202</w:t>
      </w:r>
      <w:r>
        <w:rPr>
          <w:rFonts w:hint="eastAsia" w:ascii="方正小标宋简体" w:hAnsi="??" w:eastAsia="方正小标宋简体" w:cs="Times New Roman"/>
          <w:color w:val="000000"/>
          <w:kern w:val="0"/>
          <w:sz w:val="44"/>
          <w:szCs w:val="44"/>
          <w:lang w:val="en-US" w:eastAsia="zh-CN"/>
        </w:rPr>
        <w:t>1</w:t>
      </w:r>
      <w:r>
        <w:rPr>
          <w:rFonts w:hint="eastAsia" w:ascii="方正小标宋简体" w:hAnsi="??" w:eastAsia="方正小标宋简体" w:cs="Times New Roman"/>
          <w:color w:val="000000"/>
          <w:kern w:val="0"/>
          <w:sz w:val="44"/>
          <w:szCs w:val="44"/>
        </w:rPr>
        <w:t>年部门预算项目支出绩效自评报告</w:t>
      </w:r>
    </w:p>
    <w:p>
      <w:pPr>
        <w:overflowPunct w:val="0"/>
        <w:spacing w:line="576" w:lineRule="exact"/>
        <w:jc w:val="center"/>
        <w:rPr>
          <w:rFonts w:hint="eastAsia" w:ascii="楷体_GB2312" w:hAnsi="Times New Roman" w:eastAsia="楷体_GB2312" w:cs="Times New Roman"/>
          <w:szCs w:val="21"/>
        </w:rPr>
      </w:pPr>
      <w:r>
        <w:rPr>
          <w:rFonts w:hint="eastAsia" w:ascii="楷体_GB2312" w:hAnsi="宋体" w:eastAsia="楷体_GB2312" w:cs="Times New Roman"/>
          <w:sz w:val="32"/>
          <w:szCs w:val="32"/>
        </w:rPr>
        <w:t>（物业管理费）</w:t>
      </w:r>
    </w:p>
    <w:p>
      <w:pPr>
        <w:overflowPunct w:val="0"/>
        <w:spacing w:line="576" w:lineRule="exact"/>
        <w:ind w:firstLine="640" w:firstLineChars="200"/>
        <w:rPr>
          <w:rFonts w:hint="eastAsia" w:ascii="黑体" w:hAnsi="黑体" w:eastAsia="黑体" w:cs="Times New Roman"/>
          <w:sz w:val="32"/>
          <w:szCs w:val="32"/>
        </w:rPr>
      </w:pPr>
    </w:p>
    <w:p>
      <w:pPr>
        <w:overflowPunct w:val="0"/>
        <w:spacing w:line="576"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一、项目概况</w:t>
      </w:r>
    </w:p>
    <w:p>
      <w:pPr>
        <w:overflowPunct w:val="0"/>
        <w:spacing w:line="576" w:lineRule="exact"/>
        <w:ind w:firstLine="640" w:firstLineChars="200"/>
        <w:rPr>
          <w:rFonts w:ascii="仿宋_GB2312" w:hAnsi="仿宋" w:eastAsia="仿宋_GB2312"/>
          <w:sz w:val="32"/>
          <w:szCs w:val="32"/>
        </w:rPr>
      </w:pPr>
      <w:r>
        <w:rPr>
          <w:rFonts w:hint="eastAsia" w:ascii="楷体_GB2312" w:hAnsi="楷体_GB2312" w:eastAsia="楷体_GB2312" w:cs="楷体_GB2312"/>
          <w:sz w:val="32"/>
          <w:szCs w:val="32"/>
        </w:rPr>
        <w:t>（一）项目基本情况</w:t>
      </w:r>
      <w:r>
        <w:rPr>
          <w:rFonts w:hint="eastAsia" w:ascii="仿宋_GB2312" w:hAnsi="仿宋" w:eastAsia="仿宋_GB2312"/>
          <w:sz w:val="32"/>
          <w:szCs w:val="32"/>
        </w:rPr>
        <w:t>：2021年度区财政下达预算数据用于校园物业管理费150000元。</w:t>
      </w:r>
    </w:p>
    <w:p>
      <w:pPr>
        <w:overflowPunct w:val="0"/>
        <w:spacing w:line="576" w:lineRule="exact"/>
        <w:ind w:firstLine="640" w:firstLineChars="200"/>
        <w:rPr>
          <w:rFonts w:ascii="仿宋_GB2312" w:hAnsi="仿宋" w:eastAsia="仿宋_GB2312"/>
          <w:sz w:val="32"/>
          <w:szCs w:val="32"/>
        </w:rPr>
      </w:pPr>
      <w:r>
        <w:rPr>
          <w:rFonts w:hint="eastAsia" w:ascii="楷体_GB2312" w:hAnsi="楷体_GB2312" w:eastAsia="楷体_GB2312" w:cs="楷体_GB2312"/>
          <w:sz w:val="32"/>
          <w:szCs w:val="32"/>
        </w:rPr>
        <w:t>（二）项目预算情况</w:t>
      </w:r>
      <w:r>
        <w:rPr>
          <w:rFonts w:hint="eastAsia" w:ascii="仿宋_GB2312" w:hAnsi="仿宋" w:eastAsia="仿宋_GB2312"/>
          <w:sz w:val="32"/>
          <w:szCs w:val="32"/>
        </w:rPr>
        <w:t>：资金预算150000元。</w:t>
      </w:r>
    </w:p>
    <w:p>
      <w:pPr>
        <w:overflowPunct w:val="0"/>
        <w:spacing w:line="576" w:lineRule="exact"/>
        <w:ind w:firstLine="640" w:firstLineChars="200"/>
        <w:rPr>
          <w:rFonts w:ascii="仿宋_GB2312" w:hAnsi="仿宋" w:eastAsia="仿宋_GB2312"/>
          <w:sz w:val="32"/>
          <w:szCs w:val="32"/>
        </w:rPr>
      </w:pPr>
      <w:r>
        <w:rPr>
          <w:rFonts w:hint="eastAsia" w:ascii="楷体_GB2312" w:hAnsi="楷体_GB2312" w:eastAsia="楷体_GB2312" w:cs="楷体_GB2312"/>
          <w:sz w:val="32"/>
          <w:szCs w:val="32"/>
        </w:rPr>
        <w:t>（三）项目绩效目标</w:t>
      </w:r>
      <w:r>
        <w:rPr>
          <w:rFonts w:hint="eastAsia" w:ascii="仿宋_GB2312" w:hAnsi="仿宋" w:eastAsia="仿宋_GB2312"/>
          <w:sz w:val="32"/>
          <w:szCs w:val="32"/>
        </w:rPr>
        <w:t>：严格按照与物业公司签订合同，监督公司落实到位，确保党校工作正常运转。</w:t>
      </w:r>
    </w:p>
    <w:p>
      <w:pPr>
        <w:overflowPunct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楷体" w:hAnsi="楷体" w:eastAsia="楷体" w:cs="楷体"/>
          <w:sz w:val="32"/>
          <w:szCs w:val="32"/>
        </w:rPr>
        <w:t>项目资金申报相符性：</w:t>
      </w:r>
      <w:r>
        <w:rPr>
          <w:rFonts w:hint="eastAsia" w:ascii="仿宋_GB2312" w:hAnsi="仿宋_GB2312" w:eastAsia="仿宋_GB2312" w:cs="仿宋_GB2312"/>
          <w:sz w:val="32"/>
          <w:szCs w:val="32"/>
        </w:rPr>
        <w:t>按照合同约定，年末结算的原则执行；</w:t>
      </w:r>
    </w:p>
    <w:p>
      <w:pPr>
        <w:overflowPunct w:val="0"/>
        <w:spacing w:line="576"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二、项目实施及管理情况</w:t>
      </w:r>
    </w:p>
    <w:p>
      <w:pPr>
        <w:overflowPunct w:val="0"/>
        <w:spacing w:line="576" w:lineRule="exact"/>
        <w:ind w:firstLine="640" w:firstLineChars="200"/>
        <w:rPr>
          <w:rFonts w:ascii="仿宋_GB2312" w:hAnsi="仿宋" w:eastAsia="仿宋_GB2312"/>
          <w:sz w:val="32"/>
          <w:szCs w:val="32"/>
        </w:rPr>
      </w:pPr>
      <w:r>
        <w:rPr>
          <w:rFonts w:hint="eastAsia" w:ascii="楷体_GB2312" w:hAnsi="楷体_GB2312" w:eastAsia="楷体_GB2312" w:cs="楷体_GB2312"/>
          <w:sz w:val="32"/>
          <w:szCs w:val="32"/>
        </w:rPr>
        <w:t>（一）资金到位情况</w:t>
      </w:r>
      <w:r>
        <w:rPr>
          <w:rFonts w:hint="eastAsia" w:ascii="仿宋_GB2312" w:hAnsi="仿宋" w:eastAsia="仿宋_GB2312"/>
          <w:sz w:val="32"/>
          <w:szCs w:val="32"/>
        </w:rPr>
        <w:t>：区财政拨付校园物业管理费150000元｡</w:t>
      </w:r>
    </w:p>
    <w:p>
      <w:pPr>
        <w:overflowPunct w:val="0"/>
        <w:spacing w:line="576" w:lineRule="exact"/>
        <w:ind w:firstLine="645"/>
        <w:rPr>
          <w:rFonts w:ascii="仿宋_GB2312" w:hAnsi="仿宋" w:eastAsia="仿宋_GB2312"/>
          <w:sz w:val="32"/>
          <w:szCs w:val="32"/>
        </w:rPr>
      </w:pPr>
      <w:r>
        <w:rPr>
          <w:rFonts w:hint="eastAsia" w:ascii="楷体_GB2312" w:hAnsi="楷体_GB2312" w:eastAsia="楷体_GB2312" w:cs="楷体_GB2312"/>
          <w:sz w:val="32"/>
          <w:szCs w:val="32"/>
        </w:rPr>
        <w:t>（二）预算资金执行情况</w:t>
      </w:r>
      <w:r>
        <w:rPr>
          <w:rFonts w:hint="eastAsia" w:ascii="仿宋_GB2312" w:hAnsi="仿宋" w:eastAsia="仿宋_GB2312"/>
          <w:sz w:val="32"/>
          <w:szCs w:val="32"/>
        </w:rPr>
        <w:t>：2021年用于校园物业管理费支出150000元。</w:t>
      </w:r>
    </w:p>
    <w:p>
      <w:pPr>
        <w:overflowPunct w:val="0"/>
        <w:spacing w:line="576" w:lineRule="exact"/>
        <w:ind w:firstLine="645"/>
        <w:rPr>
          <w:rFonts w:ascii="仿宋_GB2312" w:hAnsi="仿宋_GB2312" w:eastAsia="仿宋_GB2312" w:cs="仿宋_GB2312"/>
          <w:sz w:val="32"/>
          <w:szCs w:val="32"/>
        </w:rPr>
      </w:pPr>
      <w:r>
        <w:rPr>
          <w:rFonts w:hint="eastAsia" w:ascii="楷体_GB2312" w:hAnsi="楷体_GB2312" w:eastAsia="楷体_GB2312" w:cs="楷体_GB2312"/>
          <w:sz w:val="32"/>
          <w:szCs w:val="32"/>
        </w:rPr>
        <w:t>（三）项目资金规范运行情况</w:t>
      </w:r>
      <w:r>
        <w:rPr>
          <w:rFonts w:hint="eastAsia" w:ascii="仿宋_GB2312" w:hAnsi="仿宋" w:eastAsia="仿宋_GB2312"/>
          <w:sz w:val="32"/>
          <w:szCs w:val="32"/>
        </w:rPr>
        <w:t>：</w:t>
      </w:r>
      <w:r>
        <w:rPr>
          <w:rFonts w:hint="eastAsia" w:ascii="仿宋_GB2312" w:hAnsi="仿宋_GB2312" w:eastAsia="仿宋_GB2312" w:cs="仿宋_GB2312"/>
          <w:sz w:val="32"/>
          <w:szCs w:val="32"/>
          <w:lang w:val="zh-CN"/>
        </w:rPr>
        <w:t>严格按照项目资金管理办法对资金进行申报、划拨、使用，并及时做好相关账务处理和会计核算</w:t>
      </w:r>
      <w:r>
        <w:rPr>
          <w:rFonts w:hint="eastAsia" w:ascii="仿宋_GB2312" w:hAnsi="仿宋_GB2312" w:eastAsia="仿宋_GB2312" w:cs="仿宋_GB2312"/>
          <w:sz w:val="32"/>
          <w:szCs w:val="32"/>
        </w:rPr>
        <w:t>。</w:t>
      </w:r>
    </w:p>
    <w:p>
      <w:pPr>
        <w:overflowPunct w:val="0"/>
        <w:spacing w:line="576" w:lineRule="exact"/>
        <w:ind w:firstLine="645"/>
        <w:rPr>
          <w:rFonts w:ascii="仿宋_GB2312" w:hAnsi="仿宋" w:eastAsia="仿宋_GB2312"/>
          <w:sz w:val="32"/>
          <w:szCs w:val="32"/>
        </w:rPr>
      </w:pPr>
      <w:r>
        <w:rPr>
          <w:rFonts w:hint="eastAsia" w:ascii="楷体_GB2312" w:hAnsi="楷体_GB2312" w:eastAsia="楷体_GB2312" w:cs="楷体_GB2312"/>
          <w:sz w:val="32"/>
          <w:szCs w:val="32"/>
        </w:rPr>
        <w:t>（四）财务管理情况</w:t>
      </w:r>
      <w:r>
        <w:rPr>
          <w:rFonts w:hint="eastAsia" w:ascii="仿宋_GB2312" w:hAnsi="仿宋" w:eastAsia="仿宋_GB2312"/>
          <w:sz w:val="32"/>
          <w:szCs w:val="32"/>
        </w:rPr>
        <w:t>：单位财务管理制度健全，严格执行财务管理制度，及时进行账务处理，会计核算规范。</w:t>
      </w:r>
    </w:p>
    <w:p>
      <w:pPr>
        <w:overflowPunct w:val="0"/>
        <w:spacing w:line="576"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三、项目绩效情况</w:t>
      </w:r>
      <w:r>
        <w:rPr>
          <w:rFonts w:hint="eastAsia" w:ascii="黑体" w:hAnsi="黑体" w:eastAsia="黑体" w:cs="Times New Roman"/>
          <w:sz w:val="32"/>
          <w:szCs w:val="32"/>
        </w:rPr>
        <w:tab/>
      </w:r>
    </w:p>
    <w:p>
      <w:pPr>
        <w:overflowPunct w:val="0"/>
        <w:spacing w:line="576" w:lineRule="exact"/>
        <w:ind w:firstLine="645"/>
        <w:rPr>
          <w:rFonts w:ascii="楷体_GB2312" w:hAnsi="仿宋" w:eastAsia="楷体_GB2312"/>
          <w:sz w:val="32"/>
          <w:szCs w:val="32"/>
        </w:rPr>
      </w:pPr>
      <w:r>
        <w:rPr>
          <w:rFonts w:hint="eastAsia" w:ascii="楷体_GB2312" w:hAnsi="仿宋" w:eastAsia="楷体_GB2312"/>
          <w:sz w:val="32"/>
          <w:szCs w:val="32"/>
        </w:rPr>
        <w:t>（一）项目完成情况。</w:t>
      </w:r>
    </w:p>
    <w:p>
      <w:pPr>
        <w:overflowPunct w:val="0"/>
        <w:spacing w:line="576" w:lineRule="exact"/>
        <w:ind w:firstLine="645"/>
        <w:rPr>
          <w:rFonts w:ascii="仿宋_GB2312" w:hAnsi="仿宋" w:eastAsia="仿宋_GB2312"/>
          <w:sz w:val="32"/>
          <w:szCs w:val="32"/>
        </w:rPr>
      </w:pPr>
      <w:r>
        <w:rPr>
          <w:rFonts w:hint="eastAsia" w:ascii="仿宋_GB2312" w:hAnsi="仿宋" w:eastAsia="仿宋_GB2312"/>
          <w:sz w:val="32"/>
          <w:szCs w:val="32"/>
        </w:rPr>
        <w:t>2021年分两次将资金支付到恒安物业有限公司，并督促公司把保安、保洁等工作人员的工资发放到位，资金使用规范，无挪用、乱用。</w:t>
      </w:r>
    </w:p>
    <w:p>
      <w:pPr>
        <w:overflowPunct w:val="0"/>
        <w:spacing w:line="576" w:lineRule="exact"/>
        <w:ind w:firstLine="645"/>
        <w:rPr>
          <w:rFonts w:ascii="楷体_GB2312" w:hAnsi="仿宋" w:eastAsia="楷体_GB2312"/>
          <w:sz w:val="32"/>
          <w:szCs w:val="32"/>
        </w:rPr>
      </w:pPr>
      <w:r>
        <w:rPr>
          <w:rFonts w:hint="eastAsia" w:ascii="楷体_GB2312" w:hAnsi="仿宋" w:eastAsia="楷体_GB2312"/>
          <w:sz w:val="32"/>
          <w:szCs w:val="32"/>
        </w:rPr>
        <w:t>（二）项目效益情况。</w:t>
      </w:r>
    </w:p>
    <w:p>
      <w:pPr>
        <w:overflowPunct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为党校更好的提高办学环境，提供有力的物质保障；提升党校干部职工的履职能力和创新能力，</w:t>
      </w:r>
      <w:r>
        <w:rPr>
          <w:rFonts w:hint="eastAsia" w:ascii="仿宋_GB2312" w:hAnsi="仿宋_GB2312" w:eastAsia="仿宋_GB2312" w:cs="仿宋_GB2312"/>
          <w:sz w:val="32"/>
          <w:szCs w:val="32"/>
          <w:lang w:eastAsia="zh-CN"/>
        </w:rPr>
        <w:t>更好地为</w:t>
      </w:r>
      <w:r>
        <w:rPr>
          <w:rFonts w:hint="eastAsia" w:ascii="仿宋_GB2312" w:hAnsi="仿宋_GB2312" w:eastAsia="仿宋_GB2312" w:cs="仿宋_GB2312"/>
          <w:sz w:val="32"/>
          <w:szCs w:val="32"/>
        </w:rPr>
        <w:t>学员服务。</w:t>
      </w:r>
    </w:p>
    <w:p>
      <w:pPr>
        <w:spacing w:line="600" w:lineRule="exact"/>
        <w:jc w:val="center"/>
        <w:outlineLvl w:val="0"/>
        <w:rPr>
          <w:rFonts w:hint="eastAsia" w:ascii="黑体" w:hAnsi="黑体" w:eastAsia="黑体"/>
          <w:color w:val="auto"/>
          <w:sz w:val="44"/>
          <w:szCs w:val="44"/>
          <w:highlight w:val="none"/>
        </w:rPr>
      </w:pPr>
      <w:bookmarkStart w:id="61" w:name="_Toc15396618"/>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tbl>
      <w:tblPr>
        <w:tblStyle w:val="14"/>
        <w:tblpPr w:leftFromText="180" w:rightFromText="180" w:vertAnchor="text" w:horzAnchor="page" w:tblpX="1645" w:tblpY="524"/>
        <w:tblOverlap w:val="never"/>
        <w:tblW w:w="91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3"/>
        <w:gridCol w:w="966"/>
        <w:gridCol w:w="822"/>
        <w:gridCol w:w="1767"/>
        <w:gridCol w:w="211"/>
        <w:gridCol w:w="1311"/>
        <w:gridCol w:w="523"/>
        <w:gridCol w:w="1388"/>
        <w:gridCol w:w="1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913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9130"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kern w:val="0"/>
                <w:sz w:val="22"/>
                <w:szCs w:val="22"/>
                <w:u w:val="none"/>
                <w:lang w:val="en-US" w:eastAsia="zh-CN" w:bidi="ar"/>
              </w:rPr>
              <w:t>部门（单位）盖章：</w:t>
            </w:r>
            <w:r>
              <w:rPr>
                <w:rFonts w:hint="eastAsia" w:ascii="仿宋" w:hAnsi="仿宋" w:eastAsia="仿宋" w:cs="仿宋"/>
                <w:i w:val="0"/>
                <w:iCs w:val="0"/>
                <w:color w:val="000000"/>
                <w:kern w:val="0"/>
                <w:sz w:val="22"/>
                <w:szCs w:val="22"/>
                <w:u w:val="none"/>
                <w:lang w:val="en-US" w:eastAsia="zh-CN" w:bidi="ar"/>
              </w:rPr>
              <w:t>中共广元市朝天区委党校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项目支出名称</w:t>
            </w:r>
          </w:p>
        </w:tc>
        <w:tc>
          <w:tcPr>
            <w:tcW w:w="72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校园物业管理费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72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中共广元市朝天区委党校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全年预算数（万元） </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全年执行数（万元）</w:t>
            </w:r>
          </w:p>
        </w:tc>
        <w:tc>
          <w:tcPr>
            <w:tcW w:w="2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其中：一般公共预算</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其中：一般公共预算</w:t>
            </w:r>
          </w:p>
        </w:tc>
        <w:tc>
          <w:tcPr>
            <w:tcW w:w="2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2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2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社会保险基金预算</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社会保险基金预算</w:t>
            </w:r>
          </w:p>
        </w:tc>
        <w:tc>
          <w:tcPr>
            <w:tcW w:w="2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2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目标完成情况</w:t>
            </w:r>
          </w:p>
        </w:tc>
        <w:tc>
          <w:tcPr>
            <w:tcW w:w="35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全年预期目标</w:t>
            </w:r>
          </w:p>
        </w:tc>
        <w:tc>
          <w:tcPr>
            <w:tcW w:w="46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55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与恒安物业管理公司签订管理协议，配备保安2名，保洁2名，负责校园安全、保洁工作，确保党校工作正常运转。</w:t>
            </w:r>
          </w:p>
        </w:tc>
        <w:tc>
          <w:tcPr>
            <w:tcW w:w="465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与恒安物业管理公司签订管理协议，配备保安2名，保洁2名，负责校园安全、保洁工作，确保党校工作正常运转。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年度绩效指标完成情况</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全年预期标值</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全年实际完成指标值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数量指标</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配备安保</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2名</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2名</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配备保洁人员</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4名</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4名</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质量指标</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无安全事故</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卫生达标</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时效指标</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按月检查评比</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成本指标</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与物业公司签订劳务合同，由物业公司发放工人工资</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15万</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15万</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社会效益指标</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聘请物业规范化管理</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聘请物业规范化管理</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解决就业岗位</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4个</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4个</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教职工满意</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学员满意</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bl>
    <w:p>
      <w:pPr>
        <w:pStyle w:val="2"/>
        <w:rPr>
          <w:rFonts w:hint="eastAsia"/>
        </w:rPr>
      </w:pPr>
    </w:p>
    <w:p>
      <w:pPr>
        <w:pStyle w:val="2"/>
        <w:rPr>
          <w:rFonts w:hint="eastAsia" w:hAnsi="宋体" w:cs="宋体"/>
          <w:color w:val="auto"/>
          <w:kern w:val="0"/>
          <w:sz w:val="32"/>
          <w:szCs w:val="32"/>
          <w:highlight w:val="none"/>
          <w:shd w:val="clear" w:color="auto" w:fill="FFFFFF"/>
          <w:lang w:val="zh-CN"/>
        </w:rPr>
      </w:pPr>
      <w:r>
        <w:rPr>
          <w:rFonts w:hint="eastAsia" w:hAnsi="宋体" w:cs="宋体"/>
          <w:color w:val="auto"/>
          <w:kern w:val="0"/>
          <w:sz w:val="32"/>
          <w:szCs w:val="32"/>
          <w:highlight w:val="none"/>
          <w:shd w:val="clear" w:color="auto" w:fill="FFFFFF"/>
          <w:lang w:val="zh-CN"/>
        </w:rPr>
        <w:t>附件四</w:t>
      </w:r>
    </w:p>
    <w:p>
      <w:pPr>
        <w:autoSpaceDE w:val="0"/>
        <w:spacing w:line="576" w:lineRule="exact"/>
        <w:jc w:val="center"/>
        <w:rPr>
          <w:rFonts w:hint="eastAsia" w:ascii="方正小标宋简体" w:hAnsi="??" w:eastAsia="方正小标宋简体" w:cs="Times New Roman"/>
          <w:color w:val="000000"/>
          <w:kern w:val="0"/>
          <w:sz w:val="44"/>
          <w:szCs w:val="44"/>
        </w:rPr>
      </w:pPr>
      <w:r>
        <w:rPr>
          <w:rFonts w:hint="eastAsia" w:ascii="方正小标宋简体" w:hAnsi="??" w:eastAsia="方正小标宋简体" w:cs="Times New Roman"/>
          <w:color w:val="000000"/>
          <w:kern w:val="0"/>
          <w:sz w:val="44"/>
          <w:szCs w:val="44"/>
        </w:rPr>
        <w:t>2022年部门预算项目支出绩效自评报告</w:t>
      </w:r>
    </w:p>
    <w:p>
      <w:pPr>
        <w:autoSpaceDE w:val="0"/>
        <w:spacing w:line="576" w:lineRule="exact"/>
        <w:jc w:val="center"/>
        <w:rPr>
          <w:rFonts w:hint="eastAsia" w:ascii="楷体_GB2312" w:hAnsi="Times New Roman" w:eastAsia="楷体_GB2312" w:cs="Times New Roman"/>
          <w:szCs w:val="21"/>
        </w:rPr>
      </w:pPr>
      <w:r>
        <w:rPr>
          <w:rFonts w:hint="eastAsia" w:ascii="楷体_GB2312" w:hAnsi="宋体" w:eastAsia="楷体_GB2312" w:cs="Times New Roman"/>
          <w:sz w:val="32"/>
          <w:szCs w:val="32"/>
        </w:rPr>
        <w:t>（师资培训费）</w:t>
      </w:r>
    </w:p>
    <w:p>
      <w:pPr>
        <w:autoSpaceDE w:val="0"/>
        <w:spacing w:line="576" w:lineRule="exact"/>
        <w:ind w:firstLine="640" w:firstLineChars="200"/>
        <w:rPr>
          <w:rFonts w:hint="eastAsia" w:ascii="黑体" w:hAnsi="黑体" w:eastAsia="黑体" w:cs="Times New Roman"/>
          <w:sz w:val="32"/>
          <w:szCs w:val="32"/>
        </w:rPr>
      </w:pPr>
    </w:p>
    <w:p>
      <w:pPr>
        <w:autoSpaceDE w:val="0"/>
        <w:spacing w:line="576"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一、项目概况</w:t>
      </w:r>
    </w:p>
    <w:p>
      <w:pPr>
        <w:autoSpaceDE w:val="0"/>
        <w:spacing w:line="576" w:lineRule="exact"/>
        <w:ind w:firstLine="640" w:firstLineChars="200"/>
        <w:rPr>
          <w:rFonts w:ascii="仿宋_GB2312" w:hAnsi="仿宋" w:eastAsia="仿宋_GB2312"/>
          <w:sz w:val="32"/>
          <w:szCs w:val="32"/>
        </w:rPr>
      </w:pPr>
      <w:r>
        <w:rPr>
          <w:rFonts w:hint="eastAsia" w:ascii="楷体_GB2312" w:hAnsi="楷体_GB2312" w:eastAsia="楷体_GB2312" w:cs="楷体_GB2312"/>
          <w:sz w:val="32"/>
          <w:szCs w:val="32"/>
        </w:rPr>
        <w:t>（一）项目基本情况</w:t>
      </w:r>
      <w:r>
        <w:rPr>
          <w:rFonts w:hint="eastAsia" w:ascii="仿宋_GB2312" w:hAnsi="仿宋" w:eastAsia="仿宋_GB2312"/>
          <w:sz w:val="32"/>
          <w:szCs w:val="32"/>
        </w:rPr>
        <w:t>：根据《四川省委组织部 中共四川省委党校 四川行政学院关于印发市县级党校办学质量评估办法（试行）的通知（川组训</w:t>
      </w:r>
      <w:r>
        <w:rPr>
          <w:rFonts w:hint="eastAsia" w:ascii="仿宋_GB2312" w:hAnsi="仿宋_GB2312" w:eastAsia="仿宋_GB2312" w:cs="仿宋_GB2312"/>
          <w:sz w:val="32"/>
          <w:szCs w:val="32"/>
        </w:rPr>
        <w:t>〔</w:t>
      </w:r>
      <w:r>
        <w:rPr>
          <w:rFonts w:hint="eastAsia" w:ascii="仿宋_GB2312" w:hAnsi="仿宋" w:eastAsia="仿宋_GB2312"/>
          <w:sz w:val="32"/>
          <w:szCs w:val="32"/>
        </w:rPr>
        <w:t>2020</w:t>
      </w:r>
      <w:r>
        <w:rPr>
          <w:rFonts w:hint="eastAsia" w:ascii="仿宋_GB2312" w:hAnsi="仿宋_GB2312" w:eastAsia="仿宋_GB2312" w:cs="仿宋_GB2312"/>
          <w:sz w:val="32"/>
          <w:szCs w:val="32"/>
        </w:rPr>
        <w:t>〕29号</w:t>
      </w:r>
      <w:r>
        <w:rPr>
          <w:rFonts w:hint="eastAsia" w:ascii="仿宋_GB2312" w:hAnsi="仿宋" w:eastAsia="仿宋_GB2312"/>
          <w:sz w:val="32"/>
          <w:szCs w:val="32"/>
        </w:rPr>
        <w:t>）》文件的要求，需要将师资培训费由财政经费足额保障。2021年实际实施了13人专（兼）职教师的外出培训任务。</w:t>
      </w:r>
    </w:p>
    <w:p>
      <w:pPr>
        <w:autoSpaceDE w:val="0"/>
        <w:spacing w:line="576" w:lineRule="exact"/>
        <w:ind w:firstLine="640" w:firstLineChars="200"/>
        <w:rPr>
          <w:rFonts w:ascii="仿宋_GB2312" w:hAnsi="Times New Roman" w:eastAsia="楷体_GB2312" w:cs="Times New Roman"/>
          <w:sz w:val="32"/>
          <w:szCs w:val="32"/>
        </w:rPr>
      </w:pPr>
      <w:r>
        <w:rPr>
          <w:rFonts w:hint="eastAsia" w:ascii="楷体_GB2312" w:hAnsi="Times New Roman" w:eastAsia="楷体_GB2312" w:cs="Times New Roman"/>
          <w:bCs/>
          <w:sz w:val="32"/>
          <w:szCs w:val="32"/>
        </w:rPr>
        <w:t>（二）项目绩效目标；</w:t>
      </w:r>
      <w:r>
        <w:rPr>
          <w:rFonts w:hint="eastAsia" w:ascii="仿宋_GB2312" w:hAnsi="仿宋_GB2312" w:eastAsia="仿宋_GB2312" w:cs="仿宋_GB2312"/>
          <w:bCs/>
          <w:sz w:val="32"/>
          <w:szCs w:val="32"/>
        </w:rPr>
        <w:t>通过培训，提高专（兼）教师业务能力和教学水平，丰富教学模式，推进党校教学科研工作。</w:t>
      </w:r>
    </w:p>
    <w:p>
      <w:pPr>
        <w:spacing w:line="576" w:lineRule="exact"/>
        <w:ind w:firstLine="640" w:firstLineChars="200"/>
        <w:rPr>
          <w:rFonts w:ascii="仿宋_GB2312" w:hAnsi="仿宋_GB2312" w:eastAsia="仿宋_GB2312" w:cs="仿宋_GB2312"/>
          <w:sz w:val="32"/>
          <w:szCs w:val="32"/>
        </w:rPr>
      </w:pPr>
      <w:r>
        <w:rPr>
          <w:rFonts w:hint="eastAsia" w:ascii="楷体_GB2312" w:hAnsi="Times New Roman" w:eastAsia="楷体_GB2312" w:cs="Times New Roman"/>
          <w:bCs/>
          <w:sz w:val="32"/>
          <w:szCs w:val="32"/>
        </w:rPr>
        <w:t>（三）</w:t>
      </w:r>
      <w:r>
        <w:rPr>
          <w:rFonts w:hint="eastAsia" w:ascii="楷体" w:hAnsi="楷体" w:eastAsia="楷体" w:cs="楷体"/>
          <w:sz w:val="32"/>
          <w:szCs w:val="32"/>
        </w:rPr>
        <w:t>项目资金申报相符性：</w:t>
      </w:r>
      <w:r>
        <w:rPr>
          <w:rFonts w:hint="eastAsia" w:ascii="仿宋_GB2312" w:hAnsi="仿宋_GB2312" w:eastAsia="仿宋_GB2312" w:cs="仿宋_GB2312"/>
          <w:sz w:val="32"/>
          <w:szCs w:val="32"/>
        </w:rPr>
        <w:t>按照区委党校《专兼职教师管理制度》、《教师培养培训制度》，实行“实报实销”的原则执行。</w:t>
      </w:r>
    </w:p>
    <w:p>
      <w:pPr>
        <w:autoSpaceDE w:val="0"/>
        <w:spacing w:line="576"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二、项目实施及管理情况</w:t>
      </w:r>
    </w:p>
    <w:p>
      <w:pPr>
        <w:spacing w:line="576" w:lineRule="exact"/>
        <w:ind w:firstLine="640" w:firstLineChars="200"/>
        <w:rPr>
          <w:rFonts w:ascii="仿宋_GB2312" w:hAnsi="仿宋" w:eastAsia="仿宋_GB2312"/>
          <w:sz w:val="32"/>
          <w:szCs w:val="32"/>
        </w:rPr>
      </w:pPr>
      <w:r>
        <w:rPr>
          <w:rFonts w:hint="eastAsia" w:ascii="楷体_GB2312" w:hAnsi="楷体_GB2312" w:eastAsia="楷体_GB2312" w:cs="楷体_GB2312"/>
          <w:sz w:val="32"/>
          <w:szCs w:val="32"/>
        </w:rPr>
        <w:t>（一）资金到位情况</w:t>
      </w:r>
      <w:r>
        <w:rPr>
          <w:rFonts w:hint="eastAsia" w:ascii="仿宋_GB2312" w:hAnsi="仿宋" w:eastAsia="仿宋_GB2312"/>
          <w:sz w:val="32"/>
          <w:szCs w:val="32"/>
        </w:rPr>
        <w:t>：区财政拨付师资培训费3万元｡</w:t>
      </w:r>
    </w:p>
    <w:p>
      <w:pPr>
        <w:spacing w:line="576" w:lineRule="exact"/>
        <w:ind w:firstLine="645"/>
        <w:rPr>
          <w:rFonts w:ascii="仿宋_GB2312" w:hAnsi="仿宋" w:eastAsia="仿宋_GB2312"/>
          <w:sz w:val="32"/>
          <w:szCs w:val="32"/>
        </w:rPr>
      </w:pPr>
      <w:r>
        <w:rPr>
          <w:rFonts w:hint="eastAsia" w:ascii="楷体_GB2312" w:hAnsi="楷体_GB2312" w:eastAsia="楷体_GB2312" w:cs="楷体_GB2312"/>
          <w:sz w:val="32"/>
          <w:szCs w:val="32"/>
        </w:rPr>
        <w:t>（二）预算资金执行情况</w:t>
      </w:r>
      <w:r>
        <w:rPr>
          <w:rFonts w:hint="eastAsia" w:ascii="仿宋_GB2312" w:hAnsi="仿宋" w:eastAsia="仿宋_GB2312"/>
          <w:sz w:val="32"/>
          <w:szCs w:val="32"/>
        </w:rPr>
        <w:t>：2021年用师资培训费3万元。</w:t>
      </w:r>
    </w:p>
    <w:p>
      <w:pPr>
        <w:spacing w:line="576" w:lineRule="exact"/>
        <w:ind w:firstLine="645"/>
        <w:rPr>
          <w:rFonts w:ascii="仿宋_GB2312" w:hAnsi="仿宋_GB2312" w:eastAsia="仿宋_GB2312" w:cs="仿宋_GB2312"/>
          <w:sz w:val="32"/>
          <w:szCs w:val="32"/>
        </w:rPr>
      </w:pPr>
      <w:r>
        <w:rPr>
          <w:rFonts w:hint="eastAsia" w:ascii="楷体_GB2312" w:hAnsi="楷体_GB2312" w:eastAsia="楷体_GB2312" w:cs="楷体_GB2312"/>
          <w:sz w:val="32"/>
          <w:szCs w:val="32"/>
        </w:rPr>
        <w:t>（三）项目资金规范运行情况</w:t>
      </w:r>
      <w:r>
        <w:rPr>
          <w:rFonts w:hint="eastAsia" w:ascii="仿宋_GB2312" w:hAnsi="仿宋" w:eastAsia="仿宋_GB2312"/>
          <w:sz w:val="32"/>
          <w:szCs w:val="32"/>
        </w:rPr>
        <w:t>：</w:t>
      </w:r>
      <w:r>
        <w:rPr>
          <w:rFonts w:hint="eastAsia" w:ascii="仿宋_GB2312" w:hAnsi="仿宋_GB2312" w:eastAsia="仿宋_GB2312" w:cs="仿宋_GB2312"/>
          <w:sz w:val="32"/>
          <w:szCs w:val="32"/>
          <w:lang w:val="zh-CN"/>
        </w:rPr>
        <w:t>严格按照项目资金管理办法对资金进行申报、划拨、使用，并及时做好相关账务处理和会计核算</w:t>
      </w:r>
      <w:r>
        <w:rPr>
          <w:rFonts w:hint="eastAsia" w:ascii="仿宋_GB2312" w:hAnsi="仿宋_GB2312" w:eastAsia="仿宋_GB2312" w:cs="仿宋_GB2312"/>
          <w:sz w:val="32"/>
          <w:szCs w:val="32"/>
        </w:rPr>
        <w:t>。</w:t>
      </w:r>
    </w:p>
    <w:p>
      <w:pPr>
        <w:spacing w:line="576" w:lineRule="exact"/>
        <w:ind w:firstLine="645"/>
        <w:rPr>
          <w:rFonts w:ascii="仿宋_GB2312" w:hAnsi="仿宋" w:eastAsia="仿宋_GB2312"/>
          <w:sz w:val="32"/>
          <w:szCs w:val="32"/>
        </w:rPr>
      </w:pPr>
      <w:r>
        <w:rPr>
          <w:rFonts w:hint="eastAsia" w:ascii="楷体_GB2312" w:hAnsi="楷体_GB2312" w:eastAsia="楷体_GB2312" w:cs="楷体_GB2312"/>
          <w:sz w:val="32"/>
          <w:szCs w:val="32"/>
        </w:rPr>
        <w:t>（四）财务管理情况</w:t>
      </w:r>
      <w:r>
        <w:rPr>
          <w:rFonts w:hint="eastAsia" w:ascii="仿宋_GB2312" w:hAnsi="仿宋" w:eastAsia="仿宋_GB2312"/>
          <w:sz w:val="32"/>
          <w:szCs w:val="32"/>
        </w:rPr>
        <w:t>：单位财务管理制度健全，严格执行财务管理制度，及时进行账务处理，会计核算规范。</w:t>
      </w:r>
    </w:p>
    <w:p>
      <w:pPr>
        <w:autoSpaceDE w:val="0"/>
        <w:spacing w:line="576"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三、项目绩效情况</w:t>
      </w:r>
      <w:r>
        <w:rPr>
          <w:rFonts w:hint="eastAsia" w:ascii="黑体" w:hAnsi="黑体" w:eastAsia="黑体" w:cs="Times New Roman"/>
          <w:sz w:val="32"/>
          <w:szCs w:val="32"/>
        </w:rPr>
        <w:tab/>
      </w:r>
    </w:p>
    <w:p>
      <w:pPr>
        <w:autoSpaceDE w:val="0"/>
        <w:spacing w:line="576" w:lineRule="exact"/>
        <w:ind w:firstLine="640" w:firstLineChars="200"/>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（一）项目完成情况</w:t>
      </w:r>
    </w:p>
    <w:p>
      <w:pPr>
        <w:autoSpaceDE w:val="0"/>
        <w:spacing w:line="576"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按照春秋两季，分别对13名专兼职教师分批次到梁家河干部培训学院、成都村政学院、四川长征干部学院夹金山分院、四川长征干部学院四渡赤水分院、隆昌市委党校、内江市委党校等地开展了能力提升培训。</w:t>
      </w:r>
    </w:p>
    <w:p>
      <w:pPr>
        <w:autoSpaceDE w:val="0"/>
        <w:spacing w:line="576" w:lineRule="exact"/>
        <w:ind w:firstLine="640" w:firstLineChars="200"/>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（二）项目效益情况</w:t>
      </w:r>
    </w:p>
    <w:p>
      <w:pPr>
        <w:autoSpaceDE w:val="0"/>
        <w:spacing w:line="576" w:lineRule="exact"/>
        <w:ind w:firstLine="640" w:firstLineChars="200"/>
        <w:rPr>
          <w:rFonts w:ascii="仿宋_GB2312" w:hAnsi="华文仿宋" w:eastAsia="仿宋_GB2312" w:cs="华文仿宋"/>
          <w:sz w:val="32"/>
          <w:szCs w:val="32"/>
        </w:rPr>
      </w:pPr>
      <w:r>
        <w:rPr>
          <w:rFonts w:hint="eastAsia" w:ascii="仿宋_GB2312" w:hAnsi="仿宋_GB2312" w:eastAsia="仿宋_GB2312" w:cs="仿宋_GB2312"/>
          <w:color w:val="000000"/>
          <w:kern w:val="0"/>
          <w:sz w:val="32"/>
          <w:szCs w:val="32"/>
        </w:rPr>
        <w:t>1.教学课程不断优化。</w:t>
      </w:r>
      <w:r>
        <w:rPr>
          <w:rFonts w:hint="eastAsia" w:ascii="仿宋_GB2312" w:hAnsi="仿宋_GB2312" w:eastAsia="仿宋_GB2312" w:cs="仿宋_GB2312"/>
          <w:sz w:val="32"/>
          <w:szCs w:val="32"/>
        </w:rPr>
        <w:t>联合区老区建设促进会推出《朝天区革命老区发展史》，已纳入我区主体班次党史学习教育培训内容。</w:t>
      </w:r>
      <w:r>
        <w:rPr>
          <w:rFonts w:hint="eastAsia" w:ascii="仿宋_GB2312" w:hAnsi="仿宋_GB2312" w:eastAsia="仿宋_GB2312" w:cs="仿宋_GB2312"/>
          <w:color w:val="000000"/>
          <w:kern w:val="0"/>
          <w:sz w:val="32"/>
          <w:szCs w:val="32"/>
        </w:rPr>
        <w:t>新打造</w:t>
      </w:r>
      <w:r>
        <w:rPr>
          <w:rFonts w:hint="eastAsia" w:ascii="仿宋_GB2312" w:eastAsia="仿宋_GB2312"/>
          <w:sz w:val="32"/>
          <w:szCs w:val="32"/>
        </w:rPr>
        <w:t>10门新课程，其中：《绿水青山就是金山银山—广元市朝天区曾家山生态康养的嬗变之路》《中华民族伟大复兴进入了不可逆转的历史进程》被列为市委党校新专题。</w:t>
      </w:r>
      <w:r>
        <w:rPr>
          <w:rFonts w:hint="eastAsia" w:ascii="仿宋_GB2312" w:hAnsi="仿宋_GB2312" w:eastAsia="仿宋_GB2312" w:cs="仿宋_GB2312"/>
          <w:color w:val="000000"/>
          <w:kern w:val="0"/>
          <w:sz w:val="32"/>
          <w:szCs w:val="32"/>
        </w:rPr>
        <w:t>四是教学基地升级打造</w:t>
      </w:r>
      <w:r>
        <w:rPr>
          <w:rFonts w:hint="eastAsia" w:ascii="仿宋_GB2312" w:hAnsi="仿宋_GB2312" w:eastAsia="仿宋_GB2312" w:cs="仿宋_GB2312"/>
          <w:sz w:val="32"/>
          <w:szCs w:val="32"/>
        </w:rPr>
        <w:t>。</w:t>
      </w:r>
      <w:r>
        <w:rPr>
          <w:rFonts w:hint="eastAsia" w:ascii="仿宋_GB2312" w:hAnsi="华文仿宋" w:eastAsia="仿宋_GB2312" w:cs="华文仿宋"/>
          <w:sz w:val="32"/>
          <w:szCs w:val="32"/>
        </w:rPr>
        <w:t>全区拟定的13个教学点的打造已完成了教学线路设计，目前正在进行教学提纲的撰写。曾家山被市委党校命名为“两山”理论实践教研基地，正式成为省市主体班次学员现场教学点。</w:t>
      </w:r>
    </w:p>
    <w:p>
      <w:pPr>
        <w:autoSpaceDE w:val="0"/>
        <w:spacing w:line="576"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kern w:val="0"/>
          <w:sz w:val="32"/>
          <w:szCs w:val="32"/>
        </w:rPr>
        <w:t>2.“好案例”方面：完成《</w:t>
      </w:r>
      <w:r>
        <w:rPr>
          <w:rFonts w:hint="eastAsia" w:ascii="仿宋_GB2312" w:eastAsia="仿宋_GB2312"/>
          <w:sz w:val="32"/>
          <w:szCs w:val="32"/>
        </w:rPr>
        <w:t>特色产业成乡村振兴金钥匙</w:t>
      </w:r>
      <w:r>
        <w:rPr>
          <w:rFonts w:hint="eastAsia" w:ascii="仿宋_GB2312" w:hAnsi="宋体" w:eastAsia="仿宋_GB2312"/>
          <w:sz w:val="32"/>
          <w:szCs w:val="32"/>
        </w:rPr>
        <w:t>——</w:t>
      </w:r>
      <w:r>
        <w:rPr>
          <w:rFonts w:hint="eastAsia" w:ascii="仿宋_GB2312" w:eastAsia="仿宋_GB2312"/>
          <w:sz w:val="32"/>
          <w:szCs w:val="32"/>
        </w:rPr>
        <w:t>特色产业助推贫困地区农民增收的“朝天实践”</w:t>
      </w:r>
      <w:r>
        <w:rPr>
          <w:rFonts w:hint="eastAsia" w:ascii="仿宋_GB2312" w:hAnsi="仿宋_GB2312" w:eastAsia="仿宋_GB2312" w:cs="仿宋_GB2312"/>
          <w:color w:val="000000"/>
          <w:kern w:val="0"/>
          <w:sz w:val="32"/>
          <w:szCs w:val="32"/>
        </w:rPr>
        <w:t>》《</w:t>
      </w:r>
      <w:r>
        <w:rPr>
          <w:rFonts w:hint="eastAsia" w:ascii="仿宋_GB2312" w:eastAsia="仿宋_GB2312"/>
          <w:color w:val="000000" w:themeColor="text1"/>
          <w:sz w:val="32"/>
          <w:szCs w:val="32"/>
          <w14:textFill>
            <w14:solidFill>
              <w14:schemeClr w14:val="tx1"/>
            </w14:solidFill>
          </w14:textFill>
        </w:rPr>
        <w:t>六共联动”共推川陕边际基层治理——朝天区与陕西省宁强县共抓边际联防联治的探索与实践</w:t>
      </w:r>
      <w:r>
        <w:rPr>
          <w:rFonts w:hint="eastAsia" w:ascii="仿宋_GB2312" w:hAnsi="仿宋_GB2312" w:eastAsia="仿宋_GB2312" w:cs="仿宋_GB2312"/>
          <w:color w:val="000000"/>
          <w:kern w:val="0"/>
          <w:sz w:val="32"/>
          <w:szCs w:val="32"/>
        </w:rPr>
        <w:t>》案例2个</w:t>
      </w:r>
      <w:r>
        <w:rPr>
          <w:rFonts w:hint="eastAsia" w:ascii="仿宋_GB2312" w:eastAsia="仿宋_GB2312"/>
          <w:color w:val="000000" w:themeColor="text1"/>
          <w:sz w:val="32"/>
          <w:szCs w:val="32"/>
          <w14:textFill>
            <w14:solidFill>
              <w14:schemeClr w14:val="tx1"/>
            </w14:solidFill>
          </w14:textFill>
        </w:rPr>
        <w:t>。</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eastAsia="仿宋_GB2312"/>
          <w:color w:val="000000" w:themeColor="text1"/>
          <w:sz w:val="32"/>
          <w:szCs w:val="32"/>
          <w14:textFill>
            <w14:solidFill>
              <w14:schemeClr w14:val="tx1"/>
            </w14:solidFill>
          </w14:textFill>
        </w:rPr>
        <w:t>3.在“好课题”方面：</w:t>
      </w:r>
      <w:r>
        <w:rPr>
          <w:rFonts w:hint="eastAsia" w:ascii="仿宋_GB2312" w:hAnsi="仿宋_GB2312" w:eastAsia="仿宋_GB2312" w:cs="仿宋_GB2312"/>
          <w:sz w:val="32"/>
          <w:szCs w:val="32"/>
        </w:rPr>
        <w:t>承接四川省委党校2021年度重点课题《红军长征在广元》委托子课题《红军长征在朝天》并如期结项；联合立项市委党校重点课题、一般课题各1个；立项区委党校重点课题1个，一般课题2个，其中重点课题《脱贫攻坚与乡村振兴有效衔接的调查与研究——以朝天区为例》已结项。</w:t>
      </w:r>
    </w:p>
    <w:p>
      <w:pPr>
        <w:autoSpaceDE w:val="0"/>
        <w:spacing w:line="576" w:lineRule="exact"/>
        <w:ind w:firstLine="640" w:firstLineChars="200"/>
        <w:rPr>
          <w:rFonts w:ascii="仿宋_GB2312" w:hAnsi="华文仿宋" w:eastAsia="仿宋_GB2312" w:cs="华文仿宋"/>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4.在“好文章”方面：</w:t>
      </w:r>
      <w:r>
        <w:rPr>
          <w:rFonts w:hint="eastAsia" w:ascii="仿宋_GB2312" w:hAnsi="仿宋_GB2312" w:eastAsia="仿宋_GB2312" w:cs="仿宋_GB2312"/>
          <w:sz w:val="32"/>
          <w:szCs w:val="32"/>
        </w:rPr>
        <w:t>全年共撰写理论文章8篇，其中《不忘初心，坚持以人民为中心的发展思想》《增强“三个学习”，做实“三个角色”》被学习强国平台刊发，《从&lt;共产党宣言&gt;中探源中国共产党的初心和使命》入选四川省庆祝中国共产党成立100周年理论研讨会论文，《坚持思想建党，理论强党的经验启示》等2篇理论文章入选广元市庆祝中国共产党成立100周年理论研讨会优秀论文，并纳入《“回望百年路 奋斗新征程”——广元市委党校主体班党史学习教育辅导资料》。</w:t>
      </w:r>
    </w:p>
    <w:p>
      <w:pPr>
        <w:autoSpaceDE w:val="0"/>
        <w:spacing w:line="576" w:lineRule="exact"/>
        <w:ind w:firstLine="960" w:firstLineChars="300"/>
        <w:rPr>
          <w:rFonts w:ascii="黑体" w:hAnsi="黑体" w:eastAsia="黑体" w:cs="Times New Roman"/>
          <w:sz w:val="32"/>
          <w:szCs w:val="32"/>
        </w:rPr>
      </w:pPr>
      <w:r>
        <w:rPr>
          <w:rFonts w:hint="eastAsia" w:ascii="黑体" w:hAnsi="黑体" w:eastAsia="黑体" w:cs="Times New Roman"/>
          <w:sz w:val="32"/>
          <w:szCs w:val="32"/>
        </w:rPr>
        <w:t>四、问题及建议</w:t>
      </w:r>
    </w:p>
    <w:p>
      <w:pPr>
        <w:autoSpaceDE w:val="0"/>
        <w:spacing w:line="576" w:lineRule="exact"/>
        <w:ind w:firstLine="640" w:firstLineChars="200"/>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（一）存在的问题</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1.干部培训实效有待加强，如外出学习较少，视野开拓不足；</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2.科研资政量质有待提升，如理论文章质量不精，立项课题级别不够，科研获奖层次不高等。</w:t>
      </w:r>
    </w:p>
    <w:p>
      <w:pPr>
        <w:spacing w:line="576" w:lineRule="exact"/>
        <w:ind w:firstLine="640" w:firstLineChars="200"/>
        <w:rPr>
          <w:rFonts w:ascii="楷体" w:hAnsi="楷体" w:eastAsia="楷体" w:cs="楷体"/>
          <w:sz w:val="32"/>
          <w:szCs w:val="32"/>
        </w:rPr>
      </w:pPr>
      <w:r>
        <w:rPr>
          <w:rFonts w:hint="eastAsia" w:ascii="楷体" w:hAnsi="楷体" w:eastAsia="楷体" w:cs="楷体"/>
          <w:sz w:val="32"/>
          <w:szCs w:val="32"/>
        </w:rPr>
        <w:t>（二）相关建议</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学习《中国共产党党校（行政学院）工作条例》（以下简称《条例》）。深入学习贯彻《条例》是当前全国党校（行政学院）系统的重大政治任务，要走在前、作表率。要把学习贯彻《条例》工作放在重要位置，要自觉与《条例》对标对表，查缺补漏，创造性地开展工作，在新起点上开创工作新局面，不断增强做好新时代党校（行政学院）工作的使命感责任感紧迫感。</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提升培训实效。不断优化培训内容，结合需求调研情况，科学设置教学专题；不断创新培训手段，不断探索新的教学方法，用“互联网+”推动教学、科研、教学管理的改革创新，不断提升干部教育培训的现代化水平；升级打造现场教学，切实提升现场教学的质量水平，提高教育培训吸引力。</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3.提高科研质量。强化科研精品意识，推出精品创作，力争在省级课题申报立项上实现新突破，实现在核心刊物、公开刊物发文数量上稳步增加；强化资政导向，拓宽资政途径，更好为教学和基层干部服务。</w:t>
      </w: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rPr>
      </w:pPr>
    </w:p>
    <w:tbl>
      <w:tblPr>
        <w:tblStyle w:val="14"/>
        <w:tblW w:w="8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5"/>
        <w:gridCol w:w="866"/>
        <w:gridCol w:w="1234"/>
        <w:gridCol w:w="1133"/>
        <w:gridCol w:w="1544"/>
        <w:gridCol w:w="1856"/>
        <w:gridCol w:w="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0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iCs w:val="0"/>
                <w:color w:val="000000"/>
                <w:sz w:val="36"/>
                <w:szCs w:val="36"/>
                <w:u w:val="none"/>
              </w:rPr>
            </w:pPr>
            <w:r>
              <w:rPr>
                <w:rFonts w:hint="eastAsia" w:ascii="方正大标宋简体" w:hAnsi="方正大标宋简体" w:eastAsia="方正大标宋简体" w:cs="方正大标宋简体"/>
                <w:i w:val="0"/>
                <w:iCs w:val="0"/>
                <w:color w:val="000000"/>
                <w:kern w:val="0"/>
                <w:sz w:val="36"/>
                <w:szCs w:val="36"/>
                <w:u w:val="none"/>
                <w:lang w:val="en-US" w:eastAsia="zh-CN" w:bidi="ar"/>
              </w:rPr>
              <w:t>部门预算项目支出绩效目标自评表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0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0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部门（单位）盖章：</w:t>
            </w:r>
            <w:r>
              <w:rPr>
                <w:rFonts w:hint="eastAsia" w:ascii="方正仿宋简体" w:hAnsi="方正仿宋简体" w:eastAsia="方正仿宋简体" w:cs="方正仿宋简体"/>
                <w:i w:val="0"/>
                <w:iCs w:val="0"/>
                <w:color w:val="000000"/>
                <w:kern w:val="0"/>
                <w:sz w:val="22"/>
                <w:szCs w:val="22"/>
                <w:u w:val="none"/>
                <w:lang w:val="en-US" w:eastAsia="zh-CN" w:bidi="ar"/>
              </w:rPr>
              <w:t>中共广元市朝天区委党校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项目支出名称</w:t>
            </w:r>
          </w:p>
        </w:tc>
        <w:tc>
          <w:tcPr>
            <w:tcW w:w="66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2021年师资培训费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66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中共广元市朝天区委党校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全年预算数（万元） </w:t>
            </w:r>
          </w:p>
        </w:tc>
        <w:tc>
          <w:tcPr>
            <w:tcW w:w="2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全年执行数（万元）</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其中：一般公共预算</w:t>
            </w:r>
          </w:p>
        </w:tc>
        <w:tc>
          <w:tcPr>
            <w:tcW w:w="2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其中：一般公共预算</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2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2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社会保险基金预算</w:t>
            </w:r>
          </w:p>
        </w:tc>
        <w:tc>
          <w:tcPr>
            <w:tcW w:w="2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社会保险基金预算</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2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目标完成情况</w:t>
            </w:r>
          </w:p>
        </w:tc>
        <w:tc>
          <w:tcPr>
            <w:tcW w:w="47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全年预期目标</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7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完成党校专兼职教师13人提能培训计划。</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完成党校专兼职教师13人提能培训计划。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年度绩效指标完成情况</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全年预期指标值</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全年实际完成指标值</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数量指标</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外出培训教师</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13名</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13名</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培训次数</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4次</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4次</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质量指标</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提高教师教学水平</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时效指标</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春季班</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7人</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7人</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秋季班</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6人</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6人</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成本指标</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成本总费用</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≤3万元</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≤3万元</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社会效益指标</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提高教师教学水平</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提高教师教学水平</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教师满意率</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学员满意率</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2"/>
        <w:rPr>
          <w:rFonts w:hint="eastAsia"/>
        </w:rPr>
      </w:pPr>
    </w:p>
    <w:p>
      <w:pPr>
        <w:spacing w:line="600" w:lineRule="exact"/>
        <w:jc w:val="center"/>
        <w:outlineLvl w:val="0"/>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59"/>
      <w:bookmarkEnd w:id="61"/>
      <w:bookmarkStart w:id="62"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62"/>
    </w:p>
    <w:p>
      <w:pPr>
        <w:pStyle w:val="4"/>
        <w:rPr>
          <w:rFonts w:ascii="仿宋" w:hAnsi="仿宋" w:eastAsia="仿宋"/>
          <w:color w:val="auto"/>
          <w:highlight w:val="none"/>
        </w:rPr>
      </w:pPr>
      <w:bookmarkStart w:id="63" w:name="_Toc15396620"/>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63"/>
    </w:p>
    <w:p>
      <w:pPr>
        <w:pStyle w:val="4"/>
        <w:rPr>
          <w:rFonts w:ascii="仿宋" w:hAnsi="仿宋" w:eastAsia="仿宋"/>
          <w:color w:val="auto"/>
          <w:highlight w:val="none"/>
        </w:rPr>
      </w:pPr>
      <w:bookmarkStart w:id="64" w:name="_Toc15396621"/>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64"/>
    </w:p>
    <w:p>
      <w:pPr>
        <w:pStyle w:val="4"/>
        <w:rPr>
          <w:rFonts w:ascii="仿宋" w:hAnsi="仿宋" w:eastAsia="仿宋"/>
          <w:b w:val="0"/>
          <w:color w:val="auto"/>
          <w:highlight w:val="none"/>
        </w:rPr>
      </w:pPr>
      <w:bookmarkStart w:id="65" w:name="_Toc15396622"/>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65"/>
    </w:p>
    <w:p>
      <w:pPr>
        <w:pStyle w:val="4"/>
        <w:rPr>
          <w:rStyle w:val="27"/>
          <w:rFonts w:ascii="仿宋" w:hAnsi="仿宋" w:eastAsia="仿宋"/>
          <w:b w:val="0"/>
          <w:bCs w:val="0"/>
          <w:color w:val="auto"/>
          <w:highlight w:val="none"/>
        </w:rPr>
      </w:pPr>
      <w:bookmarkStart w:id="66" w:name="_Toc15396623"/>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66"/>
      <w:bookmarkStart w:id="67" w:name="_Toc15396624"/>
    </w:p>
    <w:p>
      <w:pPr>
        <w:pStyle w:val="4"/>
        <w:rPr>
          <w:rFonts w:ascii="仿宋" w:hAnsi="仿宋" w:eastAsia="仿宋"/>
          <w:color w:val="auto"/>
          <w:highlight w:val="none"/>
        </w:rPr>
      </w:pPr>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67"/>
    </w:p>
    <w:p>
      <w:pPr>
        <w:pStyle w:val="4"/>
        <w:rPr>
          <w:rFonts w:ascii="仿宋" w:hAnsi="仿宋" w:eastAsia="仿宋"/>
          <w:color w:val="auto"/>
          <w:highlight w:val="none"/>
        </w:rPr>
      </w:pPr>
      <w:bookmarkStart w:id="68" w:name="_Toc15396625"/>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68"/>
    </w:p>
    <w:p>
      <w:pPr>
        <w:pStyle w:val="4"/>
        <w:rPr>
          <w:rFonts w:ascii="仿宋" w:hAnsi="仿宋" w:eastAsia="仿宋"/>
          <w:color w:val="auto"/>
          <w:highlight w:val="none"/>
        </w:rPr>
      </w:pPr>
      <w:bookmarkStart w:id="69" w:name="_Toc15396626"/>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69"/>
    </w:p>
    <w:p>
      <w:pPr>
        <w:pStyle w:val="4"/>
        <w:rPr>
          <w:rFonts w:ascii="仿宋" w:hAnsi="仿宋" w:eastAsia="仿宋"/>
          <w:color w:val="auto"/>
          <w:highlight w:val="none"/>
        </w:rPr>
      </w:pPr>
      <w:bookmarkStart w:id="70" w:name="_Toc15396627"/>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70"/>
    </w:p>
    <w:p>
      <w:pPr>
        <w:pStyle w:val="4"/>
        <w:rPr>
          <w:rFonts w:ascii="仿宋" w:hAnsi="仿宋" w:eastAsia="仿宋"/>
          <w:color w:val="auto"/>
          <w:highlight w:val="none"/>
        </w:rPr>
      </w:pPr>
      <w:bookmarkStart w:id="71" w:name="_Toc15396628"/>
      <w:r>
        <w:rPr>
          <w:rStyle w:val="27"/>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般公共预算财政拨款“三公”经费支出决算表</w:t>
      </w:r>
      <w:bookmarkEnd w:id="71"/>
    </w:p>
    <w:p>
      <w:pPr>
        <w:pStyle w:val="4"/>
        <w:rPr>
          <w:rFonts w:ascii="仿宋" w:hAnsi="仿宋" w:eastAsia="仿宋"/>
          <w:color w:val="auto"/>
          <w:highlight w:val="none"/>
        </w:rPr>
      </w:pPr>
      <w:bookmarkStart w:id="72" w:name="_Toc15396629"/>
      <w:r>
        <w:rPr>
          <w:rStyle w:val="27"/>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bookmarkEnd w:id="72"/>
    </w:p>
    <w:p>
      <w:pPr>
        <w:pStyle w:val="4"/>
        <w:rPr>
          <w:rFonts w:ascii="仿宋" w:hAnsi="仿宋" w:eastAsia="仿宋"/>
          <w:color w:val="auto"/>
          <w:highlight w:val="none"/>
        </w:rPr>
      </w:pPr>
      <w:bookmarkStart w:id="73" w:name="_Toc15396630"/>
      <w:r>
        <w:rPr>
          <w:rStyle w:val="27"/>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府性基金预算财政拨款“三公”经费支出决算表</w:t>
      </w:r>
      <w:bookmarkEnd w:id="73"/>
    </w:p>
    <w:p>
      <w:pPr>
        <w:pStyle w:val="4"/>
        <w:rPr>
          <w:rStyle w:val="27"/>
          <w:rFonts w:hint="eastAsia" w:ascii="仿宋" w:hAnsi="仿宋" w:eastAsia="仿宋"/>
          <w:b w:val="0"/>
          <w:bCs w:val="0"/>
          <w:color w:val="auto"/>
          <w:highlight w:val="none"/>
        </w:rPr>
      </w:pPr>
      <w:bookmarkStart w:id="74" w:name="_Toc15396631"/>
      <w:r>
        <w:rPr>
          <w:rStyle w:val="27"/>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bookmarkEnd w:id="74"/>
    </w:p>
    <w:p>
      <w:pPr>
        <w:rPr>
          <w:rFonts w:hint="eastAsia" w:eastAsia="仿宋"/>
          <w:color w:val="auto"/>
          <w:highlight w:val="none"/>
          <w:lang w:eastAsia="zh-CN"/>
        </w:rPr>
      </w:pPr>
      <w:r>
        <w:rPr>
          <w:rStyle w:val="27"/>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方正大标宋简体">
    <w:altName w:val="宋体"/>
    <w:panose1 w:val="03000509000000000000"/>
    <w:charset w:val="86"/>
    <w:family w:val="auto"/>
    <w:pitch w:val="default"/>
    <w:sig w:usb0="00000000" w:usb1="00000000" w:usb2="00000000" w:usb3="00000000" w:csb0="00040000" w:csb1="00000000"/>
  </w:font>
  <w:font w:name="??">
    <w:altName w:val="Mangal"/>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BD9E3"/>
    <w:multiLevelType w:val="singleLevel"/>
    <w:tmpl w:val="9BABD9E3"/>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93259AC"/>
    <w:multiLevelType w:val="singleLevel"/>
    <w:tmpl w:val="E93259AC"/>
    <w:lvl w:ilvl="0" w:tentative="0">
      <w:start w:val="2"/>
      <w:numFmt w:val="chineseCounting"/>
      <w:suff w:val="nothing"/>
      <w:lvlText w:val="（%1）"/>
      <w:lvlJc w:val="left"/>
      <w:rPr>
        <w:rFonts w:hint="eastAsia"/>
      </w:rPr>
    </w:lvl>
  </w:abstractNum>
  <w:abstractNum w:abstractNumId="4">
    <w:nsid w:val="F4258741"/>
    <w:multiLevelType w:val="singleLevel"/>
    <w:tmpl w:val="F4258741"/>
    <w:lvl w:ilvl="0" w:tentative="0">
      <w:start w:val="1"/>
      <w:numFmt w:val="decimal"/>
      <w:suff w:val="nothing"/>
      <w:lvlText w:val="%1、"/>
      <w:lvlJc w:val="left"/>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3E794925"/>
    <w:multiLevelType w:val="singleLevel"/>
    <w:tmpl w:val="3E794925"/>
    <w:lvl w:ilvl="0" w:tentative="0">
      <w:start w:val="3"/>
      <w:numFmt w:val="chineseCounting"/>
      <w:suff w:val="nothing"/>
      <w:lvlText w:val="（%1）"/>
      <w:lvlJc w:val="left"/>
      <w:rPr>
        <w:rFonts w:hint="eastAsia"/>
      </w:rPr>
    </w:lvl>
  </w:abstractNum>
  <w:abstractNum w:abstractNumId="7">
    <w:nsid w:val="49C222F6"/>
    <w:multiLevelType w:val="singleLevel"/>
    <w:tmpl w:val="49C222F6"/>
    <w:lvl w:ilvl="0" w:tentative="0">
      <w:start w:val="1"/>
      <w:numFmt w:val="decimal"/>
      <w:suff w:val="nothing"/>
      <w:lvlText w:val="%1、"/>
      <w:lvlJc w:val="left"/>
    </w:lvl>
  </w:abstractNum>
  <w:abstractNum w:abstractNumId="8">
    <w:nsid w:val="7E842D54"/>
    <w:multiLevelType w:val="singleLevel"/>
    <w:tmpl w:val="7E842D54"/>
    <w:lvl w:ilvl="0" w:tentative="0">
      <w:start w:val="4"/>
      <w:numFmt w:val="chineseCounting"/>
      <w:suff w:val="nothing"/>
      <w:lvlText w:val="%1、"/>
      <w:lvlJc w:val="left"/>
      <w:rPr>
        <w:rFonts w:hint="eastAsia"/>
      </w:rPr>
    </w:lvl>
  </w:abstractNum>
  <w:num w:numId="1">
    <w:abstractNumId w:val="5"/>
  </w:num>
  <w:num w:numId="2">
    <w:abstractNumId w:val="1"/>
  </w:num>
  <w:num w:numId="3">
    <w:abstractNumId w:val="2"/>
  </w:num>
  <w:num w:numId="4">
    <w:abstractNumId w:val="0"/>
  </w:num>
  <w:num w:numId="5">
    <w:abstractNumId w:val="6"/>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3MDE1MzVkODFjYTJjZDY2NmQzNTdkZDZjYzZiNW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C170CB"/>
    <w:rsid w:val="03E24302"/>
    <w:rsid w:val="066E0107"/>
    <w:rsid w:val="070B66B1"/>
    <w:rsid w:val="07996F6E"/>
    <w:rsid w:val="07C733D5"/>
    <w:rsid w:val="0A2032A3"/>
    <w:rsid w:val="101860EC"/>
    <w:rsid w:val="10C055FF"/>
    <w:rsid w:val="115B3A5A"/>
    <w:rsid w:val="118107EC"/>
    <w:rsid w:val="12557610"/>
    <w:rsid w:val="13D50BC4"/>
    <w:rsid w:val="16BB723D"/>
    <w:rsid w:val="16C44118"/>
    <w:rsid w:val="17EE22B8"/>
    <w:rsid w:val="18E828A2"/>
    <w:rsid w:val="1B530684"/>
    <w:rsid w:val="1BE8440E"/>
    <w:rsid w:val="1D155CEE"/>
    <w:rsid w:val="23860B96"/>
    <w:rsid w:val="240371BF"/>
    <w:rsid w:val="253B28B5"/>
    <w:rsid w:val="26E1123A"/>
    <w:rsid w:val="29FD04D3"/>
    <w:rsid w:val="2C22032B"/>
    <w:rsid w:val="2C8A61B5"/>
    <w:rsid w:val="2D92328E"/>
    <w:rsid w:val="2DF04E50"/>
    <w:rsid w:val="319F7F4E"/>
    <w:rsid w:val="32DE5371"/>
    <w:rsid w:val="355E7F17"/>
    <w:rsid w:val="359F7AA1"/>
    <w:rsid w:val="36AA5135"/>
    <w:rsid w:val="37E16F03"/>
    <w:rsid w:val="3D98207C"/>
    <w:rsid w:val="3D9B7F3D"/>
    <w:rsid w:val="40833636"/>
    <w:rsid w:val="44E268DA"/>
    <w:rsid w:val="4A627F82"/>
    <w:rsid w:val="4A635600"/>
    <w:rsid w:val="4B4F25DA"/>
    <w:rsid w:val="4BE068DB"/>
    <w:rsid w:val="4D577224"/>
    <w:rsid w:val="4D662315"/>
    <w:rsid w:val="4EAB630A"/>
    <w:rsid w:val="4ECE2238"/>
    <w:rsid w:val="4ED34E17"/>
    <w:rsid w:val="4FFFC5C8"/>
    <w:rsid w:val="50577CF3"/>
    <w:rsid w:val="560C332E"/>
    <w:rsid w:val="5AF92295"/>
    <w:rsid w:val="5B9F4AF0"/>
    <w:rsid w:val="5CD71FC4"/>
    <w:rsid w:val="5E7D126D"/>
    <w:rsid w:val="645C0D30"/>
    <w:rsid w:val="647E189B"/>
    <w:rsid w:val="66376316"/>
    <w:rsid w:val="67E1461B"/>
    <w:rsid w:val="6C4A05C8"/>
    <w:rsid w:val="6CF83F47"/>
    <w:rsid w:val="6E514BF1"/>
    <w:rsid w:val="6E7E3605"/>
    <w:rsid w:val="6EB160B4"/>
    <w:rsid w:val="6FF5CC65"/>
    <w:rsid w:val="6FF86CF6"/>
    <w:rsid w:val="715C0E4B"/>
    <w:rsid w:val="72734D90"/>
    <w:rsid w:val="728E4BA1"/>
    <w:rsid w:val="73AD73D5"/>
    <w:rsid w:val="73B6EB34"/>
    <w:rsid w:val="74E7314D"/>
    <w:rsid w:val="754E616D"/>
    <w:rsid w:val="786A41B8"/>
    <w:rsid w:val="79EE5BA4"/>
    <w:rsid w:val="7A894339"/>
    <w:rsid w:val="7A992B33"/>
    <w:rsid w:val="7EEF11D3"/>
    <w:rsid w:val="7FA30C79"/>
    <w:rsid w:val="7FC96657"/>
    <w:rsid w:val="7FEFA31C"/>
    <w:rsid w:val="D8D6DB89"/>
    <w:rsid w:val="DB6F4CAB"/>
    <w:rsid w:val="DF6F9789"/>
    <w:rsid w:val="FAFFD8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qFormat/>
    <w:uiPriority w:val="0"/>
    <w:rPr>
      <w:rFonts w:ascii="宋体" w:hAnsi="Courier New" w:cs="Courier New"/>
      <w:szCs w:val="21"/>
    </w:r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spacing w:before="100" w:beforeAutospacing="1" w:after="100" w:afterAutospacing="1"/>
      <w:jc w:val="left"/>
    </w:pPr>
    <w:rPr>
      <w:rFonts w:cs="Times New Roman"/>
      <w:kern w:val="0"/>
      <w:sz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30</Pages>
  <Words>11163</Words>
  <Characters>11810</Characters>
  <Lines>61</Lines>
  <Paragraphs>17</Paragraphs>
  <TotalTime>6</TotalTime>
  <ScaleCrop>false</ScaleCrop>
  <LinksUpToDate>false</LinksUpToDate>
  <CharactersWithSpaces>11903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2020-08-06T01:49:00Z</dcterms:created>
  <dc:creator>曹颖</dc:creator>
  <cp:lastModifiedBy>user</cp:lastModifiedBy>
  <cp:lastPrinted>2022-08-09T09:11:00Z</cp:lastPrinted>
  <dcterms:modified xsi:type="dcterms:W3CDTF">2025-02-19T17:24:44Z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71EE4C5B63CC42F888BCD11980679D2B</vt:lpwstr>
  </property>
</Properties>
</file>