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bookmarkStart w:id="0" w:name="_GoBack"/>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广元市朝天区云雾山镇小学</w:t>
      </w:r>
      <w:bookmarkEnd w:id="0"/>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2024年预算编制说明</w:t>
      </w:r>
    </w:p>
    <w:p>
      <w:pPr>
        <w:jc w:val="center"/>
        <w:rPr>
          <w:rFonts w:hint="eastAsia" w:ascii="黑体" w:hAnsi="黑体" w:eastAsia="黑体" w:cs="黑体"/>
          <w:b/>
          <w:bCs/>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目   录</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一、基本职能及主要工作..............................(3</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（一）单位职能简介..................................(</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3)</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（二）单位2024年重点工作...........................(3</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二、部门预算单位构成................................(4</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三、收支预算情况说明................................(</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4)</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（一）收入预算情况..................................(4)</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（二）支出预算情况..................................(4</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四、财政拨款收支预算情况说明........................(</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5)</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五、一般公共预算当年拨款情况说明....................(</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5)</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（一）一般公共预算当年拨款规模变化情况..............(5</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（二）一般公共预算当年拨款结构情况..................(</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5)</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（三）一般公共预算当年拨款具体使用情况..............(</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5)</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六、一般公共预算基本支出情况说明....................(</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6)</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七、“三公”经费财政拨款预算安排情况说明............(6</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八、政府性基金预算支出情况说明......................(</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6)</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九、国有资本经营预算支出情况说明....................(7</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十、其他重要事项的情况说明........................(</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7)</w:t>
      </w:r>
    </w:p>
    <w:p>
      <w:pPr>
        <w:jc w:val="both"/>
        <w:rPr>
          <w:rFonts w:hint="eastAsia" w:ascii="仿宋_GB2312" w:hAnsi="仿宋_GB2312" w:eastAsia="仿宋_GB2312" w:cs="仿宋_GB2312"/>
          <w:i w:val="0"/>
          <w:caps w:val="0"/>
          <w:color w:val="000000" w:themeColor="text1"/>
          <w:spacing w:val="0"/>
          <w:sz w:val="32"/>
          <w:szCs w:val="32"/>
          <w:highlight w:val="none"/>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十一、名词解释....................................(8</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0"/>
        <w:jc w:val="both"/>
        <w:rPr>
          <w:rFonts w:hint="default" w:ascii="宋体" w:hAnsi="宋体" w:eastAsia="宋体" w:cs="宋体"/>
          <w:b/>
          <w:i w:val="0"/>
          <w:caps w:val="0"/>
          <w:color w:val="000000" w:themeColor="text1"/>
          <w:spacing w:val="0"/>
          <w:sz w:val="28"/>
          <w:szCs w:val="28"/>
          <w:highlight w:val="none"/>
          <w:shd w:val="clear" w:color="auto" w:fill="FFFFFF"/>
          <w:lang w:val="en-US" w:eastAsia="zh-CN"/>
          <w14:textFill>
            <w14:solidFill>
              <w14:schemeClr w14:val="tx1"/>
            </w14:solidFill>
          </w14:textFill>
        </w:rPr>
      </w:pPr>
      <w:r>
        <w:rPr>
          <w:rFonts w:hint="eastAsia" w:ascii="宋体" w:hAnsi="宋体" w:cs="宋体"/>
          <w:b/>
          <w:i w:val="0"/>
          <w:caps w:val="0"/>
          <w:color w:val="000000" w:themeColor="text1"/>
          <w:spacing w:val="0"/>
          <w:sz w:val="28"/>
          <w:szCs w:val="28"/>
          <w:highlight w:val="none"/>
          <w:shd w:val="clear" w:color="auto" w:fill="FFFFFF"/>
          <w:lang w:val="en-US" w:eastAsia="zh-CN"/>
          <w14:textFill>
            <w14:solidFill>
              <w14:schemeClr w14:val="tx1"/>
            </w14:solidFill>
          </w14:textFill>
        </w:rPr>
        <w:t xml:space="preserve">     </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一、基本职能及主要工作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w:t>
      </w:r>
      <w:r>
        <w:rPr>
          <w:rFonts w:hint="eastAsia" w:ascii="楷体_GB2312" w:hAnsi="楷体_GB2312" w:eastAsia="楷体_GB2312" w:cs="楷体_GB2312"/>
          <w:sz w:val="32"/>
          <w:szCs w:val="32"/>
          <w:lang w:val="en-US" w:eastAsia="zh-CN"/>
        </w:rPr>
        <w:t>单位</w:t>
      </w:r>
      <w:r>
        <w:rPr>
          <w:rFonts w:hint="eastAsia" w:ascii="楷体_GB2312" w:hAnsi="楷体_GB2312" w:eastAsia="楷体_GB2312" w:cs="楷体_GB2312"/>
          <w:sz w:val="32"/>
          <w:szCs w:val="32"/>
        </w:rPr>
        <w:t>职能简介</w:t>
      </w:r>
    </w:p>
    <w:p>
      <w:pPr>
        <w:pStyle w:val="2"/>
        <w:adjustRightInd w:val="0"/>
        <w:snapToGrid w:val="0"/>
        <w:spacing w:before="93" w:line="600" w:lineRule="exact"/>
        <w:ind w:firstLine="672" w:firstLineChars="210"/>
        <w:outlineLvl w:val="2"/>
        <w:rPr>
          <w:rFonts w:hint="eastAsia" w:ascii="仿宋" w:hAnsi="仿宋" w:eastAsia="仿宋" w:cs="仿宋"/>
          <w:bCs/>
          <w:color w:val="000000"/>
          <w:sz w:val="32"/>
          <w:szCs w:val="32"/>
          <w:lang w:val="en-US" w:eastAsia="zh-CN"/>
        </w:rPr>
      </w:pPr>
      <w:r>
        <w:rPr>
          <w:rFonts w:hint="eastAsia" w:ascii="仿宋" w:hAnsi="仿宋" w:eastAsia="仿宋" w:cs="仿宋"/>
          <w:bCs/>
          <w:color w:val="000000"/>
          <w:sz w:val="32"/>
          <w:szCs w:val="32"/>
          <w:lang w:val="en-US" w:eastAsia="zh-CN"/>
        </w:rPr>
        <w:t>1、正确贯彻执行党和国家的教育方针、政策、法规。</w:t>
      </w:r>
    </w:p>
    <w:p>
      <w:pPr>
        <w:pStyle w:val="2"/>
        <w:adjustRightInd w:val="0"/>
        <w:snapToGrid w:val="0"/>
        <w:spacing w:before="93" w:line="600" w:lineRule="exact"/>
        <w:ind w:left="638" w:leftChars="304" w:firstLine="28" w:firstLineChars="9"/>
        <w:outlineLvl w:val="2"/>
        <w:rPr>
          <w:rFonts w:hint="eastAsia" w:ascii="仿宋" w:hAnsi="仿宋" w:eastAsia="仿宋" w:cs="仿宋"/>
          <w:bCs/>
          <w:color w:val="000000"/>
          <w:sz w:val="32"/>
          <w:szCs w:val="32"/>
          <w:lang w:val="en-US" w:eastAsia="zh-CN"/>
        </w:rPr>
      </w:pPr>
      <w:r>
        <w:rPr>
          <w:rFonts w:hint="eastAsia" w:ascii="仿宋" w:hAnsi="仿宋" w:eastAsia="仿宋" w:cs="仿宋"/>
          <w:bCs/>
          <w:color w:val="000000"/>
          <w:sz w:val="32"/>
          <w:szCs w:val="32"/>
          <w:lang w:val="en-US" w:eastAsia="zh-CN"/>
        </w:rPr>
        <w:t>2、维护学校的教学秩序，为学生创造良好的学习环境。</w:t>
      </w:r>
    </w:p>
    <w:p>
      <w:pPr>
        <w:pStyle w:val="2"/>
        <w:adjustRightInd w:val="0"/>
        <w:snapToGrid w:val="0"/>
        <w:spacing w:before="93" w:line="600" w:lineRule="exact"/>
        <w:ind w:left="638" w:leftChars="304" w:firstLine="28" w:firstLineChars="9"/>
        <w:outlineLvl w:val="2"/>
        <w:rPr>
          <w:rFonts w:hint="eastAsia" w:ascii="仿宋" w:hAnsi="仿宋" w:eastAsia="仿宋" w:cs="仿宋"/>
          <w:bCs/>
          <w:color w:val="000000"/>
          <w:sz w:val="32"/>
          <w:szCs w:val="32"/>
          <w:lang w:val="en-US" w:eastAsia="zh-CN"/>
        </w:rPr>
      </w:pPr>
      <w:r>
        <w:rPr>
          <w:rFonts w:hint="eastAsia" w:ascii="仿宋" w:hAnsi="仿宋" w:eastAsia="仿宋" w:cs="仿宋"/>
          <w:bCs/>
          <w:color w:val="000000"/>
          <w:sz w:val="32"/>
          <w:szCs w:val="32"/>
          <w:lang w:val="en-US" w:eastAsia="zh-CN"/>
        </w:rPr>
        <w:t>3、积极稳妥的推进教育改革，按照教育规律办事，不断提高教育质量。</w:t>
      </w:r>
    </w:p>
    <w:p>
      <w:pPr>
        <w:pStyle w:val="2"/>
        <w:adjustRightInd w:val="0"/>
        <w:snapToGrid w:val="0"/>
        <w:spacing w:before="93" w:line="600" w:lineRule="exact"/>
        <w:ind w:left="638" w:leftChars="304" w:firstLine="28" w:firstLineChars="9"/>
        <w:outlineLvl w:val="2"/>
        <w:rPr>
          <w:rFonts w:hint="eastAsia" w:ascii="仿宋" w:hAnsi="仿宋" w:eastAsia="仿宋" w:cs="仿宋"/>
          <w:bCs/>
          <w:color w:val="000000"/>
          <w:sz w:val="32"/>
          <w:szCs w:val="32"/>
          <w:lang w:val="en-US" w:eastAsia="zh-CN"/>
        </w:rPr>
      </w:pPr>
      <w:r>
        <w:rPr>
          <w:rFonts w:hint="eastAsia" w:ascii="仿宋" w:hAnsi="仿宋" w:eastAsia="仿宋" w:cs="仿宋"/>
          <w:bCs/>
          <w:color w:val="000000"/>
          <w:sz w:val="32"/>
          <w:szCs w:val="32"/>
          <w:lang w:val="en-US" w:eastAsia="zh-CN"/>
        </w:rPr>
        <w:t>4、根据学校规模，设置学校管理机构，建立健全各项规章制度和岗位责任制。</w:t>
      </w:r>
    </w:p>
    <w:p>
      <w:pPr>
        <w:pStyle w:val="2"/>
        <w:adjustRightInd w:val="0"/>
        <w:snapToGrid w:val="0"/>
        <w:spacing w:before="93" w:line="600" w:lineRule="exact"/>
        <w:ind w:left="638" w:leftChars="304" w:firstLine="28" w:firstLineChars="9"/>
        <w:outlineLvl w:val="2"/>
        <w:rPr>
          <w:rFonts w:hint="eastAsia" w:ascii="仿宋" w:hAnsi="仿宋" w:eastAsia="仿宋" w:cs="仿宋"/>
          <w:bCs/>
          <w:color w:val="000000"/>
          <w:sz w:val="32"/>
          <w:szCs w:val="32"/>
          <w:lang w:val="en-US" w:eastAsia="zh-CN"/>
        </w:rPr>
      </w:pPr>
      <w:r>
        <w:rPr>
          <w:rFonts w:hint="eastAsia" w:ascii="仿宋" w:hAnsi="仿宋" w:eastAsia="仿宋" w:cs="仿宋"/>
          <w:bCs/>
          <w:color w:val="000000"/>
          <w:sz w:val="32"/>
          <w:szCs w:val="32"/>
          <w:lang w:val="en-US" w:eastAsia="zh-CN"/>
        </w:rPr>
        <w:t>5、坚持教书育人，服务育人，环境育人方针，加强对学生的思想品德教育，使学生德智体全面发展。</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（二）</w:t>
      </w:r>
      <w:r>
        <w:rPr>
          <w:rFonts w:hint="eastAsia" w:ascii="楷体_GB2312" w:hAnsi="楷体_GB2312" w:eastAsia="楷体_GB2312" w:cs="楷体_GB2312"/>
          <w:sz w:val="32"/>
          <w:szCs w:val="32"/>
          <w:lang w:val="en-US"/>
        </w:rPr>
        <w:t>2024</w:t>
      </w:r>
      <w:r>
        <w:rPr>
          <w:rFonts w:hint="eastAsia" w:ascii="楷体_GB2312" w:hAnsi="楷体_GB2312" w:eastAsia="楷体_GB2312" w:cs="楷体_GB2312"/>
          <w:sz w:val="32"/>
          <w:szCs w:val="32"/>
        </w:rPr>
        <w:t>年重点工作</w:t>
      </w:r>
    </w:p>
    <w:p>
      <w:pPr>
        <w:pStyle w:val="2"/>
        <w:numPr>
          <w:ilvl w:val="0"/>
          <w:numId w:val="0"/>
        </w:numPr>
        <w:adjustRightInd w:val="0"/>
        <w:snapToGrid w:val="0"/>
        <w:spacing w:before="93" w:line="600" w:lineRule="exact"/>
        <w:ind w:left="630" w:leftChars="0"/>
        <w:outlineLvl w:val="2"/>
        <w:rPr>
          <w:rFonts w:hint="eastAsia" w:ascii="仿宋" w:hAnsi="仿宋" w:eastAsia="仿宋" w:cs="仿宋"/>
          <w:bCs/>
          <w:color w:val="000000"/>
          <w:sz w:val="32"/>
          <w:szCs w:val="32"/>
          <w:lang w:val="en-US" w:eastAsia="zh-CN"/>
        </w:rPr>
      </w:pPr>
      <w:r>
        <w:rPr>
          <w:rFonts w:hint="eastAsia" w:ascii="仿宋" w:hAnsi="仿宋" w:eastAsia="仿宋" w:cs="仿宋"/>
          <w:b w:val="0"/>
          <w:bCs/>
          <w:i w:val="0"/>
          <w:caps w:val="0"/>
          <w:color w:val="333333"/>
          <w:spacing w:val="0"/>
          <w:sz w:val="32"/>
          <w:szCs w:val="32"/>
          <w:shd w:val="clear" w:color="auto" w:fill="FFFFFF"/>
          <w:lang w:val="en-US" w:eastAsia="zh-CN"/>
        </w:rPr>
        <w:t>1、</w:t>
      </w:r>
      <w:r>
        <w:rPr>
          <w:rFonts w:hint="eastAsia" w:ascii="仿宋" w:hAnsi="仿宋" w:eastAsia="仿宋" w:cs="仿宋"/>
          <w:bCs/>
          <w:color w:val="000000"/>
          <w:sz w:val="32"/>
          <w:szCs w:val="32"/>
          <w:lang w:val="en-US" w:eastAsia="zh-CN"/>
        </w:rPr>
        <w:t>强化师德师风建设，促进校园和谐发展。</w:t>
      </w:r>
    </w:p>
    <w:p>
      <w:pPr>
        <w:pStyle w:val="2"/>
        <w:numPr>
          <w:ilvl w:val="0"/>
          <w:numId w:val="0"/>
        </w:numPr>
        <w:adjustRightInd w:val="0"/>
        <w:snapToGrid w:val="0"/>
        <w:spacing w:before="93" w:line="600" w:lineRule="exact"/>
        <w:ind w:left="630" w:leftChars="0"/>
        <w:outlineLvl w:val="2"/>
        <w:rPr>
          <w:rFonts w:hint="eastAsia" w:ascii="仿宋" w:hAnsi="仿宋" w:eastAsia="仿宋" w:cs="仿宋"/>
          <w:bCs/>
          <w:color w:val="000000"/>
          <w:sz w:val="32"/>
          <w:szCs w:val="32"/>
          <w:lang w:val="en-US" w:eastAsia="zh-CN"/>
        </w:rPr>
      </w:pPr>
      <w:r>
        <w:rPr>
          <w:rFonts w:hint="eastAsia" w:ascii="仿宋" w:hAnsi="仿宋" w:eastAsia="仿宋" w:cs="仿宋"/>
          <w:bCs/>
          <w:color w:val="000000"/>
          <w:sz w:val="32"/>
          <w:szCs w:val="32"/>
          <w:lang w:val="en-US" w:eastAsia="zh-CN"/>
        </w:rPr>
        <w:t>2、以教学为中心，推进素质教育的发展。</w:t>
      </w:r>
    </w:p>
    <w:p>
      <w:pPr>
        <w:pStyle w:val="2"/>
        <w:numPr>
          <w:ilvl w:val="0"/>
          <w:numId w:val="0"/>
        </w:numPr>
        <w:adjustRightInd w:val="0"/>
        <w:snapToGrid w:val="0"/>
        <w:spacing w:before="93" w:line="600" w:lineRule="exact"/>
        <w:ind w:left="630" w:leftChars="0"/>
        <w:outlineLvl w:val="2"/>
        <w:rPr>
          <w:rFonts w:hint="eastAsia" w:ascii="仿宋" w:hAnsi="仿宋" w:eastAsia="仿宋" w:cs="仿宋"/>
          <w:bCs/>
          <w:color w:val="000000"/>
          <w:sz w:val="32"/>
          <w:szCs w:val="32"/>
          <w:lang w:val="en-US" w:eastAsia="zh-CN"/>
        </w:rPr>
      </w:pPr>
      <w:r>
        <w:rPr>
          <w:rFonts w:hint="eastAsia" w:ascii="仿宋" w:hAnsi="仿宋" w:eastAsia="仿宋" w:cs="仿宋"/>
          <w:bCs/>
          <w:color w:val="000000"/>
          <w:sz w:val="32"/>
          <w:szCs w:val="32"/>
          <w:lang w:val="en-US" w:eastAsia="zh-CN"/>
        </w:rPr>
        <w:t>3、加强校园文化建设，改善办学条件。</w:t>
      </w:r>
    </w:p>
    <w:p>
      <w:pPr>
        <w:widowControl/>
        <w:numPr>
          <w:ilvl w:val="0"/>
          <w:numId w:val="0"/>
        </w:numPr>
        <w:ind w:left="630" w:leftChars="0"/>
        <w:jc w:val="left"/>
        <w:rPr>
          <w:rFonts w:hint="eastAsia" w:ascii="仿宋" w:hAnsi="仿宋" w:eastAsia="仿宋" w:cs="仿宋"/>
          <w:bCs/>
          <w:color w:val="000000"/>
          <w:sz w:val="32"/>
          <w:szCs w:val="32"/>
          <w:lang w:val="en-US" w:eastAsia="zh-CN"/>
        </w:rPr>
      </w:pPr>
      <w:r>
        <w:rPr>
          <w:rFonts w:hint="eastAsia" w:ascii="仿宋" w:hAnsi="仿宋" w:eastAsia="仿宋" w:cs="仿宋"/>
          <w:bCs/>
          <w:color w:val="000000"/>
          <w:sz w:val="32"/>
          <w:szCs w:val="32"/>
          <w:lang w:val="en-US" w:eastAsia="zh-CN"/>
        </w:rPr>
        <w:t>4、优化教师队伍，实行民主管理。</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right="0" w:firstLine="640" w:firstLineChars="200"/>
        <w:jc w:val="both"/>
        <w:rPr>
          <w:rFonts w:hint="default" w:ascii="仿宋" w:hAnsi="仿宋" w:eastAsia="仿宋" w:cs="仿宋"/>
          <w:i w:val="0"/>
          <w:caps w:val="0"/>
          <w:color w:val="333333"/>
          <w:spacing w:val="0"/>
          <w:sz w:val="32"/>
          <w:szCs w:val="32"/>
          <w:lang w:val="en-US" w:eastAsia="zh-CN"/>
        </w:rPr>
      </w:pPr>
      <w:r>
        <w:rPr>
          <w:rFonts w:hint="eastAsia" w:ascii="仿宋" w:hAnsi="仿宋" w:eastAsia="仿宋" w:cs="仿宋"/>
          <w:bCs/>
          <w:color w:val="000000"/>
          <w:sz w:val="32"/>
          <w:szCs w:val="32"/>
          <w:lang w:val="en-US" w:eastAsia="zh-CN"/>
        </w:rPr>
        <w:t>5、严格财务管理制度，增加财务透明度。</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二、部门预算单位构成</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我单位为广元市朝天区教育和科学技术局的下属二级预算单位，本单位无下属机构。</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三、收支预算情况说明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 w:hAnsi="仿宋" w:eastAsia="仿宋" w:cs="仿宋"/>
          <w:i w:val="0"/>
          <w:caps w:val="0"/>
          <w:color w:val="333333"/>
          <w:spacing w:val="0"/>
          <w:kern w:val="0"/>
          <w:sz w:val="32"/>
          <w:szCs w:val="32"/>
          <w:shd w:val="clear" w:color="auto" w:fill="FFFFFF"/>
          <w:lang w:val="en-US" w:eastAsia="zh-CN" w:bidi="ar"/>
        </w:rPr>
      </w:pPr>
      <w:r>
        <w:rPr>
          <w:rFonts w:hint="eastAsia" w:ascii="仿宋_GB2312" w:hAnsi="仿宋_GB2312" w:eastAsia="仿宋_GB2312" w:cs="仿宋_GB2312"/>
          <w:sz w:val="32"/>
          <w:szCs w:val="32"/>
          <w:lang w:val="en-US" w:eastAsia="zh-CN"/>
        </w:rPr>
        <w:t>按照综合预算的原则，云雾山镇小学所有收入和支出均纳入部门预算管理。收入包括：一般公共预算拨款收入、政府性基金预算拨款收入、事业收入、其他收入、上年结转；支出包括：一般公共服务支出、教育支出、社会保障和就业支出、卫生健康支出、住房保障支出。云雾山镇小学2024年收支预算总数448.86万元,比2023年收支预算总数减少20.78万元，主要原因是</w:t>
      </w:r>
      <w:r>
        <w:rPr>
          <w:rFonts w:hint="eastAsia" w:ascii="仿宋" w:hAnsi="仿宋" w:eastAsia="仿宋" w:cs="仿宋"/>
          <w:i w:val="0"/>
          <w:caps w:val="0"/>
          <w:color w:val="333333"/>
          <w:spacing w:val="0"/>
          <w:kern w:val="0"/>
          <w:sz w:val="32"/>
          <w:szCs w:val="32"/>
          <w:shd w:val="clear" w:color="auto" w:fill="FFFFFF"/>
          <w:lang w:val="en-US" w:eastAsia="zh-CN" w:bidi="ar"/>
        </w:rPr>
        <w:t>项目减少。</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（一）收入预算情况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云雾山镇小学2024年收入预算448.86万元，其中：上年结转4.98万元，占1.1%；一般公共预算拨款收入443.88万元，占98.9%；政府性基金预算拨款收入0万元，占0%；事业收入0万元，占0%；其他收入0万元，占0%。</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（二）支出预算情况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sz w:val="32"/>
          <w:szCs w:val="32"/>
          <w:lang w:val="en-US" w:eastAsia="zh-CN"/>
        </w:rPr>
        <w:t>云雾山镇小学单位2024年支出预算448.86万元，其中：基本支出443.88万元，占98.9%；项目支出4.98万元，占1.1%</w:t>
      </w:r>
      <w:r>
        <w:rPr>
          <w:rFonts w:hint="eastAsia" w:ascii="仿宋_GB2312" w:hAnsi="仿宋_GB2312" w:eastAsia="仿宋_GB2312" w:cs="仿宋_GB2312"/>
          <w:b w:val="0"/>
          <w:bCs w:val="0"/>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四、财政拨款收支预算情况说明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云雾山镇小学2024年财政拨款收支预算总数1167.24万元,比2023年财政拨款收支预算总数减少12.45万元，主要原因是有退休教职工。</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收入包括：本年一般公共预算拨款收入443.88万元，上年结转4.98万元。政府性基金预算拨款收入0万元；支出包括：一般公共服务支出0万元、教育支出448.86万元、社会保障和就业支出0万元、卫生健康支出0万元、住房保障支出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五、一般公共预算当年拨款情况说明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云雾山镇小学2024年一般公共预算当年拨款443.88万元，比2023年预算数减少20.78万元，主要原因是项目减少。上年结转24.76万元。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（二）一般公共预算当年拨款结构情况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教育支出448.86万元，占100%。</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（三）一般公共预算当年拨款具体使用情况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val="en-US" w:eastAsia="zh-CN"/>
        </w:rPr>
        <w:t>一般教育支出（类）普通教育（款）学前教育（项）2024年预算数为0.9万元，主要用于：</w:t>
      </w:r>
      <w:r>
        <w:rPr>
          <w:rFonts w:hint="eastAsia" w:ascii="仿宋" w:hAnsi="仿宋" w:eastAsia="仿宋" w:cs="仿宋"/>
          <w:i w:val="0"/>
          <w:caps w:val="0"/>
          <w:color w:val="333333"/>
          <w:spacing w:val="0"/>
          <w:kern w:val="0"/>
          <w:sz w:val="32"/>
          <w:szCs w:val="32"/>
          <w:shd w:val="clear" w:color="auto" w:fill="FFFFFF"/>
          <w:lang w:val="en-US" w:eastAsia="zh-CN" w:bidi="ar"/>
        </w:rPr>
        <w:t>学校教育支出。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default"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val="en-US" w:eastAsia="zh-CN"/>
        </w:rPr>
        <w:t>一般教育支出（类）普通教育（款）小学教育（项）2024年预算数为447.96万元，主要用于：</w:t>
      </w:r>
      <w:r>
        <w:rPr>
          <w:rFonts w:hint="eastAsia" w:ascii="仿宋" w:hAnsi="仿宋" w:eastAsia="仿宋" w:cs="仿宋"/>
          <w:i w:val="0"/>
          <w:caps w:val="0"/>
          <w:color w:val="333333"/>
          <w:spacing w:val="0"/>
          <w:kern w:val="0"/>
          <w:sz w:val="32"/>
          <w:szCs w:val="32"/>
          <w:shd w:val="clear" w:color="auto" w:fill="FFFFFF"/>
          <w:lang w:val="en-US" w:eastAsia="zh-CN" w:bidi="ar"/>
        </w:rPr>
        <w:t>学校教育支出</w:t>
      </w:r>
      <w:r>
        <w:rPr>
          <w:rFonts w:hint="eastAsia" w:ascii="仿宋_GB2312" w:hAnsi="仿宋_GB2312" w:eastAsia="仿宋_GB2312" w:cs="仿宋_GB2312"/>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六、一般公共预算基本支出情况说明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云雾山镇小学2024年一般公共预算基本支出443.88万元，其中：</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人员经费425.48万元，主要包括：基本工资、津贴补贴、奖金、社会保险缴费、住房公积金等支出。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用经费18.4万元，主要包括：办公费、印刷费、水费、电费、邮电费、物业管理费、差旅费、维修（护）费、会议费、培训费、公务接待费、劳务费、工会经费、福利费、公务用车运行维护费、税金及附加费用、其他交通费用等支出。</w:t>
      </w: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cs="仿宋_GB2312"/>
          <w:b/>
          <w:bCs/>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七、“三公”经费财政拨款预算安排情况说明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云雾山镇小学2024年“三公”经费财政拨款预算数0万元，其中：公务接待费0万元，公务用车购置及运行维护费0万元，因公出国（境）经费0万元。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（一）公务接待费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公务接待费与2023年预算相比0持平，主要原因是财政无预算。</w:t>
      </w:r>
    </w:p>
    <w:p>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公务用车购置及运行维护费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公务用车购置及运行维护费与2023年预算持平，主要原因是财政无预算。</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r>
        <w:rPr>
          <w:rFonts w:hint="eastAsia" w:ascii="楷体_GB2312" w:hAnsi="楷体_GB2312" w:eastAsia="楷体_GB2312" w:cs="楷体_GB2312"/>
          <w:sz w:val="32"/>
          <w:szCs w:val="32"/>
          <w:lang w:val="en-US" w:eastAsia="zh-CN"/>
        </w:rPr>
        <w:t>三）因公出国（境）经费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因公出国（境）经费与2022年预算相比持平，主要原因是财政无预算。</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八、政府性基金预算支出情况说明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云雾山镇小学单位2024年无政府性基金预算拨款安排的支出。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九、国有资本经营预算支出情况说明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云雾山镇小学单位2024年无国有资本经营预算拨款安排的支出。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十、其他重要事项的情况说明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（一）机关运行经费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2024年，云雾山镇小学下机关运行经费财政拨款预算为18.4万元。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（二）政府采购情况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2024年，云雾山镇小学安排政府采购预算0万元。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（三）国有资产占有使用情况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截至2023年底，云雾山镇小学单位共有车辆0辆。单位价值200万元以上大型设备0台（套）。</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2024年部门预算安排车辆购置经费0万元。其中，财政拨款预算安排0万元，非财政拨款安排0万元。安排大型设备购置经费0万元。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lang w:val="en-US" w:eastAsia="zh-CN"/>
        </w:rPr>
        <w:t>（四）绩效目标设置情况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2024年我单位开展绩效目标管理的项目14个，涉及预算448.86万元。其中：人员类项目9个，涉及预算425.48万元；运转类项目2个，涉及预算18.4万元；特定目标类项目3个，涉及预算4.98万元。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十一、名词解释</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（一）财政拨款收入</w:t>
      </w:r>
      <w:r>
        <w:rPr>
          <w:rFonts w:hint="default" w:ascii="楷体_GB2312" w:hAnsi="楷体_GB2312" w:eastAsia="楷体_GB2312" w:cs="楷体_GB2312"/>
          <w:sz w:val="32"/>
          <w:szCs w:val="32"/>
          <w:lang w:val="en-US" w:eastAsia="zh-CN"/>
        </w:rPr>
        <w:t>:</w:t>
      </w:r>
      <w:r>
        <w:rPr>
          <w:rFonts w:hint="eastAsia" w:ascii="仿宋_GB2312" w:hAnsi="仿宋_GB2312" w:eastAsia="仿宋_GB2312" w:cs="仿宋_GB2312"/>
          <w:sz w:val="32"/>
          <w:szCs w:val="32"/>
          <w:lang w:val="en-US" w:eastAsia="zh-CN"/>
        </w:rPr>
        <w:t>指市财政当年安排的财政预算收入。按现行管理制度</w:t>
      </w:r>
      <w:r>
        <w:rPr>
          <w:rFonts w:hint="default"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CN"/>
        </w:rPr>
        <w:t>部门预算中反映的财政拨款包括一般公共预算拨款和政府性基金预算拨款。</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（二）上年结转：</w:t>
      </w:r>
      <w:r>
        <w:rPr>
          <w:rFonts w:hint="eastAsia" w:ascii="仿宋_GB2312" w:hAnsi="仿宋_GB2312" w:eastAsia="仿宋_GB2312" w:cs="仿宋_GB2312"/>
          <w:sz w:val="32"/>
          <w:szCs w:val="32"/>
          <w:lang w:val="en-US" w:eastAsia="zh-CN"/>
        </w:rPr>
        <w:t>指以前年度尚未完成，结转到本年仍按原规定用途继续使用的资金。</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（三）教育（类）普通教育（款）学前教育（项）：</w:t>
      </w:r>
      <w:r>
        <w:rPr>
          <w:rFonts w:hint="eastAsia" w:ascii="仿宋_GB2312" w:hAnsi="仿宋_GB2312" w:eastAsia="仿宋_GB2312" w:cs="仿宋_GB2312"/>
          <w:sz w:val="32"/>
          <w:szCs w:val="32"/>
          <w:lang w:val="en-US" w:eastAsia="zh-CN"/>
        </w:rPr>
        <w:t>指为配合学前教育业务开展，用于部门在职人员参加相关业务培训及举办业务培训的经费支出。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（四）教育（类）普通教育（款）小学教育（项）：</w:t>
      </w:r>
      <w:r>
        <w:rPr>
          <w:rFonts w:hint="eastAsia" w:ascii="仿宋_GB2312" w:hAnsi="仿宋_GB2312" w:eastAsia="仿宋_GB2312" w:cs="仿宋_GB2312"/>
          <w:sz w:val="32"/>
          <w:szCs w:val="32"/>
          <w:lang w:val="en-US" w:eastAsia="zh-CN"/>
        </w:rPr>
        <w:t>指为配合小学教育业务开展，用于部门在职人员参加相关业务培训及举办业务培训的经费支出。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lang w:val="en-US" w:eastAsia="zh-CN"/>
        </w:rPr>
        <w:t>（五）基本支出：</w:t>
      </w:r>
      <w:r>
        <w:rPr>
          <w:rFonts w:hint="eastAsia" w:ascii="仿宋_GB2312" w:hAnsi="仿宋_GB2312" w:eastAsia="仿宋_GB2312" w:cs="仿宋_GB2312"/>
          <w:sz w:val="32"/>
          <w:szCs w:val="32"/>
          <w:lang w:val="en-US" w:eastAsia="zh-CN"/>
        </w:rPr>
        <w:t>指为保证机构正常运转，完成日常工作任务而发生的人员支出和公用支出。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（六）项目支出：</w:t>
      </w:r>
      <w:r>
        <w:rPr>
          <w:rFonts w:hint="eastAsia" w:ascii="仿宋_GB2312" w:hAnsi="仿宋_GB2312" w:eastAsia="仿宋_GB2312" w:cs="仿宋_GB2312"/>
          <w:sz w:val="32"/>
          <w:szCs w:val="32"/>
          <w:lang w:val="en-US" w:eastAsia="zh-CN"/>
        </w:rPr>
        <w:t>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（七）“三公”经费：</w:t>
      </w:r>
      <w:r>
        <w:rPr>
          <w:rFonts w:hint="eastAsia" w:ascii="仿宋_GB2312" w:hAnsi="仿宋_GB2312" w:eastAsia="仿宋_GB2312" w:cs="仿宋_GB2312"/>
          <w:sz w:val="32"/>
          <w:szCs w:val="32"/>
          <w:lang w:val="en-US" w:eastAsia="zh-CN"/>
        </w:rPr>
        <w:t>纳入市级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xml:space="preserve">    </w:t>
      </w:r>
      <w:r>
        <w:rPr>
          <w:rFonts w:hint="eastAsia" w:ascii="楷体_GB2312" w:hAnsi="楷体_GB2312" w:eastAsia="楷体_GB2312" w:cs="楷体_GB2312"/>
          <w:sz w:val="32"/>
          <w:szCs w:val="32"/>
          <w:lang w:val="en-US" w:eastAsia="zh-CN"/>
        </w:rPr>
        <w:t>（八）机关运行经费：</w:t>
      </w:r>
      <w:r>
        <w:rPr>
          <w:rFonts w:hint="eastAsia" w:ascii="仿宋_GB2312" w:hAnsi="仿宋_GB2312" w:eastAsia="仿宋_GB2312" w:cs="仿宋_GB2312"/>
          <w:sz w:val="32"/>
          <w:szCs w:val="32"/>
          <w:lang w:val="en-US" w:eastAsia="zh-CN"/>
        </w:rPr>
        <w:t>为保障行政单位（包括参照公务员法管理的事业单位）运行用于购买货物和服务的各项资金，包括办公及印刷费、邮电费、差旅费、会议费、培训费、福利费、日常维修费、专用材料及一般设备购置费、办公用房水电费、办公用房物业管理费、公务用车运行维护费以及其他费用。</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附件：部门预算公开表</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cs="仿宋_GB2312"/>
          <w:b/>
          <w:bCs/>
          <w:sz w:val="32"/>
          <w:szCs w:val="32"/>
          <w:lang w:eastAsia="zh-CN"/>
        </w:rPr>
      </w:pPr>
    </w:p>
    <w:sectPr>
      <w:footerReference r:id="rId3" w:type="default"/>
      <w:pgSz w:w="11906" w:h="16838"/>
      <w:pgMar w:top="2098" w:right="1474" w:bottom="1984" w:left="1587" w:header="720" w:footer="1559"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Liberation Sans">
    <w:altName w:val="Segoe Print"/>
    <w:panose1 w:val="020B0604020202020204"/>
    <w:charset w:val="00"/>
    <w:family w:val="swiss"/>
    <w:pitch w:val="default"/>
    <w:sig w:usb0="00000000" w:usb1="00000000" w:usb2="00000000" w:usb3="00000000" w:csb0="6000009F" w:csb1="DFD70000"/>
  </w:font>
  <w:font w:name="Noto Sans CJK SC Regular">
    <w:altName w:val="宋体"/>
    <w:panose1 w:val="020B0500000000000000"/>
    <w:charset w:val="86"/>
    <w:family w:val="auto"/>
    <w:pitch w:val="default"/>
    <w:sig w:usb0="00000000" w:usb1="00000000" w:usb2="00000016" w:usb3="00000000" w:csb0="602E0107"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FCE1D6"/>
    <w:multiLevelType w:val="singleLevel"/>
    <w:tmpl w:val="5BFCE1D6"/>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1"/>
  <w:displayVerticalDrawingGridEvery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llYmYzY2YwZjk3N2RkNmM1YmNjNzk0ZGFiYjUzZTkifQ=="/>
  </w:docVars>
  <w:rsids>
    <w:rsidRoot w:val="00000000"/>
    <w:rsid w:val="012352D1"/>
    <w:rsid w:val="0165038E"/>
    <w:rsid w:val="02506474"/>
    <w:rsid w:val="04F20ED1"/>
    <w:rsid w:val="065A7FDD"/>
    <w:rsid w:val="0B6C114D"/>
    <w:rsid w:val="15650B15"/>
    <w:rsid w:val="18D46338"/>
    <w:rsid w:val="1B941A29"/>
    <w:rsid w:val="1D6F2573"/>
    <w:rsid w:val="1E4D09F0"/>
    <w:rsid w:val="1F7BF06F"/>
    <w:rsid w:val="1FEE4B73"/>
    <w:rsid w:val="20A7394C"/>
    <w:rsid w:val="20B56B4F"/>
    <w:rsid w:val="23CE9849"/>
    <w:rsid w:val="23E57149"/>
    <w:rsid w:val="2A585CB7"/>
    <w:rsid w:val="2D12039F"/>
    <w:rsid w:val="2D962D7E"/>
    <w:rsid w:val="2EF44200"/>
    <w:rsid w:val="2F6D3DD3"/>
    <w:rsid w:val="30801AC4"/>
    <w:rsid w:val="32374212"/>
    <w:rsid w:val="343733D4"/>
    <w:rsid w:val="36C01CD5"/>
    <w:rsid w:val="39F304DD"/>
    <w:rsid w:val="3A2F0CF3"/>
    <w:rsid w:val="3B397B0A"/>
    <w:rsid w:val="4CBB7CB4"/>
    <w:rsid w:val="50624B42"/>
    <w:rsid w:val="5099103D"/>
    <w:rsid w:val="51465CF4"/>
    <w:rsid w:val="54244390"/>
    <w:rsid w:val="54662A63"/>
    <w:rsid w:val="55BB49A2"/>
    <w:rsid w:val="58064E12"/>
    <w:rsid w:val="5BC9553F"/>
    <w:rsid w:val="5BFEE015"/>
    <w:rsid w:val="5C54409C"/>
    <w:rsid w:val="63EDCF55"/>
    <w:rsid w:val="63FBFBCF"/>
    <w:rsid w:val="66074FEC"/>
    <w:rsid w:val="664E34EF"/>
    <w:rsid w:val="669360FD"/>
    <w:rsid w:val="670C1CA8"/>
    <w:rsid w:val="68FF6A83"/>
    <w:rsid w:val="6DE450DB"/>
    <w:rsid w:val="6EC72090"/>
    <w:rsid w:val="6FBBC9CF"/>
    <w:rsid w:val="72BDE561"/>
    <w:rsid w:val="73E831D5"/>
    <w:rsid w:val="759251A6"/>
    <w:rsid w:val="759E00BB"/>
    <w:rsid w:val="77A92924"/>
    <w:rsid w:val="78462278"/>
    <w:rsid w:val="7956473D"/>
    <w:rsid w:val="7997EA6C"/>
    <w:rsid w:val="7A6B246A"/>
    <w:rsid w:val="7AD63D87"/>
    <w:rsid w:val="7AEAE675"/>
    <w:rsid w:val="7BAFCE5D"/>
    <w:rsid w:val="7CB12660"/>
    <w:rsid w:val="7D46598C"/>
    <w:rsid w:val="7DFB240B"/>
    <w:rsid w:val="7E0935ED"/>
    <w:rsid w:val="7FCF2AF7"/>
    <w:rsid w:val="9FEF033D"/>
    <w:rsid w:val="A27FF1E5"/>
    <w:rsid w:val="AFDEB5A7"/>
    <w:rsid w:val="AFEA7FBF"/>
    <w:rsid w:val="B83F4767"/>
    <w:rsid w:val="BF930F07"/>
    <w:rsid w:val="BFCE8436"/>
    <w:rsid w:val="C3F7EB7A"/>
    <w:rsid w:val="CFF5FEEC"/>
    <w:rsid w:val="D3DD9064"/>
    <w:rsid w:val="D6F76A0C"/>
    <w:rsid w:val="D7ECE8D2"/>
    <w:rsid w:val="DFDD4FB5"/>
    <w:rsid w:val="E7F748B5"/>
    <w:rsid w:val="EE5F3713"/>
    <w:rsid w:val="EFC9D62C"/>
    <w:rsid w:val="F6BE9755"/>
    <w:rsid w:val="F6FFA89B"/>
    <w:rsid w:val="FAE4EFE1"/>
    <w:rsid w:val="FB9B6F12"/>
    <w:rsid w:val="FBB66A4A"/>
    <w:rsid w:val="FDEE6989"/>
    <w:rsid w:val="FF5E7DB8"/>
    <w:rsid w:val="FF77E367"/>
    <w:rsid w:val="FFD576EB"/>
    <w:rsid w:val="FFFBE8B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9">
    <w:name w:val="Default Paragraph Font"/>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2">
    <w:name w:val="Body Text"/>
    <w:basedOn w:val="1"/>
    <w:qFormat/>
    <w:uiPriority w:val="0"/>
    <w:pPr>
      <w:spacing w:before="0" w:after="140" w:line="276" w:lineRule="auto"/>
    </w:pPr>
  </w:style>
  <w:style w:type="paragraph" w:styleId="3">
    <w:name w:val="caption"/>
    <w:basedOn w:val="1"/>
    <w:next w:val="1"/>
    <w:qFormat/>
    <w:uiPriority w:val="0"/>
    <w:pPr>
      <w:widowControl w:val="0"/>
      <w:suppressLineNumbers/>
      <w:suppressAutoHyphens/>
      <w:spacing w:before="120" w:after="120"/>
    </w:pPr>
    <w:rPr>
      <w:i/>
      <w:iCs/>
      <w:sz w:val="24"/>
      <w:szCs w:val="24"/>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List"/>
    <w:basedOn w:val="2"/>
    <w:qFormat/>
    <w:uiPriority w:val="0"/>
  </w:style>
  <w:style w:type="paragraph" w:styleId="7">
    <w:name w:val="Normal (Web)"/>
    <w:basedOn w:val="1"/>
    <w:qFormat/>
    <w:uiPriority w:val="0"/>
    <w:rPr>
      <w:sz w:val="24"/>
    </w:rPr>
  </w:style>
  <w:style w:type="character" w:customStyle="1" w:styleId="10">
    <w:name w:val="默认段落字体1"/>
    <w:qFormat/>
    <w:uiPriority w:val="0"/>
  </w:style>
  <w:style w:type="paragraph" w:customStyle="1" w:styleId="11">
    <w:name w:val="Heading"/>
    <w:basedOn w:val="1"/>
    <w:next w:val="2"/>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2">
    <w:name w:val="Index"/>
    <w:basedOn w:val="1"/>
    <w:qFormat/>
    <w:uiPriority w:val="0"/>
    <w:pPr>
      <w:widowControl w:val="0"/>
      <w:suppressLineNumbers/>
      <w:suppressAutoHyphens/>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Office_11.1.0.9021_F1E327BC-269C-435d-A152-05C5408002CA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2018-11-29T09:47:00Z</dcterms:created>
  <dc:creator>admin</dc:creator>
  <cp:lastModifiedBy>Administrator</cp:lastModifiedBy>
  <dcterms:modified xsi:type="dcterms:W3CDTF">2024-04-10T02:13:47Z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4FBE48C21F9A405690BBFE337CC8A7BB_13</vt:lpwstr>
  </property>
</Properties>
</file>