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firstLine="1040" w:firstLineChars="200"/>
        <w:jc w:val="center"/>
        <w:textAlignment w:val="auto"/>
        <w:rPr>
          <w:rFonts w:ascii="黑体" w:hAnsi="黑体" w:eastAsia="黑体" w:cs="楷体_GB2312"/>
          <w:sz w:val="52"/>
          <w:szCs w:val="52"/>
        </w:rPr>
      </w:pPr>
      <w:r>
        <w:rPr>
          <w:rFonts w:hint="eastAsia" w:ascii="黑体" w:hAnsi="黑体" w:eastAsia="黑体" w:cs="楷体_GB2312"/>
          <w:sz w:val="52"/>
          <w:szCs w:val="52"/>
        </w:rPr>
        <w:t>广元市朝天区城区幼儿园</w:t>
      </w:r>
    </w:p>
    <w:p>
      <w:pPr>
        <w:keepNext w:val="0"/>
        <w:keepLines w:val="0"/>
        <w:pageBreakBefore w:val="0"/>
        <w:widowControl w:val="0"/>
        <w:kinsoku/>
        <w:wordWrap/>
        <w:overflowPunct/>
        <w:topLinePunct w:val="0"/>
        <w:autoSpaceDE/>
        <w:autoSpaceDN/>
        <w:bidi w:val="0"/>
        <w:adjustRightInd/>
        <w:snapToGrid/>
        <w:spacing w:line="600" w:lineRule="exact"/>
        <w:ind w:firstLine="1040" w:firstLineChars="200"/>
        <w:jc w:val="center"/>
        <w:textAlignment w:val="auto"/>
        <w:rPr>
          <w:rFonts w:ascii="黑体" w:hAnsi="黑体" w:eastAsia="黑体" w:cs="楷体_GB2312"/>
          <w:sz w:val="52"/>
          <w:szCs w:val="52"/>
        </w:rPr>
      </w:pPr>
      <w:r>
        <w:rPr>
          <w:rFonts w:hint="eastAsia" w:ascii="黑体" w:hAnsi="黑体" w:eastAsia="黑体" w:cs="楷体_GB2312"/>
          <w:sz w:val="52"/>
          <w:szCs w:val="52"/>
        </w:rPr>
        <w:t>2024年</w:t>
      </w:r>
      <w:bookmarkStart w:id="0" w:name="_GoBack"/>
      <w:bookmarkEnd w:id="0"/>
      <w:r>
        <w:rPr>
          <w:rFonts w:hint="eastAsia" w:ascii="黑体" w:hAnsi="黑体" w:eastAsia="黑体" w:cs="楷体_GB2312"/>
          <w:sz w:val="52"/>
          <w:szCs w:val="52"/>
        </w:rPr>
        <w:t>预算编制说明</w:t>
      </w:r>
    </w:p>
    <w:p>
      <w:pPr>
        <w:keepNext w:val="0"/>
        <w:keepLines w:val="0"/>
        <w:pageBreakBefore w:val="0"/>
        <w:widowControl w:val="0"/>
        <w:kinsoku/>
        <w:wordWrap/>
        <w:overflowPunct/>
        <w:topLinePunct w:val="0"/>
        <w:autoSpaceDE/>
        <w:autoSpaceDN/>
        <w:bidi w:val="0"/>
        <w:adjustRightInd/>
        <w:snapToGrid/>
        <w:spacing w:line="600" w:lineRule="exact"/>
        <w:ind w:firstLine="1040" w:firstLineChars="200"/>
        <w:jc w:val="center"/>
        <w:textAlignment w:val="auto"/>
        <w:rPr>
          <w:rFonts w:ascii="黑体" w:hAnsi="黑体" w:eastAsia="黑体" w:cs="楷体_GB2312"/>
          <w:sz w:val="52"/>
          <w:szCs w:val="52"/>
        </w:rPr>
      </w:pPr>
      <w:r>
        <w:rPr>
          <w:rFonts w:hint="eastAsia" w:ascii="黑体" w:hAnsi="黑体" w:eastAsia="黑体" w:cs="楷体_GB2312"/>
          <w:sz w:val="52"/>
          <w:szCs w:val="52"/>
        </w:rPr>
        <w:t>目   录</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一、基本职能及主要工作...........................(3)</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（一）单位职能简介...............................(3)</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（二）单位2024年重点工作........................(3)</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二、部门预算单位构成.............................(3)</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三、收支预算情况说明.............................(3)</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（一）收入预算情况...............................(4)</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（二）支出预算情况...............................(4)</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四、财政拨款收支预算情况说明.....................(4)</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五、一般公共预算当年拨款情况说明.................(4)</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（一）一般公共预算当年拨款规模变化情况...........(4)</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（二）一般公共预算当年拨款结构情况...............(5)</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（三）一般公共预算当年拨款具体使用情况...........(5)</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六、一般公共预算基本支出情况说明.................(5)</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七、“三公”经费财政拨款预算安排情况说明..........(5)</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八、政府性基金预算支出情况说明...................(6)</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九、国有资本经营预算支出情况说明.................(6)</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十、其他重要事项的情况说明......................(6)</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十一、名词解释..................................(7)</w:t>
      </w:r>
    </w:p>
    <w:p>
      <w:pPr>
        <w:spacing w:line="576" w:lineRule="exact"/>
        <w:ind w:firstLine="800" w:firstLineChars="250"/>
        <w:rPr>
          <w:rFonts w:ascii="黑体" w:hAnsi="黑体" w:eastAsia="黑体" w:cs="黑体"/>
          <w:sz w:val="32"/>
          <w:szCs w:val="32"/>
        </w:rPr>
      </w:pPr>
    </w:p>
    <w:p>
      <w:pPr>
        <w:spacing w:line="576" w:lineRule="exact"/>
        <w:ind w:firstLine="800" w:firstLineChars="250"/>
        <w:rPr>
          <w:rFonts w:ascii="黑体" w:hAnsi="黑体" w:eastAsia="黑体" w:cs="黑体"/>
          <w:sz w:val="32"/>
          <w:szCs w:val="32"/>
        </w:rPr>
      </w:pPr>
      <w:r>
        <w:rPr>
          <w:rFonts w:hint="eastAsia" w:ascii="黑体" w:hAnsi="黑体" w:eastAsia="黑体" w:cs="黑体"/>
          <w:sz w:val="32"/>
          <w:szCs w:val="32"/>
        </w:rPr>
        <w:t>一、基本职能及主要工作</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（一）广元市朝天区城区幼儿园职能简介</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（1）</w:t>
      </w:r>
      <w:r>
        <w:rPr>
          <w:rFonts w:ascii="楷体_GB2312" w:hAnsi="楷体_GB2312" w:eastAsia="楷体_GB2312" w:cs="楷体_GB2312"/>
          <w:sz w:val="32"/>
          <w:szCs w:val="32"/>
        </w:rPr>
        <w:t>为朝天城区及邻近乡村的3—6岁幼儿实施学前教育，全面贯彻国家的教育方针，坚持保育与教育相结合的原则，对幼儿实施体、智、德、美、劳诸方面全面发展的教育。</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（2）</w:t>
      </w:r>
      <w:r>
        <w:rPr>
          <w:rFonts w:ascii="楷体_GB2312" w:hAnsi="楷体_GB2312" w:eastAsia="楷体_GB2312" w:cs="楷体_GB2312"/>
          <w:sz w:val="32"/>
          <w:szCs w:val="32"/>
        </w:rPr>
        <w:t>全面落实《幼儿园工作规程》《幼儿园指导纲要》《3—6岁儿童学习与发展指南》所提出的保育教育目标。</w:t>
      </w:r>
      <w:r>
        <w:rPr>
          <w:rFonts w:hint="eastAsia" w:ascii="楷体_GB2312" w:hAnsi="楷体_GB2312" w:eastAsia="楷体_GB2312" w:cs="楷体_GB2312"/>
          <w:sz w:val="32"/>
          <w:szCs w:val="32"/>
        </w:rPr>
        <w:t xml:space="preserve"> </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（3）</w:t>
      </w:r>
      <w:r>
        <w:rPr>
          <w:rFonts w:ascii="楷体_GB2312" w:hAnsi="楷体_GB2312" w:eastAsia="楷体_GB2312" w:cs="楷体_GB2312"/>
          <w:sz w:val="32"/>
          <w:szCs w:val="32"/>
        </w:rPr>
        <w:t>积极稳妥地推进教育改革，按教育规律办事，不断提高教育质量</w:t>
      </w:r>
      <w:r>
        <w:rPr>
          <w:rFonts w:hint="eastAsia" w:ascii="楷体_GB2312" w:hAnsi="楷体_GB2312" w:eastAsia="楷体_GB2312" w:cs="楷体_GB2312"/>
          <w:sz w:val="32"/>
          <w:szCs w:val="32"/>
        </w:rPr>
        <w:t xml:space="preserve">。 </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（4）</w:t>
      </w:r>
      <w:r>
        <w:rPr>
          <w:rFonts w:ascii="楷体_GB2312" w:hAnsi="楷体_GB2312" w:eastAsia="楷体_GB2312" w:cs="楷体_GB2312"/>
          <w:sz w:val="32"/>
          <w:szCs w:val="32"/>
        </w:rPr>
        <w:t>根据学校规模，设置学校管理机构，建立健全各项规章制度和岗位责任制</w:t>
      </w:r>
      <w:r>
        <w:rPr>
          <w:rFonts w:hint="eastAsia" w:ascii="楷体_GB2312" w:hAnsi="楷体_GB2312" w:eastAsia="楷体_GB2312" w:cs="楷体_GB2312"/>
          <w:sz w:val="32"/>
          <w:szCs w:val="32"/>
        </w:rPr>
        <w:t xml:space="preserve">。 </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（5）</w:t>
      </w:r>
      <w:r>
        <w:rPr>
          <w:rFonts w:ascii="楷体_GB2312" w:hAnsi="楷体_GB2312" w:eastAsia="楷体_GB2312" w:cs="楷体_GB2312"/>
          <w:sz w:val="32"/>
          <w:szCs w:val="32"/>
        </w:rPr>
        <w:t xml:space="preserve">坚持教书育人，服务育人，环境育人方针，加强对学生的思想品德教育，使学生的德智体全面发展。 </w:t>
      </w:r>
      <w:r>
        <w:rPr>
          <w:rFonts w:ascii="楷体_GB2312" w:hAnsi="楷体_GB2312" w:eastAsia="楷体_GB2312" w:cs="楷体_GB2312"/>
          <w:sz w:val="32"/>
          <w:szCs w:val="32"/>
        </w:rPr>
        <w:br w:type="textWrapping"/>
      </w:r>
      <w:r>
        <w:rPr>
          <w:rFonts w:hint="eastAsia" w:ascii="楷体_GB2312" w:hAnsi="楷体_GB2312" w:eastAsia="楷体_GB2312" w:cs="楷体_GB2312"/>
          <w:sz w:val="32"/>
          <w:szCs w:val="32"/>
        </w:rPr>
        <w:t xml:space="preserve">    （6）</w:t>
      </w:r>
      <w:r>
        <w:rPr>
          <w:rFonts w:ascii="楷体_GB2312" w:hAnsi="楷体_GB2312" w:eastAsia="楷体_GB2312" w:cs="楷体_GB2312"/>
          <w:sz w:val="32"/>
          <w:szCs w:val="32"/>
        </w:rPr>
        <w:t>抓好教师队伍建设，秉承“用爱教育，让每个孩子都精彩”的办园宗旨，努力实现着“孩子开心、家长舒心、社会放心”的办园目标。</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（二）广元市朝天区城区幼儿园2024年重点工作</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全面完成2024年教育教学工作。</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二、部门预算单位构成</w:t>
      </w:r>
    </w:p>
    <w:p>
      <w:pPr>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我单位为广元市朝天区教育和科学技术局的下属二级预算单位，本单位无下属机构，设有内设机构7个：教务办、教科办、技装办、德育办、安全办、后勤办、工会。</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三、收支预算情况说明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按照综合预算的原则，广元市朝天区城区幼儿园所有收入和支出均纳入部门预算管理。收入包括：一般公共预算拨款收入；支出包括：教育支出。广元市朝天区朝天镇城区幼儿园2024年收支预算总数445.31万元,比2023年收支预算总数增加48.63万元，主要原因是岗位变动、工资正常晋升、人员增加。</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（一）收入预算情况</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广元市朝天区城区幼儿园2024年收入预算445.31万元，其中：一般公共预算拨款收入445.31万元，占100%。</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（二）支出预算情况</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广元市朝天区城区幼儿园2024年支出预算445.31万元，其中：基本支出445.31万元，占100%。</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四、财政拨款收支预算情况说明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广元市朝天区城区幼儿园2024年财政拨款收支预算总数445.31万元,比2023年财政拨款收支预算总数增加48.63万元，主要原因是岗位变动、工资正常晋升、人员增加。</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收入包括：本年一般公共预算拨款收入445.31万元；支出包括：教育支出445.31万元。</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五、一般公共预算当年拨款情况说明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（一）一般公共预算当年拨款规模变化情况</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广元市朝天区城区幼儿园2024年一般公共预算当年拨款445.31万元，比2023年预算数增加48.63万元，主要原因是岗位变动、工资正常晋升、人员增加。</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教育支出445.31万元，占100%。</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教育支出（类）普通教育（款）学前教育（项）2024年预算数为445.31万元，主要用于：学前教育职工工资发放、实施养老保险制度由单位缴纳的基本养老保险支出、实施养老保险制度由单位缴纳的失业工伤保险支出、按规定由单位缴纳的基本医疗保险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六、一般公共预算基本支出情况说明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广元市朝天区城区幼儿园2024年一般公共预算基本支出445.31万元，其中：</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人员经费405.53万元，主要包括：基本工资、津贴补贴、奖金、社会保险缴费、住房公积金等支出。</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公用经费39.78万元，主要包括：办公费、印刷费、水费、电费、邮电费、物业管理费、差旅费、维修（护）费、会议费、培训费、公务接待费、劳务费、工会经费、福利费、公务用车运行维护费、税金及附加费用、其他交通费用等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七、“三公”经费财政拨款预算安排情况说明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广元市朝天区城区幼儿园2024年“三公”经费财政拨款预算数0万元，其中：公务接待费0万元，公务用车购置及运行维护费0万元，因公出国（境）经费0万元。</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（一）公务接待费</w:t>
      </w:r>
    </w:p>
    <w:p>
      <w:pPr>
        <w:spacing w:line="576" w:lineRule="exact"/>
        <w:ind w:firstLine="640" w:firstLineChars="200"/>
        <w:rPr>
          <w:rFonts w:ascii="楷体_GB2312" w:hAnsi="楷体_GB2312" w:eastAsia="楷体_GB2312" w:cs="楷体_GB2312"/>
          <w:sz w:val="32"/>
          <w:szCs w:val="32"/>
        </w:rPr>
      </w:pPr>
      <w:r>
        <w:rPr>
          <w:rFonts w:hint="eastAsia" w:ascii="仿宋_GB2312" w:hAnsi="仿宋_GB2312" w:eastAsia="仿宋_GB2312" w:cs="仿宋_GB2312"/>
          <w:sz w:val="32"/>
          <w:szCs w:val="32"/>
        </w:rPr>
        <w:t>2</w:t>
      </w:r>
      <w:r>
        <w:rPr>
          <w:rFonts w:hint="eastAsia" w:ascii="楷体_GB2312" w:hAnsi="楷体_GB2312" w:eastAsia="楷体_GB2312" w:cs="楷体_GB2312"/>
          <w:sz w:val="32"/>
          <w:szCs w:val="32"/>
        </w:rPr>
        <w:t>024年公务接待费计划用于执行接待考察调研、检查指导等公务活动开支的交通费、住宿费、用餐费0万元。</w:t>
      </w:r>
    </w:p>
    <w:p>
      <w:pPr>
        <w:numPr>
          <w:ilvl w:val="0"/>
          <w:numId w:val="1"/>
        </w:num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公务用车购置及运行维护费</w:t>
      </w:r>
    </w:p>
    <w:p>
      <w:pPr>
        <w:spacing w:line="576" w:lineRule="exact"/>
        <w:ind w:firstLine="640" w:firstLineChars="200"/>
        <w:rPr>
          <w:rFonts w:ascii="仿宋_GB2312" w:hAnsi="仿宋_GB2312" w:eastAsia="仿宋_GB2312" w:cs="仿宋_GB2312"/>
          <w:b/>
          <w:bCs/>
          <w:sz w:val="32"/>
          <w:szCs w:val="32"/>
        </w:rPr>
      </w:pPr>
      <w:r>
        <w:rPr>
          <w:rFonts w:hint="eastAsia" w:ascii="楷体_GB2312" w:hAnsi="楷体_GB2312" w:eastAsia="楷体_GB2312" w:cs="楷体_GB2312"/>
          <w:sz w:val="32"/>
          <w:szCs w:val="32"/>
        </w:rPr>
        <w:t>广元市朝天区城区幼儿园现有公务用车0辆，其中：轿车0辆，旅行车（含商务</w:t>
      </w:r>
      <w:r>
        <w:rPr>
          <w:rFonts w:hint="eastAsia" w:ascii="仿宋_GB2312" w:hAnsi="仿宋_GB2312" w:eastAsia="仿宋_GB2312" w:cs="仿宋_GB2312"/>
          <w:sz w:val="32"/>
          <w:szCs w:val="32"/>
        </w:rPr>
        <w:t>车）</w:t>
      </w:r>
      <w:r>
        <w:rPr>
          <w:rFonts w:hint="eastAsia" w:ascii="楷体_GB2312" w:hAnsi="楷体_GB2312" w:eastAsia="楷体_GB2312" w:cs="楷体_GB2312"/>
          <w:sz w:val="32"/>
          <w:szCs w:val="32"/>
        </w:rPr>
        <w:t>0辆，越野车0辆</w:t>
      </w:r>
      <w:r>
        <w:rPr>
          <w:rFonts w:hint="eastAsia" w:ascii="仿宋_GB2312" w:hAnsi="仿宋_GB2312" w:eastAsia="仿宋_GB2312" w:cs="仿宋_GB2312"/>
          <w:sz w:val="32"/>
          <w:szCs w:val="32"/>
        </w:rPr>
        <w:t>。</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2024年未安排公务用车购置费。</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2024年安排公务用车运行维护费0万元，用于0辆公务用车燃油、过路（桥）、维修、保险等方面支出。。</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楷体_GB2312" w:hAnsi="楷体_GB2312" w:eastAsia="楷体_GB2312" w:cs="楷体_GB2312"/>
          <w:sz w:val="32"/>
          <w:szCs w:val="32"/>
        </w:rPr>
        <w:t>三）因公出国（境）经费</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因公出国（境）经费0万元。</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八、政府性基金预算支出情况说明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广元市朝天区城区幼儿园2024年无政府性基金预算拨款安排的支出。</w:t>
      </w:r>
    </w:p>
    <w:p>
      <w:pPr>
        <w:spacing w:line="576" w:lineRule="exact"/>
        <w:rPr>
          <w:rFonts w:ascii="黑体" w:hAnsi="黑体" w:eastAsia="黑体" w:cs="黑体"/>
          <w:sz w:val="32"/>
          <w:szCs w:val="32"/>
        </w:rPr>
      </w:pPr>
      <w:r>
        <w:rPr>
          <w:rFonts w:hint="eastAsia" w:ascii="黑体" w:hAnsi="黑体" w:eastAsia="黑体" w:cs="黑体"/>
          <w:sz w:val="32"/>
          <w:szCs w:val="32"/>
        </w:rPr>
        <w:t xml:space="preserve">    九、国有资本经营预算支出情况说明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广元市朝天区城区幼儿园2024年无国有资本经营预算拨款安排的支出。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十、其他重要事项的情况说明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（一）机关运行经费</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2024年，广元市朝天区城区幼儿园机关运行经费财政拨款预算为0万元。</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（二）政府采购情况</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2024年，广元市朝天区城区幼儿园单位安排政府采购预算0万元。</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截至2023年底，广元市朝天区城区幼儿园共有车辆0辆。单位价值200万元以上大型设备0台（套）。</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2024年部门预算安排车辆购置经费0万元。其中，财政拨款预算安排0万元，非财政拨款安排0万元。拟购置定向保障用车0车辆、执法执勤用车0辆。安排大型设备购置经费0万元。</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（四）绩效目标设置情况</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2024年广元市朝天区城区幼儿园开展绩效目标管理的项目9个，涉及预算445.31万元。其中：人员类项目8个，涉及预算 405.53万元；运转类项目1个，涉及预算39.78万元；特定目标类项目0个，涉及预算0万元。因部分项目内容涉密，不予公开。</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十一、名词解释</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（一）财政拨款收入</w:t>
      </w:r>
      <w:r>
        <w:rPr>
          <w:rFonts w:ascii="楷体_GB2312" w:hAnsi="楷体_GB2312" w:eastAsia="楷体_GB2312" w:cs="楷体_GB2312"/>
          <w:sz w:val="32"/>
          <w:szCs w:val="32"/>
        </w:rPr>
        <w:t>:</w:t>
      </w:r>
      <w:r>
        <w:rPr>
          <w:rFonts w:hint="eastAsia" w:ascii="楷体_GB2312" w:hAnsi="楷体_GB2312" w:eastAsia="楷体_GB2312" w:cs="楷体_GB2312"/>
          <w:sz w:val="32"/>
          <w:szCs w:val="32"/>
        </w:rPr>
        <w:t>指市财政当年安排的财政预算收入。按现行管理制度</w:t>
      </w:r>
      <w:r>
        <w:rPr>
          <w:rFonts w:ascii="楷体_GB2312" w:hAnsi="楷体_GB2312" w:eastAsia="楷体_GB2312" w:cs="楷体_GB2312"/>
          <w:sz w:val="32"/>
          <w:szCs w:val="32"/>
        </w:rPr>
        <w:t>,</w:t>
      </w:r>
      <w:r>
        <w:rPr>
          <w:rFonts w:hint="eastAsia" w:ascii="楷体_GB2312" w:hAnsi="楷体_GB2312" w:eastAsia="楷体_GB2312" w:cs="楷体_GB2312"/>
          <w:sz w:val="32"/>
          <w:szCs w:val="32"/>
        </w:rPr>
        <w:t>部门预算中反映的财政拨款包括一般公共预算拨款和政府性基金预算拨款。</w:t>
      </w:r>
    </w:p>
    <w:p>
      <w:pPr>
        <w:spacing w:line="576" w:lineRule="exact"/>
        <w:ind w:firstLine="480" w:firstLineChars="150"/>
        <w:rPr>
          <w:rFonts w:ascii="黑体" w:hAnsi="黑体" w:eastAsia="黑体" w:cs="黑体"/>
          <w:sz w:val="32"/>
          <w:szCs w:val="32"/>
        </w:rPr>
      </w:pPr>
      <w:r>
        <w:rPr>
          <w:rFonts w:hint="eastAsia" w:ascii="楷体_GB2312" w:hAnsi="楷体_GB2312" w:eastAsia="楷体_GB2312" w:cs="楷体_GB2312"/>
          <w:sz w:val="32"/>
          <w:szCs w:val="32"/>
        </w:rPr>
        <w:t>（二）上年结转：指以前年度尚未完成，结转到本年仍按原规定用途继续使用的资金。</w:t>
      </w:r>
      <w:r>
        <w:rPr>
          <w:rFonts w:hint="eastAsia" w:ascii="楷体_GB2312" w:hAnsi="楷体_GB2312" w:eastAsia="楷体_GB2312" w:cs="楷体_GB2312"/>
          <w:sz w:val="32"/>
          <w:szCs w:val="32"/>
        </w:rPr>
        <w:br w:type="textWrapping"/>
      </w:r>
      <w:r>
        <w:rPr>
          <w:rFonts w:hint="eastAsia" w:ascii="楷体_GB2312" w:hAnsi="楷体_GB2312" w:eastAsia="楷体_GB2312" w:cs="楷体_GB2312"/>
          <w:sz w:val="32"/>
          <w:szCs w:val="32"/>
        </w:rPr>
        <w:t xml:space="preserve">   （三）教育（类）普通教育（款）学前教育（项）：指各部门举办的学前教育支出。</w:t>
      </w:r>
      <w:r>
        <w:rPr>
          <w:rFonts w:hint="eastAsia" w:ascii="楷体_GB2312" w:hAnsi="楷体_GB2312" w:eastAsia="楷体_GB2312" w:cs="楷体_GB2312"/>
          <w:sz w:val="32"/>
          <w:szCs w:val="32"/>
        </w:rPr>
        <w:br w:type="textWrapping"/>
      </w:r>
      <w:r>
        <w:rPr>
          <w:rFonts w:hint="eastAsia" w:ascii="楷体_GB2312" w:hAnsi="楷体_GB2312" w:eastAsia="楷体_GB2312" w:cs="楷体_GB2312"/>
          <w:sz w:val="32"/>
          <w:szCs w:val="32"/>
        </w:rPr>
        <w:t xml:space="preserve">   （四）社会保障和就业（类）行政事业单位养老支出（款）机关事业单位基本养老保险缴费支出（项）：指部门实施养老保险制度由单位缴纳的养老保险的支出。</w:t>
      </w:r>
      <w:r>
        <w:rPr>
          <w:rFonts w:hint="eastAsia" w:ascii="楷体_GB2312" w:hAnsi="楷体_GB2312" w:eastAsia="楷体_GB2312" w:cs="楷体_GB2312"/>
          <w:sz w:val="32"/>
          <w:szCs w:val="32"/>
        </w:rPr>
        <w:br w:type="textWrapping"/>
      </w:r>
      <w:r>
        <w:rPr>
          <w:rFonts w:hint="eastAsia" w:ascii="楷体_GB2312" w:hAnsi="楷体_GB2312" w:eastAsia="楷体_GB2312" w:cs="楷体_GB2312"/>
          <w:sz w:val="32"/>
          <w:szCs w:val="32"/>
        </w:rPr>
        <w:t xml:space="preserve">    （五）社会保障和就业（类）行政事业单位养老支出（款）机关事业单位职业年金缴费支出（项）：指部门实施养老保险制度由单位缴纳的职业年金的支出。</w:t>
      </w:r>
      <w:r>
        <w:rPr>
          <w:rFonts w:hint="eastAsia" w:ascii="楷体_GB2312" w:hAnsi="楷体_GB2312" w:eastAsia="楷体_GB2312" w:cs="楷体_GB2312"/>
          <w:sz w:val="32"/>
          <w:szCs w:val="32"/>
        </w:rPr>
        <w:br w:type="textWrapping"/>
      </w:r>
      <w:r>
        <w:rPr>
          <w:rFonts w:hint="eastAsia" w:ascii="楷体_GB2312" w:hAnsi="楷体_GB2312" w:eastAsia="楷体_GB2312" w:cs="楷体_GB2312"/>
          <w:sz w:val="32"/>
          <w:szCs w:val="32"/>
        </w:rPr>
        <w:t xml:space="preserve">    （六）卫生健康（类）行政事业单位医疗（款）事业单位医疗（项）：指事业单位用于单位应缴纳基本医疗保险支出。</w:t>
      </w:r>
      <w:r>
        <w:rPr>
          <w:rFonts w:hint="eastAsia" w:ascii="楷体_GB2312" w:hAnsi="楷体_GB2312" w:eastAsia="楷体_GB2312" w:cs="楷体_GB2312"/>
          <w:sz w:val="32"/>
          <w:szCs w:val="32"/>
        </w:rPr>
        <w:br w:type="textWrapping"/>
      </w:r>
      <w:r>
        <w:rPr>
          <w:rFonts w:hint="eastAsia" w:ascii="楷体_GB2312" w:hAnsi="楷体_GB2312" w:eastAsia="楷体_GB2312" w:cs="楷体_GB2312"/>
          <w:sz w:val="32"/>
          <w:szCs w:val="32"/>
        </w:rPr>
        <w:t xml:space="preserve">    （七）住房保障（类）住房改革支出（款）住房公积金（项）：指按照《住房公积金管理条例》的规定，由单位及其在职职工缴存的长期住房储金。</w:t>
      </w:r>
      <w:r>
        <w:rPr>
          <w:rFonts w:hint="eastAsia" w:ascii="楷体_GB2312" w:hAnsi="楷体_GB2312" w:eastAsia="楷体_GB2312" w:cs="楷体_GB2312"/>
          <w:sz w:val="32"/>
          <w:szCs w:val="32"/>
        </w:rPr>
        <w:br w:type="textWrapping"/>
      </w:r>
      <w:r>
        <w:rPr>
          <w:rFonts w:hint="eastAsia" w:ascii="楷体_GB2312" w:hAnsi="楷体_GB2312" w:eastAsia="楷体_GB2312" w:cs="楷体_GB2312"/>
          <w:sz w:val="32"/>
          <w:szCs w:val="32"/>
        </w:rPr>
        <w:t xml:space="preserve">    （八）基本支出：指为保证机构正常运转，完成日常工作任务而发生的人员支出和公用支出。</w:t>
      </w:r>
      <w:r>
        <w:rPr>
          <w:rFonts w:hint="eastAsia" w:ascii="楷体_GB2312" w:hAnsi="楷体_GB2312" w:eastAsia="楷体_GB2312" w:cs="楷体_GB2312"/>
          <w:sz w:val="32"/>
          <w:szCs w:val="32"/>
        </w:rPr>
        <w:br w:type="textWrapping"/>
      </w:r>
      <w:r>
        <w:rPr>
          <w:rFonts w:hint="eastAsia" w:ascii="楷体_GB2312" w:hAnsi="楷体_GB2312" w:eastAsia="楷体_GB2312" w:cs="楷体_GB2312"/>
          <w:sz w:val="32"/>
          <w:szCs w:val="32"/>
        </w:rPr>
        <w:t xml:space="preserve">    （九）项目支出：指在基本支出之外为完成特定行政任务和事业发展目标所发生的支出。</w:t>
      </w:r>
    </w:p>
    <w:p>
      <w:pPr>
        <w:widowControl/>
        <w:pBdr>
          <w:bottom w:val="single" w:color="FFFFFF" w:sz="8" w:space="31"/>
        </w:pBdr>
        <w:shd w:val="clear" w:color="auto" w:fill="FFFFFF"/>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十）“三公”经费：指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宋体" w:hAnsi="宋体" w:cs="宋体"/>
          <w:color w:val="333333"/>
          <w:kern w:val="0"/>
          <w:sz w:val="28"/>
          <w:szCs w:val="28"/>
          <w:shd w:val="clear" w:color="auto" w:fill="FFFFFF"/>
        </w:rPr>
        <w:t>。</w:t>
      </w:r>
      <w:r>
        <w:rPr>
          <w:rFonts w:hint="eastAsia" w:ascii="宋体" w:hAnsi="宋体" w:cs="宋体"/>
          <w:color w:val="333333"/>
          <w:kern w:val="0"/>
          <w:sz w:val="28"/>
          <w:szCs w:val="28"/>
          <w:shd w:val="clear" w:color="auto" w:fill="FFFFFF"/>
        </w:rPr>
        <w:br w:type="textWrapping"/>
      </w:r>
      <w:r>
        <w:rPr>
          <w:rFonts w:hint="eastAsia" w:ascii="楷体_GB2312" w:hAnsi="楷体_GB2312" w:eastAsia="楷体_GB2312" w:cs="楷体_GB2312"/>
          <w:sz w:val="32"/>
          <w:szCs w:val="32"/>
        </w:rPr>
        <w:t xml:space="preserve">   （十一）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widowControl/>
        <w:pBdr>
          <w:bottom w:val="single" w:color="FFFFFF" w:sz="8" w:space="31"/>
        </w:pBdr>
        <w:shd w:val="clear" w:color="auto" w:fill="FFFFFF"/>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附件：部门预算公开表</w:t>
      </w:r>
    </w:p>
    <w:p>
      <w:pPr>
        <w:spacing w:line="576" w:lineRule="exact"/>
        <w:rPr>
          <w:rFonts w:ascii="仿宋_GB2312" w:hAnsi="仿宋_GB2312" w:eastAsia="仿宋_GB2312" w:cs="仿宋_GB2312"/>
          <w:sz w:val="32"/>
          <w:szCs w:val="32"/>
        </w:rPr>
      </w:pP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0000000000000000000"/>
    <w:charset w:val="00"/>
    <w:family w:val="swiss"/>
    <w:pitch w:val="default"/>
    <w:sig w:usb0="00000000" w:usb1="00000000" w:usb2="00000000" w:usb3="00000000" w:csb0="6000009F" w:csb1="DFD70000"/>
  </w:font>
  <w:font w:name="Noto Sans CJK SC Regular">
    <w:altName w:val="宋体"/>
    <w:panose1 w:val="00000000000000000000"/>
    <w:charset w:val="86"/>
    <w:family w:val="auto"/>
    <w:pitch w:val="default"/>
    <w:sig w:usb0="00000000" w:usb1="00000000" w:usb2="00000016" w:usb3="00000000" w:csb0="602E0107"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path/>
          <v:fill on="f" focussize="0,0"/>
          <v:stroke on="f" joinstyle="miter"/>
          <v:imagedata o:title=""/>
          <o:lock v:ext="edit"/>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c5MTc1YWUzNDk5OThmNzcwNDRiNmRkMjhiZTRiMmMifQ=="/>
  </w:docVars>
  <w:rsids>
    <w:rsidRoot w:val="007249EF"/>
    <w:rsid w:val="00091DC8"/>
    <w:rsid w:val="00197879"/>
    <w:rsid w:val="002023DE"/>
    <w:rsid w:val="00212C5A"/>
    <w:rsid w:val="00272AFC"/>
    <w:rsid w:val="002830AC"/>
    <w:rsid w:val="002879DB"/>
    <w:rsid w:val="00290ADA"/>
    <w:rsid w:val="002A3D3A"/>
    <w:rsid w:val="00322C71"/>
    <w:rsid w:val="00345625"/>
    <w:rsid w:val="003F263D"/>
    <w:rsid w:val="00434978"/>
    <w:rsid w:val="004A6F67"/>
    <w:rsid w:val="004D2D96"/>
    <w:rsid w:val="005655B5"/>
    <w:rsid w:val="00606E10"/>
    <w:rsid w:val="006E1DA7"/>
    <w:rsid w:val="007143E6"/>
    <w:rsid w:val="007157EC"/>
    <w:rsid w:val="007249EF"/>
    <w:rsid w:val="007B1029"/>
    <w:rsid w:val="007D3922"/>
    <w:rsid w:val="0082290D"/>
    <w:rsid w:val="008408CE"/>
    <w:rsid w:val="00893E28"/>
    <w:rsid w:val="008B330A"/>
    <w:rsid w:val="00A06E5F"/>
    <w:rsid w:val="00A3690B"/>
    <w:rsid w:val="00A9634B"/>
    <w:rsid w:val="00AA4934"/>
    <w:rsid w:val="00AB4515"/>
    <w:rsid w:val="00AB4FC5"/>
    <w:rsid w:val="00AC18C3"/>
    <w:rsid w:val="00AF295A"/>
    <w:rsid w:val="00B43332"/>
    <w:rsid w:val="00B72AFE"/>
    <w:rsid w:val="00B83B1F"/>
    <w:rsid w:val="00C26061"/>
    <w:rsid w:val="00C626C6"/>
    <w:rsid w:val="00CB6718"/>
    <w:rsid w:val="00CE1B0B"/>
    <w:rsid w:val="00CE6FFF"/>
    <w:rsid w:val="00D12AA9"/>
    <w:rsid w:val="00EA6315"/>
    <w:rsid w:val="00EB56B4"/>
    <w:rsid w:val="00F35357"/>
    <w:rsid w:val="00F54D5D"/>
    <w:rsid w:val="00FC3CFA"/>
    <w:rsid w:val="012352D1"/>
    <w:rsid w:val="04F20ED1"/>
    <w:rsid w:val="1F7BF06F"/>
    <w:rsid w:val="1FEE4B73"/>
    <w:rsid w:val="20235BF7"/>
    <w:rsid w:val="23CE9849"/>
    <w:rsid w:val="39F304DD"/>
    <w:rsid w:val="4890785A"/>
    <w:rsid w:val="54244390"/>
    <w:rsid w:val="54662A63"/>
    <w:rsid w:val="58064E12"/>
    <w:rsid w:val="5BFEE015"/>
    <w:rsid w:val="63EDCF55"/>
    <w:rsid w:val="63FBFBCF"/>
    <w:rsid w:val="669360FD"/>
    <w:rsid w:val="68FF6A83"/>
    <w:rsid w:val="6FBBC9CF"/>
    <w:rsid w:val="72BDE561"/>
    <w:rsid w:val="78462278"/>
    <w:rsid w:val="7997EA6C"/>
    <w:rsid w:val="7AEAE675"/>
    <w:rsid w:val="7BAFCE5D"/>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caption"/>
    <w:basedOn w:val="1"/>
    <w:next w:val="1"/>
    <w:qFormat/>
    <w:uiPriority w:val="0"/>
    <w:pPr>
      <w:suppressLineNumbers/>
      <w:spacing w:before="120" w:after="120"/>
    </w:pPr>
    <w:rPr>
      <w:i/>
      <w:iCs/>
      <w:sz w:val="24"/>
    </w:rPr>
  </w:style>
  <w:style w:type="paragraph" w:styleId="3">
    <w:name w:val="Body Text"/>
    <w:basedOn w:val="1"/>
    <w:qFormat/>
    <w:uiPriority w:val="0"/>
    <w:pPr>
      <w:spacing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582</Words>
  <Characters>3323</Characters>
  <Lines>27</Lines>
  <Paragraphs>7</Paragraphs>
  <TotalTime>195</TotalTime>
  <ScaleCrop>false</ScaleCrop>
  <LinksUpToDate>false</LinksUpToDate>
  <CharactersWithSpaces>3898</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2024-04-10T03:00:24Z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