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广元市朝天区曾家镇幼儿园</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一、基本职能及主要工作..............................(3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（一）单位职能简介..................................(3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（二）单位2024年重点工作...........................(</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二、部门预算单位构成................................(</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三、收支预算情况说明................................(5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（一）收入预算情况..................................(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（二）支出预算情况..................................(5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四、财政拨款收支预算情况说明........................(5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五、一般公共预算当年拨款情况说明....................(5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（一）一般公共预算当年拨款规模变化情况..............(6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（二）一般公共预算当年拨款结构情况..................(6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（三）一般公共预算当年拨款具体使用情况..............(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六、一般公共预算基本支出情况说明....................(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七、“三公”经费财政拨款预算安排情况说明............(7</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八、政府性基金预算支出情况说明......................(7</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九、国有资本经营预算支出情况说明....................(7</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十、其他重要事项的情况说明........................(7</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十一、名词解释....................................(8</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pStyle w:val="7"/>
        <w:widowControl/>
        <w:shd w:val="clear" w:color="auto" w:fill="FFFFFF"/>
        <w:spacing w:before="130" w:line="580" w:lineRule="atLeast"/>
        <w:rPr>
          <w:rFonts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（一）广元市朝天区曾家镇幼儿园单位职能简介</w:t>
      </w:r>
    </w:p>
    <w:p>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正确贯彻执行党和国家的教育方针、政策、</w:t>
      </w:r>
      <w:r>
        <w:rPr>
          <w:rFonts w:hint="eastAsia" w:ascii="仿宋_GB2312" w:hAnsi="仿宋_GB2312" w:eastAsia="仿宋_GB2312" w:cs="仿宋_GB2312"/>
          <w:sz w:val="32"/>
          <w:szCs w:val="32"/>
        </w:rPr>
        <w:t>法律</w:t>
      </w:r>
      <w:r>
        <w:rPr>
          <w:rFonts w:ascii="仿宋_GB2312" w:hAnsi="仿宋_GB2312" w:eastAsia="仿宋_GB2312" w:cs="仿宋_GB2312"/>
          <w:sz w:val="32"/>
          <w:szCs w:val="32"/>
        </w:rPr>
        <w:t>法</w:t>
      </w:r>
      <w:r>
        <w:rPr>
          <w:rFonts w:hint="eastAsia" w:ascii="仿宋_GB2312" w:hAnsi="仿宋_GB2312" w:eastAsia="仿宋_GB2312" w:cs="仿宋_GB2312"/>
          <w:sz w:val="32"/>
          <w:szCs w:val="32"/>
        </w:rPr>
        <w:t>规。</w:t>
      </w:r>
    </w:p>
    <w:p>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维护</w:t>
      </w:r>
      <w:r>
        <w:rPr>
          <w:rFonts w:hint="eastAsia" w:ascii="仿宋_GB2312" w:hAnsi="仿宋_GB2312" w:eastAsia="仿宋_GB2312" w:cs="仿宋_GB2312"/>
          <w:sz w:val="32"/>
          <w:szCs w:val="32"/>
        </w:rPr>
        <w:t>园内</w:t>
      </w:r>
      <w:r>
        <w:rPr>
          <w:rFonts w:ascii="仿宋_GB2312" w:hAnsi="仿宋_GB2312" w:eastAsia="仿宋_GB2312" w:cs="仿宋_GB2312"/>
          <w:sz w:val="32"/>
          <w:szCs w:val="32"/>
        </w:rPr>
        <w:t>的教学秩序，为</w:t>
      </w:r>
      <w:r>
        <w:rPr>
          <w:rFonts w:hint="eastAsia" w:ascii="仿宋_GB2312" w:hAnsi="仿宋_GB2312" w:eastAsia="仿宋_GB2312" w:cs="仿宋_GB2312"/>
          <w:sz w:val="32"/>
          <w:szCs w:val="32"/>
        </w:rPr>
        <w:t>幼儿</w:t>
      </w:r>
      <w:r>
        <w:rPr>
          <w:rFonts w:ascii="仿宋_GB2312" w:hAnsi="仿宋_GB2312" w:eastAsia="仿宋_GB2312" w:cs="仿宋_GB2312"/>
          <w:sz w:val="32"/>
          <w:szCs w:val="32"/>
        </w:rPr>
        <w:t>创造良好的学习环境。</w:t>
      </w:r>
      <w:r>
        <w:rPr>
          <w:rFonts w:hint="eastAsia" w:ascii="仿宋_GB2312" w:hAnsi="仿宋_GB2312" w:eastAsia="仿宋_GB2312" w:cs="仿宋_GB2312"/>
          <w:sz w:val="32"/>
          <w:szCs w:val="32"/>
        </w:rPr>
        <w:t> </w:t>
      </w:r>
    </w:p>
    <w:p>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积极稳妥地推进教育改革，按教育规律办事，不断提高教育质量。</w:t>
      </w:r>
      <w:r>
        <w:rPr>
          <w:rFonts w:hint="eastAsia" w:ascii="仿宋_GB2312" w:hAnsi="仿宋_GB2312" w:eastAsia="仿宋_GB2312" w:cs="仿宋_GB2312"/>
          <w:sz w:val="32"/>
          <w:szCs w:val="32"/>
        </w:rPr>
        <w:t> </w:t>
      </w:r>
    </w:p>
    <w:p>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根据学校规模，设置学校管理机构，建立健全各项规章制度和岗位责任制。</w:t>
      </w:r>
      <w:r>
        <w:rPr>
          <w:rFonts w:hint="eastAsia" w:ascii="仿宋_GB2312" w:hAnsi="仿宋_GB2312" w:eastAsia="仿宋_GB2312" w:cs="仿宋_GB2312"/>
          <w:sz w:val="32"/>
          <w:szCs w:val="32"/>
        </w:rPr>
        <w:t> </w:t>
      </w:r>
    </w:p>
    <w:p>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坚持教书育人，服务育人，环境育人方针，加强对</w:t>
      </w:r>
      <w:r>
        <w:rPr>
          <w:rFonts w:hint="eastAsia" w:ascii="仿宋_GB2312" w:hAnsi="仿宋_GB2312" w:eastAsia="仿宋_GB2312" w:cs="仿宋_GB2312"/>
          <w:sz w:val="32"/>
          <w:szCs w:val="32"/>
        </w:rPr>
        <w:t>幼儿</w:t>
      </w:r>
      <w:r>
        <w:rPr>
          <w:rFonts w:ascii="仿宋_GB2312" w:hAnsi="仿宋_GB2312" w:eastAsia="仿宋_GB2312" w:cs="仿宋_GB2312"/>
          <w:sz w:val="32"/>
          <w:szCs w:val="32"/>
        </w:rPr>
        <w:t>的思想品德教育。</w:t>
      </w:r>
    </w:p>
    <w:p>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ascii="仿宋_GB2312" w:hAnsi="仿宋_GB2312" w:eastAsia="仿宋_GB2312" w:cs="仿宋_GB2312"/>
          <w:sz w:val="32"/>
          <w:szCs w:val="32"/>
        </w:rPr>
        <w:t>抓好教师队伍建设，使每个教师都热心于教育事业。</w:t>
      </w:r>
    </w:p>
    <w:p>
      <w:pPr>
        <w:pStyle w:val="13"/>
        <w:numPr>
          <w:ilvl w:val="0"/>
          <w:numId w:val="1"/>
        </w:numPr>
        <w:spacing w:line="576" w:lineRule="exact"/>
        <w:ind w:firstLineChars="0"/>
        <w:rPr>
          <w:rFonts w:ascii="楷体_GB2312" w:hAnsi="楷体_GB2312" w:eastAsia="楷体_GB2312" w:cs="楷体_GB2312"/>
          <w:sz w:val="32"/>
          <w:szCs w:val="32"/>
        </w:rPr>
      </w:pPr>
      <w:r>
        <w:rPr>
          <w:rFonts w:hint="eastAsia" w:ascii="仿宋_GB2312" w:hAnsi="仿宋_GB2312" w:eastAsia="仿宋_GB2312" w:cs="仿宋_GB2312"/>
          <w:sz w:val="32"/>
          <w:szCs w:val="32"/>
        </w:rPr>
        <w:t>广元市朝天区曾家镇幼儿园</w:t>
      </w:r>
      <w:r>
        <w:rPr>
          <w:rFonts w:hint="eastAsia" w:ascii="楷体_GB2312" w:hAnsi="楷体_GB2312" w:eastAsia="楷体_GB2312" w:cs="楷体_GB2312"/>
          <w:sz w:val="32"/>
          <w:szCs w:val="32"/>
        </w:rPr>
        <w:t>单位2024年重点工作</w:t>
      </w:r>
    </w:p>
    <w:p>
      <w:pPr>
        <w:suppressAutoHyphens w:val="0"/>
        <w:adjustRightInd w:val="0"/>
        <w:snapToGrid w:val="0"/>
        <w:spacing w:line="360" w:lineRule="auto"/>
        <w:ind w:firstLine="630" w:firstLineChars="196"/>
        <w:rPr>
          <w:rFonts w:ascii="楷体_GB2312" w:hAnsi="楷体_GB2312" w:eastAsia="楷体_GB2312" w:cs="楷体_GB2312"/>
          <w:b/>
          <w:snapToGrid w:val="0"/>
          <w:color w:val="000000"/>
          <w:sz w:val="32"/>
          <w:szCs w:val="32"/>
        </w:rPr>
      </w:pPr>
      <w:r>
        <w:rPr>
          <w:rFonts w:hint="eastAsia" w:ascii="楷体_GB2312" w:hAnsi="楷体_GB2312" w:eastAsia="楷体_GB2312" w:cs="楷体_GB2312"/>
          <w:b/>
          <w:snapToGrid w:val="0"/>
          <w:color w:val="000000"/>
          <w:sz w:val="32"/>
          <w:szCs w:val="32"/>
        </w:rPr>
        <w:t>1.团队建设——找问题、抓落实、重跟进</w:t>
      </w:r>
    </w:p>
    <w:p>
      <w:pPr>
        <w:adjustRightInd w:val="0"/>
        <w:snapToGrid w:val="0"/>
        <w:spacing w:line="360" w:lineRule="auto"/>
        <w:ind w:firstLine="640" w:firstLineChars="200"/>
        <w:rPr>
          <w:rFonts w:ascii="仿宋_GB2312" w:hAnsi="仿宋_GB2312" w:eastAsia="仿宋_GB2312" w:cs="仿宋_GB2312"/>
          <w:b/>
          <w:snapToGrid w:val="0"/>
          <w:color w:val="000000"/>
          <w:sz w:val="32"/>
          <w:szCs w:val="32"/>
        </w:rPr>
      </w:pPr>
      <w:r>
        <w:rPr>
          <w:rFonts w:hint="eastAsia" w:ascii="仿宋_GB2312" w:hAnsi="仿宋_GB2312" w:eastAsia="仿宋_GB2312" w:cs="仿宋_GB2312"/>
          <w:snapToGrid w:val="0"/>
          <w:color w:val="000000"/>
          <w:sz w:val="32"/>
          <w:szCs w:val="32"/>
        </w:rPr>
        <w:t>进一步理顺管理人员的管理职能，以日常巡导、月工作质量分析等为举措，继续强化常态管理，切实落实各项服务措施，全面提升服务品质，创满意服务、优质服务品牌。</w:t>
      </w:r>
    </w:p>
    <w:p>
      <w:pPr>
        <w:adjustRightInd w:val="0"/>
        <w:snapToGrid w:val="0"/>
        <w:spacing w:line="360" w:lineRule="auto"/>
        <w:ind w:firstLine="640" w:firstLineChars="200"/>
        <w:rPr>
          <w:rFonts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继续以教科研为引领，通过内部研讨探究练内功、对外展示交流提品质的多元锻炼平台，加大对骨干教师的培养力度，有效促进教师的专业化成长。</w:t>
      </w:r>
    </w:p>
    <w:p>
      <w:pPr>
        <w:adjustRightInd w:val="0"/>
        <w:snapToGrid w:val="0"/>
        <w:spacing w:line="360" w:lineRule="auto"/>
        <w:ind w:firstLine="640" w:firstLineChars="200"/>
        <w:rPr>
          <w:rFonts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建立各部门“工作质量管理手册”为抓手，细化营养膳食、保育护理、安全保障等工作，不断提高后勤、保健、保育等岗位人员的实践技能和工作能力。</w:t>
      </w:r>
    </w:p>
    <w:p>
      <w:pPr>
        <w:suppressAutoHyphens w:val="0"/>
        <w:adjustRightInd w:val="0"/>
        <w:snapToGrid w:val="0"/>
        <w:spacing w:line="360" w:lineRule="auto"/>
        <w:ind w:firstLine="630" w:firstLineChars="196"/>
        <w:rPr>
          <w:rFonts w:ascii="楷体_GB2312" w:hAnsi="楷体_GB2312" w:eastAsia="楷体_GB2312" w:cs="楷体_GB2312"/>
          <w:b/>
          <w:snapToGrid w:val="0"/>
          <w:color w:val="000000"/>
          <w:sz w:val="32"/>
          <w:szCs w:val="32"/>
        </w:rPr>
      </w:pPr>
      <w:r>
        <w:rPr>
          <w:rFonts w:hint="eastAsia" w:ascii="楷体_GB2312" w:hAnsi="楷体_GB2312" w:eastAsia="楷体_GB2312" w:cs="楷体_GB2312"/>
          <w:b/>
          <w:snapToGrid w:val="0"/>
          <w:color w:val="000000"/>
          <w:sz w:val="32"/>
          <w:szCs w:val="32"/>
        </w:rPr>
        <w:t>2.课程建设——保基础、重生发、促拓展</w:t>
      </w:r>
    </w:p>
    <w:p>
      <w:pPr>
        <w:adjustRightInd w:val="0"/>
        <w:snapToGrid w:val="0"/>
        <w:spacing w:line="360" w:lineRule="auto"/>
        <w:ind w:firstLine="640" w:firstLineChars="200"/>
        <w:rPr>
          <w:rFonts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以学习贯彻指南纲要为契机，借助教、研、训平台，有效落实园本基础课程和探索园本课程的执行工作，优化特色班本主题课程。以“学习故事”为表现性评价的手段，更好地解读儿童、研究儿童，客观评价儿童的学习和发展，遵循幼儿身心发展规律，坚持科学保教方法，促进幼儿富有个性地发展。</w:t>
      </w:r>
    </w:p>
    <w:p>
      <w:pPr>
        <w:adjustRightInd w:val="0"/>
        <w:snapToGrid w:val="0"/>
        <w:spacing w:line="360" w:lineRule="auto"/>
        <w:ind w:firstLine="640" w:firstLineChars="200"/>
        <w:rPr>
          <w:rFonts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创新拓展家园合作形式，利用沙龙、论坛、幼儿成长故事分享会等形式有效开展家园互动工作，帮助家长（包括祖辈）树立科学育儿的观念，让家长也成为课程的支持者、参与者、评价者。</w:t>
      </w:r>
    </w:p>
    <w:p>
      <w:pPr>
        <w:suppressAutoHyphens w:val="0"/>
        <w:adjustRightInd w:val="0"/>
        <w:snapToGrid w:val="0"/>
        <w:spacing w:line="360" w:lineRule="auto"/>
        <w:ind w:firstLine="630" w:firstLineChars="196"/>
        <w:rPr>
          <w:rFonts w:ascii="楷体_GB2312" w:hAnsi="楷体_GB2312" w:eastAsia="楷体_GB2312" w:cs="楷体_GB2312"/>
          <w:b/>
          <w:snapToGrid w:val="0"/>
          <w:color w:val="000000"/>
          <w:sz w:val="32"/>
          <w:szCs w:val="32"/>
        </w:rPr>
      </w:pPr>
      <w:r>
        <w:rPr>
          <w:rFonts w:hint="eastAsia" w:ascii="楷体_GB2312" w:hAnsi="楷体_GB2312" w:eastAsia="楷体_GB2312" w:cs="楷体_GB2312"/>
          <w:b/>
          <w:snapToGrid w:val="0"/>
          <w:color w:val="000000"/>
          <w:sz w:val="32"/>
          <w:szCs w:val="32"/>
        </w:rPr>
        <w:t>3.环境、区角创设——巧打造、妙利用、真促进</w:t>
      </w:r>
    </w:p>
    <w:p>
      <w:pPr>
        <w:adjustRightInd w:val="0"/>
        <w:snapToGrid w:val="0"/>
        <w:spacing w:line="360" w:lineRule="auto"/>
        <w:ind w:firstLine="640" w:firstLineChars="200"/>
        <w:rPr>
          <w:rFonts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结合课程优化园内教育环境，凸显环境的特色和教育价值，促进幼儿与环境的有效互动。</w:t>
      </w:r>
    </w:p>
    <w:p>
      <w:pPr>
        <w:adjustRightInd w:val="0"/>
        <w:snapToGrid w:val="0"/>
        <w:spacing w:line="360" w:lineRule="auto"/>
        <w:ind w:firstLine="640" w:firstLineChars="200"/>
        <w:rPr>
          <w:rFonts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丰富新园环境建设，体现挑战性、趣味性，给与孩子更多创作的灵感，让环境里处处凸显孩子的活动痕迹。</w:t>
      </w:r>
    </w:p>
    <w:p>
      <w:pPr>
        <w:adjustRightInd w:val="0"/>
        <w:snapToGrid w:val="0"/>
        <w:spacing w:line="360" w:lineRule="auto"/>
        <w:ind w:firstLine="640" w:firstLineChars="200"/>
        <w:rPr>
          <w:rFonts w:ascii="仿宋_GB2312" w:hAnsi="仿宋_GB2312" w:eastAsia="仿宋_GB2312" w:cs="仿宋_GB2312"/>
          <w:snapToGrid w:val="0"/>
          <w:color w:val="000000"/>
          <w:sz w:val="32"/>
          <w:szCs w:val="32"/>
        </w:rPr>
      </w:pPr>
      <w:r>
        <w:rPr>
          <w:rFonts w:hint="eastAsia" w:ascii="仿宋_GB2312" w:hAnsi="仿宋_GB2312" w:eastAsia="仿宋_GB2312" w:cs="仿宋_GB2312"/>
          <w:snapToGrid w:val="0"/>
          <w:color w:val="000000"/>
          <w:sz w:val="32"/>
          <w:szCs w:val="32"/>
        </w:rPr>
        <w:t>充分利用新园室内外空间，重点打造各个区角，以幼儿参与为主线，让区域活动真正“活”起来。</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我单位为广元市朝天区教育和科学技术局单位的下属二级预算单位，本单位无下属机构，设有内设机构5个。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w:t>
      </w:r>
      <w:r>
        <w:rPr>
          <w:rFonts w:hint="eastAsia" w:ascii="楷体_GB2312" w:hAnsi="楷体_GB2312" w:eastAsia="楷体_GB2312" w:cs="楷体_GB2312"/>
          <w:sz w:val="32"/>
          <w:szCs w:val="32"/>
        </w:rPr>
        <w:t>广元市朝天区曾家镇幼儿园</w:t>
      </w:r>
      <w:r>
        <w:rPr>
          <w:rFonts w:hint="eastAsia" w:ascii="仿宋_GB2312" w:hAnsi="仿宋_GB2312" w:eastAsia="仿宋_GB2312" w:cs="仿宋_GB2312"/>
          <w:sz w:val="32"/>
          <w:szCs w:val="32"/>
        </w:rPr>
        <w:t>单位所有收入和支出均纳入部门预算管理。收入包括：一般公共预算拨款收入175.61万元；支出包括：教育支出175.61万元。广元市朝天区曾家镇幼儿园单位2024年收支预算总数175.61万元,比2023年收支预算总数减少521.7万元，主要原因是2023年安排了项目财政预算，2024年未安排项目财政预算，项目预算经费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广元市朝天区曾家镇幼儿园单位2024年收入预算175.61万元，其中：一般公共预算拨款收入175.61万元，占100%。</w:t>
      </w:r>
      <w:r>
        <w:rPr>
          <w:rFonts w:ascii="仿宋_GB2312" w:hAnsi="仿宋_GB2312" w:eastAsia="仿宋_GB2312" w:cs="仿宋_GB2312"/>
          <w:b/>
          <w:bCs/>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广元市朝天区曾家镇幼儿园单位2024年支出预算175.61万元，其中：基本支出175.61万元，占100%。</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广元市朝天区曾家镇幼儿园单位2024年财政拨款收支预算总数175.61万元,比2023年财政拨款收支预算总数减少521.7万元，主要原因是2023年安排了项目财政预算，2024年未安排项目财政预算，项目预算经费减少。</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收入包括：本年一般公共预算拨款收入175.61万元；支出包括：教育支出175.61万元</w:t>
      </w:r>
    </w:p>
    <w:p>
      <w:pPr>
        <w:spacing w:line="576" w:lineRule="exact"/>
        <w:ind w:firstLine="627" w:firstLineChars="196"/>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广元市朝天区曾家镇幼儿园单位2024年一般公共预算当年拨款175.61万元，比2023年预算数减少521.7万元，主要原因是2023年安排了项目财政预算，2024年未安排项目财政预算，项目预算经费减少。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一般公共服务支出175.61万元，占100%；教育支出175.61万元，占100%.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教育支出（类）普通教育（款）学前教育（项）2024年预算数为175.61万元，主要用于：实施单位基本工资、津贴、奖金、绩效工资、保险支出。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广元市朝天区曾家镇幼儿园单位2024年一般公共预算基本支出175.61万元，其中：</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人员经费155.09万元，主要包括：基本工资、津贴补贴、奖金、社会保险缴费、住房公积金等支出。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公用经费20.52万元，主要包括：办公费、印刷费、水费、电费、邮电费、物业管理费、差旅费、维修（护）费、会议费、培训费、公务接待费、劳务费、工会经费、福利费、公务用车运行维护费、税金及附加费用、其他交通费用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广元市朝天区曾家镇幼儿园单位2024年“三公”经费财政拨款预算数0万元，其中：公务接待费0万元，公务用车购置及运行维护费0万元，因公出国（境）经费0万元。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（一）公务接待费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w:t>
      </w:r>
      <w:r>
        <w:rPr>
          <w:rFonts w:hint="eastAsia" w:ascii="仿宋_GB2312" w:hAnsi="仿宋_GB2312" w:eastAsia="仿宋_GB2312" w:cs="仿宋_GB2312"/>
          <w:sz w:val="32"/>
          <w:szCs w:val="32"/>
          <w:lang w:eastAsia="zh-CN"/>
        </w:rPr>
        <w:t>年安排</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（二）公务用车购置及运行维护费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2024年安排公务用车运行维护费0万元</w:t>
      </w:r>
      <w:r>
        <w:rPr>
          <w:rFonts w:hint="eastAsia" w:ascii="仿宋_GB2312" w:hAnsi="仿宋_GB2312" w:eastAsia="仿宋_GB2312" w:cs="仿宋_GB2312"/>
          <w:sz w:val="32"/>
          <w:szCs w:val="32"/>
          <w:lang w:eastAsia="zh-CN"/>
        </w:rPr>
        <w:t>。</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（三）因公出国（境）经费</w:t>
      </w:r>
    </w:p>
    <w:p>
      <w:pPr>
        <w:widowControl/>
        <w:pBdr>
          <w:bottom w:val="single" w:color="FFFFFF" w:sz="8" w:space="31"/>
        </w:pBdr>
        <w:shd w:val="clear" w:color="auto" w:fill="FFFFFF"/>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2024年安排因公出国（境）经费与0万元</w:t>
      </w:r>
      <w:r>
        <w:rPr>
          <w:rFonts w:hint="eastAsia" w:ascii="仿宋_GB2312" w:hAnsi="仿宋_GB2312" w:eastAsia="仿宋_GB2312" w:cs="仿宋_GB2312"/>
          <w:sz w:val="32"/>
          <w:szCs w:val="32"/>
          <w:lang w:eastAsia="zh-CN"/>
        </w:rPr>
        <w:t>。</w:t>
      </w:r>
    </w:p>
    <w:p>
      <w:pPr>
        <w:widowControl/>
        <w:pBdr>
          <w:bottom w:val="single" w:color="FFFFFF" w:sz="8" w:space="31"/>
        </w:pBdr>
        <w:shd w:val="clear" w:color="auto" w:fill="FFFFFF"/>
        <w:ind w:firstLine="643" w:firstLineChars="200"/>
        <w:rPr>
          <w:rFonts w:ascii="黑体" w:hAnsi="黑体" w:eastAsia="黑体" w:cs="仿宋_GB2312"/>
          <w:b/>
          <w:sz w:val="32"/>
          <w:szCs w:val="32"/>
        </w:rPr>
      </w:pPr>
      <w:r>
        <w:rPr>
          <w:rFonts w:hint="eastAsia" w:ascii="黑体" w:hAnsi="黑体" w:eastAsia="黑体" w:cs="仿宋_GB2312"/>
          <w:b/>
          <w:sz w:val="32"/>
          <w:szCs w:val="32"/>
        </w:rPr>
        <w:t>八、政府性基金预算支出情况说明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广元市朝天区曾家镇幼儿园2024年无政府性基金预算拨款安排的支出。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广元市朝天区曾家镇幼儿园单位2024年无国有资本经营预算拨款安排的支出。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2024年，广元市朝天区曾家镇幼儿园单位的机关运行经费财政拨款预算为20.52万元，比2023年预算增加20.52万元，增长100%。主要原因2023年未安排单位机关运行费财政预算。</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（二）绩效目标设置情况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2024年广元市朝天区曾家镇幼儿园单位开展绩效目标管理的项目8个，涉及预算175.61万元。其中：人员类项目7个，涉及预算155.09万元；运转类项目1个，涉及预算20.52万元；特定目标类项目0个，涉及预算0万元。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（三）教育支出（类）普通教育（款）学前教育（项）：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030AC"/>
    <w:multiLevelType w:val="multilevel"/>
    <w:tmpl w:val="264030AC"/>
    <w:lvl w:ilvl="0" w:tentative="0">
      <w:start w:val="2"/>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5D1311"/>
    <w:rsid w:val="0003253A"/>
    <w:rsid w:val="00043296"/>
    <w:rsid w:val="00063F4B"/>
    <w:rsid w:val="00112BAE"/>
    <w:rsid w:val="0013474B"/>
    <w:rsid w:val="00145FAA"/>
    <w:rsid w:val="0015265E"/>
    <w:rsid w:val="001D4847"/>
    <w:rsid w:val="001E6687"/>
    <w:rsid w:val="00217066"/>
    <w:rsid w:val="00262B52"/>
    <w:rsid w:val="00290E4E"/>
    <w:rsid w:val="002B76C3"/>
    <w:rsid w:val="003E0FF4"/>
    <w:rsid w:val="003E5716"/>
    <w:rsid w:val="00477E3F"/>
    <w:rsid w:val="004D5E1D"/>
    <w:rsid w:val="005531A9"/>
    <w:rsid w:val="005D1311"/>
    <w:rsid w:val="005E6C14"/>
    <w:rsid w:val="00606FE4"/>
    <w:rsid w:val="007A5D3E"/>
    <w:rsid w:val="007D30A1"/>
    <w:rsid w:val="007E48F8"/>
    <w:rsid w:val="0088012B"/>
    <w:rsid w:val="008E258F"/>
    <w:rsid w:val="00925082"/>
    <w:rsid w:val="009B54BF"/>
    <w:rsid w:val="00A0661D"/>
    <w:rsid w:val="00B70F8C"/>
    <w:rsid w:val="00C47638"/>
    <w:rsid w:val="00C92EA7"/>
    <w:rsid w:val="00D23A73"/>
    <w:rsid w:val="00D83E60"/>
    <w:rsid w:val="00DC1D27"/>
    <w:rsid w:val="00DE3A97"/>
    <w:rsid w:val="00E245CC"/>
    <w:rsid w:val="00EF3236"/>
    <w:rsid w:val="00F010E5"/>
    <w:rsid w:val="00F373A8"/>
    <w:rsid w:val="00F90FC0"/>
    <w:rsid w:val="012352D1"/>
    <w:rsid w:val="04F20ED1"/>
    <w:rsid w:val="1F7BF06F"/>
    <w:rsid w:val="1FEE4B73"/>
    <w:rsid w:val="23CE9849"/>
    <w:rsid w:val="39F304DD"/>
    <w:rsid w:val="53CC466C"/>
    <w:rsid w:val="54244390"/>
    <w:rsid w:val="54662A63"/>
    <w:rsid w:val="58064E12"/>
    <w:rsid w:val="5BFEE015"/>
    <w:rsid w:val="63EDCF55"/>
    <w:rsid w:val="63FBFBCF"/>
    <w:rsid w:val="669360FD"/>
    <w:rsid w:val="68FF6A83"/>
    <w:rsid w:val="6FBBC9CF"/>
    <w:rsid w:val="72BDE561"/>
    <w:rsid w:val="74841E3A"/>
    <w:rsid w:val="76977CD3"/>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9</Pages>
  <Words>555</Words>
  <Characters>3166</Characters>
  <Lines>26</Lines>
  <Paragraphs>7</Paragraphs>
  <TotalTime>0</TotalTime>
  <ScaleCrop>false</ScaleCrop>
  <LinksUpToDate>false</LinksUpToDate>
  <CharactersWithSpaces>3714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2024-04-10T02:59:18Z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