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bookmarkStart w:id="0" w:name="_GoBack"/>
      <w:bookmarkEnd w:id="0"/>
      <w:r>
        <w:rPr>
          <w:rFonts w:hint="eastAsia" w:ascii="方正小标宋简体" w:hAnsi="方正小标宋简体" w:eastAsia="方正小标宋简体" w:cs="方正小标宋简体"/>
          <w:color w:val="000000" w:themeColor="text1"/>
          <w:kern w:val="0"/>
          <w:sz w:val="44"/>
          <w:szCs w:val="44"/>
          <w:shd w:val="clear" w:color="auto" w:fill="FFFFFF"/>
        </w:rPr>
        <w:t>四川省广元市朝天中学</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一、基本职能及主要工作..............................( 2</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2 )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（二）单位2024年重点工作...........................( 2</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7 )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三、收支预算情况说明................................( 7</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8 )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9 )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（三）一般公共预算当年拨款具体使用情况..............( 9</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六、一般公共预算基本支出情况说明...................(10 )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七、“三公”经费财政拨款预算安排情况说明...........(10 )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八、政府性基金预算支出情况说明.....................( 11 )</w:t>
      </w:r>
    </w:p>
    <w:p>
      <w:pPr>
        <w:jc w:val="cente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九、国有资本经营预算支出情况说明...................( 12 )</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十、其他重要事项的情况说明.........................( 12 )</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十一、名词解释....................................(13</w:t>
      </w:r>
      <w:r>
        <w:rPr>
          <w:rFonts w:ascii="仿宋_GB2312" w:hAnsi="仿宋_GB2312" w:eastAsia="仿宋_GB2312" w:cs="仿宋_GB2312"/>
          <w:color w:val="000000" w:themeColor="text1"/>
          <w:kern w:val="0"/>
          <w:sz w:val="32"/>
          <w:szCs w:val="32"/>
          <w:shd w:val="clear" w:color="auto" w:fill="FFFFFF"/>
        </w:rPr>
        <w:t xml:space="preserve"> </w:t>
      </w:r>
      <w:r>
        <w:rPr>
          <w:rFonts w:hint="eastAsia" w:ascii="仿宋_GB2312" w:hAnsi="仿宋_GB2312" w:eastAsia="仿宋_GB2312" w:cs="仿宋_GB2312"/>
          <w:color w:val="000000" w:themeColor="text1"/>
          <w:kern w:val="0"/>
          <w:sz w:val="32"/>
          <w:szCs w:val="32"/>
          <w:shd w:val="clear" w:color="auto" w:fill="FFFFFF"/>
        </w:rPr>
        <w:t>)</w:t>
      </w:r>
    </w:p>
    <w:p>
      <w:pPr>
        <w:spacing w:line="576" w:lineRule="exact"/>
        <w:ind w:firstLine="562" w:firstLineChars="200"/>
        <w:rPr>
          <w:rFonts w:ascii="黑体" w:hAnsi="黑体" w:eastAsia="黑体" w:cs="黑体"/>
          <w:color w:val="000000" w:themeColor="text1"/>
          <w:sz w:val="32"/>
          <w:szCs w:val="32"/>
        </w:rPr>
      </w:pPr>
      <w:r>
        <w:rPr>
          <w:rFonts w:hint="eastAsia" w:ascii="宋体" w:hAnsi="宋体" w:cs="宋体"/>
          <w:b/>
          <w:color w:val="000000" w:themeColor="text1"/>
          <w:sz w:val="28"/>
          <w:szCs w:val="28"/>
          <w:shd w:val="clear" w:color="auto" w:fill="FFFFFF"/>
        </w:rPr>
        <w:t xml:space="preserve">    </w:t>
      </w:r>
      <w:r>
        <w:rPr>
          <w:rFonts w:hint="eastAsia" w:ascii="黑体" w:hAnsi="黑体" w:eastAsia="黑体" w:cs="黑体"/>
          <w:color w:val="000000" w:themeColor="text1"/>
          <w:sz w:val="32"/>
          <w:szCs w:val="32"/>
        </w:rPr>
        <w:t>一、基本职能及主要工作</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（一）职能简介</w:t>
      </w:r>
    </w:p>
    <w:p>
      <w:pPr>
        <w:pStyle w:val="7"/>
        <w:widowControl/>
        <w:spacing w:before="130" w:line="580" w:lineRule="atLeas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朝天中学办学性质为公办全日制高中学历教育。学校践行“让生命更灿烂”的办学理念，弘扬“艰苦奋斗，自强不息”的治校精神，秉承“朝气蓬勃，和谐包容”的校风，“乐教善导，和谐共生”的教风，“乐学善思，取长补短”的学风，坚持“知识乐园，精神家园”的办学追求，大力探索生命教育的特色办学。全面贯彻党的教育方针，坚持社会主义办学方向，从本校实际出发，制定学校发展规划、年度工作计划并组织实施。统一指挥、协调各部门，促进学校健康、稳定发展。按教育规律办学，全面实施素质教育，培养学生的创新精神和实践能力，为学生全面发展和终身发展奠定基础，为高校输送优秀合格人才，使之成为社会主义事业的建设者和接班人。</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（二）2024年重点工作</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1.党建引领方面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进一步发挥学校党委领导作用，对标《2023年全市教育系统基层党建工作目标及考评细则》，结合我校实际，确立党建工作总体思路是“三突出三抓实”：突出党委政治引领作用，抓实基层党建工作；突出支部战斗堡垒作用，抓实支部规范建设；突出党员先锋模范作用，抓实党员教育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强化理论学习，坚定理想信念。组织全体教职工认真学习习近平总书记重要讲话精神，坚定为国育才、为党育人理想信念。认真执行党委理论学习中心组学习制度，扎实开展教师政治学习，落实“三有”主题教育。</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（3）加强意识形态阵地统筹规划、监督管理，推动意识形态工作全面进步、全面过硬。</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（4）用活用好党性教育基地，扎实开展参观、学习、受教育活动。</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2.纪律监督方面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强化纪律约束，遵守行为规范。牢牢把握习近平总书记关于党的自我革命战略思想，继续打好党风廉政建设和反腐败斗争攻坚战持久战。进一步完善制度建设，及时堵塞漏洞。开展痛感教育、反思教育、警示教育，做到查办一起案件、教育一批干部、解决一类问题、优化一域生态。</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加强师德师风建设，把提高教师思想政治素质和职业道德水平摆在首要位置。师德师风教育开展做到经常化、制度化，集中学习与平时学习相结合，集体学习与个人学习相结合；积极开展系列活动，巩固师德师风建设成果。</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（3）强化监督工作，提高监督实效。加强对</w:t>
      </w:r>
      <w:r>
        <w:rPr>
          <w:rFonts w:hint="eastAsia" w:ascii="仿宋_GB2312" w:hAnsi="仿宋_GB2312" w:eastAsia="仿宋_GB2312" w:cs="仿宋_GB2312"/>
          <w:color w:val="000000" w:themeColor="text1"/>
          <w:sz w:val="32"/>
          <w:szCs w:val="32"/>
          <w:lang w:eastAsia="zh-CN"/>
        </w:rPr>
        <w:t>党风廉政</w:t>
      </w:r>
      <w:r>
        <w:rPr>
          <w:rFonts w:hint="eastAsia" w:ascii="仿宋_GB2312" w:hAnsi="仿宋_GB2312" w:eastAsia="仿宋_GB2312" w:cs="仿宋_GB2312"/>
          <w:color w:val="000000" w:themeColor="text1"/>
          <w:sz w:val="32"/>
          <w:szCs w:val="32"/>
        </w:rPr>
        <w:t>、师德师风、作风效能、安全生产等工作的督导。设立举报箱、举报电话，积极受理群众举报等，确保程序到位，过程透明，结果公开公正公平。对群众反映的问题认真调查核实，做到事事有着落、件件有回应。</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3.教育教学方面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（1）继续推进高考综合改革，研究新高考形势下的走班教学，设计符合朝中校情的走班教学模式，紧跟高考形势，实现与新高考无缝接轨。</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（2）进一步探究基地班育人模式，寻求新思路，探索新方法，使之成为学校的一大品牌。强力推进小组合作自主探究学习模式，将课堂向学堂转化。</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（3）以推行“五学”课堂教学模式为抓手，完善朝中课堂，使之成为朝中特色，进一步提高课堂教学质量。</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（4）推进制度建设、评价体系建设、保障系统建设。完善听课制度、段考监测制度和命题质量监测体系。深度落实年管委成员包班包科制度，</w:t>
      </w:r>
      <w:r>
        <w:rPr>
          <w:rFonts w:hint="eastAsia" w:ascii="仿宋_GB2312" w:hAnsi="仿宋_GB2312" w:eastAsia="仿宋_GB2312" w:cs="仿宋_GB2312"/>
          <w:bCs/>
          <w:color w:val="000000" w:themeColor="text1"/>
          <w:kern w:val="36"/>
          <w:sz w:val="32"/>
          <w:szCs w:val="32"/>
          <w:shd w:val="clear" w:color="auto" w:fill="FFFFFF"/>
        </w:rPr>
        <w:t>包班包科目标完成情况，体现在年管委成员学期考评、高考绩效考评中。</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4.教育科研方面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（1）优化课堂教学生态。坚持以学生得到为中心，凝炼“五学课堂”2.0的基本要义，优化课堂生态。</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（2）提升校本研修水平。做实做细教师课堂教学、作业布置等培训工作。</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（3）提升学科竞技水准。各学科组遴选精兵强将，在各类竞技场上创优争先，提升朝中教师团队的品位</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（4）高质量推进课题研究。积极组织申报立项省、市、区级课题，加强指导和监督，并注重过程管理、材料收集、成果提炼，使研究成果效益最大化，更好地服务于教育教学。</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（5）高质量完成规范性培训。切实完成派出人员的培训任务，有序组织全员参加公需科目培训，组织参加线上线下各专项培训，尤其是组织好新课程新教材新高考相关培训工作，高考备考培训工作等。</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（6）</w:t>
      </w:r>
      <w:r>
        <w:rPr>
          <w:rFonts w:hint="eastAsia" w:ascii="仿宋_GB2312" w:hAnsi="仿宋_GB2312" w:eastAsia="仿宋_GB2312" w:cs="仿宋_GB2312"/>
          <w:bCs/>
          <w:color w:val="000000" w:themeColor="text1"/>
          <w:kern w:val="36"/>
          <w:sz w:val="32"/>
          <w:szCs w:val="32"/>
          <w:shd w:val="clear" w:color="auto" w:fill="FFFFFF"/>
        </w:rPr>
        <w:t>进一步加强师资队伍建设，培养骨干教师和学科带头人。</w:t>
      </w:r>
      <w:r>
        <w:rPr>
          <w:rFonts w:hint="eastAsia" w:ascii="仿宋_GB2312" w:hAnsi="仿宋_GB2312" w:eastAsia="仿宋_GB2312" w:cs="仿宋_GB2312"/>
          <w:color w:val="000000" w:themeColor="text1"/>
          <w:sz w:val="32"/>
          <w:szCs w:val="32"/>
        </w:rPr>
        <w:t>提升青年教师培养实操，协助教科室落地落细“师徒结对”，优化青年教师和指导教师的过程监管、督查和考核。</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（7）发挥名师工作室引领作用。开展好学科教学交流、引智入校、新进教师培训、送教下乡等工作。</w:t>
      </w:r>
    </w:p>
    <w:p>
      <w:pPr>
        <w:spacing w:line="600" w:lineRule="exact"/>
        <w:ind w:firstLine="640" w:firstLineChars="200"/>
        <w:jc w:val="left"/>
        <w:rPr>
          <w:rFonts w:ascii="仿宋_GB2312" w:hAnsi="仿宋_GB2312" w:eastAsia="仿宋_GB2312" w:cs="仿宋_GB2312"/>
          <w:b/>
          <w:bCs/>
          <w:color w:val="000000" w:themeColor="text1"/>
          <w:sz w:val="32"/>
          <w:szCs w:val="32"/>
        </w:rPr>
      </w:pPr>
      <w:r>
        <w:rPr>
          <w:rFonts w:hint="eastAsia" w:ascii="仿宋_GB2312" w:hAnsi="仿宋_GB2312" w:eastAsia="仿宋_GB2312" w:cs="仿宋_GB2312"/>
          <w:color w:val="000000" w:themeColor="text1"/>
          <w:sz w:val="32"/>
          <w:szCs w:val="32"/>
        </w:rPr>
        <w:t>（8）推进学科教学“三次备课”制度建设。一次备课（主备人）是自主备课，形成初稿；二次备课是集体研磨，形成通稿；三次备课是分层优化，形成用稿。</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5.德育团建方面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（1）提高德育队伍管理水平。加强班主任队伍建设，继续推进德育量化考核制度；培训学生干部，组织开展系列学生活动，提高工作能力。</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切实推进校园文明建设。积极开展系列德育活动，加强学生爱国主义教育。从严整治违纪行为，加强学生劳动意识教育，切实落实班级文化建设和学生公寓文化建设要求，充分发挥“文明示范岗”和“风纪监督岗”示范和监督作用。</w:t>
      </w:r>
    </w:p>
    <w:p>
      <w:pPr>
        <w:widowControl/>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（3）全面开展学生安全教育、国防教育、禁毒教育、法制教育、基础教育、思想政治教育、心理健康教育；继续落实对学生的“五项管理”。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（4）加强与社会公益组织的联系，争取将朝中的志愿服务推出校门，创建新的活动品牌。</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6.对外宣传方面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（1）继续开拓宣传渠道。突出内容创新，推进功能建设，全面构建立体宣传。</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（2）增强向上信息报送力度。借助各类宣传报送渠道，向上级主管单位、官方媒介报送校园宣传信息。</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（3）提前策划招生宣传，配合年级统筹安排招生工作；推行招生区域网格化管理。</w:t>
      </w:r>
      <w:r>
        <w:rPr>
          <w:rFonts w:hint="eastAsia" w:ascii="仿宋_GB2312" w:hAnsi="仿宋_GB2312" w:eastAsia="仿宋_GB2312" w:cs="仿宋_GB2312"/>
          <w:bCs/>
          <w:color w:val="000000" w:themeColor="text1"/>
          <w:kern w:val="36"/>
          <w:sz w:val="32"/>
          <w:szCs w:val="32"/>
          <w:shd w:val="clear" w:color="auto" w:fill="FFFFFF"/>
        </w:rPr>
        <w:t>制定灵活政策招录优质生源。</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7.艺体卫工作方面</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（1）按要求继续做实做好日常防疫工作，抓好健康教育工作，进一步加强食品卫生安全管理。</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（2）规范体育、艺术课堂。坚持面向全体学生，注重学练实效，全面推进素质教育。组织好体育、艺术素质测评。</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 xml:space="preserve">（3）继续规范艺体特长生的训练和管理，锚定目标，落实责任，科学训练，争取在高考艺体名校录取方面创优绩。积极参加各级各类赛事，为学校争得荣誉。 </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（4）积极开展各类活动。开展球类运动会、田径运动会。组织开展校园文化艺术节，纪念五四运动文艺晚会等活动。</w:t>
      </w:r>
    </w:p>
    <w:p>
      <w:pPr>
        <w:spacing w:line="600"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（5）规范新生入学体检，组织好常规体检，分析存在的问题，健全学生健康档案。</w:t>
      </w:r>
    </w:p>
    <w:p>
      <w:pPr>
        <w:spacing w:line="600" w:lineRule="exact"/>
        <w:ind w:firstLine="602" w:firstLineChars="200"/>
        <w:jc w:val="left"/>
        <w:rPr>
          <w:rFonts w:ascii="仿宋_GB2312" w:hAnsi="仿宋_GB2312" w:eastAsia="仿宋_GB2312" w:cs="仿宋_GB2312"/>
          <w:b/>
          <w:bCs/>
          <w:color w:val="000000" w:themeColor="text1"/>
          <w:sz w:val="30"/>
          <w:szCs w:val="30"/>
        </w:rPr>
      </w:pPr>
      <w:r>
        <w:rPr>
          <w:rFonts w:hint="eastAsia" w:ascii="仿宋_GB2312" w:hAnsi="仿宋_GB2312" w:eastAsia="仿宋_GB2312" w:cs="仿宋_GB2312"/>
          <w:b/>
          <w:bCs/>
          <w:color w:val="000000" w:themeColor="text1"/>
          <w:sz w:val="30"/>
          <w:szCs w:val="30"/>
        </w:rPr>
        <w:t>8.总务后勤方面</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（1）进一步完善学校配套功能设施的建设。</w:t>
      </w:r>
    </w:p>
    <w:p>
      <w:pPr>
        <w:spacing w:line="600" w:lineRule="exact"/>
        <w:ind w:firstLine="640" w:firstLineChars="20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（2）完善后勤服务管理。</w:t>
      </w:r>
    </w:p>
    <w:p>
      <w:pPr>
        <w:spacing w:line="600" w:lineRule="exact"/>
        <w:ind w:firstLine="640"/>
        <w:jc w:val="left"/>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（3）落实财务管理内控制度，按要求规范采购、经费收支、项目资产等管理。</w:t>
      </w:r>
    </w:p>
    <w:p>
      <w:pPr>
        <w:spacing w:line="600" w:lineRule="exact"/>
        <w:ind w:firstLine="640"/>
        <w:jc w:val="left"/>
        <w:rPr>
          <w:rFonts w:ascii="楷体_GB2312" w:hAnsi="楷体_GB2312" w:eastAsia="楷体_GB2312" w:cs="楷体_GB2312"/>
          <w:color w:val="000000" w:themeColor="text1"/>
          <w:sz w:val="32"/>
          <w:szCs w:val="32"/>
        </w:rPr>
      </w:pPr>
      <w:r>
        <w:rPr>
          <w:rFonts w:hint="eastAsia" w:ascii="仿宋_GB2312" w:hAnsi="仿宋_GB2312" w:eastAsia="仿宋_GB2312" w:cs="仿宋_GB2312"/>
          <w:color w:val="000000" w:themeColor="text1"/>
          <w:sz w:val="32"/>
          <w:szCs w:val="32"/>
        </w:rPr>
        <w:t>（4）完善食品安全监督管理制度，切实抓好食品安全的日常管理工作。</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二、单位构成</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sz w:val="32"/>
          <w:szCs w:val="32"/>
        </w:rPr>
        <w:t>朝天中学属财政二级预算单位。现学校总编制211名，其中事业编制211名，工勤编制1人，管理人员5人,专技人员205人。</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三、收支预算情况说明</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按照综合预算的原则，</w:t>
      </w: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所有收入和支出均纳入部门预算管理。收入包括：</w:t>
      </w:r>
      <w:r>
        <w:rPr>
          <w:rFonts w:hint="eastAsia" w:ascii="仿宋" w:hAnsi="仿宋" w:eastAsia="仿宋" w:cs="仿宋"/>
          <w:color w:val="000000" w:themeColor="text1"/>
          <w:kern w:val="0"/>
          <w:sz w:val="32"/>
          <w:szCs w:val="32"/>
          <w:shd w:val="clear" w:color="auto" w:fill="FFFFFF"/>
        </w:rPr>
        <w:t>一般公共预算拨款收入；支出包括：一般公共服务支出、教育支出、社会保障和就业支出、卫生健康支出、住房保障支出。朝天中学</w:t>
      </w:r>
      <w:r>
        <w:rPr>
          <w:rFonts w:hint="eastAsia" w:ascii="仿宋_GB2312" w:hAnsi="仿宋_GB2312" w:eastAsia="仿宋_GB2312" w:cs="仿宋_GB2312"/>
          <w:color w:val="000000" w:themeColor="text1"/>
          <w:sz w:val="32"/>
          <w:szCs w:val="32"/>
        </w:rPr>
        <w:t>2024年收支预算总数3531.55万元,比2023年收支预算总数增加580.05万元，主要原因是：2024年人员增加，项目经费增加。</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（一）收入预算情况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2024年收入预算3531.55万元，其中：上年结转0万元，占0%；一般公共预算拨款收入3531.55万元，占100%；政府性基金预算拨款收入0万元，占0%；事业收入0万元，占0%；其他收入0万元，占0%。</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（二）支出预算情况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2024年支出预算3801.55万元，其中：基本支出3454.17万元，占91%；项目支出347.38万元，占9%。</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四、财政拨款收支预算情况说明</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 w:hAnsi="仿宋" w:eastAsia="仿宋" w:cs="仿宋"/>
          <w:color w:val="000000" w:themeColor="text1"/>
          <w:kern w:val="0"/>
          <w:sz w:val="32"/>
          <w:szCs w:val="32"/>
          <w:shd w:val="clear" w:color="auto" w:fill="FFFFFF"/>
        </w:rPr>
        <w:t>朝天中学</w:t>
      </w:r>
      <w:r>
        <w:rPr>
          <w:rFonts w:hint="eastAsia" w:ascii="仿宋_GB2312" w:hAnsi="仿宋_GB2312" w:eastAsia="仿宋_GB2312" w:cs="仿宋_GB2312"/>
          <w:color w:val="000000" w:themeColor="text1"/>
          <w:sz w:val="32"/>
          <w:szCs w:val="32"/>
        </w:rPr>
        <w:t>2024年财政拨款收支预算总数3531.55万元,比2023年财政拨款收支预算总数增加580.05万元，主要原因是：2024年人员经费增加，项目经费增加。</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收入包括：本年一般公共预算拨款收入3531.55万元、政府性基金预算拨款收入0万元；支出包括：一般公共服务支出0万元、教育支出3531.55万元、社会保障和就业支出0万元、卫生健康支出0万元、住房保障支出0万元。</w:t>
      </w:r>
    </w:p>
    <w:p>
      <w:pPr>
        <w:spacing w:line="576" w:lineRule="exact"/>
        <w:ind w:firstLine="640" w:firstLineChars="200"/>
        <w:rPr>
          <w:rFonts w:ascii="黑体" w:hAnsi="黑体" w:eastAsia="黑体" w:cs="黑体"/>
          <w:color w:val="000000" w:themeColor="text1"/>
          <w:sz w:val="32"/>
          <w:szCs w:val="32"/>
        </w:rPr>
      </w:pPr>
      <w:r>
        <w:rPr>
          <w:rFonts w:hint="eastAsia" w:ascii="黑体" w:hAnsi="黑体" w:eastAsia="黑体" w:cs="黑体"/>
          <w:color w:val="000000" w:themeColor="text1"/>
          <w:sz w:val="32"/>
          <w:szCs w:val="32"/>
        </w:rPr>
        <w:t>五、一般公共预算当年拨款情况说明</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（一）一般公共预算当年拨款规模变化情况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朝天中学2024年一般公共预算当年拨款3531.55万元，比2023年预算数增加580.05万元，主要原因是：2024年人员经费增加，项目经费增加。</w:t>
      </w:r>
    </w:p>
    <w:p>
      <w:pPr>
        <w:spacing w:line="576" w:lineRule="exact"/>
        <w:ind w:firstLine="640" w:firstLineChars="200"/>
        <w:rPr>
          <w:rFonts w:ascii="楷体_GB2312" w:hAnsi="楷体_GB2312" w:eastAsia="楷体_GB2312" w:cs="楷体_GB2312"/>
          <w:color w:val="000000" w:themeColor="text1"/>
          <w:sz w:val="32"/>
          <w:szCs w:val="32"/>
        </w:rPr>
      </w:pPr>
      <w:r>
        <w:rPr>
          <w:rFonts w:hint="eastAsia" w:ascii="楷体_GB2312" w:hAnsi="楷体_GB2312" w:eastAsia="楷体_GB2312" w:cs="楷体_GB2312"/>
          <w:color w:val="000000" w:themeColor="text1"/>
          <w:sz w:val="32"/>
          <w:szCs w:val="32"/>
        </w:rPr>
        <w:t>（二）一般公共预算当年拨款结构情况</w:t>
      </w:r>
    </w:p>
    <w:p>
      <w:pPr>
        <w:spacing w:line="576"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一般公共服务支出3531.55万元，占0%；教育支出3531.55万元，占0%；社会保障和就业支出0万元，占0%；卫生健康支出0万元，占0%；住房保障支出0万元，占0%。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spacing w:line="576" w:lineRule="exact"/>
        <w:ind w:firstLine="640" w:firstLineChars="200"/>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一般公共服务教育支出（类）普通教育（款）高中教育（项）预算数2024年预算数为3531.55万元，主要用于单位工资福利支出, 实施养老保险制度由单位缴纳的基本养老保险支出, 单位按规定由单位缴纳的基本医疗保险支出, 按规定为职工缴纳的住房公积金支出。</w:t>
      </w:r>
    </w:p>
    <w:p>
      <w:pPr>
        <w:widowControl/>
        <w:pBdr>
          <w:bottom w:val="single" w:color="FFFFFF" w:sz="8" w:space="31"/>
        </w:pBdr>
        <w:shd w:val="clear" w:color="auto" w:fill="FFFFFF"/>
        <w:autoSpaceDE w:val="0"/>
        <w:ind w:firstLine="640" w:firstLineChars="200"/>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我单位2024年一般公共预算基本支出3184.17万元，其中：人员经费2898.67万元，主要包括：基本工资、津贴补贴、奖金、社会保险缴费、住房公积金等支出。</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公用经费285.5万元，主要包括：办公费、印刷费、水费、电费、邮电费、差旅费、维修（护）费、会议费、培训费、公务接待费、劳务费、工会经费、福利费等支出。</w:t>
      </w:r>
    </w:p>
    <w:p>
      <w:pPr>
        <w:widowControl/>
        <w:pBdr>
          <w:bottom w:val="single" w:color="FFFFFF" w:sz="8" w:space="31"/>
        </w:pBdr>
        <w:shd w:val="clear" w:color="auto" w:fill="FFFFFF"/>
        <w:autoSpaceDE w:val="0"/>
        <w:ind w:firstLine="640" w:firstLineChars="200"/>
        <w:rPr>
          <w:rFonts w:hint="eastAsia" w:ascii="黑体" w:hAnsi="黑体" w:eastAsia="黑体" w:cs="黑体"/>
          <w:sz w:val="32"/>
          <w:szCs w:val="32"/>
        </w:rPr>
      </w:pPr>
      <w:r>
        <w:rPr>
          <w:rFonts w:hint="eastAsia" w:ascii="黑体" w:hAnsi="黑体" w:eastAsia="黑体" w:cs="黑体"/>
          <w:sz w:val="32"/>
          <w:szCs w:val="32"/>
        </w:rPr>
        <w:t>七、“三公”经费财政拨款预算安排情况说明</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朝天中学2024年“三公”经费财政拨款预算数0万元，其中：公务接待费0万元，公务用车购置及运行维护费0万元，因公出国（境）经费0万元。</w:t>
      </w:r>
    </w:p>
    <w:p>
      <w:pPr>
        <w:widowControl/>
        <w:pBdr>
          <w:bottom w:val="single" w:color="FFFFFF" w:sz="8" w:space="31"/>
        </w:pBdr>
        <w:shd w:val="clear" w:color="auto" w:fill="FFFFFF"/>
        <w:autoSpaceDE w:val="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pPr>
        <w:widowControl/>
        <w:pBdr>
          <w:bottom w:val="single" w:color="FFFFFF" w:sz="8" w:space="31"/>
        </w:pBdr>
        <w:shd w:val="clear" w:color="auto" w:fill="FFFFFF"/>
        <w:autoSpaceDE w:val="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2024年公务接待费预算0元，较2023年相比无变化，本年度未在财政拨款中安排该项预算。</w:t>
      </w:r>
    </w:p>
    <w:p>
      <w:pPr>
        <w:widowControl/>
        <w:pBdr>
          <w:bottom w:val="single" w:color="FFFFFF" w:sz="8" w:space="31"/>
        </w:pBdr>
        <w:shd w:val="clear" w:color="auto" w:fill="FFFFFF"/>
        <w:autoSpaceDE w:val="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公务用车购置及运行维护费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单位现有公务用车1辆，其中：轿车0辆，旅行车（含商务车）0辆，越野1辆。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2024年安排公务用车购置费0万元，拟购置公务用车0辆，其中：轿车0辆，旅行车（含商务车）0辆，越野车0辆（或2024年未安排公务用车购置费）。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2024年安排公务用车运行维护费0万元，用于0辆公务用车燃油、过路（桥）、维修、保险等方面支出，主要保障。。。。</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2024年因公出国（境）预算0元，较2023年相比无变化，本年度未在财政拨款中安排该项预算。</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2024年无政府性基金预算拨款安排的支出。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2024年无国有资本经营预</w:t>
      </w:r>
      <w:r>
        <w:rPr>
          <w:rFonts w:hint="eastAsia" w:ascii="楷体_GB2312" w:hAnsi="楷体_GB2312" w:eastAsia="楷体_GB2312" w:cs="楷体_GB2312"/>
          <w:sz w:val="32"/>
          <w:szCs w:val="32"/>
        </w:rPr>
        <w:t>算拨款安排</w:t>
      </w:r>
      <w:r>
        <w:rPr>
          <w:rFonts w:hint="eastAsia" w:ascii="仿宋_GB2312" w:hAnsi="仿宋_GB2312" w:eastAsia="仿宋_GB2312" w:cs="仿宋_GB2312"/>
          <w:sz w:val="32"/>
          <w:szCs w:val="32"/>
        </w:rPr>
        <w:t>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2024年，我单位无机关运行经费。</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2024年，我单位无政府采购预算。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32"/>
        </w:rPr>
        <w:t>截至2023年底，我单位共有车辆1辆，其中</w:t>
      </w:r>
      <w:r>
        <w:rPr>
          <w:rFonts w:hint="eastAsia" w:ascii="仿宋" w:hAnsi="仿宋" w:eastAsia="仿宋" w:cs="仿宋"/>
          <w:kern w:val="0"/>
          <w:sz w:val="32"/>
          <w:szCs w:val="32"/>
          <w:shd w:val="clear" w:color="auto" w:fill="FFFFFF"/>
        </w:rPr>
        <w:t>其中，领导干部用车0辆、定向保障用车1辆、执法执勤用车0辆。</w:t>
      </w:r>
      <w:r>
        <w:rPr>
          <w:rFonts w:hint="eastAsia" w:ascii="仿宋_GB2312" w:hAnsi="仿宋_GB2312" w:eastAsia="仿宋_GB2312" w:cs="仿宋_GB2312"/>
          <w:color w:val="000000" w:themeColor="text1"/>
          <w:sz w:val="32"/>
          <w:szCs w:val="32"/>
        </w:rPr>
        <w:t>截至2023年</w:t>
      </w:r>
      <w:r>
        <w:rPr>
          <w:rFonts w:hint="eastAsia" w:ascii="楷体_GB2312" w:hAnsi="楷体_GB2312" w:eastAsia="楷体_GB2312" w:cs="楷体_GB2312"/>
          <w:sz w:val="32"/>
          <w:szCs w:val="32"/>
        </w:rPr>
        <w:t>底，我单位无单位价值200万元以上大型设备。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2024年我单位开展绩效目标管理项目3个，涉及预算3801.57万元。其中：人员类9个，涉及预算2898.69万元；运转类项目3个，涉及预算项目555.5万元；特定目标类4个；涉及预算347.38万元。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ind w:firstLine="640" w:firstLineChars="200"/>
      </w:pPr>
      <w:r>
        <w:rPr>
          <w:rFonts w:hint="eastAsia" w:ascii="仿宋" w:hAnsi="仿宋" w:eastAsia="仿宋"/>
          <w:kern w:val="0"/>
          <w:sz w:val="32"/>
          <w:szCs w:val="32"/>
          <w:shd w:val="clear" w:color="auto" w:fill="FFFFFF"/>
        </w:rPr>
        <w:t>（一）一般公共预算拨款收入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pacing w:line="580" w:lineRule="atLeast"/>
        <w:ind w:firstLine="640" w:firstLineChars="200"/>
        <w:outlineLvl w:val="1"/>
        <w:rPr>
          <w:rFonts w:ascii="仿宋" w:hAnsi="仿宋" w:eastAsia="仿宋"/>
          <w:kern w:val="0"/>
          <w:sz w:val="32"/>
          <w:szCs w:val="32"/>
          <w:shd w:val="clear" w:color="auto" w:fill="FFFFFF"/>
        </w:rPr>
      </w:pPr>
      <w:r>
        <w:rPr>
          <w:rFonts w:hint="eastAsia" w:ascii="仿宋" w:hAnsi="仿宋" w:eastAsia="仿宋"/>
          <w:kern w:val="0"/>
          <w:sz w:val="32"/>
          <w:szCs w:val="32"/>
          <w:shd w:val="clear" w:color="auto" w:fill="FFFFFF"/>
        </w:rPr>
        <w:t>（二）教育（类）普通教育（款）高中教育（项）：指本单位高中教育支出。</w:t>
      </w:r>
    </w:p>
    <w:p>
      <w:pPr>
        <w:widowControl/>
        <w:pBdr>
          <w:bottom w:val="single" w:color="FFFFFF" w:sz="8" w:space="31"/>
        </w:pBdr>
        <w:spacing w:line="580" w:lineRule="atLeast"/>
        <w:ind w:firstLine="640" w:firstLineChars="200"/>
        <w:outlineLvl w:val="1"/>
        <w:rPr>
          <w:rFonts w:hint="eastAsia" w:ascii="仿宋" w:hAnsi="仿宋" w:eastAsia="仿宋"/>
          <w:kern w:val="0"/>
          <w:sz w:val="32"/>
          <w:szCs w:val="32"/>
          <w:shd w:val="clear" w:color="auto" w:fill="FFFFFF"/>
        </w:rPr>
      </w:pPr>
      <w:r>
        <w:rPr>
          <w:rFonts w:hint="eastAsia" w:ascii="仿宋" w:hAnsi="仿宋" w:eastAsia="仿宋"/>
          <w:kern w:val="0"/>
          <w:sz w:val="32"/>
          <w:szCs w:val="32"/>
          <w:shd w:val="clear" w:color="auto" w:fill="FFFFFF"/>
        </w:rPr>
        <w:t>（</w:t>
      </w:r>
      <w:r>
        <w:rPr>
          <w:rFonts w:hint="eastAsia" w:ascii="仿宋" w:hAnsi="仿宋" w:eastAsia="仿宋"/>
          <w:kern w:val="0"/>
          <w:sz w:val="32"/>
          <w:szCs w:val="32"/>
          <w:shd w:val="clear" w:color="auto" w:fill="FFFFFF"/>
          <w:lang w:eastAsia="zh-CN"/>
        </w:rPr>
        <w:t>三</w:t>
      </w:r>
      <w:r>
        <w:rPr>
          <w:rFonts w:hint="eastAsia" w:ascii="仿宋" w:hAnsi="仿宋" w:eastAsia="仿宋"/>
          <w:kern w:val="0"/>
          <w:sz w:val="32"/>
          <w:szCs w:val="32"/>
          <w:shd w:val="clear" w:color="auto" w:fill="FFFFFF"/>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pBdr>
          <w:bottom w:val="single" w:color="FFFFFF" w:sz="8" w:space="31"/>
        </w:pBdr>
        <w:spacing w:line="580" w:lineRule="atLeast"/>
        <w:ind w:firstLine="640" w:firstLineChars="200"/>
        <w:outlineLvl w:val="1"/>
        <w:rPr>
          <w:rFonts w:ascii="仿宋_GB2312" w:hAnsi="仿宋_GB2312" w:eastAsia="仿宋_GB2312" w:cs="仿宋_GB2312"/>
          <w:sz w:val="32"/>
          <w:szCs w:val="32"/>
        </w:rPr>
      </w:pPr>
      <w:r>
        <w:rPr>
          <w:rFonts w:hint="eastAsia" w:ascii="仿宋" w:hAnsi="仿宋" w:eastAsia="仿宋"/>
          <w:kern w:val="0"/>
          <w:sz w:val="32"/>
          <w:szCs w:val="32"/>
          <w:shd w:val="clear" w:color="auto" w:fill="FFFFFF"/>
        </w:rPr>
        <w:t>（</w:t>
      </w:r>
      <w:r>
        <w:rPr>
          <w:rFonts w:hint="eastAsia" w:ascii="仿宋" w:hAnsi="仿宋" w:eastAsia="仿宋"/>
          <w:kern w:val="0"/>
          <w:sz w:val="32"/>
          <w:szCs w:val="32"/>
          <w:shd w:val="clear" w:color="auto" w:fill="FFFFFF"/>
          <w:lang w:eastAsia="zh-CN"/>
        </w:rPr>
        <w:t>四</w:t>
      </w:r>
      <w:r>
        <w:rPr>
          <w:rFonts w:hint="eastAsia" w:ascii="仿宋" w:hAnsi="仿宋" w:eastAsia="仿宋"/>
          <w:kern w:val="0"/>
          <w:sz w:val="32"/>
          <w:szCs w:val="32"/>
          <w:shd w:val="clear" w:color="auto" w:fill="FFFFFF"/>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预算公开表</w:t>
      </w:r>
    </w:p>
    <w:p>
      <w:pPr>
        <w:spacing w:line="576" w:lineRule="exact"/>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Mangal"/>
    <w:panose1 w:val="00000000000000000000"/>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isplayBackgroundShape w:val="true"/>
  <w:documentProtection w:enforcement="0"/>
  <w:defaultTabStop w:val="420"/>
  <w:drawingGridHorizontalSpacing w:val="1"/>
  <w:drawingGridVerticalSpacing w:val="1"/>
  <w:doNotUseMarginsForDrawingGridOrigin w:val="true"/>
  <w:drawingGridHorizontalOrigin w:val="0"/>
  <w:drawingGridVerticalOrigin w:val="0"/>
  <w:noPunctuationKerning w:val="true"/>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JlODIyNjc1NjFjZWVjN2I4NzcxZjZhYzkxMzY0MzkifQ=="/>
  </w:docVars>
  <w:rsids>
    <w:rsidRoot w:val="00EF0A55"/>
    <w:rsid w:val="004407E8"/>
    <w:rsid w:val="00676EE9"/>
    <w:rsid w:val="00714907"/>
    <w:rsid w:val="009513F7"/>
    <w:rsid w:val="00EF0A55"/>
    <w:rsid w:val="012352D1"/>
    <w:rsid w:val="01336AAB"/>
    <w:rsid w:val="04F20ED1"/>
    <w:rsid w:val="0AA7304A"/>
    <w:rsid w:val="0BAD4690"/>
    <w:rsid w:val="127F7459"/>
    <w:rsid w:val="1F7BF06F"/>
    <w:rsid w:val="1FEE4B73"/>
    <w:rsid w:val="23CE9849"/>
    <w:rsid w:val="255E263E"/>
    <w:rsid w:val="278E3170"/>
    <w:rsid w:val="29FF6817"/>
    <w:rsid w:val="33A1530E"/>
    <w:rsid w:val="36643C02"/>
    <w:rsid w:val="39F304DD"/>
    <w:rsid w:val="3DF5764D"/>
    <w:rsid w:val="3E187351"/>
    <w:rsid w:val="3FD56408"/>
    <w:rsid w:val="411A385F"/>
    <w:rsid w:val="42B86E9B"/>
    <w:rsid w:val="495C2C76"/>
    <w:rsid w:val="4FC82B6C"/>
    <w:rsid w:val="54244390"/>
    <w:rsid w:val="54662A63"/>
    <w:rsid w:val="573E1E1A"/>
    <w:rsid w:val="58064E12"/>
    <w:rsid w:val="5AFA22EF"/>
    <w:rsid w:val="5BFEE015"/>
    <w:rsid w:val="63EDCF55"/>
    <w:rsid w:val="63FBFBCF"/>
    <w:rsid w:val="669360FD"/>
    <w:rsid w:val="67BB4BB4"/>
    <w:rsid w:val="68FF6A83"/>
    <w:rsid w:val="69C51D1A"/>
    <w:rsid w:val="6FBBC9CF"/>
    <w:rsid w:val="71902C0D"/>
    <w:rsid w:val="72BDE561"/>
    <w:rsid w:val="760836BA"/>
    <w:rsid w:val="78462278"/>
    <w:rsid w:val="798474FC"/>
    <w:rsid w:val="7997EA6C"/>
    <w:rsid w:val="7AEAE675"/>
    <w:rsid w:val="7BAFCE5D"/>
    <w:rsid w:val="7CEF1130"/>
    <w:rsid w:val="7D46598C"/>
    <w:rsid w:val="7DFB240B"/>
    <w:rsid w:val="7E0935ED"/>
    <w:rsid w:val="7FCF2AF7"/>
    <w:rsid w:val="9E911A50"/>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 w:val="FFFF7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40" w:line="276" w:lineRule="auto"/>
    </w:pPr>
  </w:style>
  <w:style w:type="paragraph" w:styleId="3">
    <w:name w:val="caption"/>
    <w:basedOn w:val="1"/>
    <w:next w:val="1"/>
    <w:qFormat/>
    <w:uiPriority w:val="0"/>
    <w:pPr>
      <w:suppressLineNumbers/>
      <w:spacing w:before="120" w:after="120"/>
    </w:pPr>
    <w:rPr>
      <w:i/>
      <w:iCs/>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2"/>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959</Words>
  <Characters>5470</Characters>
  <Lines>45</Lines>
  <Paragraphs>12</Paragraphs>
  <TotalTime>28</TotalTime>
  <ScaleCrop>false</ScaleCrop>
  <LinksUpToDate>false</LinksUpToDate>
  <CharactersWithSpaces>6417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user</cp:lastModifiedBy>
  <dcterms:modified xsi:type="dcterms:W3CDTF">2025-06-20T09:38:51Z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96081F72B7444D3C8C1C7DDAED24732C_13</vt:lpwstr>
  </property>
</Properties>
</file>