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广元市朝天区羊木镇小学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p>
    <w:p>
      <w:pPr>
        <w:pStyle w:val="2"/>
        <w:adjustRightInd w:val="0"/>
        <w:snapToGrid w:val="0"/>
        <w:spacing w:before="93" w:line="600" w:lineRule="exact"/>
        <w:ind w:firstLine="672" w:firstLineChars="210"/>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1、正确贯彻执行党和国家的教育方针、政策、法规。</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2、维护学校的教学秩序，为学生创造良好的学习环境。</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3、积极稳妥的推进教育改革，按照教育规律办事，不断提高教育质量。</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4、根据学校规模，设置学校管理机构，建立健全各项规章制度和岗位责任制。</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5、坚持教书育人，服务育人，环境育人方针，加强对学生的思想品德教育，使学生德智体全面发展。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1.突出德育实效，夯实立德树人根本</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2.强化主题教育，巩固十美德育成果</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3.落实五育并举，促进学生全面发展</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4.严格要求，清华教学常规管理</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5.求真务实，常规检查有迹可循</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6.强化学校，提高教师专业能力</w:t>
      </w:r>
    </w:p>
    <w:p>
      <w:pPr>
        <w:pStyle w:val="2"/>
        <w:numPr>
          <w:ilvl w:val="0"/>
          <w:numId w:val="0"/>
        </w:numPr>
        <w:adjustRightInd w:val="0"/>
        <w:snapToGrid w:val="0"/>
        <w:spacing w:before="93" w:line="600" w:lineRule="exact"/>
        <w:ind w:left="630" w:leftChars="0"/>
        <w:outlineLvl w:val="2"/>
        <w:rPr>
          <w:rFonts w:hint="eastAsia" w:ascii="仿宋" w:hAnsi="仿宋" w:eastAsia="仿宋" w:cs="仿宋"/>
          <w:b w:val="0"/>
          <w:bCs/>
          <w:i w:val="0"/>
          <w:caps w:val="0"/>
          <w:color w:val="333333"/>
          <w:spacing w:val="0"/>
          <w:sz w:val="32"/>
          <w:szCs w:val="32"/>
          <w:shd w:val="clear" w:color="auto" w:fill="FFFFFF"/>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7.一辅一培，精彩纷呈助力成长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按照综合预算的原则，羊木镇小学所有收入和支出均纳入部门预算管理。收入包括：一般公共预算拨款收入、政府性基金预算拨款收入、事业收入、其他收入、上年结转；支出包括：一般公共服务支出、教育支出、社会保障和就业支出、卫生健康支出、住房保障支出。羊木镇小学2024年收支预算总数1192万元,比2023年收支预算总数增加12.31万元，主要原因是</w:t>
      </w:r>
      <w:r>
        <w:rPr>
          <w:rFonts w:hint="eastAsia" w:ascii="仿宋" w:hAnsi="仿宋" w:eastAsia="仿宋" w:cs="仿宋"/>
          <w:i w:val="0"/>
          <w:caps w:val="0"/>
          <w:color w:val="333333"/>
          <w:spacing w:val="0"/>
          <w:kern w:val="0"/>
          <w:sz w:val="32"/>
          <w:szCs w:val="32"/>
          <w:shd w:val="clear" w:color="auto" w:fill="FFFFFF"/>
          <w:lang w:val="en-US" w:eastAsia="zh-CN" w:bidi="ar"/>
        </w:rPr>
        <w:t>上年结转了24.76万元的项目款。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羊木镇小学2024年收入预算1192万元，其中：上年结转24.76万元，占2%；一般公共预算拨款收入1167.24万元，占98%；政府性基金预算拨款收入0万元，占0%；事业收入0万元，占0%；其他收入0万元，占0%。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羊木镇小学单位2024年支出预算1192万元，其中：基本支出1167.24万元，占98%；项目支出24.76万元，占2%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羊木镇小学2024年财政拨款收支预算总数1167.24万元,比2023年财政拨款收支预算总数减少12.45万元，主要原因是有退休教职工。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1167.24万元，上年结转24.76万元。政府性基金预算拨款收入0万元；支出包括：一般公共服务支出0万元、教育支出1192万元、社会保障和就业支出0万元、卫生健康支出0万元、住房保障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羊木镇小学2024年一般公共预算当年拨款1167.24万元，比2023年预算数减少12.45万元，主要原因是有退休教职工。上年结转24.76万元。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一般公共服务支出0万元，占0%；教育支出1192万元，占100%；社会保障和就业支出0万元，占0%；卫生健康支出0万元，占0%；住房保障支出0万元，占0%。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一般教育支出（类）普通教育（款）小学教育（项）2024年预算数为1175.6万元，主要用于：</w:t>
      </w:r>
      <w:r>
        <w:rPr>
          <w:rFonts w:hint="eastAsia" w:ascii="仿宋" w:hAnsi="仿宋" w:eastAsia="仿宋" w:cs="仿宋"/>
          <w:i w:val="0"/>
          <w:caps w:val="0"/>
          <w:color w:val="333333"/>
          <w:spacing w:val="0"/>
          <w:kern w:val="0"/>
          <w:sz w:val="32"/>
          <w:szCs w:val="32"/>
          <w:shd w:val="clear" w:color="auto" w:fill="FFFFFF"/>
          <w:lang w:val="en-US" w:eastAsia="zh-CN" w:bidi="ar"/>
        </w:rPr>
        <w:t>学校教育支出。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一般教育支出（类）普通教育（款）初中教育（项）2024年预算数为16.4万元，主要用于：</w:t>
      </w:r>
      <w:r>
        <w:rPr>
          <w:rFonts w:hint="eastAsia" w:ascii="仿宋" w:hAnsi="仿宋" w:eastAsia="仿宋" w:cs="仿宋"/>
          <w:i w:val="0"/>
          <w:caps w:val="0"/>
          <w:color w:val="333333"/>
          <w:spacing w:val="0"/>
          <w:kern w:val="0"/>
          <w:sz w:val="32"/>
          <w:szCs w:val="32"/>
          <w:shd w:val="clear" w:color="auto" w:fill="FFFFFF"/>
          <w:lang w:val="en-US" w:eastAsia="zh-CN" w:bidi="ar"/>
        </w:rPr>
        <w:t>学校教育支出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羊木镇小学2024年一般公共预算基本支出1167.24万元，其中：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人员经费1156.74万元，主要包括：基本工资、津贴补贴、奖金、社会保险缴费、住房公积金等支出。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10.5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公务接待费与2023年预算相比0持平，主要原因是财政无预算。</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公务用车购置及运行维护费与2023年预算持平，主要原因是财政无预算。</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因公出国（境）经费与2022年预算相比持平，主要原因是财政无预算。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羊木镇小学单位2024年无政府性基金预算拨款安排的支出。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羊木镇小学单位2024年无国有资本经营预算拨款安排的支出。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2024年，羊木镇小学下机关运行经费财政拨款预算为10.5万元。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截至2023年底，羊木镇小学单位共有车辆0辆。单位价值200万元以上大型设备0台（套）。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2024年部门预算安排车辆购置经费0万元。其中，财政拨款预算安排0万元，非财政拨款安排0万元。安排大型设备购置经费0万元。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2024年我单位开展绩效目标管理的项目16个，涉及预算1192万元。其中：人员类项目9个，涉及预算1156.9万元；运转类项目1个，涉及预算10.5万元；特定目标类项目4个，涉及预算24.6万元。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（八）机关运行经费：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lYmYzY2YwZjk3N2RkNmM1YmNjNzk0ZGFiYjUzZTkifQ=="/>
  </w:docVars>
  <w:rsids>
    <w:rsidRoot w:val="00000000"/>
    <w:rsid w:val="012352D1"/>
    <w:rsid w:val="0165038E"/>
    <w:rsid w:val="02177FEA"/>
    <w:rsid w:val="02506474"/>
    <w:rsid w:val="04F20ED1"/>
    <w:rsid w:val="065A7FDD"/>
    <w:rsid w:val="0BF33B3A"/>
    <w:rsid w:val="15650B15"/>
    <w:rsid w:val="1B941A29"/>
    <w:rsid w:val="1BF5508F"/>
    <w:rsid w:val="1D6F2573"/>
    <w:rsid w:val="1E036392"/>
    <w:rsid w:val="1F7BF06F"/>
    <w:rsid w:val="1FEE4B73"/>
    <w:rsid w:val="20A7394C"/>
    <w:rsid w:val="20B56B4F"/>
    <w:rsid w:val="23CE9849"/>
    <w:rsid w:val="23E57149"/>
    <w:rsid w:val="2A585CB7"/>
    <w:rsid w:val="2D12039F"/>
    <w:rsid w:val="2D962D7E"/>
    <w:rsid w:val="2EF44200"/>
    <w:rsid w:val="30801AC4"/>
    <w:rsid w:val="32374212"/>
    <w:rsid w:val="343733D4"/>
    <w:rsid w:val="36C01CD5"/>
    <w:rsid w:val="39F304DD"/>
    <w:rsid w:val="3A2F0CF3"/>
    <w:rsid w:val="3B397B0A"/>
    <w:rsid w:val="3D0B2B44"/>
    <w:rsid w:val="42DE4541"/>
    <w:rsid w:val="44913854"/>
    <w:rsid w:val="4CBB7CB4"/>
    <w:rsid w:val="4EA56210"/>
    <w:rsid w:val="50624B42"/>
    <w:rsid w:val="5099103D"/>
    <w:rsid w:val="51465CF4"/>
    <w:rsid w:val="54244390"/>
    <w:rsid w:val="54662A63"/>
    <w:rsid w:val="55BB49A2"/>
    <w:rsid w:val="57462870"/>
    <w:rsid w:val="58064E12"/>
    <w:rsid w:val="5BFEE015"/>
    <w:rsid w:val="6162299C"/>
    <w:rsid w:val="63EDCF55"/>
    <w:rsid w:val="63FBFBCF"/>
    <w:rsid w:val="664E34EF"/>
    <w:rsid w:val="669360FD"/>
    <w:rsid w:val="670C1CA8"/>
    <w:rsid w:val="68FF6A83"/>
    <w:rsid w:val="6DE450DB"/>
    <w:rsid w:val="6EC72090"/>
    <w:rsid w:val="6FBBC9CF"/>
    <w:rsid w:val="72BDE561"/>
    <w:rsid w:val="759251A6"/>
    <w:rsid w:val="759E00BB"/>
    <w:rsid w:val="78462278"/>
    <w:rsid w:val="7956473D"/>
    <w:rsid w:val="7997EA6C"/>
    <w:rsid w:val="7A6B246A"/>
    <w:rsid w:val="7AD63D87"/>
    <w:rsid w:val="7AEAE675"/>
    <w:rsid w:val="7BAFCE5D"/>
    <w:rsid w:val="7CB12660"/>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4FBE48C21F9A405690BBFE337CC8A7BB_13</vt:lpwstr>
  </property>
</Properties>
</file>