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sz w:val="44"/>
          <w:szCs w:val="44"/>
          <w:highlight w:val="none"/>
          <w:lang w:val="en-US"/>
          <w14:textFill>
            <w14:solidFill>
              <w14:schemeClr w14:val="tx1"/>
            </w14:solidFill>
          </w14:textFill>
        </w:rPr>
      </w:pPr>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t>广元市朝天区水磨沟镇马家坝小学</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t>2024年</w:t>
      </w:r>
      <w:bookmarkStart w:id="0" w:name="_GoBack"/>
      <w:bookmarkEnd w:id="0"/>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t>预算编制说明</w:t>
      </w:r>
    </w:p>
    <w:p>
      <w:pPr>
        <w:jc w:val="center"/>
        <w:rPr>
          <w:rFonts w:hint="eastAsia" w:ascii="黑体" w:hAnsi="黑体" w:eastAsia="黑体" w:cs="黑体"/>
          <w:b/>
          <w:bCs/>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目   录</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一、基本职能及主要工作..............................(3)</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（一）单位职能简介..................................(3)</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（二）单位2024年重点工作...........................(3)</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二、部门预算单位构成................................(3)</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三、收支预算情况说明................................(3)</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（一）收入预算情况..................................(4)</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（二）支出预算情况..................................(4)</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四、财政拨款收支预算情况说明........................(4)</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五、一般公共预算当年拨款情况说明....................(5)</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（一）一般公共预算当年拨款规模变化情况..............(5)</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（二）一般公共预算当年拨款结构情况..................(5)</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（三）一般公共预算当年拨款具体使用情况..............(5)</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六、一般公共预算基本支出情况说明....................(5)</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七、“三公”经费财政拨款预算安排情况说明............(6)</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八、政府性基金预算支出情况说明......................(6)</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九、国有资本经营预算支出情况说明....................(6)</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十、其他重要事项的情况说明........................(6)</w:t>
      </w:r>
    </w:p>
    <w:p>
      <w:pPr>
        <w:jc w:val="both"/>
        <w:rPr>
          <w:rFonts w:hint="eastAsia" w:ascii="仿宋_GB2312" w:hAnsi="仿宋_GB2312" w:eastAsia="仿宋_GB2312" w:cs="仿宋_GB2312"/>
          <w:i w:val="0"/>
          <w:caps w:val="0"/>
          <w:color w:val="000000" w:themeColor="text1"/>
          <w:spacing w:val="0"/>
          <w:sz w:val="32"/>
          <w:szCs w:val="32"/>
          <w:highlight w:val="none"/>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十一、名词解释....................................(7)</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一、基本职能及主要工作</w:t>
      </w:r>
    </w:p>
    <w:p>
      <w:pPr>
        <w:keepNext w:val="0"/>
        <w:keepLines w:val="0"/>
        <w:pageBreakBefore w:val="0"/>
        <w:widowControl w:val="0"/>
        <w:kinsoku/>
        <w:wordWrap/>
        <w:overflowPunct/>
        <w:topLinePunct w:val="0"/>
        <w:autoSpaceDE/>
        <w:autoSpaceDN/>
        <w:bidi w:val="0"/>
        <w:adjustRightInd/>
        <w:snapToGrid/>
        <w:spacing w:line="576" w:lineRule="exact"/>
        <w:ind w:firstLine="320" w:firstLineChars="100"/>
        <w:textAlignment w:val="auto"/>
        <w:rPr>
          <w:rFonts w:hint="eastAsia" w:ascii="楷体_GB2312" w:hAnsi="楷体_GB2312" w:eastAsia="楷体_GB2312" w:cs="楷体_GB2312"/>
          <w:sz w:val="32"/>
          <w:szCs w:val="32"/>
          <w:lang w:eastAsia="zh-CN"/>
        </w:rPr>
      </w:pPr>
      <w:r>
        <w:rPr>
          <w:rFonts w:hint="eastAsia" w:ascii="楷体_GB2312" w:hAnsi="楷体_GB2312" w:eastAsia="楷体_GB2312" w:cs="楷体_GB2312"/>
          <w:sz w:val="32"/>
          <w:szCs w:val="32"/>
        </w:rPr>
        <w:t>（一）广元市朝天区水磨沟镇马家坝小学职能简介</w:t>
      </w:r>
      <w:r>
        <w:rPr>
          <w:rFonts w:hint="eastAsia" w:ascii="楷体_GB2312" w:hAnsi="楷体_GB2312" w:eastAsia="楷体_GB2312" w:cs="楷体_GB2312"/>
          <w:sz w:val="32"/>
          <w:szCs w:val="32"/>
          <w:lang w:eastAsia="zh-CN"/>
        </w:rPr>
        <w:t>：</w:t>
      </w:r>
    </w:p>
    <w:p>
      <w:pPr>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1、</w:t>
      </w:r>
      <w:r>
        <w:rPr>
          <w:rFonts w:hint="eastAsia" w:ascii="仿宋" w:hAnsi="仿宋" w:eastAsia="仿宋" w:cs="仿宋"/>
          <w:sz w:val="32"/>
          <w:szCs w:val="32"/>
        </w:rPr>
        <w:t>正确贯彻执行党和国家的教育方针、政策、法规。</w:t>
      </w:r>
    </w:p>
    <w:p>
      <w:pPr>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2、</w:t>
      </w:r>
      <w:r>
        <w:rPr>
          <w:rFonts w:hint="eastAsia" w:ascii="仿宋" w:hAnsi="仿宋" w:eastAsia="仿宋" w:cs="仿宋"/>
          <w:sz w:val="32"/>
          <w:szCs w:val="32"/>
        </w:rPr>
        <w:t xml:space="preserve">维护学校的教学的教学秩序，为学生创造良好的学习环境。 </w:t>
      </w:r>
    </w:p>
    <w:p>
      <w:pPr>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3、</w:t>
      </w:r>
      <w:r>
        <w:rPr>
          <w:rFonts w:hint="eastAsia" w:ascii="仿宋" w:hAnsi="仿宋" w:eastAsia="仿宋" w:cs="仿宋"/>
          <w:sz w:val="32"/>
          <w:szCs w:val="32"/>
        </w:rPr>
        <w:t>积极稳妥地推进教育改革，按教育规律办事，不断提高教育质量。</w:t>
      </w:r>
    </w:p>
    <w:p>
      <w:pPr>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4、</w:t>
      </w:r>
      <w:r>
        <w:rPr>
          <w:rFonts w:hint="eastAsia" w:ascii="仿宋" w:hAnsi="仿宋" w:eastAsia="仿宋" w:cs="仿宋"/>
          <w:sz w:val="32"/>
          <w:szCs w:val="32"/>
        </w:rPr>
        <w:t>根据学校规模，设置学校管理机构，建立健全各项规章制度和岗位责任制。</w:t>
      </w:r>
    </w:p>
    <w:p>
      <w:pPr>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5、</w:t>
      </w:r>
      <w:r>
        <w:rPr>
          <w:rFonts w:hint="eastAsia" w:ascii="仿宋" w:hAnsi="仿宋" w:eastAsia="仿宋" w:cs="仿宋"/>
          <w:sz w:val="32"/>
          <w:szCs w:val="32"/>
        </w:rPr>
        <w:t>坚持教书育人，服务育人，环境育人方针，加强对学生的思想品德教育，使学生的德智体全面发展。</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6、</w:t>
      </w:r>
      <w:r>
        <w:rPr>
          <w:rFonts w:hint="eastAsia" w:ascii="仿宋" w:hAnsi="仿宋" w:eastAsia="仿宋" w:cs="仿宋"/>
          <w:sz w:val="32"/>
          <w:szCs w:val="32"/>
        </w:rPr>
        <w:t>抓好教师队伍建设，使每个教师都热心于教育事业。</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30" w:beforeAutospacing="0" w:after="0" w:afterAutospacing="0" w:line="580" w:lineRule="atLeast"/>
        <w:ind w:right="0" w:firstLine="320" w:firstLineChars="100"/>
        <w:jc w:val="left"/>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（二）广元市朝天区水磨沟镇马家坝小学</w:t>
      </w:r>
      <w:r>
        <w:rPr>
          <w:rFonts w:hint="eastAsia" w:ascii="楷体_GB2312" w:hAnsi="楷体_GB2312" w:eastAsia="楷体_GB2312" w:cs="楷体_GB2312"/>
          <w:sz w:val="32"/>
          <w:szCs w:val="32"/>
          <w:lang w:val="en-US"/>
        </w:rPr>
        <w:t>2024</w:t>
      </w:r>
      <w:r>
        <w:rPr>
          <w:rFonts w:hint="eastAsia" w:ascii="楷体_GB2312" w:hAnsi="楷体_GB2312" w:eastAsia="楷体_GB2312" w:cs="楷体_GB2312"/>
          <w:sz w:val="32"/>
          <w:szCs w:val="32"/>
        </w:rPr>
        <w:t>年重点工作</w:t>
      </w:r>
      <w:r>
        <w:rPr>
          <w:rFonts w:hint="eastAsia" w:ascii="楷体_GB2312" w:hAnsi="楷体_GB2312" w:eastAsia="楷体_GB2312" w:cs="楷体_GB2312"/>
          <w:sz w:val="32"/>
          <w:szCs w:val="32"/>
          <w:lang w:eastAsia="zh-CN"/>
        </w:rPr>
        <w:t>：</w:t>
      </w:r>
      <w:r>
        <w:rPr>
          <w:rFonts w:hint="eastAsia" w:ascii="仿宋" w:hAnsi="仿宋" w:eastAsia="仿宋" w:cs="仿宋"/>
          <w:b w:val="0"/>
          <w:bCs/>
          <w:i w:val="0"/>
          <w:caps w:val="0"/>
          <w:color w:val="333333"/>
          <w:spacing w:val="0"/>
          <w:sz w:val="32"/>
          <w:szCs w:val="32"/>
          <w:shd w:val="clear" w:color="auto" w:fill="FFFFFF"/>
          <w:lang w:eastAsia="zh-CN"/>
        </w:rPr>
        <w:t>以二十大精神为指导，强化教职工的思想建设，强化学生的思想政治工作。努力完成教育教学任务，让学生在愉快的环境中愉悦的学习，在老师的引导下，让学生全面发展。保证教职工和学生的合法权益，保障其身心健康。同时完成上级交办的各项任务。</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二、部门预算单位构成</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i w:val="0"/>
          <w:caps w:val="0"/>
          <w:color w:val="333333"/>
          <w:spacing w:val="0"/>
          <w:kern w:val="0"/>
          <w:sz w:val="32"/>
          <w:szCs w:val="32"/>
          <w:shd w:val="clear" w:color="auto" w:fill="FFFFFF"/>
          <w:lang w:val="en-US" w:eastAsia="zh-CN" w:bidi="ar"/>
        </w:rPr>
      </w:pPr>
      <w:r>
        <w:rPr>
          <w:rFonts w:hint="eastAsia" w:ascii="仿宋" w:hAnsi="仿宋" w:eastAsia="仿宋" w:cs="仿宋"/>
          <w:i w:val="0"/>
          <w:caps w:val="0"/>
          <w:color w:val="333333"/>
          <w:spacing w:val="0"/>
          <w:kern w:val="0"/>
          <w:sz w:val="32"/>
          <w:szCs w:val="32"/>
          <w:shd w:val="clear" w:color="auto" w:fill="FFFFFF"/>
          <w:lang w:val="en-US" w:eastAsia="zh-CN" w:bidi="ar"/>
        </w:rPr>
        <w:t>广元市朝天区水磨沟镇马家坝小学属二级预算单位。</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三、收支预算情况说明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按照综合预算的原则，广元市朝天区水磨沟镇马家坝小学所有收入和支出均纳入部门预算管理。收入包括：一般公共预算拨款收入、政府性基金预算拨款收入、事业收入、其他收入、上年结转；支出包括：一般一般公共服务支出、教育支出、社会保障和就业支出、卫生健康支出、住房保障支出。广元市朝天区水磨沟镇马家坝小学2024年收支预算总数256.95万元,其中上年结转4.87万元。比2023年收支预算总数减少63.38万元，主要原因是人员减少。</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（一）收入预算情况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广元市朝天区水磨沟镇马家坝小学2024年收入预算252.08万元，其中：上年结转4.87万元，占1.9%；一般公共预算拨款收入252.08万元，占98.1%；</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（二）支出预算情况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sz w:val="32"/>
          <w:szCs w:val="32"/>
          <w:lang w:val="en-US" w:eastAsia="zh-CN"/>
        </w:rPr>
        <w:t>广元市朝天区水磨沟镇马家坝小学2024年支出预算256.95万元，其中：基本支出252.08万元，占98.1%；项目支出4.87万元，占1.9%</w:t>
      </w:r>
      <w:r>
        <w:rPr>
          <w:rFonts w:hint="eastAsia" w:ascii="仿宋_GB2312" w:hAnsi="仿宋_GB2312" w:eastAsia="仿宋_GB2312" w:cs="仿宋_GB2312"/>
          <w:b w:val="0"/>
          <w:bCs w:val="0"/>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四、财政拨款收支预算情况说明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广元市朝天区水磨沟镇马家坝小学2024年财政拨款收支预算总数256.95万元,比2023年财政拨款收支预算总数减少63.38万元，主要原因是人员减少。</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收入包括：本年一般公共预算拨款收入252.08万元、政府性基金预算拨款收入0万元；支出包括：一般公共服务支出0万元、教育支出256.95万元。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五、一般公共预算当年拨款情况说明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（一）一般公共预算当年拨款规模变化情况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广元市朝天区水磨沟镇马家坝小学2024年一般公共预算当年拨款252.08万元，比2023年预算数减少68.25万元，主要原因是人员减少。</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（二）一般公共预算当年拨款结构情况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sz w:val="32"/>
          <w:szCs w:val="32"/>
          <w:lang w:val="en-US" w:eastAsia="zh-CN"/>
        </w:rPr>
        <w:t>教育支出256.95万元，占100%；</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（三）一般公共预算当年拨款具体使用情况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1.教育支出（类）普通教育（款）小学教育（项）2024年预算数为252.98万元，主要用于：实施单位基本工资、津贴、奖金、绩效工资、保险支出。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2.教育支出（类）普通教育（款）学前教育项2024年预算数为0.36万元，主要用于：学前教育公用经费支出。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3.教育支出（类）普通教育（款）初中教育（项）2024年预算数为3.6万元，主要用于：义务教育学生生活补助。</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六、一般公共预算基本支出情况说明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广元市朝天区水磨沟镇马家坝小学2024年一般公共预算基本支出252.08万元，其中：</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人员经费233.32万元，主要包括：基本工资、津贴补贴、奖金、社会保险缴费、住房公积金等支出。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highlight w:val="none"/>
          <w:lang w:val="en-US" w:eastAsia="zh-CN"/>
        </w:rPr>
      </w:pPr>
      <w:r>
        <w:rPr>
          <w:rFonts w:hint="eastAsia" w:ascii="仿宋_GB2312" w:hAnsi="仿宋_GB2312" w:eastAsia="仿宋_GB2312" w:cs="仿宋_GB2312"/>
          <w:sz w:val="32"/>
          <w:szCs w:val="32"/>
          <w:lang w:val="en-US" w:eastAsia="zh-CN"/>
        </w:rPr>
        <w:t>公用经费18.76万元，主要包括：办公费、印刷费、水费、电费、邮电费、物业管理费、差旅费、维修（护）费、会议费、培训费、公务接待费、劳务费、工会经费、福利费、公务用车运行维护费、税金及附加费用、其他交通费用等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七、“三公”经费财政拨款预算安排情况说明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广元市朝天区水磨沟镇马家坝小学2024年“三公”经费财政拨款预算数0万元，其中：公务接待费0万元，公务用车购置及运行维护费0万元，因公出国（境）经费0万元。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八、政府性基金预算支出情况说明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广元市朝天区水磨沟镇马家坝小学2024年无政府性基金预算拨款安排的支出。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九、国有资本经营预算支出情况说明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广元市朝天区水磨沟镇马家坝小学2024年无国有资本经营预算拨款安排的支出。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十、其他重要事项的情况说明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（一）机关运行经费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2024年，广元市朝天区水磨沟镇马家坝的</w:t>
      </w:r>
      <w:r>
        <w:rPr>
          <w:rFonts w:hint="eastAsia" w:ascii="仿宋_GB2312" w:hAnsi="仿宋_GB2312" w:eastAsia="仿宋_GB2312" w:cs="仿宋_GB2312"/>
          <w:sz w:val="32"/>
          <w:szCs w:val="32"/>
        </w:rPr>
        <w:t>机关运行经费财政拨款预算为</w:t>
      </w:r>
      <w:r>
        <w:rPr>
          <w:rFonts w:hint="eastAsia" w:ascii="仿宋_GB2312" w:hAnsi="仿宋_GB2312" w:eastAsia="仿宋_GB2312" w:cs="仿宋_GB2312"/>
          <w:sz w:val="32"/>
          <w:szCs w:val="32"/>
          <w:lang w:val="en-US" w:eastAsia="zh-CN"/>
        </w:rPr>
        <w:t>18.76</w:t>
      </w:r>
      <w:r>
        <w:rPr>
          <w:rFonts w:hint="eastAsia" w:ascii="仿宋_GB2312" w:hAnsi="仿宋_GB2312" w:eastAsia="仿宋_GB2312" w:cs="仿宋_GB2312"/>
          <w:sz w:val="32"/>
          <w:szCs w:val="32"/>
        </w:rPr>
        <w:t>万元，比2023年预算增加</w:t>
      </w:r>
      <w:r>
        <w:rPr>
          <w:rFonts w:hint="eastAsia" w:ascii="仿宋_GB2312" w:hAnsi="仿宋_GB2312" w:eastAsia="仿宋_GB2312" w:cs="仿宋_GB2312"/>
          <w:sz w:val="32"/>
          <w:szCs w:val="32"/>
          <w:lang w:val="en-US" w:eastAsia="zh-CN"/>
        </w:rPr>
        <w:t>18.76</w:t>
      </w:r>
      <w:r>
        <w:rPr>
          <w:rFonts w:hint="eastAsia" w:ascii="仿宋_GB2312" w:hAnsi="仿宋_GB2312" w:eastAsia="仿宋_GB2312" w:cs="仿宋_GB2312"/>
          <w:sz w:val="32"/>
          <w:szCs w:val="32"/>
        </w:rPr>
        <w:t>万元，增长100%。主要原因2023年未安排单位机关运行费财政预算。</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（二）政府采购情况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2024年，广元市朝天区水磨沟镇马家坝小学安排政府采购预算0万元，其中：政府采购货物预算0万元、政府采购工程预算0万元、政府采购服务预算0万元。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（三）国有资产占有使用情况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截至2023年底，广元市朝天区水磨沟镇马家坝小学共有车辆0辆。</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lang w:val="en-US" w:eastAsia="zh-CN"/>
        </w:rPr>
        <w:t>（四）绩效目标设置情况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2024年广元市朝天区水磨沟镇马家坝小学开展绩效目标管理的项目14个，涉及预算246.93万元。其中：人员类项目9个，涉及预算 233.31万元；运转类项目2个，涉及预算8.76万元；特定目标类项目3个，涉及预算4.86万元。因部分项目内容涉密，不予公开。</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十一、名词解释</w:t>
      </w:r>
    </w:p>
    <w:p>
      <w:pPr>
        <w:spacing w:line="576" w:lineRule="exact"/>
        <w:ind w:firstLine="640" w:firstLineChars="200"/>
        <w:rPr>
          <w:rFonts w:ascii="仿宋_GB2312" w:hAnsi="仿宋_GB2312" w:eastAsia="仿宋_GB2312" w:cs="仿宋_GB2312"/>
          <w:sz w:val="32"/>
          <w:szCs w:val="32"/>
        </w:rPr>
      </w:pPr>
      <w:r>
        <w:rPr>
          <w:rFonts w:hint="eastAsia" w:ascii="楷体_GB2312" w:hAnsi="楷体_GB2312" w:eastAsia="楷体_GB2312" w:cs="楷体_GB2312"/>
          <w:sz w:val="32"/>
          <w:szCs w:val="32"/>
        </w:rPr>
        <w:t>（一）财政拨款收入</w:t>
      </w:r>
      <w:r>
        <w:rPr>
          <w:rFonts w:ascii="楷体_GB2312" w:hAnsi="楷体_GB2312" w:eastAsia="楷体_GB2312" w:cs="楷体_GB2312"/>
          <w:sz w:val="32"/>
          <w:szCs w:val="32"/>
        </w:rPr>
        <w:t>:</w:t>
      </w:r>
      <w:r>
        <w:rPr>
          <w:rFonts w:hint="eastAsia" w:ascii="仿宋_GB2312" w:hAnsi="仿宋_GB2312" w:eastAsia="仿宋_GB2312" w:cs="仿宋_GB2312"/>
          <w:sz w:val="32"/>
          <w:szCs w:val="32"/>
        </w:rPr>
        <w:t>指市财政当年安排的财政预算收入。按现行管理制度</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部门预算中反映的财政拨款包括一般公共预算拨款和政府性基金预算拨款。</w:t>
      </w:r>
    </w:p>
    <w:p>
      <w:pPr>
        <w:widowControl/>
        <w:pBdr>
          <w:bottom w:val="single" w:color="FFFFFF" w:sz="8" w:space="31"/>
        </w:pBdr>
        <w:shd w:val="clear" w:color="auto" w:fill="FFFFFF"/>
        <w:ind w:firstLine="640" w:firstLineChars="200"/>
        <w:rPr>
          <w:rFonts w:ascii="仿宋_GB2312" w:hAnsi="仿宋_GB2312" w:eastAsia="仿宋_GB2312" w:cs="仿宋_GB2312"/>
          <w:sz w:val="32"/>
          <w:szCs w:val="32"/>
        </w:rPr>
      </w:pPr>
      <w:r>
        <w:rPr>
          <w:rFonts w:hint="eastAsia" w:ascii="楷体_GB2312" w:hAnsi="楷体_GB2312" w:eastAsia="楷体_GB2312" w:cs="楷体_GB2312"/>
          <w:sz w:val="32"/>
          <w:szCs w:val="32"/>
        </w:rPr>
        <w:t>（二）上年结转：</w:t>
      </w:r>
      <w:r>
        <w:rPr>
          <w:rFonts w:hint="eastAsia" w:ascii="仿宋_GB2312" w:hAnsi="仿宋_GB2312" w:eastAsia="仿宋_GB2312" w:cs="仿宋_GB2312"/>
          <w:sz w:val="32"/>
          <w:szCs w:val="32"/>
        </w:rPr>
        <w:t>指以前年度尚未完成，结转到本年仍按原规定用途继续使用的资金。</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　　</w:t>
      </w:r>
      <w:r>
        <w:rPr>
          <w:rFonts w:hint="eastAsia" w:ascii="楷体_GB2312" w:hAnsi="楷体_GB2312" w:eastAsia="楷体_GB2312" w:cs="楷体_GB2312"/>
          <w:sz w:val="32"/>
          <w:szCs w:val="32"/>
        </w:rPr>
        <w:t>（三）教育支出（类）普通教育（款）小学教育（项）：</w:t>
      </w:r>
      <w:r>
        <w:rPr>
          <w:rFonts w:hint="eastAsia" w:ascii="仿宋_GB2312" w:hAnsi="仿宋_GB2312" w:eastAsia="仿宋_GB2312" w:cs="仿宋_GB2312"/>
          <w:sz w:val="32"/>
          <w:szCs w:val="32"/>
        </w:rPr>
        <w:t>指为配合教育业务开展，用于单位基本工资、津贴、奖金、绩效工资、保险支出。</w:t>
      </w:r>
    </w:p>
    <w:p>
      <w:pPr>
        <w:widowControl/>
        <w:pBdr>
          <w:bottom w:val="single" w:color="FFFFFF" w:sz="8" w:space="31"/>
        </w:pBdr>
        <w:shd w:val="clear" w:color="auto" w:fill="FFFFFF"/>
        <w:ind w:firstLine="640" w:firstLineChars="200"/>
        <w:rPr>
          <w:rFonts w:ascii="仿宋_GB2312" w:hAnsi="仿宋_GB2312" w:eastAsia="仿宋_GB2312" w:cs="仿宋_GB2312"/>
          <w:sz w:val="32"/>
          <w:szCs w:val="32"/>
        </w:rPr>
      </w:pPr>
      <w:r>
        <w:rPr>
          <w:rFonts w:hint="eastAsia" w:ascii="楷体_GB2312" w:hAnsi="楷体_GB2312" w:eastAsia="楷体_GB2312" w:cs="楷体_GB2312"/>
          <w:sz w:val="32"/>
          <w:szCs w:val="32"/>
        </w:rPr>
        <w:t>（四）教育支出（类）普通教育（款）学前教育（项）：</w:t>
      </w:r>
      <w:r>
        <w:rPr>
          <w:rFonts w:hint="eastAsia" w:ascii="仿宋_GB2312" w:hAnsi="仿宋_GB2312" w:eastAsia="仿宋_GB2312" w:cs="仿宋_GB2312"/>
          <w:sz w:val="32"/>
          <w:szCs w:val="32"/>
        </w:rPr>
        <w:t>指为配合教育业务开展，用于单位学前教育公用经费支出。</w:t>
      </w:r>
    </w:p>
    <w:p>
      <w:pPr>
        <w:widowControl/>
        <w:pBdr>
          <w:bottom w:val="single" w:color="FFFFFF" w:sz="8" w:space="31"/>
        </w:pBdr>
        <w:shd w:val="clear" w:color="auto" w:fill="FFFFFF"/>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（五）教育支出（类）</w:t>
      </w:r>
      <w:r>
        <w:rPr>
          <w:rFonts w:hint="eastAsia" w:ascii="宋体" w:hAnsi="宋体" w:cs="宋体"/>
          <w:color w:val="333333"/>
          <w:kern w:val="0"/>
          <w:sz w:val="28"/>
          <w:szCs w:val="28"/>
          <w:shd w:val="clear" w:color="auto" w:fill="FFFFFF"/>
          <w:lang w:bidi="ar"/>
        </w:rPr>
        <w:t>普通教育</w:t>
      </w:r>
      <w:r>
        <w:rPr>
          <w:rFonts w:hint="eastAsia" w:ascii="仿宋_GB2312" w:hAnsi="仿宋_GB2312" w:eastAsia="仿宋_GB2312" w:cs="仿宋_GB2312"/>
          <w:sz w:val="32"/>
          <w:szCs w:val="32"/>
        </w:rPr>
        <w:t>（款）初中教育项：指为配合教育业务开展，用于单位义务教育学生生活补助支出。</w:t>
      </w:r>
    </w:p>
    <w:p>
      <w:pPr>
        <w:widowControl/>
        <w:pBdr>
          <w:bottom w:val="single" w:color="FFFFFF" w:sz="8" w:space="31"/>
        </w:pBdr>
        <w:shd w:val="clear" w:color="auto" w:fill="FFFFFF"/>
        <w:ind w:firstLine="640" w:firstLineChars="200"/>
        <w:rPr>
          <w:rFonts w:ascii="仿宋_GB2312" w:hAnsi="仿宋_GB2312" w:eastAsia="仿宋_GB2312" w:cs="仿宋_GB2312"/>
          <w:sz w:val="32"/>
          <w:szCs w:val="32"/>
        </w:rPr>
      </w:pPr>
      <w:r>
        <w:rPr>
          <w:rFonts w:hint="eastAsia" w:ascii="楷体_GB2312" w:hAnsi="楷体_GB2312" w:eastAsia="楷体_GB2312" w:cs="楷体_GB2312"/>
          <w:sz w:val="32"/>
          <w:szCs w:val="32"/>
        </w:rPr>
        <w:t>（六）基本支出：</w:t>
      </w:r>
      <w:r>
        <w:rPr>
          <w:rFonts w:hint="eastAsia" w:ascii="仿宋_GB2312" w:hAnsi="仿宋_GB2312" w:eastAsia="仿宋_GB2312" w:cs="仿宋_GB2312"/>
          <w:sz w:val="32"/>
          <w:szCs w:val="32"/>
        </w:rPr>
        <w:t>指为保证机构正常运转，完成日常工作任务而发生的人员支出和公用支出。</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　　</w:t>
      </w:r>
      <w:r>
        <w:rPr>
          <w:rFonts w:hint="eastAsia" w:ascii="楷体_GB2312" w:hAnsi="楷体_GB2312" w:eastAsia="楷体_GB2312" w:cs="楷体_GB2312"/>
          <w:sz w:val="32"/>
          <w:szCs w:val="32"/>
        </w:rPr>
        <w:t>（七）项目支出：</w:t>
      </w:r>
      <w:r>
        <w:rPr>
          <w:rFonts w:hint="eastAsia" w:ascii="仿宋_GB2312" w:hAnsi="仿宋_GB2312" w:eastAsia="仿宋_GB2312" w:cs="仿宋_GB2312"/>
          <w:sz w:val="32"/>
          <w:szCs w:val="32"/>
        </w:rPr>
        <w:t>指在基本支出之外为完成特定行政任务和事业发展目标所发生的支出。</w:t>
      </w:r>
    </w:p>
    <w:p>
      <w:pPr>
        <w:widowControl/>
        <w:pBdr>
          <w:bottom w:val="single" w:color="FFFFFF" w:sz="8" w:space="31"/>
        </w:pBdr>
        <w:shd w:val="clear" w:color="auto" w:fill="FFFFFF"/>
        <w:ind w:firstLine="640" w:firstLineChars="200"/>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rPr>
        <w:t>（八）机关运行经费：</w:t>
      </w:r>
      <w:r>
        <w:rPr>
          <w:rFonts w:hint="eastAsia" w:ascii="仿宋_GB2312" w:hAnsi="仿宋_GB2312" w:eastAsia="仿宋_GB2312" w:cs="仿宋_GB2312"/>
          <w:sz w:val="32"/>
          <w:szCs w:val="32"/>
        </w:rPr>
        <w:t>为保障行政单位（包括参照公务员法管理的事业单位）运行用于购买货物和服务的各项资金，包括办公及印刷费、邮电费、差旅费、会议费、培训费、福利费、日常维修费、专用材料及一般设备购置费、办公用房水电费、办公用房物业管理费、公务用车运行维护费以及其他费用。</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附件：部门预算公开表</w:t>
      </w: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仿宋_GB2312" w:hAnsi="仿宋_GB2312" w:eastAsia="仿宋_GB2312" w:cs="仿宋_GB2312"/>
          <w:b/>
          <w:bCs/>
          <w:sz w:val="32"/>
          <w:szCs w:val="32"/>
          <w:lang w:eastAsia="zh-CN"/>
        </w:rPr>
      </w:pPr>
    </w:p>
    <w:sectPr>
      <w:footerReference r:id="rId3" w:type="default"/>
      <w:pgSz w:w="11906" w:h="16838"/>
      <w:pgMar w:top="2098" w:right="1474" w:bottom="1984" w:left="1587" w:header="720" w:footer="1559"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Liberation Sans">
    <w:altName w:val="Segoe Print"/>
    <w:panose1 w:val="020B0604020202020204"/>
    <w:charset w:val="00"/>
    <w:family w:val="swiss"/>
    <w:pitch w:val="default"/>
    <w:sig w:usb0="00000000" w:usb1="00000000" w:usb2="00000000" w:usb3="00000000" w:csb0="6000009F" w:csb1="DFD70000"/>
  </w:font>
  <w:font w:name="Noto Sans CJK SC Regular">
    <w:altName w:val="宋体"/>
    <w:panose1 w:val="020B0500000000000000"/>
    <w:charset w:val="86"/>
    <w:family w:val="auto"/>
    <w:pitch w:val="default"/>
    <w:sig w:usb0="00000000" w:usb1="00000000" w:usb2="00000016" w:usb3="00000000" w:csb0="602E0107"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
  <w:drawingGridVerticalSpacing w:val="1"/>
  <w:displayHorizontalDrawingGridEvery w:val="1"/>
  <w:displayVerticalDrawingGridEvery w:val="1"/>
  <w:doNotUseMarginsForDrawingGridOrigin w:val="1"/>
  <w:drawingGridHorizontalOrigin w:val="0"/>
  <w:drawingGridVerticalOrigin w:val="0"/>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ViZTFkYjk5ZWYzNDRjNDVlZDk0ZmU1Mzc1N2IzZGUifQ=="/>
  </w:docVars>
  <w:rsids>
    <w:rsidRoot w:val="00000000"/>
    <w:rsid w:val="012352D1"/>
    <w:rsid w:val="04F20ED1"/>
    <w:rsid w:val="07920D4B"/>
    <w:rsid w:val="0DB919EF"/>
    <w:rsid w:val="0DBA12E6"/>
    <w:rsid w:val="104F3F68"/>
    <w:rsid w:val="1AF215F8"/>
    <w:rsid w:val="1F7BF06F"/>
    <w:rsid w:val="1FEE4B73"/>
    <w:rsid w:val="2000702C"/>
    <w:rsid w:val="20DD2ECA"/>
    <w:rsid w:val="23AE0B4E"/>
    <w:rsid w:val="23CE9849"/>
    <w:rsid w:val="2418246B"/>
    <w:rsid w:val="326A02EF"/>
    <w:rsid w:val="32DF0D23"/>
    <w:rsid w:val="383C4522"/>
    <w:rsid w:val="389F15BF"/>
    <w:rsid w:val="39F304DD"/>
    <w:rsid w:val="3D597E12"/>
    <w:rsid w:val="402D0C2D"/>
    <w:rsid w:val="40BC6B48"/>
    <w:rsid w:val="42204EB5"/>
    <w:rsid w:val="456668D2"/>
    <w:rsid w:val="45C83899"/>
    <w:rsid w:val="524B4A59"/>
    <w:rsid w:val="54244390"/>
    <w:rsid w:val="54662A63"/>
    <w:rsid w:val="56DF6C95"/>
    <w:rsid w:val="58064E12"/>
    <w:rsid w:val="5BFEE015"/>
    <w:rsid w:val="5C702869"/>
    <w:rsid w:val="5C9127DF"/>
    <w:rsid w:val="5E07346B"/>
    <w:rsid w:val="5EBE53E1"/>
    <w:rsid w:val="5F1A7282"/>
    <w:rsid w:val="5F777871"/>
    <w:rsid w:val="63426E4D"/>
    <w:rsid w:val="6367429A"/>
    <w:rsid w:val="63EDCF55"/>
    <w:rsid w:val="63FBFBCF"/>
    <w:rsid w:val="6509385A"/>
    <w:rsid w:val="669360FD"/>
    <w:rsid w:val="66E316C0"/>
    <w:rsid w:val="68FF6A83"/>
    <w:rsid w:val="6C975F35"/>
    <w:rsid w:val="6D723F67"/>
    <w:rsid w:val="6FBBC9CF"/>
    <w:rsid w:val="715C08B3"/>
    <w:rsid w:val="72BDE561"/>
    <w:rsid w:val="78462278"/>
    <w:rsid w:val="78473DA8"/>
    <w:rsid w:val="7997EA6C"/>
    <w:rsid w:val="7AEAE675"/>
    <w:rsid w:val="7B3705F4"/>
    <w:rsid w:val="7B3F0646"/>
    <w:rsid w:val="7BAFCE5D"/>
    <w:rsid w:val="7D46598C"/>
    <w:rsid w:val="7DFB240B"/>
    <w:rsid w:val="7E0935ED"/>
    <w:rsid w:val="7F5D6B34"/>
    <w:rsid w:val="7FCF2AF7"/>
    <w:rsid w:val="9FEF033D"/>
    <w:rsid w:val="A27FF1E5"/>
    <w:rsid w:val="AFDEB5A7"/>
    <w:rsid w:val="AFEA7FBF"/>
    <w:rsid w:val="B83F4767"/>
    <w:rsid w:val="BF930F07"/>
    <w:rsid w:val="BFCE8436"/>
    <w:rsid w:val="C3F7EB7A"/>
    <w:rsid w:val="CFF5FEEC"/>
    <w:rsid w:val="D3DD9064"/>
    <w:rsid w:val="D6F76A0C"/>
    <w:rsid w:val="D7ECE8D2"/>
    <w:rsid w:val="DFDD4FB5"/>
    <w:rsid w:val="E7F748B5"/>
    <w:rsid w:val="EE5F3713"/>
    <w:rsid w:val="EFC9D62C"/>
    <w:rsid w:val="F6BE9755"/>
    <w:rsid w:val="F6FFA89B"/>
    <w:rsid w:val="FAE4EFE1"/>
    <w:rsid w:val="FB9B6F12"/>
    <w:rsid w:val="FBB66A4A"/>
    <w:rsid w:val="FDEE6989"/>
    <w:rsid w:val="FF5E7DB8"/>
    <w:rsid w:val="FF77E367"/>
    <w:rsid w:val="FFD576EB"/>
    <w:rsid w:val="FFFBE8B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uppressAutoHyphens/>
      <w:bidi w:val="0"/>
      <w:jc w:val="both"/>
    </w:pPr>
    <w:rPr>
      <w:rFonts w:ascii="Calibri" w:hAnsi="Calibri" w:eastAsia="宋体" w:cs="Times New Roman"/>
      <w:color w:val="auto"/>
      <w:kern w:val="2"/>
      <w:sz w:val="21"/>
      <w:szCs w:val="24"/>
      <w:lang w:val="en-US" w:eastAsia="zh-CN" w:bidi="ar-SA"/>
    </w:rPr>
  </w:style>
  <w:style w:type="character" w:default="1" w:styleId="9">
    <w:name w:val="Default Paragraph Font"/>
    <w:qFormat/>
    <w:uiPriority w:val="0"/>
  </w:style>
  <w:style w:type="table" w:default="1" w:styleId="8">
    <w:name w:val="Normal Table"/>
    <w:semiHidden/>
    <w:qFormat/>
    <w:uiPriority w:val="0"/>
    <w:tblPr>
      <w:tblLayout w:type="fixed"/>
      <w:tblCellMar>
        <w:top w:w="0" w:type="dxa"/>
        <w:left w:w="108" w:type="dxa"/>
        <w:bottom w:w="0" w:type="dxa"/>
        <w:right w:w="108" w:type="dxa"/>
      </w:tblCellMar>
    </w:tblPr>
  </w:style>
  <w:style w:type="paragraph" w:styleId="2">
    <w:name w:val="caption"/>
    <w:basedOn w:val="1"/>
    <w:next w:val="1"/>
    <w:qFormat/>
    <w:uiPriority w:val="0"/>
    <w:pPr>
      <w:widowControl w:val="0"/>
      <w:suppressLineNumbers/>
      <w:suppressAutoHyphens/>
      <w:spacing w:before="120" w:after="120"/>
    </w:pPr>
    <w:rPr>
      <w:i/>
      <w:iCs/>
      <w:sz w:val="24"/>
      <w:szCs w:val="24"/>
    </w:rPr>
  </w:style>
  <w:style w:type="paragraph" w:styleId="3">
    <w:name w:val="Body Text"/>
    <w:basedOn w:val="1"/>
    <w:qFormat/>
    <w:uiPriority w:val="0"/>
    <w:pPr>
      <w:spacing w:before="0" w:after="140" w:line="276" w:lineRule="auto"/>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List"/>
    <w:basedOn w:val="3"/>
    <w:qFormat/>
    <w:uiPriority w:val="0"/>
  </w:style>
  <w:style w:type="paragraph" w:styleId="7">
    <w:name w:val="Normal (Web)"/>
    <w:basedOn w:val="1"/>
    <w:qFormat/>
    <w:uiPriority w:val="0"/>
    <w:rPr>
      <w:sz w:val="24"/>
    </w:rPr>
  </w:style>
  <w:style w:type="character" w:customStyle="1" w:styleId="10">
    <w:name w:val="默认段落字体1"/>
    <w:qFormat/>
    <w:uiPriority w:val="0"/>
  </w:style>
  <w:style w:type="paragraph" w:customStyle="1" w:styleId="11">
    <w:name w:val="Heading"/>
    <w:basedOn w:val="1"/>
    <w:next w:val="3"/>
    <w:qFormat/>
    <w:uiPriority w:val="0"/>
    <w:pPr>
      <w:keepNext/>
      <w:widowControl w:val="0"/>
      <w:suppressAutoHyphens/>
      <w:spacing w:before="240" w:after="120"/>
    </w:pPr>
    <w:rPr>
      <w:rFonts w:ascii="Liberation Sans" w:hAnsi="Liberation Sans" w:eastAsia="Noto Sans CJK SC Regular" w:cs="Noto Sans CJK SC Regular"/>
      <w:sz w:val="28"/>
      <w:szCs w:val="28"/>
      <w:lang w:bidi="ar-SA"/>
    </w:rPr>
  </w:style>
  <w:style w:type="paragraph" w:customStyle="1" w:styleId="12">
    <w:name w:val="Index"/>
    <w:basedOn w:val="1"/>
    <w:qFormat/>
    <w:uiPriority w:val="0"/>
    <w:pPr>
      <w:widowControl w:val="0"/>
      <w:suppressLineNumbers/>
      <w:suppressAutoHyphens/>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8</Pages>
  <TotalTime>4</TotalTime>
  <ScaleCrop>false</ScaleCrop>
  <LinksUpToDate>false</LinksUpToDate>
  <Application>WPS Office_11.1.0.9021_F1E327BC-269C-435d-A152-05C5408002CA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2018-11-29T09:47:00Z</dcterms:created>
  <dc:creator>admin</dc:creator>
  <cp:lastModifiedBy>Administrator</cp:lastModifiedBy>
  <dcterms:modified xsi:type="dcterms:W3CDTF">2024-04-10T03:01:17Z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y fmtid="{D5CDD505-2E9C-101B-9397-08002B2CF9AE}" pid="3" name="ICV">
    <vt:lpwstr>96081F72B7444D3C8C1C7DDAED24732C_13</vt:lpwstr>
  </property>
</Properties>
</file>