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86F5C">
      <w:pPr>
        <w:pStyle w:val="14"/>
        <w:jc w:val="center"/>
        <w:rPr>
          <w:rFonts w:ascii="方正小标宋简体" w:eastAsia="方正小标宋简体"/>
          <w:b w:val="0"/>
          <w:color w:val="auto"/>
          <w:sz w:val="44"/>
          <w:szCs w:val="44"/>
        </w:rPr>
      </w:pPr>
      <w:bookmarkStart w:id="1" w:name="_GoBack"/>
      <w:bookmarkEnd w:id="1"/>
      <w:r>
        <w:rPr>
          <w:rFonts w:hint="eastAsia" w:ascii="方正小标宋简体" w:eastAsia="方正小标宋简体"/>
          <w:b w:val="0"/>
          <w:color w:val="auto"/>
          <w:sz w:val="44"/>
          <w:szCs w:val="44"/>
        </w:rPr>
        <w:t>广元市朝天区卫生健康局2025年涉企行政检查事项分类目录</w:t>
      </w:r>
    </w:p>
    <w:tbl>
      <w:tblPr>
        <w:tblStyle w:val="8"/>
        <w:tblW w:w="14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0"/>
        <w:gridCol w:w="1519"/>
        <w:gridCol w:w="1925"/>
        <w:gridCol w:w="1096"/>
        <w:gridCol w:w="890"/>
        <w:gridCol w:w="890"/>
        <w:gridCol w:w="969"/>
        <w:gridCol w:w="1944"/>
        <w:gridCol w:w="1602"/>
        <w:gridCol w:w="2702"/>
      </w:tblGrid>
      <w:tr w14:paraId="0354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Header/>
          <w:jc w:val="center"/>
        </w:trPr>
        <w:tc>
          <w:tcPr>
            <w:tcW w:w="580" w:type="dxa"/>
            <w:vAlign w:val="center"/>
          </w:tcPr>
          <w:p w14:paraId="2289C877">
            <w:pPr>
              <w:spacing w:line="260" w:lineRule="exact"/>
              <w:jc w:val="center"/>
              <w:rPr>
                <w:rFonts w:ascii="黑体" w:eastAsia="黑体" w:cs="黑体"/>
                <w:sz w:val="22"/>
                <w:szCs w:val="22"/>
              </w:rPr>
            </w:pPr>
            <w:r>
              <w:rPr>
                <w:rFonts w:hint="eastAsia" w:ascii="黑体" w:eastAsia="黑体" w:cs="黑体"/>
                <w:kern w:val="0"/>
                <w:sz w:val="22"/>
                <w:szCs w:val="22"/>
              </w:rPr>
              <w:t>序号</w:t>
            </w:r>
          </w:p>
        </w:tc>
        <w:tc>
          <w:tcPr>
            <w:tcW w:w="1519" w:type="dxa"/>
            <w:vAlign w:val="center"/>
          </w:tcPr>
          <w:p w14:paraId="4ECE319C">
            <w:pPr>
              <w:spacing w:line="280" w:lineRule="exact"/>
              <w:jc w:val="center"/>
              <w:textAlignment w:val="center"/>
              <w:rPr>
                <w:rFonts w:ascii="黑体" w:eastAsia="黑体" w:cs="黑体"/>
                <w:sz w:val="22"/>
                <w:szCs w:val="22"/>
              </w:rPr>
            </w:pPr>
            <w:r>
              <w:rPr>
                <w:rFonts w:hint="eastAsia" w:ascii="黑体" w:eastAsia="黑体" w:cs="黑体"/>
                <w:sz w:val="22"/>
                <w:szCs w:val="22"/>
              </w:rPr>
              <w:t>检查事项</w:t>
            </w:r>
          </w:p>
        </w:tc>
        <w:tc>
          <w:tcPr>
            <w:tcW w:w="1925" w:type="dxa"/>
            <w:vAlign w:val="center"/>
          </w:tcPr>
          <w:p w14:paraId="3113F655">
            <w:pPr>
              <w:spacing w:line="280" w:lineRule="exact"/>
              <w:jc w:val="center"/>
              <w:textAlignment w:val="center"/>
              <w:rPr>
                <w:rFonts w:ascii="黑体" w:eastAsia="黑体" w:cs="黑体"/>
                <w:kern w:val="0"/>
                <w:sz w:val="22"/>
                <w:szCs w:val="22"/>
              </w:rPr>
            </w:pPr>
            <w:r>
              <w:rPr>
                <w:rFonts w:hint="eastAsia" w:ascii="黑体" w:eastAsia="黑体" w:cs="黑体"/>
                <w:kern w:val="0"/>
                <w:sz w:val="22"/>
                <w:szCs w:val="22"/>
              </w:rPr>
              <w:t>检查</w:t>
            </w:r>
          </w:p>
          <w:p w14:paraId="277BF32A">
            <w:pPr>
              <w:spacing w:line="280" w:lineRule="exact"/>
              <w:jc w:val="center"/>
              <w:textAlignment w:val="center"/>
              <w:rPr>
                <w:rFonts w:ascii="黑体" w:eastAsia="黑体" w:cs="黑体"/>
                <w:sz w:val="22"/>
                <w:szCs w:val="22"/>
              </w:rPr>
            </w:pPr>
            <w:r>
              <w:rPr>
                <w:rFonts w:hint="eastAsia" w:ascii="黑体" w:eastAsia="黑体" w:cs="黑体"/>
                <w:kern w:val="0"/>
                <w:sz w:val="22"/>
                <w:szCs w:val="22"/>
              </w:rPr>
              <w:t>对象及等级</w:t>
            </w:r>
          </w:p>
        </w:tc>
        <w:tc>
          <w:tcPr>
            <w:tcW w:w="1096" w:type="dxa"/>
            <w:vAlign w:val="center"/>
          </w:tcPr>
          <w:p w14:paraId="4F9DCDD8">
            <w:pPr>
              <w:spacing w:line="280" w:lineRule="exact"/>
              <w:jc w:val="center"/>
              <w:textAlignment w:val="center"/>
              <w:rPr>
                <w:rFonts w:ascii="黑体" w:eastAsia="黑体" w:cs="黑体"/>
                <w:sz w:val="22"/>
                <w:szCs w:val="22"/>
              </w:rPr>
            </w:pPr>
            <w:r>
              <w:rPr>
                <w:rFonts w:hint="eastAsia" w:ascii="黑体" w:eastAsia="黑体" w:cs="黑体"/>
                <w:sz w:val="22"/>
                <w:szCs w:val="22"/>
              </w:rPr>
              <w:t>检查事项等级</w:t>
            </w:r>
          </w:p>
        </w:tc>
        <w:tc>
          <w:tcPr>
            <w:tcW w:w="890" w:type="dxa"/>
            <w:vAlign w:val="center"/>
          </w:tcPr>
          <w:p w14:paraId="1067C1E6">
            <w:pPr>
              <w:spacing w:line="280" w:lineRule="exact"/>
              <w:jc w:val="center"/>
              <w:textAlignment w:val="center"/>
              <w:rPr>
                <w:rFonts w:ascii="黑体" w:eastAsia="黑体" w:cs="黑体"/>
                <w:sz w:val="22"/>
                <w:szCs w:val="22"/>
              </w:rPr>
            </w:pPr>
            <w:r>
              <w:rPr>
                <w:rFonts w:hint="eastAsia" w:ascii="黑体" w:eastAsia="黑体" w:cs="黑体"/>
                <w:kern w:val="0"/>
                <w:sz w:val="22"/>
                <w:szCs w:val="22"/>
              </w:rPr>
              <w:t>检查方式</w:t>
            </w:r>
          </w:p>
        </w:tc>
        <w:tc>
          <w:tcPr>
            <w:tcW w:w="890" w:type="dxa"/>
            <w:vAlign w:val="center"/>
          </w:tcPr>
          <w:p w14:paraId="726B9505">
            <w:pPr>
              <w:spacing w:line="280" w:lineRule="exact"/>
              <w:jc w:val="center"/>
              <w:textAlignment w:val="center"/>
              <w:rPr>
                <w:rFonts w:ascii="黑体" w:eastAsia="黑体" w:cs="黑体"/>
                <w:sz w:val="22"/>
                <w:szCs w:val="22"/>
              </w:rPr>
            </w:pPr>
            <w:r>
              <w:rPr>
                <w:rFonts w:hint="eastAsia" w:ascii="黑体" w:eastAsia="黑体" w:cs="黑体"/>
                <w:sz w:val="22"/>
                <w:szCs w:val="22"/>
              </w:rPr>
              <w:t>计划类型</w:t>
            </w:r>
          </w:p>
        </w:tc>
        <w:tc>
          <w:tcPr>
            <w:tcW w:w="969" w:type="dxa"/>
            <w:vAlign w:val="center"/>
          </w:tcPr>
          <w:p w14:paraId="5905207E">
            <w:pPr>
              <w:spacing w:line="280" w:lineRule="exact"/>
              <w:jc w:val="center"/>
              <w:textAlignment w:val="center"/>
              <w:rPr>
                <w:rFonts w:ascii="黑体" w:eastAsia="黑体" w:cs="黑体"/>
                <w:sz w:val="22"/>
                <w:szCs w:val="22"/>
              </w:rPr>
            </w:pPr>
            <w:r>
              <w:rPr>
                <w:rFonts w:hint="eastAsia" w:ascii="黑体" w:eastAsia="黑体" w:cs="黑体"/>
                <w:kern w:val="0"/>
                <w:sz w:val="22"/>
                <w:szCs w:val="22"/>
              </w:rPr>
              <w:t>牵头实施部门</w:t>
            </w:r>
          </w:p>
        </w:tc>
        <w:tc>
          <w:tcPr>
            <w:tcW w:w="1944" w:type="dxa"/>
            <w:vAlign w:val="center"/>
          </w:tcPr>
          <w:p w14:paraId="783B87AD">
            <w:pPr>
              <w:spacing w:line="280" w:lineRule="exact"/>
              <w:jc w:val="center"/>
              <w:textAlignment w:val="center"/>
              <w:rPr>
                <w:rFonts w:ascii="黑体" w:eastAsia="黑体" w:cs="黑体"/>
                <w:sz w:val="22"/>
                <w:szCs w:val="22"/>
              </w:rPr>
            </w:pPr>
            <w:r>
              <w:rPr>
                <w:rFonts w:hint="eastAsia" w:ascii="黑体" w:eastAsia="黑体" w:cs="黑体"/>
                <w:kern w:val="0"/>
                <w:sz w:val="22"/>
                <w:szCs w:val="22"/>
              </w:rPr>
              <w:t>检查事项内容</w:t>
            </w:r>
          </w:p>
        </w:tc>
        <w:tc>
          <w:tcPr>
            <w:tcW w:w="1602" w:type="dxa"/>
            <w:vAlign w:val="center"/>
          </w:tcPr>
          <w:p w14:paraId="4A435EF2">
            <w:pPr>
              <w:spacing w:line="280" w:lineRule="exact"/>
              <w:jc w:val="center"/>
              <w:textAlignment w:val="center"/>
              <w:rPr>
                <w:rFonts w:ascii="黑体" w:eastAsia="黑体" w:cs="黑体"/>
                <w:sz w:val="22"/>
                <w:szCs w:val="22"/>
              </w:rPr>
            </w:pPr>
            <w:r>
              <w:rPr>
                <w:rFonts w:hint="eastAsia" w:ascii="黑体" w:eastAsia="黑体" w:cs="黑体"/>
                <w:kern w:val="0"/>
                <w:sz w:val="22"/>
                <w:szCs w:val="22"/>
              </w:rPr>
              <w:t>参与部门</w:t>
            </w:r>
          </w:p>
        </w:tc>
        <w:tc>
          <w:tcPr>
            <w:tcW w:w="2702" w:type="dxa"/>
            <w:vAlign w:val="center"/>
          </w:tcPr>
          <w:p w14:paraId="6FEA069B">
            <w:pPr>
              <w:spacing w:line="280" w:lineRule="exact"/>
              <w:jc w:val="center"/>
              <w:textAlignment w:val="center"/>
              <w:rPr>
                <w:rFonts w:ascii="黑体" w:eastAsia="黑体" w:cs="黑体"/>
                <w:sz w:val="22"/>
                <w:szCs w:val="22"/>
              </w:rPr>
            </w:pPr>
            <w:r>
              <w:rPr>
                <w:rFonts w:hint="eastAsia" w:ascii="黑体" w:eastAsia="黑体" w:cs="黑体"/>
                <w:kern w:val="0"/>
                <w:sz w:val="22"/>
                <w:szCs w:val="22"/>
              </w:rPr>
              <w:t>综合参与部门事项</w:t>
            </w:r>
          </w:p>
        </w:tc>
      </w:tr>
      <w:tr w14:paraId="10E58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4" w:hRule="atLeast"/>
          <w:jc w:val="center"/>
        </w:trPr>
        <w:tc>
          <w:tcPr>
            <w:tcW w:w="580" w:type="dxa"/>
            <w:vMerge w:val="restart"/>
            <w:vAlign w:val="center"/>
          </w:tcPr>
          <w:p w14:paraId="19210DD8">
            <w:pPr>
              <w:numPr>
                <w:ilvl w:val="0"/>
                <w:numId w:val="1"/>
              </w:numPr>
              <w:spacing w:line="260" w:lineRule="exact"/>
              <w:ind w:left="105" w:leftChars="50"/>
              <w:jc w:val="center"/>
              <w:rPr>
                <w:rFonts w:ascii="仿宋_GB2312" w:hAnsi="仿宋_GB2312" w:eastAsia="仿宋_GB2312" w:cs="仿宋_GB2312"/>
                <w:sz w:val="23"/>
                <w:szCs w:val="23"/>
              </w:rPr>
            </w:pPr>
          </w:p>
        </w:tc>
        <w:tc>
          <w:tcPr>
            <w:tcW w:w="1519" w:type="dxa"/>
            <w:vMerge w:val="restart"/>
            <w:vAlign w:val="center"/>
          </w:tcPr>
          <w:p w14:paraId="03E52F62">
            <w:pPr>
              <w:spacing w:line="260" w:lineRule="exact"/>
              <w:jc w:val="center"/>
              <w:textAlignment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医疗卫生</w:t>
            </w:r>
          </w:p>
        </w:tc>
        <w:tc>
          <w:tcPr>
            <w:tcW w:w="1925" w:type="dxa"/>
            <w:vMerge w:val="restart"/>
            <w:vAlign w:val="center"/>
          </w:tcPr>
          <w:p w14:paraId="4DB1C326">
            <w:pPr>
              <w:pStyle w:val="14"/>
              <w:jc w:val="center"/>
              <w:rPr>
                <w:rFonts w:ascii="仿宋_GB2312" w:hAnsi="仿宋_GB2312" w:eastAsia="仿宋_GB2312" w:cs="仿宋_GB2312"/>
                <w:b w:val="0"/>
                <w:bCs/>
                <w:color w:val="auto"/>
                <w:sz w:val="23"/>
                <w:szCs w:val="23"/>
              </w:rPr>
            </w:pPr>
            <w:r>
              <w:rPr>
                <w:rFonts w:hint="eastAsia" w:ascii="仿宋_GB2312" w:hAnsi="仿宋_GB2312" w:eastAsia="仿宋_GB2312" w:cs="仿宋_GB2312"/>
                <w:b w:val="0"/>
                <w:bCs/>
                <w:color w:val="auto"/>
                <w:sz w:val="23"/>
                <w:szCs w:val="23"/>
              </w:rPr>
              <w:t>民营医疗</w:t>
            </w:r>
          </w:p>
          <w:p w14:paraId="11F9CADA">
            <w:pPr>
              <w:pStyle w:val="14"/>
              <w:jc w:val="center"/>
              <w:rPr>
                <w:rFonts w:ascii="仿宋_GB2312" w:hAnsi="仿宋_GB2312" w:eastAsia="仿宋_GB2312" w:cs="仿宋_GB2312"/>
                <w:b w:val="0"/>
                <w:bCs/>
                <w:color w:val="auto"/>
                <w:sz w:val="23"/>
                <w:szCs w:val="23"/>
              </w:rPr>
            </w:pPr>
            <w:r>
              <w:rPr>
                <w:rFonts w:hint="eastAsia" w:ascii="仿宋_GB2312" w:hAnsi="仿宋_GB2312" w:eastAsia="仿宋_GB2312" w:cs="仿宋_GB2312"/>
                <w:b w:val="0"/>
                <w:bCs/>
                <w:color w:val="auto"/>
                <w:sz w:val="23"/>
                <w:szCs w:val="23"/>
              </w:rPr>
              <w:t>卫生机构</w:t>
            </w:r>
          </w:p>
          <w:p w14:paraId="56936367">
            <w:pPr>
              <w:pStyle w:val="14"/>
              <w:jc w:val="center"/>
              <w:rPr>
                <w:rFonts w:ascii="仿宋_GB2312" w:hAnsi="仿宋_GB2312" w:eastAsia="仿宋_GB2312" w:cs="仿宋_GB2312"/>
                <w:b w:val="0"/>
                <w:bCs/>
                <w:color w:val="auto"/>
                <w:sz w:val="23"/>
                <w:szCs w:val="23"/>
              </w:rPr>
            </w:pPr>
          </w:p>
          <w:p w14:paraId="765D022C">
            <w:pPr>
              <w:pStyle w:val="14"/>
              <w:jc w:val="center"/>
              <w:rPr>
                <w:rFonts w:ascii="仿宋_GB2312" w:hAnsi="仿宋_GB2312" w:eastAsia="仿宋_GB2312" w:cs="仿宋_GB2312"/>
                <w:b w:val="0"/>
                <w:bCs/>
                <w:color w:val="auto"/>
                <w:sz w:val="23"/>
                <w:szCs w:val="23"/>
              </w:rPr>
            </w:pPr>
            <w:r>
              <w:rPr>
                <w:rFonts w:hint="eastAsia" w:ascii="仿宋_GB2312" w:hAnsi="仿宋_GB2312" w:eastAsia="仿宋_GB2312" w:cs="仿宋_GB2312"/>
                <w:b w:val="0"/>
                <w:bCs/>
                <w:color w:val="auto"/>
                <w:sz w:val="23"/>
                <w:szCs w:val="23"/>
              </w:rPr>
              <w:t>一般</w:t>
            </w:r>
          </w:p>
        </w:tc>
        <w:tc>
          <w:tcPr>
            <w:tcW w:w="1096" w:type="dxa"/>
            <w:vMerge w:val="restart"/>
            <w:vAlign w:val="center"/>
          </w:tcPr>
          <w:p w14:paraId="54F239CA">
            <w:pPr>
              <w:spacing w:line="260" w:lineRule="exact"/>
              <w:jc w:val="center"/>
              <w:textAlignment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一般</w:t>
            </w:r>
          </w:p>
        </w:tc>
        <w:tc>
          <w:tcPr>
            <w:tcW w:w="890" w:type="dxa"/>
            <w:vMerge w:val="restart"/>
            <w:vAlign w:val="center"/>
          </w:tcPr>
          <w:p w14:paraId="73FC7CCA">
            <w:pPr>
              <w:spacing w:line="260" w:lineRule="exact"/>
              <w:jc w:val="center"/>
              <w:textAlignment w:val="center"/>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现场</w:t>
            </w:r>
          </w:p>
          <w:p w14:paraId="5C368D1D">
            <w:pPr>
              <w:spacing w:line="260" w:lineRule="exact"/>
              <w:jc w:val="center"/>
              <w:textAlignment w:val="center"/>
              <w:rPr>
                <w:rFonts w:ascii="仿宋_GB2312" w:hAnsi="仿宋_GB2312" w:eastAsia="仿宋_GB2312" w:cs="仿宋_GB2312"/>
                <w:sz w:val="23"/>
                <w:szCs w:val="23"/>
              </w:rPr>
            </w:pPr>
            <w:r>
              <w:rPr>
                <w:rFonts w:hint="eastAsia" w:ascii="仿宋_GB2312" w:hAnsi="仿宋_GB2312" w:eastAsia="仿宋_GB2312" w:cs="仿宋_GB2312"/>
                <w:kern w:val="0"/>
                <w:sz w:val="23"/>
                <w:szCs w:val="23"/>
              </w:rPr>
              <w:t>检查</w:t>
            </w:r>
          </w:p>
        </w:tc>
        <w:tc>
          <w:tcPr>
            <w:tcW w:w="890" w:type="dxa"/>
            <w:vMerge w:val="restart"/>
            <w:vAlign w:val="center"/>
          </w:tcPr>
          <w:p w14:paraId="75E86E50">
            <w:pPr>
              <w:spacing w:line="260" w:lineRule="exact"/>
              <w:jc w:val="center"/>
              <w:textAlignment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日常或专项</w:t>
            </w:r>
          </w:p>
        </w:tc>
        <w:tc>
          <w:tcPr>
            <w:tcW w:w="969" w:type="dxa"/>
            <w:vMerge w:val="restart"/>
            <w:vAlign w:val="center"/>
          </w:tcPr>
          <w:p w14:paraId="410C1968">
            <w:pPr>
              <w:spacing w:line="260" w:lineRule="exact"/>
              <w:jc w:val="center"/>
              <w:textAlignment w:val="center"/>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广元市朝天区卫生</w:t>
            </w:r>
          </w:p>
          <w:p w14:paraId="459995E3">
            <w:pPr>
              <w:spacing w:line="260" w:lineRule="exact"/>
              <w:jc w:val="center"/>
              <w:textAlignment w:val="center"/>
              <w:rPr>
                <w:rFonts w:ascii="仿宋_GB2312" w:hAnsi="仿宋_GB2312" w:eastAsia="仿宋_GB2312" w:cs="仿宋_GB2312"/>
                <w:sz w:val="23"/>
                <w:szCs w:val="23"/>
              </w:rPr>
            </w:pPr>
            <w:r>
              <w:rPr>
                <w:rFonts w:hint="eastAsia" w:ascii="仿宋_GB2312" w:hAnsi="仿宋_GB2312" w:eastAsia="仿宋_GB2312" w:cs="仿宋_GB2312"/>
                <w:kern w:val="0"/>
                <w:sz w:val="23"/>
                <w:szCs w:val="23"/>
              </w:rPr>
              <w:t>健康局</w:t>
            </w:r>
          </w:p>
        </w:tc>
        <w:tc>
          <w:tcPr>
            <w:tcW w:w="1944" w:type="dxa"/>
            <w:vMerge w:val="restart"/>
            <w:vAlign w:val="center"/>
          </w:tcPr>
          <w:p w14:paraId="2FE28C58">
            <w:pPr>
              <w:spacing w:line="260" w:lineRule="exact"/>
              <w:jc w:val="left"/>
              <w:textAlignment w:val="center"/>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对民营医疗卫生机构资质、人员执业资格、医疗行为、传染病防治、放射卫生、医疗废物处置、消毒隔离措施等的检查</w:t>
            </w:r>
          </w:p>
        </w:tc>
        <w:tc>
          <w:tcPr>
            <w:tcW w:w="1602" w:type="dxa"/>
            <w:vAlign w:val="center"/>
          </w:tcPr>
          <w:p w14:paraId="0D44DA43">
            <w:pPr>
              <w:spacing w:line="260" w:lineRule="exact"/>
              <w:jc w:val="center"/>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广元市朝天区医疗保障局</w:t>
            </w:r>
          </w:p>
        </w:tc>
        <w:tc>
          <w:tcPr>
            <w:tcW w:w="2702" w:type="dxa"/>
            <w:vAlign w:val="center"/>
          </w:tcPr>
          <w:p w14:paraId="7DE9AB1B">
            <w:pPr>
              <w:spacing w:line="260" w:lineRule="exact"/>
              <w:jc w:val="left"/>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对纳入基本医疗保险基金支付范围的医疗服务行为和医疗费用的监督管理检查</w:t>
            </w:r>
          </w:p>
        </w:tc>
      </w:tr>
      <w:tr w14:paraId="62A3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4" w:hRule="atLeast"/>
          <w:jc w:val="center"/>
        </w:trPr>
        <w:tc>
          <w:tcPr>
            <w:tcW w:w="580" w:type="dxa"/>
            <w:vMerge w:val="continue"/>
            <w:vAlign w:val="center"/>
          </w:tcPr>
          <w:p w14:paraId="56CEF4C5">
            <w:pPr>
              <w:spacing w:line="260" w:lineRule="exact"/>
              <w:jc w:val="center"/>
            </w:pPr>
          </w:p>
        </w:tc>
        <w:tc>
          <w:tcPr>
            <w:tcW w:w="1519" w:type="dxa"/>
            <w:vMerge w:val="continue"/>
            <w:vAlign w:val="center"/>
          </w:tcPr>
          <w:p w14:paraId="43CA930B">
            <w:pPr>
              <w:spacing w:line="260" w:lineRule="exact"/>
              <w:jc w:val="center"/>
            </w:pPr>
          </w:p>
        </w:tc>
        <w:tc>
          <w:tcPr>
            <w:tcW w:w="1925" w:type="dxa"/>
            <w:vMerge w:val="continue"/>
            <w:vAlign w:val="center"/>
          </w:tcPr>
          <w:p w14:paraId="1C0A3C22">
            <w:pPr>
              <w:spacing w:line="260" w:lineRule="exact"/>
              <w:jc w:val="center"/>
            </w:pPr>
          </w:p>
        </w:tc>
        <w:tc>
          <w:tcPr>
            <w:tcW w:w="1096" w:type="dxa"/>
            <w:vMerge w:val="continue"/>
            <w:vAlign w:val="center"/>
          </w:tcPr>
          <w:p w14:paraId="2F465092">
            <w:pPr>
              <w:spacing w:line="260" w:lineRule="exact"/>
              <w:jc w:val="center"/>
            </w:pPr>
          </w:p>
        </w:tc>
        <w:tc>
          <w:tcPr>
            <w:tcW w:w="890" w:type="dxa"/>
            <w:vMerge w:val="continue"/>
            <w:vAlign w:val="center"/>
          </w:tcPr>
          <w:p w14:paraId="59AB3E26">
            <w:pPr>
              <w:spacing w:line="260" w:lineRule="exact"/>
              <w:jc w:val="center"/>
            </w:pPr>
          </w:p>
        </w:tc>
        <w:tc>
          <w:tcPr>
            <w:tcW w:w="890" w:type="dxa"/>
            <w:vMerge w:val="continue"/>
            <w:vAlign w:val="center"/>
          </w:tcPr>
          <w:p w14:paraId="0140FDC9">
            <w:pPr>
              <w:spacing w:line="260" w:lineRule="exact"/>
              <w:jc w:val="center"/>
            </w:pPr>
          </w:p>
        </w:tc>
        <w:tc>
          <w:tcPr>
            <w:tcW w:w="969" w:type="dxa"/>
            <w:vMerge w:val="continue"/>
            <w:vAlign w:val="center"/>
          </w:tcPr>
          <w:p w14:paraId="57D4FA50">
            <w:pPr>
              <w:spacing w:line="260" w:lineRule="exact"/>
              <w:jc w:val="center"/>
            </w:pPr>
          </w:p>
        </w:tc>
        <w:tc>
          <w:tcPr>
            <w:tcW w:w="1944" w:type="dxa"/>
            <w:vMerge w:val="continue"/>
            <w:vAlign w:val="center"/>
          </w:tcPr>
          <w:p w14:paraId="6B4212D5">
            <w:pPr>
              <w:spacing w:line="260" w:lineRule="exact"/>
              <w:jc w:val="center"/>
            </w:pPr>
          </w:p>
        </w:tc>
        <w:tc>
          <w:tcPr>
            <w:tcW w:w="1602" w:type="dxa"/>
            <w:vAlign w:val="center"/>
          </w:tcPr>
          <w:p w14:paraId="58F45004">
            <w:pPr>
              <w:spacing w:line="260" w:lineRule="exact"/>
              <w:jc w:val="center"/>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广元市朝天区市场监督</w:t>
            </w:r>
          </w:p>
          <w:p w14:paraId="761D3122">
            <w:pPr>
              <w:spacing w:line="260" w:lineRule="exact"/>
              <w:jc w:val="center"/>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管理局</w:t>
            </w:r>
          </w:p>
        </w:tc>
        <w:tc>
          <w:tcPr>
            <w:tcW w:w="2702" w:type="dxa"/>
            <w:vAlign w:val="center"/>
          </w:tcPr>
          <w:p w14:paraId="28C1A496">
            <w:pPr>
              <w:spacing w:line="260" w:lineRule="exact"/>
              <w:jc w:val="left"/>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对采购药械渠道、在用医疗器械、药品、保健食品、医疗机构卫生环境、药品储存条件、储存场所分区、分库管理区域设置进行检查</w:t>
            </w:r>
          </w:p>
        </w:tc>
      </w:tr>
      <w:tr w14:paraId="33586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4" w:hRule="atLeast"/>
          <w:jc w:val="center"/>
        </w:trPr>
        <w:tc>
          <w:tcPr>
            <w:tcW w:w="580" w:type="dxa"/>
            <w:vMerge w:val="restart"/>
            <w:vAlign w:val="center"/>
          </w:tcPr>
          <w:p w14:paraId="280F11D6">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2</w:t>
            </w:r>
          </w:p>
        </w:tc>
        <w:tc>
          <w:tcPr>
            <w:tcW w:w="1519" w:type="dxa"/>
            <w:vMerge w:val="restart"/>
            <w:vAlign w:val="center"/>
          </w:tcPr>
          <w:p w14:paraId="23973ACB">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职业卫生</w:t>
            </w:r>
          </w:p>
        </w:tc>
        <w:tc>
          <w:tcPr>
            <w:tcW w:w="1925" w:type="dxa"/>
            <w:vMerge w:val="restart"/>
            <w:vAlign w:val="center"/>
          </w:tcPr>
          <w:p w14:paraId="3E0D635E">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涉及职业卫生的</w:t>
            </w:r>
          </w:p>
          <w:p w14:paraId="358AC903">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rPr>
              <w:t>企业</w:t>
            </w:r>
            <w:r>
              <w:rPr>
                <w:rFonts w:hint="eastAsia" w:ascii="仿宋_GB2312" w:hAnsi="仿宋_GB2312" w:eastAsia="仿宋_GB2312" w:cs="仿宋_GB2312"/>
                <w:sz w:val="23"/>
                <w:szCs w:val="23"/>
                <w:lang w:eastAsia="zh-CN"/>
              </w:rPr>
              <w:t>、</w:t>
            </w:r>
            <w:r>
              <w:rPr>
                <w:rFonts w:hint="eastAsia" w:ascii="仿宋_GB2312" w:hAnsi="仿宋_GB2312" w:eastAsia="仿宋_GB2312" w:cs="仿宋_GB2312"/>
                <w:sz w:val="23"/>
                <w:szCs w:val="23"/>
                <w:lang w:val="en-US" w:eastAsia="zh-CN"/>
              </w:rPr>
              <w:t>事业单位</w:t>
            </w:r>
          </w:p>
          <w:p w14:paraId="7039B659">
            <w:pPr>
              <w:jc w:val="center"/>
              <w:rPr>
                <w:rFonts w:ascii="仿宋_GB2312" w:hAnsi="仿宋_GB2312" w:eastAsia="仿宋_GB2312" w:cs="仿宋_GB2312"/>
                <w:sz w:val="23"/>
                <w:szCs w:val="23"/>
              </w:rPr>
            </w:pPr>
          </w:p>
          <w:p w14:paraId="0FEF1A77">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一般</w:t>
            </w:r>
          </w:p>
        </w:tc>
        <w:tc>
          <w:tcPr>
            <w:tcW w:w="1096" w:type="dxa"/>
            <w:vMerge w:val="restart"/>
            <w:vAlign w:val="center"/>
          </w:tcPr>
          <w:p w14:paraId="35D083C5">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一般</w:t>
            </w:r>
          </w:p>
        </w:tc>
        <w:tc>
          <w:tcPr>
            <w:tcW w:w="890" w:type="dxa"/>
            <w:vMerge w:val="restart"/>
            <w:vAlign w:val="center"/>
          </w:tcPr>
          <w:p w14:paraId="19F4BA41">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现场</w:t>
            </w:r>
          </w:p>
          <w:p w14:paraId="7C2DB81C">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检查</w:t>
            </w:r>
          </w:p>
        </w:tc>
        <w:tc>
          <w:tcPr>
            <w:tcW w:w="890" w:type="dxa"/>
            <w:vMerge w:val="restart"/>
            <w:vAlign w:val="center"/>
          </w:tcPr>
          <w:p w14:paraId="2ACEDCBC">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日常或专项</w:t>
            </w:r>
          </w:p>
        </w:tc>
        <w:tc>
          <w:tcPr>
            <w:tcW w:w="969" w:type="dxa"/>
            <w:vMerge w:val="restart"/>
            <w:vAlign w:val="center"/>
          </w:tcPr>
          <w:p w14:paraId="6BCD41BD">
            <w:pPr>
              <w:spacing w:line="260" w:lineRule="exact"/>
              <w:jc w:val="center"/>
              <w:textAlignment w:val="center"/>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广元市朝天区卫生</w:t>
            </w:r>
          </w:p>
          <w:p w14:paraId="06590318">
            <w:pPr>
              <w:jc w:val="center"/>
              <w:rPr>
                <w:rFonts w:ascii="仿宋_GB2312" w:hAnsi="仿宋_GB2312" w:eastAsia="仿宋_GB2312" w:cs="仿宋_GB2312"/>
                <w:sz w:val="23"/>
                <w:szCs w:val="23"/>
              </w:rPr>
            </w:pPr>
            <w:r>
              <w:rPr>
                <w:rFonts w:hint="eastAsia" w:ascii="仿宋_GB2312" w:hAnsi="仿宋_GB2312" w:eastAsia="仿宋_GB2312" w:cs="仿宋_GB2312"/>
                <w:kern w:val="0"/>
                <w:sz w:val="23"/>
                <w:szCs w:val="23"/>
              </w:rPr>
              <w:t>健康局</w:t>
            </w:r>
          </w:p>
        </w:tc>
        <w:tc>
          <w:tcPr>
            <w:tcW w:w="1944" w:type="dxa"/>
            <w:vMerge w:val="restart"/>
            <w:vAlign w:val="center"/>
          </w:tcPr>
          <w:p w14:paraId="165CC3D0">
            <w:pPr>
              <w:jc w:val="left"/>
              <w:rPr>
                <w:rFonts w:ascii="仿宋_GB2312" w:hAnsi="仿宋_GB2312" w:eastAsia="仿宋_GB2312" w:cs="仿宋_GB2312"/>
                <w:sz w:val="23"/>
                <w:szCs w:val="23"/>
              </w:rPr>
            </w:pPr>
            <w:r>
              <w:rPr>
                <w:rFonts w:hint="eastAsia" w:ascii="仿宋_GB2312" w:hAnsi="仿宋_GB2312" w:eastAsia="仿宋_GB2312" w:cs="仿宋_GB2312"/>
                <w:kern w:val="21"/>
                <w:sz w:val="23"/>
                <w:szCs w:val="23"/>
              </w:rPr>
              <w:t>用人单位职业病防治管理措施落实，工作场所职业病危害因素检测、评价和申报，劳动者职业健康监护，职业病防护设施和个人防护用品的配备、使用和管理，职业病危害事故应急救援预案的制定和演练等</w:t>
            </w:r>
          </w:p>
        </w:tc>
        <w:tc>
          <w:tcPr>
            <w:tcW w:w="1602" w:type="dxa"/>
            <w:vAlign w:val="center"/>
          </w:tcPr>
          <w:p w14:paraId="7D899473">
            <w:pPr>
              <w:spacing w:line="260" w:lineRule="exact"/>
              <w:jc w:val="center"/>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广元市朝天区</w:t>
            </w:r>
          </w:p>
          <w:p w14:paraId="624B49BA">
            <w:pPr>
              <w:spacing w:line="260" w:lineRule="exact"/>
              <w:jc w:val="center"/>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人力资源和</w:t>
            </w:r>
          </w:p>
          <w:p w14:paraId="18194C43">
            <w:pPr>
              <w:spacing w:line="260" w:lineRule="exact"/>
              <w:jc w:val="center"/>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社会保障局</w:t>
            </w:r>
          </w:p>
          <w:p w14:paraId="42F4C1F8">
            <w:pPr>
              <w:spacing w:line="260" w:lineRule="exact"/>
              <w:jc w:val="center"/>
              <w:rPr>
                <w:rFonts w:ascii="仿宋_GB2312" w:hAnsi="仿宋_GB2312" w:eastAsia="仿宋_GB2312" w:cs="仿宋_GB2312"/>
                <w:color w:val="FF0000"/>
                <w:kern w:val="0"/>
                <w:sz w:val="23"/>
                <w:szCs w:val="23"/>
              </w:rPr>
            </w:pPr>
          </w:p>
        </w:tc>
        <w:tc>
          <w:tcPr>
            <w:tcW w:w="2702" w:type="dxa"/>
            <w:vAlign w:val="center"/>
          </w:tcPr>
          <w:p w14:paraId="2E288BF2">
            <w:pPr>
              <w:spacing w:line="260" w:lineRule="exact"/>
              <w:jc w:val="left"/>
              <w:rPr>
                <w:rFonts w:ascii="仿宋_GB2312" w:hAnsi="仿宋_GB2312" w:eastAsia="仿宋_GB2312" w:cs="仿宋_GB2312"/>
                <w:kern w:val="21"/>
                <w:sz w:val="23"/>
                <w:szCs w:val="23"/>
              </w:rPr>
            </w:pPr>
            <w:r>
              <w:rPr>
                <w:rFonts w:hint="eastAsia" w:ascii="仿宋_GB2312" w:hAnsi="仿宋_GB2312" w:eastAsia="仿宋_GB2312" w:cs="仿宋_GB2312"/>
                <w:kern w:val="21"/>
                <w:sz w:val="23"/>
                <w:szCs w:val="23"/>
              </w:rPr>
              <w:t>对职业病工伤保险、用人单位职业病防治管理措施进行检查</w:t>
            </w:r>
          </w:p>
          <w:p w14:paraId="057B57F4">
            <w:pPr>
              <w:spacing w:line="260" w:lineRule="exact"/>
              <w:jc w:val="left"/>
              <w:rPr>
                <w:rFonts w:ascii="仿宋_GB2312" w:hAnsi="仿宋_GB2312" w:eastAsia="仿宋_GB2312" w:cs="仿宋_GB2312"/>
                <w:color w:val="FF0000"/>
                <w:kern w:val="0"/>
                <w:sz w:val="23"/>
                <w:szCs w:val="23"/>
              </w:rPr>
            </w:pPr>
          </w:p>
        </w:tc>
      </w:tr>
      <w:tr w14:paraId="067E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4" w:hRule="atLeast"/>
          <w:jc w:val="center"/>
        </w:trPr>
        <w:tc>
          <w:tcPr>
            <w:tcW w:w="580" w:type="dxa"/>
            <w:vMerge w:val="continue"/>
            <w:vAlign w:val="center"/>
          </w:tcPr>
          <w:p w14:paraId="5B898982">
            <w:pPr>
              <w:spacing w:line="260" w:lineRule="exact"/>
              <w:jc w:val="left"/>
            </w:pPr>
          </w:p>
        </w:tc>
        <w:tc>
          <w:tcPr>
            <w:tcW w:w="1519" w:type="dxa"/>
            <w:vMerge w:val="continue"/>
            <w:vAlign w:val="center"/>
          </w:tcPr>
          <w:p w14:paraId="63849329">
            <w:pPr>
              <w:spacing w:line="260" w:lineRule="exact"/>
              <w:jc w:val="left"/>
            </w:pPr>
          </w:p>
        </w:tc>
        <w:tc>
          <w:tcPr>
            <w:tcW w:w="1925" w:type="dxa"/>
            <w:vMerge w:val="continue"/>
            <w:vAlign w:val="center"/>
          </w:tcPr>
          <w:p w14:paraId="0EA2CEC5">
            <w:pPr>
              <w:spacing w:line="260" w:lineRule="exact"/>
              <w:jc w:val="left"/>
            </w:pPr>
          </w:p>
        </w:tc>
        <w:tc>
          <w:tcPr>
            <w:tcW w:w="1096" w:type="dxa"/>
            <w:vMerge w:val="continue"/>
            <w:vAlign w:val="center"/>
          </w:tcPr>
          <w:p w14:paraId="366F57F3">
            <w:pPr>
              <w:spacing w:line="260" w:lineRule="exact"/>
              <w:jc w:val="left"/>
            </w:pPr>
          </w:p>
        </w:tc>
        <w:tc>
          <w:tcPr>
            <w:tcW w:w="890" w:type="dxa"/>
            <w:vMerge w:val="continue"/>
            <w:vAlign w:val="center"/>
          </w:tcPr>
          <w:p w14:paraId="741ABD7A">
            <w:pPr>
              <w:spacing w:line="260" w:lineRule="exact"/>
              <w:jc w:val="left"/>
            </w:pPr>
          </w:p>
        </w:tc>
        <w:tc>
          <w:tcPr>
            <w:tcW w:w="890" w:type="dxa"/>
            <w:vMerge w:val="continue"/>
            <w:vAlign w:val="center"/>
          </w:tcPr>
          <w:p w14:paraId="76F15986">
            <w:pPr>
              <w:spacing w:line="260" w:lineRule="exact"/>
              <w:jc w:val="left"/>
            </w:pPr>
          </w:p>
        </w:tc>
        <w:tc>
          <w:tcPr>
            <w:tcW w:w="969" w:type="dxa"/>
            <w:vMerge w:val="continue"/>
            <w:vAlign w:val="center"/>
          </w:tcPr>
          <w:p w14:paraId="5A25C37B">
            <w:pPr>
              <w:spacing w:line="260" w:lineRule="exact"/>
              <w:jc w:val="left"/>
            </w:pPr>
          </w:p>
        </w:tc>
        <w:tc>
          <w:tcPr>
            <w:tcW w:w="1944" w:type="dxa"/>
            <w:vMerge w:val="continue"/>
            <w:vAlign w:val="center"/>
          </w:tcPr>
          <w:p w14:paraId="69C6CD8B">
            <w:pPr>
              <w:spacing w:line="260" w:lineRule="exact"/>
              <w:jc w:val="left"/>
            </w:pPr>
          </w:p>
        </w:tc>
        <w:tc>
          <w:tcPr>
            <w:tcW w:w="1602" w:type="dxa"/>
            <w:vAlign w:val="center"/>
          </w:tcPr>
          <w:p w14:paraId="5D4B645E">
            <w:pPr>
              <w:spacing w:line="260" w:lineRule="exact"/>
              <w:jc w:val="center"/>
              <w:rPr>
                <w:rFonts w:ascii="仿宋_GB2312" w:hAnsi="仿宋_GB2312" w:eastAsia="仿宋_GB2312" w:cs="仿宋_GB2312"/>
                <w:color w:val="FF0000"/>
                <w:kern w:val="0"/>
                <w:sz w:val="23"/>
                <w:szCs w:val="23"/>
              </w:rPr>
            </w:pPr>
            <w:r>
              <w:rPr>
                <w:rFonts w:hint="eastAsia" w:ascii="仿宋_GB2312" w:hAnsi="仿宋_GB2312" w:eastAsia="仿宋_GB2312" w:cs="仿宋_GB2312"/>
                <w:color w:val="000000" w:themeColor="text1"/>
                <w:kern w:val="0"/>
                <w:sz w:val="23"/>
                <w:szCs w:val="23"/>
              </w:rPr>
              <w:t>广元市朝天区总工会</w:t>
            </w:r>
          </w:p>
          <w:p w14:paraId="2BA5A0CB">
            <w:pPr>
              <w:spacing w:line="260" w:lineRule="exact"/>
              <w:jc w:val="left"/>
            </w:pPr>
          </w:p>
        </w:tc>
        <w:tc>
          <w:tcPr>
            <w:tcW w:w="2702" w:type="dxa"/>
            <w:vAlign w:val="center"/>
          </w:tcPr>
          <w:p w14:paraId="09CD6931">
            <w:pPr>
              <w:spacing w:line="260" w:lineRule="exact"/>
              <w:jc w:val="left"/>
              <w:rPr>
                <w:rFonts w:ascii="仿宋_GB2312" w:hAnsi="仿宋_GB2312" w:eastAsia="仿宋_GB2312" w:cs="仿宋_GB2312"/>
                <w:color w:val="4874CB" w:themeColor="accent1"/>
                <w:kern w:val="0"/>
                <w:sz w:val="23"/>
                <w:szCs w:val="23"/>
              </w:rPr>
            </w:pPr>
            <w:r>
              <w:rPr>
                <w:rFonts w:hint="eastAsia" w:ascii="仿宋_GB2312" w:hAnsi="仿宋_GB2312" w:eastAsia="仿宋_GB2312" w:cs="仿宋_GB2312"/>
                <w:color w:val="000000" w:themeColor="text1"/>
                <w:kern w:val="0"/>
                <w:sz w:val="23"/>
                <w:szCs w:val="23"/>
              </w:rPr>
              <w:t>监督用人单位落实职业卫生防护措施</w:t>
            </w:r>
          </w:p>
        </w:tc>
      </w:tr>
      <w:tr w14:paraId="437C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3" w:hRule="atLeast"/>
          <w:jc w:val="center"/>
        </w:trPr>
        <w:tc>
          <w:tcPr>
            <w:tcW w:w="580" w:type="dxa"/>
            <w:vMerge w:val="restart"/>
            <w:vAlign w:val="center"/>
          </w:tcPr>
          <w:p w14:paraId="68FB5C7F">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3</w:t>
            </w:r>
          </w:p>
        </w:tc>
        <w:tc>
          <w:tcPr>
            <w:tcW w:w="1519" w:type="dxa"/>
            <w:vMerge w:val="restart"/>
            <w:vAlign w:val="center"/>
          </w:tcPr>
          <w:p w14:paraId="19D0BDD6">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公共场所卫生</w:t>
            </w:r>
          </w:p>
        </w:tc>
        <w:tc>
          <w:tcPr>
            <w:tcW w:w="1925" w:type="dxa"/>
            <w:vMerge w:val="restart"/>
            <w:vAlign w:val="center"/>
          </w:tcPr>
          <w:p w14:paraId="455504B4">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公共场所经营单位</w:t>
            </w:r>
          </w:p>
          <w:p w14:paraId="3C7DAB83">
            <w:pPr>
              <w:jc w:val="center"/>
              <w:rPr>
                <w:rFonts w:ascii="仿宋_GB2312" w:hAnsi="仿宋_GB2312" w:eastAsia="仿宋_GB2312" w:cs="仿宋_GB2312"/>
                <w:color w:val="000000" w:themeColor="text1"/>
                <w:sz w:val="23"/>
                <w:szCs w:val="23"/>
              </w:rPr>
            </w:pPr>
          </w:p>
          <w:p w14:paraId="1A453157">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一般</w:t>
            </w:r>
          </w:p>
        </w:tc>
        <w:tc>
          <w:tcPr>
            <w:tcW w:w="1096" w:type="dxa"/>
            <w:vMerge w:val="restart"/>
            <w:vAlign w:val="center"/>
          </w:tcPr>
          <w:p w14:paraId="11E06800">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一般</w:t>
            </w:r>
          </w:p>
        </w:tc>
        <w:tc>
          <w:tcPr>
            <w:tcW w:w="890" w:type="dxa"/>
            <w:vMerge w:val="restart"/>
            <w:vAlign w:val="center"/>
          </w:tcPr>
          <w:p w14:paraId="1174D64D">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现场</w:t>
            </w:r>
          </w:p>
          <w:p w14:paraId="15B9E72C">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检查</w:t>
            </w:r>
          </w:p>
        </w:tc>
        <w:tc>
          <w:tcPr>
            <w:tcW w:w="890" w:type="dxa"/>
            <w:vMerge w:val="restart"/>
            <w:vAlign w:val="center"/>
          </w:tcPr>
          <w:p w14:paraId="4CA98930">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日常或专项</w:t>
            </w:r>
          </w:p>
        </w:tc>
        <w:tc>
          <w:tcPr>
            <w:tcW w:w="969" w:type="dxa"/>
            <w:vMerge w:val="restart"/>
            <w:vAlign w:val="center"/>
          </w:tcPr>
          <w:p w14:paraId="46B37746">
            <w:pPr>
              <w:spacing w:line="260" w:lineRule="exact"/>
              <w:jc w:val="center"/>
              <w:textAlignment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广元市朝天区卫生</w:t>
            </w:r>
          </w:p>
          <w:p w14:paraId="0BC6DC6A">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kern w:val="0"/>
                <w:sz w:val="23"/>
                <w:szCs w:val="23"/>
              </w:rPr>
              <w:t>健康局</w:t>
            </w:r>
          </w:p>
        </w:tc>
        <w:tc>
          <w:tcPr>
            <w:tcW w:w="1944" w:type="dxa"/>
            <w:vMerge w:val="restart"/>
            <w:vAlign w:val="center"/>
          </w:tcPr>
          <w:p w14:paraId="03B62EC2">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kern w:val="21"/>
                <w:sz w:val="23"/>
                <w:szCs w:val="23"/>
              </w:rPr>
              <w:t>公共场所卫生许可证、从业人员健康证、公共场所环境卫生、公共用品用具消毒保洁、防艾、禁烟工作等</w:t>
            </w:r>
          </w:p>
        </w:tc>
        <w:tc>
          <w:tcPr>
            <w:tcW w:w="1602" w:type="dxa"/>
            <w:vAlign w:val="center"/>
          </w:tcPr>
          <w:p w14:paraId="08EFB0B9">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广元市朝天区教育和</w:t>
            </w:r>
          </w:p>
          <w:p w14:paraId="6215FF3C">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科学技术局</w:t>
            </w:r>
          </w:p>
        </w:tc>
        <w:tc>
          <w:tcPr>
            <w:tcW w:w="2702" w:type="dxa"/>
            <w:vAlign w:val="center"/>
          </w:tcPr>
          <w:p w14:paraId="6BA1C865">
            <w:pPr>
              <w:spacing w:line="260" w:lineRule="exact"/>
              <w:jc w:val="left"/>
              <w:rPr>
                <w:rFonts w:ascii="仿宋_GB2312" w:hAnsi="仿宋_GB2312" w:eastAsia="仿宋_GB2312" w:cs="仿宋_GB2312"/>
                <w:color w:val="000000" w:themeColor="text1"/>
                <w:kern w:val="21"/>
                <w:sz w:val="23"/>
                <w:szCs w:val="23"/>
              </w:rPr>
            </w:pPr>
            <w:r>
              <w:rPr>
                <w:rFonts w:ascii="仿宋_GB2312" w:hAnsi="仿宋_GB2312" w:eastAsia="仿宋_GB2312" w:cs="仿宋_GB2312"/>
                <w:color w:val="000000" w:themeColor="text1"/>
                <w:kern w:val="21"/>
                <w:sz w:val="23"/>
                <w:szCs w:val="23"/>
              </w:rPr>
              <w:t>对管辖学校的控烟工作进行监督管理</w:t>
            </w:r>
          </w:p>
        </w:tc>
      </w:tr>
      <w:tr w14:paraId="69455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6" w:hRule="atLeast"/>
          <w:jc w:val="center"/>
        </w:trPr>
        <w:tc>
          <w:tcPr>
            <w:tcW w:w="580" w:type="dxa"/>
            <w:vMerge w:val="continue"/>
            <w:vAlign w:val="center"/>
          </w:tcPr>
          <w:p w14:paraId="68641B5E">
            <w:pPr>
              <w:spacing w:line="260" w:lineRule="exact"/>
              <w:jc w:val="center"/>
              <w:rPr>
                <w:color w:val="000000" w:themeColor="text1"/>
              </w:rPr>
            </w:pPr>
          </w:p>
        </w:tc>
        <w:tc>
          <w:tcPr>
            <w:tcW w:w="1519" w:type="dxa"/>
            <w:vMerge w:val="continue"/>
            <w:vAlign w:val="center"/>
          </w:tcPr>
          <w:p w14:paraId="55D07F2E">
            <w:pPr>
              <w:spacing w:line="260" w:lineRule="exact"/>
              <w:jc w:val="center"/>
              <w:rPr>
                <w:color w:val="000000" w:themeColor="text1"/>
              </w:rPr>
            </w:pPr>
          </w:p>
        </w:tc>
        <w:tc>
          <w:tcPr>
            <w:tcW w:w="1925" w:type="dxa"/>
            <w:vMerge w:val="continue"/>
            <w:vAlign w:val="center"/>
          </w:tcPr>
          <w:p w14:paraId="660A4867">
            <w:pPr>
              <w:spacing w:line="260" w:lineRule="exact"/>
              <w:jc w:val="center"/>
              <w:rPr>
                <w:color w:val="000000" w:themeColor="text1"/>
              </w:rPr>
            </w:pPr>
          </w:p>
        </w:tc>
        <w:tc>
          <w:tcPr>
            <w:tcW w:w="1096" w:type="dxa"/>
            <w:vMerge w:val="continue"/>
            <w:vAlign w:val="center"/>
          </w:tcPr>
          <w:p w14:paraId="37C5CDC3">
            <w:pPr>
              <w:spacing w:line="260" w:lineRule="exact"/>
              <w:jc w:val="center"/>
              <w:rPr>
                <w:color w:val="000000" w:themeColor="text1"/>
              </w:rPr>
            </w:pPr>
          </w:p>
        </w:tc>
        <w:tc>
          <w:tcPr>
            <w:tcW w:w="890" w:type="dxa"/>
            <w:vMerge w:val="continue"/>
            <w:vAlign w:val="center"/>
          </w:tcPr>
          <w:p w14:paraId="5B10EBB6">
            <w:pPr>
              <w:spacing w:line="260" w:lineRule="exact"/>
              <w:jc w:val="center"/>
              <w:rPr>
                <w:color w:val="000000" w:themeColor="text1"/>
              </w:rPr>
            </w:pPr>
          </w:p>
        </w:tc>
        <w:tc>
          <w:tcPr>
            <w:tcW w:w="890" w:type="dxa"/>
            <w:vMerge w:val="continue"/>
            <w:vAlign w:val="center"/>
          </w:tcPr>
          <w:p w14:paraId="500666AF">
            <w:pPr>
              <w:spacing w:line="260" w:lineRule="exact"/>
              <w:jc w:val="center"/>
              <w:rPr>
                <w:color w:val="000000" w:themeColor="text1"/>
              </w:rPr>
            </w:pPr>
          </w:p>
        </w:tc>
        <w:tc>
          <w:tcPr>
            <w:tcW w:w="969" w:type="dxa"/>
            <w:vMerge w:val="continue"/>
            <w:vAlign w:val="center"/>
          </w:tcPr>
          <w:p w14:paraId="7EAB9CBE">
            <w:pPr>
              <w:spacing w:line="260" w:lineRule="exact"/>
              <w:jc w:val="center"/>
              <w:rPr>
                <w:color w:val="000000" w:themeColor="text1"/>
              </w:rPr>
            </w:pPr>
          </w:p>
        </w:tc>
        <w:tc>
          <w:tcPr>
            <w:tcW w:w="1944" w:type="dxa"/>
            <w:vMerge w:val="continue"/>
            <w:vAlign w:val="center"/>
          </w:tcPr>
          <w:p w14:paraId="5ECC3F6B">
            <w:pPr>
              <w:spacing w:line="260" w:lineRule="exact"/>
              <w:jc w:val="center"/>
              <w:rPr>
                <w:color w:val="000000" w:themeColor="text1"/>
              </w:rPr>
            </w:pPr>
          </w:p>
        </w:tc>
        <w:tc>
          <w:tcPr>
            <w:tcW w:w="1602" w:type="dxa"/>
            <w:vAlign w:val="center"/>
          </w:tcPr>
          <w:p w14:paraId="018817BF">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w:t>
            </w:r>
          </w:p>
          <w:p w14:paraId="09398EF1">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人力资源和</w:t>
            </w:r>
          </w:p>
          <w:p w14:paraId="2CC7AECD">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社会保障局</w:t>
            </w:r>
          </w:p>
        </w:tc>
        <w:tc>
          <w:tcPr>
            <w:tcW w:w="2702" w:type="dxa"/>
            <w:vAlign w:val="center"/>
          </w:tcPr>
          <w:p w14:paraId="6BA0C5DC">
            <w:pPr>
              <w:spacing w:line="260" w:lineRule="exact"/>
              <w:jc w:val="left"/>
              <w:rPr>
                <w:rFonts w:ascii="仿宋_GB2312" w:hAnsi="仿宋_GB2312" w:eastAsia="仿宋_GB2312" w:cs="仿宋_GB2312"/>
                <w:color w:val="000000" w:themeColor="text1"/>
                <w:kern w:val="0"/>
                <w:sz w:val="23"/>
                <w:szCs w:val="23"/>
              </w:rPr>
            </w:pPr>
            <w:r>
              <w:rPr>
                <w:rFonts w:ascii="仿宋_GB2312" w:hAnsi="仿宋_GB2312" w:eastAsia="仿宋_GB2312" w:cs="仿宋_GB2312"/>
                <w:color w:val="000000" w:themeColor="text1"/>
                <w:kern w:val="21"/>
                <w:sz w:val="23"/>
                <w:szCs w:val="23"/>
              </w:rPr>
              <w:t>对管辖学校</w:t>
            </w:r>
            <w:r>
              <w:rPr>
                <w:rFonts w:hint="eastAsia" w:ascii="仿宋_GB2312" w:hAnsi="仿宋_GB2312" w:eastAsia="仿宋_GB2312" w:cs="仿宋_GB2312"/>
                <w:color w:val="000000" w:themeColor="text1"/>
                <w:kern w:val="21"/>
                <w:sz w:val="23"/>
                <w:szCs w:val="23"/>
              </w:rPr>
              <w:t>（培训机构）</w:t>
            </w:r>
            <w:r>
              <w:rPr>
                <w:rFonts w:ascii="仿宋_GB2312" w:hAnsi="仿宋_GB2312" w:eastAsia="仿宋_GB2312" w:cs="仿宋_GB2312"/>
                <w:color w:val="000000" w:themeColor="text1"/>
                <w:kern w:val="21"/>
                <w:sz w:val="23"/>
                <w:szCs w:val="23"/>
              </w:rPr>
              <w:t>的控烟工作进行监督管理</w:t>
            </w:r>
          </w:p>
        </w:tc>
      </w:tr>
      <w:tr w14:paraId="69D30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 w:hRule="atLeast"/>
          <w:jc w:val="center"/>
        </w:trPr>
        <w:tc>
          <w:tcPr>
            <w:tcW w:w="580" w:type="dxa"/>
            <w:vMerge w:val="continue"/>
            <w:vAlign w:val="center"/>
          </w:tcPr>
          <w:p w14:paraId="53FDAADC">
            <w:pPr>
              <w:spacing w:line="260" w:lineRule="exact"/>
              <w:jc w:val="center"/>
              <w:rPr>
                <w:rFonts w:ascii="仿宋_GB2312" w:hAnsi="仿宋_GB2312" w:eastAsia="仿宋_GB2312" w:cs="仿宋_GB2312"/>
                <w:color w:val="000000" w:themeColor="text1"/>
                <w:kern w:val="0"/>
                <w:sz w:val="23"/>
                <w:szCs w:val="23"/>
              </w:rPr>
            </w:pPr>
          </w:p>
        </w:tc>
        <w:tc>
          <w:tcPr>
            <w:tcW w:w="1519" w:type="dxa"/>
            <w:vMerge w:val="continue"/>
            <w:vAlign w:val="center"/>
          </w:tcPr>
          <w:p w14:paraId="74CA6136">
            <w:pPr>
              <w:spacing w:line="260" w:lineRule="exact"/>
              <w:jc w:val="center"/>
              <w:rPr>
                <w:rFonts w:ascii="仿宋_GB2312" w:hAnsi="仿宋_GB2312" w:eastAsia="仿宋_GB2312" w:cs="仿宋_GB2312"/>
                <w:color w:val="000000" w:themeColor="text1"/>
                <w:kern w:val="0"/>
                <w:sz w:val="23"/>
                <w:szCs w:val="23"/>
              </w:rPr>
            </w:pPr>
          </w:p>
        </w:tc>
        <w:tc>
          <w:tcPr>
            <w:tcW w:w="1925" w:type="dxa"/>
            <w:vMerge w:val="continue"/>
            <w:vAlign w:val="center"/>
          </w:tcPr>
          <w:p w14:paraId="07655192">
            <w:pPr>
              <w:spacing w:line="260" w:lineRule="exact"/>
              <w:jc w:val="center"/>
              <w:rPr>
                <w:rFonts w:ascii="仿宋_GB2312" w:hAnsi="仿宋_GB2312" w:eastAsia="仿宋_GB2312" w:cs="仿宋_GB2312"/>
                <w:color w:val="000000" w:themeColor="text1"/>
                <w:kern w:val="0"/>
                <w:sz w:val="23"/>
                <w:szCs w:val="23"/>
              </w:rPr>
            </w:pPr>
          </w:p>
        </w:tc>
        <w:tc>
          <w:tcPr>
            <w:tcW w:w="1096" w:type="dxa"/>
            <w:vMerge w:val="continue"/>
            <w:vAlign w:val="center"/>
          </w:tcPr>
          <w:p w14:paraId="1DF69C7B">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39AA5483">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0D38BF6C">
            <w:pPr>
              <w:spacing w:line="260" w:lineRule="exact"/>
              <w:jc w:val="center"/>
              <w:rPr>
                <w:rFonts w:ascii="仿宋_GB2312" w:hAnsi="仿宋_GB2312" w:eastAsia="仿宋_GB2312" w:cs="仿宋_GB2312"/>
                <w:color w:val="000000" w:themeColor="text1"/>
                <w:kern w:val="0"/>
                <w:sz w:val="23"/>
                <w:szCs w:val="23"/>
              </w:rPr>
            </w:pPr>
          </w:p>
        </w:tc>
        <w:tc>
          <w:tcPr>
            <w:tcW w:w="969" w:type="dxa"/>
            <w:vMerge w:val="continue"/>
            <w:vAlign w:val="center"/>
          </w:tcPr>
          <w:p w14:paraId="1C5F24E9">
            <w:pPr>
              <w:spacing w:line="260" w:lineRule="exact"/>
              <w:jc w:val="center"/>
              <w:rPr>
                <w:rFonts w:ascii="仿宋_GB2312" w:hAnsi="仿宋_GB2312" w:eastAsia="仿宋_GB2312" w:cs="仿宋_GB2312"/>
                <w:color w:val="000000" w:themeColor="text1"/>
                <w:kern w:val="0"/>
                <w:sz w:val="23"/>
                <w:szCs w:val="23"/>
              </w:rPr>
            </w:pPr>
          </w:p>
        </w:tc>
        <w:tc>
          <w:tcPr>
            <w:tcW w:w="1944" w:type="dxa"/>
            <w:vMerge w:val="continue"/>
            <w:vAlign w:val="center"/>
          </w:tcPr>
          <w:p w14:paraId="4F824FB4">
            <w:pPr>
              <w:spacing w:line="260" w:lineRule="exact"/>
              <w:jc w:val="center"/>
              <w:rPr>
                <w:rFonts w:ascii="仿宋_GB2312" w:hAnsi="仿宋_GB2312" w:eastAsia="仿宋_GB2312" w:cs="仿宋_GB2312"/>
                <w:color w:val="000000" w:themeColor="text1"/>
                <w:kern w:val="0"/>
                <w:sz w:val="23"/>
                <w:szCs w:val="23"/>
              </w:rPr>
            </w:pPr>
          </w:p>
        </w:tc>
        <w:tc>
          <w:tcPr>
            <w:tcW w:w="1602" w:type="dxa"/>
            <w:vAlign w:val="center"/>
          </w:tcPr>
          <w:p w14:paraId="12B4BCD6">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广元市朝天区文化旅游和体育局</w:t>
            </w:r>
          </w:p>
        </w:tc>
        <w:tc>
          <w:tcPr>
            <w:tcW w:w="2702" w:type="dxa"/>
            <w:vAlign w:val="center"/>
          </w:tcPr>
          <w:p w14:paraId="429E5EA8">
            <w:pPr>
              <w:spacing w:line="260" w:lineRule="exact"/>
              <w:jc w:val="left"/>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对文化、娱乐场所、公共体育场馆的控烟工作进行监督管理</w:t>
            </w:r>
          </w:p>
        </w:tc>
      </w:tr>
      <w:tr w14:paraId="1B94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9" w:hRule="atLeast"/>
          <w:jc w:val="center"/>
        </w:trPr>
        <w:tc>
          <w:tcPr>
            <w:tcW w:w="580" w:type="dxa"/>
            <w:vMerge w:val="continue"/>
            <w:vAlign w:val="center"/>
          </w:tcPr>
          <w:p w14:paraId="413BDADD">
            <w:pPr>
              <w:spacing w:line="260" w:lineRule="exact"/>
              <w:jc w:val="center"/>
              <w:rPr>
                <w:rFonts w:ascii="仿宋_GB2312" w:hAnsi="仿宋_GB2312" w:eastAsia="仿宋_GB2312" w:cs="仿宋_GB2312"/>
                <w:color w:val="000000" w:themeColor="text1"/>
                <w:kern w:val="0"/>
                <w:sz w:val="23"/>
                <w:szCs w:val="23"/>
              </w:rPr>
            </w:pPr>
          </w:p>
        </w:tc>
        <w:tc>
          <w:tcPr>
            <w:tcW w:w="1519" w:type="dxa"/>
            <w:vMerge w:val="continue"/>
            <w:vAlign w:val="center"/>
          </w:tcPr>
          <w:p w14:paraId="1E6EB22E">
            <w:pPr>
              <w:spacing w:line="260" w:lineRule="exact"/>
              <w:jc w:val="center"/>
              <w:rPr>
                <w:rFonts w:ascii="仿宋_GB2312" w:hAnsi="仿宋_GB2312" w:eastAsia="仿宋_GB2312" w:cs="仿宋_GB2312"/>
                <w:color w:val="000000" w:themeColor="text1"/>
                <w:kern w:val="0"/>
                <w:sz w:val="23"/>
                <w:szCs w:val="23"/>
              </w:rPr>
            </w:pPr>
          </w:p>
        </w:tc>
        <w:tc>
          <w:tcPr>
            <w:tcW w:w="1925" w:type="dxa"/>
            <w:vMerge w:val="continue"/>
            <w:vAlign w:val="center"/>
          </w:tcPr>
          <w:p w14:paraId="473188DA">
            <w:pPr>
              <w:spacing w:line="260" w:lineRule="exact"/>
              <w:jc w:val="center"/>
              <w:rPr>
                <w:rFonts w:ascii="仿宋_GB2312" w:hAnsi="仿宋_GB2312" w:eastAsia="仿宋_GB2312" w:cs="仿宋_GB2312"/>
                <w:color w:val="000000" w:themeColor="text1"/>
                <w:kern w:val="0"/>
                <w:sz w:val="23"/>
                <w:szCs w:val="23"/>
              </w:rPr>
            </w:pPr>
          </w:p>
        </w:tc>
        <w:tc>
          <w:tcPr>
            <w:tcW w:w="1096" w:type="dxa"/>
            <w:vMerge w:val="continue"/>
            <w:vAlign w:val="center"/>
          </w:tcPr>
          <w:p w14:paraId="3800F4A9">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132815F4">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390E747B">
            <w:pPr>
              <w:spacing w:line="260" w:lineRule="exact"/>
              <w:jc w:val="center"/>
              <w:rPr>
                <w:rFonts w:ascii="仿宋_GB2312" w:hAnsi="仿宋_GB2312" w:eastAsia="仿宋_GB2312" w:cs="仿宋_GB2312"/>
                <w:color w:val="000000" w:themeColor="text1"/>
                <w:kern w:val="0"/>
                <w:sz w:val="23"/>
                <w:szCs w:val="23"/>
              </w:rPr>
            </w:pPr>
          </w:p>
        </w:tc>
        <w:tc>
          <w:tcPr>
            <w:tcW w:w="969" w:type="dxa"/>
            <w:vMerge w:val="continue"/>
            <w:vAlign w:val="center"/>
          </w:tcPr>
          <w:p w14:paraId="595A9866">
            <w:pPr>
              <w:spacing w:line="260" w:lineRule="exact"/>
              <w:jc w:val="center"/>
              <w:rPr>
                <w:rFonts w:ascii="仿宋_GB2312" w:hAnsi="仿宋_GB2312" w:eastAsia="仿宋_GB2312" w:cs="仿宋_GB2312"/>
                <w:color w:val="000000" w:themeColor="text1"/>
                <w:kern w:val="0"/>
                <w:sz w:val="23"/>
                <w:szCs w:val="23"/>
              </w:rPr>
            </w:pPr>
          </w:p>
        </w:tc>
        <w:tc>
          <w:tcPr>
            <w:tcW w:w="1944" w:type="dxa"/>
            <w:vMerge w:val="continue"/>
            <w:vAlign w:val="center"/>
          </w:tcPr>
          <w:p w14:paraId="0FB4E3DD">
            <w:pPr>
              <w:spacing w:line="260" w:lineRule="exact"/>
              <w:jc w:val="center"/>
              <w:rPr>
                <w:rFonts w:ascii="仿宋_GB2312" w:hAnsi="仿宋_GB2312" w:eastAsia="仿宋_GB2312" w:cs="仿宋_GB2312"/>
                <w:color w:val="000000" w:themeColor="text1"/>
                <w:kern w:val="0"/>
                <w:sz w:val="23"/>
                <w:szCs w:val="23"/>
              </w:rPr>
            </w:pPr>
          </w:p>
        </w:tc>
        <w:tc>
          <w:tcPr>
            <w:tcW w:w="1602" w:type="dxa"/>
            <w:vAlign w:val="center"/>
          </w:tcPr>
          <w:p w14:paraId="5D07AD3E">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广元市朝天区交通运输局</w:t>
            </w:r>
          </w:p>
        </w:tc>
        <w:tc>
          <w:tcPr>
            <w:tcW w:w="2702" w:type="dxa"/>
            <w:vAlign w:val="center"/>
          </w:tcPr>
          <w:p w14:paraId="66B7B717">
            <w:pPr>
              <w:spacing w:line="260" w:lineRule="exact"/>
              <w:jc w:val="left"/>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对公共交通工具及其有关公共场所的控烟工作进行监督管理</w:t>
            </w:r>
          </w:p>
        </w:tc>
      </w:tr>
      <w:tr w14:paraId="2A3FD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6" w:hRule="atLeast"/>
          <w:jc w:val="center"/>
        </w:trPr>
        <w:tc>
          <w:tcPr>
            <w:tcW w:w="580" w:type="dxa"/>
            <w:vMerge w:val="continue"/>
            <w:vAlign w:val="center"/>
          </w:tcPr>
          <w:p w14:paraId="21609E60">
            <w:pPr>
              <w:spacing w:line="260" w:lineRule="exact"/>
              <w:jc w:val="center"/>
              <w:rPr>
                <w:rFonts w:ascii="仿宋_GB2312" w:hAnsi="仿宋_GB2312" w:eastAsia="仿宋_GB2312" w:cs="仿宋_GB2312"/>
                <w:color w:val="000000" w:themeColor="text1"/>
                <w:kern w:val="0"/>
                <w:sz w:val="23"/>
                <w:szCs w:val="23"/>
              </w:rPr>
            </w:pPr>
          </w:p>
        </w:tc>
        <w:tc>
          <w:tcPr>
            <w:tcW w:w="1519" w:type="dxa"/>
            <w:vMerge w:val="continue"/>
            <w:vAlign w:val="center"/>
          </w:tcPr>
          <w:p w14:paraId="35A967B3">
            <w:pPr>
              <w:spacing w:line="260" w:lineRule="exact"/>
              <w:jc w:val="center"/>
              <w:rPr>
                <w:rFonts w:ascii="仿宋_GB2312" w:hAnsi="仿宋_GB2312" w:eastAsia="仿宋_GB2312" w:cs="仿宋_GB2312"/>
                <w:color w:val="000000" w:themeColor="text1"/>
                <w:kern w:val="0"/>
                <w:sz w:val="23"/>
                <w:szCs w:val="23"/>
              </w:rPr>
            </w:pPr>
          </w:p>
        </w:tc>
        <w:tc>
          <w:tcPr>
            <w:tcW w:w="1925" w:type="dxa"/>
            <w:vMerge w:val="continue"/>
            <w:vAlign w:val="center"/>
          </w:tcPr>
          <w:p w14:paraId="49E237B8">
            <w:pPr>
              <w:spacing w:line="260" w:lineRule="exact"/>
              <w:jc w:val="center"/>
              <w:rPr>
                <w:rFonts w:ascii="仿宋_GB2312" w:hAnsi="仿宋_GB2312" w:eastAsia="仿宋_GB2312" w:cs="仿宋_GB2312"/>
                <w:color w:val="000000" w:themeColor="text1"/>
                <w:kern w:val="0"/>
                <w:sz w:val="23"/>
                <w:szCs w:val="23"/>
              </w:rPr>
            </w:pPr>
          </w:p>
        </w:tc>
        <w:tc>
          <w:tcPr>
            <w:tcW w:w="1096" w:type="dxa"/>
            <w:vMerge w:val="continue"/>
            <w:vAlign w:val="center"/>
          </w:tcPr>
          <w:p w14:paraId="7916FADF">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01E439A5">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6E805FAE">
            <w:pPr>
              <w:spacing w:line="260" w:lineRule="exact"/>
              <w:jc w:val="center"/>
              <w:rPr>
                <w:rFonts w:ascii="仿宋_GB2312" w:hAnsi="仿宋_GB2312" w:eastAsia="仿宋_GB2312" w:cs="仿宋_GB2312"/>
                <w:color w:val="000000" w:themeColor="text1"/>
                <w:kern w:val="0"/>
                <w:sz w:val="23"/>
                <w:szCs w:val="23"/>
              </w:rPr>
            </w:pPr>
          </w:p>
        </w:tc>
        <w:tc>
          <w:tcPr>
            <w:tcW w:w="969" w:type="dxa"/>
            <w:vMerge w:val="continue"/>
            <w:vAlign w:val="center"/>
          </w:tcPr>
          <w:p w14:paraId="20EF25A6">
            <w:pPr>
              <w:spacing w:line="260" w:lineRule="exact"/>
              <w:jc w:val="center"/>
              <w:rPr>
                <w:rFonts w:ascii="仿宋_GB2312" w:hAnsi="仿宋_GB2312" w:eastAsia="仿宋_GB2312" w:cs="仿宋_GB2312"/>
                <w:color w:val="000000" w:themeColor="text1"/>
                <w:kern w:val="0"/>
                <w:sz w:val="23"/>
                <w:szCs w:val="23"/>
              </w:rPr>
            </w:pPr>
          </w:p>
        </w:tc>
        <w:tc>
          <w:tcPr>
            <w:tcW w:w="1944" w:type="dxa"/>
            <w:vMerge w:val="continue"/>
            <w:vAlign w:val="center"/>
          </w:tcPr>
          <w:p w14:paraId="50D16187">
            <w:pPr>
              <w:spacing w:line="260" w:lineRule="exact"/>
              <w:jc w:val="center"/>
              <w:rPr>
                <w:rFonts w:ascii="仿宋_GB2312" w:hAnsi="仿宋_GB2312" w:eastAsia="仿宋_GB2312" w:cs="仿宋_GB2312"/>
                <w:color w:val="000000" w:themeColor="text1"/>
                <w:kern w:val="0"/>
                <w:sz w:val="23"/>
                <w:szCs w:val="23"/>
              </w:rPr>
            </w:pPr>
          </w:p>
        </w:tc>
        <w:tc>
          <w:tcPr>
            <w:tcW w:w="1602" w:type="dxa"/>
            <w:vAlign w:val="center"/>
          </w:tcPr>
          <w:p w14:paraId="49B17A00">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广元市朝天区市场监督</w:t>
            </w:r>
          </w:p>
          <w:p w14:paraId="39C6C3B5">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管理局</w:t>
            </w:r>
          </w:p>
        </w:tc>
        <w:tc>
          <w:tcPr>
            <w:tcW w:w="2702" w:type="dxa"/>
            <w:vAlign w:val="center"/>
          </w:tcPr>
          <w:p w14:paraId="137A588A">
            <w:pPr>
              <w:spacing w:line="260" w:lineRule="exact"/>
              <w:jc w:val="left"/>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对餐饮业经营场所的控烟工作进行监督管理</w:t>
            </w:r>
          </w:p>
        </w:tc>
      </w:tr>
      <w:tr w14:paraId="6FB5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1" w:hRule="atLeast"/>
          <w:jc w:val="center"/>
        </w:trPr>
        <w:tc>
          <w:tcPr>
            <w:tcW w:w="580" w:type="dxa"/>
            <w:vMerge w:val="continue"/>
            <w:vAlign w:val="center"/>
          </w:tcPr>
          <w:p w14:paraId="74ADA219">
            <w:pPr>
              <w:spacing w:line="260" w:lineRule="exact"/>
              <w:jc w:val="center"/>
              <w:rPr>
                <w:rFonts w:ascii="仿宋_GB2312" w:hAnsi="仿宋_GB2312" w:eastAsia="仿宋_GB2312" w:cs="仿宋_GB2312"/>
                <w:color w:val="000000" w:themeColor="text1"/>
                <w:kern w:val="0"/>
                <w:sz w:val="23"/>
                <w:szCs w:val="23"/>
              </w:rPr>
            </w:pPr>
          </w:p>
        </w:tc>
        <w:tc>
          <w:tcPr>
            <w:tcW w:w="1519" w:type="dxa"/>
            <w:vMerge w:val="continue"/>
            <w:vAlign w:val="center"/>
          </w:tcPr>
          <w:p w14:paraId="02D85065">
            <w:pPr>
              <w:spacing w:line="260" w:lineRule="exact"/>
              <w:jc w:val="center"/>
              <w:rPr>
                <w:rFonts w:ascii="仿宋_GB2312" w:hAnsi="仿宋_GB2312" w:eastAsia="仿宋_GB2312" w:cs="仿宋_GB2312"/>
                <w:color w:val="000000" w:themeColor="text1"/>
                <w:kern w:val="0"/>
                <w:sz w:val="23"/>
                <w:szCs w:val="23"/>
              </w:rPr>
            </w:pPr>
          </w:p>
        </w:tc>
        <w:tc>
          <w:tcPr>
            <w:tcW w:w="1925" w:type="dxa"/>
            <w:vMerge w:val="continue"/>
            <w:vAlign w:val="center"/>
          </w:tcPr>
          <w:p w14:paraId="33A3E25F">
            <w:pPr>
              <w:spacing w:line="260" w:lineRule="exact"/>
              <w:jc w:val="center"/>
              <w:rPr>
                <w:rFonts w:ascii="仿宋_GB2312" w:hAnsi="仿宋_GB2312" w:eastAsia="仿宋_GB2312" w:cs="仿宋_GB2312"/>
                <w:color w:val="000000" w:themeColor="text1"/>
                <w:kern w:val="0"/>
                <w:sz w:val="23"/>
                <w:szCs w:val="23"/>
              </w:rPr>
            </w:pPr>
          </w:p>
        </w:tc>
        <w:tc>
          <w:tcPr>
            <w:tcW w:w="1096" w:type="dxa"/>
            <w:vMerge w:val="continue"/>
            <w:vAlign w:val="center"/>
          </w:tcPr>
          <w:p w14:paraId="45ACB66F">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39DD22FB">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16339E6B">
            <w:pPr>
              <w:spacing w:line="260" w:lineRule="exact"/>
              <w:jc w:val="center"/>
              <w:rPr>
                <w:rFonts w:ascii="仿宋_GB2312" w:hAnsi="仿宋_GB2312" w:eastAsia="仿宋_GB2312" w:cs="仿宋_GB2312"/>
                <w:color w:val="000000" w:themeColor="text1"/>
                <w:kern w:val="0"/>
                <w:sz w:val="23"/>
                <w:szCs w:val="23"/>
              </w:rPr>
            </w:pPr>
          </w:p>
        </w:tc>
        <w:tc>
          <w:tcPr>
            <w:tcW w:w="969" w:type="dxa"/>
            <w:vMerge w:val="continue"/>
            <w:vAlign w:val="center"/>
          </w:tcPr>
          <w:p w14:paraId="648D7F12">
            <w:pPr>
              <w:spacing w:line="260" w:lineRule="exact"/>
              <w:jc w:val="center"/>
              <w:rPr>
                <w:rFonts w:ascii="仿宋_GB2312" w:hAnsi="仿宋_GB2312" w:eastAsia="仿宋_GB2312" w:cs="仿宋_GB2312"/>
                <w:color w:val="000000" w:themeColor="text1"/>
                <w:kern w:val="0"/>
                <w:sz w:val="23"/>
                <w:szCs w:val="23"/>
              </w:rPr>
            </w:pPr>
          </w:p>
        </w:tc>
        <w:tc>
          <w:tcPr>
            <w:tcW w:w="1944" w:type="dxa"/>
            <w:vMerge w:val="continue"/>
            <w:vAlign w:val="center"/>
          </w:tcPr>
          <w:p w14:paraId="2A5F2B1A">
            <w:pPr>
              <w:spacing w:line="260" w:lineRule="exact"/>
              <w:jc w:val="center"/>
              <w:rPr>
                <w:rFonts w:ascii="仿宋_GB2312" w:hAnsi="仿宋_GB2312" w:eastAsia="仿宋_GB2312" w:cs="仿宋_GB2312"/>
                <w:color w:val="000000" w:themeColor="text1"/>
                <w:kern w:val="0"/>
                <w:sz w:val="23"/>
                <w:szCs w:val="23"/>
              </w:rPr>
            </w:pPr>
          </w:p>
        </w:tc>
        <w:tc>
          <w:tcPr>
            <w:tcW w:w="1602" w:type="dxa"/>
            <w:vAlign w:val="center"/>
          </w:tcPr>
          <w:p w14:paraId="0F665583">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广元市公安局朝天区分局</w:t>
            </w:r>
          </w:p>
        </w:tc>
        <w:tc>
          <w:tcPr>
            <w:tcW w:w="2702" w:type="dxa"/>
            <w:vAlign w:val="center"/>
          </w:tcPr>
          <w:p w14:paraId="7440AF30">
            <w:pPr>
              <w:spacing w:line="260" w:lineRule="exact"/>
              <w:jc w:val="left"/>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对网吧等互联网上网服务营业场所的控烟工作进行监督管理</w:t>
            </w:r>
          </w:p>
        </w:tc>
      </w:tr>
      <w:tr w14:paraId="4957D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1" w:hRule="atLeast"/>
          <w:jc w:val="center"/>
        </w:trPr>
        <w:tc>
          <w:tcPr>
            <w:tcW w:w="580" w:type="dxa"/>
            <w:vMerge w:val="continue"/>
            <w:vAlign w:val="center"/>
          </w:tcPr>
          <w:p w14:paraId="2F1FC5EF">
            <w:pPr>
              <w:spacing w:line="260" w:lineRule="exact"/>
              <w:jc w:val="center"/>
              <w:rPr>
                <w:rFonts w:ascii="仿宋_GB2312" w:hAnsi="仿宋_GB2312" w:eastAsia="仿宋_GB2312" w:cs="仿宋_GB2312"/>
                <w:color w:val="000000" w:themeColor="text1"/>
                <w:kern w:val="0"/>
                <w:sz w:val="23"/>
                <w:szCs w:val="23"/>
              </w:rPr>
            </w:pPr>
          </w:p>
        </w:tc>
        <w:tc>
          <w:tcPr>
            <w:tcW w:w="1519" w:type="dxa"/>
            <w:vMerge w:val="continue"/>
            <w:vAlign w:val="center"/>
          </w:tcPr>
          <w:p w14:paraId="7297D3D1">
            <w:pPr>
              <w:spacing w:line="260" w:lineRule="exact"/>
              <w:jc w:val="center"/>
              <w:rPr>
                <w:rFonts w:ascii="仿宋_GB2312" w:hAnsi="仿宋_GB2312" w:eastAsia="仿宋_GB2312" w:cs="仿宋_GB2312"/>
                <w:color w:val="000000" w:themeColor="text1"/>
                <w:kern w:val="0"/>
                <w:sz w:val="23"/>
                <w:szCs w:val="23"/>
              </w:rPr>
            </w:pPr>
          </w:p>
        </w:tc>
        <w:tc>
          <w:tcPr>
            <w:tcW w:w="1925" w:type="dxa"/>
            <w:vMerge w:val="continue"/>
            <w:vAlign w:val="center"/>
          </w:tcPr>
          <w:p w14:paraId="084E92EA">
            <w:pPr>
              <w:spacing w:line="260" w:lineRule="exact"/>
              <w:jc w:val="center"/>
              <w:rPr>
                <w:rFonts w:ascii="仿宋_GB2312" w:hAnsi="仿宋_GB2312" w:eastAsia="仿宋_GB2312" w:cs="仿宋_GB2312"/>
                <w:color w:val="000000" w:themeColor="text1"/>
                <w:kern w:val="0"/>
                <w:sz w:val="23"/>
                <w:szCs w:val="23"/>
              </w:rPr>
            </w:pPr>
          </w:p>
        </w:tc>
        <w:tc>
          <w:tcPr>
            <w:tcW w:w="1096" w:type="dxa"/>
            <w:vMerge w:val="continue"/>
            <w:vAlign w:val="center"/>
          </w:tcPr>
          <w:p w14:paraId="52A4D848">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4181E588">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3046AF37">
            <w:pPr>
              <w:spacing w:line="260" w:lineRule="exact"/>
              <w:jc w:val="center"/>
              <w:rPr>
                <w:rFonts w:ascii="仿宋_GB2312" w:hAnsi="仿宋_GB2312" w:eastAsia="仿宋_GB2312" w:cs="仿宋_GB2312"/>
                <w:color w:val="000000" w:themeColor="text1"/>
                <w:kern w:val="0"/>
                <w:sz w:val="23"/>
                <w:szCs w:val="23"/>
              </w:rPr>
            </w:pPr>
          </w:p>
        </w:tc>
        <w:tc>
          <w:tcPr>
            <w:tcW w:w="969" w:type="dxa"/>
            <w:vMerge w:val="continue"/>
            <w:vAlign w:val="center"/>
          </w:tcPr>
          <w:p w14:paraId="72BF883D">
            <w:pPr>
              <w:spacing w:line="260" w:lineRule="exact"/>
              <w:jc w:val="center"/>
              <w:rPr>
                <w:rFonts w:ascii="仿宋_GB2312" w:hAnsi="仿宋_GB2312" w:eastAsia="仿宋_GB2312" w:cs="仿宋_GB2312"/>
                <w:color w:val="000000" w:themeColor="text1"/>
                <w:kern w:val="0"/>
                <w:sz w:val="23"/>
                <w:szCs w:val="23"/>
              </w:rPr>
            </w:pPr>
          </w:p>
        </w:tc>
        <w:tc>
          <w:tcPr>
            <w:tcW w:w="1944" w:type="dxa"/>
            <w:vMerge w:val="continue"/>
            <w:vAlign w:val="center"/>
          </w:tcPr>
          <w:p w14:paraId="666835F2">
            <w:pPr>
              <w:spacing w:line="260" w:lineRule="exact"/>
              <w:jc w:val="center"/>
              <w:rPr>
                <w:rFonts w:ascii="仿宋_GB2312" w:hAnsi="仿宋_GB2312" w:eastAsia="仿宋_GB2312" w:cs="仿宋_GB2312"/>
                <w:color w:val="000000" w:themeColor="text1"/>
                <w:kern w:val="0"/>
                <w:sz w:val="23"/>
                <w:szCs w:val="23"/>
              </w:rPr>
            </w:pPr>
          </w:p>
        </w:tc>
        <w:tc>
          <w:tcPr>
            <w:tcW w:w="1602" w:type="dxa"/>
            <w:vAlign w:val="center"/>
          </w:tcPr>
          <w:p w14:paraId="489F98E0">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w:t>
            </w:r>
          </w:p>
          <w:p w14:paraId="2310C615">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商务局</w:t>
            </w:r>
          </w:p>
        </w:tc>
        <w:tc>
          <w:tcPr>
            <w:tcW w:w="2702" w:type="dxa"/>
            <w:vAlign w:val="center"/>
          </w:tcPr>
          <w:p w14:paraId="433AF25A">
            <w:pPr>
              <w:spacing w:line="260" w:lineRule="exact"/>
              <w:jc w:val="left"/>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对商场、超市等公共场所的控烟工作进行监督管理</w:t>
            </w:r>
          </w:p>
        </w:tc>
      </w:tr>
      <w:tr w14:paraId="591BD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8" w:hRule="atLeast"/>
          <w:jc w:val="center"/>
        </w:trPr>
        <w:tc>
          <w:tcPr>
            <w:tcW w:w="580" w:type="dxa"/>
            <w:vMerge w:val="restart"/>
            <w:vAlign w:val="center"/>
          </w:tcPr>
          <w:p w14:paraId="201C5703">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4</w:t>
            </w:r>
          </w:p>
        </w:tc>
        <w:tc>
          <w:tcPr>
            <w:tcW w:w="1519" w:type="dxa"/>
            <w:vMerge w:val="restart"/>
            <w:vAlign w:val="center"/>
          </w:tcPr>
          <w:p w14:paraId="18D6C5A6">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生活饮用水</w:t>
            </w:r>
          </w:p>
          <w:p w14:paraId="5DD79C3A">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卫生</w:t>
            </w:r>
          </w:p>
        </w:tc>
        <w:tc>
          <w:tcPr>
            <w:tcW w:w="1925" w:type="dxa"/>
            <w:vAlign w:val="center"/>
          </w:tcPr>
          <w:p w14:paraId="2F1CC949">
            <w:pPr>
              <w:jc w:val="center"/>
              <w:rPr>
                <w:rFonts w:hint="eastAsia"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生活饮用水</w:t>
            </w:r>
          </w:p>
          <w:p w14:paraId="261D77E6">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供水单位</w:t>
            </w:r>
          </w:p>
          <w:p w14:paraId="2C4410A2">
            <w:pPr>
              <w:jc w:val="center"/>
              <w:rPr>
                <w:rFonts w:ascii="仿宋_GB2312" w:hAnsi="仿宋_GB2312" w:eastAsia="仿宋_GB2312" w:cs="仿宋_GB2312"/>
                <w:color w:val="000000" w:themeColor="text1"/>
                <w:sz w:val="23"/>
                <w:szCs w:val="23"/>
              </w:rPr>
            </w:pPr>
          </w:p>
          <w:p w14:paraId="06372D1D">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一般</w:t>
            </w:r>
          </w:p>
        </w:tc>
        <w:tc>
          <w:tcPr>
            <w:tcW w:w="1096" w:type="dxa"/>
            <w:vAlign w:val="center"/>
          </w:tcPr>
          <w:p w14:paraId="6EC6DC69">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一般</w:t>
            </w:r>
          </w:p>
        </w:tc>
        <w:tc>
          <w:tcPr>
            <w:tcW w:w="890" w:type="dxa"/>
            <w:vAlign w:val="center"/>
          </w:tcPr>
          <w:p w14:paraId="7B120C6F">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现场</w:t>
            </w:r>
          </w:p>
          <w:p w14:paraId="7BFE2600">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检查</w:t>
            </w:r>
          </w:p>
        </w:tc>
        <w:tc>
          <w:tcPr>
            <w:tcW w:w="890" w:type="dxa"/>
            <w:vAlign w:val="center"/>
          </w:tcPr>
          <w:p w14:paraId="1725C9BB">
            <w:pPr>
              <w:jc w:val="center"/>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日常或专项</w:t>
            </w:r>
          </w:p>
        </w:tc>
        <w:tc>
          <w:tcPr>
            <w:tcW w:w="969" w:type="dxa"/>
            <w:vAlign w:val="center"/>
          </w:tcPr>
          <w:p w14:paraId="7E920514">
            <w:pPr>
              <w:spacing w:line="260" w:lineRule="exact"/>
              <w:jc w:val="center"/>
              <w:textAlignment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广元市朝天区卫生</w:t>
            </w:r>
          </w:p>
          <w:p w14:paraId="11115623">
            <w:pPr>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健康局</w:t>
            </w:r>
          </w:p>
        </w:tc>
        <w:tc>
          <w:tcPr>
            <w:tcW w:w="1944" w:type="dxa"/>
            <w:vAlign w:val="center"/>
          </w:tcPr>
          <w:p w14:paraId="6385CA81">
            <w:pPr>
              <w:jc w:val="left"/>
              <w:rPr>
                <w:rFonts w:hint="eastAsia"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1.</w:t>
            </w:r>
            <w:r>
              <w:rPr>
                <w:rFonts w:ascii="仿宋_GB2312" w:hAnsi="仿宋_GB2312" w:eastAsia="仿宋_GB2312" w:cs="仿宋_GB2312"/>
                <w:color w:val="000000" w:themeColor="text1"/>
                <w:sz w:val="23"/>
                <w:szCs w:val="23"/>
              </w:rPr>
              <w:t>水源卫生防护、水处理</w:t>
            </w:r>
            <w:r>
              <w:rPr>
                <w:rFonts w:hint="eastAsia" w:ascii="仿宋_GB2312" w:hAnsi="仿宋_GB2312" w:eastAsia="仿宋_GB2312" w:cs="仿宋_GB2312"/>
                <w:color w:val="000000" w:themeColor="text1"/>
                <w:sz w:val="23"/>
                <w:szCs w:val="23"/>
                <w:lang w:eastAsia="zh-CN"/>
              </w:rPr>
              <w:t>工艺流程</w:t>
            </w:r>
            <w:r>
              <w:rPr>
                <w:rFonts w:ascii="仿宋_GB2312" w:hAnsi="仿宋_GB2312" w:eastAsia="仿宋_GB2312" w:cs="仿宋_GB2312"/>
                <w:color w:val="000000" w:themeColor="text1"/>
                <w:sz w:val="23"/>
                <w:szCs w:val="23"/>
              </w:rPr>
              <w:t>、水质检测等</w:t>
            </w:r>
          </w:p>
          <w:p w14:paraId="4179F06C">
            <w:pPr>
              <w:jc w:val="left"/>
              <w:rPr>
                <w:rFonts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rPr>
              <w:t>2.涉及生活饮用水卫生安全产品的许可等</w:t>
            </w:r>
          </w:p>
        </w:tc>
        <w:tc>
          <w:tcPr>
            <w:tcW w:w="1602" w:type="dxa"/>
            <w:vAlign w:val="center"/>
          </w:tcPr>
          <w:p w14:paraId="3B87239A">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广元市朝天区水利局</w:t>
            </w:r>
          </w:p>
        </w:tc>
        <w:tc>
          <w:tcPr>
            <w:tcW w:w="2702" w:type="dxa"/>
            <w:vAlign w:val="center"/>
          </w:tcPr>
          <w:p w14:paraId="53070EAB">
            <w:pPr>
              <w:spacing w:line="260" w:lineRule="exact"/>
              <w:jc w:val="left"/>
              <w:rPr>
                <w:rFonts w:ascii="仿宋_GB2312" w:hAnsi="仿宋_GB2312" w:eastAsia="仿宋_GB2312" w:cs="仿宋_GB2312"/>
                <w:color w:val="000000" w:themeColor="text1"/>
                <w:kern w:val="21"/>
                <w:sz w:val="23"/>
                <w:szCs w:val="23"/>
              </w:rPr>
            </w:pPr>
            <w:r>
              <w:rPr>
                <w:rFonts w:hint="eastAsia" w:ascii="仿宋_GB2312" w:hAnsi="仿宋_GB2312" w:eastAsia="仿宋_GB2312" w:cs="仿宋_GB2312"/>
                <w:color w:val="000000" w:themeColor="text1"/>
                <w:kern w:val="0"/>
                <w:sz w:val="23"/>
                <w:szCs w:val="23"/>
              </w:rPr>
              <w:t>供水设施建设与</w:t>
            </w:r>
            <w:r>
              <w:rPr>
                <w:rFonts w:hint="eastAsia" w:ascii="仿宋_GB2312" w:hAnsi="仿宋_GB2312" w:eastAsia="仿宋_GB2312" w:cs="仿宋_GB2312"/>
                <w:color w:val="000000" w:themeColor="text1"/>
                <w:kern w:val="0"/>
                <w:sz w:val="23"/>
                <w:szCs w:val="23"/>
                <w:lang w:eastAsia="zh-CN"/>
              </w:rPr>
              <w:t>管理</w:t>
            </w:r>
            <w:r>
              <w:rPr>
                <w:rFonts w:hint="eastAsia" w:ascii="仿宋_GB2312" w:hAnsi="仿宋_GB2312" w:eastAsia="仿宋_GB2312" w:cs="仿宋_GB2312"/>
                <w:color w:val="000000" w:themeColor="text1"/>
                <w:kern w:val="0"/>
                <w:sz w:val="23"/>
                <w:szCs w:val="23"/>
              </w:rPr>
              <w:t>的检查，</w:t>
            </w:r>
            <w:r>
              <w:rPr>
                <w:rFonts w:hint="eastAsia" w:ascii="仿宋_GB2312" w:hAnsi="仿宋_GB2312" w:eastAsia="仿宋_GB2312" w:cs="仿宋_GB2312"/>
                <w:color w:val="000000" w:themeColor="text1"/>
                <w:kern w:val="21"/>
                <w:sz w:val="23"/>
                <w:szCs w:val="23"/>
              </w:rPr>
              <w:t>节约用水的检查。供水企业生产管理制度及执行情况、人员上岗的资格、水质日常检测工作。</w:t>
            </w:r>
          </w:p>
        </w:tc>
      </w:tr>
      <w:tr w14:paraId="0E89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8" w:hRule="atLeast"/>
          <w:jc w:val="center"/>
        </w:trPr>
        <w:tc>
          <w:tcPr>
            <w:tcW w:w="580" w:type="dxa"/>
            <w:vMerge w:val="continue"/>
            <w:vAlign w:val="center"/>
          </w:tcPr>
          <w:p w14:paraId="7F1DF739">
            <w:pPr>
              <w:jc w:val="center"/>
              <w:rPr>
                <w:rFonts w:hint="eastAsia" w:ascii="仿宋_GB2312" w:hAnsi="仿宋_GB2312" w:eastAsia="仿宋_GB2312" w:cs="仿宋_GB2312"/>
                <w:color w:val="000000" w:themeColor="text1"/>
                <w:sz w:val="23"/>
                <w:szCs w:val="23"/>
              </w:rPr>
            </w:pPr>
          </w:p>
        </w:tc>
        <w:tc>
          <w:tcPr>
            <w:tcW w:w="1519" w:type="dxa"/>
            <w:vMerge w:val="continue"/>
            <w:vAlign w:val="center"/>
          </w:tcPr>
          <w:p w14:paraId="14BBE559">
            <w:pPr>
              <w:jc w:val="center"/>
              <w:rPr>
                <w:rFonts w:hint="eastAsia" w:ascii="仿宋_GB2312" w:hAnsi="仿宋_GB2312" w:eastAsia="仿宋_GB2312" w:cs="仿宋_GB2312"/>
                <w:color w:val="000000" w:themeColor="text1"/>
                <w:sz w:val="23"/>
                <w:szCs w:val="23"/>
              </w:rPr>
            </w:pPr>
          </w:p>
        </w:tc>
        <w:tc>
          <w:tcPr>
            <w:tcW w:w="1925" w:type="dxa"/>
            <w:vAlign w:val="center"/>
          </w:tcPr>
          <w:p w14:paraId="00CC6867">
            <w:pPr>
              <w:jc w:val="center"/>
              <w:rPr>
                <w:rFonts w:hint="eastAsia" w:ascii="仿宋_GB2312" w:hAnsi="仿宋_GB2312" w:eastAsia="仿宋_GB2312" w:cs="仿宋_GB2312"/>
                <w:color w:val="000000" w:themeColor="text1"/>
                <w:sz w:val="23"/>
                <w:szCs w:val="23"/>
                <w:lang w:val="en-US" w:eastAsia="zh-CN"/>
              </w:rPr>
            </w:pPr>
            <w:r>
              <w:rPr>
                <w:rFonts w:hint="eastAsia" w:ascii="仿宋_GB2312" w:hAnsi="仿宋_GB2312" w:eastAsia="仿宋_GB2312" w:cs="仿宋_GB2312"/>
                <w:color w:val="000000" w:themeColor="text1"/>
                <w:sz w:val="23"/>
                <w:szCs w:val="23"/>
                <w:lang w:val="en-US" w:eastAsia="zh-CN"/>
              </w:rPr>
              <w:t>涉及生活饮用水卫生安全产品的经营单位</w:t>
            </w:r>
          </w:p>
          <w:p w14:paraId="63E58EF9">
            <w:pPr>
              <w:jc w:val="center"/>
              <w:rPr>
                <w:rFonts w:hint="eastAsia" w:ascii="仿宋_GB2312" w:hAnsi="仿宋_GB2312" w:eastAsia="仿宋_GB2312" w:cs="仿宋_GB2312"/>
                <w:color w:val="000000" w:themeColor="text1"/>
                <w:sz w:val="23"/>
                <w:szCs w:val="23"/>
                <w:lang w:val="en-US" w:eastAsia="zh-CN"/>
              </w:rPr>
            </w:pPr>
          </w:p>
          <w:p w14:paraId="0A751C2A">
            <w:pPr>
              <w:jc w:val="center"/>
              <w:rPr>
                <w:rFonts w:hint="eastAsia"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lang w:val="en-US" w:eastAsia="zh-CN"/>
              </w:rPr>
              <w:t>一般</w:t>
            </w:r>
          </w:p>
        </w:tc>
        <w:tc>
          <w:tcPr>
            <w:tcW w:w="1096" w:type="dxa"/>
            <w:vAlign w:val="center"/>
          </w:tcPr>
          <w:p w14:paraId="670F6F62">
            <w:pPr>
              <w:jc w:val="center"/>
              <w:rPr>
                <w:rFonts w:hint="eastAsia"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lang w:val="en-US" w:eastAsia="zh-CN"/>
              </w:rPr>
              <w:t>一般</w:t>
            </w:r>
          </w:p>
        </w:tc>
        <w:tc>
          <w:tcPr>
            <w:tcW w:w="890" w:type="dxa"/>
            <w:vAlign w:val="center"/>
          </w:tcPr>
          <w:p w14:paraId="17E7CDE0">
            <w:pPr>
              <w:jc w:val="center"/>
              <w:rPr>
                <w:rFonts w:hint="eastAsia" w:ascii="仿宋_GB2312" w:hAnsi="仿宋_GB2312" w:eastAsia="仿宋_GB2312" w:cs="仿宋_GB2312"/>
                <w:color w:val="000000" w:themeColor="text1"/>
                <w:sz w:val="23"/>
                <w:szCs w:val="23"/>
                <w:lang w:val="en-US" w:eastAsia="zh-CN"/>
              </w:rPr>
            </w:pPr>
            <w:r>
              <w:rPr>
                <w:rFonts w:hint="eastAsia" w:ascii="仿宋_GB2312" w:hAnsi="仿宋_GB2312" w:eastAsia="仿宋_GB2312" w:cs="仿宋_GB2312"/>
                <w:color w:val="000000" w:themeColor="text1"/>
                <w:sz w:val="23"/>
                <w:szCs w:val="23"/>
                <w:lang w:val="en-US" w:eastAsia="zh-CN"/>
              </w:rPr>
              <w:t>现场</w:t>
            </w:r>
          </w:p>
          <w:p w14:paraId="0C4821BD">
            <w:pPr>
              <w:jc w:val="center"/>
              <w:rPr>
                <w:rFonts w:hint="eastAsia"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lang w:val="en-US" w:eastAsia="zh-CN"/>
              </w:rPr>
              <w:t>检查</w:t>
            </w:r>
          </w:p>
        </w:tc>
        <w:tc>
          <w:tcPr>
            <w:tcW w:w="890" w:type="dxa"/>
            <w:vAlign w:val="center"/>
          </w:tcPr>
          <w:p w14:paraId="250B82B6">
            <w:pPr>
              <w:jc w:val="center"/>
              <w:rPr>
                <w:rFonts w:hint="eastAsia" w:ascii="仿宋_GB2312" w:hAnsi="仿宋_GB2312" w:eastAsia="仿宋_GB2312" w:cs="仿宋_GB2312"/>
                <w:color w:val="000000" w:themeColor="text1"/>
                <w:sz w:val="23"/>
                <w:szCs w:val="23"/>
              </w:rPr>
            </w:pPr>
            <w:r>
              <w:rPr>
                <w:rFonts w:hint="eastAsia" w:ascii="仿宋_GB2312" w:hAnsi="仿宋_GB2312" w:eastAsia="仿宋_GB2312" w:cs="仿宋_GB2312"/>
                <w:color w:val="000000" w:themeColor="text1"/>
                <w:sz w:val="23"/>
                <w:szCs w:val="23"/>
                <w:lang w:val="en-US" w:eastAsia="zh-CN"/>
              </w:rPr>
              <w:t>日常或专项</w:t>
            </w:r>
          </w:p>
        </w:tc>
        <w:tc>
          <w:tcPr>
            <w:tcW w:w="969" w:type="dxa"/>
            <w:vAlign w:val="center"/>
          </w:tcPr>
          <w:p w14:paraId="1721A49D">
            <w:pPr>
              <w:jc w:val="both"/>
              <w:rPr>
                <w:rFonts w:hint="eastAsia"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lang w:val="en-US" w:eastAsia="zh-CN"/>
              </w:rPr>
              <w:t>广元市朝天区卫生健康局</w:t>
            </w:r>
          </w:p>
        </w:tc>
        <w:tc>
          <w:tcPr>
            <w:tcW w:w="1944" w:type="dxa"/>
            <w:vAlign w:val="center"/>
          </w:tcPr>
          <w:p w14:paraId="0D155751">
            <w:pPr>
              <w:jc w:val="both"/>
              <w:rPr>
                <w:rFonts w:hint="eastAsia" w:ascii="仿宋_GB2312" w:hAnsi="仿宋_GB2312" w:eastAsia="仿宋_GB2312" w:cs="仿宋_GB2312"/>
                <w:color w:val="000000" w:themeColor="text1"/>
                <w:kern w:val="21"/>
                <w:sz w:val="23"/>
                <w:szCs w:val="23"/>
                <w:lang w:val="en-US" w:eastAsia="zh-CN"/>
              </w:rPr>
            </w:pPr>
            <w:r>
              <w:rPr>
                <w:rFonts w:hint="eastAsia" w:ascii="仿宋_GB2312" w:hAnsi="仿宋_GB2312" w:eastAsia="仿宋_GB2312" w:cs="仿宋_GB2312"/>
                <w:color w:val="000000" w:themeColor="text1"/>
                <w:kern w:val="21"/>
                <w:sz w:val="23"/>
                <w:szCs w:val="23"/>
                <w:lang w:val="en-US" w:eastAsia="zh-CN"/>
              </w:rPr>
              <w:t>在售涉水产品（净水机、自来水管材及管件等）卫生许可批件；涉水产品的说明书中主要技术参数等是否与卫生许可批件相一致;涉水产品标签、说明书是否符合《涉及饮用水安全卫生产品标签说明书管理规范》的要求</w:t>
            </w:r>
          </w:p>
          <w:p w14:paraId="1A6995E4">
            <w:pPr>
              <w:jc w:val="both"/>
              <w:rPr>
                <w:rFonts w:hint="default" w:ascii="仿宋_GB2312" w:hAnsi="仿宋_GB2312" w:eastAsia="仿宋_GB2312" w:cs="仿宋_GB2312"/>
                <w:color w:val="000000" w:themeColor="text1"/>
                <w:kern w:val="21"/>
                <w:sz w:val="23"/>
                <w:szCs w:val="23"/>
                <w:lang w:val="en-US"/>
              </w:rPr>
            </w:pPr>
          </w:p>
          <w:p w14:paraId="267016DD">
            <w:pPr>
              <w:jc w:val="both"/>
              <w:rPr>
                <w:rFonts w:hint="eastAsia" w:ascii="仿宋_GB2312" w:hAnsi="仿宋_GB2312" w:eastAsia="仿宋_GB2312" w:cs="仿宋_GB2312"/>
                <w:color w:val="000000" w:themeColor="text1"/>
                <w:sz w:val="23"/>
                <w:szCs w:val="23"/>
              </w:rPr>
            </w:pPr>
          </w:p>
        </w:tc>
        <w:tc>
          <w:tcPr>
            <w:tcW w:w="1602" w:type="dxa"/>
            <w:vAlign w:val="center"/>
          </w:tcPr>
          <w:p w14:paraId="54DBCEBC">
            <w:pPr>
              <w:spacing w:line="260" w:lineRule="exact"/>
              <w:jc w:val="center"/>
              <w:rPr>
                <w:rFonts w:hint="eastAsia" w:ascii="仿宋_GB2312" w:hAnsi="仿宋_GB2312" w:eastAsia="仿宋_GB2312" w:cs="仿宋_GB2312"/>
                <w:color w:val="000000" w:themeColor="text1"/>
                <w:kern w:val="0"/>
                <w:sz w:val="23"/>
                <w:szCs w:val="23"/>
                <w:lang w:val="en-US" w:eastAsia="zh-CN"/>
              </w:rPr>
            </w:pPr>
            <w:r>
              <w:rPr>
                <w:rFonts w:hint="eastAsia" w:ascii="仿宋_GB2312" w:hAnsi="仿宋_GB2312" w:eastAsia="仿宋_GB2312" w:cs="仿宋_GB2312"/>
                <w:color w:val="000000" w:themeColor="text1"/>
                <w:kern w:val="0"/>
                <w:sz w:val="23"/>
                <w:szCs w:val="23"/>
                <w:lang w:val="en-US" w:eastAsia="zh-CN"/>
              </w:rPr>
              <w:t>广元市朝天区市场监督</w:t>
            </w:r>
          </w:p>
          <w:p w14:paraId="71846923">
            <w:pPr>
              <w:spacing w:line="260" w:lineRule="exact"/>
              <w:jc w:val="center"/>
              <w:rPr>
                <w:rFonts w:hint="eastAsia"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lang w:val="en-US" w:eastAsia="zh-CN"/>
              </w:rPr>
              <w:t>管理局</w:t>
            </w:r>
          </w:p>
        </w:tc>
        <w:tc>
          <w:tcPr>
            <w:tcW w:w="2702" w:type="dxa"/>
            <w:vAlign w:val="center"/>
          </w:tcPr>
          <w:p w14:paraId="144B0BBB">
            <w:pPr>
              <w:spacing w:line="260" w:lineRule="exact"/>
              <w:jc w:val="both"/>
              <w:rPr>
                <w:rFonts w:hint="eastAsia"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对涉及生活饮用水卫生安全产品生产销售单位主体资格的检查</w:t>
            </w:r>
          </w:p>
        </w:tc>
      </w:tr>
      <w:tr w14:paraId="65DB6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1" w:hRule="atLeast"/>
          <w:jc w:val="center"/>
        </w:trPr>
        <w:tc>
          <w:tcPr>
            <w:tcW w:w="580" w:type="dxa"/>
            <w:vAlign w:val="center"/>
          </w:tcPr>
          <w:p w14:paraId="472A8AFC">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5</w:t>
            </w:r>
          </w:p>
        </w:tc>
        <w:tc>
          <w:tcPr>
            <w:tcW w:w="1519" w:type="dxa"/>
            <w:vAlign w:val="center"/>
          </w:tcPr>
          <w:p w14:paraId="3AD8FAED">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学校卫生</w:t>
            </w:r>
          </w:p>
        </w:tc>
        <w:tc>
          <w:tcPr>
            <w:tcW w:w="1925" w:type="dxa"/>
            <w:vAlign w:val="center"/>
          </w:tcPr>
          <w:p w14:paraId="6B6B13F0">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民办学校</w:t>
            </w:r>
          </w:p>
          <w:p w14:paraId="472EF3B2">
            <w:pPr>
              <w:jc w:val="center"/>
              <w:rPr>
                <w:rFonts w:ascii="仿宋_GB2312" w:hAnsi="仿宋_GB2312" w:eastAsia="仿宋_GB2312" w:cs="仿宋_GB2312"/>
                <w:sz w:val="23"/>
                <w:szCs w:val="23"/>
              </w:rPr>
            </w:pPr>
          </w:p>
          <w:p w14:paraId="353783F7">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一般</w:t>
            </w:r>
          </w:p>
        </w:tc>
        <w:tc>
          <w:tcPr>
            <w:tcW w:w="1096" w:type="dxa"/>
            <w:vAlign w:val="center"/>
          </w:tcPr>
          <w:p w14:paraId="1E9FFF1E">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一般</w:t>
            </w:r>
          </w:p>
        </w:tc>
        <w:tc>
          <w:tcPr>
            <w:tcW w:w="890" w:type="dxa"/>
            <w:vAlign w:val="center"/>
          </w:tcPr>
          <w:p w14:paraId="2693B2CF">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现场</w:t>
            </w:r>
          </w:p>
          <w:p w14:paraId="26B9D2F7">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检查</w:t>
            </w:r>
          </w:p>
        </w:tc>
        <w:tc>
          <w:tcPr>
            <w:tcW w:w="890" w:type="dxa"/>
            <w:vAlign w:val="center"/>
          </w:tcPr>
          <w:p w14:paraId="22DFDD0C">
            <w:pPr>
              <w:jc w:val="center"/>
              <w:rPr>
                <w:rFonts w:ascii="仿宋_GB2312" w:hAnsi="仿宋_GB2312" w:eastAsia="仿宋_GB2312" w:cs="仿宋_GB2312"/>
                <w:sz w:val="23"/>
                <w:szCs w:val="23"/>
              </w:rPr>
            </w:pPr>
            <w:r>
              <w:rPr>
                <w:rFonts w:hint="eastAsia" w:ascii="仿宋_GB2312" w:hAnsi="仿宋_GB2312" w:eastAsia="仿宋_GB2312" w:cs="仿宋_GB2312"/>
                <w:sz w:val="23"/>
                <w:szCs w:val="23"/>
              </w:rPr>
              <w:t>日常或专项</w:t>
            </w:r>
          </w:p>
        </w:tc>
        <w:tc>
          <w:tcPr>
            <w:tcW w:w="969" w:type="dxa"/>
            <w:vAlign w:val="center"/>
          </w:tcPr>
          <w:p w14:paraId="301E378E">
            <w:pPr>
              <w:spacing w:line="260" w:lineRule="exact"/>
              <w:jc w:val="center"/>
              <w:textAlignment w:val="center"/>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广元市朝天区卫生</w:t>
            </w:r>
          </w:p>
          <w:p w14:paraId="2D73B05E">
            <w:pPr>
              <w:jc w:val="center"/>
              <w:rPr>
                <w:rFonts w:ascii="仿宋_GB2312" w:hAnsi="仿宋_GB2312" w:eastAsia="仿宋_GB2312" w:cs="仿宋_GB2312"/>
                <w:kern w:val="0"/>
                <w:sz w:val="23"/>
                <w:szCs w:val="23"/>
              </w:rPr>
            </w:pPr>
            <w:r>
              <w:rPr>
                <w:rFonts w:hint="eastAsia" w:ascii="仿宋_GB2312" w:hAnsi="仿宋_GB2312" w:eastAsia="仿宋_GB2312" w:cs="仿宋_GB2312"/>
                <w:kern w:val="0"/>
                <w:sz w:val="23"/>
                <w:szCs w:val="23"/>
              </w:rPr>
              <w:t>健康局</w:t>
            </w:r>
          </w:p>
        </w:tc>
        <w:tc>
          <w:tcPr>
            <w:tcW w:w="1944" w:type="dxa"/>
            <w:vAlign w:val="center"/>
          </w:tcPr>
          <w:p w14:paraId="77D547B7">
            <w:pPr>
              <w:jc w:val="center"/>
              <w:rPr>
                <w:rFonts w:ascii="仿宋_GB2312" w:hAnsi="仿宋_GB2312" w:eastAsia="仿宋_GB2312" w:cs="仿宋_GB2312"/>
                <w:sz w:val="23"/>
                <w:szCs w:val="23"/>
              </w:rPr>
            </w:pPr>
            <w:r>
              <w:rPr>
                <w:rFonts w:hint="eastAsia" w:ascii="仿宋_GB2312" w:hAnsi="仿宋_GB2312" w:eastAsia="仿宋_GB2312" w:cs="仿宋_GB2312"/>
                <w:kern w:val="21"/>
                <w:sz w:val="23"/>
                <w:szCs w:val="23"/>
              </w:rPr>
              <w:t>教学生活环境卫生、传染病防控、饮用水卫生等</w:t>
            </w:r>
          </w:p>
        </w:tc>
        <w:tc>
          <w:tcPr>
            <w:tcW w:w="1602" w:type="dxa"/>
            <w:vAlign w:val="center"/>
          </w:tcPr>
          <w:p w14:paraId="2D9E7A4F">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广元市朝天区教育和</w:t>
            </w:r>
          </w:p>
          <w:p w14:paraId="0280EC28">
            <w:pPr>
              <w:spacing w:line="260" w:lineRule="exact"/>
              <w:jc w:val="center"/>
              <w:rPr>
                <w:rFonts w:ascii="仿宋_GB2312" w:hAnsi="仿宋_GB2312" w:eastAsia="仿宋_GB2312" w:cs="仿宋_GB2312"/>
                <w:kern w:val="0"/>
                <w:sz w:val="23"/>
                <w:szCs w:val="23"/>
              </w:rPr>
            </w:pPr>
            <w:r>
              <w:rPr>
                <w:rFonts w:hint="eastAsia" w:ascii="仿宋_GB2312" w:hAnsi="仿宋_GB2312" w:eastAsia="仿宋_GB2312" w:cs="仿宋_GB2312"/>
                <w:color w:val="000000" w:themeColor="text1"/>
                <w:kern w:val="0"/>
                <w:sz w:val="23"/>
                <w:szCs w:val="23"/>
              </w:rPr>
              <w:t>科学技术局</w:t>
            </w:r>
          </w:p>
        </w:tc>
        <w:tc>
          <w:tcPr>
            <w:tcW w:w="2702" w:type="dxa"/>
            <w:vAlign w:val="center"/>
          </w:tcPr>
          <w:p w14:paraId="3E737B29">
            <w:pPr>
              <w:spacing w:line="260" w:lineRule="exact"/>
              <w:jc w:val="left"/>
              <w:rPr>
                <w:rFonts w:ascii="仿宋_GB2312" w:hAnsi="仿宋_GB2312" w:eastAsia="仿宋_GB2312" w:cs="仿宋_GB2312"/>
                <w:kern w:val="21"/>
                <w:sz w:val="23"/>
                <w:szCs w:val="23"/>
              </w:rPr>
            </w:pPr>
            <w:r>
              <w:rPr>
                <w:rFonts w:hint="eastAsia" w:ascii="仿宋_GB2312" w:hAnsi="仿宋_GB2312" w:eastAsia="仿宋_GB2312" w:cs="仿宋_GB2312"/>
                <w:kern w:val="21"/>
                <w:sz w:val="23"/>
                <w:szCs w:val="23"/>
              </w:rPr>
              <w:t>卫生管理机构的设立、卫生工作是否纳入学校工作计划相关检查</w:t>
            </w:r>
          </w:p>
        </w:tc>
      </w:tr>
      <w:tr w14:paraId="5663C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32" w:hRule="atLeast"/>
          <w:jc w:val="center"/>
        </w:trPr>
        <w:tc>
          <w:tcPr>
            <w:tcW w:w="580" w:type="dxa"/>
            <w:vMerge w:val="restart"/>
            <w:vAlign w:val="center"/>
          </w:tcPr>
          <w:p w14:paraId="5C7D0B82">
            <w:pPr>
              <w:jc w:val="center"/>
              <w:rPr>
                <w:rFonts w:hint="default" w:ascii="仿宋_GB2312" w:hAnsi="仿宋_GB2312" w:eastAsia="仿宋_GB2312" w:cs="仿宋_GB2312"/>
                <w:sz w:val="23"/>
                <w:szCs w:val="23"/>
                <w:lang w:val="en-US" w:eastAsia="zh-CN"/>
              </w:rPr>
            </w:pPr>
            <w:bookmarkStart w:id="0" w:name="OLE_LINK1" w:colFirst="3" w:colLast="6"/>
            <w:r>
              <w:rPr>
                <w:rFonts w:hint="eastAsia" w:ascii="仿宋_GB2312" w:hAnsi="仿宋_GB2312" w:eastAsia="仿宋_GB2312" w:cs="仿宋_GB2312"/>
                <w:sz w:val="23"/>
                <w:szCs w:val="23"/>
                <w:lang w:val="en-US" w:eastAsia="zh-CN"/>
              </w:rPr>
              <w:t>6</w:t>
            </w:r>
          </w:p>
        </w:tc>
        <w:tc>
          <w:tcPr>
            <w:tcW w:w="1519" w:type="dxa"/>
            <w:vMerge w:val="restart"/>
            <w:vAlign w:val="center"/>
          </w:tcPr>
          <w:p w14:paraId="77E9EA08">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消毒卫生</w:t>
            </w:r>
          </w:p>
        </w:tc>
        <w:tc>
          <w:tcPr>
            <w:tcW w:w="1925" w:type="dxa"/>
            <w:vAlign w:val="center"/>
          </w:tcPr>
          <w:p w14:paraId="35282E64">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从事消毒产品生产、经营活动的单位和个人</w:t>
            </w:r>
          </w:p>
          <w:p w14:paraId="7AC6B10B">
            <w:pPr>
              <w:jc w:val="center"/>
              <w:rPr>
                <w:rFonts w:hint="eastAsia" w:ascii="仿宋_GB2312" w:hAnsi="仿宋_GB2312" w:eastAsia="仿宋_GB2312" w:cs="仿宋_GB2312"/>
                <w:sz w:val="23"/>
                <w:szCs w:val="23"/>
                <w:lang w:val="en-US" w:eastAsia="zh-CN"/>
              </w:rPr>
            </w:pPr>
          </w:p>
          <w:p w14:paraId="314ADB44">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一般</w:t>
            </w:r>
          </w:p>
        </w:tc>
        <w:tc>
          <w:tcPr>
            <w:tcW w:w="1096" w:type="dxa"/>
            <w:vAlign w:val="center"/>
          </w:tcPr>
          <w:p w14:paraId="5D60B195">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一般</w:t>
            </w:r>
          </w:p>
        </w:tc>
        <w:tc>
          <w:tcPr>
            <w:tcW w:w="890" w:type="dxa"/>
            <w:vAlign w:val="center"/>
          </w:tcPr>
          <w:p w14:paraId="0F79E3F4">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现场</w:t>
            </w:r>
          </w:p>
          <w:p w14:paraId="7AFFED15">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检查</w:t>
            </w:r>
          </w:p>
        </w:tc>
        <w:tc>
          <w:tcPr>
            <w:tcW w:w="890" w:type="dxa"/>
            <w:vAlign w:val="center"/>
          </w:tcPr>
          <w:p w14:paraId="03E4B378">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日常或专项</w:t>
            </w:r>
          </w:p>
        </w:tc>
        <w:tc>
          <w:tcPr>
            <w:tcW w:w="969" w:type="dxa"/>
            <w:vAlign w:val="center"/>
          </w:tcPr>
          <w:p w14:paraId="33CCF398">
            <w:pPr>
              <w:jc w:val="center"/>
              <w:rPr>
                <w:rFonts w:hint="default" w:ascii="仿宋_GB2312" w:hAnsi="仿宋_GB2312" w:eastAsia="仿宋_GB2312" w:cs="仿宋_GB2312"/>
                <w:kern w:val="0"/>
                <w:sz w:val="23"/>
                <w:szCs w:val="23"/>
                <w:lang w:val="en-US" w:eastAsia="zh-CN"/>
              </w:rPr>
            </w:pPr>
            <w:r>
              <w:rPr>
                <w:rFonts w:hint="eastAsia" w:ascii="仿宋_GB2312" w:hAnsi="仿宋_GB2312" w:eastAsia="仿宋_GB2312" w:cs="仿宋_GB2312"/>
                <w:kern w:val="0"/>
                <w:sz w:val="23"/>
                <w:szCs w:val="23"/>
                <w:lang w:val="en-US" w:eastAsia="zh-CN"/>
              </w:rPr>
              <w:t>广元市朝天区卫生健康局</w:t>
            </w:r>
          </w:p>
        </w:tc>
        <w:tc>
          <w:tcPr>
            <w:tcW w:w="1944" w:type="dxa"/>
            <w:vAlign w:val="center"/>
          </w:tcPr>
          <w:p w14:paraId="48957726">
            <w:pPr>
              <w:jc w:val="left"/>
              <w:rPr>
                <w:rFonts w:hint="eastAsia" w:ascii="仿宋_GB2312" w:hAnsi="仿宋_GB2312" w:eastAsia="仿宋_GB2312" w:cs="仿宋_GB2312"/>
                <w:kern w:val="21"/>
                <w:sz w:val="23"/>
                <w:szCs w:val="23"/>
                <w:lang w:eastAsia="zh-CN"/>
              </w:rPr>
            </w:pPr>
            <w:r>
              <w:rPr>
                <w:rFonts w:hint="eastAsia" w:ascii="仿宋_GB2312" w:hAnsi="仿宋_GB2312" w:eastAsia="仿宋_GB2312" w:cs="仿宋_GB2312"/>
                <w:kern w:val="21"/>
                <w:sz w:val="23"/>
                <w:szCs w:val="23"/>
                <w:lang w:val="en-US" w:eastAsia="zh-CN"/>
              </w:rPr>
              <w:t>1.</w:t>
            </w:r>
            <w:r>
              <w:rPr>
                <w:rFonts w:hint="eastAsia" w:ascii="仿宋_GB2312" w:hAnsi="仿宋_GB2312" w:eastAsia="仿宋_GB2312" w:cs="仿宋_GB2312"/>
                <w:kern w:val="21"/>
                <w:sz w:val="23"/>
                <w:szCs w:val="23"/>
              </w:rPr>
              <w:t>消</w:t>
            </w:r>
            <w:r>
              <w:rPr>
                <w:rFonts w:hint="eastAsia" w:ascii="仿宋_GB2312" w:hAnsi="仿宋_GB2312" w:eastAsia="仿宋_GB2312" w:cs="仿宋_GB2312"/>
                <w:kern w:val="21"/>
                <w:sz w:val="23"/>
                <w:szCs w:val="23"/>
                <w:lang w:eastAsia="zh-CN"/>
              </w:rPr>
              <w:t>毒产品生产企业卫生许可情况及执行国家有关规范、标准和规定情况。</w:t>
            </w:r>
          </w:p>
          <w:p w14:paraId="3F6F075D">
            <w:pPr>
              <w:jc w:val="left"/>
              <w:rPr>
                <w:rFonts w:hint="eastAsia" w:ascii="仿宋_GB2312" w:hAnsi="仿宋_GB2312" w:eastAsia="仿宋_GB2312" w:cs="仿宋_GB2312"/>
                <w:kern w:val="21"/>
                <w:sz w:val="23"/>
                <w:szCs w:val="23"/>
                <w:lang w:eastAsia="zh-CN"/>
              </w:rPr>
            </w:pPr>
            <w:r>
              <w:rPr>
                <w:rFonts w:hint="eastAsia" w:ascii="仿宋_GB2312" w:hAnsi="仿宋_GB2312" w:eastAsia="仿宋_GB2312" w:cs="仿宋_GB2312"/>
                <w:kern w:val="21"/>
                <w:sz w:val="23"/>
                <w:szCs w:val="23"/>
                <w:lang w:val="en-US" w:eastAsia="zh-CN"/>
              </w:rPr>
              <w:t>2.</w:t>
            </w:r>
            <w:r>
              <w:rPr>
                <w:rFonts w:hint="eastAsia" w:ascii="仿宋_GB2312" w:hAnsi="仿宋_GB2312" w:eastAsia="仿宋_GB2312" w:cs="仿宋_GB2312"/>
                <w:kern w:val="21"/>
                <w:sz w:val="23"/>
                <w:szCs w:val="23"/>
                <w:lang w:eastAsia="zh-CN"/>
              </w:rPr>
              <w:t>消毒产品经营单位和个人采购经营消毒产品索证情况。</w:t>
            </w:r>
          </w:p>
          <w:p w14:paraId="36279B79">
            <w:pPr>
              <w:jc w:val="left"/>
              <w:rPr>
                <w:rFonts w:hint="eastAsia" w:ascii="仿宋_GB2312" w:hAnsi="仿宋_GB2312" w:eastAsia="仿宋_GB2312" w:cs="仿宋_GB2312"/>
                <w:kern w:val="21"/>
                <w:sz w:val="23"/>
                <w:szCs w:val="23"/>
              </w:rPr>
            </w:pPr>
          </w:p>
          <w:p w14:paraId="006FF319">
            <w:pPr>
              <w:jc w:val="center"/>
              <w:rPr>
                <w:rFonts w:hint="eastAsia" w:ascii="仿宋_GB2312" w:hAnsi="仿宋_GB2312" w:eastAsia="仿宋_GB2312" w:cs="仿宋_GB2312"/>
                <w:kern w:val="21"/>
                <w:sz w:val="23"/>
                <w:szCs w:val="23"/>
              </w:rPr>
            </w:pPr>
          </w:p>
        </w:tc>
        <w:tc>
          <w:tcPr>
            <w:tcW w:w="1602" w:type="dxa"/>
            <w:vMerge w:val="restart"/>
            <w:vAlign w:val="center"/>
          </w:tcPr>
          <w:p w14:paraId="399851C2">
            <w:pPr>
              <w:spacing w:line="260" w:lineRule="exact"/>
              <w:jc w:val="center"/>
              <w:rPr>
                <w:rFonts w:hint="eastAsia" w:ascii="仿宋_GB2312" w:hAnsi="仿宋_GB2312" w:eastAsia="仿宋_GB2312" w:cs="仿宋_GB2312"/>
                <w:color w:val="000000" w:themeColor="text1"/>
                <w:kern w:val="0"/>
                <w:sz w:val="23"/>
                <w:szCs w:val="23"/>
                <w:lang w:val="en-US" w:eastAsia="zh-CN"/>
              </w:rPr>
            </w:pPr>
            <w:r>
              <w:rPr>
                <w:rFonts w:hint="eastAsia" w:ascii="仿宋_GB2312" w:hAnsi="仿宋_GB2312" w:eastAsia="仿宋_GB2312" w:cs="仿宋_GB2312"/>
                <w:color w:val="000000" w:themeColor="text1"/>
                <w:kern w:val="0"/>
                <w:sz w:val="23"/>
                <w:szCs w:val="23"/>
                <w:lang w:val="en-US" w:eastAsia="zh-CN"/>
              </w:rPr>
              <w:t>广元市朝天区市场监督</w:t>
            </w:r>
          </w:p>
          <w:p w14:paraId="44E9871D">
            <w:pPr>
              <w:spacing w:line="260" w:lineRule="exact"/>
              <w:jc w:val="center"/>
              <w:rPr>
                <w:rFonts w:hint="default" w:ascii="仿宋_GB2312" w:hAnsi="仿宋_GB2312" w:eastAsia="仿宋_GB2312" w:cs="仿宋_GB2312"/>
                <w:color w:val="000000" w:themeColor="text1"/>
                <w:kern w:val="0"/>
                <w:sz w:val="23"/>
                <w:szCs w:val="23"/>
                <w:lang w:val="en-US" w:eastAsia="zh-CN"/>
              </w:rPr>
            </w:pPr>
            <w:r>
              <w:rPr>
                <w:rFonts w:hint="eastAsia" w:ascii="仿宋_GB2312" w:hAnsi="仿宋_GB2312" w:eastAsia="仿宋_GB2312" w:cs="仿宋_GB2312"/>
                <w:color w:val="000000" w:themeColor="text1"/>
                <w:kern w:val="0"/>
                <w:sz w:val="23"/>
                <w:szCs w:val="23"/>
                <w:lang w:val="en-US" w:eastAsia="zh-CN"/>
              </w:rPr>
              <w:t>管理局</w:t>
            </w:r>
          </w:p>
        </w:tc>
        <w:tc>
          <w:tcPr>
            <w:tcW w:w="2702" w:type="dxa"/>
            <w:vMerge w:val="restart"/>
            <w:vAlign w:val="center"/>
          </w:tcPr>
          <w:p w14:paraId="2F888C8B">
            <w:pPr>
              <w:spacing w:line="260" w:lineRule="exact"/>
              <w:jc w:val="left"/>
              <w:rPr>
                <w:rFonts w:hint="default" w:ascii="仿宋_GB2312" w:hAnsi="仿宋_GB2312" w:eastAsia="仿宋_GB2312" w:cs="仿宋_GB2312"/>
                <w:color w:val="FF0000"/>
                <w:kern w:val="0"/>
                <w:sz w:val="23"/>
                <w:szCs w:val="23"/>
                <w:lang w:val="en-US" w:eastAsia="zh-CN"/>
              </w:rPr>
            </w:pPr>
            <w:r>
              <w:rPr>
                <w:rFonts w:hint="eastAsia" w:ascii="仿宋_GB2312" w:hAnsi="仿宋_GB2312" w:eastAsia="仿宋_GB2312" w:cs="仿宋_GB2312"/>
                <w:color w:val="000000" w:themeColor="text1"/>
                <w:kern w:val="0"/>
                <w:sz w:val="23"/>
                <w:szCs w:val="23"/>
                <w:lang w:val="en-US" w:eastAsia="zh-CN"/>
              </w:rPr>
              <w:t>对生产经营单位和服务机构主体资格的检查</w:t>
            </w:r>
          </w:p>
        </w:tc>
      </w:tr>
      <w:bookmarkEnd w:id="0"/>
      <w:tr w14:paraId="7BBF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0" w:hRule="atLeast"/>
          <w:jc w:val="center"/>
        </w:trPr>
        <w:tc>
          <w:tcPr>
            <w:tcW w:w="580" w:type="dxa"/>
            <w:vMerge w:val="continue"/>
            <w:vAlign w:val="center"/>
          </w:tcPr>
          <w:p w14:paraId="253FEE13">
            <w:pPr>
              <w:jc w:val="center"/>
              <w:rPr>
                <w:rFonts w:hint="eastAsia" w:ascii="仿宋_GB2312" w:hAnsi="仿宋_GB2312" w:eastAsia="仿宋_GB2312" w:cs="仿宋_GB2312"/>
                <w:sz w:val="23"/>
                <w:szCs w:val="23"/>
                <w:lang w:val="en-US" w:eastAsia="zh-CN"/>
              </w:rPr>
            </w:pPr>
          </w:p>
        </w:tc>
        <w:tc>
          <w:tcPr>
            <w:tcW w:w="1519" w:type="dxa"/>
            <w:vMerge w:val="continue"/>
            <w:vAlign w:val="center"/>
          </w:tcPr>
          <w:p w14:paraId="0AE9B5BC">
            <w:pPr>
              <w:jc w:val="center"/>
              <w:rPr>
                <w:rFonts w:hint="eastAsia" w:ascii="仿宋_GB2312" w:hAnsi="仿宋_GB2312" w:eastAsia="仿宋_GB2312" w:cs="仿宋_GB2312"/>
                <w:sz w:val="23"/>
                <w:szCs w:val="23"/>
                <w:lang w:val="en-US" w:eastAsia="zh-CN"/>
              </w:rPr>
            </w:pPr>
          </w:p>
        </w:tc>
        <w:tc>
          <w:tcPr>
            <w:tcW w:w="1925" w:type="dxa"/>
            <w:vAlign w:val="center"/>
          </w:tcPr>
          <w:p w14:paraId="392C84E2">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消毒服务机构</w:t>
            </w:r>
          </w:p>
        </w:tc>
        <w:tc>
          <w:tcPr>
            <w:tcW w:w="1096" w:type="dxa"/>
            <w:vAlign w:val="center"/>
          </w:tcPr>
          <w:p w14:paraId="41E228BD">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一般</w:t>
            </w:r>
          </w:p>
        </w:tc>
        <w:tc>
          <w:tcPr>
            <w:tcW w:w="890" w:type="dxa"/>
            <w:vAlign w:val="center"/>
          </w:tcPr>
          <w:p w14:paraId="5F432759">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现场</w:t>
            </w:r>
          </w:p>
          <w:p w14:paraId="6E7597F7">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检查</w:t>
            </w:r>
          </w:p>
        </w:tc>
        <w:tc>
          <w:tcPr>
            <w:tcW w:w="890" w:type="dxa"/>
            <w:vAlign w:val="center"/>
          </w:tcPr>
          <w:p w14:paraId="3CF4746E">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日常或专项</w:t>
            </w:r>
          </w:p>
        </w:tc>
        <w:tc>
          <w:tcPr>
            <w:tcW w:w="969" w:type="dxa"/>
            <w:vAlign w:val="center"/>
          </w:tcPr>
          <w:p w14:paraId="1DF5F33B">
            <w:pPr>
              <w:jc w:val="center"/>
              <w:rPr>
                <w:rFonts w:hint="eastAsia" w:ascii="仿宋_GB2312" w:hAnsi="仿宋_GB2312" w:eastAsia="仿宋_GB2312" w:cs="仿宋_GB2312"/>
                <w:kern w:val="0"/>
                <w:sz w:val="23"/>
                <w:szCs w:val="23"/>
                <w:lang w:val="en-US" w:eastAsia="zh-CN"/>
              </w:rPr>
            </w:pPr>
            <w:r>
              <w:rPr>
                <w:rFonts w:hint="eastAsia" w:ascii="仿宋_GB2312" w:hAnsi="仿宋_GB2312" w:eastAsia="仿宋_GB2312" w:cs="仿宋_GB2312"/>
                <w:kern w:val="0"/>
                <w:sz w:val="23"/>
                <w:szCs w:val="23"/>
                <w:lang w:val="en-US" w:eastAsia="zh-CN"/>
              </w:rPr>
              <w:t>广元市朝天区卫生健康局</w:t>
            </w:r>
          </w:p>
        </w:tc>
        <w:tc>
          <w:tcPr>
            <w:tcW w:w="1944" w:type="dxa"/>
            <w:vAlign w:val="top"/>
          </w:tcPr>
          <w:p w14:paraId="01F24E91">
            <w:pPr>
              <w:jc w:val="both"/>
              <w:rPr>
                <w:rFonts w:hint="eastAsia" w:ascii="仿宋_GB2312" w:hAnsi="仿宋_GB2312" w:eastAsia="仿宋_GB2312" w:cs="仿宋_GB2312"/>
                <w:kern w:val="21"/>
                <w:sz w:val="23"/>
                <w:szCs w:val="23"/>
              </w:rPr>
            </w:pPr>
            <w:r>
              <w:rPr>
                <w:rFonts w:hint="eastAsia" w:ascii="仿宋_GB2312" w:hAnsi="仿宋_GB2312" w:eastAsia="仿宋_GB2312" w:cs="仿宋_GB2312"/>
                <w:kern w:val="21"/>
                <w:sz w:val="23"/>
                <w:szCs w:val="23"/>
                <w:lang w:val="en-US" w:eastAsia="zh-CN"/>
              </w:rPr>
              <w:t>1.</w:t>
            </w:r>
            <w:r>
              <w:rPr>
                <w:rFonts w:hint="eastAsia" w:ascii="仿宋_GB2312" w:hAnsi="仿宋_GB2312" w:eastAsia="仿宋_GB2312" w:cs="仿宋_GB2312"/>
                <w:kern w:val="21"/>
                <w:sz w:val="23"/>
                <w:szCs w:val="23"/>
                <w:lang w:eastAsia="zh-CN"/>
              </w:rPr>
              <w:t>消毒与灭菌工艺流程和工作环境执行国家有关规范、标准和规定情况； </w:t>
            </w:r>
            <w:r>
              <w:rPr>
                <w:rFonts w:hint="eastAsia" w:ascii="仿宋_GB2312" w:hAnsi="仿宋_GB2312" w:eastAsia="仿宋_GB2312" w:cs="仿宋_GB2312"/>
                <w:kern w:val="21"/>
                <w:sz w:val="23"/>
                <w:szCs w:val="23"/>
                <w:lang w:eastAsia="zh-CN"/>
              </w:rPr>
              <w:br w:type="textWrapping"/>
            </w:r>
            <w:r>
              <w:rPr>
                <w:rFonts w:hint="eastAsia" w:ascii="仿宋_GB2312" w:hAnsi="仿宋_GB2312" w:eastAsia="仿宋_GB2312" w:cs="仿宋_GB2312"/>
                <w:kern w:val="21"/>
                <w:sz w:val="23"/>
                <w:szCs w:val="23"/>
                <w:lang w:val="en-US" w:eastAsia="zh-CN"/>
              </w:rPr>
              <w:t>2.</w:t>
            </w:r>
            <w:r>
              <w:rPr>
                <w:rFonts w:hint="eastAsia" w:ascii="仿宋_GB2312" w:hAnsi="仿宋_GB2312" w:eastAsia="仿宋_GB2312" w:cs="仿宋_GB2312"/>
                <w:kern w:val="21"/>
                <w:sz w:val="23"/>
                <w:szCs w:val="23"/>
                <w:lang w:eastAsia="zh-CN"/>
              </w:rPr>
              <w:t>购置和使用消毒产品情况。 </w:t>
            </w:r>
          </w:p>
        </w:tc>
        <w:tc>
          <w:tcPr>
            <w:tcW w:w="1602" w:type="dxa"/>
            <w:vMerge w:val="continue"/>
            <w:vAlign w:val="center"/>
          </w:tcPr>
          <w:p w14:paraId="51E8381A">
            <w:pPr>
              <w:spacing w:line="260" w:lineRule="exact"/>
              <w:jc w:val="center"/>
              <w:rPr>
                <w:rFonts w:hint="eastAsia" w:ascii="仿宋_GB2312" w:hAnsi="仿宋_GB2312" w:eastAsia="仿宋_GB2312" w:cs="仿宋_GB2312"/>
                <w:color w:val="000000" w:themeColor="text1"/>
                <w:kern w:val="0"/>
                <w:sz w:val="23"/>
                <w:szCs w:val="23"/>
                <w:lang w:val="en-US" w:eastAsia="zh-CN"/>
              </w:rPr>
            </w:pPr>
          </w:p>
        </w:tc>
        <w:tc>
          <w:tcPr>
            <w:tcW w:w="2702" w:type="dxa"/>
            <w:vMerge w:val="continue"/>
            <w:vAlign w:val="center"/>
          </w:tcPr>
          <w:p w14:paraId="54A759B9">
            <w:pPr>
              <w:spacing w:line="260" w:lineRule="exact"/>
              <w:jc w:val="left"/>
              <w:rPr>
                <w:rFonts w:hint="eastAsia" w:ascii="仿宋_GB2312" w:hAnsi="仿宋_GB2312" w:eastAsia="仿宋_GB2312" w:cs="仿宋_GB2312"/>
                <w:color w:val="000000" w:themeColor="text1"/>
                <w:kern w:val="0"/>
                <w:sz w:val="23"/>
                <w:szCs w:val="23"/>
                <w:lang w:val="en-US" w:eastAsia="zh-CN"/>
              </w:rPr>
            </w:pPr>
          </w:p>
        </w:tc>
      </w:tr>
      <w:tr w14:paraId="467F8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65" w:hRule="atLeast"/>
          <w:jc w:val="center"/>
        </w:trPr>
        <w:tc>
          <w:tcPr>
            <w:tcW w:w="580" w:type="dxa"/>
            <w:vAlign w:val="center"/>
          </w:tcPr>
          <w:p w14:paraId="45D10C14">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7</w:t>
            </w:r>
          </w:p>
        </w:tc>
        <w:tc>
          <w:tcPr>
            <w:tcW w:w="1519" w:type="dxa"/>
            <w:vAlign w:val="center"/>
          </w:tcPr>
          <w:p w14:paraId="19F401FF">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传染病防治</w:t>
            </w:r>
          </w:p>
          <w:p w14:paraId="7BF90B0D">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卫生</w:t>
            </w:r>
          </w:p>
        </w:tc>
        <w:tc>
          <w:tcPr>
            <w:tcW w:w="1925" w:type="dxa"/>
            <w:vAlign w:val="center"/>
          </w:tcPr>
          <w:p w14:paraId="0DC5F2C7">
            <w:pPr>
              <w:jc w:val="both"/>
              <w:rPr>
                <w:rFonts w:hint="eastAsia" w:ascii="仿宋_GB2312" w:hAnsi="仿宋_GB2312" w:eastAsia="仿宋_GB2312" w:cs="仿宋_GB2312"/>
                <w:kern w:val="21"/>
                <w:sz w:val="23"/>
                <w:szCs w:val="23"/>
                <w:lang w:val="en-US" w:eastAsia="zh-CN"/>
              </w:rPr>
            </w:pPr>
            <w:r>
              <w:rPr>
                <w:rFonts w:hint="eastAsia" w:ascii="仿宋_GB2312" w:hAnsi="仿宋_GB2312" w:eastAsia="仿宋_GB2312" w:cs="仿宋_GB2312"/>
                <w:kern w:val="21"/>
                <w:sz w:val="23"/>
                <w:szCs w:val="23"/>
                <w:lang w:val="en-US" w:eastAsia="zh-CN"/>
              </w:rPr>
              <w:t>本行政区域内与传染病防治相关的单位和个人</w:t>
            </w:r>
          </w:p>
          <w:p w14:paraId="5DE60E50">
            <w:pPr>
              <w:jc w:val="both"/>
              <w:rPr>
                <w:rFonts w:hint="default" w:ascii="仿宋_GB2312" w:hAnsi="仿宋_GB2312" w:eastAsia="仿宋_GB2312" w:cs="仿宋_GB2312"/>
                <w:sz w:val="23"/>
                <w:szCs w:val="23"/>
                <w:lang w:val="en-US" w:eastAsia="zh-CN"/>
              </w:rPr>
            </w:pPr>
          </w:p>
          <w:p w14:paraId="1BF16880">
            <w:pPr>
              <w:jc w:val="both"/>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一般</w:t>
            </w:r>
          </w:p>
        </w:tc>
        <w:tc>
          <w:tcPr>
            <w:tcW w:w="1096" w:type="dxa"/>
            <w:vAlign w:val="center"/>
          </w:tcPr>
          <w:p w14:paraId="38485D92">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一般</w:t>
            </w:r>
          </w:p>
        </w:tc>
        <w:tc>
          <w:tcPr>
            <w:tcW w:w="890" w:type="dxa"/>
            <w:vAlign w:val="center"/>
          </w:tcPr>
          <w:p w14:paraId="52D84185">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现场</w:t>
            </w:r>
          </w:p>
          <w:p w14:paraId="466302D0">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检查</w:t>
            </w:r>
          </w:p>
        </w:tc>
        <w:tc>
          <w:tcPr>
            <w:tcW w:w="890" w:type="dxa"/>
            <w:vAlign w:val="center"/>
          </w:tcPr>
          <w:p w14:paraId="1ADE966B">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日常或专项</w:t>
            </w:r>
          </w:p>
        </w:tc>
        <w:tc>
          <w:tcPr>
            <w:tcW w:w="969" w:type="dxa"/>
            <w:vAlign w:val="center"/>
          </w:tcPr>
          <w:p w14:paraId="4BA83DDB">
            <w:pPr>
              <w:jc w:val="center"/>
              <w:rPr>
                <w:rFonts w:hint="default" w:ascii="仿宋_GB2312" w:hAnsi="仿宋_GB2312" w:eastAsia="仿宋_GB2312" w:cs="仿宋_GB2312"/>
                <w:kern w:val="0"/>
                <w:sz w:val="23"/>
                <w:szCs w:val="23"/>
                <w:lang w:val="en-US" w:eastAsia="zh-CN"/>
              </w:rPr>
            </w:pPr>
            <w:r>
              <w:rPr>
                <w:rFonts w:hint="eastAsia" w:ascii="仿宋_GB2312" w:hAnsi="仿宋_GB2312" w:eastAsia="仿宋_GB2312" w:cs="仿宋_GB2312"/>
                <w:kern w:val="0"/>
                <w:sz w:val="23"/>
                <w:szCs w:val="23"/>
                <w:lang w:val="en-US" w:eastAsia="zh-CN"/>
              </w:rPr>
              <w:t>广元市朝天区卫生健康局</w:t>
            </w:r>
          </w:p>
        </w:tc>
        <w:tc>
          <w:tcPr>
            <w:tcW w:w="1944" w:type="dxa"/>
            <w:vAlign w:val="center"/>
          </w:tcPr>
          <w:p w14:paraId="484DE351">
            <w:pPr>
              <w:pStyle w:val="7"/>
              <w:keepNext w:val="0"/>
              <w:keepLines w:val="0"/>
              <w:widowControl/>
              <w:suppressLineNumbers w:val="0"/>
              <w:shd w:val="clear" w:fill="FFFFFF"/>
              <w:wordWrap w:val="0"/>
              <w:rPr>
                <w:rFonts w:hint="eastAsia" w:ascii="仿宋_GB2312" w:hAnsi="仿宋_GB2312" w:eastAsia="仿宋_GB2312" w:cs="仿宋_GB2312"/>
                <w:kern w:val="21"/>
                <w:sz w:val="23"/>
                <w:szCs w:val="23"/>
                <w:lang w:val="en-US" w:eastAsia="zh-CN" w:bidi="ar-SA"/>
              </w:rPr>
            </w:pPr>
            <w:r>
              <w:rPr>
                <w:rFonts w:hint="eastAsia" w:ascii="仿宋_GB2312" w:hAnsi="仿宋_GB2312" w:eastAsia="仿宋_GB2312" w:cs="仿宋_GB2312"/>
                <w:kern w:val="21"/>
                <w:sz w:val="23"/>
                <w:szCs w:val="23"/>
                <w:lang w:val="en-US" w:eastAsia="zh-CN" w:bidi="ar-SA"/>
              </w:rPr>
              <w:t>1.对相关单位和个人履行传染病防治职责进行监督检查；2.对疾病预防控制机构、医疗机构的传染病防治工作进行监督检查；3.对采供血机构的采供血活动进行监督检查；4.对用于传染病防治的消毒产品及其生产单位进行监督检查，并对饮用水供水单位从事生产或者供应活动以及涉及饮用水卫生安全的产品进行监督检查；5对传染病菌种、毒种和传染病检测样本的采集、保藏、携带、运输、使用进行监督检查；6.对公共场所和有关单位的卫生条件和传染病预防、控制措施进行监督检查。</w:t>
            </w:r>
          </w:p>
          <w:p w14:paraId="49CD25D9">
            <w:pPr>
              <w:jc w:val="both"/>
              <w:rPr>
                <w:rFonts w:hint="default" w:ascii="仿宋_GB2312" w:hAnsi="仿宋_GB2312" w:eastAsia="仿宋_GB2312" w:cs="仿宋_GB2312"/>
                <w:kern w:val="21"/>
                <w:sz w:val="23"/>
                <w:szCs w:val="23"/>
                <w:lang w:val="en-US" w:eastAsia="zh-CN"/>
              </w:rPr>
            </w:pPr>
          </w:p>
        </w:tc>
        <w:tc>
          <w:tcPr>
            <w:tcW w:w="1602" w:type="dxa"/>
            <w:vAlign w:val="center"/>
          </w:tcPr>
          <w:p w14:paraId="382E35D0">
            <w:pPr>
              <w:spacing w:line="260" w:lineRule="exact"/>
              <w:jc w:val="center"/>
              <w:rPr>
                <w:rFonts w:hint="default" w:ascii="仿宋_GB2312" w:hAnsi="仿宋_GB2312" w:eastAsia="仿宋_GB2312" w:cs="仿宋_GB2312"/>
                <w:color w:val="000000" w:themeColor="text1"/>
                <w:kern w:val="0"/>
                <w:sz w:val="23"/>
                <w:szCs w:val="23"/>
                <w:lang w:val="en-US" w:eastAsia="zh-CN"/>
              </w:rPr>
            </w:pPr>
            <w:r>
              <w:rPr>
                <w:rFonts w:hint="eastAsia" w:ascii="仿宋_GB2312" w:hAnsi="仿宋_GB2312" w:eastAsia="仿宋_GB2312" w:cs="仿宋_GB2312"/>
                <w:color w:val="000000" w:themeColor="text1"/>
                <w:kern w:val="0"/>
                <w:sz w:val="23"/>
                <w:szCs w:val="23"/>
                <w:lang w:val="en-US" w:eastAsia="zh-CN"/>
              </w:rPr>
              <w:t>无</w:t>
            </w:r>
          </w:p>
        </w:tc>
        <w:tc>
          <w:tcPr>
            <w:tcW w:w="2702" w:type="dxa"/>
            <w:vAlign w:val="center"/>
          </w:tcPr>
          <w:p w14:paraId="4D5BB1E7">
            <w:pPr>
              <w:spacing w:line="260" w:lineRule="exact"/>
              <w:jc w:val="left"/>
              <w:rPr>
                <w:rFonts w:hint="eastAsia" w:ascii="仿宋_GB2312" w:hAnsi="仿宋_GB2312" w:eastAsia="仿宋_GB2312" w:cs="仿宋_GB2312"/>
                <w:color w:val="FF0000"/>
                <w:kern w:val="0"/>
                <w:sz w:val="23"/>
                <w:szCs w:val="23"/>
              </w:rPr>
            </w:pPr>
          </w:p>
        </w:tc>
      </w:tr>
    </w:tbl>
    <w:p w14:paraId="76C32F20">
      <w:pPr>
        <w:pStyle w:val="14"/>
        <w:rPr>
          <w:rFonts w:hint="eastAsia" w:ascii="黑体" w:hAnsi="黑体" w:eastAsia="黑体" w:cs="黑体"/>
          <w:b w:val="0"/>
          <w:color w:val="auto"/>
          <w:sz w:val="32"/>
          <w:szCs w:val="32"/>
        </w:rPr>
      </w:pPr>
    </w:p>
    <w:p w14:paraId="38F522DC">
      <w:pPr>
        <w:pStyle w:val="14"/>
        <w:rPr>
          <w:rFonts w:ascii="方正小标宋简体" w:eastAsia="方正小标宋简体"/>
          <w:b w:val="0"/>
          <w:color w:val="auto"/>
          <w:sz w:val="44"/>
          <w:szCs w:val="44"/>
        </w:rPr>
      </w:pPr>
      <w:r>
        <w:rPr>
          <w:rFonts w:hint="eastAsia" w:ascii="黑体" w:hAnsi="黑体" w:eastAsia="黑体" w:cs="黑体"/>
          <w:b w:val="0"/>
          <w:color w:val="auto"/>
          <w:sz w:val="32"/>
          <w:szCs w:val="32"/>
        </w:rPr>
        <w:t>附件2</w:t>
      </w:r>
    </w:p>
    <w:p w14:paraId="040B583F">
      <w:pPr>
        <w:pStyle w:val="14"/>
        <w:jc w:val="center"/>
        <w:rPr>
          <w:rFonts w:ascii="方正小标宋简体" w:eastAsia="方正小标宋简体"/>
          <w:b w:val="0"/>
          <w:color w:val="auto"/>
          <w:sz w:val="44"/>
          <w:szCs w:val="44"/>
        </w:rPr>
      </w:pPr>
      <w:r>
        <w:rPr>
          <w:rFonts w:hint="eastAsia" w:ascii="方正小标宋简体" w:eastAsia="方正小标宋简体"/>
          <w:b w:val="0"/>
          <w:color w:val="auto"/>
          <w:sz w:val="44"/>
          <w:szCs w:val="44"/>
        </w:rPr>
        <w:t>广元市朝天区卫生健康局2025年涉企行政执法检查计划</w:t>
      </w:r>
    </w:p>
    <w:tbl>
      <w:tblPr>
        <w:tblStyle w:val="8"/>
        <w:tblW w:w="15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0"/>
        <w:gridCol w:w="1519"/>
        <w:gridCol w:w="1216"/>
        <w:gridCol w:w="709"/>
        <w:gridCol w:w="1096"/>
        <w:gridCol w:w="890"/>
        <w:gridCol w:w="890"/>
        <w:gridCol w:w="968"/>
        <w:gridCol w:w="969"/>
        <w:gridCol w:w="1944"/>
        <w:gridCol w:w="1602"/>
        <w:gridCol w:w="2702"/>
      </w:tblGrid>
      <w:tr w14:paraId="5D4DA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Header/>
          <w:jc w:val="center"/>
        </w:trPr>
        <w:tc>
          <w:tcPr>
            <w:tcW w:w="580" w:type="dxa"/>
            <w:vAlign w:val="center"/>
          </w:tcPr>
          <w:p w14:paraId="45704646">
            <w:pPr>
              <w:spacing w:line="260" w:lineRule="exact"/>
              <w:jc w:val="center"/>
              <w:rPr>
                <w:rFonts w:ascii="黑体" w:eastAsia="黑体" w:cs="黑体"/>
                <w:sz w:val="22"/>
                <w:szCs w:val="22"/>
              </w:rPr>
            </w:pPr>
            <w:r>
              <w:rPr>
                <w:rFonts w:hint="eastAsia" w:ascii="黑体" w:eastAsia="黑体" w:cs="黑体"/>
                <w:kern w:val="0"/>
                <w:sz w:val="22"/>
                <w:szCs w:val="22"/>
              </w:rPr>
              <w:t>序号</w:t>
            </w:r>
          </w:p>
        </w:tc>
        <w:tc>
          <w:tcPr>
            <w:tcW w:w="1519" w:type="dxa"/>
            <w:vAlign w:val="center"/>
          </w:tcPr>
          <w:p w14:paraId="1C6D9AA1">
            <w:pPr>
              <w:spacing w:line="280" w:lineRule="exact"/>
              <w:jc w:val="center"/>
              <w:textAlignment w:val="center"/>
              <w:rPr>
                <w:rFonts w:ascii="黑体" w:eastAsia="黑体" w:cs="黑体"/>
                <w:sz w:val="22"/>
                <w:szCs w:val="22"/>
              </w:rPr>
            </w:pPr>
            <w:r>
              <w:rPr>
                <w:rFonts w:hint="eastAsia" w:ascii="黑体" w:eastAsia="黑体" w:cs="黑体"/>
                <w:sz w:val="22"/>
                <w:szCs w:val="22"/>
              </w:rPr>
              <w:t>检查事项</w:t>
            </w:r>
          </w:p>
        </w:tc>
        <w:tc>
          <w:tcPr>
            <w:tcW w:w="1216" w:type="dxa"/>
            <w:vAlign w:val="center"/>
          </w:tcPr>
          <w:p w14:paraId="7D9DF696">
            <w:pPr>
              <w:spacing w:line="280" w:lineRule="exact"/>
              <w:jc w:val="center"/>
              <w:textAlignment w:val="center"/>
              <w:rPr>
                <w:rFonts w:ascii="黑体" w:eastAsia="黑体" w:cs="黑体"/>
                <w:kern w:val="0"/>
                <w:sz w:val="22"/>
                <w:szCs w:val="22"/>
              </w:rPr>
            </w:pPr>
            <w:r>
              <w:rPr>
                <w:rFonts w:hint="eastAsia" w:ascii="黑体" w:eastAsia="黑体" w:cs="黑体"/>
                <w:kern w:val="0"/>
                <w:sz w:val="22"/>
                <w:szCs w:val="22"/>
              </w:rPr>
              <w:t>检查</w:t>
            </w:r>
          </w:p>
          <w:p w14:paraId="7C7993C2">
            <w:pPr>
              <w:spacing w:line="280" w:lineRule="exact"/>
              <w:jc w:val="center"/>
              <w:textAlignment w:val="center"/>
              <w:rPr>
                <w:rFonts w:ascii="黑体" w:eastAsia="黑体" w:cs="黑体"/>
                <w:sz w:val="22"/>
                <w:szCs w:val="22"/>
              </w:rPr>
            </w:pPr>
            <w:r>
              <w:rPr>
                <w:rFonts w:hint="eastAsia" w:ascii="黑体" w:eastAsia="黑体" w:cs="黑体"/>
                <w:kern w:val="0"/>
                <w:sz w:val="22"/>
                <w:szCs w:val="22"/>
              </w:rPr>
              <w:t>对象</w:t>
            </w:r>
          </w:p>
        </w:tc>
        <w:tc>
          <w:tcPr>
            <w:tcW w:w="709" w:type="dxa"/>
            <w:vAlign w:val="center"/>
          </w:tcPr>
          <w:p w14:paraId="11491439">
            <w:pPr>
              <w:spacing w:line="280" w:lineRule="exact"/>
              <w:jc w:val="center"/>
              <w:textAlignment w:val="center"/>
              <w:rPr>
                <w:rFonts w:ascii="黑体" w:eastAsia="黑体" w:cs="黑体"/>
                <w:sz w:val="22"/>
                <w:szCs w:val="22"/>
              </w:rPr>
            </w:pPr>
            <w:r>
              <w:rPr>
                <w:rFonts w:hint="eastAsia" w:ascii="黑体" w:eastAsia="黑体" w:cs="黑体"/>
                <w:sz w:val="22"/>
                <w:szCs w:val="22"/>
              </w:rPr>
              <w:t>检查</w:t>
            </w:r>
          </w:p>
          <w:p w14:paraId="44F5BF6B">
            <w:pPr>
              <w:spacing w:line="280" w:lineRule="exact"/>
              <w:jc w:val="center"/>
              <w:textAlignment w:val="center"/>
              <w:rPr>
                <w:rFonts w:ascii="黑体" w:eastAsia="黑体" w:cs="黑体"/>
                <w:sz w:val="22"/>
                <w:szCs w:val="22"/>
              </w:rPr>
            </w:pPr>
            <w:r>
              <w:rPr>
                <w:rFonts w:hint="eastAsia" w:ascii="黑体" w:eastAsia="黑体" w:cs="黑体"/>
                <w:sz w:val="22"/>
                <w:szCs w:val="22"/>
              </w:rPr>
              <w:t>频次</w:t>
            </w:r>
          </w:p>
        </w:tc>
        <w:tc>
          <w:tcPr>
            <w:tcW w:w="1096" w:type="dxa"/>
            <w:vAlign w:val="center"/>
          </w:tcPr>
          <w:p w14:paraId="5286B251">
            <w:pPr>
              <w:spacing w:line="280" w:lineRule="exact"/>
              <w:jc w:val="center"/>
              <w:textAlignment w:val="center"/>
              <w:rPr>
                <w:rFonts w:ascii="黑体" w:eastAsia="黑体" w:cs="黑体"/>
                <w:sz w:val="22"/>
                <w:szCs w:val="22"/>
              </w:rPr>
            </w:pPr>
            <w:r>
              <w:rPr>
                <w:rFonts w:hint="eastAsia" w:ascii="黑体" w:eastAsia="黑体" w:cs="黑体"/>
                <w:kern w:val="0"/>
                <w:sz w:val="22"/>
                <w:szCs w:val="22"/>
              </w:rPr>
              <w:t>检查比例</w:t>
            </w:r>
          </w:p>
        </w:tc>
        <w:tc>
          <w:tcPr>
            <w:tcW w:w="890" w:type="dxa"/>
            <w:vAlign w:val="center"/>
          </w:tcPr>
          <w:p w14:paraId="07094131">
            <w:pPr>
              <w:spacing w:line="280" w:lineRule="exact"/>
              <w:jc w:val="center"/>
              <w:textAlignment w:val="center"/>
              <w:rPr>
                <w:rFonts w:ascii="黑体" w:eastAsia="黑体" w:cs="黑体"/>
                <w:sz w:val="22"/>
                <w:szCs w:val="22"/>
              </w:rPr>
            </w:pPr>
            <w:r>
              <w:rPr>
                <w:rFonts w:hint="eastAsia" w:ascii="黑体" w:eastAsia="黑体" w:cs="黑体"/>
                <w:kern w:val="0"/>
                <w:sz w:val="22"/>
                <w:szCs w:val="22"/>
              </w:rPr>
              <w:t>检查方式</w:t>
            </w:r>
          </w:p>
        </w:tc>
        <w:tc>
          <w:tcPr>
            <w:tcW w:w="890" w:type="dxa"/>
            <w:vAlign w:val="center"/>
          </w:tcPr>
          <w:p w14:paraId="53438424">
            <w:pPr>
              <w:spacing w:line="280" w:lineRule="exact"/>
              <w:jc w:val="center"/>
              <w:textAlignment w:val="center"/>
              <w:rPr>
                <w:rFonts w:ascii="黑体" w:eastAsia="黑体" w:cs="黑体"/>
                <w:sz w:val="22"/>
                <w:szCs w:val="22"/>
              </w:rPr>
            </w:pPr>
            <w:r>
              <w:rPr>
                <w:rFonts w:hint="eastAsia" w:ascii="黑体" w:eastAsia="黑体" w:cs="黑体"/>
                <w:sz w:val="22"/>
                <w:szCs w:val="22"/>
              </w:rPr>
              <w:t>计划类型</w:t>
            </w:r>
          </w:p>
        </w:tc>
        <w:tc>
          <w:tcPr>
            <w:tcW w:w="968" w:type="dxa"/>
            <w:vAlign w:val="center"/>
          </w:tcPr>
          <w:p w14:paraId="414EF534">
            <w:pPr>
              <w:spacing w:line="280" w:lineRule="exact"/>
              <w:jc w:val="center"/>
              <w:textAlignment w:val="center"/>
              <w:rPr>
                <w:rFonts w:ascii="黑体" w:eastAsia="黑体" w:cs="黑体"/>
                <w:sz w:val="22"/>
                <w:szCs w:val="22"/>
              </w:rPr>
            </w:pPr>
            <w:r>
              <w:rPr>
                <w:rFonts w:hint="eastAsia" w:ascii="黑体" w:eastAsia="黑体" w:cs="黑体"/>
                <w:kern w:val="0"/>
                <w:sz w:val="22"/>
                <w:szCs w:val="22"/>
              </w:rPr>
              <w:t>检查完成时限</w:t>
            </w:r>
          </w:p>
        </w:tc>
        <w:tc>
          <w:tcPr>
            <w:tcW w:w="969" w:type="dxa"/>
            <w:vAlign w:val="center"/>
          </w:tcPr>
          <w:p w14:paraId="1E57DC39">
            <w:pPr>
              <w:spacing w:line="280" w:lineRule="exact"/>
              <w:jc w:val="center"/>
              <w:textAlignment w:val="center"/>
              <w:rPr>
                <w:rFonts w:ascii="黑体" w:eastAsia="黑体" w:cs="黑体"/>
                <w:sz w:val="22"/>
                <w:szCs w:val="22"/>
              </w:rPr>
            </w:pPr>
            <w:r>
              <w:rPr>
                <w:rFonts w:hint="eastAsia" w:ascii="黑体" w:eastAsia="黑体" w:cs="黑体"/>
                <w:kern w:val="0"/>
                <w:sz w:val="22"/>
                <w:szCs w:val="22"/>
              </w:rPr>
              <w:t>牵头实施部门</w:t>
            </w:r>
          </w:p>
        </w:tc>
        <w:tc>
          <w:tcPr>
            <w:tcW w:w="1944" w:type="dxa"/>
            <w:vAlign w:val="center"/>
          </w:tcPr>
          <w:p w14:paraId="029DA057">
            <w:pPr>
              <w:spacing w:line="280" w:lineRule="exact"/>
              <w:jc w:val="center"/>
              <w:textAlignment w:val="center"/>
              <w:rPr>
                <w:rFonts w:ascii="黑体" w:eastAsia="黑体" w:cs="黑体"/>
                <w:sz w:val="22"/>
                <w:szCs w:val="22"/>
              </w:rPr>
            </w:pPr>
            <w:r>
              <w:rPr>
                <w:rFonts w:hint="eastAsia" w:ascii="黑体" w:eastAsia="黑体" w:cs="黑体"/>
                <w:kern w:val="0"/>
                <w:sz w:val="22"/>
                <w:szCs w:val="22"/>
              </w:rPr>
              <w:t>检查事项内容</w:t>
            </w:r>
          </w:p>
        </w:tc>
        <w:tc>
          <w:tcPr>
            <w:tcW w:w="1602" w:type="dxa"/>
            <w:vAlign w:val="center"/>
          </w:tcPr>
          <w:p w14:paraId="059E10FF">
            <w:pPr>
              <w:spacing w:line="280" w:lineRule="exact"/>
              <w:jc w:val="center"/>
              <w:textAlignment w:val="center"/>
              <w:rPr>
                <w:rFonts w:ascii="黑体" w:eastAsia="黑体" w:cs="黑体"/>
                <w:sz w:val="22"/>
                <w:szCs w:val="22"/>
              </w:rPr>
            </w:pPr>
            <w:r>
              <w:rPr>
                <w:rFonts w:hint="eastAsia" w:ascii="黑体" w:eastAsia="黑体" w:cs="黑体"/>
                <w:kern w:val="0"/>
                <w:sz w:val="22"/>
                <w:szCs w:val="22"/>
              </w:rPr>
              <w:t>参与部门</w:t>
            </w:r>
          </w:p>
        </w:tc>
        <w:tc>
          <w:tcPr>
            <w:tcW w:w="2702" w:type="dxa"/>
            <w:vAlign w:val="center"/>
          </w:tcPr>
          <w:p w14:paraId="0250DC41">
            <w:pPr>
              <w:spacing w:line="280" w:lineRule="exact"/>
              <w:jc w:val="center"/>
              <w:textAlignment w:val="center"/>
              <w:rPr>
                <w:rFonts w:ascii="黑体" w:eastAsia="黑体" w:cs="黑体"/>
                <w:sz w:val="22"/>
                <w:szCs w:val="22"/>
              </w:rPr>
            </w:pPr>
            <w:r>
              <w:rPr>
                <w:rFonts w:hint="eastAsia" w:ascii="黑体" w:eastAsia="黑体" w:cs="黑体"/>
                <w:kern w:val="0"/>
                <w:sz w:val="22"/>
                <w:szCs w:val="22"/>
              </w:rPr>
              <w:t>参与部门事项</w:t>
            </w:r>
          </w:p>
        </w:tc>
      </w:tr>
      <w:tr w14:paraId="3A64D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52" w:hRule="atLeast"/>
          <w:jc w:val="center"/>
        </w:trPr>
        <w:tc>
          <w:tcPr>
            <w:tcW w:w="580" w:type="dxa"/>
            <w:vMerge w:val="restart"/>
            <w:vAlign w:val="center"/>
          </w:tcPr>
          <w:p w14:paraId="2AE14AF2">
            <w:pPr>
              <w:spacing w:line="260" w:lineRule="exact"/>
              <w:ind w:left="105" w:leftChars="50"/>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1</w:t>
            </w:r>
          </w:p>
        </w:tc>
        <w:tc>
          <w:tcPr>
            <w:tcW w:w="1519" w:type="dxa"/>
            <w:vMerge w:val="restart"/>
            <w:vAlign w:val="center"/>
          </w:tcPr>
          <w:p w14:paraId="1CC78D5B">
            <w:pPr>
              <w:spacing w:line="260" w:lineRule="exact"/>
              <w:jc w:val="center"/>
              <w:textAlignment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医疗卫生</w:t>
            </w:r>
          </w:p>
        </w:tc>
        <w:tc>
          <w:tcPr>
            <w:tcW w:w="1216" w:type="dxa"/>
            <w:vMerge w:val="restart"/>
            <w:vAlign w:val="center"/>
          </w:tcPr>
          <w:p w14:paraId="7428B88B">
            <w:pPr>
              <w:spacing w:line="260" w:lineRule="exact"/>
              <w:jc w:val="center"/>
              <w:textAlignment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民营医疗卫生机构</w:t>
            </w:r>
          </w:p>
        </w:tc>
        <w:tc>
          <w:tcPr>
            <w:tcW w:w="709" w:type="dxa"/>
            <w:vMerge w:val="restart"/>
            <w:vAlign w:val="center"/>
          </w:tcPr>
          <w:p w14:paraId="610A418B">
            <w:pPr>
              <w:spacing w:line="260" w:lineRule="exact"/>
              <w:jc w:val="center"/>
              <w:textAlignment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全年</w:t>
            </w:r>
          </w:p>
          <w:p w14:paraId="504B64BD">
            <w:pPr>
              <w:spacing w:line="260" w:lineRule="exact"/>
              <w:jc w:val="center"/>
              <w:textAlignment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lang w:val="en-US" w:eastAsia="zh-CN"/>
              </w:rPr>
              <w:t>二</w:t>
            </w:r>
            <w:r>
              <w:rPr>
                <w:rFonts w:hint="eastAsia" w:ascii="仿宋_GB2312" w:hAnsi="仿宋_GB2312" w:eastAsia="仿宋_GB2312" w:cs="仿宋_GB2312"/>
                <w:color w:val="000000" w:themeColor="text1"/>
                <w:sz w:val="22"/>
                <w:szCs w:val="22"/>
              </w:rPr>
              <w:t>次</w:t>
            </w:r>
          </w:p>
        </w:tc>
        <w:tc>
          <w:tcPr>
            <w:tcW w:w="1096" w:type="dxa"/>
            <w:vMerge w:val="restart"/>
            <w:vAlign w:val="center"/>
          </w:tcPr>
          <w:p w14:paraId="709EFF1F">
            <w:pPr>
              <w:spacing w:line="260" w:lineRule="exact"/>
              <w:jc w:val="center"/>
              <w:textAlignment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100%</w:t>
            </w:r>
          </w:p>
        </w:tc>
        <w:tc>
          <w:tcPr>
            <w:tcW w:w="890" w:type="dxa"/>
            <w:vMerge w:val="restart"/>
            <w:vAlign w:val="center"/>
          </w:tcPr>
          <w:p w14:paraId="120B25CD">
            <w:pPr>
              <w:spacing w:line="260" w:lineRule="exact"/>
              <w:jc w:val="center"/>
              <w:textAlignment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现场检查</w:t>
            </w:r>
          </w:p>
        </w:tc>
        <w:tc>
          <w:tcPr>
            <w:tcW w:w="890" w:type="dxa"/>
            <w:vMerge w:val="restart"/>
            <w:vAlign w:val="center"/>
          </w:tcPr>
          <w:p w14:paraId="4B080783">
            <w:pPr>
              <w:spacing w:line="260" w:lineRule="exact"/>
              <w:jc w:val="center"/>
              <w:textAlignment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3"/>
                <w:szCs w:val="23"/>
              </w:rPr>
              <w:t>日常或专项</w:t>
            </w:r>
          </w:p>
        </w:tc>
        <w:tc>
          <w:tcPr>
            <w:tcW w:w="968" w:type="dxa"/>
            <w:vMerge w:val="restart"/>
            <w:vAlign w:val="center"/>
          </w:tcPr>
          <w:p w14:paraId="7D820DB0">
            <w:pPr>
              <w:spacing w:line="260" w:lineRule="exact"/>
              <w:jc w:val="center"/>
              <w:textAlignment w:val="center"/>
              <w:rPr>
                <w:rFonts w:ascii="仿宋_GB2312" w:hAnsi="仿宋_GB2312" w:eastAsia="仿宋_GB2312" w:cs="仿宋_GB2312"/>
                <w:color w:val="000000" w:themeColor="text1"/>
                <w:spacing w:val="-20"/>
                <w:sz w:val="22"/>
                <w:szCs w:val="22"/>
              </w:rPr>
            </w:pPr>
            <w:r>
              <w:rPr>
                <w:rFonts w:hint="eastAsia" w:ascii="仿宋_GB2312" w:hAnsi="仿宋_GB2312" w:eastAsia="仿宋_GB2312" w:cs="仿宋_GB2312"/>
                <w:color w:val="000000" w:themeColor="text1"/>
                <w:spacing w:val="-20"/>
                <w:kern w:val="0"/>
                <w:sz w:val="22"/>
                <w:szCs w:val="22"/>
              </w:rPr>
              <w:t>12月31日前</w:t>
            </w:r>
          </w:p>
        </w:tc>
        <w:tc>
          <w:tcPr>
            <w:tcW w:w="969" w:type="dxa"/>
            <w:vMerge w:val="restart"/>
            <w:vAlign w:val="center"/>
          </w:tcPr>
          <w:p w14:paraId="351CC058">
            <w:pPr>
              <w:spacing w:line="260" w:lineRule="exact"/>
              <w:jc w:val="center"/>
              <w:textAlignment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广元市朝天区卫生健康局</w:t>
            </w:r>
          </w:p>
        </w:tc>
        <w:tc>
          <w:tcPr>
            <w:tcW w:w="1944" w:type="dxa"/>
            <w:vMerge w:val="restart"/>
            <w:vAlign w:val="center"/>
          </w:tcPr>
          <w:p w14:paraId="505B0D3E">
            <w:pPr>
              <w:spacing w:line="260" w:lineRule="exact"/>
              <w:jc w:val="left"/>
              <w:textAlignment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3"/>
                <w:szCs w:val="23"/>
              </w:rPr>
              <w:t>对民营医疗卫生机构资质、人员执业资格、医疗行为、放射卫生、传染病防治、医疗废物处置、消毒隔离措施等的检查</w:t>
            </w:r>
          </w:p>
        </w:tc>
        <w:tc>
          <w:tcPr>
            <w:tcW w:w="1602" w:type="dxa"/>
            <w:vAlign w:val="center"/>
          </w:tcPr>
          <w:p w14:paraId="7586779A">
            <w:pPr>
              <w:spacing w:line="260" w:lineRule="exact"/>
              <w:jc w:val="center"/>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3"/>
                <w:szCs w:val="23"/>
              </w:rPr>
              <w:t>广元市朝天区医疗保障局</w:t>
            </w:r>
          </w:p>
        </w:tc>
        <w:tc>
          <w:tcPr>
            <w:tcW w:w="2702" w:type="dxa"/>
            <w:vAlign w:val="center"/>
          </w:tcPr>
          <w:p w14:paraId="6AC62C33">
            <w:pPr>
              <w:spacing w:line="260" w:lineRule="exact"/>
              <w:jc w:val="lef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3"/>
                <w:szCs w:val="23"/>
              </w:rPr>
              <w:t>对纳入基本医疗保险基金支付范围的医疗服务行为和医疗费用的监督管理检查</w:t>
            </w:r>
          </w:p>
        </w:tc>
      </w:tr>
      <w:tr w14:paraId="1FD0F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80" w:type="dxa"/>
            <w:vMerge w:val="continue"/>
            <w:vAlign w:val="center"/>
          </w:tcPr>
          <w:p w14:paraId="7E22220F">
            <w:pPr>
              <w:spacing w:line="260" w:lineRule="exact"/>
              <w:jc w:val="center"/>
              <w:rPr>
                <w:color w:val="000000" w:themeColor="text1"/>
              </w:rPr>
            </w:pPr>
          </w:p>
        </w:tc>
        <w:tc>
          <w:tcPr>
            <w:tcW w:w="1519" w:type="dxa"/>
            <w:vMerge w:val="continue"/>
            <w:vAlign w:val="center"/>
          </w:tcPr>
          <w:p w14:paraId="70A5AD74">
            <w:pPr>
              <w:spacing w:line="260" w:lineRule="exact"/>
              <w:jc w:val="center"/>
              <w:rPr>
                <w:color w:val="000000" w:themeColor="text1"/>
              </w:rPr>
            </w:pPr>
          </w:p>
        </w:tc>
        <w:tc>
          <w:tcPr>
            <w:tcW w:w="1216" w:type="dxa"/>
            <w:vMerge w:val="continue"/>
            <w:vAlign w:val="center"/>
          </w:tcPr>
          <w:p w14:paraId="2D666568">
            <w:pPr>
              <w:spacing w:line="260" w:lineRule="exact"/>
              <w:jc w:val="center"/>
              <w:rPr>
                <w:color w:val="000000" w:themeColor="text1"/>
              </w:rPr>
            </w:pPr>
          </w:p>
        </w:tc>
        <w:tc>
          <w:tcPr>
            <w:tcW w:w="709" w:type="dxa"/>
            <w:vMerge w:val="continue"/>
            <w:vAlign w:val="center"/>
          </w:tcPr>
          <w:p w14:paraId="319A2C5C">
            <w:pPr>
              <w:spacing w:line="260" w:lineRule="exact"/>
              <w:jc w:val="center"/>
              <w:rPr>
                <w:color w:val="000000" w:themeColor="text1"/>
              </w:rPr>
            </w:pPr>
          </w:p>
        </w:tc>
        <w:tc>
          <w:tcPr>
            <w:tcW w:w="1096" w:type="dxa"/>
            <w:vMerge w:val="continue"/>
            <w:vAlign w:val="center"/>
          </w:tcPr>
          <w:p w14:paraId="1689A6BC">
            <w:pPr>
              <w:spacing w:line="260" w:lineRule="exact"/>
              <w:jc w:val="center"/>
              <w:rPr>
                <w:color w:val="000000" w:themeColor="text1"/>
              </w:rPr>
            </w:pPr>
          </w:p>
        </w:tc>
        <w:tc>
          <w:tcPr>
            <w:tcW w:w="890" w:type="dxa"/>
            <w:vMerge w:val="continue"/>
            <w:vAlign w:val="center"/>
          </w:tcPr>
          <w:p w14:paraId="2532E25C">
            <w:pPr>
              <w:spacing w:line="260" w:lineRule="exact"/>
              <w:jc w:val="center"/>
              <w:rPr>
                <w:color w:val="000000" w:themeColor="text1"/>
              </w:rPr>
            </w:pPr>
          </w:p>
        </w:tc>
        <w:tc>
          <w:tcPr>
            <w:tcW w:w="890" w:type="dxa"/>
            <w:vMerge w:val="continue"/>
            <w:vAlign w:val="center"/>
          </w:tcPr>
          <w:p w14:paraId="247DF382">
            <w:pPr>
              <w:spacing w:line="260" w:lineRule="exact"/>
              <w:jc w:val="center"/>
              <w:rPr>
                <w:color w:val="000000" w:themeColor="text1"/>
              </w:rPr>
            </w:pPr>
          </w:p>
        </w:tc>
        <w:tc>
          <w:tcPr>
            <w:tcW w:w="968" w:type="dxa"/>
            <w:vMerge w:val="continue"/>
            <w:vAlign w:val="center"/>
          </w:tcPr>
          <w:p w14:paraId="3865612A">
            <w:pPr>
              <w:spacing w:line="260" w:lineRule="exact"/>
              <w:jc w:val="center"/>
              <w:rPr>
                <w:color w:val="000000" w:themeColor="text1"/>
              </w:rPr>
            </w:pPr>
          </w:p>
        </w:tc>
        <w:tc>
          <w:tcPr>
            <w:tcW w:w="969" w:type="dxa"/>
            <w:vMerge w:val="continue"/>
            <w:vAlign w:val="center"/>
          </w:tcPr>
          <w:p w14:paraId="20D3EE05">
            <w:pPr>
              <w:spacing w:line="260" w:lineRule="exact"/>
              <w:jc w:val="center"/>
              <w:rPr>
                <w:color w:val="000000" w:themeColor="text1"/>
              </w:rPr>
            </w:pPr>
          </w:p>
        </w:tc>
        <w:tc>
          <w:tcPr>
            <w:tcW w:w="1944" w:type="dxa"/>
            <w:vMerge w:val="continue"/>
            <w:vAlign w:val="center"/>
          </w:tcPr>
          <w:p w14:paraId="72984561">
            <w:pPr>
              <w:spacing w:line="260" w:lineRule="exact"/>
              <w:jc w:val="center"/>
              <w:rPr>
                <w:color w:val="000000" w:themeColor="text1"/>
              </w:rPr>
            </w:pPr>
          </w:p>
        </w:tc>
        <w:tc>
          <w:tcPr>
            <w:tcW w:w="1602" w:type="dxa"/>
            <w:vAlign w:val="center"/>
          </w:tcPr>
          <w:p w14:paraId="169F8714">
            <w:pPr>
              <w:spacing w:line="260" w:lineRule="exact"/>
              <w:jc w:val="center"/>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3"/>
                <w:szCs w:val="23"/>
              </w:rPr>
              <w:t>广元市朝天区市场监管局</w:t>
            </w:r>
          </w:p>
        </w:tc>
        <w:tc>
          <w:tcPr>
            <w:tcW w:w="2702" w:type="dxa"/>
            <w:vAlign w:val="center"/>
          </w:tcPr>
          <w:p w14:paraId="5514F318">
            <w:pPr>
              <w:spacing w:line="260" w:lineRule="exact"/>
              <w:jc w:val="left"/>
              <w:rPr>
                <w:rFonts w:ascii="仿宋_GB2312" w:hAnsi="仿宋_GB2312" w:eastAsia="仿宋_GB2312" w:cs="仿宋_GB2312"/>
                <w:color w:val="000000" w:themeColor="text1"/>
                <w:kern w:val="0"/>
                <w:sz w:val="22"/>
                <w:szCs w:val="22"/>
              </w:rPr>
            </w:pPr>
            <w:r>
              <w:rPr>
                <w:rFonts w:hint="eastAsia" w:ascii="仿宋_GB2312" w:hAnsi="仿宋_GB2312" w:eastAsia="仿宋_GB2312" w:cs="仿宋_GB2312"/>
                <w:color w:val="000000" w:themeColor="text1"/>
                <w:kern w:val="0"/>
                <w:sz w:val="23"/>
                <w:szCs w:val="23"/>
              </w:rPr>
              <w:t>对采购药械渠道、在用医疗器械、药品、保健食品、医疗机构卫生环境、药品储存条件、储存场所分区、分库管理区域设置进行检查</w:t>
            </w:r>
          </w:p>
        </w:tc>
      </w:tr>
      <w:tr w14:paraId="5B4E3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57" w:hRule="atLeast"/>
          <w:jc w:val="center"/>
        </w:trPr>
        <w:tc>
          <w:tcPr>
            <w:tcW w:w="580" w:type="dxa"/>
            <w:vMerge w:val="restart"/>
            <w:vAlign w:val="center"/>
          </w:tcPr>
          <w:p w14:paraId="7A78700E">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2</w:t>
            </w:r>
          </w:p>
        </w:tc>
        <w:tc>
          <w:tcPr>
            <w:tcW w:w="1519" w:type="dxa"/>
            <w:vMerge w:val="restart"/>
            <w:vAlign w:val="center"/>
          </w:tcPr>
          <w:p w14:paraId="61A37AD1">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职业卫生</w:t>
            </w:r>
          </w:p>
        </w:tc>
        <w:tc>
          <w:tcPr>
            <w:tcW w:w="1216" w:type="dxa"/>
            <w:vMerge w:val="restart"/>
            <w:vAlign w:val="center"/>
          </w:tcPr>
          <w:p w14:paraId="6A1235BE">
            <w:pPr>
              <w:jc w:val="both"/>
              <w:rPr>
                <w:rFonts w:hint="eastAsia" w:ascii="仿宋_GB2312" w:hAnsi="仿宋_GB2312" w:eastAsia="仿宋_GB2312" w:cs="仿宋_GB2312"/>
                <w:color w:val="000000" w:themeColor="text1"/>
                <w:sz w:val="22"/>
                <w:szCs w:val="22"/>
                <w:lang w:eastAsia="zh-CN"/>
              </w:rPr>
            </w:pPr>
            <w:r>
              <w:rPr>
                <w:rFonts w:hint="eastAsia" w:ascii="仿宋_GB2312" w:hAnsi="仿宋_GB2312" w:eastAsia="仿宋_GB2312" w:cs="仿宋_GB2312"/>
                <w:color w:val="000000" w:themeColor="text1"/>
                <w:sz w:val="22"/>
                <w:szCs w:val="22"/>
              </w:rPr>
              <w:t>涉及职业卫生的企业</w:t>
            </w:r>
            <w:r>
              <w:rPr>
                <w:rFonts w:hint="eastAsia" w:ascii="仿宋_GB2312" w:hAnsi="仿宋_GB2312" w:eastAsia="仿宋_GB2312" w:cs="仿宋_GB2312"/>
                <w:color w:val="000000" w:themeColor="text1"/>
                <w:sz w:val="22"/>
                <w:szCs w:val="22"/>
                <w:lang w:eastAsia="zh-CN"/>
              </w:rPr>
              <w:t>、</w:t>
            </w:r>
            <w:r>
              <w:rPr>
                <w:rFonts w:hint="eastAsia" w:ascii="仿宋_GB2312" w:hAnsi="仿宋_GB2312" w:eastAsia="仿宋_GB2312" w:cs="仿宋_GB2312"/>
                <w:color w:val="000000" w:themeColor="text1"/>
                <w:sz w:val="22"/>
                <w:szCs w:val="22"/>
                <w:lang w:val="en-US" w:eastAsia="zh-CN"/>
              </w:rPr>
              <w:t>事业单位</w:t>
            </w:r>
          </w:p>
        </w:tc>
        <w:tc>
          <w:tcPr>
            <w:tcW w:w="709" w:type="dxa"/>
            <w:vMerge w:val="restart"/>
            <w:vAlign w:val="center"/>
          </w:tcPr>
          <w:p w14:paraId="6DFFF1BD">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全年</w:t>
            </w:r>
          </w:p>
          <w:p w14:paraId="05077A1A">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lang w:val="en-US" w:eastAsia="zh-CN"/>
              </w:rPr>
              <w:t>一</w:t>
            </w:r>
            <w:r>
              <w:rPr>
                <w:rFonts w:hint="eastAsia" w:ascii="仿宋_GB2312" w:hAnsi="仿宋_GB2312" w:eastAsia="仿宋_GB2312" w:cs="仿宋_GB2312"/>
                <w:color w:val="000000" w:themeColor="text1"/>
                <w:sz w:val="22"/>
                <w:szCs w:val="22"/>
              </w:rPr>
              <w:t>次</w:t>
            </w:r>
          </w:p>
        </w:tc>
        <w:tc>
          <w:tcPr>
            <w:tcW w:w="1096" w:type="dxa"/>
            <w:vMerge w:val="restart"/>
            <w:vAlign w:val="center"/>
          </w:tcPr>
          <w:p w14:paraId="3E6F8B39">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20%</w:t>
            </w:r>
          </w:p>
        </w:tc>
        <w:tc>
          <w:tcPr>
            <w:tcW w:w="890" w:type="dxa"/>
            <w:vMerge w:val="restart"/>
            <w:vAlign w:val="center"/>
          </w:tcPr>
          <w:p w14:paraId="33DBF7BF">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现场检查</w:t>
            </w:r>
          </w:p>
        </w:tc>
        <w:tc>
          <w:tcPr>
            <w:tcW w:w="890" w:type="dxa"/>
            <w:vMerge w:val="restart"/>
            <w:vAlign w:val="center"/>
          </w:tcPr>
          <w:p w14:paraId="033CD654">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3"/>
                <w:szCs w:val="23"/>
              </w:rPr>
              <w:t>日常或专项</w:t>
            </w:r>
          </w:p>
        </w:tc>
        <w:tc>
          <w:tcPr>
            <w:tcW w:w="968" w:type="dxa"/>
            <w:vMerge w:val="restart"/>
            <w:vAlign w:val="center"/>
          </w:tcPr>
          <w:p w14:paraId="542D6C2D">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pacing w:val="-20"/>
                <w:kern w:val="0"/>
                <w:sz w:val="22"/>
                <w:szCs w:val="22"/>
              </w:rPr>
              <w:t>12月31日前</w:t>
            </w:r>
          </w:p>
        </w:tc>
        <w:tc>
          <w:tcPr>
            <w:tcW w:w="969" w:type="dxa"/>
            <w:vMerge w:val="restart"/>
            <w:vAlign w:val="center"/>
          </w:tcPr>
          <w:p w14:paraId="6DD59358">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广元市朝天区卫生健康局</w:t>
            </w:r>
          </w:p>
        </w:tc>
        <w:tc>
          <w:tcPr>
            <w:tcW w:w="1944" w:type="dxa"/>
            <w:vMerge w:val="restart"/>
            <w:vAlign w:val="center"/>
          </w:tcPr>
          <w:p w14:paraId="75D297E5">
            <w:pPr>
              <w:jc w:val="left"/>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21"/>
                <w:sz w:val="23"/>
                <w:szCs w:val="23"/>
              </w:rPr>
              <w:t>用人单位职业病防治管理措施落实，工作场所职业病危害因素检测、评价和申报，劳动者职业健康监护，职业病防护设施和个人防护用品的配备、使用和管理，职业病危害事故应急救援预案的制定和演练等</w:t>
            </w:r>
          </w:p>
        </w:tc>
        <w:tc>
          <w:tcPr>
            <w:tcW w:w="1602" w:type="dxa"/>
            <w:vAlign w:val="center"/>
          </w:tcPr>
          <w:p w14:paraId="5080C604">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w:t>
            </w:r>
          </w:p>
          <w:p w14:paraId="52D2445A">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人力资源和</w:t>
            </w:r>
          </w:p>
          <w:p w14:paraId="3A8E7293">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社会保障局</w:t>
            </w:r>
          </w:p>
        </w:tc>
        <w:tc>
          <w:tcPr>
            <w:tcW w:w="2702" w:type="dxa"/>
            <w:vAlign w:val="center"/>
          </w:tcPr>
          <w:p w14:paraId="10A0F805">
            <w:pPr>
              <w:spacing w:line="260" w:lineRule="exact"/>
              <w:jc w:val="left"/>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21"/>
                <w:sz w:val="23"/>
                <w:szCs w:val="23"/>
              </w:rPr>
              <w:t>对职业病工伤保险、用人单位职业病防治管理措施进行检查</w:t>
            </w:r>
          </w:p>
        </w:tc>
      </w:tr>
      <w:tr w14:paraId="1E060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57" w:hRule="atLeast"/>
          <w:jc w:val="center"/>
        </w:trPr>
        <w:tc>
          <w:tcPr>
            <w:tcW w:w="580" w:type="dxa"/>
            <w:vMerge w:val="continue"/>
            <w:vAlign w:val="center"/>
          </w:tcPr>
          <w:p w14:paraId="04083404">
            <w:pPr>
              <w:spacing w:line="260" w:lineRule="exact"/>
              <w:jc w:val="center"/>
              <w:rPr>
                <w:color w:val="000000" w:themeColor="text1"/>
              </w:rPr>
            </w:pPr>
          </w:p>
        </w:tc>
        <w:tc>
          <w:tcPr>
            <w:tcW w:w="1519" w:type="dxa"/>
            <w:vMerge w:val="continue"/>
            <w:vAlign w:val="center"/>
          </w:tcPr>
          <w:p w14:paraId="2AF8BF03">
            <w:pPr>
              <w:spacing w:line="260" w:lineRule="exact"/>
              <w:jc w:val="center"/>
              <w:rPr>
                <w:color w:val="000000" w:themeColor="text1"/>
              </w:rPr>
            </w:pPr>
          </w:p>
        </w:tc>
        <w:tc>
          <w:tcPr>
            <w:tcW w:w="1216" w:type="dxa"/>
            <w:vMerge w:val="continue"/>
            <w:vAlign w:val="center"/>
          </w:tcPr>
          <w:p w14:paraId="19B759E8">
            <w:pPr>
              <w:spacing w:line="260" w:lineRule="exact"/>
              <w:jc w:val="center"/>
              <w:rPr>
                <w:color w:val="000000" w:themeColor="text1"/>
              </w:rPr>
            </w:pPr>
          </w:p>
        </w:tc>
        <w:tc>
          <w:tcPr>
            <w:tcW w:w="709" w:type="dxa"/>
            <w:vMerge w:val="continue"/>
            <w:vAlign w:val="center"/>
          </w:tcPr>
          <w:p w14:paraId="531B0D50">
            <w:pPr>
              <w:spacing w:line="260" w:lineRule="exact"/>
              <w:jc w:val="center"/>
              <w:rPr>
                <w:color w:val="000000" w:themeColor="text1"/>
              </w:rPr>
            </w:pPr>
          </w:p>
        </w:tc>
        <w:tc>
          <w:tcPr>
            <w:tcW w:w="1096" w:type="dxa"/>
            <w:vMerge w:val="continue"/>
            <w:vAlign w:val="center"/>
          </w:tcPr>
          <w:p w14:paraId="5C6B5AAA">
            <w:pPr>
              <w:spacing w:line="260" w:lineRule="exact"/>
              <w:jc w:val="center"/>
              <w:rPr>
                <w:color w:val="000000" w:themeColor="text1"/>
              </w:rPr>
            </w:pPr>
          </w:p>
        </w:tc>
        <w:tc>
          <w:tcPr>
            <w:tcW w:w="890" w:type="dxa"/>
            <w:vMerge w:val="continue"/>
            <w:vAlign w:val="center"/>
          </w:tcPr>
          <w:p w14:paraId="48918732">
            <w:pPr>
              <w:spacing w:line="260" w:lineRule="exact"/>
              <w:jc w:val="center"/>
              <w:rPr>
                <w:color w:val="000000" w:themeColor="text1"/>
              </w:rPr>
            </w:pPr>
          </w:p>
        </w:tc>
        <w:tc>
          <w:tcPr>
            <w:tcW w:w="890" w:type="dxa"/>
            <w:vMerge w:val="continue"/>
            <w:vAlign w:val="center"/>
          </w:tcPr>
          <w:p w14:paraId="7C63B7FD">
            <w:pPr>
              <w:spacing w:line="260" w:lineRule="exact"/>
              <w:jc w:val="center"/>
              <w:rPr>
                <w:color w:val="000000" w:themeColor="text1"/>
              </w:rPr>
            </w:pPr>
          </w:p>
        </w:tc>
        <w:tc>
          <w:tcPr>
            <w:tcW w:w="968" w:type="dxa"/>
            <w:vMerge w:val="continue"/>
            <w:vAlign w:val="center"/>
          </w:tcPr>
          <w:p w14:paraId="325E3FFA">
            <w:pPr>
              <w:spacing w:line="260" w:lineRule="exact"/>
              <w:jc w:val="center"/>
              <w:rPr>
                <w:color w:val="000000" w:themeColor="text1"/>
              </w:rPr>
            </w:pPr>
          </w:p>
        </w:tc>
        <w:tc>
          <w:tcPr>
            <w:tcW w:w="969" w:type="dxa"/>
            <w:vMerge w:val="continue"/>
            <w:vAlign w:val="center"/>
          </w:tcPr>
          <w:p w14:paraId="1DBB8EC2">
            <w:pPr>
              <w:spacing w:line="260" w:lineRule="exact"/>
              <w:jc w:val="center"/>
              <w:rPr>
                <w:color w:val="000000" w:themeColor="text1"/>
              </w:rPr>
            </w:pPr>
          </w:p>
        </w:tc>
        <w:tc>
          <w:tcPr>
            <w:tcW w:w="1944" w:type="dxa"/>
            <w:vMerge w:val="continue"/>
            <w:vAlign w:val="center"/>
          </w:tcPr>
          <w:p w14:paraId="2C6EDB0E">
            <w:pPr>
              <w:spacing w:line="260" w:lineRule="exact"/>
              <w:jc w:val="center"/>
              <w:rPr>
                <w:color w:val="000000" w:themeColor="text1"/>
              </w:rPr>
            </w:pPr>
          </w:p>
        </w:tc>
        <w:tc>
          <w:tcPr>
            <w:tcW w:w="1602" w:type="dxa"/>
            <w:vAlign w:val="center"/>
          </w:tcPr>
          <w:p w14:paraId="15342A7A">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广元市朝天区总工会</w:t>
            </w:r>
          </w:p>
          <w:p w14:paraId="121127F1">
            <w:pPr>
              <w:spacing w:line="260" w:lineRule="exact"/>
              <w:jc w:val="left"/>
              <w:rPr>
                <w:rFonts w:ascii="仿宋_GB2312" w:hAnsi="仿宋_GB2312" w:eastAsia="仿宋_GB2312" w:cs="仿宋_GB2312"/>
                <w:color w:val="000000" w:themeColor="text1"/>
                <w:kern w:val="0"/>
                <w:sz w:val="23"/>
                <w:szCs w:val="23"/>
              </w:rPr>
            </w:pPr>
          </w:p>
        </w:tc>
        <w:tc>
          <w:tcPr>
            <w:tcW w:w="2702" w:type="dxa"/>
            <w:vAlign w:val="center"/>
          </w:tcPr>
          <w:p w14:paraId="16B97F38">
            <w:pPr>
              <w:spacing w:line="260" w:lineRule="exact"/>
              <w:jc w:val="left"/>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监督用人单位落实职业卫生防护措施</w:t>
            </w:r>
          </w:p>
        </w:tc>
      </w:tr>
      <w:tr w14:paraId="534E0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0" w:hRule="atLeast"/>
          <w:jc w:val="center"/>
        </w:trPr>
        <w:tc>
          <w:tcPr>
            <w:tcW w:w="580" w:type="dxa"/>
            <w:vMerge w:val="restart"/>
            <w:vAlign w:val="center"/>
          </w:tcPr>
          <w:p w14:paraId="197B9CB0">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3</w:t>
            </w:r>
          </w:p>
        </w:tc>
        <w:tc>
          <w:tcPr>
            <w:tcW w:w="1519" w:type="dxa"/>
            <w:vMerge w:val="restart"/>
            <w:vAlign w:val="center"/>
          </w:tcPr>
          <w:p w14:paraId="135D9A06">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公共场所卫生</w:t>
            </w:r>
          </w:p>
        </w:tc>
        <w:tc>
          <w:tcPr>
            <w:tcW w:w="1216" w:type="dxa"/>
            <w:vMerge w:val="restart"/>
            <w:vAlign w:val="center"/>
          </w:tcPr>
          <w:p w14:paraId="688A93D6">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公共场所经营单位</w:t>
            </w:r>
          </w:p>
        </w:tc>
        <w:tc>
          <w:tcPr>
            <w:tcW w:w="709" w:type="dxa"/>
            <w:vMerge w:val="restart"/>
            <w:vAlign w:val="center"/>
          </w:tcPr>
          <w:p w14:paraId="042980E1">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全年</w:t>
            </w:r>
          </w:p>
          <w:p w14:paraId="6085B59B">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lang w:val="en-US" w:eastAsia="zh-CN"/>
              </w:rPr>
              <w:t>一</w:t>
            </w:r>
            <w:r>
              <w:rPr>
                <w:rFonts w:hint="eastAsia" w:ascii="仿宋_GB2312" w:hAnsi="仿宋_GB2312" w:eastAsia="仿宋_GB2312" w:cs="仿宋_GB2312"/>
                <w:color w:val="000000" w:themeColor="text1"/>
                <w:sz w:val="22"/>
                <w:szCs w:val="22"/>
              </w:rPr>
              <w:t>次</w:t>
            </w:r>
          </w:p>
        </w:tc>
        <w:tc>
          <w:tcPr>
            <w:tcW w:w="1096" w:type="dxa"/>
            <w:vMerge w:val="restart"/>
            <w:vAlign w:val="center"/>
          </w:tcPr>
          <w:p w14:paraId="2C59FC7B">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20%</w:t>
            </w:r>
          </w:p>
        </w:tc>
        <w:tc>
          <w:tcPr>
            <w:tcW w:w="890" w:type="dxa"/>
            <w:vMerge w:val="restart"/>
            <w:vAlign w:val="center"/>
          </w:tcPr>
          <w:p w14:paraId="042F4832">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0"/>
                <w:sz w:val="22"/>
                <w:szCs w:val="22"/>
              </w:rPr>
              <w:t>现场检查</w:t>
            </w:r>
          </w:p>
        </w:tc>
        <w:tc>
          <w:tcPr>
            <w:tcW w:w="890" w:type="dxa"/>
            <w:vMerge w:val="restart"/>
            <w:vAlign w:val="center"/>
          </w:tcPr>
          <w:p w14:paraId="57EF699B">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3"/>
                <w:szCs w:val="23"/>
              </w:rPr>
              <w:t>日常或专项</w:t>
            </w:r>
          </w:p>
        </w:tc>
        <w:tc>
          <w:tcPr>
            <w:tcW w:w="968" w:type="dxa"/>
            <w:vMerge w:val="restart"/>
            <w:vAlign w:val="center"/>
          </w:tcPr>
          <w:p w14:paraId="6EDED84F">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pacing w:val="-20"/>
                <w:kern w:val="0"/>
                <w:sz w:val="22"/>
                <w:szCs w:val="22"/>
              </w:rPr>
              <w:t>12月31日前</w:t>
            </w:r>
          </w:p>
        </w:tc>
        <w:tc>
          <w:tcPr>
            <w:tcW w:w="969" w:type="dxa"/>
            <w:vMerge w:val="restart"/>
            <w:vAlign w:val="center"/>
          </w:tcPr>
          <w:p w14:paraId="44AC056A">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sz w:val="22"/>
                <w:szCs w:val="22"/>
              </w:rPr>
              <w:t>广元市朝天区卫生健康局</w:t>
            </w:r>
          </w:p>
        </w:tc>
        <w:tc>
          <w:tcPr>
            <w:tcW w:w="1944" w:type="dxa"/>
            <w:vMerge w:val="restart"/>
            <w:vAlign w:val="center"/>
          </w:tcPr>
          <w:p w14:paraId="21E6A0BA">
            <w:pPr>
              <w:jc w:val="center"/>
              <w:rPr>
                <w:rFonts w:ascii="仿宋_GB2312" w:hAnsi="仿宋_GB2312" w:eastAsia="仿宋_GB2312" w:cs="仿宋_GB2312"/>
                <w:color w:val="000000" w:themeColor="text1"/>
                <w:sz w:val="22"/>
                <w:szCs w:val="22"/>
              </w:rPr>
            </w:pPr>
            <w:r>
              <w:rPr>
                <w:rFonts w:hint="eastAsia" w:ascii="仿宋_GB2312" w:hAnsi="仿宋_GB2312" w:eastAsia="仿宋_GB2312" w:cs="仿宋_GB2312"/>
                <w:color w:val="000000" w:themeColor="text1"/>
                <w:kern w:val="21"/>
                <w:sz w:val="23"/>
                <w:szCs w:val="23"/>
              </w:rPr>
              <w:t>公共场所卫生许可证、公共场所环境卫生、从业人员健康证、公共用品用具消毒保洁、防艾、禁烟工作等</w:t>
            </w:r>
          </w:p>
        </w:tc>
        <w:tc>
          <w:tcPr>
            <w:tcW w:w="1602" w:type="dxa"/>
            <w:vAlign w:val="center"/>
          </w:tcPr>
          <w:p w14:paraId="3E4E8D1D">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广元市朝天区教育和</w:t>
            </w:r>
          </w:p>
          <w:p w14:paraId="23FCD002">
            <w:pPr>
              <w:spacing w:line="260" w:lineRule="exact"/>
              <w:jc w:val="center"/>
              <w:rPr>
                <w:rFonts w:ascii="仿宋_GB2312" w:hAnsi="仿宋_GB2312" w:eastAsia="仿宋_GB2312" w:cs="仿宋_GB2312"/>
                <w:color w:val="000000" w:themeColor="text1"/>
                <w:kern w:val="21"/>
                <w:sz w:val="22"/>
                <w:szCs w:val="22"/>
              </w:rPr>
            </w:pPr>
            <w:r>
              <w:rPr>
                <w:rFonts w:hint="eastAsia" w:ascii="仿宋_GB2312" w:hAnsi="仿宋_GB2312" w:eastAsia="仿宋_GB2312" w:cs="仿宋_GB2312"/>
                <w:color w:val="000000" w:themeColor="text1"/>
                <w:kern w:val="0"/>
                <w:sz w:val="23"/>
                <w:szCs w:val="23"/>
              </w:rPr>
              <w:t>科学技术局</w:t>
            </w:r>
          </w:p>
        </w:tc>
        <w:tc>
          <w:tcPr>
            <w:tcW w:w="2702" w:type="dxa"/>
            <w:vAlign w:val="center"/>
          </w:tcPr>
          <w:p w14:paraId="223CB55F">
            <w:pPr>
              <w:spacing w:line="260" w:lineRule="exact"/>
              <w:jc w:val="left"/>
              <w:rPr>
                <w:rFonts w:ascii="仿宋_GB2312" w:hAnsi="仿宋_GB2312" w:eastAsia="仿宋_GB2312" w:cs="仿宋_GB2312"/>
                <w:color w:val="000000" w:themeColor="text1"/>
                <w:kern w:val="21"/>
                <w:sz w:val="22"/>
                <w:szCs w:val="22"/>
              </w:rPr>
            </w:pPr>
            <w:r>
              <w:rPr>
                <w:rFonts w:ascii="仿宋_GB2312" w:hAnsi="仿宋_GB2312" w:eastAsia="仿宋_GB2312" w:cs="仿宋_GB2312"/>
                <w:color w:val="000000" w:themeColor="text1"/>
                <w:kern w:val="21"/>
                <w:sz w:val="23"/>
                <w:szCs w:val="23"/>
              </w:rPr>
              <w:t>对管辖学校的控烟工作进行监督管理</w:t>
            </w:r>
          </w:p>
        </w:tc>
      </w:tr>
      <w:tr w14:paraId="70E85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0" w:hRule="atLeast"/>
          <w:jc w:val="center"/>
        </w:trPr>
        <w:tc>
          <w:tcPr>
            <w:tcW w:w="580" w:type="dxa"/>
            <w:vMerge w:val="continue"/>
            <w:vAlign w:val="center"/>
          </w:tcPr>
          <w:p w14:paraId="1175911F">
            <w:pPr>
              <w:spacing w:line="260" w:lineRule="exact"/>
              <w:jc w:val="center"/>
              <w:rPr>
                <w:color w:val="000000" w:themeColor="text1"/>
              </w:rPr>
            </w:pPr>
          </w:p>
        </w:tc>
        <w:tc>
          <w:tcPr>
            <w:tcW w:w="1519" w:type="dxa"/>
            <w:vMerge w:val="continue"/>
            <w:vAlign w:val="center"/>
          </w:tcPr>
          <w:p w14:paraId="5AE4FDEE">
            <w:pPr>
              <w:spacing w:line="260" w:lineRule="exact"/>
              <w:jc w:val="center"/>
              <w:rPr>
                <w:color w:val="000000" w:themeColor="text1"/>
              </w:rPr>
            </w:pPr>
          </w:p>
        </w:tc>
        <w:tc>
          <w:tcPr>
            <w:tcW w:w="1216" w:type="dxa"/>
            <w:vMerge w:val="continue"/>
            <w:vAlign w:val="center"/>
          </w:tcPr>
          <w:p w14:paraId="01068969">
            <w:pPr>
              <w:spacing w:line="260" w:lineRule="exact"/>
              <w:jc w:val="center"/>
              <w:rPr>
                <w:color w:val="000000" w:themeColor="text1"/>
              </w:rPr>
            </w:pPr>
          </w:p>
        </w:tc>
        <w:tc>
          <w:tcPr>
            <w:tcW w:w="709" w:type="dxa"/>
            <w:vMerge w:val="continue"/>
            <w:vAlign w:val="center"/>
          </w:tcPr>
          <w:p w14:paraId="547E3D20">
            <w:pPr>
              <w:spacing w:line="260" w:lineRule="exact"/>
              <w:jc w:val="center"/>
              <w:rPr>
                <w:color w:val="000000" w:themeColor="text1"/>
              </w:rPr>
            </w:pPr>
          </w:p>
        </w:tc>
        <w:tc>
          <w:tcPr>
            <w:tcW w:w="1096" w:type="dxa"/>
            <w:vMerge w:val="continue"/>
            <w:vAlign w:val="center"/>
          </w:tcPr>
          <w:p w14:paraId="3E2846C6">
            <w:pPr>
              <w:spacing w:line="260" w:lineRule="exact"/>
              <w:jc w:val="center"/>
              <w:rPr>
                <w:color w:val="000000" w:themeColor="text1"/>
              </w:rPr>
            </w:pPr>
          </w:p>
        </w:tc>
        <w:tc>
          <w:tcPr>
            <w:tcW w:w="890" w:type="dxa"/>
            <w:vMerge w:val="continue"/>
            <w:vAlign w:val="center"/>
          </w:tcPr>
          <w:p w14:paraId="4528B0B3">
            <w:pPr>
              <w:spacing w:line="260" w:lineRule="exact"/>
              <w:jc w:val="center"/>
              <w:rPr>
                <w:color w:val="000000" w:themeColor="text1"/>
              </w:rPr>
            </w:pPr>
          </w:p>
        </w:tc>
        <w:tc>
          <w:tcPr>
            <w:tcW w:w="890" w:type="dxa"/>
            <w:vMerge w:val="continue"/>
            <w:vAlign w:val="center"/>
          </w:tcPr>
          <w:p w14:paraId="68154F69">
            <w:pPr>
              <w:spacing w:line="260" w:lineRule="exact"/>
              <w:jc w:val="center"/>
              <w:rPr>
                <w:color w:val="000000" w:themeColor="text1"/>
              </w:rPr>
            </w:pPr>
          </w:p>
        </w:tc>
        <w:tc>
          <w:tcPr>
            <w:tcW w:w="968" w:type="dxa"/>
            <w:vMerge w:val="continue"/>
            <w:vAlign w:val="center"/>
          </w:tcPr>
          <w:p w14:paraId="07D0FF4B">
            <w:pPr>
              <w:spacing w:line="260" w:lineRule="exact"/>
              <w:jc w:val="center"/>
              <w:rPr>
                <w:color w:val="000000" w:themeColor="text1"/>
              </w:rPr>
            </w:pPr>
          </w:p>
        </w:tc>
        <w:tc>
          <w:tcPr>
            <w:tcW w:w="969" w:type="dxa"/>
            <w:vMerge w:val="continue"/>
            <w:vAlign w:val="center"/>
          </w:tcPr>
          <w:p w14:paraId="65B67AFA">
            <w:pPr>
              <w:spacing w:line="260" w:lineRule="exact"/>
              <w:jc w:val="center"/>
              <w:rPr>
                <w:color w:val="000000" w:themeColor="text1"/>
              </w:rPr>
            </w:pPr>
          </w:p>
        </w:tc>
        <w:tc>
          <w:tcPr>
            <w:tcW w:w="1944" w:type="dxa"/>
            <w:vMerge w:val="continue"/>
            <w:vAlign w:val="center"/>
          </w:tcPr>
          <w:p w14:paraId="1B78755F">
            <w:pPr>
              <w:spacing w:line="260" w:lineRule="exact"/>
              <w:jc w:val="center"/>
              <w:rPr>
                <w:color w:val="000000" w:themeColor="text1"/>
              </w:rPr>
            </w:pPr>
          </w:p>
        </w:tc>
        <w:tc>
          <w:tcPr>
            <w:tcW w:w="1602" w:type="dxa"/>
            <w:vAlign w:val="center"/>
          </w:tcPr>
          <w:p w14:paraId="628F0F8B">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w:t>
            </w:r>
          </w:p>
          <w:p w14:paraId="41F49897">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人力资源和</w:t>
            </w:r>
          </w:p>
          <w:p w14:paraId="4D72E7BF">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社会保障局</w:t>
            </w:r>
          </w:p>
        </w:tc>
        <w:tc>
          <w:tcPr>
            <w:tcW w:w="2702" w:type="dxa"/>
            <w:vAlign w:val="center"/>
          </w:tcPr>
          <w:p w14:paraId="316CFF2D">
            <w:pPr>
              <w:spacing w:line="260" w:lineRule="exact"/>
              <w:jc w:val="left"/>
              <w:rPr>
                <w:rFonts w:ascii="仿宋_GB2312" w:hAnsi="仿宋_GB2312" w:eastAsia="仿宋_GB2312" w:cs="仿宋_GB2312"/>
                <w:color w:val="000000" w:themeColor="text1"/>
                <w:kern w:val="0"/>
                <w:sz w:val="23"/>
                <w:szCs w:val="23"/>
              </w:rPr>
            </w:pPr>
            <w:r>
              <w:rPr>
                <w:rFonts w:ascii="仿宋_GB2312" w:hAnsi="仿宋_GB2312" w:eastAsia="仿宋_GB2312" w:cs="仿宋_GB2312"/>
                <w:color w:val="000000" w:themeColor="text1"/>
                <w:kern w:val="21"/>
                <w:sz w:val="23"/>
                <w:szCs w:val="23"/>
              </w:rPr>
              <w:t>对管辖学校的控烟工作进行监督管理</w:t>
            </w:r>
          </w:p>
        </w:tc>
      </w:tr>
      <w:tr w14:paraId="4B5A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0" w:hRule="atLeast"/>
          <w:jc w:val="center"/>
        </w:trPr>
        <w:tc>
          <w:tcPr>
            <w:tcW w:w="580" w:type="dxa"/>
            <w:vMerge w:val="continue"/>
            <w:vAlign w:val="center"/>
          </w:tcPr>
          <w:p w14:paraId="29F2C02C">
            <w:pPr>
              <w:spacing w:line="260" w:lineRule="exact"/>
              <w:jc w:val="center"/>
              <w:rPr>
                <w:rFonts w:ascii="仿宋_GB2312" w:hAnsi="仿宋_GB2312" w:eastAsia="仿宋_GB2312" w:cs="仿宋_GB2312"/>
                <w:color w:val="000000" w:themeColor="text1"/>
                <w:kern w:val="0"/>
                <w:sz w:val="23"/>
                <w:szCs w:val="23"/>
              </w:rPr>
            </w:pPr>
          </w:p>
        </w:tc>
        <w:tc>
          <w:tcPr>
            <w:tcW w:w="1519" w:type="dxa"/>
            <w:vMerge w:val="continue"/>
            <w:vAlign w:val="center"/>
          </w:tcPr>
          <w:p w14:paraId="4F40F859">
            <w:pPr>
              <w:spacing w:line="260" w:lineRule="exact"/>
              <w:jc w:val="center"/>
              <w:rPr>
                <w:rFonts w:ascii="仿宋_GB2312" w:hAnsi="仿宋_GB2312" w:eastAsia="仿宋_GB2312" w:cs="仿宋_GB2312"/>
                <w:color w:val="000000" w:themeColor="text1"/>
                <w:kern w:val="0"/>
                <w:sz w:val="23"/>
                <w:szCs w:val="23"/>
              </w:rPr>
            </w:pPr>
          </w:p>
        </w:tc>
        <w:tc>
          <w:tcPr>
            <w:tcW w:w="1216" w:type="dxa"/>
            <w:vMerge w:val="continue"/>
            <w:vAlign w:val="center"/>
          </w:tcPr>
          <w:p w14:paraId="6A343541">
            <w:pPr>
              <w:spacing w:line="260" w:lineRule="exact"/>
              <w:jc w:val="center"/>
              <w:rPr>
                <w:rFonts w:ascii="仿宋_GB2312" w:hAnsi="仿宋_GB2312" w:eastAsia="仿宋_GB2312" w:cs="仿宋_GB2312"/>
                <w:color w:val="000000" w:themeColor="text1"/>
                <w:kern w:val="0"/>
                <w:sz w:val="23"/>
                <w:szCs w:val="23"/>
              </w:rPr>
            </w:pPr>
          </w:p>
        </w:tc>
        <w:tc>
          <w:tcPr>
            <w:tcW w:w="709" w:type="dxa"/>
            <w:vMerge w:val="continue"/>
            <w:vAlign w:val="center"/>
          </w:tcPr>
          <w:p w14:paraId="52505D05">
            <w:pPr>
              <w:spacing w:line="260" w:lineRule="exact"/>
              <w:jc w:val="center"/>
              <w:rPr>
                <w:rFonts w:ascii="仿宋_GB2312" w:hAnsi="仿宋_GB2312" w:eastAsia="仿宋_GB2312" w:cs="仿宋_GB2312"/>
                <w:color w:val="000000" w:themeColor="text1"/>
                <w:kern w:val="0"/>
                <w:sz w:val="23"/>
                <w:szCs w:val="23"/>
              </w:rPr>
            </w:pPr>
          </w:p>
        </w:tc>
        <w:tc>
          <w:tcPr>
            <w:tcW w:w="1096" w:type="dxa"/>
            <w:vMerge w:val="continue"/>
            <w:vAlign w:val="center"/>
          </w:tcPr>
          <w:p w14:paraId="05ABA841">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7F78F328">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3F451651">
            <w:pPr>
              <w:spacing w:line="260" w:lineRule="exact"/>
              <w:jc w:val="center"/>
              <w:rPr>
                <w:rFonts w:ascii="仿宋_GB2312" w:hAnsi="仿宋_GB2312" w:eastAsia="仿宋_GB2312" w:cs="仿宋_GB2312"/>
                <w:color w:val="000000" w:themeColor="text1"/>
                <w:kern w:val="0"/>
                <w:sz w:val="23"/>
                <w:szCs w:val="23"/>
              </w:rPr>
            </w:pPr>
          </w:p>
        </w:tc>
        <w:tc>
          <w:tcPr>
            <w:tcW w:w="968" w:type="dxa"/>
            <w:vMerge w:val="continue"/>
            <w:vAlign w:val="center"/>
          </w:tcPr>
          <w:p w14:paraId="1C5B8A5A">
            <w:pPr>
              <w:spacing w:line="260" w:lineRule="exact"/>
              <w:jc w:val="center"/>
              <w:rPr>
                <w:rFonts w:ascii="仿宋_GB2312" w:hAnsi="仿宋_GB2312" w:eastAsia="仿宋_GB2312" w:cs="仿宋_GB2312"/>
                <w:color w:val="000000" w:themeColor="text1"/>
                <w:kern w:val="0"/>
                <w:sz w:val="23"/>
                <w:szCs w:val="23"/>
              </w:rPr>
            </w:pPr>
          </w:p>
        </w:tc>
        <w:tc>
          <w:tcPr>
            <w:tcW w:w="969" w:type="dxa"/>
            <w:vMerge w:val="continue"/>
            <w:vAlign w:val="center"/>
          </w:tcPr>
          <w:p w14:paraId="0B8AD4F0">
            <w:pPr>
              <w:spacing w:line="260" w:lineRule="exact"/>
              <w:jc w:val="center"/>
              <w:rPr>
                <w:rFonts w:ascii="仿宋_GB2312" w:hAnsi="仿宋_GB2312" w:eastAsia="仿宋_GB2312" w:cs="仿宋_GB2312"/>
                <w:color w:val="000000" w:themeColor="text1"/>
                <w:kern w:val="0"/>
                <w:sz w:val="23"/>
                <w:szCs w:val="23"/>
              </w:rPr>
            </w:pPr>
          </w:p>
        </w:tc>
        <w:tc>
          <w:tcPr>
            <w:tcW w:w="1944" w:type="dxa"/>
            <w:vMerge w:val="continue"/>
            <w:vAlign w:val="center"/>
          </w:tcPr>
          <w:p w14:paraId="75F12270">
            <w:pPr>
              <w:spacing w:line="260" w:lineRule="exact"/>
              <w:jc w:val="center"/>
              <w:rPr>
                <w:rFonts w:ascii="仿宋_GB2312" w:hAnsi="仿宋_GB2312" w:eastAsia="仿宋_GB2312" w:cs="仿宋_GB2312"/>
                <w:color w:val="000000" w:themeColor="text1"/>
                <w:kern w:val="0"/>
                <w:sz w:val="23"/>
                <w:szCs w:val="23"/>
              </w:rPr>
            </w:pPr>
          </w:p>
        </w:tc>
        <w:tc>
          <w:tcPr>
            <w:tcW w:w="1602" w:type="dxa"/>
            <w:vAlign w:val="center"/>
          </w:tcPr>
          <w:p w14:paraId="72061FB1">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广元市朝天区文化旅游和体育局</w:t>
            </w:r>
          </w:p>
        </w:tc>
        <w:tc>
          <w:tcPr>
            <w:tcW w:w="2702" w:type="dxa"/>
            <w:vAlign w:val="center"/>
          </w:tcPr>
          <w:p w14:paraId="4798BECA">
            <w:pPr>
              <w:spacing w:line="260" w:lineRule="exact"/>
              <w:jc w:val="left"/>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对文化、娱乐场所、公共体育场馆的控烟工作进行监督管理</w:t>
            </w:r>
          </w:p>
        </w:tc>
      </w:tr>
      <w:tr w14:paraId="77F4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4" w:hRule="atLeast"/>
          <w:jc w:val="center"/>
        </w:trPr>
        <w:tc>
          <w:tcPr>
            <w:tcW w:w="580" w:type="dxa"/>
            <w:vMerge w:val="continue"/>
            <w:vAlign w:val="center"/>
          </w:tcPr>
          <w:p w14:paraId="177F80F4">
            <w:pPr>
              <w:spacing w:line="260" w:lineRule="exact"/>
              <w:jc w:val="center"/>
              <w:rPr>
                <w:rFonts w:ascii="仿宋_GB2312" w:hAnsi="仿宋_GB2312" w:eastAsia="仿宋_GB2312" w:cs="仿宋_GB2312"/>
                <w:color w:val="000000" w:themeColor="text1"/>
                <w:kern w:val="0"/>
                <w:sz w:val="23"/>
                <w:szCs w:val="23"/>
              </w:rPr>
            </w:pPr>
          </w:p>
        </w:tc>
        <w:tc>
          <w:tcPr>
            <w:tcW w:w="1519" w:type="dxa"/>
            <w:vMerge w:val="continue"/>
            <w:vAlign w:val="center"/>
          </w:tcPr>
          <w:p w14:paraId="2E0CACE4">
            <w:pPr>
              <w:spacing w:line="260" w:lineRule="exact"/>
              <w:jc w:val="center"/>
              <w:rPr>
                <w:rFonts w:ascii="仿宋_GB2312" w:hAnsi="仿宋_GB2312" w:eastAsia="仿宋_GB2312" w:cs="仿宋_GB2312"/>
                <w:color w:val="000000" w:themeColor="text1"/>
                <w:kern w:val="0"/>
                <w:sz w:val="23"/>
                <w:szCs w:val="23"/>
              </w:rPr>
            </w:pPr>
          </w:p>
        </w:tc>
        <w:tc>
          <w:tcPr>
            <w:tcW w:w="1216" w:type="dxa"/>
            <w:vMerge w:val="continue"/>
            <w:vAlign w:val="center"/>
          </w:tcPr>
          <w:p w14:paraId="09D483D3">
            <w:pPr>
              <w:spacing w:line="260" w:lineRule="exact"/>
              <w:jc w:val="center"/>
              <w:rPr>
                <w:rFonts w:ascii="仿宋_GB2312" w:hAnsi="仿宋_GB2312" w:eastAsia="仿宋_GB2312" w:cs="仿宋_GB2312"/>
                <w:color w:val="000000" w:themeColor="text1"/>
                <w:kern w:val="0"/>
                <w:sz w:val="23"/>
                <w:szCs w:val="23"/>
              </w:rPr>
            </w:pPr>
          </w:p>
        </w:tc>
        <w:tc>
          <w:tcPr>
            <w:tcW w:w="709" w:type="dxa"/>
            <w:vMerge w:val="continue"/>
            <w:vAlign w:val="center"/>
          </w:tcPr>
          <w:p w14:paraId="6318546E">
            <w:pPr>
              <w:spacing w:line="260" w:lineRule="exact"/>
              <w:jc w:val="center"/>
              <w:rPr>
                <w:rFonts w:ascii="仿宋_GB2312" w:hAnsi="仿宋_GB2312" w:eastAsia="仿宋_GB2312" w:cs="仿宋_GB2312"/>
                <w:color w:val="000000" w:themeColor="text1"/>
                <w:kern w:val="0"/>
                <w:sz w:val="23"/>
                <w:szCs w:val="23"/>
              </w:rPr>
            </w:pPr>
          </w:p>
        </w:tc>
        <w:tc>
          <w:tcPr>
            <w:tcW w:w="1096" w:type="dxa"/>
            <w:vMerge w:val="continue"/>
            <w:vAlign w:val="center"/>
          </w:tcPr>
          <w:p w14:paraId="222A8187">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3A1ADABD">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2F2FFE3B">
            <w:pPr>
              <w:spacing w:line="260" w:lineRule="exact"/>
              <w:jc w:val="center"/>
              <w:rPr>
                <w:rFonts w:ascii="仿宋_GB2312" w:hAnsi="仿宋_GB2312" w:eastAsia="仿宋_GB2312" w:cs="仿宋_GB2312"/>
                <w:color w:val="000000" w:themeColor="text1"/>
                <w:kern w:val="0"/>
                <w:sz w:val="23"/>
                <w:szCs w:val="23"/>
              </w:rPr>
            </w:pPr>
          </w:p>
        </w:tc>
        <w:tc>
          <w:tcPr>
            <w:tcW w:w="968" w:type="dxa"/>
            <w:vMerge w:val="continue"/>
            <w:vAlign w:val="center"/>
          </w:tcPr>
          <w:p w14:paraId="358AB08E">
            <w:pPr>
              <w:spacing w:line="260" w:lineRule="exact"/>
              <w:jc w:val="center"/>
              <w:rPr>
                <w:rFonts w:ascii="仿宋_GB2312" w:hAnsi="仿宋_GB2312" w:eastAsia="仿宋_GB2312" w:cs="仿宋_GB2312"/>
                <w:color w:val="000000" w:themeColor="text1"/>
                <w:kern w:val="0"/>
                <w:sz w:val="23"/>
                <w:szCs w:val="23"/>
              </w:rPr>
            </w:pPr>
          </w:p>
        </w:tc>
        <w:tc>
          <w:tcPr>
            <w:tcW w:w="969" w:type="dxa"/>
            <w:vMerge w:val="continue"/>
            <w:vAlign w:val="center"/>
          </w:tcPr>
          <w:p w14:paraId="69B9E200">
            <w:pPr>
              <w:spacing w:line="260" w:lineRule="exact"/>
              <w:jc w:val="center"/>
              <w:rPr>
                <w:rFonts w:ascii="仿宋_GB2312" w:hAnsi="仿宋_GB2312" w:eastAsia="仿宋_GB2312" w:cs="仿宋_GB2312"/>
                <w:color w:val="000000" w:themeColor="text1"/>
                <w:kern w:val="0"/>
                <w:sz w:val="23"/>
                <w:szCs w:val="23"/>
              </w:rPr>
            </w:pPr>
          </w:p>
        </w:tc>
        <w:tc>
          <w:tcPr>
            <w:tcW w:w="1944" w:type="dxa"/>
            <w:vMerge w:val="continue"/>
            <w:vAlign w:val="center"/>
          </w:tcPr>
          <w:p w14:paraId="2996B101">
            <w:pPr>
              <w:spacing w:line="260" w:lineRule="exact"/>
              <w:jc w:val="center"/>
              <w:rPr>
                <w:rFonts w:ascii="仿宋_GB2312" w:hAnsi="仿宋_GB2312" w:eastAsia="仿宋_GB2312" w:cs="仿宋_GB2312"/>
                <w:color w:val="000000" w:themeColor="text1"/>
                <w:kern w:val="0"/>
                <w:sz w:val="23"/>
                <w:szCs w:val="23"/>
              </w:rPr>
            </w:pPr>
          </w:p>
        </w:tc>
        <w:tc>
          <w:tcPr>
            <w:tcW w:w="1602" w:type="dxa"/>
            <w:vAlign w:val="center"/>
          </w:tcPr>
          <w:p w14:paraId="0F1FE7B1">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广元市朝天区交通运输局</w:t>
            </w:r>
          </w:p>
        </w:tc>
        <w:tc>
          <w:tcPr>
            <w:tcW w:w="2702" w:type="dxa"/>
            <w:vAlign w:val="center"/>
          </w:tcPr>
          <w:p w14:paraId="6E019929">
            <w:pPr>
              <w:spacing w:line="260" w:lineRule="exact"/>
              <w:jc w:val="left"/>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对公共交通工具及其有关公共场所的控烟工作进行监督管理</w:t>
            </w:r>
          </w:p>
        </w:tc>
      </w:tr>
      <w:tr w14:paraId="7BFA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4" w:hRule="atLeast"/>
          <w:jc w:val="center"/>
        </w:trPr>
        <w:tc>
          <w:tcPr>
            <w:tcW w:w="580" w:type="dxa"/>
            <w:vMerge w:val="continue"/>
            <w:vAlign w:val="center"/>
          </w:tcPr>
          <w:p w14:paraId="114987EE">
            <w:pPr>
              <w:spacing w:line="260" w:lineRule="exact"/>
              <w:jc w:val="center"/>
              <w:rPr>
                <w:rFonts w:ascii="仿宋_GB2312" w:hAnsi="仿宋_GB2312" w:eastAsia="仿宋_GB2312" w:cs="仿宋_GB2312"/>
                <w:color w:val="000000" w:themeColor="text1"/>
                <w:kern w:val="0"/>
                <w:sz w:val="23"/>
                <w:szCs w:val="23"/>
              </w:rPr>
            </w:pPr>
          </w:p>
        </w:tc>
        <w:tc>
          <w:tcPr>
            <w:tcW w:w="1519" w:type="dxa"/>
            <w:vMerge w:val="continue"/>
            <w:vAlign w:val="center"/>
          </w:tcPr>
          <w:p w14:paraId="48A345E7">
            <w:pPr>
              <w:spacing w:line="260" w:lineRule="exact"/>
              <w:jc w:val="center"/>
              <w:rPr>
                <w:rFonts w:ascii="仿宋_GB2312" w:hAnsi="仿宋_GB2312" w:eastAsia="仿宋_GB2312" w:cs="仿宋_GB2312"/>
                <w:color w:val="000000" w:themeColor="text1"/>
                <w:kern w:val="0"/>
                <w:sz w:val="23"/>
                <w:szCs w:val="23"/>
              </w:rPr>
            </w:pPr>
          </w:p>
        </w:tc>
        <w:tc>
          <w:tcPr>
            <w:tcW w:w="1216" w:type="dxa"/>
            <w:vMerge w:val="continue"/>
            <w:vAlign w:val="center"/>
          </w:tcPr>
          <w:p w14:paraId="4232F83F">
            <w:pPr>
              <w:spacing w:line="260" w:lineRule="exact"/>
              <w:jc w:val="center"/>
              <w:rPr>
                <w:rFonts w:ascii="仿宋_GB2312" w:hAnsi="仿宋_GB2312" w:eastAsia="仿宋_GB2312" w:cs="仿宋_GB2312"/>
                <w:color w:val="000000" w:themeColor="text1"/>
                <w:kern w:val="0"/>
                <w:sz w:val="23"/>
                <w:szCs w:val="23"/>
              </w:rPr>
            </w:pPr>
          </w:p>
        </w:tc>
        <w:tc>
          <w:tcPr>
            <w:tcW w:w="709" w:type="dxa"/>
            <w:vMerge w:val="continue"/>
            <w:vAlign w:val="center"/>
          </w:tcPr>
          <w:p w14:paraId="5C6D192C">
            <w:pPr>
              <w:spacing w:line="260" w:lineRule="exact"/>
              <w:jc w:val="center"/>
              <w:rPr>
                <w:rFonts w:ascii="仿宋_GB2312" w:hAnsi="仿宋_GB2312" w:eastAsia="仿宋_GB2312" w:cs="仿宋_GB2312"/>
                <w:color w:val="000000" w:themeColor="text1"/>
                <w:kern w:val="0"/>
                <w:sz w:val="23"/>
                <w:szCs w:val="23"/>
              </w:rPr>
            </w:pPr>
          </w:p>
        </w:tc>
        <w:tc>
          <w:tcPr>
            <w:tcW w:w="1096" w:type="dxa"/>
            <w:vMerge w:val="continue"/>
            <w:vAlign w:val="center"/>
          </w:tcPr>
          <w:p w14:paraId="3DBFBC35">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3B3657D7">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483BBA38">
            <w:pPr>
              <w:spacing w:line="260" w:lineRule="exact"/>
              <w:jc w:val="center"/>
              <w:rPr>
                <w:rFonts w:ascii="仿宋_GB2312" w:hAnsi="仿宋_GB2312" w:eastAsia="仿宋_GB2312" w:cs="仿宋_GB2312"/>
                <w:color w:val="000000" w:themeColor="text1"/>
                <w:kern w:val="0"/>
                <w:sz w:val="23"/>
                <w:szCs w:val="23"/>
              </w:rPr>
            </w:pPr>
          </w:p>
        </w:tc>
        <w:tc>
          <w:tcPr>
            <w:tcW w:w="968" w:type="dxa"/>
            <w:vMerge w:val="continue"/>
            <w:vAlign w:val="center"/>
          </w:tcPr>
          <w:p w14:paraId="71B54F23">
            <w:pPr>
              <w:spacing w:line="260" w:lineRule="exact"/>
              <w:jc w:val="center"/>
              <w:rPr>
                <w:rFonts w:ascii="仿宋_GB2312" w:hAnsi="仿宋_GB2312" w:eastAsia="仿宋_GB2312" w:cs="仿宋_GB2312"/>
                <w:color w:val="000000" w:themeColor="text1"/>
                <w:kern w:val="0"/>
                <w:sz w:val="23"/>
                <w:szCs w:val="23"/>
              </w:rPr>
            </w:pPr>
          </w:p>
        </w:tc>
        <w:tc>
          <w:tcPr>
            <w:tcW w:w="969" w:type="dxa"/>
            <w:vMerge w:val="continue"/>
            <w:vAlign w:val="center"/>
          </w:tcPr>
          <w:p w14:paraId="2BF51ACB">
            <w:pPr>
              <w:spacing w:line="260" w:lineRule="exact"/>
              <w:jc w:val="center"/>
              <w:rPr>
                <w:rFonts w:ascii="仿宋_GB2312" w:hAnsi="仿宋_GB2312" w:eastAsia="仿宋_GB2312" w:cs="仿宋_GB2312"/>
                <w:color w:val="000000" w:themeColor="text1"/>
                <w:kern w:val="0"/>
                <w:sz w:val="23"/>
                <w:szCs w:val="23"/>
              </w:rPr>
            </w:pPr>
          </w:p>
        </w:tc>
        <w:tc>
          <w:tcPr>
            <w:tcW w:w="1944" w:type="dxa"/>
            <w:vMerge w:val="continue"/>
            <w:vAlign w:val="center"/>
          </w:tcPr>
          <w:p w14:paraId="72118CED">
            <w:pPr>
              <w:spacing w:line="260" w:lineRule="exact"/>
              <w:jc w:val="center"/>
              <w:rPr>
                <w:rFonts w:ascii="仿宋_GB2312" w:hAnsi="仿宋_GB2312" w:eastAsia="仿宋_GB2312" w:cs="仿宋_GB2312"/>
                <w:color w:val="000000" w:themeColor="text1"/>
                <w:kern w:val="0"/>
                <w:sz w:val="23"/>
                <w:szCs w:val="23"/>
              </w:rPr>
            </w:pPr>
          </w:p>
        </w:tc>
        <w:tc>
          <w:tcPr>
            <w:tcW w:w="1602" w:type="dxa"/>
            <w:vAlign w:val="center"/>
          </w:tcPr>
          <w:p w14:paraId="6CB0D1D5">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广元市朝天区市场监督</w:t>
            </w:r>
          </w:p>
          <w:p w14:paraId="1387166B">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管理局</w:t>
            </w:r>
          </w:p>
        </w:tc>
        <w:tc>
          <w:tcPr>
            <w:tcW w:w="2702" w:type="dxa"/>
            <w:vAlign w:val="center"/>
          </w:tcPr>
          <w:p w14:paraId="6E784117">
            <w:pPr>
              <w:spacing w:line="260" w:lineRule="exact"/>
              <w:jc w:val="left"/>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对餐饮业经营场所的控烟工作进行监督管理</w:t>
            </w:r>
          </w:p>
        </w:tc>
      </w:tr>
      <w:tr w14:paraId="1F28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4" w:hRule="atLeast"/>
          <w:jc w:val="center"/>
        </w:trPr>
        <w:tc>
          <w:tcPr>
            <w:tcW w:w="580" w:type="dxa"/>
            <w:vMerge w:val="continue"/>
            <w:vAlign w:val="center"/>
          </w:tcPr>
          <w:p w14:paraId="7A86CC90">
            <w:pPr>
              <w:spacing w:line="260" w:lineRule="exact"/>
              <w:jc w:val="center"/>
              <w:rPr>
                <w:rFonts w:ascii="仿宋_GB2312" w:hAnsi="仿宋_GB2312" w:eastAsia="仿宋_GB2312" w:cs="仿宋_GB2312"/>
                <w:color w:val="000000" w:themeColor="text1"/>
                <w:kern w:val="0"/>
                <w:sz w:val="23"/>
                <w:szCs w:val="23"/>
              </w:rPr>
            </w:pPr>
          </w:p>
        </w:tc>
        <w:tc>
          <w:tcPr>
            <w:tcW w:w="1519" w:type="dxa"/>
            <w:vMerge w:val="continue"/>
            <w:vAlign w:val="center"/>
          </w:tcPr>
          <w:p w14:paraId="58A2CA2F">
            <w:pPr>
              <w:spacing w:line="260" w:lineRule="exact"/>
              <w:jc w:val="center"/>
              <w:rPr>
                <w:rFonts w:ascii="仿宋_GB2312" w:hAnsi="仿宋_GB2312" w:eastAsia="仿宋_GB2312" w:cs="仿宋_GB2312"/>
                <w:color w:val="000000" w:themeColor="text1"/>
                <w:kern w:val="0"/>
                <w:sz w:val="23"/>
                <w:szCs w:val="23"/>
              </w:rPr>
            </w:pPr>
          </w:p>
        </w:tc>
        <w:tc>
          <w:tcPr>
            <w:tcW w:w="1216" w:type="dxa"/>
            <w:vMerge w:val="continue"/>
            <w:vAlign w:val="center"/>
          </w:tcPr>
          <w:p w14:paraId="3A848610">
            <w:pPr>
              <w:spacing w:line="260" w:lineRule="exact"/>
              <w:jc w:val="center"/>
              <w:rPr>
                <w:rFonts w:ascii="仿宋_GB2312" w:hAnsi="仿宋_GB2312" w:eastAsia="仿宋_GB2312" w:cs="仿宋_GB2312"/>
                <w:color w:val="000000" w:themeColor="text1"/>
                <w:kern w:val="0"/>
                <w:sz w:val="23"/>
                <w:szCs w:val="23"/>
              </w:rPr>
            </w:pPr>
          </w:p>
        </w:tc>
        <w:tc>
          <w:tcPr>
            <w:tcW w:w="709" w:type="dxa"/>
            <w:vMerge w:val="continue"/>
            <w:vAlign w:val="center"/>
          </w:tcPr>
          <w:p w14:paraId="652D021C">
            <w:pPr>
              <w:spacing w:line="260" w:lineRule="exact"/>
              <w:jc w:val="center"/>
              <w:rPr>
                <w:rFonts w:ascii="仿宋_GB2312" w:hAnsi="仿宋_GB2312" w:eastAsia="仿宋_GB2312" w:cs="仿宋_GB2312"/>
                <w:color w:val="000000" w:themeColor="text1"/>
                <w:kern w:val="0"/>
                <w:sz w:val="23"/>
                <w:szCs w:val="23"/>
              </w:rPr>
            </w:pPr>
          </w:p>
        </w:tc>
        <w:tc>
          <w:tcPr>
            <w:tcW w:w="1096" w:type="dxa"/>
            <w:vMerge w:val="continue"/>
            <w:vAlign w:val="center"/>
          </w:tcPr>
          <w:p w14:paraId="0F603D02">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42C5BC65">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08C2922C">
            <w:pPr>
              <w:spacing w:line="260" w:lineRule="exact"/>
              <w:jc w:val="center"/>
              <w:rPr>
                <w:rFonts w:ascii="仿宋_GB2312" w:hAnsi="仿宋_GB2312" w:eastAsia="仿宋_GB2312" w:cs="仿宋_GB2312"/>
                <w:color w:val="000000" w:themeColor="text1"/>
                <w:kern w:val="0"/>
                <w:sz w:val="23"/>
                <w:szCs w:val="23"/>
              </w:rPr>
            </w:pPr>
          </w:p>
        </w:tc>
        <w:tc>
          <w:tcPr>
            <w:tcW w:w="968" w:type="dxa"/>
            <w:vMerge w:val="continue"/>
            <w:vAlign w:val="center"/>
          </w:tcPr>
          <w:p w14:paraId="2A9CF106">
            <w:pPr>
              <w:spacing w:line="260" w:lineRule="exact"/>
              <w:jc w:val="center"/>
              <w:rPr>
                <w:rFonts w:ascii="仿宋_GB2312" w:hAnsi="仿宋_GB2312" w:eastAsia="仿宋_GB2312" w:cs="仿宋_GB2312"/>
                <w:color w:val="000000" w:themeColor="text1"/>
                <w:kern w:val="0"/>
                <w:sz w:val="23"/>
                <w:szCs w:val="23"/>
              </w:rPr>
            </w:pPr>
          </w:p>
        </w:tc>
        <w:tc>
          <w:tcPr>
            <w:tcW w:w="969" w:type="dxa"/>
            <w:vMerge w:val="continue"/>
            <w:vAlign w:val="center"/>
          </w:tcPr>
          <w:p w14:paraId="296A25F8">
            <w:pPr>
              <w:spacing w:line="260" w:lineRule="exact"/>
              <w:jc w:val="center"/>
              <w:rPr>
                <w:rFonts w:ascii="仿宋_GB2312" w:hAnsi="仿宋_GB2312" w:eastAsia="仿宋_GB2312" w:cs="仿宋_GB2312"/>
                <w:color w:val="000000" w:themeColor="text1"/>
                <w:kern w:val="0"/>
                <w:sz w:val="23"/>
                <w:szCs w:val="23"/>
              </w:rPr>
            </w:pPr>
          </w:p>
        </w:tc>
        <w:tc>
          <w:tcPr>
            <w:tcW w:w="1944" w:type="dxa"/>
            <w:vMerge w:val="continue"/>
            <w:vAlign w:val="center"/>
          </w:tcPr>
          <w:p w14:paraId="687371AD">
            <w:pPr>
              <w:spacing w:line="260" w:lineRule="exact"/>
              <w:jc w:val="center"/>
              <w:rPr>
                <w:rFonts w:ascii="仿宋_GB2312" w:hAnsi="仿宋_GB2312" w:eastAsia="仿宋_GB2312" w:cs="仿宋_GB2312"/>
                <w:color w:val="000000" w:themeColor="text1"/>
                <w:kern w:val="0"/>
                <w:sz w:val="23"/>
                <w:szCs w:val="23"/>
              </w:rPr>
            </w:pPr>
          </w:p>
        </w:tc>
        <w:tc>
          <w:tcPr>
            <w:tcW w:w="1602" w:type="dxa"/>
            <w:vAlign w:val="center"/>
          </w:tcPr>
          <w:p w14:paraId="4DE09516">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广元市公安局朝天区分局</w:t>
            </w:r>
          </w:p>
        </w:tc>
        <w:tc>
          <w:tcPr>
            <w:tcW w:w="2702" w:type="dxa"/>
            <w:vAlign w:val="center"/>
          </w:tcPr>
          <w:p w14:paraId="1CF667C2">
            <w:pPr>
              <w:spacing w:line="260" w:lineRule="exact"/>
              <w:jc w:val="left"/>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对网吧等互联网上网服务营业场所的控烟工作进行监督管理</w:t>
            </w:r>
          </w:p>
        </w:tc>
      </w:tr>
      <w:tr w14:paraId="139CF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580" w:type="dxa"/>
            <w:vMerge w:val="continue"/>
            <w:vAlign w:val="center"/>
          </w:tcPr>
          <w:p w14:paraId="472716A1">
            <w:pPr>
              <w:spacing w:line="260" w:lineRule="exact"/>
              <w:jc w:val="center"/>
              <w:rPr>
                <w:rFonts w:ascii="仿宋_GB2312" w:hAnsi="仿宋_GB2312" w:eastAsia="仿宋_GB2312" w:cs="仿宋_GB2312"/>
                <w:color w:val="000000" w:themeColor="text1"/>
                <w:kern w:val="0"/>
                <w:sz w:val="23"/>
                <w:szCs w:val="23"/>
              </w:rPr>
            </w:pPr>
          </w:p>
        </w:tc>
        <w:tc>
          <w:tcPr>
            <w:tcW w:w="1519" w:type="dxa"/>
            <w:vMerge w:val="continue"/>
            <w:vAlign w:val="center"/>
          </w:tcPr>
          <w:p w14:paraId="3A220E97">
            <w:pPr>
              <w:spacing w:line="260" w:lineRule="exact"/>
              <w:jc w:val="center"/>
              <w:rPr>
                <w:rFonts w:ascii="仿宋_GB2312" w:hAnsi="仿宋_GB2312" w:eastAsia="仿宋_GB2312" w:cs="仿宋_GB2312"/>
                <w:color w:val="000000" w:themeColor="text1"/>
                <w:kern w:val="0"/>
                <w:sz w:val="23"/>
                <w:szCs w:val="23"/>
              </w:rPr>
            </w:pPr>
          </w:p>
        </w:tc>
        <w:tc>
          <w:tcPr>
            <w:tcW w:w="1216" w:type="dxa"/>
            <w:vMerge w:val="continue"/>
            <w:vAlign w:val="center"/>
          </w:tcPr>
          <w:p w14:paraId="615C8AA9">
            <w:pPr>
              <w:spacing w:line="260" w:lineRule="exact"/>
              <w:jc w:val="center"/>
              <w:rPr>
                <w:rFonts w:ascii="仿宋_GB2312" w:hAnsi="仿宋_GB2312" w:eastAsia="仿宋_GB2312" w:cs="仿宋_GB2312"/>
                <w:color w:val="000000" w:themeColor="text1"/>
                <w:kern w:val="0"/>
                <w:sz w:val="23"/>
                <w:szCs w:val="23"/>
              </w:rPr>
            </w:pPr>
          </w:p>
        </w:tc>
        <w:tc>
          <w:tcPr>
            <w:tcW w:w="709" w:type="dxa"/>
            <w:vMerge w:val="continue"/>
            <w:vAlign w:val="center"/>
          </w:tcPr>
          <w:p w14:paraId="4282232A">
            <w:pPr>
              <w:spacing w:line="260" w:lineRule="exact"/>
              <w:jc w:val="center"/>
              <w:rPr>
                <w:rFonts w:ascii="仿宋_GB2312" w:hAnsi="仿宋_GB2312" w:eastAsia="仿宋_GB2312" w:cs="仿宋_GB2312"/>
                <w:color w:val="000000" w:themeColor="text1"/>
                <w:kern w:val="0"/>
                <w:sz w:val="23"/>
                <w:szCs w:val="23"/>
              </w:rPr>
            </w:pPr>
          </w:p>
        </w:tc>
        <w:tc>
          <w:tcPr>
            <w:tcW w:w="1096" w:type="dxa"/>
            <w:vMerge w:val="continue"/>
            <w:vAlign w:val="center"/>
          </w:tcPr>
          <w:p w14:paraId="4D25862B">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7CA7F722">
            <w:pPr>
              <w:spacing w:line="260" w:lineRule="exact"/>
              <w:jc w:val="center"/>
              <w:rPr>
                <w:rFonts w:ascii="仿宋_GB2312" w:hAnsi="仿宋_GB2312" w:eastAsia="仿宋_GB2312" w:cs="仿宋_GB2312"/>
                <w:color w:val="000000" w:themeColor="text1"/>
                <w:kern w:val="0"/>
                <w:sz w:val="23"/>
                <w:szCs w:val="23"/>
              </w:rPr>
            </w:pPr>
          </w:p>
        </w:tc>
        <w:tc>
          <w:tcPr>
            <w:tcW w:w="890" w:type="dxa"/>
            <w:vMerge w:val="continue"/>
            <w:vAlign w:val="center"/>
          </w:tcPr>
          <w:p w14:paraId="4F6A04D2">
            <w:pPr>
              <w:spacing w:line="260" w:lineRule="exact"/>
              <w:jc w:val="center"/>
              <w:rPr>
                <w:rFonts w:ascii="仿宋_GB2312" w:hAnsi="仿宋_GB2312" w:eastAsia="仿宋_GB2312" w:cs="仿宋_GB2312"/>
                <w:color w:val="000000" w:themeColor="text1"/>
                <w:kern w:val="0"/>
                <w:sz w:val="23"/>
                <w:szCs w:val="23"/>
              </w:rPr>
            </w:pPr>
          </w:p>
        </w:tc>
        <w:tc>
          <w:tcPr>
            <w:tcW w:w="968" w:type="dxa"/>
            <w:vMerge w:val="continue"/>
            <w:vAlign w:val="center"/>
          </w:tcPr>
          <w:p w14:paraId="524B7FAE">
            <w:pPr>
              <w:spacing w:line="260" w:lineRule="exact"/>
              <w:jc w:val="center"/>
              <w:rPr>
                <w:rFonts w:ascii="仿宋_GB2312" w:hAnsi="仿宋_GB2312" w:eastAsia="仿宋_GB2312" w:cs="仿宋_GB2312"/>
                <w:color w:val="000000" w:themeColor="text1"/>
                <w:kern w:val="0"/>
                <w:sz w:val="23"/>
                <w:szCs w:val="23"/>
              </w:rPr>
            </w:pPr>
          </w:p>
        </w:tc>
        <w:tc>
          <w:tcPr>
            <w:tcW w:w="969" w:type="dxa"/>
            <w:vMerge w:val="continue"/>
            <w:vAlign w:val="center"/>
          </w:tcPr>
          <w:p w14:paraId="684F0C36">
            <w:pPr>
              <w:spacing w:line="260" w:lineRule="exact"/>
              <w:jc w:val="center"/>
              <w:rPr>
                <w:rFonts w:ascii="仿宋_GB2312" w:hAnsi="仿宋_GB2312" w:eastAsia="仿宋_GB2312" w:cs="仿宋_GB2312"/>
                <w:color w:val="000000" w:themeColor="text1"/>
                <w:kern w:val="0"/>
                <w:sz w:val="23"/>
                <w:szCs w:val="23"/>
              </w:rPr>
            </w:pPr>
          </w:p>
        </w:tc>
        <w:tc>
          <w:tcPr>
            <w:tcW w:w="1944" w:type="dxa"/>
            <w:vMerge w:val="continue"/>
            <w:vAlign w:val="center"/>
          </w:tcPr>
          <w:p w14:paraId="15A2CC58">
            <w:pPr>
              <w:spacing w:line="260" w:lineRule="exact"/>
              <w:jc w:val="center"/>
              <w:rPr>
                <w:rFonts w:ascii="仿宋_GB2312" w:hAnsi="仿宋_GB2312" w:eastAsia="仿宋_GB2312" w:cs="仿宋_GB2312"/>
                <w:color w:val="000000" w:themeColor="text1"/>
                <w:kern w:val="0"/>
                <w:sz w:val="23"/>
                <w:szCs w:val="23"/>
              </w:rPr>
            </w:pPr>
          </w:p>
        </w:tc>
        <w:tc>
          <w:tcPr>
            <w:tcW w:w="1602" w:type="dxa"/>
            <w:vAlign w:val="center"/>
          </w:tcPr>
          <w:p w14:paraId="498B2E29">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w:t>
            </w:r>
          </w:p>
          <w:p w14:paraId="141CF3E8">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商务局</w:t>
            </w:r>
          </w:p>
        </w:tc>
        <w:tc>
          <w:tcPr>
            <w:tcW w:w="2702" w:type="dxa"/>
            <w:vAlign w:val="center"/>
          </w:tcPr>
          <w:p w14:paraId="64D1BAB9">
            <w:pPr>
              <w:spacing w:line="260" w:lineRule="exact"/>
              <w:jc w:val="left"/>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对商场、超市等公共场所的控烟工作进行监督管理</w:t>
            </w:r>
          </w:p>
        </w:tc>
      </w:tr>
      <w:tr w14:paraId="128D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60" w:hRule="atLeast"/>
          <w:jc w:val="center"/>
        </w:trPr>
        <w:tc>
          <w:tcPr>
            <w:tcW w:w="580" w:type="dxa"/>
            <w:vMerge w:val="restart"/>
            <w:vAlign w:val="center"/>
          </w:tcPr>
          <w:p w14:paraId="2CD28B99">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4</w:t>
            </w:r>
          </w:p>
        </w:tc>
        <w:tc>
          <w:tcPr>
            <w:tcW w:w="1519" w:type="dxa"/>
            <w:vMerge w:val="restart"/>
            <w:vAlign w:val="center"/>
          </w:tcPr>
          <w:p w14:paraId="5B3ACF55">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生活饮用水</w:t>
            </w:r>
          </w:p>
          <w:p w14:paraId="7ABB450C">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卫生</w:t>
            </w:r>
          </w:p>
        </w:tc>
        <w:tc>
          <w:tcPr>
            <w:tcW w:w="1216" w:type="dxa"/>
            <w:vAlign w:val="center"/>
          </w:tcPr>
          <w:p w14:paraId="38296C9B">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生活饮用水供水单位</w:t>
            </w:r>
          </w:p>
        </w:tc>
        <w:tc>
          <w:tcPr>
            <w:tcW w:w="709" w:type="dxa"/>
            <w:vAlign w:val="center"/>
          </w:tcPr>
          <w:p w14:paraId="5B9E01AC">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全年</w:t>
            </w:r>
          </w:p>
          <w:p w14:paraId="5B7D7C09">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二</w:t>
            </w:r>
            <w:r>
              <w:rPr>
                <w:rFonts w:hint="eastAsia" w:ascii="仿宋_GB2312" w:hAnsi="仿宋_GB2312" w:eastAsia="仿宋_GB2312" w:cs="仿宋_GB2312"/>
                <w:sz w:val="22"/>
                <w:szCs w:val="22"/>
              </w:rPr>
              <w:t>次</w:t>
            </w:r>
          </w:p>
        </w:tc>
        <w:tc>
          <w:tcPr>
            <w:tcW w:w="1096" w:type="dxa"/>
            <w:vAlign w:val="center"/>
          </w:tcPr>
          <w:p w14:paraId="1160991E">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2</w:t>
            </w:r>
            <w:r>
              <w:rPr>
                <w:rFonts w:hint="eastAsia" w:ascii="仿宋_GB2312" w:hAnsi="仿宋_GB2312" w:eastAsia="仿宋_GB2312" w:cs="仿宋_GB2312"/>
                <w:sz w:val="22"/>
                <w:szCs w:val="22"/>
              </w:rPr>
              <w:t>0%</w:t>
            </w:r>
          </w:p>
        </w:tc>
        <w:tc>
          <w:tcPr>
            <w:tcW w:w="890" w:type="dxa"/>
            <w:vAlign w:val="center"/>
          </w:tcPr>
          <w:p w14:paraId="09446FD1">
            <w:pPr>
              <w:jc w:val="center"/>
              <w:rPr>
                <w:rFonts w:ascii="仿宋_GB2312" w:hAnsi="仿宋_GB2312" w:eastAsia="仿宋_GB2312" w:cs="仿宋_GB2312"/>
                <w:sz w:val="22"/>
                <w:szCs w:val="22"/>
              </w:rPr>
            </w:pPr>
            <w:r>
              <w:rPr>
                <w:rFonts w:hint="eastAsia" w:ascii="仿宋_GB2312" w:hAnsi="仿宋_GB2312" w:eastAsia="仿宋_GB2312" w:cs="仿宋_GB2312"/>
                <w:kern w:val="0"/>
                <w:sz w:val="22"/>
                <w:szCs w:val="22"/>
              </w:rPr>
              <w:t>现场检查</w:t>
            </w:r>
          </w:p>
        </w:tc>
        <w:tc>
          <w:tcPr>
            <w:tcW w:w="890" w:type="dxa"/>
            <w:vAlign w:val="center"/>
          </w:tcPr>
          <w:p w14:paraId="7354DCE7">
            <w:pPr>
              <w:jc w:val="center"/>
              <w:rPr>
                <w:rFonts w:ascii="仿宋_GB2312" w:hAnsi="仿宋_GB2312" w:eastAsia="仿宋_GB2312" w:cs="仿宋_GB2312"/>
                <w:sz w:val="22"/>
                <w:szCs w:val="22"/>
              </w:rPr>
            </w:pPr>
            <w:r>
              <w:rPr>
                <w:rFonts w:hint="eastAsia" w:ascii="仿宋_GB2312" w:hAnsi="仿宋_GB2312" w:eastAsia="仿宋_GB2312" w:cs="仿宋_GB2312"/>
                <w:sz w:val="23"/>
                <w:szCs w:val="23"/>
              </w:rPr>
              <w:t>日常或专项</w:t>
            </w:r>
          </w:p>
        </w:tc>
        <w:tc>
          <w:tcPr>
            <w:tcW w:w="968" w:type="dxa"/>
            <w:vAlign w:val="center"/>
          </w:tcPr>
          <w:p w14:paraId="4F7E88C5">
            <w:pPr>
              <w:jc w:val="center"/>
              <w:rPr>
                <w:rFonts w:ascii="仿宋_GB2312" w:hAnsi="仿宋_GB2312" w:eastAsia="仿宋_GB2312" w:cs="仿宋_GB2312"/>
                <w:sz w:val="22"/>
                <w:szCs w:val="22"/>
              </w:rPr>
            </w:pPr>
            <w:r>
              <w:rPr>
                <w:rFonts w:hint="eastAsia" w:ascii="仿宋_GB2312" w:hAnsi="仿宋_GB2312" w:eastAsia="仿宋_GB2312" w:cs="仿宋_GB2312"/>
                <w:spacing w:val="-20"/>
                <w:kern w:val="0"/>
                <w:sz w:val="22"/>
                <w:szCs w:val="22"/>
              </w:rPr>
              <w:t>12月31日前</w:t>
            </w:r>
          </w:p>
        </w:tc>
        <w:tc>
          <w:tcPr>
            <w:tcW w:w="969" w:type="dxa"/>
            <w:vAlign w:val="center"/>
          </w:tcPr>
          <w:p w14:paraId="7CF00E73">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广元市朝天区卫生健康局</w:t>
            </w:r>
          </w:p>
        </w:tc>
        <w:tc>
          <w:tcPr>
            <w:tcW w:w="1944" w:type="dxa"/>
            <w:vAlign w:val="center"/>
          </w:tcPr>
          <w:p w14:paraId="39F3C747">
            <w:pPr>
              <w:jc w:val="center"/>
              <w:rPr>
                <w:rFonts w:hint="eastAsia" w:ascii="仿宋_GB2312" w:hAnsi="仿宋_GB2312" w:eastAsia="仿宋_GB2312" w:cs="仿宋_GB2312"/>
                <w:sz w:val="23"/>
                <w:szCs w:val="23"/>
              </w:rPr>
            </w:pPr>
            <w:r>
              <w:rPr>
                <w:rFonts w:hint="eastAsia" w:ascii="仿宋_GB2312" w:hAnsi="仿宋_GB2312" w:eastAsia="仿宋_GB2312" w:cs="仿宋_GB2312"/>
                <w:sz w:val="23"/>
                <w:szCs w:val="23"/>
              </w:rPr>
              <w:t>1.水源卫生防护、水处理</w:t>
            </w:r>
            <w:r>
              <w:rPr>
                <w:rFonts w:hint="eastAsia" w:ascii="仿宋_GB2312" w:hAnsi="仿宋_GB2312" w:eastAsia="仿宋_GB2312" w:cs="仿宋_GB2312"/>
                <w:sz w:val="23"/>
                <w:szCs w:val="23"/>
                <w:lang w:eastAsia="zh-CN"/>
              </w:rPr>
              <w:t>工艺流程</w:t>
            </w:r>
            <w:r>
              <w:rPr>
                <w:rFonts w:hint="eastAsia" w:ascii="仿宋_GB2312" w:hAnsi="仿宋_GB2312" w:eastAsia="仿宋_GB2312" w:cs="仿宋_GB2312"/>
                <w:sz w:val="23"/>
                <w:szCs w:val="23"/>
              </w:rPr>
              <w:t>、水质检测等</w:t>
            </w:r>
          </w:p>
          <w:p w14:paraId="7F7A9B56">
            <w:pPr>
              <w:jc w:val="center"/>
              <w:rPr>
                <w:rFonts w:ascii="仿宋_GB2312" w:hAnsi="仿宋_GB2312" w:eastAsia="仿宋_GB2312" w:cs="仿宋_GB2312"/>
                <w:sz w:val="22"/>
                <w:szCs w:val="22"/>
              </w:rPr>
            </w:pPr>
            <w:r>
              <w:rPr>
                <w:rFonts w:hint="eastAsia" w:ascii="仿宋_GB2312" w:hAnsi="仿宋_GB2312" w:eastAsia="仿宋_GB2312" w:cs="仿宋_GB2312"/>
                <w:sz w:val="23"/>
                <w:szCs w:val="23"/>
              </w:rPr>
              <w:t>2.涉及生活饮用水卫生安全产品的许可和检验检测等</w:t>
            </w:r>
          </w:p>
        </w:tc>
        <w:tc>
          <w:tcPr>
            <w:tcW w:w="1602" w:type="dxa"/>
            <w:vAlign w:val="center"/>
          </w:tcPr>
          <w:p w14:paraId="757BE48A">
            <w:pPr>
              <w:spacing w:line="260" w:lineRule="exact"/>
              <w:jc w:val="center"/>
              <w:rPr>
                <w:rFonts w:ascii="仿宋_GB2312" w:hAnsi="仿宋_GB2312" w:eastAsia="仿宋_GB2312" w:cs="仿宋_GB2312"/>
                <w:color w:val="FF0000"/>
                <w:kern w:val="21"/>
                <w:sz w:val="22"/>
                <w:szCs w:val="22"/>
              </w:rPr>
            </w:pPr>
            <w:r>
              <w:rPr>
                <w:rFonts w:hint="eastAsia" w:ascii="仿宋_GB2312" w:hAnsi="仿宋_GB2312" w:eastAsia="仿宋_GB2312" w:cs="仿宋_GB2312"/>
                <w:kern w:val="0"/>
                <w:sz w:val="23"/>
                <w:szCs w:val="23"/>
              </w:rPr>
              <w:t>广元市朝天区水利局</w:t>
            </w:r>
          </w:p>
        </w:tc>
        <w:tc>
          <w:tcPr>
            <w:tcW w:w="2702" w:type="dxa"/>
            <w:vAlign w:val="center"/>
          </w:tcPr>
          <w:p w14:paraId="7A956098">
            <w:pPr>
              <w:spacing w:line="260" w:lineRule="exact"/>
              <w:jc w:val="left"/>
              <w:rPr>
                <w:rFonts w:ascii="仿宋_GB2312" w:hAnsi="仿宋_GB2312" w:eastAsia="仿宋_GB2312" w:cs="仿宋_GB2312"/>
                <w:kern w:val="21"/>
                <w:sz w:val="22"/>
                <w:szCs w:val="22"/>
              </w:rPr>
            </w:pPr>
            <w:r>
              <w:rPr>
                <w:rFonts w:hint="eastAsia" w:ascii="仿宋_GB2312" w:hAnsi="仿宋_GB2312" w:eastAsia="仿宋_GB2312" w:cs="仿宋_GB2312"/>
                <w:kern w:val="21"/>
                <w:sz w:val="22"/>
                <w:szCs w:val="22"/>
              </w:rPr>
              <w:t>供水设施建设与监管的检查，节约用水的检查。供水企业生产管理制度及执行情况、人员上岗的资格、水质日常检测工作。</w:t>
            </w:r>
          </w:p>
        </w:tc>
      </w:tr>
      <w:tr w14:paraId="78B44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60" w:hRule="atLeast"/>
          <w:jc w:val="center"/>
        </w:trPr>
        <w:tc>
          <w:tcPr>
            <w:tcW w:w="580" w:type="dxa"/>
            <w:vMerge w:val="continue"/>
            <w:vAlign w:val="center"/>
          </w:tcPr>
          <w:p w14:paraId="67AB4AFC">
            <w:pPr>
              <w:jc w:val="center"/>
              <w:rPr>
                <w:rFonts w:hint="eastAsia" w:ascii="仿宋_GB2312" w:hAnsi="仿宋_GB2312" w:eastAsia="仿宋_GB2312" w:cs="仿宋_GB2312"/>
                <w:sz w:val="22"/>
                <w:szCs w:val="22"/>
              </w:rPr>
            </w:pPr>
          </w:p>
        </w:tc>
        <w:tc>
          <w:tcPr>
            <w:tcW w:w="1519" w:type="dxa"/>
            <w:vMerge w:val="continue"/>
            <w:vAlign w:val="center"/>
          </w:tcPr>
          <w:p w14:paraId="0CED458E">
            <w:pPr>
              <w:jc w:val="center"/>
              <w:rPr>
                <w:rFonts w:hint="eastAsia" w:ascii="仿宋_GB2312" w:hAnsi="仿宋_GB2312" w:eastAsia="仿宋_GB2312" w:cs="仿宋_GB2312"/>
                <w:sz w:val="22"/>
                <w:szCs w:val="22"/>
              </w:rPr>
            </w:pPr>
          </w:p>
        </w:tc>
        <w:tc>
          <w:tcPr>
            <w:tcW w:w="1216" w:type="dxa"/>
            <w:vAlign w:val="center"/>
          </w:tcPr>
          <w:p w14:paraId="33CD5F08">
            <w:pPr>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涉及生活饮用水卫生安全产品的经营单位</w:t>
            </w:r>
          </w:p>
        </w:tc>
        <w:tc>
          <w:tcPr>
            <w:tcW w:w="709" w:type="dxa"/>
            <w:vAlign w:val="center"/>
          </w:tcPr>
          <w:p w14:paraId="04FCECCE">
            <w:pPr>
              <w:jc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全年</w:t>
            </w:r>
          </w:p>
          <w:p w14:paraId="45D9ADB2">
            <w:pPr>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一次</w:t>
            </w:r>
          </w:p>
        </w:tc>
        <w:tc>
          <w:tcPr>
            <w:tcW w:w="1096" w:type="dxa"/>
            <w:vAlign w:val="center"/>
          </w:tcPr>
          <w:p w14:paraId="586D2902">
            <w:pPr>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20%</w:t>
            </w:r>
          </w:p>
        </w:tc>
        <w:tc>
          <w:tcPr>
            <w:tcW w:w="890" w:type="dxa"/>
            <w:vAlign w:val="center"/>
          </w:tcPr>
          <w:p w14:paraId="2A0E00C3">
            <w:pPr>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lang w:val="en-US" w:eastAsia="zh-CN"/>
              </w:rPr>
              <w:t>现场检查</w:t>
            </w:r>
          </w:p>
        </w:tc>
        <w:tc>
          <w:tcPr>
            <w:tcW w:w="890" w:type="dxa"/>
            <w:vAlign w:val="center"/>
          </w:tcPr>
          <w:p w14:paraId="3429AA34">
            <w:pPr>
              <w:jc w:val="center"/>
              <w:rPr>
                <w:rFonts w:hint="eastAsia" w:ascii="仿宋_GB2312" w:hAnsi="仿宋_GB2312" w:eastAsia="仿宋_GB2312" w:cs="仿宋_GB2312"/>
                <w:sz w:val="23"/>
                <w:szCs w:val="23"/>
              </w:rPr>
            </w:pPr>
            <w:r>
              <w:rPr>
                <w:rFonts w:hint="eastAsia" w:ascii="仿宋_GB2312" w:hAnsi="仿宋_GB2312" w:eastAsia="仿宋_GB2312" w:cs="仿宋_GB2312"/>
                <w:sz w:val="23"/>
                <w:szCs w:val="23"/>
                <w:lang w:val="en-US" w:eastAsia="zh-CN"/>
              </w:rPr>
              <w:t>日常或专项</w:t>
            </w:r>
          </w:p>
        </w:tc>
        <w:tc>
          <w:tcPr>
            <w:tcW w:w="968" w:type="dxa"/>
            <w:vAlign w:val="center"/>
          </w:tcPr>
          <w:p w14:paraId="293D72FC">
            <w:pPr>
              <w:jc w:val="center"/>
              <w:rPr>
                <w:rFonts w:hint="eastAsia" w:ascii="仿宋_GB2312" w:hAnsi="仿宋_GB2312" w:eastAsia="仿宋_GB2312" w:cs="仿宋_GB2312"/>
                <w:spacing w:val="-20"/>
                <w:kern w:val="0"/>
                <w:sz w:val="22"/>
                <w:szCs w:val="22"/>
              </w:rPr>
            </w:pPr>
            <w:r>
              <w:rPr>
                <w:rFonts w:hint="eastAsia" w:ascii="仿宋_GB2312" w:hAnsi="仿宋_GB2312" w:eastAsia="仿宋_GB2312" w:cs="仿宋_GB2312"/>
                <w:spacing w:val="-20"/>
                <w:kern w:val="0"/>
                <w:sz w:val="22"/>
                <w:szCs w:val="22"/>
                <w:lang w:val="en-US" w:eastAsia="zh-CN"/>
              </w:rPr>
              <w:t>12月31日前</w:t>
            </w:r>
          </w:p>
        </w:tc>
        <w:tc>
          <w:tcPr>
            <w:tcW w:w="969" w:type="dxa"/>
            <w:vAlign w:val="center"/>
          </w:tcPr>
          <w:p w14:paraId="5BA6942D">
            <w:pPr>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广元市朝天区卫生健康局</w:t>
            </w:r>
          </w:p>
        </w:tc>
        <w:tc>
          <w:tcPr>
            <w:tcW w:w="1944" w:type="dxa"/>
            <w:vAlign w:val="center"/>
          </w:tcPr>
          <w:p w14:paraId="15195CFB">
            <w:pPr>
              <w:jc w:val="left"/>
              <w:rPr>
                <w:rFonts w:hint="eastAsia" w:ascii="仿宋_GB2312" w:hAnsi="仿宋_GB2312" w:eastAsia="仿宋_GB2312" w:cs="仿宋_GB2312"/>
                <w:sz w:val="23"/>
                <w:szCs w:val="23"/>
              </w:rPr>
            </w:pPr>
            <w:r>
              <w:rPr>
                <w:rFonts w:hint="eastAsia" w:ascii="仿宋_GB2312" w:hAnsi="仿宋_GB2312" w:eastAsia="仿宋_GB2312" w:cs="仿宋_GB2312"/>
                <w:kern w:val="21"/>
                <w:sz w:val="23"/>
                <w:szCs w:val="23"/>
                <w:lang w:val="en-US" w:eastAsia="zh-CN"/>
              </w:rPr>
              <w:t>在售涉水产品（净水机、自来水管材及管件等）卫生许可批件；涉水产品的说明书中主要技术参数等是否与卫生许可批件相一致;涉水产品标签、说明书是否符合《涉及饮用水安全卫生产品标签说明书管理规范》的要求</w:t>
            </w:r>
          </w:p>
        </w:tc>
        <w:tc>
          <w:tcPr>
            <w:tcW w:w="1602" w:type="dxa"/>
            <w:vAlign w:val="center"/>
          </w:tcPr>
          <w:p w14:paraId="5BF5A166">
            <w:pPr>
              <w:spacing w:line="260" w:lineRule="exact"/>
              <w:jc w:val="center"/>
              <w:rPr>
                <w:rFonts w:hint="eastAsia" w:ascii="仿宋_GB2312" w:hAnsi="仿宋_GB2312" w:eastAsia="仿宋_GB2312" w:cs="仿宋_GB2312"/>
                <w:color w:val="000000" w:themeColor="text1"/>
                <w:kern w:val="0"/>
                <w:sz w:val="23"/>
                <w:szCs w:val="23"/>
                <w:lang w:val="en-US" w:eastAsia="zh-CN"/>
              </w:rPr>
            </w:pPr>
            <w:r>
              <w:rPr>
                <w:rFonts w:hint="eastAsia" w:ascii="仿宋_GB2312" w:hAnsi="仿宋_GB2312" w:eastAsia="仿宋_GB2312" w:cs="仿宋_GB2312"/>
                <w:color w:val="000000" w:themeColor="text1"/>
                <w:kern w:val="0"/>
                <w:sz w:val="23"/>
                <w:szCs w:val="23"/>
                <w:lang w:val="en-US" w:eastAsia="zh-CN"/>
              </w:rPr>
              <w:t>广元市朝天区市场监督</w:t>
            </w:r>
          </w:p>
          <w:p w14:paraId="49B374A9">
            <w:pPr>
              <w:spacing w:line="260" w:lineRule="exact"/>
              <w:jc w:val="center"/>
              <w:rPr>
                <w:rFonts w:hint="eastAsia" w:ascii="仿宋_GB2312" w:hAnsi="仿宋_GB2312" w:eastAsia="仿宋_GB2312" w:cs="仿宋_GB2312"/>
                <w:kern w:val="0"/>
                <w:sz w:val="23"/>
                <w:szCs w:val="23"/>
              </w:rPr>
            </w:pPr>
            <w:r>
              <w:rPr>
                <w:rFonts w:hint="eastAsia" w:ascii="仿宋_GB2312" w:hAnsi="仿宋_GB2312" w:eastAsia="仿宋_GB2312" w:cs="仿宋_GB2312"/>
                <w:color w:val="000000" w:themeColor="text1"/>
                <w:kern w:val="0"/>
                <w:sz w:val="23"/>
                <w:szCs w:val="23"/>
                <w:lang w:val="en-US" w:eastAsia="zh-CN"/>
              </w:rPr>
              <w:t>管理局</w:t>
            </w:r>
          </w:p>
        </w:tc>
        <w:tc>
          <w:tcPr>
            <w:tcW w:w="2702" w:type="dxa"/>
            <w:vAlign w:val="center"/>
          </w:tcPr>
          <w:p w14:paraId="169F722F">
            <w:pPr>
              <w:spacing w:line="260" w:lineRule="exact"/>
              <w:jc w:val="left"/>
              <w:rPr>
                <w:rFonts w:hint="eastAsia" w:ascii="仿宋_GB2312" w:hAnsi="仿宋_GB2312" w:eastAsia="仿宋_GB2312" w:cs="仿宋_GB2312"/>
                <w:kern w:val="21"/>
                <w:sz w:val="22"/>
                <w:szCs w:val="22"/>
              </w:rPr>
            </w:pPr>
            <w:r>
              <w:rPr>
                <w:rFonts w:hint="eastAsia" w:ascii="仿宋_GB2312" w:hAnsi="仿宋_GB2312" w:eastAsia="仿宋_GB2312" w:cs="仿宋_GB2312"/>
                <w:kern w:val="21"/>
                <w:sz w:val="23"/>
                <w:szCs w:val="23"/>
              </w:rPr>
              <w:t>对涉及生活饮用水卫生安全产品生产销售单位主体资格的检查</w:t>
            </w:r>
          </w:p>
        </w:tc>
      </w:tr>
      <w:tr w14:paraId="4A91F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80" w:type="dxa"/>
            <w:vAlign w:val="center"/>
          </w:tcPr>
          <w:p w14:paraId="31408CC8">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5</w:t>
            </w:r>
          </w:p>
        </w:tc>
        <w:tc>
          <w:tcPr>
            <w:tcW w:w="1519" w:type="dxa"/>
            <w:vAlign w:val="center"/>
          </w:tcPr>
          <w:p w14:paraId="00BC7127">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学校卫生</w:t>
            </w:r>
          </w:p>
        </w:tc>
        <w:tc>
          <w:tcPr>
            <w:tcW w:w="1216" w:type="dxa"/>
            <w:vAlign w:val="center"/>
          </w:tcPr>
          <w:p w14:paraId="35069E30">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民办学校</w:t>
            </w:r>
          </w:p>
        </w:tc>
        <w:tc>
          <w:tcPr>
            <w:tcW w:w="709" w:type="dxa"/>
            <w:vAlign w:val="center"/>
          </w:tcPr>
          <w:p w14:paraId="4E4106C5">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全年</w:t>
            </w:r>
          </w:p>
          <w:p w14:paraId="30E55714">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lang w:val="en-US" w:eastAsia="zh-CN"/>
              </w:rPr>
              <w:t>二</w:t>
            </w:r>
            <w:r>
              <w:rPr>
                <w:rFonts w:hint="eastAsia" w:ascii="仿宋_GB2312" w:hAnsi="仿宋_GB2312" w:eastAsia="仿宋_GB2312" w:cs="仿宋_GB2312"/>
                <w:sz w:val="22"/>
                <w:szCs w:val="22"/>
              </w:rPr>
              <w:t>次</w:t>
            </w:r>
          </w:p>
        </w:tc>
        <w:tc>
          <w:tcPr>
            <w:tcW w:w="1096" w:type="dxa"/>
            <w:vAlign w:val="center"/>
          </w:tcPr>
          <w:p w14:paraId="0D8BA3EB">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100%</w:t>
            </w:r>
          </w:p>
        </w:tc>
        <w:tc>
          <w:tcPr>
            <w:tcW w:w="890" w:type="dxa"/>
            <w:vAlign w:val="center"/>
          </w:tcPr>
          <w:p w14:paraId="22AE84F9">
            <w:pPr>
              <w:jc w:val="center"/>
              <w:rPr>
                <w:rFonts w:ascii="仿宋_GB2312" w:hAnsi="仿宋_GB2312" w:eastAsia="仿宋_GB2312" w:cs="仿宋_GB2312"/>
                <w:sz w:val="22"/>
                <w:szCs w:val="22"/>
              </w:rPr>
            </w:pPr>
            <w:r>
              <w:rPr>
                <w:rFonts w:hint="eastAsia" w:ascii="仿宋_GB2312" w:hAnsi="仿宋_GB2312" w:eastAsia="仿宋_GB2312" w:cs="仿宋_GB2312"/>
                <w:kern w:val="0"/>
                <w:sz w:val="22"/>
                <w:szCs w:val="22"/>
              </w:rPr>
              <w:t>现场检查</w:t>
            </w:r>
          </w:p>
        </w:tc>
        <w:tc>
          <w:tcPr>
            <w:tcW w:w="890" w:type="dxa"/>
            <w:vAlign w:val="center"/>
          </w:tcPr>
          <w:p w14:paraId="3145D31F">
            <w:pPr>
              <w:jc w:val="center"/>
              <w:rPr>
                <w:rFonts w:ascii="仿宋_GB2312" w:hAnsi="仿宋_GB2312" w:eastAsia="仿宋_GB2312" w:cs="仿宋_GB2312"/>
                <w:sz w:val="22"/>
                <w:szCs w:val="22"/>
              </w:rPr>
            </w:pPr>
            <w:r>
              <w:rPr>
                <w:rFonts w:hint="eastAsia" w:ascii="仿宋_GB2312" w:hAnsi="仿宋_GB2312" w:eastAsia="仿宋_GB2312" w:cs="仿宋_GB2312"/>
                <w:sz w:val="23"/>
                <w:szCs w:val="23"/>
              </w:rPr>
              <w:t>日常或专项</w:t>
            </w:r>
          </w:p>
        </w:tc>
        <w:tc>
          <w:tcPr>
            <w:tcW w:w="968" w:type="dxa"/>
            <w:vAlign w:val="center"/>
          </w:tcPr>
          <w:p w14:paraId="17BAB107">
            <w:pPr>
              <w:jc w:val="center"/>
              <w:rPr>
                <w:rFonts w:ascii="仿宋_GB2312" w:hAnsi="仿宋_GB2312" w:eastAsia="仿宋_GB2312" w:cs="仿宋_GB2312"/>
                <w:sz w:val="22"/>
                <w:szCs w:val="22"/>
              </w:rPr>
            </w:pPr>
            <w:r>
              <w:rPr>
                <w:rFonts w:hint="eastAsia" w:ascii="仿宋_GB2312" w:hAnsi="仿宋_GB2312" w:eastAsia="仿宋_GB2312" w:cs="仿宋_GB2312"/>
                <w:spacing w:val="-20"/>
                <w:kern w:val="0"/>
                <w:sz w:val="22"/>
                <w:szCs w:val="22"/>
              </w:rPr>
              <w:t>12月31日前</w:t>
            </w:r>
          </w:p>
        </w:tc>
        <w:tc>
          <w:tcPr>
            <w:tcW w:w="969" w:type="dxa"/>
            <w:vAlign w:val="center"/>
          </w:tcPr>
          <w:p w14:paraId="2B26085F">
            <w:pPr>
              <w:jc w:val="center"/>
              <w:rPr>
                <w:rFonts w:ascii="仿宋_GB2312" w:hAnsi="仿宋_GB2312" w:eastAsia="仿宋_GB2312" w:cs="仿宋_GB2312"/>
                <w:sz w:val="22"/>
                <w:szCs w:val="22"/>
              </w:rPr>
            </w:pPr>
            <w:r>
              <w:rPr>
                <w:rFonts w:hint="eastAsia" w:ascii="仿宋_GB2312" w:hAnsi="仿宋_GB2312" w:eastAsia="仿宋_GB2312" w:cs="仿宋_GB2312"/>
                <w:sz w:val="22"/>
                <w:szCs w:val="22"/>
              </w:rPr>
              <w:t>广元市朝天区卫生健康局</w:t>
            </w:r>
          </w:p>
        </w:tc>
        <w:tc>
          <w:tcPr>
            <w:tcW w:w="1944" w:type="dxa"/>
            <w:vAlign w:val="center"/>
          </w:tcPr>
          <w:p w14:paraId="652C1CA5">
            <w:pPr>
              <w:jc w:val="center"/>
              <w:rPr>
                <w:rFonts w:ascii="仿宋_GB2312" w:hAnsi="仿宋_GB2312" w:eastAsia="仿宋_GB2312" w:cs="仿宋_GB2312"/>
                <w:sz w:val="22"/>
                <w:szCs w:val="22"/>
              </w:rPr>
            </w:pPr>
            <w:r>
              <w:rPr>
                <w:rFonts w:hint="eastAsia" w:ascii="仿宋_GB2312" w:hAnsi="仿宋_GB2312" w:eastAsia="仿宋_GB2312" w:cs="仿宋_GB2312"/>
                <w:kern w:val="21"/>
                <w:sz w:val="23"/>
                <w:szCs w:val="23"/>
              </w:rPr>
              <w:t>教学环境卫生、传染病防控、饮用水卫生等</w:t>
            </w:r>
          </w:p>
        </w:tc>
        <w:tc>
          <w:tcPr>
            <w:tcW w:w="1602" w:type="dxa"/>
            <w:vAlign w:val="center"/>
          </w:tcPr>
          <w:p w14:paraId="6C5331E0">
            <w:pPr>
              <w:spacing w:line="260" w:lineRule="exact"/>
              <w:jc w:val="center"/>
              <w:rPr>
                <w:rFonts w:ascii="仿宋_GB2312" w:hAnsi="仿宋_GB2312" w:eastAsia="仿宋_GB2312" w:cs="仿宋_GB2312"/>
                <w:color w:val="000000" w:themeColor="text1"/>
                <w:kern w:val="0"/>
                <w:sz w:val="23"/>
                <w:szCs w:val="23"/>
              </w:rPr>
            </w:pPr>
            <w:r>
              <w:rPr>
                <w:rFonts w:hint="eastAsia" w:ascii="仿宋_GB2312" w:hAnsi="仿宋_GB2312" w:eastAsia="仿宋_GB2312" w:cs="仿宋_GB2312"/>
                <w:color w:val="000000" w:themeColor="text1"/>
                <w:kern w:val="0"/>
                <w:sz w:val="23"/>
                <w:szCs w:val="23"/>
              </w:rPr>
              <w:t>广元市朝天区教育和</w:t>
            </w:r>
          </w:p>
          <w:p w14:paraId="7F048FE7">
            <w:pPr>
              <w:spacing w:line="260" w:lineRule="exact"/>
              <w:jc w:val="center"/>
              <w:rPr>
                <w:rFonts w:ascii="仿宋_GB2312" w:hAnsi="仿宋_GB2312" w:eastAsia="仿宋_GB2312" w:cs="仿宋_GB2312"/>
                <w:kern w:val="21"/>
                <w:sz w:val="22"/>
                <w:szCs w:val="22"/>
              </w:rPr>
            </w:pPr>
            <w:r>
              <w:rPr>
                <w:rFonts w:hint="eastAsia" w:ascii="仿宋_GB2312" w:hAnsi="仿宋_GB2312" w:eastAsia="仿宋_GB2312" w:cs="仿宋_GB2312"/>
                <w:color w:val="000000" w:themeColor="text1"/>
                <w:kern w:val="0"/>
                <w:sz w:val="23"/>
                <w:szCs w:val="23"/>
              </w:rPr>
              <w:t>科学技术局</w:t>
            </w:r>
          </w:p>
        </w:tc>
        <w:tc>
          <w:tcPr>
            <w:tcW w:w="2702" w:type="dxa"/>
            <w:vAlign w:val="center"/>
          </w:tcPr>
          <w:p w14:paraId="51993F3C">
            <w:pPr>
              <w:spacing w:line="260" w:lineRule="exact"/>
              <w:jc w:val="left"/>
              <w:rPr>
                <w:rFonts w:ascii="仿宋_GB2312" w:hAnsi="仿宋_GB2312" w:eastAsia="仿宋_GB2312" w:cs="仿宋_GB2312"/>
                <w:kern w:val="21"/>
                <w:sz w:val="22"/>
                <w:szCs w:val="22"/>
              </w:rPr>
            </w:pPr>
            <w:r>
              <w:rPr>
                <w:rFonts w:hint="eastAsia" w:ascii="仿宋_GB2312" w:hAnsi="仿宋_GB2312" w:eastAsia="仿宋_GB2312" w:cs="仿宋_GB2312"/>
                <w:kern w:val="21"/>
                <w:sz w:val="23"/>
                <w:szCs w:val="23"/>
              </w:rPr>
              <w:t>卫生管理机构的设立、卫生工作是否纳入学校工作计划相关检查</w:t>
            </w:r>
          </w:p>
        </w:tc>
      </w:tr>
      <w:tr w14:paraId="2663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42" w:hRule="atLeast"/>
          <w:jc w:val="center"/>
        </w:trPr>
        <w:tc>
          <w:tcPr>
            <w:tcW w:w="580" w:type="dxa"/>
            <w:vMerge w:val="restart"/>
            <w:vAlign w:val="center"/>
          </w:tcPr>
          <w:p w14:paraId="20805C84">
            <w:pPr>
              <w:jc w:val="center"/>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6</w:t>
            </w:r>
          </w:p>
        </w:tc>
        <w:tc>
          <w:tcPr>
            <w:tcW w:w="1519" w:type="dxa"/>
            <w:vMerge w:val="restart"/>
            <w:vAlign w:val="center"/>
          </w:tcPr>
          <w:p w14:paraId="4530D35D">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消毒产品卫生</w:t>
            </w:r>
          </w:p>
        </w:tc>
        <w:tc>
          <w:tcPr>
            <w:tcW w:w="1216" w:type="dxa"/>
            <w:vAlign w:val="center"/>
          </w:tcPr>
          <w:p w14:paraId="1EC1BA54">
            <w:pPr>
              <w:jc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3"/>
                <w:szCs w:val="23"/>
                <w:lang w:val="en-US" w:eastAsia="zh-CN"/>
              </w:rPr>
              <w:t>从事消毒产品生产、经营活动的单位和个人</w:t>
            </w:r>
          </w:p>
        </w:tc>
        <w:tc>
          <w:tcPr>
            <w:tcW w:w="709" w:type="dxa"/>
            <w:vAlign w:val="center"/>
          </w:tcPr>
          <w:p w14:paraId="6D5A567F">
            <w:pPr>
              <w:jc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全年</w:t>
            </w:r>
          </w:p>
          <w:p w14:paraId="60F3F4F5">
            <w:pPr>
              <w:jc w:val="center"/>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1次</w:t>
            </w:r>
          </w:p>
        </w:tc>
        <w:tc>
          <w:tcPr>
            <w:tcW w:w="1096" w:type="dxa"/>
            <w:vAlign w:val="center"/>
          </w:tcPr>
          <w:p w14:paraId="02B29352">
            <w:pPr>
              <w:jc w:val="center"/>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20%</w:t>
            </w:r>
          </w:p>
        </w:tc>
        <w:tc>
          <w:tcPr>
            <w:tcW w:w="890" w:type="dxa"/>
            <w:vAlign w:val="center"/>
          </w:tcPr>
          <w:p w14:paraId="173312C2">
            <w:pPr>
              <w:jc w:val="center"/>
              <w:rPr>
                <w:rFonts w:hint="default"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现场检查</w:t>
            </w:r>
          </w:p>
        </w:tc>
        <w:tc>
          <w:tcPr>
            <w:tcW w:w="890" w:type="dxa"/>
            <w:vAlign w:val="center"/>
          </w:tcPr>
          <w:p w14:paraId="3105EE8C">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日常或专项</w:t>
            </w:r>
          </w:p>
        </w:tc>
        <w:tc>
          <w:tcPr>
            <w:tcW w:w="968" w:type="dxa"/>
            <w:vAlign w:val="center"/>
          </w:tcPr>
          <w:p w14:paraId="03691BA4">
            <w:pPr>
              <w:jc w:val="center"/>
              <w:rPr>
                <w:rFonts w:hint="default" w:ascii="仿宋_GB2312" w:hAnsi="仿宋_GB2312" w:eastAsia="仿宋_GB2312" w:cs="仿宋_GB2312"/>
                <w:spacing w:val="-20"/>
                <w:kern w:val="0"/>
                <w:sz w:val="22"/>
                <w:szCs w:val="22"/>
                <w:lang w:val="en-US" w:eastAsia="zh-CN"/>
              </w:rPr>
            </w:pPr>
            <w:r>
              <w:rPr>
                <w:rFonts w:hint="eastAsia" w:ascii="仿宋_GB2312" w:hAnsi="仿宋_GB2312" w:eastAsia="仿宋_GB2312" w:cs="仿宋_GB2312"/>
                <w:spacing w:val="-20"/>
                <w:kern w:val="0"/>
                <w:sz w:val="22"/>
                <w:szCs w:val="22"/>
                <w:lang w:val="en-US" w:eastAsia="zh-CN"/>
              </w:rPr>
              <w:t>12月31日前</w:t>
            </w:r>
          </w:p>
        </w:tc>
        <w:tc>
          <w:tcPr>
            <w:tcW w:w="969" w:type="dxa"/>
            <w:vAlign w:val="center"/>
          </w:tcPr>
          <w:p w14:paraId="5A15CDB9">
            <w:pPr>
              <w:jc w:val="center"/>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广元市朝天区卫生健康局</w:t>
            </w:r>
          </w:p>
        </w:tc>
        <w:tc>
          <w:tcPr>
            <w:tcW w:w="1944" w:type="dxa"/>
            <w:vAlign w:val="center"/>
          </w:tcPr>
          <w:p w14:paraId="0B72EE8E">
            <w:pPr>
              <w:jc w:val="both"/>
              <w:rPr>
                <w:rFonts w:hint="eastAsia" w:ascii="仿宋_GB2312" w:hAnsi="仿宋_GB2312" w:eastAsia="仿宋_GB2312" w:cs="仿宋_GB2312"/>
                <w:kern w:val="21"/>
                <w:sz w:val="23"/>
                <w:szCs w:val="23"/>
                <w:lang w:eastAsia="zh-CN"/>
              </w:rPr>
            </w:pPr>
            <w:r>
              <w:rPr>
                <w:rFonts w:hint="eastAsia" w:ascii="仿宋_GB2312" w:hAnsi="仿宋_GB2312" w:eastAsia="仿宋_GB2312" w:cs="仿宋_GB2312"/>
                <w:kern w:val="21"/>
                <w:sz w:val="23"/>
                <w:szCs w:val="23"/>
                <w:lang w:val="en-US" w:eastAsia="zh-CN"/>
              </w:rPr>
              <w:t>1.</w:t>
            </w:r>
            <w:r>
              <w:rPr>
                <w:rFonts w:hint="eastAsia" w:ascii="仿宋_GB2312" w:hAnsi="仿宋_GB2312" w:eastAsia="仿宋_GB2312" w:cs="仿宋_GB2312"/>
                <w:kern w:val="21"/>
                <w:sz w:val="23"/>
                <w:szCs w:val="23"/>
              </w:rPr>
              <w:t>消</w:t>
            </w:r>
            <w:r>
              <w:rPr>
                <w:rFonts w:hint="eastAsia" w:ascii="仿宋_GB2312" w:hAnsi="仿宋_GB2312" w:eastAsia="仿宋_GB2312" w:cs="仿宋_GB2312"/>
                <w:kern w:val="21"/>
                <w:sz w:val="23"/>
                <w:szCs w:val="23"/>
                <w:lang w:eastAsia="zh-CN"/>
              </w:rPr>
              <w:t>毒产品生产企业卫生许可情况及执行国家有关规范、标准和规定情况。</w:t>
            </w:r>
          </w:p>
          <w:p w14:paraId="512853A2">
            <w:pPr>
              <w:jc w:val="both"/>
              <w:rPr>
                <w:rFonts w:hint="eastAsia" w:ascii="仿宋_GB2312" w:hAnsi="仿宋_GB2312" w:eastAsia="仿宋_GB2312" w:cs="仿宋_GB2312"/>
                <w:kern w:val="21"/>
                <w:sz w:val="23"/>
                <w:szCs w:val="23"/>
                <w:lang w:val="en-US" w:eastAsia="zh-CN"/>
              </w:rPr>
            </w:pPr>
            <w:r>
              <w:rPr>
                <w:rFonts w:hint="eastAsia" w:ascii="仿宋_GB2312" w:hAnsi="仿宋_GB2312" w:eastAsia="仿宋_GB2312" w:cs="仿宋_GB2312"/>
                <w:kern w:val="21"/>
                <w:sz w:val="23"/>
                <w:szCs w:val="23"/>
                <w:lang w:val="en-US" w:eastAsia="zh-CN"/>
              </w:rPr>
              <w:t>2.</w:t>
            </w:r>
            <w:r>
              <w:rPr>
                <w:rFonts w:hint="eastAsia" w:ascii="仿宋_GB2312" w:hAnsi="仿宋_GB2312" w:eastAsia="仿宋_GB2312" w:cs="仿宋_GB2312"/>
                <w:kern w:val="21"/>
                <w:sz w:val="23"/>
                <w:szCs w:val="23"/>
                <w:lang w:eastAsia="zh-CN"/>
              </w:rPr>
              <w:t>消毒产品经营单位和个人采购经营消毒产品索证情况。</w:t>
            </w:r>
          </w:p>
        </w:tc>
        <w:tc>
          <w:tcPr>
            <w:tcW w:w="1602" w:type="dxa"/>
            <w:vMerge w:val="restart"/>
            <w:vAlign w:val="center"/>
          </w:tcPr>
          <w:p w14:paraId="64BFBF17">
            <w:pPr>
              <w:spacing w:line="260" w:lineRule="exact"/>
              <w:jc w:val="center"/>
              <w:rPr>
                <w:rFonts w:hint="eastAsia" w:ascii="仿宋_GB2312" w:hAnsi="仿宋_GB2312" w:eastAsia="仿宋_GB2312" w:cs="仿宋_GB2312"/>
                <w:color w:val="000000" w:themeColor="text1"/>
                <w:kern w:val="0"/>
                <w:sz w:val="23"/>
                <w:szCs w:val="23"/>
                <w:lang w:val="en-US" w:eastAsia="zh-CN"/>
              </w:rPr>
            </w:pPr>
            <w:r>
              <w:rPr>
                <w:rFonts w:hint="eastAsia" w:ascii="仿宋_GB2312" w:hAnsi="仿宋_GB2312" w:eastAsia="仿宋_GB2312" w:cs="仿宋_GB2312"/>
                <w:color w:val="000000" w:themeColor="text1"/>
                <w:kern w:val="0"/>
                <w:sz w:val="23"/>
                <w:szCs w:val="23"/>
                <w:lang w:val="en-US" w:eastAsia="zh-CN"/>
              </w:rPr>
              <w:t>广元市朝天区市场监督</w:t>
            </w:r>
          </w:p>
          <w:p w14:paraId="0B27D885">
            <w:pPr>
              <w:spacing w:line="260" w:lineRule="exact"/>
              <w:jc w:val="center"/>
              <w:rPr>
                <w:rFonts w:hint="eastAsia" w:ascii="仿宋_GB2312" w:hAnsi="仿宋_GB2312" w:eastAsia="仿宋_GB2312" w:cs="仿宋_GB2312"/>
                <w:color w:val="000000" w:themeColor="text1"/>
                <w:kern w:val="0"/>
                <w:sz w:val="23"/>
                <w:szCs w:val="23"/>
                <w:lang w:val="en-US" w:eastAsia="zh-CN"/>
              </w:rPr>
            </w:pPr>
            <w:r>
              <w:rPr>
                <w:rFonts w:hint="eastAsia" w:ascii="仿宋_GB2312" w:hAnsi="仿宋_GB2312" w:eastAsia="仿宋_GB2312" w:cs="仿宋_GB2312"/>
                <w:color w:val="000000" w:themeColor="text1"/>
                <w:kern w:val="0"/>
                <w:sz w:val="23"/>
                <w:szCs w:val="23"/>
                <w:lang w:val="en-US" w:eastAsia="zh-CN"/>
              </w:rPr>
              <w:t>管理局</w:t>
            </w:r>
          </w:p>
        </w:tc>
        <w:tc>
          <w:tcPr>
            <w:tcW w:w="2702" w:type="dxa"/>
            <w:vMerge w:val="restart"/>
            <w:vAlign w:val="center"/>
          </w:tcPr>
          <w:p w14:paraId="2F3CD51E">
            <w:pPr>
              <w:spacing w:line="260" w:lineRule="exact"/>
              <w:jc w:val="left"/>
              <w:rPr>
                <w:rFonts w:hint="eastAsia" w:ascii="仿宋_GB2312" w:hAnsi="仿宋_GB2312" w:eastAsia="仿宋_GB2312" w:cs="仿宋_GB2312"/>
                <w:kern w:val="21"/>
                <w:sz w:val="23"/>
                <w:szCs w:val="23"/>
              </w:rPr>
            </w:pPr>
            <w:r>
              <w:rPr>
                <w:rFonts w:hint="eastAsia" w:ascii="仿宋_GB2312" w:hAnsi="仿宋_GB2312" w:eastAsia="仿宋_GB2312" w:cs="仿宋_GB2312"/>
                <w:color w:val="000000" w:themeColor="text1"/>
                <w:kern w:val="0"/>
                <w:sz w:val="23"/>
                <w:szCs w:val="23"/>
                <w:lang w:val="en-US" w:eastAsia="zh-CN"/>
              </w:rPr>
              <w:t>对生产经营单位和服务机构主体资格的检查</w:t>
            </w:r>
          </w:p>
        </w:tc>
      </w:tr>
      <w:tr w14:paraId="559CC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580" w:type="dxa"/>
            <w:vMerge w:val="continue"/>
            <w:vAlign w:val="center"/>
          </w:tcPr>
          <w:p w14:paraId="42DFA8BF">
            <w:pPr>
              <w:jc w:val="center"/>
              <w:rPr>
                <w:rFonts w:hint="eastAsia" w:ascii="仿宋_GB2312" w:hAnsi="仿宋_GB2312" w:eastAsia="仿宋_GB2312" w:cs="仿宋_GB2312"/>
                <w:sz w:val="22"/>
                <w:szCs w:val="22"/>
                <w:lang w:val="en-US" w:eastAsia="zh-CN"/>
              </w:rPr>
            </w:pPr>
          </w:p>
        </w:tc>
        <w:tc>
          <w:tcPr>
            <w:tcW w:w="1519" w:type="dxa"/>
            <w:vMerge w:val="continue"/>
            <w:vAlign w:val="center"/>
          </w:tcPr>
          <w:p w14:paraId="6870032F">
            <w:pPr>
              <w:jc w:val="center"/>
              <w:rPr>
                <w:rFonts w:hint="eastAsia" w:ascii="仿宋_GB2312" w:hAnsi="仿宋_GB2312" w:eastAsia="仿宋_GB2312" w:cs="仿宋_GB2312"/>
                <w:sz w:val="23"/>
                <w:szCs w:val="23"/>
                <w:lang w:val="en-US" w:eastAsia="zh-CN"/>
              </w:rPr>
            </w:pPr>
          </w:p>
        </w:tc>
        <w:tc>
          <w:tcPr>
            <w:tcW w:w="1216" w:type="dxa"/>
            <w:vAlign w:val="center"/>
          </w:tcPr>
          <w:p w14:paraId="08D8E3F5">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消毒服务机构</w:t>
            </w:r>
          </w:p>
        </w:tc>
        <w:tc>
          <w:tcPr>
            <w:tcW w:w="709" w:type="dxa"/>
            <w:vAlign w:val="center"/>
          </w:tcPr>
          <w:p w14:paraId="37D5C557">
            <w:pPr>
              <w:jc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全年</w:t>
            </w:r>
          </w:p>
          <w:p w14:paraId="417A5F3B">
            <w:pPr>
              <w:jc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1次</w:t>
            </w:r>
          </w:p>
        </w:tc>
        <w:tc>
          <w:tcPr>
            <w:tcW w:w="1096" w:type="dxa"/>
            <w:vAlign w:val="center"/>
          </w:tcPr>
          <w:p w14:paraId="6D7335AB">
            <w:pPr>
              <w:jc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20%</w:t>
            </w:r>
          </w:p>
        </w:tc>
        <w:tc>
          <w:tcPr>
            <w:tcW w:w="890" w:type="dxa"/>
            <w:vAlign w:val="center"/>
          </w:tcPr>
          <w:p w14:paraId="00D8F3D0">
            <w:pPr>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现场检查</w:t>
            </w:r>
          </w:p>
        </w:tc>
        <w:tc>
          <w:tcPr>
            <w:tcW w:w="890" w:type="dxa"/>
            <w:vAlign w:val="center"/>
          </w:tcPr>
          <w:p w14:paraId="740A8BA2">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日常或专项</w:t>
            </w:r>
          </w:p>
        </w:tc>
        <w:tc>
          <w:tcPr>
            <w:tcW w:w="968" w:type="dxa"/>
            <w:vAlign w:val="center"/>
          </w:tcPr>
          <w:p w14:paraId="257C05C5">
            <w:pPr>
              <w:jc w:val="center"/>
              <w:rPr>
                <w:rFonts w:hint="eastAsia" w:ascii="仿宋_GB2312" w:hAnsi="仿宋_GB2312" w:eastAsia="仿宋_GB2312" w:cs="仿宋_GB2312"/>
                <w:spacing w:val="-20"/>
                <w:kern w:val="0"/>
                <w:sz w:val="22"/>
                <w:szCs w:val="22"/>
                <w:lang w:val="en-US" w:eastAsia="zh-CN"/>
              </w:rPr>
            </w:pPr>
            <w:r>
              <w:rPr>
                <w:rFonts w:hint="eastAsia" w:ascii="仿宋_GB2312" w:hAnsi="仿宋_GB2312" w:eastAsia="仿宋_GB2312" w:cs="仿宋_GB2312"/>
                <w:spacing w:val="-20"/>
                <w:kern w:val="0"/>
                <w:sz w:val="22"/>
                <w:szCs w:val="22"/>
                <w:lang w:val="en-US" w:eastAsia="zh-CN"/>
              </w:rPr>
              <w:t>12月31日前</w:t>
            </w:r>
          </w:p>
        </w:tc>
        <w:tc>
          <w:tcPr>
            <w:tcW w:w="969" w:type="dxa"/>
            <w:vAlign w:val="center"/>
          </w:tcPr>
          <w:p w14:paraId="20C5D23B">
            <w:pPr>
              <w:jc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广元市朝天区卫生健康局</w:t>
            </w:r>
          </w:p>
        </w:tc>
        <w:tc>
          <w:tcPr>
            <w:tcW w:w="1944" w:type="dxa"/>
            <w:vAlign w:val="center"/>
          </w:tcPr>
          <w:p w14:paraId="3314574A">
            <w:pPr>
              <w:jc w:val="both"/>
              <w:rPr>
                <w:rFonts w:hint="eastAsia" w:ascii="仿宋_GB2312" w:hAnsi="仿宋_GB2312" w:eastAsia="仿宋_GB2312" w:cs="仿宋_GB2312"/>
                <w:kern w:val="21"/>
                <w:sz w:val="23"/>
                <w:szCs w:val="23"/>
                <w:lang w:val="en-US" w:eastAsia="zh-CN"/>
              </w:rPr>
            </w:pPr>
            <w:r>
              <w:rPr>
                <w:rFonts w:hint="eastAsia" w:ascii="仿宋_GB2312" w:hAnsi="仿宋_GB2312" w:eastAsia="仿宋_GB2312" w:cs="仿宋_GB2312"/>
                <w:kern w:val="21"/>
                <w:sz w:val="23"/>
                <w:szCs w:val="23"/>
                <w:lang w:val="en-US" w:eastAsia="zh-CN"/>
              </w:rPr>
              <w:t>1.</w:t>
            </w:r>
            <w:r>
              <w:rPr>
                <w:rFonts w:hint="eastAsia" w:ascii="仿宋_GB2312" w:hAnsi="仿宋_GB2312" w:eastAsia="仿宋_GB2312" w:cs="仿宋_GB2312"/>
                <w:kern w:val="21"/>
                <w:sz w:val="23"/>
                <w:szCs w:val="23"/>
                <w:lang w:eastAsia="zh-CN"/>
              </w:rPr>
              <w:t>消毒与灭菌工艺流程和工作环境执行国家有关规范、标准和规定情况； </w:t>
            </w:r>
            <w:r>
              <w:rPr>
                <w:rFonts w:hint="eastAsia" w:ascii="仿宋_GB2312" w:hAnsi="仿宋_GB2312" w:eastAsia="仿宋_GB2312" w:cs="仿宋_GB2312"/>
                <w:kern w:val="21"/>
                <w:sz w:val="23"/>
                <w:szCs w:val="23"/>
                <w:lang w:eastAsia="zh-CN"/>
              </w:rPr>
              <w:br w:type="textWrapping"/>
            </w:r>
            <w:r>
              <w:rPr>
                <w:rFonts w:hint="eastAsia" w:ascii="仿宋_GB2312" w:hAnsi="仿宋_GB2312" w:eastAsia="仿宋_GB2312" w:cs="仿宋_GB2312"/>
                <w:kern w:val="21"/>
                <w:sz w:val="23"/>
                <w:szCs w:val="23"/>
                <w:lang w:val="en-US" w:eastAsia="zh-CN"/>
              </w:rPr>
              <w:t>2.</w:t>
            </w:r>
            <w:r>
              <w:rPr>
                <w:rFonts w:hint="eastAsia" w:ascii="仿宋_GB2312" w:hAnsi="仿宋_GB2312" w:eastAsia="仿宋_GB2312" w:cs="仿宋_GB2312"/>
                <w:kern w:val="21"/>
                <w:sz w:val="23"/>
                <w:szCs w:val="23"/>
                <w:lang w:eastAsia="zh-CN"/>
              </w:rPr>
              <w:t>购置和使用消毒产品情况。 </w:t>
            </w:r>
          </w:p>
        </w:tc>
        <w:tc>
          <w:tcPr>
            <w:tcW w:w="1602" w:type="dxa"/>
            <w:vMerge w:val="continue"/>
            <w:vAlign w:val="center"/>
          </w:tcPr>
          <w:p w14:paraId="722E3CDE">
            <w:pPr>
              <w:spacing w:line="260" w:lineRule="exact"/>
              <w:jc w:val="center"/>
              <w:rPr>
                <w:rFonts w:hint="eastAsia" w:ascii="仿宋_GB2312" w:hAnsi="仿宋_GB2312" w:eastAsia="仿宋_GB2312" w:cs="仿宋_GB2312"/>
                <w:color w:val="000000" w:themeColor="text1"/>
                <w:kern w:val="0"/>
                <w:sz w:val="23"/>
                <w:szCs w:val="23"/>
                <w:lang w:val="en-US" w:eastAsia="zh-CN"/>
              </w:rPr>
            </w:pPr>
          </w:p>
        </w:tc>
        <w:tc>
          <w:tcPr>
            <w:tcW w:w="2702" w:type="dxa"/>
            <w:vMerge w:val="continue"/>
            <w:vAlign w:val="center"/>
          </w:tcPr>
          <w:p w14:paraId="79F461D5">
            <w:pPr>
              <w:spacing w:line="260" w:lineRule="exact"/>
              <w:jc w:val="left"/>
              <w:rPr>
                <w:rFonts w:hint="eastAsia" w:ascii="仿宋_GB2312" w:hAnsi="仿宋_GB2312" w:eastAsia="仿宋_GB2312" w:cs="仿宋_GB2312"/>
                <w:color w:val="000000" w:themeColor="text1"/>
                <w:kern w:val="0"/>
                <w:sz w:val="23"/>
                <w:szCs w:val="23"/>
                <w:lang w:val="en-US" w:eastAsia="zh-CN"/>
              </w:rPr>
            </w:pPr>
          </w:p>
        </w:tc>
      </w:tr>
      <w:tr w14:paraId="5B95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580" w:type="dxa"/>
            <w:vAlign w:val="center"/>
          </w:tcPr>
          <w:p w14:paraId="6FA7FD72">
            <w:pPr>
              <w:jc w:val="center"/>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7</w:t>
            </w:r>
          </w:p>
        </w:tc>
        <w:tc>
          <w:tcPr>
            <w:tcW w:w="1519" w:type="dxa"/>
            <w:vAlign w:val="center"/>
          </w:tcPr>
          <w:p w14:paraId="36DCC7BF">
            <w:pPr>
              <w:jc w:val="center"/>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传染病防治</w:t>
            </w:r>
          </w:p>
        </w:tc>
        <w:tc>
          <w:tcPr>
            <w:tcW w:w="1216" w:type="dxa"/>
            <w:vAlign w:val="center"/>
          </w:tcPr>
          <w:p w14:paraId="32DFB3AD">
            <w:pPr>
              <w:jc w:val="both"/>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kern w:val="21"/>
                <w:sz w:val="23"/>
                <w:szCs w:val="23"/>
                <w:lang w:val="en-US" w:eastAsia="zh-CN"/>
              </w:rPr>
              <w:t>本行政区域内与传染病防治相关的单位和个人</w:t>
            </w:r>
          </w:p>
        </w:tc>
        <w:tc>
          <w:tcPr>
            <w:tcW w:w="709" w:type="dxa"/>
            <w:vAlign w:val="center"/>
          </w:tcPr>
          <w:p w14:paraId="0AD9A7DA">
            <w:pPr>
              <w:jc w:val="center"/>
              <w:rPr>
                <w:rFonts w:hint="eastAsia"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全年</w:t>
            </w:r>
          </w:p>
          <w:p w14:paraId="22BDB5AB">
            <w:pPr>
              <w:jc w:val="center"/>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1次</w:t>
            </w:r>
          </w:p>
        </w:tc>
        <w:tc>
          <w:tcPr>
            <w:tcW w:w="1096" w:type="dxa"/>
            <w:vAlign w:val="center"/>
          </w:tcPr>
          <w:p w14:paraId="76E9CD18">
            <w:pPr>
              <w:jc w:val="center"/>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20%</w:t>
            </w:r>
          </w:p>
        </w:tc>
        <w:tc>
          <w:tcPr>
            <w:tcW w:w="890" w:type="dxa"/>
            <w:vAlign w:val="center"/>
          </w:tcPr>
          <w:p w14:paraId="34BA5CE5">
            <w:pPr>
              <w:jc w:val="center"/>
              <w:rPr>
                <w:rFonts w:hint="default"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现场检查</w:t>
            </w:r>
          </w:p>
        </w:tc>
        <w:tc>
          <w:tcPr>
            <w:tcW w:w="890" w:type="dxa"/>
            <w:vAlign w:val="center"/>
          </w:tcPr>
          <w:p w14:paraId="5B808172">
            <w:pPr>
              <w:jc w:val="center"/>
              <w:rPr>
                <w:rFonts w:hint="default"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日常或专项</w:t>
            </w:r>
          </w:p>
        </w:tc>
        <w:tc>
          <w:tcPr>
            <w:tcW w:w="968" w:type="dxa"/>
            <w:vAlign w:val="center"/>
          </w:tcPr>
          <w:p w14:paraId="4CF9321A">
            <w:pPr>
              <w:jc w:val="center"/>
              <w:rPr>
                <w:rFonts w:hint="default" w:ascii="仿宋_GB2312" w:hAnsi="仿宋_GB2312" w:eastAsia="仿宋_GB2312" w:cs="仿宋_GB2312"/>
                <w:spacing w:val="-20"/>
                <w:kern w:val="0"/>
                <w:sz w:val="22"/>
                <w:szCs w:val="22"/>
                <w:lang w:val="en-US" w:eastAsia="zh-CN"/>
              </w:rPr>
            </w:pPr>
            <w:r>
              <w:rPr>
                <w:rFonts w:hint="eastAsia" w:ascii="仿宋_GB2312" w:hAnsi="仿宋_GB2312" w:eastAsia="仿宋_GB2312" w:cs="仿宋_GB2312"/>
                <w:spacing w:val="-20"/>
                <w:kern w:val="0"/>
                <w:sz w:val="22"/>
                <w:szCs w:val="22"/>
                <w:lang w:val="en-US" w:eastAsia="zh-CN"/>
              </w:rPr>
              <w:t>12月31日前</w:t>
            </w:r>
          </w:p>
        </w:tc>
        <w:tc>
          <w:tcPr>
            <w:tcW w:w="969" w:type="dxa"/>
            <w:vAlign w:val="center"/>
          </w:tcPr>
          <w:p w14:paraId="55B2141E">
            <w:pPr>
              <w:jc w:val="center"/>
              <w:rPr>
                <w:rFonts w:hint="default" w:ascii="仿宋_GB2312" w:hAnsi="仿宋_GB2312" w:eastAsia="仿宋_GB2312" w:cs="仿宋_GB2312"/>
                <w:sz w:val="22"/>
                <w:szCs w:val="22"/>
                <w:lang w:val="en-US" w:eastAsia="zh-CN"/>
              </w:rPr>
            </w:pPr>
            <w:r>
              <w:rPr>
                <w:rFonts w:hint="eastAsia" w:ascii="仿宋_GB2312" w:hAnsi="仿宋_GB2312" w:eastAsia="仿宋_GB2312" w:cs="仿宋_GB2312"/>
                <w:sz w:val="22"/>
                <w:szCs w:val="22"/>
                <w:lang w:val="en-US" w:eastAsia="zh-CN"/>
              </w:rPr>
              <w:t>广元市朝天区卫生健康局</w:t>
            </w:r>
          </w:p>
        </w:tc>
        <w:tc>
          <w:tcPr>
            <w:tcW w:w="1944" w:type="dxa"/>
            <w:vAlign w:val="center"/>
          </w:tcPr>
          <w:p w14:paraId="4AA3A686">
            <w:pPr>
              <w:jc w:val="left"/>
              <w:rPr>
                <w:rFonts w:hint="eastAsia" w:ascii="仿宋_GB2312" w:hAnsi="仿宋_GB2312" w:eastAsia="仿宋_GB2312" w:cs="仿宋_GB2312"/>
                <w:kern w:val="21"/>
                <w:sz w:val="23"/>
                <w:szCs w:val="23"/>
                <w:lang w:val="en-US" w:eastAsia="zh-CN"/>
              </w:rPr>
            </w:pPr>
            <w:r>
              <w:rPr>
                <w:rFonts w:hint="eastAsia" w:ascii="仿宋_GB2312" w:hAnsi="仿宋_GB2312" w:eastAsia="仿宋_GB2312" w:cs="仿宋_GB2312"/>
                <w:kern w:val="21"/>
                <w:sz w:val="23"/>
                <w:szCs w:val="23"/>
                <w:lang w:val="en-US" w:eastAsia="zh-CN" w:bidi="ar-SA"/>
              </w:rPr>
              <w:t>1.对相关单位和个人履行传染病防治职责进行监督检查；2.对疾病预防控制机构、医疗机构的传染病防治工作进行监督检查；3.对采供血机构的采供血活动进行监督检查；4.对用于传染病防治的消毒产品及其生产单位进行监督检查，并对饮用水供水单位从事生产或者供应活动以及涉及饮用水卫生安全的产品进行监督检查；5对传染病菌种、毒种和传染病检测样本的采集、保藏、携带、运输、使用进行监督检查；6.对公共场所和有关单位的卫生条件和传染病预防、控制措施进行监督检查。</w:t>
            </w:r>
          </w:p>
        </w:tc>
        <w:tc>
          <w:tcPr>
            <w:tcW w:w="1602" w:type="dxa"/>
            <w:vAlign w:val="center"/>
          </w:tcPr>
          <w:p w14:paraId="4DB4D3F0">
            <w:pPr>
              <w:spacing w:line="260" w:lineRule="exact"/>
              <w:jc w:val="center"/>
              <w:rPr>
                <w:rFonts w:hint="default" w:ascii="仿宋_GB2312" w:hAnsi="仿宋_GB2312" w:eastAsia="仿宋_GB2312" w:cs="仿宋_GB2312"/>
                <w:color w:val="000000" w:themeColor="text1"/>
                <w:kern w:val="0"/>
                <w:sz w:val="23"/>
                <w:szCs w:val="23"/>
                <w:lang w:val="en-US" w:eastAsia="zh-CN"/>
              </w:rPr>
            </w:pPr>
            <w:r>
              <w:rPr>
                <w:rFonts w:hint="eastAsia" w:ascii="仿宋_GB2312" w:hAnsi="仿宋_GB2312" w:eastAsia="仿宋_GB2312" w:cs="仿宋_GB2312"/>
                <w:color w:val="000000" w:themeColor="text1"/>
                <w:kern w:val="0"/>
                <w:sz w:val="23"/>
                <w:szCs w:val="23"/>
                <w:lang w:val="en-US" w:eastAsia="zh-CN"/>
              </w:rPr>
              <w:t>无</w:t>
            </w:r>
          </w:p>
        </w:tc>
        <w:tc>
          <w:tcPr>
            <w:tcW w:w="2702" w:type="dxa"/>
            <w:vAlign w:val="center"/>
          </w:tcPr>
          <w:p w14:paraId="50628521">
            <w:pPr>
              <w:spacing w:line="260" w:lineRule="exact"/>
              <w:jc w:val="left"/>
              <w:rPr>
                <w:rFonts w:hint="eastAsia" w:ascii="仿宋_GB2312" w:hAnsi="仿宋_GB2312" w:eastAsia="仿宋_GB2312" w:cs="仿宋_GB2312"/>
                <w:color w:val="000000" w:themeColor="text1"/>
                <w:kern w:val="0"/>
                <w:sz w:val="23"/>
                <w:szCs w:val="23"/>
                <w:lang w:val="en-US" w:eastAsia="zh-CN"/>
              </w:rPr>
            </w:pPr>
          </w:p>
        </w:tc>
      </w:tr>
    </w:tbl>
    <w:p w14:paraId="5DBA6F84"/>
    <w:sectPr>
      <w:headerReference r:id="rId3" w:type="default"/>
      <w:footerReference r:id="rId4" w:type="default"/>
      <w:footerReference r:id="rId5" w:type="even"/>
      <w:pgSz w:w="16838" w:h="11906" w:orient="landscape"/>
      <w:pgMar w:top="1588" w:right="2098" w:bottom="1474" w:left="1985" w:header="851" w:footer="147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CD0B85-6B2E-4C01-9E5C-A8D78F22A0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embedRegular r:id="rId2" w:fontKey="{86B414FE-2EBB-41C2-B5F9-D5F28B0A1296}"/>
  </w:font>
  <w:font w:name="仿宋_GB2312">
    <w:panose1 w:val="02010609030101010101"/>
    <w:charset w:val="86"/>
    <w:family w:val="auto"/>
    <w:pitch w:val="default"/>
    <w:sig w:usb0="00000001" w:usb1="080E0000" w:usb2="00000000" w:usb3="00000000" w:csb0="00040000" w:csb1="00000000"/>
    <w:embedRegular r:id="rId3" w:fontKey="{F300FEF6-CAAC-4D52-B5E1-22867E34B1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AD28D">
    <w:pPr>
      <w:pStyle w:val="5"/>
      <w:ind w:right="360" w:firstLine="360"/>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path/>
          <v:fill on="f" focussize="0,0"/>
          <v:stroke on="f" joinstyle="miter"/>
          <v:imagedata o:title=""/>
          <o:lock v:ext="edit"/>
          <v:textbox inset="0mm,0mm,0mm,0mm" style="mso-fit-shape-to-text:t;">
            <w:txbxContent>
              <w:p w14:paraId="6EC49876">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5</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82EB4">
    <w:pPr>
      <w:pStyle w:val="5"/>
      <w:framePr w:wrap="around" w:vAnchor="text" w:hAnchor="margin" w:xAlign="outside" w:y="1"/>
      <w:rPr>
        <w:rStyle w:val="11"/>
      </w:rPr>
    </w:pPr>
    <w:r>
      <w:fldChar w:fldCharType="begin"/>
    </w:r>
    <w:r>
      <w:rPr>
        <w:rStyle w:val="11"/>
      </w:rPr>
      <w:instrText xml:space="preserve">PAGE  </w:instrText>
    </w:r>
    <w:r>
      <w:fldChar w:fldCharType="end"/>
    </w:r>
  </w:p>
  <w:p w14:paraId="6DAB0D4A">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FA72E">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423809"/>
    <w:multiLevelType w:val="multilevel"/>
    <w:tmpl w:val="0A423809"/>
    <w:lvl w:ilvl="0" w:tentative="0">
      <w:start w:val="1"/>
      <w:numFmt w:val="decimal"/>
      <w:lvlText w:val="  %1"/>
      <w:lvlJc w:val="center"/>
      <w:pPr>
        <w:tabs>
          <w:tab w:val="left" w:pos="0"/>
        </w:tabs>
        <w:ind w:left="420" w:hanging="420"/>
      </w:pPr>
      <w:rPr>
        <w:rFonts w:hint="eastAsia"/>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E789A"/>
    <w:rsid w:val="001E789A"/>
    <w:rsid w:val="00605682"/>
    <w:rsid w:val="00895AC9"/>
    <w:rsid w:val="00926C41"/>
    <w:rsid w:val="00944EBF"/>
    <w:rsid w:val="00957467"/>
    <w:rsid w:val="00C17E73"/>
    <w:rsid w:val="00C92830"/>
    <w:rsid w:val="00D13168"/>
    <w:rsid w:val="00DB2518"/>
    <w:rsid w:val="00E2666E"/>
    <w:rsid w:val="017D778F"/>
    <w:rsid w:val="017E6F26"/>
    <w:rsid w:val="01ED7645"/>
    <w:rsid w:val="031B16CC"/>
    <w:rsid w:val="0370464D"/>
    <w:rsid w:val="040E0584"/>
    <w:rsid w:val="05C649F8"/>
    <w:rsid w:val="07E06245"/>
    <w:rsid w:val="08410B94"/>
    <w:rsid w:val="086724C2"/>
    <w:rsid w:val="136F2E76"/>
    <w:rsid w:val="137C462D"/>
    <w:rsid w:val="138E124B"/>
    <w:rsid w:val="1B2D39E1"/>
    <w:rsid w:val="1B356450"/>
    <w:rsid w:val="1C6E00A3"/>
    <w:rsid w:val="1F7B6238"/>
    <w:rsid w:val="21C271D4"/>
    <w:rsid w:val="26521189"/>
    <w:rsid w:val="2FE72BAF"/>
    <w:rsid w:val="37457DEF"/>
    <w:rsid w:val="37AD13F0"/>
    <w:rsid w:val="37C30C14"/>
    <w:rsid w:val="39030F55"/>
    <w:rsid w:val="41474664"/>
    <w:rsid w:val="42415557"/>
    <w:rsid w:val="44753A50"/>
    <w:rsid w:val="573911F9"/>
    <w:rsid w:val="582875FC"/>
    <w:rsid w:val="58F20F01"/>
    <w:rsid w:val="59A163C9"/>
    <w:rsid w:val="5AFC7E15"/>
    <w:rsid w:val="5F3F4774"/>
    <w:rsid w:val="607838FB"/>
    <w:rsid w:val="612E684E"/>
    <w:rsid w:val="6183303E"/>
    <w:rsid w:val="6258155D"/>
    <w:rsid w:val="649B244D"/>
    <w:rsid w:val="684302A4"/>
    <w:rsid w:val="68F640F6"/>
    <w:rsid w:val="6B2E3BA7"/>
    <w:rsid w:val="6F712A27"/>
    <w:rsid w:val="72093F48"/>
    <w:rsid w:val="758C7D84"/>
    <w:rsid w:val="76EC08E6"/>
    <w:rsid w:val="77FF289B"/>
    <w:rsid w:val="7A4B0019"/>
    <w:rsid w:val="7BA14C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Salutation"/>
    <w:basedOn w:val="1"/>
    <w:next w:val="1"/>
    <w:qFormat/>
    <w:uiPriority w:val="0"/>
    <w:rPr>
      <w:rFonts w:ascii="Calibri" w:hAnsi="Calibri" w:cs="Droid Sans"/>
    </w:rPr>
  </w:style>
  <w:style w:type="paragraph" w:styleId="3">
    <w:name w:val="Body Text"/>
    <w:basedOn w:val="1"/>
    <w:unhideWhenUsed/>
    <w:qFormat/>
    <w:uiPriority w:val="0"/>
    <w:pPr>
      <w:spacing w:after="120"/>
    </w:pPr>
  </w:style>
  <w:style w:type="paragraph" w:styleId="4">
    <w:name w:val="Plain Text"/>
    <w:basedOn w:val="1"/>
    <w:unhideWhenUsed/>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FollowedHyperlink"/>
    <w:basedOn w:val="10"/>
    <w:qFormat/>
    <w:uiPriority w:val="0"/>
    <w:rPr>
      <w:color w:val="333333"/>
      <w:u w:val="none"/>
    </w:rPr>
  </w:style>
  <w:style w:type="character" w:styleId="13">
    <w:name w:val="Hyperlink"/>
    <w:basedOn w:val="10"/>
    <w:qFormat/>
    <w:uiPriority w:val="0"/>
    <w:rPr>
      <w:color w:val="333333"/>
      <w:u w:val="none"/>
    </w:rPr>
  </w:style>
  <w:style w:type="paragraph" w:customStyle="1" w:styleId="14">
    <w:name w:val="样式1"/>
    <w:qFormat/>
    <w:uiPriority w:val="0"/>
    <w:pPr>
      <w:widowControl w:val="0"/>
      <w:jc w:val="both"/>
    </w:pPr>
    <w:rPr>
      <w:rFonts w:ascii="Calibri" w:hAnsi="Calibri" w:eastAsia="宋体" w:cs="Times New Roman"/>
      <w:b/>
      <w:color w:val="538135"/>
      <w:kern w:val="2"/>
      <w:sz w:val="28"/>
      <w:szCs w:val="21"/>
      <w:lang w:val="en-US" w:eastAsia="zh-CN" w:bidi="ar-SA"/>
    </w:rPr>
  </w:style>
  <w:style w:type="character" w:customStyle="1" w:styleId="15">
    <w:name w:val="li_sel"/>
    <w:basedOn w:val="10"/>
    <w:qFormat/>
    <w:uiPriority w:val="0"/>
    <w:rPr>
      <w:color w:val="FFFFFF"/>
    </w:rPr>
  </w:style>
  <w:style w:type="character" w:customStyle="1" w:styleId="16">
    <w:name w:val="sel2"/>
    <w:basedOn w:val="10"/>
    <w:qFormat/>
    <w:uiPriority w:val="0"/>
    <w:rPr>
      <w:color w:val="FFFFF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3477</Words>
  <Characters>3543</Characters>
  <Lines>25</Lines>
  <Paragraphs>7</Paragraphs>
  <TotalTime>8</TotalTime>
  <ScaleCrop>false</ScaleCrop>
  <LinksUpToDate>false</LinksUpToDate>
  <CharactersWithSpaces>3543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办公电脑</dc:creator>
  <cp:lastModifiedBy>杨峻骁</cp:lastModifiedBy>
  <cp:lastPrinted>2025-03-26T03:44:00Z</cp:lastPrinted>
  <dcterms:modified xsi:type="dcterms:W3CDTF">2025-03-28T01:36:13Z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eyJoZGlkIjoiZmM1NGFhY2UwYzdiY2JjZTg5YWJjNTIwZDM5YTMwMGIiLCJ1c2VySWQiOiIyMzYyNzM1NjgifQ==</vt:lpwstr>
  </property>
  <property fmtid="{D5CDD505-2E9C-101B-9397-08002B2CF9AE}" pid="4" name="ICV">
    <vt:lpwstr>191A880FEB3044829E976FD8AAE049FE_12</vt:lpwstr>
  </property>
</Properties>
</file>