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38344">
      <w:pPr>
        <w:pStyle w:val="11"/>
        <w:jc w:val="both"/>
        <w:rPr>
          <w:rFonts w:hint="default" w:ascii="方正小标宋简体" w:eastAsia="方正小标宋简体"/>
          <w:b w:val="0"/>
          <w:color w:val="auto"/>
          <w:sz w:val="44"/>
          <w:szCs w:val="44"/>
          <w:lang w:val="en-US" w:eastAsia="zh-CN"/>
        </w:rPr>
      </w:pPr>
      <w:r>
        <w:rPr>
          <w:rFonts w:hint="eastAsia" w:ascii="黑体" w:hAnsi="黑体" w:eastAsia="黑体" w:cs="黑体"/>
          <w:b w:val="0"/>
          <w:color w:val="auto"/>
          <w:sz w:val="32"/>
          <w:szCs w:val="32"/>
          <w:lang w:eastAsia="zh-CN"/>
        </w:rPr>
        <w:t>附件</w:t>
      </w:r>
      <w:r>
        <w:rPr>
          <w:rFonts w:hint="eastAsia" w:ascii="黑体" w:hAnsi="黑体" w:eastAsia="黑体" w:cs="黑体"/>
          <w:b w:val="0"/>
          <w:color w:val="auto"/>
          <w:sz w:val="32"/>
          <w:szCs w:val="32"/>
          <w:lang w:val="en-US" w:eastAsia="zh-CN"/>
        </w:rPr>
        <w:t>1</w:t>
      </w:r>
    </w:p>
    <w:p w14:paraId="6FAD2B2C">
      <w:pPr>
        <w:pStyle w:val="11"/>
        <w:jc w:val="center"/>
        <w:rPr>
          <w:rFonts w:hint="eastAsia" w:ascii="方正小标宋简体" w:eastAsia="方正小标宋简体"/>
          <w:b w:val="0"/>
          <w:color w:val="auto"/>
          <w:sz w:val="44"/>
          <w:szCs w:val="44"/>
        </w:rPr>
      </w:pPr>
      <w:r>
        <w:rPr>
          <w:rFonts w:hint="eastAsia" w:ascii="方正小标宋简体" w:eastAsia="方正小标宋简体"/>
          <w:b w:val="0"/>
          <w:color w:val="auto"/>
          <w:sz w:val="44"/>
          <w:szCs w:val="44"/>
        </w:rPr>
        <w:t>广元市</w:t>
      </w:r>
      <w:r>
        <w:rPr>
          <w:rFonts w:hint="eastAsia" w:ascii="方正小标宋简体" w:eastAsia="方正小标宋简体"/>
          <w:b w:val="0"/>
          <w:color w:val="auto"/>
          <w:sz w:val="44"/>
          <w:szCs w:val="44"/>
          <w:lang w:eastAsia="zh-CN"/>
        </w:rPr>
        <w:t>朝天区经济和信息化局</w:t>
      </w:r>
      <w:r>
        <w:rPr>
          <w:rFonts w:hint="eastAsia" w:ascii="方正小标宋简体" w:eastAsia="方正小标宋简体"/>
          <w:b w:val="0"/>
          <w:color w:val="auto"/>
          <w:sz w:val="44"/>
          <w:szCs w:val="44"/>
        </w:rPr>
        <w:t>202</w:t>
      </w:r>
      <w:r>
        <w:rPr>
          <w:rFonts w:hint="eastAsia" w:ascii="方正小标宋简体" w:eastAsia="方正小标宋简体"/>
          <w:b w:val="0"/>
          <w:color w:val="auto"/>
          <w:sz w:val="44"/>
          <w:szCs w:val="44"/>
          <w:lang w:val="en-US" w:eastAsia="zh-CN"/>
        </w:rPr>
        <w:t>5年涉企行政检查事项分类目录</w:t>
      </w:r>
    </w:p>
    <w:tbl>
      <w:tblPr>
        <w:tblStyle w:val="7"/>
        <w:tblW w:w="14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64"/>
        <w:gridCol w:w="1326"/>
        <w:gridCol w:w="1811"/>
        <w:gridCol w:w="938"/>
        <w:gridCol w:w="1150"/>
        <w:gridCol w:w="1075"/>
        <w:gridCol w:w="1105"/>
        <w:gridCol w:w="2245"/>
        <w:gridCol w:w="1831"/>
        <w:gridCol w:w="2731"/>
      </w:tblGrid>
      <w:tr w14:paraId="3CDA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tblHeader/>
          <w:jc w:val="center"/>
        </w:trPr>
        <w:tc>
          <w:tcPr>
            <w:tcW w:w="464" w:type="dxa"/>
            <w:noWrap w:val="0"/>
            <w:vAlign w:val="center"/>
          </w:tcPr>
          <w:p w14:paraId="08211462">
            <w:pPr>
              <w:spacing w:line="260" w:lineRule="exact"/>
              <w:jc w:val="center"/>
              <w:rPr>
                <w:rFonts w:hint="eastAsia" w:ascii="黑体" w:eastAsia="黑体" w:cs="黑体"/>
                <w:sz w:val="22"/>
                <w:szCs w:val="22"/>
                <w:lang w:bidi="ar-SA"/>
              </w:rPr>
            </w:pPr>
            <w:r>
              <w:rPr>
                <w:rFonts w:hint="eastAsia" w:ascii="黑体" w:eastAsia="黑体" w:cs="黑体"/>
                <w:kern w:val="0"/>
                <w:sz w:val="22"/>
                <w:szCs w:val="22"/>
                <w:lang w:bidi="ar"/>
              </w:rPr>
              <w:t>序号</w:t>
            </w:r>
          </w:p>
        </w:tc>
        <w:tc>
          <w:tcPr>
            <w:tcW w:w="1326" w:type="dxa"/>
            <w:noWrap w:val="0"/>
            <w:vAlign w:val="center"/>
          </w:tcPr>
          <w:p w14:paraId="6C2F9520">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sz w:val="22"/>
                <w:szCs w:val="22"/>
                <w:lang w:eastAsia="zh-CN" w:bidi="ar-SA"/>
              </w:rPr>
              <w:t>检查事项</w:t>
            </w:r>
          </w:p>
        </w:tc>
        <w:tc>
          <w:tcPr>
            <w:tcW w:w="1811" w:type="dxa"/>
            <w:noWrap w:val="0"/>
            <w:vAlign w:val="center"/>
          </w:tcPr>
          <w:p w14:paraId="7AB027FA">
            <w:pPr>
              <w:spacing w:line="280" w:lineRule="exact"/>
              <w:jc w:val="center"/>
              <w:textAlignment w:val="center"/>
              <w:rPr>
                <w:rFonts w:hint="eastAsia" w:ascii="黑体" w:eastAsia="黑体" w:cs="黑体"/>
                <w:kern w:val="0"/>
                <w:sz w:val="22"/>
                <w:szCs w:val="22"/>
                <w:lang w:bidi="ar"/>
              </w:rPr>
            </w:pPr>
            <w:r>
              <w:rPr>
                <w:rFonts w:hint="eastAsia" w:ascii="黑体" w:eastAsia="黑体" w:cs="黑体"/>
                <w:kern w:val="0"/>
                <w:sz w:val="22"/>
                <w:szCs w:val="22"/>
                <w:lang w:bidi="ar"/>
              </w:rPr>
              <w:t>检查</w:t>
            </w:r>
          </w:p>
          <w:p w14:paraId="6722BD3D">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kern w:val="0"/>
                <w:sz w:val="22"/>
                <w:szCs w:val="22"/>
                <w:lang w:bidi="ar"/>
              </w:rPr>
              <w:t>对象</w:t>
            </w:r>
            <w:r>
              <w:rPr>
                <w:rFonts w:hint="eastAsia" w:ascii="黑体" w:eastAsia="黑体" w:cs="黑体"/>
                <w:kern w:val="0"/>
                <w:sz w:val="22"/>
                <w:szCs w:val="22"/>
                <w:lang w:eastAsia="zh-CN" w:bidi="ar"/>
              </w:rPr>
              <w:t>及等级</w:t>
            </w:r>
          </w:p>
        </w:tc>
        <w:tc>
          <w:tcPr>
            <w:tcW w:w="938" w:type="dxa"/>
            <w:noWrap w:val="0"/>
            <w:vAlign w:val="center"/>
          </w:tcPr>
          <w:p w14:paraId="2A659ADF">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sz w:val="22"/>
                <w:szCs w:val="22"/>
                <w:lang w:eastAsia="zh-CN" w:bidi="ar-SA"/>
              </w:rPr>
              <w:t>检查事项等级</w:t>
            </w:r>
          </w:p>
        </w:tc>
        <w:tc>
          <w:tcPr>
            <w:tcW w:w="1150" w:type="dxa"/>
            <w:noWrap w:val="0"/>
            <w:vAlign w:val="center"/>
          </w:tcPr>
          <w:p w14:paraId="567E8AA8">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检查方式</w:t>
            </w:r>
          </w:p>
        </w:tc>
        <w:tc>
          <w:tcPr>
            <w:tcW w:w="1075" w:type="dxa"/>
            <w:noWrap w:val="0"/>
            <w:vAlign w:val="center"/>
          </w:tcPr>
          <w:p w14:paraId="16D437C9">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sz w:val="22"/>
                <w:szCs w:val="22"/>
                <w:lang w:eastAsia="zh-CN" w:bidi="ar-SA"/>
              </w:rPr>
              <w:t>计划类型</w:t>
            </w:r>
          </w:p>
        </w:tc>
        <w:tc>
          <w:tcPr>
            <w:tcW w:w="1105" w:type="dxa"/>
            <w:noWrap w:val="0"/>
            <w:vAlign w:val="center"/>
          </w:tcPr>
          <w:p w14:paraId="791D2667">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牵头</w:t>
            </w:r>
            <w:r>
              <w:rPr>
                <w:rFonts w:hint="eastAsia" w:ascii="黑体" w:eastAsia="黑体" w:cs="黑体"/>
                <w:kern w:val="0"/>
                <w:sz w:val="22"/>
                <w:szCs w:val="22"/>
                <w:lang w:eastAsia="zh-CN" w:bidi="ar"/>
              </w:rPr>
              <w:t>实施</w:t>
            </w:r>
            <w:r>
              <w:rPr>
                <w:rFonts w:hint="eastAsia" w:ascii="黑体" w:eastAsia="黑体" w:cs="黑体"/>
                <w:kern w:val="0"/>
                <w:sz w:val="22"/>
                <w:szCs w:val="22"/>
                <w:lang w:bidi="ar"/>
              </w:rPr>
              <w:t>部门</w:t>
            </w:r>
          </w:p>
        </w:tc>
        <w:tc>
          <w:tcPr>
            <w:tcW w:w="2245" w:type="dxa"/>
            <w:noWrap w:val="0"/>
            <w:vAlign w:val="center"/>
          </w:tcPr>
          <w:p w14:paraId="1EAF8684">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kern w:val="0"/>
                <w:sz w:val="22"/>
                <w:szCs w:val="22"/>
                <w:lang w:eastAsia="zh-CN" w:bidi="ar"/>
              </w:rPr>
              <w:t>检查</w:t>
            </w:r>
            <w:r>
              <w:rPr>
                <w:rFonts w:hint="eastAsia" w:ascii="黑体" w:eastAsia="黑体" w:cs="黑体"/>
                <w:kern w:val="0"/>
                <w:sz w:val="22"/>
                <w:szCs w:val="22"/>
                <w:lang w:bidi="ar"/>
              </w:rPr>
              <w:t>事项</w:t>
            </w:r>
            <w:r>
              <w:rPr>
                <w:rFonts w:hint="eastAsia" w:ascii="黑体" w:eastAsia="黑体" w:cs="黑体"/>
                <w:kern w:val="0"/>
                <w:sz w:val="22"/>
                <w:szCs w:val="22"/>
                <w:lang w:eastAsia="zh-CN" w:bidi="ar"/>
              </w:rPr>
              <w:t>内容</w:t>
            </w:r>
          </w:p>
        </w:tc>
        <w:tc>
          <w:tcPr>
            <w:tcW w:w="1831" w:type="dxa"/>
            <w:noWrap w:val="0"/>
            <w:vAlign w:val="center"/>
          </w:tcPr>
          <w:p w14:paraId="392085AC">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参与部门</w:t>
            </w:r>
          </w:p>
        </w:tc>
        <w:tc>
          <w:tcPr>
            <w:tcW w:w="2731" w:type="dxa"/>
            <w:noWrap w:val="0"/>
            <w:vAlign w:val="center"/>
          </w:tcPr>
          <w:p w14:paraId="11C311D1">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eastAsia="zh-CN" w:bidi="ar"/>
              </w:rPr>
              <w:t>综合</w:t>
            </w:r>
            <w:r>
              <w:rPr>
                <w:rFonts w:hint="eastAsia" w:ascii="黑体" w:eastAsia="黑体" w:cs="黑体"/>
                <w:kern w:val="0"/>
                <w:sz w:val="22"/>
                <w:szCs w:val="22"/>
                <w:lang w:bidi="ar"/>
              </w:rPr>
              <w:t>参与部门事项</w:t>
            </w:r>
          </w:p>
        </w:tc>
      </w:tr>
      <w:tr w14:paraId="7797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jc w:val="center"/>
        </w:trPr>
        <w:tc>
          <w:tcPr>
            <w:tcW w:w="464" w:type="dxa"/>
            <w:vMerge w:val="restart"/>
            <w:noWrap w:val="0"/>
            <w:vAlign w:val="center"/>
          </w:tcPr>
          <w:p w14:paraId="6DF2D6F9">
            <w:pPr>
              <w:numPr>
                <w:ilvl w:val="0"/>
                <w:numId w:val="0"/>
              </w:numPr>
              <w:spacing w:line="260" w:lineRule="exact"/>
              <w:jc w:val="center"/>
              <w:rPr>
                <w:rFonts w:hint="eastAsia" w:ascii="仿宋_GB2312" w:eastAsia="仿宋_GB2312" w:cs="仿宋_GB2312"/>
                <w:sz w:val="22"/>
                <w:szCs w:val="22"/>
                <w:lang w:val="en-US" w:eastAsia="zh-CN" w:bidi="ar-SA"/>
              </w:rPr>
            </w:pPr>
            <w:r>
              <w:rPr>
                <w:rFonts w:hint="eastAsia" w:ascii="仿宋_GB2312" w:eastAsia="仿宋_GB2312" w:cs="仿宋_GB2312"/>
                <w:sz w:val="22"/>
                <w:szCs w:val="22"/>
                <w:lang w:val="en-US" w:eastAsia="zh-CN" w:bidi="ar-SA"/>
              </w:rPr>
              <w:t>1</w:t>
            </w:r>
          </w:p>
        </w:tc>
        <w:tc>
          <w:tcPr>
            <w:tcW w:w="1326" w:type="dxa"/>
            <w:vMerge w:val="restart"/>
            <w:noWrap w:val="0"/>
            <w:vAlign w:val="center"/>
          </w:tcPr>
          <w:p w14:paraId="6FAFA201">
            <w:pPr>
              <w:spacing w:line="260" w:lineRule="exact"/>
              <w:jc w:val="center"/>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成品油市场检查</w:t>
            </w:r>
          </w:p>
        </w:tc>
        <w:tc>
          <w:tcPr>
            <w:tcW w:w="1811" w:type="dxa"/>
            <w:vMerge w:val="restart"/>
            <w:noWrap w:val="0"/>
            <w:vAlign w:val="center"/>
          </w:tcPr>
          <w:p w14:paraId="60BF9F14">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hint="eastAsia"/>
              </w:rPr>
            </w:pPr>
            <w:r>
              <w:rPr>
                <w:rFonts w:hint="eastAsia" w:ascii="仿宋_GB2312" w:eastAsia="仿宋_GB2312" w:cs="仿宋_GB2312"/>
                <w:kern w:val="0"/>
                <w:sz w:val="22"/>
                <w:szCs w:val="22"/>
                <w:lang w:bidi="ar"/>
              </w:rPr>
              <w:t>成品油零售经营单位</w:t>
            </w:r>
          </w:p>
          <w:p w14:paraId="14789DB5">
            <w:pPr>
              <w:pStyle w:val="11"/>
              <w:keepNext w:val="0"/>
              <w:keepLines w:val="0"/>
              <w:pageBreakBefore w:val="0"/>
              <w:widowControl w:val="0"/>
              <w:kinsoku/>
              <w:wordWrap/>
              <w:overflowPunct/>
              <w:topLinePunct w:val="0"/>
              <w:autoSpaceDE/>
              <w:autoSpaceDN/>
              <w:bidi w:val="0"/>
              <w:adjustRightInd/>
              <w:snapToGrid/>
              <w:spacing w:line="260" w:lineRule="exact"/>
              <w:jc w:val="center"/>
              <w:rPr>
                <w:rFonts w:hint="eastAsia" w:eastAsia="仿宋_GB2312"/>
                <w:lang w:eastAsia="zh-CN"/>
              </w:rPr>
            </w:pPr>
            <w:r>
              <w:rPr>
                <w:rFonts w:hint="eastAsia" w:ascii="仿宋_GB2312" w:eastAsia="仿宋_GB2312" w:cs="仿宋_GB2312"/>
                <w:b w:val="0"/>
                <w:bCs/>
                <w:color w:val="auto"/>
                <w:kern w:val="0"/>
                <w:sz w:val="22"/>
                <w:szCs w:val="22"/>
                <w:lang w:eastAsia="zh-CN" w:bidi="ar"/>
              </w:rPr>
              <w:t>一般</w:t>
            </w:r>
          </w:p>
        </w:tc>
        <w:tc>
          <w:tcPr>
            <w:tcW w:w="938" w:type="dxa"/>
            <w:vMerge w:val="restart"/>
            <w:noWrap w:val="0"/>
            <w:vAlign w:val="center"/>
          </w:tcPr>
          <w:p w14:paraId="175AC582">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sz w:val="22"/>
                <w:szCs w:val="22"/>
                <w:lang w:eastAsia="zh-CN" w:bidi="ar-SA"/>
              </w:rPr>
              <w:t>一般</w:t>
            </w:r>
          </w:p>
        </w:tc>
        <w:tc>
          <w:tcPr>
            <w:tcW w:w="1150" w:type="dxa"/>
            <w:vMerge w:val="restart"/>
            <w:noWrap w:val="0"/>
            <w:vAlign w:val="center"/>
          </w:tcPr>
          <w:p w14:paraId="5BCC1F65">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bidi="ar"/>
              </w:rPr>
              <w:t>现场检查</w:t>
            </w:r>
          </w:p>
        </w:tc>
        <w:tc>
          <w:tcPr>
            <w:tcW w:w="1075" w:type="dxa"/>
            <w:vMerge w:val="restart"/>
            <w:noWrap w:val="0"/>
            <w:vAlign w:val="center"/>
          </w:tcPr>
          <w:p w14:paraId="4007F287">
            <w:pPr>
              <w:spacing w:line="260" w:lineRule="exact"/>
              <w:jc w:val="both"/>
              <w:textAlignment w:val="center"/>
              <w:rPr>
                <w:rFonts w:hint="eastAsia" w:ascii="仿宋_GB2312" w:eastAsia="仿宋_GB2312" w:cs="仿宋_GB2312"/>
                <w:sz w:val="22"/>
                <w:szCs w:val="22"/>
                <w:lang w:eastAsia="zh-CN" w:bidi="ar-SA"/>
              </w:rPr>
            </w:pPr>
          </w:p>
          <w:p w14:paraId="0E52D17B">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sz w:val="22"/>
                <w:szCs w:val="22"/>
                <w:lang w:eastAsia="zh-CN" w:bidi="ar-SA"/>
              </w:rPr>
              <w:t>专项</w:t>
            </w:r>
          </w:p>
        </w:tc>
        <w:tc>
          <w:tcPr>
            <w:tcW w:w="1105" w:type="dxa"/>
            <w:vMerge w:val="restart"/>
            <w:noWrap w:val="0"/>
            <w:vAlign w:val="center"/>
          </w:tcPr>
          <w:p w14:paraId="2BD8B0AA">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经济和信息化</w:t>
            </w:r>
            <w:r>
              <w:rPr>
                <w:rFonts w:hint="eastAsia" w:ascii="仿宋_GB2312" w:eastAsia="仿宋_GB2312" w:cs="仿宋_GB2312"/>
                <w:kern w:val="0"/>
                <w:sz w:val="22"/>
                <w:szCs w:val="22"/>
                <w:lang w:eastAsia="zh-CN" w:bidi="ar"/>
              </w:rPr>
              <w:t>局</w:t>
            </w:r>
          </w:p>
        </w:tc>
        <w:tc>
          <w:tcPr>
            <w:tcW w:w="2245" w:type="dxa"/>
            <w:vMerge w:val="restart"/>
            <w:noWrap w:val="0"/>
            <w:vAlign w:val="center"/>
          </w:tcPr>
          <w:p w14:paraId="2844C307">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对成品油企业经营活动情况进行检查</w:t>
            </w:r>
          </w:p>
        </w:tc>
        <w:tc>
          <w:tcPr>
            <w:tcW w:w="1831" w:type="dxa"/>
            <w:noWrap w:val="0"/>
            <w:vAlign w:val="center"/>
          </w:tcPr>
          <w:p w14:paraId="034E7A2B">
            <w:pPr>
              <w:spacing w:line="260" w:lineRule="exact"/>
              <w:jc w:val="center"/>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eastAsia="zh-CN" w:bidi="ar"/>
              </w:rPr>
              <w:t>区公安分局</w:t>
            </w:r>
          </w:p>
        </w:tc>
        <w:tc>
          <w:tcPr>
            <w:tcW w:w="2731" w:type="dxa"/>
            <w:noWrap w:val="0"/>
            <w:vAlign w:val="center"/>
          </w:tcPr>
          <w:p w14:paraId="0862B04E">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对散装汽油销售的检查</w:t>
            </w:r>
          </w:p>
        </w:tc>
      </w:tr>
      <w:tr w14:paraId="15E49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464" w:type="dxa"/>
            <w:vMerge w:val="continue"/>
            <w:noWrap w:val="0"/>
            <w:vAlign w:val="center"/>
          </w:tcPr>
          <w:p w14:paraId="2BDF78AE"/>
        </w:tc>
        <w:tc>
          <w:tcPr>
            <w:tcW w:w="1326" w:type="dxa"/>
            <w:vMerge w:val="continue"/>
            <w:noWrap w:val="0"/>
            <w:vAlign w:val="center"/>
          </w:tcPr>
          <w:p w14:paraId="4266BCE8"/>
        </w:tc>
        <w:tc>
          <w:tcPr>
            <w:tcW w:w="1811" w:type="dxa"/>
            <w:vMerge w:val="continue"/>
            <w:noWrap w:val="0"/>
            <w:vAlign w:val="center"/>
          </w:tcPr>
          <w:p w14:paraId="34DEDA44"/>
        </w:tc>
        <w:tc>
          <w:tcPr>
            <w:tcW w:w="938" w:type="dxa"/>
            <w:vMerge w:val="continue"/>
            <w:noWrap w:val="0"/>
            <w:vAlign w:val="center"/>
          </w:tcPr>
          <w:p w14:paraId="57A0C679"/>
        </w:tc>
        <w:tc>
          <w:tcPr>
            <w:tcW w:w="1150" w:type="dxa"/>
            <w:vMerge w:val="continue"/>
            <w:noWrap w:val="0"/>
            <w:vAlign w:val="center"/>
          </w:tcPr>
          <w:p w14:paraId="58A73DB1"/>
        </w:tc>
        <w:tc>
          <w:tcPr>
            <w:tcW w:w="1075" w:type="dxa"/>
            <w:vMerge w:val="continue"/>
            <w:noWrap w:val="0"/>
            <w:vAlign w:val="center"/>
          </w:tcPr>
          <w:p w14:paraId="54DC4C98"/>
        </w:tc>
        <w:tc>
          <w:tcPr>
            <w:tcW w:w="1105" w:type="dxa"/>
            <w:vMerge w:val="continue"/>
            <w:noWrap w:val="0"/>
            <w:vAlign w:val="center"/>
          </w:tcPr>
          <w:p w14:paraId="1BCA9CB7"/>
        </w:tc>
        <w:tc>
          <w:tcPr>
            <w:tcW w:w="2245" w:type="dxa"/>
            <w:vMerge w:val="continue"/>
            <w:noWrap w:val="0"/>
            <w:vAlign w:val="center"/>
          </w:tcPr>
          <w:p w14:paraId="0E737557"/>
        </w:tc>
        <w:tc>
          <w:tcPr>
            <w:tcW w:w="1831" w:type="dxa"/>
            <w:noWrap w:val="0"/>
            <w:vAlign w:val="center"/>
          </w:tcPr>
          <w:p w14:paraId="4338D40F">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朝天</w:t>
            </w:r>
            <w:r>
              <w:rPr>
                <w:rFonts w:hint="eastAsia" w:ascii="仿宋_GB2312" w:eastAsia="仿宋_GB2312" w:cs="仿宋_GB2312"/>
                <w:kern w:val="0"/>
                <w:sz w:val="22"/>
                <w:szCs w:val="22"/>
                <w:lang w:bidi="ar"/>
              </w:rPr>
              <w:t>生态环境</w:t>
            </w:r>
            <w:r>
              <w:rPr>
                <w:rFonts w:hint="eastAsia" w:ascii="仿宋_GB2312" w:eastAsia="仿宋_GB2312" w:cs="仿宋_GB2312"/>
                <w:kern w:val="0"/>
                <w:sz w:val="22"/>
                <w:szCs w:val="22"/>
                <w:lang w:eastAsia="zh-CN" w:bidi="ar"/>
              </w:rPr>
              <w:t>局</w:t>
            </w:r>
          </w:p>
        </w:tc>
        <w:tc>
          <w:tcPr>
            <w:tcW w:w="2731" w:type="dxa"/>
            <w:noWrap w:val="0"/>
            <w:vAlign w:val="center"/>
          </w:tcPr>
          <w:p w14:paraId="60581EF6">
            <w:pPr>
              <w:spacing w:line="260" w:lineRule="exact"/>
              <w:textAlignment w:val="center"/>
              <w:rPr>
                <w:rFonts w:hint="eastAsia" w:ascii="仿宋_GB2312" w:eastAsia="仿宋_GB2312" w:cs="仿宋_GB2312"/>
                <w:spacing w:val="-8"/>
                <w:sz w:val="22"/>
                <w:szCs w:val="22"/>
                <w:lang w:bidi="ar-SA"/>
              </w:rPr>
            </w:pPr>
            <w:r>
              <w:rPr>
                <w:rFonts w:hint="eastAsia" w:ascii="仿宋_GB2312" w:eastAsia="仿宋_GB2312" w:cs="仿宋_GB2312"/>
                <w:spacing w:val="-8"/>
                <w:kern w:val="0"/>
                <w:sz w:val="22"/>
                <w:szCs w:val="22"/>
                <w:lang w:bidi="ar"/>
              </w:rPr>
              <w:t>对油气回收治理、危废的检查</w:t>
            </w:r>
          </w:p>
        </w:tc>
      </w:tr>
      <w:tr w14:paraId="56D5A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464" w:type="dxa"/>
            <w:vMerge w:val="continue"/>
            <w:noWrap w:val="0"/>
            <w:vAlign w:val="center"/>
          </w:tcPr>
          <w:p w14:paraId="4DF09CFC"/>
        </w:tc>
        <w:tc>
          <w:tcPr>
            <w:tcW w:w="1326" w:type="dxa"/>
            <w:vMerge w:val="continue"/>
            <w:noWrap w:val="0"/>
            <w:vAlign w:val="center"/>
          </w:tcPr>
          <w:p w14:paraId="1B25BB8B"/>
        </w:tc>
        <w:tc>
          <w:tcPr>
            <w:tcW w:w="1811" w:type="dxa"/>
            <w:vMerge w:val="continue"/>
            <w:noWrap w:val="0"/>
            <w:vAlign w:val="center"/>
          </w:tcPr>
          <w:p w14:paraId="0E99909B"/>
        </w:tc>
        <w:tc>
          <w:tcPr>
            <w:tcW w:w="938" w:type="dxa"/>
            <w:vMerge w:val="continue"/>
            <w:noWrap w:val="0"/>
            <w:vAlign w:val="center"/>
          </w:tcPr>
          <w:p w14:paraId="7F07A377"/>
        </w:tc>
        <w:tc>
          <w:tcPr>
            <w:tcW w:w="1150" w:type="dxa"/>
            <w:vMerge w:val="continue"/>
            <w:noWrap w:val="0"/>
            <w:vAlign w:val="center"/>
          </w:tcPr>
          <w:p w14:paraId="06D25659"/>
        </w:tc>
        <w:tc>
          <w:tcPr>
            <w:tcW w:w="1075" w:type="dxa"/>
            <w:vMerge w:val="continue"/>
            <w:noWrap w:val="0"/>
            <w:vAlign w:val="center"/>
          </w:tcPr>
          <w:p w14:paraId="7E938381"/>
        </w:tc>
        <w:tc>
          <w:tcPr>
            <w:tcW w:w="1105" w:type="dxa"/>
            <w:vMerge w:val="continue"/>
            <w:noWrap w:val="0"/>
            <w:vAlign w:val="center"/>
          </w:tcPr>
          <w:p w14:paraId="23EA8E76"/>
        </w:tc>
        <w:tc>
          <w:tcPr>
            <w:tcW w:w="2245" w:type="dxa"/>
            <w:vMerge w:val="continue"/>
            <w:noWrap w:val="0"/>
            <w:vAlign w:val="center"/>
          </w:tcPr>
          <w:p w14:paraId="3D0F002A"/>
        </w:tc>
        <w:tc>
          <w:tcPr>
            <w:tcW w:w="1831" w:type="dxa"/>
            <w:noWrap w:val="0"/>
            <w:vAlign w:val="center"/>
          </w:tcPr>
          <w:p w14:paraId="27B327AC">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应急管理</w:t>
            </w:r>
            <w:r>
              <w:rPr>
                <w:rFonts w:hint="eastAsia" w:ascii="仿宋_GB2312" w:eastAsia="仿宋_GB2312" w:cs="仿宋_GB2312"/>
                <w:kern w:val="0"/>
                <w:sz w:val="22"/>
                <w:szCs w:val="22"/>
                <w:lang w:eastAsia="zh-CN" w:bidi="ar"/>
              </w:rPr>
              <w:t>局</w:t>
            </w:r>
          </w:p>
        </w:tc>
        <w:tc>
          <w:tcPr>
            <w:tcW w:w="2731" w:type="dxa"/>
            <w:noWrap w:val="0"/>
            <w:vAlign w:val="center"/>
          </w:tcPr>
          <w:p w14:paraId="66A2F13B">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对安全生产</w:t>
            </w:r>
            <w:r>
              <w:rPr>
                <w:rFonts w:hint="eastAsia" w:ascii="仿宋_GB2312" w:eastAsia="仿宋_GB2312" w:cs="仿宋_GB2312"/>
                <w:kern w:val="0"/>
                <w:sz w:val="22"/>
                <w:szCs w:val="22"/>
                <w:lang w:eastAsia="zh-CN" w:bidi="ar"/>
              </w:rPr>
              <w:t>的检查</w:t>
            </w:r>
          </w:p>
        </w:tc>
      </w:tr>
      <w:tr w14:paraId="32785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9" w:hRule="atLeast"/>
          <w:jc w:val="center"/>
        </w:trPr>
        <w:tc>
          <w:tcPr>
            <w:tcW w:w="464" w:type="dxa"/>
            <w:vMerge w:val="continue"/>
            <w:noWrap w:val="0"/>
            <w:vAlign w:val="center"/>
          </w:tcPr>
          <w:p w14:paraId="087D704B"/>
        </w:tc>
        <w:tc>
          <w:tcPr>
            <w:tcW w:w="1326" w:type="dxa"/>
            <w:vMerge w:val="continue"/>
            <w:noWrap w:val="0"/>
            <w:vAlign w:val="center"/>
          </w:tcPr>
          <w:p w14:paraId="07344A6E"/>
        </w:tc>
        <w:tc>
          <w:tcPr>
            <w:tcW w:w="1811" w:type="dxa"/>
            <w:vMerge w:val="continue"/>
            <w:noWrap w:val="0"/>
            <w:vAlign w:val="center"/>
          </w:tcPr>
          <w:p w14:paraId="5197B960"/>
        </w:tc>
        <w:tc>
          <w:tcPr>
            <w:tcW w:w="938" w:type="dxa"/>
            <w:vMerge w:val="continue"/>
            <w:noWrap w:val="0"/>
            <w:vAlign w:val="center"/>
          </w:tcPr>
          <w:p w14:paraId="136BF239"/>
        </w:tc>
        <w:tc>
          <w:tcPr>
            <w:tcW w:w="1150" w:type="dxa"/>
            <w:vMerge w:val="continue"/>
            <w:noWrap w:val="0"/>
            <w:vAlign w:val="center"/>
          </w:tcPr>
          <w:p w14:paraId="0DCE512D"/>
        </w:tc>
        <w:tc>
          <w:tcPr>
            <w:tcW w:w="1075" w:type="dxa"/>
            <w:vMerge w:val="continue"/>
            <w:noWrap w:val="0"/>
            <w:vAlign w:val="center"/>
          </w:tcPr>
          <w:p w14:paraId="677C1355"/>
        </w:tc>
        <w:tc>
          <w:tcPr>
            <w:tcW w:w="1105" w:type="dxa"/>
            <w:vMerge w:val="continue"/>
            <w:noWrap w:val="0"/>
            <w:vAlign w:val="center"/>
          </w:tcPr>
          <w:p w14:paraId="3106A289"/>
        </w:tc>
        <w:tc>
          <w:tcPr>
            <w:tcW w:w="2245" w:type="dxa"/>
            <w:vMerge w:val="continue"/>
            <w:noWrap w:val="0"/>
            <w:vAlign w:val="center"/>
          </w:tcPr>
          <w:p w14:paraId="5C2B33AC"/>
        </w:tc>
        <w:tc>
          <w:tcPr>
            <w:tcW w:w="1831" w:type="dxa"/>
            <w:noWrap w:val="0"/>
            <w:vAlign w:val="center"/>
          </w:tcPr>
          <w:p w14:paraId="2F0531D4">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市场监</w:t>
            </w:r>
            <w:r>
              <w:rPr>
                <w:rFonts w:hint="eastAsia" w:ascii="仿宋_GB2312" w:eastAsia="仿宋_GB2312" w:cs="仿宋_GB2312"/>
                <w:kern w:val="0"/>
                <w:sz w:val="22"/>
                <w:szCs w:val="22"/>
                <w:lang w:eastAsia="zh-CN" w:bidi="ar"/>
              </w:rPr>
              <w:t>督管理局</w:t>
            </w:r>
          </w:p>
        </w:tc>
        <w:tc>
          <w:tcPr>
            <w:tcW w:w="2731" w:type="dxa"/>
            <w:noWrap w:val="0"/>
            <w:vAlign w:val="center"/>
          </w:tcPr>
          <w:p w14:paraId="144AD2D0">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对油品质量、计量的检查</w:t>
            </w:r>
          </w:p>
        </w:tc>
      </w:tr>
      <w:tr w14:paraId="7BE7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464" w:type="dxa"/>
            <w:vMerge w:val="continue"/>
            <w:noWrap w:val="0"/>
            <w:vAlign w:val="center"/>
          </w:tcPr>
          <w:p w14:paraId="08D7C90E"/>
        </w:tc>
        <w:tc>
          <w:tcPr>
            <w:tcW w:w="1326" w:type="dxa"/>
            <w:vMerge w:val="continue"/>
            <w:noWrap w:val="0"/>
            <w:vAlign w:val="center"/>
          </w:tcPr>
          <w:p w14:paraId="5977769B"/>
        </w:tc>
        <w:tc>
          <w:tcPr>
            <w:tcW w:w="1811" w:type="dxa"/>
            <w:vMerge w:val="continue"/>
            <w:noWrap w:val="0"/>
            <w:vAlign w:val="center"/>
          </w:tcPr>
          <w:p w14:paraId="5F36EB74"/>
        </w:tc>
        <w:tc>
          <w:tcPr>
            <w:tcW w:w="938" w:type="dxa"/>
            <w:vMerge w:val="continue"/>
            <w:noWrap w:val="0"/>
            <w:vAlign w:val="center"/>
          </w:tcPr>
          <w:p w14:paraId="2500F124"/>
        </w:tc>
        <w:tc>
          <w:tcPr>
            <w:tcW w:w="1150" w:type="dxa"/>
            <w:vMerge w:val="continue"/>
            <w:noWrap w:val="0"/>
            <w:vAlign w:val="center"/>
          </w:tcPr>
          <w:p w14:paraId="2B405123"/>
        </w:tc>
        <w:tc>
          <w:tcPr>
            <w:tcW w:w="1075" w:type="dxa"/>
            <w:vMerge w:val="continue"/>
            <w:noWrap w:val="0"/>
            <w:vAlign w:val="center"/>
          </w:tcPr>
          <w:p w14:paraId="5903E4F7"/>
        </w:tc>
        <w:tc>
          <w:tcPr>
            <w:tcW w:w="1105" w:type="dxa"/>
            <w:vMerge w:val="continue"/>
            <w:noWrap w:val="0"/>
            <w:vAlign w:val="center"/>
          </w:tcPr>
          <w:p w14:paraId="37DFC8EF"/>
        </w:tc>
        <w:tc>
          <w:tcPr>
            <w:tcW w:w="2245" w:type="dxa"/>
            <w:vMerge w:val="continue"/>
            <w:noWrap w:val="0"/>
            <w:vAlign w:val="center"/>
          </w:tcPr>
          <w:p w14:paraId="1E96E52C"/>
        </w:tc>
        <w:tc>
          <w:tcPr>
            <w:tcW w:w="1831" w:type="dxa"/>
            <w:noWrap w:val="0"/>
            <w:vAlign w:val="center"/>
          </w:tcPr>
          <w:p w14:paraId="06F6EFCA">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区气象服务中心</w:t>
            </w:r>
          </w:p>
        </w:tc>
        <w:tc>
          <w:tcPr>
            <w:tcW w:w="2731" w:type="dxa"/>
            <w:noWrap w:val="0"/>
            <w:vAlign w:val="center"/>
          </w:tcPr>
          <w:p w14:paraId="2668F1D7">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kern w:val="21"/>
                <w:sz w:val="22"/>
                <w:szCs w:val="22"/>
                <w:lang w:eastAsia="zh-CN" w:bidi="ar-SA"/>
              </w:rPr>
              <w:t>对</w:t>
            </w:r>
            <w:r>
              <w:rPr>
                <w:rFonts w:hint="eastAsia" w:ascii="仿宋_GB2312" w:eastAsia="仿宋_GB2312" w:cs="仿宋_GB2312"/>
                <w:kern w:val="21"/>
                <w:sz w:val="22"/>
                <w:szCs w:val="22"/>
                <w:lang w:bidi="ar-SA"/>
              </w:rPr>
              <w:t>落实防雷防静电安全措施情况的检查</w:t>
            </w:r>
          </w:p>
        </w:tc>
      </w:tr>
      <w:tr w14:paraId="2D9E8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jc w:val="center"/>
        </w:trPr>
        <w:tc>
          <w:tcPr>
            <w:tcW w:w="464" w:type="dxa"/>
            <w:noWrap w:val="0"/>
            <w:vAlign w:val="center"/>
          </w:tcPr>
          <w:p w14:paraId="526B1742">
            <w:pPr>
              <w:spacing w:line="260" w:lineRule="exact"/>
              <w:jc w:val="center"/>
              <w:textAlignment w:val="center"/>
              <w:rPr>
                <w:rFonts w:hint="eastAsia" w:ascii="仿宋_GB2312" w:eastAsia="仿宋_GB2312" w:cs="仿宋_GB2312"/>
                <w:kern w:val="0"/>
                <w:sz w:val="22"/>
                <w:szCs w:val="22"/>
                <w:lang w:val="en-US" w:eastAsia="zh-CN" w:bidi="ar"/>
              </w:rPr>
            </w:pPr>
            <w:r>
              <w:rPr>
                <w:rFonts w:hint="eastAsia" w:ascii="仿宋_GB2312" w:eastAsia="仿宋_GB2312" w:cs="仿宋_GB2312"/>
                <w:sz w:val="22"/>
                <w:szCs w:val="22"/>
                <w:lang w:val="en-US" w:eastAsia="zh-CN" w:bidi="ar-SA"/>
              </w:rPr>
              <w:t>2</w:t>
            </w:r>
          </w:p>
        </w:tc>
        <w:tc>
          <w:tcPr>
            <w:tcW w:w="1326" w:type="dxa"/>
            <w:noWrap w:val="0"/>
            <w:vAlign w:val="center"/>
          </w:tcPr>
          <w:p w14:paraId="341D3825">
            <w:pPr>
              <w:spacing w:line="260" w:lineRule="exact"/>
              <w:jc w:val="center"/>
              <w:textAlignment w:val="center"/>
              <w:rPr>
                <w:rFonts w:hint="eastAsia" w:ascii="仿宋_GB2312" w:eastAsia="仿宋_GB2312" w:cs="仿宋_GB2312"/>
                <w:kern w:val="0"/>
                <w:sz w:val="22"/>
                <w:szCs w:val="22"/>
                <w:lang w:bidi="ar"/>
              </w:rPr>
            </w:pPr>
            <w:r>
              <w:rPr>
                <w:rFonts w:hint="eastAsia" w:ascii="仿宋_GB2312" w:eastAsia="仿宋_GB2312" w:cs="仿宋_GB2312"/>
                <w:kern w:val="0"/>
                <w:sz w:val="22"/>
                <w:szCs w:val="22"/>
                <w:lang w:eastAsia="zh-CN" w:bidi="ar"/>
              </w:rPr>
              <w:t>盐业市场</w:t>
            </w:r>
            <w:r>
              <w:rPr>
                <w:rFonts w:hint="eastAsia" w:ascii="仿宋_GB2312" w:eastAsia="仿宋_GB2312" w:cs="仿宋_GB2312"/>
                <w:kern w:val="0"/>
                <w:sz w:val="22"/>
                <w:szCs w:val="22"/>
                <w:lang w:bidi="ar"/>
              </w:rPr>
              <w:t>检查</w:t>
            </w:r>
          </w:p>
        </w:tc>
        <w:tc>
          <w:tcPr>
            <w:tcW w:w="1811" w:type="dxa"/>
            <w:noWrap w:val="0"/>
            <w:vAlign w:val="center"/>
          </w:tcPr>
          <w:p w14:paraId="67DCE74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eastAsia="仿宋_GB2312" w:cs="仿宋_GB2312"/>
                <w:kern w:val="0"/>
                <w:sz w:val="22"/>
                <w:szCs w:val="22"/>
                <w:lang w:bidi="ar"/>
              </w:rPr>
            </w:pPr>
            <w:r>
              <w:rPr>
                <w:rFonts w:hint="eastAsia" w:ascii="仿宋_GB2312" w:eastAsia="仿宋_GB2312" w:cs="仿宋_GB2312"/>
                <w:kern w:val="0"/>
                <w:sz w:val="22"/>
                <w:szCs w:val="22"/>
                <w:lang w:bidi="ar"/>
              </w:rPr>
              <w:t>涉食盐零售和用盐单位</w:t>
            </w:r>
          </w:p>
          <w:p w14:paraId="5E1F4D8D">
            <w:pPr>
              <w:keepNext w:val="0"/>
              <w:keepLines w:val="0"/>
              <w:pageBreakBefore w:val="0"/>
              <w:widowControl w:val="0"/>
              <w:kinsoku/>
              <w:wordWrap/>
              <w:overflowPunct/>
              <w:topLinePunct w:val="0"/>
              <w:autoSpaceDE/>
              <w:autoSpaceDN/>
              <w:bidi w:val="0"/>
              <w:adjustRightInd/>
              <w:snapToGrid/>
              <w:spacing w:line="260" w:lineRule="exact"/>
              <w:jc w:val="center"/>
              <w:textAlignment w:val="auto"/>
            </w:pPr>
            <w:r>
              <w:rPr>
                <w:rFonts w:hint="eastAsia" w:ascii="仿宋_GB2312" w:eastAsia="仿宋_GB2312" w:cs="仿宋_GB2312"/>
                <w:b w:val="0"/>
                <w:bCs w:val="0"/>
                <w:color w:val="auto"/>
                <w:kern w:val="0"/>
                <w:sz w:val="22"/>
                <w:szCs w:val="22"/>
                <w:lang w:eastAsia="zh-CN" w:bidi="ar"/>
              </w:rPr>
              <w:t>重点</w:t>
            </w:r>
          </w:p>
        </w:tc>
        <w:tc>
          <w:tcPr>
            <w:tcW w:w="938" w:type="dxa"/>
            <w:noWrap w:val="0"/>
            <w:vAlign w:val="center"/>
          </w:tcPr>
          <w:p w14:paraId="3EB96D20">
            <w:pPr>
              <w:spacing w:line="260" w:lineRule="exact"/>
              <w:jc w:val="center"/>
              <w:textAlignment w:val="center"/>
            </w:pPr>
            <w:r>
              <w:rPr>
                <w:rFonts w:hint="eastAsia" w:ascii="仿宋_GB2312" w:eastAsia="仿宋_GB2312" w:cs="仿宋_GB2312"/>
                <w:sz w:val="22"/>
                <w:szCs w:val="22"/>
                <w:lang w:eastAsia="zh-CN" w:bidi="ar-SA"/>
              </w:rPr>
              <w:t>重点</w:t>
            </w:r>
          </w:p>
        </w:tc>
        <w:tc>
          <w:tcPr>
            <w:tcW w:w="1150" w:type="dxa"/>
            <w:noWrap w:val="0"/>
            <w:vAlign w:val="center"/>
          </w:tcPr>
          <w:p w14:paraId="3F1B02FF">
            <w:pPr>
              <w:jc w:val="center"/>
              <w:rPr>
                <w:rFonts w:hint="eastAsia" w:eastAsia="宋体"/>
                <w:lang w:eastAsia="zh-CN"/>
              </w:rPr>
            </w:pPr>
            <w:r>
              <w:rPr>
                <w:rFonts w:hint="eastAsia" w:ascii="仿宋_GB2312" w:eastAsia="仿宋_GB2312" w:cs="仿宋_GB2312"/>
                <w:kern w:val="0"/>
                <w:sz w:val="22"/>
                <w:szCs w:val="22"/>
                <w:lang w:eastAsia="zh-CN" w:bidi="ar"/>
              </w:rPr>
              <w:t>现场检查</w:t>
            </w:r>
          </w:p>
        </w:tc>
        <w:tc>
          <w:tcPr>
            <w:tcW w:w="1075" w:type="dxa"/>
            <w:noWrap w:val="0"/>
            <w:vAlign w:val="center"/>
          </w:tcPr>
          <w:p w14:paraId="46A518A0">
            <w:pPr>
              <w:jc w:val="center"/>
              <w:rPr>
                <w:rFonts w:hint="eastAsia" w:eastAsia="宋体"/>
                <w:lang w:eastAsia="zh-CN"/>
              </w:rPr>
            </w:pPr>
            <w:r>
              <w:rPr>
                <w:rFonts w:hint="eastAsia" w:ascii="仿宋_GB2312" w:eastAsia="仿宋_GB2312" w:cs="仿宋_GB2312"/>
                <w:kern w:val="0"/>
                <w:sz w:val="22"/>
                <w:szCs w:val="22"/>
                <w:lang w:eastAsia="zh-CN" w:bidi="ar"/>
              </w:rPr>
              <w:t>专项</w:t>
            </w:r>
          </w:p>
        </w:tc>
        <w:tc>
          <w:tcPr>
            <w:tcW w:w="1105" w:type="dxa"/>
            <w:noWrap w:val="0"/>
            <w:vAlign w:val="center"/>
          </w:tcPr>
          <w:p w14:paraId="01E98CAA">
            <w:pPr>
              <w:keepNext w:val="0"/>
              <w:keepLines w:val="0"/>
              <w:pageBreakBefore w:val="0"/>
              <w:widowControl w:val="0"/>
              <w:kinsoku/>
              <w:wordWrap/>
              <w:overflowPunct/>
              <w:topLinePunct w:val="0"/>
              <w:autoSpaceDE/>
              <w:autoSpaceDN/>
              <w:bidi w:val="0"/>
              <w:adjustRightInd/>
              <w:snapToGrid/>
              <w:spacing w:line="260" w:lineRule="exact"/>
              <w:textAlignment w:val="auto"/>
            </w:pPr>
            <w:r>
              <w:rPr>
                <w:rFonts w:hint="eastAsia" w:ascii="仿宋_GB2312" w:eastAsia="仿宋_GB2312" w:cs="仿宋_GB2312"/>
                <w:kern w:val="0"/>
                <w:sz w:val="22"/>
                <w:szCs w:val="22"/>
                <w:lang w:eastAsia="zh-CN" w:bidi="ar"/>
              </w:rPr>
              <w:t>区经济和信息化局</w:t>
            </w:r>
          </w:p>
        </w:tc>
        <w:tc>
          <w:tcPr>
            <w:tcW w:w="2245" w:type="dxa"/>
            <w:noWrap w:val="0"/>
            <w:vAlign w:val="center"/>
          </w:tcPr>
          <w:p w14:paraId="1F7FF5E4">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eastAsia="宋体"/>
                <w:lang w:eastAsia="zh-CN"/>
              </w:rPr>
            </w:pPr>
            <w:r>
              <w:rPr>
                <w:rFonts w:hint="eastAsia" w:ascii="仿宋_GB2312" w:eastAsia="仿宋_GB2312" w:cs="仿宋_GB2312"/>
                <w:color w:val="auto"/>
                <w:kern w:val="0"/>
                <w:sz w:val="22"/>
                <w:szCs w:val="22"/>
                <w:lang w:eastAsia="zh-CN" w:bidi="ar"/>
              </w:rPr>
              <w:t>对食盐经营主体经营状态及用盐单位管理情况监督检查</w:t>
            </w:r>
          </w:p>
        </w:tc>
        <w:tc>
          <w:tcPr>
            <w:tcW w:w="1831" w:type="dxa"/>
            <w:noWrap w:val="0"/>
            <w:vAlign w:val="center"/>
          </w:tcPr>
          <w:p w14:paraId="3EDE1F5E">
            <w:pPr>
              <w:spacing w:line="260" w:lineRule="exact"/>
              <w:jc w:val="center"/>
              <w:rPr>
                <w:rFonts w:hint="eastAsia" w:ascii="仿宋_GB2312" w:eastAsia="仿宋_GB2312" w:cs="仿宋_GB2312"/>
                <w:kern w:val="21"/>
                <w:sz w:val="22"/>
                <w:szCs w:val="22"/>
                <w:lang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市场监</w:t>
            </w:r>
            <w:r>
              <w:rPr>
                <w:rFonts w:hint="eastAsia" w:ascii="仿宋_GB2312" w:eastAsia="仿宋_GB2312" w:cs="仿宋_GB2312"/>
                <w:kern w:val="0"/>
                <w:sz w:val="22"/>
                <w:szCs w:val="22"/>
                <w:lang w:eastAsia="zh-CN" w:bidi="ar"/>
              </w:rPr>
              <w:t>督管理局</w:t>
            </w:r>
          </w:p>
        </w:tc>
        <w:tc>
          <w:tcPr>
            <w:tcW w:w="2731" w:type="dxa"/>
            <w:noWrap w:val="0"/>
            <w:vAlign w:val="center"/>
          </w:tcPr>
          <w:p w14:paraId="7A2FC263">
            <w:pPr>
              <w:spacing w:line="260" w:lineRule="exact"/>
              <w:rPr>
                <w:rFonts w:hint="eastAsia" w:ascii="仿宋_GB2312" w:eastAsia="仿宋_GB2312" w:cs="仿宋_GB2312"/>
                <w:kern w:val="21"/>
                <w:sz w:val="22"/>
                <w:szCs w:val="22"/>
                <w:lang w:eastAsia="zh-CN" w:bidi="ar-SA"/>
              </w:rPr>
            </w:pPr>
            <w:r>
              <w:rPr>
                <w:rFonts w:hint="eastAsia" w:ascii="仿宋_GB2312" w:eastAsia="仿宋_GB2312" w:cs="仿宋_GB2312"/>
                <w:kern w:val="21"/>
                <w:sz w:val="22"/>
                <w:szCs w:val="22"/>
                <w:lang w:eastAsia="zh-CN" w:bidi="ar-SA"/>
              </w:rPr>
              <w:t>对食盐经营及使用安全的检查</w:t>
            </w:r>
          </w:p>
        </w:tc>
      </w:tr>
      <w:tr w14:paraId="78681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464" w:type="dxa"/>
            <w:vMerge w:val="restart"/>
            <w:noWrap w:val="0"/>
            <w:vAlign w:val="center"/>
          </w:tcPr>
          <w:p w14:paraId="019691B0">
            <w:pPr>
              <w:spacing w:line="260" w:lineRule="exact"/>
              <w:jc w:val="center"/>
              <w:textAlignment w:val="center"/>
              <w:rPr>
                <w:rFonts w:hint="default" w:ascii="仿宋_GB2312" w:eastAsia="仿宋_GB2312" w:cs="仿宋_GB2312"/>
                <w:sz w:val="22"/>
                <w:szCs w:val="22"/>
                <w:lang w:val="en-US" w:eastAsia="zh-CN" w:bidi="ar-SA"/>
              </w:rPr>
            </w:pPr>
            <w:r>
              <w:rPr>
                <w:rFonts w:hint="eastAsia" w:ascii="仿宋_GB2312" w:eastAsia="仿宋_GB2312" w:cs="仿宋_GB2312"/>
                <w:sz w:val="22"/>
                <w:szCs w:val="22"/>
                <w:lang w:val="en-US" w:eastAsia="zh-CN" w:bidi="ar-SA"/>
              </w:rPr>
              <w:t>3</w:t>
            </w:r>
          </w:p>
        </w:tc>
        <w:tc>
          <w:tcPr>
            <w:tcW w:w="1326" w:type="dxa"/>
            <w:vMerge w:val="restart"/>
            <w:noWrap w:val="0"/>
            <w:vAlign w:val="center"/>
          </w:tcPr>
          <w:p w14:paraId="2388BA4B">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hAnsi="仿宋_GB2312" w:eastAsia="仿宋_GB2312" w:cs="仿宋_GB2312"/>
                <w:color w:val="000000"/>
                <w:kern w:val="2"/>
                <w:sz w:val="21"/>
                <w:szCs w:val="21"/>
                <w:vertAlign w:val="baseline"/>
                <w:lang w:val="en-US" w:eastAsia="zh-CN" w:bidi="ar-SA"/>
              </w:rPr>
              <w:t>监控化学品检查</w:t>
            </w:r>
          </w:p>
        </w:tc>
        <w:tc>
          <w:tcPr>
            <w:tcW w:w="1811" w:type="dxa"/>
            <w:vMerge w:val="restart"/>
            <w:noWrap w:val="0"/>
            <w:vAlign w:val="center"/>
          </w:tcPr>
          <w:p w14:paraId="1B0EA67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default" w:ascii="仿宋_GB2312" w:eastAsia="仿宋_GB2312" w:cs="仿宋_GB2312"/>
                <w:b w:val="0"/>
                <w:bCs w:val="0"/>
                <w:color w:val="auto"/>
                <w:kern w:val="0"/>
                <w:sz w:val="22"/>
                <w:szCs w:val="22"/>
                <w:lang w:val="en-US" w:eastAsia="zh-CN" w:bidi="ar"/>
              </w:rPr>
            </w:pPr>
            <w:r>
              <w:rPr>
                <w:rFonts w:hint="eastAsia" w:ascii="仿宋_GB2312" w:hAnsi="仿宋_GB2312" w:eastAsia="仿宋_GB2312" w:cs="仿宋_GB2312"/>
                <w:color w:val="000000"/>
                <w:kern w:val="2"/>
                <w:sz w:val="21"/>
                <w:szCs w:val="21"/>
                <w:vertAlign w:val="baseline"/>
                <w:lang w:val="en-US" w:eastAsia="zh-CN" w:bidi="ar-SA"/>
              </w:rPr>
              <w:t xml:space="preserve">从事监控化学品生产、经营、使用以及进出口单位       一般    </w:t>
            </w:r>
          </w:p>
        </w:tc>
        <w:tc>
          <w:tcPr>
            <w:tcW w:w="938" w:type="dxa"/>
            <w:vMerge w:val="restart"/>
            <w:noWrap w:val="0"/>
            <w:vAlign w:val="center"/>
          </w:tcPr>
          <w:p w14:paraId="27A79AA8">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sz w:val="22"/>
                <w:szCs w:val="22"/>
                <w:lang w:eastAsia="zh-CN" w:bidi="ar-SA"/>
              </w:rPr>
              <w:t>一般</w:t>
            </w:r>
          </w:p>
        </w:tc>
        <w:tc>
          <w:tcPr>
            <w:tcW w:w="1150" w:type="dxa"/>
            <w:vMerge w:val="restart"/>
            <w:noWrap w:val="0"/>
            <w:vAlign w:val="center"/>
          </w:tcPr>
          <w:p w14:paraId="2D20F4EB">
            <w:pPr>
              <w:jc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现场检查</w:t>
            </w:r>
          </w:p>
        </w:tc>
        <w:tc>
          <w:tcPr>
            <w:tcW w:w="1075" w:type="dxa"/>
            <w:vMerge w:val="restart"/>
            <w:noWrap w:val="0"/>
            <w:vAlign w:val="center"/>
          </w:tcPr>
          <w:p w14:paraId="7BD76400">
            <w:pPr>
              <w:jc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专项</w:t>
            </w:r>
          </w:p>
        </w:tc>
        <w:tc>
          <w:tcPr>
            <w:tcW w:w="1105" w:type="dxa"/>
            <w:vMerge w:val="restart"/>
            <w:noWrap w:val="0"/>
            <w:vAlign w:val="center"/>
          </w:tcPr>
          <w:p w14:paraId="24547B1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区经济和信息化局</w:t>
            </w:r>
          </w:p>
        </w:tc>
        <w:tc>
          <w:tcPr>
            <w:tcW w:w="2245" w:type="dxa"/>
            <w:vMerge w:val="restart"/>
            <w:noWrap w:val="0"/>
            <w:vAlign w:val="center"/>
          </w:tcPr>
          <w:p w14:paraId="0EEF160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宋体" w:cs="仿宋_GB2312"/>
                <w:color w:val="auto"/>
                <w:kern w:val="0"/>
                <w:sz w:val="22"/>
                <w:szCs w:val="22"/>
                <w:lang w:eastAsia="zh-CN" w:bidi="ar"/>
              </w:rPr>
            </w:pPr>
            <w:r>
              <w:rPr>
                <w:rFonts w:hint="eastAsia" w:ascii="仿宋_GB2312" w:hAnsi="仿宋_GB2312" w:eastAsia="仿宋_GB2312" w:cs="仿宋_GB2312"/>
                <w:color w:val="000000"/>
                <w:kern w:val="2"/>
                <w:sz w:val="21"/>
                <w:szCs w:val="21"/>
                <w:vertAlign w:val="baseline"/>
                <w:lang w:val="en-US" w:eastAsia="zh-CN" w:bidi="ar-SA"/>
              </w:rPr>
              <w:t xml:space="preserve">对从事监控化学品生产、经营、使用以及进出口单位管理情况监督检查 </w:t>
            </w:r>
          </w:p>
        </w:tc>
        <w:tc>
          <w:tcPr>
            <w:tcW w:w="1831" w:type="dxa"/>
            <w:noWrap w:val="0"/>
            <w:vAlign w:val="center"/>
          </w:tcPr>
          <w:p w14:paraId="7794257C">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区公安分局</w:t>
            </w:r>
          </w:p>
        </w:tc>
        <w:tc>
          <w:tcPr>
            <w:tcW w:w="2731" w:type="dxa"/>
            <w:noWrap w:val="0"/>
            <w:vAlign w:val="center"/>
          </w:tcPr>
          <w:p w14:paraId="1550AC19">
            <w:pPr>
              <w:spacing w:line="260" w:lineRule="exact"/>
              <w:textAlignment w:val="center"/>
              <w:rPr>
                <w:rFonts w:hint="eastAsia" w:ascii="仿宋_GB2312" w:eastAsia="仿宋_GB2312" w:cs="仿宋_GB2312"/>
                <w:kern w:val="21"/>
                <w:sz w:val="22"/>
                <w:szCs w:val="22"/>
                <w:lang w:eastAsia="zh-CN" w:bidi="ar-SA"/>
              </w:rPr>
            </w:pPr>
            <w:r>
              <w:rPr>
                <w:rFonts w:hint="eastAsia" w:ascii="仿宋_GB2312" w:eastAsia="仿宋_GB2312" w:cs="仿宋_GB2312"/>
                <w:kern w:val="0"/>
                <w:sz w:val="22"/>
                <w:szCs w:val="22"/>
                <w:lang w:bidi="ar"/>
              </w:rPr>
              <w:t>对</w:t>
            </w:r>
            <w:r>
              <w:rPr>
                <w:rFonts w:hint="eastAsia" w:ascii="仿宋_GB2312" w:eastAsia="仿宋_GB2312" w:cs="仿宋_GB2312"/>
                <w:kern w:val="0"/>
                <w:sz w:val="22"/>
                <w:szCs w:val="22"/>
                <w:lang w:eastAsia="zh-CN" w:bidi="ar"/>
              </w:rPr>
              <w:t>监控化学品运输</w:t>
            </w:r>
            <w:r>
              <w:rPr>
                <w:rFonts w:hint="eastAsia" w:ascii="仿宋_GB2312" w:eastAsia="仿宋_GB2312" w:cs="仿宋_GB2312"/>
                <w:kern w:val="0"/>
                <w:sz w:val="22"/>
                <w:szCs w:val="22"/>
                <w:lang w:bidi="ar"/>
              </w:rPr>
              <w:t>的检查</w:t>
            </w:r>
          </w:p>
        </w:tc>
      </w:tr>
      <w:tr w14:paraId="2546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0" w:hRule="atLeast"/>
          <w:jc w:val="center"/>
        </w:trPr>
        <w:tc>
          <w:tcPr>
            <w:tcW w:w="464" w:type="dxa"/>
            <w:vMerge w:val="continue"/>
            <w:tcBorders/>
            <w:noWrap w:val="0"/>
            <w:vAlign w:val="center"/>
          </w:tcPr>
          <w:p w14:paraId="388036EE">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341C9528">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54561EEB">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2041D1F3">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144F7BFD">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525CFA92">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19BBEECB">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1F8D6204">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3CE4A263">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朝天</w:t>
            </w:r>
            <w:r>
              <w:rPr>
                <w:rFonts w:hint="eastAsia" w:ascii="仿宋_GB2312" w:eastAsia="仿宋_GB2312" w:cs="仿宋_GB2312"/>
                <w:kern w:val="0"/>
                <w:sz w:val="22"/>
                <w:szCs w:val="22"/>
                <w:lang w:bidi="ar"/>
              </w:rPr>
              <w:t>生态环境</w:t>
            </w:r>
            <w:r>
              <w:rPr>
                <w:rFonts w:hint="eastAsia" w:ascii="仿宋_GB2312" w:eastAsia="仿宋_GB2312" w:cs="仿宋_GB2312"/>
                <w:kern w:val="0"/>
                <w:sz w:val="22"/>
                <w:szCs w:val="22"/>
                <w:lang w:eastAsia="zh-CN" w:bidi="ar"/>
              </w:rPr>
              <w:t>局</w:t>
            </w:r>
          </w:p>
        </w:tc>
        <w:tc>
          <w:tcPr>
            <w:tcW w:w="2731" w:type="dxa"/>
            <w:noWrap w:val="0"/>
            <w:vAlign w:val="center"/>
          </w:tcPr>
          <w:p w14:paraId="1190E51B">
            <w:pPr>
              <w:spacing w:line="260" w:lineRule="exact"/>
              <w:textAlignment w:val="center"/>
              <w:rPr>
                <w:rFonts w:hint="eastAsia" w:ascii="仿宋_GB2312" w:eastAsia="仿宋_GB2312" w:cs="仿宋_GB2312"/>
                <w:kern w:val="21"/>
                <w:sz w:val="22"/>
                <w:szCs w:val="22"/>
                <w:lang w:eastAsia="zh-CN" w:bidi="ar-SA"/>
              </w:rPr>
            </w:pPr>
            <w:r>
              <w:rPr>
                <w:rFonts w:hint="eastAsia" w:ascii="仿宋_GB2312" w:eastAsia="仿宋_GB2312" w:cs="仿宋_GB2312"/>
                <w:spacing w:val="-8"/>
                <w:kern w:val="0"/>
                <w:sz w:val="22"/>
                <w:szCs w:val="22"/>
                <w:lang w:bidi="ar"/>
              </w:rPr>
              <w:t>对</w:t>
            </w:r>
            <w:r>
              <w:rPr>
                <w:rFonts w:hint="eastAsia" w:ascii="仿宋_GB2312" w:eastAsia="仿宋_GB2312" w:cs="仿宋_GB2312"/>
                <w:spacing w:val="-8"/>
                <w:kern w:val="0"/>
                <w:sz w:val="22"/>
                <w:szCs w:val="22"/>
                <w:lang w:eastAsia="zh-CN" w:bidi="ar"/>
              </w:rPr>
              <w:t>落实环境保护措施情况</w:t>
            </w:r>
            <w:r>
              <w:rPr>
                <w:rFonts w:hint="eastAsia" w:ascii="仿宋_GB2312" w:eastAsia="仿宋_GB2312" w:cs="仿宋_GB2312"/>
                <w:spacing w:val="-8"/>
                <w:kern w:val="0"/>
                <w:sz w:val="22"/>
                <w:szCs w:val="22"/>
                <w:lang w:bidi="ar"/>
              </w:rPr>
              <w:t>的检查</w:t>
            </w:r>
          </w:p>
        </w:tc>
      </w:tr>
      <w:tr w14:paraId="2F879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jc w:val="center"/>
        </w:trPr>
        <w:tc>
          <w:tcPr>
            <w:tcW w:w="464" w:type="dxa"/>
            <w:vMerge w:val="continue"/>
            <w:tcBorders/>
            <w:noWrap w:val="0"/>
            <w:vAlign w:val="center"/>
          </w:tcPr>
          <w:p w14:paraId="111AD0A0">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3DA1D8CF">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6EE5375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75F18B9A">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74D3C556">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172E068A">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22E48E99">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3701105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663CEEC6">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应急管理</w:t>
            </w:r>
            <w:r>
              <w:rPr>
                <w:rFonts w:hint="eastAsia" w:ascii="仿宋_GB2312" w:eastAsia="仿宋_GB2312" w:cs="仿宋_GB2312"/>
                <w:kern w:val="0"/>
                <w:sz w:val="22"/>
                <w:szCs w:val="22"/>
                <w:lang w:eastAsia="zh-CN" w:bidi="ar"/>
              </w:rPr>
              <w:t>局</w:t>
            </w:r>
          </w:p>
        </w:tc>
        <w:tc>
          <w:tcPr>
            <w:tcW w:w="2731" w:type="dxa"/>
            <w:noWrap w:val="0"/>
            <w:vAlign w:val="center"/>
          </w:tcPr>
          <w:p w14:paraId="545E56F9">
            <w:pPr>
              <w:spacing w:line="260" w:lineRule="exact"/>
              <w:textAlignment w:val="center"/>
              <w:rPr>
                <w:rFonts w:hint="eastAsia" w:ascii="仿宋_GB2312" w:eastAsia="仿宋_GB2312" w:cs="仿宋_GB2312"/>
                <w:kern w:val="21"/>
                <w:sz w:val="22"/>
                <w:szCs w:val="22"/>
                <w:lang w:eastAsia="zh-CN" w:bidi="ar-SA"/>
              </w:rPr>
            </w:pPr>
            <w:r>
              <w:rPr>
                <w:rFonts w:hint="eastAsia" w:ascii="仿宋_GB2312" w:eastAsia="仿宋_GB2312" w:cs="仿宋_GB2312"/>
                <w:kern w:val="0"/>
                <w:sz w:val="22"/>
                <w:szCs w:val="22"/>
                <w:lang w:bidi="ar"/>
              </w:rPr>
              <w:t>对安全生产</w:t>
            </w:r>
            <w:r>
              <w:rPr>
                <w:rFonts w:hint="eastAsia" w:ascii="仿宋_GB2312" w:eastAsia="仿宋_GB2312" w:cs="仿宋_GB2312"/>
                <w:kern w:val="0"/>
                <w:sz w:val="22"/>
                <w:szCs w:val="22"/>
                <w:lang w:eastAsia="zh-CN" w:bidi="ar"/>
              </w:rPr>
              <w:t>的检查</w:t>
            </w:r>
          </w:p>
        </w:tc>
      </w:tr>
      <w:tr w14:paraId="35E60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464" w:type="dxa"/>
            <w:vMerge w:val="continue"/>
            <w:tcBorders/>
            <w:noWrap w:val="0"/>
            <w:vAlign w:val="center"/>
          </w:tcPr>
          <w:p w14:paraId="17EE9357">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108A7822">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05BE1A04">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7F87E842">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23CE8840">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6A7FACE2">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07ACA8D4">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6A1139ED">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59E048DC">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市场监</w:t>
            </w:r>
            <w:r>
              <w:rPr>
                <w:rFonts w:hint="eastAsia" w:ascii="仿宋_GB2312" w:eastAsia="仿宋_GB2312" w:cs="仿宋_GB2312"/>
                <w:kern w:val="0"/>
                <w:sz w:val="22"/>
                <w:szCs w:val="22"/>
                <w:lang w:eastAsia="zh-CN" w:bidi="ar"/>
              </w:rPr>
              <w:t>督管理局</w:t>
            </w:r>
          </w:p>
        </w:tc>
        <w:tc>
          <w:tcPr>
            <w:tcW w:w="2731" w:type="dxa"/>
            <w:noWrap w:val="0"/>
            <w:vAlign w:val="center"/>
          </w:tcPr>
          <w:p w14:paraId="46A841C2">
            <w:pPr>
              <w:spacing w:line="260" w:lineRule="exact"/>
              <w:textAlignment w:val="center"/>
              <w:rPr>
                <w:rFonts w:hint="eastAsia" w:ascii="仿宋_GB2312" w:eastAsia="仿宋_GB2312" w:cs="仿宋_GB2312"/>
                <w:kern w:val="21"/>
                <w:sz w:val="22"/>
                <w:szCs w:val="22"/>
                <w:lang w:eastAsia="zh-CN" w:bidi="ar-SA"/>
              </w:rPr>
            </w:pPr>
            <w:r>
              <w:rPr>
                <w:rFonts w:hint="eastAsia" w:ascii="仿宋_GB2312" w:eastAsia="仿宋_GB2312" w:cs="仿宋_GB2312"/>
                <w:kern w:val="0"/>
                <w:sz w:val="22"/>
                <w:szCs w:val="22"/>
                <w:lang w:bidi="ar"/>
              </w:rPr>
              <w:t>对</w:t>
            </w:r>
            <w:r>
              <w:rPr>
                <w:rFonts w:hint="eastAsia" w:ascii="仿宋_GB2312" w:eastAsia="仿宋_GB2312" w:cs="仿宋_GB2312"/>
                <w:kern w:val="0"/>
                <w:sz w:val="22"/>
                <w:szCs w:val="22"/>
                <w:lang w:eastAsia="zh-CN" w:bidi="ar"/>
              </w:rPr>
              <w:t>特种设备</w:t>
            </w:r>
            <w:r>
              <w:rPr>
                <w:rFonts w:hint="eastAsia" w:ascii="仿宋_GB2312" w:eastAsia="仿宋_GB2312" w:cs="仿宋_GB2312"/>
                <w:kern w:val="0"/>
                <w:sz w:val="22"/>
                <w:szCs w:val="22"/>
                <w:lang w:bidi="ar"/>
              </w:rPr>
              <w:t>的检查</w:t>
            </w:r>
          </w:p>
        </w:tc>
      </w:tr>
      <w:tr w14:paraId="0FCC0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jc w:val="center"/>
        </w:trPr>
        <w:tc>
          <w:tcPr>
            <w:tcW w:w="464" w:type="dxa"/>
            <w:vMerge w:val="continue"/>
            <w:tcBorders/>
            <w:noWrap w:val="0"/>
            <w:vAlign w:val="center"/>
          </w:tcPr>
          <w:p w14:paraId="39B0A3AF">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3617E040">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4BAAD13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74D17A92">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10791B32">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15AD1E66">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3AF230F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0BE3EEC7">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6E528F61">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区气象服务中心</w:t>
            </w:r>
          </w:p>
        </w:tc>
        <w:tc>
          <w:tcPr>
            <w:tcW w:w="2731" w:type="dxa"/>
            <w:noWrap w:val="0"/>
            <w:vAlign w:val="center"/>
          </w:tcPr>
          <w:p w14:paraId="44360E67">
            <w:pPr>
              <w:spacing w:line="260" w:lineRule="exact"/>
              <w:textAlignment w:val="center"/>
              <w:rPr>
                <w:rFonts w:hint="eastAsia" w:ascii="仿宋_GB2312" w:eastAsia="仿宋_GB2312" w:cs="仿宋_GB2312"/>
                <w:kern w:val="21"/>
                <w:sz w:val="22"/>
                <w:szCs w:val="22"/>
                <w:lang w:eastAsia="zh-CN" w:bidi="ar-SA"/>
              </w:rPr>
            </w:pPr>
            <w:r>
              <w:rPr>
                <w:rFonts w:hint="eastAsia" w:ascii="仿宋_GB2312" w:eastAsia="仿宋_GB2312" w:cs="仿宋_GB2312"/>
                <w:kern w:val="21"/>
                <w:sz w:val="22"/>
                <w:szCs w:val="22"/>
                <w:lang w:eastAsia="zh-CN" w:bidi="ar-SA"/>
              </w:rPr>
              <w:t>对</w:t>
            </w:r>
            <w:r>
              <w:rPr>
                <w:rFonts w:hint="eastAsia" w:ascii="仿宋_GB2312" w:eastAsia="仿宋_GB2312" w:cs="仿宋_GB2312"/>
                <w:kern w:val="21"/>
                <w:sz w:val="22"/>
                <w:szCs w:val="22"/>
                <w:lang w:bidi="ar-SA"/>
              </w:rPr>
              <w:t>落实防雷防静电安全措施情况的检查</w:t>
            </w:r>
          </w:p>
        </w:tc>
      </w:tr>
      <w:tr w14:paraId="08519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464" w:type="dxa"/>
            <w:tcBorders/>
            <w:noWrap w:val="0"/>
            <w:vAlign w:val="center"/>
          </w:tcPr>
          <w:p w14:paraId="0BB00914">
            <w:pPr>
              <w:spacing w:line="260" w:lineRule="exact"/>
              <w:jc w:val="center"/>
              <w:textAlignment w:val="center"/>
              <w:rPr>
                <w:rFonts w:hint="default" w:ascii="仿宋_GB2312" w:eastAsia="仿宋_GB2312" w:cs="仿宋_GB2312"/>
                <w:sz w:val="22"/>
                <w:szCs w:val="22"/>
                <w:lang w:val="en-US" w:eastAsia="zh-CN" w:bidi="ar-SA"/>
              </w:rPr>
            </w:pPr>
            <w:r>
              <w:rPr>
                <w:rFonts w:hint="eastAsia" w:ascii="仿宋_GB2312" w:eastAsia="仿宋_GB2312" w:cs="仿宋_GB2312"/>
                <w:sz w:val="22"/>
                <w:szCs w:val="22"/>
                <w:lang w:val="en-US" w:eastAsia="zh-CN" w:bidi="ar-SA"/>
              </w:rPr>
              <w:t>4</w:t>
            </w:r>
          </w:p>
        </w:tc>
        <w:tc>
          <w:tcPr>
            <w:tcW w:w="1326" w:type="dxa"/>
            <w:tcBorders/>
            <w:noWrap w:val="0"/>
            <w:vAlign w:val="center"/>
          </w:tcPr>
          <w:p w14:paraId="05331B22">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民用爆炸物品销售许可检查</w:t>
            </w:r>
          </w:p>
        </w:tc>
        <w:tc>
          <w:tcPr>
            <w:tcW w:w="1811" w:type="dxa"/>
            <w:tcBorders/>
            <w:noWrap w:val="0"/>
            <w:vAlign w:val="center"/>
          </w:tcPr>
          <w:p w14:paraId="74DBD6ED">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民用爆炸物品销售单位</w:t>
            </w:r>
          </w:p>
          <w:p w14:paraId="436DA2A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一般</w:t>
            </w:r>
          </w:p>
        </w:tc>
        <w:tc>
          <w:tcPr>
            <w:tcW w:w="938" w:type="dxa"/>
            <w:tcBorders/>
            <w:noWrap w:val="0"/>
            <w:vAlign w:val="center"/>
          </w:tcPr>
          <w:p w14:paraId="20FCC9F8">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sz w:val="22"/>
                <w:szCs w:val="22"/>
                <w:lang w:eastAsia="zh-CN" w:bidi="ar-SA"/>
              </w:rPr>
              <w:t>一般</w:t>
            </w:r>
          </w:p>
        </w:tc>
        <w:tc>
          <w:tcPr>
            <w:tcW w:w="1150" w:type="dxa"/>
            <w:tcBorders/>
            <w:noWrap w:val="0"/>
            <w:vAlign w:val="center"/>
          </w:tcPr>
          <w:p w14:paraId="1637B04C">
            <w:pPr>
              <w:jc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现场检查</w:t>
            </w:r>
          </w:p>
        </w:tc>
        <w:tc>
          <w:tcPr>
            <w:tcW w:w="1075" w:type="dxa"/>
            <w:tcBorders/>
            <w:noWrap w:val="0"/>
            <w:vAlign w:val="center"/>
          </w:tcPr>
          <w:p w14:paraId="75E8CBBD">
            <w:pPr>
              <w:jc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专项</w:t>
            </w:r>
          </w:p>
        </w:tc>
        <w:tc>
          <w:tcPr>
            <w:tcW w:w="1105" w:type="dxa"/>
            <w:tcBorders/>
            <w:noWrap w:val="0"/>
            <w:vAlign w:val="center"/>
          </w:tcPr>
          <w:p w14:paraId="7AA04760">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区经济和信息化局</w:t>
            </w:r>
          </w:p>
        </w:tc>
        <w:tc>
          <w:tcPr>
            <w:tcW w:w="2245" w:type="dxa"/>
            <w:tcBorders/>
            <w:noWrap w:val="0"/>
            <w:vAlign w:val="center"/>
          </w:tcPr>
          <w:p w14:paraId="302DEF95">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协助省级国防科技工业主管部门做好本行政区内民用爆炸物品销售许可的监督管理。</w:t>
            </w:r>
          </w:p>
        </w:tc>
        <w:tc>
          <w:tcPr>
            <w:tcW w:w="1831" w:type="dxa"/>
            <w:noWrap w:val="0"/>
            <w:vAlign w:val="center"/>
          </w:tcPr>
          <w:p w14:paraId="06D1344A">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区公安分局</w:t>
            </w:r>
          </w:p>
        </w:tc>
        <w:tc>
          <w:tcPr>
            <w:tcW w:w="2731" w:type="dxa"/>
            <w:noWrap w:val="0"/>
            <w:vAlign w:val="center"/>
          </w:tcPr>
          <w:p w14:paraId="44EF2978">
            <w:pPr>
              <w:spacing w:line="260" w:lineRule="exact"/>
              <w:textAlignment w:val="center"/>
              <w:rPr>
                <w:rFonts w:hint="eastAsia" w:ascii="仿宋_GB2312" w:eastAsia="仿宋_GB2312" w:cs="仿宋_GB2312"/>
                <w:kern w:val="21"/>
                <w:sz w:val="22"/>
                <w:szCs w:val="22"/>
                <w:lang w:eastAsia="zh-CN" w:bidi="ar-SA"/>
              </w:rPr>
            </w:pPr>
            <w:r>
              <w:rPr>
                <w:rFonts w:hint="eastAsia" w:ascii="仿宋_GB2312" w:eastAsia="仿宋_GB2312" w:cs="仿宋_GB2312"/>
                <w:kern w:val="0"/>
                <w:sz w:val="22"/>
                <w:szCs w:val="22"/>
                <w:lang w:bidi="ar"/>
              </w:rPr>
              <w:t>对</w:t>
            </w:r>
            <w:r>
              <w:rPr>
                <w:rFonts w:hint="eastAsia" w:ascii="仿宋_GB2312" w:hAnsi="仿宋_GB2312" w:eastAsia="仿宋_GB2312" w:cs="仿宋_GB2312"/>
                <w:color w:val="000000"/>
                <w:kern w:val="2"/>
                <w:sz w:val="21"/>
                <w:szCs w:val="21"/>
                <w:vertAlign w:val="baseline"/>
                <w:lang w:val="en-US" w:eastAsia="zh-CN" w:bidi="ar-SA"/>
              </w:rPr>
              <w:t>民用爆炸物品</w:t>
            </w:r>
            <w:r>
              <w:rPr>
                <w:rFonts w:hint="eastAsia" w:ascii="仿宋_GB2312" w:eastAsia="仿宋_GB2312" w:cs="仿宋_GB2312"/>
                <w:kern w:val="0"/>
                <w:sz w:val="22"/>
                <w:szCs w:val="22"/>
                <w:lang w:eastAsia="zh-CN" w:bidi="ar"/>
              </w:rPr>
              <w:t>运输</w:t>
            </w:r>
            <w:r>
              <w:rPr>
                <w:rFonts w:hint="eastAsia" w:ascii="仿宋_GB2312" w:eastAsia="仿宋_GB2312" w:cs="仿宋_GB2312"/>
                <w:kern w:val="0"/>
                <w:sz w:val="22"/>
                <w:szCs w:val="22"/>
                <w:lang w:bidi="ar"/>
              </w:rPr>
              <w:t>的检查</w:t>
            </w:r>
          </w:p>
        </w:tc>
      </w:tr>
      <w:tr w14:paraId="6D37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464" w:type="dxa"/>
            <w:vMerge w:val="restart"/>
            <w:tcBorders/>
            <w:noWrap w:val="0"/>
            <w:vAlign w:val="center"/>
          </w:tcPr>
          <w:p w14:paraId="57B3EAB3">
            <w:pPr>
              <w:spacing w:line="260" w:lineRule="exact"/>
              <w:jc w:val="center"/>
              <w:textAlignment w:val="center"/>
              <w:rPr>
                <w:rFonts w:hint="default" w:ascii="仿宋_GB2312" w:eastAsia="仿宋_GB2312" w:cs="仿宋_GB2312"/>
                <w:sz w:val="22"/>
                <w:szCs w:val="22"/>
                <w:lang w:val="en-US" w:eastAsia="zh-CN" w:bidi="ar-SA"/>
              </w:rPr>
            </w:pPr>
            <w:r>
              <w:rPr>
                <w:rFonts w:hint="eastAsia" w:ascii="仿宋_GB2312" w:eastAsia="仿宋_GB2312" w:cs="仿宋_GB2312"/>
                <w:sz w:val="22"/>
                <w:szCs w:val="22"/>
                <w:lang w:val="en-US" w:eastAsia="zh-CN" w:bidi="ar-SA"/>
              </w:rPr>
              <w:t>5</w:t>
            </w:r>
          </w:p>
        </w:tc>
        <w:tc>
          <w:tcPr>
            <w:tcW w:w="1326" w:type="dxa"/>
            <w:vMerge w:val="restart"/>
            <w:tcBorders/>
            <w:noWrap w:val="0"/>
            <w:vAlign w:val="center"/>
          </w:tcPr>
          <w:p w14:paraId="11D1EF9C">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对民爆物品生产企业安全生产许可检查</w:t>
            </w:r>
          </w:p>
        </w:tc>
        <w:tc>
          <w:tcPr>
            <w:tcW w:w="1811" w:type="dxa"/>
            <w:vMerge w:val="restart"/>
            <w:tcBorders/>
            <w:noWrap w:val="0"/>
            <w:vAlign w:val="center"/>
          </w:tcPr>
          <w:p w14:paraId="1BB5D467">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民爆物品生产企业</w:t>
            </w:r>
          </w:p>
          <w:p w14:paraId="4F441686">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重点</w:t>
            </w:r>
          </w:p>
        </w:tc>
        <w:tc>
          <w:tcPr>
            <w:tcW w:w="938" w:type="dxa"/>
            <w:vMerge w:val="restart"/>
            <w:tcBorders/>
            <w:noWrap w:val="0"/>
            <w:vAlign w:val="center"/>
          </w:tcPr>
          <w:p w14:paraId="3755CF29">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sz w:val="22"/>
                <w:szCs w:val="22"/>
                <w:lang w:eastAsia="zh-CN" w:bidi="ar-SA"/>
              </w:rPr>
              <w:t>重点</w:t>
            </w:r>
          </w:p>
        </w:tc>
        <w:tc>
          <w:tcPr>
            <w:tcW w:w="1150" w:type="dxa"/>
            <w:vMerge w:val="restart"/>
            <w:tcBorders/>
            <w:noWrap w:val="0"/>
            <w:vAlign w:val="center"/>
          </w:tcPr>
          <w:p w14:paraId="276033F5">
            <w:pPr>
              <w:jc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现场检查</w:t>
            </w:r>
          </w:p>
        </w:tc>
        <w:tc>
          <w:tcPr>
            <w:tcW w:w="1075" w:type="dxa"/>
            <w:vMerge w:val="restart"/>
            <w:tcBorders/>
            <w:noWrap w:val="0"/>
            <w:vAlign w:val="center"/>
          </w:tcPr>
          <w:p w14:paraId="51BDEC03">
            <w:pPr>
              <w:jc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专项</w:t>
            </w:r>
          </w:p>
        </w:tc>
        <w:tc>
          <w:tcPr>
            <w:tcW w:w="1105" w:type="dxa"/>
            <w:vMerge w:val="restart"/>
            <w:tcBorders/>
            <w:noWrap w:val="0"/>
            <w:vAlign w:val="center"/>
          </w:tcPr>
          <w:p w14:paraId="5DA58E4F">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区经济和信息化局</w:t>
            </w:r>
          </w:p>
        </w:tc>
        <w:tc>
          <w:tcPr>
            <w:tcW w:w="2245" w:type="dxa"/>
            <w:vMerge w:val="restart"/>
            <w:tcBorders/>
            <w:noWrap w:val="0"/>
            <w:vAlign w:val="center"/>
          </w:tcPr>
          <w:p w14:paraId="0F988D9E">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r>
              <w:rPr>
                <w:rFonts w:hint="eastAsia" w:ascii="仿宋_GB2312" w:hAnsi="仿宋_GB2312" w:eastAsia="仿宋_GB2312" w:cs="仿宋_GB2312"/>
                <w:color w:val="000000"/>
                <w:kern w:val="2"/>
                <w:sz w:val="21"/>
                <w:szCs w:val="21"/>
                <w:vertAlign w:val="baseline"/>
                <w:lang w:val="en-US" w:eastAsia="zh-CN" w:bidi="ar-SA"/>
              </w:rPr>
              <w:t>对民用爆炸物品安全生产工作实施监督管理；承担本行政区内民用爆炸物品生产企业安全生产许可申请的受理、初审工作。</w:t>
            </w:r>
          </w:p>
        </w:tc>
        <w:tc>
          <w:tcPr>
            <w:tcW w:w="1831" w:type="dxa"/>
            <w:noWrap w:val="0"/>
            <w:vAlign w:val="center"/>
          </w:tcPr>
          <w:p w14:paraId="3E66D34E">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区公安分局</w:t>
            </w:r>
          </w:p>
        </w:tc>
        <w:tc>
          <w:tcPr>
            <w:tcW w:w="2731" w:type="dxa"/>
            <w:noWrap w:val="0"/>
            <w:vAlign w:val="center"/>
          </w:tcPr>
          <w:p w14:paraId="591CB36E">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kern w:val="0"/>
                <w:sz w:val="22"/>
                <w:szCs w:val="22"/>
                <w:lang w:bidi="ar"/>
              </w:rPr>
              <w:t>对</w:t>
            </w:r>
            <w:r>
              <w:rPr>
                <w:rFonts w:hint="eastAsia" w:ascii="仿宋_GB2312" w:hAnsi="仿宋_GB2312" w:eastAsia="仿宋_GB2312" w:cs="仿宋_GB2312"/>
                <w:color w:val="000000"/>
                <w:kern w:val="2"/>
                <w:sz w:val="21"/>
                <w:szCs w:val="21"/>
                <w:vertAlign w:val="baseline"/>
                <w:lang w:val="en-US" w:eastAsia="zh-CN" w:bidi="ar-SA"/>
              </w:rPr>
              <w:t>民用爆炸物品</w:t>
            </w:r>
            <w:r>
              <w:rPr>
                <w:rFonts w:hint="eastAsia" w:ascii="仿宋_GB2312" w:eastAsia="仿宋_GB2312" w:cs="仿宋_GB2312"/>
                <w:kern w:val="0"/>
                <w:sz w:val="22"/>
                <w:szCs w:val="22"/>
                <w:lang w:eastAsia="zh-CN" w:bidi="ar"/>
              </w:rPr>
              <w:t>运输</w:t>
            </w:r>
            <w:r>
              <w:rPr>
                <w:rFonts w:hint="eastAsia" w:ascii="仿宋_GB2312" w:eastAsia="仿宋_GB2312" w:cs="仿宋_GB2312"/>
                <w:kern w:val="0"/>
                <w:sz w:val="22"/>
                <w:szCs w:val="22"/>
                <w:lang w:bidi="ar"/>
              </w:rPr>
              <w:t>的检查</w:t>
            </w:r>
          </w:p>
        </w:tc>
      </w:tr>
      <w:tr w14:paraId="379EB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464" w:type="dxa"/>
            <w:vMerge w:val="continue"/>
            <w:tcBorders/>
            <w:noWrap w:val="0"/>
            <w:vAlign w:val="center"/>
          </w:tcPr>
          <w:p w14:paraId="7D9C7429">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0D44BF8F">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596397E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06997F83">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6DC66C1A">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5B377277">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337EF4F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5A8A5909">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48B5A747">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朝天</w:t>
            </w:r>
            <w:r>
              <w:rPr>
                <w:rFonts w:hint="eastAsia" w:ascii="仿宋_GB2312" w:eastAsia="仿宋_GB2312" w:cs="仿宋_GB2312"/>
                <w:kern w:val="0"/>
                <w:sz w:val="22"/>
                <w:szCs w:val="22"/>
                <w:lang w:bidi="ar"/>
              </w:rPr>
              <w:t>生态环境</w:t>
            </w:r>
            <w:r>
              <w:rPr>
                <w:rFonts w:hint="eastAsia" w:ascii="仿宋_GB2312" w:eastAsia="仿宋_GB2312" w:cs="仿宋_GB2312"/>
                <w:kern w:val="0"/>
                <w:sz w:val="22"/>
                <w:szCs w:val="22"/>
                <w:lang w:eastAsia="zh-CN" w:bidi="ar"/>
              </w:rPr>
              <w:t>局</w:t>
            </w:r>
          </w:p>
        </w:tc>
        <w:tc>
          <w:tcPr>
            <w:tcW w:w="2731" w:type="dxa"/>
            <w:noWrap w:val="0"/>
            <w:vAlign w:val="center"/>
          </w:tcPr>
          <w:p w14:paraId="08C11B93">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spacing w:val="-8"/>
                <w:kern w:val="0"/>
                <w:sz w:val="22"/>
                <w:szCs w:val="22"/>
                <w:lang w:bidi="ar"/>
              </w:rPr>
              <w:t>对</w:t>
            </w:r>
            <w:r>
              <w:rPr>
                <w:rFonts w:hint="eastAsia" w:ascii="仿宋_GB2312" w:eastAsia="仿宋_GB2312" w:cs="仿宋_GB2312"/>
                <w:spacing w:val="-8"/>
                <w:kern w:val="0"/>
                <w:sz w:val="22"/>
                <w:szCs w:val="22"/>
                <w:lang w:eastAsia="zh-CN" w:bidi="ar"/>
              </w:rPr>
              <w:t>落实环境保护措施情况</w:t>
            </w:r>
            <w:r>
              <w:rPr>
                <w:rFonts w:hint="eastAsia" w:ascii="仿宋_GB2312" w:eastAsia="仿宋_GB2312" w:cs="仿宋_GB2312"/>
                <w:spacing w:val="-8"/>
                <w:kern w:val="0"/>
                <w:sz w:val="22"/>
                <w:szCs w:val="22"/>
                <w:lang w:bidi="ar"/>
              </w:rPr>
              <w:t>的检查</w:t>
            </w:r>
          </w:p>
        </w:tc>
      </w:tr>
      <w:tr w14:paraId="7984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464" w:type="dxa"/>
            <w:vMerge w:val="continue"/>
            <w:tcBorders/>
            <w:noWrap w:val="0"/>
            <w:vAlign w:val="center"/>
          </w:tcPr>
          <w:p w14:paraId="715DDDE4">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5A6AF6E9">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6E1860FA">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18190FCA">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05ECA7D7">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6C6AF0A8">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05366300">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01CB83D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5F970D65">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应急管理</w:t>
            </w:r>
            <w:r>
              <w:rPr>
                <w:rFonts w:hint="eastAsia" w:ascii="仿宋_GB2312" w:eastAsia="仿宋_GB2312" w:cs="仿宋_GB2312"/>
                <w:kern w:val="0"/>
                <w:sz w:val="22"/>
                <w:szCs w:val="22"/>
                <w:lang w:eastAsia="zh-CN" w:bidi="ar"/>
              </w:rPr>
              <w:t>局</w:t>
            </w:r>
          </w:p>
        </w:tc>
        <w:tc>
          <w:tcPr>
            <w:tcW w:w="2731" w:type="dxa"/>
            <w:noWrap w:val="0"/>
            <w:vAlign w:val="center"/>
          </w:tcPr>
          <w:p w14:paraId="33E4E257">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kern w:val="0"/>
                <w:sz w:val="22"/>
                <w:szCs w:val="22"/>
                <w:lang w:bidi="ar"/>
              </w:rPr>
              <w:t>对安全生产</w:t>
            </w:r>
            <w:r>
              <w:rPr>
                <w:rFonts w:hint="eastAsia" w:ascii="仿宋_GB2312" w:eastAsia="仿宋_GB2312" w:cs="仿宋_GB2312"/>
                <w:kern w:val="0"/>
                <w:sz w:val="22"/>
                <w:szCs w:val="22"/>
                <w:lang w:eastAsia="zh-CN" w:bidi="ar"/>
              </w:rPr>
              <w:t>的检查</w:t>
            </w:r>
          </w:p>
        </w:tc>
      </w:tr>
      <w:tr w14:paraId="6276B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464" w:type="dxa"/>
            <w:vMerge w:val="continue"/>
            <w:tcBorders/>
            <w:noWrap w:val="0"/>
            <w:vAlign w:val="center"/>
          </w:tcPr>
          <w:p w14:paraId="7F2947D4">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5729FBAB">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413863A0">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0097A586">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5F4886E0">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2ECC53EA">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5B4BCEDE">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0E9F382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024BEFAD">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市场监</w:t>
            </w:r>
            <w:r>
              <w:rPr>
                <w:rFonts w:hint="eastAsia" w:ascii="仿宋_GB2312" w:eastAsia="仿宋_GB2312" w:cs="仿宋_GB2312"/>
                <w:kern w:val="0"/>
                <w:sz w:val="22"/>
                <w:szCs w:val="22"/>
                <w:lang w:eastAsia="zh-CN" w:bidi="ar"/>
              </w:rPr>
              <w:t>督管理局</w:t>
            </w:r>
          </w:p>
        </w:tc>
        <w:tc>
          <w:tcPr>
            <w:tcW w:w="2731" w:type="dxa"/>
            <w:noWrap w:val="0"/>
            <w:vAlign w:val="center"/>
          </w:tcPr>
          <w:p w14:paraId="14F1643D">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kern w:val="0"/>
                <w:sz w:val="22"/>
                <w:szCs w:val="22"/>
                <w:lang w:bidi="ar"/>
              </w:rPr>
              <w:t>对</w:t>
            </w:r>
            <w:r>
              <w:rPr>
                <w:rFonts w:hint="eastAsia" w:ascii="仿宋_GB2312" w:eastAsia="仿宋_GB2312" w:cs="仿宋_GB2312"/>
                <w:kern w:val="0"/>
                <w:sz w:val="22"/>
                <w:szCs w:val="22"/>
                <w:lang w:eastAsia="zh-CN" w:bidi="ar"/>
              </w:rPr>
              <w:t>特种设备</w:t>
            </w:r>
            <w:r>
              <w:rPr>
                <w:rFonts w:hint="eastAsia" w:ascii="仿宋_GB2312" w:eastAsia="仿宋_GB2312" w:cs="仿宋_GB2312"/>
                <w:kern w:val="0"/>
                <w:sz w:val="22"/>
                <w:szCs w:val="22"/>
                <w:lang w:bidi="ar"/>
              </w:rPr>
              <w:t>的检查</w:t>
            </w:r>
          </w:p>
        </w:tc>
      </w:tr>
      <w:tr w14:paraId="485DB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jc w:val="center"/>
        </w:trPr>
        <w:tc>
          <w:tcPr>
            <w:tcW w:w="464" w:type="dxa"/>
            <w:vMerge w:val="continue"/>
            <w:tcBorders/>
            <w:noWrap w:val="0"/>
            <w:vAlign w:val="center"/>
          </w:tcPr>
          <w:p w14:paraId="4B39F63E">
            <w:pPr>
              <w:spacing w:line="260" w:lineRule="exact"/>
              <w:jc w:val="center"/>
              <w:textAlignment w:val="center"/>
              <w:rPr>
                <w:rFonts w:hint="eastAsia" w:ascii="仿宋_GB2312" w:eastAsia="仿宋_GB2312" w:cs="仿宋_GB2312"/>
                <w:sz w:val="22"/>
                <w:szCs w:val="22"/>
                <w:lang w:val="en-US" w:eastAsia="zh-CN" w:bidi="ar-SA"/>
              </w:rPr>
            </w:pPr>
          </w:p>
        </w:tc>
        <w:tc>
          <w:tcPr>
            <w:tcW w:w="1326" w:type="dxa"/>
            <w:vMerge w:val="continue"/>
            <w:tcBorders/>
            <w:noWrap w:val="0"/>
            <w:vAlign w:val="center"/>
          </w:tcPr>
          <w:p w14:paraId="390977F7">
            <w:pPr>
              <w:spacing w:line="260" w:lineRule="exact"/>
              <w:jc w:val="center"/>
              <w:textAlignment w:val="center"/>
              <w:rPr>
                <w:rFonts w:hint="eastAsia" w:ascii="仿宋_GB2312" w:hAnsi="仿宋_GB2312" w:eastAsia="仿宋_GB2312" w:cs="仿宋_GB2312"/>
                <w:color w:val="000000"/>
                <w:kern w:val="2"/>
                <w:sz w:val="21"/>
                <w:szCs w:val="21"/>
                <w:vertAlign w:val="baseline"/>
                <w:lang w:val="en-US" w:eastAsia="zh-CN" w:bidi="ar-SA"/>
              </w:rPr>
            </w:pPr>
          </w:p>
        </w:tc>
        <w:tc>
          <w:tcPr>
            <w:tcW w:w="1811" w:type="dxa"/>
            <w:vMerge w:val="continue"/>
            <w:tcBorders/>
            <w:noWrap w:val="0"/>
            <w:vAlign w:val="center"/>
          </w:tcPr>
          <w:p w14:paraId="31442935">
            <w:pPr>
              <w:keepNext w:val="0"/>
              <w:keepLines w:val="0"/>
              <w:pageBreakBefore w:val="0"/>
              <w:widowControl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938" w:type="dxa"/>
            <w:vMerge w:val="continue"/>
            <w:tcBorders/>
            <w:noWrap w:val="0"/>
            <w:vAlign w:val="center"/>
          </w:tcPr>
          <w:p w14:paraId="0BDF08FC">
            <w:pPr>
              <w:spacing w:line="260" w:lineRule="exact"/>
              <w:jc w:val="center"/>
              <w:textAlignment w:val="center"/>
              <w:rPr>
                <w:rFonts w:hint="eastAsia" w:ascii="仿宋_GB2312" w:eastAsia="仿宋_GB2312" w:cs="仿宋_GB2312"/>
                <w:sz w:val="22"/>
                <w:szCs w:val="22"/>
                <w:lang w:eastAsia="zh-CN" w:bidi="ar-SA"/>
              </w:rPr>
            </w:pPr>
          </w:p>
        </w:tc>
        <w:tc>
          <w:tcPr>
            <w:tcW w:w="1150" w:type="dxa"/>
            <w:vMerge w:val="continue"/>
            <w:tcBorders/>
            <w:noWrap w:val="0"/>
            <w:vAlign w:val="center"/>
          </w:tcPr>
          <w:p w14:paraId="642384B2">
            <w:pPr>
              <w:jc w:val="center"/>
              <w:rPr>
                <w:rFonts w:hint="eastAsia" w:ascii="仿宋_GB2312" w:eastAsia="仿宋_GB2312" w:cs="仿宋_GB2312"/>
                <w:kern w:val="0"/>
                <w:sz w:val="22"/>
                <w:szCs w:val="22"/>
                <w:lang w:eastAsia="zh-CN" w:bidi="ar"/>
              </w:rPr>
            </w:pPr>
          </w:p>
        </w:tc>
        <w:tc>
          <w:tcPr>
            <w:tcW w:w="1075" w:type="dxa"/>
            <w:vMerge w:val="continue"/>
            <w:tcBorders/>
            <w:noWrap w:val="0"/>
            <w:vAlign w:val="center"/>
          </w:tcPr>
          <w:p w14:paraId="742D289F">
            <w:pPr>
              <w:jc w:val="center"/>
              <w:rPr>
                <w:rFonts w:hint="eastAsia" w:ascii="仿宋_GB2312" w:eastAsia="仿宋_GB2312" w:cs="仿宋_GB2312"/>
                <w:kern w:val="0"/>
                <w:sz w:val="22"/>
                <w:szCs w:val="22"/>
                <w:lang w:eastAsia="zh-CN" w:bidi="ar"/>
              </w:rPr>
            </w:pPr>
          </w:p>
        </w:tc>
        <w:tc>
          <w:tcPr>
            <w:tcW w:w="1105" w:type="dxa"/>
            <w:vMerge w:val="continue"/>
            <w:tcBorders/>
            <w:noWrap w:val="0"/>
            <w:vAlign w:val="center"/>
          </w:tcPr>
          <w:p w14:paraId="4D5CB211">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eastAsia="仿宋_GB2312" w:cs="仿宋_GB2312"/>
                <w:kern w:val="0"/>
                <w:sz w:val="22"/>
                <w:szCs w:val="22"/>
                <w:lang w:eastAsia="zh-CN" w:bidi="ar"/>
              </w:rPr>
            </w:pPr>
          </w:p>
        </w:tc>
        <w:tc>
          <w:tcPr>
            <w:tcW w:w="2245" w:type="dxa"/>
            <w:vMerge w:val="continue"/>
            <w:tcBorders/>
            <w:noWrap w:val="0"/>
            <w:vAlign w:val="center"/>
          </w:tcPr>
          <w:p w14:paraId="34176A19">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仿宋_GB2312" w:hAnsi="仿宋_GB2312" w:eastAsia="仿宋_GB2312" w:cs="仿宋_GB2312"/>
                <w:color w:val="000000"/>
                <w:kern w:val="2"/>
                <w:sz w:val="21"/>
                <w:szCs w:val="21"/>
                <w:vertAlign w:val="baseline"/>
                <w:lang w:val="en-US" w:eastAsia="zh-CN" w:bidi="ar-SA"/>
              </w:rPr>
            </w:pPr>
          </w:p>
        </w:tc>
        <w:tc>
          <w:tcPr>
            <w:tcW w:w="1831" w:type="dxa"/>
            <w:noWrap w:val="0"/>
            <w:vAlign w:val="center"/>
          </w:tcPr>
          <w:p w14:paraId="0139D449">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区气象服务中心</w:t>
            </w:r>
          </w:p>
        </w:tc>
        <w:tc>
          <w:tcPr>
            <w:tcW w:w="2731" w:type="dxa"/>
            <w:noWrap w:val="0"/>
            <w:vAlign w:val="center"/>
          </w:tcPr>
          <w:p w14:paraId="7C6D96B5">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kern w:val="21"/>
                <w:sz w:val="22"/>
                <w:szCs w:val="22"/>
                <w:lang w:eastAsia="zh-CN" w:bidi="ar-SA"/>
              </w:rPr>
              <w:t>对</w:t>
            </w:r>
            <w:r>
              <w:rPr>
                <w:rFonts w:hint="eastAsia" w:ascii="仿宋_GB2312" w:eastAsia="仿宋_GB2312" w:cs="仿宋_GB2312"/>
                <w:kern w:val="21"/>
                <w:sz w:val="22"/>
                <w:szCs w:val="22"/>
                <w:lang w:bidi="ar-SA"/>
              </w:rPr>
              <w:t>落实防雷防静电安全措施情况的检查</w:t>
            </w:r>
          </w:p>
        </w:tc>
      </w:tr>
    </w:tbl>
    <w:p w14:paraId="2902CF41">
      <w:pPr>
        <w:pStyle w:val="11"/>
        <w:jc w:val="center"/>
        <w:rPr>
          <w:rFonts w:hint="eastAsia" w:ascii="方正小标宋简体" w:eastAsia="方正小标宋简体"/>
          <w:b w:val="0"/>
          <w:color w:val="auto"/>
          <w:sz w:val="44"/>
          <w:szCs w:val="44"/>
        </w:rPr>
      </w:pPr>
    </w:p>
    <w:p w14:paraId="20965CE8">
      <w:pPr>
        <w:pStyle w:val="11"/>
        <w:jc w:val="both"/>
        <w:rPr>
          <w:rFonts w:hint="eastAsia" w:ascii="黑体" w:hAnsi="黑体" w:eastAsia="黑体" w:cs="黑体"/>
          <w:b w:val="0"/>
          <w:color w:val="auto"/>
          <w:sz w:val="32"/>
          <w:szCs w:val="32"/>
          <w:lang w:eastAsia="zh-CN"/>
        </w:rPr>
      </w:pPr>
    </w:p>
    <w:p w14:paraId="5470DB2F">
      <w:pPr>
        <w:pStyle w:val="11"/>
        <w:jc w:val="both"/>
        <w:rPr>
          <w:rFonts w:hint="eastAsia" w:ascii="黑体" w:hAnsi="黑体" w:eastAsia="黑体" w:cs="黑体"/>
          <w:b w:val="0"/>
          <w:color w:val="auto"/>
          <w:sz w:val="32"/>
          <w:szCs w:val="32"/>
          <w:lang w:eastAsia="zh-CN"/>
        </w:rPr>
      </w:pPr>
    </w:p>
    <w:p w14:paraId="42CA9ADA">
      <w:pPr>
        <w:pStyle w:val="11"/>
        <w:jc w:val="both"/>
        <w:rPr>
          <w:rFonts w:hint="eastAsia" w:ascii="黑体" w:hAnsi="黑体" w:eastAsia="黑体" w:cs="黑体"/>
          <w:b w:val="0"/>
          <w:color w:val="auto"/>
          <w:sz w:val="32"/>
          <w:szCs w:val="32"/>
          <w:lang w:eastAsia="zh-CN"/>
        </w:rPr>
      </w:pPr>
    </w:p>
    <w:p w14:paraId="0F9EBA22">
      <w:pPr>
        <w:pStyle w:val="11"/>
        <w:jc w:val="both"/>
        <w:rPr>
          <w:rFonts w:hint="eastAsia" w:ascii="黑体" w:hAnsi="黑体" w:eastAsia="黑体" w:cs="黑体"/>
          <w:b w:val="0"/>
          <w:color w:val="auto"/>
          <w:sz w:val="32"/>
          <w:szCs w:val="32"/>
          <w:lang w:eastAsia="zh-CN"/>
        </w:rPr>
      </w:pPr>
    </w:p>
    <w:p w14:paraId="4F92F400">
      <w:pPr>
        <w:pStyle w:val="11"/>
        <w:jc w:val="both"/>
        <w:rPr>
          <w:rFonts w:hint="eastAsia" w:ascii="黑体" w:hAnsi="黑体" w:eastAsia="黑体" w:cs="黑体"/>
          <w:b w:val="0"/>
          <w:color w:val="auto"/>
          <w:sz w:val="32"/>
          <w:szCs w:val="32"/>
          <w:lang w:eastAsia="zh-CN"/>
        </w:rPr>
      </w:pPr>
    </w:p>
    <w:p w14:paraId="170E426B">
      <w:pPr>
        <w:pStyle w:val="11"/>
        <w:jc w:val="both"/>
        <w:rPr>
          <w:rFonts w:hint="eastAsia" w:ascii="方正小标宋简体" w:eastAsia="方正小标宋简体"/>
          <w:b w:val="0"/>
          <w:color w:val="auto"/>
          <w:sz w:val="44"/>
          <w:szCs w:val="44"/>
        </w:rPr>
      </w:pPr>
      <w:r>
        <w:rPr>
          <w:rFonts w:hint="eastAsia" w:ascii="黑体" w:hAnsi="黑体" w:eastAsia="黑体" w:cs="黑体"/>
          <w:b w:val="0"/>
          <w:color w:val="auto"/>
          <w:sz w:val="32"/>
          <w:szCs w:val="32"/>
          <w:lang w:eastAsia="zh-CN"/>
        </w:rPr>
        <w:t>附件</w:t>
      </w:r>
      <w:r>
        <w:rPr>
          <w:rFonts w:hint="eastAsia" w:ascii="黑体" w:hAnsi="黑体" w:eastAsia="黑体" w:cs="黑体"/>
          <w:b w:val="0"/>
          <w:color w:val="auto"/>
          <w:sz w:val="32"/>
          <w:szCs w:val="32"/>
          <w:lang w:val="en-US" w:eastAsia="zh-CN"/>
        </w:rPr>
        <w:t>2</w:t>
      </w:r>
    </w:p>
    <w:p w14:paraId="5DD97F3E">
      <w:pPr>
        <w:pStyle w:val="11"/>
        <w:jc w:val="center"/>
        <w:rPr>
          <w:rFonts w:hint="eastAsia" w:ascii="方正小标宋简体" w:eastAsia="方正小标宋简体"/>
          <w:b w:val="0"/>
          <w:color w:val="auto"/>
          <w:sz w:val="44"/>
          <w:szCs w:val="44"/>
          <w:lang w:eastAsia="zh-CN"/>
        </w:rPr>
      </w:pPr>
      <w:r>
        <w:rPr>
          <w:rFonts w:hint="eastAsia" w:ascii="方正小标宋简体" w:eastAsia="方正小标宋简体"/>
          <w:b w:val="0"/>
          <w:color w:val="auto"/>
          <w:sz w:val="44"/>
          <w:szCs w:val="44"/>
        </w:rPr>
        <w:t>广元市</w:t>
      </w:r>
      <w:r>
        <w:rPr>
          <w:rFonts w:hint="eastAsia" w:ascii="方正小标宋简体" w:eastAsia="方正小标宋简体"/>
          <w:b w:val="0"/>
          <w:color w:val="auto"/>
          <w:sz w:val="44"/>
          <w:szCs w:val="44"/>
          <w:lang w:eastAsia="zh-CN"/>
        </w:rPr>
        <w:t>朝天区经济和信息化局</w:t>
      </w:r>
      <w:r>
        <w:rPr>
          <w:rFonts w:hint="eastAsia" w:ascii="方正小标宋简体" w:eastAsia="方正小标宋简体"/>
          <w:b w:val="0"/>
          <w:color w:val="auto"/>
          <w:sz w:val="44"/>
          <w:szCs w:val="44"/>
        </w:rPr>
        <w:t>202</w:t>
      </w:r>
      <w:r>
        <w:rPr>
          <w:rFonts w:hint="eastAsia" w:ascii="方正小标宋简体" w:eastAsia="方正小标宋简体"/>
          <w:b w:val="0"/>
          <w:color w:val="auto"/>
          <w:sz w:val="44"/>
          <w:szCs w:val="44"/>
          <w:lang w:val="en-US" w:eastAsia="zh-CN"/>
        </w:rPr>
        <w:t>5年涉企行政执法检查</w:t>
      </w:r>
      <w:r>
        <w:rPr>
          <w:rFonts w:hint="eastAsia" w:ascii="方正小标宋简体" w:eastAsia="方正小标宋简体"/>
          <w:b w:val="0"/>
          <w:color w:val="auto"/>
          <w:sz w:val="44"/>
          <w:szCs w:val="44"/>
        </w:rPr>
        <w:t>计划</w:t>
      </w:r>
    </w:p>
    <w:tbl>
      <w:tblPr>
        <w:tblStyle w:val="7"/>
        <w:tblW w:w="15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80"/>
        <w:gridCol w:w="1519"/>
        <w:gridCol w:w="1216"/>
        <w:gridCol w:w="709"/>
        <w:gridCol w:w="1096"/>
        <w:gridCol w:w="890"/>
        <w:gridCol w:w="890"/>
        <w:gridCol w:w="968"/>
        <w:gridCol w:w="969"/>
        <w:gridCol w:w="1944"/>
        <w:gridCol w:w="1602"/>
        <w:gridCol w:w="2702"/>
      </w:tblGrid>
      <w:tr w14:paraId="607E0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580" w:type="dxa"/>
            <w:noWrap w:val="0"/>
            <w:vAlign w:val="center"/>
          </w:tcPr>
          <w:p w14:paraId="0634CD77">
            <w:pPr>
              <w:spacing w:line="260" w:lineRule="exact"/>
              <w:jc w:val="center"/>
              <w:rPr>
                <w:rFonts w:hint="eastAsia" w:ascii="黑体" w:eastAsia="黑体" w:cs="黑体"/>
                <w:sz w:val="22"/>
                <w:szCs w:val="22"/>
                <w:lang w:bidi="ar-SA"/>
              </w:rPr>
            </w:pPr>
            <w:r>
              <w:rPr>
                <w:rFonts w:hint="eastAsia" w:ascii="黑体" w:eastAsia="黑体" w:cs="黑体"/>
                <w:kern w:val="0"/>
                <w:sz w:val="22"/>
                <w:szCs w:val="22"/>
                <w:lang w:bidi="ar"/>
              </w:rPr>
              <w:t>序号</w:t>
            </w:r>
          </w:p>
        </w:tc>
        <w:tc>
          <w:tcPr>
            <w:tcW w:w="1519" w:type="dxa"/>
            <w:noWrap w:val="0"/>
            <w:vAlign w:val="center"/>
          </w:tcPr>
          <w:p w14:paraId="4D6D2858">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sz w:val="22"/>
                <w:szCs w:val="22"/>
                <w:lang w:eastAsia="zh-CN" w:bidi="ar-SA"/>
              </w:rPr>
              <w:t>检查事项</w:t>
            </w:r>
          </w:p>
        </w:tc>
        <w:tc>
          <w:tcPr>
            <w:tcW w:w="1216" w:type="dxa"/>
            <w:noWrap w:val="0"/>
            <w:vAlign w:val="center"/>
          </w:tcPr>
          <w:p w14:paraId="30F58B17">
            <w:pPr>
              <w:spacing w:line="280" w:lineRule="exact"/>
              <w:jc w:val="center"/>
              <w:textAlignment w:val="center"/>
              <w:rPr>
                <w:rFonts w:hint="eastAsia" w:ascii="黑体" w:eastAsia="黑体" w:cs="黑体"/>
                <w:kern w:val="0"/>
                <w:sz w:val="22"/>
                <w:szCs w:val="22"/>
                <w:lang w:bidi="ar"/>
              </w:rPr>
            </w:pPr>
            <w:r>
              <w:rPr>
                <w:rFonts w:hint="eastAsia" w:ascii="黑体" w:eastAsia="黑体" w:cs="黑体"/>
                <w:kern w:val="0"/>
                <w:sz w:val="22"/>
                <w:szCs w:val="22"/>
                <w:lang w:bidi="ar"/>
              </w:rPr>
              <w:t>检查</w:t>
            </w:r>
          </w:p>
          <w:p w14:paraId="761176BE">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对象</w:t>
            </w:r>
          </w:p>
        </w:tc>
        <w:tc>
          <w:tcPr>
            <w:tcW w:w="709" w:type="dxa"/>
            <w:noWrap w:val="0"/>
            <w:vAlign w:val="center"/>
          </w:tcPr>
          <w:p w14:paraId="0BDECC6E">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sz w:val="22"/>
                <w:szCs w:val="22"/>
                <w:lang w:eastAsia="zh-CN" w:bidi="ar-SA"/>
              </w:rPr>
              <w:t>检查频次</w:t>
            </w:r>
          </w:p>
        </w:tc>
        <w:tc>
          <w:tcPr>
            <w:tcW w:w="1096" w:type="dxa"/>
            <w:noWrap w:val="0"/>
            <w:vAlign w:val="center"/>
          </w:tcPr>
          <w:p w14:paraId="12C56A42">
            <w:pPr>
              <w:spacing w:line="280" w:lineRule="exact"/>
              <w:jc w:val="center"/>
              <w:textAlignment w:val="center"/>
              <w:rPr>
                <w:rFonts w:hint="eastAsia" w:ascii="黑体" w:eastAsia="黑体" w:cs="黑体"/>
                <w:kern w:val="0"/>
                <w:sz w:val="22"/>
                <w:szCs w:val="22"/>
                <w:lang w:bidi="ar"/>
              </w:rPr>
            </w:pPr>
            <w:r>
              <w:rPr>
                <w:rFonts w:hint="eastAsia" w:ascii="黑体" w:eastAsia="黑体" w:cs="黑体"/>
                <w:kern w:val="0"/>
                <w:sz w:val="22"/>
                <w:szCs w:val="22"/>
                <w:lang w:eastAsia="zh-CN" w:bidi="ar"/>
              </w:rPr>
              <w:t>检</w:t>
            </w:r>
            <w:r>
              <w:rPr>
                <w:rFonts w:hint="eastAsia" w:ascii="黑体" w:eastAsia="黑体" w:cs="黑体"/>
                <w:kern w:val="0"/>
                <w:sz w:val="22"/>
                <w:szCs w:val="22"/>
                <w:lang w:bidi="ar"/>
              </w:rPr>
              <w:t>查比例</w:t>
            </w:r>
          </w:p>
          <w:p w14:paraId="11F6D2C7">
            <w:pPr>
              <w:spacing w:line="280" w:lineRule="exact"/>
              <w:jc w:val="both"/>
              <w:textAlignment w:val="center"/>
              <w:rPr>
                <w:rFonts w:hint="eastAsia" w:ascii="黑体" w:eastAsia="黑体" w:cs="黑体"/>
                <w:sz w:val="22"/>
                <w:szCs w:val="22"/>
                <w:lang w:bidi="ar-SA"/>
              </w:rPr>
            </w:pPr>
          </w:p>
        </w:tc>
        <w:tc>
          <w:tcPr>
            <w:tcW w:w="890" w:type="dxa"/>
            <w:noWrap w:val="0"/>
            <w:vAlign w:val="center"/>
          </w:tcPr>
          <w:p w14:paraId="15230BEE">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检查方式</w:t>
            </w:r>
          </w:p>
        </w:tc>
        <w:tc>
          <w:tcPr>
            <w:tcW w:w="890" w:type="dxa"/>
            <w:noWrap w:val="0"/>
            <w:vAlign w:val="center"/>
          </w:tcPr>
          <w:p w14:paraId="6ABD767E">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sz w:val="22"/>
                <w:szCs w:val="22"/>
                <w:lang w:eastAsia="zh-CN" w:bidi="ar-SA"/>
              </w:rPr>
              <w:t>计划类型</w:t>
            </w:r>
          </w:p>
        </w:tc>
        <w:tc>
          <w:tcPr>
            <w:tcW w:w="968" w:type="dxa"/>
            <w:noWrap w:val="0"/>
            <w:vAlign w:val="center"/>
          </w:tcPr>
          <w:p w14:paraId="41A32CB8">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eastAsia="zh-CN" w:bidi="ar"/>
              </w:rPr>
              <w:t>检</w:t>
            </w:r>
            <w:r>
              <w:rPr>
                <w:rFonts w:hint="eastAsia" w:ascii="黑体" w:eastAsia="黑体" w:cs="黑体"/>
                <w:kern w:val="0"/>
                <w:sz w:val="22"/>
                <w:szCs w:val="22"/>
                <w:lang w:bidi="ar"/>
              </w:rPr>
              <w:t>查完成时限</w:t>
            </w:r>
          </w:p>
        </w:tc>
        <w:tc>
          <w:tcPr>
            <w:tcW w:w="969" w:type="dxa"/>
            <w:noWrap w:val="0"/>
            <w:vAlign w:val="center"/>
          </w:tcPr>
          <w:p w14:paraId="6C26B39D">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牵头</w:t>
            </w:r>
            <w:r>
              <w:rPr>
                <w:rFonts w:hint="eastAsia" w:ascii="黑体" w:eastAsia="黑体" w:cs="黑体"/>
                <w:kern w:val="0"/>
                <w:sz w:val="22"/>
                <w:szCs w:val="22"/>
                <w:lang w:eastAsia="zh-CN" w:bidi="ar"/>
              </w:rPr>
              <w:t>实施</w:t>
            </w:r>
            <w:r>
              <w:rPr>
                <w:rFonts w:hint="eastAsia" w:ascii="黑体" w:eastAsia="黑体" w:cs="黑体"/>
                <w:kern w:val="0"/>
                <w:sz w:val="22"/>
                <w:szCs w:val="22"/>
                <w:lang w:bidi="ar"/>
              </w:rPr>
              <w:t>部门</w:t>
            </w:r>
          </w:p>
        </w:tc>
        <w:tc>
          <w:tcPr>
            <w:tcW w:w="1944" w:type="dxa"/>
            <w:noWrap w:val="0"/>
            <w:vAlign w:val="center"/>
          </w:tcPr>
          <w:p w14:paraId="3AA2E930">
            <w:pPr>
              <w:spacing w:line="280" w:lineRule="exact"/>
              <w:jc w:val="center"/>
              <w:textAlignment w:val="center"/>
              <w:rPr>
                <w:rFonts w:hint="eastAsia" w:ascii="黑体" w:eastAsia="黑体" w:cs="黑体"/>
                <w:sz w:val="22"/>
                <w:szCs w:val="22"/>
                <w:lang w:eastAsia="zh-CN" w:bidi="ar-SA"/>
              </w:rPr>
            </w:pPr>
            <w:r>
              <w:rPr>
                <w:rFonts w:hint="eastAsia" w:ascii="黑体" w:eastAsia="黑体" w:cs="黑体"/>
                <w:kern w:val="0"/>
                <w:sz w:val="22"/>
                <w:szCs w:val="22"/>
                <w:lang w:eastAsia="zh-CN" w:bidi="ar"/>
              </w:rPr>
              <w:t>检查</w:t>
            </w:r>
            <w:r>
              <w:rPr>
                <w:rFonts w:hint="eastAsia" w:ascii="黑体" w:eastAsia="黑体" w:cs="黑体"/>
                <w:kern w:val="0"/>
                <w:sz w:val="22"/>
                <w:szCs w:val="22"/>
                <w:lang w:bidi="ar"/>
              </w:rPr>
              <w:t>事项</w:t>
            </w:r>
            <w:r>
              <w:rPr>
                <w:rFonts w:hint="eastAsia" w:ascii="黑体" w:eastAsia="黑体" w:cs="黑体"/>
                <w:kern w:val="0"/>
                <w:sz w:val="22"/>
                <w:szCs w:val="22"/>
                <w:lang w:eastAsia="zh-CN" w:bidi="ar"/>
              </w:rPr>
              <w:t>内容</w:t>
            </w:r>
          </w:p>
        </w:tc>
        <w:tc>
          <w:tcPr>
            <w:tcW w:w="1602" w:type="dxa"/>
            <w:noWrap w:val="0"/>
            <w:vAlign w:val="center"/>
          </w:tcPr>
          <w:p w14:paraId="4A5335FC">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参与部门</w:t>
            </w:r>
          </w:p>
        </w:tc>
        <w:tc>
          <w:tcPr>
            <w:tcW w:w="2702" w:type="dxa"/>
            <w:noWrap w:val="0"/>
            <w:vAlign w:val="center"/>
          </w:tcPr>
          <w:p w14:paraId="13365D4D">
            <w:pPr>
              <w:spacing w:line="280" w:lineRule="exact"/>
              <w:jc w:val="center"/>
              <w:textAlignment w:val="center"/>
              <w:rPr>
                <w:rFonts w:hint="eastAsia" w:ascii="黑体" w:eastAsia="黑体" w:cs="黑体"/>
                <w:sz w:val="22"/>
                <w:szCs w:val="22"/>
                <w:lang w:bidi="ar-SA"/>
              </w:rPr>
            </w:pPr>
            <w:r>
              <w:rPr>
                <w:rFonts w:hint="eastAsia" w:ascii="黑体" w:eastAsia="黑体" w:cs="黑体"/>
                <w:kern w:val="0"/>
                <w:sz w:val="22"/>
                <w:szCs w:val="22"/>
                <w:lang w:bidi="ar"/>
              </w:rPr>
              <w:t>参与部门事项</w:t>
            </w:r>
          </w:p>
        </w:tc>
      </w:tr>
      <w:tr w14:paraId="72FF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0" w:type="dxa"/>
            <w:vMerge w:val="restart"/>
            <w:noWrap w:val="0"/>
            <w:vAlign w:val="center"/>
          </w:tcPr>
          <w:p w14:paraId="251B9A49">
            <w:pPr>
              <w:numPr>
                <w:ilvl w:val="0"/>
                <w:numId w:val="0"/>
              </w:numPr>
              <w:spacing w:line="260" w:lineRule="exact"/>
              <w:jc w:val="center"/>
              <w:rPr>
                <w:rFonts w:hint="default" w:ascii="仿宋_GB2312" w:eastAsia="仿宋_GB2312" w:cs="仿宋_GB2312"/>
                <w:sz w:val="22"/>
                <w:szCs w:val="22"/>
                <w:lang w:val="en-US" w:eastAsia="zh-CN" w:bidi="ar-SA"/>
              </w:rPr>
            </w:pPr>
            <w:r>
              <w:rPr>
                <w:rFonts w:hint="eastAsia" w:ascii="仿宋_GB2312" w:eastAsia="仿宋_GB2312" w:cs="仿宋_GB2312"/>
                <w:sz w:val="22"/>
                <w:szCs w:val="22"/>
                <w:lang w:val="en-US" w:eastAsia="zh-CN" w:bidi="ar-SA"/>
              </w:rPr>
              <w:t>1</w:t>
            </w:r>
          </w:p>
        </w:tc>
        <w:tc>
          <w:tcPr>
            <w:tcW w:w="1519" w:type="dxa"/>
            <w:vMerge w:val="restart"/>
            <w:noWrap w:val="0"/>
            <w:vAlign w:val="center"/>
          </w:tcPr>
          <w:p w14:paraId="63C90EF2">
            <w:pPr>
              <w:spacing w:line="260" w:lineRule="exact"/>
              <w:jc w:val="center"/>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成品油市场检查</w:t>
            </w:r>
          </w:p>
        </w:tc>
        <w:tc>
          <w:tcPr>
            <w:tcW w:w="1216" w:type="dxa"/>
            <w:vMerge w:val="restart"/>
            <w:noWrap w:val="0"/>
            <w:vAlign w:val="center"/>
          </w:tcPr>
          <w:p w14:paraId="3DDF017C">
            <w:pPr>
              <w:spacing w:line="260" w:lineRule="exact"/>
              <w:jc w:val="center"/>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成品油零售经营单位</w:t>
            </w:r>
          </w:p>
        </w:tc>
        <w:tc>
          <w:tcPr>
            <w:tcW w:w="709" w:type="dxa"/>
            <w:vMerge w:val="restart"/>
            <w:noWrap w:val="0"/>
            <w:vAlign w:val="center"/>
          </w:tcPr>
          <w:p w14:paraId="3CE2AD8F">
            <w:pPr>
              <w:spacing w:line="260" w:lineRule="exact"/>
              <w:jc w:val="center"/>
              <w:textAlignment w:val="center"/>
              <w:rPr>
                <w:rFonts w:hint="default" w:ascii="仿宋_GB2312" w:eastAsia="仿宋_GB2312" w:cs="仿宋_GB2312"/>
                <w:sz w:val="22"/>
                <w:szCs w:val="22"/>
                <w:lang w:val="en-US" w:eastAsia="zh-CN" w:bidi="ar-SA"/>
              </w:rPr>
            </w:pPr>
            <w:r>
              <w:rPr>
                <w:rFonts w:hint="eastAsia" w:ascii="仿宋_GB2312" w:eastAsia="仿宋_GB2312" w:cs="仿宋_GB2312"/>
                <w:sz w:val="22"/>
                <w:szCs w:val="22"/>
                <w:lang w:eastAsia="zh-CN" w:bidi="ar-SA"/>
              </w:rPr>
              <w:t>全年</w:t>
            </w:r>
            <w:r>
              <w:rPr>
                <w:rFonts w:hint="eastAsia" w:ascii="仿宋_GB2312" w:eastAsia="仿宋_GB2312" w:cs="仿宋_GB2312"/>
                <w:sz w:val="22"/>
                <w:szCs w:val="22"/>
                <w:lang w:val="en-US" w:eastAsia="zh-CN" w:bidi="ar-SA"/>
              </w:rPr>
              <w:t>1次</w:t>
            </w:r>
          </w:p>
        </w:tc>
        <w:tc>
          <w:tcPr>
            <w:tcW w:w="1096" w:type="dxa"/>
            <w:vMerge w:val="restart"/>
            <w:noWrap w:val="0"/>
            <w:vAlign w:val="center"/>
          </w:tcPr>
          <w:p w14:paraId="1E7C296A">
            <w:pPr>
              <w:spacing w:line="260" w:lineRule="exact"/>
              <w:jc w:val="center"/>
              <w:textAlignment w:val="center"/>
              <w:rPr>
                <w:rFonts w:hint="default" w:ascii="仿宋_GB2312" w:eastAsia="仿宋_GB2312" w:cs="仿宋_GB2312"/>
                <w:sz w:val="22"/>
                <w:szCs w:val="22"/>
                <w:lang w:val="en-US" w:eastAsia="zh-CN" w:bidi="ar-SA"/>
              </w:rPr>
            </w:pPr>
            <w:r>
              <w:rPr>
                <w:rFonts w:hint="eastAsia" w:ascii="仿宋_GB2312" w:eastAsia="仿宋_GB2312" w:cs="仿宋_GB2312"/>
                <w:kern w:val="0"/>
                <w:sz w:val="22"/>
                <w:szCs w:val="22"/>
                <w:lang w:val="en-US" w:eastAsia="zh-CN" w:bidi="ar"/>
              </w:rPr>
              <w:t>3家</w:t>
            </w:r>
          </w:p>
        </w:tc>
        <w:tc>
          <w:tcPr>
            <w:tcW w:w="890" w:type="dxa"/>
            <w:vMerge w:val="restart"/>
            <w:noWrap w:val="0"/>
            <w:vAlign w:val="center"/>
          </w:tcPr>
          <w:p w14:paraId="601930FE">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bidi="ar"/>
              </w:rPr>
              <w:t>现场检查</w:t>
            </w:r>
          </w:p>
        </w:tc>
        <w:tc>
          <w:tcPr>
            <w:tcW w:w="890" w:type="dxa"/>
            <w:vMerge w:val="restart"/>
            <w:noWrap w:val="0"/>
            <w:vAlign w:val="center"/>
          </w:tcPr>
          <w:p w14:paraId="5024A50A">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sz w:val="22"/>
                <w:szCs w:val="22"/>
                <w:lang w:eastAsia="zh-CN" w:bidi="ar-SA"/>
              </w:rPr>
              <w:t>专项</w:t>
            </w:r>
          </w:p>
        </w:tc>
        <w:tc>
          <w:tcPr>
            <w:tcW w:w="968" w:type="dxa"/>
            <w:vMerge w:val="restart"/>
            <w:noWrap w:val="0"/>
            <w:vAlign w:val="center"/>
          </w:tcPr>
          <w:p w14:paraId="28F5B277">
            <w:pPr>
              <w:spacing w:line="260" w:lineRule="exact"/>
              <w:jc w:val="center"/>
              <w:textAlignment w:val="center"/>
              <w:rPr>
                <w:rFonts w:hint="eastAsia" w:ascii="仿宋_GB2312" w:eastAsia="仿宋_GB2312" w:cs="仿宋_GB2312"/>
                <w:spacing w:val="-20"/>
                <w:sz w:val="22"/>
                <w:szCs w:val="22"/>
                <w:lang w:bidi="ar-SA"/>
              </w:rPr>
            </w:pPr>
            <w:r>
              <w:rPr>
                <w:rFonts w:hint="eastAsia" w:ascii="仿宋_GB2312" w:eastAsia="仿宋_GB2312" w:cs="仿宋_GB2312"/>
                <w:spacing w:val="-20"/>
                <w:kern w:val="0"/>
                <w:sz w:val="22"/>
                <w:szCs w:val="22"/>
                <w:lang w:bidi="ar"/>
              </w:rPr>
              <w:t>10月31日</w:t>
            </w:r>
          </w:p>
        </w:tc>
        <w:tc>
          <w:tcPr>
            <w:tcW w:w="969" w:type="dxa"/>
            <w:vMerge w:val="restart"/>
            <w:noWrap w:val="0"/>
            <w:vAlign w:val="center"/>
          </w:tcPr>
          <w:p w14:paraId="645B14BF">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经济和信息化</w:t>
            </w:r>
            <w:r>
              <w:rPr>
                <w:rFonts w:hint="eastAsia" w:ascii="仿宋_GB2312" w:eastAsia="仿宋_GB2312" w:cs="仿宋_GB2312"/>
                <w:kern w:val="0"/>
                <w:sz w:val="22"/>
                <w:szCs w:val="22"/>
                <w:lang w:eastAsia="zh-CN" w:bidi="ar"/>
              </w:rPr>
              <w:t>局</w:t>
            </w:r>
          </w:p>
        </w:tc>
        <w:tc>
          <w:tcPr>
            <w:tcW w:w="1944" w:type="dxa"/>
            <w:vMerge w:val="restart"/>
            <w:noWrap w:val="0"/>
            <w:vAlign w:val="center"/>
          </w:tcPr>
          <w:p w14:paraId="25FCB6C6">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对成品油企业经营活动情况进行检查</w:t>
            </w:r>
          </w:p>
        </w:tc>
        <w:tc>
          <w:tcPr>
            <w:tcW w:w="1602" w:type="dxa"/>
            <w:noWrap w:val="0"/>
            <w:vAlign w:val="center"/>
          </w:tcPr>
          <w:p w14:paraId="17C66268">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公安</w:t>
            </w:r>
            <w:r>
              <w:rPr>
                <w:rFonts w:hint="eastAsia" w:ascii="仿宋_GB2312" w:eastAsia="仿宋_GB2312" w:cs="仿宋_GB2312"/>
                <w:kern w:val="0"/>
                <w:sz w:val="22"/>
                <w:szCs w:val="22"/>
                <w:lang w:eastAsia="zh-CN" w:bidi="ar"/>
              </w:rPr>
              <w:t>分局</w:t>
            </w:r>
          </w:p>
        </w:tc>
        <w:tc>
          <w:tcPr>
            <w:tcW w:w="2702" w:type="dxa"/>
            <w:noWrap w:val="0"/>
            <w:vAlign w:val="center"/>
          </w:tcPr>
          <w:p w14:paraId="10930A28">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对散</w:t>
            </w:r>
            <w:bookmarkStart w:id="0" w:name="_GoBack"/>
            <w:bookmarkEnd w:id="0"/>
            <w:r>
              <w:rPr>
                <w:rFonts w:hint="eastAsia" w:ascii="仿宋_GB2312" w:eastAsia="仿宋_GB2312" w:cs="仿宋_GB2312"/>
                <w:kern w:val="0"/>
                <w:sz w:val="22"/>
                <w:szCs w:val="22"/>
                <w:lang w:bidi="ar"/>
              </w:rPr>
              <w:t>装汽油销售的检查</w:t>
            </w:r>
          </w:p>
        </w:tc>
      </w:tr>
      <w:tr w14:paraId="7A85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4" w:hRule="atLeast"/>
          <w:jc w:val="center"/>
        </w:trPr>
        <w:tc>
          <w:tcPr>
            <w:tcW w:w="580" w:type="dxa"/>
            <w:vMerge w:val="continue"/>
            <w:noWrap w:val="0"/>
            <w:vAlign w:val="center"/>
          </w:tcPr>
          <w:p w14:paraId="34315A92">
            <w:pPr>
              <w:jc w:val="center"/>
            </w:pPr>
          </w:p>
        </w:tc>
        <w:tc>
          <w:tcPr>
            <w:tcW w:w="1519" w:type="dxa"/>
            <w:vMerge w:val="continue"/>
            <w:noWrap w:val="0"/>
            <w:vAlign w:val="center"/>
          </w:tcPr>
          <w:p w14:paraId="13D5C812"/>
        </w:tc>
        <w:tc>
          <w:tcPr>
            <w:tcW w:w="1216" w:type="dxa"/>
            <w:vMerge w:val="continue"/>
            <w:noWrap w:val="0"/>
            <w:vAlign w:val="center"/>
          </w:tcPr>
          <w:p w14:paraId="1A4FD400"/>
        </w:tc>
        <w:tc>
          <w:tcPr>
            <w:tcW w:w="709" w:type="dxa"/>
            <w:vMerge w:val="continue"/>
            <w:noWrap w:val="0"/>
            <w:vAlign w:val="center"/>
          </w:tcPr>
          <w:p w14:paraId="18BBB3BB"/>
        </w:tc>
        <w:tc>
          <w:tcPr>
            <w:tcW w:w="1096" w:type="dxa"/>
            <w:vMerge w:val="continue"/>
            <w:noWrap w:val="0"/>
            <w:vAlign w:val="center"/>
          </w:tcPr>
          <w:p w14:paraId="1E9E042E"/>
        </w:tc>
        <w:tc>
          <w:tcPr>
            <w:tcW w:w="890" w:type="dxa"/>
            <w:vMerge w:val="continue"/>
            <w:noWrap w:val="0"/>
            <w:vAlign w:val="center"/>
          </w:tcPr>
          <w:p w14:paraId="4ED9221E"/>
        </w:tc>
        <w:tc>
          <w:tcPr>
            <w:tcW w:w="890" w:type="dxa"/>
            <w:vMerge w:val="continue"/>
            <w:noWrap w:val="0"/>
            <w:vAlign w:val="center"/>
          </w:tcPr>
          <w:p w14:paraId="799FDE76"/>
        </w:tc>
        <w:tc>
          <w:tcPr>
            <w:tcW w:w="968" w:type="dxa"/>
            <w:vMerge w:val="continue"/>
            <w:noWrap w:val="0"/>
            <w:vAlign w:val="center"/>
          </w:tcPr>
          <w:p w14:paraId="5CF2E656"/>
        </w:tc>
        <w:tc>
          <w:tcPr>
            <w:tcW w:w="969" w:type="dxa"/>
            <w:vMerge w:val="continue"/>
            <w:noWrap w:val="0"/>
            <w:vAlign w:val="center"/>
          </w:tcPr>
          <w:p w14:paraId="4CDB9A39"/>
        </w:tc>
        <w:tc>
          <w:tcPr>
            <w:tcW w:w="1944" w:type="dxa"/>
            <w:vMerge w:val="continue"/>
            <w:noWrap w:val="0"/>
            <w:vAlign w:val="center"/>
          </w:tcPr>
          <w:p w14:paraId="4C0A5AFA"/>
        </w:tc>
        <w:tc>
          <w:tcPr>
            <w:tcW w:w="1602" w:type="dxa"/>
            <w:noWrap w:val="0"/>
            <w:vAlign w:val="center"/>
          </w:tcPr>
          <w:p w14:paraId="22466888">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朝天</w:t>
            </w:r>
            <w:r>
              <w:rPr>
                <w:rFonts w:hint="eastAsia" w:ascii="仿宋_GB2312" w:eastAsia="仿宋_GB2312" w:cs="仿宋_GB2312"/>
                <w:kern w:val="0"/>
                <w:sz w:val="22"/>
                <w:szCs w:val="22"/>
                <w:lang w:bidi="ar"/>
              </w:rPr>
              <w:t>生态环境</w:t>
            </w:r>
            <w:r>
              <w:rPr>
                <w:rFonts w:hint="eastAsia" w:ascii="仿宋_GB2312" w:eastAsia="仿宋_GB2312" w:cs="仿宋_GB2312"/>
                <w:kern w:val="0"/>
                <w:sz w:val="22"/>
                <w:szCs w:val="22"/>
                <w:lang w:eastAsia="zh-CN" w:bidi="ar"/>
              </w:rPr>
              <w:t>局</w:t>
            </w:r>
          </w:p>
        </w:tc>
        <w:tc>
          <w:tcPr>
            <w:tcW w:w="2702" w:type="dxa"/>
            <w:noWrap w:val="0"/>
            <w:vAlign w:val="center"/>
          </w:tcPr>
          <w:p w14:paraId="74708B71">
            <w:pPr>
              <w:spacing w:line="260" w:lineRule="exact"/>
              <w:textAlignment w:val="center"/>
              <w:rPr>
                <w:rFonts w:hint="eastAsia" w:ascii="仿宋_GB2312" w:eastAsia="仿宋_GB2312" w:cs="仿宋_GB2312"/>
                <w:spacing w:val="-8"/>
                <w:sz w:val="22"/>
                <w:szCs w:val="22"/>
                <w:lang w:bidi="ar-SA"/>
              </w:rPr>
            </w:pPr>
            <w:r>
              <w:rPr>
                <w:rFonts w:hint="eastAsia" w:ascii="仿宋_GB2312" w:eastAsia="仿宋_GB2312" w:cs="仿宋_GB2312"/>
                <w:spacing w:val="-8"/>
                <w:kern w:val="0"/>
                <w:sz w:val="22"/>
                <w:szCs w:val="22"/>
                <w:lang w:bidi="ar"/>
              </w:rPr>
              <w:t>对油气回收治理、危废的检查</w:t>
            </w:r>
          </w:p>
        </w:tc>
      </w:tr>
      <w:tr w14:paraId="4D5B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jc w:val="center"/>
        </w:trPr>
        <w:tc>
          <w:tcPr>
            <w:tcW w:w="580" w:type="dxa"/>
            <w:vMerge w:val="continue"/>
            <w:noWrap w:val="0"/>
            <w:vAlign w:val="center"/>
          </w:tcPr>
          <w:p w14:paraId="03D4645F">
            <w:pPr>
              <w:jc w:val="center"/>
            </w:pPr>
          </w:p>
        </w:tc>
        <w:tc>
          <w:tcPr>
            <w:tcW w:w="1519" w:type="dxa"/>
            <w:vMerge w:val="continue"/>
            <w:noWrap w:val="0"/>
            <w:vAlign w:val="center"/>
          </w:tcPr>
          <w:p w14:paraId="188FA5AA"/>
        </w:tc>
        <w:tc>
          <w:tcPr>
            <w:tcW w:w="1216" w:type="dxa"/>
            <w:vMerge w:val="continue"/>
            <w:noWrap w:val="0"/>
            <w:vAlign w:val="center"/>
          </w:tcPr>
          <w:p w14:paraId="1E976766"/>
        </w:tc>
        <w:tc>
          <w:tcPr>
            <w:tcW w:w="709" w:type="dxa"/>
            <w:vMerge w:val="continue"/>
            <w:noWrap w:val="0"/>
            <w:vAlign w:val="center"/>
          </w:tcPr>
          <w:p w14:paraId="5B903692"/>
        </w:tc>
        <w:tc>
          <w:tcPr>
            <w:tcW w:w="1096" w:type="dxa"/>
            <w:vMerge w:val="continue"/>
            <w:noWrap w:val="0"/>
            <w:vAlign w:val="center"/>
          </w:tcPr>
          <w:p w14:paraId="01ED1FAC"/>
        </w:tc>
        <w:tc>
          <w:tcPr>
            <w:tcW w:w="890" w:type="dxa"/>
            <w:vMerge w:val="continue"/>
            <w:noWrap w:val="0"/>
            <w:vAlign w:val="center"/>
          </w:tcPr>
          <w:p w14:paraId="2FDF96E6"/>
        </w:tc>
        <w:tc>
          <w:tcPr>
            <w:tcW w:w="890" w:type="dxa"/>
            <w:vMerge w:val="continue"/>
            <w:noWrap w:val="0"/>
            <w:vAlign w:val="center"/>
          </w:tcPr>
          <w:p w14:paraId="02238A5C"/>
        </w:tc>
        <w:tc>
          <w:tcPr>
            <w:tcW w:w="968" w:type="dxa"/>
            <w:vMerge w:val="continue"/>
            <w:noWrap w:val="0"/>
            <w:vAlign w:val="center"/>
          </w:tcPr>
          <w:p w14:paraId="69F6D60C"/>
        </w:tc>
        <w:tc>
          <w:tcPr>
            <w:tcW w:w="969" w:type="dxa"/>
            <w:vMerge w:val="continue"/>
            <w:noWrap w:val="0"/>
            <w:vAlign w:val="center"/>
          </w:tcPr>
          <w:p w14:paraId="4BD046C1"/>
        </w:tc>
        <w:tc>
          <w:tcPr>
            <w:tcW w:w="1944" w:type="dxa"/>
            <w:vMerge w:val="continue"/>
            <w:noWrap w:val="0"/>
            <w:vAlign w:val="center"/>
          </w:tcPr>
          <w:p w14:paraId="41E350A1"/>
        </w:tc>
        <w:tc>
          <w:tcPr>
            <w:tcW w:w="1602" w:type="dxa"/>
            <w:noWrap w:val="0"/>
            <w:vAlign w:val="center"/>
          </w:tcPr>
          <w:p w14:paraId="36B5BAA2">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应急管理</w:t>
            </w:r>
            <w:r>
              <w:rPr>
                <w:rFonts w:hint="eastAsia" w:ascii="仿宋_GB2312" w:eastAsia="仿宋_GB2312" w:cs="仿宋_GB2312"/>
                <w:kern w:val="0"/>
                <w:sz w:val="22"/>
                <w:szCs w:val="22"/>
                <w:lang w:eastAsia="zh-CN" w:bidi="ar"/>
              </w:rPr>
              <w:t>局</w:t>
            </w:r>
          </w:p>
        </w:tc>
        <w:tc>
          <w:tcPr>
            <w:tcW w:w="2702" w:type="dxa"/>
            <w:noWrap w:val="0"/>
            <w:vAlign w:val="center"/>
          </w:tcPr>
          <w:p w14:paraId="0BC08F62">
            <w:pPr>
              <w:spacing w:line="260" w:lineRule="exact"/>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bidi="ar"/>
              </w:rPr>
              <w:t>对安全生产</w:t>
            </w:r>
            <w:r>
              <w:rPr>
                <w:rFonts w:hint="eastAsia" w:ascii="仿宋_GB2312" w:eastAsia="仿宋_GB2312" w:cs="仿宋_GB2312"/>
                <w:kern w:val="0"/>
                <w:sz w:val="22"/>
                <w:szCs w:val="22"/>
                <w:lang w:eastAsia="zh-CN" w:bidi="ar"/>
              </w:rPr>
              <w:t>的检查</w:t>
            </w:r>
          </w:p>
        </w:tc>
      </w:tr>
      <w:tr w14:paraId="525C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580" w:type="dxa"/>
            <w:vMerge w:val="continue"/>
            <w:noWrap w:val="0"/>
            <w:vAlign w:val="center"/>
          </w:tcPr>
          <w:p w14:paraId="65CCD234">
            <w:pPr>
              <w:jc w:val="center"/>
            </w:pPr>
          </w:p>
        </w:tc>
        <w:tc>
          <w:tcPr>
            <w:tcW w:w="1519" w:type="dxa"/>
            <w:vMerge w:val="continue"/>
            <w:noWrap w:val="0"/>
            <w:vAlign w:val="center"/>
          </w:tcPr>
          <w:p w14:paraId="70C9C809"/>
        </w:tc>
        <w:tc>
          <w:tcPr>
            <w:tcW w:w="1216" w:type="dxa"/>
            <w:vMerge w:val="continue"/>
            <w:noWrap w:val="0"/>
            <w:vAlign w:val="center"/>
          </w:tcPr>
          <w:p w14:paraId="54A11472"/>
        </w:tc>
        <w:tc>
          <w:tcPr>
            <w:tcW w:w="709" w:type="dxa"/>
            <w:vMerge w:val="continue"/>
            <w:noWrap w:val="0"/>
            <w:vAlign w:val="center"/>
          </w:tcPr>
          <w:p w14:paraId="7AB2E5A4"/>
        </w:tc>
        <w:tc>
          <w:tcPr>
            <w:tcW w:w="1096" w:type="dxa"/>
            <w:vMerge w:val="continue"/>
            <w:noWrap w:val="0"/>
            <w:vAlign w:val="center"/>
          </w:tcPr>
          <w:p w14:paraId="05807556"/>
        </w:tc>
        <w:tc>
          <w:tcPr>
            <w:tcW w:w="890" w:type="dxa"/>
            <w:vMerge w:val="continue"/>
            <w:noWrap w:val="0"/>
            <w:vAlign w:val="center"/>
          </w:tcPr>
          <w:p w14:paraId="5BCFFEEE"/>
        </w:tc>
        <w:tc>
          <w:tcPr>
            <w:tcW w:w="890" w:type="dxa"/>
            <w:vMerge w:val="continue"/>
            <w:noWrap w:val="0"/>
            <w:vAlign w:val="center"/>
          </w:tcPr>
          <w:p w14:paraId="4DA21E8A"/>
        </w:tc>
        <w:tc>
          <w:tcPr>
            <w:tcW w:w="968" w:type="dxa"/>
            <w:vMerge w:val="continue"/>
            <w:noWrap w:val="0"/>
            <w:vAlign w:val="center"/>
          </w:tcPr>
          <w:p w14:paraId="010C4117"/>
        </w:tc>
        <w:tc>
          <w:tcPr>
            <w:tcW w:w="969" w:type="dxa"/>
            <w:vMerge w:val="continue"/>
            <w:noWrap w:val="0"/>
            <w:vAlign w:val="center"/>
          </w:tcPr>
          <w:p w14:paraId="52BB7342"/>
        </w:tc>
        <w:tc>
          <w:tcPr>
            <w:tcW w:w="1944" w:type="dxa"/>
            <w:vMerge w:val="continue"/>
            <w:noWrap w:val="0"/>
            <w:vAlign w:val="center"/>
          </w:tcPr>
          <w:p w14:paraId="1C4B39AE"/>
        </w:tc>
        <w:tc>
          <w:tcPr>
            <w:tcW w:w="1602" w:type="dxa"/>
            <w:noWrap w:val="0"/>
            <w:vAlign w:val="center"/>
          </w:tcPr>
          <w:p w14:paraId="304B0AC9">
            <w:pPr>
              <w:spacing w:line="260" w:lineRule="exact"/>
              <w:jc w:val="center"/>
              <w:textAlignment w:val="center"/>
              <w:rPr>
                <w:rFonts w:hint="eastAsia" w:ascii="仿宋_GB2312" w:eastAsia="仿宋_GB2312" w:cs="仿宋_GB2312"/>
                <w:sz w:val="22"/>
                <w:szCs w:val="22"/>
                <w:lang w:eastAsia="zh-CN" w:bidi="ar-SA"/>
              </w:rP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市场监</w:t>
            </w:r>
            <w:r>
              <w:rPr>
                <w:rFonts w:hint="eastAsia" w:ascii="仿宋_GB2312" w:eastAsia="仿宋_GB2312" w:cs="仿宋_GB2312"/>
                <w:kern w:val="0"/>
                <w:sz w:val="22"/>
                <w:szCs w:val="22"/>
                <w:lang w:eastAsia="zh-CN" w:bidi="ar"/>
              </w:rPr>
              <w:t>督管理局</w:t>
            </w:r>
          </w:p>
        </w:tc>
        <w:tc>
          <w:tcPr>
            <w:tcW w:w="2702" w:type="dxa"/>
            <w:noWrap w:val="0"/>
            <w:vAlign w:val="center"/>
          </w:tcPr>
          <w:p w14:paraId="10A3BFC4">
            <w:pPr>
              <w:spacing w:line="260" w:lineRule="exact"/>
              <w:textAlignment w:val="center"/>
              <w:rPr>
                <w:rFonts w:hint="eastAsia" w:ascii="仿宋_GB2312" w:eastAsia="仿宋_GB2312" w:cs="仿宋_GB2312"/>
                <w:sz w:val="22"/>
                <w:szCs w:val="22"/>
                <w:lang w:bidi="ar-SA"/>
              </w:rPr>
            </w:pPr>
            <w:r>
              <w:rPr>
                <w:rFonts w:hint="eastAsia" w:ascii="仿宋_GB2312" w:eastAsia="仿宋_GB2312" w:cs="仿宋_GB2312"/>
                <w:kern w:val="0"/>
                <w:sz w:val="22"/>
                <w:szCs w:val="22"/>
                <w:lang w:bidi="ar"/>
              </w:rPr>
              <w:t>对油品质量、计量的检查</w:t>
            </w:r>
          </w:p>
        </w:tc>
      </w:tr>
      <w:tr w14:paraId="1532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580" w:type="dxa"/>
            <w:vMerge w:val="continue"/>
            <w:noWrap w:val="0"/>
            <w:vAlign w:val="center"/>
          </w:tcPr>
          <w:p w14:paraId="61A9B568">
            <w:pPr>
              <w:jc w:val="center"/>
            </w:pPr>
          </w:p>
        </w:tc>
        <w:tc>
          <w:tcPr>
            <w:tcW w:w="1519" w:type="dxa"/>
            <w:vMerge w:val="continue"/>
            <w:noWrap w:val="0"/>
            <w:vAlign w:val="center"/>
          </w:tcPr>
          <w:p w14:paraId="229672AE"/>
        </w:tc>
        <w:tc>
          <w:tcPr>
            <w:tcW w:w="1216" w:type="dxa"/>
            <w:vMerge w:val="continue"/>
            <w:noWrap w:val="0"/>
            <w:vAlign w:val="center"/>
          </w:tcPr>
          <w:p w14:paraId="4BD874EE"/>
        </w:tc>
        <w:tc>
          <w:tcPr>
            <w:tcW w:w="709" w:type="dxa"/>
            <w:vMerge w:val="continue"/>
            <w:noWrap w:val="0"/>
            <w:vAlign w:val="center"/>
          </w:tcPr>
          <w:p w14:paraId="631054C0"/>
        </w:tc>
        <w:tc>
          <w:tcPr>
            <w:tcW w:w="1096" w:type="dxa"/>
            <w:vMerge w:val="continue"/>
            <w:noWrap w:val="0"/>
            <w:vAlign w:val="center"/>
          </w:tcPr>
          <w:p w14:paraId="7A1DB061"/>
        </w:tc>
        <w:tc>
          <w:tcPr>
            <w:tcW w:w="890" w:type="dxa"/>
            <w:vMerge w:val="continue"/>
            <w:noWrap w:val="0"/>
            <w:vAlign w:val="center"/>
          </w:tcPr>
          <w:p w14:paraId="6F2AEEAC"/>
        </w:tc>
        <w:tc>
          <w:tcPr>
            <w:tcW w:w="890" w:type="dxa"/>
            <w:vMerge w:val="continue"/>
            <w:noWrap w:val="0"/>
            <w:vAlign w:val="center"/>
          </w:tcPr>
          <w:p w14:paraId="304F169E"/>
        </w:tc>
        <w:tc>
          <w:tcPr>
            <w:tcW w:w="968" w:type="dxa"/>
            <w:vMerge w:val="continue"/>
            <w:noWrap w:val="0"/>
            <w:vAlign w:val="center"/>
          </w:tcPr>
          <w:p w14:paraId="2E19440F"/>
        </w:tc>
        <w:tc>
          <w:tcPr>
            <w:tcW w:w="969" w:type="dxa"/>
            <w:vMerge w:val="continue"/>
            <w:noWrap w:val="0"/>
            <w:vAlign w:val="center"/>
          </w:tcPr>
          <w:p w14:paraId="2AAB3162"/>
        </w:tc>
        <w:tc>
          <w:tcPr>
            <w:tcW w:w="1944" w:type="dxa"/>
            <w:vMerge w:val="continue"/>
            <w:noWrap w:val="0"/>
            <w:vAlign w:val="center"/>
          </w:tcPr>
          <w:p w14:paraId="490EB9EE"/>
        </w:tc>
        <w:tc>
          <w:tcPr>
            <w:tcW w:w="1602" w:type="dxa"/>
            <w:noWrap w:val="0"/>
            <w:vAlign w:val="center"/>
          </w:tcPr>
          <w:p w14:paraId="76825CCB">
            <w:pPr>
              <w:spacing w:line="260" w:lineRule="exact"/>
              <w:jc w:val="center"/>
              <w:textAlignment w:val="center"/>
              <w:rPr>
                <w:rFonts w:hint="eastAsia" w:ascii="仿宋_GB2312" w:eastAsia="仿宋_GB2312" w:cs="仿宋_GB2312"/>
                <w:kern w:val="0"/>
                <w:sz w:val="22"/>
                <w:szCs w:val="22"/>
                <w:lang w:eastAsia="zh-CN" w:bidi="ar"/>
              </w:rPr>
            </w:pPr>
            <w:r>
              <w:rPr>
                <w:rFonts w:hint="eastAsia" w:ascii="仿宋_GB2312" w:eastAsia="仿宋_GB2312" w:cs="仿宋_GB2312"/>
                <w:kern w:val="0"/>
                <w:sz w:val="22"/>
                <w:szCs w:val="22"/>
                <w:lang w:eastAsia="zh-CN" w:bidi="ar"/>
              </w:rPr>
              <w:t>区气象服务中心</w:t>
            </w:r>
          </w:p>
        </w:tc>
        <w:tc>
          <w:tcPr>
            <w:tcW w:w="2702" w:type="dxa"/>
            <w:noWrap w:val="0"/>
            <w:vAlign w:val="center"/>
          </w:tcPr>
          <w:p w14:paraId="15D25FBB">
            <w:pPr>
              <w:spacing w:line="260" w:lineRule="exact"/>
              <w:textAlignment w:val="center"/>
              <w:rPr>
                <w:rFonts w:hint="eastAsia" w:ascii="仿宋_GB2312" w:eastAsia="仿宋_GB2312" w:cs="仿宋_GB2312"/>
                <w:kern w:val="0"/>
                <w:sz w:val="22"/>
                <w:szCs w:val="22"/>
                <w:lang w:bidi="ar"/>
              </w:rPr>
            </w:pPr>
            <w:r>
              <w:rPr>
                <w:rFonts w:hint="eastAsia" w:ascii="仿宋_GB2312" w:eastAsia="仿宋_GB2312" w:cs="仿宋_GB2312"/>
                <w:kern w:val="21"/>
                <w:sz w:val="22"/>
                <w:szCs w:val="22"/>
                <w:lang w:eastAsia="zh-CN" w:bidi="ar-SA"/>
              </w:rPr>
              <w:t>对</w:t>
            </w:r>
            <w:r>
              <w:rPr>
                <w:rFonts w:hint="eastAsia" w:ascii="仿宋_GB2312" w:eastAsia="仿宋_GB2312" w:cs="仿宋_GB2312"/>
                <w:kern w:val="21"/>
                <w:sz w:val="22"/>
                <w:szCs w:val="22"/>
                <w:lang w:bidi="ar-SA"/>
              </w:rPr>
              <w:t>落实防雷防静电安全措施情况的检查</w:t>
            </w:r>
          </w:p>
        </w:tc>
      </w:tr>
      <w:tr w14:paraId="084E2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05" w:hRule="atLeast"/>
          <w:jc w:val="center"/>
        </w:trPr>
        <w:tc>
          <w:tcPr>
            <w:tcW w:w="580" w:type="dxa"/>
            <w:noWrap w:val="0"/>
            <w:vAlign w:val="center"/>
          </w:tcPr>
          <w:p w14:paraId="66CC0DBB">
            <w:pPr>
              <w:jc w:val="center"/>
              <w:rPr>
                <w:rFonts w:hint="eastAsia" w:eastAsia="宋体"/>
                <w:lang w:val="en-US" w:eastAsia="zh-CN"/>
              </w:rPr>
            </w:pPr>
            <w:r>
              <w:rPr>
                <w:rFonts w:hint="eastAsia" w:ascii="仿宋_GB2312" w:eastAsia="仿宋_GB2312" w:cs="仿宋_GB2312"/>
                <w:sz w:val="22"/>
                <w:szCs w:val="22"/>
                <w:lang w:val="en-US" w:eastAsia="zh-CN" w:bidi="ar-SA"/>
              </w:rPr>
              <w:t>2</w:t>
            </w:r>
          </w:p>
        </w:tc>
        <w:tc>
          <w:tcPr>
            <w:tcW w:w="1519" w:type="dxa"/>
            <w:noWrap w:val="0"/>
            <w:vAlign w:val="center"/>
          </w:tcPr>
          <w:p w14:paraId="5ACF15B5">
            <w:pPr>
              <w:jc w:val="center"/>
            </w:pPr>
            <w:r>
              <w:rPr>
                <w:rFonts w:hint="eastAsia" w:ascii="仿宋_GB2312" w:eastAsia="仿宋_GB2312" w:cs="仿宋_GB2312"/>
                <w:kern w:val="0"/>
                <w:sz w:val="22"/>
                <w:szCs w:val="22"/>
                <w:lang w:eastAsia="zh-CN" w:bidi="ar"/>
              </w:rPr>
              <w:t>盐业市场</w:t>
            </w:r>
            <w:r>
              <w:rPr>
                <w:rFonts w:hint="eastAsia" w:ascii="仿宋_GB2312" w:eastAsia="仿宋_GB2312" w:cs="仿宋_GB2312"/>
                <w:kern w:val="0"/>
                <w:sz w:val="22"/>
                <w:szCs w:val="22"/>
                <w:lang w:bidi="ar"/>
              </w:rPr>
              <w:t>检查</w:t>
            </w:r>
          </w:p>
        </w:tc>
        <w:tc>
          <w:tcPr>
            <w:tcW w:w="1216" w:type="dxa"/>
            <w:noWrap w:val="0"/>
            <w:vAlign w:val="center"/>
          </w:tcPr>
          <w:p w14:paraId="111CDC96">
            <w:pPr>
              <w:keepNext w:val="0"/>
              <w:keepLines w:val="0"/>
              <w:pageBreakBefore w:val="0"/>
              <w:widowControl w:val="0"/>
              <w:kinsoku/>
              <w:wordWrap/>
              <w:overflowPunct/>
              <w:topLinePunct w:val="0"/>
              <w:autoSpaceDE/>
              <w:autoSpaceDN/>
              <w:bidi w:val="0"/>
              <w:adjustRightInd/>
              <w:snapToGrid/>
              <w:spacing w:line="260" w:lineRule="exact"/>
              <w:jc w:val="center"/>
              <w:textAlignment w:val="auto"/>
            </w:pPr>
            <w:r>
              <w:rPr>
                <w:rFonts w:hint="eastAsia" w:ascii="仿宋_GB2312" w:eastAsia="仿宋_GB2312" w:cs="仿宋_GB2312"/>
                <w:kern w:val="0"/>
                <w:sz w:val="22"/>
                <w:szCs w:val="22"/>
                <w:lang w:bidi="ar"/>
              </w:rPr>
              <w:t>食盐零售和用盐单位</w:t>
            </w:r>
          </w:p>
        </w:tc>
        <w:tc>
          <w:tcPr>
            <w:tcW w:w="709" w:type="dxa"/>
            <w:noWrap w:val="0"/>
            <w:vAlign w:val="center"/>
          </w:tcPr>
          <w:p w14:paraId="7DFC5058">
            <w:pPr>
              <w:keepNext w:val="0"/>
              <w:keepLines w:val="0"/>
              <w:pageBreakBefore w:val="0"/>
              <w:widowControl w:val="0"/>
              <w:kinsoku/>
              <w:wordWrap/>
              <w:overflowPunct/>
              <w:topLinePunct w:val="0"/>
              <w:autoSpaceDE/>
              <w:autoSpaceDN/>
              <w:bidi w:val="0"/>
              <w:adjustRightInd/>
              <w:snapToGrid/>
              <w:spacing w:line="260" w:lineRule="exact"/>
              <w:jc w:val="center"/>
              <w:textAlignment w:val="auto"/>
            </w:pPr>
            <w:r>
              <w:rPr>
                <w:rFonts w:hint="eastAsia" w:ascii="仿宋_GB2312" w:eastAsia="仿宋_GB2312" w:cs="仿宋_GB2312"/>
                <w:sz w:val="22"/>
                <w:szCs w:val="22"/>
                <w:lang w:eastAsia="zh-CN" w:bidi="ar-SA"/>
              </w:rPr>
              <w:t>全年1次</w:t>
            </w:r>
          </w:p>
        </w:tc>
        <w:tc>
          <w:tcPr>
            <w:tcW w:w="1096" w:type="dxa"/>
            <w:noWrap w:val="0"/>
            <w:vAlign w:val="center"/>
          </w:tcPr>
          <w:p w14:paraId="04F399D0">
            <w:pPr>
              <w:jc w:val="center"/>
              <w:rPr>
                <w:rFonts w:hint="default" w:eastAsia="宋体"/>
                <w:lang w:val="en-US" w:eastAsia="zh-CN"/>
              </w:rPr>
            </w:pPr>
            <w:r>
              <w:rPr>
                <w:rFonts w:hint="eastAsia" w:ascii="仿宋_GB2312" w:eastAsia="仿宋_GB2312" w:cs="仿宋_GB2312"/>
                <w:kern w:val="0"/>
                <w:sz w:val="22"/>
                <w:szCs w:val="22"/>
                <w:lang w:val="en-US" w:eastAsia="zh-CN" w:bidi="ar"/>
              </w:rPr>
              <w:t>10%</w:t>
            </w:r>
          </w:p>
        </w:tc>
        <w:tc>
          <w:tcPr>
            <w:tcW w:w="890" w:type="dxa"/>
            <w:noWrap w:val="0"/>
            <w:vAlign w:val="center"/>
          </w:tcPr>
          <w:p w14:paraId="5D071F9A">
            <w:pPr>
              <w:spacing w:line="260" w:lineRule="exact"/>
              <w:jc w:val="center"/>
              <w:textAlignment w:val="center"/>
            </w:pPr>
            <w:r>
              <w:rPr>
                <w:rFonts w:hint="eastAsia" w:ascii="仿宋_GB2312" w:eastAsia="仿宋_GB2312" w:cs="仿宋_GB2312"/>
                <w:kern w:val="0"/>
                <w:sz w:val="22"/>
                <w:szCs w:val="22"/>
                <w:lang w:bidi="ar"/>
              </w:rPr>
              <w:t>现场检查</w:t>
            </w:r>
          </w:p>
        </w:tc>
        <w:tc>
          <w:tcPr>
            <w:tcW w:w="890" w:type="dxa"/>
            <w:noWrap w:val="0"/>
            <w:vAlign w:val="center"/>
          </w:tcPr>
          <w:p w14:paraId="5C27E84C">
            <w:pPr>
              <w:spacing w:line="260" w:lineRule="exact"/>
              <w:jc w:val="center"/>
              <w:textAlignment w:val="center"/>
            </w:pPr>
            <w:r>
              <w:rPr>
                <w:rFonts w:hint="eastAsia" w:ascii="仿宋_GB2312" w:eastAsia="仿宋_GB2312" w:cs="仿宋_GB2312"/>
                <w:sz w:val="22"/>
                <w:szCs w:val="22"/>
                <w:lang w:eastAsia="zh-CN" w:bidi="ar-SA"/>
              </w:rPr>
              <w:t>专项</w:t>
            </w:r>
          </w:p>
        </w:tc>
        <w:tc>
          <w:tcPr>
            <w:tcW w:w="968" w:type="dxa"/>
            <w:noWrap w:val="0"/>
            <w:vAlign w:val="center"/>
          </w:tcPr>
          <w:p w14:paraId="6282CE21">
            <w:pPr>
              <w:spacing w:line="260" w:lineRule="exact"/>
              <w:jc w:val="center"/>
              <w:textAlignment w:val="center"/>
            </w:pPr>
            <w:r>
              <w:rPr>
                <w:rFonts w:hint="eastAsia" w:ascii="仿宋_GB2312" w:eastAsia="仿宋_GB2312" w:cs="仿宋_GB2312"/>
                <w:spacing w:val="-20"/>
                <w:kern w:val="0"/>
                <w:sz w:val="22"/>
                <w:szCs w:val="22"/>
                <w:lang w:bidi="ar"/>
              </w:rPr>
              <w:t>10月31日</w:t>
            </w:r>
          </w:p>
        </w:tc>
        <w:tc>
          <w:tcPr>
            <w:tcW w:w="969" w:type="dxa"/>
            <w:noWrap w:val="0"/>
            <w:vAlign w:val="center"/>
          </w:tcPr>
          <w:p w14:paraId="6B1FCF5B">
            <w:pPr>
              <w:spacing w:line="260" w:lineRule="exact"/>
              <w:jc w:val="center"/>
              <w:textAlignment w:val="center"/>
            </w:pPr>
            <w:r>
              <w:rPr>
                <w:rFonts w:hint="eastAsia" w:ascii="仿宋_GB2312" w:eastAsia="仿宋_GB2312" w:cs="仿宋_GB2312"/>
                <w:kern w:val="0"/>
                <w:sz w:val="22"/>
                <w:szCs w:val="22"/>
                <w:lang w:eastAsia="zh-CN" w:bidi="ar"/>
              </w:rPr>
              <w:t>区</w:t>
            </w:r>
            <w:r>
              <w:rPr>
                <w:rFonts w:hint="eastAsia" w:ascii="仿宋_GB2312" w:eastAsia="仿宋_GB2312" w:cs="仿宋_GB2312"/>
                <w:kern w:val="0"/>
                <w:sz w:val="22"/>
                <w:szCs w:val="22"/>
                <w:lang w:bidi="ar"/>
              </w:rPr>
              <w:t>经济和信息化</w:t>
            </w:r>
            <w:r>
              <w:rPr>
                <w:rFonts w:hint="eastAsia" w:ascii="仿宋_GB2312" w:eastAsia="仿宋_GB2312" w:cs="仿宋_GB2312"/>
                <w:kern w:val="0"/>
                <w:sz w:val="22"/>
                <w:szCs w:val="22"/>
                <w:lang w:eastAsia="zh-CN" w:bidi="ar"/>
              </w:rPr>
              <w:t>局</w:t>
            </w:r>
          </w:p>
        </w:tc>
        <w:tc>
          <w:tcPr>
            <w:tcW w:w="1944" w:type="dxa"/>
            <w:noWrap w:val="0"/>
            <w:vAlign w:val="center"/>
          </w:tcPr>
          <w:p w14:paraId="30076B43">
            <w:pPr>
              <w:keepNext w:val="0"/>
              <w:keepLines w:val="0"/>
              <w:pageBreakBefore w:val="0"/>
              <w:widowControl w:val="0"/>
              <w:kinsoku/>
              <w:wordWrap/>
              <w:overflowPunct/>
              <w:topLinePunct w:val="0"/>
              <w:autoSpaceDE/>
              <w:autoSpaceDN/>
              <w:bidi w:val="0"/>
              <w:adjustRightInd/>
              <w:snapToGrid/>
              <w:spacing w:line="260" w:lineRule="exact"/>
              <w:textAlignment w:val="auto"/>
            </w:pPr>
            <w:r>
              <w:rPr>
                <w:rFonts w:hint="eastAsia" w:ascii="仿宋_GB2312" w:eastAsia="仿宋_GB2312" w:cs="仿宋_GB2312"/>
                <w:color w:val="auto"/>
                <w:kern w:val="0"/>
                <w:sz w:val="22"/>
                <w:szCs w:val="22"/>
                <w:lang w:eastAsia="zh-CN" w:bidi="ar"/>
              </w:rPr>
              <w:t>对食盐经营主体经营状态及用盐单位管理情况监督检查</w:t>
            </w:r>
          </w:p>
        </w:tc>
        <w:tc>
          <w:tcPr>
            <w:tcW w:w="1602" w:type="dxa"/>
            <w:noWrap w:val="0"/>
            <w:vAlign w:val="center"/>
          </w:tcPr>
          <w:p w14:paraId="4A53C858">
            <w:pPr>
              <w:spacing w:line="260" w:lineRule="exact"/>
              <w:jc w:val="center"/>
              <w:rPr>
                <w:rFonts w:hint="eastAsia" w:ascii="仿宋_GB2312" w:eastAsia="仿宋_GB2312" w:cs="仿宋_GB2312"/>
                <w:kern w:val="21"/>
                <w:sz w:val="22"/>
                <w:szCs w:val="22"/>
                <w:highlight w:val="red"/>
                <w:lang w:eastAsia="zh-CN" w:bidi="ar-SA"/>
              </w:rPr>
            </w:pPr>
            <w:r>
              <w:rPr>
                <w:rFonts w:hint="eastAsia" w:ascii="仿宋_GB2312" w:eastAsia="仿宋_GB2312" w:cs="仿宋_GB2312"/>
                <w:kern w:val="0"/>
                <w:sz w:val="22"/>
                <w:szCs w:val="22"/>
                <w:lang w:eastAsia="zh-CN" w:bidi="ar"/>
              </w:rPr>
              <w:t>区市场监督管理局</w:t>
            </w:r>
          </w:p>
        </w:tc>
        <w:tc>
          <w:tcPr>
            <w:tcW w:w="2702" w:type="dxa"/>
            <w:noWrap w:val="0"/>
            <w:vAlign w:val="center"/>
          </w:tcPr>
          <w:p w14:paraId="4A920DAA">
            <w:pPr>
              <w:spacing w:line="260" w:lineRule="exact"/>
              <w:rPr>
                <w:rFonts w:hint="eastAsia" w:ascii="仿宋_GB2312" w:eastAsia="仿宋_GB2312" w:cs="仿宋_GB2312"/>
                <w:kern w:val="21"/>
                <w:sz w:val="22"/>
                <w:szCs w:val="22"/>
                <w:lang w:bidi="ar-SA"/>
              </w:rPr>
            </w:pPr>
            <w:r>
              <w:rPr>
                <w:rFonts w:hint="eastAsia" w:ascii="仿宋_GB2312" w:eastAsia="仿宋_GB2312" w:cs="仿宋_GB2312"/>
                <w:kern w:val="21"/>
                <w:sz w:val="22"/>
                <w:szCs w:val="22"/>
                <w:lang w:eastAsia="zh-CN" w:bidi="ar-SA"/>
              </w:rPr>
              <w:t>对食盐经营安全及使用安全的检查</w:t>
            </w:r>
          </w:p>
        </w:tc>
      </w:tr>
    </w:tbl>
    <w:p w14:paraId="28324856"/>
    <w:sectPr>
      <w:headerReference r:id="rId3" w:type="default"/>
      <w:footerReference r:id="rId4" w:type="default"/>
      <w:footerReference r:id="rId5" w:type="even"/>
      <w:pgSz w:w="16838" w:h="11906" w:orient="landscape"/>
      <w:pgMar w:top="1588" w:right="2098" w:bottom="1474" w:left="1985" w:header="851" w:footer="147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roid Sans">
    <w:altName w:val="思源宋体"/>
    <w:panose1 w:val="00000000000000000000"/>
    <w:charset w:val="00"/>
    <w:family w:val="auto"/>
    <w:pitch w:val="default"/>
    <w:sig w:usb0="00000000" w:usb1="00000000" w:usb2="00000000" w:usb3="00000000" w:csb0="00040001" w:csb1="00000000"/>
  </w:font>
  <w:font w:name="思源宋体">
    <w:panose1 w:val="02020400000000000000"/>
    <w:charset w:val="86"/>
    <w:family w:val="auto"/>
    <w:pitch w:val="default"/>
    <w:sig w:usb0="3000008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7004C">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07D0">
    <w:pPr>
      <w:pStyle w:val="5"/>
      <w:framePr w:wrap="around" w:vAnchor="text" w:hAnchor="margin" w:xAlign="outside" w:y="1"/>
      <w:rPr>
        <w:rStyle w:val="10"/>
      </w:rPr>
    </w:pPr>
    <w:r>
      <w:fldChar w:fldCharType="begin"/>
    </w:r>
    <w:r>
      <w:rPr>
        <w:rStyle w:val="10"/>
      </w:rPr>
      <w:instrText xml:space="preserve">PAGE  </w:instrText>
    </w:r>
    <w:r>
      <w:fldChar w:fldCharType="end"/>
    </w:r>
  </w:p>
  <w:p w14:paraId="0472D07B">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57D1B">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E6F26"/>
    <w:rsid w:val="01ED7645"/>
    <w:rsid w:val="031B16CC"/>
    <w:rsid w:val="0370464D"/>
    <w:rsid w:val="05C649F8"/>
    <w:rsid w:val="07E06245"/>
    <w:rsid w:val="08410B94"/>
    <w:rsid w:val="086724C2"/>
    <w:rsid w:val="138E124B"/>
    <w:rsid w:val="1B2D39E1"/>
    <w:rsid w:val="1B356450"/>
    <w:rsid w:val="21C271D4"/>
    <w:rsid w:val="26521189"/>
    <w:rsid w:val="37AD13F0"/>
    <w:rsid w:val="39030F55"/>
    <w:rsid w:val="5AFC7E15"/>
    <w:rsid w:val="5F3F4774"/>
    <w:rsid w:val="5FFB2196"/>
    <w:rsid w:val="607838FB"/>
    <w:rsid w:val="6183303E"/>
    <w:rsid w:val="649B244D"/>
    <w:rsid w:val="6F712A27"/>
    <w:rsid w:val="71B93327"/>
    <w:rsid w:val="76EC08E6"/>
    <w:rsid w:val="77FF289B"/>
    <w:rsid w:val="7A4B0019"/>
    <w:rsid w:val="7F5F90A7"/>
    <w:rsid w:val="7F7B6676"/>
    <w:rsid w:val="7FEF8E02"/>
    <w:rsid w:val="7FFF28A5"/>
    <w:rsid w:val="9F7FE18F"/>
    <w:rsid w:val="CF37534B"/>
    <w:rsid w:val="CF3FFF2D"/>
    <w:rsid w:val="EF2FDD54"/>
    <w:rsid w:val="F79D155A"/>
    <w:rsid w:val="FA7A4BEC"/>
    <w:rsid w:val="FDD9D1EE"/>
    <w:rsid w:val="FFBF7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rFonts w:ascii="Calibri" w:hAnsi="Calibri" w:cs="Droid Sans"/>
    </w:rPr>
  </w:style>
  <w:style w:type="paragraph" w:styleId="3">
    <w:name w:val="Body Text"/>
    <w:basedOn w:val="1"/>
    <w:unhideWhenUsed/>
    <w:qFormat/>
    <w:uiPriority w:val="0"/>
    <w:pPr>
      <w:spacing w:after="120"/>
    </w:pPr>
    <w:rPr>
      <w:szCs w:val="24"/>
    </w:rPr>
  </w:style>
  <w:style w:type="paragraph" w:styleId="4">
    <w:name w:val="Plain Text"/>
    <w:basedOn w:val="1"/>
    <w:unhideWhenUsed/>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样式1"/>
    <w:qFormat/>
    <w:uiPriority w:val="0"/>
    <w:pPr>
      <w:widowControl w:val="0"/>
      <w:jc w:val="both"/>
    </w:pPr>
    <w:rPr>
      <w:rFonts w:ascii="Calibri" w:hAnsi="Calibri" w:eastAsia="宋体" w:cs="Times New Roman"/>
      <w:b/>
      <w:color w:val="538135"/>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1260</Words>
  <Characters>1290</Characters>
  <Lines>0</Lines>
  <Paragraphs>0</Paragraphs>
  <TotalTime>7</TotalTime>
  <ScaleCrop>false</ScaleCrop>
  <LinksUpToDate>false</LinksUpToDate>
  <CharactersWithSpaces>1321</CharactersWithSpaces>
  <Application>WPS Office_12.8.2.1118_F1E327BC-269C-435d-A152-05C5408002CA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办公电脑</dc:creator>
  <cp:lastModifiedBy>幸福约定</cp:lastModifiedBy>
  <cp:lastPrinted>2025-03-21T08:04:00Z</cp:lastPrinted>
  <dcterms:modified xsi:type="dcterms:W3CDTF">2025-03-21T18:02:34Z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2052-12.8.2.1118</vt:lpwstr>
  </property>
  <property fmtid="{D5CDD505-2E9C-101B-9397-08002B2CF9AE}" pid="3" name="KSOTemplateDocerSaveRecord">
    <vt:lpwstr>eyJoZGlkIjoiOTRlYjBiMGMwY2I2Y2FlMmJiMzFiZGQ0MjdmOTc4ZDYiLCJ1c2VySWQiOiI5MzIyMDYzODcifQ==</vt:lpwstr>
  </property>
  <property fmtid="{D5CDD505-2E9C-101B-9397-08002B2CF9AE}" pid="4" name="ICV">
    <vt:lpwstr>191A880FEB3044829E976FD8AAE049FE_12</vt:lpwstr>
  </property>
</Properties>
</file>