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AD2B2C">
      <w:pPr>
        <w:pStyle w:val="11"/>
        <w:jc w:val="center"/>
        <w:rPr>
          <w:rFonts w:hint="eastAsia" w:ascii="微软雅黑" w:eastAsia="微软雅黑"/>
          <w:b w:val="0"/>
          <w:color w:val="auto"/>
          <w:sz w:val="44"/>
          <w:szCs w:val="44"/>
        </w:rPr>
      </w:pPr>
      <w:r>
        <w:rPr>
          <w:rFonts w:hint="eastAsia" w:ascii="微软雅黑" w:eastAsia="微软雅黑"/>
          <w:b w:val="0"/>
          <w:color w:val="auto"/>
          <w:sz w:val="44"/>
          <w:szCs w:val="44"/>
        </w:rPr>
        <w:t>广元市</w:t>
      </w:r>
      <w:r>
        <w:rPr>
          <w:rFonts w:hint="eastAsia" w:ascii="微软雅黑" w:eastAsia="微软雅黑"/>
          <w:b w:val="0"/>
          <w:color w:val="auto"/>
          <w:sz w:val="44"/>
          <w:szCs w:val="44"/>
          <w:lang w:eastAsia="zh-CN"/>
        </w:rPr>
        <w:t>朝天区</w:t>
      </w:r>
      <w:r>
        <w:rPr>
          <w:rFonts w:hint="eastAsia" w:ascii="微软雅黑" w:eastAsia="微软雅黑"/>
          <w:b w:val="0"/>
          <w:color w:val="auto"/>
          <w:sz w:val="44"/>
          <w:szCs w:val="44"/>
        </w:rPr>
        <w:t>202</w:t>
      </w:r>
      <w:r>
        <w:rPr>
          <w:rFonts w:hint="eastAsia" w:ascii="微软雅黑" w:eastAsia="微软雅黑"/>
          <w:b w:val="0"/>
          <w:color w:val="auto"/>
          <w:sz w:val="44"/>
          <w:szCs w:val="44"/>
          <w:lang w:val="en-US" w:eastAsia="zh-CN"/>
        </w:rPr>
        <w:t>5年涉企行政检查事项分类目录（参考样式）</w:t>
      </w:r>
    </w:p>
    <w:tbl>
      <w:tblPr>
        <w:tblStyle w:val="7"/>
        <w:tblW w:w="14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80"/>
        <w:gridCol w:w="1519"/>
        <w:gridCol w:w="1925"/>
        <w:gridCol w:w="1121"/>
        <w:gridCol w:w="865"/>
        <w:gridCol w:w="890"/>
        <w:gridCol w:w="969"/>
        <w:gridCol w:w="1944"/>
        <w:gridCol w:w="1602"/>
        <w:gridCol w:w="2702"/>
      </w:tblGrid>
      <w:tr w14:paraId="3CDA1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tblHeader/>
          <w:jc w:val="center"/>
        </w:trPr>
        <w:tc>
          <w:tcPr>
            <w:tcW w:w="580" w:type="dxa"/>
            <w:noWrap w:val="0"/>
            <w:vAlign w:val="center"/>
          </w:tcPr>
          <w:p w14:paraId="08211462">
            <w:pPr>
              <w:spacing w:line="260" w:lineRule="exact"/>
              <w:jc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519" w:type="dxa"/>
            <w:noWrap w:val="0"/>
            <w:vAlign w:val="center"/>
          </w:tcPr>
          <w:p w14:paraId="6C2F9520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  <w:t>检查事项</w:t>
            </w:r>
          </w:p>
        </w:tc>
        <w:tc>
          <w:tcPr>
            <w:tcW w:w="1925" w:type="dxa"/>
            <w:noWrap w:val="0"/>
            <w:vAlign w:val="center"/>
          </w:tcPr>
          <w:p w14:paraId="7AB027FA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检查</w:t>
            </w:r>
          </w:p>
          <w:p w14:paraId="6722BD3D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对象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及等级</w:t>
            </w:r>
          </w:p>
        </w:tc>
        <w:tc>
          <w:tcPr>
            <w:tcW w:w="1121" w:type="dxa"/>
            <w:noWrap w:val="0"/>
            <w:vAlign w:val="center"/>
          </w:tcPr>
          <w:p w14:paraId="2A659ADF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  <w:t>检查事项等级</w:t>
            </w:r>
          </w:p>
        </w:tc>
        <w:tc>
          <w:tcPr>
            <w:tcW w:w="865" w:type="dxa"/>
            <w:noWrap w:val="0"/>
            <w:vAlign w:val="center"/>
          </w:tcPr>
          <w:p w14:paraId="567E8AA8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检查方式</w:t>
            </w:r>
          </w:p>
        </w:tc>
        <w:tc>
          <w:tcPr>
            <w:tcW w:w="890" w:type="dxa"/>
            <w:noWrap w:val="0"/>
            <w:vAlign w:val="center"/>
          </w:tcPr>
          <w:p w14:paraId="16D437C9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  <w:t>计划类型</w:t>
            </w:r>
          </w:p>
        </w:tc>
        <w:tc>
          <w:tcPr>
            <w:tcW w:w="969" w:type="dxa"/>
            <w:noWrap w:val="0"/>
            <w:vAlign w:val="center"/>
          </w:tcPr>
          <w:p w14:paraId="791D2667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牵头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实施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部门</w:t>
            </w:r>
          </w:p>
        </w:tc>
        <w:tc>
          <w:tcPr>
            <w:tcW w:w="1944" w:type="dxa"/>
            <w:noWrap w:val="0"/>
            <w:vAlign w:val="center"/>
          </w:tcPr>
          <w:p w14:paraId="1EAF8684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检查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事项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内容</w:t>
            </w:r>
          </w:p>
        </w:tc>
        <w:tc>
          <w:tcPr>
            <w:tcW w:w="1602" w:type="dxa"/>
            <w:noWrap w:val="0"/>
            <w:vAlign w:val="center"/>
          </w:tcPr>
          <w:p w14:paraId="392085AC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参与部门</w:t>
            </w:r>
          </w:p>
        </w:tc>
        <w:tc>
          <w:tcPr>
            <w:tcW w:w="2702" w:type="dxa"/>
            <w:noWrap w:val="0"/>
            <w:vAlign w:val="center"/>
          </w:tcPr>
          <w:p w14:paraId="11C311D1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综合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参与部门事项</w:t>
            </w:r>
          </w:p>
        </w:tc>
      </w:tr>
      <w:tr w14:paraId="77976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5" w:hRule="atLeast"/>
          <w:jc w:val="center"/>
        </w:trPr>
        <w:tc>
          <w:tcPr>
            <w:tcW w:w="580" w:type="dxa"/>
            <w:noWrap w:val="0"/>
            <w:vAlign w:val="center"/>
          </w:tcPr>
          <w:p w14:paraId="6DF2D6F9">
            <w:pPr>
              <w:numPr>
                <w:ilvl w:val="0"/>
                <w:numId w:val="1"/>
              </w:numPr>
              <w:spacing w:line="260" w:lineRule="exact"/>
              <w:ind w:left="105" w:leftChars="50"/>
              <w:jc w:val="center"/>
              <w:rPr>
                <w:rFonts w:hint="eastAsia" w:ascii="仿宋_GB2312" w:eastAsia="仿宋_GB2312" w:cs="仿宋_GB2312"/>
                <w:sz w:val="22"/>
                <w:szCs w:val="22"/>
                <w:lang w:bidi="ar-SA"/>
              </w:rPr>
            </w:pPr>
          </w:p>
        </w:tc>
        <w:tc>
          <w:tcPr>
            <w:tcW w:w="1519" w:type="dxa"/>
            <w:noWrap w:val="0"/>
            <w:vAlign w:val="center"/>
          </w:tcPr>
          <w:p w14:paraId="6FAFA201">
            <w:pPr>
              <w:spacing w:line="260" w:lineRule="exact"/>
              <w:jc w:val="both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矿山开发利用检查</w:t>
            </w:r>
          </w:p>
        </w:tc>
        <w:tc>
          <w:tcPr>
            <w:tcW w:w="1925" w:type="dxa"/>
            <w:noWrap w:val="0"/>
            <w:vAlign w:val="center"/>
          </w:tcPr>
          <w:p w14:paraId="262B1C42">
            <w:pPr>
              <w:pStyle w:val="11"/>
              <w:ind w:firstLine="220" w:firstLineChars="100"/>
              <w:rPr>
                <w:rFonts w:hint="eastAsia" w:ascii="仿宋_GB2312" w:hAnsi="Times New Roman" w:eastAsia="仿宋_GB2312" w:cs="仿宋_GB2312"/>
                <w:b w:val="0"/>
                <w:color w:val="auto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b w:val="0"/>
                <w:color w:val="auto"/>
                <w:kern w:val="0"/>
                <w:sz w:val="22"/>
                <w:szCs w:val="22"/>
                <w:lang w:val="en-US" w:eastAsia="zh-CN" w:bidi="ar"/>
              </w:rPr>
              <w:t>区内在建和生产的6家矿山企业，</w:t>
            </w:r>
          </w:p>
          <w:p w14:paraId="14789DB5">
            <w:pPr>
              <w:pStyle w:val="11"/>
              <w:ind w:firstLine="220" w:firstLineChars="100"/>
              <w:rPr>
                <w:rFonts w:hint="eastAsia" w:eastAsia="仿宋_GB2312"/>
                <w:lang w:eastAsia="zh-CN"/>
              </w:rPr>
            </w:pPr>
            <w:r>
              <w:rPr>
                <w:rFonts w:hint="eastAsia" w:ascii="仿宋_GB2312" w:hAnsi="Times New Roman" w:eastAsia="仿宋_GB2312" w:cs="仿宋_GB2312"/>
                <w:b w:val="0"/>
                <w:color w:val="auto"/>
                <w:kern w:val="0"/>
                <w:sz w:val="22"/>
                <w:szCs w:val="22"/>
                <w:lang w:val="en-US" w:eastAsia="zh-CN" w:bidi="ar"/>
              </w:rPr>
              <w:t>一般</w:t>
            </w:r>
          </w:p>
        </w:tc>
        <w:tc>
          <w:tcPr>
            <w:tcW w:w="1121" w:type="dxa"/>
            <w:noWrap w:val="0"/>
            <w:vAlign w:val="center"/>
          </w:tcPr>
          <w:p w14:paraId="175AC582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一般</w:t>
            </w:r>
          </w:p>
        </w:tc>
        <w:tc>
          <w:tcPr>
            <w:tcW w:w="865" w:type="dxa"/>
            <w:noWrap w:val="0"/>
            <w:vAlign w:val="center"/>
          </w:tcPr>
          <w:p w14:paraId="5BCC1F65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现场检查</w:t>
            </w:r>
          </w:p>
        </w:tc>
        <w:tc>
          <w:tcPr>
            <w:tcW w:w="890" w:type="dxa"/>
            <w:noWrap w:val="0"/>
            <w:vAlign w:val="center"/>
          </w:tcPr>
          <w:p w14:paraId="0E52D17B">
            <w:pPr>
              <w:spacing w:line="260" w:lineRule="exact"/>
              <w:jc w:val="both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日常</w:t>
            </w:r>
          </w:p>
        </w:tc>
        <w:tc>
          <w:tcPr>
            <w:tcW w:w="969" w:type="dxa"/>
            <w:noWrap w:val="0"/>
            <w:vAlign w:val="center"/>
          </w:tcPr>
          <w:p w14:paraId="2BD8B0AA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区自然资源分局</w:t>
            </w:r>
          </w:p>
        </w:tc>
        <w:tc>
          <w:tcPr>
            <w:tcW w:w="1944" w:type="dxa"/>
            <w:noWrap w:val="0"/>
            <w:vAlign w:val="center"/>
          </w:tcPr>
          <w:p w14:paraId="2844C307">
            <w:pPr>
              <w:spacing w:line="260" w:lineRule="exact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对</w:t>
            </w:r>
            <w:r>
              <w:rPr>
                <w:rFonts w:hint="eastAsia" w:ascii="仿宋_GB2312" w:hAnsi="Times New Roman" w:eastAsia="仿宋_GB2312" w:cs="仿宋_GB2312"/>
                <w:b w:val="0"/>
                <w:color w:val="auto"/>
                <w:kern w:val="0"/>
                <w:sz w:val="22"/>
                <w:szCs w:val="22"/>
                <w:lang w:val="en-US" w:eastAsia="zh-CN" w:bidi="ar"/>
              </w:rPr>
              <w:t>区内6家在建和生产的矿山企业</w:t>
            </w: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进行检查</w:t>
            </w: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，核实是否严格按照开发利用方案实施采矿、有无越界开采等行为</w:t>
            </w:r>
          </w:p>
        </w:tc>
        <w:tc>
          <w:tcPr>
            <w:tcW w:w="1602" w:type="dxa"/>
            <w:noWrap w:val="0"/>
            <w:vAlign w:val="center"/>
          </w:tcPr>
          <w:p w14:paraId="628D49F5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应急管理部门</w:t>
            </w:r>
          </w:p>
        </w:tc>
        <w:tc>
          <w:tcPr>
            <w:tcW w:w="2702" w:type="dxa"/>
            <w:noWrap w:val="0"/>
            <w:vAlign w:val="center"/>
          </w:tcPr>
          <w:p w14:paraId="274BECBC">
            <w:pPr>
              <w:spacing w:line="260" w:lineRule="exact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对安全生产的检查</w:t>
            </w:r>
          </w:p>
        </w:tc>
      </w:tr>
    </w:tbl>
    <w:p w14:paraId="419432F3">
      <w:pPr>
        <w:pStyle w:val="11"/>
        <w:jc w:val="center"/>
        <w:rPr>
          <w:rFonts w:hint="eastAsia" w:ascii="微软雅黑" w:eastAsia="微软雅黑"/>
          <w:b w:val="0"/>
          <w:color w:val="auto"/>
          <w:sz w:val="44"/>
          <w:szCs w:val="44"/>
        </w:rPr>
      </w:pPr>
    </w:p>
    <w:p w14:paraId="7F442716">
      <w:pPr>
        <w:pStyle w:val="11"/>
        <w:jc w:val="both"/>
        <w:rPr>
          <w:rFonts w:hint="eastAsia" w:ascii="微软雅黑" w:eastAsia="微软雅黑"/>
          <w:b w:val="0"/>
          <w:color w:val="auto"/>
          <w:sz w:val="44"/>
          <w:szCs w:val="44"/>
        </w:rPr>
      </w:pPr>
    </w:p>
    <w:p w14:paraId="166AFD2F">
      <w:pPr>
        <w:pStyle w:val="11"/>
        <w:jc w:val="both"/>
        <w:rPr>
          <w:rFonts w:hint="eastAsia" w:ascii="微软雅黑" w:eastAsia="微软雅黑"/>
          <w:b w:val="0"/>
          <w:color w:val="auto"/>
          <w:sz w:val="44"/>
          <w:szCs w:val="44"/>
        </w:rPr>
      </w:pPr>
    </w:p>
    <w:p w14:paraId="6C742A13">
      <w:pPr>
        <w:pStyle w:val="11"/>
        <w:jc w:val="both"/>
        <w:rPr>
          <w:rFonts w:hint="eastAsia" w:ascii="黑体" w:hAnsi="黑体" w:eastAsia="黑体" w:cs="黑体"/>
          <w:b w:val="0"/>
          <w:color w:val="auto"/>
          <w:sz w:val="32"/>
          <w:szCs w:val="32"/>
          <w:lang w:eastAsia="zh-CN"/>
        </w:rPr>
      </w:pPr>
    </w:p>
    <w:p w14:paraId="5484F0CD">
      <w:pPr>
        <w:pStyle w:val="11"/>
        <w:jc w:val="both"/>
        <w:rPr>
          <w:rFonts w:hint="eastAsia" w:ascii="黑体" w:hAnsi="黑体" w:eastAsia="黑体" w:cs="黑体"/>
          <w:b w:val="0"/>
          <w:color w:val="auto"/>
          <w:sz w:val="32"/>
          <w:szCs w:val="32"/>
          <w:lang w:eastAsia="zh-CN"/>
        </w:rPr>
      </w:pPr>
    </w:p>
    <w:p w14:paraId="0B0605DC">
      <w:pPr>
        <w:pStyle w:val="11"/>
        <w:jc w:val="both"/>
        <w:rPr>
          <w:rFonts w:hint="eastAsia" w:ascii="黑体" w:hAnsi="黑体" w:eastAsia="黑体" w:cs="黑体"/>
          <w:b w:val="0"/>
          <w:color w:val="auto"/>
          <w:sz w:val="32"/>
          <w:szCs w:val="32"/>
          <w:lang w:eastAsia="zh-CN"/>
        </w:rPr>
      </w:pPr>
    </w:p>
    <w:p w14:paraId="59CC2202">
      <w:pPr>
        <w:pStyle w:val="11"/>
        <w:jc w:val="both"/>
        <w:rPr>
          <w:rFonts w:hint="eastAsia" w:ascii="黑体" w:hAnsi="黑体" w:eastAsia="黑体" w:cs="黑体"/>
          <w:b w:val="0"/>
          <w:color w:val="auto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color w:val="auto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color w:val="auto"/>
          <w:sz w:val="32"/>
          <w:szCs w:val="32"/>
          <w:lang w:val="en-US" w:eastAsia="zh-CN"/>
        </w:rPr>
        <w:t>2</w:t>
      </w:r>
    </w:p>
    <w:p w14:paraId="170E426B">
      <w:pPr>
        <w:pStyle w:val="11"/>
        <w:jc w:val="center"/>
        <w:rPr>
          <w:rFonts w:hint="eastAsia" w:ascii="微软雅黑" w:eastAsia="微软雅黑"/>
          <w:b w:val="0"/>
          <w:color w:val="auto"/>
          <w:sz w:val="44"/>
          <w:szCs w:val="44"/>
        </w:rPr>
      </w:pPr>
    </w:p>
    <w:p w14:paraId="5DD97F3E">
      <w:pPr>
        <w:pStyle w:val="11"/>
        <w:jc w:val="center"/>
        <w:rPr>
          <w:rFonts w:hint="eastAsia" w:ascii="微软雅黑" w:eastAsia="微软雅黑"/>
          <w:b w:val="0"/>
          <w:color w:val="auto"/>
          <w:sz w:val="44"/>
          <w:szCs w:val="44"/>
          <w:lang w:eastAsia="zh-CN"/>
        </w:rPr>
      </w:pPr>
      <w:r>
        <w:rPr>
          <w:rFonts w:hint="eastAsia" w:ascii="微软雅黑" w:eastAsia="微软雅黑"/>
          <w:b w:val="0"/>
          <w:color w:val="auto"/>
          <w:sz w:val="44"/>
          <w:szCs w:val="44"/>
        </w:rPr>
        <w:t>广元市</w:t>
      </w:r>
      <w:r>
        <w:rPr>
          <w:rFonts w:hint="eastAsia" w:ascii="微软雅黑" w:eastAsia="微软雅黑"/>
          <w:b w:val="0"/>
          <w:color w:val="auto"/>
          <w:sz w:val="44"/>
          <w:szCs w:val="44"/>
          <w:lang w:eastAsia="zh-CN"/>
        </w:rPr>
        <w:t>朝天区</w:t>
      </w:r>
      <w:r>
        <w:rPr>
          <w:rFonts w:hint="eastAsia" w:ascii="微软雅黑" w:eastAsia="微软雅黑"/>
          <w:b w:val="0"/>
          <w:color w:val="auto"/>
          <w:sz w:val="44"/>
          <w:szCs w:val="44"/>
        </w:rPr>
        <w:t>202</w:t>
      </w:r>
      <w:r>
        <w:rPr>
          <w:rFonts w:hint="eastAsia" w:ascii="微软雅黑" w:eastAsia="微软雅黑"/>
          <w:b w:val="0"/>
          <w:color w:val="auto"/>
          <w:sz w:val="44"/>
          <w:szCs w:val="44"/>
          <w:lang w:val="en-US" w:eastAsia="zh-CN"/>
        </w:rPr>
        <w:t>5年涉企行政执法检查</w:t>
      </w:r>
      <w:r>
        <w:rPr>
          <w:rFonts w:hint="eastAsia" w:ascii="微软雅黑" w:eastAsia="微软雅黑"/>
          <w:b w:val="0"/>
          <w:color w:val="auto"/>
          <w:sz w:val="44"/>
          <w:szCs w:val="44"/>
        </w:rPr>
        <w:t>计划</w:t>
      </w:r>
      <w:r>
        <w:rPr>
          <w:rFonts w:hint="eastAsia" w:ascii="微软雅黑" w:eastAsia="微软雅黑"/>
          <w:b w:val="0"/>
          <w:color w:val="auto"/>
          <w:sz w:val="44"/>
          <w:szCs w:val="44"/>
          <w:lang w:eastAsia="zh-CN"/>
        </w:rPr>
        <w:t>（参考样式）</w:t>
      </w:r>
    </w:p>
    <w:tbl>
      <w:tblPr>
        <w:tblStyle w:val="7"/>
        <w:tblW w:w="150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80"/>
        <w:gridCol w:w="1519"/>
        <w:gridCol w:w="1216"/>
        <w:gridCol w:w="709"/>
        <w:gridCol w:w="1096"/>
        <w:gridCol w:w="890"/>
        <w:gridCol w:w="890"/>
        <w:gridCol w:w="968"/>
        <w:gridCol w:w="969"/>
        <w:gridCol w:w="1944"/>
        <w:gridCol w:w="1602"/>
        <w:gridCol w:w="2702"/>
      </w:tblGrid>
      <w:tr w14:paraId="607E0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tblHeader/>
          <w:jc w:val="center"/>
        </w:trPr>
        <w:tc>
          <w:tcPr>
            <w:tcW w:w="580" w:type="dxa"/>
            <w:noWrap w:val="0"/>
            <w:vAlign w:val="center"/>
          </w:tcPr>
          <w:p w14:paraId="0634CD77">
            <w:pPr>
              <w:spacing w:line="260" w:lineRule="exact"/>
              <w:jc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519" w:type="dxa"/>
            <w:noWrap w:val="0"/>
            <w:vAlign w:val="center"/>
          </w:tcPr>
          <w:p w14:paraId="4D6D2858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  <w:t>检查事项</w:t>
            </w:r>
          </w:p>
        </w:tc>
        <w:tc>
          <w:tcPr>
            <w:tcW w:w="1216" w:type="dxa"/>
            <w:noWrap w:val="0"/>
            <w:vAlign w:val="center"/>
          </w:tcPr>
          <w:p w14:paraId="30F58B17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检查</w:t>
            </w:r>
          </w:p>
          <w:p w14:paraId="761176BE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对象</w:t>
            </w:r>
          </w:p>
        </w:tc>
        <w:tc>
          <w:tcPr>
            <w:tcW w:w="709" w:type="dxa"/>
            <w:noWrap w:val="0"/>
            <w:vAlign w:val="center"/>
          </w:tcPr>
          <w:p w14:paraId="0BDECC6E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  <w:t>检查频次</w:t>
            </w:r>
          </w:p>
        </w:tc>
        <w:tc>
          <w:tcPr>
            <w:tcW w:w="1096" w:type="dxa"/>
            <w:noWrap w:val="0"/>
            <w:vAlign w:val="center"/>
          </w:tcPr>
          <w:p w14:paraId="12C56A42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检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查比例</w:t>
            </w:r>
          </w:p>
          <w:p w14:paraId="11F6D2C7">
            <w:pPr>
              <w:spacing w:line="280" w:lineRule="exact"/>
              <w:jc w:val="both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</w:p>
        </w:tc>
        <w:tc>
          <w:tcPr>
            <w:tcW w:w="890" w:type="dxa"/>
            <w:noWrap w:val="0"/>
            <w:vAlign w:val="center"/>
          </w:tcPr>
          <w:p w14:paraId="15230BEE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检查方式</w:t>
            </w:r>
          </w:p>
        </w:tc>
        <w:tc>
          <w:tcPr>
            <w:tcW w:w="890" w:type="dxa"/>
            <w:noWrap w:val="0"/>
            <w:vAlign w:val="center"/>
          </w:tcPr>
          <w:p w14:paraId="6ABD767E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  <w:t>计划类型</w:t>
            </w:r>
          </w:p>
        </w:tc>
        <w:tc>
          <w:tcPr>
            <w:tcW w:w="968" w:type="dxa"/>
            <w:noWrap w:val="0"/>
            <w:vAlign w:val="center"/>
          </w:tcPr>
          <w:p w14:paraId="41A32CB8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检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查完成时限</w:t>
            </w:r>
          </w:p>
        </w:tc>
        <w:tc>
          <w:tcPr>
            <w:tcW w:w="969" w:type="dxa"/>
            <w:noWrap w:val="0"/>
            <w:vAlign w:val="center"/>
          </w:tcPr>
          <w:p w14:paraId="6C26B39D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牵头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实施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部门</w:t>
            </w:r>
          </w:p>
        </w:tc>
        <w:tc>
          <w:tcPr>
            <w:tcW w:w="1944" w:type="dxa"/>
            <w:noWrap w:val="0"/>
            <w:vAlign w:val="center"/>
          </w:tcPr>
          <w:p w14:paraId="3AA2E930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检查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事项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内容</w:t>
            </w:r>
          </w:p>
        </w:tc>
        <w:tc>
          <w:tcPr>
            <w:tcW w:w="1602" w:type="dxa"/>
            <w:noWrap w:val="0"/>
            <w:vAlign w:val="center"/>
          </w:tcPr>
          <w:p w14:paraId="4A5335FC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参与部门</w:t>
            </w:r>
          </w:p>
        </w:tc>
        <w:tc>
          <w:tcPr>
            <w:tcW w:w="2702" w:type="dxa"/>
            <w:noWrap w:val="0"/>
            <w:vAlign w:val="center"/>
          </w:tcPr>
          <w:p w14:paraId="13365D4D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参与部门事项</w:t>
            </w:r>
          </w:p>
        </w:tc>
      </w:tr>
      <w:tr w14:paraId="72FF6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5" w:hRule="atLeast"/>
          <w:jc w:val="center"/>
        </w:trPr>
        <w:tc>
          <w:tcPr>
            <w:tcW w:w="580" w:type="dxa"/>
            <w:noWrap w:val="0"/>
            <w:vAlign w:val="center"/>
          </w:tcPr>
          <w:p w14:paraId="251B9A49">
            <w:pPr>
              <w:numPr>
                <w:ilvl w:val="0"/>
                <w:numId w:val="0"/>
              </w:numPr>
              <w:spacing w:line="260" w:lineRule="exact"/>
              <w:ind w:leftChars="50"/>
              <w:jc w:val="both"/>
              <w:rPr>
                <w:rFonts w:hint="default" w:ascii="仿宋_GB2312" w:eastAsia="仿宋_GB2312" w:cs="仿宋_GB231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 w:bidi="ar-SA"/>
              </w:rPr>
              <w:t>1</w:t>
            </w:r>
          </w:p>
        </w:tc>
        <w:tc>
          <w:tcPr>
            <w:tcW w:w="1519" w:type="dxa"/>
            <w:noWrap w:val="0"/>
            <w:vAlign w:val="center"/>
          </w:tcPr>
          <w:p w14:paraId="63C90EF2">
            <w:pPr>
              <w:spacing w:line="260" w:lineRule="exact"/>
              <w:jc w:val="both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矿山开发利用检查</w:t>
            </w:r>
          </w:p>
        </w:tc>
        <w:tc>
          <w:tcPr>
            <w:tcW w:w="1216" w:type="dxa"/>
            <w:noWrap w:val="0"/>
            <w:vAlign w:val="center"/>
          </w:tcPr>
          <w:p w14:paraId="0FA49617">
            <w:pPr>
              <w:pStyle w:val="11"/>
              <w:ind w:firstLine="220" w:firstLineChars="100"/>
              <w:rPr>
                <w:rFonts w:hint="eastAsia" w:ascii="仿宋_GB2312" w:eastAsia="仿宋_GB2312" w:cs="仿宋_GB2312"/>
                <w:sz w:val="22"/>
                <w:szCs w:val="22"/>
                <w:lang w:bidi="ar-SA"/>
              </w:rPr>
            </w:pPr>
            <w:r>
              <w:rPr>
                <w:rFonts w:hint="eastAsia" w:ascii="仿宋_GB2312" w:hAnsi="Times New Roman" w:eastAsia="仿宋_GB2312" w:cs="仿宋_GB2312"/>
                <w:b w:val="0"/>
                <w:color w:val="auto"/>
                <w:kern w:val="0"/>
                <w:sz w:val="22"/>
                <w:szCs w:val="22"/>
                <w:lang w:val="en-US" w:eastAsia="zh-CN" w:bidi="ar"/>
              </w:rPr>
              <w:t>区内在建和生产的6家矿山企业</w:t>
            </w:r>
          </w:p>
        </w:tc>
        <w:tc>
          <w:tcPr>
            <w:tcW w:w="709" w:type="dxa"/>
            <w:noWrap w:val="0"/>
            <w:vAlign w:val="center"/>
          </w:tcPr>
          <w:p w14:paraId="3CE2AD8F">
            <w:pPr>
              <w:spacing w:line="26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 w:bidi="ar-SA"/>
              </w:rPr>
              <w:t>2个月1次</w:t>
            </w:r>
          </w:p>
        </w:tc>
        <w:tc>
          <w:tcPr>
            <w:tcW w:w="1096" w:type="dxa"/>
            <w:noWrap w:val="0"/>
            <w:vAlign w:val="center"/>
          </w:tcPr>
          <w:p w14:paraId="1E7C296A">
            <w:pPr>
              <w:spacing w:line="26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val="en-US" w:eastAsia="zh-CN" w:bidi="ar"/>
              </w:rPr>
              <w:t>100</w:t>
            </w: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%</w:t>
            </w:r>
          </w:p>
        </w:tc>
        <w:tc>
          <w:tcPr>
            <w:tcW w:w="890" w:type="dxa"/>
            <w:noWrap w:val="0"/>
            <w:vAlign w:val="center"/>
          </w:tcPr>
          <w:p w14:paraId="601930FE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现场检查</w:t>
            </w:r>
          </w:p>
        </w:tc>
        <w:tc>
          <w:tcPr>
            <w:tcW w:w="890" w:type="dxa"/>
            <w:noWrap w:val="0"/>
            <w:vAlign w:val="center"/>
          </w:tcPr>
          <w:p w14:paraId="5024A50A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日常</w:t>
            </w:r>
          </w:p>
        </w:tc>
        <w:tc>
          <w:tcPr>
            <w:tcW w:w="968" w:type="dxa"/>
            <w:noWrap w:val="0"/>
            <w:vAlign w:val="center"/>
          </w:tcPr>
          <w:p w14:paraId="28F5B277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pacing w:val="-20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spacing w:val="-20"/>
                <w:kern w:val="0"/>
                <w:sz w:val="22"/>
                <w:szCs w:val="22"/>
                <w:lang w:val="en-US" w:eastAsia="zh-CN" w:bidi="ar"/>
              </w:rPr>
              <w:t>11</w:t>
            </w:r>
            <w:r>
              <w:rPr>
                <w:rFonts w:hint="eastAsia" w:ascii="仿宋_GB2312" w:eastAsia="仿宋_GB2312" w:cs="仿宋_GB2312"/>
                <w:spacing w:val="-20"/>
                <w:kern w:val="0"/>
                <w:sz w:val="22"/>
                <w:szCs w:val="22"/>
                <w:lang w:bidi="ar"/>
              </w:rPr>
              <w:t>月3</w:t>
            </w:r>
            <w:r>
              <w:rPr>
                <w:rFonts w:hint="eastAsia" w:ascii="仿宋_GB2312" w:eastAsia="仿宋_GB2312" w:cs="仿宋_GB2312"/>
                <w:spacing w:val="-20"/>
                <w:kern w:val="0"/>
                <w:sz w:val="22"/>
                <w:szCs w:val="22"/>
                <w:lang w:val="en-US" w:eastAsia="zh-CN" w:bidi="ar"/>
              </w:rPr>
              <w:t>0</w:t>
            </w:r>
            <w:r>
              <w:rPr>
                <w:rFonts w:hint="eastAsia" w:ascii="仿宋_GB2312" w:eastAsia="仿宋_GB2312" w:cs="仿宋_GB2312"/>
                <w:spacing w:val="-20"/>
                <w:kern w:val="0"/>
                <w:sz w:val="22"/>
                <w:szCs w:val="22"/>
                <w:lang w:bidi="ar"/>
              </w:rPr>
              <w:t>日前</w:t>
            </w:r>
          </w:p>
        </w:tc>
        <w:tc>
          <w:tcPr>
            <w:tcW w:w="969" w:type="dxa"/>
            <w:noWrap w:val="0"/>
            <w:vAlign w:val="center"/>
          </w:tcPr>
          <w:p w14:paraId="645B14BF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区自然资源分局</w:t>
            </w:r>
          </w:p>
        </w:tc>
        <w:tc>
          <w:tcPr>
            <w:tcW w:w="1944" w:type="dxa"/>
            <w:noWrap w:val="0"/>
            <w:vAlign w:val="center"/>
          </w:tcPr>
          <w:p w14:paraId="25FCB6C6">
            <w:pPr>
              <w:spacing w:line="260" w:lineRule="exact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对</w:t>
            </w:r>
            <w:r>
              <w:rPr>
                <w:rFonts w:hint="eastAsia" w:ascii="仿宋_GB2312" w:hAnsi="Times New Roman" w:eastAsia="仿宋_GB2312" w:cs="仿宋_GB2312"/>
                <w:b w:val="0"/>
                <w:color w:val="auto"/>
                <w:kern w:val="0"/>
                <w:sz w:val="22"/>
                <w:szCs w:val="22"/>
                <w:lang w:val="en-US" w:eastAsia="zh-CN" w:bidi="ar"/>
              </w:rPr>
              <w:t>区内6家在建和生产的矿山企业</w:t>
            </w: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进行检查</w:t>
            </w: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，核实是否严格按照开发利用方案实施采矿、有无越界开采等行为</w:t>
            </w:r>
          </w:p>
        </w:tc>
        <w:tc>
          <w:tcPr>
            <w:tcW w:w="1602" w:type="dxa"/>
            <w:noWrap w:val="0"/>
            <w:vAlign w:val="center"/>
          </w:tcPr>
          <w:p w14:paraId="17C66268">
            <w:pPr>
              <w:spacing w:line="260" w:lineRule="exact"/>
              <w:jc w:val="both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　　　　　　　　　　　　　　　　　　</w:t>
            </w:r>
          </w:p>
          <w:p w14:paraId="734A711C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应急管理部门</w:t>
            </w:r>
          </w:p>
        </w:tc>
        <w:tc>
          <w:tcPr>
            <w:tcW w:w="2702" w:type="dxa"/>
            <w:noWrap w:val="0"/>
            <w:vAlign w:val="center"/>
          </w:tcPr>
          <w:p w14:paraId="66B19964">
            <w:pPr>
              <w:spacing w:line="260" w:lineRule="exact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对安全生产的检查</w:t>
            </w:r>
          </w:p>
        </w:tc>
      </w:tr>
    </w:tbl>
    <w:p w14:paraId="0ED68DCA"/>
    <w:sectPr>
      <w:headerReference r:id="rId3" w:type="default"/>
      <w:footerReference r:id="rId4" w:type="default"/>
      <w:footerReference r:id="rId5" w:type="even"/>
      <w:pgSz w:w="16838" w:h="11906" w:orient="landscape"/>
      <w:pgMar w:top="1588" w:right="2098" w:bottom="1474" w:left="1985" w:header="851" w:footer="1474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743AF3F3-53A0-475D-BF4D-5FDB953AB7C7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396864AB-151B-4864-9F64-E50D27054A3B}"/>
  </w:font>
  <w:font w:name="Droid Sa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  <w:embedRegular r:id="rId3" w:fontKey="{CFCD6546-76B1-412C-BA02-1F8CC0ED28C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B0833141-5F85-4D3D-9FE3-9970C19D1EF2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A7004C">
    <w:pPr>
      <w:pStyle w:val="5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67ED7A4C"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t>16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6pebnPAAAABQEAAA8AAAAAAAAAAQAgAAAAIgAAAGRycy9kb3ducmV2&#10;LnhtbFBLAQIUABQAAAAIAIdO4kAXSZTlzAEAAKcDAAAOAAAAAAAAAAEAIAAAAB4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7ED7A4C"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t>16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3807D0">
    <w:pPr>
      <w:pStyle w:val="5"/>
      <w:framePr w:wrap="around" w:vAnchor="text" w:hAnchor="margin" w:xAlign="outside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end"/>
    </w:r>
  </w:p>
  <w:p w14:paraId="0472D07B">
    <w:pPr>
      <w:pStyle w:val="5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257D1B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423809"/>
    <w:multiLevelType w:val="multilevel"/>
    <w:tmpl w:val="0A423809"/>
    <w:lvl w:ilvl="0" w:tentative="0">
      <w:start w:val="1"/>
      <w:numFmt w:val="decimal"/>
      <w:lvlText w:val="  %1"/>
      <w:lvlJc w:val="center"/>
      <w:pPr>
        <w:tabs>
          <w:tab w:val="left" w:pos="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E6F26"/>
    <w:rsid w:val="01ED7645"/>
    <w:rsid w:val="031B16CC"/>
    <w:rsid w:val="0370464D"/>
    <w:rsid w:val="05C649F8"/>
    <w:rsid w:val="07E06245"/>
    <w:rsid w:val="08410B94"/>
    <w:rsid w:val="086724C2"/>
    <w:rsid w:val="138E124B"/>
    <w:rsid w:val="1B2D39E1"/>
    <w:rsid w:val="1B356450"/>
    <w:rsid w:val="1F630BEF"/>
    <w:rsid w:val="21C271D4"/>
    <w:rsid w:val="26521189"/>
    <w:rsid w:val="34B27B0A"/>
    <w:rsid w:val="37AD13F0"/>
    <w:rsid w:val="39030F55"/>
    <w:rsid w:val="5AFC7E15"/>
    <w:rsid w:val="5F3F4774"/>
    <w:rsid w:val="607838FB"/>
    <w:rsid w:val="6183303E"/>
    <w:rsid w:val="649B244D"/>
    <w:rsid w:val="6F712A27"/>
    <w:rsid w:val="76EC08E6"/>
    <w:rsid w:val="77FF289B"/>
    <w:rsid w:val="7A4B0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Calibri" w:hAnsi="Calibri" w:cs="Droid Sans"/>
    </w:rPr>
  </w:style>
  <w:style w:type="paragraph" w:styleId="3">
    <w:name w:val="Body Text"/>
    <w:basedOn w:val="1"/>
    <w:unhideWhenUsed/>
    <w:qFormat/>
    <w:uiPriority w:val="0"/>
    <w:pPr>
      <w:spacing w:after="120"/>
    </w:pPr>
    <w:rPr>
      <w:szCs w:val="24"/>
    </w:rPr>
  </w:style>
  <w:style w:type="paragraph" w:styleId="4">
    <w:name w:val="Plain Text"/>
    <w:basedOn w:val="1"/>
    <w:unhideWhenUsed/>
    <w:qFormat/>
    <w:uiPriority w:val="0"/>
    <w:rPr>
      <w:rFonts w:ascii="宋体" w:hAnsi="Courier New" w:cs="Courier New"/>
      <w:szCs w:val="21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paragraph" w:customStyle="1" w:styleId="11">
    <w:name w:val="样式1"/>
    <w:qFormat/>
    <w:uiPriority w:val="0"/>
    <w:pPr>
      <w:widowControl w:val="0"/>
      <w:jc w:val="both"/>
    </w:pPr>
    <w:rPr>
      <w:rFonts w:ascii="Calibri" w:hAnsi="Calibri" w:eastAsia="宋体" w:cs="Times New Roman"/>
      <w:b/>
      <w:color w:val="538135"/>
      <w:kern w:val="2"/>
      <w:sz w:val="28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1137</Words>
  <Characters>1170</Characters>
  <Lines>0</Lines>
  <Paragraphs>0</Paragraphs>
  <TotalTime>2</TotalTime>
  <ScaleCrop>false</ScaleCrop>
  <LinksUpToDate>false</LinksUpToDate>
  <CharactersWithSpaces>1218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办公电脑</dc:creator>
  <cp:lastModifiedBy>涵团麻咪</cp:lastModifiedBy>
  <dcterms:modified xsi:type="dcterms:W3CDTF">2025-03-25T03:31:41Z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eyJoZGlkIjoiOTRlYjBiMGMwY2I2Y2FlMmJiMzFiZGQ0MjdmOTc4ZDYiLCJ1c2VySWQiOiI5MzIyMDYzODcifQ==</vt:lpwstr>
  </property>
  <property fmtid="{D5CDD505-2E9C-101B-9397-08002B2CF9AE}" pid="4" name="ICV">
    <vt:lpwstr>191A880FEB3044829E976FD8AAE049FE_12</vt:lpwstr>
  </property>
</Properties>
</file>