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both"/>
        <w:rPr>
          <w:rFonts w:hint="eastAsia" w:ascii="方正小标宋简体" w:hAnsi="方正小标宋简体" w:eastAsia="方正小标宋简体" w:cs="方正小标宋简体"/>
          <w:sz w:val="44"/>
          <w:szCs w:val="44"/>
        </w:rPr>
      </w:pPr>
      <w:bookmarkStart w:id="0" w:name="_GoBack"/>
      <w:bookmarkEnd w:id="0"/>
    </w:p>
    <w:p>
      <w:pPr>
        <w:widowControl/>
        <w:spacing w:line="576" w:lineRule="exact"/>
        <w:jc w:val="center"/>
        <w:rPr>
          <w:rFonts w:hint="eastAsia" w:ascii="方正小标宋简体" w:hAnsi="方正小标宋简体" w:eastAsia="方正小标宋简体" w:cs="方正小标宋简体"/>
          <w:sz w:val="44"/>
          <w:szCs w:val="44"/>
        </w:rPr>
      </w:pPr>
    </w:p>
    <w:p>
      <w:pPr>
        <w:widowControl/>
        <w:spacing w:line="576"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w:t>
      </w:r>
      <w:r>
        <w:rPr>
          <w:rFonts w:hint="eastAsia" w:ascii="方正小标宋简体" w:hAnsi="方正小标宋简体" w:eastAsia="方正小标宋简体" w:cs="方正小标宋简体"/>
          <w:sz w:val="44"/>
          <w:szCs w:val="44"/>
          <w:lang w:eastAsia="zh-CN"/>
        </w:rPr>
        <w:t>朝天区</w:t>
      </w:r>
      <w:r>
        <w:rPr>
          <w:rFonts w:hint="eastAsia" w:ascii="方正小标宋简体" w:hAnsi="方正小标宋简体" w:eastAsia="方正小标宋简体" w:cs="方正小标宋简体"/>
          <w:sz w:val="44"/>
          <w:szCs w:val="44"/>
        </w:rPr>
        <w:t>发展和改革</w:t>
      </w:r>
      <w:r>
        <w:rPr>
          <w:rFonts w:hint="eastAsia" w:ascii="方正小标宋简体" w:hAnsi="方正小标宋简体" w:eastAsia="方正小标宋简体" w:cs="方正小标宋简体"/>
          <w:sz w:val="44"/>
          <w:szCs w:val="44"/>
          <w:lang w:eastAsia="zh-CN"/>
        </w:rPr>
        <w:t>局</w:t>
      </w:r>
      <w:r>
        <w:rPr>
          <w:rFonts w:hint="eastAsia" w:ascii="方正小标宋简体" w:hAnsi="方正小标宋简体" w:eastAsia="方正小标宋简体" w:cs="方正小标宋简体"/>
          <w:sz w:val="44"/>
          <w:szCs w:val="44"/>
        </w:rPr>
        <w:t>行政执法</w:t>
      </w:r>
    </w:p>
    <w:p>
      <w:pPr>
        <w:widowControl/>
        <w:spacing w:line="576"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集中公示目录</w:t>
      </w:r>
    </w:p>
    <w:p>
      <w:pPr>
        <w:widowControl/>
        <w:spacing w:line="576" w:lineRule="exact"/>
        <w:ind w:firstLine="640" w:firstLineChars="200"/>
        <w:rPr>
          <w:rFonts w:hint="eastAsia" w:ascii="仿宋_GB2312" w:hAnsi="仿宋_GB2312" w:eastAsia="仿宋_GB2312" w:cs="仿宋_GB2312"/>
          <w:sz w:val="32"/>
          <w:szCs w:val="32"/>
        </w:rPr>
      </w:pP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行政执法主体</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行政执法人员清单</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行政执法权力、责任清单</w:t>
      </w:r>
    </w:p>
    <w:p>
      <w:pPr>
        <w:widowControl/>
        <w:spacing w:line="576" w:lineRule="exact"/>
        <w:ind w:firstLine="640" w:firstLineChars="200"/>
        <w:rPr>
          <w:rFonts w:hint="eastAsia" w:ascii="仿宋_GB2312" w:eastAsia="仿宋_GB2312"/>
          <w:w w:val="95"/>
          <w:sz w:val="32"/>
          <w:szCs w:val="32"/>
        </w:rPr>
      </w:pPr>
      <w:r>
        <w:rPr>
          <w:rFonts w:hint="eastAsia" w:ascii="仿宋_GB2312" w:hAnsi="仿宋_GB2312" w:eastAsia="仿宋_GB2312" w:cs="仿宋_GB2312"/>
          <w:sz w:val="32"/>
          <w:szCs w:val="32"/>
        </w:rPr>
        <w:t>四、广元市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w w:val="95"/>
          <w:sz w:val="32"/>
          <w:szCs w:val="32"/>
        </w:rPr>
        <w:t>重大行政执法审核目录清单</w:t>
      </w:r>
    </w:p>
    <w:p>
      <w:pPr>
        <w:widowControl/>
        <w:spacing w:line="576" w:lineRule="exact"/>
        <w:ind w:firstLine="640" w:firstLineChars="200"/>
        <w:rPr>
          <w:rFonts w:hint="eastAsia"/>
        </w:rPr>
      </w:pPr>
      <w:r>
        <w:rPr>
          <w:rFonts w:hint="eastAsia" w:ascii="仿宋_GB2312" w:hAnsi="仿宋_GB2312" w:eastAsia="仿宋_GB2312" w:cs="仿宋_GB2312"/>
          <w:sz w:val="32"/>
          <w:szCs w:val="32"/>
        </w:rPr>
        <w:t>五、广元市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 xml:space="preserve">行政执法（监督信息）救济渠道  </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行政执法自由裁量标准</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随机抽查事项清单、市场主体库、</w:t>
      </w:r>
      <w:r>
        <w:rPr>
          <w:rFonts w:hint="eastAsia" w:ascii="仿宋_GB2312" w:hAnsi="仿宋_GB2312" w:eastAsia="仿宋_GB2312" w:cs="仿宋_GB2312"/>
          <w:sz w:val="32"/>
          <w:szCs w:val="32"/>
          <w:lang w:eastAsia="zh-CN"/>
        </w:rPr>
        <w:t>2025</w:t>
      </w:r>
      <w:r>
        <w:rPr>
          <w:rFonts w:hint="eastAsia" w:ascii="仿宋_GB2312" w:hAnsi="仿宋_GB2312" w:eastAsia="仿宋_GB2312" w:cs="仿宋_GB2312"/>
          <w:sz w:val="32"/>
          <w:szCs w:val="32"/>
        </w:rPr>
        <w:t>年抽查计划</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行政执法文书样式、当事人权利义务</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上年度双随机抽查结果、行政许可和处罚决定、上年度本机关行政执法数据总体情况</w:t>
      </w:r>
    </w:p>
    <w:p>
      <w:pPr>
        <w:widowControl/>
        <w:spacing w:line="576" w:lineRule="exact"/>
        <w:jc w:val="center"/>
        <w:rPr>
          <w:rFonts w:hint="eastAsia" w:ascii="仿宋_GB2312" w:hAnsi="仿宋_GB2312" w:eastAsia="仿宋_GB2312" w:cs="仿宋_GB2312"/>
          <w:w w:val="95"/>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w w:val="95"/>
          <w:sz w:val="32"/>
          <w:szCs w:val="32"/>
        </w:rPr>
        <w:t>实行</w:t>
      </w:r>
      <w:r>
        <w:rPr>
          <w:rFonts w:hint="eastAsia" w:ascii="仿宋_GB2312" w:hAnsi="仿宋_GB2312" w:eastAsia="仿宋_GB2312" w:cs="仿宋_GB2312"/>
          <w:w w:val="95"/>
          <w:sz w:val="32"/>
          <w:szCs w:val="32"/>
          <w:lang w:eastAsia="zh-CN"/>
        </w:rPr>
        <w:t>行政执法“三项制度”</w:t>
      </w:r>
      <w:r>
        <w:rPr>
          <w:rFonts w:hint="eastAsia" w:ascii="仿宋_GB2312" w:hAnsi="仿宋_GB2312" w:eastAsia="仿宋_GB2312" w:cs="仿宋_GB2312"/>
          <w:w w:val="95"/>
          <w:sz w:val="32"/>
          <w:szCs w:val="32"/>
        </w:rPr>
        <w:t>方案</w:t>
      </w:r>
    </w:p>
    <w:p>
      <w:pPr>
        <w:widowControl/>
        <w:spacing w:line="576" w:lineRule="exact"/>
        <w:ind w:firstLine="608"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w w:val="95"/>
          <w:sz w:val="32"/>
          <w:szCs w:val="32"/>
          <w:lang w:eastAsia="zh-CN"/>
        </w:rPr>
        <w:t>十一、</w:t>
      </w:r>
      <w:r>
        <w:rPr>
          <w:rFonts w:hint="eastAsia" w:ascii="仿宋_GB2312" w:hAnsi="仿宋_GB2312" w:eastAsia="仿宋_GB2312" w:cs="仿宋_GB2312"/>
          <w:sz w:val="32"/>
          <w:szCs w:val="32"/>
        </w:rPr>
        <w:t>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局“一目录，五清单”</w:t>
      </w:r>
    </w:p>
    <w:p>
      <w:pPr>
        <w:widowControl/>
        <w:spacing w:line="576" w:lineRule="exact"/>
        <w:ind w:firstLine="640" w:firstLineChars="200"/>
        <w:jc w:val="both"/>
        <w:rPr>
          <w:rFonts w:hint="eastAsia" w:ascii="方正小标宋简体" w:hAnsi="方正小标宋简体" w:eastAsia="方正小标宋简体" w:cs="方正小标宋简体"/>
          <w:sz w:val="36"/>
          <w:szCs w:val="36"/>
        </w:rPr>
      </w:pPr>
      <w:r>
        <w:rPr>
          <w:rFonts w:hint="eastAsia" w:ascii="仿宋_GB2312" w:hAnsi="仿宋_GB2312" w:eastAsia="仿宋_GB2312" w:cs="仿宋_GB2312"/>
          <w:sz w:val="32"/>
          <w:szCs w:val="32"/>
          <w:lang w:eastAsia="zh-CN"/>
        </w:rPr>
        <w:t>十二、</w:t>
      </w:r>
      <w:r>
        <w:rPr>
          <w:rFonts w:hint="eastAsia" w:ascii="仿宋_GB2312" w:hAnsi="仿宋_GB2312" w:eastAsia="仿宋_GB2312" w:cs="仿宋_GB2312"/>
          <w:sz w:val="32"/>
          <w:szCs w:val="32"/>
        </w:rPr>
        <w:t>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局行政执法事项目录</w:t>
      </w:r>
      <w:r>
        <w:rPr>
          <w:rFonts w:hint="eastAsia" w:ascii="仿宋_GB2312" w:hAnsi="仿宋_GB2312" w:eastAsia="仿宋_GB2312" w:cs="仿宋_GB2312"/>
          <w:sz w:val="32"/>
          <w:szCs w:val="32"/>
        </w:rPr>
        <w:br w:type="page"/>
      </w:r>
      <w:r>
        <w:rPr>
          <w:rFonts w:hint="eastAsia" w:ascii="方正小标宋简体" w:hAnsi="方正小标宋简体" w:eastAsia="方正小标宋简体" w:cs="方正小标宋简体"/>
          <w:sz w:val="44"/>
          <w:szCs w:val="44"/>
        </w:rPr>
        <w:t>广元市</w:t>
      </w:r>
      <w:r>
        <w:rPr>
          <w:rFonts w:hint="eastAsia" w:ascii="方正小标宋简体" w:hAnsi="方正小标宋简体" w:eastAsia="方正小标宋简体" w:cs="方正小标宋简体"/>
          <w:sz w:val="44"/>
          <w:szCs w:val="44"/>
          <w:lang w:eastAsia="zh-CN"/>
        </w:rPr>
        <w:t>朝天区</w:t>
      </w:r>
      <w:r>
        <w:rPr>
          <w:rFonts w:hint="eastAsia" w:ascii="方正小标宋简体" w:hAnsi="方正小标宋简体" w:eastAsia="方正小标宋简体" w:cs="方正小标宋简体"/>
          <w:sz w:val="44"/>
          <w:szCs w:val="44"/>
        </w:rPr>
        <w:t>发展和改革</w:t>
      </w:r>
      <w:r>
        <w:rPr>
          <w:rFonts w:hint="eastAsia" w:ascii="方正小标宋简体" w:hAnsi="方正小标宋简体" w:eastAsia="方正小标宋简体" w:cs="方正小标宋简体"/>
          <w:sz w:val="44"/>
          <w:szCs w:val="44"/>
          <w:lang w:eastAsia="zh-CN"/>
        </w:rPr>
        <w:t>局</w:t>
      </w:r>
      <w:r>
        <w:rPr>
          <w:rFonts w:hint="eastAsia" w:ascii="方正小标宋简体" w:hAnsi="方正小标宋简体" w:eastAsia="方正小标宋简体" w:cs="方正小标宋简体"/>
          <w:sz w:val="44"/>
          <w:szCs w:val="44"/>
        </w:rPr>
        <w:t>行政执法集中内容公示</w:t>
      </w:r>
    </w:p>
    <w:p>
      <w:pPr>
        <w:widowControl/>
        <w:spacing w:line="576" w:lineRule="exact"/>
        <w:ind w:firstLine="640" w:firstLineChars="200"/>
        <w:rPr>
          <w:rFonts w:hint="eastAsia" w:ascii="黑体" w:hAnsi="黑体" w:eastAsia="黑体" w:cs="黑体"/>
          <w:sz w:val="32"/>
          <w:szCs w:val="32"/>
        </w:rPr>
      </w:pPr>
    </w:p>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行政执法主体</w:t>
      </w:r>
    </w:p>
    <w:p>
      <w:pPr>
        <w:pStyle w:val="15"/>
        <w:widowControl/>
        <w:spacing w:line="576" w:lineRule="exact"/>
      </w:pPr>
      <w:r>
        <w:rPr>
          <w:rFonts w:hint="eastAsia" w:ascii="仿宋_GB2312" w:hAnsi="仿宋_GB2312" w:eastAsia="仿宋_GB2312" w:cs="仿宋_GB2312"/>
          <w:sz w:val="32"/>
          <w:szCs w:val="32"/>
        </w:rPr>
        <w:t xml:space="preserve">广元市司法局  </w:t>
      </w:r>
      <w:r>
        <w:t>窗体顶端</w:t>
      </w:r>
    </w:p>
    <w:p>
      <w:pPr>
        <w:widowControl/>
        <w:spacing w:line="576"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发展和改革</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 xml:space="preserve">    地址:</w:t>
      </w:r>
      <w:r>
        <w:rPr>
          <w:rFonts w:hint="eastAsia" w:ascii="方正仿宋简体" w:hAnsi="Arial" w:eastAsia="方正仿宋简体" w:cs="Arial"/>
          <w:color w:val="000000"/>
          <w:kern w:val="0"/>
          <w:sz w:val="32"/>
          <w:szCs w:val="32"/>
          <w:lang w:val="en-US" w:eastAsia="zh-CN"/>
        </w:rPr>
        <w:t xml:space="preserve">区行政中心11楼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邮编:6280</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 xml:space="preserve">  电话0839-</w:t>
      </w:r>
      <w:r>
        <w:rPr>
          <w:rFonts w:hint="eastAsia" w:ascii="仿宋_GB2312" w:hAnsi="仿宋_GB2312" w:eastAsia="仿宋_GB2312" w:cs="仿宋_GB2312"/>
          <w:sz w:val="32"/>
          <w:szCs w:val="32"/>
          <w:lang w:val="en-US" w:eastAsia="zh-CN"/>
        </w:rPr>
        <w:t>8622277</w:t>
      </w:r>
      <w:r>
        <w:rPr>
          <w:rFonts w:hint="eastAsia" w:ascii="仿宋_GB2312" w:hAnsi="仿宋_GB2312" w:eastAsia="仿宋_GB2312" w:cs="仿宋_GB2312"/>
          <w:sz w:val="32"/>
          <w:szCs w:val="32"/>
        </w:rPr>
        <w:t xml:space="preserve">   传真:0839-</w:t>
      </w:r>
      <w:r>
        <w:rPr>
          <w:rFonts w:hint="eastAsia" w:ascii="仿宋_GB2312" w:hAnsi="仿宋_GB2312" w:eastAsia="仿宋_GB2312" w:cs="仿宋_GB2312"/>
          <w:sz w:val="32"/>
          <w:szCs w:val="32"/>
          <w:lang w:val="en-US" w:eastAsia="zh-CN"/>
        </w:rPr>
        <w:t>8622277</w:t>
      </w:r>
    </w:p>
    <w:p>
      <w:pPr>
        <w:pStyle w:val="16"/>
        <w:widowControl/>
        <w:spacing w:line="576" w:lineRule="exact"/>
      </w:pPr>
      <w:r>
        <w:t>窗体底端</w:t>
      </w:r>
    </w:p>
    <w:p>
      <w:pPr>
        <w:pStyle w:val="15"/>
        <w:widowControl/>
        <w:spacing w:line="576" w:lineRule="exact"/>
      </w:pPr>
      <w:r>
        <w:t>窗体顶端</w:t>
      </w:r>
    </w:p>
    <w:p>
      <w:pPr>
        <w:widowControl/>
        <w:spacing w:line="576" w:lineRule="exact"/>
        <w:ind w:firstLine="642"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行政执法机构设置3个</w:t>
      </w:r>
      <w:r>
        <w:rPr>
          <w:rFonts w:hint="eastAsia" w:ascii="仿宋_GB2312" w:hAnsi="仿宋_GB2312" w:eastAsia="仿宋_GB2312" w:cs="仿宋_GB2312"/>
          <w:sz w:val="32"/>
          <w:szCs w:val="32"/>
        </w:rPr>
        <w:t>：</w:t>
      </w:r>
    </w:p>
    <w:p>
      <w:pPr>
        <w:widowControl/>
        <w:spacing w:line="576" w:lineRule="exact"/>
        <w:ind w:firstLine="642" w:firstLineChars="200"/>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val="en-US" w:eastAsia="zh-CN"/>
        </w:rPr>
        <w:t>政策法规和</w:t>
      </w:r>
      <w:r>
        <w:rPr>
          <w:rFonts w:hint="eastAsia" w:ascii="楷体_GB2312" w:hAnsi="楷体_GB2312" w:eastAsia="楷体_GB2312" w:cs="楷体_GB2312"/>
          <w:b/>
          <w:bCs/>
          <w:sz w:val="32"/>
          <w:szCs w:val="32"/>
        </w:rPr>
        <w:t>招投标管理</w:t>
      </w:r>
      <w:r>
        <w:rPr>
          <w:rFonts w:hint="eastAsia" w:ascii="楷体_GB2312" w:hAnsi="楷体_GB2312" w:eastAsia="楷体_GB2312" w:cs="楷体_GB2312"/>
          <w:b/>
          <w:bCs/>
          <w:sz w:val="32"/>
          <w:szCs w:val="32"/>
          <w:lang w:eastAsia="zh-CN"/>
        </w:rPr>
        <w:t>股</w:t>
      </w:r>
    </w:p>
    <w:p>
      <w:pPr>
        <w:widowControl/>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主要职责：对全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工程建设项目招标投标工作进行指导、协调和监督。综合管理招标投标（比选）活动；按照权限核准招标事项，负责工程建设项目招标文件的审查和备案，监督招标投标活动，受理相关投诉，调查违规行为；统筹监督国家投资建设项目招标投标合同的执行情况并组织后评估工作；协助管理评标专家；组织协调招标投标信用体系建设，建立招标投标领域相关中介咨询机构的协调管理机制；承担广元市</w:t>
      </w:r>
      <w:r>
        <w:rPr>
          <w:rFonts w:hint="eastAsia" w:ascii="仿宋_GB2312" w:hAnsi="仿宋_GB2312" w:eastAsia="仿宋_GB2312" w:cs="仿宋_GB2312"/>
          <w:sz w:val="32"/>
          <w:szCs w:val="32"/>
          <w:lang w:eastAsia="zh-CN"/>
        </w:rPr>
        <w:t>朝天区</w:t>
      </w:r>
      <w:r>
        <w:rPr>
          <w:rFonts w:hint="eastAsia" w:ascii="仿宋_GB2312" w:hAnsi="仿宋_GB2312" w:eastAsia="仿宋_GB2312" w:cs="仿宋_GB2312"/>
          <w:sz w:val="32"/>
          <w:szCs w:val="32"/>
        </w:rPr>
        <w:t xml:space="preserve">建设项目招投标办公室的具体工作。 </w:t>
      </w:r>
    </w:p>
    <w:p>
      <w:pPr>
        <w:widowControl/>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室负责人：</w:t>
      </w:r>
      <w:r>
        <w:rPr>
          <w:rFonts w:hint="eastAsia" w:ascii="仿宋_GB2312" w:hAnsi="仿宋_GB2312" w:eastAsia="仿宋_GB2312" w:cs="仿宋_GB2312"/>
          <w:sz w:val="32"/>
          <w:szCs w:val="32"/>
          <w:lang w:val="en-US" w:eastAsia="zh-CN"/>
        </w:rPr>
        <w:t>李直</w:t>
      </w: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18981279896</w:t>
      </w:r>
    </w:p>
    <w:p>
      <w:pPr>
        <w:spacing w:line="600" w:lineRule="exact"/>
        <w:ind w:firstLine="642" w:firstLineChars="200"/>
        <w:jc w:val="both"/>
        <w:rPr>
          <w:rFonts w:hint="eastAsia" w:ascii="仿宋_GB2312" w:hAnsi="仿宋_GB2312" w:eastAsia="仿宋_GB2312" w:cs="仿宋_GB2312"/>
          <w:sz w:val="32"/>
          <w:szCs w:val="32"/>
        </w:rPr>
      </w:pPr>
      <w:r>
        <w:rPr>
          <w:rFonts w:hint="eastAsia" w:ascii="仿宋_GB2312" w:eastAsia="仿宋_GB2312"/>
          <w:b/>
          <w:sz w:val="32"/>
          <w:szCs w:val="32"/>
          <w:lang w:val="en-US" w:eastAsia="zh-CN"/>
        </w:rPr>
        <w:t>物资储备和监督检查股</w:t>
      </w:r>
      <w:r>
        <w:rPr>
          <w:rFonts w:hint="eastAsia" w:ascii="仿宋_GB2312" w:hAnsi="仿宋_GB2312" w:eastAsia="仿宋_GB2312" w:cs="仿宋_GB2312"/>
          <w:sz w:val="32"/>
          <w:szCs w:val="32"/>
        </w:rPr>
        <w:t>：</w:t>
      </w:r>
    </w:p>
    <w:p>
      <w:pPr>
        <w:spacing w:line="60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主要职责：负责粮食流通的行业监督管理；起草全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 xml:space="preserve">粮食流通和储备粮管理的政策规定，制定粮食流通、库存监督检查等相关管理制度；监督检查粮食流通法律法规、政策制度的执行情况；协助在朝天裕宏粮油购销公司，广储粮油粮食管理的监督检查工作；承担全区粮食库存检查工作；监督粮食购销活动；承担粮食安全省长责任制考核日常工作。 </w:t>
      </w:r>
    </w:p>
    <w:p>
      <w:pPr>
        <w:spacing w:line="60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股室负责人：（</w:t>
      </w:r>
      <w:r>
        <w:rPr>
          <w:rFonts w:hint="eastAsia" w:ascii="仿宋_GB2312" w:hAnsi="仿宋_GB2312" w:eastAsia="仿宋_GB2312" w:cs="仿宋_GB2312"/>
          <w:sz w:val="32"/>
          <w:szCs w:val="32"/>
          <w:lang w:val="en-US" w:eastAsia="zh-CN"/>
        </w:rPr>
        <w:t>袁浩</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15883500007</w:t>
      </w:r>
    </w:p>
    <w:p>
      <w:pPr>
        <w:widowControl/>
        <w:spacing w:line="576" w:lineRule="exact"/>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物价管理股</w:t>
      </w:r>
    </w:p>
    <w:p>
      <w:pPr>
        <w:widowControl/>
        <w:spacing w:line="576" w:lineRule="exact"/>
        <w:ind w:firstLine="640" w:firstLineChars="200"/>
        <w:rPr>
          <w:rFonts w:hint="eastAsia" w:eastAsia="仿宋_GB2312"/>
          <w:sz w:val="32"/>
          <w:szCs w:val="32"/>
        </w:rPr>
      </w:pPr>
      <w:r>
        <w:rPr>
          <w:rFonts w:hint="eastAsia" w:eastAsia="仿宋_GB2312"/>
          <w:sz w:val="32"/>
          <w:szCs w:val="32"/>
        </w:rPr>
        <w:t>负责拟订成本工作相关政策并组织实施，对列入政府定价成本监审目录、价格听证目录的商品和服务实施定价成本监审，对依法采取临时价格干预措施的商品和服务进行成本监审；负责农产品成本收益调查、重要商品和服务成本调查，核算重要商品和服务的社会平均成本、利润水平并向社会公布；负责暴利、低价倾销和价格垄断等价格违法行为处罚中的成本确认；监测全</w:t>
      </w:r>
      <w:r>
        <w:rPr>
          <w:rFonts w:hint="eastAsia" w:eastAsia="仿宋_GB2312"/>
          <w:sz w:val="32"/>
          <w:szCs w:val="32"/>
          <w:lang w:eastAsia="zh-CN"/>
        </w:rPr>
        <w:t>区</w:t>
      </w:r>
      <w:r>
        <w:rPr>
          <w:rFonts w:hint="eastAsia" w:eastAsia="仿宋_GB2312"/>
          <w:sz w:val="32"/>
          <w:szCs w:val="32"/>
        </w:rPr>
        <w:t>重要商品和服务价格，开展专项调查，掌握重要商品供求和服务价格变动情况，跟踪反馈重要经济政策在价格领域的反映，预测预警市场价格运行情况并提出政策建议；针对市场重要商品和服务价格异常波动开展应急监测；负责全</w:t>
      </w:r>
      <w:r>
        <w:rPr>
          <w:rFonts w:hint="eastAsia" w:eastAsia="仿宋_GB2312"/>
          <w:sz w:val="32"/>
          <w:szCs w:val="32"/>
          <w:lang w:eastAsia="zh-CN"/>
        </w:rPr>
        <w:t>区</w:t>
      </w:r>
      <w:r>
        <w:rPr>
          <w:rFonts w:hint="eastAsia" w:eastAsia="仿宋_GB2312"/>
          <w:sz w:val="32"/>
          <w:szCs w:val="32"/>
        </w:rPr>
        <w:t>价格认定工作的指导、协调和监督管理。</w:t>
      </w:r>
    </w:p>
    <w:p>
      <w:pPr>
        <w:widowControl/>
        <w:spacing w:line="576" w:lineRule="exact"/>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室负责人：</w:t>
      </w:r>
      <w:r>
        <w:rPr>
          <w:rFonts w:hint="eastAsia" w:ascii="仿宋_GB2312" w:hAnsi="仿宋_GB2312" w:eastAsia="仿宋_GB2312" w:cs="仿宋_GB2312"/>
          <w:sz w:val="32"/>
          <w:szCs w:val="32"/>
          <w:lang w:val="en-US" w:eastAsia="zh-CN"/>
        </w:rPr>
        <w:t xml:space="preserve">杨富根    </w:t>
      </w:r>
      <w:r>
        <w:rPr>
          <w:rFonts w:hint="eastAsia" w:ascii="仿宋_GB2312" w:hAnsi="仿宋_GB2312" w:eastAsia="仿宋_GB2312" w:cs="仿宋_GB2312"/>
          <w:sz w:val="32"/>
          <w:szCs w:val="32"/>
        </w:rPr>
        <w:t xml:space="preserve"> 联系电话：</w:t>
      </w:r>
      <w:r>
        <w:rPr>
          <w:rFonts w:hint="eastAsia" w:ascii="仿宋_GB2312" w:hAnsi="仿宋_GB2312" w:eastAsia="仿宋_GB2312" w:cs="仿宋_GB2312"/>
          <w:sz w:val="32"/>
          <w:szCs w:val="32"/>
          <w:lang w:val="en-US" w:eastAsia="zh-CN"/>
        </w:rPr>
        <w:t>18080757118</w:t>
      </w:r>
      <w:r>
        <w:rPr>
          <w:rFonts w:hint="eastAsia" w:ascii="仿宋_GB2312" w:hAnsi="仿宋_GB2312" w:eastAsia="仿宋_GB2312" w:cs="仿宋_GB2312"/>
          <w:sz w:val="32"/>
          <w:szCs w:val="32"/>
        </w:rPr>
        <w:t xml:space="preserve">   </w:t>
      </w:r>
    </w:p>
    <w:p>
      <w:pPr>
        <w:pStyle w:val="16"/>
        <w:widowControl/>
        <w:spacing w:line="576" w:lineRule="exact"/>
      </w:pPr>
      <w:r>
        <w:t>窗体底端</w:t>
      </w:r>
    </w:p>
    <w:p>
      <w:pPr>
        <w:widowControl/>
        <w:spacing w:line="576" w:lineRule="exact"/>
        <w:ind w:firstLine="640" w:firstLineChars="200"/>
        <w:rPr>
          <w:rFonts w:hint="eastAsia" w:ascii="黑体" w:hAnsi="黑体" w:eastAsia="黑体" w:cs="黑体"/>
          <w:sz w:val="32"/>
          <w:szCs w:val="32"/>
        </w:rPr>
      </w:pPr>
    </w:p>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行政执法人员清单</w:t>
      </w:r>
    </w:p>
    <w:tbl>
      <w:tblPr>
        <w:tblStyle w:val="8"/>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397"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黑体" w:hAnsi="黑体" w:eastAsia="黑体" w:cs="黑体"/>
                <w:b/>
                <w:bCs/>
                <w:color w:val="000000"/>
                <w:sz w:val="28"/>
                <w:szCs w:val="28"/>
              </w:rPr>
            </w:pPr>
            <w:r>
              <w:rPr>
                <w:rFonts w:hint="eastAsia" w:ascii="黑体" w:hAnsi="黑体" w:eastAsia="黑体" w:cs="黑体"/>
                <w:b/>
                <w:bCs/>
                <w:color w:val="000000"/>
                <w:kern w:val="0"/>
                <w:sz w:val="28"/>
                <w:szCs w:val="28"/>
                <w:lang w:bidi="ar"/>
              </w:rPr>
              <w:t>序号</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黑体" w:hAnsi="黑体" w:eastAsia="黑体" w:cs="黑体"/>
                <w:b/>
                <w:bCs/>
                <w:color w:val="000000"/>
                <w:sz w:val="28"/>
                <w:szCs w:val="28"/>
              </w:rPr>
            </w:pPr>
            <w:r>
              <w:rPr>
                <w:rFonts w:hint="eastAsia" w:ascii="黑体" w:hAnsi="黑体" w:eastAsia="黑体" w:cs="黑体"/>
                <w:b/>
                <w:bCs/>
                <w:color w:val="000000"/>
                <w:kern w:val="0"/>
                <w:sz w:val="28"/>
                <w:szCs w:val="28"/>
                <w:lang w:bidi="ar"/>
              </w:rPr>
              <w:t>姓  名</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黑体" w:hAnsi="黑体" w:eastAsia="黑体" w:cs="黑体"/>
                <w:b/>
                <w:bCs/>
                <w:color w:val="000000"/>
                <w:sz w:val="28"/>
                <w:szCs w:val="28"/>
              </w:rPr>
            </w:pPr>
            <w:r>
              <w:rPr>
                <w:rFonts w:hint="eastAsia" w:ascii="黑体" w:hAnsi="黑体" w:eastAsia="黑体" w:cs="黑体"/>
                <w:b/>
                <w:bCs/>
                <w:color w:val="000000"/>
                <w:kern w:val="0"/>
                <w:sz w:val="28"/>
                <w:szCs w:val="28"/>
                <w:lang w:bidi="ar"/>
              </w:rPr>
              <w:t>证件编号</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1</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付</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t>莉</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default" w:ascii="仿宋_GB2312" w:hAnsi="仿宋_GB2312" w:eastAsia="仿宋_GB2312" w:cs="仿宋_GB2312"/>
                <w:color w:val="000000"/>
                <w:kern w:val="0"/>
                <w:sz w:val="28"/>
                <w:szCs w:val="28"/>
                <w:lang w:val="en-US" w:eastAsia="zh-CN" w:bidi="ar"/>
              </w:rPr>
              <w:t>2307060302</w:t>
            </w:r>
            <w:r>
              <w:rPr>
                <w:rFonts w:hint="eastAsia" w:ascii="仿宋_GB2312" w:hAnsi="仿宋_GB2312" w:eastAsia="仿宋_GB2312" w:cs="仿宋_GB2312"/>
                <w:color w:val="000000"/>
                <w:kern w:val="0"/>
                <w:sz w:val="28"/>
                <w:szCs w:val="28"/>
                <w:lang w:val="en-US" w:eastAsia="zh-CN" w:bidi="ar"/>
              </w:rPr>
              <w:t>4</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bidi="ar"/>
              </w:rPr>
              <w:t>2</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赵晓红</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default" w:ascii="仿宋_GB2312" w:hAnsi="仿宋_GB2312" w:eastAsia="仿宋_GB2312" w:cs="仿宋_GB2312"/>
                <w:color w:val="000000"/>
                <w:kern w:val="0"/>
                <w:sz w:val="28"/>
                <w:szCs w:val="28"/>
                <w:lang w:val="en-US" w:eastAsia="zh-CN" w:bidi="ar"/>
              </w:rPr>
              <w:t>23070603023</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bidi="ar"/>
              </w:rPr>
              <w:t>3</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高</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t>川</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default" w:ascii="仿宋_GB2312" w:hAnsi="仿宋_GB2312" w:eastAsia="仿宋_GB2312" w:cs="仿宋_GB2312"/>
                <w:color w:val="000000"/>
                <w:kern w:val="0"/>
                <w:sz w:val="28"/>
                <w:szCs w:val="28"/>
                <w:lang w:val="en-US" w:eastAsia="zh-CN" w:bidi="ar"/>
              </w:rPr>
              <w:t>2307060302</w:t>
            </w:r>
            <w:r>
              <w:rPr>
                <w:rFonts w:hint="eastAsia" w:ascii="仿宋_GB2312" w:hAnsi="仿宋_GB2312" w:eastAsia="仿宋_GB2312" w:cs="仿宋_GB2312"/>
                <w:color w:val="000000"/>
                <w:kern w:val="0"/>
                <w:sz w:val="28"/>
                <w:szCs w:val="28"/>
                <w:lang w:val="en-US" w:eastAsia="zh-CN" w:bidi="ar"/>
              </w:rPr>
              <w:t>2</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lang w:bidi="ar"/>
              </w:rPr>
              <w:t>4</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李</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t>直</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23070603021</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5</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 xml:space="preserve"> 袁清剑</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川</w:t>
            </w:r>
            <w:r>
              <w:rPr>
                <w:rFonts w:hint="eastAsia" w:ascii="仿宋_GB2312" w:hAnsi="仿宋_GB2312" w:eastAsia="仿宋_GB2312" w:cs="仿宋_GB2312"/>
                <w:color w:val="000000"/>
                <w:kern w:val="0"/>
                <w:sz w:val="28"/>
                <w:szCs w:val="28"/>
                <w:lang w:val="en-US" w:eastAsia="zh-CN" w:bidi="ar"/>
              </w:rPr>
              <w:t>HD40110207</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6</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刘 玮</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23070603025</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7</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田兴斌</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eastAsia="zh-CN" w:bidi="ar"/>
              </w:rPr>
            </w:pPr>
            <w:r>
              <w:rPr>
                <w:rFonts w:hint="eastAsia" w:ascii="仿宋_GB2312" w:hAnsi="仿宋_GB2312" w:eastAsia="仿宋_GB2312" w:cs="仿宋_GB2312"/>
                <w:color w:val="000000"/>
                <w:kern w:val="0"/>
                <w:sz w:val="28"/>
                <w:szCs w:val="28"/>
                <w:lang w:eastAsia="zh-CN" w:bidi="ar"/>
              </w:rPr>
              <w:t>23070603</w:t>
            </w:r>
            <w:r>
              <w:rPr>
                <w:rFonts w:hint="eastAsia" w:ascii="仿宋_GB2312" w:hAnsi="仿宋_GB2312" w:eastAsia="仿宋_GB2312" w:cs="仿宋_GB2312"/>
                <w:color w:val="000000"/>
                <w:kern w:val="0"/>
                <w:sz w:val="28"/>
                <w:szCs w:val="28"/>
                <w:lang w:val="en-US" w:eastAsia="zh-CN" w:bidi="ar"/>
              </w:rPr>
              <w:t>028</w:t>
            </w:r>
          </w:p>
        </w:tc>
      </w:tr>
      <w:tr>
        <w:tblPrEx>
          <w:tblCellMar>
            <w:top w:w="0" w:type="dxa"/>
            <w:left w:w="0" w:type="dxa"/>
            <w:bottom w:w="0" w:type="dxa"/>
            <w:right w:w="0" w:type="dxa"/>
          </w:tblCellMar>
        </w:tblPrEx>
        <w:trPr>
          <w:trHeight w:val="454" w:hRule="atLeast"/>
        </w:trPr>
        <w:tc>
          <w:tcPr>
            <w:tcW w:w="1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bottom"/>
          </w:tcPr>
          <w:p>
            <w:pPr>
              <w:widowControl/>
              <w:snapToGrid w:val="0"/>
              <w:spacing w:line="240" w:lineRule="atLeast"/>
              <w:jc w:val="center"/>
              <w:textAlignment w:val="bottom"/>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8</w:t>
            </w:r>
          </w:p>
        </w:tc>
        <w:tc>
          <w:tcPr>
            <w:tcW w:w="24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高文强</w:t>
            </w:r>
          </w:p>
        </w:tc>
        <w:tc>
          <w:tcPr>
            <w:tcW w:w="42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napToGrid w:val="0"/>
              <w:spacing w:line="240" w:lineRule="atLeast"/>
              <w:jc w:val="center"/>
              <w:textAlignment w:val="bottom"/>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eastAsia="zh-CN" w:bidi="ar"/>
              </w:rPr>
              <w:t>23070603</w:t>
            </w:r>
            <w:r>
              <w:rPr>
                <w:rFonts w:hint="eastAsia" w:ascii="仿宋_GB2312" w:hAnsi="仿宋_GB2312" w:eastAsia="仿宋_GB2312" w:cs="仿宋_GB2312"/>
                <w:color w:val="000000"/>
                <w:kern w:val="0"/>
                <w:sz w:val="28"/>
                <w:szCs w:val="28"/>
                <w:lang w:val="en-US" w:eastAsia="zh-CN" w:bidi="ar"/>
              </w:rPr>
              <w:t>026</w:t>
            </w:r>
          </w:p>
        </w:tc>
      </w:tr>
    </w:tbl>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行政执法权力、责任清单</w:t>
      </w:r>
    </w:p>
    <w:p>
      <w:pPr>
        <w:widowControl/>
        <w:spacing w:line="576" w:lineRule="exact"/>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sz w:val="32"/>
          <w:szCs w:val="32"/>
        </w:rPr>
        <w:t xml:space="preserve">四川政务服务网（含行政执法权力及责任事项的权限、职责、服务指南、法定依据、流程图、程序） </w:t>
      </w:r>
    </w:p>
    <w:p>
      <w:pPr>
        <w:widowControl/>
        <w:spacing w:line="576"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fldChar w:fldCharType="begin"/>
      </w:r>
      <w:r>
        <w:rPr>
          <w:rFonts w:hint="eastAsia" w:ascii="仿宋_GB2312" w:hAnsi="仿宋_GB2312" w:eastAsia="仿宋_GB2312" w:cs="仿宋_GB2312"/>
          <w:color w:val="auto"/>
          <w:sz w:val="32"/>
          <w:szCs w:val="32"/>
          <w:highlight w:val="none"/>
          <w:u w:val="none"/>
        </w:rPr>
        <w:instrText xml:space="preserve"> HYPERLINK "http://gysctq.sczwfw.gov.cn/app/qixianShop/11258?areaId=1021&amp;areaCode=510812000000" </w:instrText>
      </w:r>
      <w:r>
        <w:rPr>
          <w:rFonts w:hint="eastAsia" w:ascii="仿宋_GB2312" w:hAnsi="仿宋_GB2312" w:eastAsia="仿宋_GB2312" w:cs="仿宋_GB2312"/>
          <w:color w:val="auto"/>
          <w:sz w:val="32"/>
          <w:szCs w:val="32"/>
          <w:highlight w:val="none"/>
          <w:u w:val="none"/>
        </w:rPr>
        <w:fldChar w:fldCharType="separate"/>
      </w:r>
      <w:r>
        <w:rPr>
          <w:rStyle w:val="12"/>
          <w:rFonts w:hint="eastAsia" w:ascii="仿宋_GB2312" w:hAnsi="仿宋_GB2312" w:eastAsia="仿宋_GB2312" w:cs="仿宋_GB2312"/>
          <w:color w:val="auto"/>
          <w:sz w:val="32"/>
          <w:szCs w:val="32"/>
          <w:highlight w:val="none"/>
        </w:rPr>
        <w:t>http://gysctq.sczwfw.gov.cn/app/qixianShop/11258?areaId=1021&amp;areaCode=510812000000</w:t>
      </w:r>
      <w:r>
        <w:rPr>
          <w:rFonts w:hint="eastAsia" w:ascii="仿宋_GB2312" w:hAnsi="仿宋_GB2312" w:eastAsia="仿宋_GB2312" w:cs="仿宋_GB2312"/>
          <w:color w:val="auto"/>
          <w:sz w:val="32"/>
          <w:szCs w:val="32"/>
          <w:highlight w:val="none"/>
          <w:u w:val="none"/>
        </w:rPr>
        <w:fldChar w:fldCharType="end"/>
      </w:r>
    </w:p>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重大行政执法审核目录清单（共3项）</w:t>
      </w:r>
    </w:p>
    <w:p>
      <w:pPr>
        <w:widowControl/>
        <w:spacing w:line="576" w:lineRule="exact"/>
        <w:ind w:firstLine="642" w:firstLineChars="200"/>
        <w:rPr>
          <w:rFonts w:ascii="仿宋_GB2312" w:eastAsia="仿宋_GB2312"/>
          <w:sz w:val="32"/>
          <w:szCs w:val="32"/>
        </w:rPr>
      </w:pPr>
      <w:r>
        <w:rPr>
          <w:rFonts w:hint="eastAsia" w:ascii="仿宋_GB2312" w:eastAsia="仿宋_GB2312"/>
          <w:b/>
          <w:bCs/>
          <w:sz w:val="32"/>
          <w:szCs w:val="32"/>
          <w:lang w:eastAsia="zh-CN"/>
        </w:rPr>
        <w:t>（一）</w:t>
      </w:r>
      <w:r>
        <w:rPr>
          <w:rFonts w:hint="eastAsia" w:ascii="仿宋_GB2312" w:eastAsia="仿宋_GB2312"/>
          <w:b/>
          <w:bCs/>
          <w:sz w:val="32"/>
          <w:szCs w:val="32"/>
        </w:rPr>
        <w:t>重大行政许可：</w:t>
      </w:r>
    </w:p>
    <w:p>
      <w:pPr>
        <w:widowControl/>
        <w:spacing w:line="576" w:lineRule="exact"/>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适用听证的；</w:t>
      </w:r>
    </w:p>
    <w:p>
      <w:pPr>
        <w:widowControl/>
        <w:spacing w:line="576"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变更、撤回、撤销行政许可决定；</w:t>
      </w:r>
    </w:p>
    <w:p>
      <w:pPr>
        <w:widowControl/>
        <w:spacing w:line="576"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法律法规规章和规范性文件规定以及行政机关认定的其他重大行政许可事项。</w:t>
      </w:r>
    </w:p>
    <w:p>
      <w:pPr>
        <w:widowControl/>
        <w:spacing w:line="576" w:lineRule="exact"/>
        <w:ind w:firstLine="642" w:firstLineChars="200"/>
        <w:rPr>
          <w:rFonts w:ascii="仿宋_GB2312" w:eastAsia="仿宋_GB2312"/>
          <w:b/>
          <w:bCs/>
          <w:sz w:val="32"/>
          <w:szCs w:val="32"/>
        </w:rPr>
      </w:pPr>
      <w:r>
        <w:rPr>
          <w:rFonts w:hint="eastAsia" w:ascii="仿宋_GB2312" w:eastAsia="仿宋_GB2312"/>
          <w:b/>
          <w:bCs/>
          <w:sz w:val="32"/>
          <w:szCs w:val="32"/>
          <w:lang w:eastAsia="zh-CN"/>
        </w:rPr>
        <w:t>（二）</w:t>
      </w:r>
      <w:r>
        <w:rPr>
          <w:rFonts w:ascii="仿宋_GB2312" w:eastAsia="仿宋_GB2312"/>
          <w:b/>
          <w:bCs/>
          <w:sz w:val="32"/>
          <w:szCs w:val="32"/>
        </w:rPr>
        <w:t>重大行政处罚：</w:t>
      </w:r>
    </w:p>
    <w:p>
      <w:pPr>
        <w:widowControl/>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吊销许可证；</w:t>
      </w:r>
    </w:p>
    <w:p>
      <w:pPr>
        <w:widowControl/>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对个人处以2000元以上罚款或者对单位处以2万元以上罚款；</w:t>
      </w:r>
    </w:p>
    <w:p>
      <w:pPr>
        <w:widowControl/>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没收违法所得数额在2万元以上。</w:t>
      </w:r>
    </w:p>
    <w:p>
      <w:pPr>
        <w:widowControl/>
        <w:autoSpaceDN w:val="0"/>
        <w:spacing w:line="576" w:lineRule="exact"/>
        <w:ind w:firstLine="642" w:firstLineChars="200"/>
        <w:rPr>
          <w:rFonts w:hint="eastAsia" w:ascii="仿宋_GB2312" w:eastAsia="仿宋_GB2312"/>
          <w:sz w:val="32"/>
          <w:szCs w:val="32"/>
        </w:rPr>
      </w:pPr>
      <w:r>
        <w:rPr>
          <w:rFonts w:hint="eastAsia" w:ascii="仿宋_GB2312" w:hAnsi="仿宋_GB2312" w:eastAsia="仿宋_GB2312" w:cs="仿宋_GB2312"/>
          <w:b/>
          <w:color w:val="000000"/>
          <w:sz w:val="32"/>
          <w:szCs w:val="32"/>
          <w:lang w:eastAsia="zh-CN"/>
        </w:rPr>
        <w:t>（三）</w:t>
      </w:r>
      <w:r>
        <w:rPr>
          <w:rFonts w:hint="eastAsia" w:ascii="仿宋_GB2312" w:eastAsia="仿宋_GB2312"/>
          <w:b/>
          <w:sz w:val="32"/>
          <w:szCs w:val="32"/>
        </w:rPr>
        <w:t>其他涉及国家利益、公共利益、当事人重大权益或者社会影响较大的行政执法决定</w:t>
      </w:r>
      <w:r>
        <w:rPr>
          <w:rFonts w:hint="eastAsia" w:ascii="仿宋_GB2312" w:eastAsia="仿宋_GB2312"/>
          <w:sz w:val="32"/>
          <w:szCs w:val="32"/>
        </w:rPr>
        <w:t>。</w:t>
      </w:r>
    </w:p>
    <w:p>
      <w:pPr>
        <w:widowControl/>
        <w:autoSpaceDN w:val="0"/>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行政执法（监督信息）救济渠道、行政执法责任制</w:t>
      </w:r>
    </w:p>
    <w:p>
      <w:pPr>
        <w:widowControl/>
        <w:spacing w:line="576"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widowControl/>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（一）依法享有的权利 </w:t>
      </w:r>
    </w:p>
    <w:p>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w:t>
      </w:r>
      <w:r>
        <w:rPr>
          <w:rFonts w:hint="eastAsia" w:ascii="仿宋_GB2312" w:hAnsi="仿宋_GB2312" w:eastAsia="仿宋_GB2312" w:cs="仿宋_GB2312"/>
          <w:color w:val="0000FF"/>
          <w:sz w:val="32"/>
          <w:szCs w:val="32"/>
        </w:rPr>
        <w:t>复议、</w:t>
      </w:r>
      <w:r>
        <w:rPr>
          <w:rFonts w:hint="eastAsia" w:ascii="仿宋_GB2312" w:hAnsi="仿宋_GB2312" w:eastAsia="仿宋_GB2312" w:cs="仿宋_GB2312"/>
          <w:sz w:val="32"/>
          <w:szCs w:val="32"/>
        </w:rPr>
        <w:t>诉讼等权利，详见相应法律法规。 </w:t>
      </w:r>
    </w:p>
    <w:p>
      <w:pPr>
        <w:widowControl/>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（二）救济途径 </w:t>
      </w:r>
    </w:p>
    <w:p>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部门：广元市朝天区司法局合法性审查和法律事务股</w:t>
      </w:r>
    </w:p>
    <w:p>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地址：广元市朝天区朝天镇潜溪路一段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lang w:eastAsia="zh-CN"/>
        </w:rPr>
        <w:t>号  （广元市朝天区司法局二楼）</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电话：0839-</w:t>
      </w:r>
      <w:r>
        <w:rPr>
          <w:rFonts w:hint="eastAsia" w:ascii="仿宋_GB2312" w:hAnsi="仿宋_GB2312" w:eastAsia="仿宋_GB2312" w:cs="仿宋_GB2312"/>
          <w:sz w:val="32"/>
          <w:szCs w:val="32"/>
          <w:lang w:val="en-US" w:eastAsia="zh-CN"/>
        </w:rPr>
        <w:t>8625391</w:t>
      </w:r>
    </w:p>
    <w:p>
      <w:pPr>
        <w:widowControl/>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广元市朝天</w:t>
      </w:r>
      <w:r>
        <w:rPr>
          <w:rFonts w:hint="eastAsia" w:ascii="仿宋_GB2312" w:hAnsi="仿宋_GB2312" w:eastAsia="仿宋_GB2312" w:cs="仿宋_GB2312"/>
          <w:sz w:val="32"/>
          <w:szCs w:val="32"/>
        </w:rPr>
        <w:t>区人民法院</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 w:hAnsi="仿宋" w:eastAsia="仿宋" w:cs="仿宋"/>
          <w:i w:val="0"/>
          <w:caps w:val="0"/>
          <w:color w:val="333333"/>
          <w:spacing w:val="0"/>
          <w:sz w:val="32"/>
          <w:szCs w:val="32"/>
          <w:shd w:val="clear" w:color="auto" w:fill="FFFFFF"/>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广元市朝天区朝天镇</w:t>
      </w:r>
      <w:r>
        <w:rPr>
          <w:rFonts w:hint="eastAsia" w:ascii="仿宋" w:hAnsi="仿宋" w:eastAsia="仿宋" w:cs="仿宋"/>
          <w:i w:val="0"/>
          <w:caps w:val="0"/>
          <w:color w:val="333333"/>
          <w:spacing w:val="0"/>
          <w:sz w:val="32"/>
          <w:szCs w:val="32"/>
          <w:shd w:val="clear" w:color="auto" w:fill="FFFFFF"/>
        </w:rPr>
        <w:t>峨眉路59号</w:t>
      </w:r>
    </w:p>
    <w:p>
      <w:pPr>
        <w:ind w:firstLine="640" w:firstLineChars="200"/>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color="auto" w:fill="FFFFFF"/>
        </w:rPr>
        <w:t>联系电话:0839-8622609</w:t>
      </w:r>
      <w:r>
        <w:rPr>
          <w:rFonts w:hint="eastAsia" w:ascii="仿宋" w:hAnsi="仿宋" w:eastAsia="仿宋" w:cs="仿宋"/>
          <w:sz w:val="32"/>
          <w:szCs w:val="32"/>
          <w:lang w:val="en-US" w:eastAsia="zh-CN"/>
        </w:rPr>
        <w:t xml:space="preserve"> </w:t>
      </w:r>
    </w:p>
    <w:p>
      <w:pPr>
        <w:widowControl/>
        <w:numPr>
          <w:ilvl w:val="0"/>
          <w:numId w:val="1"/>
        </w:numPr>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对行政执法的监督投诉举报的方式、途径</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bidi="ar"/>
        </w:rPr>
        <w:t>：广元市朝天区司法局行政执法协调监督股</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地址：广元市朝天区朝天镇潜溪路一段</w:t>
      </w:r>
      <w:r>
        <w:rPr>
          <w:rFonts w:hint="eastAsia" w:ascii="仿宋_GB2312" w:hAnsi="仿宋_GB2312" w:eastAsia="仿宋_GB2312" w:cs="仿宋_GB2312"/>
          <w:sz w:val="32"/>
          <w:szCs w:val="32"/>
          <w:lang w:val="en-US" w:eastAsia="zh-CN" w:bidi="ar"/>
        </w:rPr>
        <w:t>73</w:t>
      </w:r>
      <w:r>
        <w:rPr>
          <w:rFonts w:hint="eastAsia" w:ascii="仿宋_GB2312" w:hAnsi="仿宋_GB2312" w:eastAsia="仿宋_GB2312" w:cs="仿宋_GB2312"/>
          <w:sz w:val="32"/>
          <w:szCs w:val="32"/>
          <w:lang w:bidi="ar"/>
        </w:rPr>
        <w:t xml:space="preserve">号（广元市朝天区司法局二楼） </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投诉电话：0839-8621377</w:t>
      </w:r>
    </w:p>
    <w:p>
      <w:pPr>
        <w:widowControl/>
        <w:spacing w:line="576"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《国务院办公厅关于推行行政执法责任制的若干意见》（国办发〔2005〕37号）</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《四川省人民政府办公厅关于深化行政执法责任制的实施意见》(川办发〔2005〕36号)</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《四川省落实行政执法责任制全面推进依法行政考核办法》(川府法〔2005〕24号)</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四川省行政执法监督条例</w:t>
      </w:r>
    </w:p>
    <w:p>
      <w:pPr>
        <w:widowControl/>
        <w:spacing w:line="576"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行政机关公务员处分条例</w:t>
      </w:r>
    </w:p>
    <w:p>
      <w:pPr>
        <w:widowControl/>
        <w:spacing w:line="576" w:lineRule="exact"/>
        <w:ind w:firstLine="640" w:firstLineChars="200"/>
        <w:rPr>
          <w:rFonts w:hint="eastAsia"/>
        </w:rPr>
      </w:pPr>
      <w:r>
        <w:rPr>
          <w:rFonts w:hint="eastAsia" w:ascii="仿宋_GB2312" w:hAnsi="仿宋_GB2312" w:eastAsia="仿宋_GB2312" w:cs="仿宋_GB2312"/>
          <w:sz w:val="32"/>
          <w:szCs w:val="32"/>
          <w:lang w:bidi="ar"/>
        </w:rPr>
        <w:t>事业单位工作人员处分暂行规定</w:t>
      </w:r>
    </w:p>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行政执法自由裁量标准</w:t>
      </w:r>
    </w:p>
    <w:p>
      <w:pPr>
        <w:ind w:firstLine="320" w:firstLineChars="1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四川省行政裁量权基准管理规定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w:t>
      </w:r>
      <w:r>
        <w:rPr>
          <w:rFonts w:hint="eastAsia" w:ascii="仿宋_GB2312" w:hAnsi="仿宋_GB2312" w:eastAsia="仿宋_GB2312" w:cs="仿宋_GB2312"/>
          <w:sz w:val="32"/>
          <w:szCs w:val="32"/>
          <w:lang w:val="en-US" w:eastAsia="zh-CN"/>
        </w:rPr>
        <w:t>360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2024年2月19日起施行</w:t>
      </w:r>
    </w:p>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随机抽查事项清单、市场主体库（检查对象名录库）、</w:t>
      </w:r>
      <w:r>
        <w:rPr>
          <w:rFonts w:hint="eastAsia" w:ascii="黑体" w:hAnsi="黑体" w:eastAsia="黑体" w:cs="黑体"/>
          <w:sz w:val="32"/>
          <w:szCs w:val="32"/>
          <w:lang w:eastAsia="zh-CN"/>
        </w:rPr>
        <w:t>2025</w:t>
      </w:r>
      <w:r>
        <w:rPr>
          <w:rFonts w:hint="eastAsia" w:ascii="黑体" w:hAnsi="黑体" w:eastAsia="黑体" w:cs="黑体"/>
          <w:sz w:val="32"/>
          <w:szCs w:val="32"/>
        </w:rPr>
        <w:t>年抽查计划</w:t>
      </w:r>
    </w:p>
    <w:p>
      <w:pPr>
        <w:widowControl/>
        <w:spacing w:line="576" w:lineRule="exact"/>
        <w:ind w:firstLine="642" w:firstLineChars="200"/>
        <w:rPr>
          <w:rFonts w:hint="eastAsia" w:ascii="仿宋_GB2312" w:hAnsi="仿宋_GB2312" w:eastAsia="仿宋_GB2312" w:cs="仿宋_GB2312"/>
          <w:b/>
          <w:bCs/>
          <w:sz w:val="32"/>
          <w:szCs w:val="32"/>
        </w:rPr>
      </w:pPr>
      <w:r>
        <w:rPr>
          <w:rFonts w:hint="eastAsia" w:ascii="仿宋_GB2312" w:hAnsi="宋体" w:eastAsia="仿宋_GB2312" w:cs="仿宋_GB2312"/>
          <w:b/>
          <w:bCs/>
          <w:kern w:val="0"/>
          <w:sz w:val="32"/>
          <w:szCs w:val="32"/>
        </w:rPr>
        <w:t>（一）</w:t>
      </w:r>
      <w:r>
        <w:rPr>
          <w:rFonts w:hint="eastAsia" w:ascii="仿宋_GB2312" w:hAnsi="仿宋_GB2312" w:eastAsia="仿宋_GB2312" w:cs="仿宋_GB2312"/>
          <w:b/>
          <w:bCs/>
          <w:sz w:val="32"/>
          <w:szCs w:val="32"/>
        </w:rPr>
        <w:t>随机抽查事项清单（共4项）</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1.国家投资工程建设项目招标投标专项检查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检查依据：《中华人民共和国招标投标法》、《中华人民共和国招标投标法实施条例》（国务院令第613号）、《四川省国家投资工程建设项目招标投标条例》。</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年度房建市政、自然资源、交通、水利、农业等领域的国家投资工程建设项目。</w:t>
      </w:r>
      <w:r>
        <w:rPr>
          <w:rFonts w:hint="eastAsia" w:ascii="仿宋_GB2312" w:hAnsi="宋体" w:eastAsia="仿宋_GB2312" w:cs="仿宋_GB2312"/>
          <w:kern w:val="0"/>
          <w:sz w:val="32"/>
          <w:szCs w:val="32"/>
        </w:rPr>
        <w:tab/>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r>
        <w:rPr>
          <w:rFonts w:hint="eastAsia" w:ascii="仿宋_GB2312" w:hAnsi="仿宋_GB2312" w:eastAsia="仿宋_GB2312" w:cs="仿宋_GB2312"/>
          <w:sz w:val="32"/>
          <w:szCs w:val="32"/>
        </w:rPr>
        <w:t>项目招投标政策执行情况；我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相关制度和相关规定执行情况；检查中标通知书发放前监督部门是否把关中标部门在项目所在地人社部门开具无拖欠农民工工资证明。</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w:t>
      </w:r>
      <w:r>
        <w:rPr>
          <w:rFonts w:hint="eastAsia" w:ascii="仿宋_GB2312" w:hAnsi="仿宋_GB2312" w:eastAsia="仿宋_GB2312" w:cs="仿宋_GB2312"/>
          <w:sz w:val="32"/>
          <w:szCs w:val="32"/>
        </w:rPr>
        <w:t>政策性储备粮监督检查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检查依据：《粮食流通管理条例》（国务院令第407号，2016年第二次修订）、《四川省〈粮食流通管理条例〉实施办法》（四川省人民政府令第329号）。</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各级储备粮承储企业仓间货位。</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r>
        <w:rPr>
          <w:rFonts w:hint="eastAsia" w:ascii="仿宋_GB2312" w:hAnsi="仿宋_GB2312" w:eastAsia="仿宋_GB2312" w:cs="仿宋_GB2312"/>
          <w:sz w:val="32"/>
          <w:szCs w:val="32"/>
        </w:rPr>
        <w:t>库存粮食核实；库存粮食质量；轮换计划；统计账、资金账。</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3.小包装应急粮油监督检查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检查依据：《粮食流通管理条例》（国务院令第407号，2016年第二次修订）、《四川省〈粮食流通管理条例〉实施办法》（四川省人民政府令第329号）。</w:t>
      </w:r>
      <w:r>
        <w:rPr>
          <w:rFonts w:hint="eastAsia" w:ascii="仿宋_GB2312" w:hAnsi="宋体" w:eastAsia="仿宋_GB2312" w:cs="仿宋_GB2312"/>
          <w:kern w:val="0"/>
          <w:sz w:val="32"/>
          <w:szCs w:val="32"/>
        </w:rPr>
        <w:tab/>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hint="eastAsia" w:ascii="仿宋_GB2312" w:hAnsi="仿宋_GB2312" w:eastAsia="仿宋_GB2312" w:cs="仿宋_GB2312"/>
          <w:sz w:val="32"/>
          <w:szCs w:val="32"/>
        </w:rPr>
        <w:t>小包装应急粮油储备单位。</w:t>
      </w:r>
    </w:p>
    <w:p>
      <w:pPr>
        <w:widowControl/>
        <w:spacing w:line="576"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r>
        <w:rPr>
          <w:rFonts w:hint="eastAsia" w:ascii="仿宋_GB2312" w:hAnsi="仿宋_GB2312" w:eastAsia="仿宋_GB2312" w:cs="仿宋_GB2312"/>
          <w:sz w:val="32"/>
          <w:szCs w:val="32"/>
        </w:rPr>
        <w:t>数量、质量；超期储存；账实相符</w:t>
      </w:r>
    </w:p>
    <w:p>
      <w:pPr>
        <w:widowControl/>
        <w:spacing w:line="576" w:lineRule="exact"/>
        <w:ind w:firstLine="642"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（二）2025年双随机抽查计划</w:t>
      </w:r>
    </w:p>
    <w:tbl>
      <w:tblPr>
        <w:tblStyle w:val="8"/>
        <w:tblW w:w="88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932"/>
        <w:gridCol w:w="1650"/>
        <w:gridCol w:w="941"/>
        <w:gridCol w:w="643"/>
        <w:gridCol w:w="1403"/>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tblHeader/>
        </w:trPr>
        <w:tc>
          <w:tcPr>
            <w:tcW w:w="1218"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抽查计划名称</w:t>
            </w:r>
          </w:p>
        </w:tc>
        <w:tc>
          <w:tcPr>
            <w:tcW w:w="1932"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抽查事项</w:t>
            </w:r>
          </w:p>
        </w:tc>
        <w:tc>
          <w:tcPr>
            <w:tcW w:w="1650"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检查对象</w:t>
            </w:r>
          </w:p>
        </w:tc>
        <w:tc>
          <w:tcPr>
            <w:tcW w:w="941"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检查方式</w:t>
            </w:r>
          </w:p>
        </w:tc>
        <w:tc>
          <w:tcPr>
            <w:tcW w:w="643"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抽查</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比例</w:t>
            </w:r>
          </w:p>
        </w:tc>
        <w:tc>
          <w:tcPr>
            <w:tcW w:w="1403"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参与部门</w:t>
            </w:r>
          </w:p>
        </w:tc>
        <w:tc>
          <w:tcPr>
            <w:tcW w:w="1089" w:type="dxa"/>
            <w:noWrap w:val="0"/>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检查时间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4" w:hRule="atLeast"/>
        </w:trPr>
        <w:tc>
          <w:tcPr>
            <w:tcW w:w="1218"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国家投资工程建设项目招标投标专项检查</w:t>
            </w:r>
          </w:p>
        </w:tc>
        <w:tc>
          <w:tcPr>
            <w:tcW w:w="1932"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1.项目招投标政策执行情况</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2.区相关制度和相关规定执行情况</w:t>
            </w:r>
          </w:p>
          <w:p>
            <w:pPr>
              <w:jc w:val="both"/>
              <w:rPr>
                <w:rFonts w:ascii="仿宋_GB2312" w:hAnsi="仿宋_GB2312" w:eastAsia="仿宋_GB2312" w:cs="仿宋_GB2312"/>
                <w:sz w:val="21"/>
                <w:szCs w:val="21"/>
                <w:lang w:eastAsia="zh-CN"/>
              </w:rPr>
            </w:pPr>
          </w:p>
        </w:tc>
        <w:tc>
          <w:tcPr>
            <w:tcW w:w="1650"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上年度房建市政、自然资源、交通、水利、农业等国家投资工程建设项目。</w:t>
            </w:r>
          </w:p>
        </w:tc>
        <w:tc>
          <w:tcPr>
            <w:tcW w:w="941" w:type="dxa"/>
            <w:noWrap w:val="0"/>
            <w:vAlign w:val="center"/>
          </w:tcPr>
          <w:p>
            <w:pPr>
              <w:jc w:val="both"/>
              <w:rPr>
                <w:rFonts w:ascii="仿宋_GB2312" w:hAnsi="仿宋_GB2312" w:eastAsia="仿宋_GB2312" w:cs="仿宋_GB2312"/>
                <w:sz w:val="21"/>
                <w:szCs w:val="21"/>
              </w:rPr>
            </w:pPr>
            <w:r>
              <w:rPr>
                <w:rFonts w:hint="eastAsia" w:ascii="仿宋_GB2312" w:hAnsi="仿宋_GB2312" w:eastAsia="仿宋_GB2312" w:cs="仿宋_GB2312"/>
                <w:sz w:val="21"/>
                <w:szCs w:val="21"/>
              </w:rPr>
              <w:t>书面检查、现场检查</w:t>
            </w:r>
          </w:p>
        </w:tc>
        <w:tc>
          <w:tcPr>
            <w:tcW w:w="643" w:type="dxa"/>
            <w:noWrap w:val="0"/>
            <w:vAlign w:val="center"/>
          </w:tcPr>
          <w:p>
            <w:pPr>
              <w:jc w:val="both"/>
              <w:rPr>
                <w:rFonts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1403"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区自然资源局、区住建局、区交通局、区水利局、区农业农村局</w:t>
            </w:r>
          </w:p>
        </w:tc>
        <w:tc>
          <w:tcPr>
            <w:tcW w:w="1089" w:type="dxa"/>
            <w:noWrap w:val="0"/>
            <w:vAlign w:val="center"/>
          </w:tcPr>
          <w:p>
            <w:pPr>
              <w:jc w:val="both"/>
              <w:rPr>
                <w:rFonts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2025</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lang w:val="en-US" w:eastAsia="zh-CN"/>
              </w:rPr>
              <w:t>10</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lang w:val="en-US" w:eastAsia="zh-CN"/>
              </w:rPr>
              <w:t>31</w:t>
            </w:r>
            <w:r>
              <w:rPr>
                <w:rFonts w:hint="eastAsia" w:ascii="仿宋_GB2312" w:hAnsi="仿宋_GB2312" w:eastAsia="仿宋_GB2312" w:cs="仿宋_GB2312"/>
                <w:sz w:val="21"/>
                <w:szCs w:val="21"/>
              </w:rPr>
              <w:t>日前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6" w:hRule="atLeast"/>
        </w:trPr>
        <w:tc>
          <w:tcPr>
            <w:tcW w:w="1218"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政策性储备粮监督检查</w:t>
            </w:r>
          </w:p>
        </w:tc>
        <w:tc>
          <w:tcPr>
            <w:tcW w:w="1932"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1.库存粮食核实</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2.库存粮食质量</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3.轮换计划</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4.统计账、资金账</w:t>
            </w:r>
          </w:p>
        </w:tc>
        <w:tc>
          <w:tcPr>
            <w:tcW w:w="1650"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全区各级储备粮承储企业仓间货位。</w:t>
            </w:r>
          </w:p>
        </w:tc>
        <w:tc>
          <w:tcPr>
            <w:tcW w:w="941"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书面检查、现场检查</w:t>
            </w:r>
          </w:p>
        </w:tc>
        <w:tc>
          <w:tcPr>
            <w:tcW w:w="643"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30%</w:t>
            </w:r>
          </w:p>
        </w:tc>
        <w:tc>
          <w:tcPr>
            <w:tcW w:w="1403"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区财政局、农发行广元分行</w:t>
            </w:r>
          </w:p>
        </w:tc>
        <w:tc>
          <w:tcPr>
            <w:tcW w:w="1089"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2025</w:t>
            </w:r>
            <w:r>
              <w:rPr>
                <w:rFonts w:hint="eastAsia" w:ascii="仿宋_GB2312" w:hAnsi="仿宋_GB2312" w:eastAsia="仿宋_GB2312" w:cs="仿宋_GB2312"/>
                <w:sz w:val="21"/>
                <w:szCs w:val="21"/>
                <w:lang w:eastAsia="zh-CN"/>
              </w:rPr>
              <w:t>年</w:t>
            </w:r>
          </w:p>
          <w:p>
            <w:pPr>
              <w:jc w:val="both"/>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10</w:t>
            </w:r>
            <w:r>
              <w:rPr>
                <w:rFonts w:hint="eastAsia" w:ascii="仿宋_GB2312" w:hAnsi="仿宋_GB2312" w:eastAsia="仿宋_GB2312" w:cs="仿宋_GB2312"/>
                <w:sz w:val="21"/>
                <w:szCs w:val="21"/>
                <w:lang w:eastAsia="zh-CN"/>
              </w:rPr>
              <w:t>月</w:t>
            </w:r>
            <w:r>
              <w:rPr>
                <w:rFonts w:hint="eastAsia" w:ascii="仿宋_GB2312" w:hAnsi="仿宋_GB2312" w:eastAsia="仿宋_GB2312" w:cs="仿宋_GB2312"/>
                <w:sz w:val="21"/>
                <w:szCs w:val="21"/>
                <w:lang w:val="en-US" w:eastAsia="zh-CN"/>
              </w:rPr>
              <w:t>31前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7" w:hRule="atLeast"/>
        </w:trPr>
        <w:tc>
          <w:tcPr>
            <w:tcW w:w="1218"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小包装临时应急粮油监督检查</w:t>
            </w:r>
          </w:p>
        </w:tc>
        <w:tc>
          <w:tcPr>
            <w:tcW w:w="1932"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1.数量、质量</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2.超期储存</w:t>
            </w:r>
          </w:p>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3.账实相符</w:t>
            </w:r>
          </w:p>
        </w:tc>
        <w:tc>
          <w:tcPr>
            <w:tcW w:w="1650"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小包装应急粮油储备单位</w:t>
            </w:r>
          </w:p>
        </w:tc>
        <w:tc>
          <w:tcPr>
            <w:tcW w:w="941"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抽查资料、现场检查</w:t>
            </w:r>
          </w:p>
        </w:tc>
        <w:tc>
          <w:tcPr>
            <w:tcW w:w="643"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100%</w:t>
            </w:r>
          </w:p>
        </w:tc>
        <w:tc>
          <w:tcPr>
            <w:tcW w:w="1403"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区财政局</w:t>
            </w:r>
          </w:p>
        </w:tc>
        <w:tc>
          <w:tcPr>
            <w:tcW w:w="1089" w:type="dxa"/>
            <w:noWrap w:val="0"/>
            <w:vAlign w:val="center"/>
          </w:tcPr>
          <w:p>
            <w:pPr>
              <w:jc w:val="both"/>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2025</w:t>
            </w:r>
            <w:r>
              <w:rPr>
                <w:rFonts w:hint="eastAsia" w:ascii="仿宋_GB2312" w:hAnsi="仿宋_GB2312" w:eastAsia="仿宋_GB2312" w:cs="仿宋_GB2312"/>
                <w:sz w:val="21"/>
                <w:szCs w:val="21"/>
                <w:lang w:eastAsia="zh-CN"/>
              </w:rPr>
              <w:t>年</w:t>
            </w:r>
            <w:r>
              <w:rPr>
                <w:rFonts w:hint="eastAsia" w:ascii="仿宋_GB2312" w:hAnsi="仿宋_GB2312" w:eastAsia="仿宋_GB2312" w:cs="仿宋_GB2312"/>
                <w:sz w:val="21"/>
                <w:szCs w:val="21"/>
                <w:lang w:val="en-US" w:eastAsia="zh-CN"/>
              </w:rPr>
              <w:t>10</w:t>
            </w:r>
            <w:r>
              <w:rPr>
                <w:rFonts w:hint="eastAsia" w:ascii="仿宋_GB2312" w:hAnsi="仿宋_GB2312" w:eastAsia="仿宋_GB2312" w:cs="仿宋_GB2312"/>
                <w:sz w:val="21"/>
                <w:szCs w:val="21"/>
                <w:lang w:eastAsia="zh-CN"/>
              </w:rPr>
              <w:t>月3</w:t>
            </w: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sz w:val="21"/>
                <w:szCs w:val="21"/>
                <w:lang w:eastAsia="zh-CN"/>
              </w:rPr>
              <w:t>前</w:t>
            </w:r>
          </w:p>
        </w:tc>
      </w:tr>
    </w:tbl>
    <w:p>
      <w:pPr>
        <w:widowControl/>
        <w:spacing w:line="576" w:lineRule="exact"/>
        <w:ind w:firstLine="642"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（三）检查对象名录库</w:t>
      </w:r>
    </w:p>
    <w:p>
      <w:pPr>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1.粮食库存检查</w:t>
      </w:r>
    </w:p>
    <w:tbl>
      <w:tblPr>
        <w:tblStyle w:val="8"/>
        <w:tblW w:w="8950" w:type="dxa"/>
        <w:tblInd w:w="-97" w:type="dxa"/>
        <w:tblLayout w:type="fixed"/>
        <w:tblCellMar>
          <w:top w:w="0" w:type="dxa"/>
          <w:left w:w="0" w:type="dxa"/>
          <w:bottom w:w="0" w:type="dxa"/>
          <w:right w:w="0" w:type="dxa"/>
        </w:tblCellMar>
      </w:tblPr>
      <w:tblGrid>
        <w:gridCol w:w="895"/>
        <w:gridCol w:w="5122"/>
        <w:gridCol w:w="1867"/>
        <w:gridCol w:w="1066"/>
      </w:tblGrid>
      <w:tr>
        <w:tblPrEx>
          <w:tblCellMar>
            <w:top w:w="0" w:type="dxa"/>
            <w:left w:w="0" w:type="dxa"/>
            <w:bottom w:w="0" w:type="dxa"/>
            <w:right w:w="0" w:type="dxa"/>
          </w:tblCellMar>
        </w:tblPrEx>
        <w:trPr>
          <w:trHeight w:val="899" w:hRule="atLeast"/>
        </w:trPr>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序号</w:t>
            </w:r>
          </w:p>
        </w:tc>
        <w:tc>
          <w:tcPr>
            <w:tcW w:w="51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企业名称</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法定代表人</w:t>
            </w:r>
          </w:p>
        </w:tc>
        <w:tc>
          <w:tcPr>
            <w:tcW w:w="10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行政区域</w:t>
            </w:r>
          </w:p>
        </w:tc>
      </w:tr>
      <w:tr>
        <w:tblPrEx>
          <w:tblCellMar>
            <w:top w:w="0" w:type="dxa"/>
            <w:left w:w="0" w:type="dxa"/>
            <w:bottom w:w="0" w:type="dxa"/>
            <w:right w:w="0" w:type="dxa"/>
          </w:tblCellMar>
        </w:tblPrEx>
        <w:trPr>
          <w:trHeight w:val="770" w:hRule="atLeast"/>
        </w:trPr>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1</w:t>
            </w:r>
          </w:p>
        </w:tc>
        <w:tc>
          <w:tcPr>
            <w:tcW w:w="512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朝天区裕宏粮油购销有限公司</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杨先模</w:t>
            </w:r>
          </w:p>
        </w:tc>
        <w:tc>
          <w:tcPr>
            <w:tcW w:w="10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w:t>
            </w:r>
          </w:p>
        </w:tc>
      </w:tr>
    </w:tbl>
    <w:p>
      <w:pPr>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2.政策性粮食销售出库、政策性用粮的购销活动监督检查 </w:t>
      </w:r>
    </w:p>
    <w:tbl>
      <w:tblPr>
        <w:tblStyle w:val="8"/>
        <w:tblW w:w="8837" w:type="dxa"/>
        <w:tblInd w:w="0" w:type="dxa"/>
        <w:tblLayout w:type="fixed"/>
        <w:tblCellMar>
          <w:top w:w="0" w:type="dxa"/>
          <w:left w:w="0" w:type="dxa"/>
          <w:bottom w:w="0" w:type="dxa"/>
          <w:right w:w="0" w:type="dxa"/>
        </w:tblCellMar>
      </w:tblPr>
      <w:tblGrid>
        <w:gridCol w:w="1053"/>
        <w:gridCol w:w="4850"/>
        <w:gridCol w:w="1717"/>
        <w:gridCol w:w="1217"/>
      </w:tblGrid>
      <w:tr>
        <w:tblPrEx>
          <w:tblCellMar>
            <w:top w:w="0" w:type="dxa"/>
            <w:left w:w="0" w:type="dxa"/>
            <w:bottom w:w="0" w:type="dxa"/>
            <w:right w:w="0" w:type="dxa"/>
          </w:tblCellMar>
        </w:tblPrEx>
        <w:trPr>
          <w:trHeight w:val="761" w:hRule="atLeast"/>
        </w:trPr>
        <w:tc>
          <w:tcPr>
            <w:tcW w:w="105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序号</w:t>
            </w:r>
          </w:p>
        </w:tc>
        <w:tc>
          <w:tcPr>
            <w:tcW w:w="48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企业名称</w:t>
            </w:r>
          </w:p>
        </w:tc>
        <w:tc>
          <w:tcPr>
            <w:tcW w:w="17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法定代表人</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行政区域</w:t>
            </w:r>
          </w:p>
        </w:tc>
      </w:tr>
      <w:tr>
        <w:tblPrEx>
          <w:tblCellMar>
            <w:top w:w="0" w:type="dxa"/>
            <w:left w:w="0" w:type="dxa"/>
            <w:bottom w:w="0" w:type="dxa"/>
            <w:right w:w="0" w:type="dxa"/>
          </w:tblCellMar>
        </w:tblPrEx>
        <w:trPr>
          <w:trHeight w:val="785" w:hRule="atLeast"/>
        </w:trPr>
        <w:tc>
          <w:tcPr>
            <w:tcW w:w="105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1</w:t>
            </w:r>
          </w:p>
        </w:tc>
        <w:tc>
          <w:tcPr>
            <w:tcW w:w="48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朝天区裕宏粮油购销有限公司</w:t>
            </w:r>
          </w:p>
        </w:tc>
        <w:tc>
          <w:tcPr>
            <w:tcW w:w="17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val="en-US" w:eastAsia="zh-CN" w:bidi="ar"/>
              </w:rPr>
              <w:t>杨先模</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w:t>
            </w:r>
          </w:p>
        </w:tc>
      </w:tr>
    </w:tbl>
    <w:p>
      <w:pPr>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3.粮食收购活动监督检查</w:t>
      </w:r>
    </w:p>
    <w:tbl>
      <w:tblPr>
        <w:tblStyle w:val="8"/>
        <w:tblW w:w="8980" w:type="dxa"/>
        <w:tblInd w:w="0" w:type="dxa"/>
        <w:tblLayout w:type="fixed"/>
        <w:tblCellMar>
          <w:top w:w="0" w:type="dxa"/>
          <w:left w:w="0" w:type="dxa"/>
          <w:bottom w:w="0" w:type="dxa"/>
          <w:right w:w="0" w:type="dxa"/>
        </w:tblCellMar>
      </w:tblPr>
      <w:tblGrid>
        <w:gridCol w:w="729"/>
        <w:gridCol w:w="5186"/>
        <w:gridCol w:w="1693"/>
        <w:gridCol w:w="1372"/>
      </w:tblGrid>
      <w:tr>
        <w:tblPrEx>
          <w:tblCellMar>
            <w:top w:w="0" w:type="dxa"/>
            <w:left w:w="0" w:type="dxa"/>
            <w:bottom w:w="0" w:type="dxa"/>
            <w:right w:w="0" w:type="dxa"/>
          </w:tblCellMar>
        </w:tblPrEx>
        <w:trPr>
          <w:trHeight w:val="646" w:hRule="atLeast"/>
        </w:trPr>
        <w:tc>
          <w:tcPr>
            <w:tcW w:w="7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序号</w:t>
            </w:r>
          </w:p>
        </w:tc>
        <w:tc>
          <w:tcPr>
            <w:tcW w:w="51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企业名称</w:t>
            </w:r>
          </w:p>
        </w:tc>
        <w:tc>
          <w:tcPr>
            <w:tcW w:w="16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法定代表人</w:t>
            </w:r>
          </w:p>
        </w:tc>
        <w:tc>
          <w:tcPr>
            <w:tcW w:w="13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行政区域</w:t>
            </w:r>
          </w:p>
        </w:tc>
      </w:tr>
      <w:tr>
        <w:tblPrEx>
          <w:tblCellMar>
            <w:top w:w="0" w:type="dxa"/>
            <w:left w:w="0" w:type="dxa"/>
            <w:bottom w:w="0" w:type="dxa"/>
            <w:right w:w="0" w:type="dxa"/>
          </w:tblCellMar>
        </w:tblPrEx>
        <w:trPr>
          <w:trHeight w:val="646" w:hRule="atLeast"/>
        </w:trPr>
        <w:tc>
          <w:tcPr>
            <w:tcW w:w="7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p>
        </w:tc>
        <w:tc>
          <w:tcPr>
            <w:tcW w:w="518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无</w:t>
            </w:r>
          </w:p>
        </w:tc>
        <w:tc>
          <w:tcPr>
            <w:tcW w:w="16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val="en-US" w:eastAsia="zh-CN" w:bidi="ar"/>
              </w:rPr>
            </w:pPr>
          </w:p>
        </w:tc>
      </w:tr>
    </w:tbl>
    <w:p>
      <w:pPr>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4.地方储备粮监督检查</w:t>
      </w:r>
    </w:p>
    <w:tbl>
      <w:tblPr>
        <w:tblStyle w:val="8"/>
        <w:tblW w:w="9080" w:type="dxa"/>
        <w:tblInd w:w="0" w:type="dxa"/>
        <w:tblLayout w:type="fixed"/>
        <w:tblCellMar>
          <w:top w:w="0" w:type="dxa"/>
          <w:left w:w="0" w:type="dxa"/>
          <w:bottom w:w="0" w:type="dxa"/>
          <w:right w:w="0" w:type="dxa"/>
        </w:tblCellMar>
      </w:tblPr>
      <w:tblGrid>
        <w:gridCol w:w="739"/>
        <w:gridCol w:w="5241"/>
        <w:gridCol w:w="1712"/>
        <w:gridCol w:w="1388"/>
      </w:tblGrid>
      <w:tr>
        <w:tblPrEx>
          <w:tblCellMar>
            <w:top w:w="0" w:type="dxa"/>
            <w:left w:w="0" w:type="dxa"/>
            <w:bottom w:w="0" w:type="dxa"/>
            <w:right w:w="0" w:type="dxa"/>
          </w:tblCellMar>
        </w:tblPrEx>
        <w:trPr>
          <w:trHeight w:val="687" w:hRule="atLeast"/>
        </w:trPr>
        <w:tc>
          <w:tcPr>
            <w:tcW w:w="7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序号</w:t>
            </w:r>
          </w:p>
        </w:tc>
        <w:tc>
          <w:tcPr>
            <w:tcW w:w="5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企业名称</w:t>
            </w:r>
          </w:p>
        </w:tc>
        <w:tc>
          <w:tcPr>
            <w:tcW w:w="1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法定代表人</w:t>
            </w:r>
          </w:p>
        </w:tc>
        <w:tc>
          <w:tcPr>
            <w:tcW w:w="13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黑体" w:hAnsi="宋体" w:eastAsia="黑体" w:cs="黑体"/>
                <w:b/>
                <w:color w:val="000000"/>
                <w:kern w:val="0"/>
                <w:sz w:val="22"/>
                <w:szCs w:val="22"/>
                <w:lang w:eastAsia="zh-CN" w:bidi="ar"/>
              </w:rPr>
            </w:pPr>
            <w:r>
              <w:rPr>
                <w:rFonts w:hint="eastAsia" w:ascii="黑体" w:hAnsi="宋体" w:eastAsia="黑体" w:cs="黑体"/>
                <w:b/>
                <w:color w:val="000000"/>
                <w:kern w:val="0"/>
                <w:sz w:val="22"/>
                <w:szCs w:val="22"/>
                <w:lang w:eastAsia="zh-CN" w:bidi="ar"/>
              </w:rPr>
              <w:t>行政区域</w:t>
            </w:r>
          </w:p>
        </w:tc>
      </w:tr>
      <w:tr>
        <w:tblPrEx>
          <w:tblCellMar>
            <w:top w:w="0" w:type="dxa"/>
            <w:left w:w="0" w:type="dxa"/>
            <w:bottom w:w="0" w:type="dxa"/>
            <w:right w:w="0" w:type="dxa"/>
          </w:tblCellMar>
        </w:tblPrEx>
        <w:trPr>
          <w:trHeight w:val="784" w:hRule="atLeast"/>
        </w:trPr>
        <w:tc>
          <w:tcPr>
            <w:tcW w:w="73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1</w:t>
            </w:r>
          </w:p>
        </w:tc>
        <w:tc>
          <w:tcPr>
            <w:tcW w:w="5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朝天区裕宏粮油购销有限公司</w:t>
            </w:r>
          </w:p>
        </w:tc>
        <w:tc>
          <w:tcPr>
            <w:tcW w:w="1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val="en-US" w:eastAsia="zh-CN" w:bidi="ar"/>
              </w:rPr>
              <w:t>杨先模</w:t>
            </w:r>
          </w:p>
        </w:tc>
        <w:tc>
          <w:tcPr>
            <w:tcW w:w="13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2"/>
                <w:szCs w:val="22"/>
                <w:lang w:eastAsia="zh-CN" w:bidi="ar"/>
              </w:rPr>
            </w:pPr>
            <w:r>
              <w:rPr>
                <w:rFonts w:hint="eastAsia" w:ascii="宋体" w:hAnsi="宋体" w:cs="宋体"/>
                <w:color w:val="000000"/>
                <w:kern w:val="0"/>
                <w:sz w:val="22"/>
                <w:szCs w:val="22"/>
                <w:lang w:eastAsia="zh-CN" w:bidi="ar"/>
              </w:rPr>
              <w:t>朝天区</w:t>
            </w:r>
          </w:p>
        </w:tc>
      </w:tr>
    </w:tbl>
    <w:p>
      <w:pPr>
        <w:widowControl/>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行政执法文书样式、行政执法案卷评查制度</w:t>
      </w:r>
    </w:p>
    <w:p>
      <w:pPr>
        <w:widowControl/>
        <w:spacing w:line="576" w:lineRule="exact"/>
        <w:ind w:firstLine="700" w:firstLineChars="200"/>
        <w:rPr>
          <w:rFonts w:hint="eastAsia" w:ascii="仿宋_GB2312" w:hAnsi="仿宋_GB2312" w:eastAsia="仿宋_GB2312" w:cs="仿宋_GB2312"/>
          <w:bCs/>
          <w:color w:val="404040"/>
          <w:spacing w:val="15"/>
          <w:sz w:val="32"/>
          <w:szCs w:val="32"/>
          <w:shd w:val="clear" w:color="auto" w:fill="FFFFFF"/>
        </w:rPr>
      </w:pPr>
      <w:r>
        <w:rPr>
          <w:rFonts w:hint="eastAsia" w:ascii="仿宋_GB2312" w:hAnsi="仿宋_GB2312" w:eastAsia="仿宋_GB2312" w:cs="仿宋_GB2312"/>
          <w:bCs/>
          <w:color w:val="404040"/>
          <w:spacing w:val="15"/>
          <w:sz w:val="32"/>
          <w:szCs w:val="32"/>
          <w:shd w:val="clear" w:color="auto" w:fill="FFFFFF"/>
        </w:rPr>
        <w:t>比照执行广元市人民政府法制办公室关于印发《广元市行政处罚案卷标准》《广元市行政处罚案卷评查评分细则》《广元市行政许可案卷评查标准》的通知（广府法发〔2018〕16号）</w:t>
      </w:r>
    </w:p>
    <w:p>
      <w:pPr>
        <w:widowControl/>
        <w:numPr>
          <w:ilvl w:val="0"/>
          <w:numId w:val="2"/>
        </w:numPr>
        <w:spacing w:line="576"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广元市</w:t>
      </w:r>
      <w:r>
        <w:rPr>
          <w:rFonts w:hint="eastAsia" w:ascii="黑体" w:hAnsi="黑体" w:eastAsia="黑体" w:cs="黑体"/>
          <w:sz w:val="32"/>
          <w:szCs w:val="32"/>
          <w:lang w:eastAsia="zh-CN"/>
        </w:rPr>
        <w:t>朝天区</w:t>
      </w:r>
      <w:r>
        <w:rPr>
          <w:rFonts w:hint="eastAsia" w:ascii="黑体" w:hAnsi="黑体" w:eastAsia="黑体" w:cs="黑体"/>
          <w:sz w:val="32"/>
          <w:szCs w:val="32"/>
        </w:rPr>
        <w:t>发展和改革</w:t>
      </w:r>
      <w:r>
        <w:rPr>
          <w:rFonts w:hint="eastAsia" w:ascii="黑体" w:hAnsi="黑体" w:eastAsia="黑体" w:cs="黑体"/>
          <w:sz w:val="32"/>
          <w:szCs w:val="32"/>
          <w:lang w:eastAsia="zh-CN"/>
        </w:rPr>
        <w:t>局</w:t>
      </w:r>
      <w:r>
        <w:rPr>
          <w:rFonts w:hint="eastAsia" w:ascii="黑体" w:hAnsi="黑体" w:eastAsia="黑体" w:cs="黑体"/>
          <w:sz w:val="32"/>
          <w:szCs w:val="32"/>
        </w:rPr>
        <w:t>上年度双随机抽查结果、行政许可和处罚决定、上年度本机关行政执法数据总体情况</w:t>
      </w:r>
    </w:p>
    <w:p>
      <w:pPr>
        <w:widowControl/>
        <w:numPr>
          <w:ilvl w:val="0"/>
          <w:numId w:val="0"/>
        </w:numPr>
        <w:spacing w:line="576" w:lineRule="exact"/>
        <w:rPr>
          <w:rFonts w:hint="eastAsia" w:ascii="仿宋_GB2312" w:hAnsi="仿宋_GB2312" w:eastAsia="仿宋_GB2312" w:cs="仿宋_GB2312"/>
          <w:color w:val="auto"/>
          <w:sz w:val="32"/>
          <w:szCs w:val="32"/>
          <w:lang w:val="en-US" w:eastAsia="zh-CN"/>
        </w:rPr>
      </w:pPr>
      <w:r>
        <w:rPr>
          <w:rFonts w:hint="eastAsia" w:ascii="黑体" w:hAnsi="黑体" w:eastAsia="黑体" w:cs="黑体"/>
          <w:sz w:val="32"/>
          <w:szCs w:val="32"/>
          <w:lang w:val="en-US" w:eastAsia="zh-CN"/>
        </w:rPr>
        <w:t xml:space="preserve"> </w:t>
      </w: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color w:val="auto"/>
          <w:sz w:val="32"/>
          <w:szCs w:val="32"/>
          <w:lang w:val="en-US" w:eastAsia="zh-CN"/>
        </w:rPr>
        <w:instrText xml:space="preserve"> HYPERLINK "http://10.7.1.101/eci/pages/Waiting/newlist.do" </w:instrText>
      </w:r>
      <w:r>
        <w:rPr>
          <w:rFonts w:hint="eastAsia" w:ascii="仿宋_GB2312" w:hAnsi="仿宋_GB2312" w:eastAsia="仿宋_GB2312" w:cs="仿宋_GB2312"/>
          <w:color w:val="auto"/>
          <w:sz w:val="32"/>
          <w:szCs w:val="32"/>
          <w:lang w:val="en-US" w:eastAsia="zh-CN"/>
        </w:rPr>
        <w:fldChar w:fldCharType="separate"/>
      </w:r>
      <w:r>
        <w:rPr>
          <w:rStyle w:val="12"/>
          <w:rFonts w:hint="eastAsia" w:ascii="仿宋_GB2312" w:hAnsi="仿宋_GB2312" w:eastAsia="仿宋_GB2312" w:cs="仿宋_GB2312"/>
          <w:color w:val="auto"/>
          <w:sz w:val="32"/>
          <w:szCs w:val="32"/>
          <w:lang w:val="en-US" w:eastAsia="zh-CN"/>
        </w:rPr>
        <w:t>http://10.7.1.101/eci/pages/Waiting/newlist.do</w:t>
      </w:r>
      <w:r>
        <w:rPr>
          <w:rFonts w:hint="eastAsia" w:ascii="仿宋_GB2312" w:hAnsi="仿宋_GB2312" w:eastAsia="仿宋_GB2312" w:cs="仿宋_GB2312"/>
          <w:color w:val="auto"/>
          <w:sz w:val="32"/>
          <w:szCs w:val="32"/>
          <w:lang w:val="en-US" w:eastAsia="zh-CN"/>
        </w:rPr>
        <w:fldChar w:fldCharType="end"/>
      </w:r>
    </w:p>
    <w:p>
      <w:pPr>
        <w:widowControl/>
        <w:numPr>
          <w:ilvl w:val="0"/>
          <w:numId w:val="0"/>
        </w:numPr>
        <w:spacing w:line="576" w:lineRule="exact"/>
        <w:ind w:leftChars="200" w:firstLine="320" w:firstLineChars="1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十、广元市朝天区发展和改革局实行行政执法“三项制度”方案</w:t>
      </w:r>
    </w:p>
    <w:p>
      <w:pPr>
        <w:widowControl/>
        <w:numPr>
          <w:ilvl w:val="0"/>
          <w:numId w:val="0"/>
        </w:numPr>
        <w:spacing w:line="576" w:lineRule="exact"/>
        <w:ind w:left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比照执行四川省人民政府办公厅关于印发《四川省行政执法公示办法》《四川省行政执法全过程记录办法》《四川省重大行政执法决定法制审核办法》的通知（川办发[2021]3号）</w:t>
      </w:r>
    </w:p>
    <w:p>
      <w:pPr>
        <w:pStyle w:val="6"/>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十一、广元市朝天区发展和改革局分类检查目录和不予、免予、从轻、减轻、从重行政处罚清单</w:t>
      </w:r>
    </w:p>
    <w:p>
      <w:pPr>
        <w:pStyle w:val="6"/>
        <w:bidi w:val="0"/>
        <w:ind w:left="420" w:leftChars="200" w:firstLine="0" w:firstLineChars="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（一）分类检查目录</w:t>
      </w:r>
    </w:p>
    <w:tbl>
      <w:tblPr>
        <w:tblStyle w:val="8"/>
        <w:tblpPr w:leftFromText="180" w:rightFromText="180" w:vertAnchor="text" w:horzAnchor="page" w:tblpX="1775" w:tblpY="86"/>
        <w:tblOverlap w:val="never"/>
        <w:tblW w:w="881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456"/>
        <w:gridCol w:w="1169"/>
        <w:gridCol w:w="1245"/>
        <w:gridCol w:w="1140"/>
        <w:gridCol w:w="2355"/>
        <w:gridCol w:w="1995"/>
        <w:gridCol w:w="45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77" w:hRule="atLeast"/>
        </w:trPr>
        <w:tc>
          <w:tcPr>
            <w:tcW w:w="456"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序号</w:t>
            </w:r>
          </w:p>
        </w:tc>
        <w:tc>
          <w:tcPr>
            <w:tcW w:w="1169"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行政检查事项</w:t>
            </w:r>
          </w:p>
        </w:tc>
        <w:tc>
          <w:tcPr>
            <w:tcW w:w="124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实施机关</w:t>
            </w:r>
          </w:p>
        </w:tc>
        <w:tc>
          <w:tcPr>
            <w:tcW w:w="114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检查事项等级</w:t>
            </w:r>
          </w:p>
        </w:tc>
        <w:tc>
          <w:tcPr>
            <w:tcW w:w="235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default"/>
                <w:lang w:val="en-US" w:eastAsia="zh-CN"/>
              </w:rPr>
            </w:pPr>
            <w:r>
              <w:rPr>
                <w:rFonts w:hint="eastAsia"/>
                <w:lang w:val="en-US" w:eastAsia="zh-CN"/>
              </w:rPr>
              <w:t>检查对象划分</w:t>
            </w:r>
          </w:p>
        </w:tc>
        <w:tc>
          <w:tcPr>
            <w:tcW w:w="1995"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法律依据</w:t>
            </w:r>
          </w:p>
        </w:tc>
        <w:tc>
          <w:tcPr>
            <w:tcW w:w="450" w:type="dxa"/>
            <w:tcBorders>
              <w:top w:val="single" w:color="auto" w:sz="8"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备注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456"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1</w:t>
            </w:r>
          </w:p>
        </w:tc>
        <w:tc>
          <w:tcPr>
            <w:tcW w:w="1169"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节能监察</w:t>
            </w:r>
          </w:p>
        </w:tc>
        <w:tc>
          <w:tcPr>
            <w:tcW w:w="1245"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lang w:val="en-US" w:eastAsia="zh-CN"/>
              </w:rPr>
              <w:t>广元市朝天区</w:t>
            </w:r>
            <w:r>
              <w:rPr>
                <w:rFonts w:hint="eastAsia"/>
              </w:rPr>
              <w:t>发展和改革局</w:t>
            </w:r>
          </w:p>
        </w:tc>
        <w:tc>
          <w:tcPr>
            <w:tcW w:w="1140"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r>
              <w:rPr>
                <w:rFonts w:hint="eastAsia"/>
              </w:rPr>
              <w:t>一般检查</w:t>
            </w:r>
          </w:p>
        </w:tc>
        <w:tc>
          <w:tcPr>
            <w:tcW w:w="2355" w:type="dxa"/>
            <w:tcBorders>
              <w:top w:val="nil"/>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bidi w:val="0"/>
              <w:rPr>
                <w:rFonts w:hint="default"/>
                <w:lang w:val="en-US" w:eastAsia="zh-CN"/>
              </w:rPr>
            </w:pPr>
            <w:r>
              <w:rPr>
                <w:rFonts w:hint="eastAsia"/>
                <w:lang w:val="en-US" w:eastAsia="zh-CN"/>
              </w:rPr>
              <w:t>一般检查对象：未被投诉、举报、行政处罚的能源生产、经营、使用单位</w:t>
            </w:r>
          </w:p>
        </w:tc>
        <w:tc>
          <w:tcPr>
            <w:tcW w:w="1995"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r>
              <w:rPr>
                <w:rFonts w:hint="eastAsia"/>
              </w:rPr>
              <w:t>1.</w:t>
            </w:r>
            <w:r>
              <w:rPr>
                <w:rFonts w:hint="eastAsia"/>
                <w:lang w:val="en-US" w:eastAsia="zh-CN"/>
              </w:rPr>
              <w:t xml:space="preserve"> </w:t>
            </w:r>
            <w:r>
              <w:rPr>
                <w:rFonts w:hint="eastAsia"/>
              </w:rPr>
              <w:t>《中华人民共和国节约能源法》第十二条、第八十六条</w:t>
            </w:r>
            <w:r>
              <w:rPr>
                <w:rFonts w:hint="eastAsia"/>
              </w:rPr>
              <w:br w:type="textWrapping"/>
            </w:r>
            <w:r>
              <w:rPr>
                <w:rFonts w:hint="eastAsia"/>
              </w:rPr>
              <w:t>2.</w:t>
            </w:r>
            <w:r>
              <w:rPr>
                <w:rFonts w:hint="eastAsia"/>
                <w:lang w:val="en-US" w:eastAsia="zh-CN"/>
              </w:rPr>
              <w:t xml:space="preserve"> </w:t>
            </w:r>
            <w:r>
              <w:rPr>
                <w:rFonts w:hint="eastAsia"/>
              </w:rPr>
              <w:t>《节能监察办法》第二十五条</w:t>
            </w:r>
          </w:p>
        </w:tc>
        <w:tc>
          <w:tcPr>
            <w:tcW w:w="450"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50" w:hRule="atLeast"/>
        </w:trPr>
        <w:tc>
          <w:tcPr>
            <w:tcW w:w="456"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p>
        </w:tc>
        <w:tc>
          <w:tcPr>
            <w:tcW w:w="1169"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p>
        </w:tc>
        <w:tc>
          <w:tcPr>
            <w:tcW w:w="1245"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lang w:val="en-US" w:eastAsia="zh-CN"/>
              </w:rPr>
            </w:pPr>
          </w:p>
        </w:tc>
        <w:tc>
          <w:tcPr>
            <w:tcW w:w="1140"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2355" w:type="dxa"/>
            <w:tcBorders>
              <w:top w:val="single" w:color="auto" w:sz="4"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default"/>
                <w:lang w:val="en-US" w:eastAsia="zh-CN"/>
              </w:rPr>
            </w:pPr>
            <w:r>
              <w:rPr>
                <w:rFonts w:hint="eastAsia"/>
                <w:lang w:val="en-US" w:eastAsia="zh-CN"/>
              </w:rPr>
              <w:t>重点检查对象：有投诉、举报，责令整改但改正不完善或拒不改正的能源生产、经营、使用单位</w:t>
            </w:r>
          </w:p>
        </w:tc>
        <w:tc>
          <w:tcPr>
            <w:tcW w:w="1995"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450"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85" w:hRule="atLeast"/>
        </w:trPr>
        <w:tc>
          <w:tcPr>
            <w:tcW w:w="456"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rPr>
              <w:t>2</w:t>
            </w:r>
          </w:p>
        </w:tc>
        <w:tc>
          <w:tcPr>
            <w:tcW w:w="1169"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rPr>
            </w:pPr>
            <w:r>
              <w:rPr>
                <w:rFonts w:hint="eastAsia"/>
              </w:rPr>
              <w:t>对粮食经营者从事粮食收购、储存、运输活动和政策性粮食的购销活动，以及执行国家粮食流通统计制度的情况的检查</w:t>
            </w:r>
          </w:p>
        </w:tc>
        <w:tc>
          <w:tcPr>
            <w:tcW w:w="1245"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jc w:val="center"/>
              <w:rPr>
                <w:rFonts w:hint="eastAsia"/>
              </w:rPr>
            </w:pPr>
            <w:r>
              <w:rPr>
                <w:rFonts w:hint="eastAsia"/>
                <w:lang w:val="en-US" w:eastAsia="zh-CN"/>
              </w:rPr>
              <w:t>广元市朝天区</w:t>
            </w:r>
            <w:r>
              <w:rPr>
                <w:rFonts w:hint="eastAsia"/>
              </w:rPr>
              <w:t>发展和改革局</w:t>
            </w:r>
          </w:p>
        </w:tc>
        <w:tc>
          <w:tcPr>
            <w:tcW w:w="1140"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r>
              <w:rPr>
                <w:rFonts w:hint="eastAsia"/>
              </w:rPr>
              <w:t>一般检查</w:t>
            </w:r>
          </w:p>
        </w:tc>
        <w:tc>
          <w:tcPr>
            <w:tcW w:w="2355" w:type="dxa"/>
            <w:tcBorders>
              <w:top w:val="nil"/>
              <w:left w:val="single" w:color="auto" w:sz="8" w:space="0"/>
              <w:bottom w:val="single" w:color="auto" w:sz="4" w:space="0"/>
              <w:right w:val="single" w:color="auto" w:sz="8" w:space="0"/>
            </w:tcBorders>
            <w:shd w:val="clear" w:color="auto" w:fill="FFFFFF"/>
            <w:noWrap w:val="0"/>
            <w:tcMar>
              <w:left w:w="108" w:type="dxa"/>
              <w:right w:w="108" w:type="dxa"/>
            </w:tcMar>
            <w:vAlign w:val="center"/>
          </w:tcPr>
          <w:p>
            <w:pPr>
              <w:bidi w:val="0"/>
              <w:rPr>
                <w:rFonts w:hint="default"/>
                <w:lang w:val="en-US" w:eastAsia="zh-CN"/>
              </w:rPr>
            </w:pPr>
            <w:r>
              <w:rPr>
                <w:rFonts w:hint="eastAsia"/>
                <w:lang w:val="en-US" w:eastAsia="zh-CN"/>
              </w:rPr>
              <w:t>一般检查对象：未被投诉、举报、行政处罚，且依法依规执行国家政策的粮食收购者、粮食储存企业</w:t>
            </w:r>
          </w:p>
        </w:tc>
        <w:tc>
          <w:tcPr>
            <w:tcW w:w="1995"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r>
              <w:rPr>
                <w:rFonts w:hint="eastAsia"/>
              </w:rPr>
              <w:t>1</w:t>
            </w:r>
            <w:r>
              <w:rPr>
                <w:rFonts w:hint="eastAsia"/>
                <w:lang w:val="en-US" w:eastAsia="zh-CN"/>
              </w:rPr>
              <w:t xml:space="preserve">. </w:t>
            </w:r>
            <w:r>
              <w:rPr>
                <w:rFonts w:hint="eastAsia"/>
              </w:rPr>
              <w:t>《粮食流通管理条例》第四十二条</w:t>
            </w:r>
            <w:r>
              <w:rPr>
                <w:rFonts w:hint="eastAsia"/>
              </w:rPr>
              <w:br w:type="textWrapping"/>
            </w:r>
            <w:r>
              <w:rPr>
                <w:rFonts w:hint="eastAsia"/>
              </w:rPr>
              <w:t>2</w:t>
            </w:r>
            <w:r>
              <w:rPr>
                <w:rFonts w:hint="eastAsia"/>
                <w:lang w:val="en-US" w:eastAsia="zh-CN"/>
              </w:rPr>
              <w:t xml:space="preserve">. </w:t>
            </w:r>
            <w:r>
              <w:rPr>
                <w:rFonts w:hint="eastAsia"/>
              </w:rPr>
              <w:t>《四川省&lt;粮食流通管理条例&gt;实施办法》第四十条、四十一条</w:t>
            </w:r>
          </w:p>
        </w:tc>
        <w:tc>
          <w:tcPr>
            <w:tcW w:w="450" w:type="dxa"/>
            <w:vMerge w:val="restart"/>
            <w:tcBorders>
              <w:top w:val="nil"/>
              <w:left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282" w:hRule="atLeast"/>
        </w:trPr>
        <w:tc>
          <w:tcPr>
            <w:tcW w:w="456"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1169"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1245"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lang w:val="en-US" w:eastAsia="zh-CN"/>
              </w:rPr>
            </w:pPr>
          </w:p>
        </w:tc>
        <w:tc>
          <w:tcPr>
            <w:tcW w:w="1140"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2355" w:type="dxa"/>
            <w:tcBorders>
              <w:top w:val="single" w:color="auto" w:sz="4" w:space="0"/>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default"/>
                <w:lang w:val="en-US" w:eastAsia="zh-CN"/>
              </w:rPr>
            </w:pPr>
            <w:r>
              <w:rPr>
                <w:rFonts w:hint="eastAsia"/>
                <w:lang w:val="en-US" w:eastAsia="zh-CN"/>
              </w:rPr>
              <w:t>重点检查对象：有投诉、举报，且违反国家政策，责令整改但改正不完善或拒不改正的粮食收购者、粮食储存企业</w:t>
            </w:r>
          </w:p>
        </w:tc>
        <w:tc>
          <w:tcPr>
            <w:tcW w:w="1995"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c>
          <w:tcPr>
            <w:tcW w:w="450" w:type="dxa"/>
            <w:vMerge w:val="continue"/>
            <w:tcBorders>
              <w:left w:val="single" w:color="auto" w:sz="8" w:space="0"/>
              <w:bottom w:val="single" w:color="auto" w:sz="8" w:space="0"/>
              <w:right w:val="single" w:color="auto" w:sz="8" w:space="0"/>
            </w:tcBorders>
            <w:shd w:val="clear" w:color="auto" w:fill="FFFFFF"/>
            <w:noWrap w:val="0"/>
            <w:tcMar>
              <w:left w:w="108" w:type="dxa"/>
              <w:right w:w="108" w:type="dxa"/>
            </w:tcMar>
            <w:vAlign w:val="center"/>
          </w:tcPr>
          <w:p>
            <w:pPr>
              <w:bidi w:val="0"/>
              <w:rPr>
                <w:rFonts w:hint="eastAsia"/>
              </w:rPr>
            </w:pPr>
          </w:p>
        </w:tc>
      </w:tr>
    </w:tbl>
    <w:p>
      <w:pPr>
        <w:pStyle w:val="6"/>
        <w:ind w:left="638" w:leftChars="304" w:firstLine="0" w:firstLineChars="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）不予或免于行政处罚事项清单</w:t>
      </w:r>
    </w:p>
    <w:tbl>
      <w:tblPr>
        <w:tblStyle w:val="8"/>
        <w:tblW w:w="8839"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522"/>
        <w:gridCol w:w="1491"/>
        <w:gridCol w:w="1171"/>
        <w:gridCol w:w="1305"/>
        <w:gridCol w:w="3881"/>
        <w:gridCol w:w="46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15"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序号</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行政处罚事项</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实施机关</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不予</w:t>
            </w:r>
            <w:r>
              <w:rPr>
                <w:rFonts w:hint="eastAsia"/>
                <w:sz w:val="21"/>
                <w:szCs w:val="21"/>
                <w:lang w:val="en-US" w:eastAsia="zh-CN"/>
              </w:rPr>
              <w:t>或免于</w:t>
            </w:r>
            <w:r>
              <w:rPr>
                <w:rFonts w:hint="eastAsia"/>
                <w:sz w:val="21"/>
                <w:szCs w:val="21"/>
              </w:rPr>
              <w:t>处罚适用条件</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法律依据</w:t>
            </w:r>
          </w:p>
        </w:tc>
        <w:tc>
          <w:tcPr>
            <w:tcW w:w="46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备注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778"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eastAsia" w:eastAsia="宋体"/>
                <w:sz w:val="21"/>
                <w:szCs w:val="21"/>
                <w:lang w:eastAsia="zh-CN"/>
              </w:rPr>
            </w:pPr>
            <w:r>
              <w:rPr>
                <w:rFonts w:hint="eastAsia"/>
                <w:sz w:val="21"/>
                <w:szCs w:val="21"/>
                <w:lang w:val="en-US" w:eastAsia="zh-CN"/>
              </w:rPr>
              <w:t>1</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对法律法规未明确规定行政监督部门的工程建设项目招标人以不合理的条件限制或者排斥潜在投标人的行政处罚</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lang w:val="en-US" w:eastAsia="zh-CN"/>
              </w:rPr>
              <w:t>广元市朝天区</w:t>
            </w:r>
            <w:r>
              <w:rPr>
                <w:rFonts w:hint="eastAsia"/>
                <w:sz w:val="21"/>
                <w:szCs w:val="21"/>
              </w:rPr>
              <w:t>发展和改革局</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lang w:val="en-US" w:eastAsia="zh-CN"/>
              </w:rPr>
              <w:t>初次违法且危害后果轻微并及时改正的</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ind w:firstLine="420" w:firstLineChars="200"/>
              <w:jc w:val="left"/>
              <w:rPr>
                <w:rFonts w:hint="default"/>
                <w:sz w:val="21"/>
                <w:szCs w:val="21"/>
              </w:rPr>
            </w:pPr>
            <w:r>
              <w:rPr>
                <w:rFonts w:hint="eastAsia"/>
                <w:sz w:val="21"/>
                <w:szCs w:val="21"/>
              </w:rPr>
              <w:t>《中华人民共和国招标投标法》第51条“招标人以不合理的条 件限制或者排斥潜在投标人的，对潜在投标人实行歧视待遇的，强制要求投标人组成联合体共同投标的，或者限制投标人之间竞争的，责令改正，可以处一万元以上五万元以下的罚款。”</w:t>
            </w:r>
          </w:p>
        </w:tc>
        <w:tc>
          <w:tcPr>
            <w:tcW w:w="46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180"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eastAsia" w:eastAsia="宋体"/>
                <w:sz w:val="21"/>
                <w:szCs w:val="21"/>
                <w:lang w:val="en-US" w:eastAsia="zh-CN"/>
              </w:rPr>
            </w:pPr>
            <w:r>
              <w:rPr>
                <w:rFonts w:hint="eastAsia"/>
                <w:sz w:val="21"/>
                <w:szCs w:val="21"/>
                <w:lang w:val="en-US" w:eastAsia="zh-CN"/>
              </w:rPr>
              <w:t>2</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对法律法规未明确规定行政监督部门的工程建设项目招标人在发布招标公告、发出投标邀请书或者招标文件后终止招标的行政处罚</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lang w:val="en-US" w:eastAsia="zh-CN"/>
              </w:rPr>
              <w:t>广元市朝天区</w:t>
            </w:r>
            <w:r>
              <w:rPr>
                <w:rFonts w:hint="eastAsia"/>
                <w:sz w:val="21"/>
                <w:szCs w:val="21"/>
              </w:rPr>
              <w:t>发展和改革局</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eastAsia"/>
                <w:sz w:val="21"/>
                <w:szCs w:val="21"/>
              </w:rPr>
              <w:t>违法行为当事人有证据足以证明没有主观过错的</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ind w:firstLine="420" w:firstLineChars="200"/>
              <w:jc w:val="left"/>
              <w:rPr>
                <w:rFonts w:hint="default"/>
                <w:sz w:val="21"/>
                <w:szCs w:val="21"/>
              </w:rPr>
            </w:pPr>
            <w:r>
              <w:rPr>
                <w:rFonts w:hint="default"/>
                <w:sz w:val="21"/>
                <w:szCs w:val="21"/>
              </w:rPr>
              <w:t>《工程建设项目施工招标投标办法》(七部委30号令，2013年4月修订)第72条“招标人在发布招标公告、发出投标邀请书或者售出招标文件或资格预审文件后终止招标的，应当及时退还所收取的资格预审文件、招标文件的费用，以及所收取的投标保证金及银行同期存款利息。给潜在投标人或者投标人造成损失的，应当赔偿损失。”</w:t>
            </w:r>
          </w:p>
        </w:tc>
        <w:tc>
          <w:tcPr>
            <w:tcW w:w="46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27"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eastAsia" w:eastAsia="宋体"/>
                <w:sz w:val="21"/>
                <w:szCs w:val="21"/>
                <w:lang w:val="en-US" w:eastAsia="zh-CN"/>
              </w:rPr>
            </w:pPr>
            <w:r>
              <w:rPr>
                <w:rFonts w:hint="eastAsia"/>
                <w:sz w:val="21"/>
                <w:szCs w:val="21"/>
                <w:lang w:val="en-US" w:eastAsia="zh-CN"/>
              </w:rPr>
              <w:t>3</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对重点用能单位未履行节能管理义务的行政处罚</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广元市</w:t>
            </w:r>
            <w:r>
              <w:rPr>
                <w:rFonts w:hint="eastAsia"/>
                <w:sz w:val="21"/>
                <w:szCs w:val="21"/>
                <w:lang w:eastAsia="zh-CN"/>
              </w:rPr>
              <w:t>朝天</w:t>
            </w:r>
            <w:r>
              <w:rPr>
                <w:rFonts w:hint="default"/>
                <w:sz w:val="21"/>
                <w:szCs w:val="21"/>
              </w:rPr>
              <w:t>区发展和改革局</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违法行为轻微并及时整改的</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rPr>
                <w:rFonts w:hint="default"/>
                <w:sz w:val="21"/>
                <w:szCs w:val="21"/>
              </w:rPr>
            </w:pPr>
            <w:r>
              <w:rPr>
                <w:rFonts w:hint="eastAsia"/>
                <w:sz w:val="21"/>
                <w:szCs w:val="21"/>
                <w:lang w:val="en-US" w:eastAsia="zh-CN"/>
              </w:rPr>
              <w:t xml:space="preserve">    </w:t>
            </w:r>
            <w:r>
              <w:rPr>
                <w:rFonts w:hint="default"/>
                <w:sz w:val="21"/>
                <w:szCs w:val="21"/>
              </w:rPr>
              <w:t>《重点用能单位节能管理办法》（国家发展改革委等7部委令2018年第15号）第二十六条 对节能管理制度不健全、节能措施不落实、能源利用效率低的重点用能单位，管理节能工作的部门应当开展现场调查，组织实施用能设备能源效率检测，责令实施能源审计，并提出书面整改要求，限期整改。重点用能单位无正当理由拒不落实整改要求或者整改没有达到要求的，由管理节能工作的部门处十万元以上三十万元以下罚款。对节能考核结果为未完成等级的重点用能单位，拒不落实管理节能工作的部门要求实施能源审计、报送能源审计报告、提出整改措施并限期整改的，由管理节能工作的部门处一万元以上三万元以下罚款。</w:t>
            </w:r>
          </w:p>
        </w:tc>
        <w:tc>
          <w:tcPr>
            <w:tcW w:w="46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eastAsia" w:eastAsia="宋体"/>
                <w:sz w:val="21"/>
                <w:szCs w:val="21"/>
                <w:lang w:val="en-US" w:eastAsia="zh-CN"/>
              </w:rPr>
            </w:pPr>
            <w:r>
              <w:rPr>
                <w:rFonts w:hint="eastAsia"/>
                <w:sz w:val="21"/>
                <w:szCs w:val="21"/>
                <w:lang w:val="en-US" w:eastAsia="zh-CN"/>
              </w:rPr>
              <w:t>4</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eastAsia="宋体"/>
                <w:sz w:val="21"/>
                <w:szCs w:val="21"/>
                <w:lang w:val="en-US" w:eastAsia="zh-CN"/>
              </w:rPr>
            </w:pPr>
            <w:r>
              <w:rPr>
                <w:rFonts w:hint="eastAsia"/>
                <w:sz w:val="21"/>
                <w:szCs w:val="21"/>
                <w:lang w:val="en-US" w:eastAsia="zh-CN"/>
              </w:rPr>
              <w:t>对企业拆分项目、隐瞒有关情况或者提供虚假申报材料等不正当手段申请项目核准、备案的行政处罚</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广元市</w:t>
            </w:r>
            <w:r>
              <w:rPr>
                <w:rFonts w:hint="eastAsia"/>
                <w:sz w:val="21"/>
                <w:szCs w:val="21"/>
                <w:lang w:eastAsia="zh-CN"/>
              </w:rPr>
              <w:t>朝天</w:t>
            </w:r>
            <w:r>
              <w:rPr>
                <w:rFonts w:hint="default"/>
                <w:sz w:val="21"/>
                <w:szCs w:val="21"/>
              </w:rPr>
              <w:t>区发展和改革局</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违法行为轻微并及时整改的</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ind w:firstLine="420" w:firstLineChars="200"/>
              <w:jc w:val="left"/>
              <w:rPr>
                <w:rFonts w:hint="default"/>
                <w:sz w:val="21"/>
                <w:szCs w:val="21"/>
              </w:rPr>
            </w:pPr>
            <w:r>
              <w:rPr>
                <w:rFonts w:hint="eastAsia"/>
                <w:sz w:val="21"/>
                <w:szCs w:val="21"/>
                <w:lang w:eastAsia="zh-CN"/>
              </w:rPr>
              <w:t>《</w:t>
            </w:r>
            <w:r>
              <w:rPr>
                <w:rFonts w:hint="default"/>
                <w:sz w:val="21"/>
                <w:szCs w:val="21"/>
              </w:rPr>
              <w:t>四川省人民政府办公厅关于印发四川省企业投资项目核准和备案管理办法的通知</w:t>
            </w:r>
            <w:r>
              <w:rPr>
                <w:rFonts w:hint="eastAsia"/>
                <w:sz w:val="21"/>
                <w:szCs w:val="21"/>
                <w:lang w:eastAsia="zh-CN"/>
              </w:rPr>
              <w:t>》（</w:t>
            </w:r>
            <w:r>
              <w:rPr>
                <w:rFonts w:hint="default"/>
                <w:sz w:val="21"/>
                <w:szCs w:val="21"/>
              </w:rPr>
              <w:t>川办发〔2018〕23号</w:t>
            </w:r>
            <w:r>
              <w:rPr>
                <w:rFonts w:hint="eastAsia"/>
                <w:sz w:val="21"/>
                <w:szCs w:val="21"/>
                <w:lang w:eastAsia="zh-CN"/>
              </w:rPr>
              <w:t>）</w:t>
            </w:r>
            <w:r>
              <w:rPr>
                <w:rFonts w:hint="default"/>
                <w:sz w:val="21"/>
                <w:szCs w:val="21"/>
              </w:rPr>
              <w:t>第五十七条　企业以分拆项目、隐瞒有关情况或者提供虚假申报材料等不正当手段申请核准、备案的，项目核准、备案机关不予受理或者不予核准、备案，并给予警告。</w:t>
            </w:r>
          </w:p>
        </w:tc>
        <w:tc>
          <w:tcPr>
            <w:tcW w:w="469" w:type="dxa"/>
            <w:tcBorders>
              <w:top w:val="single" w:color="000000" w:sz="6" w:space="0"/>
              <w:left w:val="single" w:color="000000" w:sz="6" w:space="0"/>
              <w:bottom w:val="single" w:color="000000" w:sz="6" w:space="0"/>
              <w:right w:val="single" w:color="000000" w:sz="6" w:space="0"/>
            </w:tcBorders>
            <w:noWrap w:val="0"/>
            <w:vAlign w:val="center"/>
          </w:tcPr>
          <w:p>
            <w:pPr>
              <w:bidi w:val="0"/>
              <w:jc w:val="center"/>
              <w:rPr>
                <w:rFonts w:hint="default"/>
                <w:sz w:val="21"/>
                <w:szCs w:val="21"/>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185" w:hRule="atLeast"/>
          <w:jc w:val="center"/>
        </w:trPr>
        <w:tc>
          <w:tcPr>
            <w:tcW w:w="522"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lang w:val="en-US" w:eastAsia="zh-CN"/>
              </w:rPr>
            </w:pPr>
            <w:r>
              <w:rPr>
                <w:rFonts w:hint="eastAsia"/>
                <w:sz w:val="21"/>
                <w:szCs w:val="21"/>
                <w:lang w:val="en-US" w:eastAsia="zh-CN"/>
              </w:rPr>
              <w:t>5</w:t>
            </w:r>
          </w:p>
        </w:tc>
        <w:tc>
          <w:tcPr>
            <w:tcW w:w="149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eastAsia"/>
                <w:sz w:val="21"/>
                <w:szCs w:val="21"/>
                <w:lang w:val="en-US" w:eastAsia="zh-CN"/>
              </w:rPr>
            </w:pPr>
            <w:r>
              <w:rPr>
                <w:rFonts w:hint="eastAsia"/>
                <w:sz w:val="21"/>
                <w:szCs w:val="21"/>
                <w:lang w:val="en-US" w:eastAsia="zh-CN"/>
              </w:rPr>
              <w:t>对粮油仓储单位未在规定时间备案或备案内容弄虚作假的行政处罚</w:t>
            </w:r>
          </w:p>
        </w:tc>
        <w:tc>
          <w:tcPr>
            <w:tcW w:w="117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广元市</w:t>
            </w:r>
            <w:r>
              <w:rPr>
                <w:rFonts w:hint="eastAsia"/>
                <w:sz w:val="21"/>
                <w:szCs w:val="21"/>
                <w:lang w:eastAsia="zh-CN"/>
              </w:rPr>
              <w:t>朝天</w:t>
            </w:r>
            <w:r>
              <w:rPr>
                <w:rFonts w:hint="default"/>
                <w:sz w:val="21"/>
                <w:szCs w:val="21"/>
              </w:rPr>
              <w:t>区发展和改革局</w:t>
            </w:r>
          </w:p>
        </w:tc>
        <w:tc>
          <w:tcPr>
            <w:tcW w:w="130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jc w:val="center"/>
              <w:rPr>
                <w:rFonts w:hint="default"/>
                <w:sz w:val="21"/>
                <w:szCs w:val="21"/>
              </w:rPr>
            </w:pPr>
            <w:r>
              <w:rPr>
                <w:rFonts w:hint="default"/>
                <w:sz w:val="21"/>
                <w:szCs w:val="21"/>
              </w:rPr>
              <w:t>违法行为轻微并及时整改的</w:t>
            </w:r>
          </w:p>
        </w:tc>
        <w:tc>
          <w:tcPr>
            <w:tcW w:w="388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pPr>
              <w:bidi w:val="0"/>
              <w:ind w:firstLine="420" w:firstLineChars="200"/>
              <w:jc w:val="left"/>
              <w:rPr>
                <w:rFonts w:hint="eastAsia"/>
                <w:sz w:val="21"/>
                <w:szCs w:val="21"/>
                <w:lang w:eastAsia="zh-CN"/>
              </w:rPr>
            </w:pPr>
            <w:r>
              <w:rPr>
                <w:rFonts w:hint="eastAsia"/>
                <w:sz w:val="21"/>
                <w:szCs w:val="21"/>
                <w:lang w:eastAsia="zh-CN"/>
              </w:rPr>
              <w:t>《粮食流通管理条例》（2021修订版）第四十三条 粮食收购企业未按照规定备案或者提供虚假备案信息的，由粮食和储备行政管理部门责令改正，给予警告;拒不改正的，处2万元以上5万元以下罚款。</w:t>
            </w:r>
          </w:p>
        </w:tc>
        <w:tc>
          <w:tcPr>
            <w:tcW w:w="469" w:type="dxa"/>
            <w:tcBorders>
              <w:top w:val="single" w:color="000000" w:sz="6" w:space="0"/>
              <w:left w:val="single" w:color="000000" w:sz="6" w:space="0"/>
              <w:bottom w:val="single" w:color="000000" w:sz="6" w:space="0"/>
              <w:right w:val="single" w:color="000000" w:sz="6" w:space="0"/>
            </w:tcBorders>
            <w:noWrap w:val="0"/>
            <w:vAlign w:val="center"/>
          </w:tcPr>
          <w:p>
            <w:pPr>
              <w:bidi w:val="0"/>
              <w:jc w:val="center"/>
              <w:rPr>
                <w:rFonts w:hint="default"/>
                <w:sz w:val="21"/>
                <w:szCs w:val="21"/>
              </w:rPr>
            </w:pPr>
          </w:p>
        </w:tc>
      </w:tr>
    </w:tbl>
    <w:p>
      <w:pPr>
        <w:pStyle w:val="6"/>
        <w:ind w:left="638" w:leftChars="304" w:firstLine="0" w:firstLineChars="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（三）减轻或从轻行政处罚事项清单</w:t>
      </w:r>
    </w:p>
    <w:tbl>
      <w:tblPr>
        <w:tblStyle w:val="8"/>
        <w:tblW w:w="890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6"/>
        <w:gridCol w:w="1587"/>
        <w:gridCol w:w="1034"/>
        <w:gridCol w:w="1291"/>
        <w:gridCol w:w="3922"/>
        <w:gridCol w:w="4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4" w:hRule="atLeast"/>
          <w:jc w:val="center"/>
        </w:trPr>
        <w:tc>
          <w:tcPr>
            <w:tcW w:w="596"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rPr>
              <w:t>序号</w:t>
            </w:r>
          </w:p>
        </w:tc>
        <w:tc>
          <w:tcPr>
            <w:tcW w:w="1587"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rPr>
              <w:t>行政处罚事项</w:t>
            </w:r>
          </w:p>
        </w:tc>
        <w:tc>
          <w:tcPr>
            <w:tcW w:w="1034"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rPr>
              <w:t>实施机关</w:t>
            </w:r>
          </w:p>
        </w:tc>
        <w:tc>
          <w:tcPr>
            <w:tcW w:w="1291"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lang w:val="en-US" w:eastAsia="zh-CN"/>
              </w:rPr>
              <w:t>减轻或</w:t>
            </w:r>
            <w:r>
              <w:rPr>
                <w:rFonts w:hint="eastAsia"/>
              </w:rPr>
              <w:t>从轻处罚适用条件</w:t>
            </w:r>
          </w:p>
        </w:tc>
        <w:tc>
          <w:tcPr>
            <w:tcW w:w="3922"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rPr>
              <w:t>法律依据</w:t>
            </w:r>
          </w:p>
        </w:tc>
        <w:tc>
          <w:tcPr>
            <w:tcW w:w="478" w:type="dxa"/>
            <w:tcBorders>
              <w:tl2br w:val="nil"/>
              <w:tr2bl w:val="nil"/>
            </w:tcBorders>
            <w:noWrap w:val="0"/>
            <w:tcMar>
              <w:top w:w="15" w:type="dxa"/>
              <w:left w:w="15" w:type="dxa"/>
              <w:bottom w:w="15" w:type="dxa"/>
              <w:right w:w="15" w:type="dxa"/>
            </w:tcMar>
            <w:vAlign w:val="center"/>
          </w:tcPr>
          <w:p>
            <w:pPr>
              <w:bidi w:val="0"/>
              <w:jc w:val="center"/>
              <w:rPr>
                <w:rFonts w:hint="default"/>
              </w:rPr>
            </w:pPr>
            <w:r>
              <w:rPr>
                <w:rFonts w:hint="eastAsia"/>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5" w:hRule="atLeast"/>
          <w:jc w:val="center"/>
        </w:trPr>
        <w:tc>
          <w:tcPr>
            <w:tcW w:w="596"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587"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r>
              <w:rPr>
                <w:rFonts w:hint="eastAsia" w:ascii="宋体" w:hAnsi="宋体" w:eastAsia="宋体" w:cs="宋体"/>
                <w:lang w:val="en-US" w:eastAsia="zh-CN"/>
              </w:rPr>
              <w:t>对粮食收购者等未执行国家粮食质量标准，未及时支付售粮款，违反规定代扣、代缴税、费和其他款项，未按规定进行质量安全检验或者对不符合粮食安全标准的粮食未作为非食用用途单独储存，未建立粮食经营台账或者未按规定报送粮食基本数据和有关情况，未按规定进行粮食销售出库质量安全检验的行政处罚</w:t>
            </w:r>
          </w:p>
        </w:tc>
        <w:tc>
          <w:tcPr>
            <w:tcW w:w="1034"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lang w:val="en-US" w:eastAsia="zh-CN"/>
              </w:rPr>
            </w:pPr>
            <w:r>
              <w:rPr>
                <w:rFonts w:hint="eastAsia" w:ascii="宋体" w:hAnsi="宋体" w:eastAsia="宋体" w:cs="宋体"/>
                <w:lang w:val="en-US" w:eastAsia="zh-CN"/>
              </w:rPr>
              <w:t>广元市朝天区发展和改革局</w:t>
            </w:r>
          </w:p>
        </w:tc>
        <w:tc>
          <w:tcPr>
            <w:tcW w:w="1291"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r>
              <w:rPr>
                <w:rFonts w:hint="eastAsia" w:ascii="宋体" w:hAnsi="宋体" w:eastAsia="宋体" w:cs="宋体"/>
              </w:rPr>
              <w:t>已及时进行整改</w:t>
            </w:r>
          </w:p>
        </w:tc>
        <w:tc>
          <w:tcPr>
            <w:tcW w:w="3922" w:type="dxa"/>
            <w:tcBorders>
              <w:tl2br w:val="nil"/>
              <w:tr2bl w:val="nil"/>
            </w:tcBorders>
            <w:noWrap w:val="0"/>
            <w:tcMar>
              <w:top w:w="15" w:type="dxa"/>
              <w:left w:w="15" w:type="dxa"/>
              <w:bottom w:w="15" w:type="dxa"/>
              <w:right w:w="15" w:type="dxa"/>
            </w:tcMar>
            <w:vAlign w:val="center"/>
          </w:tcPr>
          <w:p>
            <w:pPr>
              <w:bidi w:val="0"/>
              <w:ind w:firstLine="420" w:firstLineChars="200"/>
              <w:jc w:val="left"/>
              <w:rPr>
                <w:rFonts w:hint="eastAsia" w:ascii="宋体" w:hAnsi="宋体" w:eastAsia="宋体" w:cs="宋体"/>
              </w:rPr>
            </w:pPr>
            <w:r>
              <w:rPr>
                <w:rFonts w:hint="eastAsia" w:ascii="宋体" w:hAnsi="宋体" w:eastAsia="宋体" w:cs="宋体"/>
              </w:rPr>
              <w:t>《粮食流通管理条例》（2021修订版）第四十</w:t>
            </w:r>
            <w:r>
              <w:rPr>
                <w:rFonts w:hint="eastAsia" w:ascii="宋体" w:hAnsi="宋体" w:eastAsia="宋体" w:cs="宋体"/>
                <w:lang w:val="en-US" w:eastAsia="zh-CN"/>
              </w:rPr>
              <w:t>五</w:t>
            </w:r>
            <w:r>
              <w:rPr>
                <w:rFonts w:hint="eastAsia" w:ascii="宋体" w:hAnsi="宋体" w:eastAsia="宋体" w:cs="宋体"/>
              </w:rPr>
              <w:t>条</w:t>
            </w:r>
            <w:r>
              <w:rPr>
                <w:rFonts w:hint="eastAsia" w:ascii="宋体" w:hAnsi="宋体" w:eastAsia="宋体" w:cs="宋体"/>
                <w:lang w:val="en-US" w:eastAsia="zh-CN"/>
              </w:rPr>
              <w:t xml:space="preserve"> </w:t>
            </w:r>
            <w:r>
              <w:rPr>
                <w:rFonts w:hint="eastAsia" w:ascii="宋体" w:hAnsi="宋体" w:eastAsia="宋体" w:cs="宋体"/>
              </w:rPr>
              <w:t>有下列情形之一的，由粮食和储备行政管理部门责令改正，给予警告，可以并处20万元以下罚款</w:t>
            </w:r>
            <w:r>
              <w:rPr>
                <w:rFonts w:hint="eastAsia" w:ascii="宋体" w:hAnsi="宋体" w:eastAsia="宋体" w:cs="宋体"/>
                <w:lang w:eastAsia="zh-CN"/>
              </w:rPr>
              <w:t>；</w:t>
            </w:r>
            <w:r>
              <w:rPr>
                <w:rFonts w:hint="eastAsia" w:ascii="宋体" w:hAnsi="宋体" w:eastAsia="宋体" w:cs="宋体"/>
              </w:rPr>
              <w:t>情节严重的，并处20万元以上50万元以下罚款。</w:t>
            </w:r>
          </w:p>
        </w:tc>
        <w:tc>
          <w:tcPr>
            <w:tcW w:w="478"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p>
        </w:tc>
      </w:tr>
    </w:tbl>
    <w:p>
      <w:pPr>
        <w:pStyle w:val="6"/>
        <w:ind w:left="638" w:leftChars="304" w:firstLine="0" w:firstLineChars="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（四）从重行政处罚清单</w:t>
      </w:r>
    </w:p>
    <w:tbl>
      <w:tblPr>
        <w:tblStyle w:val="8"/>
        <w:tblW w:w="91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52"/>
        <w:gridCol w:w="1528"/>
        <w:gridCol w:w="1033"/>
        <w:gridCol w:w="1602"/>
        <w:gridCol w:w="3735"/>
        <w:gridCol w:w="4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3" w:hRule="atLeast"/>
          <w:jc w:val="center"/>
        </w:trPr>
        <w:tc>
          <w:tcPr>
            <w:tcW w:w="752"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序号</w:t>
            </w:r>
          </w:p>
        </w:tc>
        <w:tc>
          <w:tcPr>
            <w:tcW w:w="1528"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行政处罚事项</w:t>
            </w:r>
          </w:p>
        </w:tc>
        <w:tc>
          <w:tcPr>
            <w:tcW w:w="1033"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实施机关</w:t>
            </w:r>
          </w:p>
        </w:tc>
        <w:tc>
          <w:tcPr>
            <w:tcW w:w="1602"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从重处罚适用条件</w:t>
            </w:r>
          </w:p>
        </w:tc>
        <w:tc>
          <w:tcPr>
            <w:tcW w:w="3735"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法律依据</w:t>
            </w:r>
          </w:p>
        </w:tc>
        <w:tc>
          <w:tcPr>
            <w:tcW w:w="450" w:type="dxa"/>
            <w:tcBorders>
              <w:tl2br w:val="nil"/>
              <w:tr2bl w:val="nil"/>
            </w:tcBorders>
            <w:noWrap w:val="0"/>
            <w:tcMar>
              <w:top w:w="15" w:type="dxa"/>
              <w:left w:w="15" w:type="dxa"/>
              <w:bottom w:w="15" w:type="dxa"/>
              <w:right w:w="15" w:type="dxa"/>
            </w:tcMar>
            <w:vAlign w:val="center"/>
          </w:tcPr>
          <w:p>
            <w:pPr>
              <w:bidi w:val="0"/>
              <w:jc w:val="center"/>
              <w:rPr>
                <w:rFonts w:hint="default"/>
                <w:sz w:val="24"/>
                <w:szCs w:val="24"/>
              </w:rPr>
            </w:pPr>
            <w:r>
              <w:rPr>
                <w:rFonts w:hint="eastAsia"/>
                <w:sz w:val="24"/>
                <w:szCs w:val="24"/>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90" w:hRule="atLeast"/>
          <w:jc w:val="center"/>
        </w:trPr>
        <w:tc>
          <w:tcPr>
            <w:tcW w:w="752"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r>
              <w:rPr>
                <w:rFonts w:hint="eastAsia" w:ascii="宋体" w:hAnsi="宋体" w:eastAsia="宋体" w:cs="宋体"/>
              </w:rPr>
              <w:t>1</w:t>
            </w:r>
          </w:p>
        </w:tc>
        <w:tc>
          <w:tcPr>
            <w:tcW w:w="1528"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r>
              <w:rPr>
                <w:rFonts w:hint="eastAsia" w:ascii="宋体" w:hAnsi="宋体" w:eastAsia="宋体" w:cs="宋体"/>
              </w:rPr>
              <w:t>对招标人规避招标的行政处罚</w:t>
            </w:r>
          </w:p>
        </w:tc>
        <w:tc>
          <w:tcPr>
            <w:tcW w:w="1033" w:type="dxa"/>
            <w:tcBorders>
              <w:tl2br w:val="nil"/>
              <w:tr2bl w:val="nil"/>
            </w:tcBorders>
            <w:noWrap w:val="0"/>
            <w:tcMar>
              <w:top w:w="15" w:type="dxa"/>
              <w:left w:w="15" w:type="dxa"/>
              <w:bottom w:w="15" w:type="dxa"/>
              <w:right w:w="15" w:type="dxa"/>
            </w:tcMar>
            <w:vAlign w:val="center"/>
          </w:tcPr>
          <w:p>
            <w:pPr>
              <w:bidi w:val="0"/>
              <w:jc w:val="center"/>
              <w:rPr>
                <w:rFonts w:hint="eastAsia" w:ascii="宋体" w:hAnsi="宋体" w:eastAsia="宋体" w:cs="宋体"/>
              </w:rPr>
            </w:pPr>
            <w:r>
              <w:rPr>
                <w:rFonts w:hint="eastAsia" w:ascii="宋体" w:hAnsi="宋体" w:eastAsia="宋体" w:cs="宋体"/>
                <w:lang w:val="en-US" w:eastAsia="zh-CN"/>
              </w:rPr>
              <w:t>广元市朝天区</w:t>
            </w:r>
            <w:r>
              <w:rPr>
                <w:rFonts w:hint="eastAsia" w:ascii="宋体" w:hAnsi="宋体" w:eastAsia="宋体" w:cs="宋体"/>
              </w:rPr>
              <w:t>发展和改革局</w:t>
            </w:r>
          </w:p>
        </w:tc>
        <w:tc>
          <w:tcPr>
            <w:tcW w:w="1602" w:type="dxa"/>
            <w:tcBorders>
              <w:tl2br w:val="nil"/>
              <w:tr2bl w:val="nil"/>
            </w:tcBorders>
            <w:noWrap w:val="0"/>
            <w:tcMar>
              <w:top w:w="15" w:type="dxa"/>
              <w:left w:w="15" w:type="dxa"/>
              <w:bottom w:w="15" w:type="dxa"/>
              <w:right w:w="15" w:type="dxa"/>
            </w:tcMar>
            <w:vAlign w:val="center"/>
          </w:tcPr>
          <w:p>
            <w:pPr>
              <w:bidi w:val="0"/>
              <w:jc w:val="left"/>
              <w:rPr>
                <w:rFonts w:hint="eastAsia" w:ascii="宋体" w:hAnsi="宋体" w:eastAsia="宋体" w:cs="宋体"/>
                <w:lang w:val="en-US" w:eastAsia="zh-CN"/>
              </w:rPr>
            </w:pPr>
            <w:r>
              <w:rPr>
                <w:rFonts w:hint="eastAsia" w:ascii="宋体" w:hAnsi="宋体" w:eastAsia="宋体" w:cs="宋体"/>
                <w:lang w:val="en-US" w:eastAsia="zh-CN"/>
              </w:rPr>
              <w:t>1. 故意将必须招标的项目化整为零或拆分规避招标的</w:t>
            </w:r>
          </w:p>
          <w:p>
            <w:pPr>
              <w:bidi w:val="0"/>
              <w:jc w:val="left"/>
              <w:rPr>
                <w:rFonts w:hint="eastAsia" w:ascii="宋体" w:hAnsi="宋体" w:eastAsia="宋体" w:cs="宋体"/>
              </w:rPr>
            </w:pPr>
            <w:r>
              <w:rPr>
                <w:rFonts w:hint="eastAsia" w:ascii="宋体" w:hAnsi="宋体" w:eastAsia="宋体" w:cs="宋体"/>
                <w:lang w:val="en-US" w:eastAsia="zh-CN"/>
              </w:rPr>
              <w:t>2. 责令整改，但</w:t>
            </w:r>
            <w:r>
              <w:rPr>
                <w:rFonts w:hint="eastAsia" w:ascii="宋体" w:hAnsi="宋体" w:eastAsia="宋体" w:cs="宋体"/>
              </w:rPr>
              <w:t>拒不改正的</w:t>
            </w:r>
          </w:p>
        </w:tc>
        <w:tc>
          <w:tcPr>
            <w:tcW w:w="3735" w:type="dxa"/>
            <w:tcBorders>
              <w:tl2br w:val="nil"/>
              <w:tr2bl w:val="nil"/>
            </w:tcBorders>
            <w:noWrap w:val="0"/>
            <w:tcMar>
              <w:top w:w="15" w:type="dxa"/>
              <w:left w:w="15" w:type="dxa"/>
              <w:bottom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0" w:firstLineChars="200"/>
              <w:jc w:val="left"/>
              <w:textAlignment w:val="auto"/>
              <w:rPr>
                <w:rFonts w:hint="eastAsia" w:ascii="宋体" w:hAnsi="宋体" w:eastAsia="宋体" w:cs="宋体"/>
              </w:rPr>
            </w:pPr>
            <w:r>
              <w:rPr>
                <w:rFonts w:hint="eastAsia" w:ascii="宋体" w:hAnsi="宋体" w:eastAsia="宋体" w:cs="宋体"/>
              </w:rPr>
              <w:t>《中华人民共和国招标投标法》第49条“违反本法规定，必须进行招标的项目而不招标的，将必须进行招标的项目化整为零或者以其他任何方式规避招标的，责令限期改正，可以处项目合同金额千分之五以上千分之十以下的罚款</w:t>
            </w:r>
            <w:r>
              <w:rPr>
                <w:rFonts w:hint="eastAsia" w:ascii="宋体" w:hAnsi="宋体" w:eastAsia="宋体" w:cs="宋体"/>
                <w:lang w:eastAsia="zh-CN"/>
              </w:rPr>
              <w:t>；</w:t>
            </w:r>
            <w:r>
              <w:rPr>
                <w:rFonts w:hint="eastAsia" w:ascii="宋体" w:hAnsi="宋体" w:eastAsia="宋体" w:cs="宋体"/>
              </w:rPr>
              <w:t>对全部或者部分使用国有资金的项目，可以暂停项目执行或者暂停资金拨付</w:t>
            </w:r>
            <w:r>
              <w:rPr>
                <w:rFonts w:hint="eastAsia" w:ascii="宋体" w:hAnsi="宋体" w:eastAsia="宋体" w:cs="宋体"/>
                <w:lang w:eastAsia="zh-CN"/>
              </w:rPr>
              <w:t>；</w:t>
            </w:r>
            <w:r>
              <w:rPr>
                <w:rFonts w:hint="eastAsia" w:ascii="宋体" w:hAnsi="宋体" w:eastAsia="宋体" w:cs="宋体"/>
              </w:rPr>
              <w:t>单位直接负责的主管人员和其他直接责任人员依法给予处分。”</w:t>
            </w:r>
          </w:p>
        </w:tc>
        <w:tc>
          <w:tcPr>
            <w:tcW w:w="450" w:type="dxa"/>
            <w:tcBorders>
              <w:tl2br w:val="nil"/>
              <w:tr2bl w:val="nil"/>
            </w:tcBorders>
            <w:noWrap w:val="0"/>
            <w:tcMar>
              <w:top w:w="15" w:type="dxa"/>
              <w:left w:w="15" w:type="dxa"/>
              <w:bottom w:w="15" w:type="dxa"/>
              <w:right w:w="15" w:type="dxa"/>
            </w:tcMar>
            <w:vAlign w:val="center"/>
          </w:tcPr>
          <w:p>
            <w:pPr>
              <w:bidi w:val="0"/>
              <w:jc w:val="center"/>
              <w:rPr>
                <w:rFonts w:hint="default"/>
              </w:rPr>
            </w:pPr>
          </w:p>
        </w:tc>
      </w:tr>
    </w:tbl>
    <w:p>
      <w:pPr>
        <w:pStyle w:val="6"/>
        <w:ind w:left="638" w:leftChars="304"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十二、广元市朝天区发展和改革局行政执法事项目录</w:t>
      </w:r>
    </w:p>
    <w:tbl>
      <w:tblPr>
        <w:tblStyle w:val="9"/>
        <w:tblW w:w="8850"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016"/>
        <w:gridCol w:w="1605"/>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64" w:type="dxa"/>
            <w:noWrap w:val="0"/>
            <w:vAlign w:val="center"/>
          </w:tcPr>
          <w:p>
            <w:pPr>
              <w:bidi w:val="0"/>
              <w:jc w:val="center"/>
              <w:rPr>
                <w:rFonts w:hint="default"/>
                <w:sz w:val="21"/>
                <w:szCs w:val="21"/>
                <w:lang w:val="en-US" w:eastAsia="zh-CN"/>
              </w:rPr>
            </w:pPr>
            <w:r>
              <w:rPr>
                <w:rFonts w:hint="eastAsia"/>
                <w:sz w:val="21"/>
                <w:szCs w:val="21"/>
                <w:lang w:val="en-US" w:eastAsia="zh-CN"/>
              </w:rPr>
              <w:t>单位</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序号</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行政执法类型</w:t>
            </w:r>
          </w:p>
        </w:tc>
        <w:tc>
          <w:tcPr>
            <w:tcW w:w="4065" w:type="dxa"/>
            <w:noWrap w:val="0"/>
            <w:vAlign w:val="center"/>
          </w:tcPr>
          <w:p>
            <w:pPr>
              <w:bidi w:val="0"/>
              <w:jc w:val="center"/>
              <w:rPr>
                <w:rFonts w:hint="default"/>
                <w:sz w:val="21"/>
                <w:szCs w:val="21"/>
                <w:lang w:val="en-US" w:eastAsia="zh-CN"/>
              </w:rPr>
            </w:pPr>
            <w:r>
              <w:rPr>
                <w:rFonts w:hint="eastAsia"/>
                <w:sz w:val="21"/>
                <w:szCs w:val="21"/>
                <w:lang w:val="en-US"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default"/>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行政许可</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石油天然气管道受限制区域施工保护方案许可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行政许可</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石油天然气管道保护范围内特定施工作业许可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2164" w:type="dxa"/>
            <w:noWrap w:val="0"/>
            <w:vAlign w:val="center"/>
          </w:tcPr>
          <w:p>
            <w:pPr>
              <w:bidi w:val="0"/>
              <w:jc w:val="center"/>
              <w:rPr>
                <w:rFonts w:hint="default"/>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对瞒报、拒报或者伪造、篡改价格监测资料行为的行政处罚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对拒绝、阻碍价格主管部门及其价格监测工作人员依法实施价格监测行为的行政处罚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对招标人规避招标的行政处罚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对法律法规未明确规定行政监督部门的工程建设项目招标人以不合理的条件限制或者排斥潜在投标人的行政处罚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7</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对法律法规未明确规定行政监督部门的工程建设项目的招标人向他人透露已获取招标文件的潜在投标人的名称、数量或者可能影响公平竞争的有关招标投标的其他情况的，或者泄露标底的行政处罚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8</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对法律法规未明确规定行政监督部门的工程建设项目的投标人相互串通投标或者与招标人串通投标的，投标人以向招标人或者评标委员会成员行贿的手段谋取中标的行政处罚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2164" w:type="dxa"/>
            <w:noWrap w:val="0"/>
            <w:vAlign w:val="center"/>
          </w:tcPr>
          <w:p>
            <w:pPr>
              <w:bidi w:val="0"/>
              <w:jc w:val="center"/>
              <w:rPr>
                <w:rFonts w:hint="default"/>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9</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对法律法规未明确规定行政监督部门的工程建设项目的投标人以他人名义投标或者以其他方式弄虚作假，骗取中标的行政处罚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10</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对法律法规未明确规定行政监督部门的工程建设项目招标人违反招投标法律规定，与投标人就投标价格、投标方案等实质性内容进行谈判的行政处罚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11</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对评标专家违规的行政处罚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对法律法规未明确规定行政监督部门的工程建设项目招标人在评标委员会依法推荐的中标候选人以外确定中标人的，依法必须进行招标的项目在所有投标被评标委员会否决后自行确定中标人的行政处罚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中标人将中标项目转让给他人的，将中标项目肢解后分别转让给他人的，违反《招标投标法》规定将中标项目的部分主体、关键性工作分包给他人的，或者分包人再次分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的招标人和中标人不按照招标文件和中标人的投标文件订立合同，合同的主要条款与招标文件、中标人的投标文件的内容不一致，或者招标人、中标人订立背离合同实质性内容的协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对法律法规未明确规定行政监督部门的工程建设项目中标人不履行与招标人订立的合同、不按照与招标人订立的合同履行义务的行政处罚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对依法必须进行招标的法律法规未明确规定行政监督部门的工程建设项目的招标人不按照规定组建评标委员会的行政处罚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17</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对依法必须进行招标的法律法规未明确规定行政监督部门的工程建设项目的中标人无正当理由不与招标人订立合同，在签订合同时向招标人提出附加条件，或者不按照招标文件要求提交履约保证金的行政处罚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18</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对法律法规未明确规定行政监督部门的工程建设项目招标人在发布招标公告、发出投标邀请书或者招标文件后终止招标的行政处罚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19</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对法律法规未明确规定行政监督部门的工程建设项目招标人强制要求中标人垫付中标项目建设资金的行政处罚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20</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对法律法规未明确规定行政监督部门的工程建设项目招标人及其工作人员违反法律、法规和规章从事与招标代理活动有关行为的行政处罚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21</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对固定资产投资项目建设单位未按照规定进行节能审查、节能审查未通过、未经节能验收、节能验收不合格或者不符合强制性节能标准的行政处罚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对使用国家明令淘汰的用能设备或者生产工艺的行政处罚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对生产单位超过单位产品能耗限额标准用能的行政处罚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对从事节能咨询、设计、评估、检测、审计、认证等服务的机构提供虚假信息的行政处罚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对无偿向本单位职工提供能源或者对能源消费实行包费制的行政处罚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对重点用能单位未履行节能管理义务的行政处罚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27</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对电力、石油加工、化工、钢铁、有色金属和建材等企业未在规定的范围或者期限内停止使用不符合国家规定的燃油发电机组或者燃油锅炉的行政处罚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28</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对企业分拆项目、隐瞒有关情况或者提供虚假申报材料等不正当手段申请项目核准、备案的行政处罚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29</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对企业未依法将备案制项目信息或者已备案项目信息变更情况告知备案机关，或者向备案机关提供虚假信息的行政处罚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30</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对企业投资建设产业政策禁止投资建设项目的行政处罚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31</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对违反政策性粮食经营活动有关规定的行政处罚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对粮食应急预案启动后，不按照国家要求承担应急任务，不服从国家的统一安排和调度的行政处罚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对违反规定且情节严重的粮食经营企业的法定代表人、主要负责人、直接负责的主管人员和其他直接责任人员的行政处罚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对违反规定编造、散布、传播虚假粮食市场信息，造成不良社会影响的行政处罚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对粮食收购企业未按照规定备案或者提供虚假备案信息的行政处罚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收购者等未执行国家粮食质量标准，未及时支付售粮款，违反规定代扣、代缴税、费和其他款项，未按规定进行质量安全检验或者对不符合食品安全标准的粮食未作为非食用用途单独储存，未建立粮食经营台账或者未按规定报送粮食基本数据和有关情况，未按规定进行粮食销售出库质量安全检验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37</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对粮食收购者、储存企业未按照规定使用仓储设施、运输工具的行政处罚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38</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对未在粮食收购场所明示工商营业执照的行政处罚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39</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对未向售粮者出具粮食收购凭证，载明所收购粮食品种、质量等级、价格、数量和金额的行政处罚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40</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对从事粮食收购、销售、储存、加工的经营者以及饲料、工业用粮企业违反规定，粮食经营台账保留时间不足3年的行政处罚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41</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从事粮食收购、加工、储存的经营者（不含个体工商户）未配备经过专业培训的粮油保管员和粮油质量检验员等管理技术人员、不具有与所经营粮食种类和国家质量标准规定的检验项目相适应的粮食检验仪器设备和单独粮食检验场所的、不具备相应的质量管理制度、不具备规定的粮食质量检验能力和条件又无委托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从事粮食储存的经营者仓储设施未符合国家有关粮食储存标准和技术规范，将粮食与可能对粮食产生污染的有害物质混存或不同收获年度的粮食混存，未按规定对霉变、病虫害超标粮食进行处理，使用国家禁止使用的化学药剂或超标使用化学药剂，以及粮库周围有有害污染源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对从事粮食收购、储存的经营者（不含个体工商户）未按照国家粮食质量标准对入库粮食进行质量检验，粮食出库或购进粮食无质检报告，或对质检报告弄虚作假的行政处罚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对在粮食交易过程中，粮食销售、加工、转化经营者未索取质检报告或对质检报告弄虚作假的行政处罚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对粮食收购者、粮食储存企业将不得作为食用用途的粮食作为食用用途销售的行政处罚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对粮油仓储单位未在规定时间备案或备案内容弄虚作假的行政处罚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47</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对粮油仓储单位不具备规定条件的行政处罚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48</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对粮油仓储单位违规使用“国家储备粮”和“中央储备粮”字样的行政处罚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49</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对粮油仓储单位违反粮油出入库、储存等管理规定的行政处罚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50</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对未实行粮食质量安全档案制度的行政处罚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51</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对未实行粮食召回制度的行政处罚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对违规拆除、迁移粮油仓储物流设施，非法侵占、损坏粮油仓储物流设施或者擅自改变其用途的行政处罚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对石油天然气管道企业未依法履行管道保护相关义务的行政处罚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对实施危害石油天然气管道安全行为的行政处罚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对未经依法批准进行危害石油天然气管道安全的施工作业的行政处罚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56</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行政处罚</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对擅自开启、关闭管道阀门等危害石油天然气管道安全及阻碍管道建设行为的行政处罚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57</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行政强制</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查封、扣押非法收购或者不符合国家粮食质量安全标准的粮食，用于违法经营或者被污染的工具、设备以及有关账簿资料，查封违法从事粮食经营活动的场所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58</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行政强制</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对违法修建的危害石油天然气管道安全的建筑物、构筑物或者其他设施的强制拆除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59</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行政确认</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涉案财物价格认定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60</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行政检查</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节能监察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61</w:t>
            </w:r>
          </w:p>
        </w:tc>
        <w:tc>
          <w:tcPr>
            <w:tcW w:w="1605" w:type="dxa"/>
            <w:noWrap w:val="0"/>
            <w:vAlign w:val="center"/>
          </w:tcPr>
          <w:p>
            <w:pPr>
              <w:bidi w:val="0"/>
              <w:jc w:val="center"/>
              <w:rPr>
                <w:rFonts w:hint="default"/>
                <w:sz w:val="21"/>
                <w:szCs w:val="21"/>
                <w:lang w:val="en-US" w:eastAsia="zh-CN"/>
              </w:rPr>
            </w:pPr>
            <w:r>
              <w:rPr>
                <w:rFonts w:hint="eastAsia"/>
                <w:sz w:val="21"/>
                <w:szCs w:val="21"/>
                <w:lang w:val="en-US" w:eastAsia="zh-CN"/>
              </w:rPr>
              <w:t>行政检查</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对粮食经营者从事粮食收购、储存、运输活动和政策性粮食的购销活动，以及执行国家粮食流通统计制度的情况的检查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62</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行政奖励</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对在循环经济管理、科学技术研究、产品开发、示范和推广工作中做出显著成绩的单位和个人的表彰奖励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63</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其他行政权力</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物业服务收费标准调价合理性评审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64</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其他行政权力</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权限内商品和服务价格政府定价、政府指导价制定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4" w:type="dxa"/>
            <w:noWrap w:val="0"/>
            <w:vAlign w:val="center"/>
          </w:tcPr>
          <w:p>
            <w:pPr>
              <w:bidi w:val="0"/>
              <w:jc w:val="center"/>
              <w:rPr>
                <w:rFonts w:hint="eastAsia"/>
                <w:sz w:val="21"/>
                <w:szCs w:val="21"/>
                <w:lang w:val="en-US" w:eastAsia="zh-CN"/>
              </w:rPr>
            </w:pPr>
            <w:r>
              <w:rPr>
                <w:rFonts w:hint="eastAsia"/>
                <w:sz w:val="21"/>
                <w:szCs w:val="21"/>
                <w:lang w:val="en-US" w:eastAsia="zh-CN"/>
              </w:rPr>
              <w:t>广元市朝天区发展和改革局</w:t>
            </w:r>
          </w:p>
        </w:tc>
        <w:tc>
          <w:tcPr>
            <w:tcW w:w="1016" w:type="dxa"/>
            <w:noWrap w:val="0"/>
            <w:vAlign w:val="center"/>
          </w:tcPr>
          <w:p>
            <w:pPr>
              <w:bidi w:val="0"/>
              <w:jc w:val="center"/>
              <w:rPr>
                <w:rFonts w:hint="default"/>
                <w:sz w:val="21"/>
                <w:szCs w:val="21"/>
                <w:lang w:val="en-US" w:eastAsia="zh-CN"/>
              </w:rPr>
            </w:pPr>
            <w:r>
              <w:rPr>
                <w:rFonts w:hint="eastAsia"/>
                <w:sz w:val="21"/>
                <w:szCs w:val="21"/>
                <w:lang w:val="en-US" w:eastAsia="zh-CN"/>
              </w:rPr>
              <w:t>65</w:t>
            </w:r>
          </w:p>
        </w:tc>
        <w:tc>
          <w:tcPr>
            <w:tcW w:w="1605" w:type="dxa"/>
            <w:noWrap w:val="0"/>
            <w:vAlign w:val="center"/>
          </w:tcPr>
          <w:p>
            <w:pPr>
              <w:bidi w:val="0"/>
              <w:jc w:val="center"/>
              <w:rPr>
                <w:rFonts w:hint="eastAsia"/>
                <w:sz w:val="21"/>
                <w:szCs w:val="21"/>
                <w:lang w:val="en-US" w:eastAsia="zh-CN"/>
              </w:rPr>
            </w:pPr>
            <w:r>
              <w:rPr>
                <w:rFonts w:hint="eastAsia"/>
                <w:sz w:val="21"/>
                <w:szCs w:val="21"/>
                <w:lang w:val="en-US" w:eastAsia="zh-CN"/>
              </w:rPr>
              <w:t>其他行政权力</w:t>
            </w:r>
          </w:p>
        </w:tc>
        <w:tc>
          <w:tcPr>
            <w:tcW w:w="4065" w:type="dxa"/>
            <w:noWrap w:val="0"/>
            <w:vAlign w:val="center"/>
          </w:tcPr>
          <w:p>
            <w:pPr>
              <w:bidi w:val="0"/>
              <w:rPr>
                <w:rFonts w:hint="eastAsia"/>
                <w:sz w:val="21"/>
                <w:szCs w:val="21"/>
                <w:lang w:val="en-US" w:eastAsia="zh-CN"/>
              </w:rPr>
            </w:pPr>
            <w:r>
              <w:rPr>
                <w:rFonts w:hint="eastAsia"/>
                <w:sz w:val="21"/>
                <w:szCs w:val="21"/>
                <w:lang w:val="en-US" w:eastAsia="zh-CN"/>
              </w:rPr>
              <w:t>企业投资项目备案</w:t>
            </w:r>
          </w:p>
        </w:tc>
      </w:tr>
    </w:tbl>
    <w:p>
      <w:pPr>
        <w:widowControl/>
        <w:numPr>
          <w:ilvl w:val="0"/>
          <w:numId w:val="0"/>
        </w:numPr>
        <w:spacing w:line="576" w:lineRule="exact"/>
        <w:rPr>
          <w:rFonts w:hint="eastAsia" w:ascii="仿宋_GB2312" w:hAnsi="仿宋_GB2312" w:eastAsia="仿宋_GB2312" w:cs="仿宋_GB2312"/>
          <w:sz w:val="32"/>
          <w:szCs w:val="32"/>
          <w:lang w:val="en-US" w:eastAsia="zh-CN"/>
        </w:rPr>
      </w:pPr>
    </w:p>
    <w:p>
      <w:pPr>
        <w:widowControl/>
        <w:spacing w:line="576" w:lineRule="exact"/>
        <w:rPr>
          <w:rFonts w:hint="eastAsia" w:ascii="仿宋_GB2312" w:hAnsi="仿宋_GB2312" w:eastAsia="仿宋_GB2312" w:cs="仿宋_GB2312"/>
          <w:sz w:val="32"/>
          <w:szCs w:val="32"/>
          <w:lang w:eastAsia="zh-CN"/>
        </w:rPr>
      </w:pPr>
    </w:p>
    <w:p>
      <w:pPr>
        <w:widowControl/>
        <w:spacing w:line="576" w:lineRule="exact"/>
        <w:ind w:firstLine="4480" w:firstLineChars="14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广元市朝天区发展和改革局</w:t>
      </w:r>
    </w:p>
    <w:p>
      <w:pPr>
        <w:widowControl/>
        <w:spacing w:line="576" w:lineRule="exact"/>
        <w:ind w:firstLine="5440" w:firstLineChars="17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2025年7月17日</w:t>
      </w:r>
    </w:p>
    <w:p>
      <w:pPr>
        <w:widowControl/>
        <w:spacing w:line="576" w:lineRule="exact"/>
      </w:pPr>
    </w:p>
    <w:p>
      <w:pPr>
        <w:rPr>
          <w:rFonts w:hint="eastAsia"/>
          <w:szCs w:val="24"/>
        </w:rPr>
      </w:pPr>
    </w:p>
    <w:sectPr>
      <w:footerReference r:id="rId3" w:type="default"/>
      <w:footerReference r:id="rId4" w:type="even"/>
      <w:pgSz w:w="11906" w:h="16838"/>
      <w:pgMar w:top="2098" w:right="1474" w:bottom="1701" w:left="1588" w:header="851" w:footer="141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8BF67"/>
    <w:multiLevelType w:val="singleLevel"/>
    <w:tmpl w:val="94F8BF67"/>
    <w:lvl w:ilvl="0" w:tentative="0">
      <w:start w:val="3"/>
      <w:numFmt w:val="chineseCounting"/>
      <w:suff w:val="nothing"/>
      <w:lvlText w:val="（%1）"/>
      <w:lvlJc w:val="left"/>
      <w:rPr>
        <w:rFonts w:hint="eastAsia"/>
      </w:rPr>
    </w:lvl>
  </w:abstractNum>
  <w:abstractNum w:abstractNumId="1">
    <w:nsid w:val="484E6FEF"/>
    <w:multiLevelType w:val="singleLevel"/>
    <w:tmpl w:val="484E6FEF"/>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true"/>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00F92151"/>
    <w:rsid w:val="00010615"/>
    <w:rsid w:val="00080D0D"/>
    <w:rsid w:val="00121C34"/>
    <w:rsid w:val="00185BB2"/>
    <w:rsid w:val="001C0E91"/>
    <w:rsid w:val="001F62DB"/>
    <w:rsid w:val="00213F61"/>
    <w:rsid w:val="002172EB"/>
    <w:rsid w:val="00233B49"/>
    <w:rsid w:val="00235DAC"/>
    <w:rsid w:val="0028352E"/>
    <w:rsid w:val="002B5DE6"/>
    <w:rsid w:val="00307A3B"/>
    <w:rsid w:val="004236B9"/>
    <w:rsid w:val="00433BC3"/>
    <w:rsid w:val="00436F4C"/>
    <w:rsid w:val="00454C25"/>
    <w:rsid w:val="004B1954"/>
    <w:rsid w:val="004B4745"/>
    <w:rsid w:val="00526E64"/>
    <w:rsid w:val="00540114"/>
    <w:rsid w:val="00594E4C"/>
    <w:rsid w:val="005F4FE7"/>
    <w:rsid w:val="00691C83"/>
    <w:rsid w:val="00693BE1"/>
    <w:rsid w:val="007060A1"/>
    <w:rsid w:val="00714EC9"/>
    <w:rsid w:val="00722E87"/>
    <w:rsid w:val="00744022"/>
    <w:rsid w:val="007D4807"/>
    <w:rsid w:val="008337B2"/>
    <w:rsid w:val="008F2C02"/>
    <w:rsid w:val="009E763B"/>
    <w:rsid w:val="00A10695"/>
    <w:rsid w:val="00AD30A3"/>
    <w:rsid w:val="00AF7649"/>
    <w:rsid w:val="00BB6118"/>
    <w:rsid w:val="00BB67A8"/>
    <w:rsid w:val="00CC26C0"/>
    <w:rsid w:val="00CC618D"/>
    <w:rsid w:val="00CD5123"/>
    <w:rsid w:val="00CE0F7A"/>
    <w:rsid w:val="00D30F20"/>
    <w:rsid w:val="00D51379"/>
    <w:rsid w:val="00E66B25"/>
    <w:rsid w:val="00EE4F30"/>
    <w:rsid w:val="00F070EE"/>
    <w:rsid w:val="00F07A80"/>
    <w:rsid w:val="00F25B35"/>
    <w:rsid w:val="00F75FCD"/>
    <w:rsid w:val="00F92151"/>
    <w:rsid w:val="08123F24"/>
    <w:rsid w:val="08F244B8"/>
    <w:rsid w:val="09D87597"/>
    <w:rsid w:val="0D013D29"/>
    <w:rsid w:val="0E645233"/>
    <w:rsid w:val="0FB0567D"/>
    <w:rsid w:val="15EE7AD8"/>
    <w:rsid w:val="19B4344D"/>
    <w:rsid w:val="1B6A6961"/>
    <w:rsid w:val="1C2814B6"/>
    <w:rsid w:val="1C2C2360"/>
    <w:rsid w:val="1E491F82"/>
    <w:rsid w:val="1ED75AA8"/>
    <w:rsid w:val="1F566306"/>
    <w:rsid w:val="1F896E35"/>
    <w:rsid w:val="203F55CA"/>
    <w:rsid w:val="25E83E34"/>
    <w:rsid w:val="28753135"/>
    <w:rsid w:val="2AFB7834"/>
    <w:rsid w:val="2D470E31"/>
    <w:rsid w:val="3080051E"/>
    <w:rsid w:val="31C12F25"/>
    <w:rsid w:val="35C7012D"/>
    <w:rsid w:val="3A46553B"/>
    <w:rsid w:val="3B0F6384"/>
    <w:rsid w:val="41A83DF2"/>
    <w:rsid w:val="471300AB"/>
    <w:rsid w:val="48870281"/>
    <w:rsid w:val="4D4203D5"/>
    <w:rsid w:val="51F31DA6"/>
    <w:rsid w:val="52D34256"/>
    <w:rsid w:val="53F248DD"/>
    <w:rsid w:val="5436415B"/>
    <w:rsid w:val="55693FDA"/>
    <w:rsid w:val="562A2B37"/>
    <w:rsid w:val="57384063"/>
    <w:rsid w:val="57742777"/>
    <w:rsid w:val="59CC0C02"/>
    <w:rsid w:val="5A693FDA"/>
    <w:rsid w:val="5A9F4484"/>
    <w:rsid w:val="5C783E06"/>
    <w:rsid w:val="5CC537BC"/>
    <w:rsid w:val="5D4A7FB4"/>
    <w:rsid w:val="5EDC72C0"/>
    <w:rsid w:val="5F146EB4"/>
    <w:rsid w:val="613B0DE4"/>
    <w:rsid w:val="619044D7"/>
    <w:rsid w:val="64755CBA"/>
    <w:rsid w:val="65823622"/>
    <w:rsid w:val="68580EFC"/>
    <w:rsid w:val="686040DF"/>
    <w:rsid w:val="72B0386C"/>
    <w:rsid w:val="75D10BE9"/>
    <w:rsid w:val="76911AB7"/>
    <w:rsid w:val="7FB979E7"/>
    <w:rsid w:val="7FDA344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Document Map"/>
    <w:basedOn w:val="1"/>
    <w:semiHidden/>
    <w:qFormat/>
    <w:uiPriority w:val="0"/>
    <w:pPr>
      <w:shd w:val="clear" w:color="auto" w:fill="000080"/>
    </w:p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00" w:hanging="200" w:hangingChars="200"/>
    </w:p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FollowedHyperlink"/>
    <w:basedOn w:val="10"/>
    <w:qFormat/>
    <w:uiPriority w:val="0"/>
    <w:rPr>
      <w:color w:val="800080"/>
      <w:u w:val="single"/>
    </w:rPr>
  </w:style>
  <w:style w:type="character" w:styleId="12">
    <w:name w:val="Hyperlink"/>
    <w:basedOn w:val="10"/>
    <w:qFormat/>
    <w:uiPriority w:val="0"/>
    <w:rPr>
      <w:color w:val="0000FF"/>
      <w:u w:val="none"/>
    </w:rPr>
  </w:style>
  <w:style w:type="character" w:customStyle="1" w:styleId="13">
    <w:name w:val="页脚 Char"/>
    <w:basedOn w:val="10"/>
    <w:link w:val="4"/>
    <w:qFormat/>
    <w:uiPriority w:val="99"/>
    <w:rPr>
      <w:kern w:val="2"/>
      <w:sz w:val="18"/>
      <w:szCs w:val="18"/>
    </w:rPr>
  </w:style>
  <w:style w:type="character" w:customStyle="1" w:styleId="14">
    <w:name w:val="页眉 Char"/>
    <w:basedOn w:val="10"/>
    <w:link w:val="5"/>
    <w:qFormat/>
    <w:uiPriority w:val="0"/>
    <w:rPr>
      <w:kern w:val="2"/>
      <w:sz w:val="18"/>
      <w:szCs w:val="18"/>
    </w:rPr>
  </w:style>
  <w:style w:type="paragraph" w:customStyle="1" w:styleId="15">
    <w:name w:val="_Style 18"/>
    <w:basedOn w:val="1"/>
    <w:next w:val="1"/>
    <w:qFormat/>
    <w:uiPriority w:val="0"/>
    <w:pPr>
      <w:pBdr>
        <w:bottom w:val="single" w:color="auto" w:sz="6" w:space="1"/>
      </w:pBdr>
      <w:jc w:val="center"/>
    </w:pPr>
    <w:rPr>
      <w:rFonts w:ascii="Arial" w:eastAsia="宋体"/>
      <w:vanish/>
      <w:sz w:val="16"/>
    </w:rPr>
  </w:style>
  <w:style w:type="paragraph" w:customStyle="1" w:styleId="16">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9513</Words>
  <Characters>10019</Characters>
  <Lines>44</Lines>
  <Paragraphs>12</Paragraphs>
  <TotalTime>6</TotalTime>
  <ScaleCrop>false</ScaleCrop>
  <LinksUpToDate>false</LinksUpToDate>
  <CharactersWithSpaces>10097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2020-05-29T09:07:00Z</dcterms:created>
  <dc:creator>USER</dc:creator>
  <cp:lastModifiedBy>user</cp:lastModifiedBy>
  <cp:lastPrinted>2025-07-03T15:39:00Z</cp:lastPrinted>
  <dcterms:modified xsi:type="dcterms:W3CDTF">2025-08-26T15:50:30Z</dcterms:modified>
  <dc:title>JBS00A01201A                                                    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95BEE7DB52754852A1EF6D6D44C2AA2C_13</vt:lpwstr>
  </property>
</Properties>
</file>