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77193"/>
      <w:bookmarkStart w:id="1" w:name="_Toc15396597"/>
      <w:bookmarkStart w:id="2" w:name="_Toc15377425"/>
      <w:bookmarkStart w:id="3" w:name="_Toc15396475"/>
      <w:bookmarkStart w:id="4" w:name="_Toc15378441"/>
      <w:bookmarkStart w:id="5" w:name="_Toc15306267"/>
      <w:bookmarkStart w:id="273" w:name="_GoBack"/>
      <w:bookmarkEnd w:id="273"/>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hint="eastAsia" w:asciiTheme="majorEastAsia" w:hAnsiTheme="majorEastAsia" w:eastAsiaTheme="majorEastAsia" w:cstheme="majorEastAsia"/>
          <w:b/>
          <w:bCs/>
          <w:sz w:val="72"/>
          <w:szCs w:val="72"/>
        </w:rPr>
      </w:pPr>
      <w:bookmarkStart w:id="6" w:name="_Toc30463"/>
      <w:bookmarkStart w:id="7" w:name="_Toc9929"/>
      <w:bookmarkStart w:id="8" w:name="_Toc21265"/>
      <w:r>
        <w:rPr>
          <w:rFonts w:hint="eastAsia" w:asciiTheme="majorEastAsia" w:hAnsiTheme="majorEastAsia" w:eastAsiaTheme="majorEastAsia" w:cstheme="majorEastAsia"/>
          <w:b/>
          <w:bCs/>
          <w:sz w:val="72"/>
          <w:szCs w:val="72"/>
        </w:rPr>
        <w:t>2022年度</w:t>
      </w:r>
      <w:bookmarkEnd w:id="0"/>
      <w:bookmarkEnd w:id="1"/>
      <w:bookmarkEnd w:id="2"/>
      <w:bookmarkEnd w:id="3"/>
      <w:bookmarkEnd w:id="4"/>
      <w:bookmarkEnd w:id="6"/>
      <w:bookmarkEnd w:id="7"/>
      <w:bookmarkEnd w:id="8"/>
    </w:p>
    <w:p>
      <w:pPr>
        <w:adjustRightInd w:val="0"/>
        <w:snapToGrid w:val="0"/>
        <w:spacing w:line="360" w:lineRule="auto"/>
        <w:jc w:val="center"/>
        <w:outlineLvl w:val="0"/>
        <w:rPr>
          <w:rFonts w:hint="eastAsia" w:asciiTheme="majorEastAsia" w:hAnsiTheme="majorEastAsia" w:eastAsiaTheme="majorEastAsia" w:cstheme="majorEastAsia"/>
          <w:b/>
          <w:bCs/>
          <w:sz w:val="72"/>
          <w:szCs w:val="72"/>
        </w:rPr>
      </w:pPr>
      <w:bookmarkStart w:id="9" w:name="_Toc1736"/>
      <w:bookmarkStart w:id="10" w:name="_Toc15377426"/>
      <w:bookmarkStart w:id="11" w:name="_Toc1283"/>
      <w:bookmarkStart w:id="12" w:name="_Toc15396476"/>
      <w:bookmarkStart w:id="13" w:name="_Toc15396598"/>
      <w:bookmarkStart w:id="14" w:name="_Toc15378442"/>
      <w:bookmarkStart w:id="15" w:name="_Toc15377194"/>
      <w:bookmarkStart w:id="16" w:name="_Toc7753"/>
      <w:r>
        <w:rPr>
          <w:rFonts w:hint="eastAsia" w:asciiTheme="majorEastAsia" w:hAnsiTheme="majorEastAsia" w:eastAsiaTheme="majorEastAsia" w:cstheme="majorEastAsia"/>
          <w:b/>
          <w:bCs/>
          <w:sz w:val="72"/>
          <w:szCs w:val="72"/>
        </w:rPr>
        <w:t>四川省</w:t>
      </w:r>
      <w:bookmarkEnd w:id="5"/>
      <w:bookmarkStart w:id="17" w:name="_Toc15306268"/>
      <w:r>
        <w:rPr>
          <w:rFonts w:hint="eastAsia" w:asciiTheme="majorEastAsia" w:hAnsiTheme="majorEastAsia" w:eastAsiaTheme="majorEastAsia" w:cstheme="majorEastAsia"/>
          <w:b/>
          <w:bCs/>
          <w:sz w:val="72"/>
          <w:szCs w:val="72"/>
        </w:rPr>
        <w:t>广元市朝天区科学</w:t>
      </w:r>
      <w:bookmarkEnd w:id="9"/>
    </w:p>
    <w:p>
      <w:pPr>
        <w:adjustRightInd w:val="0"/>
        <w:snapToGrid w:val="0"/>
        <w:spacing w:line="360" w:lineRule="auto"/>
        <w:jc w:val="center"/>
        <w:outlineLvl w:val="0"/>
        <w:rPr>
          <w:rFonts w:hint="eastAsia" w:asciiTheme="majorEastAsia" w:hAnsiTheme="majorEastAsia" w:eastAsiaTheme="majorEastAsia" w:cstheme="majorEastAsia"/>
          <w:b/>
          <w:bCs/>
          <w:sz w:val="72"/>
          <w:szCs w:val="72"/>
          <w:lang w:eastAsia="zh-CN"/>
        </w:rPr>
      </w:pPr>
      <w:bookmarkStart w:id="18" w:name="_Toc17826"/>
      <w:r>
        <w:rPr>
          <w:rFonts w:hint="eastAsia" w:asciiTheme="majorEastAsia" w:hAnsiTheme="majorEastAsia" w:eastAsiaTheme="majorEastAsia" w:cstheme="majorEastAsia"/>
          <w:b/>
          <w:bCs/>
          <w:sz w:val="72"/>
          <w:szCs w:val="72"/>
        </w:rPr>
        <w:t>技术协会部门决</w:t>
      </w:r>
      <w:bookmarkEnd w:id="10"/>
      <w:bookmarkEnd w:id="11"/>
      <w:bookmarkEnd w:id="12"/>
      <w:bookmarkEnd w:id="13"/>
      <w:bookmarkEnd w:id="14"/>
      <w:bookmarkEnd w:id="15"/>
      <w:bookmarkEnd w:id="16"/>
      <w:bookmarkEnd w:id="17"/>
      <w:r>
        <w:rPr>
          <w:rFonts w:hint="eastAsia" w:asciiTheme="majorEastAsia" w:hAnsiTheme="majorEastAsia" w:eastAsiaTheme="majorEastAsia" w:cstheme="majorEastAsia"/>
          <w:b/>
          <w:bCs/>
          <w:sz w:val="72"/>
          <w:szCs w:val="72"/>
          <w:lang w:eastAsia="zh-CN"/>
        </w:rPr>
        <w:t>算</w:t>
      </w:r>
      <w:bookmarkEnd w:id="18"/>
      <w:bookmarkStart w:id="19" w:name="_Toc15377196"/>
      <w:bookmarkStart w:id="20" w:name="_Toc25496"/>
      <w:bookmarkStart w:id="21" w:name="_Toc18234"/>
      <w:bookmarkStart w:id="22" w:name="_Toc13286"/>
      <w:bookmarkStart w:id="23" w:name="_Toc15396599"/>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0"/>
        <w:rPr>
          <w:color w:val="auto"/>
          <w:highlight w:val="none"/>
        </w:rPr>
      </w:pPr>
      <w:bookmarkStart w:id="24" w:name="_Toc9538"/>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bookmarkEnd w:id="24"/>
    </w:p>
    <w:p>
      <w:pPr>
        <w:rPr>
          <w:color w:val="auto"/>
          <w:highlight w:val="none"/>
        </w:rPr>
      </w:pPr>
    </w:p>
    <w:p>
      <w:pPr>
        <w:pStyle w:val="2"/>
      </w:pPr>
    </w:p>
    <w:sdt>
      <w:sdtPr>
        <w:rPr>
          <w:rFonts w:ascii="宋体" w:hAnsi="宋体" w:eastAsia="宋体" w:cs="Times New Roman"/>
          <w:kern w:val="2"/>
          <w:sz w:val="21"/>
          <w:szCs w:val="24"/>
          <w:lang w:val="en-US" w:eastAsia="zh-CN" w:bidi="ar-SA"/>
        </w:rPr>
        <w:id w:val="147472249"/>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35"/>
            <w:tabs>
              <w:tab w:val="right" w:leader="dot" w:pos="8811"/>
            </w:tabs>
          </w:pPr>
          <w:r>
            <w:fldChar w:fldCharType="begin"/>
          </w:r>
          <w:r>
            <w:instrText xml:space="preserve">TOC \o "1-3" \h \u </w:instrText>
          </w:r>
          <w:r>
            <w:fldChar w:fldCharType="separate"/>
          </w:r>
          <w:r>
            <w:fldChar w:fldCharType="begin"/>
          </w:r>
          <w:r>
            <w:instrText xml:space="preserve"> HYPERLINK \l _Toc18378 </w:instrText>
          </w:r>
          <w:r>
            <w:fldChar w:fldCharType="separate"/>
          </w:r>
          <w:r>
            <w:rPr>
              <w:rFonts w:hint="eastAsia" w:ascii="黑体" w:hAnsi="黑体" w:eastAsia="黑体"/>
            </w:rPr>
            <w:t xml:space="preserve">第一部分 </w:t>
          </w:r>
          <w:r>
            <w:rPr>
              <w:rFonts w:hint="eastAsia" w:ascii="黑体" w:hAnsi="黑体" w:eastAsia="黑体"/>
              <w:bCs w:val="0"/>
            </w:rPr>
            <w:t>部门概况</w:t>
          </w:r>
          <w:r>
            <w:tab/>
          </w:r>
          <w:r>
            <w:fldChar w:fldCharType="begin"/>
          </w:r>
          <w:r>
            <w:instrText xml:space="preserve"> PAGEREF _Toc18378 \h </w:instrText>
          </w:r>
          <w:r>
            <w:fldChar w:fldCharType="separate"/>
          </w:r>
          <w:r>
            <w:t>3</w:t>
          </w:r>
          <w:r>
            <w:fldChar w:fldCharType="end"/>
          </w:r>
          <w:r>
            <w:fldChar w:fldCharType="end"/>
          </w:r>
        </w:p>
        <w:p>
          <w:pPr>
            <w:pStyle w:val="36"/>
            <w:tabs>
              <w:tab w:val="right" w:leader="dot" w:pos="8811"/>
            </w:tabs>
          </w:pPr>
          <w:r>
            <w:fldChar w:fldCharType="begin"/>
          </w:r>
          <w:r>
            <w:instrText xml:space="preserve"> HYPERLINK \l _Toc6695 </w:instrText>
          </w:r>
          <w:r>
            <w:fldChar w:fldCharType="separate"/>
          </w:r>
          <w:r>
            <w:rPr>
              <w:rFonts w:hint="eastAsia" w:ascii="黑体" w:hAnsi="黑体" w:eastAsia="黑体" w:cs="楷体"/>
              <w:bCs/>
              <w:szCs w:val="32"/>
            </w:rPr>
            <w:t>一、基本职能及主要工作：</w:t>
          </w:r>
          <w:r>
            <w:tab/>
          </w:r>
          <w:r>
            <w:fldChar w:fldCharType="begin"/>
          </w:r>
          <w:r>
            <w:instrText xml:space="preserve"> PAGEREF _Toc6695 \h </w:instrText>
          </w:r>
          <w:r>
            <w:fldChar w:fldCharType="separate"/>
          </w:r>
          <w:r>
            <w:t>3</w:t>
          </w:r>
          <w:r>
            <w:fldChar w:fldCharType="end"/>
          </w:r>
          <w:r>
            <w:fldChar w:fldCharType="end"/>
          </w:r>
        </w:p>
        <w:p>
          <w:pPr>
            <w:pStyle w:val="36"/>
            <w:tabs>
              <w:tab w:val="right" w:leader="dot" w:pos="8811"/>
            </w:tabs>
          </w:pPr>
          <w:r>
            <w:fldChar w:fldCharType="begin"/>
          </w:r>
          <w:r>
            <w:instrText xml:space="preserve"> HYPERLINK \l _Toc8733 </w:instrText>
          </w:r>
          <w:r>
            <w:fldChar w:fldCharType="separate"/>
          </w:r>
          <w:r>
            <w:rPr>
              <w:rFonts w:hint="eastAsia" w:ascii="黑体" w:hAnsi="黑体" w:eastAsia="黑体" w:cs="楷体"/>
              <w:bCs/>
              <w:szCs w:val="32"/>
            </w:rPr>
            <w:t>二、机构设置</w:t>
          </w:r>
          <w:r>
            <w:tab/>
          </w:r>
          <w:r>
            <w:fldChar w:fldCharType="begin"/>
          </w:r>
          <w:r>
            <w:instrText xml:space="preserve"> PAGEREF _Toc8733 \h </w:instrText>
          </w:r>
          <w:r>
            <w:fldChar w:fldCharType="separate"/>
          </w:r>
          <w:r>
            <w:t>7</w:t>
          </w:r>
          <w:r>
            <w:fldChar w:fldCharType="end"/>
          </w:r>
          <w:r>
            <w:fldChar w:fldCharType="end"/>
          </w:r>
        </w:p>
        <w:p>
          <w:pPr>
            <w:pStyle w:val="35"/>
            <w:tabs>
              <w:tab w:val="right" w:leader="dot" w:pos="8811"/>
            </w:tabs>
          </w:pPr>
          <w:r>
            <w:fldChar w:fldCharType="begin"/>
          </w:r>
          <w:r>
            <w:instrText xml:space="preserve"> HYPERLINK \l _Toc19561 </w:instrText>
          </w:r>
          <w:r>
            <w:fldChar w:fldCharType="separate"/>
          </w:r>
          <w:r>
            <w:rPr>
              <w:rFonts w:hint="eastAsia" w:ascii="黑体" w:hAnsi="黑体" w:eastAsia="黑体"/>
            </w:rPr>
            <w:t>第二部分 2022年度部门决算情况说明</w:t>
          </w:r>
          <w:r>
            <w:tab/>
          </w:r>
          <w:r>
            <w:fldChar w:fldCharType="begin"/>
          </w:r>
          <w:r>
            <w:instrText xml:space="preserve"> PAGEREF _Toc19561 \h </w:instrText>
          </w:r>
          <w:r>
            <w:fldChar w:fldCharType="separate"/>
          </w:r>
          <w:r>
            <w:t>8</w:t>
          </w:r>
          <w:r>
            <w:fldChar w:fldCharType="end"/>
          </w:r>
          <w:r>
            <w:fldChar w:fldCharType="end"/>
          </w:r>
        </w:p>
        <w:p>
          <w:pPr>
            <w:pStyle w:val="36"/>
            <w:tabs>
              <w:tab w:val="right" w:leader="dot" w:pos="8811"/>
            </w:tabs>
          </w:pPr>
          <w:r>
            <w:fldChar w:fldCharType="begin"/>
          </w:r>
          <w:r>
            <w:instrText xml:space="preserve"> HYPERLINK \l _Toc9837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_Toc9837 \h </w:instrText>
          </w:r>
          <w:r>
            <w:fldChar w:fldCharType="separate"/>
          </w:r>
          <w:r>
            <w:t>8</w:t>
          </w:r>
          <w:r>
            <w:fldChar w:fldCharType="end"/>
          </w:r>
          <w:r>
            <w:fldChar w:fldCharType="end"/>
          </w:r>
        </w:p>
        <w:p>
          <w:pPr>
            <w:pStyle w:val="36"/>
            <w:tabs>
              <w:tab w:val="right" w:leader="dot" w:pos="8811"/>
            </w:tabs>
          </w:pPr>
          <w:r>
            <w:fldChar w:fldCharType="begin"/>
          </w:r>
          <w:r>
            <w:instrText xml:space="preserve"> HYPERLINK \l _Toc25695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_Toc25695 \h </w:instrText>
          </w:r>
          <w:r>
            <w:fldChar w:fldCharType="separate"/>
          </w:r>
          <w:r>
            <w:t>8</w:t>
          </w:r>
          <w:r>
            <w:fldChar w:fldCharType="end"/>
          </w:r>
          <w:r>
            <w:fldChar w:fldCharType="end"/>
          </w:r>
        </w:p>
        <w:p>
          <w:pPr>
            <w:pStyle w:val="36"/>
            <w:tabs>
              <w:tab w:val="right" w:leader="dot" w:pos="8811"/>
            </w:tabs>
          </w:pPr>
          <w:r>
            <w:fldChar w:fldCharType="begin"/>
          </w:r>
          <w:r>
            <w:instrText xml:space="preserve"> HYPERLINK \l _Toc15641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_Toc15641 \h </w:instrText>
          </w:r>
          <w:r>
            <w:fldChar w:fldCharType="separate"/>
          </w:r>
          <w:r>
            <w:t>9</w:t>
          </w:r>
          <w:r>
            <w:fldChar w:fldCharType="end"/>
          </w:r>
          <w:r>
            <w:fldChar w:fldCharType="end"/>
          </w:r>
        </w:p>
        <w:p>
          <w:pPr>
            <w:pStyle w:val="36"/>
            <w:tabs>
              <w:tab w:val="right" w:leader="dot" w:pos="8811"/>
            </w:tabs>
          </w:pPr>
          <w:r>
            <w:fldChar w:fldCharType="begin"/>
          </w:r>
          <w:r>
            <w:instrText xml:space="preserve"> HYPERLINK \l _Toc19719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_Toc19719 \h </w:instrText>
          </w:r>
          <w:r>
            <w:fldChar w:fldCharType="separate"/>
          </w:r>
          <w:r>
            <w:t>10</w:t>
          </w:r>
          <w:r>
            <w:fldChar w:fldCharType="end"/>
          </w:r>
          <w:r>
            <w:fldChar w:fldCharType="end"/>
          </w:r>
        </w:p>
        <w:p>
          <w:pPr>
            <w:pStyle w:val="36"/>
            <w:tabs>
              <w:tab w:val="right" w:leader="dot" w:pos="8811"/>
            </w:tabs>
          </w:pPr>
          <w:r>
            <w:fldChar w:fldCharType="begin"/>
          </w:r>
          <w:r>
            <w:instrText xml:space="preserve"> HYPERLINK \l _Toc6140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_Toc6140 \h </w:instrText>
          </w:r>
          <w:r>
            <w:fldChar w:fldCharType="separate"/>
          </w:r>
          <w:r>
            <w:t>10</w:t>
          </w:r>
          <w:r>
            <w:fldChar w:fldCharType="end"/>
          </w:r>
          <w:r>
            <w:fldChar w:fldCharType="end"/>
          </w:r>
        </w:p>
        <w:p>
          <w:pPr>
            <w:pStyle w:val="37"/>
            <w:tabs>
              <w:tab w:val="right" w:leader="dot" w:pos="8811"/>
            </w:tabs>
          </w:pPr>
          <w:r>
            <w:fldChar w:fldCharType="begin"/>
          </w:r>
          <w:r>
            <w:instrText xml:space="preserve"> HYPERLINK \l _Toc1858 </w:instrText>
          </w:r>
          <w:r>
            <w:fldChar w:fldCharType="separate"/>
          </w:r>
          <w:r>
            <w:rPr>
              <w:rFonts w:hint="eastAsia" w:ascii="仿宋_GB2312" w:hAnsi="仿宋_GB2312" w:eastAsia="仿宋_GB2312" w:cs="仿宋_GB2312"/>
              <w:szCs w:val="32"/>
            </w:rPr>
            <w:t>（一）一般公共预算财政拨款支出决算总体情况</w:t>
          </w:r>
          <w:r>
            <w:tab/>
          </w:r>
          <w:r>
            <w:fldChar w:fldCharType="begin"/>
          </w:r>
          <w:r>
            <w:instrText xml:space="preserve"> PAGEREF _Toc1858 \h </w:instrText>
          </w:r>
          <w:r>
            <w:fldChar w:fldCharType="separate"/>
          </w:r>
          <w:r>
            <w:t>10</w:t>
          </w:r>
          <w:r>
            <w:fldChar w:fldCharType="end"/>
          </w:r>
          <w:r>
            <w:fldChar w:fldCharType="end"/>
          </w:r>
        </w:p>
        <w:p>
          <w:pPr>
            <w:pStyle w:val="37"/>
            <w:tabs>
              <w:tab w:val="right" w:leader="dot" w:pos="8811"/>
            </w:tabs>
          </w:pPr>
          <w:r>
            <w:fldChar w:fldCharType="begin"/>
          </w:r>
          <w:r>
            <w:instrText xml:space="preserve"> HYPERLINK \l _Toc32175 </w:instrText>
          </w:r>
          <w:r>
            <w:fldChar w:fldCharType="separate"/>
          </w:r>
          <w:r>
            <w:rPr>
              <w:rFonts w:hint="eastAsia" w:ascii="仿宋_GB2312" w:hAnsi="仿宋_GB2312" w:eastAsia="仿宋_GB2312" w:cs="仿宋_GB2312"/>
              <w:szCs w:val="32"/>
            </w:rPr>
            <w:t>（二）一般公共预算财政拨款支出决算结构情况</w:t>
          </w:r>
          <w:r>
            <w:tab/>
          </w:r>
          <w:r>
            <w:fldChar w:fldCharType="begin"/>
          </w:r>
          <w:r>
            <w:instrText xml:space="preserve"> PAGEREF _Toc32175 \h </w:instrText>
          </w:r>
          <w:r>
            <w:fldChar w:fldCharType="separate"/>
          </w:r>
          <w:r>
            <w:t>10</w:t>
          </w:r>
          <w:r>
            <w:fldChar w:fldCharType="end"/>
          </w:r>
          <w:r>
            <w:fldChar w:fldCharType="end"/>
          </w:r>
        </w:p>
        <w:p>
          <w:pPr>
            <w:pStyle w:val="37"/>
            <w:tabs>
              <w:tab w:val="right" w:leader="dot" w:pos="8811"/>
            </w:tabs>
          </w:pPr>
          <w:r>
            <w:fldChar w:fldCharType="begin"/>
          </w:r>
          <w:r>
            <w:instrText xml:space="preserve"> HYPERLINK \l _Toc28569 </w:instrText>
          </w:r>
          <w:r>
            <w:fldChar w:fldCharType="separate"/>
          </w:r>
          <w:r>
            <w:rPr>
              <w:rFonts w:hint="eastAsia" w:ascii="仿宋_GB2312" w:hAnsi="仿宋_GB2312" w:eastAsia="仿宋_GB2312" w:cs="仿宋_GB2312"/>
              <w:szCs w:val="32"/>
            </w:rPr>
            <w:t>（三）一般公共预算财政拨款支出决算具体情况</w:t>
          </w:r>
          <w:r>
            <w:tab/>
          </w:r>
          <w:r>
            <w:fldChar w:fldCharType="begin"/>
          </w:r>
          <w:r>
            <w:instrText xml:space="preserve"> PAGEREF _Toc28569 \h </w:instrText>
          </w:r>
          <w:r>
            <w:fldChar w:fldCharType="separate"/>
          </w:r>
          <w:r>
            <w:t>11</w:t>
          </w:r>
          <w:r>
            <w:fldChar w:fldCharType="end"/>
          </w:r>
          <w:r>
            <w:fldChar w:fldCharType="end"/>
          </w:r>
        </w:p>
        <w:p>
          <w:pPr>
            <w:pStyle w:val="36"/>
            <w:tabs>
              <w:tab w:val="right" w:leader="dot" w:pos="8811"/>
            </w:tabs>
          </w:pPr>
          <w:r>
            <w:fldChar w:fldCharType="begin"/>
          </w:r>
          <w:r>
            <w:instrText xml:space="preserve"> HYPERLINK \l _Toc1901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_Toc1901 \h </w:instrText>
          </w:r>
          <w:r>
            <w:fldChar w:fldCharType="separate"/>
          </w:r>
          <w:r>
            <w:t>12</w:t>
          </w:r>
          <w:r>
            <w:fldChar w:fldCharType="end"/>
          </w:r>
          <w:r>
            <w:fldChar w:fldCharType="end"/>
          </w:r>
        </w:p>
        <w:p>
          <w:pPr>
            <w:pStyle w:val="36"/>
            <w:tabs>
              <w:tab w:val="right" w:leader="dot" w:pos="8811"/>
            </w:tabs>
          </w:pPr>
          <w:r>
            <w:fldChar w:fldCharType="begin"/>
          </w:r>
          <w:r>
            <w:instrText xml:space="preserve"> HYPERLINK \l _Toc5502 </w:instrText>
          </w:r>
          <w: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_Toc5502 \h </w:instrText>
          </w:r>
          <w:r>
            <w:fldChar w:fldCharType="separate"/>
          </w:r>
          <w:r>
            <w:t>13</w:t>
          </w:r>
          <w:r>
            <w:fldChar w:fldCharType="end"/>
          </w:r>
          <w:r>
            <w:fldChar w:fldCharType="end"/>
          </w:r>
        </w:p>
        <w:p>
          <w:pPr>
            <w:pStyle w:val="37"/>
            <w:tabs>
              <w:tab w:val="right" w:leader="dot" w:pos="8811"/>
            </w:tabs>
          </w:pPr>
          <w:r>
            <w:fldChar w:fldCharType="begin"/>
          </w:r>
          <w:r>
            <w:instrText xml:space="preserve"> HYPERLINK \l _Toc21373 </w:instrText>
          </w:r>
          <w:r>
            <w:fldChar w:fldCharType="separate"/>
          </w:r>
          <w:r>
            <w:rPr>
              <w:rFonts w:hint="eastAsia" w:ascii="仿宋_GB2312" w:hAnsi="仿宋_GB2312" w:eastAsia="仿宋_GB2312" w:cs="仿宋_GB2312"/>
              <w:szCs w:val="32"/>
            </w:rPr>
            <w:t>（一）“三公”经费财政拨款支出决算总体情况说明</w:t>
          </w:r>
          <w:r>
            <w:tab/>
          </w:r>
          <w:r>
            <w:fldChar w:fldCharType="begin"/>
          </w:r>
          <w:r>
            <w:instrText xml:space="preserve"> PAGEREF _Toc21373 \h </w:instrText>
          </w:r>
          <w:r>
            <w:fldChar w:fldCharType="separate"/>
          </w:r>
          <w:r>
            <w:t>13</w:t>
          </w:r>
          <w:r>
            <w:fldChar w:fldCharType="end"/>
          </w:r>
          <w:r>
            <w:fldChar w:fldCharType="end"/>
          </w:r>
        </w:p>
        <w:p>
          <w:pPr>
            <w:pStyle w:val="37"/>
            <w:tabs>
              <w:tab w:val="right" w:leader="dot" w:pos="8811"/>
            </w:tabs>
          </w:pPr>
          <w:r>
            <w:fldChar w:fldCharType="begin"/>
          </w:r>
          <w:r>
            <w:instrText xml:space="preserve"> HYPERLINK \l _Toc27165 </w:instrText>
          </w:r>
          <w:r>
            <w:fldChar w:fldCharType="separate"/>
          </w:r>
          <w:r>
            <w:rPr>
              <w:rFonts w:hint="eastAsia" w:ascii="仿宋_GB2312" w:hAnsi="仿宋_GB2312" w:eastAsia="仿宋_GB2312" w:cs="仿宋_GB2312"/>
              <w:szCs w:val="32"/>
            </w:rPr>
            <w:t>（二）“三公”经费财政拨款支出决算具体情况说明</w:t>
          </w:r>
          <w:r>
            <w:tab/>
          </w:r>
          <w:r>
            <w:fldChar w:fldCharType="begin"/>
          </w:r>
          <w:r>
            <w:instrText xml:space="preserve"> PAGEREF _Toc27165 \h </w:instrText>
          </w:r>
          <w:r>
            <w:fldChar w:fldCharType="separate"/>
          </w:r>
          <w:r>
            <w:t>13</w:t>
          </w:r>
          <w:r>
            <w:fldChar w:fldCharType="end"/>
          </w:r>
          <w:r>
            <w:fldChar w:fldCharType="end"/>
          </w:r>
        </w:p>
        <w:p>
          <w:pPr>
            <w:pStyle w:val="36"/>
            <w:tabs>
              <w:tab w:val="right" w:leader="dot" w:pos="8811"/>
            </w:tabs>
          </w:pPr>
          <w:r>
            <w:fldChar w:fldCharType="begin"/>
          </w:r>
          <w:r>
            <w:instrText xml:space="preserve"> HYPERLINK \l _Toc18340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_Toc18340 \h </w:instrText>
          </w:r>
          <w:r>
            <w:fldChar w:fldCharType="separate"/>
          </w:r>
          <w:r>
            <w:t>14</w:t>
          </w:r>
          <w:r>
            <w:fldChar w:fldCharType="end"/>
          </w:r>
          <w:r>
            <w:fldChar w:fldCharType="end"/>
          </w:r>
        </w:p>
        <w:p>
          <w:pPr>
            <w:pStyle w:val="36"/>
            <w:tabs>
              <w:tab w:val="right" w:leader="dot" w:pos="8811"/>
            </w:tabs>
          </w:pPr>
          <w:r>
            <w:fldChar w:fldCharType="begin"/>
          </w:r>
          <w:r>
            <w:instrText xml:space="preserve"> HYPERLINK \l _Toc4683 </w:instrText>
          </w:r>
          <w:r>
            <w:fldChar w:fldCharType="separate"/>
          </w:r>
          <w:r>
            <w:rPr>
              <w:rFonts w:hint="eastAsia" w:ascii="黑体" w:hAnsi="黑体" w:eastAsia="黑体"/>
            </w:rPr>
            <w:t>九、 国有资本经营预算支出决算情况说明</w:t>
          </w:r>
          <w:r>
            <w:tab/>
          </w:r>
          <w:r>
            <w:fldChar w:fldCharType="begin"/>
          </w:r>
          <w:r>
            <w:instrText xml:space="preserve"> PAGEREF _Toc4683 \h </w:instrText>
          </w:r>
          <w:r>
            <w:fldChar w:fldCharType="separate"/>
          </w:r>
          <w:r>
            <w:t>14</w:t>
          </w:r>
          <w:r>
            <w:fldChar w:fldCharType="end"/>
          </w:r>
          <w:r>
            <w:fldChar w:fldCharType="end"/>
          </w:r>
        </w:p>
        <w:p>
          <w:pPr>
            <w:pStyle w:val="36"/>
            <w:tabs>
              <w:tab w:val="right" w:leader="dot" w:pos="8811"/>
            </w:tabs>
          </w:pPr>
          <w:r>
            <w:fldChar w:fldCharType="begin"/>
          </w:r>
          <w:r>
            <w:instrText xml:space="preserve"> HYPERLINK \l _Toc21808 </w:instrText>
          </w:r>
          <w:r>
            <w:fldChar w:fldCharType="separate"/>
          </w:r>
          <w:r>
            <w:rPr>
              <w:rFonts w:hint="eastAsia" w:ascii="黑体" w:hAnsi="黑体" w:eastAsia="黑体"/>
            </w:rPr>
            <w:t>十、 其他重要事项的情况说明</w:t>
          </w:r>
          <w:r>
            <w:tab/>
          </w:r>
          <w:r>
            <w:fldChar w:fldCharType="begin"/>
          </w:r>
          <w:r>
            <w:instrText xml:space="preserve"> PAGEREF _Toc21808 \h </w:instrText>
          </w:r>
          <w:r>
            <w:fldChar w:fldCharType="separate"/>
          </w:r>
          <w:r>
            <w:t>14</w:t>
          </w:r>
          <w:r>
            <w:fldChar w:fldCharType="end"/>
          </w:r>
          <w:r>
            <w:fldChar w:fldCharType="end"/>
          </w:r>
        </w:p>
        <w:p>
          <w:pPr>
            <w:pStyle w:val="37"/>
            <w:tabs>
              <w:tab w:val="right" w:leader="dot" w:pos="8811"/>
            </w:tabs>
          </w:pPr>
          <w:r>
            <w:fldChar w:fldCharType="begin"/>
          </w:r>
          <w:r>
            <w:instrText xml:space="preserve"> HYPERLINK \l _Toc11104 </w:instrText>
          </w:r>
          <w:r>
            <w:fldChar w:fldCharType="separate"/>
          </w:r>
          <w:r>
            <w:rPr>
              <w:rFonts w:hint="eastAsia" w:ascii="仿宋_GB2312" w:hAnsi="仿宋_GB2312" w:eastAsia="仿宋_GB2312" w:cs="仿宋_GB2312"/>
              <w:szCs w:val="32"/>
            </w:rPr>
            <w:t>（一）机关运行经费支出情况</w:t>
          </w:r>
          <w:r>
            <w:tab/>
          </w:r>
          <w:r>
            <w:fldChar w:fldCharType="begin"/>
          </w:r>
          <w:r>
            <w:instrText xml:space="preserve"> PAGEREF _Toc11104 \h </w:instrText>
          </w:r>
          <w:r>
            <w:fldChar w:fldCharType="separate"/>
          </w:r>
          <w:r>
            <w:t>14</w:t>
          </w:r>
          <w:r>
            <w:fldChar w:fldCharType="end"/>
          </w:r>
          <w:r>
            <w:fldChar w:fldCharType="end"/>
          </w:r>
        </w:p>
        <w:p>
          <w:pPr>
            <w:pStyle w:val="37"/>
            <w:tabs>
              <w:tab w:val="right" w:leader="dot" w:pos="8811"/>
            </w:tabs>
          </w:pPr>
          <w:r>
            <w:fldChar w:fldCharType="begin"/>
          </w:r>
          <w:r>
            <w:instrText xml:space="preserve"> HYPERLINK \l _Toc30180 </w:instrText>
          </w:r>
          <w:r>
            <w:fldChar w:fldCharType="separate"/>
          </w:r>
          <w:r>
            <w:rPr>
              <w:rFonts w:hint="eastAsia" w:ascii="仿宋_GB2312" w:hAnsi="仿宋_GB2312" w:eastAsia="仿宋_GB2312" w:cs="仿宋_GB2312"/>
              <w:szCs w:val="32"/>
            </w:rPr>
            <w:t>（二）政府采购支出情况</w:t>
          </w:r>
          <w:r>
            <w:tab/>
          </w:r>
          <w:r>
            <w:fldChar w:fldCharType="begin"/>
          </w:r>
          <w:r>
            <w:instrText xml:space="preserve"> PAGEREF _Toc30180 \h </w:instrText>
          </w:r>
          <w:r>
            <w:fldChar w:fldCharType="separate"/>
          </w:r>
          <w:r>
            <w:t>14</w:t>
          </w:r>
          <w:r>
            <w:fldChar w:fldCharType="end"/>
          </w:r>
          <w:r>
            <w:fldChar w:fldCharType="end"/>
          </w:r>
        </w:p>
        <w:p>
          <w:pPr>
            <w:pStyle w:val="37"/>
            <w:tabs>
              <w:tab w:val="right" w:leader="dot" w:pos="8811"/>
            </w:tabs>
          </w:pPr>
          <w:r>
            <w:fldChar w:fldCharType="begin"/>
          </w:r>
          <w:r>
            <w:instrText xml:space="preserve"> HYPERLINK \l _Toc29195 </w:instrText>
          </w:r>
          <w:r>
            <w:fldChar w:fldCharType="separate"/>
          </w:r>
          <w:r>
            <w:rPr>
              <w:rFonts w:hint="eastAsia" w:ascii="仿宋_GB2312" w:hAnsi="仿宋_GB2312" w:eastAsia="仿宋_GB2312" w:cs="仿宋_GB2312"/>
              <w:szCs w:val="32"/>
            </w:rPr>
            <w:t>（三）国有资产占有使用情况</w:t>
          </w:r>
          <w:r>
            <w:tab/>
          </w:r>
          <w:r>
            <w:fldChar w:fldCharType="begin"/>
          </w:r>
          <w:r>
            <w:instrText xml:space="preserve"> PAGEREF _Toc29195 \h </w:instrText>
          </w:r>
          <w:r>
            <w:fldChar w:fldCharType="separate"/>
          </w:r>
          <w:r>
            <w:t>14</w:t>
          </w:r>
          <w:r>
            <w:fldChar w:fldCharType="end"/>
          </w:r>
          <w:r>
            <w:fldChar w:fldCharType="end"/>
          </w:r>
        </w:p>
        <w:p>
          <w:pPr>
            <w:pStyle w:val="37"/>
            <w:tabs>
              <w:tab w:val="right" w:leader="dot" w:pos="8811"/>
            </w:tabs>
          </w:pPr>
          <w:r>
            <w:fldChar w:fldCharType="begin"/>
          </w:r>
          <w:r>
            <w:instrText xml:space="preserve"> HYPERLINK \l _Toc25003 </w:instrText>
          </w:r>
          <w:r>
            <w:fldChar w:fldCharType="separate"/>
          </w:r>
          <w:r>
            <w:rPr>
              <w:rFonts w:hint="eastAsia" w:ascii="仿宋_GB2312" w:hAnsi="仿宋_GB2312" w:eastAsia="仿宋_GB2312" w:cs="仿宋_GB2312"/>
              <w:szCs w:val="32"/>
            </w:rPr>
            <w:t>（四）预算绩效管理情况</w:t>
          </w:r>
          <w:r>
            <w:tab/>
          </w:r>
          <w:r>
            <w:fldChar w:fldCharType="begin"/>
          </w:r>
          <w:r>
            <w:instrText xml:space="preserve"> PAGEREF _Toc25003 \h </w:instrText>
          </w:r>
          <w:r>
            <w:fldChar w:fldCharType="separate"/>
          </w:r>
          <w:r>
            <w:t>15</w:t>
          </w:r>
          <w:r>
            <w:fldChar w:fldCharType="end"/>
          </w:r>
          <w:r>
            <w:fldChar w:fldCharType="end"/>
          </w:r>
        </w:p>
        <w:p>
          <w:pPr>
            <w:pStyle w:val="35"/>
            <w:tabs>
              <w:tab w:val="right" w:leader="dot" w:pos="8811"/>
            </w:tabs>
          </w:pPr>
          <w:r>
            <w:fldChar w:fldCharType="begin"/>
          </w:r>
          <w:r>
            <w:instrText xml:space="preserve"> HYPERLINK \l _Toc16641 </w:instrText>
          </w:r>
          <w:r>
            <w:fldChar w:fldCharType="separate"/>
          </w:r>
          <w:r>
            <w:rPr>
              <w:rFonts w:hint="eastAsia" w:ascii="黑体" w:hAnsi="黑体" w:eastAsia="黑体"/>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_Toc16641 \h </w:instrText>
          </w:r>
          <w:r>
            <w:fldChar w:fldCharType="separate"/>
          </w:r>
          <w:r>
            <w:t>16</w:t>
          </w:r>
          <w:r>
            <w:fldChar w:fldCharType="end"/>
          </w:r>
          <w:r>
            <w:fldChar w:fldCharType="end"/>
          </w:r>
        </w:p>
        <w:p>
          <w:pPr>
            <w:pStyle w:val="35"/>
            <w:tabs>
              <w:tab w:val="right" w:leader="dot" w:pos="8811"/>
            </w:tabs>
          </w:pPr>
          <w:r>
            <w:fldChar w:fldCharType="begin"/>
          </w:r>
          <w:r>
            <w:instrText xml:space="preserve"> HYPERLINK \l _Toc18704 </w:instrText>
          </w:r>
          <w:r>
            <w:fldChar w:fldCharType="separate"/>
          </w:r>
          <w:r>
            <w:rPr>
              <w:rFonts w:hint="eastAsia" w:ascii="黑体" w:hAnsi="黑体" w:eastAsia="黑体"/>
              <w:szCs w:val="44"/>
            </w:rPr>
            <w:t>第</w:t>
          </w:r>
          <w:r>
            <w:rPr>
              <w:rFonts w:hint="eastAsia" w:ascii="黑体" w:hAnsi="黑体" w:eastAsia="黑体"/>
            </w:rPr>
            <w:t>四部分 附件</w:t>
          </w:r>
          <w:r>
            <w:tab/>
          </w:r>
          <w:r>
            <w:fldChar w:fldCharType="begin"/>
          </w:r>
          <w:r>
            <w:instrText xml:space="preserve"> PAGEREF _Toc18704 \h </w:instrText>
          </w:r>
          <w:r>
            <w:fldChar w:fldCharType="separate"/>
          </w:r>
          <w:r>
            <w:t>18</w:t>
          </w:r>
          <w:r>
            <w:fldChar w:fldCharType="end"/>
          </w:r>
          <w:r>
            <w:fldChar w:fldCharType="end"/>
          </w:r>
        </w:p>
        <w:p>
          <w:pPr>
            <w:pStyle w:val="35"/>
            <w:tabs>
              <w:tab w:val="right" w:leader="dot" w:pos="8811"/>
            </w:tabs>
          </w:pPr>
          <w:r>
            <w:fldChar w:fldCharType="begin"/>
          </w:r>
          <w:r>
            <w:instrText xml:space="preserve"> HYPERLINK \l _Toc13975 </w:instrText>
          </w:r>
          <w:r>
            <w:fldChar w:fldCharType="separate"/>
          </w:r>
          <w:r>
            <w:rPr>
              <w:rFonts w:hint="eastAsia" w:ascii="黑体" w:hAnsi="黑体" w:eastAsia="黑体"/>
              <w:szCs w:val="44"/>
            </w:rPr>
            <w:t>第</w:t>
          </w:r>
          <w:r>
            <w:rPr>
              <w:rFonts w:hint="eastAsia" w:ascii="黑体" w:hAnsi="黑体" w:eastAsia="黑体"/>
            </w:rPr>
            <w:t>五部分 附表</w:t>
          </w:r>
          <w:r>
            <w:tab/>
          </w:r>
          <w:r>
            <w:fldChar w:fldCharType="begin"/>
          </w:r>
          <w:r>
            <w:instrText xml:space="preserve"> PAGEREF _Toc13975 \h </w:instrText>
          </w:r>
          <w:r>
            <w:fldChar w:fldCharType="separate"/>
          </w:r>
          <w:r>
            <w:t>58</w:t>
          </w:r>
          <w:r>
            <w:fldChar w:fldCharType="end"/>
          </w:r>
          <w:r>
            <w:fldChar w:fldCharType="end"/>
          </w:r>
        </w:p>
        <w:p>
          <w:pPr>
            <w:pStyle w:val="36"/>
            <w:tabs>
              <w:tab w:val="right" w:leader="dot" w:pos="8811"/>
            </w:tabs>
          </w:pPr>
          <w:r>
            <w:fldChar w:fldCharType="begin"/>
          </w:r>
          <w:r>
            <w:instrText xml:space="preserve"> HYPERLINK \l _Toc1160 </w:instrText>
          </w:r>
          <w:r>
            <w:fldChar w:fldCharType="separate"/>
          </w:r>
          <w:r>
            <w:rPr>
              <w:rFonts w:hint="eastAsia" w:ascii="仿宋_GB2312" w:hAnsi="仿宋" w:eastAsia="仿宋_GB2312"/>
            </w:rPr>
            <w:t>一、收</w:t>
          </w:r>
          <w:r>
            <w:rPr>
              <w:rFonts w:hint="eastAsia" w:ascii="仿宋_GB2312" w:hAnsi="仿宋" w:eastAsia="仿宋_GB2312"/>
              <w:bCs w:val="0"/>
            </w:rPr>
            <w:t>入支出决算总表</w:t>
          </w:r>
          <w:r>
            <w:tab/>
          </w:r>
          <w:r>
            <w:fldChar w:fldCharType="begin"/>
          </w:r>
          <w:r>
            <w:instrText xml:space="preserve"> PAGEREF _Toc1160 \h </w:instrText>
          </w:r>
          <w:r>
            <w:fldChar w:fldCharType="separate"/>
          </w:r>
          <w:r>
            <w:t>58</w:t>
          </w:r>
          <w:r>
            <w:fldChar w:fldCharType="end"/>
          </w:r>
          <w:r>
            <w:fldChar w:fldCharType="end"/>
          </w:r>
        </w:p>
        <w:p>
          <w:pPr>
            <w:pStyle w:val="36"/>
            <w:tabs>
              <w:tab w:val="right" w:leader="dot" w:pos="8811"/>
            </w:tabs>
          </w:pPr>
          <w:r>
            <w:fldChar w:fldCharType="begin"/>
          </w:r>
          <w:r>
            <w:instrText xml:space="preserve"> HYPERLINK \l _Toc21819 </w:instrText>
          </w:r>
          <w:r>
            <w:fldChar w:fldCharType="separate"/>
          </w:r>
          <w:r>
            <w:rPr>
              <w:rFonts w:hint="eastAsia" w:ascii="仿宋_GB2312" w:hAnsi="仿宋" w:eastAsia="仿宋_GB2312"/>
            </w:rPr>
            <w:t>二、收</w:t>
          </w:r>
          <w:r>
            <w:rPr>
              <w:rFonts w:hint="eastAsia" w:ascii="仿宋_GB2312" w:hAnsi="仿宋" w:eastAsia="仿宋_GB2312"/>
              <w:bCs w:val="0"/>
            </w:rPr>
            <w:t>入决算表</w:t>
          </w:r>
          <w:r>
            <w:tab/>
          </w:r>
          <w:r>
            <w:fldChar w:fldCharType="begin"/>
          </w:r>
          <w:r>
            <w:instrText xml:space="preserve"> PAGEREF _Toc21819 \h </w:instrText>
          </w:r>
          <w:r>
            <w:fldChar w:fldCharType="separate"/>
          </w:r>
          <w:r>
            <w:t>58</w:t>
          </w:r>
          <w:r>
            <w:fldChar w:fldCharType="end"/>
          </w:r>
          <w:r>
            <w:fldChar w:fldCharType="end"/>
          </w:r>
        </w:p>
        <w:p>
          <w:pPr>
            <w:pStyle w:val="36"/>
            <w:tabs>
              <w:tab w:val="right" w:leader="dot" w:pos="8811"/>
            </w:tabs>
          </w:pPr>
          <w:r>
            <w:fldChar w:fldCharType="begin"/>
          </w:r>
          <w:r>
            <w:instrText xml:space="preserve"> HYPERLINK \l _Toc27389 </w:instrText>
          </w:r>
          <w:r>
            <w:fldChar w:fldCharType="separate"/>
          </w:r>
          <w:r>
            <w:rPr>
              <w:rFonts w:hint="eastAsia" w:ascii="仿宋_GB2312" w:hAnsi="仿宋" w:eastAsia="仿宋_GB2312"/>
              <w:bCs w:val="0"/>
            </w:rPr>
            <w:t>三、</w:t>
          </w:r>
          <w:r>
            <w:rPr>
              <w:rFonts w:hint="eastAsia" w:ascii="仿宋_GB2312" w:hAnsi="仿宋" w:eastAsia="仿宋_GB2312"/>
            </w:rPr>
            <w:t>支</w:t>
          </w:r>
          <w:r>
            <w:rPr>
              <w:rFonts w:hint="eastAsia" w:ascii="仿宋_GB2312" w:hAnsi="仿宋" w:eastAsia="仿宋_GB2312"/>
              <w:bCs w:val="0"/>
            </w:rPr>
            <w:t>出决算表</w:t>
          </w:r>
          <w:r>
            <w:tab/>
          </w:r>
          <w:r>
            <w:fldChar w:fldCharType="begin"/>
          </w:r>
          <w:r>
            <w:instrText xml:space="preserve"> PAGEREF _Toc27389 \h </w:instrText>
          </w:r>
          <w:r>
            <w:fldChar w:fldCharType="separate"/>
          </w:r>
          <w:r>
            <w:t>58</w:t>
          </w:r>
          <w:r>
            <w:fldChar w:fldCharType="end"/>
          </w:r>
          <w:r>
            <w:fldChar w:fldCharType="end"/>
          </w:r>
        </w:p>
        <w:p>
          <w:pPr>
            <w:pStyle w:val="36"/>
            <w:tabs>
              <w:tab w:val="right" w:leader="dot" w:pos="8811"/>
            </w:tabs>
          </w:pPr>
          <w:r>
            <w:fldChar w:fldCharType="begin"/>
          </w:r>
          <w:r>
            <w:instrText xml:space="preserve"> HYPERLINK \l _Toc11224 </w:instrText>
          </w:r>
          <w:r>
            <w:fldChar w:fldCharType="separate"/>
          </w:r>
          <w:r>
            <w:rPr>
              <w:rFonts w:hint="eastAsia" w:ascii="仿宋_GB2312" w:hAnsi="仿宋" w:eastAsia="仿宋_GB2312"/>
              <w:bCs w:val="0"/>
            </w:rPr>
            <w:t>四、</w:t>
          </w:r>
          <w:r>
            <w:rPr>
              <w:rFonts w:hint="eastAsia" w:ascii="仿宋_GB2312" w:hAnsi="仿宋" w:eastAsia="仿宋_GB2312"/>
            </w:rPr>
            <w:t>财</w:t>
          </w:r>
          <w:r>
            <w:rPr>
              <w:rFonts w:hint="eastAsia" w:ascii="仿宋_GB2312" w:hAnsi="仿宋" w:eastAsia="仿宋_GB2312"/>
              <w:bCs w:val="0"/>
            </w:rPr>
            <w:t>政拨款收入支出决算总表</w:t>
          </w:r>
          <w:r>
            <w:tab/>
          </w:r>
          <w:r>
            <w:fldChar w:fldCharType="begin"/>
          </w:r>
          <w:r>
            <w:instrText xml:space="preserve"> PAGEREF _Toc11224 \h </w:instrText>
          </w:r>
          <w:r>
            <w:fldChar w:fldCharType="separate"/>
          </w:r>
          <w:r>
            <w:t>58</w:t>
          </w:r>
          <w:r>
            <w:fldChar w:fldCharType="end"/>
          </w:r>
          <w:r>
            <w:fldChar w:fldCharType="end"/>
          </w:r>
        </w:p>
        <w:p>
          <w:pPr>
            <w:pStyle w:val="36"/>
            <w:tabs>
              <w:tab w:val="right" w:leader="dot" w:pos="8811"/>
            </w:tabs>
          </w:pPr>
          <w:r>
            <w:fldChar w:fldCharType="begin"/>
          </w:r>
          <w:r>
            <w:instrText xml:space="preserve"> HYPERLINK \l _Toc21975 </w:instrText>
          </w:r>
          <w:r>
            <w:fldChar w:fldCharType="separate"/>
          </w:r>
          <w:r>
            <w:rPr>
              <w:rFonts w:hint="eastAsia" w:ascii="仿宋_GB2312" w:hAnsi="仿宋" w:eastAsia="仿宋_GB2312"/>
              <w:bCs w:val="0"/>
            </w:rPr>
            <w:t>五、</w:t>
          </w:r>
          <w:r>
            <w:rPr>
              <w:rFonts w:hint="eastAsia" w:ascii="仿宋_GB2312" w:hAnsi="仿宋" w:eastAsia="仿宋_GB2312"/>
            </w:rPr>
            <w:t>财</w:t>
          </w:r>
          <w:r>
            <w:rPr>
              <w:rFonts w:hint="eastAsia" w:ascii="仿宋_GB2312" w:hAnsi="仿宋" w:eastAsia="仿宋_GB2312"/>
              <w:bCs w:val="0"/>
            </w:rPr>
            <w:t>政拨款支出决算明细表</w:t>
          </w:r>
          <w:r>
            <w:tab/>
          </w:r>
          <w:r>
            <w:fldChar w:fldCharType="begin"/>
          </w:r>
          <w:r>
            <w:instrText xml:space="preserve"> PAGEREF _Toc21975 \h </w:instrText>
          </w:r>
          <w:r>
            <w:fldChar w:fldCharType="separate"/>
          </w:r>
          <w:r>
            <w:t>58</w:t>
          </w:r>
          <w:r>
            <w:fldChar w:fldCharType="end"/>
          </w:r>
          <w:r>
            <w:fldChar w:fldCharType="end"/>
          </w:r>
        </w:p>
        <w:p>
          <w:pPr>
            <w:pStyle w:val="36"/>
            <w:tabs>
              <w:tab w:val="right" w:leader="dot" w:pos="8811"/>
            </w:tabs>
          </w:pPr>
          <w:r>
            <w:fldChar w:fldCharType="begin"/>
          </w:r>
          <w:r>
            <w:instrText xml:space="preserve"> HYPERLINK \l _Toc31065 </w:instrText>
          </w:r>
          <w:r>
            <w:fldChar w:fldCharType="separate"/>
          </w:r>
          <w:r>
            <w:rPr>
              <w:rFonts w:hint="eastAsia" w:ascii="仿宋_GB2312" w:hAnsi="仿宋" w:eastAsia="仿宋_GB2312"/>
              <w:bCs w:val="0"/>
            </w:rPr>
            <w:t>六、</w:t>
          </w:r>
          <w:r>
            <w:rPr>
              <w:rFonts w:hint="eastAsia" w:ascii="仿宋_GB2312" w:hAnsi="仿宋" w:eastAsia="仿宋_GB2312"/>
            </w:rPr>
            <w:t>一</w:t>
          </w:r>
          <w:r>
            <w:rPr>
              <w:rFonts w:hint="eastAsia" w:ascii="仿宋_GB2312" w:hAnsi="仿宋" w:eastAsia="仿宋_GB2312"/>
              <w:bCs w:val="0"/>
            </w:rPr>
            <w:t>般公共预算财政拨款支出决算表</w:t>
          </w:r>
          <w:r>
            <w:tab/>
          </w:r>
          <w:r>
            <w:fldChar w:fldCharType="begin"/>
          </w:r>
          <w:r>
            <w:instrText xml:space="preserve"> PAGEREF _Toc31065 \h </w:instrText>
          </w:r>
          <w:r>
            <w:fldChar w:fldCharType="separate"/>
          </w:r>
          <w:r>
            <w:t>58</w:t>
          </w:r>
          <w:r>
            <w:fldChar w:fldCharType="end"/>
          </w:r>
          <w:r>
            <w:fldChar w:fldCharType="end"/>
          </w:r>
        </w:p>
        <w:p>
          <w:pPr>
            <w:pStyle w:val="36"/>
            <w:tabs>
              <w:tab w:val="right" w:leader="dot" w:pos="8811"/>
            </w:tabs>
          </w:pPr>
          <w:r>
            <w:fldChar w:fldCharType="begin"/>
          </w:r>
          <w:r>
            <w:instrText xml:space="preserve"> HYPERLINK \l _Toc13507 </w:instrText>
          </w:r>
          <w:r>
            <w:fldChar w:fldCharType="separate"/>
          </w:r>
          <w:r>
            <w:rPr>
              <w:rFonts w:hint="eastAsia" w:ascii="仿宋_GB2312" w:hAnsi="仿宋" w:eastAsia="仿宋_GB2312"/>
              <w:bCs w:val="0"/>
            </w:rPr>
            <w:t>七、</w:t>
          </w:r>
          <w:r>
            <w:rPr>
              <w:rFonts w:hint="eastAsia" w:ascii="仿宋_GB2312" w:hAnsi="仿宋" w:eastAsia="仿宋_GB2312"/>
            </w:rPr>
            <w:t>一</w:t>
          </w:r>
          <w:r>
            <w:rPr>
              <w:rFonts w:hint="eastAsia" w:ascii="仿宋_GB2312" w:hAnsi="仿宋" w:eastAsia="仿宋_GB2312"/>
              <w:bCs w:val="0"/>
            </w:rPr>
            <w:t>般公共预算财政拨款支出决算明细表</w:t>
          </w:r>
          <w:r>
            <w:tab/>
          </w:r>
          <w:r>
            <w:fldChar w:fldCharType="begin"/>
          </w:r>
          <w:r>
            <w:instrText xml:space="preserve"> PAGEREF _Toc13507 \h </w:instrText>
          </w:r>
          <w:r>
            <w:fldChar w:fldCharType="separate"/>
          </w:r>
          <w:r>
            <w:t>58</w:t>
          </w:r>
          <w:r>
            <w:fldChar w:fldCharType="end"/>
          </w:r>
          <w:r>
            <w:fldChar w:fldCharType="end"/>
          </w:r>
        </w:p>
        <w:p>
          <w:pPr>
            <w:pStyle w:val="36"/>
            <w:tabs>
              <w:tab w:val="right" w:leader="dot" w:pos="8811"/>
            </w:tabs>
          </w:pPr>
          <w:r>
            <w:fldChar w:fldCharType="begin"/>
          </w:r>
          <w:r>
            <w:instrText xml:space="preserve"> HYPERLINK \l _Toc12643 </w:instrText>
          </w:r>
          <w:r>
            <w:fldChar w:fldCharType="separate"/>
          </w:r>
          <w:r>
            <w:rPr>
              <w:rFonts w:hint="eastAsia" w:ascii="仿宋_GB2312" w:hAnsi="仿宋" w:eastAsia="仿宋_GB2312"/>
              <w:bCs w:val="0"/>
            </w:rPr>
            <w:t>八、</w:t>
          </w:r>
          <w:r>
            <w:rPr>
              <w:rFonts w:hint="eastAsia" w:ascii="仿宋_GB2312" w:hAnsi="仿宋" w:eastAsia="仿宋_GB2312"/>
            </w:rPr>
            <w:t>一</w:t>
          </w:r>
          <w:r>
            <w:rPr>
              <w:rFonts w:hint="eastAsia" w:ascii="仿宋_GB2312" w:hAnsi="仿宋" w:eastAsia="仿宋_GB2312"/>
              <w:bCs w:val="0"/>
            </w:rPr>
            <w:t>般公共预算财政拨款基本支出决算表</w:t>
          </w:r>
          <w:r>
            <w:tab/>
          </w:r>
          <w:r>
            <w:fldChar w:fldCharType="begin"/>
          </w:r>
          <w:r>
            <w:instrText xml:space="preserve"> PAGEREF _Toc12643 \h </w:instrText>
          </w:r>
          <w:r>
            <w:fldChar w:fldCharType="separate"/>
          </w:r>
          <w:r>
            <w:t>58</w:t>
          </w:r>
          <w:r>
            <w:fldChar w:fldCharType="end"/>
          </w:r>
          <w:r>
            <w:fldChar w:fldCharType="end"/>
          </w:r>
        </w:p>
        <w:p>
          <w:pPr>
            <w:pStyle w:val="36"/>
            <w:tabs>
              <w:tab w:val="right" w:leader="dot" w:pos="8811"/>
            </w:tabs>
          </w:pPr>
          <w:r>
            <w:fldChar w:fldCharType="begin"/>
          </w:r>
          <w:r>
            <w:instrText xml:space="preserve"> HYPERLINK \l _Toc3287 </w:instrText>
          </w:r>
          <w:r>
            <w:fldChar w:fldCharType="separate"/>
          </w:r>
          <w:r>
            <w:rPr>
              <w:rFonts w:hint="eastAsia" w:ascii="仿宋_GB2312" w:hAnsi="仿宋" w:eastAsia="仿宋_GB2312"/>
              <w:bCs w:val="0"/>
            </w:rPr>
            <w:t>九、</w:t>
          </w:r>
          <w:r>
            <w:rPr>
              <w:rFonts w:hint="eastAsia" w:ascii="仿宋_GB2312" w:hAnsi="仿宋" w:eastAsia="仿宋_GB2312"/>
            </w:rPr>
            <w:t>一</w:t>
          </w:r>
          <w:r>
            <w:rPr>
              <w:rFonts w:hint="eastAsia" w:ascii="仿宋_GB2312" w:hAnsi="仿宋" w:eastAsia="仿宋_GB2312"/>
              <w:bCs w:val="0"/>
            </w:rPr>
            <w:t>般公共预算财政拨款项目支出决算表</w:t>
          </w:r>
          <w:r>
            <w:tab/>
          </w:r>
          <w:r>
            <w:fldChar w:fldCharType="begin"/>
          </w:r>
          <w:r>
            <w:instrText xml:space="preserve"> PAGEREF _Toc3287 \h </w:instrText>
          </w:r>
          <w:r>
            <w:fldChar w:fldCharType="separate"/>
          </w:r>
          <w:r>
            <w:t>58</w:t>
          </w:r>
          <w:r>
            <w:fldChar w:fldCharType="end"/>
          </w:r>
          <w:r>
            <w:fldChar w:fldCharType="end"/>
          </w:r>
        </w:p>
        <w:p>
          <w:pPr>
            <w:pStyle w:val="36"/>
            <w:tabs>
              <w:tab w:val="right" w:leader="dot" w:pos="8811"/>
            </w:tabs>
          </w:pPr>
          <w:r>
            <w:fldChar w:fldCharType="begin"/>
          </w:r>
          <w:r>
            <w:instrText xml:space="preserve"> HYPERLINK \l _Toc11439 </w:instrText>
          </w:r>
          <w:r>
            <w:fldChar w:fldCharType="separate"/>
          </w:r>
          <w:r>
            <w:rPr>
              <w:rFonts w:hint="eastAsia" w:ascii="仿宋_GB2312" w:hAnsi="仿宋" w:eastAsia="仿宋_GB2312"/>
              <w:bCs w:val="0"/>
            </w:rPr>
            <w:t>十、</w:t>
          </w:r>
          <w:r>
            <w:rPr>
              <w:rFonts w:hint="eastAsia" w:ascii="仿宋_GB2312" w:hAnsi="仿宋" w:eastAsia="仿宋_GB2312"/>
            </w:rPr>
            <w:t>政</w:t>
          </w:r>
          <w:r>
            <w:rPr>
              <w:rFonts w:hint="eastAsia" w:ascii="仿宋_GB2312" w:hAnsi="仿宋" w:eastAsia="仿宋_GB2312"/>
              <w:bCs w:val="0"/>
            </w:rPr>
            <w:t>府性基金预算财政拨款收入支出决算表</w:t>
          </w:r>
          <w:r>
            <w:tab/>
          </w:r>
          <w:r>
            <w:fldChar w:fldCharType="begin"/>
          </w:r>
          <w:r>
            <w:instrText xml:space="preserve"> PAGEREF _Toc11439 \h </w:instrText>
          </w:r>
          <w:r>
            <w:fldChar w:fldCharType="separate"/>
          </w:r>
          <w:r>
            <w:t>58</w:t>
          </w:r>
          <w:r>
            <w:fldChar w:fldCharType="end"/>
          </w:r>
          <w:r>
            <w:fldChar w:fldCharType="end"/>
          </w:r>
        </w:p>
        <w:p>
          <w:pPr>
            <w:pStyle w:val="36"/>
            <w:tabs>
              <w:tab w:val="right" w:leader="dot" w:pos="8811"/>
            </w:tabs>
          </w:pPr>
          <w:r>
            <w:fldChar w:fldCharType="begin"/>
          </w:r>
          <w:r>
            <w:instrText xml:space="preserve"> HYPERLINK \l _Toc1019 </w:instrText>
          </w:r>
          <w:r>
            <w:fldChar w:fldCharType="separate"/>
          </w:r>
          <w:r>
            <w:rPr>
              <w:rFonts w:hint="eastAsia" w:ascii="仿宋_GB2312" w:hAnsi="仿宋" w:eastAsia="仿宋_GB2312"/>
              <w:bCs w:val="0"/>
            </w:rPr>
            <w:t>十一、</w:t>
          </w:r>
          <w:r>
            <w:rPr>
              <w:rFonts w:hint="eastAsia" w:ascii="仿宋_GB2312" w:hAnsi="仿宋" w:eastAsia="仿宋_GB2312"/>
            </w:rPr>
            <w:t>国</w:t>
          </w:r>
          <w:r>
            <w:rPr>
              <w:rFonts w:hint="eastAsia" w:ascii="仿宋_GB2312" w:hAnsi="仿宋" w:eastAsia="仿宋_GB2312"/>
              <w:bCs w:val="0"/>
            </w:rPr>
            <w:t>有资本经营预算财政拨款收入支出决算表</w:t>
          </w:r>
          <w:r>
            <w:tab/>
          </w:r>
          <w:r>
            <w:fldChar w:fldCharType="begin"/>
          </w:r>
          <w:r>
            <w:instrText xml:space="preserve"> PAGEREF _Toc1019 \h </w:instrText>
          </w:r>
          <w:r>
            <w:fldChar w:fldCharType="separate"/>
          </w:r>
          <w:r>
            <w:t>58</w:t>
          </w:r>
          <w:r>
            <w:fldChar w:fldCharType="end"/>
          </w:r>
          <w:r>
            <w:fldChar w:fldCharType="end"/>
          </w:r>
        </w:p>
        <w:p>
          <w:pPr>
            <w:pStyle w:val="36"/>
            <w:tabs>
              <w:tab w:val="right" w:leader="dot" w:pos="8811"/>
            </w:tabs>
          </w:pPr>
          <w:r>
            <w:fldChar w:fldCharType="begin"/>
          </w:r>
          <w:r>
            <w:instrText xml:space="preserve"> HYPERLINK \l _Toc12624 </w:instrText>
          </w:r>
          <w:r>
            <w:fldChar w:fldCharType="separate"/>
          </w:r>
          <w:r>
            <w:rPr>
              <w:rFonts w:hint="eastAsia" w:ascii="仿宋_GB2312" w:hAnsi="仿宋" w:eastAsia="仿宋_GB2312"/>
              <w:bCs w:val="0"/>
            </w:rPr>
            <w:t>十二、国有资本经营预算财政拨款支出决算表</w:t>
          </w:r>
          <w:r>
            <w:tab/>
          </w:r>
          <w:r>
            <w:fldChar w:fldCharType="begin"/>
          </w:r>
          <w:r>
            <w:instrText xml:space="preserve"> PAGEREF _Toc12624 \h </w:instrText>
          </w:r>
          <w:r>
            <w:fldChar w:fldCharType="separate"/>
          </w:r>
          <w:r>
            <w:t>58</w:t>
          </w:r>
          <w:r>
            <w:fldChar w:fldCharType="end"/>
          </w:r>
          <w:r>
            <w:fldChar w:fldCharType="end"/>
          </w:r>
        </w:p>
        <w:p>
          <w:pPr>
            <w:pStyle w:val="36"/>
            <w:tabs>
              <w:tab w:val="right" w:leader="dot" w:pos="8811"/>
            </w:tabs>
          </w:pPr>
          <w:r>
            <w:fldChar w:fldCharType="begin"/>
          </w:r>
          <w:r>
            <w:instrText xml:space="preserve"> HYPERLINK \l _Toc18580 </w:instrText>
          </w:r>
          <w:r>
            <w:fldChar w:fldCharType="separate"/>
          </w:r>
          <w:r>
            <w:rPr>
              <w:rFonts w:hint="eastAsia" w:ascii="仿宋_GB2312" w:hAnsi="仿宋" w:eastAsia="仿宋_GB2312"/>
              <w:bCs w:val="0"/>
            </w:rPr>
            <w:t>十三、财政拨款“三公”经费支出决算表</w:t>
          </w:r>
          <w:r>
            <w:tab/>
          </w:r>
          <w:r>
            <w:fldChar w:fldCharType="begin"/>
          </w:r>
          <w:r>
            <w:instrText xml:space="preserve"> PAGEREF _Toc18580 \h </w:instrText>
          </w:r>
          <w:r>
            <w:fldChar w:fldCharType="separate"/>
          </w:r>
          <w:r>
            <w:t>58</w:t>
          </w:r>
          <w:r>
            <w:fldChar w:fldCharType="end"/>
          </w:r>
          <w:r>
            <w:fldChar w:fldCharType="end"/>
          </w:r>
        </w:p>
        <w:p>
          <w:r>
            <w:fldChar w:fldCharType="end"/>
          </w:r>
        </w:p>
      </w:sdtContent>
    </w:sdt>
    <w:p>
      <w:pPr>
        <w:pStyle w:val="3"/>
        <w:jc w:val="center"/>
        <w:rPr>
          <w:rFonts w:ascii="黑体" w:hAnsi="黑体" w:eastAsia="黑体"/>
          <w:bCs w:val="0"/>
        </w:rPr>
      </w:pPr>
      <w:bookmarkStart w:id="25" w:name="_Toc18378"/>
      <w:r>
        <w:rPr>
          <w:rFonts w:hint="eastAsia" w:ascii="黑体" w:hAnsi="黑体" w:eastAsia="黑体"/>
          <w:b w:val="0"/>
        </w:rPr>
        <w:t xml:space="preserve">第一部分 </w:t>
      </w:r>
      <w:r>
        <w:rPr>
          <w:rStyle w:val="28"/>
          <w:rFonts w:hint="eastAsia" w:ascii="黑体" w:hAnsi="黑体" w:eastAsia="黑体"/>
          <w:b w:val="0"/>
          <w:bCs w:val="0"/>
        </w:rPr>
        <w:t>部门概况</w:t>
      </w:r>
      <w:bookmarkEnd w:id="19"/>
      <w:bookmarkEnd w:id="20"/>
      <w:bookmarkEnd w:id="21"/>
      <w:bookmarkEnd w:id="22"/>
      <w:bookmarkEnd w:id="23"/>
      <w:bookmarkEnd w:id="25"/>
    </w:p>
    <w:p>
      <w:pPr>
        <w:spacing w:line="560" w:lineRule="exact"/>
        <w:ind w:firstLine="642" w:firstLineChars="200"/>
        <w:outlineLvl w:val="1"/>
        <w:rPr>
          <w:rFonts w:ascii="黑体" w:hAnsi="黑体" w:eastAsia="黑体" w:cs="楷体"/>
          <w:b/>
          <w:bCs/>
          <w:sz w:val="32"/>
          <w:szCs w:val="32"/>
        </w:rPr>
      </w:pPr>
      <w:bookmarkStart w:id="26" w:name="_Toc6695"/>
      <w:r>
        <w:rPr>
          <w:rFonts w:hint="eastAsia" w:ascii="黑体" w:hAnsi="黑体" w:eastAsia="黑体" w:cs="楷体"/>
          <w:b/>
          <w:bCs/>
          <w:sz w:val="32"/>
          <w:szCs w:val="32"/>
        </w:rPr>
        <w:t>一、基本职能及主要工作：</w:t>
      </w:r>
      <w:bookmarkEnd w:id="26"/>
    </w:p>
    <w:p>
      <w:pPr>
        <w:spacing w:line="560" w:lineRule="exact"/>
        <w:ind w:firstLine="642" w:firstLineChars="200"/>
        <w:outlineLvl w:val="2"/>
        <w:rPr>
          <w:rFonts w:hint="eastAsia" w:ascii="楷体_GB2312" w:hAnsi="楷体_GB2312" w:eastAsia="楷体_GB2312" w:cs="楷体_GB2312"/>
          <w:b/>
          <w:bCs/>
          <w:sz w:val="32"/>
          <w:szCs w:val="32"/>
        </w:rPr>
      </w:pPr>
      <w:bookmarkStart w:id="27" w:name="_Toc15016"/>
      <w:r>
        <w:rPr>
          <w:rFonts w:hint="eastAsia" w:ascii="楷体_GB2312" w:hAnsi="楷体_GB2312" w:eastAsia="楷体_GB2312" w:cs="楷体_GB2312"/>
          <w:b/>
          <w:bCs/>
          <w:sz w:val="32"/>
          <w:szCs w:val="32"/>
        </w:rPr>
        <w:t>（一）主要职能</w:t>
      </w:r>
      <w:bookmarkEnd w:id="27"/>
    </w:p>
    <w:p>
      <w:pPr>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1.组织学术活动，开展学术交流，活跃学术思想，促进学科发展，推动决策的科学化和民主化。</w:t>
      </w:r>
    </w:p>
    <w:p>
      <w:pPr>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2.弘扬科学精神，普及科学知识，传播科学思想和科学方法，捍卫科学尊严，推广先进技术，开展青少年科学技术教育活动，提高全民的科学文化素质。</w:t>
      </w:r>
    </w:p>
    <w:p>
      <w:pPr>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3.反映科学技术工作者的意见和要求，维护科技工作者的合法权益，为科技团体和科技工作者服务；表彰奖励优秀科学技术工作者，举荐人才，促进尊重知识，尊重人才社会风气的形成。</w:t>
      </w:r>
    </w:p>
    <w:p>
      <w:pPr>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4.开展继续教育和技术培训工作，促进科技人才的成长和知识更新。</w:t>
      </w:r>
    </w:p>
    <w:p>
      <w:pPr>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5.组织、指导并开展科学论证、科技咨询服务，推动科技成果向现实生产力转化。</w:t>
      </w:r>
    </w:p>
    <w:p>
      <w:pPr>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6.开展民间的科学技术交流活动，促进对外开放。</w:t>
      </w:r>
    </w:p>
    <w:p>
      <w:pPr>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7.提出政策建议，参与科技政策、科技计划、规划的制定。</w:t>
      </w:r>
    </w:p>
    <w:p>
      <w:pPr>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8.对区级学会（协会）进行管理，对乡镇科协、农村专业技术协会进行指导与协调。</w:t>
      </w:r>
    </w:p>
    <w:p>
      <w:pPr>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9.编辑出版学术、科普性简讯。</w:t>
      </w:r>
    </w:p>
    <w:p>
      <w:pPr>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10.承办市科协、区委、区政府交办的其他事项。</w:t>
      </w:r>
    </w:p>
    <w:p>
      <w:pPr>
        <w:snapToGrid w:val="0"/>
        <w:spacing w:line="576" w:lineRule="exact"/>
        <w:ind w:firstLine="642" w:firstLineChars="200"/>
        <w:outlineLvl w:val="2"/>
        <w:rPr>
          <w:rFonts w:ascii="楷体_GB2312" w:hAnsi="仿宋" w:eastAsia="楷体_GB2312" w:cs="仿宋"/>
          <w:b/>
          <w:color w:val="000000"/>
          <w:sz w:val="32"/>
          <w:szCs w:val="32"/>
        </w:rPr>
      </w:pPr>
      <w:bookmarkStart w:id="28" w:name="_Toc523"/>
      <w:r>
        <w:rPr>
          <w:rFonts w:hint="eastAsia" w:ascii="楷体_GB2312" w:hAnsi="仿宋" w:eastAsia="楷体_GB2312" w:cs="仿宋"/>
          <w:b/>
          <w:color w:val="000000"/>
          <w:sz w:val="32"/>
          <w:szCs w:val="32"/>
        </w:rPr>
        <w:t>（二）当年取得的主要事业成效。</w:t>
      </w:r>
      <w:bookmarkEnd w:id="28"/>
    </w:p>
    <w:p>
      <w:pPr>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聚焦发展大局，服务创新驱动实现新突破。一是专家工作站建设扎实推进。积极组织区属科技企业申报市级专家工作站，广元棒仁食品科技股份有限公司成功建成市级专家工作站，完成区核桃产业技术研究所省级院士（专家）工作站申报工作。二是农技协组织建设创新开展。配合省、市开展农技协工作调研，组织朝天核桃产业联合会争创省级一流农技协，并获得2022年全国“百强农技协”荣誉称号。创新开展省级科技小院建设，组织申报企业2家，其中广元棒仁食品科技股份有限公司核桃科技小院被省科协、省农业农村厅、省乡村振兴局命名为四川省科技小院。三是“科创中国”“双创”学术沙龙积极参与。主动对接全区科技企业，征集所能、所需积极参与第二届科创会，组织全区10家企业10个项目将成都参展，广元棒仁食品科技股份有限公司与中国农业科学院都市农业研究所合作实施核桃油脂及蛋白综合精深加工产业发展项目被纳入省现代农业专场重点发布。组织望远山民俗文旅有限公司和泓森农业科技有限公司参加全市“双创”学术沙龙。</w:t>
      </w:r>
    </w:p>
    <w:p>
      <w:pPr>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2.狠抓科学普及，全民科学素质实现新提升。一是开展“线下”活动。结合科普宣传月、科技活动周、全国科普日等重要节点，通过发放宣传资料、悬挂标语、现场答疑解惑等方式，组织科普科技志愿者深入社区、乡村开展科普志愿活动，积极筹办“激情冰雪 筑梦冬奥”科普活动暨蜀道科普大讲堂走进朝天，累计发放宣传资料10000余份，参与群众3000余人。二是注重“线上”宣传。全面发动干部职工、学校师生、基层群众积极参与网络知识答题，参与人次达10余万次。组织朝天职业中学等5所学校开展寻找天府科技云“科普达人”活动。充分发挥139名村（社区）智慧传播员的作用，通过微信群、朋友圈广泛发动城乡居民推广使用科普中国、天府科技云等智慧科普平台，累计浏览平台科普资源44万条。三是常态化开展专栏宣传。积极做好“科普朝天”应用推广，在“爱朝天”APP开辟了“科普朝天”专栏，在朝天广播电视台开办每周1期的“科普大篷车”栏目，对城乡3处科普画廊、35个科普宣传栏全面维修更新，更新内容3期次。</w:t>
      </w:r>
    </w:p>
    <w:p>
      <w:pPr>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3.注重人才培养，科技创新能力实现新拓展。一是青创赛活动扎实开展。积极开展第三十七届青创赛评选表彰工作，共评出一等奖9名，二等奖10名，三等奖22名，先进单位5个，优秀科技辅导员6名。择优选择22件科技作品向市上推荐，荣获市第三十七届青创赛一等奖4个，二等奖6个，三等奖10个，优秀组织奖2个，辅导员3个，其中2幅作品被推荐至省科协。二是食品安全科普作品广泛征集。动员全社会积极参与食品安全科普创作，全区累计制作科普作品6件，进一步激发了科普创新活力和食品安全知识普及。三是农村实用技术培养有效推进。组织科技科普志愿者深入云雾山镇开展了种养殖业技术培训20场次，发放《畜禽养殖新技术手册》2000余册，培训农民达1000余人次，科普惠农兴村成效得到充分显现。</w:t>
      </w:r>
    </w:p>
    <w:p>
      <w:pPr>
        <w:spacing w:line="560" w:lineRule="exact"/>
        <w:ind w:firstLine="640" w:firstLineChars="200"/>
        <w:jc w:val="left"/>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4</w:t>
      </w:r>
      <w:r>
        <w:rPr>
          <w:rFonts w:hint="eastAsia" w:ascii="仿宋_GB2312" w:hAnsi="Calibri" w:eastAsia="仿宋_GB2312" w:cs="仿宋"/>
          <w:kern w:val="0"/>
          <w:sz w:val="32"/>
          <w:szCs w:val="32"/>
        </w:rPr>
        <w:t>.加大平台推广，“天府科技云”应用取得新成效。一是建立村（社区）智慧科普员队伍。139个村（社区）全覆盖建立村（社区）“智慧科普传播员”基层组织体系，实现一村（社区）一智慧传播员工作格局。二是深入推进“天府科技云”服务。持续组织辖区内企事业单位、农技协、农民专业合作社和城乡群众进行注册认证，截止去年底，平台注册个人用户6895人，组织机构注册339个，建立科创工作室403个，新增精准科普服务群众数1952人，精准科普服务量达44.9万条。三是实施科普共享基地能力提升项目。组织9家科普共享基地通过引导员工、游客下载“天府科技云”APP,利用基地资源开展各具特色的科普活动，“天府科技云”品牌效应进一步提升。2022年区科协被省科协表彰为全省2022年精准服务科技工作者（团队）、精准服务创新驱动发展、精准服务全民科学素质提升成效突出单位。</w:t>
      </w:r>
    </w:p>
    <w:p>
      <w:pPr>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5.聚焦中心工作，担当新使命树立新形象。一是扎实开展驻村帮扶。积极做好巩固拓展脱贫攻坚成果同乡村振兴有效衔接，深入曾家镇大竹村开展联系帮扶，制定帮扶规划，立足行业优势送科技下乡，通过开展科技培训和发放种养殖技术读本，壮大致富产业，实现脱贫户稳定增收。为55户脱贫户送去大米、菜油等慰问物资，积极协调项目解决便民桥等问题。二是全力做好疫情防控和文明城市创建。认真开展包联区域军师街76户商户的疫情排查和新冠肺炎防控知识宣传，落实专人常态化开展志愿服务。积极开展文明城市创建工作，组织新时代文明科技科普志愿服务分队深入社区、学校开展科普服务12次，扎实开展“红色星期六”志愿服务，入小区进商店进行文明城市创建宣传。三是积极投身经济主战场。深化“保姆式”服务机制，落实专职保姆4名，科协干部全员式保姆，分片、分领域常态化、全流程开展问计问需、跟踪服务，确保件件有着落、事事有回音。全年共发布科技所能1610个，科技所需1102个，交易成交1306单。牵头相关部门深入开展论文征集活动，广泛发动企事业单位、学协会，充分挖掘科技工作者理论成果，征集并推荐优秀科技论文2篇，获得市级优秀奖1篇。</w:t>
      </w:r>
    </w:p>
    <w:p>
      <w:pPr>
        <w:spacing w:line="560" w:lineRule="exact"/>
        <w:ind w:firstLine="642" w:firstLineChars="200"/>
        <w:outlineLvl w:val="1"/>
        <w:rPr>
          <w:rFonts w:ascii="黑体" w:hAnsi="黑体" w:eastAsia="黑体" w:cs="楷体"/>
          <w:b/>
          <w:bCs/>
          <w:sz w:val="32"/>
          <w:szCs w:val="32"/>
        </w:rPr>
      </w:pPr>
      <w:bookmarkStart w:id="29" w:name="_Toc8733"/>
      <w:r>
        <w:rPr>
          <w:rFonts w:hint="eastAsia" w:ascii="黑体" w:hAnsi="黑体" w:eastAsia="黑体" w:cs="楷体"/>
          <w:b/>
          <w:bCs/>
          <w:sz w:val="32"/>
          <w:szCs w:val="32"/>
        </w:rPr>
        <w:t>二、机构设置</w:t>
      </w:r>
      <w:bookmarkEnd w:id="29"/>
    </w:p>
    <w:p>
      <w:pPr>
        <w:spacing w:line="560" w:lineRule="exact"/>
        <w:ind w:firstLine="640" w:firstLineChars="200"/>
        <w:rPr>
          <w:rFonts w:hint="default" w:ascii="仿宋_GB2312" w:hAnsi="Calibri" w:eastAsia="仿宋_GB2312" w:cs="仿宋"/>
          <w:kern w:val="0"/>
          <w:sz w:val="32"/>
          <w:szCs w:val="32"/>
          <w:lang w:val="en-US" w:eastAsia="zh-CN"/>
        </w:rPr>
      </w:pPr>
      <w:bookmarkStart w:id="30" w:name="_Toc15396602"/>
      <w:bookmarkStart w:id="31" w:name="_Toc15377204"/>
      <w:r>
        <w:rPr>
          <w:rFonts w:hint="eastAsia" w:ascii="仿宋_GB2312" w:hAnsi="Calibri" w:eastAsia="仿宋_GB2312" w:cs="仿宋"/>
          <w:kern w:val="0"/>
          <w:sz w:val="32"/>
          <w:szCs w:val="32"/>
        </w:rPr>
        <w:t>朝天区科协属财政一级预算单位，下属二级预算单位0个，其中参照公务员法管理的事业单位1个，（其他事业单位0个）</w:t>
      </w:r>
      <w:r>
        <w:rPr>
          <w:rFonts w:hint="eastAsia" w:ascii="仿宋_GB2312" w:hAnsi="Calibri" w:eastAsia="仿宋_GB2312" w:cs="仿宋"/>
          <w:kern w:val="0"/>
          <w:sz w:val="32"/>
          <w:szCs w:val="32"/>
          <w:lang w:eastAsia="zh-CN"/>
        </w:rPr>
        <w:t>，部门内设置综合办公室</w:t>
      </w:r>
      <w:r>
        <w:rPr>
          <w:rFonts w:hint="eastAsia" w:ascii="仿宋_GB2312" w:hAnsi="Calibri" w:eastAsia="仿宋_GB2312" w:cs="仿宋"/>
          <w:kern w:val="0"/>
          <w:sz w:val="32"/>
          <w:szCs w:val="32"/>
          <w:lang w:val="en-US" w:eastAsia="zh-CN"/>
        </w:rPr>
        <w:t>1个、科普部1个。</w:t>
      </w:r>
    </w:p>
    <w:p>
      <w:pPr>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区科协总编制5名，其中行政编制4名，事业编制1名。在职人员总数7人，其中行政人员4，事业人员1人，工勤人员2人。</w:t>
      </w:r>
    </w:p>
    <w:p>
      <w:pPr>
        <w:pStyle w:val="4"/>
        <w:outlineLvl w:val="9"/>
        <w:rPr>
          <w:rFonts w:ascii="黑体" w:hAnsi="黑体" w:eastAsia="黑体"/>
          <w:b w:val="0"/>
        </w:rPr>
      </w:pPr>
    </w:p>
    <w:p>
      <w:pPr>
        <w:pStyle w:val="4"/>
        <w:outlineLvl w:val="9"/>
        <w:rPr>
          <w:rFonts w:ascii="黑体" w:hAnsi="黑体" w:eastAsia="黑体"/>
          <w:b w:val="0"/>
        </w:rPr>
      </w:pPr>
    </w:p>
    <w:p>
      <w:pPr>
        <w:pStyle w:val="4"/>
        <w:outlineLvl w:val="9"/>
        <w:rPr>
          <w:rFonts w:ascii="黑体" w:hAnsi="黑体" w:eastAsia="黑体"/>
          <w:b w:val="0"/>
        </w:rPr>
      </w:pPr>
    </w:p>
    <w:p>
      <w:pPr>
        <w:pStyle w:val="4"/>
        <w:outlineLvl w:val="9"/>
        <w:rPr>
          <w:rFonts w:ascii="黑体" w:hAnsi="黑体" w:eastAsia="黑体"/>
          <w:b w:val="0"/>
        </w:rPr>
      </w:pPr>
    </w:p>
    <w:p/>
    <w:p>
      <w:pPr>
        <w:pStyle w:val="2"/>
      </w:pPr>
    </w:p>
    <w:p>
      <w:pPr>
        <w:pStyle w:val="2"/>
      </w:pPr>
    </w:p>
    <w:p>
      <w:pPr>
        <w:pStyle w:val="2"/>
      </w:pPr>
    </w:p>
    <w:p>
      <w:pPr>
        <w:pStyle w:val="2"/>
      </w:pPr>
    </w:p>
    <w:p>
      <w:pPr>
        <w:pStyle w:val="2"/>
      </w:pPr>
    </w:p>
    <w:p>
      <w:pPr>
        <w:pStyle w:val="2"/>
      </w:pPr>
    </w:p>
    <w:p>
      <w:pPr>
        <w:pStyle w:val="3"/>
        <w:jc w:val="center"/>
        <w:rPr>
          <w:rFonts w:ascii="黑体" w:hAnsi="黑体" w:eastAsia="黑体"/>
          <w:b w:val="0"/>
        </w:rPr>
      </w:pPr>
      <w:bookmarkStart w:id="32" w:name="_Toc19561"/>
      <w:bookmarkStart w:id="33" w:name="_Toc20731"/>
      <w:bookmarkStart w:id="34" w:name="_Toc24240"/>
      <w:bookmarkStart w:id="35" w:name="_Toc4617"/>
      <w:r>
        <w:rPr>
          <w:rFonts w:hint="eastAsia" w:ascii="黑体" w:hAnsi="黑体" w:eastAsia="黑体"/>
          <w:b w:val="0"/>
        </w:rPr>
        <w:t>第二部分 2022年度部门决算情况说明</w:t>
      </w:r>
      <w:bookmarkEnd w:id="30"/>
      <w:bookmarkEnd w:id="31"/>
      <w:bookmarkEnd w:id="32"/>
      <w:bookmarkEnd w:id="33"/>
      <w:bookmarkEnd w:id="34"/>
      <w:bookmarkEnd w:id="35"/>
    </w:p>
    <w:p>
      <w:pPr>
        <w:pStyle w:val="27"/>
        <w:numPr>
          <w:ilvl w:val="0"/>
          <w:numId w:val="1"/>
        </w:numPr>
        <w:spacing w:line="600" w:lineRule="exact"/>
        <w:ind w:firstLineChars="0"/>
        <w:outlineLvl w:val="1"/>
        <w:rPr>
          <w:rStyle w:val="29"/>
          <w:rFonts w:ascii="黑体" w:hAnsi="黑体" w:eastAsia="黑体"/>
          <w:b w:val="0"/>
        </w:rPr>
      </w:pPr>
      <w:bookmarkStart w:id="36" w:name="_Toc17144"/>
      <w:bookmarkStart w:id="37" w:name="_Toc26403"/>
      <w:bookmarkStart w:id="38" w:name="_Toc15377205"/>
      <w:bookmarkStart w:id="39" w:name="_Toc15396603"/>
      <w:bookmarkStart w:id="40" w:name="_Toc9837"/>
      <w:r>
        <w:rPr>
          <w:rFonts w:hint="eastAsia" w:ascii="黑体" w:hAnsi="黑体" w:eastAsia="黑体"/>
          <w:sz w:val="32"/>
          <w:szCs w:val="32"/>
        </w:rPr>
        <w:t>收</w:t>
      </w:r>
      <w:r>
        <w:rPr>
          <w:rStyle w:val="29"/>
          <w:rFonts w:hint="eastAsia" w:ascii="黑体" w:hAnsi="黑体" w:eastAsia="黑体"/>
          <w:b w:val="0"/>
        </w:rPr>
        <w:t>入支出决算总体情况说明</w:t>
      </w:r>
      <w:bookmarkEnd w:id="36"/>
      <w:bookmarkEnd w:id="37"/>
      <w:bookmarkEnd w:id="38"/>
      <w:bookmarkEnd w:id="39"/>
      <w:bookmarkEnd w:id="40"/>
    </w:p>
    <w:p>
      <w:pPr>
        <w:snapToGrid w:val="0"/>
        <w:spacing w:line="51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2022年度区科协部门总收入共计171.83万元。与2021年决算收入161.94万元相比增加9.89万元，增长6.11</w:t>
      </w:r>
      <w:r>
        <w:rPr>
          <w:rFonts w:ascii="仿宋_GB2312" w:hAnsi="Calibri" w:eastAsia="仿宋_GB2312" w:cs="仿宋"/>
          <w:kern w:val="0"/>
          <w:sz w:val="32"/>
          <w:szCs w:val="32"/>
        </w:rPr>
        <w:t>%</w:t>
      </w:r>
      <w:r>
        <w:rPr>
          <w:rFonts w:hint="eastAsia" w:ascii="仿宋_GB2312" w:hAnsi="Calibri" w:eastAsia="仿宋_GB2312" w:cs="仿宋"/>
          <w:kern w:val="0"/>
          <w:sz w:val="32"/>
          <w:szCs w:val="32"/>
        </w:rPr>
        <w:t>。主要变动原因是住房公积金基数调整和省科普专项资金增加。</w:t>
      </w:r>
    </w:p>
    <w:p>
      <w:pPr>
        <w:spacing w:line="600" w:lineRule="exact"/>
        <w:jc w:val="center"/>
        <w:rPr>
          <w:rFonts w:ascii="仿宋" w:hAnsi="仿宋" w:eastAsia="仿宋"/>
          <w:sz w:val="32"/>
          <w:szCs w:val="32"/>
        </w:rPr>
      </w:pPr>
      <w:r>
        <w:rPr>
          <w:rFonts w:hint="eastAsia"/>
        </w:rPr>
        <w:drawing>
          <wp:anchor distT="0" distB="0" distL="114300" distR="114300" simplePos="0" relativeHeight="251659264" behindDoc="0" locked="0" layoutInCell="1" allowOverlap="1">
            <wp:simplePos x="0" y="0"/>
            <wp:positionH relativeFrom="column">
              <wp:posOffset>26035</wp:posOffset>
            </wp:positionH>
            <wp:positionV relativeFrom="paragraph">
              <wp:posOffset>82550</wp:posOffset>
            </wp:positionV>
            <wp:extent cx="5220335" cy="3296285"/>
            <wp:effectExtent l="0" t="0" r="18415" b="1905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spacing w:line="600" w:lineRule="exact"/>
        <w:ind w:firstLine="640" w:firstLineChars="200"/>
        <w:rPr>
          <w:rFonts w:ascii="仿宋" w:hAnsi="仿宋" w:eastAsia="仿宋"/>
          <w:sz w:val="32"/>
          <w:szCs w:val="32"/>
        </w:rPr>
      </w:pPr>
    </w:p>
    <w:p>
      <w:pPr>
        <w:spacing w:line="600" w:lineRule="exact"/>
        <w:ind w:firstLine="562" w:firstLineChars="200"/>
        <w:rPr>
          <w:rFonts w:hint="eastAsia"/>
        </w:rPr>
      </w:pPr>
      <w:r>
        <w:rPr>
          <w:rFonts w:hint="eastAsia" w:ascii="楷体_GB2312" w:hAnsi="楷体_GB2312" w:eastAsia="楷体_GB2312" w:cs="楷体_GB2312"/>
          <w:b/>
          <w:bCs/>
          <w:sz w:val="28"/>
          <w:szCs w:val="32"/>
        </w:rPr>
        <w:t>（图1：收、支决算总计变动情况图）（柱状图）</w:t>
      </w:r>
    </w:p>
    <w:p>
      <w:pPr>
        <w:pStyle w:val="27"/>
        <w:numPr>
          <w:ilvl w:val="0"/>
          <w:numId w:val="1"/>
        </w:numPr>
        <w:spacing w:line="600" w:lineRule="exact"/>
        <w:ind w:firstLineChars="0"/>
        <w:outlineLvl w:val="1"/>
        <w:rPr>
          <w:rStyle w:val="29"/>
          <w:rFonts w:ascii="黑体" w:hAnsi="黑体" w:eastAsia="黑体"/>
          <w:b w:val="0"/>
        </w:rPr>
      </w:pPr>
      <w:bookmarkStart w:id="41" w:name="_Toc32242"/>
      <w:bookmarkStart w:id="42" w:name="_Toc15396604"/>
      <w:bookmarkStart w:id="43" w:name="_Toc25695"/>
      <w:bookmarkStart w:id="44" w:name="_Toc15377206"/>
      <w:bookmarkStart w:id="45" w:name="_Toc4164"/>
      <w:r>
        <w:rPr>
          <w:rFonts w:hint="eastAsia" w:ascii="黑体" w:hAnsi="黑体" w:eastAsia="黑体"/>
          <w:sz w:val="32"/>
          <w:szCs w:val="32"/>
        </w:rPr>
        <w:t>收</w:t>
      </w:r>
      <w:r>
        <w:rPr>
          <w:rStyle w:val="29"/>
          <w:rFonts w:hint="eastAsia" w:ascii="黑体" w:hAnsi="黑体" w:eastAsia="黑体"/>
          <w:b w:val="0"/>
        </w:rPr>
        <w:t>入决算情况说明</w:t>
      </w:r>
      <w:bookmarkEnd w:id="41"/>
      <w:bookmarkEnd w:id="42"/>
      <w:bookmarkEnd w:id="43"/>
      <w:bookmarkEnd w:id="44"/>
      <w:bookmarkEnd w:id="45"/>
    </w:p>
    <w:p>
      <w:pPr>
        <w:spacing w:line="600" w:lineRule="exact"/>
        <w:ind w:firstLine="640" w:firstLineChars="200"/>
        <w:outlineLvl w:val="1"/>
        <w:rPr>
          <w:rFonts w:ascii="仿宋_GB2312" w:hAnsi="Calibri" w:eastAsia="仿宋_GB2312" w:cs="仿宋"/>
          <w:kern w:val="0"/>
          <w:sz w:val="32"/>
          <w:szCs w:val="32"/>
        </w:rPr>
      </w:pPr>
      <w:bookmarkStart w:id="46" w:name="_Toc638"/>
      <w:bookmarkStart w:id="47" w:name="_Toc30374"/>
      <w:bookmarkStart w:id="48" w:name="_Toc7715"/>
      <w:r>
        <w:rPr>
          <w:rFonts w:ascii="仿宋_GB2312" w:hAnsi="Calibri" w:eastAsia="仿宋_GB2312" w:cs="仿宋"/>
          <w:kern w:val="0"/>
          <w:sz w:val="32"/>
          <w:szCs w:val="32"/>
        </w:rPr>
        <w:t>20</w:t>
      </w:r>
      <w:r>
        <w:rPr>
          <w:rFonts w:hint="eastAsia" w:ascii="仿宋_GB2312" w:hAnsi="Calibri" w:eastAsia="仿宋_GB2312" w:cs="仿宋"/>
          <w:kern w:val="0"/>
          <w:sz w:val="32"/>
          <w:szCs w:val="32"/>
        </w:rPr>
        <w:t>22年本年收入合计171.83万元，其中：一般公共预算财政拨款收入143.83万元，占83.7</w:t>
      </w:r>
      <w:r>
        <w:rPr>
          <w:rFonts w:ascii="仿宋_GB2312" w:hAnsi="Calibri" w:eastAsia="仿宋_GB2312" w:cs="仿宋"/>
          <w:kern w:val="0"/>
          <w:sz w:val="32"/>
          <w:szCs w:val="32"/>
        </w:rPr>
        <w:t>%</w:t>
      </w:r>
      <w:r>
        <w:rPr>
          <w:rFonts w:hint="eastAsia" w:ascii="仿宋_GB2312" w:hAnsi="Calibri" w:eastAsia="仿宋_GB2312" w:cs="仿宋"/>
          <w:kern w:val="0"/>
          <w:sz w:val="32"/>
          <w:szCs w:val="32"/>
        </w:rPr>
        <w:t>；政府性基金预算财政拨款收入0万元，占0</w:t>
      </w:r>
      <w:r>
        <w:rPr>
          <w:rFonts w:ascii="仿宋_GB2312" w:hAnsi="Calibri" w:eastAsia="仿宋_GB2312" w:cs="仿宋"/>
          <w:kern w:val="0"/>
          <w:sz w:val="32"/>
          <w:szCs w:val="32"/>
        </w:rPr>
        <w:t>%</w:t>
      </w:r>
      <w:r>
        <w:rPr>
          <w:rFonts w:hint="eastAsia" w:ascii="仿宋_GB2312" w:hAnsi="Calibri" w:eastAsia="仿宋_GB2312" w:cs="仿宋"/>
          <w:kern w:val="0"/>
          <w:sz w:val="32"/>
          <w:szCs w:val="32"/>
        </w:rPr>
        <w:t>；国有资本经营预算财政拨款收入0万元，占0</w:t>
      </w:r>
      <w:r>
        <w:rPr>
          <w:rFonts w:ascii="仿宋_GB2312" w:hAnsi="Calibri" w:eastAsia="仿宋_GB2312" w:cs="仿宋"/>
          <w:kern w:val="0"/>
          <w:sz w:val="32"/>
          <w:szCs w:val="32"/>
        </w:rPr>
        <w:t>%</w:t>
      </w:r>
      <w:r>
        <w:rPr>
          <w:rFonts w:hint="eastAsia" w:ascii="仿宋_GB2312" w:hAnsi="Calibri" w:eastAsia="仿宋_GB2312" w:cs="仿宋"/>
          <w:kern w:val="0"/>
          <w:sz w:val="32"/>
          <w:szCs w:val="32"/>
        </w:rPr>
        <w:t>；上级补助收入0万元，占0</w:t>
      </w:r>
      <w:r>
        <w:rPr>
          <w:rFonts w:ascii="仿宋_GB2312" w:hAnsi="Calibri" w:eastAsia="仿宋_GB2312" w:cs="仿宋"/>
          <w:kern w:val="0"/>
          <w:sz w:val="32"/>
          <w:szCs w:val="32"/>
        </w:rPr>
        <w:t>%</w:t>
      </w:r>
      <w:r>
        <w:rPr>
          <w:rFonts w:hint="eastAsia" w:ascii="仿宋_GB2312" w:hAnsi="Calibri" w:eastAsia="仿宋_GB2312" w:cs="仿宋"/>
          <w:kern w:val="0"/>
          <w:sz w:val="32"/>
          <w:szCs w:val="32"/>
        </w:rPr>
        <w:t>；事业收入0万元，占0</w:t>
      </w:r>
      <w:r>
        <w:rPr>
          <w:rFonts w:ascii="仿宋_GB2312" w:hAnsi="Calibri" w:eastAsia="仿宋_GB2312" w:cs="仿宋"/>
          <w:kern w:val="0"/>
          <w:sz w:val="32"/>
          <w:szCs w:val="32"/>
        </w:rPr>
        <w:t>%</w:t>
      </w:r>
      <w:r>
        <w:rPr>
          <w:rFonts w:hint="eastAsia" w:ascii="仿宋_GB2312" w:hAnsi="Calibri" w:eastAsia="仿宋_GB2312" w:cs="仿宋"/>
          <w:kern w:val="0"/>
          <w:sz w:val="32"/>
          <w:szCs w:val="32"/>
        </w:rPr>
        <w:t>；经营收入0万元，占0</w:t>
      </w:r>
      <w:r>
        <w:rPr>
          <w:rFonts w:ascii="仿宋_GB2312" w:hAnsi="Calibri" w:eastAsia="仿宋_GB2312" w:cs="仿宋"/>
          <w:kern w:val="0"/>
          <w:sz w:val="32"/>
          <w:szCs w:val="32"/>
        </w:rPr>
        <w:t>%</w:t>
      </w:r>
      <w:r>
        <w:rPr>
          <w:rFonts w:hint="eastAsia" w:ascii="仿宋_GB2312" w:hAnsi="Calibri" w:eastAsia="仿宋_GB2312" w:cs="仿宋"/>
          <w:kern w:val="0"/>
          <w:sz w:val="32"/>
          <w:szCs w:val="32"/>
        </w:rPr>
        <w:t>；附属单位上缴收入0</w:t>
      </w:r>
      <w:bookmarkEnd w:id="46"/>
      <w:bookmarkEnd w:id="47"/>
      <w:bookmarkEnd w:id="48"/>
    </w:p>
    <w:p>
      <w:pPr>
        <w:spacing w:line="600" w:lineRule="exact"/>
        <w:outlineLvl w:val="2"/>
        <w:rPr>
          <w:rFonts w:hint="eastAsia" w:ascii="楷体_GB2312" w:hAnsi="楷体_GB2312" w:eastAsia="楷体_GB2312" w:cs="楷体_GB2312"/>
          <w:b/>
          <w:bCs/>
          <w:sz w:val="28"/>
          <w:szCs w:val="32"/>
        </w:rPr>
      </w:pPr>
      <w:bookmarkStart w:id="49" w:name="_Toc11376"/>
      <w:bookmarkStart w:id="50" w:name="_Toc25246"/>
      <w:bookmarkStart w:id="51" w:name="_Toc32355"/>
      <w:r>
        <w:rPr>
          <w:rFonts w:hint="eastAsia" w:ascii="仿宋_GB2312" w:hAnsi="Calibri" w:eastAsia="仿宋_GB2312" w:cs="仿宋"/>
          <w:kern w:val="0"/>
          <w:sz w:val="32"/>
          <w:szCs w:val="32"/>
        </w:rPr>
        <w:t>万元，占0</w:t>
      </w:r>
      <w:r>
        <w:rPr>
          <w:rFonts w:ascii="仿宋_GB2312" w:hAnsi="Calibri" w:eastAsia="仿宋_GB2312" w:cs="仿宋"/>
          <w:kern w:val="0"/>
          <w:sz w:val="32"/>
          <w:szCs w:val="32"/>
        </w:rPr>
        <w:t>%</w:t>
      </w:r>
      <w:r>
        <w:rPr>
          <w:rFonts w:hint="eastAsia" w:ascii="仿宋_GB2312" w:hAnsi="Calibri" w:eastAsia="仿宋_GB2312" w:cs="仿宋"/>
          <w:kern w:val="0"/>
          <w:sz w:val="32"/>
          <w:szCs w:val="32"/>
        </w:rPr>
        <w:t>；其他收入0万元，占0</w:t>
      </w:r>
      <w:r>
        <w:rPr>
          <w:rFonts w:ascii="仿宋_GB2312" w:hAnsi="Calibri" w:eastAsia="仿宋_GB2312" w:cs="仿宋"/>
          <w:kern w:val="0"/>
          <w:sz w:val="32"/>
          <w:szCs w:val="32"/>
        </w:rPr>
        <w:t>%</w:t>
      </w:r>
      <w:r>
        <w:rPr>
          <w:rFonts w:hint="eastAsia" w:ascii="仿宋_GB2312" w:hAnsi="Calibri" w:eastAsia="仿宋_GB2312" w:cs="仿宋"/>
          <w:kern w:val="0"/>
          <w:sz w:val="32"/>
          <w:szCs w:val="32"/>
        </w:rPr>
        <w:t>；年初结转和结余28万元，占16.3%</w:t>
      </w:r>
      <w:r>
        <w:rPr>
          <w:rFonts w:hint="eastAsia" w:ascii="仿宋" w:hAnsi="仿宋" w:eastAsia="仿宋"/>
          <w:color w:val="000000"/>
          <w:sz w:val="32"/>
          <w:szCs w:val="32"/>
        </w:rPr>
        <w:t>。</w:t>
      </w:r>
      <w:bookmarkEnd w:id="49"/>
      <w:bookmarkEnd w:id="50"/>
      <w:bookmarkEnd w:id="51"/>
    </w:p>
    <w:p>
      <w:pPr>
        <w:spacing w:line="600" w:lineRule="exact"/>
        <w:ind w:firstLine="1600" w:firstLineChars="500"/>
        <w:rPr>
          <w:rFonts w:hint="eastAsia" w:ascii="楷体_GB2312" w:hAnsi="楷体_GB2312" w:eastAsia="楷体_GB2312" w:cs="楷体_GB2312"/>
          <w:b/>
          <w:bCs/>
          <w:sz w:val="28"/>
          <w:szCs w:val="32"/>
        </w:rPr>
      </w:pPr>
      <w:r>
        <w:rPr>
          <w:rFonts w:hint="eastAsia" w:ascii="仿宋_GB2312" w:hAnsi="Calibri" w:eastAsia="仿宋_GB2312" w:cs="仿宋"/>
          <w:kern w:val="0"/>
          <w:sz w:val="32"/>
          <w:szCs w:val="32"/>
        </w:rPr>
        <w:drawing>
          <wp:anchor distT="0" distB="0" distL="114300" distR="114300" simplePos="0" relativeHeight="251660288" behindDoc="0" locked="0" layoutInCell="1" allowOverlap="1">
            <wp:simplePos x="0" y="0"/>
            <wp:positionH relativeFrom="column">
              <wp:posOffset>-101600</wp:posOffset>
            </wp:positionH>
            <wp:positionV relativeFrom="paragraph">
              <wp:posOffset>59055</wp:posOffset>
            </wp:positionV>
            <wp:extent cx="5475605" cy="2593975"/>
            <wp:effectExtent l="0" t="0" r="0" b="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楷体_GB2312" w:hAnsi="楷体_GB2312" w:eastAsia="楷体_GB2312" w:cs="楷体_GB2312"/>
          <w:b/>
          <w:bCs/>
          <w:sz w:val="28"/>
          <w:szCs w:val="32"/>
        </w:rPr>
        <w:t>（图2：收入决算结构图）（饼状图）</w:t>
      </w:r>
    </w:p>
    <w:p>
      <w:pPr>
        <w:pStyle w:val="2"/>
        <w:rPr>
          <w:rFonts w:hint="eastAsia"/>
        </w:rPr>
      </w:pPr>
    </w:p>
    <w:p>
      <w:pPr>
        <w:pStyle w:val="27"/>
        <w:numPr>
          <w:ilvl w:val="0"/>
          <w:numId w:val="1"/>
        </w:numPr>
        <w:spacing w:line="600" w:lineRule="exact"/>
        <w:ind w:firstLineChars="0"/>
        <w:outlineLvl w:val="1"/>
        <w:rPr>
          <w:rStyle w:val="29"/>
          <w:rFonts w:ascii="黑体" w:hAnsi="黑体" w:eastAsia="黑体"/>
          <w:b w:val="0"/>
        </w:rPr>
      </w:pPr>
      <w:bookmarkStart w:id="52" w:name="_Toc13326"/>
      <w:bookmarkStart w:id="53" w:name="_Toc15377207"/>
      <w:bookmarkStart w:id="54" w:name="_Toc15641"/>
      <w:bookmarkStart w:id="55" w:name="_Toc15396605"/>
      <w:bookmarkStart w:id="56" w:name="_Toc16027"/>
      <w:r>
        <w:rPr>
          <w:rFonts w:hint="eastAsia" w:ascii="黑体" w:hAnsi="黑体" w:eastAsia="黑体"/>
          <w:sz w:val="32"/>
          <w:szCs w:val="32"/>
        </w:rPr>
        <w:t>支</w:t>
      </w:r>
      <w:r>
        <w:rPr>
          <w:rStyle w:val="29"/>
          <w:rFonts w:hint="eastAsia" w:ascii="黑体" w:hAnsi="黑体" w:eastAsia="黑体"/>
          <w:b w:val="0"/>
        </w:rPr>
        <w:t>出决算情况说明</w:t>
      </w:r>
      <w:bookmarkEnd w:id="52"/>
      <w:bookmarkEnd w:id="53"/>
      <w:bookmarkEnd w:id="54"/>
      <w:bookmarkEnd w:id="55"/>
      <w:bookmarkEnd w:id="56"/>
    </w:p>
    <w:p>
      <w:pPr>
        <w:spacing w:line="600" w:lineRule="exact"/>
        <w:ind w:firstLine="640" w:firstLineChars="200"/>
        <w:outlineLvl w:val="1"/>
        <w:rPr>
          <w:rFonts w:ascii="仿宋_GB2312" w:hAnsi="Calibri" w:eastAsia="仿宋_GB2312" w:cs="仿宋"/>
          <w:kern w:val="0"/>
          <w:sz w:val="32"/>
          <w:szCs w:val="32"/>
        </w:rPr>
      </w:pPr>
      <w:bookmarkStart w:id="57" w:name="_Toc26532"/>
      <w:bookmarkStart w:id="58" w:name="_Toc19792"/>
      <w:bookmarkStart w:id="59" w:name="_Toc12471"/>
      <w:r>
        <w:rPr>
          <w:rFonts w:ascii="仿宋_GB2312" w:hAnsi="Calibri" w:eastAsia="仿宋_GB2312" w:cs="仿宋"/>
          <w:kern w:val="0"/>
          <w:sz w:val="32"/>
          <w:szCs w:val="32"/>
        </w:rPr>
        <w:t>20</w:t>
      </w:r>
      <w:r>
        <w:rPr>
          <w:rFonts w:hint="eastAsia" w:ascii="仿宋_GB2312" w:hAnsi="Calibri" w:eastAsia="仿宋_GB2312" w:cs="仿宋"/>
          <w:kern w:val="0"/>
          <w:sz w:val="32"/>
          <w:szCs w:val="32"/>
        </w:rPr>
        <w:t>22年本年支出合计171.83万元，其中：基本支出126.27万元，占73.49</w:t>
      </w:r>
      <w:r>
        <w:rPr>
          <w:rFonts w:ascii="仿宋_GB2312" w:hAnsi="Calibri" w:eastAsia="仿宋_GB2312" w:cs="仿宋"/>
          <w:kern w:val="0"/>
          <w:sz w:val="32"/>
          <w:szCs w:val="32"/>
        </w:rPr>
        <w:t>%</w:t>
      </w:r>
      <w:r>
        <w:rPr>
          <w:rFonts w:hint="eastAsia" w:ascii="仿宋_GB2312" w:hAnsi="Calibri" w:eastAsia="仿宋_GB2312" w:cs="仿宋"/>
          <w:kern w:val="0"/>
          <w:sz w:val="32"/>
          <w:szCs w:val="32"/>
        </w:rPr>
        <w:t>；项目支出45.56万元，占26.51</w:t>
      </w:r>
      <w:r>
        <w:rPr>
          <w:rFonts w:ascii="仿宋_GB2312" w:hAnsi="Calibri" w:eastAsia="仿宋_GB2312" w:cs="仿宋"/>
          <w:kern w:val="0"/>
          <w:sz w:val="32"/>
          <w:szCs w:val="32"/>
        </w:rPr>
        <w:t>%</w:t>
      </w:r>
      <w:r>
        <w:rPr>
          <w:rFonts w:hint="eastAsia" w:ascii="仿宋_GB2312" w:hAnsi="Calibri" w:eastAsia="仿宋_GB2312" w:cs="仿宋"/>
          <w:kern w:val="0"/>
          <w:sz w:val="32"/>
          <w:szCs w:val="32"/>
        </w:rPr>
        <w:t>；上缴上级支出0万元，占0</w:t>
      </w:r>
      <w:r>
        <w:rPr>
          <w:rFonts w:ascii="仿宋_GB2312" w:hAnsi="Calibri" w:eastAsia="仿宋_GB2312" w:cs="仿宋"/>
          <w:kern w:val="0"/>
          <w:sz w:val="32"/>
          <w:szCs w:val="32"/>
        </w:rPr>
        <w:t>%</w:t>
      </w:r>
      <w:r>
        <w:rPr>
          <w:rFonts w:hint="eastAsia" w:ascii="仿宋_GB2312" w:hAnsi="Calibri" w:eastAsia="仿宋_GB2312" w:cs="仿宋"/>
          <w:kern w:val="0"/>
          <w:sz w:val="32"/>
          <w:szCs w:val="32"/>
        </w:rPr>
        <w:t>；经营支出0万元，占0</w:t>
      </w:r>
      <w:r>
        <w:rPr>
          <w:rFonts w:ascii="仿宋_GB2312" w:hAnsi="Calibri" w:eastAsia="仿宋_GB2312" w:cs="仿宋"/>
          <w:kern w:val="0"/>
          <w:sz w:val="32"/>
          <w:szCs w:val="32"/>
        </w:rPr>
        <w:t>%</w:t>
      </w:r>
      <w:r>
        <w:rPr>
          <w:rFonts w:hint="eastAsia" w:ascii="仿宋_GB2312" w:hAnsi="Calibri" w:eastAsia="仿宋_GB2312" w:cs="仿宋"/>
          <w:kern w:val="0"/>
          <w:sz w:val="32"/>
          <w:szCs w:val="32"/>
        </w:rPr>
        <w:t>；对附属单位补助支出0万元，占0</w:t>
      </w:r>
      <w:r>
        <w:rPr>
          <w:rFonts w:ascii="仿宋_GB2312" w:hAnsi="Calibri" w:eastAsia="仿宋_GB2312" w:cs="仿宋"/>
          <w:kern w:val="0"/>
          <w:sz w:val="32"/>
          <w:szCs w:val="32"/>
        </w:rPr>
        <w:t>%</w:t>
      </w:r>
      <w:r>
        <w:rPr>
          <w:rFonts w:hint="eastAsia" w:ascii="仿宋_GB2312" w:hAnsi="Calibri" w:eastAsia="仿宋_GB2312" w:cs="仿宋"/>
          <w:kern w:val="0"/>
          <w:sz w:val="32"/>
          <w:szCs w:val="32"/>
        </w:rPr>
        <w:t>。</w:t>
      </w:r>
      <w:bookmarkEnd w:id="57"/>
      <w:bookmarkEnd w:id="58"/>
      <w:bookmarkEnd w:id="59"/>
    </w:p>
    <w:p>
      <w:pPr>
        <w:spacing w:line="600" w:lineRule="exact"/>
        <w:ind w:firstLine="640"/>
        <w:rPr>
          <w:rFonts w:ascii="仿宋" w:hAnsi="仿宋" w:eastAsia="仿宋"/>
          <w:sz w:val="32"/>
          <w:szCs w:val="32"/>
          <w:shd w:val="pct10" w:color="auto" w:fill="FFFFFF"/>
        </w:rPr>
      </w:pPr>
      <w:r>
        <w:rPr>
          <w:rFonts w:hint="eastAsia" w:ascii="仿宋" w:hAnsi="仿宋" w:eastAsia="仿宋"/>
          <w:color w:val="000000"/>
          <w:sz w:val="32"/>
          <w:szCs w:val="32"/>
          <w:shd w:val="pct10" w:color="auto" w:fill="FFFFFF"/>
        </w:rPr>
        <w:drawing>
          <wp:anchor distT="0" distB="0" distL="114300" distR="114300" simplePos="0" relativeHeight="251661312" behindDoc="0" locked="0" layoutInCell="1" allowOverlap="1">
            <wp:simplePos x="0" y="0"/>
            <wp:positionH relativeFrom="column">
              <wp:posOffset>15875</wp:posOffset>
            </wp:positionH>
            <wp:positionV relativeFrom="paragraph">
              <wp:posOffset>10795</wp:posOffset>
            </wp:positionV>
            <wp:extent cx="5358765" cy="2126615"/>
            <wp:effectExtent l="0" t="0" r="0" b="7620"/>
            <wp:wrapNone/>
            <wp:docPr id="6" name="图表 6" descr="7b0a202020202263686172745265734964223a202232303437323230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spacing w:before="93"/>
        <w:rPr>
          <w:rFonts w:ascii="仿宋" w:hAnsi="仿宋" w:eastAsia="仿宋"/>
          <w:sz w:val="32"/>
          <w:szCs w:val="32"/>
          <w:shd w:val="pct10" w:color="auto" w:fill="FFFFFF"/>
        </w:rPr>
      </w:pPr>
    </w:p>
    <w:p>
      <w:pPr>
        <w:pStyle w:val="2"/>
        <w:spacing w:before="93"/>
        <w:rPr>
          <w:rFonts w:ascii="仿宋" w:hAnsi="仿宋" w:eastAsia="仿宋"/>
          <w:sz w:val="32"/>
          <w:szCs w:val="32"/>
          <w:shd w:val="pct10" w:color="auto" w:fill="FFFFFF"/>
        </w:rPr>
      </w:pPr>
    </w:p>
    <w:p>
      <w:pPr>
        <w:pStyle w:val="2"/>
        <w:spacing w:before="93"/>
        <w:rPr>
          <w:rFonts w:ascii="仿宋" w:hAnsi="仿宋" w:eastAsia="仿宋"/>
          <w:sz w:val="32"/>
          <w:szCs w:val="32"/>
          <w:shd w:val="pct10" w:color="auto" w:fill="FFFFFF"/>
        </w:rPr>
      </w:pPr>
    </w:p>
    <w:p>
      <w:pPr>
        <w:pStyle w:val="2"/>
        <w:spacing w:before="93"/>
        <w:rPr>
          <w:rFonts w:ascii="仿宋" w:hAnsi="仿宋" w:eastAsia="仿宋"/>
          <w:sz w:val="32"/>
          <w:szCs w:val="32"/>
          <w:shd w:val="pct10" w:color="auto" w:fill="FFFFFF"/>
        </w:rPr>
      </w:pPr>
    </w:p>
    <w:p>
      <w:pPr>
        <w:spacing w:line="600" w:lineRule="exact"/>
        <w:ind w:firstLine="1686" w:firstLineChars="600"/>
        <w:rPr>
          <w:rFonts w:ascii="仿宋_GB2312" w:eastAsia="仿宋_GB2312"/>
          <w:sz w:val="28"/>
          <w:szCs w:val="32"/>
        </w:rPr>
      </w:pPr>
      <w:r>
        <w:rPr>
          <w:rFonts w:hint="eastAsia" w:ascii="楷体_GB2312" w:hAnsi="楷体_GB2312" w:eastAsia="楷体_GB2312" w:cs="楷体_GB2312"/>
          <w:b/>
          <w:bCs/>
          <w:sz w:val="28"/>
          <w:szCs w:val="32"/>
        </w:rPr>
        <w:t>（图3：支出决算结构图）（饼状图）</w:t>
      </w:r>
    </w:p>
    <w:p>
      <w:pPr>
        <w:spacing w:line="600" w:lineRule="exact"/>
        <w:ind w:firstLine="640" w:firstLineChars="200"/>
        <w:outlineLvl w:val="9"/>
        <w:rPr>
          <w:rFonts w:hint="eastAsia" w:ascii="黑体" w:hAnsi="黑体" w:eastAsia="黑体"/>
          <w:sz w:val="32"/>
          <w:szCs w:val="32"/>
        </w:rPr>
      </w:pPr>
      <w:bookmarkStart w:id="60" w:name="_Toc15377208"/>
      <w:bookmarkStart w:id="61" w:name="_Toc265"/>
      <w:bookmarkStart w:id="62" w:name="_Toc23907"/>
      <w:bookmarkStart w:id="63" w:name="_Toc15396606"/>
    </w:p>
    <w:p>
      <w:pPr>
        <w:spacing w:line="600" w:lineRule="exact"/>
        <w:ind w:firstLine="640" w:firstLineChars="200"/>
        <w:outlineLvl w:val="1"/>
        <w:rPr>
          <w:rStyle w:val="29"/>
          <w:rFonts w:ascii="黑体" w:hAnsi="黑体" w:eastAsia="黑体"/>
          <w:b w:val="0"/>
        </w:rPr>
      </w:pPr>
      <w:bookmarkStart w:id="64" w:name="_Toc19719"/>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60"/>
      <w:bookmarkEnd w:id="61"/>
      <w:bookmarkEnd w:id="62"/>
      <w:bookmarkEnd w:id="63"/>
      <w:bookmarkEnd w:id="64"/>
    </w:p>
    <w:p>
      <w:pPr>
        <w:snapToGrid w:val="0"/>
        <w:spacing w:line="510" w:lineRule="exact"/>
        <w:ind w:firstLine="640" w:firstLineChars="200"/>
        <w:rPr>
          <w:rFonts w:hint="eastAsia" w:ascii="仿宋_GB2312" w:hAnsi="Calibri" w:eastAsia="仿宋_GB2312" w:cs="仿宋"/>
          <w:kern w:val="0"/>
          <w:sz w:val="32"/>
          <w:szCs w:val="32"/>
        </w:rPr>
      </w:pPr>
      <w:r>
        <w:rPr>
          <w:rFonts w:hint="eastAsia" w:ascii="仿宋_GB2312" w:hAnsi="Calibri" w:eastAsia="仿宋_GB2312" w:cs="仿宋"/>
          <w:kern w:val="0"/>
          <w:sz w:val="32"/>
          <w:szCs w:val="32"/>
        </w:rPr>
        <w:drawing>
          <wp:anchor distT="0" distB="0" distL="114300" distR="114300" simplePos="0" relativeHeight="251662336" behindDoc="0" locked="0" layoutInCell="1" allowOverlap="1">
            <wp:simplePos x="0" y="0"/>
            <wp:positionH relativeFrom="column">
              <wp:posOffset>58420</wp:posOffset>
            </wp:positionH>
            <wp:positionV relativeFrom="paragraph">
              <wp:posOffset>1351915</wp:posOffset>
            </wp:positionV>
            <wp:extent cx="5305425" cy="1838960"/>
            <wp:effectExtent l="0" t="0" r="9525" b="2794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_GB2312" w:hAnsi="Calibri" w:eastAsia="仿宋_GB2312" w:cs="仿宋"/>
          <w:kern w:val="0"/>
          <w:sz w:val="32"/>
          <w:szCs w:val="32"/>
        </w:rPr>
        <w:t>2022年度区科协部门总收入共计171.83万元。与2021年决算收入161.94万元相比增加9.89万元，增长6.11</w:t>
      </w:r>
      <w:r>
        <w:rPr>
          <w:rFonts w:ascii="仿宋_GB2312" w:hAnsi="Calibri" w:eastAsia="仿宋_GB2312" w:cs="仿宋"/>
          <w:kern w:val="0"/>
          <w:sz w:val="32"/>
          <w:szCs w:val="32"/>
        </w:rPr>
        <w:t>%</w:t>
      </w:r>
      <w:r>
        <w:rPr>
          <w:rFonts w:hint="eastAsia" w:ascii="仿宋_GB2312" w:hAnsi="Calibri" w:eastAsia="仿宋_GB2312" w:cs="仿宋"/>
          <w:kern w:val="0"/>
          <w:sz w:val="32"/>
          <w:szCs w:val="32"/>
        </w:rPr>
        <w:t>。主要变动原因是住房公积金基数调整和省科普专项资金增加。</w:t>
      </w:r>
    </w:p>
    <w:p>
      <w:pPr>
        <w:spacing w:line="600" w:lineRule="exact"/>
        <w:ind w:firstLine="562" w:firstLineChars="200"/>
        <w:rPr>
          <w:rFonts w:hint="eastAsia" w:ascii="楷体_GB2312" w:hAnsi="楷体_GB2312" w:eastAsia="楷体_GB2312" w:cs="楷体_GB2312"/>
          <w:b/>
          <w:bCs/>
          <w:kern w:val="0"/>
          <w:sz w:val="28"/>
          <w:szCs w:val="32"/>
        </w:rPr>
      </w:pPr>
      <w:r>
        <w:rPr>
          <w:rFonts w:hint="eastAsia" w:ascii="楷体_GB2312" w:hAnsi="楷体_GB2312" w:eastAsia="楷体_GB2312" w:cs="楷体_GB2312"/>
          <w:b/>
          <w:bCs/>
          <w:kern w:val="0"/>
          <w:sz w:val="28"/>
          <w:szCs w:val="32"/>
        </w:rPr>
        <w:t>（图4：财政拨款收、支决算总计变动情况）（柱状图）</w:t>
      </w:r>
    </w:p>
    <w:p>
      <w:pPr>
        <w:spacing w:line="600" w:lineRule="exact"/>
        <w:ind w:firstLine="640" w:firstLineChars="200"/>
        <w:outlineLvl w:val="1"/>
        <w:rPr>
          <w:rStyle w:val="29"/>
          <w:rFonts w:ascii="黑体" w:hAnsi="黑体" w:eastAsia="黑体"/>
          <w:b w:val="0"/>
        </w:rPr>
      </w:pPr>
      <w:bookmarkStart w:id="65" w:name="_Toc29197"/>
      <w:bookmarkStart w:id="66" w:name="_Toc6140"/>
      <w:bookmarkStart w:id="67" w:name="_Toc15396607"/>
      <w:bookmarkStart w:id="68" w:name="_Toc15377209"/>
      <w:bookmarkStart w:id="69" w:name="_Toc8015"/>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65"/>
      <w:bookmarkEnd w:id="66"/>
      <w:bookmarkEnd w:id="67"/>
      <w:bookmarkEnd w:id="68"/>
      <w:bookmarkEnd w:id="69"/>
    </w:p>
    <w:p>
      <w:pPr>
        <w:spacing w:line="600" w:lineRule="exact"/>
        <w:ind w:firstLine="642" w:firstLineChars="200"/>
        <w:outlineLvl w:val="2"/>
        <w:rPr>
          <w:rFonts w:hint="eastAsia" w:ascii="仿宋_GB2312" w:hAnsi="仿宋_GB2312" w:eastAsia="仿宋_GB2312" w:cs="仿宋_GB2312"/>
          <w:b/>
          <w:sz w:val="32"/>
          <w:szCs w:val="32"/>
        </w:rPr>
      </w:pPr>
      <w:bookmarkStart w:id="70" w:name="_Toc15377210"/>
      <w:bookmarkStart w:id="71" w:name="_Toc1858"/>
      <w:bookmarkStart w:id="72" w:name="_Toc19771"/>
      <w:bookmarkStart w:id="73" w:name="_Toc7180"/>
      <w:r>
        <w:rPr>
          <w:rFonts w:hint="eastAsia" w:ascii="仿宋_GB2312" w:hAnsi="仿宋_GB2312" w:eastAsia="仿宋_GB2312" w:cs="仿宋_GB2312"/>
          <w:b/>
          <w:sz w:val="32"/>
          <w:szCs w:val="32"/>
        </w:rPr>
        <w:t>（一）一般公共预算财政拨款支出决算总体情况</w:t>
      </w:r>
      <w:bookmarkEnd w:id="70"/>
      <w:bookmarkEnd w:id="71"/>
      <w:bookmarkEnd w:id="72"/>
      <w:bookmarkEnd w:id="73"/>
    </w:p>
    <w:p>
      <w:pPr>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drawing>
          <wp:anchor distT="0" distB="0" distL="114300" distR="114300" simplePos="0" relativeHeight="251663360" behindDoc="1" locked="0" layoutInCell="1" allowOverlap="1">
            <wp:simplePos x="0" y="0"/>
            <wp:positionH relativeFrom="column">
              <wp:posOffset>-16510</wp:posOffset>
            </wp:positionH>
            <wp:positionV relativeFrom="paragraph">
              <wp:posOffset>1477010</wp:posOffset>
            </wp:positionV>
            <wp:extent cx="5273675" cy="2147570"/>
            <wp:effectExtent l="0" t="0" r="22225" b="24130"/>
            <wp:wrapTight wrapText="bothSides">
              <wp:wrapPolygon>
                <wp:start x="0" y="0"/>
                <wp:lineTo x="0" y="21651"/>
                <wp:lineTo x="21613" y="21651"/>
                <wp:lineTo x="21613" y="0"/>
                <wp:lineTo x="0" y="0"/>
              </wp:wrapPolygon>
            </wp:wrapTight>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_GB2312" w:hAnsi="Calibri" w:eastAsia="仿宋_GB2312" w:cs="仿宋"/>
          <w:kern w:val="0"/>
          <w:sz w:val="32"/>
          <w:szCs w:val="32"/>
        </w:rPr>
        <w:t>20</w:t>
      </w:r>
      <w:r>
        <w:rPr>
          <w:rFonts w:hint="eastAsia" w:ascii="仿宋_GB2312" w:hAnsi="Calibri" w:eastAsia="仿宋_GB2312" w:cs="仿宋"/>
          <w:kern w:val="0"/>
          <w:sz w:val="32"/>
          <w:szCs w:val="32"/>
        </w:rPr>
        <w:t>22年一般公共预算财政拨款支出171.83万元，占本年支出合计的100</w:t>
      </w:r>
      <w:r>
        <w:rPr>
          <w:rFonts w:ascii="仿宋_GB2312" w:hAnsi="Calibri" w:eastAsia="仿宋_GB2312" w:cs="仿宋"/>
          <w:kern w:val="0"/>
          <w:sz w:val="32"/>
          <w:szCs w:val="32"/>
        </w:rPr>
        <w:t>%</w:t>
      </w:r>
      <w:r>
        <w:rPr>
          <w:rFonts w:hint="eastAsia" w:ascii="仿宋_GB2312" w:hAnsi="Calibri" w:eastAsia="仿宋_GB2312" w:cs="仿宋"/>
          <w:kern w:val="0"/>
          <w:sz w:val="32"/>
          <w:szCs w:val="32"/>
        </w:rPr>
        <w:t>。与</w:t>
      </w:r>
      <w:r>
        <w:rPr>
          <w:rFonts w:ascii="仿宋_GB2312" w:hAnsi="Calibri" w:eastAsia="仿宋_GB2312" w:cs="仿宋"/>
          <w:kern w:val="0"/>
          <w:sz w:val="32"/>
          <w:szCs w:val="32"/>
        </w:rPr>
        <w:t>20</w:t>
      </w:r>
      <w:r>
        <w:rPr>
          <w:rFonts w:hint="eastAsia" w:ascii="仿宋_GB2312" w:hAnsi="Calibri" w:eastAsia="仿宋_GB2312" w:cs="仿宋"/>
          <w:kern w:val="0"/>
          <w:sz w:val="32"/>
          <w:szCs w:val="32"/>
        </w:rPr>
        <w:t>21年相比，一般公共预算财政拨款支出增加9.89万元，增长6.11</w:t>
      </w:r>
      <w:r>
        <w:rPr>
          <w:rFonts w:ascii="仿宋_GB2312" w:hAnsi="Calibri" w:eastAsia="仿宋_GB2312" w:cs="仿宋"/>
          <w:kern w:val="0"/>
          <w:sz w:val="32"/>
          <w:szCs w:val="32"/>
        </w:rPr>
        <w:t>%</w:t>
      </w:r>
      <w:r>
        <w:rPr>
          <w:rFonts w:hint="eastAsia" w:ascii="仿宋_GB2312" w:hAnsi="Calibri" w:eastAsia="仿宋_GB2312" w:cs="仿宋"/>
          <w:kern w:val="0"/>
          <w:sz w:val="32"/>
          <w:szCs w:val="32"/>
        </w:rPr>
        <w:t>。主要变动原因是项目增加。</w:t>
      </w:r>
    </w:p>
    <w:p>
      <w:pPr>
        <w:spacing w:line="600" w:lineRule="exact"/>
        <w:rPr>
          <w:rFonts w:hint="eastAsia" w:ascii="楷体_GB2312" w:hAnsi="楷体_GB2312" w:eastAsia="楷体_GB2312" w:cs="楷体_GB2312"/>
          <w:b/>
          <w:bCs/>
          <w:kern w:val="0"/>
          <w:sz w:val="28"/>
          <w:szCs w:val="32"/>
        </w:rPr>
      </w:pPr>
      <w:r>
        <w:rPr>
          <w:rFonts w:hint="eastAsia" w:ascii="楷体_GB2312" w:hAnsi="楷体_GB2312" w:eastAsia="楷体_GB2312" w:cs="楷体_GB2312"/>
          <w:b/>
          <w:bCs/>
          <w:kern w:val="0"/>
          <w:sz w:val="28"/>
          <w:szCs w:val="32"/>
        </w:rPr>
        <w:t>（图5：一般公共预算财政拨款支出决算变动情况）（柱状图）</w:t>
      </w:r>
    </w:p>
    <w:p>
      <w:pPr>
        <w:spacing w:line="600" w:lineRule="exact"/>
        <w:ind w:firstLine="642" w:firstLineChars="200"/>
        <w:outlineLvl w:val="2"/>
        <w:rPr>
          <w:rFonts w:hint="eastAsia" w:ascii="仿宋_GB2312" w:hAnsi="仿宋_GB2312" w:eastAsia="仿宋_GB2312" w:cs="仿宋_GB2312"/>
          <w:b/>
          <w:sz w:val="32"/>
          <w:szCs w:val="32"/>
        </w:rPr>
      </w:pPr>
      <w:bookmarkStart w:id="74" w:name="_Toc17897"/>
      <w:bookmarkStart w:id="75" w:name="_Toc32175"/>
      <w:bookmarkStart w:id="76" w:name="_Toc18698"/>
      <w:bookmarkStart w:id="77" w:name="_Toc15377211"/>
      <w:r>
        <w:rPr>
          <w:rFonts w:hint="eastAsia" w:ascii="仿宋_GB2312" w:hAnsi="仿宋_GB2312" w:eastAsia="仿宋_GB2312" w:cs="仿宋_GB2312"/>
          <w:b/>
          <w:sz w:val="32"/>
          <w:szCs w:val="32"/>
        </w:rPr>
        <w:t>（二）一般公共预算财政拨款支出决算结构情况</w:t>
      </w:r>
      <w:bookmarkEnd w:id="74"/>
      <w:bookmarkEnd w:id="75"/>
      <w:bookmarkEnd w:id="76"/>
      <w:bookmarkEnd w:id="77"/>
    </w:p>
    <w:p>
      <w:pPr>
        <w:spacing w:line="600" w:lineRule="exact"/>
        <w:ind w:firstLine="640"/>
        <w:rPr>
          <w:rFonts w:hint="eastAsia" w:ascii="仿宋_GB2312" w:hAnsi="仿宋_GB2312" w:eastAsia="仿宋_GB2312" w:cs="仿宋_GB2312"/>
          <w:b w:val="0"/>
          <w:bCs/>
          <w:sz w:val="32"/>
          <w:szCs w:val="32"/>
        </w:rPr>
      </w:pPr>
      <w:r>
        <w:rPr>
          <w:rFonts w:hint="eastAsia" w:ascii="仿宋_GB2312" w:hAnsi="Calibri" w:eastAsia="仿宋_GB2312" w:cs="仿宋"/>
          <w:kern w:val="0"/>
          <w:sz w:val="32"/>
          <w:szCs w:val="32"/>
        </w:rPr>
        <w:drawing>
          <wp:anchor distT="0" distB="0" distL="114300" distR="114300" simplePos="0" relativeHeight="251664384" behindDoc="0" locked="0" layoutInCell="1" allowOverlap="1">
            <wp:simplePos x="0" y="0"/>
            <wp:positionH relativeFrom="column">
              <wp:posOffset>26035</wp:posOffset>
            </wp:positionH>
            <wp:positionV relativeFrom="paragraph">
              <wp:posOffset>2319655</wp:posOffset>
            </wp:positionV>
            <wp:extent cx="5135245" cy="2370455"/>
            <wp:effectExtent l="0" t="0" r="0"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_GB2312" w:hAnsi="Calibri" w:eastAsia="仿宋_GB2312" w:cs="仿宋"/>
          <w:kern w:val="0"/>
          <w:sz w:val="32"/>
          <w:szCs w:val="32"/>
        </w:rPr>
        <w:t>20</w:t>
      </w:r>
      <w:r>
        <w:rPr>
          <w:rFonts w:hint="eastAsia" w:ascii="仿宋_GB2312" w:hAnsi="Calibri" w:eastAsia="仿宋_GB2312" w:cs="仿宋"/>
          <w:kern w:val="0"/>
          <w:sz w:val="32"/>
          <w:szCs w:val="32"/>
        </w:rPr>
        <w:t>22年一般公共预算财政拨款支出171.83万元，主要用于以下方面</w:t>
      </w:r>
      <w:r>
        <w:rPr>
          <w:rFonts w:ascii="仿宋_GB2312" w:hAnsi="Calibri" w:eastAsia="仿宋_GB2312" w:cs="仿宋"/>
          <w:kern w:val="0"/>
          <w:sz w:val="32"/>
          <w:szCs w:val="32"/>
        </w:rPr>
        <w:t>:</w:t>
      </w:r>
      <w:r>
        <w:rPr>
          <w:rFonts w:hint="eastAsia" w:ascii="仿宋_GB2312" w:hAnsi="仿宋_GB2312" w:eastAsia="仿宋_GB2312" w:cs="仿宋_GB2312"/>
          <w:b/>
          <w:bCs w:val="0"/>
          <w:sz w:val="32"/>
          <w:szCs w:val="32"/>
        </w:rPr>
        <w:t>一般公共服务支出</w:t>
      </w:r>
      <w:r>
        <w:rPr>
          <w:rFonts w:hint="eastAsia" w:ascii="仿宋_GB2312" w:hAnsi="仿宋_GB2312" w:eastAsia="仿宋_GB2312" w:cs="仿宋_GB2312"/>
          <w:b w:val="0"/>
          <w:bCs/>
          <w:sz w:val="32"/>
          <w:szCs w:val="32"/>
        </w:rPr>
        <w:t>0万元，占0%；</w:t>
      </w:r>
      <w:r>
        <w:rPr>
          <w:rFonts w:hint="eastAsia" w:ascii="仿宋_GB2312" w:hAnsi="仿宋_GB2312" w:eastAsia="仿宋_GB2312" w:cs="仿宋_GB2312"/>
          <w:b/>
          <w:bCs w:val="0"/>
          <w:sz w:val="32"/>
          <w:szCs w:val="32"/>
        </w:rPr>
        <w:t>教育支出</w:t>
      </w:r>
      <w:r>
        <w:rPr>
          <w:rFonts w:hint="eastAsia" w:ascii="仿宋_GB2312" w:hAnsi="仿宋_GB2312" w:eastAsia="仿宋_GB2312" w:cs="仿宋_GB2312"/>
          <w:b w:val="0"/>
          <w:bCs/>
          <w:sz w:val="32"/>
          <w:szCs w:val="32"/>
        </w:rPr>
        <w:t>0万元，占0%；</w:t>
      </w:r>
      <w:r>
        <w:rPr>
          <w:rFonts w:hint="eastAsia" w:ascii="仿宋_GB2312" w:hAnsi="仿宋_GB2312" w:eastAsia="仿宋_GB2312" w:cs="仿宋_GB2312"/>
          <w:b/>
          <w:bCs w:val="0"/>
          <w:sz w:val="32"/>
          <w:szCs w:val="32"/>
        </w:rPr>
        <w:t>科学技术支出</w:t>
      </w:r>
      <w:r>
        <w:rPr>
          <w:rFonts w:hint="eastAsia" w:ascii="仿宋_GB2312" w:hAnsi="仿宋_GB2312" w:eastAsia="仿宋_GB2312" w:cs="仿宋_GB2312"/>
          <w:b w:val="0"/>
          <w:bCs/>
          <w:sz w:val="32"/>
          <w:szCs w:val="32"/>
        </w:rPr>
        <w:t>148.87万元，占86.64%；</w:t>
      </w:r>
      <w:r>
        <w:rPr>
          <w:rFonts w:hint="eastAsia" w:ascii="仿宋_GB2312" w:hAnsi="仿宋_GB2312" w:eastAsia="仿宋_GB2312" w:cs="仿宋_GB2312"/>
          <w:b/>
          <w:bCs w:val="0"/>
          <w:sz w:val="32"/>
          <w:szCs w:val="32"/>
        </w:rPr>
        <w:t>文化旅游体育与传媒支出</w:t>
      </w:r>
      <w:r>
        <w:rPr>
          <w:rFonts w:hint="eastAsia" w:ascii="仿宋_GB2312" w:hAnsi="仿宋_GB2312" w:eastAsia="仿宋_GB2312" w:cs="仿宋_GB2312"/>
          <w:b w:val="0"/>
          <w:bCs/>
          <w:sz w:val="32"/>
          <w:szCs w:val="32"/>
        </w:rPr>
        <w:t>0万元，占0%；</w:t>
      </w:r>
      <w:r>
        <w:rPr>
          <w:rFonts w:hint="eastAsia" w:ascii="仿宋_GB2312" w:hAnsi="仿宋_GB2312" w:eastAsia="仿宋_GB2312" w:cs="仿宋_GB2312"/>
          <w:b/>
          <w:bCs w:val="0"/>
          <w:sz w:val="32"/>
          <w:szCs w:val="32"/>
        </w:rPr>
        <w:t>社会保障和就业支出</w:t>
      </w:r>
      <w:r>
        <w:rPr>
          <w:rFonts w:hint="eastAsia" w:ascii="仿宋_GB2312" w:hAnsi="仿宋_GB2312" w:eastAsia="仿宋_GB2312" w:cs="仿宋_GB2312"/>
          <w:b w:val="0"/>
          <w:bCs/>
          <w:sz w:val="32"/>
          <w:szCs w:val="32"/>
        </w:rPr>
        <w:t>9.06万元，占5.27%；</w:t>
      </w:r>
      <w:r>
        <w:rPr>
          <w:rFonts w:hint="eastAsia" w:ascii="仿宋_GB2312" w:hAnsi="仿宋_GB2312" w:eastAsia="仿宋_GB2312" w:cs="仿宋_GB2312"/>
          <w:b/>
          <w:bCs w:val="0"/>
          <w:sz w:val="32"/>
          <w:szCs w:val="32"/>
        </w:rPr>
        <w:t>卫生健康支出</w:t>
      </w:r>
      <w:r>
        <w:rPr>
          <w:rFonts w:hint="eastAsia" w:ascii="仿宋_GB2312" w:hAnsi="仿宋_GB2312" w:eastAsia="仿宋_GB2312" w:cs="仿宋_GB2312"/>
          <w:b w:val="0"/>
          <w:bCs/>
          <w:sz w:val="32"/>
          <w:szCs w:val="32"/>
        </w:rPr>
        <w:t>5.01万元，占2.92%；</w:t>
      </w:r>
      <w:r>
        <w:rPr>
          <w:rFonts w:hint="eastAsia" w:ascii="仿宋_GB2312" w:hAnsi="仿宋_GB2312" w:eastAsia="仿宋_GB2312" w:cs="仿宋_GB2312"/>
          <w:b/>
          <w:bCs w:val="0"/>
          <w:sz w:val="32"/>
          <w:szCs w:val="32"/>
        </w:rPr>
        <w:t>住房保障支出</w:t>
      </w:r>
      <w:r>
        <w:rPr>
          <w:rFonts w:hint="eastAsia" w:ascii="仿宋_GB2312" w:hAnsi="仿宋_GB2312" w:eastAsia="仿宋_GB2312" w:cs="仿宋_GB2312"/>
          <w:b w:val="0"/>
          <w:bCs/>
          <w:sz w:val="32"/>
          <w:szCs w:val="32"/>
        </w:rPr>
        <w:t>8.89万元，占5.17%。</w:t>
      </w:r>
    </w:p>
    <w:p>
      <w:pPr>
        <w:spacing w:line="600" w:lineRule="exact"/>
        <w:jc w:val="center"/>
        <w:rPr>
          <w:rFonts w:hint="eastAsia" w:ascii="楷体_GB2312" w:hAnsi="楷体_GB2312" w:eastAsia="楷体_GB2312" w:cs="楷体_GB2312"/>
          <w:b/>
          <w:bCs/>
          <w:kern w:val="0"/>
          <w:sz w:val="28"/>
          <w:szCs w:val="32"/>
        </w:rPr>
      </w:pPr>
      <w:r>
        <w:rPr>
          <w:rFonts w:hint="eastAsia" w:ascii="楷体_GB2312" w:hAnsi="楷体_GB2312" w:eastAsia="楷体_GB2312" w:cs="楷体_GB2312"/>
          <w:b/>
          <w:bCs/>
          <w:kern w:val="0"/>
          <w:sz w:val="28"/>
          <w:szCs w:val="32"/>
        </w:rPr>
        <w:t>（图6：一般公共预算财政拨款支出决算结构）（饼状图）</w:t>
      </w:r>
    </w:p>
    <w:p>
      <w:pPr>
        <w:spacing w:line="600" w:lineRule="exact"/>
        <w:ind w:firstLine="642" w:firstLineChars="200"/>
        <w:outlineLvl w:val="2"/>
        <w:rPr>
          <w:rFonts w:hint="eastAsia" w:ascii="仿宋_GB2312" w:hAnsi="仿宋_GB2312" w:eastAsia="仿宋_GB2312" w:cs="仿宋_GB2312"/>
          <w:b/>
          <w:sz w:val="32"/>
          <w:szCs w:val="32"/>
        </w:rPr>
      </w:pPr>
      <w:bookmarkStart w:id="78" w:name="_Toc22606"/>
      <w:bookmarkStart w:id="79" w:name="_Toc28569"/>
      <w:bookmarkStart w:id="80" w:name="_Toc15995"/>
      <w:bookmarkStart w:id="81" w:name="_Toc15377212"/>
      <w:r>
        <w:rPr>
          <w:rFonts w:hint="eastAsia" w:ascii="仿宋_GB2312" w:hAnsi="仿宋_GB2312" w:eastAsia="仿宋_GB2312" w:cs="仿宋_GB2312"/>
          <w:b/>
          <w:sz w:val="32"/>
          <w:szCs w:val="32"/>
        </w:rPr>
        <w:t>（三）一般公共预算财政拨款支出决算具体情况</w:t>
      </w:r>
      <w:bookmarkEnd w:id="78"/>
      <w:bookmarkEnd w:id="79"/>
      <w:bookmarkEnd w:id="80"/>
      <w:bookmarkEnd w:id="81"/>
    </w:p>
    <w:p>
      <w:pPr>
        <w:spacing w:line="600" w:lineRule="exact"/>
        <w:ind w:firstLine="642" w:firstLineChars="200"/>
        <w:outlineLvl w:val="1"/>
        <w:rPr>
          <w:rFonts w:hint="eastAsia" w:ascii="仿宋_GB2312" w:hAnsi="仿宋_GB2312" w:eastAsia="仿宋_GB2312" w:cs="仿宋_GB2312"/>
          <w:sz w:val="32"/>
          <w:szCs w:val="32"/>
        </w:rPr>
      </w:pPr>
      <w:bookmarkStart w:id="82" w:name="_Toc12068"/>
      <w:bookmarkStart w:id="83" w:name="_Toc15377213"/>
      <w:bookmarkStart w:id="84" w:name="_Toc25150"/>
      <w:bookmarkStart w:id="85" w:name="_Toc15377444"/>
      <w:bookmarkStart w:id="86" w:name="_Toc29818"/>
      <w:bookmarkStart w:id="87" w:name="_Toc15378460"/>
      <w:r>
        <w:rPr>
          <w:rFonts w:hint="eastAsia" w:ascii="仿宋_GB2312" w:hAnsi="仿宋_GB2312" w:eastAsia="仿宋_GB2312" w:cs="仿宋_GB2312"/>
          <w:b/>
          <w:sz w:val="32"/>
          <w:szCs w:val="32"/>
        </w:rPr>
        <w:t>2022年一般公共预算支出决算数为</w:t>
      </w:r>
      <w:r>
        <w:rPr>
          <w:rFonts w:hint="eastAsia" w:ascii="仿宋_GB2312" w:hAnsi="仿宋_GB2312" w:eastAsia="仿宋_GB2312" w:cs="仿宋_GB2312"/>
          <w:sz w:val="32"/>
          <w:szCs w:val="32"/>
        </w:rPr>
        <w:t>171.83万元，</w:t>
      </w:r>
      <w:r>
        <w:rPr>
          <w:rStyle w:val="17"/>
          <w:rFonts w:hint="eastAsia" w:ascii="仿宋_GB2312" w:hAnsi="仿宋_GB2312" w:eastAsia="仿宋_GB2312" w:cs="仿宋_GB2312"/>
          <w:bCs/>
          <w:sz w:val="32"/>
          <w:szCs w:val="32"/>
        </w:rPr>
        <w:t>完成预算100%。其中：</w:t>
      </w:r>
      <w:bookmarkEnd w:id="82"/>
      <w:bookmarkEnd w:id="83"/>
      <w:bookmarkEnd w:id="84"/>
      <w:bookmarkEnd w:id="85"/>
      <w:bookmarkEnd w:id="86"/>
      <w:bookmarkEnd w:id="87"/>
    </w:p>
    <w:p>
      <w:pPr>
        <w:spacing w:line="600" w:lineRule="exact"/>
        <w:ind w:firstLine="642" w:firstLineChars="200"/>
        <w:rPr>
          <w:rStyle w:val="17"/>
          <w:rFonts w:hint="eastAsia" w:ascii="仿宋_GB2312" w:hAnsi="仿宋_GB2312" w:eastAsia="仿宋_GB2312" w:cs="仿宋_GB2312"/>
          <w:b w:val="0"/>
          <w:bCs/>
          <w:sz w:val="32"/>
          <w:szCs w:val="32"/>
        </w:rPr>
      </w:pPr>
      <w:r>
        <w:rPr>
          <w:rStyle w:val="17"/>
          <w:rFonts w:hint="eastAsia" w:ascii="仿宋_GB2312" w:hAnsi="仿宋_GB2312" w:eastAsia="仿宋_GB2312" w:cs="仿宋_GB2312"/>
          <w:bCs/>
          <w:sz w:val="32"/>
          <w:szCs w:val="32"/>
        </w:rPr>
        <w:t>1.科学技术（类）科学技术管理服务（款）机关服务（项）:</w:t>
      </w:r>
      <w:r>
        <w:rPr>
          <w:rStyle w:val="17"/>
          <w:rFonts w:hint="eastAsia" w:ascii="仿宋_GB2312" w:hAnsi="仿宋_GB2312" w:eastAsia="仿宋_GB2312" w:cs="仿宋_GB2312"/>
          <w:b w:val="0"/>
          <w:bCs/>
          <w:sz w:val="32"/>
          <w:szCs w:val="32"/>
        </w:rPr>
        <w:t xml:space="preserve"> 支出决算为6.86万元，完成预算100%。</w:t>
      </w:r>
    </w:p>
    <w:p>
      <w:pPr>
        <w:spacing w:line="600" w:lineRule="exact"/>
        <w:ind w:firstLine="642" w:firstLineChars="200"/>
        <w:rPr>
          <w:rStyle w:val="17"/>
          <w:rFonts w:hint="eastAsia" w:ascii="仿宋_GB2312" w:hAnsi="仿宋_GB2312" w:eastAsia="仿宋_GB2312" w:cs="仿宋_GB2312"/>
          <w:b w:val="0"/>
          <w:bCs/>
          <w:sz w:val="32"/>
          <w:szCs w:val="32"/>
        </w:rPr>
      </w:pPr>
      <w:r>
        <w:rPr>
          <w:rStyle w:val="17"/>
          <w:rFonts w:hint="eastAsia" w:ascii="仿宋_GB2312" w:hAnsi="仿宋_GB2312" w:eastAsia="仿宋_GB2312" w:cs="仿宋_GB2312"/>
          <w:bCs/>
          <w:sz w:val="32"/>
          <w:szCs w:val="32"/>
        </w:rPr>
        <w:t>2.科学技术（类）科学技术普及（款）机构运行（项）:</w:t>
      </w:r>
      <w:r>
        <w:rPr>
          <w:rStyle w:val="17"/>
          <w:rFonts w:hint="eastAsia" w:ascii="仿宋_GB2312" w:hAnsi="仿宋_GB2312" w:eastAsia="仿宋_GB2312" w:cs="仿宋_GB2312"/>
          <w:b w:val="0"/>
          <w:bCs/>
          <w:sz w:val="32"/>
          <w:szCs w:val="32"/>
        </w:rPr>
        <w:t xml:space="preserve"> 支出决算为96.45万元，完成预算100%。</w:t>
      </w:r>
    </w:p>
    <w:p>
      <w:pPr>
        <w:pStyle w:val="2"/>
        <w:spacing w:before="93" w:line="560" w:lineRule="exact"/>
        <w:ind w:firstLine="642" w:firstLineChars="200"/>
        <w:rPr>
          <w:rFonts w:hint="eastAsia" w:ascii="仿宋_GB2312" w:hAnsi="仿宋_GB2312" w:eastAsia="仿宋_GB2312" w:cs="仿宋_GB2312"/>
        </w:rPr>
      </w:pPr>
      <w:r>
        <w:rPr>
          <w:rStyle w:val="17"/>
          <w:rFonts w:hint="eastAsia" w:ascii="仿宋_GB2312" w:hAnsi="仿宋_GB2312" w:eastAsia="仿宋_GB2312" w:cs="仿宋_GB2312"/>
          <w:bCs/>
          <w:sz w:val="32"/>
          <w:szCs w:val="32"/>
        </w:rPr>
        <w:t>3.科学技术（类）科学技术普及（款）科普活动（项）:</w:t>
      </w:r>
      <w:r>
        <w:rPr>
          <w:rStyle w:val="17"/>
          <w:rFonts w:hint="eastAsia" w:ascii="仿宋_GB2312" w:hAnsi="仿宋_GB2312" w:eastAsia="仿宋_GB2312" w:cs="仿宋_GB2312"/>
          <w:b w:val="0"/>
          <w:bCs/>
          <w:sz w:val="32"/>
          <w:szCs w:val="32"/>
        </w:rPr>
        <w:t xml:space="preserve"> 支出决算为5万元，完成预算100%。</w:t>
      </w:r>
    </w:p>
    <w:p>
      <w:pPr>
        <w:pStyle w:val="2"/>
        <w:spacing w:before="93" w:line="560" w:lineRule="exact"/>
        <w:ind w:firstLine="642" w:firstLineChars="200"/>
        <w:rPr>
          <w:rFonts w:hint="eastAsia" w:ascii="仿宋_GB2312" w:hAnsi="仿宋_GB2312" w:eastAsia="仿宋_GB2312" w:cs="仿宋_GB2312"/>
          <w:sz w:val="32"/>
          <w:szCs w:val="32"/>
        </w:rPr>
      </w:pPr>
      <w:r>
        <w:rPr>
          <w:rStyle w:val="17"/>
          <w:rFonts w:hint="eastAsia" w:ascii="仿宋_GB2312" w:hAnsi="仿宋_GB2312" w:eastAsia="仿宋_GB2312" w:cs="仿宋_GB2312"/>
          <w:bCs/>
          <w:sz w:val="32"/>
          <w:szCs w:val="32"/>
        </w:rPr>
        <w:t>4.科学技术（类）科学技术普及（款）其他科学技术普及支出（项）:</w:t>
      </w:r>
      <w:r>
        <w:rPr>
          <w:rStyle w:val="17"/>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sz w:val="32"/>
          <w:szCs w:val="32"/>
        </w:rPr>
        <w:t>支出决算为40.56万元，完成预算100%。</w:t>
      </w:r>
    </w:p>
    <w:p>
      <w:pPr>
        <w:spacing w:line="560" w:lineRule="exact"/>
        <w:ind w:firstLine="642" w:firstLineChars="200"/>
        <w:rPr>
          <w:rFonts w:hint="eastAsia" w:ascii="仿宋_GB2312" w:hAnsi="仿宋_GB2312" w:eastAsia="仿宋_GB2312" w:cs="仿宋_GB2312"/>
          <w:kern w:val="0"/>
          <w:sz w:val="32"/>
          <w:szCs w:val="32"/>
        </w:rPr>
      </w:pPr>
      <w:r>
        <w:rPr>
          <w:rStyle w:val="17"/>
          <w:rFonts w:hint="eastAsia" w:ascii="仿宋_GB2312" w:hAnsi="仿宋_GB2312" w:eastAsia="仿宋_GB2312" w:cs="仿宋_GB2312"/>
          <w:bCs/>
          <w:sz w:val="32"/>
          <w:szCs w:val="32"/>
        </w:rPr>
        <w:t>5.社会保障和就业（类）行政事业单位养老支出（款）机关事业单位基本养老保险缴费支出（项）:</w:t>
      </w:r>
      <w:r>
        <w:rPr>
          <w:rStyle w:val="17"/>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kern w:val="0"/>
          <w:sz w:val="32"/>
          <w:szCs w:val="32"/>
        </w:rPr>
        <w:t>支出决算为9.06万元，完成预算100%。</w:t>
      </w:r>
    </w:p>
    <w:p>
      <w:pPr>
        <w:spacing w:line="560" w:lineRule="exact"/>
        <w:ind w:firstLine="642" w:firstLineChars="200"/>
        <w:rPr>
          <w:rFonts w:hint="eastAsia" w:ascii="仿宋_GB2312" w:hAnsi="仿宋_GB2312" w:eastAsia="仿宋_GB2312" w:cs="仿宋_GB2312"/>
          <w:b/>
          <w:sz w:val="32"/>
          <w:szCs w:val="32"/>
        </w:rPr>
      </w:pPr>
      <w:r>
        <w:rPr>
          <w:rStyle w:val="17"/>
          <w:rFonts w:hint="eastAsia" w:ascii="仿宋_GB2312" w:hAnsi="仿宋_GB2312" w:eastAsia="仿宋_GB2312" w:cs="仿宋_GB2312"/>
          <w:bCs/>
          <w:sz w:val="32"/>
          <w:szCs w:val="32"/>
        </w:rPr>
        <w:t>6.</w:t>
      </w:r>
      <w:r>
        <w:rPr>
          <w:rFonts w:hint="eastAsia" w:ascii="仿宋_GB2312" w:hAnsi="仿宋_GB2312" w:eastAsia="仿宋_GB2312" w:cs="仿宋_GB2312"/>
          <w:b/>
          <w:bCs/>
          <w:sz w:val="32"/>
          <w:szCs w:val="32"/>
        </w:rPr>
        <w:t>卫生健康</w:t>
      </w:r>
      <w:r>
        <w:rPr>
          <w:rStyle w:val="17"/>
          <w:rFonts w:hint="eastAsia" w:ascii="仿宋_GB2312" w:hAnsi="仿宋_GB2312" w:eastAsia="仿宋_GB2312" w:cs="仿宋_GB2312"/>
          <w:bCs/>
          <w:sz w:val="32"/>
          <w:szCs w:val="32"/>
        </w:rPr>
        <w:t>（类）行政事业单位医疗（款）行政单位医疗（项）:</w:t>
      </w:r>
      <w:r>
        <w:rPr>
          <w:rStyle w:val="17"/>
          <w:rFonts w:hint="eastAsia" w:ascii="仿宋_GB2312" w:hAnsi="仿宋_GB2312" w:eastAsia="仿宋_GB2312" w:cs="仿宋_GB2312"/>
          <w:b w:val="0"/>
          <w:bCs/>
          <w:sz w:val="32"/>
          <w:szCs w:val="32"/>
        </w:rPr>
        <w:t>支出决算为5.01万元，完成预算100%。</w:t>
      </w:r>
    </w:p>
    <w:p>
      <w:pPr>
        <w:spacing w:line="560" w:lineRule="exact"/>
        <w:ind w:firstLine="642" w:firstLineChars="200"/>
        <w:rPr>
          <w:rFonts w:hint="eastAsia"/>
        </w:rPr>
      </w:pPr>
      <w:r>
        <w:rPr>
          <w:rStyle w:val="17"/>
          <w:rFonts w:hint="eastAsia" w:ascii="仿宋_GB2312" w:hAnsi="仿宋_GB2312" w:eastAsia="仿宋_GB2312" w:cs="仿宋_GB2312"/>
          <w:bCs/>
          <w:sz w:val="32"/>
          <w:szCs w:val="32"/>
        </w:rPr>
        <w:t>7.</w:t>
      </w:r>
      <w:r>
        <w:rPr>
          <w:rFonts w:hint="eastAsia" w:ascii="仿宋_GB2312" w:hAnsi="仿宋_GB2312" w:eastAsia="仿宋_GB2312" w:cs="仿宋_GB2312"/>
          <w:b/>
          <w:bCs/>
          <w:sz w:val="32"/>
          <w:szCs w:val="32"/>
        </w:rPr>
        <w:t>住房保障</w:t>
      </w:r>
      <w:r>
        <w:rPr>
          <w:rStyle w:val="17"/>
          <w:rFonts w:hint="eastAsia" w:ascii="仿宋_GB2312" w:hAnsi="仿宋_GB2312" w:eastAsia="仿宋_GB2312" w:cs="仿宋_GB2312"/>
          <w:bCs/>
          <w:sz w:val="32"/>
          <w:szCs w:val="32"/>
        </w:rPr>
        <w:t>（类）住房改革支出（款）住房公积金（项）:</w:t>
      </w:r>
      <w:r>
        <w:rPr>
          <w:rStyle w:val="17"/>
          <w:rFonts w:hint="eastAsia" w:ascii="仿宋_GB2312" w:hAnsi="仿宋_GB2312" w:eastAsia="仿宋_GB2312" w:cs="仿宋_GB2312"/>
          <w:b w:val="0"/>
          <w:bCs/>
          <w:sz w:val="32"/>
          <w:szCs w:val="32"/>
        </w:rPr>
        <w:t>支出决算为8.89万元，完成预算100%。</w:t>
      </w:r>
    </w:p>
    <w:p>
      <w:pPr>
        <w:tabs>
          <w:tab w:val="right" w:pos="8306"/>
        </w:tabs>
        <w:spacing w:line="560" w:lineRule="exact"/>
        <w:ind w:firstLine="640"/>
        <w:outlineLvl w:val="1"/>
        <w:rPr>
          <w:rStyle w:val="29"/>
        </w:rPr>
      </w:pPr>
      <w:bookmarkStart w:id="88" w:name="_Toc28136"/>
      <w:bookmarkStart w:id="89" w:name="_Toc1901"/>
      <w:bookmarkStart w:id="90" w:name="_Toc15396608"/>
      <w:bookmarkStart w:id="91" w:name="_Toc1916"/>
      <w:bookmarkStart w:id="92"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88"/>
      <w:bookmarkEnd w:id="89"/>
      <w:bookmarkEnd w:id="90"/>
      <w:bookmarkEnd w:id="91"/>
      <w:bookmarkEnd w:id="92"/>
      <w:r>
        <w:rPr>
          <w:rStyle w:val="29"/>
          <w:rFonts w:ascii="黑体" w:hAnsi="黑体" w:eastAsia="黑体"/>
          <w:b w:val="0"/>
        </w:rPr>
        <w:tab/>
      </w:r>
    </w:p>
    <w:p>
      <w:pPr>
        <w:snapToGrid w:val="0"/>
        <w:spacing w:line="560" w:lineRule="exact"/>
        <w:ind w:firstLine="566" w:firstLineChars="177"/>
        <w:rPr>
          <w:rFonts w:ascii="仿宋_GB2312" w:hAnsi="Calibri" w:eastAsia="仿宋_GB2312" w:cs="仿宋"/>
          <w:kern w:val="0"/>
          <w:sz w:val="32"/>
          <w:szCs w:val="32"/>
        </w:rPr>
      </w:pPr>
      <w:r>
        <w:rPr>
          <w:rFonts w:ascii="仿宋_GB2312" w:hAnsi="Calibri" w:eastAsia="仿宋_GB2312" w:cs="仿宋"/>
          <w:kern w:val="0"/>
          <w:sz w:val="32"/>
          <w:szCs w:val="32"/>
        </w:rPr>
        <w:t>20</w:t>
      </w:r>
      <w:r>
        <w:rPr>
          <w:rFonts w:hint="eastAsia" w:ascii="仿宋_GB2312" w:hAnsi="Calibri" w:eastAsia="仿宋_GB2312" w:cs="仿宋"/>
          <w:kern w:val="0"/>
          <w:sz w:val="32"/>
          <w:szCs w:val="32"/>
        </w:rPr>
        <w:t>22年一般公共预算财政拨款基本支出126.26万元，其中：</w:t>
      </w:r>
    </w:p>
    <w:p>
      <w:pPr>
        <w:snapToGrid w:val="0"/>
        <w:spacing w:line="560" w:lineRule="exact"/>
        <w:ind w:firstLine="566" w:firstLineChars="177"/>
      </w:pPr>
      <w:r>
        <w:rPr>
          <w:rFonts w:hint="eastAsia" w:ascii="仿宋_GB2312" w:hAnsi="Calibri" w:eastAsia="仿宋_GB2312" w:cs="仿宋"/>
          <w:kern w:val="0"/>
          <w:sz w:val="32"/>
          <w:szCs w:val="32"/>
        </w:rPr>
        <w:t>人员经费112.52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napToGrid w:val="0"/>
        <w:spacing w:line="560" w:lineRule="exact"/>
        <w:ind w:firstLine="640" w:firstLineChars="200"/>
        <w:rPr>
          <w:rFonts w:hint="eastAsia" w:ascii="仿宋_GB2312" w:hAnsi="Calibri" w:eastAsia="仿宋_GB2312" w:cs="仿宋"/>
          <w:b w:val="0"/>
          <w:bCs w:val="0"/>
          <w:kern w:val="0"/>
          <w:sz w:val="32"/>
          <w:szCs w:val="32"/>
        </w:rPr>
      </w:pPr>
      <w:r>
        <w:rPr>
          <w:rFonts w:hint="eastAsia" w:ascii="仿宋_GB2312" w:hAnsi="Calibri" w:eastAsia="仿宋_GB2312" w:cs="仿宋"/>
          <w:kern w:val="0"/>
          <w:sz w:val="32"/>
          <w:szCs w:val="32"/>
        </w:rPr>
        <w:t>公用经费13.74万元，主要包括：办公费、印刷费、咨询费、手续费、水费、电费、邮电费、取暖费、物业管理费、差旅费、因公出国（境）费用、维修（护）费、租赁费、会议费、培训费、</w:t>
      </w:r>
      <w:r>
        <w:rPr>
          <w:rFonts w:hint="eastAsia" w:ascii="仿宋_GB2312" w:hAnsi="Calibri" w:eastAsia="仿宋_GB2312" w:cs="仿宋"/>
          <w:b w:val="0"/>
          <w:bCs w:val="0"/>
          <w:kern w:val="0"/>
          <w:sz w:val="32"/>
          <w:szCs w:val="32"/>
        </w:rPr>
        <w:t>公务接待费</w:t>
      </w:r>
      <w:r>
        <w:rPr>
          <w:rFonts w:hint="eastAsia" w:ascii="仿宋_GB2312" w:hAnsi="Calibri" w:eastAsia="仿宋_GB2312" w:cs="仿宋"/>
          <w:kern w:val="0"/>
          <w:sz w:val="32"/>
          <w:szCs w:val="32"/>
        </w:rPr>
        <w:t>、劳务费、委托业务费、工会经</w:t>
      </w:r>
      <w:r>
        <w:rPr>
          <w:rFonts w:hint="eastAsia" w:ascii="仿宋_GB2312" w:hAnsi="Calibri" w:eastAsia="仿宋_GB2312" w:cs="仿宋"/>
          <w:b w:val="0"/>
          <w:bCs w:val="0"/>
          <w:kern w:val="0"/>
          <w:sz w:val="32"/>
          <w:szCs w:val="32"/>
        </w:rPr>
        <w:t>费、福利费、公务用车运行维护费、其他交通费、税金及附加费用、其他商品和服务支出、办公设备购置、专用设备购置、信息网络及软件购置更新、其他资本性支出等。</w:t>
      </w:r>
    </w:p>
    <w:p>
      <w:pPr>
        <w:pStyle w:val="2"/>
        <w:rPr>
          <w:rFonts w:hint="eastAsia"/>
          <w:lang w:eastAsia="zh-CN"/>
        </w:rPr>
      </w:pPr>
    </w:p>
    <w:p>
      <w:pPr>
        <w:spacing w:line="600" w:lineRule="exact"/>
        <w:ind w:firstLine="640"/>
        <w:outlineLvl w:val="1"/>
        <w:rPr>
          <w:rStyle w:val="29"/>
          <w:rFonts w:ascii="黑体" w:hAnsi="黑体" w:eastAsia="黑体"/>
          <w:b w:val="0"/>
        </w:rPr>
      </w:pPr>
      <w:bookmarkStart w:id="93" w:name="_Toc15377215"/>
      <w:bookmarkStart w:id="94" w:name="_Toc7274"/>
      <w:bookmarkStart w:id="95" w:name="_Toc15396609"/>
      <w:bookmarkStart w:id="96" w:name="_Toc4911"/>
      <w:bookmarkStart w:id="97" w:name="_Toc5502"/>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93"/>
      <w:bookmarkEnd w:id="94"/>
      <w:bookmarkEnd w:id="95"/>
      <w:bookmarkEnd w:id="96"/>
      <w:bookmarkEnd w:id="97"/>
    </w:p>
    <w:p>
      <w:pPr>
        <w:spacing w:line="600" w:lineRule="exact"/>
        <w:ind w:firstLine="640"/>
        <w:outlineLvl w:val="2"/>
        <w:rPr>
          <w:rFonts w:hint="eastAsia" w:ascii="仿宋_GB2312" w:hAnsi="仿宋_GB2312" w:eastAsia="仿宋_GB2312" w:cs="仿宋_GB2312"/>
          <w:b/>
          <w:sz w:val="32"/>
          <w:szCs w:val="32"/>
        </w:rPr>
      </w:pPr>
      <w:bookmarkStart w:id="98" w:name="_Toc21373"/>
      <w:bookmarkStart w:id="99" w:name="_Toc14034"/>
      <w:bookmarkStart w:id="100" w:name="_Toc29332"/>
      <w:bookmarkStart w:id="101" w:name="_Toc15377216"/>
      <w:r>
        <w:rPr>
          <w:rFonts w:hint="eastAsia" w:ascii="仿宋_GB2312" w:hAnsi="仿宋_GB2312" w:eastAsia="仿宋_GB2312" w:cs="仿宋_GB2312"/>
          <w:b/>
          <w:sz w:val="32"/>
          <w:szCs w:val="32"/>
        </w:rPr>
        <w:t>（一）“三公”经费财政拨款支出决算总体情况说明</w:t>
      </w:r>
      <w:bookmarkEnd w:id="98"/>
      <w:bookmarkEnd w:id="99"/>
      <w:bookmarkEnd w:id="100"/>
      <w:bookmarkEnd w:id="101"/>
    </w:p>
    <w:p>
      <w:pPr>
        <w:spacing w:line="60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2022年“三公”经费财政拨款支出决算为0.5万元，完成预算79.37%，较上年增加0.02万元，增长4.17%。决算数小于预算数的主要原因</w:t>
      </w:r>
      <w:r>
        <w:rPr>
          <w:rFonts w:hint="eastAsia" w:ascii="仿宋_GB2312" w:hAnsi="仿宋_GB2312" w:eastAsia="仿宋_GB2312" w:cs="仿宋_GB2312"/>
          <w:color w:val="auto"/>
          <w:sz w:val="32"/>
          <w:szCs w:val="32"/>
        </w:rPr>
        <w:t>是厉行节约</w:t>
      </w:r>
      <w:r>
        <w:rPr>
          <w:rFonts w:hint="eastAsia" w:ascii="仿宋_GB2312" w:hAnsi="仿宋_GB2312" w:eastAsia="仿宋_GB2312" w:cs="仿宋_GB2312"/>
          <w:color w:val="auto"/>
          <w:sz w:val="32"/>
          <w:szCs w:val="32"/>
          <w:lang w:eastAsia="zh-CN"/>
        </w:rPr>
        <w:t>，严格控制“三公”经费支出</w:t>
      </w:r>
      <w:r>
        <w:rPr>
          <w:rFonts w:hint="eastAsia" w:ascii="仿宋_GB2312" w:hAnsi="仿宋_GB2312" w:eastAsia="仿宋_GB2312" w:cs="仿宋_GB2312"/>
          <w:color w:val="auto"/>
          <w:sz w:val="32"/>
          <w:szCs w:val="32"/>
        </w:rPr>
        <w:t>。</w:t>
      </w:r>
    </w:p>
    <w:p>
      <w:pPr>
        <w:spacing w:line="600" w:lineRule="exact"/>
        <w:ind w:firstLine="642" w:firstLineChars="200"/>
        <w:outlineLvl w:val="2"/>
        <w:rPr>
          <w:rFonts w:hint="eastAsia" w:ascii="仿宋_GB2312" w:hAnsi="仿宋_GB2312" w:eastAsia="仿宋_GB2312" w:cs="仿宋_GB2312"/>
          <w:b/>
          <w:sz w:val="32"/>
          <w:szCs w:val="32"/>
        </w:rPr>
      </w:pPr>
      <w:bookmarkStart w:id="102" w:name="_Toc15377217"/>
      <w:bookmarkStart w:id="103" w:name="_Toc10473"/>
      <w:bookmarkStart w:id="104" w:name="_Toc27165"/>
      <w:bookmarkStart w:id="105" w:name="_Toc2164"/>
      <w:r>
        <w:rPr>
          <w:rFonts w:hint="eastAsia" w:ascii="仿宋_GB2312" w:hAnsi="仿宋_GB2312" w:eastAsia="仿宋_GB2312" w:cs="仿宋_GB2312"/>
          <w:b/>
          <w:sz w:val="32"/>
          <w:szCs w:val="32"/>
        </w:rPr>
        <w:t>（二）“三公”经费财政拨款支出决算具体情况说明</w:t>
      </w:r>
      <w:bookmarkEnd w:id="102"/>
      <w:bookmarkEnd w:id="103"/>
      <w:bookmarkEnd w:id="104"/>
      <w:bookmarkEnd w:id="105"/>
    </w:p>
    <w:p>
      <w:pPr>
        <w:snapToGrid w:val="0"/>
        <w:spacing w:line="560" w:lineRule="exact"/>
        <w:ind w:firstLine="566" w:firstLineChars="177"/>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drawing>
          <wp:anchor distT="0" distB="0" distL="114300" distR="114300" simplePos="0" relativeHeight="251665408" behindDoc="0" locked="0" layoutInCell="1" allowOverlap="1">
            <wp:simplePos x="0" y="0"/>
            <wp:positionH relativeFrom="column">
              <wp:posOffset>79375</wp:posOffset>
            </wp:positionH>
            <wp:positionV relativeFrom="paragraph">
              <wp:posOffset>1558925</wp:posOffset>
            </wp:positionV>
            <wp:extent cx="5326380" cy="2743200"/>
            <wp:effectExtent l="0" t="0" r="0" b="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_GB2312" w:hAnsi="仿宋_GB2312" w:eastAsia="仿宋_GB2312" w:cs="仿宋_GB2312"/>
          <w:kern w:val="0"/>
          <w:sz w:val="32"/>
          <w:szCs w:val="32"/>
        </w:rPr>
        <w:t>2022年“三公”经费财政拨款支出决算中，因公出国（境）费支出决算0万元，占0%；公务用车购置及运行维护费支出决算0万元，占0%；公务接待费支出决算0.5万元，占100%。具体情况如下：</w:t>
      </w:r>
    </w:p>
    <w:p>
      <w:pPr>
        <w:spacing w:line="600" w:lineRule="exact"/>
        <w:ind w:firstLine="562" w:firstLineChars="200"/>
        <w:jc w:val="center"/>
        <w:outlineLvl w:val="1"/>
        <w:rPr>
          <w:rFonts w:hint="eastAsia" w:ascii="楷体_GB2312" w:hAnsi="楷体_GB2312" w:eastAsia="楷体_GB2312" w:cs="楷体_GB2312"/>
          <w:b/>
          <w:bCs/>
          <w:sz w:val="28"/>
          <w:szCs w:val="32"/>
        </w:rPr>
      </w:pPr>
      <w:bookmarkStart w:id="106" w:name="_Toc22738"/>
      <w:r>
        <w:rPr>
          <w:rFonts w:hint="eastAsia" w:ascii="楷体_GB2312" w:hAnsi="楷体_GB2312" w:eastAsia="楷体_GB2312" w:cs="楷体_GB2312"/>
          <w:b/>
          <w:bCs/>
          <w:sz w:val="28"/>
          <w:szCs w:val="32"/>
        </w:rPr>
        <w:t>（图7：“三公”经费财政拨款支出结构）（饼状图）</w:t>
      </w:r>
      <w:bookmarkEnd w:id="106"/>
    </w:p>
    <w:p>
      <w:pPr>
        <w:spacing w:line="600" w:lineRule="exact"/>
        <w:ind w:firstLine="640"/>
        <w:rPr>
          <w:rFonts w:ascii="仿宋_GB2312" w:hAnsi="Calibri" w:eastAsia="仿宋_GB2312" w:cs="仿宋"/>
          <w:kern w:val="0"/>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hAnsi="Calibri" w:eastAsia="仿宋_GB2312" w:cs="仿宋"/>
          <w:kern w:val="0"/>
          <w:sz w:val="32"/>
          <w:szCs w:val="32"/>
        </w:rPr>
        <w:t>0万元，完成预算0</w:t>
      </w:r>
      <w:r>
        <w:rPr>
          <w:rFonts w:ascii="仿宋_GB2312" w:hAnsi="Calibri" w:eastAsia="仿宋_GB2312" w:cs="仿宋"/>
          <w:kern w:val="0"/>
          <w:sz w:val="32"/>
          <w:szCs w:val="32"/>
        </w:rPr>
        <w:t>%</w:t>
      </w:r>
      <w:r>
        <w:rPr>
          <w:rFonts w:hint="eastAsia" w:ascii="仿宋_GB2312" w:hAnsi="Calibri" w:eastAsia="仿宋_GB2312" w:cs="仿宋"/>
          <w:kern w:val="0"/>
          <w:sz w:val="32"/>
          <w:szCs w:val="32"/>
        </w:rPr>
        <w:t>。</w:t>
      </w:r>
    </w:p>
    <w:p>
      <w:pPr>
        <w:spacing w:line="600" w:lineRule="exact"/>
        <w:ind w:firstLine="642" w:firstLineChars="200"/>
        <w:rPr>
          <w:rFonts w:ascii="仿宋_GB2312" w:hAnsi="Calibri" w:eastAsia="仿宋_GB2312" w:cs="仿宋"/>
          <w:kern w:val="0"/>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hAnsi="Calibri" w:eastAsia="仿宋_GB2312" w:cs="仿宋"/>
          <w:kern w:val="0"/>
          <w:sz w:val="32"/>
          <w:szCs w:val="32"/>
        </w:rPr>
        <w:t>0万元,完成预算0</w:t>
      </w:r>
      <w:r>
        <w:rPr>
          <w:rFonts w:ascii="仿宋_GB2312" w:hAnsi="Calibri" w:eastAsia="仿宋_GB2312" w:cs="仿宋"/>
          <w:kern w:val="0"/>
          <w:sz w:val="32"/>
          <w:szCs w:val="32"/>
        </w:rPr>
        <w:t>%</w:t>
      </w:r>
      <w:r>
        <w:rPr>
          <w:rFonts w:hint="eastAsia" w:ascii="仿宋_GB2312" w:hAnsi="Calibri" w:eastAsia="仿宋_GB2312" w:cs="仿宋"/>
          <w:kern w:val="0"/>
          <w:sz w:val="32"/>
          <w:szCs w:val="32"/>
        </w:rPr>
        <w:t>。</w:t>
      </w: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hAnsi="Calibri" w:eastAsia="仿宋_GB2312" w:cs="仿宋"/>
          <w:kern w:val="0"/>
          <w:sz w:val="32"/>
          <w:szCs w:val="32"/>
        </w:rPr>
        <w:t>0万元。全年按规定更新购置公务用车0辆，其中：轿车0辆、金额0万元，越野车0辆、金额0万元，载客汽车0辆、金额0万元。截至</w:t>
      </w:r>
      <w:r>
        <w:rPr>
          <w:rFonts w:ascii="仿宋_GB2312" w:hAnsi="Calibri" w:eastAsia="仿宋_GB2312" w:cs="仿宋"/>
          <w:kern w:val="0"/>
          <w:sz w:val="32"/>
          <w:szCs w:val="32"/>
        </w:rPr>
        <w:t>20</w:t>
      </w:r>
      <w:r>
        <w:rPr>
          <w:rFonts w:hint="eastAsia" w:ascii="仿宋_GB2312" w:hAnsi="Calibri" w:eastAsia="仿宋_GB2312" w:cs="仿宋"/>
          <w:kern w:val="0"/>
          <w:sz w:val="32"/>
          <w:szCs w:val="32"/>
        </w:rPr>
        <w:t>22年</w:t>
      </w:r>
      <w:r>
        <w:rPr>
          <w:rFonts w:ascii="仿宋_GB2312" w:hAnsi="Calibri" w:eastAsia="仿宋_GB2312" w:cs="仿宋"/>
          <w:kern w:val="0"/>
          <w:sz w:val="32"/>
          <w:szCs w:val="32"/>
        </w:rPr>
        <w:t>12</w:t>
      </w:r>
      <w:r>
        <w:rPr>
          <w:rFonts w:hint="eastAsia" w:ascii="仿宋_GB2312" w:hAnsi="Calibri" w:eastAsia="仿宋_GB2312" w:cs="仿宋"/>
          <w:kern w:val="0"/>
          <w:sz w:val="32"/>
          <w:szCs w:val="32"/>
        </w:rPr>
        <w:t>月底，单位共有公务用车0辆，其中：轿车0辆、越野车0辆、载客汽车0辆。</w:t>
      </w:r>
    </w:p>
    <w:p>
      <w:pPr>
        <w:spacing w:line="56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560" w:lineRule="exact"/>
        <w:ind w:firstLine="640"/>
        <w:rPr>
          <w:rFonts w:ascii="仿宋_GB2312" w:hAnsi="Calibri" w:eastAsia="仿宋_GB2312" w:cs="仿宋"/>
          <w:kern w:val="0"/>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hAnsi="Calibri" w:eastAsia="仿宋_GB2312" w:cs="仿宋"/>
          <w:kern w:val="0"/>
          <w:sz w:val="32"/>
          <w:szCs w:val="32"/>
        </w:rPr>
        <w:t>0.5万元，完成预算79.37</w:t>
      </w:r>
      <w:r>
        <w:rPr>
          <w:rFonts w:ascii="仿宋_GB2312" w:hAnsi="Calibri" w:eastAsia="仿宋_GB2312" w:cs="仿宋"/>
          <w:kern w:val="0"/>
          <w:sz w:val="32"/>
          <w:szCs w:val="32"/>
        </w:rPr>
        <w:t>%</w:t>
      </w:r>
      <w:r>
        <w:rPr>
          <w:rFonts w:hint="eastAsia" w:ascii="仿宋_GB2312" w:hAnsi="Calibri" w:eastAsia="仿宋_GB2312" w:cs="仿宋"/>
          <w:kern w:val="0"/>
          <w:sz w:val="32"/>
          <w:szCs w:val="32"/>
        </w:rPr>
        <w:t>。公务接待费支出决算比</w:t>
      </w:r>
      <w:r>
        <w:rPr>
          <w:rFonts w:ascii="仿宋_GB2312" w:hAnsi="Calibri" w:eastAsia="仿宋_GB2312" w:cs="仿宋"/>
          <w:kern w:val="0"/>
          <w:sz w:val="32"/>
          <w:szCs w:val="32"/>
        </w:rPr>
        <w:t>20</w:t>
      </w:r>
      <w:r>
        <w:rPr>
          <w:rFonts w:hint="eastAsia" w:ascii="仿宋_GB2312" w:hAnsi="Calibri" w:eastAsia="仿宋_GB2312" w:cs="仿宋"/>
          <w:kern w:val="0"/>
          <w:sz w:val="32"/>
          <w:szCs w:val="32"/>
        </w:rPr>
        <w:t>21年增加0.02万元，增长4.17</w:t>
      </w:r>
      <w:r>
        <w:rPr>
          <w:rFonts w:ascii="仿宋_GB2312" w:hAnsi="Calibri" w:eastAsia="仿宋_GB2312" w:cs="仿宋"/>
          <w:kern w:val="0"/>
          <w:sz w:val="32"/>
          <w:szCs w:val="32"/>
        </w:rPr>
        <w:t>%</w:t>
      </w:r>
      <w:r>
        <w:rPr>
          <w:rFonts w:hint="eastAsia" w:ascii="仿宋_GB2312" w:hAnsi="Calibri" w:eastAsia="仿宋_GB2312" w:cs="仿宋"/>
          <w:kern w:val="0"/>
          <w:sz w:val="32"/>
          <w:szCs w:val="32"/>
        </w:rPr>
        <w:t>。主要原因是项目实施过程中进行的接待较去年增多。</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国内公务接待支出</w:t>
      </w:r>
      <w:r>
        <w:rPr>
          <w:rFonts w:hint="eastAsia" w:ascii="仿宋_GB2312" w:hAnsi="仿宋_GB2312" w:eastAsia="仿宋_GB2312" w:cs="仿宋_GB2312"/>
          <w:kern w:val="0"/>
          <w:sz w:val="32"/>
          <w:szCs w:val="32"/>
        </w:rPr>
        <w:t>0.5万元，主要用于</w:t>
      </w:r>
      <w:r>
        <w:rPr>
          <w:rFonts w:hint="eastAsia" w:ascii="仿宋_GB2312" w:hAnsi="仿宋_GB2312" w:eastAsia="仿宋_GB2312" w:cs="仿宋_GB2312"/>
          <w:kern w:val="0"/>
          <w:sz w:val="32"/>
          <w:szCs w:val="32"/>
          <w:lang w:eastAsia="zh-CN"/>
        </w:rPr>
        <w:t>上级主管部门检查工作发生的</w:t>
      </w:r>
      <w:r>
        <w:rPr>
          <w:rFonts w:hint="eastAsia" w:ascii="仿宋_GB2312" w:hAnsi="仿宋_GB2312" w:eastAsia="仿宋_GB2312" w:cs="仿宋_GB2312"/>
          <w:kern w:val="0"/>
          <w:sz w:val="32"/>
          <w:szCs w:val="32"/>
        </w:rPr>
        <w:t>公务接待。国内公务接待8批次，75人次（不包括陪同人员），共计支出0.5万元。</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外事接待支出</w:t>
      </w:r>
      <w:r>
        <w:rPr>
          <w:rFonts w:hint="eastAsia" w:ascii="仿宋_GB2312" w:hAnsi="仿宋_GB2312" w:eastAsia="仿宋_GB2312" w:cs="仿宋_GB2312"/>
          <w:sz w:val="32"/>
          <w:szCs w:val="32"/>
        </w:rPr>
        <w:t>0万元。</w:t>
      </w:r>
      <w:bookmarkStart w:id="107" w:name="_Toc15377218"/>
      <w:bookmarkStart w:id="108" w:name="_Toc15396610"/>
    </w:p>
    <w:p>
      <w:pPr>
        <w:spacing w:line="560" w:lineRule="exact"/>
        <w:ind w:firstLine="640"/>
        <w:outlineLvl w:val="1"/>
        <w:rPr>
          <w:rStyle w:val="29"/>
          <w:rFonts w:ascii="黑体" w:hAnsi="黑体" w:eastAsia="黑体"/>
        </w:rPr>
      </w:pPr>
      <w:bookmarkStart w:id="109" w:name="_Toc26643"/>
      <w:bookmarkStart w:id="110" w:name="_Toc1387"/>
      <w:bookmarkStart w:id="111" w:name="_Toc18340"/>
      <w:r>
        <w:rPr>
          <w:rFonts w:hint="eastAsia" w:ascii="黑体" w:eastAsia="黑体"/>
          <w:sz w:val="32"/>
          <w:szCs w:val="32"/>
        </w:rPr>
        <w:t>八、</w:t>
      </w:r>
      <w:r>
        <w:rPr>
          <w:rStyle w:val="29"/>
          <w:rFonts w:hint="eastAsia" w:ascii="黑体" w:hAnsi="黑体" w:eastAsia="黑体"/>
          <w:b w:val="0"/>
        </w:rPr>
        <w:t>政府性基金预算支出决算情况说明</w:t>
      </w:r>
      <w:bookmarkEnd w:id="107"/>
      <w:bookmarkEnd w:id="108"/>
      <w:bookmarkEnd w:id="109"/>
      <w:bookmarkEnd w:id="110"/>
      <w:bookmarkEnd w:id="111"/>
    </w:p>
    <w:p>
      <w:pPr>
        <w:spacing w:line="56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pPr>
        <w:numPr>
          <w:ilvl w:val="0"/>
          <w:numId w:val="2"/>
        </w:numPr>
        <w:spacing w:line="560" w:lineRule="exact"/>
        <w:ind w:firstLine="640"/>
        <w:outlineLvl w:val="1"/>
        <w:rPr>
          <w:rStyle w:val="29"/>
          <w:rFonts w:ascii="黑体" w:hAnsi="黑体" w:eastAsia="黑体"/>
          <w:b w:val="0"/>
        </w:rPr>
      </w:pPr>
      <w:bookmarkStart w:id="112" w:name="_Toc9463"/>
      <w:bookmarkStart w:id="113" w:name="_Toc4683"/>
      <w:bookmarkStart w:id="114" w:name="_Toc15396611"/>
      <w:bookmarkStart w:id="115" w:name="_Toc15377219"/>
      <w:bookmarkStart w:id="116" w:name="_Toc31668"/>
      <w:bookmarkStart w:id="117" w:name="_Toc10519"/>
      <w:r>
        <w:rPr>
          <w:rStyle w:val="29"/>
          <w:rFonts w:hint="eastAsia" w:ascii="黑体" w:hAnsi="黑体" w:eastAsia="黑体"/>
          <w:b w:val="0"/>
        </w:rPr>
        <w:t>国有资本经营预算支出决算情况说明</w:t>
      </w:r>
      <w:bookmarkEnd w:id="112"/>
      <w:bookmarkEnd w:id="113"/>
      <w:bookmarkEnd w:id="114"/>
      <w:bookmarkEnd w:id="115"/>
      <w:bookmarkEnd w:id="116"/>
    </w:p>
    <w:bookmarkEnd w:id="117"/>
    <w:p>
      <w:pPr>
        <w:spacing w:line="56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numPr>
          <w:ilvl w:val="0"/>
          <w:numId w:val="2"/>
        </w:numPr>
        <w:spacing w:line="560" w:lineRule="exact"/>
        <w:ind w:firstLine="640"/>
        <w:outlineLvl w:val="1"/>
        <w:rPr>
          <w:rStyle w:val="29"/>
          <w:rFonts w:ascii="黑体" w:hAnsi="黑体" w:eastAsia="黑体"/>
          <w:b w:val="0"/>
        </w:rPr>
      </w:pPr>
      <w:bookmarkStart w:id="118" w:name="_Toc5755"/>
      <w:bookmarkStart w:id="119" w:name="_Toc15377221"/>
      <w:bookmarkStart w:id="120" w:name="_Toc21808"/>
      <w:bookmarkStart w:id="121" w:name="_Toc3857"/>
      <w:bookmarkStart w:id="122" w:name="_Toc15396612"/>
      <w:bookmarkStart w:id="123" w:name="_Toc3198"/>
      <w:r>
        <w:rPr>
          <w:rStyle w:val="29"/>
          <w:rFonts w:hint="eastAsia" w:ascii="黑体" w:hAnsi="黑体" w:eastAsia="黑体"/>
          <w:b w:val="0"/>
        </w:rPr>
        <w:t>其他重要事项的情况说明</w:t>
      </w:r>
      <w:bookmarkEnd w:id="118"/>
      <w:bookmarkEnd w:id="119"/>
      <w:bookmarkEnd w:id="120"/>
      <w:bookmarkEnd w:id="121"/>
      <w:bookmarkEnd w:id="122"/>
    </w:p>
    <w:bookmarkEnd w:id="123"/>
    <w:p>
      <w:pPr>
        <w:spacing w:line="560" w:lineRule="exact"/>
        <w:ind w:firstLine="642" w:firstLineChars="200"/>
        <w:outlineLvl w:val="2"/>
        <w:rPr>
          <w:rFonts w:hint="eastAsia" w:ascii="仿宋_GB2312" w:hAnsi="仿宋_GB2312" w:eastAsia="仿宋_GB2312" w:cs="仿宋_GB2312"/>
          <w:sz w:val="32"/>
          <w:szCs w:val="32"/>
        </w:rPr>
      </w:pPr>
      <w:bookmarkStart w:id="124" w:name="_Toc11104"/>
      <w:bookmarkStart w:id="125" w:name="_Toc15377222"/>
      <w:bookmarkStart w:id="126" w:name="_Toc15794"/>
      <w:bookmarkStart w:id="127" w:name="_Toc32416"/>
      <w:r>
        <w:rPr>
          <w:rFonts w:hint="eastAsia" w:ascii="仿宋_GB2312" w:hAnsi="仿宋_GB2312" w:eastAsia="仿宋_GB2312" w:cs="仿宋_GB2312"/>
          <w:b/>
          <w:sz w:val="32"/>
          <w:szCs w:val="32"/>
        </w:rPr>
        <w:t>（一）机关运行经费支出情况</w:t>
      </w:r>
      <w:bookmarkEnd w:id="124"/>
      <w:bookmarkEnd w:id="125"/>
      <w:bookmarkEnd w:id="126"/>
      <w:bookmarkEnd w:id="127"/>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2022年，广元市朝天区科学技术协会机关运行经费支出13.74万元，比2021年减少2.53万元，下降15.55%。主要</w:t>
      </w:r>
      <w:r>
        <w:rPr>
          <w:rFonts w:hint="eastAsia" w:ascii="仿宋_GB2312" w:hAnsi="仿宋_GB2312" w:eastAsia="仿宋_GB2312" w:cs="仿宋_GB2312"/>
          <w:sz w:val="32"/>
          <w:szCs w:val="32"/>
        </w:rPr>
        <w:t>原因是倡导节约，购买办公用品开支减少。</w:t>
      </w:r>
    </w:p>
    <w:p>
      <w:pPr>
        <w:autoSpaceDE w:val="0"/>
        <w:autoSpaceDN w:val="0"/>
        <w:adjustRightInd w:val="0"/>
        <w:spacing w:line="560" w:lineRule="exact"/>
        <w:ind w:firstLine="642" w:firstLineChars="200"/>
        <w:jc w:val="left"/>
        <w:outlineLvl w:val="2"/>
        <w:rPr>
          <w:rFonts w:hint="eastAsia" w:ascii="仿宋_GB2312" w:hAnsi="仿宋_GB2312" w:eastAsia="仿宋_GB2312" w:cs="仿宋_GB2312"/>
          <w:b/>
          <w:sz w:val="32"/>
          <w:szCs w:val="32"/>
        </w:rPr>
      </w:pPr>
      <w:bookmarkStart w:id="128" w:name="_Toc30180"/>
      <w:bookmarkStart w:id="129" w:name="_Toc13773"/>
      <w:bookmarkStart w:id="130" w:name="_Toc15377223"/>
      <w:bookmarkStart w:id="131" w:name="_Toc20504"/>
      <w:r>
        <w:rPr>
          <w:rFonts w:hint="eastAsia" w:ascii="仿宋_GB2312" w:hAnsi="仿宋_GB2312" w:eastAsia="仿宋_GB2312" w:cs="仿宋_GB2312"/>
          <w:b/>
          <w:sz w:val="32"/>
          <w:szCs w:val="32"/>
        </w:rPr>
        <w:t>（二）政府采购支出情况</w:t>
      </w:r>
      <w:bookmarkEnd w:id="128"/>
      <w:bookmarkEnd w:id="129"/>
      <w:bookmarkEnd w:id="130"/>
      <w:bookmarkEnd w:id="131"/>
    </w:p>
    <w:p>
      <w:pPr>
        <w:snapToGrid w:val="0"/>
        <w:spacing w:line="560" w:lineRule="exact"/>
        <w:ind w:firstLine="566" w:firstLineChars="177"/>
        <w:rPr>
          <w:rFonts w:ascii="仿宋_GB2312" w:hAnsi="Calibri" w:eastAsia="仿宋_GB2312" w:cs="仿宋"/>
          <w:kern w:val="0"/>
          <w:sz w:val="32"/>
          <w:szCs w:val="32"/>
        </w:rPr>
      </w:pPr>
      <w:r>
        <w:rPr>
          <w:rFonts w:ascii="仿宋_GB2312" w:hAnsi="Calibri" w:eastAsia="仿宋_GB2312" w:cs="仿宋"/>
          <w:kern w:val="0"/>
          <w:sz w:val="32"/>
          <w:szCs w:val="32"/>
        </w:rPr>
        <w:t>20</w:t>
      </w:r>
      <w:r>
        <w:rPr>
          <w:rFonts w:hint="eastAsia" w:ascii="仿宋_GB2312" w:hAnsi="Calibri" w:eastAsia="仿宋_GB2312" w:cs="仿宋"/>
          <w:kern w:val="0"/>
          <w:sz w:val="32"/>
          <w:szCs w:val="32"/>
        </w:rPr>
        <w:t>22年，广元市朝天区科学技术协会政府采购支出总额0万元，其中：政府采购货物支出0万元、政府采购工程支出0万元、政府采购服务支出0万元。</w:t>
      </w:r>
    </w:p>
    <w:p>
      <w:pPr>
        <w:autoSpaceDE w:val="0"/>
        <w:autoSpaceDN w:val="0"/>
        <w:adjustRightInd w:val="0"/>
        <w:spacing w:line="600" w:lineRule="exact"/>
        <w:ind w:firstLine="642" w:firstLineChars="200"/>
        <w:jc w:val="left"/>
        <w:outlineLvl w:val="2"/>
        <w:rPr>
          <w:rFonts w:hint="eastAsia" w:ascii="仿宋_GB2312" w:hAnsi="仿宋_GB2312" w:eastAsia="仿宋_GB2312" w:cs="仿宋_GB2312"/>
          <w:b/>
          <w:sz w:val="32"/>
          <w:szCs w:val="32"/>
        </w:rPr>
      </w:pPr>
      <w:bookmarkStart w:id="132" w:name="_Toc29195"/>
      <w:bookmarkStart w:id="133" w:name="_Toc4203"/>
      <w:bookmarkStart w:id="134" w:name="_Toc29876"/>
      <w:bookmarkStart w:id="135" w:name="_Toc15377224"/>
      <w:r>
        <w:rPr>
          <w:rFonts w:hint="eastAsia" w:ascii="仿宋_GB2312" w:hAnsi="仿宋_GB2312" w:eastAsia="仿宋_GB2312" w:cs="仿宋_GB2312"/>
          <w:b/>
          <w:sz w:val="32"/>
          <w:szCs w:val="32"/>
        </w:rPr>
        <w:t>（三）国有资产占有使用情况</w:t>
      </w:r>
      <w:bookmarkEnd w:id="132"/>
      <w:bookmarkEnd w:id="133"/>
      <w:bookmarkEnd w:id="134"/>
      <w:bookmarkEnd w:id="135"/>
    </w:p>
    <w:p>
      <w:pPr>
        <w:snapToGrid w:val="0"/>
        <w:spacing w:line="560" w:lineRule="exact"/>
        <w:ind w:firstLine="566" w:firstLineChars="177"/>
        <w:rPr>
          <w:rFonts w:ascii="仿宋_GB2312" w:hAnsi="Calibri" w:eastAsia="仿宋_GB2312" w:cs="仿宋"/>
          <w:kern w:val="0"/>
          <w:sz w:val="32"/>
          <w:szCs w:val="32"/>
        </w:rPr>
      </w:pPr>
      <w:r>
        <w:rPr>
          <w:rFonts w:hint="eastAsia" w:ascii="仿宋_GB2312" w:hAnsi="Calibri" w:eastAsia="仿宋_GB2312" w:cs="仿宋"/>
          <w:kern w:val="0"/>
          <w:sz w:val="32"/>
          <w:szCs w:val="32"/>
        </w:rPr>
        <w:t>截至</w:t>
      </w:r>
      <w:r>
        <w:rPr>
          <w:rFonts w:ascii="仿宋_GB2312" w:hAnsi="Calibri" w:eastAsia="仿宋_GB2312" w:cs="仿宋"/>
          <w:kern w:val="0"/>
          <w:sz w:val="32"/>
          <w:szCs w:val="32"/>
        </w:rPr>
        <w:t>20</w:t>
      </w:r>
      <w:r>
        <w:rPr>
          <w:rFonts w:hint="eastAsia" w:ascii="仿宋_GB2312" w:hAnsi="Calibri" w:eastAsia="仿宋_GB2312" w:cs="仿宋"/>
          <w:kern w:val="0"/>
          <w:sz w:val="32"/>
          <w:szCs w:val="32"/>
        </w:rPr>
        <w:t>22年</w:t>
      </w:r>
      <w:r>
        <w:rPr>
          <w:rFonts w:ascii="仿宋_GB2312" w:hAnsi="Calibri" w:eastAsia="仿宋_GB2312" w:cs="仿宋"/>
          <w:kern w:val="0"/>
          <w:sz w:val="32"/>
          <w:szCs w:val="32"/>
        </w:rPr>
        <w:t>12</w:t>
      </w:r>
      <w:r>
        <w:rPr>
          <w:rFonts w:hint="eastAsia" w:ascii="仿宋_GB2312" w:hAnsi="Calibri" w:eastAsia="仿宋_GB2312" w:cs="仿宋"/>
          <w:kern w:val="0"/>
          <w:sz w:val="32"/>
          <w:szCs w:val="32"/>
        </w:rPr>
        <w:t>月</w:t>
      </w:r>
      <w:r>
        <w:rPr>
          <w:rFonts w:ascii="仿宋_GB2312" w:hAnsi="Calibri" w:eastAsia="仿宋_GB2312" w:cs="仿宋"/>
          <w:kern w:val="0"/>
          <w:sz w:val="32"/>
          <w:szCs w:val="32"/>
        </w:rPr>
        <w:t>31</w:t>
      </w:r>
      <w:r>
        <w:rPr>
          <w:rFonts w:hint="eastAsia" w:ascii="仿宋_GB2312" w:hAnsi="Calibri" w:eastAsia="仿宋_GB2312" w:cs="仿宋"/>
          <w:kern w:val="0"/>
          <w:sz w:val="32"/>
          <w:szCs w:val="32"/>
        </w:rPr>
        <w:t>日，广元市朝天区科学技术协会共有车辆0辆，其中：主要领导干部用车0辆、机要通信用车0辆、应急保障用车0辆、其他用车0辆。单价</w:t>
      </w:r>
      <w:r>
        <w:rPr>
          <w:rFonts w:ascii="仿宋_GB2312" w:hAnsi="Calibri" w:eastAsia="仿宋_GB2312" w:cs="仿宋"/>
          <w:kern w:val="0"/>
          <w:sz w:val="32"/>
          <w:szCs w:val="32"/>
        </w:rPr>
        <w:t>100</w:t>
      </w:r>
      <w:r>
        <w:rPr>
          <w:rFonts w:hint="eastAsia" w:ascii="仿宋_GB2312" w:hAnsi="Calibri" w:eastAsia="仿宋_GB2312" w:cs="仿宋"/>
          <w:kern w:val="0"/>
          <w:sz w:val="32"/>
          <w:szCs w:val="32"/>
        </w:rPr>
        <w:t>万元以上专用设备0台（套）。</w:t>
      </w:r>
    </w:p>
    <w:p>
      <w:pPr>
        <w:autoSpaceDE w:val="0"/>
        <w:autoSpaceDN w:val="0"/>
        <w:adjustRightInd w:val="0"/>
        <w:spacing w:line="600" w:lineRule="exact"/>
        <w:ind w:firstLine="642" w:firstLineChars="200"/>
        <w:jc w:val="left"/>
        <w:outlineLvl w:val="2"/>
        <w:rPr>
          <w:rFonts w:hint="eastAsia" w:ascii="仿宋_GB2312" w:hAnsi="仿宋_GB2312" w:eastAsia="仿宋_GB2312" w:cs="仿宋_GB2312"/>
          <w:b/>
          <w:sz w:val="32"/>
          <w:szCs w:val="32"/>
        </w:rPr>
      </w:pPr>
      <w:bookmarkStart w:id="136" w:name="_Toc25003"/>
      <w:bookmarkStart w:id="137" w:name="_Toc22445"/>
      <w:bookmarkStart w:id="138" w:name="_Toc2832"/>
      <w:r>
        <w:rPr>
          <w:rFonts w:hint="eastAsia" w:ascii="仿宋_GB2312" w:hAnsi="仿宋_GB2312" w:eastAsia="仿宋_GB2312" w:cs="仿宋_GB2312"/>
          <w:b/>
          <w:sz w:val="32"/>
          <w:szCs w:val="32"/>
        </w:rPr>
        <w:t>（四）预算绩效管理情况</w:t>
      </w:r>
      <w:bookmarkEnd w:id="136"/>
      <w:bookmarkEnd w:id="137"/>
      <w:bookmarkEnd w:id="138"/>
    </w:p>
    <w:p>
      <w:pPr>
        <w:snapToGrid w:val="0"/>
        <w:spacing w:line="560" w:lineRule="exact"/>
        <w:ind w:firstLine="566" w:firstLineChars="177"/>
        <w:rPr>
          <w:rFonts w:ascii="仿宋_GB2312" w:hAnsi="Calibri" w:eastAsia="仿宋_GB2312" w:cs="仿宋"/>
          <w:kern w:val="0"/>
          <w:sz w:val="32"/>
          <w:szCs w:val="32"/>
        </w:rPr>
      </w:pPr>
      <w:r>
        <w:rPr>
          <w:rFonts w:hint="eastAsia" w:ascii="仿宋_GB2312" w:hAnsi="Calibri" w:eastAsia="仿宋_GB2312" w:cs="仿宋"/>
          <w:kern w:val="0"/>
          <w:sz w:val="32"/>
          <w:szCs w:val="32"/>
        </w:rPr>
        <w:t>根据预算绩效管理要求，本部门在2022年度预算编制阶段，组织对2022年度开展“天府科技云”服务工作经费等5个项目开展了预算事前绩效评估，对5个项目编制了绩效目标，预算执行过程中，选取5个项目开展绩效监控。组织对2022年度一般公共预算、政府性基金预算、国有资本经营预算、社会保险基金预算以及资本资产、债券资金等全面开展绩效自评，形成广元市朝天区科学技术协会部门整体（含部门预算项目）绩效自评报告、省级科普专项经费1个专项预算项目绩效自评报告，其中，广元市朝天区科学技术协会部门整体（含部门预算项目）绩效自评得分为96分；省科普专项经费专项预算项目绩效自评得分为96分。绩效自评综述：2022年我单位团结动员广大科技工作者，全面提高科学素质，积极开展科普活动，逐步建立健全信息系统，严格管理各类资产，及时清查上报。建立健全部门内部控制制度，全力抓好落实内部控制制度建设。按质按量完成预决算工作及绩效信息公开工作，保证预决算公开透明。</w:t>
      </w:r>
    </w:p>
    <w:p>
      <w:pPr>
        <w:snapToGrid w:val="0"/>
        <w:spacing w:line="560" w:lineRule="exact"/>
        <w:ind w:firstLine="566" w:firstLineChars="177"/>
        <w:rPr>
          <w:rFonts w:ascii="仿宋" w:hAnsi="仿宋" w:eastAsia="仿宋"/>
          <w:sz w:val="32"/>
          <w:szCs w:val="32"/>
        </w:rPr>
      </w:pPr>
      <w:r>
        <w:rPr>
          <w:rFonts w:hint="eastAsia" w:ascii="仿宋_GB2312" w:hAnsi="Calibri" w:eastAsia="仿宋_GB2312" w:cs="仿宋"/>
          <w:kern w:val="0"/>
          <w:sz w:val="32"/>
          <w:szCs w:val="32"/>
        </w:rPr>
        <w:t>绩效自评报告详见附件。</w:t>
      </w: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8"/>
          <w:rFonts w:ascii="黑体" w:hAnsi="黑体" w:eastAsia="黑体"/>
          <w:b w:val="0"/>
        </w:rPr>
      </w:pPr>
      <w:bookmarkStart w:id="139" w:name="_Toc15377225"/>
      <w:bookmarkStart w:id="140" w:name="_Toc6870"/>
      <w:bookmarkStart w:id="141" w:name="_Toc16641"/>
      <w:bookmarkStart w:id="142" w:name="_Toc15396613"/>
      <w:bookmarkStart w:id="143" w:name="_Toc20423"/>
      <w:r>
        <w:rPr>
          <w:rFonts w:hint="eastAsia" w:ascii="黑体" w:hAnsi="黑体" w:eastAsia="黑体"/>
          <w:sz w:val="44"/>
          <w:szCs w:val="44"/>
        </w:rPr>
        <w:t>名</w:t>
      </w:r>
      <w:r>
        <w:rPr>
          <w:rStyle w:val="28"/>
          <w:rFonts w:hint="eastAsia" w:ascii="黑体" w:hAnsi="黑体" w:eastAsia="黑体"/>
          <w:b w:val="0"/>
        </w:rPr>
        <w:t>词解释</w:t>
      </w:r>
      <w:bookmarkEnd w:id="139"/>
      <w:bookmarkEnd w:id="140"/>
      <w:bookmarkEnd w:id="141"/>
      <w:bookmarkEnd w:id="142"/>
      <w:bookmarkEnd w:id="143"/>
    </w:p>
    <w:p>
      <w:pPr>
        <w:spacing w:line="600" w:lineRule="exact"/>
        <w:jc w:val="left"/>
        <w:rPr>
          <w:rFonts w:ascii="宋体"/>
          <w:b/>
          <w:sz w:val="44"/>
          <w:szCs w:val="44"/>
        </w:rPr>
      </w:pP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3.科学技术（类）科学技术管理服务（款）机关服务（项）: 指我部门事业干部基本工资、津贴补贴等基本支出。</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4.科学技术（类）科学技术普及（款）机构运行（项）: 指我部门事业干部基本工资、津贴补贴等基本支出。</w:t>
      </w:r>
    </w:p>
    <w:p>
      <w:pPr>
        <w:pStyle w:val="2"/>
        <w:spacing w:before="93"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hAnsi="Calibri" w:cs="仿宋"/>
          <w:color w:val="auto"/>
          <w:kern w:val="0"/>
          <w:sz w:val="32"/>
          <w:szCs w:val="32"/>
          <w:lang w:val="en-US" w:eastAsia="zh-CN" w:bidi="ar-SA"/>
        </w:rPr>
        <w:t>5</w:t>
      </w:r>
      <w:r>
        <w:rPr>
          <w:rFonts w:hint="eastAsia" w:ascii="仿宋_GB2312" w:hAnsi="Calibri" w:eastAsia="仿宋_GB2312" w:cs="仿宋"/>
          <w:color w:val="auto"/>
          <w:kern w:val="0"/>
          <w:sz w:val="32"/>
          <w:szCs w:val="32"/>
          <w:lang w:val="en-US" w:eastAsia="zh-CN" w:bidi="ar-SA"/>
        </w:rPr>
        <w:t>.科学技术（类）科学技术普及（款）科普活动（项）: 指我部门用于开展科普活动的支出。</w:t>
      </w:r>
    </w:p>
    <w:p>
      <w:pPr>
        <w:pStyle w:val="2"/>
        <w:spacing w:before="93"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hAnsi="Calibri" w:cs="仿宋"/>
          <w:color w:val="auto"/>
          <w:kern w:val="0"/>
          <w:sz w:val="32"/>
          <w:szCs w:val="32"/>
          <w:lang w:val="en-US" w:eastAsia="zh-CN" w:bidi="ar-SA"/>
        </w:rPr>
        <w:t>6</w:t>
      </w:r>
      <w:r>
        <w:rPr>
          <w:rFonts w:hint="eastAsia" w:ascii="仿宋_GB2312" w:hAnsi="Calibri" w:eastAsia="仿宋_GB2312" w:cs="仿宋"/>
          <w:color w:val="auto"/>
          <w:kern w:val="0"/>
          <w:sz w:val="32"/>
          <w:szCs w:val="32"/>
          <w:lang w:val="en-US" w:eastAsia="zh-CN" w:bidi="ar-SA"/>
        </w:rPr>
        <w:t>.科学技术（类）科学技术普及（款）其他科学技术普及支出（项）: 指我部门用于科学技术普方面的项目支出。</w:t>
      </w:r>
    </w:p>
    <w:p>
      <w:pPr>
        <w:spacing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7.社会保障和就业（类）行政事业单位养老支出（款）机关事业单位基本养老保险缴费支出（项）: 指我部门在职人员缴纳养老保险支出。</w:t>
      </w:r>
    </w:p>
    <w:p>
      <w:pPr>
        <w:spacing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8.卫生健康（类）行政事业单位医疗（款）行政单位医疗（项）:指我部门在职人员缴纳医疗保险支出。</w:t>
      </w:r>
    </w:p>
    <w:p>
      <w:pPr>
        <w:spacing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9.住房保障（类）住房改革支出（款）住房公积金（项）:指我部门在职人员缴纳住房公积金支出。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11</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12</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13</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6"/>
        <w:spacing w:line="560" w:lineRule="exact"/>
        <w:ind w:firstLine="640" w:firstLineChars="200"/>
        <w:rPr>
          <w:rFonts w:ascii="仿宋_GB2312" w:eastAsia="仿宋_GB2312" w:cs="黑体"/>
          <w:color w:val="auto"/>
          <w:sz w:val="32"/>
          <w:szCs w:val="32"/>
        </w:rPr>
      </w:pPr>
    </w:p>
    <w:p>
      <w:pPr>
        <w:spacing w:line="600" w:lineRule="exact"/>
        <w:jc w:val="center"/>
        <w:outlineLvl w:val="9"/>
        <w:rPr>
          <w:rFonts w:ascii="仿宋" w:hAnsi="仿宋" w:eastAsia="仿宋"/>
          <w:b/>
          <w:sz w:val="32"/>
          <w:szCs w:val="32"/>
        </w:rPr>
      </w:pPr>
      <w:bookmarkStart w:id="144" w:name="_Toc15396614"/>
      <w:bookmarkStart w:id="145" w:name="_Toc15377226"/>
    </w:p>
    <w:p>
      <w:pPr>
        <w:spacing w:line="600" w:lineRule="exact"/>
        <w:jc w:val="center"/>
        <w:outlineLvl w:val="9"/>
        <w:rPr>
          <w:rFonts w:ascii="仿宋" w:hAnsi="仿宋" w:eastAsia="仿宋"/>
          <w:b/>
          <w:sz w:val="32"/>
          <w:szCs w:val="32"/>
        </w:rPr>
      </w:pPr>
    </w:p>
    <w:p>
      <w:pPr>
        <w:spacing w:line="600" w:lineRule="exact"/>
        <w:jc w:val="center"/>
        <w:outlineLvl w:val="9"/>
        <w:rPr>
          <w:rFonts w:ascii="仿宋" w:hAnsi="仿宋" w:eastAsia="仿宋"/>
          <w:b/>
          <w:sz w:val="32"/>
          <w:szCs w:val="32"/>
        </w:rPr>
      </w:pPr>
    </w:p>
    <w:p>
      <w:pPr>
        <w:spacing w:line="600" w:lineRule="exact"/>
        <w:jc w:val="center"/>
        <w:outlineLvl w:val="9"/>
        <w:rPr>
          <w:rFonts w:ascii="仿宋" w:hAnsi="仿宋" w:eastAsia="仿宋"/>
          <w:b/>
          <w:sz w:val="32"/>
          <w:szCs w:val="32"/>
        </w:rPr>
      </w:pPr>
    </w:p>
    <w:p>
      <w:pPr>
        <w:spacing w:line="600" w:lineRule="exact"/>
        <w:jc w:val="center"/>
        <w:outlineLvl w:val="9"/>
        <w:rPr>
          <w:rFonts w:ascii="仿宋" w:hAnsi="仿宋" w:eastAsia="仿宋"/>
          <w:b/>
          <w:sz w:val="32"/>
          <w:szCs w:val="32"/>
        </w:rPr>
      </w:pPr>
    </w:p>
    <w:p>
      <w:pPr>
        <w:spacing w:line="600" w:lineRule="exact"/>
        <w:jc w:val="center"/>
        <w:outlineLvl w:val="9"/>
        <w:rPr>
          <w:rFonts w:ascii="仿宋" w:hAnsi="仿宋" w:eastAsia="仿宋"/>
          <w:b/>
          <w:sz w:val="32"/>
          <w:szCs w:val="32"/>
        </w:rPr>
      </w:pPr>
    </w:p>
    <w:p>
      <w:pPr>
        <w:spacing w:line="600" w:lineRule="exact"/>
        <w:jc w:val="center"/>
        <w:outlineLvl w:val="9"/>
        <w:rPr>
          <w:rFonts w:ascii="仿宋" w:hAnsi="仿宋" w:eastAsia="仿宋"/>
          <w:b/>
          <w:sz w:val="32"/>
          <w:szCs w:val="32"/>
        </w:rPr>
      </w:pPr>
    </w:p>
    <w:p>
      <w:pPr>
        <w:pStyle w:val="2"/>
      </w:pPr>
    </w:p>
    <w:p>
      <w:pPr>
        <w:spacing w:line="600" w:lineRule="exact"/>
        <w:jc w:val="both"/>
        <w:outlineLvl w:val="9"/>
        <w:rPr>
          <w:rFonts w:ascii="仿宋" w:hAnsi="仿宋" w:eastAsia="仿宋"/>
          <w:b/>
          <w:sz w:val="32"/>
          <w:szCs w:val="32"/>
        </w:rPr>
      </w:pPr>
    </w:p>
    <w:bookmarkEnd w:id="144"/>
    <w:p>
      <w:pPr>
        <w:spacing w:line="560" w:lineRule="exact"/>
        <w:jc w:val="center"/>
        <w:outlineLvl w:val="0"/>
        <w:rPr>
          <w:rStyle w:val="28"/>
          <w:rFonts w:ascii="黑体" w:hAnsi="黑体" w:eastAsia="黑体"/>
          <w:b w:val="0"/>
        </w:rPr>
      </w:pPr>
      <w:bookmarkStart w:id="146" w:name="_Toc18704"/>
      <w:bookmarkStart w:id="147" w:name="_Toc20179"/>
      <w:bookmarkStart w:id="148" w:name="_Toc2585"/>
      <w:r>
        <w:rPr>
          <w:rFonts w:hint="eastAsia" w:ascii="黑体" w:hAnsi="黑体" w:eastAsia="黑体"/>
          <w:sz w:val="44"/>
          <w:szCs w:val="44"/>
        </w:rPr>
        <w:t>第</w:t>
      </w:r>
      <w:r>
        <w:rPr>
          <w:rStyle w:val="28"/>
          <w:rFonts w:hint="eastAsia" w:ascii="黑体" w:hAnsi="黑体" w:eastAsia="黑体"/>
        </w:rPr>
        <w:t>四部分 附件</w:t>
      </w:r>
      <w:bookmarkEnd w:id="146"/>
      <w:bookmarkEnd w:id="147"/>
      <w:bookmarkEnd w:id="148"/>
    </w:p>
    <w:p>
      <w:pPr>
        <w:spacing w:line="520" w:lineRule="exact"/>
        <w:jc w:val="left"/>
        <w:rPr>
          <w:rFonts w:ascii="仿宋_GB2312" w:eastAsia="仿宋_GB2312"/>
          <w:sz w:val="32"/>
          <w:szCs w:val="32"/>
        </w:rPr>
      </w:pPr>
      <w:r>
        <w:rPr>
          <w:rFonts w:hint="eastAsia" w:ascii="仿宋_GB2312" w:eastAsia="仿宋_GB2312"/>
          <w:sz w:val="32"/>
          <w:szCs w:val="32"/>
        </w:rPr>
        <w:t>附件1:</w:t>
      </w:r>
    </w:p>
    <w:p>
      <w:pPr>
        <w:spacing w:line="560" w:lineRule="exact"/>
        <w:jc w:val="center"/>
        <w:outlineLvl w:val="1"/>
        <w:rPr>
          <w:rFonts w:ascii="方正小标宋简体" w:hAnsi="宋体" w:eastAsia="方正小标宋简体"/>
          <w:b/>
          <w:bCs/>
          <w:kern w:val="0"/>
          <w:sz w:val="40"/>
          <w:szCs w:val="44"/>
        </w:rPr>
      </w:pPr>
      <w:bookmarkStart w:id="149" w:name="_Toc27803"/>
      <w:r>
        <w:rPr>
          <w:rFonts w:hint="eastAsia" w:asciiTheme="majorEastAsia" w:hAnsiTheme="majorEastAsia" w:eastAsiaTheme="majorEastAsia" w:cstheme="majorEastAsia"/>
          <w:b/>
          <w:bCs/>
          <w:kern w:val="0"/>
          <w:sz w:val="40"/>
          <w:szCs w:val="44"/>
        </w:rPr>
        <w:t>202</w:t>
      </w:r>
      <w:r>
        <w:rPr>
          <w:rFonts w:hint="eastAsia" w:asciiTheme="majorEastAsia" w:hAnsiTheme="majorEastAsia" w:eastAsiaTheme="majorEastAsia" w:cstheme="majorEastAsia"/>
          <w:b/>
          <w:bCs/>
          <w:kern w:val="0"/>
          <w:sz w:val="40"/>
          <w:szCs w:val="44"/>
          <w:lang w:val="en-US" w:eastAsia="zh-CN"/>
        </w:rPr>
        <w:t>2</w:t>
      </w:r>
      <w:r>
        <w:rPr>
          <w:rFonts w:hint="eastAsia" w:asciiTheme="majorEastAsia" w:hAnsiTheme="majorEastAsia" w:eastAsiaTheme="majorEastAsia" w:cstheme="majorEastAsia"/>
          <w:b/>
          <w:bCs/>
          <w:kern w:val="0"/>
          <w:sz w:val="40"/>
          <w:szCs w:val="44"/>
        </w:rPr>
        <w:t>年朝天区科协部门整体绩效评价报告</w:t>
      </w:r>
      <w:bookmarkEnd w:id="149"/>
    </w:p>
    <w:p>
      <w:pPr>
        <w:snapToGrid w:val="0"/>
        <w:spacing w:line="560" w:lineRule="exact"/>
        <w:ind w:firstLine="566" w:firstLineChars="177"/>
        <w:outlineLvl w:val="1"/>
        <w:rPr>
          <w:rFonts w:ascii="黑体" w:hAnsi="黑体" w:eastAsia="黑体" w:cs="仿宋_GB2312"/>
          <w:sz w:val="32"/>
          <w:szCs w:val="32"/>
        </w:rPr>
      </w:pPr>
      <w:bookmarkStart w:id="150" w:name="_Toc1284"/>
      <w:r>
        <w:rPr>
          <w:rFonts w:hint="eastAsia" w:ascii="黑体" w:hAnsi="黑体" w:eastAsia="黑体" w:cs="仿宋_GB2312"/>
          <w:sz w:val="32"/>
          <w:szCs w:val="32"/>
        </w:rPr>
        <w:t>一、部门（单位）概况</w:t>
      </w:r>
      <w:bookmarkEnd w:id="150"/>
    </w:p>
    <w:p>
      <w:pPr>
        <w:snapToGrid w:val="0"/>
        <w:spacing w:line="560" w:lineRule="exact"/>
        <w:ind w:firstLine="566" w:firstLineChars="177"/>
        <w:rPr>
          <w:rFonts w:ascii="仿宋_GB2312" w:eastAsia="仿宋_GB2312"/>
          <w:spacing w:val="-6"/>
          <w:sz w:val="32"/>
          <w:szCs w:val="32"/>
        </w:rPr>
      </w:pPr>
      <w:r>
        <w:rPr>
          <w:rFonts w:hint="eastAsia" w:ascii="楷体_GB2312" w:hAnsi="仿宋_GB2312" w:eastAsia="楷体_GB2312" w:cs="仿宋_GB2312"/>
          <w:sz w:val="32"/>
          <w:szCs w:val="32"/>
        </w:rPr>
        <w:t>（一）机构组成。</w:t>
      </w:r>
      <w:r>
        <w:rPr>
          <w:rFonts w:hint="eastAsia" w:ascii="仿宋_GB2312" w:eastAsia="仿宋_GB2312"/>
          <w:spacing w:val="-6"/>
          <w:sz w:val="32"/>
          <w:szCs w:val="32"/>
        </w:rPr>
        <w:t>区科协是我区一级财政预算单位，其基本性质</w:t>
      </w:r>
      <w:r>
        <w:rPr>
          <w:rFonts w:ascii="仿宋_GB2312" w:eastAsia="仿宋_GB2312"/>
          <w:spacing w:val="-6"/>
          <w:sz w:val="32"/>
          <w:szCs w:val="32"/>
        </w:rPr>
        <w:t>是中国共产党领导下的人民团体</w:t>
      </w:r>
      <w:r>
        <w:rPr>
          <w:rFonts w:hint="eastAsia" w:ascii="仿宋_GB2312" w:eastAsia="仿宋_GB2312"/>
          <w:spacing w:val="-6"/>
          <w:sz w:val="32"/>
          <w:szCs w:val="32"/>
        </w:rPr>
        <w:t>，执行政府会计制度,内设办公室和科普部。</w:t>
      </w:r>
    </w:p>
    <w:p>
      <w:pPr>
        <w:snapToGrid w:val="0"/>
        <w:spacing w:line="560" w:lineRule="exact"/>
        <w:ind w:firstLine="566" w:firstLineChars="177"/>
        <w:outlineLvl w:val="2"/>
        <w:rPr>
          <w:rFonts w:ascii="楷体_GB2312" w:hAnsi="仿宋_GB2312" w:eastAsia="楷体_GB2312" w:cs="仿宋_GB2312"/>
          <w:sz w:val="32"/>
          <w:szCs w:val="32"/>
        </w:rPr>
      </w:pPr>
      <w:bookmarkStart w:id="151" w:name="_Toc20511"/>
      <w:r>
        <w:rPr>
          <w:rFonts w:hint="eastAsia" w:ascii="楷体_GB2312" w:hAnsi="仿宋_GB2312" w:eastAsia="楷体_GB2312" w:cs="仿宋_GB2312"/>
          <w:sz w:val="32"/>
          <w:szCs w:val="32"/>
        </w:rPr>
        <w:t>（二）机构职能。</w:t>
      </w:r>
      <w:bookmarkEnd w:id="151"/>
    </w:p>
    <w:p>
      <w:pPr>
        <w:snapToGrid w:val="0"/>
        <w:spacing w:line="560" w:lineRule="exact"/>
        <w:ind w:firstLine="545" w:firstLineChars="177"/>
        <w:rPr>
          <w:rFonts w:ascii="仿宋_GB2312" w:eastAsia="仿宋_GB2312"/>
          <w:spacing w:val="-6"/>
          <w:sz w:val="32"/>
          <w:szCs w:val="32"/>
        </w:rPr>
      </w:pPr>
      <w:r>
        <w:rPr>
          <w:rFonts w:hint="eastAsia" w:ascii="仿宋_GB2312" w:eastAsia="仿宋_GB2312"/>
          <w:spacing w:val="-6"/>
          <w:sz w:val="32"/>
          <w:szCs w:val="32"/>
        </w:rPr>
        <w:t>1、组织学术活动，开展学术交流，活跃学术思想，促进学科发展，推动决策的科学化和民主化。</w:t>
      </w:r>
    </w:p>
    <w:p>
      <w:pPr>
        <w:snapToGrid w:val="0"/>
        <w:spacing w:line="560" w:lineRule="exact"/>
        <w:ind w:firstLine="545" w:firstLineChars="177"/>
        <w:rPr>
          <w:rFonts w:ascii="仿宋_GB2312" w:eastAsia="仿宋_GB2312"/>
          <w:spacing w:val="-6"/>
          <w:sz w:val="32"/>
          <w:szCs w:val="32"/>
        </w:rPr>
      </w:pPr>
      <w:r>
        <w:rPr>
          <w:rFonts w:hint="eastAsia" w:ascii="仿宋_GB2312" w:eastAsia="仿宋_GB2312"/>
          <w:spacing w:val="-6"/>
          <w:sz w:val="32"/>
          <w:szCs w:val="32"/>
        </w:rPr>
        <w:t>2、弘扬科学精神，普及科学知识，传播科学思想和科学方法，捍卫科学尊严，推广先进技术，开展青少年科学技术教育活动，提高全民的科学文化素质。</w:t>
      </w:r>
    </w:p>
    <w:p>
      <w:pPr>
        <w:snapToGrid w:val="0"/>
        <w:spacing w:line="560" w:lineRule="exact"/>
        <w:ind w:firstLine="545" w:firstLineChars="177"/>
        <w:rPr>
          <w:rFonts w:ascii="仿宋_GB2312" w:eastAsia="仿宋_GB2312"/>
          <w:spacing w:val="-6"/>
          <w:sz w:val="32"/>
          <w:szCs w:val="32"/>
        </w:rPr>
      </w:pPr>
      <w:r>
        <w:rPr>
          <w:rFonts w:hint="eastAsia" w:ascii="仿宋_GB2312" w:eastAsia="仿宋_GB2312"/>
          <w:spacing w:val="-6"/>
          <w:sz w:val="32"/>
          <w:szCs w:val="32"/>
        </w:rPr>
        <w:t>3、反映科学技术工作者的意见和要求，维护科技工作者的合法权益，为科技团体和科技工作者服务；表彰奖励优秀科学技术工作者，举荐人才，促进尊重知识，尊重人才社会风气的形成。</w:t>
      </w:r>
    </w:p>
    <w:p>
      <w:pPr>
        <w:snapToGrid w:val="0"/>
        <w:spacing w:line="560" w:lineRule="exact"/>
        <w:ind w:firstLine="545" w:firstLineChars="177"/>
        <w:rPr>
          <w:rFonts w:ascii="仿宋_GB2312" w:eastAsia="仿宋_GB2312"/>
          <w:spacing w:val="-6"/>
          <w:sz w:val="32"/>
          <w:szCs w:val="32"/>
        </w:rPr>
      </w:pPr>
      <w:r>
        <w:rPr>
          <w:rFonts w:hint="eastAsia" w:ascii="仿宋_GB2312" w:eastAsia="仿宋_GB2312"/>
          <w:spacing w:val="-6"/>
          <w:sz w:val="32"/>
          <w:szCs w:val="32"/>
        </w:rPr>
        <w:t>4、开展继续教育和技术培训工作，促进科技人才的成长和知识更新。</w:t>
      </w:r>
    </w:p>
    <w:p>
      <w:pPr>
        <w:snapToGrid w:val="0"/>
        <w:spacing w:line="560" w:lineRule="exact"/>
        <w:ind w:firstLine="545" w:firstLineChars="177"/>
        <w:rPr>
          <w:rFonts w:ascii="仿宋_GB2312" w:eastAsia="仿宋_GB2312"/>
          <w:spacing w:val="-6"/>
          <w:sz w:val="32"/>
          <w:szCs w:val="32"/>
        </w:rPr>
      </w:pPr>
      <w:r>
        <w:rPr>
          <w:rFonts w:hint="eastAsia" w:ascii="仿宋_GB2312" w:eastAsia="仿宋_GB2312"/>
          <w:spacing w:val="-6"/>
          <w:sz w:val="32"/>
          <w:szCs w:val="32"/>
        </w:rPr>
        <w:t>5、组织、指导并开展科学论证、科技咨询服务，推动科技成果向现实生产力转化。</w:t>
      </w:r>
    </w:p>
    <w:p>
      <w:pPr>
        <w:snapToGrid w:val="0"/>
        <w:spacing w:line="560" w:lineRule="exact"/>
        <w:ind w:firstLine="545" w:firstLineChars="177"/>
        <w:rPr>
          <w:rFonts w:ascii="仿宋_GB2312" w:eastAsia="仿宋_GB2312"/>
          <w:spacing w:val="-6"/>
          <w:sz w:val="32"/>
          <w:szCs w:val="32"/>
        </w:rPr>
      </w:pPr>
      <w:r>
        <w:rPr>
          <w:rFonts w:hint="eastAsia" w:ascii="仿宋_GB2312" w:eastAsia="仿宋_GB2312"/>
          <w:spacing w:val="-6"/>
          <w:sz w:val="32"/>
          <w:szCs w:val="32"/>
        </w:rPr>
        <w:t>6、开展民间的科学技术交流活动，促进对外开放。</w:t>
      </w:r>
    </w:p>
    <w:p>
      <w:pPr>
        <w:snapToGrid w:val="0"/>
        <w:spacing w:line="560" w:lineRule="exact"/>
        <w:ind w:firstLine="545" w:firstLineChars="177"/>
        <w:rPr>
          <w:rFonts w:ascii="仿宋_GB2312" w:eastAsia="仿宋_GB2312"/>
          <w:spacing w:val="-6"/>
          <w:sz w:val="32"/>
          <w:szCs w:val="32"/>
        </w:rPr>
      </w:pPr>
      <w:r>
        <w:rPr>
          <w:rFonts w:hint="eastAsia" w:ascii="仿宋_GB2312" w:eastAsia="仿宋_GB2312"/>
          <w:spacing w:val="-6"/>
          <w:sz w:val="32"/>
          <w:szCs w:val="32"/>
        </w:rPr>
        <w:t>7、提出政策建议，参与科技政策、科技计划、规划的制定。</w:t>
      </w:r>
    </w:p>
    <w:p>
      <w:pPr>
        <w:snapToGrid w:val="0"/>
        <w:spacing w:line="560" w:lineRule="exact"/>
        <w:ind w:firstLine="545" w:firstLineChars="177"/>
        <w:rPr>
          <w:rFonts w:ascii="仿宋_GB2312" w:eastAsia="仿宋_GB2312"/>
          <w:spacing w:val="-6"/>
          <w:sz w:val="32"/>
          <w:szCs w:val="32"/>
        </w:rPr>
      </w:pPr>
      <w:r>
        <w:rPr>
          <w:rFonts w:hint="eastAsia" w:ascii="仿宋_GB2312" w:eastAsia="仿宋_GB2312"/>
          <w:spacing w:val="-6"/>
          <w:sz w:val="32"/>
          <w:szCs w:val="32"/>
        </w:rPr>
        <w:t>8、对区级学会（协会）进行管理，对乡镇科协、农村专业技术协会进行指导与协调。</w:t>
      </w:r>
    </w:p>
    <w:p>
      <w:pPr>
        <w:snapToGrid w:val="0"/>
        <w:spacing w:line="560" w:lineRule="exact"/>
        <w:ind w:firstLine="545" w:firstLineChars="177"/>
        <w:rPr>
          <w:rFonts w:ascii="仿宋_GB2312" w:eastAsia="仿宋_GB2312"/>
          <w:spacing w:val="-6"/>
          <w:sz w:val="32"/>
          <w:szCs w:val="32"/>
        </w:rPr>
      </w:pPr>
      <w:r>
        <w:rPr>
          <w:rFonts w:hint="eastAsia" w:ascii="仿宋_GB2312" w:eastAsia="仿宋_GB2312"/>
          <w:spacing w:val="-6"/>
          <w:sz w:val="32"/>
          <w:szCs w:val="32"/>
        </w:rPr>
        <w:t>9、编辑出版学术、科普性简讯。</w:t>
      </w:r>
    </w:p>
    <w:p>
      <w:pPr>
        <w:snapToGrid w:val="0"/>
        <w:spacing w:line="560" w:lineRule="exact"/>
        <w:ind w:firstLine="545" w:firstLineChars="177"/>
        <w:rPr>
          <w:rFonts w:ascii="仿宋_GB2312" w:eastAsia="仿宋_GB2312"/>
          <w:spacing w:val="-6"/>
          <w:sz w:val="32"/>
          <w:szCs w:val="32"/>
        </w:rPr>
      </w:pPr>
      <w:r>
        <w:rPr>
          <w:rFonts w:hint="eastAsia" w:ascii="仿宋_GB2312" w:eastAsia="仿宋_GB2312"/>
          <w:spacing w:val="-6"/>
          <w:sz w:val="32"/>
          <w:szCs w:val="32"/>
        </w:rPr>
        <w:t>10、承办市科协、区委、区政府交办的其他事项。</w:t>
      </w:r>
    </w:p>
    <w:p>
      <w:pPr>
        <w:snapToGrid w:val="0"/>
        <w:spacing w:line="560" w:lineRule="exact"/>
        <w:ind w:firstLine="566" w:firstLineChars="177"/>
        <w:rPr>
          <w:rFonts w:ascii="仿宋_GB2312" w:eastAsia="仿宋_GB2312"/>
          <w:spacing w:val="-6"/>
          <w:sz w:val="32"/>
          <w:szCs w:val="32"/>
        </w:rPr>
      </w:pPr>
      <w:r>
        <w:rPr>
          <w:rFonts w:hint="eastAsia" w:ascii="楷体_GB2312" w:hAnsi="仿宋_GB2312" w:eastAsia="楷体_GB2312" w:cs="仿宋_GB2312"/>
          <w:sz w:val="32"/>
          <w:szCs w:val="32"/>
        </w:rPr>
        <w:t>（三）人员概况。</w:t>
      </w:r>
      <w:r>
        <w:rPr>
          <w:rFonts w:hint="eastAsia" w:ascii="仿宋_GB2312" w:eastAsia="仿宋_GB2312"/>
          <w:spacing w:val="-6"/>
          <w:sz w:val="32"/>
          <w:szCs w:val="32"/>
        </w:rPr>
        <w:t>核定人员编制5名，2022年末在职干部职工共8人。</w:t>
      </w:r>
    </w:p>
    <w:p>
      <w:pPr>
        <w:snapToGrid w:val="0"/>
        <w:spacing w:line="560" w:lineRule="exact"/>
        <w:ind w:firstLine="566" w:firstLineChars="177"/>
        <w:outlineLvl w:val="1"/>
        <w:rPr>
          <w:rFonts w:ascii="黑体" w:hAnsi="黑体" w:eastAsia="黑体" w:cs="仿宋_GB2312"/>
          <w:sz w:val="32"/>
          <w:szCs w:val="32"/>
        </w:rPr>
      </w:pPr>
      <w:bookmarkStart w:id="152" w:name="_Toc6522"/>
      <w:r>
        <w:rPr>
          <w:rFonts w:hint="eastAsia" w:ascii="黑体" w:hAnsi="黑体" w:eastAsia="黑体" w:cs="仿宋_GB2312"/>
          <w:sz w:val="32"/>
          <w:szCs w:val="32"/>
        </w:rPr>
        <w:t>二、部门财政资金收支情况</w:t>
      </w:r>
      <w:bookmarkEnd w:id="152"/>
    </w:p>
    <w:p>
      <w:pPr>
        <w:snapToGrid w:val="0"/>
        <w:spacing w:line="510" w:lineRule="exact"/>
        <w:ind w:firstLine="640" w:firstLineChars="200"/>
        <w:rPr>
          <w:rFonts w:ascii="仿宋_GB2312" w:eastAsia="仿宋_GB2312"/>
          <w:spacing w:val="-6"/>
          <w:sz w:val="32"/>
          <w:szCs w:val="32"/>
        </w:rPr>
      </w:pPr>
      <w:r>
        <w:rPr>
          <w:rFonts w:hint="eastAsia" w:ascii="楷体_GB2312" w:hAnsi="仿宋_GB2312" w:eastAsia="楷体_GB2312" w:cs="仿宋_GB2312"/>
          <w:sz w:val="32"/>
          <w:szCs w:val="32"/>
        </w:rPr>
        <w:t>（一）部门财政资金收入情况。</w:t>
      </w:r>
      <w:r>
        <w:rPr>
          <w:rFonts w:hint="eastAsia" w:ascii="仿宋_GB2312" w:eastAsia="仿宋_GB2312"/>
          <w:spacing w:val="-6"/>
          <w:sz w:val="32"/>
          <w:szCs w:val="32"/>
        </w:rPr>
        <w:t>本单位2022年度预算收入171.83万元，比2021年预算收入161.94万元增加9.89万元，是因为本年度住房公积金基数调整和省科普专项资金增加形成。</w:t>
      </w:r>
    </w:p>
    <w:p>
      <w:pPr>
        <w:snapToGrid w:val="0"/>
        <w:spacing w:line="510" w:lineRule="exact"/>
        <w:ind w:firstLine="640" w:firstLineChars="200"/>
        <w:rPr>
          <w:rFonts w:ascii="仿宋_GB2312" w:eastAsia="仿宋_GB2312"/>
          <w:spacing w:val="-6"/>
          <w:sz w:val="32"/>
          <w:szCs w:val="32"/>
        </w:rPr>
      </w:pPr>
      <w:r>
        <w:rPr>
          <w:rFonts w:hint="eastAsia" w:ascii="楷体_GB2312" w:hAnsi="仿宋_GB2312" w:eastAsia="楷体_GB2312" w:cs="仿宋_GB2312"/>
          <w:sz w:val="32"/>
          <w:szCs w:val="32"/>
        </w:rPr>
        <w:t>（二）部门财政资金支出情况。</w:t>
      </w:r>
      <w:r>
        <w:rPr>
          <w:rFonts w:hint="eastAsia" w:ascii="仿宋_GB2312" w:eastAsia="仿宋_GB2312"/>
          <w:spacing w:val="-6"/>
          <w:sz w:val="32"/>
          <w:szCs w:val="32"/>
        </w:rPr>
        <w:t>本单位2021年度预算执行171.83万元，与2021年预算执行161.94万元增加9.89万元，是因为本年度住房公积金基数调整和省科普专项资金增加形成。</w:t>
      </w:r>
    </w:p>
    <w:p>
      <w:pPr>
        <w:snapToGrid w:val="0"/>
        <w:spacing w:line="560" w:lineRule="exact"/>
        <w:ind w:firstLine="566" w:firstLineChars="177"/>
        <w:outlineLvl w:val="1"/>
        <w:rPr>
          <w:rFonts w:ascii="仿宋_GB2312" w:hAnsi="仿宋_GB2312" w:eastAsia="仿宋_GB2312" w:cs="仿宋_GB2312"/>
          <w:sz w:val="32"/>
          <w:szCs w:val="32"/>
        </w:rPr>
      </w:pPr>
      <w:bookmarkStart w:id="153" w:name="_Toc18001"/>
      <w:r>
        <w:rPr>
          <w:rFonts w:hint="eastAsia" w:ascii="黑体" w:hAnsi="黑体" w:eastAsia="黑体" w:cs="仿宋_GB2312"/>
          <w:sz w:val="32"/>
          <w:szCs w:val="32"/>
        </w:rPr>
        <w:t>三、部门整体预算绩效管理情况</w:t>
      </w:r>
      <w:bookmarkEnd w:id="153"/>
    </w:p>
    <w:p>
      <w:pPr>
        <w:snapToGrid w:val="0"/>
        <w:spacing w:line="560" w:lineRule="exact"/>
        <w:ind w:firstLine="566" w:firstLineChars="177"/>
        <w:rPr>
          <w:rFonts w:ascii="仿宋_GB2312" w:eastAsia="仿宋_GB2312"/>
          <w:spacing w:val="-6"/>
          <w:sz w:val="32"/>
          <w:szCs w:val="32"/>
        </w:rPr>
      </w:pPr>
      <w:r>
        <w:rPr>
          <w:rFonts w:hint="eastAsia" w:ascii="楷体_GB2312" w:hAnsi="仿宋_GB2312" w:eastAsia="楷体_GB2312" w:cs="仿宋_GB2312"/>
          <w:sz w:val="32"/>
          <w:szCs w:val="32"/>
        </w:rPr>
        <w:t>（一）部门预算项目绩效管理。</w:t>
      </w:r>
      <w:r>
        <w:rPr>
          <w:rFonts w:hint="eastAsia" w:ascii="仿宋_GB2312" w:eastAsia="仿宋_GB2312"/>
          <w:spacing w:val="-6"/>
          <w:sz w:val="32"/>
          <w:szCs w:val="32"/>
        </w:rPr>
        <w:t>2022年我单位按规定制定了绩效目标，目标标准预算人员类经费112.52万元(其中基本工资35.64万元、津贴补贴20.42万元、奖金20.09万元、绩效工资1.63万元、养老保险9.06万元、医疗保险5.01万元、其他社会保险缴费0.46万元、住房公积金8.89万元、其他工资福利支出5.31万元)；日常运转类13.74万元（其中办公费1.79万元、印刷费0.57万元、邮电费1.64万元、差旅费1.67万元、会议费0.09万元、公务接待费0.5万元、其他交通费7.48万元）；特定项目类45.56万元。按照预算资金情况，单位全年在职7人，人员经费和公用经费严格按预算进度执行，全年预算项目支出5个，其中部门预算项目支出4个，专项预算支出1个，按照项目绩效要求，项目支出严格控制，使预算资金的使用率进一步提高，全年圆满完成预算绩效目标，资金无结余，无违规记录情况发生。</w:t>
      </w:r>
    </w:p>
    <w:p>
      <w:pPr>
        <w:snapToGrid w:val="0"/>
        <w:spacing w:line="560" w:lineRule="exact"/>
        <w:ind w:firstLine="566" w:firstLineChars="177"/>
        <w:rPr>
          <w:rFonts w:ascii="仿宋_GB2312" w:eastAsia="仿宋_GB2312"/>
          <w:spacing w:val="-6"/>
          <w:sz w:val="32"/>
          <w:szCs w:val="32"/>
        </w:rPr>
      </w:pPr>
      <w:r>
        <w:rPr>
          <w:rFonts w:hint="eastAsia" w:ascii="楷体_GB2312" w:hAnsi="仿宋_GB2312" w:eastAsia="楷体_GB2312" w:cs="仿宋_GB2312"/>
          <w:sz w:val="32"/>
          <w:szCs w:val="32"/>
        </w:rPr>
        <w:t>（二）结果应用情况。</w:t>
      </w:r>
      <w:r>
        <w:rPr>
          <w:rFonts w:hint="eastAsia" w:ascii="仿宋_GB2312" w:eastAsia="仿宋_GB2312"/>
          <w:spacing w:val="-6"/>
          <w:sz w:val="32"/>
          <w:szCs w:val="32"/>
        </w:rPr>
        <w:t>2022年我单位通过项目实施发布科技所能、科技所需，为企业增效，为科技工作者增收，全部项目质量指标达100%，项目支出达100%，干部满意度90%。使全区公民科学素质有一定提升。</w:t>
      </w:r>
    </w:p>
    <w:p>
      <w:pPr>
        <w:snapToGrid w:val="0"/>
        <w:spacing w:line="560" w:lineRule="exact"/>
        <w:ind w:firstLine="566" w:firstLineChars="177"/>
        <w:rPr>
          <w:rFonts w:ascii="仿宋_GB2312" w:eastAsia="仿宋_GB2312"/>
          <w:spacing w:val="-6"/>
          <w:sz w:val="32"/>
          <w:szCs w:val="32"/>
        </w:rPr>
      </w:pPr>
      <w:r>
        <w:rPr>
          <w:rFonts w:hint="eastAsia" w:ascii="楷体_GB2312" w:hAnsi="仿宋_GB2312" w:eastAsia="楷体_GB2312" w:cs="仿宋_GB2312"/>
          <w:sz w:val="32"/>
          <w:szCs w:val="32"/>
        </w:rPr>
        <w:t>（三）自评质量。</w:t>
      </w:r>
      <w:r>
        <w:rPr>
          <w:rFonts w:hint="eastAsia" w:ascii="仿宋_GB2312" w:eastAsia="仿宋_GB2312"/>
          <w:spacing w:val="-6"/>
          <w:sz w:val="32"/>
          <w:szCs w:val="32"/>
        </w:rPr>
        <w:t>2022年我单位为科技工作者服务，为创新驱动发展服务，为提高全民科学素质服务，为党和政府科学决策服务，社会满意度高。</w:t>
      </w:r>
    </w:p>
    <w:p>
      <w:pPr>
        <w:snapToGrid w:val="0"/>
        <w:spacing w:line="560" w:lineRule="exact"/>
        <w:ind w:firstLine="566" w:firstLineChars="177"/>
        <w:outlineLvl w:val="1"/>
        <w:rPr>
          <w:rFonts w:ascii="黑体" w:hAnsi="黑体" w:eastAsia="黑体" w:cs="仿宋_GB2312"/>
          <w:sz w:val="32"/>
          <w:szCs w:val="32"/>
        </w:rPr>
      </w:pPr>
      <w:bookmarkStart w:id="154" w:name="_Toc19015"/>
      <w:r>
        <w:rPr>
          <w:rFonts w:hint="eastAsia" w:ascii="黑体" w:hAnsi="黑体" w:eastAsia="黑体" w:cs="仿宋_GB2312"/>
          <w:sz w:val="32"/>
          <w:szCs w:val="32"/>
        </w:rPr>
        <w:t>四、自评结论及建议</w:t>
      </w:r>
      <w:bookmarkEnd w:id="154"/>
    </w:p>
    <w:p>
      <w:pPr>
        <w:snapToGrid w:val="0"/>
        <w:spacing w:line="560" w:lineRule="exact"/>
        <w:ind w:firstLine="566" w:firstLineChars="177"/>
        <w:rPr>
          <w:rFonts w:ascii="仿宋" w:hAnsi="仿宋" w:eastAsia="仿宋"/>
          <w:sz w:val="32"/>
          <w:szCs w:val="32"/>
        </w:rPr>
      </w:pPr>
      <w:r>
        <w:rPr>
          <w:rFonts w:hint="eastAsia" w:ascii="楷体_GB2312" w:hAnsi="仿宋_GB2312" w:eastAsia="楷体_GB2312" w:cs="仿宋_GB2312"/>
          <w:sz w:val="32"/>
          <w:szCs w:val="32"/>
        </w:rPr>
        <w:t>（一）评价结论。</w:t>
      </w:r>
      <w:r>
        <w:rPr>
          <w:rFonts w:hint="eastAsia" w:ascii="仿宋_GB2312" w:eastAsia="仿宋_GB2312"/>
          <w:spacing w:val="-6"/>
          <w:sz w:val="32"/>
          <w:szCs w:val="32"/>
        </w:rPr>
        <w:t>2022年我单位逐步建立健全信息系统，严格管理各类资产，及时清查上报。建立健全部门内部控制制度，全力抓好落实内部控制制度建设。按质按量完成预决算工作及绩效信息公开工作，保证预决算公开透明。2022年在上级科协的大力支持下，认真贯彻落实党的二十大精神，团结动员广大科技工作者，全面提高科学素质，积极开展科普活动，全力推进系统改革，取得了较好的工作绩效。经过自评，自评得分为96分，我单位管理规范、制度健全，财务开支合理。</w:t>
      </w:r>
    </w:p>
    <w:p>
      <w:pPr>
        <w:snapToGrid w:val="0"/>
        <w:spacing w:line="560" w:lineRule="exact"/>
        <w:ind w:firstLine="566" w:firstLineChars="177"/>
        <w:rPr>
          <w:rFonts w:ascii="仿宋" w:hAnsi="仿宋" w:eastAsia="仿宋"/>
          <w:sz w:val="32"/>
          <w:szCs w:val="32"/>
        </w:rPr>
      </w:pPr>
      <w:r>
        <w:rPr>
          <w:rFonts w:hint="eastAsia" w:ascii="楷体_GB2312" w:hAnsi="仿宋_GB2312" w:eastAsia="楷体_GB2312" w:cs="仿宋_GB2312"/>
          <w:sz w:val="32"/>
          <w:szCs w:val="32"/>
        </w:rPr>
        <w:t>（二）存在问题：</w:t>
      </w:r>
      <w:r>
        <w:rPr>
          <w:rFonts w:hint="eastAsia" w:ascii="仿宋_GB2312" w:eastAsia="仿宋_GB2312"/>
          <w:spacing w:val="-6"/>
          <w:sz w:val="32"/>
          <w:szCs w:val="32"/>
        </w:rPr>
        <w:t>无。</w:t>
      </w:r>
    </w:p>
    <w:p>
      <w:pPr>
        <w:snapToGrid w:val="0"/>
        <w:spacing w:line="560" w:lineRule="exact"/>
        <w:ind w:firstLine="566" w:firstLineChars="177"/>
        <w:rPr>
          <w:rFonts w:ascii="仿宋_GB2312" w:eastAsia="仿宋_GB2312"/>
          <w:spacing w:val="-6"/>
          <w:sz w:val="32"/>
          <w:szCs w:val="32"/>
        </w:rPr>
      </w:pPr>
      <w:r>
        <w:rPr>
          <w:rFonts w:hint="eastAsia" w:ascii="楷体_GB2312" w:hAnsi="仿宋_GB2312" w:eastAsia="楷体_GB2312" w:cs="仿宋_GB2312"/>
          <w:sz w:val="32"/>
          <w:szCs w:val="32"/>
        </w:rPr>
        <w:t>（三）改进建议：</w:t>
      </w:r>
      <w:r>
        <w:rPr>
          <w:rFonts w:hint="eastAsia" w:ascii="仿宋_GB2312" w:eastAsia="仿宋_GB2312"/>
          <w:spacing w:val="-6"/>
          <w:sz w:val="32"/>
          <w:szCs w:val="32"/>
        </w:rPr>
        <w:t>无。</w:t>
      </w: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rPr>
          <w:rFonts w:hint="eastAsia"/>
          <w:lang w:val="en-US" w:eastAsia="zh-CN"/>
        </w:rPr>
      </w:pPr>
      <w:r>
        <w:rPr>
          <w:rFonts w:hint="eastAsia"/>
          <w:lang w:eastAsia="zh-CN"/>
        </w:rPr>
        <w:t>附件</w:t>
      </w:r>
      <w:r>
        <w:rPr>
          <w:rFonts w:hint="eastAsia"/>
          <w:lang w:val="en-US" w:eastAsia="zh-CN"/>
        </w:rPr>
        <w:t>2：</w:t>
      </w:r>
    </w:p>
    <w:tbl>
      <w:tblPr>
        <w:tblStyle w:val="15"/>
        <w:tblW w:w="8100" w:type="dxa"/>
        <w:tblInd w:w="0" w:type="dxa"/>
        <w:shd w:val="clear" w:color="auto" w:fill="auto"/>
        <w:tblLayout w:type="autofit"/>
        <w:tblCellMar>
          <w:top w:w="0" w:type="dxa"/>
          <w:left w:w="0" w:type="dxa"/>
          <w:bottom w:w="0" w:type="dxa"/>
          <w:right w:w="0" w:type="dxa"/>
        </w:tblCellMar>
      </w:tblPr>
      <w:tblGrid>
        <w:gridCol w:w="555"/>
        <w:gridCol w:w="1035"/>
        <w:gridCol w:w="840"/>
        <w:gridCol w:w="1170"/>
        <w:gridCol w:w="435"/>
        <w:gridCol w:w="615"/>
        <w:gridCol w:w="495"/>
        <w:gridCol w:w="840"/>
        <w:gridCol w:w="510"/>
        <w:gridCol w:w="450"/>
        <w:gridCol w:w="1155"/>
      </w:tblGrid>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51000021R000000019954-聘用人员经费</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该项目为人员类项目，主要保障部门两名定补聘用人员工资及保险缴纳。2022年，该预算项目资金按月支付，及时足额发放，预算执行率100%，年末无资金结余情况。</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51081221R000000033747-独子费</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该项目为人员类项目，主要保障部门内在职人员中有独生子女情况的干部，为其发放独子费。2022年，该预算项目资金按月支付，及时足额发放，预算执行率100%，年末无资金结余情况。</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0.01</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0.01</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51081221R000000033767-目标绩效奖(公务员及参公人员)</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该项目为人员类项目，主要保障部门公务员目标绩效奖。2022年，该预算项目资金按月支付，及时足额发放，预算执行率100%，年末无资金结余情况。</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00"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51081221R000000051755-其他交通费用（公务用车改革补贴）</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该项目为人员类项目，主要保障部门行政人员2022年度车补。2022年，该预算项目资金按季度支付，及时足额发放，预算执行率100%，年末无资金结余情况。</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6.83</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6.83</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24"/>
                <w:szCs w:val="24"/>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7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51081221Y000000052199-金财网维护费</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4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保障单位日常运转，提高预算编制质量，严格执行预算</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79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该项目为特定目标类项目，主要保障部门金财网专线正常运转。2022年，该预算项目资金年中一次性支付，预算执行率100%，年末无资金结余情况。</w:t>
            </w:r>
          </w:p>
        </w:tc>
      </w:tr>
      <w:tr>
        <w:tblPrEx>
          <w:tblCellMar>
            <w:top w:w="0" w:type="dxa"/>
            <w:left w:w="0" w:type="dxa"/>
            <w:bottom w:w="0" w:type="dxa"/>
            <w:right w:w="0" w:type="dxa"/>
          </w:tblCellMar>
        </w:tblPrEx>
        <w:trPr>
          <w:trHeight w:val="46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24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1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6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90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197"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57"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51081222R000005136042-工资性支出（行政）</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该项目为人员类项目，主要保障部门行政人员2022年度工资，包括基本工资、津贴补贴等。2022年，该预算项目资金按月支付，及时足额发放，预算执行率100%，年末无资金结余情况。</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50.32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55.04</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55.04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50.32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55.04</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53.91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51081222R000005136246-工资性支出（事业）</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该项目为人员类项目，主要保障部门事业人员2022年度工资，包括基本工资、津贴补贴等。2022年，该预算项目资金按月支付，及时足额发放，预算执行率100%，年末无资金结余情况。</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6.81</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6.81</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454" w:hRule="atLeast"/>
        </w:trPr>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发放（缴纳）覆盖率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i w:val="0"/>
                <w:color w:val="000000"/>
                <w:kern w:val="0"/>
                <w:sz w:val="18"/>
                <w:szCs w:val="18"/>
                <w:u w:val="none"/>
                <w:lang w:val="en-US" w:eastAsia="zh-CN" w:bidi="ar"/>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51081222R000005136461-基本养老保险（行政）</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该项目为人员类项目，主要保障部门行政人员2022年度养老保险缴费等。2022年，该预算项目资金按月支付，及时足额缴纳，预算执行率100%，年末无资金结余情况。</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8.85</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8.85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8.85</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8.85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51081222R000005136839-基本养老保险（事业）</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该项目为人员类项目，主要保障部门事业人员2022年度养老保险缴费等。2022年，该预算项目资金按月支付，及时足额缴纳，预算执行率100%，年末无资金结余情况。</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1.03</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1.03</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454" w:hRule="atLeast"/>
        </w:trPr>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发放（缴纳）覆盖率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kern w:val="2"/>
                <w:sz w:val="16"/>
                <w:szCs w:val="16"/>
                <w:u w:val="none"/>
                <w:lang w:val="en-US" w:eastAsia="zh-CN" w:bidi="ar-SA"/>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kern w:val="2"/>
                <w:sz w:val="16"/>
                <w:szCs w:val="16"/>
                <w:u w:val="none"/>
                <w:lang w:val="en-US" w:eastAsia="zh-CN" w:bidi="ar-SA"/>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社会效益指标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足额保障率（参保率）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kern w:val="2"/>
                <w:sz w:val="16"/>
                <w:szCs w:val="16"/>
                <w:u w:val="none"/>
                <w:lang w:val="en-US" w:eastAsia="zh-CN" w:bidi="ar-SA"/>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kern w:val="2"/>
                <w:sz w:val="16"/>
                <w:szCs w:val="16"/>
                <w:u w:val="none"/>
                <w:lang w:val="en-US" w:eastAsia="zh-CN" w:bidi="ar-SA"/>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51081222R000005137025-基本医疗保险（行政）</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该项目为人员类项目，主要保障部门行政人员2022年度医疗保险缴费等。2022年，该预算项目资金按月支付，及时足额缴纳，预算执行率100%，年末无资金结余情况。</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4.21</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4.21</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51081222R000005137228-基本医疗保险（事业）</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该项目为人员类项目，主要保障部门事业人员2022年度医疗保险缴费等。2022年，该预算项目资金按月支付，及时足额缴纳，预算执行率100%，年末无资金结余情况。</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0.54</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0.54</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454" w:hRule="atLeast"/>
        </w:trPr>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发放（缴纳）覆盖率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kern w:val="2"/>
                <w:sz w:val="16"/>
                <w:szCs w:val="16"/>
                <w:u w:val="none"/>
                <w:lang w:val="en-US" w:eastAsia="zh-CN" w:bidi="ar-SA"/>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kern w:val="2"/>
                <w:sz w:val="16"/>
                <w:szCs w:val="16"/>
                <w:u w:val="none"/>
                <w:lang w:val="en-US" w:eastAsia="zh-CN" w:bidi="ar-SA"/>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社会效益指标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足额保障率（参保率）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kern w:val="2"/>
                <w:sz w:val="16"/>
                <w:szCs w:val="16"/>
                <w:u w:val="none"/>
                <w:lang w:val="en-US" w:eastAsia="zh-CN" w:bidi="ar-SA"/>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kern w:val="2"/>
                <w:sz w:val="16"/>
                <w:szCs w:val="16"/>
                <w:u w:val="none"/>
                <w:lang w:val="en-US" w:eastAsia="zh-CN" w:bidi="ar-SA"/>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51081222R000005137604-住房公积金（行政）</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该项目为人员类项目，主要保障部门行政人员2022年度住房公积金缴费等。2022年，该预算项目资金按月支付，及时足额缴纳，预算执行率100%，年末无资金结余情况。</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7.88</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7.88</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7.88</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7.88</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51081222R000005137802-住房公积金（事业）</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该项目为人员类项目，主要保障部门事业人员2022年度住房公积金缴费等。2022年，该预算项目资金按月支付，及时足额缴纳，预算执行率100%，年末无资金结余情况。</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0.76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1.78</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1.78</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0.76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1.78</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1.78</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51081222R000005429042-目标绩效奖（事业人员）</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该项目为人员类项目，主要保障部门事业人员目标绩效奖。2022年，该预算项目资金按月支付，及时足额发放，预算执行率100%，年末无资金结余情况。</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51081222R000005430095-目标绩效奖（行政工人）</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该项目为人员类项目，主要保障部门行政工人目标绩效奖。2022年，该预算项目资金按月支付，及时足额发放，预算执行率100%，年末无资金结余情况。</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51081222T000005588376-开展“天府科技云”服务工作经费</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11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该项目主要是印制宣传物资，开展培训，加大平台宣传推广，聘请第三方机构，强力推进工作落实。主要实施内容包括，印发天府科技云注册相关资料4000册，聘请第三方机构1个。</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该项目严格按年初预算完成了印制宣传资料4000册，每册5元，完成第三方服务机构入驻每年3万元。</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454" w:hRule="atLeast"/>
        </w:trPr>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发放（缴纳）覆盖率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kern w:val="2"/>
                <w:sz w:val="16"/>
                <w:szCs w:val="16"/>
                <w:u w:val="none"/>
                <w:lang w:val="en-US" w:eastAsia="zh-CN" w:bidi="ar-SA"/>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kern w:val="2"/>
                <w:sz w:val="16"/>
                <w:szCs w:val="16"/>
                <w:u w:val="none"/>
                <w:lang w:val="en-US" w:eastAsia="zh-CN" w:bidi="ar-SA"/>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社会效益指标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足额保障率（参保率）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kern w:val="2"/>
                <w:sz w:val="16"/>
                <w:szCs w:val="16"/>
                <w:u w:val="none"/>
                <w:lang w:val="en-US" w:eastAsia="zh-CN" w:bidi="ar-SA"/>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kern w:val="2"/>
                <w:sz w:val="16"/>
                <w:szCs w:val="16"/>
                <w:u w:val="none"/>
                <w:lang w:val="en-US" w:eastAsia="zh-CN" w:bidi="ar-SA"/>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70"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24"/>
                <w:szCs w:val="24"/>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51081222T000005936740-2022年科普经费</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开展全区性的科普工作、巩固、发展和推动科技成果的普及推广和先进适用技术的培训，弘扬科学精神，普及科学知识。</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9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该项目严格按年初预算完成了新媒体宣传活动2场次；更换科普画廊内容2期；更换科普宣传栏内容500平方米，；组织科普培训20场次；印发科普宣传资料6000册。</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45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更换科普宣传栏</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平方米</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500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开展科普培训</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场次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20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更换科普画廊内容</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开展新媒体宣传活动</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印刷科普宣传资料</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册</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6000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新媒体宣传率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96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科普画廊内容更新率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96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科普宣传栏更换率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96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科普知识普及率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96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完成时间2022年12月31日前</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印刷科普宣传资料</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5</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开展科普培训</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更换科普画廊内容</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5000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更换科普宣传栏</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40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开展新媒体宣传活动</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提高全区公民科学素质</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95</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全区公民满意</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95</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pStyle w:val="2"/>
              <w:rPr>
                <w:rFonts w:hint="eastAsia"/>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5"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24"/>
                <w:szCs w:val="24"/>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528"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51081222T000005936873-2022年科普宣传经费</w:t>
            </w:r>
          </w:p>
        </w:tc>
      </w:tr>
      <w:tr>
        <w:tblPrEx>
          <w:tblCellMar>
            <w:top w:w="0" w:type="dxa"/>
            <w:left w:w="0" w:type="dxa"/>
            <w:bottom w:w="0" w:type="dxa"/>
            <w:right w:w="0" w:type="dxa"/>
          </w:tblCellMar>
        </w:tblPrEx>
        <w:trPr>
          <w:trHeight w:val="571"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58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提高全区公民科学素质。</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该项目严格按年初预算完成了印制科普宣传资料5000册；开展科普培训和文艺演出3场次。</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开展科普宣传文艺演出</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场次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3</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印制科普宣传资料</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册</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5000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科普知识普及率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rPr>
            </w:pPr>
            <w:r>
              <w:rPr>
                <w:rFonts w:ascii="宋体" w:hAnsi="宋体" w:eastAsia="宋体" w:cs="宋体"/>
                <w:i w:val="0"/>
                <w:iCs/>
                <w:color w:val="000000"/>
                <w:kern w:val="0"/>
                <w:sz w:val="18"/>
                <w:szCs w:val="18"/>
                <w:u w:val="none"/>
                <w:lang w:val="en-US" w:eastAsia="zh-CN" w:bidi="ar"/>
              </w:rPr>
              <w:t>95</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科普文艺宣传率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rPr>
            </w:pPr>
            <w:r>
              <w:rPr>
                <w:rFonts w:ascii="宋体" w:hAnsi="宋体" w:eastAsia="宋体" w:cs="宋体"/>
                <w:i w:val="0"/>
                <w:iCs/>
                <w:color w:val="000000"/>
                <w:kern w:val="0"/>
                <w:sz w:val="18"/>
                <w:szCs w:val="18"/>
                <w:u w:val="none"/>
                <w:lang w:val="en-US" w:eastAsia="zh-CN" w:bidi="ar"/>
              </w:rPr>
              <w:t>95</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2022年12月31日前完成</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开展科普宣传文艺演出3场次</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5000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印制科普宣传资料7元/册</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7</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提高全区公民科学素质</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rPr>
            </w:pPr>
            <w:r>
              <w:rPr>
                <w:rFonts w:ascii="宋体" w:hAnsi="宋体" w:eastAsia="宋体" w:cs="宋体"/>
                <w:i w:val="0"/>
                <w:iCs/>
                <w:color w:val="000000"/>
                <w:kern w:val="0"/>
                <w:sz w:val="18"/>
                <w:szCs w:val="18"/>
                <w:u w:val="none"/>
                <w:lang w:val="en-US" w:eastAsia="zh-CN" w:bidi="ar"/>
              </w:rPr>
              <w:t>95</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全区公民满意</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rPr>
            </w:pPr>
            <w:r>
              <w:rPr>
                <w:rFonts w:ascii="宋体" w:hAnsi="宋体" w:eastAsia="宋体" w:cs="宋体"/>
                <w:i w:val="0"/>
                <w:iCs/>
                <w:color w:val="000000"/>
                <w:kern w:val="0"/>
                <w:sz w:val="18"/>
                <w:szCs w:val="18"/>
                <w:u w:val="none"/>
                <w:lang w:val="en-US" w:eastAsia="zh-CN" w:bidi="ar"/>
              </w:rPr>
              <w:t>95</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pStyle w:val="2"/>
              <w:rPr>
                <w:rFonts w:hint="eastAsia"/>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51081222T000006577178-四川省科普专项资金</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22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是省级科普基地项目，一是建设朝天区天府科技云服务中心，承担精准服务科技工作者、精准服务企事业单位、精准服务全民科学素质提升、交易服务、第三方服务机构管理、平台宣传推广等工作。二是建设城区科普画廊弘扬科学精神，普及科学知识。开展全区性的科普工作，巩固、发展和推动科技成果，普及推广先进适用技术等培训工作，动员和组织全社会共同参与科学普及活动。</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主要用于印制天府科技云服务宣传推广资料，制作省科创宣传展板，制作宣传推广视频，购买中心办公家具，聘请三方机构，送科技下乡培训；建设更新科普画廊。</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454" w:hRule="atLeast"/>
        </w:trPr>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预算执行</w:t>
            </w:r>
            <w:r>
              <w:rPr>
                <w:rFonts w:ascii="宋体" w:hAnsi="宋体" w:eastAsia="宋体" w:cs="宋体"/>
                <w:i w:val="0"/>
                <w:color w:val="000000"/>
                <w:kern w:val="0"/>
                <w:sz w:val="18"/>
                <w:szCs w:val="18"/>
                <w:u w:val="none"/>
                <w:lang w:val="en-US" w:eastAsia="zh-CN" w:bidi="ar"/>
              </w:rPr>
              <w:t>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kern w:val="2"/>
                <w:sz w:val="16"/>
                <w:szCs w:val="16"/>
                <w:u w:val="none"/>
                <w:lang w:val="en-US" w:eastAsia="zh-CN" w:bidi="ar-SA"/>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kern w:val="2"/>
                <w:sz w:val="16"/>
                <w:szCs w:val="16"/>
                <w:u w:val="none"/>
                <w:lang w:val="en-US" w:eastAsia="zh-CN" w:bidi="ar-SA"/>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社会效益指标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足额保障率（参保率）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kern w:val="2"/>
                <w:sz w:val="16"/>
                <w:szCs w:val="16"/>
                <w:u w:val="none"/>
                <w:lang w:val="en-US" w:eastAsia="zh-CN" w:bidi="ar-SA"/>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kern w:val="2"/>
                <w:sz w:val="16"/>
                <w:szCs w:val="16"/>
                <w:u w:val="none"/>
                <w:lang w:val="en-US" w:eastAsia="zh-CN" w:bidi="ar-SA"/>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51081222T000007155560-四川省科普专项经费</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22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是省级科普基地项目，一是建设朝天区天府科技云服务中心，承担精准服务科技工作者、精准服务企事业单位、精准服务全民科学素质提升、交易服务、第三方服务机构管理、平台宣传推广等工作。二是建设城区科普画廊弘扬科学精神，普及科学知识。开展全区性的科普工作，巩固、发展和推动科技成果，普及推广先进适用技术等培训工作，动员和组织全社会共同参与科学普及活动。</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主要用于印制天府科技云服务宣传推广资料，制作省科创宣传展板，制作宣传推广视频，购买中心办公家具，聘请三方机构，送科技下乡培训；建设更新科普画廊。</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454" w:hRule="atLeast"/>
        </w:trPr>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预算执行</w:t>
            </w:r>
            <w:r>
              <w:rPr>
                <w:rFonts w:ascii="宋体" w:hAnsi="宋体" w:eastAsia="宋体" w:cs="宋体"/>
                <w:i w:val="0"/>
                <w:color w:val="000000"/>
                <w:kern w:val="0"/>
                <w:sz w:val="18"/>
                <w:szCs w:val="18"/>
                <w:u w:val="none"/>
                <w:lang w:val="en-US" w:eastAsia="zh-CN" w:bidi="ar"/>
              </w:rPr>
              <w:t>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kern w:val="2"/>
                <w:sz w:val="16"/>
                <w:szCs w:val="16"/>
                <w:u w:val="none"/>
                <w:lang w:val="en-US" w:eastAsia="zh-CN" w:bidi="ar-SA"/>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kern w:val="2"/>
                <w:sz w:val="16"/>
                <w:szCs w:val="16"/>
                <w:u w:val="none"/>
                <w:lang w:val="en-US" w:eastAsia="zh-CN" w:bidi="ar-SA"/>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社会效益指标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足额保障率（参保率）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kern w:val="2"/>
                <w:sz w:val="16"/>
                <w:szCs w:val="16"/>
                <w:u w:val="none"/>
                <w:lang w:val="en-US" w:eastAsia="zh-CN" w:bidi="ar-SA"/>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kern w:val="2"/>
                <w:sz w:val="16"/>
                <w:szCs w:val="16"/>
                <w:u w:val="none"/>
                <w:lang w:val="en-US" w:eastAsia="zh-CN" w:bidi="ar-SA"/>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429"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24"/>
                <w:szCs w:val="24"/>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51081222Y000005135060-定额公用经费（行政）</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保障单位日常运转，提高预算编制质量，严格执行预算</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该项目为运转类项目，主要保障部门日常公用支出。2022年，该预算项目资金年中有序支付，预算执行率100%，年末无资金结余情况。</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5.75</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5.75</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2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26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6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90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4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22"/>
                <w:szCs w:val="22"/>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51081222Y000005135504-定额公用经费（事业）</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41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保障单位日常运转，提高预算编制质量，严格执行预算</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该项目为运转类项目，主要保障部门日常公用支出。2022年，该预算项目资金年中有序支付，预算执行率100%，年末无资金结余情况。</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2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25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24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6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90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51081223T000008296122-第六次代表会工作经费</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圆满召开第六次代表会</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按照项目预算情况，及时兑付第六次代表会工作经费。</w:t>
            </w:r>
          </w:p>
        </w:tc>
      </w:tr>
      <w:tr>
        <w:tblPrEx>
          <w:shd w:val="clear" w:color="auto" w:fill="auto"/>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454" w:hRule="atLeast"/>
        </w:trPr>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预算执行</w:t>
            </w:r>
            <w:r>
              <w:rPr>
                <w:rFonts w:ascii="宋体" w:hAnsi="宋体" w:eastAsia="宋体" w:cs="宋体"/>
                <w:i w:val="0"/>
                <w:color w:val="000000"/>
                <w:kern w:val="0"/>
                <w:sz w:val="18"/>
                <w:szCs w:val="18"/>
                <w:u w:val="none"/>
                <w:lang w:val="en-US" w:eastAsia="zh-CN" w:bidi="ar"/>
              </w:rPr>
              <w:t>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kern w:val="2"/>
                <w:sz w:val="16"/>
                <w:szCs w:val="16"/>
                <w:u w:val="none"/>
                <w:lang w:val="en-US" w:eastAsia="zh-CN" w:bidi="ar-SA"/>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kern w:val="2"/>
                <w:sz w:val="16"/>
                <w:szCs w:val="16"/>
                <w:u w:val="none"/>
                <w:lang w:val="en-US" w:eastAsia="zh-CN" w:bidi="ar-SA"/>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社会效益指标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足额保障率（参保率）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kern w:val="2"/>
                <w:sz w:val="16"/>
                <w:szCs w:val="16"/>
                <w:u w:val="none"/>
                <w:lang w:val="en-US" w:eastAsia="zh-CN" w:bidi="ar-SA"/>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kern w:val="2"/>
                <w:sz w:val="16"/>
                <w:szCs w:val="16"/>
                <w:u w:val="none"/>
                <w:lang w:val="en-US" w:eastAsia="zh-CN" w:bidi="ar-SA"/>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bl>
    <w:p>
      <w:pPr>
        <w:pStyle w:val="2"/>
        <w:spacing w:before="93"/>
        <w:rPr>
          <w:rFonts w:hint="default"/>
          <w:lang w:val="en-US" w:eastAsia="zh-CN"/>
        </w:rPr>
      </w:pPr>
    </w:p>
    <w:p>
      <w:pPr>
        <w:pStyle w:val="2"/>
        <w:spacing w:before="93"/>
      </w:pPr>
    </w:p>
    <w:p>
      <w:pPr>
        <w:spacing w:line="520" w:lineRule="exact"/>
        <w:jc w:val="left"/>
        <w:rPr>
          <w:rFonts w:hint="eastAsia" w:ascii="仿宋_GB2312" w:eastAsia="仿宋_GB2312"/>
          <w:sz w:val="32"/>
          <w:szCs w:val="32"/>
        </w:rPr>
      </w:pPr>
    </w:p>
    <w:p>
      <w:pPr>
        <w:spacing w:line="520" w:lineRule="exact"/>
        <w:jc w:val="left"/>
        <w:rPr>
          <w:rFonts w:hint="eastAsia" w:ascii="仿宋_GB2312" w:eastAsia="仿宋_GB2312"/>
          <w:sz w:val="32"/>
          <w:szCs w:val="32"/>
        </w:rPr>
      </w:pPr>
    </w:p>
    <w:p>
      <w:pPr>
        <w:spacing w:line="520" w:lineRule="exact"/>
        <w:jc w:val="left"/>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3</w:t>
      </w:r>
      <w:r>
        <w:rPr>
          <w:rFonts w:hint="eastAsia" w:ascii="仿宋_GB2312" w:eastAsia="仿宋_GB2312"/>
          <w:sz w:val="32"/>
          <w:szCs w:val="32"/>
        </w:rPr>
        <w:t>:</w:t>
      </w:r>
    </w:p>
    <w:p>
      <w:pPr>
        <w:spacing w:line="520" w:lineRule="exact"/>
        <w:jc w:val="center"/>
        <w:rPr>
          <w:rFonts w:hint="eastAsia" w:asciiTheme="majorEastAsia" w:hAnsiTheme="majorEastAsia" w:eastAsiaTheme="majorEastAsia" w:cstheme="majorEastAsia"/>
          <w:b/>
          <w:bCs/>
          <w:kern w:val="0"/>
          <w:sz w:val="40"/>
          <w:szCs w:val="44"/>
        </w:rPr>
      </w:pPr>
      <w:r>
        <w:rPr>
          <w:rFonts w:hint="eastAsia" w:asciiTheme="majorEastAsia" w:hAnsiTheme="majorEastAsia" w:eastAsiaTheme="majorEastAsia" w:cstheme="majorEastAsia"/>
          <w:b/>
          <w:bCs/>
          <w:kern w:val="0"/>
          <w:sz w:val="40"/>
          <w:szCs w:val="44"/>
        </w:rPr>
        <w:t>2022年开展“天府科技云”</w:t>
      </w:r>
    </w:p>
    <w:p>
      <w:pPr>
        <w:spacing w:line="520" w:lineRule="exact"/>
        <w:jc w:val="center"/>
        <w:outlineLvl w:val="2"/>
        <w:rPr>
          <w:rFonts w:hint="eastAsia" w:asciiTheme="majorEastAsia" w:hAnsiTheme="majorEastAsia" w:eastAsiaTheme="majorEastAsia" w:cstheme="majorEastAsia"/>
          <w:b/>
          <w:bCs/>
          <w:kern w:val="0"/>
          <w:sz w:val="40"/>
          <w:szCs w:val="44"/>
        </w:rPr>
      </w:pPr>
      <w:bookmarkStart w:id="155" w:name="_Toc28519"/>
      <w:r>
        <w:rPr>
          <w:rFonts w:hint="eastAsia" w:asciiTheme="majorEastAsia" w:hAnsiTheme="majorEastAsia" w:eastAsiaTheme="majorEastAsia" w:cstheme="majorEastAsia"/>
          <w:b/>
          <w:bCs/>
          <w:kern w:val="0"/>
          <w:sz w:val="40"/>
          <w:szCs w:val="44"/>
        </w:rPr>
        <w:t>服务工作经费预算项目支出绩效自评报告</w:t>
      </w:r>
      <w:bookmarkEnd w:id="155"/>
    </w:p>
    <w:p>
      <w:pPr>
        <w:spacing w:line="520" w:lineRule="exact"/>
        <w:jc w:val="center"/>
        <w:rPr>
          <w:rFonts w:ascii="方正小标宋简体" w:eastAsia="方正小标宋简体"/>
          <w:sz w:val="44"/>
          <w:szCs w:val="44"/>
        </w:rPr>
      </w:pPr>
    </w:p>
    <w:p>
      <w:pPr>
        <w:autoSpaceDE w:val="0"/>
        <w:spacing w:line="520" w:lineRule="exact"/>
        <w:ind w:firstLine="616" w:firstLineChars="200"/>
        <w:outlineLvl w:val="1"/>
        <w:rPr>
          <w:rFonts w:ascii="黑体" w:hAnsi="黑体" w:eastAsia="黑体"/>
          <w:spacing w:val="-6"/>
          <w:sz w:val="32"/>
          <w:szCs w:val="32"/>
        </w:rPr>
      </w:pPr>
      <w:bookmarkStart w:id="156" w:name="_Toc15276"/>
      <w:r>
        <w:rPr>
          <w:rFonts w:hint="eastAsia" w:ascii="黑体" w:hAnsi="黑体" w:eastAsia="黑体"/>
          <w:spacing w:val="-6"/>
          <w:sz w:val="32"/>
          <w:szCs w:val="32"/>
        </w:rPr>
        <w:t>一、项目概况</w:t>
      </w:r>
      <w:bookmarkEnd w:id="156"/>
    </w:p>
    <w:p>
      <w:pPr>
        <w:spacing w:line="520" w:lineRule="exact"/>
        <w:ind w:firstLine="616" w:firstLineChars="200"/>
        <w:jc w:val="left"/>
        <w:rPr>
          <w:rFonts w:ascii="仿宋_GB2312" w:hAnsi="仿宋_GB2312" w:eastAsia="仿宋_GB2312" w:cs="仿宋_GB2312"/>
          <w:sz w:val="32"/>
          <w:szCs w:val="32"/>
        </w:rPr>
      </w:pPr>
      <w:r>
        <w:rPr>
          <w:rFonts w:hint="eastAsia" w:ascii="仿宋_GB2312" w:eastAsia="仿宋_GB2312"/>
          <w:spacing w:val="-6"/>
          <w:sz w:val="32"/>
          <w:szCs w:val="32"/>
        </w:rPr>
        <w:t>朝天区“天府科技云服务中心”于2020年9月建立，中心建在朝天镇大中坝凯城.尼斯商业广场二楼（朝天电商城内），使用面积117平方米，配备了必备的办公设施设备，有运维服务人员6人，其中：专职3人，兼职3人，聘请第三方服务机构1个，中心设科技工作者服务部、企事业单位服务部、全民科普服务部、宣传推广服务部、技术保障服务部和办公室等6个部室。中心自建立以来，我们严格按要求开展运维工作，</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建立村（社区）智慧科普员队伍。139个村（社区）全覆盖建立村（社区）“智慧科普传播员”基层组织体系，实现一村（社区）一智慧传播员工作格局。</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深入推进“天府科技云”服务。持续组织辖区内企事业单位、农技协、农民专业合作社和城乡群众进行注册认证，截止去年底，平台注册个人用户6895人，组织机构注册339个，建立科创工作室403个，新增精准科普服务群众数1952人，精准科普服务量达44.9万条。</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实施科普共享基地能力提升项目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9家科普共享基地通过引导员工、游客下载“天府科技云”APP,利用基地资源开展各具特色的科普活动，“天府科技云”品牌效应进一步提升。2022年区科协被省科协表彰为全省2022年精准服务科技工作者（团队）、精准服务创新驱动发展、精准服务全民科学素质提升成效突出单位。</w:t>
      </w:r>
    </w:p>
    <w:p>
      <w:pPr>
        <w:autoSpaceDE w:val="0"/>
        <w:spacing w:line="52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（一）项目资金申报及批复情况。</w:t>
      </w:r>
      <w:r>
        <w:rPr>
          <w:rFonts w:hint="eastAsia" w:ascii="仿宋_GB2312" w:eastAsia="仿宋_GB2312"/>
          <w:spacing w:val="-6"/>
          <w:sz w:val="32"/>
          <w:szCs w:val="32"/>
        </w:rPr>
        <w:t>该项目资金年初申报5万元、批复5万元，符合资金管理办法的相关规定。</w:t>
      </w:r>
    </w:p>
    <w:p>
      <w:pPr>
        <w:autoSpaceDE w:val="0"/>
        <w:spacing w:line="52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（二）项目绩效目标。</w:t>
      </w:r>
      <w:r>
        <w:rPr>
          <w:rFonts w:hint="eastAsia" w:ascii="仿宋_GB2312" w:eastAsia="仿宋_GB2312"/>
          <w:spacing w:val="-6"/>
          <w:sz w:val="32"/>
          <w:szCs w:val="32"/>
        </w:rPr>
        <w:t>该项目主要是印制宣传物资，开展培训，加大平台宣传推广，聘请第三方机构，强力推进工作落实。主要实施内容包括，印发天府科技云注册相关资料4000册，聘请第三方机构1个。</w:t>
      </w:r>
    </w:p>
    <w:p>
      <w:pPr>
        <w:autoSpaceDE w:val="0"/>
        <w:spacing w:line="52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（三）项目资金申报相符性。</w:t>
      </w:r>
      <w:r>
        <w:rPr>
          <w:rFonts w:hint="eastAsia" w:ascii="仿宋_GB2312" w:eastAsia="仿宋_GB2312"/>
          <w:spacing w:val="-6"/>
          <w:sz w:val="32"/>
          <w:szCs w:val="32"/>
        </w:rPr>
        <w:t>该项目申报内容与具体实施内容相符、申报目标合理可行。</w:t>
      </w:r>
    </w:p>
    <w:p>
      <w:pPr>
        <w:autoSpaceDE w:val="0"/>
        <w:spacing w:line="520" w:lineRule="exact"/>
        <w:ind w:firstLine="616" w:firstLineChars="200"/>
        <w:outlineLvl w:val="1"/>
        <w:rPr>
          <w:rFonts w:ascii="黑体" w:hAnsi="黑体" w:eastAsia="黑体"/>
          <w:spacing w:val="-6"/>
          <w:sz w:val="32"/>
          <w:szCs w:val="32"/>
        </w:rPr>
      </w:pPr>
      <w:bookmarkStart w:id="157" w:name="_Toc30688"/>
      <w:r>
        <w:rPr>
          <w:rFonts w:hint="eastAsia" w:ascii="黑体" w:hAnsi="黑体" w:eastAsia="黑体"/>
          <w:spacing w:val="-6"/>
          <w:sz w:val="32"/>
          <w:szCs w:val="32"/>
        </w:rPr>
        <w:t>二、项目实施及管理情况</w:t>
      </w:r>
      <w:bookmarkEnd w:id="157"/>
    </w:p>
    <w:p>
      <w:pPr>
        <w:autoSpaceDE w:val="0"/>
        <w:spacing w:line="520" w:lineRule="exact"/>
        <w:ind w:firstLine="616" w:firstLineChars="200"/>
        <w:outlineLvl w:val="2"/>
        <w:rPr>
          <w:rFonts w:ascii="楷体_GB2312" w:eastAsia="楷体_GB2312"/>
          <w:bCs/>
          <w:spacing w:val="-6"/>
          <w:sz w:val="32"/>
          <w:szCs w:val="32"/>
        </w:rPr>
      </w:pPr>
      <w:bookmarkStart w:id="158" w:name="_Toc9321"/>
      <w:r>
        <w:rPr>
          <w:rFonts w:hint="eastAsia" w:ascii="楷体_GB2312" w:eastAsia="楷体_GB2312"/>
          <w:bCs/>
          <w:spacing w:val="-6"/>
          <w:sz w:val="32"/>
          <w:szCs w:val="32"/>
        </w:rPr>
        <w:t>（一）资金计划、到位及使用情况</w:t>
      </w:r>
      <w:bookmarkEnd w:id="158"/>
    </w:p>
    <w:p>
      <w:pPr>
        <w:autoSpaceDE w:val="0"/>
        <w:spacing w:line="520" w:lineRule="exact"/>
        <w:ind w:firstLine="616" w:firstLineChars="200"/>
        <w:rPr>
          <w:rFonts w:ascii="仿宋_GB2312" w:eastAsia="仿宋_GB2312"/>
          <w:spacing w:val="-6"/>
          <w:sz w:val="32"/>
          <w:szCs w:val="32"/>
        </w:rPr>
      </w:pPr>
      <w:r>
        <w:rPr>
          <w:rFonts w:hint="eastAsia" w:ascii="仿宋_GB2312" w:eastAsia="仿宋_GB2312"/>
          <w:spacing w:val="-6"/>
          <w:sz w:val="32"/>
          <w:szCs w:val="32"/>
        </w:rPr>
        <w:t>1.资金计划及到位。该项目资金于2022年12月31日前全部实施到位，资金到位率100%。</w:t>
      </w:r>
    </w:p>
    <w:p>
      <w:pPr>
        <w:autoSpaceDE w:val="0"/>
        <w:spacing w:line="520" w:lineRule="exact"/>
        <w:ind w:firstLine="616" w:firstLineChars="200"/>
        <w:rPr>
          <w:rFonts w:ascii="仿宋_GB2312" w:eastAsia="仿宋_GB2312"/>
          <w:spacing w:val="-6"/>
          <w:sz w:val="32"/>
          <w:szCs w:val="32"/>
        </w:rPr>
      </w:pPr>
      <w:r>
        <w:rPr>
          <w:rFonts w:hint="eastAsia" w:ascii="仿宋_GB2312" w:eastAsia="仿宋_GB2312"/>
          <w:spacing w:val="-6"/>
          <w:sz w:val="32"/>
          <w:szCs w:val="32"/>
        </w:rPr>
        <w:t>2.资金使用。该项目截止评价时点资金的实际支出5万元，主要用于印制宣传资料，注册培训，引进第三方服务机构工作。支付依据合规合法，资金支付与预算相符。</w:t>
      </w:r>
    </w:p>
    <w:p>
      <w:pPr>
        <w:autoSpaceDE w:val="0"/>
        <w:spacing w:line="520" w:lineRule="exact"/>
        <w:ind w:firstLine="616" w:firstLineChars="200"/>
        <w:outlineLvl w:val="2"/>
        <w:rPr>
          <w:rFonts w:ascii="楷体_GB2312" w:eastAsia="楷体_GB2312"/>
          <w:bCs/>
          <w:spacing w:val="-6"/>
          <w:sz w:val="32"/>
          <w:szCs w:val="32"/>
        </w:rPr>
      </w:pPr>
      <w:bookmarkStart w:id="159" w:name="_Toc28365"/>
      <w:r>
        <w:rPr>
          <w:rFonts w:hint="eastAsia" w:ascii="楷体_GB2312" w:eastAsia="楷体_GB2312"/>
          <w:bCs/>
          <w:spacing w:val="-6"/>
          <w:sz w:val="32"/>
          <w:szCs w:val="32"/>
        </w:rPr>
        <w:t>（二）项目财务管理情况</w:t>
      </w:r>
      <w:bookmarkEnd w:id="159"/>
    </w:p>
    <w:p>
      <w:pPr>
        <w:autoSpaceDE w:val="0"/>
        <w:spacing w:line="520" w:lineRule="exact"/>
        <w:ind w:firstLine="616" w:firstLineChars="200"/>
        <w:rPr>
          <w:rFonts w:ascii="仿宋_GB2312" w:eastAsia="仿宋_GB2312"/>
          <w:spacing w:val="-6"/>
          <w:sz w:val="32"/>
          <w:szCs w:val="32"/>
        </w:rPr>
      </w:pPr>
      <w:r>
        <w:rPr>
          <w:rFonts w:hint="eastAsia" w:ascii="仿宋_GB2312" w:eastAsia="仿宋_GB2312"/>
          <w:spacing w:val="-6"/>
          <w:sz w:val="32"/>
          <w:szCs w:val="32"/>
        </w:rPr>
        <w:t>区科协</w:t>
      </w:r>
      <w:r>
        <w:rPr>
          <w:rFonts w:hint="eastAsia" w:ascii="仿宋_GB2312" w:eastAsia="仿宋_GB2312"/>
          <w:spacing w:val="-6"/>
          <w:sz w:val="32"/>
          <w:szCs w:val="32"/>
          <w:lang w:eastAsia="zh-CN"/>
        </w:rPr>
        <w:t>建立健全</w:t>
      </w:r>
      <w:r>
        <w:rPr>
          <w:rFonts w:hint="eastAsia" w:ascii="仿宋_GB2312" w:eastAsia="仿宋_GB2312"/>
          <w:spacing w:val="-6"/>
          <w:sz w:val="32"/>
          <w:szCs w:val="32"/>
        </w:rPr>
        <w:t>了项目财务管理制度、机构的设置、规范了会计核算及账务处理等相关工作。该项目严格执行财务管理制度、财务处理及时、会计核算规范。</w:t>
      </w:r>
    </w:p>
    <w:p>
      <w:pPr>
        <w:autoSpaceDE w:val="0"/>
        <w:spacing w:line="520" w:lineRule="exact"/>
        <w:ind w:firstLine="616" w:firstLineChars="200"/>
        <w:outlineLvl w:val="2"/>
        <w:rPr>
          <w:rFonts w:ascii="楷体_GB2312" w:eastAsia="楷体_GB2312"/>
          <w:bCs/>
          <w:spacing w:val="-6"/>
          <w:sz w:val="32"/>
          <w:szCs w:val="32"/>
        </w:rPr>
      </w:pPr>
      <w:bookmarkStart w:id="160" w:name="_Toc1369"/>
      <w:r>
        <w:rPr>
          <w:rFonts w:hint="eastAsia" w:ascii="楷体_GB2312" w:eastAsia="楷体_GB2312"/>
          <w:bCs/>
          <w:spacing w:val="-6"/>
          <w:sz w:val="32"/>
          <w:szCs w:val="32"/>
        </w:rPr>
        <w:t>（三）项目组织实施情况</w:t>
      </w:r>
      <w:bookmarkEnd w:id="160"/>
    </w:p>
    <w:p>
      <w:pPr>
        <w:autoSpaceDE w:val="0"/>
        <w:spacing w:line="520" w:lineRule="exact"/>
        <w:ind w:firstLine="616" w:firstLineChars="200"/>
        <w:rPr>
          <w:rFonts w:ascii="仿宋_GB2312" w:eastAsia="仿宋_GB2312"/>
          <w:spacing w:val="-6"/>
          <w:sz w:val="32"/>
          <w:szCs w:val="32"/>
        </w:rPr>
      </w:pPr>
      <w:r>
        <w:rPr>
          <w:rFonts w:hint="eastAsia" w:ascii="仿宋_GB2312" w:eastAsia="仿宋_GB2312"/>
          <w:spacing w:val="-6"/>
          <w:sz w:val="32"/>
          <w:szCs w:val="32"/>
        </w:rPr>
        <w:t>项目组织管理架构及具体实施流程，我单位项目实施具体由科普部根据项目要求组织实施，严格执行相关管理制度。</w:t>
      </w:r>
    </w:p>
    <w:p>
      <w:pPr>
        <w:autoSpaceDE w:val="0"/>
        <w:spacing w:line="520" w:lineRule="exact"/>
        <w:ind w:firstLine="616" w:firstLineChars="200"/>
        <w:outlineLvl w:val="1"/>
        <w:rPr>
          <w:rFonts w:ascii="黑体" w:hAnsi="黑体" w:eastAsia="黑体"/>
          <w:spacing w:val="-6"/>
          <w:sz w:val="32"/>
          <w:szCs w:val="32"/>
        </w:rPr>
      </w:pPr>
      <w:bookmarkStart w:id="161" w:name="_Toc28544"/>
      <w:r>
        <w:rPr>
          <w:rFonts w:hint="eastAsia" w:ascii="黑体" w:hAnsi="黑体" w:eastAsia="黑体"/>
          <w:spacing w:val="-6"/>
          <w:sz w:val="32"/>
          <w:szCs w:val="32"/>
        </w:rPr>
        <w:t>三、项目绩效情况</w:t>
      </w:r>
      <w:bookmarkEnd w:id="161"/>
      <w:r>
        <w:rPr>
          <w:rFonts w:hint="eastAsia" w:ascii="黑体" w:hAnsi="黑体" w:eastAsia="黑体"/>
          <w:spacing w:val="-6"/>
          <w:sz w:val="32"/>
          <w:szCs w:val="32"/>
        </w:rPr>
        <w:tab/>
      </w:r>
    </w:p>
    <w:p>
      <w:pPr>
        <w:autoSpaceDE w:val="0"/>
        <w:spacing w:line="520" w:lineRule="exact"/>
        <w:ind w:firstLine="616" w:firstLineChars="200"/>
        <w:outlineLvl w:val="2"/>
        <w:rPr>
          <w:rFonts w:ascii="楷体_GB2312" w:eastAsia="楷体_GB2312"/>
          <w:bCs/>
          <w:spacing w:val="-6"/>
          <w:sz w:val="32"/>
          <w:szCs w:val="32"/>
        </w:rPr>
      </w:pPr>
      <w:bookmarkStart w:id="162" w:name="_Toc15066"/>
      <w:r>
        <w:rPr>
          <w:rFonts w:hint="eastAsia" w:ascii="楷体_GB2312" w:eastAsia="楷体_GB2312"/>
          <w:bCs/>
          <w:spacing w:val="-6"/>
          <w:sz w:val="32"/>
          <w:szCs w:val="32"/>
        </w:rPr>
        <w:t>（一）项目完成情况</w:t>
      </w:r>
      <w:bookmarkEnd w:id="162"/>
    </w:p>
    <w:p>
      <w:pPr>
        <w:autoSpaceDE w:val="0"/>
        <w:spacing w:line="520" w:lineRule="exact"/>
        <w:ind w:firstLine="616" w:firstLineChars="200"/>
        <w:rPr>
          <w:rFonts w:ascii="仿宋_GB2312" w:eastAsia="仿宋_GB2312"/>
          <w:spacing w:val="-6"/>
          <w:sz w:val="32"/>
          <w:szCs w:val="32"/>
        </w:rPr>
      </w:pPr>
      <w:r>
        <w:rPr>
          <w:rFonts w:hint="eastAsia" w:ascii="仿宋_GB2312" w:eastAsia="仿宋_GB2312"/>
          <w:spacing w:val="-6"/>
          <w:sz w:val="32"/>
          <w:szCs w:val="32"/>
        </w:rPr>
        <w:t>该项目严格按年初预算完成了印制宣传资料4000册，每册5元，完成第三方服务机构入驻每年3万元。截止评价时点，我单位按质按量按时全面完成了年初项目计划。</w:t>
      </w:r>
    </w:p>
    <w:p>
      <w:pPr>
        <w:autoSpaceDE w:val="0"/>
        <w:spacing w:line="520" w:lineRule="exact"/>
        <w:ind w:firstLine="616" w:firstLineChars="200"/>
        <w:outlineLvl w:val="2"/>
        <w:rPr>
          <w:rFonts w:ascii="楷体_GB2312" w:eastAsia="楷体_GB2312"/>
          <w:bCs/>
          <w:spacing w:val="-6"/>
          <w:sz w:val="32"/>
          <w:szCs w:val="32"/>
        </w:rPr>
      </w:pPr>
      <w:bookmarkStart w:id="163" w:name="_Toc16848"/>
      <w:r>
        <w:rPr>
          <w:rFonts w:hint="eastAsia" w:ascii="楷体_GB2312" w:eastAsia="楷体_GB2312"/>
          <w:bCs/>
          <w:spacing w:val="-6"/>
          <w:sz w:val="32"/>
          <w:szCs w:val="32"/>
        </w:rPr>
        <w:t>（二）项目效益情况</w:t>
      </w:r>
      <w:bookmarkEnd w:id="163"/>
    </w:p>
    <w:p>
      <w:pPr>
        <w:autoSpaceDE w:val="0"/>
        <w:spacing w:line="520" w:lineRule="exact"/>
        <w:ind w:firstLine="616" w:firstLineChars="200"/>
        <w:rPr>
          <w:rFonts w:ascii="仿宋_GB2312" w:eastAsia="仿宋_GB2312"/>
          <w:spacing w:val="-6"/>
          <w:sz w:val="32"/>
          <w:szCs w:val="32"/>
        </w:rPr>
      </w:pPr>
      <w:r>
        <w:rPr>
          <w:rFonts w:hint="eastAsia" w:ascii="仿宋_GB2312" w:eastAsia="仿宋_GB2312"/>
          <w:spacing w:val="-6"/>
          <w:sz w:val="32"/>
          <w:szCs w:val="32"/>
        </w:rPr>
        <w:t>该项目经济效益：依托平台通过发布科技所能、科技所需，为企业增效，为科技工作者增收、社会效益：为广大人民群众提供权威的“直达科普、精准科普、智慧科普”服务；生态效益：为广大人民群和企事业单位提供科技服务，增加科技含量，减少资源浪费和环境污染，维护生态发展平衡、可持续效益：通过不断加大科技服务，推动社会广泛参与度，巩固和持续提升全民科学素质，服务对象满意度为90%。</w:t>
      </w:r>
    </w:p>
    <w:p>
      <w:pPr>
        <w:autoSpaceDE w:val="0"/>
        <w:spacing w:line="520" w:lineRule="exact"/>
        <w:ind w:firstLine="616" w:firstLineChars="200"/>
        <w:outlineLvl w:val="1"/>
        <w:rPr>
          <w:rFonts w:ascii="黑体" w:hAnsi="黑体" w:eastAsia="黑体"/>
          <w:spacing w:val="-6"/>
          <w:sz w:val="32"/>
          <w:szCs w:val="32"/>
        </w:rPr>
      </w:pPr>
      <w:bookmarkStart w:id="164" w:name="_Toc7827"/>
      <w:r>
        <w:rPr>
          <w:rFonts w:hint="eastAsia" w:ascii="黑体" w:hAnsi="黑体" w:eastAsia="黑体"/>
          <w:spacing w:val="-6"/>
          <w:sz w:val="32"/>
          <w:szCs w:val="32"/>
        </w:rPr>
        <w:t>四、问题及建议</w:t>
      </w:r>
      <w:bookmarkEnd w:id="164"/>
    </w:p>
    <w:p>
      <w:pPr>
        <w:snapToGrid w:val="0"/>
        <w:spacing w:line="520" w:lineRule="exact"/>
        <w:ind w:firstLine="545" w:firstLineChars="177"/>
        <w:rPr>
          <w:rFonts w:ascii="仿宋_GB2312" w:hAnsi="仿宋_GB2312" w:eastAsia="仿宋_GB2312" w:cs="仿宋_GB2312"/>
          <w:sz w:val="32"/>
          <w:szCs w:val="32"/>
        </w:rPr>
      </w:pPr>
      <w:r>
        <w:rPr>
          <w:rFonts w:hint="eastAsia" w:ascii="楷体_GB2312" w:eastAsia="楷体_GB2312"/>
          <w:bCs/>
          <w:spacing w:val="-6"/>
          <w:sz w:val="32"/>
          <w:szCs w:val="32"/>
        </w:rPr>
        <w:t>（一）评价结论。</w:t>
      </w:r>
      <w:r>
        <w:rPr>
          <w:rFonts w:hint="eastAsia" w:ascii="仿宋_GB2312" w:hAnsi="仿宋_GB2312" w:eastAsia="仿宋_GB2312" w:cs="仿宋_GB2312"/>
          <w:sz w:val="32"/>
          <w:szCs w:val="32"/>
        </w:rPr>
        <w:t>天府科技云服务工作在我区持续有效开展搭建平台，使每个科技工作者（团队）、企事业单位、城乡群众都能自主、便捷上传其“科技所能”、“科普所需”，并通过运用大数据、云计算等技术，实现科技供需智能匹配、精准对接、精准服务，从而精准调动广大科技工作者的创新创造活力，为全区广大科技工作者服务，为城乡大众服务。。经过自评，自评得分为96分，我单位管理规范、制度健全，财务开支合理。</w:t>
      </w:r>
    </w:p>
    <w:p>
      <w:pPr>
        <w:autoSpaceDE w:val="0"/>
        <w:spacing w:line="520" w:lineRule="exact"/>
        <w:ind w:firstLine="542" w:firstLineChars="176"/>
        <w:rPr>
          <w:rFonts w:ascii="楷体_GB2312" w:eastAsia="楷体_GB2312"/>
          <w:bCs/>
          <w:spacing w:val="-6"/>
          <w:sz w:val="32"/>
          <w:szCs w:val="32"/>
        </w:rPr>
      </w:pPr>
      <w:r>
        <w:rPr>
          <w:rFonts w:hint="eastAsia" w:ascii="楷体_GB2312" w:eastAsia="楷体_GB2312"/>
          <w:bCs/>
          <w:spacing w:val="-6"/>
          <w:sz w:val="32"/>
          <w:szCs w:val="32"/>
        </w:rPr>
        <w:t>（二）存在的问题：无。</w:t>
      </w:r>
    </w:p>
    <w:p>
      <w:pPr>
        <w:autoSpaceDE w:val="0"/>
        <w:spacing w:line="520" w:lineRule="exact"/>
        <w:ind w:firstLine="542" w:firstLineChars="176"/>
        <w:rPr>
          <w:rFonts w:ascii="仿宋_GB2312" w:eastAsia="仿宋_GB2312"/>
          <w:spacing w:val="-6"/>
          <w:sz w:val="32"/>
          <w:szCs w:val="32"/>
        </w:rPr>
      </w:pPr>
      <w:r>
        <w:rPr>
          <w:rFonts w:hint="eastAsia" w:ascii="楷体_GB2312" w:eastAsia="楷体_GB2312"/>
          <w:bCs/>
          <w:spacing w:val="-6"/>
          <w:sz w:val="32"/>
          <w:szCs w:val="32"/>
        </w:rPr>
        <w:t>（三）相关建议：</w:t>
      </w:r>
      <w:r>
        <w:rPr>
          <w:rFonts w:hint="eastAsia" w:ascii="仿宋_GB2312" w:eastAsia="仿宋_GB2312"/>
          <w:spacing w:val="-6"/>
          <w:sz w:val="32"/>
          <w:szCs w:val="32"/>
        </w:rPr>
        <w:t>无。</w:t>
      </w:r>
    </w:p>
    <w:p>
      <w:pPr>
        <w:spacing w:line="520" w:lineRule="exact"/>
        <w:rPr>
          <w:rFonts w:ascii="仿宋_GB2312" w:eastAsia="仿宋_GB2312"/>
          <w:spacing w:val="-6"/>
          <w:sz w:val="32"/>
          <w:szCs w:val="32"/>
        </w:rPr>
      </w:pPr>
    </w:p>
    <w:p>
      <w:pPr>
        <w:pStyle w:val="2"/>
        <w:spacing w:before="93"/>
      </w:pPr>
    </w:p>
    <w:p>
      <w:pPr>
        <w:pStyle w:val="2"/>
        <w:spacing w:before="93"/>
      </w:pPr>
    </w:p>
    <w:p>
      <w:pPr>
        <w:pStyle w:val="2"/>
        <w:spacing w:before="93"/>
      </w:pPr>
    </w:p>
    <w:p>
      <w:pPr>
        <w:widowControl/>
        <w:spacing w:line="520" w:lineRule="exact"/>
        <w:jc w:val="left"/>
        <w:rPr>
          <w:rFonts w:ascii="仿宋_GB2312" w:eastAsia="仿宋_GB2312"/>
          <w:sz w:val="32"/>
          <w:szCs w:val="32"/>
        </w:rPr>
      </w:pPr>
    </w:p>
    <w:p>
      <w:pPr>
        <w:pStyle w:val="2"/>
      </w:pPr>
    </w:p>
    <w:p>
      <w:pPr>
        <w:pStyle w:val="2"/>
        <w:spacing w:before="93"/>
      </w:pPr>
    </w:p>
    <w:p>
      <w:pPr>
        <w:spacing w:line="520" w:lineRule="exact"/>
        <w:jc w:val="center"/>
        <w:rPr>
          <w:rFonts w:ascii="方正小标宋简体" w:hAnsi="宋体" w:eastAsia="方正小标宋简体"/>
          <w:kern w:val="0"/>
          <w:sz w:val="40"/>
          <w:szCs w:val="44"/>
        </w:rPr>
      </w:pPr>
      <w:r>
        <w:rPr>
          <w:rFonts w:hint="eastAsia" w:ascii="方正小标宋简体" w:hAnsi="宋体" w:eastAsia="方正小标宋简体"/>
          <w:kern w:val="0"/>
          <w:sz w:val="40"/>
          <w:szCs w:val="44"/>
        </w:rPr>
        <w:t>2022年科普宣传经费</w:t>
      </w:r>
    </w:p>
    <w:p>
      <w:pPr>
        <w:spacing w:line="520" w:lineRule="exact"/>
        <w:jc w:val="center"/>
        <w:outlineLvl w:val="2"/>
        <w:rPr>
          <w:rFonts w:ascii="方正小标宋简体" w:hAnsi="宋体" w:eastAsia="方正小标宋简体"/>
          <w:kern w:val="0"/>
          <w:sz w:val="40"/>
          <w:szCs w:val="44"/>
        </w:rPr>
      </w:pPr>
      <w:bookmarkStart w:id="165" w:name="_Toc27977"/>
      <w:r>
        <w:rPr>
          <w:rFonts w:hint="eastAsia" w:ascii="方正小标宋简体" w:hAnsi="宋体" w:eastAsia="方正小标宋简体"/>
          <w:kern w:val="0"/>
          <w:sz w:val="40"/>
          <w:szCs w:val="44"/>
        </w:rPr>
        <w:t>预算项目支出绩效自评报告</w:t>
      </w:r>
      <w:bookmarkEnd w:id="165"/>
    </w:p>
    <w:p>
      <w:pPr>
        <w:spacing w:line="520" w:lineRule="exact"/>
        <w:jc w:val="center"/>
        <w:rPr>
          <w:rFonts w:ascii="方正小标宋简体" w:eastAsia="方正小标宋简体"/>
          <w:sz w:val="44"/>
          <w:szCs w:val="44"/>
        </w:rPr>
      </w:pPr>
    </w:p>
    <w:p>
      <w:pPr>
        <w:autoSpaceDE w:val="0"/>
        <w:spacing w:line="520" w:lineRule="exact"/>
        <w:ind w:firstLine="616" w:firstLineChars="200"/>
        <w:outlineLvl w:val="1"/>
        <w:rPr>
          <w:rFonts w:ascii="黑体" w:hAnsi="黑体" w:eastAsia="黑体"/>
          <w:color w:val="000000"/>
          <w:spacing w:val="-6"/>
          <w:sz w:val="32"/>
          <w:szCs w:val="32"/>
        </w:rPr>
      </w:pPr>
      <w:bookmarkStart w:id="166" w:name="_Toc25689"/>
      <w:r>
        <w:rPr>
          <w:rFonts w:hint="eastAsia" w:ascii="黑体" w:hAnsi="黑体" w:eastAsia="黑体"/>
          <w:color w:val="000000"/>
          <w:spacing w:val="-6"/>
          <w:sz w:val="32"/>
          <w:szCs w:val="32"/>
        </w:rPr>
        <w:t>一、项目概况</w:t>
      </w:r>
      <w:bookmarkEnd w:id="166"/>
    </w:p>
    <w:p>
      <w:pPr>
        <w:autoSpaceDE w:val="0"/>
        <w:spacing w:line="520" w:lineRule="exact"/>
        <w:ind w:firstLine="616" w:firstLineChars="200"/>
        <w:rPr>
          <w:rFonts w:ascii="仿宋_GB2312" w:eastAsia="仿宋_GB2312"/>
          <w:spacing w:val="-6"/>
          <w:sz w:val="32"/>
          <w:szCs w:val="32"/>
        </w:rPr>
      </w:pPr>
      <w:r>
        <w:rPr>
          <w:rFonts w:hint="eastAsia" w:ascii="仿宋_GB2312" w:eastAsia="仿宋_GB2312"/>
          <w:spacing w:val="-6"/>
          <w:sz w:val="32"/>
          <w:szCs w:val="32"/>
        </w:rPr>
        <w:t>介绍项目基本情况，重点说明以下内容：组织老科技工作者围绕</w:t>
      </w:r>
      <w:r>
        <w:rPr>
          <w:rFonts w:hint="eastAsia" w:ascii="Courier New" w:hAnsi="Courier New" w:eastAsia="仿宋_GB2312" w:cs="Courier New"/>
          <w:spacing w:val="-6"/>
          <w:sz w:val="32"/>
          <w:szCs w:val="32"/>
        </w:rPr>
        <w:t>核桃产业发展，深入相关乡镇村组，开展核桃树综合管护技术培训，编印相关宣传资料，依托沙河核桃基地建设，建核桃科普知识宣传栏，更换宣传栏内容等。</w:t>
      </w:r>
    </w:p>
    <w:p>
      <w:pPr>
        <w:autoSpaceDE w:val="0"/>
        <w:spacing w:line="52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（一）项目资金申报及批复情况。</w:t>
      </w:r>
      <w:r>
        <w:rPr>
          <w:rFonts w:hint="eastAsia" w:ascii="仿宋_GB2312" w:eastAsia="仿宋_GB2312"/>
          <w:spacing w:val="-6"/>
          <w:sz w:val="32"/>
          <w:szCs w:val="32"/>
        </w:rPr>
        <w:t>该项目资金申报5万元、批复5万元，符合资金管理办法等相关规定。</w:t>
      </w:r>
    </w:p>
    <w:p>
      <w:pPr>
        <w:autoSpaceDE w:val="0"/>
        <w:spacing w:line="52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（二）项目绩效目标。</w:t>
      </w:r>
      <w:r>
        <w:rPr>
          <w:rFonts w:hint="eastAsia" w:ascii="仿宋_GB2312" w:eastAsia="仿宋_GB2312"/>
          <w:spacing w:val="-6"/>
          <w:sz w:val="32"/>
          <w:szCs w:val="32"/>
        </w:rPr>
        <w:t>该项目主要用于老科协开展科技咨询及科普宣传活动，主要内容包括：印制科普宣传资料5000册，开展科普宣传文艺演出3场次。</w:t>
      </w:r>
    </w:p>
    <w:p>
      <w:pPr>
        <w:autoSpaceDE w:val="0"/>
        <w:spacing w:line="52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（三）项目资金申报相符性。</w:t>
      </w:r>
      <w:r>
        <w:rPr>
          <w:rFonts w:hint="eastAsia" w:ascii="仿宋_GB2312" w:eastAsia="仿宋_GB2312"/>
          <w:spacing w:val="-6"/>
          <w:sz w:val="32"/>
          <w:szCs w:val="32"/>
        </w:rPr>
        <w:t>该项目申报内容与具体实施内容相符、申报目标合理可行。</w:t>
      </w:r>
    </w:p>
    <w:p>
      <w:pPr>
        <w:autoSpaceDE w:val="0"/>
        <w:spacing w:line="520" w:lineRule="exact"/>
        <w:ind w:firstLine="616" w:firstLineChars="200"/>
        <w:outlineLvl w:val="1"/>
        <w:rPr>
          <w:rFonts w:ascii="黑体" w:hAnsi="黑体" w:eastAsia="黑体"/>
          <w:spacing w:val="-6"/>
          <w:sz w:val="32"/>
          <w:szCs w:val="32"/>
        </w:rPr>
      </w:pPr>
      <w:bookmarkStart w:id="167" w:name="_Toc24319"/>
      <w:r>
        <w:rPr>
          <w:rFonts w:hint="eastAsia" w:ascii="黑体" w:hAnsi="黑体" w:eastAsia="黑体"/>
          <w:spacing w:val="-6"/>
          <w:sz w:val="32"/>
          <w:szCs w:val="32"/>
        </w:rPr>
        <w:t>二、项目实施及管理情况</w:t>
      </w:r>
      <w:bookmarkEnd w:id="167"/>
    </w:p>
    <w:p>
      <w:pPr>
        <w:autoSpaceDE w:val="0"/>
        <w:spacing w:line="520" w:lineRule="exact"/>
        <w:ind w:firstLine="616" w:firstLineChars="200"/>
        <w:outlineLvl w:val="2"/>
        <w:rPr>
          <w:rFonts w:ascii="楷体_GB2312" w:eastAsia="楷体_GB2312"/>
          <w:bCs/>
          <w:spacing w:val="-6"/>
          <w:sz w:val="32"/>
          <w:szCs w:val="32"/>
        </w:rPr>
      </w:pPr>
      <w:bookmarkStart w:id="168" w:name="_Toc29501"/>
      <w:r>
        <w:rPr>
          <w:rFonts w:hint="eastAsia" w:ascii="楷体_GB2312" w:eastAsia="楷体_GB2312"/>
          <w:bCs/>
          <w:spacing w:val="-6"/>
          <w:sz w:val="32"/>
          <w:szCs w:val="32"/>
        </w:rPr>
        <w:t>（一）资金计划、到位及使用情况</w:t>
      </w:r>
      <w:bookmarkEnd w:id="168"/>
    </w:p>
    <w:p>
      <w:pPr>
        <w:autoSpaceDE w:val="0"/>
        <w:spacing w:line="520" w:lineRule="exact"/>
        <w:ind w:firstLine="616" w:firstLineChars="200"/>
        <w:rPr>
          <w:rFonts w:ascii="仿宋_GB2312" w:eastAsia="仿宋_GB2312"/>
          <w:spacing w:val="-6"/>
          <w:sz w:val="32"/>
          <w:szCs w:val="32"/>
        </w:rPr>
      </w:pPr>
      <w:r>
        <w:rPr>
          <w:rFonts w:hint="eastAsia" w:ascii="仿宋_GB2312" w:eastAsia="仿宋_GB2312"/>
          <w:spacing w:val="-6"/>
          <w:sz w:val="32"/>
          <w:szCs w:val="32"/>
        </w:rPr>
        <w:t>1.资金计划及到位。该项目资金计划及截止评价时点实际到位情况5万元，资金到位率100%。</w:t>
      </w:r>
    </w:p>
    <w:p>
      <w:pPr>
        <w:autoSpaceDE w:val="0"/>
        <w:spacing w:line="520" w:lineRule="exact"/>
        <w:ind w:firstLine="616" w:firstLineChars="200"/>
        <w:rPr>
          <w:rFonts w:ascii="仿宋_GB2312" w:eastAsia="仿宋_GB2312"/>
          <w:spacing w:val="-6"/>
          <w:sz w:val="32"/>
          <w:szCs w:val="32"/>
        </w:rPr>
      </w:pPr>
      <w:r>
        <w:rPr>
          <w:rFonts w:hint="eastAsia" w:ascii="仿宋_GB2312" w:eastAsia="仿宋_GB2312"/>
          <w:spacing w:val="-6"/>
          <w:sz w:val="32"/>
          <w:szCs w:val="32"/>
        </w:rPr>
        <w:t>2.资金使用。截止评价时点项目资金的实际支出5万元，主要用于印制科普宣传资料、科普培训和文艺演出等。支付依据合规合法，资金支付与预算相符。</w:t>
      </w:r>
    </w:p>
    <w:p>
      <w:pPr>
        <w:autoSpaceDE w:val="0"/>
        <w:spacing w:line="520" w:lineRule="exact"/>
        <w:ind w:firstLine="616" w:firstLineChars="200"/>
        <w:outlineLvl w:val="2"/>
        <w:rPr>
          <w:rFonts w:ascii="楷体_GB2312" w:eastAsia="楷体_GB2312"/>
          <w:bCs/>
          <w:spacing w:val="-6"/>
          <w:sz w:val="32"/>
          <w:szCs w:val="32"/>
        </w:rPr>
      </w:pPr>
      <w:bookmarkStart w:id="169" w:name="_Toc32480"/>
      <w:r>
        <w:rPr>
          <w:rFonts w:hint="eastAsia" w:ascii="楷体_GB2312" w:eastAsia="楷体_GB2312"/>
          <w:bCs/>
          <w:spacing w:val="-6"/>
          <w:sz w:val="32"/>
          <w:szCs w:val="32"/>
        </w:rPr>
        <w:t>（二）项目财务管理情况</w:t>
      </w:r>
      <w:bookmarkEnd w:id="169"/>
    </w:p>
    <w:p>
      <w:pPr>
        <w:autoSpaceDE w:val="0"/>
        <w:spacing w:line="520" w:lineRule="exact"/>
        <w:ind w:firstLine="616" w:firstLineChars="200"/>
        <w:rPr>
          <w:rFonts w:ascii="仿宋_GB2312" w:eastAsia="仿宋_GB2312"/>
          <w:spacing w:val="-6"/>
          <w:sz w:val="32"/>
          <w:szCs w:val="32"/>
        </w:rPr>
      </w:pPr>
      <w:r>
        <w:rPr>
          <w:rFonts w:hint="eastAsia" w:ascii="仿宋_GB2312" w:eastAsia="仿宋_GB2312"/>
          <w:spacing w:val="-6"/>
          <w:sz w:val="32"/>
          <w:szCs w:val="32"/>
        </w:rPr>
        <w:t>区科协</w:t>
      </w:r>
      <w:r>
        <w:rPr>
          <w:rFonts w:hint="eastAsia" w:ascii="仿宋_GB2312" w:eastAsia="仿宋_GB2312"/>
          <w:spacing w:val="-6"/>
          <w:sz w:val="32"/>
          <w:szCs w:val="32"/>
          <w:lang w:eastAsia="zh-CN"/>
        </w:rPr>
        <w:t>建立健全</w:t>
      </w:r>
      <w:r>
        <w:rPr>
          <w:rFonts w:hint="eastAsia" w:ascii="仿宋_GB2312" w:eastAsia="仿宋_GB2312"/>
          <w:spacing w:val="-6"/>
          <w:sz w:val="32"/>
          <w:szCs w:val="32"/>
        </w:rPr>
        <w:t>了项目财务管理制度、机构的设置、规范了会计核算及账务处理等相关工作。该项目严格执行财务管理制度、财务处理及时、会计核算规范。</w:t>
      </w:r>
    </w:p>
    <w:p>
      <w:pPr>
        <w:autoSpaceDE w:val="0"/>
        <w:spacing w:line="520" w:lineRule="exact"/>
        <w:ind w:firstLine="616" w:firstLineChars="200"/>
        <w:outlineLvl w:val="2"/>
        <w:rPr>
          <w:rFonts w:ascii="楷体_GB2312" w:eastAsia="楷体_GB2312"/>
          <w:bCs/>
          <w:spacing w:val="-6"/>
          <w:sz w:val="32"/>
          <w:szCs w:val="32"/>
        </w:rPr>
      </w:pPr>
      <w:bookmarkStart w:id="170" w:name="_Toc17420"/>
      <w:r>
        <w:rPr>
          <w:rFonts w:hint="eastAsia" w:ascii="楷体_GB2312" w:eastAsia="楷体_GB2312"/>
          <w:bCs/>
          <w:spacing w:val="-6"/>
          <w:sz w:val="32"/>
          <w:szCs w:val="32"/>
        </w:rPr>
        <w:t>（三）项目组织实施情况</w:t>
      </w:r>
      <w:bookmarkEnd w:id="170"/>
    </w:p>
    <w:p>
      <w:pPr>
        <w:autoSpaceDE w:val="0"/>
        <w:spacing w:line="520" w:lineRule="exact"/>
        <w:ind w:firstLine="616" w:firstLineChars="200"/>
        <w:rPr>
          <w:rFonts w:ascii="仿宋_GB2312" w:eastAsia="仿宋_GB2312"/>
          <w:spacing w:val="-6"/>
          <w:sz w:val="32"/>
          <w:szCs w:val="32"/>
        </w:rPr>
      </w:pPr>
      <w:r>
        <w:rPr>
          <w:rFonts w:hint="eastAsia" w:ascii="仿宋_GB2312" w:eastAsia="仿宋_GB2312"/>
          <w:spacing w:val="-6"/>
          <w:sz w:val="32"/>
          <w:szCs w:val="32"/>
        </w:rPr>
        <w:t>项目组织管理架构及具体实施流程，我单位项目实施具体由科普部根据项目要求组织实施，严格执行相关管理制度。</w:t>
      </w:r>
    </w:p>
    <w:p>
      <w:pPr>
        <w:autoSpaceDE w:val="0"/>
        <w:spacing w:line="520" w:lineRule="exact"/>
        <w:ind w:firstLine="616" w:firstLineChars="200"/>
        <w:outlineLvl w:val="1"/>
        <w:rPr>
          <w:rFonts w:ascii="黑体" w:hAnsi="黑体" w:eastAsia="黑体"/>
          <w:spacing w:val="-6"/>
          <w:sz w:val="32"/>
          <w:szCs w:val="32"/>
        </w:rPr>
      </w:pPr>
      <w:bookmarkStart w:id="171" w:name="_Toc14524"/>
      <w:r>
        <w:rPr>
          <w:rFonts w:hint="eastAsia" w:ascii="黑体" w:hAnsi="黑体" w:eastAsia="黑体"/>
          <w:spacing w:val="-6"/>
          <w:sz w:val="32"/>
          <w:szCs w:val="32"/>
        </w:rPr>
        <w:t>三、项目绩效情况</w:t>
      </w:r>
      <w:bookmarkEnd w:id="171"/>
      <w:r>
        <w:rPr>
          <w:rFonts w:hint="eastAsia" w:ascii="黑体" w:hAnsi="黑体" w:eastAsia="黑体"/>
          <w:spacing w:val="-6"/>
          <w:sz w:val="32"/>
          <w:szCs w:val="32"/>
        </w:rPr>
        <w:tab/>
      </w:r>
    </w:p>
    <w:p>
      <w:pPr>
        <w:autoSpaceDE w:val="0"/>
        <w:spacing w:line="520" w:lineRule="exact"/>
        <w:ind w:firstLine="616" w:firstLineChars="200"/>
        <w:outlineLvl w:val="2"/>
        <w:rPr>
          <w:rFonts w:ascii="楷体_GB2312" w:eastAsia="楷体_GB2312"/>
          <w:bCs/>
          <w:spacing w:val="-6"/>
          <w:sz w:val="32"/>
          <w:szCs w:val="32"/>
        </w:rPr>
      </w:pPr>
      <w:bookmarkStart w:id="172" w:name="_Toc22724"/>
      <w:r>
        <w:rPr>
          <w:rFonts w:hint="eastAsia" w:ascii="楷体_GB2312" w:eastAsia="楷体_GB2312"/>
          <w:bCs/>
          <w:spacing w:val="-6"/>
          <w:sz w:val="32"/>
          <w:szCs w:val="32"/>
        </w:rPr>
        <w:t>（一）项目完成情况</w:t>
      </w:r>
      <w:bookmarkEnd w:id="172"/>
    </w:p>
    <w:p>
      <w:pPr>
        <w:autoSpaceDE w:val="0"/>
        <w:spacing w:line="520" w:lineRule="exact"/>
        <w:ind w:firstLine="616" w:firstLineChars="200"/>
        <w:rPr>
          <w:rFonts w:ascii="仿宋_GB2312" w:eastAsia="仿宋_GB2312"/>
          <w:spacing w:val="-6"/>
          <w:sz w:val="32"/>
          <w:szCs w:val="32"/>
        </w:rPr>
      </w:pPr>
      <w:r>
        <w:rPr>
          <w:rFonts w:hint="eastAsia" w:ascii="仿宋_GB2312" w:eastAsia="仿宋_GB2312"/>
          <w:spacing w:val="-6"/>
          <w:sz w:val="32"/>
          <w:szCs w:val="32"/>
        </w:rPr>
        <w:t>该项目严格按年初预算完成了印制科普宣传资料5000册，每册7元；开展科普培训和文艺演出3场次，每场5000元。截止评价时点，我单位按质按量按时全面完成了年初项目计划。</w:t>
      </w:r>
    </w:p>
    <w:p>
      <w:pPr>
        <w:autoSpaceDE w:val="0"/>
        <w:spacing w:line="520" w:lineRule="exact"/>
        <w:ind w:firstLine="616" w:firstLineChars="200"/>
        <w:outlineLvl w:val="2"/>
        <w:rPr>
          <w:rFonts w:ascii="楷体_GB2312" w:eastAsia="楷体_GB2312"/>
          <w:bCs/>
          <w:spacing w:val="-6"/>
          <w:sz w:val="32"/>
          <w:szCs w:val="32"/>
        </w:rPr>
      </w:pPr>
      <w:bookmarkStart w:id="173" w:name="_Toc24150"/>
      <w:r>
        <w:rPr>
          <w:rFonts w:hint="eastAsia" w:ascii="楷体_GB2312" w:eastAsia="楷体_GB2312"/>
          <w:bCs/>
          <w:spacing w:val="-6"/>
          <w:sz w:val="32"/>
          <w:szCs w:val="32"/>
        </w:rPr>
        <w:t>（二）项目效益情况</w:t>
      </w:r>
      <w:bookmarkEnd w:id="173"/>
    </w:p>
    <w:p>
      <w:pPr>
        <w:autoSpaceDE w:val="0"/>
        <w:spacing w:line="520" w:lineRule="exact"/>
        <w:ind w:firstLine="616" w:firstLineChars="200"/>
        <w:rPr>
          <w:rFonts w:ascii="仿宋_GB2312" w:eastAsia="仿宋_GB2312"/>
          <w:spacing w:val="-6"/>
          <w:sz w:val="32"/>
          <w:szCs w:val="32"/>
        </w:rPr>
      </w:pPr>
      <w:r>
        <w:rPr>
          <w:rFonts w:hint="eastAsia" w:ascii="仿宋_GB2312" w:eastAsia="仿宋_GB2312"/>
          <w:spacing w:val="-6"/>
          <w:sz w:val="32"/>
          <w:szCs w:val="32"/>
        </w:rPr>
        <w:t>该项目社会效益：提高全区公民科学素质，弘扬科学精神，普及科学知识，传播科学思想和科学方法，捍卫科学尊严，推广先进技术等；可持续效益：提高全区公民科学素质，弘扬科学精神，普及科学知识，传播科学思想和科学方法，捍卫科学尊严，推广先进技术；服务对象满意度90%。</w:t>
      </w:r>
    </w:p>
    <w:p>
      <w:pPr>
        <w:autoSpaceDE w:val="0"/>
        <w:spacing w:line="520" w:lineRule="exact"/>
        <w:ind w:firstLine="616" w:firstLineChars="200"/>
        <w:outlineLvl w:val="1"/>
        <w:rPr>
          <w:rFonts w:ascii="黑体" w:hAnsi="黑体" w:eastAsia="黑体"/>
          <w:spacing w:val="-6"/>
          <w:sz w:val="32"/>
          <w:szCs w:val="32"/>
        </w:rPr>
      </w:pPr>
      <w:bookmarkStart w:id="174" w:name="_Toc15568"/>
      <w:r>
        <w:rPr>
          <w:rFonts w:hint="eastAsia" w:ascii="黑体" w:hAnsi="黑体" w:eastAsia="黑体"/>
          <w:spacing w:val="-6"/>
          <w:sz w:val="32"/>
          <w:szCs w:val="32"/>
        </w:rPr>
        <w:t>四、问题及建议</w:t>
      </w:r>
      <w:bookmarkEnd w:id="174"/>
    </w:p>
    <w:p>
      <w:pPr>
        <w:snapToGrid w:val="0"/>
        <w:spacing w:line="520" w:lineRule="exact"/>
        <w:ind w:firstLine="545" w:firstLineChars="177"/>
        <w:rPr>
          <w:rFonts w:ascii="仿宋_GB2312" w:hAnsi="仿宋_GB2312" w:eastAsia="仿宋_GB2312" w:cs="仿宋_GB2312"/>
          <w:sz w:val="32"/>
          <w:szCs w:val="32"/>
        </w:rPr>
      </w:pPr>
      <w:r>
        <w:rPr>
          <w:rFonts w:hint="eastAsia" w:ascii="楷体_GB2312" w:eastAsia="楷体_GB2312"/>
          <w:bCs/>
          <w:spacing w:val="-6"/>
          <w:sz w:val="32"/>
          <w:szCs w:val="32"/>
        </w:rPr>
        <w:t>（一）评价结论。</w:t>
      </w:r>
      <w:r>
        <w:rPr>
          <w:rFonts w:hint="eastAsia" w:ascii="仿宋_GB2312" w:hAnsi="仿宋_GB2312" w:eastAsia="仿宋_GB2312" w:cs="仿宋_GB2312"/>
          <w:sz w:val="32"/>
          <w:szCs w:val="32"/>
        </w:rPr>
        <w:t>2022年在上级科协的大力支持下，认真贯彻落实党的二十大精神，团结动员广大科技工作者，全面提高科学素质，积极开展科普活动，全力推进系统改革，取得了较好的工作绩效。经过自评，自评得分为96分，我单位管理规范、制度健全，财务开支合理。</w:t>
      </w:r>
    </w:p>
    <w:p>
      <w:pPr>
        <w:autoSpaceDE w:val="0"/>
        <w:spacing w:line="520" w:lineRule="exact"/>
        <w:ind w:firstLine="542" w:firstLineChars="176"/>
        <w:rPr>
          <w:rFonts w:ascii="楷体_GB2312" w:eastAsia="楷体_GB2312"/>
          <w:bCs/>
          <w:spacing w:val="-6"/>
          <w:sz w:val="32"/>
          <w:szCs w:val="32"/>
        </w:rPr>
      </w:pPr>
      <w:r>
        <w:rPr>
          <w:rFonts w:hint="eastAsia" w:ascii="楷体_GB2312" w:eastAsia="楷体_GB2312"/>
          <w:bCs/>
          <w:spacing w:val="-6"/>
          <w:sz w:val="32"/>
          <w:szCs w:val="32"/>
        </w:rPr>
        <w:t>（二）存在的问题：无。</w:t>
      </w:r>
    </w:p>
    <w:p>
      <w:pPr>
        <w:autoSpaceDE w:val="0"/>
        <w:spacing w:line="520" w:lineRule="exact"/>
        <w:ind w:firstLine="542" w:firstLineChars="176"/>
        <w:rPr>
          <w:rFonts w:ascii="仿宋_GB2312" w:eastAsia="仿宋_GB2312"/>
          <w:spacing w:val="-6"/>
          <w:sz w:val="32"/>
          <w:szCs w:val="32"/>
        </w:rPr>
      </w:pPr>
      <w:r>
        <w:rPr>
          <w:rFonts w:hint="eastAsia" w:ascii="楷体_GB2312" w:eastAsia="楷体_GB2312"/>
          <w:bCs/>
          <w:spacing w:val="-6"/>
          <w:sz w:val="32"/>
          <w:szCs w:val="32"/>
        </w:rPr>
        <w:t>（三）相关建议：</w:t>
      </w:r>
      <w:r>
        <w:rPr>
          <w:rFonts w:hint="eastAsia" w:ascii="仿宋_GB2312" w:eastAsia="仿宋_GB2312"/>
          <w:spacing w:val="-6"/>
          <w:sz w:val="32"/>
          <w:szCs w:val="32"/>
        </w:rPr>
        <w:t>无。</w:t>
      </w:r>
    </w:p>
    <w:p>
      <w:pPr>
        <w:spacing w:line="520" w:lineRule="exact"/>
        <w:ind w:left="2156" w:hanging="2156" w:hangingChars="700"/>
        <w:rPr>
          <w:rFonts w:ascii="仿宋_GB2312" w:hAnsi="宋体" w:eastAsia="仿宋_GB2312"/>
          <w:color w:val="000000"/>
          <w:spacing w:val="-6"/>
          <w:kern w:val="0"/>
          <w:sz w:val="32"/>
          <w:szCs w:val="32"/>
        </w:rPr>
      </w:pPr>
      <w:r>
        <w:rPr>
          <w:rFonts w:hint="eastAsia" w:ascii="仿宋_GB2312" w:hAnsi="宋体" w:eastAsia="仿宋_GB2312"/>
          <w:color w:val="000000"/>
          <w:spacing w:val="-6"/>
          <w:kern w:val="0"/>
          <w:sz w:val="32"/>
          <w:szCs w:val="32"/>
        </w:rPr>
        <w:t xml:space="preserve">    </w:t>
      </w:r>
    </w:p>
    <w:p>
      <w:pPr>
        <w:pStyle w:val="2"/>
        <w:spacing w:before="93"/>
      </w:pPr>
    </w:p>
    <w:p>
      <w:pPr>
        <w:pStyle w:val="2"/>
        <w:spacing w:before="93"/>
      </w:pPr>
    </w:p>
    <w:p>
      <w:pPr>
        <w:snapToGrid w:val="0"/>
        <w:spacing w:line="520" w:lineRule="exact"/>
        <w:jc w:val="both"/>
        <w:rPr>
          <w:rFonts w:hint="eastAsia" w:ascii="方正小标宋简体" w:hAnsi="宋体" w:eastAsia="方正小标宋简体"/>
          <w:kern w:val="0"/>
          <w:sz w:val="40"/>
          <w:szCs w:val="44"/>
        </w:rPr>
      </w:pPr>
    </w:p>
    <w:p>
      <w:pPr>
        <w:snapToGrid w:val="0"/>
        <w:spacing w:line="520" w:lineRule="exact"/>
        <w:jc w:val="center"/>
        <w:rPr>
          <w:rFonts w:ascii="方正小标宋简体" w:hAnsi="宋体" w:eastAsia="方正小标宋简体"/>
          <w:kern w:val="0"/>
          <w:sz w:val="40"/>
          <w:szCs w:val="44"/>
        </w:rPr>
      </w:pPr>
      <w:r>
        <w:rPr>
          <w:rFonts w:hint="eastAsia" w:ascii="方正小标宋简体" w:hAnsi="宋体" w:eastAsia="方正小标宋简体"/>
          <w:kern w:val="0"/>
          <w:sz w:val="40"/>
          <w:szCs w:val="44"/>
        </w:rPr>
        <w:t>2022年科普经费</w:t>
      </w:r>
    </w:p>
    <w:p>
      <w:pPr>
        <w:snapToGrid w:val="0"/>
        <w:spacing w:line="520" w:lineRule="exact"/>
        <w:jc w:val="center"/>
        <w:outlineLvl w:val="2"/>
        <w:rPr>
          <w:rFonts w:ascii="方正小标宋简体" w:hAnsi="宋体" w:eastAsia="方正小标宋简体"/>
          <w:kern w:val="0"/>
          <w:sz w:val="40"/>
          <w:szCs w:val="44"/>
        </w:rPr>
      </w:pPr>
      <w:bookmarkStart w:id="175" w:name="_Toc13120"/>
      <w:r>
        <w:rPr>
          <w:rFonts w:hint="eastAsia" w:ascii="方正小标宋简体" w:hAnsi="宋体" w:eastAsia="方正小标宋简体"/>
          <w:kern w:val="0"/>
          <w:sz w:val="40"/>
          <w:szCs w:val="44"/>
        </w:rPr>
        <w:t>预算项目支出绩效自评报告</w:t>
      </w:r>
      <w:bookmarkEnd w:id="175"/>
    </w:p>
    <w:p>
      <w:pPr>
        <w:autoSpaceDE w:val="0"/>
        <w:spacing w:line="520" w:lineRule="exact"/>
        <w:ind w:firstLine="542" w:firstLineChars="176"/>
        <w:rPr>
          <w:rFonts w:ascii="黑体" w:hAnsi="黑体" w:eastAsia="黑体"/>
          <w:spacing w:val="-6"/>
          <w:sz w:val="32"/>
          <w:szCs w:val="32"/>
        </w:rPr>
      </w:pPr>
    </w:p>
    <w:p>
      <w:pPr>
        <w:autoSpaceDE w:val="0"/>
        <w:spacing w:line="520" w:lineRule="exact"/>
        <w:ind w:firstLine="542" w:firstLineChars="176"/>
        <w:outlineLvl w:val="1"/>
        <w:rPr>
          <w:rFonts w:ascii="黑体" w:hAnsi="黑体" w:eastAsia="黑体"/>
          <w:spacing w:val="-6"/>
          <w:sz w:val="32"/>
          <w:szCs w:val="32"/>
        </w:rPr>
      </w:pPr>
      <w:bookmarkStart w:id="176" w:name="_Toc15370"/>
      <w:r>
        <w:rPr>
          <w:rFonts w:hint="eastAsia" w:ascii="黑体" w:hAnsi="黑体" w:eastAsia="黑体"/>
          <w:spacing w:val="-6"/>
          <w:sz w:val="32"/>
          <w:szCs w:val="32"/>
        </w:rPr>
        <w:t>一、项目概况</w:t>
      </w:r>
      <w:bookmarkEnd w:id="176"/>
    </w:p>
    <w:p>
      <w:pPr>
        <w:adjustRightInd w:val="0"/>
        <w:snapToGrid w:val="0"/>
        <w:spacing w:line="520" w:lineRule="exact"/>
        <w:ind w:firstLine="542" w:firstLineChars="176"/>
        <w:rPr>
          <w:rFonts w:ascii="仿宋_GB2312" w:eastAsia="仿宋_GB2312"/>
          <w:spacing w:val="-6"/>
          <w:sz w:val="32"/>
          <w:szCs w:val="32"/>
        </w:rPr>
      </w:pPr>
      <w:r>
        <w:rPr>
          <w:rFonts w:hint="eastAsia" w:ascii="楷体_GB2312" w:eastAsia="楷体_GB2312"/>
          <w:bCs/>
          <w:spacing w:val="-6"/>
          <w:sz w:val="32"/>
          <w:szCs w:val="32"/>
        </w:rPr>
        <w:t>（一）项目资金申报及批复情况。</w:t>
      </w:r>
      <w:r>
        <w:rPr>
          <w:rFonts w:hint="eastAsia" w:ascii="仿宋_GB2312" w:eastAsia="仿宋_GB2312"/>
          <w:spacing w:val="-6"/>
          <w:sz w:val="32"/>
          <w:szCs w:val="32"/>
        </w:rPr>
        <w:t>为充分发挥科协科技工作在发展先进生产力和社会主义物质文明建设中的重要作用，根据市委办《关于印发〈广元市科协系统改革方案〉的通知》（广委办函</w:t>
      </w:r>
      <w:r>
        <w:rPr>
          <w:rFonts w:hint="eastAsia" w:ascii="宋体" w:hAnsi="宋体" w:cs="宋体"/>
          <w:spacing w:val="-6"/>
          <w:sz w:val="32"/>
          <w:szCs w:val="32"/>
        </w:rPr>
        <w:t>﹝</w:t>
      </w:r>
      <w:r>
        <w:rPr>
          <w:rFonts w:hint="eastAsia" w:ascii="仿宋_GB2312" w:eastAsia="仿宋_GB2312"/>
          <w:spacing w:val="-6"/>
          <w:sz w:val="32"/>
          <w:szCs w:val="32"/>
        </w:rPr>
        <w:t>2017</w:t>
      </w:r>
      <w:r>
        <w:rPr>
          <w:rFonts w:hint="eastAsia" w:ascii="宋体" w:hAnsi="宋体" w:cs="宋体"/>
          <w:spacing w:val="-6"/>
          <w:sz w:val="32"/>
          <w:szCs w:val="32"/>
        </w:rPr>
        <w:t>﹞</w:t>
      </w:r>
      <w:r>
        <w:rPr>
          <w:rFonts w:hint="eastAsia" w:ascii="仿宋_GB2312" w:eastAsia="仿宋_GB2312"/>
          <w:spacing w:val="-6"/>
          <w:sz w:val="32"/>
          <w:szCs w:val="32"/>
        </w:rPr>
        <w:t>131号）文件要求，区科协经费列入同级财政预算，科普经费标准按照全区总人口不低于人均1元标准足额保障到位，2022年年初申报预算10万元，符合资金管理办法等相关规定。</w:t>
      </w:r>
    </w:p>
    <w:p>
      <w:pPr>
        <w:autoSpaceDE w:val="0"/>
        <w:spacing w:line="520" w:lineRule="exact"/>
        <w:ind w:firstLine="542" w:firstLineChars="176"/>
        <w:rPr>
          <w:rFonts w:ascii="仿宋_GB2312" w:eastAsia="仿宋_GB2312"/>
          <w:spacing w:val="-6"/>
          <w:sz w:val="32"/>
          <w:szCs w:val="32"/>
        </w:rPr>
      </w:pPr>
      <w:r>
        <w:rPr>
          <w:rFonts w:hint="eastAsia" w:ascii="楷体_GB2312" w:eastAsia="楷体_GB2312"/>
          <w:bCs/>
          <w:spacing w:val="-6"/>
          <w:sz w:val="32"/>
          <w:szCs w:val="32"/>
        </w:rPr>
        <w:t>（二）项目绩效目标。</w:t>
      </w:r>
      <w:r>
        <w:rPr>
          <w:rFonts w:hint="eastAsia" w:ascii="仿宋_GB2312" w:eastAsia="仿宋_GB2312"/>
          <w:spacing w:val="-6"/>
          <w:sz w:val="32"/>
          <w:szCs w:val="32"/>
        </w:rPr>
        <w:t>提高全区公民科学素质，弘扬科学精神，普及科学知识，传播科学思想和科学方法，捍卫科学尊严，推广先进技术等。2022年全年计划开展新媒体宣传活动2场次，更换科普画廊内容2期，更换科普宣传栏内容500平方米，组织科普培训20场次，印发科普宣传资料6000册。该项目于2022年12月31日前完成。</w:t>
      </w:r>
    </w:p>
    <w:p>
      <w:pPr>
        <w:autoSpaceDE w:val="0"/>
        <w:spacing w:line="520" w:lineRule="exact"/>
        <w:ind w:firstLine="542" w:firstLineChars="176"/>
        <w:rPr>
          <w:rFonts w:ascii="仿宋_GB2312" w:eastAsia="仿宋_GB2312"/>
          <w:spacing w:val="-6"/>
          <w:sz w:val="32"/>
          <w:szCs w:val="32"/>
        </w:rPr>
      </w:pPr>
      <w:r>
        <w:rPr>
          <w:rFonts w:hint="eastAsia" w:ascii="楷体_GB2312" w:eastAsia="楷体_GB2312"/>
          <w:bCs/>
          <w:spacing w:val="-6"/>
          <w:sz w:val="32"/>
          <w:szCs w:val="32"/>
        </w:rPr>
        <w:t>（三）项目资金申报相符性。</w:t>
      </w:r>
      <w:r>
        <w:rPr>
          <w:rFonts w:hint="eastAsia" w:ascii="仿宋_GB2312" w:eastAsia="仿宋_GB2312"/>
          <w:spacing w:val="-6"/>
          <w:sz w:val="32"/>
          <w:szCs w:val="32"/>
        </w:rPr>
        <w:t>该项目申报内容与具体实施内容相符、申报目标合理可行。</w:t>
      </w:r>
    </w:p>
    <w:p>
      <w:pPr>
        <w:autoSpaceDE w:val="0"/>
        <w:spacing w:line="520" w:lineRule="exact"/>
        <w:ind w:firstLine="542" w:firstLineChars="176"/>
        <w:outlineLvl w:val="1"/>
        <w:rPr>
          <w:rFonts w:ascii="黑体" w:hAnsi="黑体" w:eastAsia="黑体"/>
          <w:spacing w:val="-6"/>
          <w:sz w:val="32"/>
          <w:szCs w:val="32"/>
        </w:rPr>
      </w:pPr>
      <w:bookmarkStart w:id="177" w:name="_Toc14413"/>
      <w:r>
        <w:rPr>
          <w:rFonts w:hint="eastAsia" w:ascii="黑体" w:hAnsi="黑体" w:eastAsia="黑体"/>
          <w:spacing w:val="-6"/>
          <w:sz w:val="32"/>
          <w:szCs w:val="32"/>
        </w:rPr>
        <w:t>二、项目实施及管理情况</w:t>
      </w:r>
      <w:bookmarkEnd w:id="177"/>
    </w:p>
    <w:p>
      <w:pPr>
        <w:autoSpaceDE w:val="0"/>
        <w:spacing w:line="520" w:lineRule="exact"/>
        <w:ind w:firstLine="542" w:firstLineChars="176"/>
        <w:outlineLvl w:val="2"/>
        <w:rPr>
          <w:rFonts w:ascii="楷体_GB2312" w:eastAsia="楷体_GB2312"/>
          <w:bCs/>
          <w:spacing w:val="-6"/>
          <w:sz w:val="32"/>
          <w:szCs w:val="32"/>
        </w:rPr>
      </w:pPr>
      <w:bookmarkStart w:id="178" w:name="_Toc11982"/>
      <w:r>
        <w:rPr>
          <w:rFonts w:hint="eastAsia" w:ascii="楷体_GB2312" w:eastAsia="楷体_GB2312"/>
          <w:bCs/>
          <w:spacing w:val="-6"/>
          <w:sz w:val="32"/>
          <w:szCs w:val="32"/>
        </w:rPr>
        <w:t>（一）资金计划、到位及使用情况</w:t>
      </w:r>
      <w:bookmarkEnd w:id="178"/>
    </w:p>
    <w:p>
      <w:pPr>
        <w:autoSpaceDE w:val="0"/>
        <w:spacing w:line="520" w:lineRule="exact"/>
        <w:ind w:firstLine="542" w:firstLineChars="176"/>
        <w:rPr>
          <w:rFonts w:ascii="仿宋_GB2312" w:eastAsia="仿宋_GB2312"/>
          <w:spacing w:val="-6"/>
          <w:sz w:val="32"/>
          <w:szCs w:val="32"/>
        </w:rPr>
      </w:pPr>
      <w:r>
        <w:rPr>
          <w:rFonts w:hint="eastAsia" w:ascii="仿宋_GB2312" w:eastAsia="仿宋_GB2312"/>
          <w:spacing w:val="-6"/>
          <w:sz w:val="32"/>
          <w:szCs w:val="32"/>
        </w:rPr>
        <w:t>1.资金计划及到位。该项目资金截止评价时点已全部到位。资金到位率100%。</w:t>
      </w:r>
    </w:p>
    <w:p>
      <w:pPr>
        <w:autoSpaceDE w:val="0"/>
        <w:spacing w:line="520" w:lineRule="exact"/>
        <w:ind w:firstLine="542" w:firstLineChars="176"/>
        <w:rPr>
          <w:rFonts w:ascii="仿宋_GB2312" w:eastAsia="仿宋_GB2312"/>
          <w:spacing w:val="-6"/>
          <w:sz w:val="32"/>
          <w:szCs w:val="32"/>
        </w:rPr>
      </w:pPr>
      <w:r>
        <w:rPr>
          <w:rFonts w:hint="eastAsia" w:ascii="仿宋_GB2312" w:eastAsia="仿宋_GB2312"/>
          <w:spacing w:val="-6"/>
          <w:sz w:val="32"/>
          <w:szCs w:val="32"/>
        </w:rPr>
        <w:t>2.资金使用。截止评价时点科普经费实际支出10万元，主要用于印发科普宣传资料，更换科普画廊，更换科普宣传栏内容，组织科普培训等工作，支付依据合规合法，资金支付与预算相符。</w:t>
      </w:r>
    </w:p>
    <w:p>
      <w:pPr>
        <w:autoSpaceDE w:val="0"/>
        <w:spacing w:line="520" w:lineRule="exact"/>
        <w:ind w:firstLine="542" w:firstLineChars="176"/>
        <w:outlineLvl w:val="2"/>
        <w:rPr>
          <w:rFonts w:ascii="楷体_GB2312" w:eastAsia="楷体_GB2312"/>
          <w:bCs/>
          <w:spacing w:val="-6"/>
          <w:sz w:val="32"/>
          <w:szCs w:val="32"/>
        </w:rPr>
      </w:pPr>
      <w:bookmarkStart w:id="179" w:name="_Toc15327"/>
      <w:r>
        <w:rPr>
          <w:rFonts w:hint="eastAsia" w:ascii="楷体_GB2312" w:eastAsia="楷体_GB2312"/>
          <w:bCs/>
          <w:spacing w:val="-6"/>
          <w:sz w:val="32"/>
          <w:szCs w:val="32"/>
        </w:rPr>
        <w:t>（二）项目财务管理情况</w:t>
      </w:r>
      <w:bookmarkEnd w:id="179"/>
    </w:p>
    <w:p>
      <w:pPr>
        <w:autoSpaceDE w:val="0"/>
        <w:spacing w:line="520" w:lineRule="exact"/>
        <w:ind w:firstLine="542" w:firstLineChars="176"/>
        <w:rPr>
          <w:rFonts w:ascii="仿宋_GB2312" w:eastAsia="仿宋_GB2312"/>
          <w:spacing w:val="-6"/>
          <w:sz w:val="32"/>
          <w:szCs w:val="32"/>
        </w:rPr>
      </w:pPr>
      <w:r>
        <w:rPr>
          <w:rFonts w:hint="eastAsia" w:ascii="仿宋_GB2312" w:eastAsia="仿宋_GB2312"/>
          <w:spacing w:val="-6"/>
          <w:sz w:val="32"/>
          <w:szCs w:val="32"/>
        </w:rPr>
        <w:t>区科协</w:t>
      </w:r>
      <w:r>
        <w:rPr>
          <w:rFonts w:hint="eastAsia" w:ascii="仿宋_GB2312" w:eastAsia="仿宋_GB2312"/>
          <w:spacing w:val="-6"/>
          <w:sz w:val="32"/>
          <w:szCs w:val="32"/>
          <w:lang w:eastAsia="zh-CN"/>
        </w:rPr>
        <w:t>建立健全</w:t>
      </w:r>
      <w:r>
        <w:rPr>
          <w:rFonts w:hint="eastAsia" w:ascii="仿宋_GB2312" w:eastAsia="仿宋_GB2312"/>
          <w:spacing w:val="-6"/>
          <w:sz w:val="32"/>
          <w:szCs w:val="32"/>
        </w:rPr>
        <w:t>了项目财务管理制度、机构的设置、规范了会计核算及账务处理等相关工作。该项目严格执行财务管理制度、财务处理及时、会计核算规范。</w:t>
      </w:r>
    </w:p>
    <w:p>
      <w:pPr>
        <w:autoSpaceDE w:val="0"/>
        <w:spacing w:line="520" w:lineRule="exact"/>
        <w:ind w:firstLine="542" w:firstLineChars="176"/>
        <w:outlineLvl w:val="2"/>
        <w:rPr>
          <w:rFonts w:ascii="楷体_GB2312" w:eastAsia="楷体_GB2312"/>
          <w:bCs/>
          <w:spacing w:val="-6"/>
          <w:sz w:val="32"/>
          <w:szCs w:val="32"/>
        </w:rPr>
      </w:pPr>
      <w:bookmarkStart w:id="180" w:name="_Toc27555"/>
      <w:r>
        <w:rPr>
          <w:rFonts w:hint="eastAsia" w:ascii="楷体_GB2312" w:eastAsia="楷体_GB2312"/>
          <w:bCs/>
          <w:spacing w:val="-6"/>
          <w:sz w:val="32"/>
          <w:szCs w:val="32"/>
        </w:rPr>
        <w:t>（三）项目组织实施情况</w:t>
      </w:r>
      <w:bookmarkEnd w:id="180"/>
    </w:p>
    <w:p>
      <w:pPr>
        <w:autoSpaceDE w:val="0"/>
        <w:spacing w:line="520" w:lineRule="exact"/>
        <w:ind w:firstLine="542" w:firstLineChars="176"/>
        <w:rPr>
          <w:rFonts w:ascii="仿宋_GB2312" w:eastAsia="仿宋_GB2312"/>
          <w:spacing w:val="-6"/>
          <w:sz w:val="32"/>
          <w:szCs w:val="32"/>
        </w:rPr>
      </w:pPr>
      <w:r>
        <w:rPr>
          <w:rFonts w:hint="eastAsia" w:ascii="仿宋_GB2312" w:eastAsia="仿宋_GB2312"/>
          <w:spacing w:val="-6"/>
          <w:sz w:val="32"/>
          <w:szCs w:val="32"/>
        </w:rPr>
        <w:t>项目组织管理架构及具体实施流程，我单位项目实施具体由科普部根据项目要求组织实施，严格执行相关管理制度。</w:t>
      </w:r>
    </w:p>
    <w:p>
      <w:pPr>
        <w:autoSpaceDE w:val="0"/>
        <w:spacing w:line="520" w:lineRule="exact"/>
        <w:ind w:firstLine="542" w:firstLineChars="176"/>
        <w:outlineLvl w:val="1"/>
        <w:rPr>
          <w:rFonts w:ascii="黑体" w:hAnsi="黑体" w:eastAsia="黑体"/>
          <w:spacing w:val="-6"/>
          <w:sz w:val="32"/>
          <w:szCs w:val="32"/>
        </w:rPr>
      </w:pPr>
      <w:bookmarkStart w:id="181" w:name="_Toc7517"/>
      <w:r>
        <w:rPr>
          <w:rFonts w:hint="eastAsia" w:ascii="黑体" w:hAnsi="黑体" w:eastAsia="黑体"/>
          <w:spacing w:val="-6"/>
          <w:sz w:val="32"/>
          <w:szCs w:val="32"/>
        </w:rPr>
        <w:t>三、项目绩效情况</w:t>
      </w:r>
      <w:bookmarkEnd w:id="181"/>
      <w:r>
        <w:rPr>
          <w:rFonts w:hint="eastAsia" w:ascii="黑体" w:hAnsi="黑体" w:eastAsia="黑体"/>
          <w:spacing w:val="-6"/>
          <w:sz w:val="32"/>
          <w:szCs w:val="32"/>
        </w:rPr>
        <w:tab/>
      </w:r>
    </w:p>
    <w:p>
      <w:pPr>
        <w:autoSpaceDE w:val="0"/>
        <w:spacing w:line="520" w:lineRule="exact"/>
        <w:ind w:firstLine="542" w:firstLineChars="176"/>
        <w:outlineLvl w:val="2"/>
        <w:rPr>
          <w:rFonts w:ascii="楷体_GB2312" w:eastAsia="楷体_GB2312"/>
          <w:bCs/>
          <w:spacing w:val="-6"/>
          <w:sz w:val="32"/>
          <w:szCs w:val="32"/>
        </w:rPr>
      </w:pPr>
      <w:bookmarkStart w:id="182" w:name="_Toc13135"/>
      <w:r>
        <w:rPr>
          <w:rFonts w:hint="eastAsia" w:ascii="楷体_GB2312" w:eastAsia="楷体_GB2312"/>
          <w:bCs/>
          <w:spacing w:val="-6"/>
          <w:sz w:val="32"/>
          <w:szCs w:val="32"/>
        </w:rPr>
        <w:t>（一）项目完成情况</w:t>
      </w:r>
      <w:bookmarkEnd w:id="182"/>
    </w:p>
    <w:p>
      <w:pPr>
        <w:autoSpaceDE w:val="0"/>
        <w:spacing w:line="520" w:lineRule="exact"/>
        <w:ind w:firstLine="542" w:firstLineChars="176"/>
        <w:rPr>
          <w:rFonts w:ascii="仿宋_GB2312" w:eastAsia="仿宋_GB2312"/>
          <w:spacing w:val="-6"/>
          <w:sz w:val="32"/>
          <w:szCs w:val="32"/>
        </w:rPr>
      </w:pPr>
      <w:r>
        <w:rPr>
          <w:rFonts w:hint="eastAsia" w:ascii="仿宋_GB2312" w:eastAsia="仿宋_GB2312"/>
          <w:spacing w:val="-6"/>
          <w:sz w:val="32"/>
          <w:szCs w:val="32"/>
        </w:rPr>
        <w:t>该项目严格按年初预算完成了新媒体宣传活动2场次，每场次10000元；更换科普画廊内容2期，每期5000元；更换科普宣传栏内容500平方米，每平方40元；组织科普培训20场次，每场次1000元；印发科普宣传资料6000册,每册5元。截止评价时点，我单位按质按量按时全面完成了年初项目计划。</w:t>
      </w:r>
    </w:p>
    <w:p>
      <w:pPr>
        <w:keepNext w:val="0"/>
        <w:keepLines w:val="0"/>
        <w:pageBreakBefore w:val="0"/>
        <w:widowControl w:val="0"/>
        <w:kinsoku/>
        <w:wordWrap/>
        <w:overflowPunct/>
        <w:topLinePunct w:val="0"/>
        <w:autoSpaceDE w:val="0"/>
        <w:autoSpaceDN/>
        <w:bidi w:val="0"/>
        <w:adjustRightInd/>
        <w:spacing w:line="510" w:lineRule="exact"/>
        <w:ind w:firstLine="542" w:firstLineChars="176"/>
        <w:textAlignment w:val="auto"/>
        <w:outlineLvl w:val="2"/>
        <w:rPr>
          <w:rFonts w:ascii="楷体_GB2312" w:eastAsia="楷体_GB2312"/>
          <w:bCs/>
          <w:spacing w:val="-6"/>
          <w:sz w:val="32"/>
          <w:szCs w:val="32"/>
        </w:rPr>
      </w:pPr>
      <w:bookmarkStart w:id="183" w:name="_Toc25997"/>
      <w:r>
        <w:rPr>
          <w:rFonts w:hint="eastAsia" w:ascii="楷体_GB2312" w:eastAsia="楷体_GB2312"/>
          <w:bCs/>
          <w:spacing w:val="-6"/>
          <w:sz w:val="32"/>
          <w:szCs w:val="32"/>
        </w:rPr>
        <w:t>（二）项目效益情况</w:t>
      </w:r>
      <w:bookmarkEnd w:id="183"/>
    </w:p>
    <w:p>
      <w:pPr>
        <w:keepNext w:val="0"/>
        <w:keepLines w:val="0"/>
        <w:pageBreakBefore w:val="0"/>
        <w:widowControl w:val="0"/>
        <w:kinsoku/>
        <w:wordWrap/>
        <w:overflowPunct/>
        <w:topLinePunct w:val="0"/>
        <w:autoSpaceDE w:val="0"/>
        <w:autoSpaceDN/>
        <w:bidi w:val="0"/>
        <w:adjustRightInd/>
        <w:spacing w:line="510" w:lineRule="exact"/>
        <w:ind w:firstLine="542" w:firstLineChars="176"/>
        <w:textAlignment w:val="auto"/>
        <w:rPr>
          <w:rFonts w:ascii="仿宋_GB2312" w:eastAsia="仿宋_GB2312"/>
          <w:spacing w:val="-6"/>
          <w:sz w:val="32"/>
          <w:szCs w:val="32"/>
        </w:rPr>
      </w:pPr>
      <w:r>
        <w:rPr>
          <w:rFonts w:hint="eastAsia" w:ascii="仿宋_GB2312" w:eastAsia="仿宋_GB2312"/>
          <w:spacing w:val="-6"/>
          <w:sz w:val="32"/>
          <w:szCs w:val="32"/>
        </w:rPr>
        <w:t>该项目社会效益：提高了全区公民科学素质，弘扬了科学精神，普及了科学知识，传播了科学思想和科学方法，捍卫了科学尊严，推广了先进技术等；可持续效益：提高全区公民科学素质，弘扬科学精神，普及科学知识，传播科学思想和科学方法，捍卫科学尊严，推广先进技术等、服务对象满意度为90%。</w:t>
      </w:r>
    </w:p>
    <w:p>
      <w:pPr>
        <w:keepNext w:val="0"/>
        <w:keepLines w:val="0"/>
        <w:pageBreakBefore w:val="0"/>
        <w:widowControl w:val="0"/>
        <w:kinsoku/>
        <w:wordWrap/>
        <w:overflowPunct/>
        <w:topLinePunct w:val="0"/>
        <w:autoSpaceDE w:val="0"/>
        <w:autoSpaceDN/>
        <w:bidi w:val="0"/>
        <w:adjustRightInd/>
        <w:spacing w:line="510" w:lineRule="exact"/>
        <w:ind w:firstLine="542" w:firstLineChars="176"/>
        <w:textAlignment w:val="auto"/>
        <w:outlineLvl w:val="1"/>
        <w:rPr>
          <w:rFonts w:ascii="黑体" w:hAnsi="黑体" w:eastAsia="黑体"/>
          <w:spacing w:val="-6"/>
          <w:sz w:val="32"/>
          <w:szCs w:val="32"/>
        </w:rPr>
      </w:pPr>
      <w:bookmarkStart w:id="184" w:name="_Toc21060"/>
      <w:r>
        <w:rPr>
          <w:rFonts w:hint="eastAsia" w:ascii="黑体" w:hAnsi="黑体" w:eastAsia="黑体"/>
          <w:spacing w:val="-6"/>
          <w:sz w:val="32"/>
          <w:szCs w:val="32"/>
        </w:rPr>
        <w:t>四、问题及建议</w:t>
      </w:r>
      <w:bookmarkEnd w:id="184"/>
    </w:p>
    <w:p>
      <w:pPr>
        <w:keepNext w:val="0"/>
        <w:keepLines w:val="0"/>
        <w:pageBreakBefore w:val="0"/>
        <w:widowControl w:val="0"/>
        <w:kinsoku/>
        <w:wordWrap/>
        <w:overflowPunct/>
        <w:topLinePunct w:val="0"/>
        <w:autoSpaceDN/>
        <w:bidi w:val="0"/>
        <w:adjustRightInd/>
        <w:snapToGrid w:val="0"/>
        <w:spacing w:line="510" w:lineRule="exact"/>
        <w:ind w:firstLine="545" w:firstLineChars="177"/>
        <w:textAlignment w:val="auto"/>
        <w:rPr>
          <w:rFonts w:ascii="仿宋_GB2312" w:hAnsi="仿宋_GB2312" w:eastAsia="仿宋_GB2312" w:cs="仿宋_GB2312"/>
          <w:sz w:val="32"/>
          <w:szCs w:val="32"/>
        </w:rPr>
      </w:pPr>
      <w:r>
        <w:rPr>
          <w:rFonts w:hint="eastAsia" w:ascii="楷体_GB2312" w:eastAsia="楷体_GB2312"/>
          <w:bCs/>
          <w:spacing w:val="-6"/>
          <w:sz w:val="32"/>
          <w:szCs w:val="32"/>
        </w:rPr>
        <w:t>（一）评价结论。</w:t>
      </w:r>
      <w:r>
        <w:rPr>
          <w:rFonts w:hint="eastAsia" w:ascii="仿宋_GB2312" w:hAnsi="仿宋_GB2312" w:eastAsia="仿宋_GB2312" w:cs="仿宋_GB2312"/>
          <w:sz w:val="32"/>
          <w:szCs w:val="32"/>
        </w:rPr>
        <w:t>2022年在上级科协的大力支持下，认真贯彻落实党的二十大精神，团结动员广大科技工作者，全面提高科学素质，积极开展科普活动，全力推进系统改革，取得了较好的工作绩效。经过自评，自评得分为96分，我单位管理规范、制度健全，财务开支合理。</w:t>
      </w:r>
    </w:p>
    <w:p>
      <w:pPr>
        <w:keepNext w:val="0"/>
        <w:keepLines w:val="0"/>
        <w:pageBreakBefore w:val="0"/>
        <w:widowControl w:val="0"/>
        <w:kinsoku/>
        <w:wordWrap/>
        <w:overflowPunct/>
        <w:topLinePunct w:val="0"/>
        <w:autoSpaceDE w:val="0"/>
        <w:autoSpaceDN/>
        <w:bidi w:val="0"/>
        <w:adjustRightInd/>
        <w:spacing w:line="510" w:lineRule="exact"/>
        <w:ind w:firstLine="542" w:firstLineChars="176"/>
        <w:textAlignment w:val="auto"/>
        <w:rPr>
          <w:rFonts w:ascii="楷体_GB2312" w:eastAsia="楷体_GB2312"/>
          <w:bCs/>
          <w:spacing w:val="-6"/>
          <w:sz w:val="32"/>
          <w:szCs w:val="32"/>
        </w:rPr>
      </w:pPr>
      <w:r>
        <w:rPr>
          <w:rFonts w:hint="eastAsia" w:ascii="楷体_GB2312" w:eastAsia="楷体_GB2312"/>
          <w:bCs/>
          <w:spacing w:val="-6"/>
          <w:sz w:val="32"/>
          <w:szCs w:val="32"/>
        </w:rPr>
        <w:t>（二）存在的问题：无。</w:t>
      </w:r>
    </w:p>
    <w:p>
      <w:pPr>
        <w:keepNext w:val="0"/>
        <w:keepLines w:val="0"/>
        <w:pageBreakBefore w:val="0"/>
        <w:widowControl w:val="0"/>
        <w:kinsoku/>
        <w:wordWrap/>
        <w:overflowPunct/>
        <w:topLinePunct w:val="0"/>
        <w:autoSpaceDE w:val="0"/>
        <w:autoSpaceDN/>
        <w:bidi w:val="0"/>
        <w:adjustRightInd/>
        <w:spacing w:line="510" w:lineRule="exact"/>
        <w:ind w:firstLine="542" w:firstLineChars="176"/>
        <w:textAlignment w:val="auto"/>
        <w:rPr>
          <w:rFonts w:ascii="仿宋_GB2312" w:eastAsia="仿宋_GB2312"/>
          <w:spacing w:val="-6"/>
          <w:sz w:val="32"/>
          <w:szCs w:val="32"/>
        </w:rPr>
      </w:pPr>
      <w:r>
        <w:rPr>
          <w:rFonts w:hint="eastAsia" w:ascii="楷体_GB2312" w:eastAsia="楷体_GB2312"/>
          <w:bCs/>
          <w:spacing w:val="-6"/>
          <w:sz w:val="32"/>
          <w:szCs w:val="32"/>
        </w:rPr>
        <w:t>（三）相关建议：</w:t>
      </w:r>
      <w:r>
        <w:rPr>
          <w:rFonts w:hint="eastAsia" w:ascii="仿宋_GB2312" w:eastAsia="仿宋_GB2312"/>
          <w:spacing w:val="-6"/>
          <w:sz w:val="32"/>
          <w:szCs w:val="32"/>
        </w:rPr>
        <w:t>无。</w:t>
      </w:r>
    </w:p>
    <w:p>
      <w:pPr>
        <w:spacing w:line="560" w:lineRule="exact"/>
        <w:jc w:val="center"/>
        <w:rPr>
          <w:rFonts w:ascii="方正小标宋简体" w:hAnsi="宋体" w:eastAsia="方正小标宋简体"/>
          <w:kern w:val="0"/>
          <w:sz w:val="40"/>
          <w:szCs w:val="44"/>
        </w:rPr>
      </w:pPr>
      <w:r>
        <w:rPr>
          <w:rFonts w:hint="eastAsia" w:ascii="方正小标宋简体" w:hAnsi="宋体" w:eastAsia="方正小标宋简体"/>
          <w:kern w:val="0"/>
          <w:sz w:val="40"/>
          <w:szCs w:val="44"/>
        </w:rPr>
        <w:t>2023年省级专项资金预算项目绩效自评报告</w:t>
      </w:r>
    </w:p>
    <w:p>
      <w:pPr>
        <w:pStyle w:val="34"/>
        <w:spacing w:line="578" w:lineRule="exact"/>
        <w:ind w:firstLine="640"/>
        <w:jc w:val="center"/>
        <w:rPr>
          <w:rFonts w:ascii="宋体" w:hAnsi="宋体"/>
          <w:color w:val="auto"/>
          <w:kern w:val="2"/>
          <w:sz w:val="32"/>
          <w:szCs w:val="32"/>
        </w:rPr>
      </w:pPr>
    </w:p>
    <w:p>
      <w:pPr>
        <w:pStyle w:val="27"/>
        <w:numPr>
          <w:ilvl w:val="0"/>
          <w:numId w:val="4"/>
        </w:numPr>
        <w:autoSpaceDE w:val="0"/>
        <w:spacing w:line="560" w:lineRule="exact"/>
        <w:ind w:firstLineChars="0"/>
        <w:outlineLvl w:val="1"/>
        <w:rPr>
          <w:rFonts w:ascii="黑体" w:hAnsi="黑体" w:eastAsia="黑体"/>
          <w:color w:val="000000"/>
          <w:spacing w:val="-6"/>
          <w:sz w:val="32"/>
          <w:szCs w:val="32"/>
        </w:rPr>
      </w:pPr>
      <w:bookmarkStart w:id="185" w:name="_Toc8886"/>
      <w:r>
        <w:rPr>
          <w:rFonts w:hint="eastAsia" w:ascii="黑体" w:hAnsi="黑体" w:eastAsia="黑体"/>
          <w:color w:val="000000"/>
          <w:spacing w:val="-6"/>
          <w:sz w:val="32"/>
          <w:szCs w:val="32"/>
        </w:rPr>
        <w:t>项目概况</w:t>
      </w:r>
      <w:bookmarkEnd w:id="185"/>
    </w:p>
    <w:p>
      <w:pPr>
        <w:autoSpaceDE w:val="0"/>
        <w:adjustRightInd w:val="0"/>
        <w:snapToGrid w:val="0"/>
        <w:spacing w:line="560" w:lineRule="exact"/>
        <w:ind w:firstLine="680" w:firstLineChars="221"/>
        <w:rPr>
          <w:rFonts w:ascii="仿宋_GB2312" w:eastAsia="仿宋_GB2312"/>
          <w:spacing w:val="-6"/>
          <w:sz w:val="32"/>
          <w:szCs w:val="32"/>
        </w:rPr>
      </w:pPr>
      <w:r>
        <w:rPr>
          <w:rFonts w:hint="eastAsia" w:ascii="仿宋_GB2312" w:eastAsia="仿宋_GB2312"/>
          <w:spacing w:val="-6"/>
          <w:sz w:val="32"/>
          <w:szCs w:val="32"/>
        </w:rPr>
        <w:t>该项目是省级科普基地项目，一是建设朝天区天府科技云服务中心，承担精准服务科技工作者、精准服务企事业单位、精准服务全民科学素质提升、交易服务、第三方服务机构管理、平台宣传推广等工作。二是建设城区科普画廊弘扬科学精神，普及科学知识。开展全区性的科普工作，巩固、发展和推动科技成果，普及推广先进适用技术等培训工作，动员和组织全社会共同参与科学普及活动。</w:t>
      </w:r>
    </w:p>
    <w:p>
      <w:pPr>
        <w:autoSpaceDE w:val="0"/>
        <w:spacing w:line="56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（一）项目资金申报及批复情况。</w:t>
      </w:r>
      <w:r>
        <w:rPr>
          <w:rFonts w:hint="eastAsia" w:ascii="仿宋_GB2312" w:eastAsia="仿宋_GB2312"/>
          <w:spacing w:val="-6"/>
          <w:sz w:val="32"/>
          <w:szCs w:val="32"/>
        </w:rPr>
        <w:t>该项目资金申报23万元、批复23万元，符合资金管理办法等相关规定。</w:t>
      </w:r>
    </w:p>
    <w:p>
      <w:pPr>
        <w:autoSpaceDE w:val="0"/>
        <w:spacing w:line="56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（二）项目绩效目标。</w:t>
      </w:r>
      <w:r>
        <w:rPr>
          <w:rFonts w:hint="eastAsia" w:ascii="仿宋_GB2312" w:eastAsia="仿宋_GB2312"/>
          <w:spacing w:val="-6"/>
          <w:sz w:val="32"/>
          <w:szCs w:val="32"/>
        </w:rPr>
        <w:t>该项目主要用于天府科技云服务服务中心建设和宣传阵地建设，主要内容包括：一是印制天府科技云服务宣传推广资料10000册，制作省科创宣传展板1批，制作宣传推广视频1个，购买中心办公家具1批，聘请三方机构1个，送科技下乡培训40场次；二是建设更新科普画廊42平方米。通过中心运维和科普画廊建设，全区公民科学素质进一步提高，使全区广大科技工作者上线天府科技云平台达到3000人以上，企事业200家以上。进一步激发城乡居民学科学、用科学的积极性和创造性，促进科学技术的推广运用和农村经济发展，推动我区科普体系建设，提高居民的科学素质，实现城乡统筹协调发展具有十分重要的意义。</w:t>
      </w:r>
    </w:p>
    <w:p>
      <w:pPr>
        <w:autoSpaceDE w:val="0"/>
        <w:spacing w:line="56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（三）项目资金申报相符性。</w:t>
      </w:r>
      <w:r>
        <w:rPr>
          <w:rFonts w:hint="eastAsia" w:ascii="仿宋_GB2312" w:eastAsia="仿宋_GB2312"/>
          <w:spacing w:val="-6"/>
          <w:sz w:val="32"/>
          <w:szCs w:val="32"/>
        </w:rPr>
        <w:t>该项目申报内容与具体实施内容相符、申报目标合理可行。</w:t>
      </w:r>
    </w:p>
    <w:p>
      <w:pPr>
        <w:autoSpaceDE w:val="0"/>
        <w:spacing w:line="560" w:lineRule="exact"/>
        <w:ind w:firstLine="616" w:firstLineChars="200"/>
        <w:outlineLvl w:val="1"/>
        <w:rPr>
          <w:rFonts w:ascii="黑体" w:hAnsi="黑体" w:eastAsia="黑体"/>
          <w:spacing w:val="-6"/>
          <w:sz w:val="32"/>
          <w:szCs w:val="32"/>
        </w:rPr>
      </w:pPr>
      <w:bookmarkStart w:id="186" w:name="_Toc19153"/>
      <w:r>
        <w:rPr>
          <w:rFonts w:hint="eastAsia" w:ascii="黑体" w:hAnsi="黑体" w:eastAsia="黑体"/>
          <w:spacing w:val="-6"/>
          <w:sz w:val="32"/>
          <w:szCs w:val="32"/>
        </w:rPr>
        <w:t>二、项目实施及管理情况</w:t>
      </w:r>
      <w:bookmarkEnd w:id="186"/>
    </w:p>
    <w:p>
      <w:pPr>
        <w:autoSpaceDE w:val="0"/>
        <w:spacing w:line="560" w:lineRule="exact"/>
        <w:ind w:firstLine="616" w:firstLineChars="200"/>
        <w:outlineLvl w:val="2"/>
        <w:rPr>
          <w:rFonts w:ascii="楷体_GB2312" w:eastAsia="楷体_GB2312"/>
          <w:bCs/>
          <w:spacing w:val="-6"/>
          <w:sz w:val="32"/>
          <w:szCs w:val="32"/>
        </w:rPr>
      </w:pPr>
      <w:bookmarkStart w:id="187" w:name="_Toc11938"/>
      <w:r>
        <w:rPr>
          <w:rFonts w:hint="eastAsia" w:ascii="楷体_GB2312" w:eastAsia="楷体_GB2312"/>
          <w:bCs/>
          <w:spacing w:val="-6"/>
          <w:sz w:val="32"/>
          <w:szCs w:val="32"/>
        </w:rPr>
        <w:t>（一）资金计划、到位及使用情况</w:t>
      </w:r>
      <w:bookmarkEnd w:id="187"/>
    </w:p>
    <w:p>
      <w:pPr>
        <w:autoSpaceDE w:val="0"/>
        <w:spacing w:line="560" w:lineRule="exact"/>
        <w:ind w:firstLine="616" w:firstLineChars="200"/>
        <w:rPr>
          <w:rFonts w:ascii="仿宋_GB2312" w:eastAsia="仿宋_GB2312"/>
          <w:spacing w:val="-6"/>
          <w:sz w:val="32"/>
          <w:szCs w:val="32"/>
        </w:rPr>
      </w:pPr>
      <w:r>
        <w:rPr>
          <w:rFonts w:hint="eastAsia" w:ascii="仿宋_GB2312" w:eastAsia="仿宋_GB2312"/>
          <w:spacing w:val="-6"/>
          <w:sz w:val="32"/>
          <w:szCs w:val="32"/>
        </w:rPr>
        <w:t>1.资金计划及到位。该项目资金计划及截止评价时点实际到位情况23万元，资金到位率100%。</w:t>
      </w:r>
    </w:p>
    <w:p>
      <w:pPr>
        <w:autoSpaceDE w:val="0"/>
        <w:spacing w:line="560" w:lineRule="exact"/>
        <w:ind w:firstLine="616" w:firstLineChars="200"/>
        <w:rPr>
          <w:rFonts w:ascii="仿宋_GB2312" w:eastAsia="仿宋_GB2312"/>
          <w:spacing w:val="-6"/>
          <w:sz w:val="32"/>
          <w:szCs w:val="32"/>
        </w:rPr>
      </w:pPr>
      <w:r>
        <w:rPr>
          <w:rFonts w:hint="eastAsia" w:ascii="仿宋_GB2312" w:eastAsia="仿宋_GB2312"/>
          <w:spacing w:val="-6"/>
          <w:sz w:val="32"/>
          <w:szCs w:val="32"/>
        </w:rPr>
        <w:t>2.资金使用。截止评价时点项目资金的实际支出23万元，主要用于印制天府科技云服务宣传推广资料，制作省科创宣传展板，制作宣传推广视频，购买中心办公家具，聘请三方机构，送科技下乡培训；建设更新科普画廊。支付依据合规合法，资金支付与预算相符。</w:t>
      </w:r>
    </w:p>
    <w:p>
      <w:pPr>
        <w:autoSpaceDE w:val="0"/>
        <w:spacing w:line="560" w:lineRule="exact"/>
        <w:ind w:firstLine="616" w:firstLineChars="200"/>
        <w:outlineLvl w:val="2"/>
        <w:rPr>
          <w:rFonts w:ascii="楷体_GB2312" w:eastAsia="楷体_GB2312"/>
          <w:bCs/>
          <w:spacing w:val="-6"/>
          <w:sz w:val="32"/>
          <w:szCs w:val="32"/>
        </w:rPr>
      </w:pPr>
      <w:bookmarkStart w:id="188" w:name="_Toc13688"/>
      <w:r>
        <w:rPr>
          <w:rFonts w:hint="eastAsia" w:ascii="楷体_GB2312" w:eastAsia="楷体_GB2312"/>
          <w:bCs/>
          <w:spacing w:val="-6"/>
          <w:sz w:val="32"/>
          <w:szCs w:val="32"/>
        </w:rPr>
        <w:t>（二）项目财务管理情况</w:t>
      </w:r>
      <w:bookmarkEnd w:id="188"/>
    </w:p>
    <w:p>
      <w:pPr>
        <w:autoSpaceDE w:val="0"/>
        <w:spacing w:line="560" w:lineRule="exact"/>
        <w:ind w:firstLine="616" w:firstLineChars="200"/>
        <w:rPr>
          <w:rFonts w:ascii="仿宋_GB2312" w:eastAsia="仿宋_GB2312"/>
          <w:spacing w:val="-6"/>
          <w:sz w:val="32"/>
          <w:szCs w:val="32"/>
        </w:rPr>
      </w:pPr>
      <w:r>
        <w:rPr>
          <w:rFonts w:hint="eastAsia" w:ascii="仿宋_GB2312" w:eastAsia="仿宋_GB2312"/>
          <w:spacing w:val="-6"/>
          <w:sz w:val="32"/>
          <w:szCs w:val="32"/>
        </w:rPr>
        <w:t>区科协</w:t>
      </w:r>
      <w:r>
        <w:rPr>
          <w:rFonts w:hint="eastAsia" w:ascii="仿宋_GB2312" w:eastAsia="仿宋_GB2312"/>
          <w:spacing w:val="-6"/>
          <w:sz w:val="32"/>
          <w:szCs w:val="32"/>
          <w:lang w:eastAsia="zh-CN"/>
        </w:rPr>
        <w:t>建立健全</w:t>
      </w:r>
      <w:r>
        <w:rPr>
          <w:rFonts w:hint="eastAsia" w:ascii="仿宋_GB2312" w:eastAsia="仿宋_GB2312"/>
          <w:spacing w:val="-6"/>
          <w:sz w:val="32"/>
          <w:szCs w:val="32"/>
        </w:rPr>
        <w:t>了项目财务管理制度、机构的设置、规范了会计核算及账务处理等相关工作。该项目严格执行财务管理制度、财务处理及时、会计核算规范。</w:t>
      </w:r>
    </w:p>
    <w:p>
      <w:pPr>
        <w:autoSpaceDE w:val="0"/>
        <w:spacing w:line="560" w:lineRule="exact"/>
        <w:ind w:firstLine="616" w:firstLineChars="200"/>
        <w:outlineLvl w:val="2"/>
        <w:rPr>
          <w:rFonts w:ascii="楷体_GB2312" w:eastAsia="楷体_GB2312"/>
          <w:bCs/>
          <w:spacing w:val="-6"/>
          <w:sz w:val="32"/>
          <w:szCs w:val="32"/>
        </w:rPr>
      </w:pPr>
      <w:bookmarkStart w:id="189" w:name="_Toc30214"/>
      <w:r>
        <w:rPr>
          <w:rFonts w:hint="eastAsia" w:ascii="楷体_GB2312" w:eastAsia="楷体_GB2312"/>
          <w:bCs/>
          <w:spacing w:val="-6"/>
          <w:sz w:val="32"/>
          <w:szCs w:val="32"/>
        </w:rPr>
        <w:t>（三）项目组织实施情况</w:t>
      </w:r>
      <w:bookmarkEnd w:id="189"/>
    </w:p>
    <w:p>
      <w:pPr>
        <w:autoSpaceDE w:val="0"/>
        <w:spacing w:line="560" w:lineRule="exact"/>
        <w:ind w:firstLine="616" w:firstLineChars="200"/>
        <w:rPr>
          <w:rFonts w:ascii="仿宋_GB2312" w:eastAsia="仿宋_GB2312"/>
          <w:spacing w:val="-6"/>
          <w:sz w:val="32"/>
          <w:szCs w:val="32"/>
        </w:rPr>
      </w:pPr>
      <w:r>
        <w:rPr>
          <w:rFonts w:hint="eastAsia" w:ascii="仿宋_GB2312" w:eastAsia="仿宋_GB2312"/>
          <w:spacing w:val="-6"/>
          <w:sz w:val="32"/>
          <w:szCs w:val="32"/>
        </w:rPr>
        <w:t>项目组织管理架构及具体实施流程，我单位项目实施具体由科普部根据项目要求组织实施，严格按照四川省财政厅、四川省科学技术协会关于印发《四川省科普专项资金管理办法》的通知（川财教〔2020〕83号）文件要求执行，通过单位的</w:t>
      </w:r>
      <w:r>
        <w:rPr>
          <w:rFonts w:hint="eastAsia" w:ascii="仿宋" w:hAnsi="仿宋" w:eastAsia="仿宋"/>
          <w:w w:val="99"/>
          <w:sz w:val="32"/>
          <w:szCs w:val="32"/>
        </w:rPr>
        <w:t>财务内控制度</w:t>
      </w:r>
      <w:r>
        <w:rPr>
          <w:rFonts w:hint="eastAsia" w:ascii="仿宋_GB2312" w:eastAsia="仿宋_GB2312"/>
          <w:spacing w:val="-6"/>
          <w:sz w:val="32"/>
          <w:szCs w:val="32"/>
        </w:rPr>
        <w:t>对项目的实施全流程管理。</w:t>
      </w:r>
    </w:p>
    <w:p>
      <w:pPr>
        <w:autoSpaceDE w:val="0"/>
        <w:spacing w:line="560" w:lineRule="exact"/>
        <w:ind w:firstLine="616" w:firstLineChars="200"/>
        <w:outlineLvl w:val="1"/>
        <w:rPr>
          <w:rFonts w:ascii="黑体" w:hAnsi="黑体" w:eastAsia="黑体"/>
          <w:spacing w:val="-6"/>
          <w:sz w:val="32"/>
          <w:szCs w:val="32"/>
        </w:rPr>
      </w:pPr>
      <w:bookmarkStart w:id="190" w:name="_Toc12633"/>
      <w:r>
        <w:rPr>
          <w:rFonts w:hint="eastAsia" w:ascii="黑体" w:hAnsi="黑体" w:eastAsia="黑体"/>
          <w:spacing w:val="-6"/>
          <w:sz w:val="32"/>
          <w:szCs w:val="32"/>
        </w:rPr>
        <w:t>三、项目绩效情况</w:t>
      </w:r>
      <w:bookmarkEnd w:id="190"/>
      <w:r>
        <w:rPr>
          <w:rFonts w:hint="eastAsia" w:ascii="黑体" w:hAnsi="黑体" w:eastAsia="黑体"/>
          <w:spacing w:val="-6"/>
          <w:sz w:val="32"/>
          <w:szCs w:val="32"/>
        </w:rPr>
        <w:tab/>
      </w:r>
    </w:p>
    <w:p>
      <w:pPr>
        <w:autoSpaceDE w:val="0"/>
        <w:spacing w:line="560" w:lineRule="exact"/>
        <w:ind w:firstLine="616" w:firstLineChars="200"/>
        <w:outlineLvl w:val="2"/>
        <w:rPr>
          <w:rFonts w:ascii="楷体_GB2312" w:eastAsia="楷体_GB2312"/>
          <w:bCs/>
          <w:spacing w:val="-6"/>
          <w:sz w:val="32"/>
          <w:szCs w:val="32"/>
        </w:rPr>
      </w:pPr>
      <w:bookmarkStart w:id="191" w:name="_Toc21466"/>
      <w:r>
        <w:rPr>
          <w:rFonts w:hint="eastAsia" w:ascii="楷体_GB2312" w:eastAsia="楷体_GB2312"/>
          <w:bCs/>
          <w:spacing w:val="-6"/>
          <w:sz w:val="32"/>
          <w:szCs w:val="32"/>
        </w:rPr>
        <w:t>（一）项目完成情况</w:t>
      </w:r>
      <w:bookmarkEnd w:id="191"/>
    </w:p>
    <w:p>
      <w:pPr>
        <w:autoSpaceDE w:val="0"/>
        <w:spacing w:line="560" w:lineRule="exact"/>
        <w:ind w:firstLine="616" w:firstLineChars="200"/>
        <w:rPr>
          <w:rFonts w:ascii="仿宋_GB2312" w:eastAsia="仿宋_GB2312"/>
          <w:spacing w:val="-6"/>
          <w:sz w:val="32"/>
          <w:szCs w:val="32"/>
        </w:rPr>
      </w:pPr>
      <w:r>
        <w:rPr>
          <w:rFonts w:hint="eastAsia" w:ascii="仿宋_GB2312" w:eastAsia="仿宋_GB2312"/>
          <w:spacing w:val="-6"/>
          <w:sz w:val="32"/>
          <w:szCs w:val="32"/>
        </w:rPr>
        <w:t>该项目严格按年初预算完成了印制天府科技云服务宣传推广资料10000册，制作省科创宣传展板1批，制作宣传推广视频1个，购买中心办公家具1批，聘请三方机构1个，送科技下乡培训40场次；建设更新科普画廊42平方米。截止评价时点，我单位按质按量按时全面完成了年初项目计划。</w:t>
      </w:r>
    </w:p>
    <w:p>
      <w:pPr>
        <w:autoSpaceDE w:val="0"/>
        <w:spacing w:line="560" w:lineRule="exact"/>
        <w:ind w:firstLine="616" w:firstLineChars="200"/>
        <w:outlineLvl w:val="2"/>
        <w:rPr>
          <w:rFonts w:ascii="楷体_GB2312" w:eastAsia="楷体_GB2312"/>
          <w:bCs/>
          <w:spacing w:val="-6"/>
          <w:sz w:val="32"/>
          <w:szCs w:val="32"/>
        </w:rPr>
      </w:pPr>
      <w:bookmarkStart w:id="192" w:name="_Toc19605"/>
      <w:r>
        <w:rPr>
          <w:rFonts w:hint="eastAsia" w:ascii="楷体_GB2312" w:eastAsia="楷体_GB2312"/>
          <w:bCs/>
          <w:spacing w:val="-6"/>
          <w:sz w:val="32"/>
          <w:szCs w:val="32"/>
        </w:rPr>
        <w:t>（二）项目效益情况</w:t>
      </w:r>
      <w:bookmarkEnd w:id="192"/>
    </w:p>
    <w:p>
      <w:pPr>
        <w:autoSpaceDE w:val="0"/>
        <w:spacing w:line="560" w:lineRule="exact"/>
        <w:ind w:firstLine="616" w:firstLineChars="200"/>
        <w:rPr>
          <w:rFonts w:ascii="仿宋_GB2312" w:eastAsia="仿宋_GB2312"/>
          <w:spacing w:val="-6"/>
          <w:sz w:val="32"/>
          <w:szCs w:val="32"/>
        </w:rPr>
      </w:pPr>
      <w:r>
        <w:rPr>
          <w:rFonts w:hint="eastAsia" w:ascii="仿宋_GB2312" w:eastAsia="仿宋_GB2312"/>
          <w:spacing w:val="-6"/>
          <w:sz w:val="32"/>
          <w:szCs w:val="32"/>
        </w:rPr>
        <w:t>该项目社会效益：提高全区公民科学素质，弘扬科学精神，普及科学知识，传播科学思想和科学方法，捍卫科学尊严，推广先进技术等；可持续效益：提高全区公民科学素质，弘扬科学精神，普及科学知识，传播科学思想和科学方法，捍卫科学尊严，推广先进技术；服务对象满意度90%。</w:t>
      </w:r>
    </w:p>
    <w:p>
      <w:pPr>
        <w:autoSpaceDE w:val="0"/>
        <w:spacing w:line="560" w:lineRule="exact"/>
        <w:ind w:firstLine="616" w:firstLineChars="200"/>
        <w:outlineLvl w:val="1"/>
        <w:rPr>
          <w:rFonts w:ascii="黑体" w:hAnsi="黑体" w:eastAsia="黑体"/>
          <w:spacing w:val="-6"/>
          <w:sz w:val="32"/>
          <w:szCs w:val="32"/>
        </w:rPr>
      </w:pPr>
      <w:bookmarkStart w:id="193" w:name="_Toc26781"/>
      <w:r>
        <w:rPr>
          <w:rFonts w:hint="eastAsia" w:ascii="黑体" w:hAnsi="黑体" w:eastAsia="黑体"/>
          <w:spacing w:val="-6"/>
          <w:sz w:val="32"/>
          <w:szCs w:val="32"/>
        </w:rPr>
        <w:t>四、问题及建议</w:t>
      </w:r>
      <w:bookmarkEnd w:id="193"/>
    </w:p>
    <w:p>
      <w:pPr>
        <w:snapToGrid w:val="0"/>
        <w:spacing w:line="560" w:lineRule="exact"/>
        <w:ind w:firstLine="545" w:firstLineChars="177"/>
        <w:rPr>
          <w:rFonts w:ascii="仿宋_GB2312" w:hAnsi="仿宋_GB2312" w:eastAsia="仿宋_GB2312" w:cs="仿宋_GB2312"/>
          <w:sz w:val="32"/>
          <w:szCs w:val="32"/>
        </w:rPr>
      </w:pPr>
      <w:r>
        <w:rPr>
          <w:rFonts w:hint="eastAsia" w:ascii="楷体_GB2312" w:eastAsia="楷体_GB2312"/>
          <w:bCs/>
          <w:spacing w:val="-6"/>
          <w:sz w:val="32"/>
          <w:szCs w:val="32"/>
        </w:rPr>
        <w:t>（一）评价结论。</w:t>
      </w:r>
      <w:r>
        <w:rPr>
          <w:rFonts w:hint="eastAsia" w:ascii="仿宋_GB2312" w:hAnsi="仿宋_GB2312" w:eastAsia="仿宋_GB2312" w:cs="仿宋_GB2312"/>
          <w:sz w:val="32"/>
          <w:szCs w:val="32"/>
        </w:rPr>
        <w:t>2022年在上级科协的大力支持下，认真贯彻落实党的二十大精神，团结动员广大科技工作者，全面提高科学素质，积极开展科普活动，全力推进系统改革，取得了较好的工作绩效。经过自评，自评得分为96分，我单位管理规范、制度健全，财务开支合理。</w:t>
      </w:r>
    </w:p>
    <w:p>
      <w:pPr>
        <w:autoSpaceDE w:val="0"/>
        <w:spacing w:line="56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（二）存在的问题：无。</w:t>
      </w:r>
    </w:p>
    <w:p>
      <w:pPr>
        <w:autoSpaceDE w:val="0"/>
        <w:spacing w:line="560" w:lineRule="exact"/>
        <w:ind w:firstLine="616" w:firstLineChars="200"/>
        <w:rPr>
          <w:rFonts w:hint="eastAsia" w:ascii="仿宋_GB2312" w:eastAsia="仿宋_GB2312"/>
          <w:spacing w:val="-6"/>
          <w:sz w:val="32"/>
          <w:szCs w:val="32"/>
        </w:rPr>
      </w:pPr>
      <w:r>
        <w:rPr>
          <w:rFonts w:hint="eastAsia" w:ascii="楷体_GB2312" w:eastAsia="楷体_GB2312"/>
          <w:bCs/>
          <w:spacing w:val="-6"/>
          <w:sz w:val="32"/>
          <w:szCs w:val="32"/>
        </w:rPr>
        <w:t>（三）相关建议：</w:t>
      </w:r>
      <w:r>
        <w:rPr>
          <w:rFonts w:hint="eastAsia" w:ascii="仿宋_GB2312" w:eastAsia="仿宋_GB2312"/>
          <w:spacing w:val="-6"/>
          <w:sz w:val="32"/>
          <w:szCs w:val="32"/>
        </w:rPr>
        <w:t>无。</w:t>
      </w:r>
    </w:p>
    <w:p>
      <w:pPr>
        <w:pStyle w:val="2"/>
        <w:rPr>
          <w:rFonts w:hint="eastAsia" w:ascii="仿宋_GB2312" w:eastAsia="仿宋_GB2312"/>
          <w:spacing w:val="-6"/>
          <w:sz w:val="32"/>
          <w:szCs w:val="32"/>
        </w:rPr>
      </w:pPr>
    </w:p>
    <w:p>
      <w:pPr>
        <w:pStyle w:val="2"/>
        <w:rPr>
          <w:rFonts w:hint="eastAsia" w:ascii="仿宋_GB2312" w:eastAsia="仿宋_GB2312"/>
          <w:spacing w:val="-6"/>
          <w:sz w:val="32"/>
          <w:szCs w:val="32"/>
        </w:rPr>
      </w:pPr>
    </w:p>
    <w:p>
      <w:pPr>
        <w:pStyle w:val="2"/>
        <w:rPr>
          <w:rFonts w:hint="eastAsia" w:ascii="仿宋_GB2312" w:eastAsia="仿宋_GB2312"/>
          <w:spacing w:val="-6"/>
          <w:sz w:val="32"/>
          <w:szCs w:val="32"/>
        </w:rPr>
      </w:pPr>
    </w:p>
    <w:p>
      <w:pPr>
        <w:pStyle w:val="2"/>
        <w:rPr>
          <w:rFonts w:hint="eastAsia" w:ascii="仿宋_GB2312" w:eastAsia="仿宋_GB2312"/>
          <w:spacing w:val="-6"/>
          <w:sz w:val="32"/>
          <w:szCs w:val="32"/>
        </w:rPr>
      </w:pPr>
    </w:p>
    <w:p>
      <w:pPr>
        <w:pStyle w:val="2"/>
        <w:rPr>
          <w:rFonts w:hint="eastAsia" w:ascii="仿宋_GB2312" w:eastAsia="仿宋_GB2312"/>
          <w:spacing w:val="-6"/>
          <w:sz w:val="32"/>
          <w:szCs w:val="32"/>
        </w:rPr>
      </w:pPr>
    </w:p>
    <w:p>
      <w:pPr>
        <w:pStyle w:val="2"/>
        <w:rPr>
          <w:rFonts w:hint="eastAsia" w:ascii="仿宋_GB2312" w:eastAsia="仿宋_GB2312"/>
          <w:spacing w:val="-6"/>
          <w:sz w:val="32"/>
          <w:szCs w:val="32"/>
        </w:rPr>
      </w:pPr>
    </w:p>
    <w:p>
      <w:pPr>
        <w:pStyle w:val="2"/>
        <w:rPr>
          <w:rFonts w:hint="eastAsia" w:ascii="仿宋_GB2312" w:eastAsia="仿宋_GB2312"/>
          <w:spacing w:val="-6"/>
          <w:sz w:val="32"/>
          <w:szCs w:val="32"/>
        </w:rPr>
      </w:pPr>
    </w:p>
    <w:p>
      <w:pPr>
        <w:snapToGrid w:val="0"/>
        <w:spacing w:line="52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2022年第六次代表会</w:t>
      </w:r>
    </w:p>
    <w:p>
      <w:pPr>
        <w:snapToGrid w:val="0"/>
        <w:spacing w:line="520" w:lineRule="exact"/>
        <w:jc w:val="center"/>
        <w:outlineLvl w:val="2"/>
        <w:rPr>
          <w:rFonts w:ascii="方正小标宋简体" w:hAnsi="仿宋_GB2312" w:eastAsia="方正小标宋简体" w:cs="仿宋_GB2312"/>
          <w:sz w:val="44"/>
          <w:szCs w:val="44"/>
        </w:rPr>
      </w:pPr>
      <w:bookmarkStart w:id="194" w:name="_Toc19724"/>
      <w:r>
        <w:rPr>
          <w:rFonts w:hint="eastAsia" w:ascii="方正小标宋简体" w:hAnsi="仿宋_GB2312" w:eastAsia="方正小标宋简体" w:cs="仿宋_GB2312"/>
          <w:sz w:val="44"/>
          <w:szCs w:val="44"/>
        </w:rPr>
        <w:t>工作经费预算项目支出绩效自评报告</w:t>
      </w:r>
      <w:bookmarkEnd w:id="194"/>
    </w:p>
    <w:p>
      <w:pPr>
        <w:autoSpaceDE w:val="0"/>
        <w:spacing w:line="520" w:lineRule="exact"/>
        <w:ind w:firstLine="542" w:firstLineChars="176"/>
        <w:rPr>
          <w:rFonts w:ascii="黑体" w:hAnsi="黑体" w:eastAsia="黑体"/>
          <w:spacing w:val="-6"/>
          <w:sz w:val="32"/>
          <w:szCs w:val="32"/>
        </w:rPr>
      </w:pPr>
    </w:p>
    <w:p>
      <w:pPr>
        <w:autoSpaceDE w:val="0"/>
        <w:spacing w:line="520" w:lineRule="exact"/>
        <w:ind w:firstLine="542" w:firstLineChars="176"/>
        <w:outlineLvl w:val="1"/>
        <w:rPr>
          <w:rFonts w:ascii="黑体" w:hAnsi="黑体" w:eastAsia="黑体"/>
          <w:spacing w:val="-6"/>
          <w:sz w:val="32"/>
          <w:szCs w:val="32"/>
        </w:rPr>
      </w:pPr>
      <w:bookmarkStart w:id="195" w:name="_Toc21664"/>
      <w:r>
        <w:rPr>
          <w:rFonts w:hint="eastAsia" w:ascii="黑体" w:hAnsi="黑体" w:eastAsia="黑体"/>
          <w:spacing w:val="-6"/>
          <w:sz w:val="32"/>
          <w:szCs w:val="32"/>
        </w:rPr>
        <w:t>一、项目概况</w:t>
      </w:r>
      <w:bookmarkEnd w:id="195"/>
    </w:p>
    <w:p>
      <w:pPr>
        <w:autoSpaceDE w:val="0"/>
        <w:spacing w:line="520" w:lineRule="exact"/>
        <w:ind w:firstLine="616" w:firstLineChars="200"/>
        <w:rPr>
          <w:rFonts w:ascii="仿宋_GB2312" w:hAnsi="Times New Roman" w:eastAsia="仿宋_GB2312"/>
          <w:spacing w:val="-6"/>
          <w:sz w:val="32"/>
          <w:szCs w:val="32"/>
        </w:rPr>
      </w:pPr>
      <w:r>
        <w:rPr>
          <w:rFonts w:hint="eastAsia" w:ascii="楷体_GB2312" w:hAnsi="Times New Roman" w:eastAsia="楷体_GB2312"/>
          <w:bCs/>
          <w:spacing w:val="-6"/>
          <w:sz w:val="32"/>
          <w:szCs w:val="32"/>
        </w:rPr>
        <w:t>（一）项目资金申报及批复情况。</w:t>
      </w:r>
      <w:r>
        <w:rPr>
          <w:rFonts w:hint="eastAsia" w:ascii="仿宋_GB2312" w:hAnsi="Times New Roman" w:eastAsia="仿宋_GB2312"/>
          <w:spacing w:val="-6"/>
          <w:sz w:val="32"/>
          <w:szCs w:val="32"/>
        </w:rPr>
        <w:t>该项目资金申报3万元、批复3万元，符合资金管理办法等相关规定。</w:t>
      </w:r>
    </w:p>
    <w:p>
      <w:pPr>
        <w:spacing w:line="520" w:lineRule="exact"/>
        <w:ind w:firstLine="616" w:firstLineChars="200"/>
        <w:rPr>
          <w:rFonts w:ascii="仿宋_GB2312" w:hAnsi="华文仿宋" w:eastAsia="仿宋_GB2312" w:cs="华文仿宋"/>
          <w:spacing w:val="-6"/>
          <w:sz w:val="32"/>
          <w:szCs w:val="32"/>
        </w:rPr>
      </w:pPr>
      <w:r>
        <w:rPr>
          <w:rFonts w:hint="eastAsia" w:ascii="楷体_GB2312" w:hAnsi="Times New Roman" w:eastAsia="楷体_GB2312"/>
          <w:bCs/>
          <w:spacing w:val="-6"/>
          <w:sz w:val="32"/>
          <w:szCs w:val="32"/>
        </w:rPr>
        <w:t>（二）项目绩效目标。</w:t>
      </w:r>
      <w:r>
        <w:rPr>
          <w:rFonts w:hint="eastAsia" w:ascii="仿宋_GB2312" w:hAnsi="方正仿宋简体" w:eastAsia="仿宋_GB2312" w:cs="方正仿宋简体"/>
          <w:sz w:val="32"/>
          <w:szCs w:val="32"/>
        </w:rPr>
        <w:t>全面落实党的二十大精神、省委、市委和区委党代会精神，总结区科协第五届委员会以来的工作，确立未来五年全区科协工作高质量发展目标任务，选举产生朝天区科协第六届委员会，围绕区委区政府中心工作，团结动员全</w:t>
      </w:r>
      <w:r>
        <w:rPr>
          <w:rFonts w:hint="eastAsia" w:ascii="仿宋_GB2312" w:hAnsi="方正仿宋简体" w:eastAsia="仿宋_GB2312" w:cs="方正仿宋简体"/>
          <w:spacing w:val="-6"/>
          <w:sz w:val="32"/>
          <w:szCs w:val="32"/>
        </w:rPr>
        <w:t>区广大科技工作者为加快建设繁荣和谐美丽幸福现代化朝天而努力奋斗。</w:t>
      </w:r>
      <w:r>
        <w:rPr>
          <w:rFonts w:hint="eastAsia" w:ascii="仿宋_GB2312" w:hAnsi="Times New Roman" w:eastAsia="仿宋_GB2312"/>
          <w:spacing w:val="-6"/>
          <w:sz w:val="32"/>
          <w:szCs w:val="32"/>
        </w:rPr>
        <w:t>该项目于2022年6月26日前完成。</w:t>
      </w:r>
    </w:p>
    <w:p>
      <w:pPr>
        <w:autoSpaceDE w:val="0"/>
        <w:spacing w:line="520" w:lineRule="exact"/>
        <w:ind w:firstLine="542" w:firstLineChars="176"/>
        <w:rPr>
          <w:rFonts w:ascii="仿宋_GB2312" w:hAnsi="Times New Roman" w:eastAsia="仿宋_GB2312"/>
          <w:spacing w:val="-6"/>
          <w:sz w:val="32"/>
          <w:szCs w:val="32"/>
        </w:rPr>
      </w:pPr>
      <w:r>
        <w:rPr>
          <w:rFonts w:hint="eastAsia" w:ascii="楷体_GB2312" w:hAnsi="Times New Roman" w:eastAsia="楷体_GB2312"/>
          <w:bCs/>
          <w:spacing w:val="-6"/>
          <w:sz w:val="32"/>
          <w:szCs w:val="32"/>
        </w:rPr>
        <w:t>（三）项目资金申报相符性。</w:t>
      </w:r>
      <w:r>
        <w:rPr>
          <w:rFonts w:hint="eastAsia" w:ascii="仿宋_GB2312" w:hAnsi="Times New Roman" w:eastAsia="仿宋_GB2312"/>
          <w:spacing w:val="-6"/>
          <w:sz w:val="32"/>
          <w:szCs w:val="32"/>
        </w:rPr>
        <w:t>该项目申报内容与具体实施内容相符、申报目标合理可行。</w:t>
      </w:r>
    </w:p>
    <w:p>
      <w:pPr>
        <w:autoSpaceDE w:val="0"/>
        <w:spacing w:line="520" w:lineRule="exact"/>
        <w:ind w:firstLine="542" w:firstLineChars="176"/>
        <w:outlineLvl w:val="1"/>
        <w:rPr>
          <w:rFonts w:ascii="黑体" w:hAnsi="黑体" w:eastAsia="黑体"/>
          <w:spacing w:val="-6"/>
          <w:sz w:val="32"/>
          <w:szCs w:val="32"/>
        </w:rPr>
      </w:pPr>
      <w:bookmarkStart w:id="196" w:name="_Toc17391"/>
      <w:r>
        <w:rPr>
          <w:rFonts w:hint="eastAsia" w:ascii="黑体" w:hAnsi="黑体" w:eastAsia="黑体"/>
          <w:spacing w:val="-6"/>
          <w:sz w:val="32"/>
          <w:szCs w:val="32"/>
        </w:rPr>
        <w:t>二、项目实施及管理情况</w:t>
      </w:r>
      <w:bookmarkEnd w:id="196"/>
    </w:p>
    <w:p>
      <w:pPr>
        <w:autoSpaceDE w:val="0"/>
        <w:spacing w:line="520" w:lineRule="exact"/>
        <w:ind w:firstLine="542" w:firstLineChars="176"/>
        <w:outlineLvl w:val="2"/>
        <w:rPr>
          <w:rFonts w:ascii="楷体_GB2312" w:hAnsi="Times New Roman" w:eastAsia="楷体_GB2312"/>
          <w:bCs/>
          <w:spacing w:val="-6"/>
          <w:sz w:val="32"/>
          <w:szCs w:val="32"/>
        </w:rPr>
      </w:pPr>
      <w:bookmarkStart w:id="197" w:name="_Toc13775"/>
      <w:r>
        <w:rPr>
          <w:rFonts w:hint="eastAsia" w:ascii="楷体_GB2312" w:hAnsi="Times New Roman" w:eastAsia="楷体_GB2312"/>
          <w:bCs/>
          <w:spacing w:val="-6"/>
          <w:sz w:val="32"/>
          <w:szCs w:val="32"/>
        </w:rPr>
        <w:t>（一）资金计划、到位及使用情况</w:t>
      </w:r>
      <w:bookmarkEnd w:id="197"/>
    </w:p>
    <w:p>
      <w:pPr>
        <w:autoSpaceDE w:val="0"/>
        <w:spacing w:line="520" w:lineRule="exact"/>
        <w:ind w:firstLine="542" w:firstLineChars="176"/>
        <w:rPr>
          <w:rFonts w:ascii="仿宋_GB2312" w:hAnsi="Times New Roman" w:eastAsia="仿宋_GB2312"/>
          <w:spacing w:val="-6"/>
          <w:sz w:val="32"/>
          <w:szCs w:val="32"/>
        </w:rPr>
      </w:pPr>
      <w:r>
        <w:rPr>
          <w:rFonts w:hint="eastAsia" w:ascii="仿宋_GB2312" w:hAnsi="Times New Roman" w:eastAsia="仿宋_GB2312"/>
          <w:spacing w:val="-6"/>
          <w:sz w:val="32"/>
          <w:szCs w:val="32"/>
        </w:rPr>
        <w:t>1.资金计划及到位。该项目资金截止评价时点已全部到位。资金到位率100%。</w:t>
      </w:r>
    </w:p>
    <w:p>
      <w:pPr>
        <w:autoSpaceDE w:val="0"/>
        <w:spacing w:line="520" w:lineRule="exact"/>
        <w:ind w:firstLine="542" w:firstLineChars="176"/>
        <w:rPr>
          <w:rFonts w:ascii="仿宋_GB2312" w:hAnsi="Times New Roman" w:eastAsia="仿宋_GB2312"/>
          <w:spacing w:val="-6"/>
          <w:sz w:val="32"/>
          <w:szCs w:val="32"/>
        </w:rPr>
      </w:pPr>
      <w:r>
        <w:rPr>
          <w:rFonts w:hint="eastAsia" w:ascii="仿宋_GB2312" w:hAnsi="Times New Roman" w:eastAsia="仿宋_GB2312"/>
          <w:spacing w:val="-6"/>
          <w:sz w:val="32"/>
          <w:szCs w:val="32"/>
        </w:rPr>
        <w:t>2.资金使用。截止评价时点六次代表会工作经费实际支出3万元，主要用于会议资料，会议生活，会议住宿，会议室租金以及疫情期间防疫等工作。支付依据合规合法，资金支付与预算相符。</w:t>
      </w:r>
    </w:p>
    <w:p>
      <w:pPr>
        <w:autoSpaceDE w:val="0"/>
        <w:spacing w:line="520" w:lineRule="exact"/>
        <w:ind w:firstLine="542" w:firstLineChars="176"/>
        <w:outlineLvl w:val="2"/>
        <w:rPr>
          <w:rFonts w:ascii="楷体_GB2312" w:hAnsi="Times New Roman" w:eastAsia="楷体_GB2312"/>
          <w:bCs/>
          <w:spacing w:val="-6"/>
          <w:sz w:val="32"/>
          <w:szCs w:val="32"/>
        </w:rPr>
      </w:pPr>
      <w:bookmarkStart w:id="198" w:name="_Toc27385"/>
      <w:r>
        <w:rPr>
          <w:rFonts w:hint="eastAsia" w:ascii="楷体_GB2312" w:hAnsi="Times New Roman" w:eastAsia="楷体_GB2312"/>
          <w:bCs/>
          <w:spacing w:val="-6"/>
          <w:sz w:val="32"/>
          <w:szCs w:val="32"/>
        </w:rPr>
        <w:t>（二）项目财务管理情况</w:t>
      </w:r>
      <w:bookmarkEnd w:id="198"/>
    </w:p>
    <w:p>
      <w:pPr>
        <w:autoSpaceDE w:val="0"/>
        <w:spacing w:line="520" w:lineRule="exact"/>
        <w:ind w:firstLine="542" w:firstLineChars="176"/>
        <w:rPr>
          <w:rFonts w:ascii="仿宋_GB2312" w:hAnsi="Times New Roman" w:eastAsia="仿宋_GB2312"/>
          <w:spacing w:val="-6"/>
          <w:sz w:val="32"/>
          <w:szCs w:val="32"/>
        </w:rPr>
      </w:pPr>
      <w:r>
        <w:rPr>
          <w:rFonts w:hint="eastAsia" w:ascii="仿宋_GB2312" w:hAnsi="Times New Roman" w:eastAsia="仿宋_GB2312"/>
          <w:spacing w:val="-6"/>
          <w:sz w:val="32"/>
          <w:szCs w:val="32"/>
        </w:rPr>
        <w:t>区科协</w:t>
      </w:r>
      <w:r>
        <w:rPr>
          <w:rFonts w:hint="eastAsia" w:ascii="仿宋_GB2312" w:eastAsia="仿宋_GB2312"/>
          <w:spacing w:val="-6"/>
          <w:sz w:val="32"/>
          <w:szCs w:val="32"/>
          <w:lang w:eastAsia="zh-CN"/>
        </w:rPr>
        <w:t>建立健全</w:t>
      </w:r>
      <w:r>
        <w:rPr>
          <w:rFonts w:hint="eastAsia" w:ascii="仿宋_GB2312" w:hAnsi="Times New Roman" w:eastAsia="仿宋_GB2312"/>
          <w:spacing w:val="-6"/>
          <w:sz w:val="32"/>
          <w:szCs w:val="32"/>
        </w:rPr>
        <w:t>了项目财务管理制度、机构的设置、规范了会计核算及账务处理等相关工作。该项目严格执行财务管理制度、财务处理及时、会计核算规范。</w:t>
      </w:r>
    </w:p>
    <w:p>
      <w:pPr>
        <w:autoSpaceDE w:val="0"/>
        <w:spacing w:line="520" w:lineRule="exact"/>
        <w:ind w:firstLine="542" w:firstLineChars="176"/>
        <w:outlineLvl w:val="2"/>
        <w:rPr>
          <w:rFonts w:ascii="楷体_GB2312" w:hAnsi="Times New Roman" w:eastAsia="楷体_GB2312"/>
          <w:bCs/>
          <w:spacing w:val="-6"/>
          <w:sz w:val="32"/>
          <w:szCs w:val="32"/>
        </w:rPr>
      </w:pPr>
      <w:bookmarkStart w:id="199" w:name="_Toc3212"/>
      <w:r>
        <w:rPr>
          <w:rFonts w:hint="eastAsia" w:ascii="楷体_GB2312" w:hAnsi="Times New Roman" w:eastAsia="楷体_GB2312"/>
          <w:bCs/>
          <w:spacing w:val="-6"/>
          <w:sz w:val="32"/>
          <w:szCs w:val="32"/>
        </w:rPr>
        <w:t>（三）项目组织实施情况</w:t>
      </w:r>
      <w:bookmarkEnd w:id="199"/>
    </w:p>
    <w:p>
      <w:pPr>
        <w:autoSpaceDE w:val="0"/>
        <w:spacing w:line="520" w:lineRule="exact"/>
        <w:ind w:firstLine="542" w:firstLineChars="176"/>
        <w:rPr>
          <w:rFonts w:ascii="仿宋_GB2312" w:hAnsi="Times New Roman" w:eastAsia="仿宋_GB2312"/>
          <w:spacing w:val="-6"/>
          <w:sz w:val="32"/>
          <w:szCs w:val="32"/>
        </w:rPr>
      </w:pPr>
      <w:r>
        <w:rPr>
          <w:rFonts w:hint="eastAsia" w:ascii="仿宋_GB2312" w:hAnsi="Times New Roman" w:eastAsia="仿宋_GB2312"/>
          <w:spacing w:val="-6"/>
          <w:sz w:val="32"/>
          <w:szCs w:val="32"/>
        </w:rPr>
        <w:t>项目组织管理架构及具体实施流程，我单位严格按照会议方案组织召开六次代表大会，会议经费严格执行单位财务内控相关管理制度。</w:t>
      </w:r>
    </w:p>
    <w:p>
      <w:pPr>
        <w:autoSpaceDE w:val="0"/>
        <w:spacing w:line="520" w:lineRule="exact"/>
        <w:ind w:firstLine="542" w:firstLineChars="176"/>
        <w:outlineLvl w:val="1"/>
        <w:rPr>
          <w:rFonts w:ascii="黑体" w:hAnsi="黑体" w:eastAsia="黑体"/>
          <w:spacing w:val="-6"/>
          <w:sz w:val="32"/>
          <w:szCs w:val="32"/>
        </w:rPr>
      </w:pPr>
      <w:bookmarkStart w:id="200" w:name="_Toc75"/>
      <w:r>
        <w:rPr>
          <w:rFonts w:hint="eastAsia" w:ascii="黑体" w:hAnsi="黑体" w:eastAsia="黑体"/>
          <w:spacing w:val="-6"/>
          <w:sz w:val="32"/>
          <w:szCs w:val="32"/>
        </w:rPr>
        <w:t>三、项目绩效情况</w:t>
      </w:r>
      <w:bookmarkEnd w:id="200"/>
      <w:r>
        <w:rPr>
          <w:rFonts w:hint="eastAsia" w:ascii="黑体" w:hAnsi="黑体" w:eastAsia="黑体"/>
          <w:spacing w:val="-6"/>
          <w:sz w:val="32"/>
          <w:szCs w:val="32"/>
        </w:rPr>
        <w:tab/>
      </w:r>
    </w:p>
    <w:p>
      <w:pPr>
        <w:autoSpaceDE w:val="0"/>
        <w:spacing w:line="520" w:lineRule="exact"/>
        <w:ind w:firstLine="542" w:firstLineChars="176"/>
        <w:outlineLvl w:val="2"/>
        <w:rPr>
          <w:rFonts w:ascii="楷体_GB2312" w:hAnsi="Times New Roman" w:eastAsia="楷体_GB2312"/>
          <w:bCs/>
          <w:spacing w:val="-6"/>
          <w:sz w:val="32"/>
          <w:szCs w:val="32"/>
        </w:rPr>
      </w:pPr>
      <w:bookmarkStart w:id="201" w:name="_Toc2201"/>
      <w:r>
        <w:rPr>
          <w:rFonts w:hint="eastAsia" w:ascii="楷体_GB2312" w:hAnsi="Times New Roman" w:eastAsia="楷体_GB2312"/>
          <w:bCs/>
          <w:spacing w:val="-6"/>
          <w:sz w:val="32"/>
          <w:szCs w:val="32"/>
        </w:rPr>
        <w:t>（一）项目完成情况</w:t>
      </w:r>
      <w:bookmarkEnd w:id="201"/>
    </w:p>
    <w:p>
      <w:pPr>
        <w:spacing w:line="520" w:lineRule="exact"/>
        <w:ind w:firstLine="616" w:firstLineChars="200"/>
        <w:rPr>
          <w:rFonts w:ascii="仿宋_GB2312" w:hAnsi="Times New Roman" w:eastAsia="仿宋_GB2312"/>
          <w:spacing w:val="-6"/>
          <w:sz w:val="32"/>
          <w:szCs w:val="32"/>
        </w:rPr>
      </w:pPr>
      <w:r>
        <w:rPr>
          <w:rFonts w:hint="eastAsia" w:ascii="仿宋_GB2312" w:hAnsi="Times New Roman" w:eastAsia="仿宋_GB2312"/>
          <w:spacing w:val="-6"/>
          <w:sz w:val="32"/>
          <w:szCs w:val="32"/>
        </w:rPr>
        <w:t>会议听取和审议区科协第五届委员会工作报告，选举产生区科协第六届委员会委员，召开区科协第六届委员会第一次全体会议，选举产生区科协第六届委员会主席、副主席、秘书长和常务委员。</w:t>
      </w:r>
    </w:p>
    <w:p>
      <w:pPr>
        <w:autoSpaceDE w:val="0"/>
        <w:spacing w:line="520" w:lineRule="exact"/>
        <w:ind w:firstLine="542" w:firstLineChars="176"/>
        <w:outlineLvl w:val="2"/>
        <w:rPr>
          <w:rFonts w:ascii="楷体_GB2312" w:hAnsi="Times New Roman" w:eastAsia="楷体_GB2312"/>
          <w:bCs/>
          <w:spacing w:val="-6"/>
          <w:sz w:val="32"/>
          <w:szCs w:val="32"/>
        </w:rPr>
      </w:pPr>
      <w:bookmarkStart w:id="202" w:name="_Toc15930"/>
      <w:r>
        <w:rPr>
          <w:rFonts w:hint="eastAsia" w:ascii="楷体_GB2312" w:hAnsi="Times New Roman" w:eastAsia="楷体_GB2312"/>
          <w:bCs/>
          <w:spacing w:val="-6"/>
          <w:sz w:val="32"/>
          <w:szCs w:val="32"/>
        </w:rPr>
        <w:t>（二）项目效益情况</w:t>
      </w:r>
      <w:bookmarkEnd w:id="202"/>
    </w:p>
    <w:p>
      <w:pPr>
        <w:spacing w:line="520" w:lineRule="exact"/>
        <w:ind w:firstLine="616" w:firstLineChars="200"/>
        <w:rPr>
          <w:rFonts w:ascii="仿宋_GB2312" w:hAnsi="Times New Roman" w:eastAsia="仿宋_GB2312"/>
          <w:spacing w:val="-6"/>
          <w:sz w:val="32"/>
          <w:szCs w:val="32"/>
        </w:rPr>
      </w:pPr>
      <w:r>
        <w:rPr>
          <w:rFonts w:hint="eastAsia" w:ascii="仿宋_GB2312" w:hAnsi="Times New Roman" w:eastAsia="仿宋_GB2312"/>
          <w:spacing w:val="-6"/>
          <w:sz w:val="32"/>
          <w:szCs w:val="32"/>
        </w:rPr>
        <w:t>选举产生区科协第六届委员会主席、副主席、秘书长和常务委员。服务对象满意度为90%。</w:t>
      </w:r>
    </w:p>
    <w:p>
      <w:pPr>
        <w:autoSpaceDE w:val="0"/>
        <w:spacing w:line="520" w:lineRule="exact"/>
        <w:ind w:firstLine="542" w:firstLineChars="176"/>
        <w:outlineLvl w:val="1"/>
        <w:rPr>
          <w:rFonts w:ascii="黑体" w:hAnsi="黑体" w:eastAsia="黑体"/>
          <w:spacing w:val="-6"/>
          <w:sz w:val="32"/>
          <w:szCs w:val="32"/>
        </w:rPr>
      </w:pPr>
      <w:bookmarkStart w:id="203" w:name="_Toc1578"/>
      <w:r>
        <w:rPr>
          <w:rFonts w:hint="eastAsia" w:ascii="黑体" w:hAnsi="黑体" w:eastAsia="黑体"/>
          <w:spacing w:val="-6"/>
          <w:sz w:val="32"/>
          <w:szCs w:val="32"/>
        </w:rPr>
        <w:t>四、问题及建议</w:t>
      </w:r>
      <w:bookmarkEnd w:id="203"/>
    </w:p>
    <w:p>
      <w:pPr>
        <w:snapToGrid w:val="0"/>
        <w:spacing w:line="520" w:lineRule="exact"/>
        <w:ind w:firstLine="545" w:firstLineChars="177"/>
        <w:rPr>
          <w:rFonts w:ascii="仿宋_GB2312" w:hAnsi="仿宋_GB2312" w:eastAsia="仿宋_GB2312" w:cs="仿宋_GB2312"/>
          <w:sz w:val="32"/>
          <w:szCs w:val="32"/>
        </w:rPr>
      </w:pPr>
      <w:r>
        <w:rPr>
          <w:rFonts w:hint="eastAsia" w:ascii="楷体_GB2312" w:hAnsi="Times New Roman" w:eastAsia="楷体_GB2312"/>
          <w:bCs/>
          <w:spacing w:val="-6"/>
          <w:sz w:val="32"/>
          <w:szCs w:val="32"/>
        </w:rPr>
        <w:t>（一）评价结论。</w:t>
      </w:r>
      <w:r>
        <w:rPr>
          <w:rFonts w:hint="eastAsia" w:ascii="仿宋_GB2312" w:hAnsi="仿宋_GB2312" w:eastAsia="仿宋_GB2312" w:cs="仿宋_GB2312"/>
          <w:sz w:val="32"/>
          <w:szCs w:val="32"/>
        </w:rPr>
        <w:t>2022年在上级科协的大力支持下，认真贯彻落实党的二十大精神，团结动员广大科技工作者，全面提高科学素质，积极开展科普活动，全力推进系统改革，取得了较好的工作绩效。经过自评，自评得分为96分，我单位管理规范、制度健全，财务开支合理。</w:t>
      </w:r>
    </w:p>
    <w:p>
      <w:pPr>
        <w:autoSpaceDE w:val="0"/>
        <w:spacing w:line="520" w:lineRule="exact"/>
        <w:ind w:firstLine="542" w:firstLineChars="176"/>
        <w:rPr>
          <w:rFonts w:ascii="楷体_GB2312" w:hAnsi="Times New Roman" w:eastAsia="楷体_GB2312"/>
          <w:bCs/>
          <w:spacing w:val="-6"/>
          <w:sz w:val="32"/>
          <w:szCs w:val="32"/>
        </w:rPr>
      </w:pPr>
      <w:r>
        <w:rPr>
          <w:rFonts w:hint="eastAsia" w:ascii="楷体_GB2312" w:hAnsi="Times New Roman" w:eastAsia="楷体_GB2312"/>
          <w:bCs/>
          <w:spacing w:val="-6"/>
          <w:sz w:val="32"/>
          <w:szCs w:val="32"/>
        </w:rPr>
        <w:t>（二）存在的问题：无。</w:t>
      </w:r>
    </w:p>
    <w:p>
      <w:pPr>
        <w:autoSpaceDE w:val="0"/>
        <w:spacing w:line="520" w:lineRule="exact"/>
        <w:ind w:firstLine="542" w:firstLineChars="176"/>
        <w:rPr>
          <w:rFonts w:ascii="仿宋_GB2312" w:hAnsi="Times New Roman" w:eastAsia="仿宋_GB2312"/>
          <w:spacing w:val="-6"/>
          <w:sz w:val="32"/>
          <w:szCs w:val="32"/>
        </w:rPr>
      </w:pPr>
      <w:r>
        <w:rPr>
          <w:rFonts w:hint="eastAsia" w:ascii="楷体_GB2312" w:hAnsi="Times New Roman" w:eastAsia="楷体_GB2312"/>
          <w:bCs/>
          <w:spacing w:val="-6"/>
          <w:sz w:val="32"/>
          <w:szCs w:val="32"/>
        </w:rPr>
        <w:t>（三）相关建议：</w:t>
      </w:r>
      <w:r>
        <w:rPr>
          <w:rFonts w:hint="eastAsia" w:ascii="仿宋_GB2312" w:hAnsi="Times New Roman" w:eastAsia="仿宋_GB2312"/>
          <w:spacing w:val="-6"/>
          <w:sz w:val="32"/>
          <w:szCs w:val="32"/>
        </w:rPr>
        <w:t>无。</w:t>
      </w:r>
    </w:p>
    <w:p>
      <w:pPr>
        <w:pStyle w:val="2"/>
        <w:rPr>
          <w:rFonts w:hint="eastAsia" w:ascii="仿宋_GB2312" w:eastAsia="仿宋_GB2312"/>
          <w:spacing w:val="-6"/>
          <w:sz w:val="32"/>
          <w:szCs w:val="32"/>
        </w:rPr>
      </w:pPr>
    </w:p>
    <w:p>
      <w:pPr>
        <w:spacing w:line="580" w:lineRule="exact"/>
        <w:rPr>
          <w:rStyle w:val="28"/>
          <w:rFonts w:ascii="黑体" w:hAnsi="黑体" w:eastAsia="黑体"/>
          <w:b w:val="0"/>
        </w:rPr>
      </w:pPr>
    </w:p>
    <w:p>
      <w:pPr>
        <w:widowControl/>
        <w:jc w:val="left"/>
        <w:rPr>
          <w:rStyle w:val="28"/>
          <w:rFonts w:ascii="黑体" w:hAnsi="黑体" w:eastAsia="黑体"/>
          <w:b w:val="0"/>
        </w:rPr>
      </w:pPr>
      <w:r>
        <w:rPr>
          <w:rStyle w:val="28"/>
          <w:rFonts w:ascii="黑体" w:hAnsi="黑体" w:eastAsia="黑体"/>
          <w:b w:val="0"/>
        </w:rPr>
        <w:br w:type="page"/>
      </w:r>
    </w:p>
    <w:p>
      <w:pPr>
        <w:pStyle w:val="2"/>
        <w:spacing w:before="93"/>
      </w:pPr>
    </w:p>
    <w:p>
      <w:pPr>
        <w:spacing w:line="600" w:lineRule="exact"/>
        <w:jc w:val="center"/>
        <w:outlineLvl w:val="0"/>
        <w:rPr>
          <w:rFonts w:ascii="仿宋" w:hAnsi="仿宋" w:eastAsia="仿宋"/>
        </w:rPr>
      </w:pPr>
      <w:bookmarkStart w:id="204" w:name="_Toc15396618"/>
      <w:bookmarkStart w:id="205" w:name="_Toc13975"/>
      <w:bookmarkStart w:id="206" w:name="_Toc8759"/>
      <w:bookmarkStart w:id="207" w:name="_Toc8608"/>
      <w:r>
        <w:rPr>
          <w:rFonts w:hint="eastAsia" w:ascii="黑体" w:hAnsi="黑体" w:eastAsia="黑体"/>
          <w:sz w:val="44"/>
          <w:szCs w:val="44"/>
        </w:rPr>
        <w:t>第</w:t>
      </w:r>
      <w:r>
        <w:rPr>
          <w:rStyle w:val="28"/>
          <w:rFonts w:hint="eastAsia" w:ascii="黑体" w:hAnsi="黑体" w:eastAsia="黑体"/>
          <w:b w:val="0"/>
        </w:rPr>
        <w:t>五部分 附表</w:t>
      </w:r>
      <w:bookmarkEnd w:id="145"/>
      <w:bookmarkEnd w:id="204"/>
      <w:bookmarkEnd w:id="205"/>
      <w:bookmarkEnd w:id="206"/>
      <w:bookmarkEnd w:id="207"/>
      <w:bookmarkStart w:id="208" w:name="_Toc15396619"/>
    </w:p>
    <w:p>
      <w:pPr>
        <w:pStyle w:val="4"/>
        <w:rPr>
          <w:rFonts w:ascii="仿宋_GB2312" w:hAnsi="仿宋" w:eastAsia="仿宋_GB2312"/>
        </w:rPr>
      </w:pPr>
      <w:bookmarkStart w:id="209" w:name="_Toc31114"/>
      <w:bookmarkStart w:id="210" w:name="_Toc21210"/>
      <w:bookmarkStart w:id="211" w:name="_Toc1160"/>
      <w:bookmarkStart w:id="212" w:name="_Toc14291"/>
      <w:r>
        <w:rPr>
          <w:rFonts w:hint="eastAsia" w:ascii="仿宋_GB2312" w:hAnsi="仿宋" w:eastAsia="仿宋_GB2312"/>
          <w:b w:val="0"/>
        </w:rPr>
        <w:t>一、收</w:t>
      </w:r>
      <w:r>
        <w:rPr>
          <w:rStyle w:val="29"/>
          <w:rFonts w:hint="eastAsia" w:ascii="仿宋_GB2312" w:hAnsi="仿宋" w:eastAsia="仿宋_GB2312"/>
          <w:b w:val="0"/>
          <w:bCs w:val="0"/>
        </w:rPr>
        <w:t>入支出决算总表</w:t>
      </w:r>
      <w:bookmarkEnd w:id="208"/>
      <w:bookmarkEnd w:id="209"/>
      <w:bookmarkEnd w:id="210"/>
      <w:bookmarkEnd w:id="211"/>
      <w:bookmarkEnd w:id="212"/>
    </w:p>
    <w:p>
      <w:pPr>
        <w:pStyle w:val="4"/>
        <w:rPr>
          <w:rFonts w:ascii="仿宋_GB2312" w:hAnsi="仿宋" w:eastAsia="仿宋_GB2312"/>
        </w:rPr>
      </w:pPr>
      <w:bookmarkStart w:id="213" w:name="_Toc904"/>
      <w:bookmarkStart w:id="214" w:name="_Toc15396620"/>
      <w:bookmarkStart w:id="215" w:name="_Toc8313"/>
      <w:bookmarkStart w:id="216" w:name="_Toc31183"/>
      <w:bookmarkStart w:id="217" w:name="_Toc21819"/>
      <w:r>
        <w:rPr>
          <w:rFonts w:hint="eastAsia" w:ascii="仿宋_GB2312" w:hAnsi="仿宋" w:eastAsia="仿宋_GB2312"/>
          <w:b w:val="0"/>
        </w:rPr>
        <w:t>二、收</w:t>
      </w:r>
      <w:r>
        <w:rPr>
          <w:rStyle w:val="29"/>
          <w:rFonts w:hint="eastAsia" w:ascii="仿宋_GB2312" w:hAnsi="仿宋" w:eastAsia="仿宋_GB2312"/>
          <w:b w:val="0"/>
          <w:bCs w:val="0"/>
        </w:rPr>
        <w:t>入决算表</w:t>
      </w:r>
      <w:bookmarkEnd w:id="213"/>
      <w:bookmarkEnd w:id="214"/>
      <w:bookmarkEnd w:id="215"/>
      <w:bookmarkEnd w:id="216"/>
      <w:bookmarkEnd w:id="217"/>
    </w:p>
    <w:p>
      <w:pPr>
        <w:pStyle w:val="4"/>
        <w:rPr>
          <w:rFonts w:ascii="仿宋_GB2312" w:hAnsi="仿宋" w:eastAsia="仿宋_GB2312"/>
        </w:rPr>
      </w:pPr>
      <w:bookmarkStart w:id="218" w:name="_Toc15396621"/>
      <w:bookmarkStart w:id="219" w:name="_Toc14636"/>
      <w:bookmarkStart w:id="220" w:name="_Toc15150"/>
      <w:bookmarkStart w:id="221" w:name="_Toc27389"/>
      <w:bookmarkStart w:id="222" w:name="_Toc18296"/>
      <w:r>
        <w:rPr>
          <w:rStyle w:val="29"/>
          <w:rFonts w:hint="eastAsia" w:ascii="仿宋_GB2312" w:hAnsi="仿宋" w:eastAsia="仿宋_GB2312"/>
          <w:b w:val="0"/>
          <w:bCs w:val="0"/>
        </w:rPr>
        <w:t>三、</w:t>
      </w:r>
      <w:r>
        <w:rPr>
          <w:rFonts w:hint="eastAsia" w:ascii="仿宋_GB2312" w:hAnsi="仿宋" w:eastAsia="仿宋_GB2312"/>
          <w:b w:val="0"/>
        </w:rPr>
        <w:t>支</w:t>
      </w:r>
      <w:r>
        <w:rPr>
          <w:rStyle w:val="29"/>
          <w:rFonts w:hint="eastAsia" w:ascii="仿宋_GB2312" w:hAnsi="仿宋" w:eastAsia="仿宋_GB2312"/>
          <w:b w:val="0"/>
          <w:bCs w:val="0"/>
        </w:rPr>
        <w:t>出决算表</w:t>
      </w:r>
      <w:bookmarkEnd w:id="218"/>
      <w:bookmarkEnd w:id="219"/>
      <w:bookmarkEnd w:id="220"/>
      <w:bookmarkEnd w:id="221"/>
      <w:bookmarkEnd w:id="222"/>
    </w:p>
    <w:p>
      <w:pPr>
        <w:pStyle w:val="4"/>
        <w:rPr>
          <w:rFonts w:ascii="仿宋_GB2312" w:hAnsi="仿宋" w:eastAsia="仿宋_GB2312"/>
          <w:b w:val="0"/>
        </w:rPr>
      </w:pPr>
      <w:bookmarkStart w:id="223" w:name="_Toc10040"/>
      <w:bookmarkStart w:id="224" w:name="_Toc14865"/>
      <w:bookmarkStart w:id="225" w:name="_Toc11224"/>
      <w:bookmarkStart w:id="226" w:name="_Toc15396622"/>
      <w:bookmarkStart w:id="227" w:name="_Toc24687"/>
      <w:r>
        <w:rPr>
          <w:rStyle w:val="29"/>
          <w:rFonts w:hint="eastAsia" w:ascii="仿宋_GB2312" w:hAnsi="仿宋" w:eastAsia="仿宋_GB2312"/>
          <w:b w:val="0"/>
          <w:bCs w:val="0"/>
        </w:rPr>
        <w:t>四、</w:t>
      </w:r>
      <w:r>
        <w:rPr>
          <w:rFonts w:hint="eastAsia" w:ascii="仿宋_GB2312" w:hAnsi="仿宋" w:eastAsia="仿宋_GB2312"/>
          <w:b w:val="0"/>
        </w:rPr>
        <w:t>财</w:t>
      </w:r>
      <w:r>
        <w:rPr>
          <w:rStyle w:val="29"/>
          <w:rFonts w:hint="eastAsia" w:ascii="仿宋_GB2312" w:hAnsi="仿宋" w:eastAsia="仿宋_GB2312"/>
          <w:b w:val="0"/>
          <w:bCs w:val="0"/>
        </w:rPr>
        <w:t>政拨款收入支出决算总表</w:t>
      </w:r>
      <w:bookmarkEnd w:id="223"/>
      <w:bookmarkEnd w:id="224"/>
      <w:bookmarkEnd w:id="225"/>
      <w:bookmarkEnd w:id="226"/>
      <w:bookmarkEnd w:id="227"/>
    </w:p>
    <w:p>
      <w:pPr>
        <w:pStyle w:val="4"/>
        <w:rPr>
          <w:rStyle w:val="29"/>
          <w:rFonts w:ascii="仿宋_GB2312" w:hAnsi="仿宋" w:eastAsia="仿宋_GB2312"/>
          <w:b w:val="0"/>
          <w:bCs w:val="0"/>
        </w:rPr>
      </w:pPr>
      <w:bookmarkStart w:id="228" w:name="_Toc10067"/>
      <w:bookmarkStart w:id="229" w:name="_Toc6502"/>
      <w:bookmarkStart w:id="230" w:name="_Toc11929"/>
      <w:bookmarkStart w:id="231" w:name="_Toc15396623"/>
      <w:bookmarkStart w:id="232" w:name="_Toc21975"/>
      <w:r>
        <w:rPr>
          <w:rStyle w:val="29"/>
          <w:rFonts w:hint="eastAsia" w:ascii="仿宋_GB2312" w:hAnsi="仿宋" w:eastAsia="仿宋_GB2312"/>
          <w:b w:val="0"/>
          <w:bCs w:val="0"/>
        </w:rPr>
        <w:t>五、</w:t>
      </w:r>
      <w:r>
        <w:rPr>
          <w:rFonts w:hint="eastAsia" w:ascii="仿宋_GB2312" w:hAnsi="仿宋" w:eastAsia="仿宋_GB2312"/>
          <w:b w:val="0"/>
        </w:rPr>
        <w:t>财</w:t>
      </w:r>
      <w:r>
        <w:rPr>
          <w:rStyle w:val="29"/>
          <w:rFonts w:hint="eastAsia" w:ascii="仿宋_GB2312" w:hAnsi="仿宋" w:eastAsia="仿宋_GB2312"/>
          <w:b w:val="0"/>
          <w:bCs w:val="0"/>
        </w:rPr>
        <w:t>政拨款支出决算明细表</w:t>
      </w:r>
      <w:bookmarkEnd w:id="228"/>
      <w:bookmarkEnd w:id="229"/>
      <w:bookmarkEnd w:id="230"/>
      <w:bookmarkEnd w:id="231"/>
      <w:bookmarkEnd w:id="232"/>
      <w:bookmarkStart w:id="233" w:name="_Toc15396624"/>
    </w:p>
    <w:p>
      <w:pPr>
        <w:pStyle w:val="4"/>
        <w:rPr>
          <w:rFonts w:ascii="仿宋_GB2312" w:hAnsi="仿宋" w:eastAsia="仿宋_GB2312"/>
        </w:rPr>
      </w:pPr>
      <w:bookmarkStart w:id="234" w:name="_Toc3165"/>
      <w:bookmarkStart w:id="235" w:name="_Toc25133"/>
      <w:bookmarkStart w:id="236" w:name="_Toc23786"/>
      <w:bookmarkStart w:id="237" w:name="_Toc31065"/>
      <w:r>
        <w:rPr>
          <w:rStyle w:val="29"/>
          <w:rFonts w:hint="eastAsia" w:ascii="仿宋_GB2312" w:hAnsi="仿宋" w:eastAsia="仿宋_GB2312"/>
          <w:b w:val="0"/>
          <w:bCs w:val="0"/>
        </w:rPr>
        <w:t>六、</w:t>
      </w:r>
      <w:r>
        <w:rPr>
          <w:rFonts w:hint="eastAsia" w:ascii="仿宋_GB2312" w:hAnsi="仿宋" w:eastAsia="仿宋_GB2312"/>
          <w:b w:val="0"/>
        </w:rPr>
        <w:t>一</w:t>
      </w:r>
      <w:r>
        <w:rPr>
          <w:rStyle w:val="29"/>
          <w:rFonts w:hint="eastAsia" w:ascii="仿宋_GB2312" w:hAnsi="仿宋" w:eastAsia="仿宋_GB2312"/>
          <w:b w:val="0"/>
          <w:bCs w:val="0"/>
        </w:rPr>
        <w:t>般公共预算财政拨款支出决算表</w:t>
      </w:r>
      <w:bookmarkEnd w:id="233"/>
      <w:bookmarkEnd w:id="234"/>
      <w:bookmarkEnd w:id="235"/>
      <w:bookmarkEnd w:id="236"/>
      <w:bookmarkEnd w:id="237"/>
    </w:p>
    <w:p>
      <w:pPr>
        <w:pStyle w:val="4"/>
        <w:rPr>
          <w:rFonts w:ascii="仿宋_GB2312" w:hAnsi="仿宋" w:eastAsia="仿宋_GB2312"/>
        </w:rPr>
      </w:pPr>
      <w:bookmarkStart w:id="238" w:name="_Toc9657"/>
      <w:bookmarkStart w:id="239" w:name="_Toc7299"/>
      <w:bookmarkStart w:id="240" w:name="_Toc15396625"/>
      <w:bookmarkStart w:id="241" w:name="_Toc13507"/>
      <w:bookmarkStart w:id="242" w:name="_Toc7570"/>
      <w:r>
        <w:rPr>
          <w:rStyle w:val="29"/>
          <w:rFonts w:hint="eastAsia" w:ascii="仿宋_GB2312" w:hAnsi="仿宋" w:eastAsia="仿宋_GB2312"/>
          <w:b w:val="0"/>
          <w:bCs w:val="0"/>
        </w:rPr>
        <w:t>七、</w:t>
      </w:r>
      <w:r>
        <w:rPr>
          <w:rFonts w:hint="eastAsia" w:ascii="仿宋_GB2312" w:hAnsi="仿宋" w:eastAsia="仿宋_GB2312"/>
          <w:b w:val="0"/>
        </w:rPr>
        <w:t>一</w:t>
      </w:r>
      <w:r>
        <w:rPr>
          <w:rStyle w:val="29"/>
          <w:rFonts w:hint="eastAsia" w:ascii="仿宋_GB2312" w:hAnsi="仿宋" w:eastAsia="仿宋_GB2312"/>
          <w:b w:val="0"/>
          <w:bCs w:val="0"/>
        </w:rPr>
        <w:t>般公共预算财政拨款支出决算明细表</w:t>
      </w:r>
      <w:bookmarkEnd w:id="238"/>
      <w:bookmarkEnd w:id="239"/>
      <w:bookmarkEnd w:id="240"/>
      <w:bookmarkEnd w:id="241"/>
      <w:bookmarkEnd w:id="242"/>
    </w:p>
    <w:p>
      <w:pPr>
        <w:pStyle w:val="4"/>
        <w:rPr>
          <w:rFonts w:ascii="仿宋_GB2312" w:hAnsi="仿宋" w:eastAsia="仿宋_GB2312"/>
        </w:rPr>
      </w:pPr>
      <w:bookmarkStart w:id="243" w:name="_Toc19949"/>
      <w:bookmarkStart w:id="244" w:name="_Toc8344"/>
      <w:bookmarkStart w:id="245" w:name="_Toc29517"/>
      <w:bookmarkStart w:id="246" w:name="_Toc15396626"/>
      <w:bookmarkStart w:id="247" w:name="_Toc12643"/>
      <w:r>
        <w:rPr>
          <w:rStyle w:val="29"/>
          <w:rFonts w:hint="eastAsia" w:ascii="仿宋_GB2312" w:hAnsi="仿宋" w:eastAsia="仿宋_GB2312"/>
          <w:b w:val="0"/>
          <w:bCs w:val="0"/>
        </w:rPr>
        <w:t>八、</w:t>
      </w:r>
      <w:r>
        <w:rPr>
          <w:rFonts w:hint="eastAsia" w:ascii="仿宋_GB2312" w:hAnsi="仿宋" w:eastAsia="仿宋_GB2312"/>
          <w:b w:val="0"/>
        </w:rPr>
        <w:t>一</w:t>
      </w:r>
      <w:r>
        <w:rPr>
          <w:rStyle w:val="29"/>
          <w:rFonts w:hint="eastAsia" w:ascii="仿宋_GB2312" w:hAnsi="仿宋" w:eastAsia="仿宋_GB2312"/>
          <w:b w:val="0"/>
          <w:bCs w:val="0"/>
        </w:rPr>
        <w:t>般公共预算财政拨款基本支出决算表</w:t>
      </w:r>
      <w:bookmarkEnd w:id="243"/>
      <w:bookmarkEnd w:id="244"/>
      <w:bookmarkEnd w:id="245"/>
      <w:bookmarkEnd w:id="246"/>
      <w:bookmarkEnd w:id="247"/>
    </w:p>
    <w:p>
      <w:pPr>
        <w:pStyle w:val="4"/>
        <w:rPr>
          <w:rFonts w:ascii="仿宋_GB2312" w:hAnsi="仿宋" w:eastAsia="仿宋_GB2312"/>
        </w:rPr>
      </w:pPr>
      <w:bookmarkStart w:id="248" w:name="_Toc15396627"/>
      <w:bookmarkStart w:id="249" w:name="_Toc5048"/>
      <w:bookmarkStart w:id="250" w:name="_Toc18974"/>
      <w:bookmarkStart w:id="251" w:name="_Toc3287"/>
      <w:bookmarkStart w:id="252" w:name="_Toc21698"/>
      <w:r>
        <w:rPr>
          <w:rStyle w:val="29"/>
          <w:rFonts w:hint="eastAsia" w:ascii="仿宋_GB2312" w:hAnsi="仿宋" w:eastAsia="仿宋_GB2312"/>
          <w:b w:val="0"/>
          <w:bCs w:val="0"/>
        </w:rPr>
        <w:t>九、</w:t>
      </w:r>
      <w:r>
        <w:rPr>
          <w:rFonts w:hint="eastAsia" w:ascii="仿宋_GB2312" w:hAnsi="仿宋" w:eastAsia="仿宋_GB2312"/>
          <w:b w:val="0"/>
        </w:rPr>
        <w:t>一</w:t>
      </w:r>
      <w:r>
        <w:rPr>
          <w:rStyle w:val="29"/>
          <w:rFonts w:hint="eastAsia" w:ascii="仿宋_GB2312" w:hAnsi="仿宋" w:eastAsia="仿宋_GB2312"/>
          <w:b w:val="0"/>
          <w:bCs w:val="0"/>
        </w:rPr>
        <w:t>般公共预算财政拨款项目支出决算表</w:t>
      </w:r>
      <w:bookmarkEnd w:id="248"/>
      <w:bookmarkEnd w:id="249"/>
      <w:bookmarkEnd w:id="250"/>
      <w:bookmarkEnd w:id="251"/>
      <w:bookmarkEnd w:id="252"/>
    </w:p>
    <w:p>
      <w:pPr>
        <w:pStyle w:val="4"/>
        <w:rPr>
          <w:rFonts w:ascii="仿宋_GB2312" w:hAnsi="仿宋" w:eastAsia="仿宋_GB2312"/>
        </w:rPr>
      </w:pPr>
      <w:bookmarkStart w:id="253" w:name="_Toc15396628"/>
      <w:bookmarkStart w:id="254" w:name="_Toc8275"/>
      <w:bookmarkStart w:id="255" w:name="_Toc7423"/>
      <w:bookmarkStart w:id="256" w:name="_Toc11439"/>
      <w:bookmarkStart w:id="257" w:name="_Toc600"/>
      <w:r>
        <w:rPr>
          <w:rStyle w:val="29"/>
          <w:rFonts w:hint="eastAsia" w:ascii="仿宋_GB2312" w:hAnsi="仿宋" w:eastAsia="仿宋_GB2312"/>
          <w:b w:val="0"/>
          <w:bCs w:val="0"/>
        </w:rPr>
        <w:t>十、</w:t>
      </w:r>
      <w:bookmarkEnd w:id="253"/>
      <w:r>
        <w:rPr>
          <w:rFonts w:hint="eastAsia" w:ascii="仿宋_GB2312" w:hAnsi="仿宋" w:eastAsia="仿宋_GB2312"/>
          <w:b w:val="0"/>
        </w:rPr>
        <w:t>政</w:t>
      </w:r>
      <w:r>
        <w:rPr>
          <w:rStyle w:val="29"/>
          <w:rFonts w:hint="eastAsia" w:ascii="仿宋_GB2312" w:hAnsi="仿宋" w:eastAsia="仿宋_GB2312"/>
          <w:b w:val="0"/>
          <w:bCs w:val="0"/>
        </w:rPr>
        <w:t>府性基金预算财政拨款收入支出决算表</w:t>
      </w:r>
      <w:bookmarkEnd w:id="254"/>
      <w:bookmarkEnd w:id="255"/>
      <w:bookmarkEnd w:id="256"/>
      <w:bookmarkEnd w:id="257"/>
    </w:p>
    <w:p>
      <w:pPr>
        <w:pStyle w:val="4"/>
        <w:rPr>
          <w:rFonts w:ascii="仿宋_GB2312" w:hAnsi="仿宋" w:eastAsia="仿宋_GB2312"/>
        </w:rPr>
      </w:pPr>
      <w:bookmarkStart w:id="258" w:name="_Toc15396629"/>
      <w:bookmarkStart w:id="259" w:name="_Toc17637"/>
      <w:bookmarkStart w:id="260" w:name="_Toc201"/>
      <w:bookmarkStart w:id="261" w:name="_Toc2347"/>
      <w:bookmarkStart w:id="262" w:name="_Toc1019"/>
      <w:r>
        <w:rPr>
          <w:rStyle w:val="29"/>
          <w:rFonts w:hint="eastAsia" w:ascii="仿宋_GB2312" w:hAnsi="仿宋" w:eastAsia="仿宋_GB2312"/>
          <w:b w:val="0"/>
          <w:bCs w:val="0"/>
        </w:rPr>
        <w:t>十一、</w:t>
      </w:r>
      <w:bookmarkEnd w:id="258"/>
      <w:r>
        <w:rPr>
          <w:rFonts w:hint="eastAsia" w:ascii="仿宋_GB2312" w:hAnsi="仿宋" w:eastAsia="仿宋_GB2312"/>
          <w:b w:val="0"/>
        </w:rPr>
        <w:t>国</w:t>
      </w:r>
      <w:r>
        <w:rPr>
          <w:rStyle w:val="29"/>
          <w:rFonts w:hint="eastAsia" w:ascii="仿宋_GB2312" w:hAnsi="仿宋" w:eastAsia="仿宋_GB2312"/>
          <w:b w:val="0"/>
          <w:bCs w:val="0"/>
        </w:rPr>
        <w:t>有资本经营预算财政拨款收入支出决算表</w:t>
      </w:r>
      <w:bookmarkEnd w:id="259"/>
      <w:bookmarkEnd w:id="260"/>
      <w:bookmarkEnd w:id="261"/>
      <w:bookmarkEnd w:id="262"/>
    </w:p>
    <w:p>
      <w:pPr>
        <w:pStyle w:val="4"/>
        <w:rPr>
          <w:rFonts w:ascii="仿宋_GB2312" w:hAnsi="仿宋" w:eastAsia="仿宋_GB2312"/>
        </w:rPr>
      </w:pPr>
      <w:bookmarkStart w:id="263" w:name="_Toc15396630"/>
      <w:bookmarkStart w:id="264" w:name="_Toc23020"/>
      <w:bookmarkStart w:id="265" w:name="_Toc8156"/>
      <w:bookmarkStart w:id="266" w:name="_Toc9893"/>
      <w:bookmarkStart w:id="267" w:name="_Toc12624"/>
      <w:r>
        <w:rPr>
          <w:rStyle w:val="29"/>
          <w:rFonts w:hint="eastAsia" w:ascii="仿宋_GB2312" w:hAnsi="仿宋" w:eastAsia="仿宋_GB2312"/>
          <w:b w:val="0"/>
          <w:bCs w:val="0"/>
        </w:rPr>
        <w:t>十二、</w:t>
      </w:r>
      <w:bookmarkEnd w:id="263"/>
      <w:r>
        <w:rPr>
          <w:rStyle w:val="29"/>
          <w:rFonts w:hint="eastAsia" w:ascii="仿宋_GB2312" w:hAnsi="仿宋" w:eastAsia="仿宋_GB2312"/>
          <w:b w:val="0"/>
          <w:bCs w:val="0"/>
        </w:rPr>
        <w:t>国有资本经营预算财政拨款支出决算表</w:t>
      </w:r>
      <w:bookmarkEnd w:id="264"/>
      <w:bookmarkEnd w:id="265"/>
      <w:bookmarkEnd w:id="266"/>
      <w:bookmarkEnd w:id="267"/>
    </w:p>
    <w:p>
      <w:pPr>
        <w:pStyle w:val="4"/>
        <w:rPr>
          <w:rFonts w:ascii="仿宋_GB2312" w:eastAsia="仿宋_GB2312"/>
        </w:rPr>
      </w:pPr>
      <w:bookmarkStart w:id="268" w:name="_Toc15396631"/>
      <w:bookmarkStart w:id="269" w:name="_Toc9085"/>
      <w:bookmarkStart w:id="270" w:name="_Toc18207"/>
      <w:bookmarkStart w:id="271" w:name="_Toc7357"/>
      <w:bookmarkStart w:id="272" w:name="_Toc18580"/>
      <w:r>
        <w:rPr>
          <w:rStyle w:val="29"/>
          <w:rFonts w:hint="eastAsia" w:ascii="仿宋_GB2312" w:hAnsi="仿宋" w:eastAsia="仿宋_GB2312"/>
          <w:b w:val="0"/>
          <w:bCs w:val="0"/>
        </w:rPr>
        <w:t>十三、</w:t>
      </w:r>
      <w:bookmarkEnd w:id="268"/>
      <w:r>
        <w:rPr>
          <w:rStyle w:val="29"/>
          <w:rFonts w:hint="eastAsia" w:ascii="仿宋_GB2312" w:hAnsi="仿宋" w:eastAsia="仿宋_GB2312"/>
          <w:b w:val="0"/>
          <w:bCs w:val="0"/>
        </w:rPr>
        <w:t>财政拨款“三公”经费支出决算表</w:t>
      </w:r>
      <w:bookmarkEnd w:id="269"/>
      <w:bookmarkEnd w:id="270"/>
      <w:bookmarkEnd w:id="271"/>
      <w:bookmarkEnd w:id="272"/>
    </w:p>
    <w:sectPr>
      <w:footerReference r:id="rId5" w:type="first"/>
      <w:headerReference r:id="rId3" w:type="default"/>
      <w:footerReference r:id="rId4" w:type="default"/>
      <w:pgSz w:w="11906" w:h="16838"/>
      <w:pgMar w:top="1440" w:right="1519" w:bottom="1440" w:left="1576"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00" w:usb3="00000000" w:csb0="00000000" w:csb1="00000000"/>
  </w:font>
  <w:font w:name="华文仿宋">
    <w:altName w:val="汉仪仿宋简"/>
    <w:panose1 w:val="02010600040101010101"/>
    <w:charset w:val="86"/>
    <w:family w:val="auto"/>
    <w:pitch w:val="default"/>
    <w:sig w:usb0="00000000" w:usb1="0000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posOffset>5139055</wp:posOffset>
              </wp:positionH>
              <wp:positionV relativeFrom="paragraph">
                <wp:posOffset>-133350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4"/>
                              <w:szCs w:val="24"/>
                            </w:rPr>
                          </w:pPr>
                          <w:r>
                            <w:rPr>
                              <w:sz w:val="24"/>
                              <w:szCs w:val="24"/>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31</w:t>
                          </w:r>
                          <w:r>
                            <w:rPr>
                              <w:sz w:val="32"/>
                              <w:szCs w:val="32"/>
                            </w:rPr>
                            <w:fldChar w:fldCharType="end"/>
                          </w:r>
                          <w:r>
                            <w:rPr>
                              <w:sz w:val="32"/>
                              <w:szCs w:val="32"/>
                            </w:rPr>
                            <w:t xml:space="preserve"> </w:t>
                          </w:r>
                          <w:r>
                            <w:rPr>
                              <w:sz w:val="24"/>
                              <w:szCs w:val="24"/>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404.65pt;margin-top:-10.5pt;height:144pt;width:144pt;mso-position-horizontal-relative:margin;mso-wrap-style:none;z-index:251661312;mso-width-relative:page;mso-height-relative:page;" filled="f" stroked="f" coordsize="21600,21600" o:gfxdata="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r5HBD2AAAAAwBAAAPAAAAAAAAAAEAIAAAADgAAABkcnMvZG93bnJldi54bWxQSwECFAAU&#10;AAAACACHTuJALHYHFxQCAAAbBAAADgAAAAAAAAABACAAAAA9AQAAZHJzL2Uyb0RvYy54bWxQSwUG&#10;AAAAAAYABgBZAQAAwwUAAAAA&#10;">
              <v:fill on="f" focussize="0,0"/>
              <v:stroke on="f" weight="0.5pt"/>
              <v:imagedata o:title=""/>
              <o:lock v:ext="edit" aspectratio="f"/>
              <v:textbox inset="0mm,0mm,0mm,0mm" style="mso-fit-shape-to-text:t;">
                <w:txbxContent>
                  <w:p>
                    <w:pPr>
                      <w:pStyle w:val="9"/>
                      <w:rPr>
                        <w:sz w:val="24"/>
                        <w:szCs w:val="24"/>
                      </w:rPr>
                    </w:pPr>
                    <w:r>
                      <w:rPr>
                        <w:sz w:val="24"/>
                        <w:szCs w:val="24"/>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31</w:t>
                    </w:r>
                    <w:r>
                      <w:rPr>
                        <w:sz w:val="32"/>
                        <w:szCs w:val="32"/>
                      </w:rPr>
                      <w:fldChar w:fldCharType="end"/>
                    </w:r>
                    <w:r>
                      <w:rPr>
                        <w:sz w:val="32"/>
                        <w:szCs w:val="32"/>
                      </w:rPr>
                      <w:t xml:space="preserve"> </w:t>
                    </w:r>
                    <w:r>
                      <w:rPr>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R+mXFQIAABs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cR+mXFQIAABsEAAAOAAAAAAAAAAEAIAAAADUBAABkcnMvZTJvRG9jLnhtbFBLBQYAAAAABgAG&#10;AFkBAAC8BQAAAAA=&#10;">
              <v:fill on="f" focussize="0,0"/>
              <v:stroke on="f" weight="0.5pt"/>
              <v:imagedata o:title=""/>
              <o:lock v:ext="edit" aspectratio="f"/>
              <v:textbox inset="0mm,0mm,0mm,0mm" style="mso-fit-shape-to-text:t;">
                <w:txbxContent>
                  <w:p>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91260C3"/>
    <w:multiLevelType w:val="multilevel"/>
    <w:tmpl w:val="291260C3"/>
    <w:lvl w:ilvl="0" w:tentative="0">
      <w:start w:val="1"/>
      <w:numFmt w:val="japaneseCounting"/>
      <w:lvlText w:val="%1、"/>
      <w:lvlJc w:val="left"/>
      <w:pPr>
        <w:ind w:left="1336" w:hanging="720"/>
      </w:pPr>
      <w:rPr>
        <w:rFonts w:hint="default"/>
      </w:rPr>
    </w:lvl>
    <w:lvl w:ilvl="1" w:tentative="0">
      <w:start w:val="1"/>
      <w:numFmt w:val="lowerLetter"/>
      <w:lvlText w:val="%2)"/>
      <w:lvlJc w:val="left"/>
      <w:pPr>
        <w:ind w:left="1456" w:hanging="420"/>
      </w:pPr>
    </w:lvl>
    <w:lvl w:ilvl="2" w:tentative="0">
      <w:start w:val="1"/>
      <w:numFmt w:val="lowerRoman"/>
      <w:lvlText w:val="%3."/>
      <w:lvlJc w:val="right"/>
      <w:pPr>
        <w:ind w:left="1876" w:hanging="420"/>
      </w:pPr>
    </w:lvl>
    <w:lvl w:ilvl="3" w:tentative="0">
      <w:start w:val="1"/>
      <w:numFmt w:val="decimal"/>
      <w:lvlText w:val="%4."/>
      <w:lvlJc w:val="left"/>
      <w:pPr>
        <w:ind w:left="2296" w:hanging="420"/>
      </w:pPr>
    </w:lvl>
    <w:lvl w:ilvl="4" w:tentative="0">
      <w:start w:val="1"/>
      <w:numFmt w:val="lowerLetter"/>
      <w:lvlText w:val="%5)"/>
      <w:lvlJc w:val="left"/>
      <w:pPr>
        <w:ind w:left="2716" w:hanging="420"/>
      </w:pPr>
    </w:lvl>
    <w:lvl w:ilvl="5" w:tentative="0">
      <w:start w:val="1"/>
      <w:numFmt w:val="lowerRoman"/>
      <w:lvlText w:val="%6."/>
      <w:lvlJc w:val="right"/>
      <w:pPr>
        <w:ind w:left="3136" w:hanging="420"/>
      </w:pPr>
    </w:lvl>
    <w:lvl w:ilvl="6" w:tentative="0">
      <w:start w:val="1"/>
      <w:numFmt w:val="decimal"/>
      <w:lvlText w:val="%7."/>
      <w:lvlJc w:val="left"/>
      <w:pPr>
        <w:ind w:left="3556" w:hanging="420"/>
      </w:pPr>
    </w:lvl>
    <w:lvl w:ilvl="7" w:tentative="0">
      <w:start w:val="1"/>
      <w:numFmt w:val="lowerLetter"/>
      <w:lvlText w:val="%8)"/>
      <w:lvlJc w:val="left"/>
      <w:pPr>
        <w:ind w:left="3976" w:hanging="420"/>
      </w:pPr>
    </w:lvl>
    <w:lvl w:ilvl="8" w:tentative="0">
      <w:start w:val="1"/>
      <w:numFmt w:val="lowerRoman"/>
      <w:lvlText w:val="%9."/>
      <w:lvlJc w:val="right"/>
      <w:pPr>
        <w:ind w:left="4396"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TVhNGRkZDBjMjQ0NWMxNjc2MGFlN2QzYmRmOTgifQ=="/>
  </w:docVars>
  <w:rsids>
    <w:rsidRoot w:val="00F1361C"/>
    <w:rsid w:val="000222C6"/>
    <w:rsid w:val="0002549F"/>
    <w:rsid w:val="000468DB"/>
    <w:rsid w:val="0006487A"/>
    <w:rsid w:val="00065F8F"/>
    <w:rsid w:val="00070A43"/>
    <w:rsid w:val="000768F2"/>
    <w:rsid w:val="0009184B"/>
    <w:rsid w:val="00094236"/>
    <w:rsid w:val="0009593C"/>
    <w:rsid w:val="00097322"/>
    <w:rsid w:val="000A1850"/>
    <w:rsid w:val="000A26C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36342"/>
    <w:rsid w:val="00260C38"/>
    <w:rsid w:val="002616C0"/>
    <w:rsid w:val="00265372"/>
    <w:rsid w:val="002662AA"/>
    <w:rsid w:val="00280496"/>
    <w:rsid w:val="00294DC9"/>
    <w:rsid w:val="00295495"/>
    <w:rsid w:val="002A31DE"/>
    <w:rsid w:val="002B2613"/>
    <w:rsid w:val="002D29AC"/>
    <w:rsid w:val="002D6D05"/>
    <w:rsid w:val="002F0269"/>
    <w:rsid w:val="002F1818"/>
    <w:rsid w:val="002F567B"/>
    <w:rsid w:val="003216A9"/>
    <w:rsid w:val="00335A74"/>
    <w:rsid w:val="0036561B"/>
    <w:rsid w:val="0037013F"/>
    <w:rsid w:val="00380C92"/>
    <w:rsid w:val="00386949"/>
    <w:rsid w:val="003A4254"/>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6B64"/>
    <w:rsid w:val="004A711F"/>
    <w:rsid w:val="004B199D"/>
    <w:rsid w:val="004B4690"/>
    <w:rsid w:val="004D5371"/>
    <w:rsid w:val="004E0A2D"/>
    <w:rsid w:val="004E206B"/>
    <w:rsid w:val="004E6DF7"/>
    <w:rsid w:val="004F0FBD"/>
    <w:rsid w:val="004F3A7A"/>
    <w:rsid w:val="00505A47"/>
    <w:rsid w:val="00512FDA"/>
    <w:rsid w:val="00520DA0"/>
    <w:rsid w:val="00524D15"/>
    <w:rsid w:val="005664BB"/>
    <w:rsid w:val="00566FFA"/>
    <w:rsid w:val="0057481D"/>
    <w:rsid w:val="0058308C"/>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4A77"/>
    <w:rsid w:val="006A3141"/>
    <w:rsid w:val="006A5E34"/>
    <w:rsid w:val="006B2422"/>
    <w:rsid w:val="006B2B9A"/>
    <w:rsid w:val="006C1937"/>
    <w:rsid w:val="006E0D65"/>
    <w:rsid w:val="006F020C"/>
    <w:rsid w:val="007127B7"/>
    <w:rsid w:val="0071798E"/>
    <w:rsid w:val="007416B6"/>
    <w:rsid w:val="00746F48"/>
    <w:rsid w:val="0075404D"/>
    <w:rsid w:val="0076182A"/>
    <w:rsid w:val="00767B7E"/>
    <w:rsid w:val="007710DD"/>
    <w:rsid w:val="007770C3"/>
    <w:rsid w:val="00784D24"/>
    <w:rsid w:val="00785FBA"/>
    <w:rsid w:val="00786E4A"/>
    <w:rsid w:val="007875EB"/>
    <w:rsid w:val="0079426B"/>
    <w:rsid w:val="007B411D"/>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3D14"/>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133D"/>
    <w:rsid w:val="0097099F"/>
    <w:rsid w:val="00971997"/>
    <w:rsid w:val="00971FFC"/>
    <w:rsid w:val="0098660A"/>
    <w:rsid w:val="009931C3"/>
    <w:rsid w:val="009B1EAD"/>
    <w:rsid w:val="009B2C43"/>
    <w:rsid w:val="009B4EAE"/>
    <w:rsid w:val="009B7573"/>
    <w:rsid w:val="009C22F4"/>
    <w:rsid w:val="009C2A4B"/>
    <w:rsid w:val="009C2E98"/>
    <w:rsid w:val="009D3447"/>
    <w:rsid w:val="009D4711"/>
    <w:rsid w:val="009F1185"/>
    <w:rsid w:val="009F18CD"/>
    <w:rsid w:val="009F2A13"/>
    <w:rsid w:val="009F6346"/>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1FAF"/>
    <w:rsid w:val="00A733B2"/>
    <w:rsid w:val="00A741C2"/>
    <w:rsid w:val="00A91760"/>
    <w:rsid w:val="00A93B00"/>
    <w:rsid w:val="00A93C21"/>
    <w:rsid w:val="00AB64C9"/>
    <w:rsid w:val="00AC3C6A"/>
    <w:rsid w:val="00AD5620"/>
    <w:rsid w:val="00AD656B"/>
    <w:rsid w:val="00AD7C1B"/>
    <w:rsid w:val="00AE16BA"/>
    <w:rsid w:val="00AE1EBE"/>
    <w:rsid w:val="00AF0D36"/>
    <w:rsid w:val="00B03C9D"/>
    <w:rsid w:val="00B060AE"/>
    <w:rsid w:val="00B10517"/>
    <w:rsid w:val="00B14E76"/>
    <w:rsid w:val="00B161B8"/>
    <w:rsid w:val="00B2048C"/>
    <w:rsid w:val="00B24BA7"/>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096F"/>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86FE0"/>
    <w:rsid w:val="00DA634F"/>
    <w:rsid w:val="00DA65AC"/>
    <w:rsid w:val="00DB1913"/>
    <w:rsid w:val="00DC410D"/>
    <w:rsid w:val="00DC5A81"/>
    <w:rsid w:val="00DC68CA"/>
    <w:rsid w:val="00DC7CBA"/>
    <w:rsid w:val="00DD73B7"/>
    <w:rsid w:val="00DF2333"/>
    <w:rsid w:val="00DF28BC"/>
    <w:rsid w:val="00DF34B9"/>
    <w:rsid w:val="00E01053"/>
    <w:rsid w:val="00E07ACF"/>
    <w:rsid w:val="00E331A1"/>
    <w:rsid w:val="00E33202"/>
    <w:rsid w:val="00E336A9"/>
    <w:rsid w:val="00E432F4"/>
    <w:rsid w:val="00E472B1"/>
    <w:rsid w:val="00E50624"/>
    <w:rsid w:val="00E53DB5"/>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06915"/>
    <w:rsid w:val="00F1361C"/>
    <w:rsid w:val="00F156F0"/>
    <w:rsid w:val="00F160C7"/>
    <w:rsid w:val="00F2408F"/>
    <w:rsid w:val="00F240E9"/>
    <w:rsid w:val="00F36ABE"/>
    <w:rsid w:val="00F36D8F"/>
    <w:rsid w:val="00F417B1"/>
    <w:rsid w:val="00F45853"/>
    <w:rsid w:val="00F602DF"/>
    <w:rsid w:val="00F754A1"/>
    <w:rsid w:val="00F81FD9"/>
    <w:rsid w:val="00F841AA"/>
    <w:rsid w:val="00F84A94"/>
    <w:rsid w:val="00F87E96"/>
    <w:rsid w:val="00FA23E8"/>
    <w:rsid w:val="00FD3CC1"/>
    <w:rsid w:val="00FD7BC6"/>
    <w:rsid w:val="00FF1E02"/>
    <w:rsid w:val="00FF30B4"/>
    <w:rsid w:val="015975B8"/>
    <w:rsid w:val="02143E91"/>
    <w:rsid w:val="05001DF6"/>
    <w:rsid w:val="05991EBF"/>
    <w:rsid w:val="066E0107"/>
    <w:rsid w:val="07996F6E"/>
    <w:rsid w:val="09557429"/>
    <w:rsid w:val="0A2032A3"/>
    <w:rsid w:val="0F98263C"/>
    <w:rsid w:val="101860EC"/>
    <w:rsid w:val="10C055FF"/>
    <w:rsid w:val="118107EC"/>
    <w:rsid w:val="13D50BC4"/>
    <w:rsid w:val="16BB723D"/>
    <w:rsid w:val="180B7F73"/>
    <w:rsid w:val="18FB1B44"/>
    <w:rsid w:val="1BE8440E"/>
    <w:rsid w:val="1D155CEE"/>
    <w:rsid w:val="1FF35744"/>
    <w:rsid w:val="23860B96"/>
    <w:rsid w:val="240371BF"/>
    <w:rsid w:val="26773A90"/>
    <w:rsid w:val="287142ED"/>
    <w:rsid w:val="28EA4881"/>
    <w:rsid w:val="29FD04D3"/>
    <w:rsid w:val="2C8A61B5"/>
    <w:rsid w:val="2DF04E50"/>
    <w:rsid w:val="2F040D46"/>
    <w:rsid w:val="319F7F4E"/>
    <w:rsid w:val="3304709D"/>
    <w:rsid w:val="36AA5135"/>
    <w:rsid w:val="376D39B2"/>
    <w:rsid w:val="37E16F03"/>
    <w:rsid w:val="38D469F0"/>
    <w:rsid w:val="3D98207C"/>
    <w:rsid w:val="3DFF7552"/>
    <w:rsid w:val="3E78745D"/>
    <w:rsid w:val="41A17E1E"/>
    <w:rsid w:val="428E7192"/>
    <w:rsid w:val="44E268DA"/>
    <w:rsid w:val="4A627F82"/>
    <w:rsid w:val="4B0E749A"/>
    <w:rsid w:val="4B4F25DA"/>
    <w:rsid w:val="4BE068DB"/>
    <w:rsid w:val="4D577224"/>
    <w:rsid w:val="4EAB630A"/>
    <w:rsid w:val="4ECE2238"/>
    <w:rsid w:val="537E6D0A"/>
    <w:rsid w:val="56A47DD1"/>
    <w:rsid w:val="5AF92295"/>
    <w:rsid w:val="5CD71FC4"/>
    <w:rsid w:val="606E2818"/>
    <w:rsid w:val="6C4A05C8"/>
    <w:rsid w:val="6E7E3605"/>
    <w:rsid w:val="6FF5CC65"/>
    <w:rsid w:val="715C0E4B"/>
    <w:rsid w:val="72734D90"/>
    <w:rsid w:val="73AD73D5"/>
    <w:rsid w:val="73B6EB34"/>
    <w:rsid w:val="744731E5"/>
    <w:rsid w:val="76E3355F"/>
    <w:rsid w:val="778769C8"/>
    <w:rsid w:val="79EE5BA4"/>
    <w:rsid w:val="7A894339"/>
    <w:rsid w:val="7C2C3DDB"/>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able of figures"/>
    <w:basedOn w:val="1"/>
    <w:next w:val="1"/>
    <w:qFormat/>
    <w:uiPriority w:val="0"/>
    <w:pPr>
      <w:ind w:left="200" w:leftChars="200" w:hanging="200" w:hangingChars="200"/>
    </w:p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99"/>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8"/>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 w:type="paragraph" w:customStyle="1" w:styleId="3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0" vertOverflow="ellipsis" vert="horz" wrap="square" anchor="ctr" anchorCtr="true"/>
          <a:lstStyle/>
          <a:p>
            <a:pPr>
              <a:defRPr lang="zh-CN" sz="1400" b="1" i="0" u="none" strike="noStrike" kern="1200" baseline="0">
                <a:solidFill>
                  <a:schemeClr val="tx1"/>
                </a:solidFill>
                <a:latin typeface="仿宋" panose="02010609060101010101" pitchFamily="3" charset="-122"/>
                <a:ea typeface="仿宋" panose="02010609060101010101" pitchFamily="3" charset="-122"/>
                <a:cs typeface="+mn-cs"/>
              </a:defRPr>
            </a:pPr>
            <a:r>
              <a:rPr lang="zh-CN" sz="1400" b="1">
                <a:latin typeface="仿宋" panose="02010609060101010101" pitchFamily="3" charset="-122"/>
                <a:ea typeface="仿宋" panose="02010609060101010101" pitchFamily="3" charset="-122"/>
              </a:rPr>
              <a:t>收、支决算总计变动情况图</a:t>
            </a:r>
            <a:endParaRPr lang="zh-CN" sz="1400" b="1">
              <a:latin typeface="仿宋" panose="02010609060101010101" pitchFamily="3" charset="-122"/>
              <a:ea typeface="仿宋" panose="02010609060101010101" pitchFamily="3" charset="-122"/>
            </a:endParaRPr>
          </a:p>
        </c:rich>
      </c:tx>
      <c:layout/>
      <c:overlay val="false"/>
    </c:title>
    <c:autoTitleDeleted val="false"/>
    <c:plotArea>
      <c:layout>
        <c:manualLayout>
          <c:layoutTarget val="inner"/>
          <c:xMode val="edge"/>
          <c:yMode val="edge"/>
          <c:x val="0.104381761985741"/>
          <c:y val="0.160131608548931"/>
          <c:w val="0.871389645776567"/>
          <c:h val="0.703428571428571"/>
        </c:manualLayout>
      </c:layout>
      <c:barChart>
        <c:barDir val="col"/>
        <c:grouping val="clustered"/>
        <c:varyColors val="false"/>
        <c:ser>
          <c:idx val="0"/>
          <c:order val="0"/>
          <c:tx>
            <c:strRef>
              <c:f>Sheet1!$B$1</c:f>
              <c:strCache>
                <c:ptCount val="1"/>
                <c:pt idx="0">
                  <c:v>收、支决算总计变动情况图</c:v>
                </c:pt>
              </c:strCache>
            </c:strRef>
          </c:tx>
          <c:invertIfNegative val="false"/>
          <c:dLbls>
            <c:delete val="true"/>
          </c:dLbls>
          <c:cat>
            <c:strRef>
              <c:f>Sheet1!$A$2:$A$3</c:f>
              <c:strCache>
                <c:ptCount val="2"/>
                <c:pt idx="0">
                  <c:v>2021年度收、支总计</c:v>
                </c:pt>
                <c:pt idx="1">
                  <c:v>2022年度收、支总计</c:v>
                </c:pt>
              </c:strCache>
            </c:strRef>
          </c:cat>
          <c:val>
            <c:numRef>
              <c:f>Sheet1!$B$2:$B$3</c:f>
              <c:numCache>
                <c:formatCode>General</c:formatCode>
                <c:ptCount val="2"/>
                <c:pt idx="0">
                  <c:v>161.94</c:v>
                </c:pt>
                <c:pt idx="1">
                  <c:v>171.83</c:v>
                </c:pt>
              </c:numCache>
            </c:numRef>
          </c:val>
        </c:ser>
        <c:dLbls>
          <c:showLegendKey val="false"/>
          <c:showVal val="false"/>
          <c:showCatName val="false"/>
          <c:showSerName val="false"/>
          <c:showPercent val="false"/>
          <c:showBubbleSize val="false"/>
        </c:dLbls>
        <c:gapWidth val="219"/>
        <c:overlap val="-27"/>
        <c:axId val="248473472"/>
        <c:axId val="248475008"/>
      </c:barChart>
      <c:catAx>
        <c:axId val="248473472"/>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48475008"/>
        <c:crosses val="autoZero"/>
        <c:auto val="true"/>
        <c:lblAlgn val="ctr"/>
        <c:lblOffset val="100"/>
        <c:noMultiLvlLbl val="false"/>
      </c:catAx>
      <c:valAx>
        <c:axId val="248475008"/>
        <c:scaling>
          <c:orientation val="minMax"/>
        </c:scaling>
        <c:delete val="false"/>
        <c:axPos val="l"/>
        <c:majorGridlines/>
        <c:numFmt formatCode="General"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48473472"/>
        <c:crosses val="autoZero"/>
        <c:crossBetween val="between"/>
      </c:valAx>
    </c:plotArea>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spc="0" baseline="0">
                <a:solidFill>
                  <a:schemeClr val="tx1">
                    <a:lumMod val="65000"/>
                    <a:lumOff val="35000"/>
                  </a:schemeClr>
                </a:solidFill>
                <a:latin typeface="仿宋" panose="02010609060101010101" pitchFamily="3" charset="-122"/>
                <a:ea typeface="仿宋" panose="02010609060101010101" pitchFamily="3" charset="-122"/>
                <a:cs typeface="+mn-cs"/>
              </a:defRPr>
            </a:pPr>
            <a:r>
              <a:rPr lang="zh-CN" altLang="en-US" b="1">
                <a:latin typeface="仿宋" panose="02010609060101010101" pitchFamily="3" charset="-122"/>
                <a:ea typeface="仿宋" panose="02010609060101010101" pitchFamily="3" charset="-122"/>
              </a:rPr>
              <a:t>收入决算结构图</a:t>
            </a:r>
            <a:endParaRPr lang="zh-CN" altLang="en-US" b="1">
              <a:latin typeface="仿宋" panose="02010609060101010101" pitchFamily="3" charset="-122"/>
              <a:ea typeface="仿宋" panose="02010609060101010101" pitchFamily="3" charset="-122"/>
            </a:endParaRPr>
          </a:p>
        </c:rich>
      </c:tx>
      <c:layout>
        <c:manualLayout>
          <c:xMode val="edge"/>
          <c:yMode val="edge"/>
          <c:x val="0.374482332794657"/>
          <c:y val="0.00251428791719273"/>
        </c:manualLayout>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a:solidFill>
              <a:schemeClr val="accent1"/>
            </a:solidFill>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rgbClr val="C00000"/>
                </a:solidFill>
              </a:ln>
              <a:effectLst/>
            </c:spPr>
          </c:dPt>
          <c:dLbls>
            <c:dLbl>
              <c:idx val="0"/>
              <c:layout>
                <c:manualLayout>
                  <c:x val="0.133122958272472"/>
                  <c:y val="-0.12293324775353"/>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83.7</a:t>
                    </a:r>
                    <a:r>
                      <a:rPr lang="en-US"/>
                      <a:t>%</a:t>
                    </a:r>
                    <a:endParaRPr lang="en-US"/>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182710779082177"/>
                      <c:h val="0.122926829268293"/>
                    </c:manualLayout>
                  </c15:layout>
                </c:ext>
              </c:extLst>
            </c:dLbl>
            <c:dLbl>
              <c:idx val="1"/>
              <c:layout>
                <c:manualLayout>
                  <c:x val="0.0654524758110415"/>
                  <c:y val="-0.11854778957767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一般公共预算财政拨款收入</c:v>
                </c:pt>
                <c:pt idx="1">
                  <c:v>年初结转和结余</c:v>
                </c:pt>
              </c:strCache>
            </c:strRef>
          </c:cat>
          <c:val>
            <c:numRef>
              <c:f>Sheet1!$B$2:$B$3</c:f>
              <c:numCache>
                <c:formatCode>0.00%</c:formatCode>
                <c:ptCount val="2"/>
                <c:pt idx="0">
                  <c:v>0.837</c:v>
                </c:pt>
                <c:pt idx="1">
                  <c:v>0.163</c:v>
                </c:pt>
              </c:numCache>
            </c:numRef>
          </c:val>
        </c:ser>
        <c:dLbls>
          <c:showLegendKey val="false"/>
          <c:showVal val="false"/>
          <c:showCatName val="false"/>
          <c:showSerName val="false"/>
          <c:showPercent val="false"/>
          <c:showBubbleSize val="false"/>
          <c:showLeaderLines val="true"/>
        </c:dLbls>
        <c:firstSliceAng val="90"/>
      </c:pieChart>
      <c:spPr>
        <a:noFill/>
        <a:ln>
          <a:noFill/>
        </a:ln>
        <a:effectLst/>
      </c:spPr>
    </c:plotArea>
    <c:legend>
      <c:legendPos val="b"/>
      <c:legendEntry>
        <c:idx val="0"/>
        <c:txPr>
          <a:bodyPr rot="0" spcFirstLastPara="0" vertOverflow="ellipsis" vert="horz" wrap="square" anchor="ctr" anchorCtr="true"/>
          <a:lstStyle/>
          <a:p>
            <a:pPr>
              <a:defRPr lang="zh-CN" sz="105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true"/>
          <a:lstStyle/>
          <a:p>
            <a:pPr>
              <a:defRPr lang="zh-CN" sz="1050" b="0" i="0" u="none" strike="noStrike" kern="1200" baseline="0">
                <a:solidFill>
                  <a:schemeClr val="tx1"/>
                </a:solidFill>
                <a:latin typeface="+mn-lt"/>
                <a:ea typeface="+mn-ea"/>
                <a:cs typeface="+mn-cs"/>
              </a:defRPr>
            </a:pPr>
          </a:p>
        </c:txPr>
      </c:legendEntry>
      <c:layout>
        <c:manualLayout>
          <c:xMode val="edge"/>
          <c:yMode val="edge"/>
          <c:x val="0.196141654675957"/>
          <c:y val="0.876143756204281"/>
          <c:w val="0.61946682537807"/>
          <c:h val="0.0915009728856312"/>
        </c:manualLayout>
      </c:layout>
      <c:overlay val="false"/>
      <c:spPr>
        <a:noFill/>
        <a:ln>
          <a:noFill/>
        </a:ln>
        <a:effectLst/>
      </c:spPr>
      <c:txPr>
        <a:bodyPr rot="0" spcFirstLastPara="0" vertOverflow="ellipsis" vert="horz" wrap="square" anchor="ctr" anchorCtr="true"/>
        <a:lstStyle/>
        <a:p>
          <a:pPr>
            <a:defRPr lang="zh-CN" sz="1050" b="0" i="0" u="none" strike="noStrike" kern="1200" baseline="0">
              <a:solidFill>
                <a:schemeClr val="tx1"/>
              </a:solidFill>
              <a:latin typeface="+mn-lt"/>
              <a:ea typeface="+mn-ea"/>
              <a:cs typeface="+mn-cs"/>
            </a:defRPr>
          </a:pPr>
        </a:p>
      </c:txPr>
    </c:legend>
    <c:plotVisOnly val="true"/>
    <c:dispBlanksAs val="zero"/>
    <c:showDLblsOverMax val="false"/>
  </c:chart>
  <c:spPr>
    <a:noFill/>
    <a:ln w="12700" cap="flat" cmpd="sng" algn="ctr">
      <a:no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forceAA="false"/>
          <a:lstStyle/>
          <a:p>
            <a:pPr defTabSz="914400">
              <a:defRPr lang="zh-CN" sz="1400" b="1" i="0" u="none" strike="noStrike" kern="1200" spc="0" baseline="0">
                <a:solidFill>
                  <a:schemeClr val="tx1">
                    <a:lumMod val="65000"/>
                    <a:lumOff val="35000"/>
                  </a:schemeClr>
                </a:solidFill>
                <a:latin typeface="仿宋" panose="02010609060101010101" pitchFamily="3" charset="-122"/>
                <a:ea typeface="仿宋" panose="02010609060101010101" pitchFamily="3" charset="-122"/>
                <a:cs typeface="微软雅黑" panose="020B0503020204020204" charset="-122"/>
                <a:sym typeface="微软雅黑" panose="020B0503020204020204" charset="-122"/>
              </a:defRPr>
            </a:pPr>
            <a:r>
              <a:rPr lang="zh-CN" altLang="en-US" b="1">
                <a:latin typeface="仿宋" panose="02010609060101010101" pitchFamily="3" charset="-122"/>
                <a:ea typeface="仿宋" panose="02010609060101010101" pitchFamily="3" charset="-122"/>
              </a:rPr>
              <a:t>支出决算结构图</a:t>
            </a:r>
            <a:endParaRPr lang="zh-CN" altLang="en-US" b="1">
              <a:latin typeface="仿宋" panose="02010609060101010101" pitchFamily="3" charset="-122"/>
              <a:ea typeface="仿宋" panose="02010609060101010101" pitchFamily="3" charset="-122"/>
            </a:endParaRPr>
          </a:p>
        </c:rich>
      </c:tx>
      <c:layout/>
      <c:overlay val="false"/>
      <c:spPr>
        <a:noFill/>
        <a:ln>
          <a:noFill/>
        </a:ln>
        <a:effectLst/>
      </c:spPr>
    </c:title>
    <c:autoTitleDeleted val="false"/>
    <c:plotArea>
      <c:layout>
        <c:manualLayout>
          <c:layoutTarget val="inner"/>
          <c:xMode val="edge"/>
          <c:yMode val="edge"/>
          <c:x val="0.116302408445061"/>
          <c:y val="0.169213621800979"/>
          <c:w val="0.830091459487312"/>
          <c:h val="0.668273444347064"/>
        </c:manualLayout>
      </c:layout>
      <c:pieChart>
        <c:varyColors val="true"/>
        <c:ser>
          <c:idx val="0"/>
          <c:order val="0"/>
          <c:tx>
            <c:strRef>
              <c:f>Sheet1!$B$1</c:f>
              <c:strCache>
                <c:ptCount val="1"/>
                <c:pt idx="0">
                  <c:v>系列 1</c:v>
                </c:pt>
              </c:strCache>
            </c:strRef>
          </c:tx>
          <c:spPr>
            <a:ln w="22225">
              <a:solidFill>
                <a:schemeClr val="bg1">
                  <a:lumMod val="95000"/>
                </a:schemeClr>
              </a:solidFill>
            </a:ln>
            <a:scene3d>
              <a:camera prst="orthographicFront"/>
              <a:lightRig rig="threePt" dir="t"/>
            </a:scene3d>
            <a:sp3d contourW="22225"/>
          </c:spPr>
          <c:explosion val="0"/>
          <c:dPt>
            <c:idx val="0"/>
            <c:bubble3D val="false"/>
            <c:spPr>
              <a:solidFill>
                <a:srgbClr val="4BACC6"/>
              </a:solidFill>
              <a:ln w="22225">
                <a:solidFill>
                  <a:schemeClr val="bg1">
                    <a:lumMod val="95000"/>
                  </a:schemeClr>
                </a:solidFill>
              </a:ln>
              <a:effectLst/>
              <a:scene3d>
                <a:camera prst="orthographicFront"/>
                <a:lightRig rig="threePt" dir="t"/>
              </a:scene3d>
              <a:sp3d contourW="22225">
                <a:contourClr>
                  <a:schemeClr val="lt1"/>
                </a:contourClr>
              </a:sp3d>
            </c:spPr>
          </c:dPt>
          <c:dPt>
            <c:idx val="1"/>
            <c:bubble3D val="false"/>
            <c:spPr>
              <a:solidFill>
                <a:srgbClr val="F79646">
                  <a:lumMod val="75000"/>
                </a:srgbClr>
              </a:solidFill>
              <a:ln w="22225">
                <a:solidFill>
                  <a:schemeClr val="bg1">
                    <a:lumMod val="95000"/>
                  </a:schemeClr>
                </a:solidFill>
              </a:ln>
              <a:effectLst/>
              <a:scene3d>
                <a:camera prst="orthographicFront"/>
                <a:lightRig rig="threePt" dir="t"/>
              </a:scene3d>
              <a:sp3d contourW="22225">
                <a:contourClr>
                  <a:schemeClr val="lt1"/>
                </a:contourClr>
              </a:sp3d>
            </c:spPr>
          </c:dPt>
          <c:dLbls>
            <c:spPr>
              <a:noFill/>
              <a:ln>
                <a:noFill/>
              </a:ln>
              <a:effectLst/>
            </c:spPr>
            <c:txPr>
              <a:bodyPr rot="0" spcFirstLastPara="0" vertOverflow="ellipsis" vert="horz" wrap="square" lIns="38100" tIns="19050" rIns="38100" bIns="19050" anchor="ctr" anchorCtr="true" forceAA="false">
                <a:spAutoFit/>
              </a:bodyPr>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0.7349</c:v>
                </c:pt>
                <c:pt idx="1">
                  <c:v>0.2651</c:v>
                </c:pt>
              </c:numCache>
            </c:numRef>
          </c:val>
        </c:ser>
        <c:ser>
          <c:idx val="1"/>
          <c:order val="1"/>
          <c:tx>
            <c:strRef>
              <c:f>Sheet1!$C$1</c:f>
              <c:strCache>
                <c:ptCount val="1"/>
                <c:pt idx="0">
                  <c:v>系列 2</c:v>
                </c:pt>
              </c:strCache>
            </c:strRef>
          </c:tx>
          <c:spPr>
            <a:ln w="22225">
              <a:solidFill>
                <a:schemeClr val="bg1">
                  <a:lumMod val="95000"/>
                </a:schemeClr>
              </a:solidFill>
            </a:ln>
            <a:scene3d>
              <a:camera prst="orthographicFront"/>
              <a:lightRig rig="threePt" dir="t"/>
            </a:scene3d>
            <a:sp3d contourW="22225"/>
          </c:spPr>
          <c:explosion val="0"/>
          <c:dPt>
            <c:idx val="0"/>
            <c:bubble3D val="false"/>
            <c:spPr>
              <a:solidFill>
                <a:srgbClr val="EA7B4C"/>
              </a:solidFill>
              <a:ln w="22225">
                <a:solidFill>
                  <a:schemeClr val="bg1">
                    <a:lumMod val="95000"/>
                  </a:schemeClr>
                </a:solidFill>
              </a:ln>
              <a:effectLst/>
              <a:scene3d>
                <a:camera prst="orthographicFront"/>
                <a:lightRig rig="threePt" dir="t"/>
              </a:scene3d>
              <a:sp3d contourW="22225">
                <a:contourClr>
                  <a:schemeClr val="lt1"/>
                </a:contourClr>
              </a:sp3d>
            </c:spPr>
          </c:dPt>
          <c:dPt>
            <c:idx val="1"/>
            <c:bubble3D val="false"/>
            <c:spPr>
              <a:solidFill>
                <a:srgbClr val="F6A063"/>
              </a:solidFill>
              <a:ln w="22225">
                <a:solidFill>
                  <a:schemeClr val="bg1">
                    <a:lumMod val="95000"/>
                  </a:schemeClr>
                </a:solidFill>
              </a:ln>
              <a:effectLst/>
              <a:scene3d>
                <a:camera prst="orthographicFront"/>
                <a:lightRig rig="threePt" dir="t"/>
              </a:scene3d>
              <a:sp3d contourW="22225">
                <a:contourClr>
                  <a:schemeClr val="lt1"/>
                </a:contourClr>
              </a:sp3d>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Sheet1!$C$2:$C$3</c:f>
              <c:numCache>
                <c:formatCode>General</c:formatCode>
                <c:ptCount val="2"/>
                <c:pt idx="0">
                  <c:v>2.4</c:v>
                </c:pt>
                <c:pt idx="1">
                  <c:v>4.4</c:v>
                </c:pt>
              </c:numCache>
            </c:numRef>
          </c:val>
        </c:ser>
        <c:ser>
          <c:idx val="2"/>
          <c:order val="2"/>
          <c:tx>
            <c:strRef>
              <c:f>Sheet1!$D$1</c:f>
              <c:strCache>
                <c:ptCount val="1"/>
                <c:pt idx="0">
                  <c:v>系列 3</c:v>
                </c:pt>
              </c:strCache>
            </c:strRef>
          </c:tx>
          <c:spPr>
            <a:ln w="22225">
              <a:solidFill>
                <a:schemeClr val="bg1">
                  <a:lumMod val="95000"/>
                </a:schemeClr>
              </a:solidFill>
            </a:ln>
            <a:scene3d>
              <a:camera prst="orthographicFront"/>
              <a:lightRig rig="threePt" dir="t"/>
            </a:scene3d>
            <a:sp3d contourW="22225"/>
          </c:spPr>
          <c:explosion val="0"/>
          <c:dPt>
            <c:idx val="0"/>
            <c:bubble3D val="false"/>
            <c:spPr>
              <a:solidFill>
                <a:srgbClr val="EA7B4C"/>
              </a:solidFill>
              <a:ln w="22225">
                <a:solidFill>
                  <a:schemeClr val="bg1">
                    <a:lumMod val="95000"/>
                  </a:schemeClr>
                </a:solidFill>
              </a:ln>
              <a:effectLst/>
              <a:scene3d>
                <a:camera prst="orthographicFront"/>
                <a:lightRig rig="threePt" dir="t"/>
              </a:scene3d>
              <a:sp3d contourW="22225">
                <a:contourClr>
                  <a:schemeClr val="lt1"/>
                </a:contourClr>
              </a:sp3d>
            </c:spPr>
          </c:dPt>
          <c:dPt>
            <c:idx val="1"/>
            <c:bubble3D val="false"/>
            <c:spPr>
              <a:solidFill>
                <a:srgbClr val="F6A063"/>
              </a:solidFill>
              <a:ln w="22225">
                <a:solidFill>
                  <a:schemeClr val="bg1">
                    <a:lumMod val="95000"/>
                  </a:schemeClr>
                </a:solidFill>
              </a:ln>
              <a:effectLst/>
              <a:scene3d>
                <a:camera prst="orthographicFront"/>
                <a:lightRig rig="threePt" dir="t"/>
              </a:scene3d>
              <a:sp3d contourW="22225">
                <a:contourClr>
                  <a:schemeClr val="lt1"/>
                </a:contourClr>
              </a:sp3d>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Sheet1!$D$2:$D$3</c:f>
              <c:numCache>
                <c:formatCode>General</c:formatCode>
                <c:ptCount val="2"/>
                <c:pt idx="0">
                  <c:v>2</c:v>
                </c:pt>
                <c:pt idx="1">
                  <c:v>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egendEntry>
        <c:idx val="0"/>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1"/>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overlay val="false"/>
      <c:spPr>
        <a:noFill/>
        <a:ln>
          <a:noFill/>
        </a:ln>
        <a:effectLst/>
      </c:spPr>
      <c:txPr>
        <a:bodyPr rot="0" spcFirstLastPara="0" vertOverflow="ellipsis" vert="horz" wrap="square" anchor="ctr" anchorCtr="true" forceAA="false"/>
        <a:lstStyle/>
        <a:p>
          <a:pPr>
            <a:defRPr lang="zh-CN" sz="105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true"/>
    <c:dispBlanksAs val="zero"/>
    <c:showDLblsOverMax val="false"/>
  </c:chart>
  <c:spPr>
    <a:ln w="6350" cap="flat" cmpd="sng" algn="ctr">
      <a:noFill/>
      <a:prstDash val="solid"/>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0" vertOverflow="ellipsis" vert="horz" wrap="square" anchor="ctr" anchorCtr="true"/>
          <a:lstStyle/>
          <a:p>
            <a:pPr>
              <a:defRPr lang="zh-CN" sz="1400" b="1" i="0" u="none" strike="noStrike" kern="1200" baseline="0">
                <a:solidFill>
                  <a:schemeClr val="tx1"/>
                </a:solidFill>
                <a:latin typeface="仿宋" panose="02010609060101010101" pitchFamily="3" charset="-122"/>
                <a:ea typeface="仿宋" panose="02010609060101010101" pitchFamily="3" charset="-122"/>
                <a:cs typeface="+mn-cs"/>
              </a:defRPr>
            </a:pPr>
            <a:r>
              <a:rPr lang="zh-CN" sz="1400" b="1">
                <a:latin typeface="仿宋" panose="02010609060101010101" pitchFamily="3" charset="-122"/>
                <a:ea typeface="仿宋" panose="02010609060101010101" pitchFamily="3" charset="-122"/>
              </a:rPr>
              <a:t>财政拨款收、支决算总计变动情况图</a:t>
            </a:r>
            <a:endParaRPr lang="zh-CN" sz="1400" b="1">
              <a:latin typeface="仿宋" panose="02010609060101010101" pitchFamily="3" charset="-122"/>
              <a:ea typeface="仿宋" panose="02010609060101010101" pitchFamily="3" charset="-122"/>
            </a:endParaRPr>
          </a:p>
        </c:rich>
      </c:tx>
      <c:layout>
        <c:manualLayout>
          <c:xMode val="edge"/>
          <c:yMode val="edge"/>
          <c:x val="0.274341282034029"/>
          <c:y val="0.029902029573036"/>
        </c:manualLayout>
      </c:layout>
      <c:overlay val="false"/>
    </c:title>
    <c:autoTitleDeleted val="false"/>
    <c:plotArea>
      <c:layout/>
      <c:barChart>
        <c:barDir val="col"/>
        <c:grouping val="clustered"/>
        <c:varyColors val="false"/>
        <c:ser>
          <c:idx val="0"/>
          <c:order val="0"/>
          <c:tx>
            <c:strRef>
              <c:f>Sheet1!$B$1</c:f>
              <c:strCache>
                <c:ptCount val="1"/>
                <c:pt idx="0">
                  <c:v>收、支决算总计变动情况图</c:v>
                </c:pt>
              </c:strCache>
            </c:strRef>
          </c:tx>
          <c:invertIfNegative val="false"/>
          <c:dLbls>
            <c:delete val="true"/>
          </c:dLbls>
          <c:cat>
            <c:strRef>
              <c:f>Sheet1!$A$2:$A$3</c:f>
              <c:strCache>
                <c:ptCount val="2"/>
                <c:pt idx="0">
                  <c:v>2021年度</c:v>
                </c:pt>
                <c:pt idx="1">
                  <c:v>2022年度</c:v>
                </c:pt>
              </c:strCache>
            </c:strRef>
          </c:cat>
          <c:val>
            <c:numRef>
              <c:f>Sheet1!$B$2:$B$3</c:f>
              <c:numCache>
                <c:formatCode>General</c:formatCode>
                <c:ptCount val="2"/>
                <c:pt idx="0">
                  <c:v>161.94</c:v>
                </c:pt>
                <c:pt idx="1">
                  <c:v>171.83</c:v>
                </c:pt>
              </c:numCache>
            </c:numRef>
          </c:val>
        </c:ser>
        <c:dLbls>
          <c:showLegendKey val="false"/>
          <c:showVal val="false"/>
          <c:showCatName val="false"/>
          <c:showSerName val="false"/>
          <c:showPercent val="false"/>
          <c:showBubbleSize val="false"/>
        </c:dLbls>
        <c:gapWidth val="219"/>
        <c:overlap val="-27"/>
        <c:axId val="248324096"/>
        <c:axId val="248325632"/>
      </c:barChart>
      <c:catAx>
        <c:axId val="248324096"/>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48325632"/>
        <c:crosses val="autoZero"/>
        <c:auto val="true"/>
        <c:lblAlgn val="ctr"/>
        <c:lblOffset val="100"/>
        <c:noMultiLvlLbl val="false"/>
      </c:catAx>
      <c:valAx>
        <c:axId val="248325632"/>
        <c:scaling>
          <c:orientation val="minMax"/>
        </c:scaling>
        <c:delete val="false"/>
        <c:axPos val="l"/>
        <c:majorGridlines/>
        <c:numFmt formatCode="General"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48324096"/>
        <c:crosses val="autoZero"/>
        <c:crossBetween val="between"/>
      </c:valAx>
    </c:plotArea>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仿宋" panose="02010609060101010101" pitchFamily="3" charset="-122"/>
                <a:ea typeface="仿宋" panose="02010609060101010101" pitchFamily="3" charset="-122"/>
                <a:cs typeface="+mn-cs"/>
              </a:defRPr>
            </a:pPr>
            <a:r>
              <a:rPr lang="zh-CN" altLang="en-US" sz="1400" b="1">
                <a:latin typeface="仿宋" panose="02010609060101010101" pitchFamily="3" charset="-122"/>
                <a:ea typeface="仿宋" panose="02010609060101010101" pitchFamily="3" charset="-122"/>
              </a:rPr>
              <a:t>一般公共预算财政拨款支出决算总计变动情况</a:t>
            </a:r>
            <a:endParaRPr lang="zh-CN" altLang="en-US" sz="1400" b="1">
              <a:latin typeface="仿宋" panose="02010609060101010101" pitchFamily="3" charset="-122"/>
              <a:ea typeface="仿宋" panose="02010609060101010101" pitchFamily="3" charset="-122"/>
            </a:endParaRPr>
          </a:p>
        </c:rich>
      </c:tx>
      <c:layout>
        <c:manualLayout>
          <c:xMode val="edge"/>
          <c:yMode val="edge"/>
          <c:x val="0.226282999995259"/>
          <c:y val="0.00269685685416661"/>
        </c:manualLayout>
      </c:layout>
      <c:overlay val="false"/>
      <c:spPr>
        <a:noFill/>
        <a:ln>
          <a:noFill/>
        </a:ln>
        <a:effectLst/>
      </c:spPr>
    </c:title>
    <c:autoTitleDeleted val="false"/>
    <c:plotArea>
      <c:layout>
        <c:manualLayout>
          <c:layoutTarget val="inner"/>
          <c:xMode val="edge"/>
          <c:yMode val="edge"/>
          <c:x val="0.142563924160724"/>
          <c:y val="0.172791433438793"/>
          <c:w val="0.852217777004696"/>
          <c:h val="0.715599902652714"/>
        </c:manualLayout>
      </c:layout>
      <c:barChart>
        <c:barDir val="col"/>
        <c:grouping val="clustered"/>
        <c:varyColors val="false"/>
        <c:ser>
          <c:idx val="0"/>
          <c:order val="0"/>
          <c:tx>
            <c:strRef>
              <c:f>Sheet1!$B$1</c:f>
              <c:strCache>
                <c:ptCount val="1"/>
                <c:pt idx="0">
                  <c:v>收、支决算总计变动情况图</c:v>
                </c:pt>
              </c:strCache>
            </c:strRef>
          </c:tx>
          <c:spPr>
            <a:gradFill>
              <a:gsLst>
                <a:gs pos="100000">
                  <a:srgbClr val="F9F8CA"/>
                </a:gs>
                <a:gs pos="6000">
                  <a:srgbClr val="4EAADD"/>
                </a:gs>
              </a:gsLst>
              <a:lin scaled="true"/>
            </a:gradFill>
            <a:ln>
              <a:noFill/>
            </a:ln>
            <a:effectLst/>
          </c:spPr>
          <c:invertIfNegative val="false"/>
          <c:dPt>
            <c:idx val="0"/>
            <c:invertIfNegative val="false"/>
            <c:bubble3D val="false"/>
            <c:spPr>
              <a:solidFill>
                <a:schemeClr val="accent6"/>
              </a:solidFill>
              <a:ln>
                <a:noFill/>
              </a:ln>
              <a:effectLst/>
            </c:spPr>
          </c:dPt>
          <c:dPt>
            <c:idx val="1"/>
            <c:invertIfNegative val="false"/>
            <c:bubble3D val="false"/>
            <c:spPr>
              <a:solidFill>
                <a:schemeClr val="accent6"/>
              </a:solidFill>
              <a:ln>
                <a:noFill/>
              </a:ln>
              <a:effectLst/>
            </c:spPr>
          </c:dPt>
          <c:dLbls>
            <c:delete val="true"/>
          </c:dLbls>
          <c:cat>
            <c:strRef>
              <c:f>Sheet1!$A$2:$A$3</c:f>
              <c:strCache>
                <c:ptCount val="2"/>
                <c:pt idx="0">
                  <c:v>2021年度</c:v>
                </c:pt>
                <c:pt idx="1">
                  <c:v>2022年度</c:v>
                </c:pt>
              </c:strCache>
            </c:strRef>
          </c:cat>
          <c:val>
            <c:numRef>
              <c:f>Sheet1!$B$2:$B$3</c:f>
              <c:numCache>
                <c:formatCode>General</c:formatCode>
                <c:ptCount val="2"/>
                <c:pt idx="0">
                  <c:v>161.94</c:v>
                </c:pt>
                <c:pt idx="1">
                  <c:v>171.83</c:v>
                </c:pt>
              </c:numCache>
            </c:numRef>
          </c:val>
        </c:ser>
        <c:dLbls>
          <c:showLegendKey val="false"/>
          <c:showVal val="false"/>
          <c:showCatName val="false"/>
          <c:showSerName val="false"/>
          <c:showPercent val="false"/>
          <c:showBubbleSize val="false"/>
        </c:dLbls>
        <c:gapWidth val="219"/>
        <c:overlap val="-27"/>
        <c:axId val="248350592"/>
        <c:axId val="248352128"/>
      </c:barChart>
      <c:catAx>
        <c:axId val="248350592"/>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48352128"/>
        <c:crosses val="autoZero"/>
        <c:auto val="true"/>
        <c:lblAlgn val="ctr"/>
        <c:lblOffset val="100"/>
        <c:noMultiLvlLbl val="false"/>
      </c:catAx>
      <c:valAx>
        <c:axId val="248352128"/>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48350592"/>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solidFill>
      <a:prstDash val="solid"/>
      <a:round/>
    </a:ln>
    <a:effectLst/>
  </c:spPr>
  <c:txPr>
    <a:bodyPr/>
    <a:lstStyle/>
    <a:p>
      <a:pPr>
        <a:defRPr lang="zh-CN" sz="900"/>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39345297833172"/>
          <c:y val="0.0382698152365703"/>
        </c:manualLayout>
      </c:layout>
      <c:overlay val="false"/>
      <c:spPr>
        <a:noFill/>
        <a:ln>
          <a:noFill/>
        </a:ln>
        <a:effectLst/>
      </c:spPr>
      <c:txPr>
        <a:bodyPr rot="0" spcFirstLastPara="0" vertOverflow="ellipsis" vert="horz" wrap="square" anchor="ctr" anchorCtr="true"/>
        <a:lstStyle/>
        <a:p>
          <a:pPr>
            <a:defRPr lang="zh-CN" sz="1400" b="1" i="0" u="none" strike="noStrike" kern="1200" spc="0" baseline="0">
              <a:solidFill>
                <a:schemeClr val="tx1">
                  <a:lumMod val="65000"/>
                  <a:lumOff val="35000"/>
                </a:schemeClr>
              </a:solidFill>
              <a:latin typeface="仿宋" panose="02010609060101010101" pitchFamily="3" charset="-122"/>
              <a:ea typeface="仿宋" panose="02010609060101010101" pitchFamily="3" charset="-122"/>
              <a:cs typeface="+mn-cs"/>
            </a:defRPr>
          </a:pPr>
        </a:p>
      </c:txPr>
    </c:title>
    <c:autoTitleDeleted val="false"/>
    <c:plotArea>
      <c:layout/>
      <c:pieChart>
        <c:varyColors val="true"/>
        <c:ser>
          <c:idx val="0"/>
          <c:order val="0"/>
          <c:tx>
            <c:strRef>
              <c:f>Sheet1!$B$1</c:f>
              <c:strCache>
                <c:ptCount val="1"/>
                <c:pt idx="0">
                  <c:v>一般公共预算财政拨款支出决算结构</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Lbl>
              <c:idx val="0"/>
              <c:layout/>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layout>
                <c:manualLayout>
                  <c:x val="-0.0596010721362715"/>
                  <c:y val="0.0490484025998577"/>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74871637335808"/>
                  <c:y val="0.0273493251653238"/>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995138342150156"/>
                  <c:y val="0.0044056970024913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科学技术支出</c:v>
                </c:pt>
                <c:pt idx="1">
                  <c:v>社会保障和就业支出</c:v>
                </c:pt>
                <c:pt idx="2">
                  <c:v>卫生健康支出</c:v>
                </c:pt>
                <c:pt idx="3">
                  <c:v>住房保障支出</c:v>
                </c:pt>
              </c:strCache>
            </c:strRef>
          </c:cat>
          <c:val>
            <c:numRef>
              <c:f>Sheet1!$B$2:$B$5</c:f>
              <c:numCache>
                <c:formatCode>0.00%</c:formatCode>
                <c:ptCount val="4"/>
                <c:pt idx="0">
                  <c:v>0.8664</c:v>
                </c:pt>
                <c:pt idx="1">
                  <c:v>0.0527</c:v>
                </c:pt>
                <c:pt idx="2">
                  <c:v>0.0292</c:v>
                </c:pt>
                <c:pt idx="3">
                  <c:v>0.0517</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egendEntry>
        <c:idx val="0"/>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668002003004507"/>
          <c:y val="0.310694444444444"/>
        </c:manualLayout>
      </c:layout>
      <c:overlay val="false"/>
      <c:spPr>
        <a:noFill/>
        <a:ln>
          <a:noFill/>
        </a:ln>
        <a:effectLst/>
      </c:spPr>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noFill/>
      <a:prstDash val="solid"/>
      <a:round/>
    </a:ln>
    <a:effectLst/>
  </c:spPr>
  <c:txPr>
    <a:bodyPr/>
    <a:lstStyle/>
    <a:p>
      <a:pPr>
        <a:defRPr lang="zh-CN" sz="900"/>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88913914853484"/>
          <c:y val="0.0299722951297754"/>
        </c:manualLayout>
      </c:layout>
      <c:overlay val="false"/>
      <c:spPr>
        <a:noFill/>
        <a:ln>
          <a:noFill/>
        </a:ln>
        <a:effectLst/>
      </c:spPr>
      <c:txPr>
        <a:bodyPr rot="0" spcFirstLastPara="0" vertOverflow="ellipsis" vert="horz" wrap="square" anchor="ctr" anchorCtr="true"/>
        <a:lstStyle/>
        <a:p>
          <a:pPr>
            <a:defRPr lang="zh-CN" sz="1400" b="1" i="0" u="none" strike="noStrike" kern="1200" spc="0" baseline="0">
              <a:solidFill>
                <a:schemeClr val="tx1">
                  <a:lumMod val="65000"/>
                  <a:lumOff val="35000"/>
                </a:schemeClr>
              </a:solidFill>
              <a:latin typeface="仿宋" panose="02010609060101010101" pitchFamily="3" charset="-122"/>
              <a:ea typeface="仿宋" panose="02010609060101010101" pitchFamily="3" charset="-122"/>
              <a:cs typeface="+mn-cs"/>
            </a:defRPr>
          </a:pPr>
        </a:p>
      </c:txPr>
    </c:title>
    <c:autoTitleDeleted val="false"/>
    <c:plotArea>
      <c:layout/>
      <c:pieChart>
        <c:varyColors val="true"/>
        <c:ser>
          <c:idx val="0"/>
          <c:order val="0"/>
          <c:tx>
            <c:strRef>
              <c:f>Sheet1!$B$1</c:f>
              <c:strCache>
                <c:ptCount val="1"/>
                <c:pt idx="0">
                  <c:v>“三公”经费财政拨款支出结构</c:v>
                </c:pt>
              </c:strCache>
            </c:strRef>
          </c:tx>
          <c:spPr>
            <a:solidFill>
              <a:schemeClr val="tx2"/>
            </a:solidFill>
          </c:spPr>
          <c:explosion val="0"/>
          <c:dPt>
            <c:idx val="0"/>
            <c:bubble3D val="false"/>
            <c:spPr>
              <a:solidFill>
                <a:schemeClr val="tx2"/>
              </a:solidFill>
              <a:ln w="19050">
                <a:solidFill>
                  <a:schemeClr val="accent1"/>
                </a:solidFill>
              </a:ln>
              <a:effectLst/>
            </c:spPr>
          </c:dPt>
          <c:dPt>
            <c:idx val="1"/>
            <c:bubble3D val="false"/>
            <c:spPr>
              <a:solidFill>
                <a:schemeClr val="tx2"/>
              </a:solidFill>
              <a:ln w="19050">
                <a:solidFill>
                  <a:schemeClr val="accent2"/>
                </a:solidFill>
              </a:ln>
              <a:effectLst/>
            </c:spPr>
          </c:dPt>
          <c:dPt>
            <c:idx val="2"/>
            <c:bubble3D val="false"/>
            <c:spPr>
              <a:solidFill>
                <a:schemeClr val="tx2">
                  <a:lumMod val="60000"/>
                  <a:lumOff val="40000"/>
                </a:schemeClr>
              </a:solidFill>
              <a:ln w="19050">
                <a:solidFill>
                  <a:schemeClr val="lt1"/>
                </a:solidFill>
              </a:ln>
              <a:effectLst/>
            </c:spPr>
          </c:dPt>
          <c:dLbls>
            <c:dLbl>
              <c:idx val="0"/>
              <c:delete val="true"/>
            </c:dLbl>
            <c:dLbl>
              <c:idx val="1"/>
              <c:delete val="true"/>
            </c:dLbl>
            <c:dLbl>
              <c:idx val="2"/>
              <c:layout>
                <c:manualLayout>
                  <c:x val="-0.00937589250766697"/>
                  <c:y val="-0.24956825403492"/>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146375"/>
                      <c:h val="0.1295"/>
                    </c:manualLayout>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0%</c:formatCode>
                <c:ptCount val="3"/>
                <c:pt idx="0">
                  <c:v>0</c:v>
                </c:pt>
                <c:pt idx="1">
                  <c:v>0</c:v>
                </c:pt>
                <c:pt idx="2">
                  <c:v>1</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noFill/>
      <a:prstDash val="solid"/>
      <a:round/>
    </a:ln>
    <a:effectLst/>
  </c:spPr>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Pages>
  <Words>2388</Words>
  <Characters>13617</Characters>
  <Lines>113</Lines>
  <Paragraphs>31</Paragraphs>
  <TotalTime>2</TotalTime>
  <ScaleCrop>false</ScaleCrop>
  <LinksUpToDate>false</LinksUpToDate>
  <CharactersWithSpaces>15974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2020-08-05T17:49:00Z</dcterms:created>
  <dc:creator>曹颖</dc:creator>
  <cp:lastModifiedBy>user</cp:lastModifiedBy>
  <cp:lastPrinted>2023-10-24T22:49:00Z</cp:lastPrinted>
  <dcterms:modified xsi:type="dcterms:W3CDTF">2025-09-08T10:29:03Z</dcterms:modified>
  <dc:title>四川省***</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C3E92E76C1454384B8C4C5CF85222762_12</vt:lpwstr>
  </property>
</Properties>
</file>