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sz w:val="44"/>
          <w:szCs w:val="44"/>
        </w:rPr>
      </w:pPr>
      <w:bookmarkStart w:id="0" w:name="_GoBack"/>
      <w:bookmarkEnd w:id="0"/>
      <w:r>
        <w:rPr>
          <w:rFonts w:hint="eastAsia" w:ascii="黑体" w:hAnsi="黑体" w:eastAsia="黑体" w:cs="黑体"/>
          <w:b/>
          <w:bCs/>
          <w:sz w:val="44"/>
          <w:szCs w:val="44"/>
        </w:rPr>
        <w:t>朝天区检察院2020年部门预算情况说明</w:t>
      </w:r>
    </w:p>
    <w:p>
      <w:pPr>
        <w:rPr>
          <w:rFonts w:ascii="仿宋" w:hAnsi="仿宋" w:eastAsia="仿宋" w:cs="仿宋"/>
          <w:sz w:val="32"/>
          <w:szCs w:val="32"/>
        </w:rPr>
      </w:pPr>
    </w:p>
    <w:p>
      <w:pPr>
        <w:ind w:firstLine="642" w:firstLineChars="200"/>
        <w:rPr>
          <w:rFonts w:ascii="楷体" w:hAnsi="楷体" w:eastAsia="楷体" w:cs="楷体"/>
          <w:b/>
          <w:bCs/>
          <w:sz w:val="32"/>
          <w:szCs w:val="32"/>
        </w:rPr>
      </w:pPr>
      <w:r>
        <w:rPr>
          <w:rFonts w:hint="eastAsia" w:ascii="楷体" w:hAnsi="楷体" w:eastAsia="楷体" w:cs="楷体"/>
          <w:b/>
          <w:bCs/>
          <w:sz w:val="32"/>
          <w:szCs w:val="32"/>
        </w:rPr>
        <w:t>一、基本情况：</w:t>
      </w:r>
    </w:p>
    <w:p>
      <w:pPr>
        <w:spacing w:line="560" w:lineRule="exact"/>
        <w:ind w:firstLine="624" w:firstLineChars="200"/>
        <w:rPr>
          <w:rFonts w:ascii="仿宋_GB2312" w:eastAsia="仿宋_GB2312"/>
          <w:color w:val="000000" w:themeColor="text1"/>
          <w:sz w:val="32"/>
          <w:szCs w:val="32"/>
        </w:rPr>
      </w:pPr>
      <w:r>
        <w:rPr>
          <w:rFonts w:hint="eastAsia" w:ascii="仿宋_GB2312" w:eastAsia="仿宋_GB2312"/>
          <w:color w:val="000000" w:themeColor="text1"/>
          <w:spacing w:val="-4"/>
          <w:sz w:val="32"/>
          <w:szCs w:val="32"/>
        </w:rPr>
        <w:t>朝天区人民检察院，</w:t>
      </w:r>
      <w:r>
        <w:rPr>
          <w:rFonts w:hint="eastAsia" w:ascii="仿宋_GB2312" w:eastAsia="仿宋_GB2312"/>
          <w:color w:val="000000" w:themeColor="text1"/>
          <w:sz w:val="32"/>
          <w:szCs w:val="32"/>
        </w:rPr>
        <w:t>总编制29名，其中行政编制</w:t>
      </w:r>
      <w:r>
        <w:rPr>
          <w:rFonts w:hint="eastAsia" w:ascii="仿宋_GB2312" w:eastAsia="仿宋_GB2312"/>
          <w:color w:val="000000" w:themeColor="text1"/>
          <w:spacing w:val="-4"/>
          <w:sz w:val="32"/>
          <w:szCs w:val="32"/>
        </w:rPr>
        <w:t>23</w:t>
      </w:r>
      <w:r>
        <w:rPr>
          <w:rFonts w:hint="eastAsia" w:ascii="仿宋_GB2312" w:eastAsia="仿宋_GB2312"/>
          <w:color w:val="000000" w:themeColor="text1"/>
          <w:sz w:val="32"/>
          <w:szCs w:val="32"/>
        </w:rPr>
        <w:t>名，事业编制3名，工勤编制3名。在职人员总数</w:t>
      </w:r>
      <w:r>
        <w:rPr>
          <w:rFonts w:hint="eastAsia" w:ascii="仿宋_GB2312" w:eastAsia="仿宋_GB2312"/>
          <w:color w:val="000000" w:themeColor="text1"/>
          <w:spacing w:val="-4"/>
          <w:sz w:val="32"/>
          <w:szCs w:val="32"/>
        </w:rPr>
        <w:t>28</w:t>
      </w:r>
      <w:r>
        <w:rPr>
          <w:rFonts w:hint="eastAsia" w:ascii="仿宋_GB2312" w:eastAsia="仿宋_GB2312"/>
          <w:color w:val="000000" w:themeColor="text1"/>
          <w:sz w:val="32"/>
          <w:szCs w:val="32"/>
        </w:rPr>
        <w:t>人，其中行政人员</w:t>
      </w:r>
      <w:r>
        <w:rPr>
          <w:rFonts w:hint="eastAsia" w:ascii="仿宋_GB2312" w:eastAsia="仿宋_GB2312"/>
          <w:color w:val="000000" w:themeColor="text1"/>
          <w:spacing w:val="-4"/>
          <w:sz w:val="32"/>
          <w:szCs w:val="32"/>
        </w:rPr>
        <w:t>22</w:t>
      </w:r>
      <w:r>
        <w:rPr>
          <w:rFonts w:hint="eastAsia" w:ascii="仿宋_GB2312" w:eastAsia="仿宋_GB2312"/>
          <w:color w:val="000000" w:themeColor="text1"/>
          <w:sz w:val="32"/>
          <w:szCs w:val="32"/>
        </w:rPr>
        <w:t>人，事业人员3人，工勤人员3人。固定资产总额</w:t>
      </w:r>
      <w:r>
        <w:rPr>
          <w:rFonts w:hint="eastAsia" w:ascii="仿宋_GB2312" w:eastAsia="仿宋_GB2312"/>
          <w:color w:val="000000" w:themeColor="text1"/>
          <w:spacing w:val="-4"/>
          <w:sz w:val="32"/>
          <w:szCs w:val="32"/>
        </w:rPr>
        <w:t>505.53</w:t>
      </w:r>
      <w:r>
        <w:rPr>
          <w:rFonts w:hint="eastAsia" w:ascii="仿宋_GB2312" w:eastAsia="仿宋_GB2312"/>
          <w:color w:val="000000" w:themeColor="text1"/>
          <w:sz w:val="32"/>
          <w:szCs w:val="32"/>
        </w:rPr>
        <w:t>万元。</w:t>
      </w:r>
    </w:p>
    <w:p>
      <w:pPr>
        <w:widowControl/>
        <w:spacing w:line="560" w:lineRule="exact"/>
        <w:ind w:firstLine="645"/>
        <w:jc w:val="left"/>
        <w:rPr>
          <w:rFonts w:ascii="仿宋_GB2312" w:eastAsia="仿宋_GB2312"/>
          <w:color w:val="000000" w:themeColor="text1"/>
          <w:sz w:val="32"/>
          <w:szCs w:val="32"/>
        </w:rPr>
      </w:pPr>
      <w:r>
        <w:rPr>
          <w:rFonts w:hint="eastAsia" w:ascii="仿宋_GB2312" w:eastAsia="仿宋_GB2312"/>
          <w:color w:val="000000" w:themeColor="text1"/>
          <w:sz w:val="32"/>
          <w:szCs w:val="32"/>
        </w:rPr>
        <w:t>主要职能职责如下：</w:t>
      </w:r>
    </w:p>
    <w:p>
      <w:pPr>
        <w:ind w:firstLine="640" w:firstLineChars="200"/>
        <w:rPr>
          <w:rFonts w:ascii="仿宋_GB2312" w:eastAsia="仿宋_GB2312"/>
          <w:szCs w:val="32"/>
        </w:rPr>
      </w:pPr>
      <w:r>
        <w:rPr>
          <w:rFonts w:hint="eastAsia" w:ascii="仿宋_GB2312" w:eastAsia="仿宋_GB2312"/>
          <w:color w:val="000000" w:themeColor="text1"/>
          <w:sz w:val="32"/>
          <w:szCs w:val="32"/>
        </w:rPr>
        <w:t>人民检察院是国家的法律监督机关，对于叛国案件、分</w:t>
      </w:r>
      <w:r>
        <w:rPr>
          <w:rFonts w:hint="eastAsia" w:ascii="仿宋_GB2312" w:eastAsia="仿宋_GB2312"/>
          <w:sz w:val="32"/>
          <w:szCs w:val="32"/>
        </w:rPr>
        <w:t>裂国家案件以及严重破坏国家的政策、法律、政令统一实施的重大犯罪案件，行使检察权；对于贪污贿赂、渎职等犯罪案件，进行立案侦查和决定是否对犯罪嫌疑人实行逮捕和提起公诉；对侦查机关的立案、侦查活动是否合法实行监督；对刑事案件提起公诉；对人民法院的审判活动是否合法实行监督等</w:t>
      </w:r>
      <w:r>
        <w:rPr>
          <w:rFonts w:hint="eastAsia" w:ascii="仿宋_GB2312" w:eastAsia="仿宋_GB2312"/>
          <w:szCs w:val="32"/>
        </w:rPr>
        <w:t>。</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 xml:space="preserve">二、预算情况说明 </w:t>
      </w:r>
    </w:p>
    <w:p>
      <w:pPr>
        <w:ind w:firstLine="640" w:firstLineChars="200"/>
        <w:rPr>
          <w:rFonts w:ascii="仿宋" w:hAnsi="仿宋" w:eastAsia="仿宋" w:cs="仿宋"/>
          <w:sz w:val="32"/>
          <w:szCs w:val="32"/>
        </w:rPr>
      </w:pPr>
      <w:r>
        <w:rPr>
          <w:rFonts w:hint="eastAsia" w:ascii="仿宋" w:hAnsi="仿宋" w:eastAsia="仿宋" w:cs="仿宋"/>
          <w:sz w:val="32"/>
          <w:szCs w:val="32"/>
        </w:rPr>
        <w:t>朝天检察院2020年部门预算收入总数398.02万元，较2019年部门预算收入总数</w:t>
      </w:r>
      <w:r>
        <w:rPr>
          <w:rFonts w:hint="eastAsia" w:ascii="仿宋_GB2312" w:eastAsia="仿宋_GB2312"/>
          <w:b/>
          <w:color w:val="000000" w:themeColor="text1"/>
          <w:spacing w:val="-4"/>
          <w:sz w:val="32"/>
          <w:szCs w:val="32"/>
        </w:rPr>
        <w:t>534.89</w:t>
      </w:r>
      <w:r>
        <w:rPr>
          <w:rFonts w:hint="eastAsia" w:ascii="仿宋" w:hAnsi="仿宋" w:eastAsia="仿宋" w:cs="仿宋"/>
          <w:sz w:val="32"/>
          <w:szCs w:val="32"/>
        </w:rPr>
        <w:t>万元减少26%；主要原因是机构编制改革调出5人，过</w:t>
      </w:r>
      <w:r>
        <w:rPr>
          <w:rFonts w:hint="eastAsia" w:ascii="仿宋_GB2312" w:hAnsi="仿宋" w:eastAsia="仿宋_GB2312"/>
          <w:sz w:val="32"/>
          <w:szCs w:val="32"/>
        </w:rPr>
        <w:t>紧日子”的思想，严格控制和压减一般性支出。</w:t>
      </w:r>
      <w:r>
        <w:rPr>
          <w:rFonts w:hint="eastAsia" w:ascii="仿宋" w:hAnsi="仿宋" w:eastAsia="仿宋" w:cs="仿宋"/>
          <w:sz w:val="32"/>
          <w:szCs w:val="32"/>
        </w:rPr>
        <w:t>2020年部门预算支出总数398.02万元，较2019年部门预算支出总数534.89万元减少26％。主要原因是机构编制改革调出5人，过</w:t>
      </w:r>
      <w:r>
        <w:rPr>
          <w:rFonts w:hint="eastAsia" w:ascii="仿宋_GB2312" w:hAnsi="仿宋" w:eastAsia="仿宋_GB2312"/>
          <w:sz w:val="32"/>
          <w:szCs w:val="32"/>
        </w:rPr>
        <w:t>紧日子”的思想，严格控制和压减一般性支出</w:t>
      </w:r>
    </w:p>
    <w:p>
      <w:pPr>
        <w:spacing w:line="560" w:lineRule="exact"/>
        <w:ind w:firstLine="646"/>
        <w:rPr>
          <w:rFonts w:ascii="仿宋" w:hAnsi="仿宋" w:eastAsia="仿宋" w:cs="仿宋"/>
          <w:sz w:val="32"/>
          <w:szCs w:val="32"/>
        </w:rPr>
      </w:pPr>
      <w:r>
        <w:rPr>
          <w:rFonts w:hint="eastAsia" w:ascii="仿宋" w:hAnsi="仿宋" w:eastAsia="仿宋" w:cs="仿宋"/>
          <w:sz w:val="32"/>
          <w:szCs w:val="32"/>
        </w:rPr>
        <w:t>部门基本支出预算341.8万元。其中：人员支出313.8万元，主要包括工资福利支出、对个人和家庭补助支出。</w:t>
      </w:r>
      <w:r>
        <w:rPr>
          <w:rFonts w:hint="eastAsia" w:ascii="仿宋_GB2312" w:eastAsia="仿宋_GB2312"/>
          <w:sz w:val="32"/>
          <w:szCs w:val="32"/>
        </w:rPr>
        <w:t>公用支出</w:t>
      </w:r>
      <w:r>
        <w:rPr>
          <w:rFonts w:hint="eastAsia" w:ascii="仿宋_GB2312" w:eastAsia="仿宋_GB2312"/>
          <w:spacing w:val="-4"/>
          <w:sz w:val="32"/>
          <w:szCs w:val="32"/>
        </w:rPr>
        <w:t>28</w:t>
      </w:r>
      <w:r>
        <w:rPr>
          <w:rFonts w:hint="eastAsia" w:ascii="仿宋_GB2312" w:eastAsia="仿宋_GB2312"/>
          <w:sz w:val="32"/>
          <w:szCs w:val="32"/>
        </w:rPr>
        <w:t>万元（主要用于办公费、差旅费、印刷费、会议费等机关运行方面的支出）。</w:t>
      </w:r>
      <w:r>
        <w:rPr>
          <w:rFonts w:hint="eastAsia" w:ascii="仿宋" w:hAnsi="仿宋" w:eastAsia="仿宋" w:cs="仿宋"/>
          <w:sz w:val="32"/>
          <w:szCs w:val="32"/>
        </w:rPr>
        <w:t xml:space="preserve"> </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部门专项项目预算56.22万元（明细项目见附表）。 </w:t>
      </w:r>
    </w:p>
    <w:p>
      <w:pPr>
        <w:ind w:firstLine="640" w:firstLineChars="200"/>
        <w:rPr>
          <w:rFonts w:ascii="仿宋" w:hAnsi="仿宋" w:eastAsia="仿宋" w:cs="仿宋"/>
          <w:sz w:val="32"/>
          <w:szCs w:val="32"/>
        </w:rPr>
      </w:pPr>
      <w:r>
        <w:rPr>
          <w:rFonts w:hint="eastAsia" w:ascii="仿宋" w:hAnsi="仿宋" w:eastAsia="仿宋" w:cs="仿宋"/>
          <w:sz w:val="32"/>
          <w:szCs w:val="32"/>
        </w:rPr>
        <w:t>部门政府采购预算0万元。</w:t>
      </w:r>
    </w:p>
    <w:p>
      <w:pPr>
        <w:ind w:firstLine="640" w:firstLineChars="200"/>
        <w:rPr>
          <w:rFonts w:ascii="仿宋" w:hAnsi="仿宋" w:eastAsia="仿宋" w:cs="仿宋"/>
          <w:sz w:val="32"/>
          <w:szCs w:val="32"/>
        </w:rPr>
      </w:pPr>
      <w:r>
        <w:rPr>
          <w:rFonts w:hint="eastAsia" w:ascii="仿宋" w:hAnsi="仿宋" w:eastAsia="仿宋" w:cs="仿宋"/>
          <w:sz w:val="32"/>
          <w:szCs w:val="32"/>
        </w:rPr>
        <w:t>财政拨款安排“三公”经费预算12.5万元。2020年无因公出国（境）计划；公务接待费预算0.98万元，较2019年预算下降4%，主要原因是</w:t>
      </w:r>
      <w:r>
        <w:rPr>
          <w:rFonts w:hint="eastAsia" w:ascii="仿宋_GB2312" w:eastAsia="仿宋_GB2312"/>
          <w:sz w:val="32"/>
          <w:szCs w:val="32"/>
        </w:rPr>
        <w:t>主要原因是严格落实中央八项规定，严格控制接待标准和范围，</w:t>
      </w:r>
      <w:r>
        <w:rPr>
          <w:rFonts w:hint="eastAsia" w:ascii="仿宋_GB2312" w:eastAsia="仿宋_GB2312"/>
          <w:sz w:val="32"/>
          <w:szCs w:val="32"/>
          <w:lang w:eastAsia="zh-CN"/>
        </w:rPr>
        <w:t>厉行节约</w:t>
      </w:r>
      <w:r>
        <w:rPr>
          <w:rFonts w:hint="eastAsia" w:ascii="仿宋_GB2312" w:eastAsia="仿宋_GB2312"/>
          <w:sz w:val="32"/>
          <w:szCs w:val="32"/>
        </w:rPr>
        <w:t>。</w:t>
      </w:r>
      <w:r>
        <w:rPr>
          <w:rFonts w:hint="eastAsia" w:ascii="仿宋" w:hAnsi="仿宋" w:eastAsia="仿宋" w:cs="仿宋"/>
          <w:sz w:val="32"/>
          <w:szCs w:val="32"/>
        </w:rPr>
        <w:t xml:space="preserve">公务用车购置及运行维护费预算11.52万元（其中：运行维护费11.52万元），较2019年预算下降3%，主要原因是严格车辆管理、定点维修保养。 </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 xml:space="preserve">三、其他情况说明 </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（一）政府性基金预算支出情况说明。2020年朝天检察院无政府性基金预算拨款安排的支出。 </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（二）国有资本经营预算支出情况说明。2020年无国有资本经营预算拨款安排的支出。 </w:t>
      </w:r>
    </w:p>
    <w:p>
      <w:pPr>
        <w:ind w:firstLine="640" w:firstLineChars="200"/>
        <w:rPr>
          <w:rFonts w:ascii="仿宋" w:hAnsi="仿宋" w:eastAsia="仿宋" w:cs="仿宋"/>
          <w:sz w:val="32"/>
          <w:szCs w:val="32"/>
        </w:rPr>
      </w:pPr>
      <w:r>
        <w:rPr>
          <w:rFonts w:hint="eastAsia" w:ascii="仿宋" w:hAnsi="仿宋" w:eastAsia="仿宋" w:cs="仿宋"/>
          <w:sz w:val="32"/>
          <w:szCs w:val="32"/>
        </w:rPr>
        <w:t>（三）重点项目预算的绩效目标等预算绩效情况说明。2020年财政预算安排检察院项目资金56.22万元。其中包括：办案业务费20万元、公务交通补助20.87万元、司法警察值勤津贴经费2.11万元、贫困村驻村工作队工作经费3万元、人民监督员工作经费5万元、金财网维护0.24万元，安全维稳工作经费5万元。</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历年来，我院严格按照相关要求编报项目支出预算，科学设置项目绩效目标，客观详实地提供每一个项目的相关资料，项目预算编制做到了论证充分、资料详实、科学合理。在项目实施过程中，积极组织项目分管领导和财会人员学习财经规章，进一步增强以法理财、科学理财、规范理财的责任意识。对项目管理做到科学安排、合理配置、专款专用，确保项目顺利开展，使项目资金最大限度地发挥其作用。 </w:t>
      </w:r>
    </w:p>
    <w:p>
      <w:pPr>
        <w:ind w:firstLine="640" w:firstLineChars="200"/>
        <w:rPr>
          <w:rFonts w:ascii="仿宋" w:hAnsi="仿宋" w:eastAsia="仿宋" w:cs="仿宋"/>
          <w:sz w:val="32"/>
          <w:szCs w:val="32"/>
        </w:rPr>
      </w:pPr>
      <w:r>
        <w:rPr>
          <w:rFonts w:hint="eastAsia" w:ascii="仿宋" w:hAnsi="仿宋" w:eastAsia="仿宋" w:cs="仿宋"/>
          <w:sz w:val="32"/>
          <w:szCs w:val="32"/>
        </w:rPr>
        <w:t>（四）国有资产占用情况说明。2020年初，固定资产总额508.37万元。</w:t>
      </w:r>
    </w:p>
    <w:p>
      <w:pPr>
        <w:ind w:firstLine="642" w:firstLineChars="200"/>
        <w:rPr>
          <w:rFonts w:ascii="楷体" w:hAnsi="楷体" w:eastAsia="楷体" w:cs="楷体"/>
          <w:b/>
          <w:bCs/>
          <w:sz w:val="32"/>
          <w:szCs w:val="32"/>
        </w:rPr>
      </w:pPr>
      <w:r>
        <w:rPr>
          <w:rFonts w:hint="eastAsia" w:ascii="楷体" w:hAnsi="楷体" w:eastAsia="楷体" w:cs="楷体"/>
          <w:b/>
          <w:bCs/>
          <w:sz w:val="32"/>
          <w:szCs w:val="32"/>
        </w:rPr>
        <w:t xml:space="preserve">四、有关名词解释 </w:t>
      </w:r>
    </w:p>
    <w:p>
      <w:pPr>
        <w:ind w:firstLine="640" w:firstLineChars="200"/>
        <w:rPr>
          <w:rFonts w:ascii="仿宋" w:hAnsi="仿宋" w:eastAsia="仿宋" w:cs="仿宋"/>
          <w:sz w:val="32"/>
          <w:szCs w:val="32"/>
        </w:rPr>
      </w:pPr>
      <w:r>
        <w:rPr>
          <w:rFonts w:hint="eastAsia" w:ascii="仿宋" w:hAnsi="仿宋" w:eastAsia="仿宋" w:cs="仿宋"/>
          <w:sz w:val="32"/>
          <w:szCs w:val="32"/>
        </w:rPr>
        <w:t>1、一般公共预算拨款收入：指当年财政拨付的资金。</w:t>
      </w:r>
      <w:r>
        <w:rPr>
          <w:rFonts w:hint="eastAsia" w:ascii="仿宋" w:hAnsi="仿宋" w:eastAsia="仿宋" w:cs="仿宋"/>
          <w:sz w:val="32"/>
          <w:szCs w:val="32"/>
        </w:rPr>
        <w:br w:type="textWrapping"/>
      </w:r>
      <w:r>
        <w:rPr>
          <w:rFonts w:hint="eastAsia" w:ascii="仿宋" w:hAnsi="仿宋" w:eastAsia="仿宋" w:cs="仿宋"/>
          <w:sz w:val="32"/>
          <w:szCs w:val="32"/>
        </w:rPr>
        <w:t xml:space="preserve">    2、上年结转：指以前年度尚未完成，结转到本年仍按原规定用途继续使用的资金。</w:t>
      </w:r>
      <w:r>
        <w:rPr>
          <w:rFonts w:hint="eastAsia" w:ascii="仿宋" w:hAnsi="仿宋" w:eastAsia="仿宋" w:cs="仿宋"/>
          <w:sz w:val="32"/>
          <w:szCs w:val="32"/>
        </w:rPr>
        <w:br w:type="textWrapping"/>
      </w:r>
      <w:r>
        <w:rPr>
          <w:rFonts w:hint="eastAsia" w:ascii="仿宋" w:hAnsi="仿宋" w:eastAsia="仿宋" w:cs="仿宋"/>
          <w:sz w:val="32"/>
          <w:szCs w:val="32"/>
        </w:rPr>
        <w:t xml:space="preserve">    3、基本支出：指为保证机构正常运转，完成日常工作任务而发生的人员支出和公用支出。</w:t>
      </w:r>
      <w:r>
        <w:rPr>
          <w:rFonts w:hint="eastAsia" w:ascii="仿宋" w:hAnsi="仿宋" w:eastAsia="仿宋" w:cs="仿宋"/>
          <w:sz w:val="32"/>
          <w:szCs w:val="32"/>
        </w:rPr>
        <w:br w:type="textWrapping"/>
      </w:r>
      <w:r>
        <w:rPr>
          <w:rFonts w:hint="eastAsia" w:ascii="仿宋" w:hAnsi="仿宋" w:eastAsia="仿宋" w:cs="仿宋"/>
          <w:sz w:val="32"/>
          <w:szCs w:val="32"/>
        </w:rPr>
        <w:t xml:space="preserve">    4、项目支出：指在基本支出之外为完成特定行政任务和事业发展目标所发生的支出。</w:t>
      </w:r>
      <w:r>
        <w:rPr>
          <w:rFonts w:hint="eastAsia" w:ascii="仿宋" w:hAnsi="仿宋" w:eastAsia="仿宋" w:cs="仿宋"/>
          <w:sz w:val="32"/>
          <w:szCs w:val="32"/>
        </w:rPr>
        <w:br w:type="textWrapping"/>
      </w:r>
      <w:r>
        <w:rPr>
          <w:rFonts w:hint="eastAsia" w:ascii="仿宋" w:hAnsi="仿宋" w:eastAsia="仿宋" w:cs="仿宋"/>
          <w:sz w:val="32"/>
          <w:szCs w:val="32"/>
        </w:rPr>
        <w:t xml:space="preserve">    5、“三公”经费：纳入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 w:hAnsi="仿宋" w:eastAsia="仿宋" w:cs="仿宋"/>
          <w:sz w:val="32"/>
          <w:szCs w:val="32"/>
        </w:rPr>
        <w:br w:type="textWrapping"/>
      </w:r>
      <w:r>
        <w:rPr>
          <w:rFonts w:hint="eastAsia" w:ascii="仿宋" w:hAnsi="仿宋" w:eastAsia="仿宋" w:cs="仿宋"/>
          <w:sz w:val="32"/>
          <w:szCs w:val="32"/>
        </w:rPr>
        <w:t xml:space="preserve">    6、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 xml:space="preserve"> </w:t>
      </w:r>
    </w:p>
    <w:p>
      <w:pPr>
        <w:rPr>
          <w:rFonts w:ascii="仿宋" w:hAnsi="仿宋" w:eastAsia="仿宋" w:cs="仿宋"/>
          <w:sz w:val="32"/>
          <w:szCs w:val="32"/>
        </w:rPr>
      </w:pPr>
    </w:p>
    <w:p>
      <w:pPr>
        <w:rPr>
          <w:rFonts w:ascii="仿宋" w:hAnsi="仿宋" w:eastAsia="仿宋" w:cs="仿宋"/>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
    <w:altName w:val="宋体"/>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047583"/>
      <w:docPartObj>
        <w:docPartGallery w:val="AutoText"/>
      </w:docPartObj>
    </w:sdtPr>
    <w:sdtContent>
      <w:p>
        <w:pPr>
          <w:pStyle w:val="2"/>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1CA1"/>
    <w:rsid w:val="00127B7E"/>
    <w:rsid w:val="00171CA1"/>
    <w:rsid w:val="001D4DB5"/>
    <w:rsid w:val="00205282"/>
    <w:rsid w:val="002C37F4"/>
    <w:rsid w:val="0039382F"/>
    <w:rsid w:val="00456527"/>
    <w:rsid w:val="004848E4"/>
    <w:rsid w:val="0052200B"/>
    <w:rsid w:val="005E1E4E"/>
    <w:rsid w:val="00786BA9"/>
    <w:rsid w:val="007B53F7"/>
    <w:rsid w:val="009B1BDD"/>
    <w:rsid w:val="00A704A1"/>
    <w:rsid w:val="00B61F52"/>
    <w:rsid w:val="00B64A7D"/>
    <w:rsid w:val="00C22716"/>
    <w:rsid w:val="00C22796"/>
    <w:rsid w:val="00D900CB"/>
    <w:rsid w:val="00DE0FB1"/>
    <w:rsid w:val="00EB203C"/>
    <w:rsid w:val="01D23E10"/>
    <w:rsid w:val="039E5E54"/>
    <w:rsid w:val="058D7A67"/>
    <w:rsid w:val="060C47DB"/>
    <w:rsid w:val="08E11277"/>
    <w:rsid w:val="12B15410"/>
    <w:rsid w:val="1D2374C5"/>
    <w:rsid w:val="242E3272"/>
    <w:rsid w:val="25CF3C41"/>
    <w:rsid w:val="277E272B"/>
    <w:rsid w:val="2BFA22FB"/>
    <w:rsid w:val="2C6C2FE0"/>
    <w:rsid w:val="2DA17CFC"/>
    <w:rsid w:val="33E87604"/>
    <w:rsid w:val="37A7757F"/>
    <w:rsid w:val="3B3038D9"/>
    <w:rsid w:val="3CF21E46"/>
    <w:rsid w:val="3DEA166B"/>
    <w:rsid w:val="45BB66C4"/>
    <w:rsid w:val="4B5D7AE0"/>
    <w:rsid w:val="4E814F35"/>
    <w:rsid w:val="523E7658"/>
    <w:rsid w:val="541222C1"/>
    <w:rsid w:val="5A091B48"/>
    <w:rsid w:val="5AE957C4"/>
    <w:rsid w:val="5AF403C8"/>
    <w:rsid w:val="5B3D5EA6"/>
    <w:rsid w:val="5DC66AAF"/>
    <w:rsid w:val="60715E99"/>
    <w:rsid w:val="629F0956"/>
    <w:rsid w:val="69944ACE"/>
    <w:rsid w:val="6C2600A5"/>
    <w:rsid w:val="776C90E3"/>
    <w:rsid w:val="791F35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4</Pages>
  <Words>265</Words>
  <Characters>1513</Characters>
  <Lines>12</Lines>
  <Paragraphs>3</Paragraphs>
  <TotalTime>1</TotalTime>
  <ScaleCrop>false</ScaleCrop>
  <LinksUpToDate>false</LinksUpToDate>
  <CharactersWithSpaces>1775</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2020-08-04T15:50:00Z</dcterms:created>
  <dc:creator>Administrator.SC-201702091113</dc:creator>
  <cp:lastModifiedBy>user</cp:lastModifiedBy>
  <cp:lastPrinted>2019-11-06T15:32:00Z</cp:lastPrinted>
  <dcterms:modified xsi:type="dcterms:W3CDTF">2024-12-10T15:47:33Z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