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s="黑体"/>
          <w:color w:val="000000"/>
          <w:w w:val="90"/>
          <w:sz w:val="72"/>
          <w:szCs w:val="72"/>
        </w:rPr>
      </w:pPr>
      <w:bookmarkStart w:id="1" w:name="_Toc15396597"/>
      <w:bookmarkStart w:id="2" w:name="_Toc15396475"/>
      <w:bookmarkStart w:id="3" w:name="_Toc15377193"/>
      <w:bookmarkStart w:id="4" w:name="_Toc15377425"/>
      <w:bookmarkStart w:id="5" w:name="_Toc15378441"/>
      <w:r>
        <w:rPr>
          <w:rFonts w:ascii="黑体" w:hAnsi="黑体" w:eastAsia="黑体" w:cs="黑体"/>
          <w:color w:val="000000"/>
          <w:w w:val="90"/>
          <w:sz w:val="72"/>
          <w:szCs w:val="72"/>
        </w:rPr>
        <w:t>20</w:t>
      </w:r>
      <w:r>
        <w:rPr>
          <w:rFonts w:hint="eastAsia" w:ascii="黑体" w:hAnsi="黑体" w:eastAsia="黑体" w:cs="黑体"/>
          <w:color w:val="000000"/>
          <w:w w:val="90"/>
          <w:sz w:val="72"/>
          <w:szCs w:val="72"/>
        </w:rPr>
        <w:t>20年度</w:t>
      </w:r>
      <w:bookmarkEnd w:id="1"/>
      <w:bookmarkEnd w:id="2"/>
      <w:bookmarkEnd w:id="3"/>
      <w:bookmarkEnd w:id="4"/>
      <w:bookmarkEnd w:id="5"/>
    </w:p>
    <w:p>
      <w:pPr>
        <w:adjustRightInd w:val="0"/>
        <w:snapToGrid w:val="0"/>
        <w:spacing w:line="360" w:lineRule="auto"/>
        <w:jc w:val="center"/>
        <w:outlineLvl w:val="0"/>
        <w:rPr>
          <w:rFonts w:ascii="黑体" w:hAnsi="黑体" w:eastAsia="黑体" w:cs="黑体"/>
          <w:color w:val="000000"/>
          <w:w w:val="90"/>
          <w:sz w:val="72"/>
          <w:szCs w:val="72"/>
        </w:rPr>
      </w:pPr>
      <w:bookmarkStart w:id="6" w:name="_Toc15396598"/>
      <w:bookmarkStart w:id="7" w:name="_Toc15377426"/>
      <w:bookmarkStart w:id="8" w:name="_Toc15396476"/>
      <w:bookmarkStart w:id="9" w:name="_Toc15377194"/>
      <w:bookmarkStart w:id="10" w:name="_Toc15378442"/>
      <w:r>
        <w:rPr>
          <w:rFonts w:hint="eastAsia" w:ascii="黑体" w:hAnsi="黑体" w:eastAsia="黑体" w:cs="黑体"/>
          <w:color w:val="000000"/>
          <w:w w:val="90"/>
          <w:sz w:val="72"/>
          <w:szCs w:val="72"/>
        </w:rPr>
        <w:t>四川省</w:t>
      </w:r>
      <w:bookmarkEnd w:id="0"/>
      <w:bookmarkStart w:id="11" w:name="_Toc15306268"/>
      <w:r>
        <w:rPr>
          <w:rFonts w:hint="eastAsia" w:ascii="黑体" w:hAnsi="黑体" w:eastAsia="黑体" w:cs="黑体"/>
          <w:color w:val="000000"/>
          <w:w w:val="90"/>
          <w:sz w:val="72"/>
          <w:szCs w:val="72"/>
        </w:rPr>
        <w:t>广元市朝天区财政局部门决算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pStyle w:val="2"/>
        <w:spacing w:before="93"/>
        <w:rPr>
          <w:rFonts w:ascii="仿宋" w:hAnsi="仿宋" w:eastAsia="仿宋"/>
          <w:sz w:val="32"/>
          <w:szCs w:val="32"/>
        </w:rPr>
      </w:pPr>
    </w:p>
    <w:p>
      <w:pPr>
        <w:widowControl/>
        <w:ind w:firstLine="3600" w:firstLineChars="1000"/>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w:t>
      </w:r>
      <w:r>
        <w:rPr>
          <w:rFonts w:hint="eastAsia"/>
        </w:rPr>
        <w:t>1年</w:t>
      </w:r>
      <w:r>
        <w:t>9</w:t>
      </w:r>
      <w:r>
        <w:rPr>
          <w:rFonts w:hint="eastAsia"/>
        </w:rPr>
        <w:t>月</w:t>
      </w:r>
      <w:r>
        <w:t>26</w:t>
      </w:r>
      <w:r>
        <w:rPr>
          <w:rFonts w:hint="eastAsia"/>
        </w:rPr>
        <w:t>日</w:t>
      </w:r>
    </w:p>
    <w:p/>
    <w:p>
      <w:pPr>
        <w:widowControl/>
        <w:jc w:val="center"/>
        <w:rPr>
          <w:sz w:val="28"/>
          <w:szCs w:val="28"/>
        </w:rPr>
      </w:pPr>
      <w:r>
        <w:rPr>
          <w:rFonts w:ascii="黑体" w:hAnsi="黑体" w:eastAsia="黑体"/>
          <w:color w:val="000000"/>
          <w:sz w:val="28"/>
          <w:szCs w:val="28"/>
        </w:rPr>
        <w:fldChar w:fldCharType="begin"/>
      </w:r>
      <w:r>
        <w:rPr>
          <w:rFonts w:ascii="黑体" w:hAnsi="黑体" w:eastAsia="黑体"/>
          <w:color w:val="000000"/>
          <w:sz w:val="28"/>
          <w:szCs w:val="28"/>
        </w:rPr>
        <w:instrText xml:space="preserve"> TOC \o "1-2" \h \z \u </w:instrText>
      </w:r>
      <w:r>
        <w:rPr>
          <w:rFonts w:ascii="黑体" w:hAnsi="黑体" w:eastAsia="黑体"/>
          <w:color w:val="000000"/>
          <w:sz w:val="28"/>
          <w:szCs w:val="28"/>
        </w:rPr>
        <w:fldChar w:fldCharType="separate"/>
      </w:r>
    </w:p>
    <w:p>
      <w:pPr>
        <w:pStyle w:val="10"/>
        <w:rPr>
          <w:rFonts w:hint="eastAsia" w:eastAsia="仿宋"/>
          <w:lang w:val="en-US" w:eastAsia="zh-CN"/>
        </w:rPr>
      </w:pPr>
      <w:r>
        <w:fldChar w:fldCharType="begin"/>
      </w:r>
      <w:r>
        <w:instrText xml:space="preserve"> HYPERLINK \l "_Toc15396599" </w:instrText>
      </w:r>
      <w:r>
        <w:fldChar w:fldCharType="separate"/>
      </w:r>
      <w:r>
        <w:rPr>
          <w:rStyle w:val="18"/>
          <w:rFonts w:hint="eastAsia"/>
        </w:rPr>
        <w:t>第一部分部门概况</w:t>
      </w:r>
      <w:r>
        <w:tab/>
      </w:r>
      <w:r>
        <w:t>4</w:t>
      </w:r>
      <w:r>
        <w:fldChar w:fldCharType="end"/>
      </w:r>
      <w:r>
        <w:t>-1</w:t>
      </w:r>
      <w:r>
        <w:rPr>
          <w:rFonts w:hint="eastAsia"/>
          <w:lang w:val="en-US" w:eastAsia="zh-CN"/>
        </w:rPr>
        <w:t>0</w:t>
      </w:r>
    </w:p>
    <w:p>
      <w:pPr>
        <w:pStyle w:val="11"/>
        <w:rPr>
          <w:rFonts w:hint="eastAsia" w:ascii="仿宋" w:hAnsi="仿宋" w:eastAsia="仿宋"/>
          <w:sz w:val="28"/>
          <w:szCs w:val="28"/>
          <w:lang w:val="en-US" w:eastAsia="zh-CN"/>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t>-</w:t>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0"/>
        <w:rPr>
          <w:rFonts w:hint="eastAsia" w:eastAsia="仿宋"/>
          <w:lang w:eastAsia="zh-CN"/>
        </w:rPr>
      </w:pPr>
      <w:r>
        <w:fldChar w:fldCharType="begin"/>
      </w:r>
      <w:r>
        <w:instrText xml:space="preserve"> HYPERLINK \l "_Toc15396602" </w:instrText>
      </w:r>
      <w:r>
        <w:fldChar w:fldCharType="separate"/>
      </w:r>
      <w:r>
        <w:rPr>
          <w:rStyle w:val="18"/>
          <w:rFonts w:hint="eastAsia"/>
        </w:rPr>
        <w:t>第二部分</w:t>
      </w:r>
      <w:r>
        <w:rPr>
          <w:rStyle w:val="18"/>
        </w:rPr>
        <w:t xml:space="preserve"> 20</w:t>
      </w:r>
      <w:r>
        <w:rPr>
          <w:rStyle w:val="18"/>
          <w:rFonts w:hint="eastAsia"/>
        </w:rPr>
        <w:t>20年度部门决算情况说明</w:t>
      </w:r>
      <w:r>
        <w:tab/>
      </w:r>
      <w:r>
        <w:t>1</w:t>
      </w:r>
      <w:r>
        <w:fldChar w:fldCharType="end"/>
      </w:r>
      <w:r>
        <w:rPr>
          <w:rFonts w:hint="eastAsia"/>
          <w:lang w:val="en-US" w:eastAsia="zh-CN"/>
        </w:rPr>
        <w:t>1</w:t>
      </w:r>
      <w:r>
        <w:t>-2</w:t>
      </w:r>
      <w:r>
        <w:rPr>
          <w:rFonts w:hint="eastAsia"/>
          <w:lang w:val="en-US" w:eastAsia="zh-CN"/>
        </w:rPr>
        <w:t>1</w:t>
      </w:r>
    </w:p>
    <w:p>
      <w:pPr>
        <w:pStyle w:val="11"/>
        <w:rPr>
          <w:rFonts w:hint="eastAsia" w:ascii="仿宋" w:hAnsi="仿宋" w:eastAsia="仿宋"/>
          <w:sz w:val="28"/>
          <w:szCs w:val="28"/>
          <w:lang w:eastAsia="zh-CN"/>
        </w:rPr>
      </w:pPr>
      <w:r>
        <w:fldChar w:fldCharType="begin"/>
      </w:r>
      <w:r>
        <w:instrText xml:space="preserve"> HYPERLINK \l "_Toc15396603" </w:instrText>
      </w:r>
      <w:r>
        <w:fldChar w:fldCharType="separate"/>
      </w:r>
      <w:r>
        <w:rPr>
          <w:rStyle w:val="18"/>
          <w:rFonts w:hint="eastAsia" w:ascii="仿宋" w:hAnsi="仿宋" w:eastAsia="仿宋"/>
          <w:bCs/>
          <w:sz w:val="28"/>
          <w:szCs w:val="28"/>
        </w:rPr>
        <w:t>一、</w:t>
      </w:r>
      <w:r>
        <w:rPr>
          <w:rStyle w:val="18"/>
          <w:rFonts w:hint="eastAsia" w:ascii="仿宋" w:hAnsi="仿宋" w:eastAsia="仿宋"/>
          <w:sz w:val="28"/>
          <w:szCs w:val="28"/>
        </w:rPr>
        <w:t>收</w:t>
      </w:r>
      <w:r>
        <w:rPr>
          <w:rStyle w:val="18"/>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default" w:ascii="仿宋" w:hAnsi="仿宋" w:eastAsia="仿宋"/>
          <w:sz w:val="28"/>
          <w:szCs w:val="28"/>
          <w:lang w:val="en-US" w:eastAsia="zh-CN"/>
        </w:rPr>
      </w:pPr>
      <w:r>
        <w:fldChar w:fldCharType="begin"/>
      </w:r>
      <w:r>
        <w:instrText xml:space="preserve"> HYPERLINK \l "_Toc15396604" </w:instrText>
      </w:r>
      <w:r>
        <w:fldChar w:fldCharType="separate"/>
      </w:r>
      <w:r>
        <w:rPr>
          <w:rStyle w:val="18"/>
          <w:rFonts w:hint="eastAsia" w:ascii="仿宋" w:hAnsi="仿宋" w:eastAsia="仿宋"/>
          <w:bCs/>
          <w:sz w:val="28"/>
          <w:szCs w:val="28"/>
        </w:rPr>
        <w:t>二、</w:t>
      </w:r>
      <w:r>
        <w:rPr>
          <w:rStyle w:val="18"/>
          <w:rFonts w:hint="eastAsia" w:ascii="仿宋" w:hAnsi="仿宋" w:eastAsia="仿宋"/>
          <w:sz w:val="28"/>
          <w:szCs w:val="28"/>
        </w:rPr>
        <w:t>收</w:t>
      </w:r>
      <w:r>
        <w:rPr>
          <w:rStyle w:val="18"/>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1-12</w:t>
      </w:r>
    </w:p>
    <w:p>
      <w:pPr>
        <w:pStyle w:val="11"/>
        <w:rPr>
          <w:rFonts w:hint="eastAsia" w:ascii="仿宋" w:hAnsi="仿宋" w:eastAsia="仿宋"/>
          <w:sz w:val="28"/>
          <w:szCs w:val="28"/>
          <w:lang w:val="en-US" w:eastAsia="zh-CN"/>
        </w:rPr>
      </w:pPr>
      <w:r>
        <w:fldChar w:fldCharType="begin"/>
      </w:r>
      <w:r>
        <w:instrText xml:space="preserve"> HYPERLINK \l "_Toc15396605" </w:instrText>
      </w:r>
      <w:r>
        <w:fldChar w:fldCharType="separate"/>
      </w:r>
      <w:r>
        <w:rPr>
          <w:rStyle w:val="18"/>
          <w:rFonts w:hint="eastAsia" w:ascii="仿宋" w:hAnsi="仿宋" w:eastAsia="仿宋"/>
          <w:bCs/>
          <w:sz w:val="28"/>
          <w:szCs w:val="28"/>
        </w:rPr>
        <w:t>三、</w:t>
      </w:r>
      <w:r>
        <w:rPr>
          <w:rStyle w:val="18"/>
          <w:rFonts w:hint="eastAsia" w:ascii="仿宋" w:hAnsi="仿宋" w:eastAsia="仿宋"/>
          <w:sz w:val="28"/>
          <w:szCs w:val="28"/>
        </w:rPr>
        <w:t>支</w:t>
      </w:r>
      <w:r>
        <w:rPr>
          <w:rStyle w:val="18"/>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ascii="仿宋" w:hAnsi="仿宋" w:eastAsia="仿宋"/>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12-</w:t>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t>3</w:t>
      </w:r>
    </w:p>
    <w:p>
      <w:pPr>
        <w:pStyle w:val="11"/>
        <w:rPr>
          <w:rFonts w:ascii="仿宋" w:hAnsi="仿宋" w:eastAsia="仿宋"/>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t>3</w:t>
      </w:r>
    </w:p>
    <w:p>
      <w:pPr>
        <w:pStyle w:val="11"/>
        <w:rPr>
          <w:rFonts w:hint="default" w:ascii="仿宋" w:hAnsi="仿宋" w:eastAsia="仿宋"/>
          <w:sz w:val="28"/>
          <w:szCs w:val="28"/>
          <w:lang w:val="en-US" w:eastAsia="zh-CN"/>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4-15</w:t>
      </w:r>
    </w:p>
    <w:p>
      <w:pPr>
        <w:pStyle w:val="11"/>
        <w:rPr>
          <w:rFonts w:ascii="仿宋" w:hAnsi="仿宋" w:eastAsia="仿宋"/>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t>5-16</w:t>
      </w:r>
    </w:p>
    <w:p>
      <w:pPr>
        <w:pStyle w:val="11"/>
        <w:rPr>
          <w:rFonts w:ascii="仿宋" w:hAnsi="仿宋" w:eastAsia="仿宋"/>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t>6</w:t>
      </w:r>
    </w:p>
    <w:p>
      <w:pPr>
        <w:pStyle w:val="11"/>
        <w:rPr>
          <w:rFonts w:hint="eastAsia" w:ascii="仿宋" w:hAnsi="仿宋" w:eastAsia="仿宋"/>
          <w:sz w:val="28"/>
          <w:szCs w:val="28"/>
          <w:lang w:eastAsia="zh-CN"/>
        </w:rPr>
      </w:pPr>
      <w:r>
        <w:fldChar w:fldCharType="begin"/>
      </w:r>
      <w:r>
        <w:instrText xml:space="preserve"> HYPERLINK \l "_Toc15396611" </w:instrText>
      </w:r>
      <w:r>
        <w:fldChar w:fldCharType="separate"/>
      </w:r>
      <w:r>
        <w:rPr>
          <w:rStyle w:val="18"/>
          <w:rFonts w:hint="eastAsia" w:ascii="仿宋" w:hAnsi="仿宋" w:eastAsia="仿宋"/>
          <w:bCs/>
          <w:sz w:val="28"/>
          <w:szCs w:val="28"/>
        </w:rPr>
        <w:t>九、</w:t>
      </w:r>
      <w:r>
        <w:rPr>
          <w:rStyle w:val="18"/>
          <w:rFonts w:hint="eastAsia" w:ascii="仿宋" w:hAnsi="仿宋" w:eastAsia="仿宋"/>
          <w:sz w:val="28"/>
          <w:szCs w:val="28"/>
        </w:rPr>
        <w:t>国</w:t>
      </w:r>
      <w:r>
        <w:rPr>
          <w:rStyle w:val="18"/>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eastAsia="zh-CN"/>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bCs/>
          <w:sz w:val="28"/>
          <w:szCs w:val="28"/>
        </w:rPr>
        <w:t>、其他重要事项的情况说明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6</w:t>
      </w:r>
      <w:r>
        <w:rPr>
          <w:rFonts w:ascii="仿宋" w:hAnsi="仿宋" w:eastAsia="仿宋"/>
          <w:sz w:val="28"/>
          <w:szCs w:val="28"/>
        </w:rPr>
        <w:t>-2</w:t>
      </w:r>
      <w:r>
        <w:rPr>
          <w:rFonts w:hint="eastAsia" w:ascii="仿宋" w:hAnsi="仿宋" w:eastAsia="仿宋"/>
          <w:sz w:val="28"/>
          <w:szCs w:val="28"/>
          <w:lang w:val="en-US" w:eastAsia="zh-CN"/>
        </w:rPr>
        <w:t>1</w:t>
      </w:r>
    </w:p>
    <w:p>
      <w:pPr>
        <w:pStyle w:val="10"/>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名</w:t>
      </w:r>
      <w:r>
        <w:rPr>
          <w:rStyle w:val="18"/>
          <w:rFonts w:hint="eastAsia"/>
          <w:bCs/>
          <w:kern w:val="44"/>
        </w:rPr>
        <w:t>词解释</w:t>
      </w:r>
      <w:r>
        <w:tab/>
      </w:r>
      <w:r>
        <w:t>2</w:t>
      </w:r>
      <w:r>
        <w:fldChar w:fldCharType="end"/>
      </w:r>
      <w:r>
        <w:rPr>
          <w:rFonts w:hint="eastAsia"/>
          <w:lang w:val="en-US" w:eastAsia="zh-CN"/>
        </w:rPr>
        <w:t>2</w:t>
      </w:r>
      <w:r>
        <w:t>-24</w:t>
      </w:r>
    </w:p>
    <w:p>
      <w:pPr>
        <w:pStyle w:val="10"/>
        <w:rPr>
          <w:rFonts w:hint="eastAsia" w:eastAsia="仿宋"/>
          <w:lang w:eastAsia="zh-CN"/>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四部分附件</w:t>
      </w:r>
      <w:r>
        <w:tab/>
      </w:r>
      <w:r>
        <w:t>2</w:t>
      </w:r>
      <w:r>
        <w:fldChar w:fldCharType="end"/>
      </w:r>
      <w:r>
        <w:t>5-3</w:t>
      </w:r>
      <w:r>
        <w:rPr>
          <w:rFonts w:hint="eastAsia"/>
          <w:lang w:val="en-US" w:eastAsia="zh-CN"/>
        </w:rPr>
        <w:t>8</w:t>
      </w:r>
    </w:p>
    <w:p>
      <w:pPr>
        <w:pStyle w:val="11"/>
        <w:rPr>
          <w:rFonts w:hint="default" w:eastAsia="仿宋"/>
          <w:lang w:val="en-US" w:eastAsia="zh-CN"/>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t>5-</w:t>
      </w:r>
      <w:r>
        <w:rPr>
          <w:rFonts w:hint="eastAsia" w:ascii="仿宋" w:hAnsi="仿宋" w:eastAsia="仿宋"/>
          <w:sz w:val="28"/>
          <w:szCs w:val="28"/>
          <w:lang w:val="en-US" w:eastAsia="zh-CN"/>
        </w:rPr>
        <w:t>29</w:t>
      </w:r>
    </w:p>
    <w:p>
      <w:pPr>
        <w:pStyle w:val="11"/>
        <w:rPr>
          <w:rFonts w:hint="eastAsia" w:eastAsia="仿宋"/>
          <w:lang w:eastAsia="zh-CN"/>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hint="eastAsia" w:ascii="仿宋" w:hAnsi="仿宋" w:eastAsia="仿宋"/>
          <w:kern w:val="44"/>
          <w:sz w:val="28"/>
          <w:szCs w:val="28"/>
          <w:lang w:val="en-US" w:eastAsia="zh-CN"/>
        </w:rPr>
        <w:t>2</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0</w:t>
      </w:r>
      <w:r>
        <w:rPr>
          <w:rFonts w:ascii="仿宋" w:hAnsi="仿宋" w:eastAsia="仿宋"/>
          <w:sz w:val="28"/>
          <w:szCs w:val="28"/>
        </w:rPr>
        <w:t>-3</w:t>
      </w:r>
      <w:r>
        <w:rPr>
          <w:rFonts w:hint="eastAsia" w:ascii="仿宋" w:hAnsi="仿宋" w:eastAsia="仿宋"/>
          <w:sz w:val="28"/>
          <w:szCs w:val="28"/>
          <w:lang w:val="en-US" w:eastAsia="zh-CN"/>
        </w:rPr>
        <w:t>8</w:t>
      </w:r>
    </w:p>
    <w:p>
      <w:pPr>
        <w:pStyle w:val="10"/>
        <w:rPr>
          <w:rFonts w:hint="eastAsia" w:eastAsia="仿宋"/>
          <w:lang w:eastAsia="zh-CN"/>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五部分附表</w:t>
      </w:r>
      <w:r>
        <w:tab/>
      </w:r>
      <w:r>
        <w:t>3</w:t>
      </w:r>
      <w:r>
        <w:fldChar w:fldCharType="end"/>
      </w:r>
      <w:r>
        <w:rPr>
          <w:rFonts w:hint="eastAsia"/>
          <w:lang w:val="en-US" w:eastAsia="zh-CN"/>
        </w:rPr>
        <w:t>9</w:t>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t>3</w:t>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hint="eastAsia" w:ascii="仿宋" w:hAnsi="仿宋" w:eastAsia="仿宋"/>
          <w:sz w:val="28"/>
          <w:szCs w:val="28"/>
          <w:lang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adjustRightInd w:val="0"/>
        <w:snapToGrid w:val="0"/>
        <w:spacing w:line="440" w:lineRule="exact"/>
        <w:jc w:val="left"/>
        <w:rPr>
          <w:rFonts w:hint="default" w:ascii="仿宋" w:hAnsi="仿宋" w:eastAsia="仿宋"/>
          <w:sz w:val="28"/>
          <w:szCs w:val="28"/>
          <w:lang w:val="en-US" w:eastAsia="zh-CN"/>
        </w:rPr>
      </w:pPr>
      <w:r>
        <w:rPr>
          <w:rFonts w:hint="eastAsia" w:ascii="仿宋" w:hAnsi="仿宋" w:eastAsia="仿宋"/>
          <w:sz w:val="28"/>
          <w:szCs w:val="28"/>
        </w:rPr>
        <w:t>十三、国有资本经营预算财政拨款收入支出决算表</w:t>
      </w:r>
      <w:r>
        <w:rPr>
          <w:rFonts w:ascii="仿宋" w:hAnsi="仿宋" w:eastAsia="仿宋"/>
          <w:sz w:val="28"/>
          <w:szCs w:val="28"/>
        </w:rPr>
        <w:tab/>
      </w:r>
      <w:r>
        <w:rPr>
          <w:rFonts w:hint="eastAsia" w:ascii="仿宋" w:hAnsi="仿宋" w:eastAsia="仿宋"/>
          <w:sz w:val="28"/>
          <w:szCs w:val="28"/>
          <w:lang w:val="en-US" w:eastAsia="zh-CN"/>
        </w:rPr>
        <w:t>39</w:t>
      </w:r>
    </w:p>
    <w:p>
      <w:pPr>
        <w:pStyle w:val="11"/>
        <w:adjustRightInd w:val="0"/>
        <w:snapToGrid w:val="0"/>
        <w:spacing w:line="440" w:lineRule="exact"/>
        <w:jc w:val="left"/>
        <w:rPr>
          <w:rFonts w:hint="default" w:ascii="仿宋" w:hAnsi="仿宋" w:eastAsia="仿宋"/>
          <w:sz w:val="28"/>
          <w:szCs w:val="28"/>
          <w:lang w:val="en-US" w:eastAsia="zh-CN"/>
        </w:rPr>
      </w:pPr>
      <w:r>
        <w:rPr>
          <w:rFonts w:hint="eastAsia" w:ascii="仿宋" w:hAnsi="仿宋" w:eastAsia="仿宋"/>
          <w:sz w:val="28"/>
          <w:szCs w:val="28"/>
        </w:rPr>
        <w:t>十四、国有资本经营预算财政拨款支出决算表</w:t>
      </w:r>
      <w:r>
        <w:rPr>
          <w:rFonts w:ascii="仿宋" w:hAnsi="仿宋" w:eastAsia="仿宋"/>
          <w:sz w:val="28"/>
          <w:szCs w:val="28"/>
        </w:rPr>
        <w:tab/>
      </w:r>
      <w:r>
        <w:rPr>
          <w:rFonts w:hint="eastAsia" w:ascii="仿宋" w:hAnsi="仿宋" w:eastAsia="仿宋"/>
          <w:sz w:val="28"/>
          <w:szCs w:val="28"/>
          <w:lang w:val="en-US" w:eastAsia="zh-CN"/>
        </w:rPr>
        <w:t>39</w:t>
      </w:r>
    </w:p>
    <w:p>
      <w:pPr>
        <w:pStyle w:val="11"/>
        <w:rPr>
          <w:rFonts w:ascii="仿宋" w:hAnsi="仿宋" w:eastAsia="仿宋"/>
          <w:sz w:val="28"/>
          <w:szCs w:val="28"/>
        </w:rPr>
      </w:pPr>
    </w:p>
    <w:p>
      <w:pPr>
        <w:widowControl/>
        <w:jc w:val="left"/>
        <w:rPr>
          <w:rFonts w:ascii="仿宋" w:hAnsi="仿宋" w:eastAsia="仿宋"/>
          <w:color w:val="000000"/>
          <w:sz w:val="28"/>
          <w:szCs w:val="28"/>
        </w:rPr>
      </w:pPr>
      <w:r>
        <w:rPr>
          <w:rFonts w:ascii="黑体" w:hAnsi="黑体" w:eastAsia="黑体"/>
          <w:color w:val="000000"/>
          <w:sz w:val="28"/>
          <w:szCs w:val="28"/>
        </w:rPr>
        <w:fldChar w:fldCharType="end"/>
      </w:r>
    </w:p>
    <w:p>
      <w:pPr>
        <w:widowControl/>
        <w:jc w:val="left"/>
        <w:rPr>
          <w:rFonts w:ascii="黑体" w:hAnsi="黑体" w:eastAsia="黑体"/>
          <w:bCs/>
          <w:kern w:val="44"/>
          <w:sz w:val="44"/>
          <w:szCs w:val="44"/>
        </w:rPr>
      </w:pPr>
      <w:r>
        <w:rPr>
          <w:rFonts w:ascii="黑体" w:hAnsi="黑体" w:eastAsia="黑体"/>
          <w:b/>
        </w:rPr>
        <w:br w:type="page"/>
      </w:r>
    </w:p>
    <w:p>
      <w:pPr>
        <w:pStyle w:val="3"/>
        <w:jc w:val="center"/>
        <w:rPr>
          <w:rStyle w:val="19"/>
          <w:rFonts w:ascii="黑体" w:hAnsi="黑体" w:eastAsia="黑体"/>
          <w:b/>
          <w:bCs w:val="0"/>
        </w:rPr>
      </w:pPr>
      <w:r>
        <w:rPr>
          <w:rFonts w:hint="eastAsia" w:ascii="黑体" w:hAnsi="黑体" w:eastAsia="黑体"/>
          <w:b w:val="0"/>
        </w:rPr>
        <w:t>第一部分</w:t>
      </w:r>
      <w:r>
        <w:rPr>
          <w:rStyle w:val="19"/>
          <w:rFonts w:hint="eastAsia" w:ascii="黑体" w:hAnsi="黑体" w:eastAsia="黑体"/>
          <w:b w:val="0"/>
          <w:bCs w:val="0"/>
        </w:rPr>
        <w:t>部门概况</w:t>
      </w:r>
    </w:p>
    <w:p>
      <w:pPr>
        <w:widowControl/>
        <w:jc w:val="left"/>
        <w:rPr>
          <w:rFonts w:ascii="黑体" w:eastAsia="黑体"/>
          <w:color w:val="000000"/>
          <w:sz w:val="32"/>
          <w:szCs w:val="32"/>
        </w:rPr>
      </w:pPr>
    </w:p>
    <w:p>
      <w:pPr>
        <w:pStyle w:val="4"/>
        <w:ind w:firstLine="640" w:firstLineChars="200"/>
        <w:rPr>
          <w:rStyle w:val="20"/>
          <w:rFonts w:ascii="仿宋" w:hAnsi="仿宋" w:eastAsia="仿宋"/>
          <w:b w:val="0"/>
          <w:bCs w:val="0"/>
        </w:rPr>
      </w:pPr>
      <w:r>
        <w:rPr>
          <w:rFonts w:hint="eastAsia" w:ascii="黑体" w:hAnsi="黑体" w:eastAsia="黑体"/>
          <w:b w:val="0"/>
          <w:color w:val="000000"/>
        </w:rPr>
        <w:t>一、基</w:t>
      </w:r>
      <w:r>
        <w:rPr>
          <w:rStyle w:val="20"/>
          <w:rFonts w:hint="eastAsia" w:ascii="黑体" w:hAnsi="黑体" w:eastAsia="黑体"/>
          <w:b w:val="0"/>
          <w:bCs w:val="0"/>
        </w:rPr>
        <w:t>本职能及主要工作</w:t>
      </w:r>
    </w:p>
    <w:p>
      <w:pPr>
        <w:pStyle w:val="2"/>
        <w:bidi w:val="0"/>
        <w:rPr>
          <w:rFonts w:hint="eastAsia" w:ascii="仿宋" w:hAnsi="仿宋" w:eastAsia="仿宋" w:cs="仿宋"/>
          <w:sz w:val="32"/>
          <w:szCs w:val="32"/>
        </w:rPr>
      </w:pPr>
      <w:r>
        <w:rPr>
          <w:rFonts w:hint="eastAsia" w:ascii="仿宋" w:hAnsi="仿宋" w:eastAsia="仿宋" w:cs="仿宋"/>
          <w:sz w:val="32"/>
          <w:szCs w:val="32"/>
        </w:rPr>
        <w:t>基本职能:</w:t>
      </w:r>
    </w:p>
    <w:p>
      <w:pPr>
        <w:pStyle w:val="2"/>
        <w:bidi w:val="0"/>
        <w:rPr>
          <w:rFonts w:hint="eastAsia" w:ascii="仿宋" w:hAnsi="仿宋" w:eastAsia="仿宋" w:cs="仿宋"/>
          <w:sz w:val="32"/>
          <w:szCs w:val="32"/>
        </w:rPr>
      </w:pPr>
      <w:r>
        <w:rPr>
          <w:rFonts w:hint="eastAsia" w:ascii="仿宋" w:hAnsi="仿宋" w:eastAsia="仿宋" w:cs="仿宋"/>
          <w:sz w:val="32"/>
          <w:szCs w:val="32"/>
        </w:rPr>
        <w:t>（一）拟订全区财政、税收的发展战略、规划、政策和改革方案并组织实施；参与宏观经济分析预测和全区重大宏观经济政策的制定；提出运用财税政策实施宏观经济调控和综合平衡全区财力的建议。</w:t>
      </w:r>
    </w:p>
    <w:p>
      <w:pPr>
        <w:pStyle w:val="2"/>
        <w:bidi w:val="0"/>
        <w:rPr>
          <w:rFonts w:hint="eastAsia" w:ascii="仿宋" w:hAnsi="仿宋" w:eastAsia="仿宋" w:cs="仿宋"/>
          <w:sz w:val="32"/>
          <w:szCs w:val="32"/>
        </w:rPr>
      </w:pPr>
      <w:r>
        <w:rPr>
          <w:rFonts w:hint="eastAsia" w:ascii="仿宋" w:hAnsi="仿宋" w:eastAsia="仿宋" w:cs="仿宋"/>
          <w:sz w:val="32"/>
          <w:szCs w:val="32"/>
        </w:rPr>
        <w:t>（二）贯彻执行国家财税法律、法规和方针、政策，组织起草地方性财税法规的实施办法和政策规定并组织实施。按照管理权限管理全区税政事项。</w:t>
      </w:r>
    </w:p>
    <w:p>
      <w:pPr>
        <w:pStyle w:val="2"/>
        <w:bidi w:val="0"/>
        <w:rPr>
          <w:rFonts w:hint="eastAsia" w:ascii="仿宋" w:hAnsi="仿宋" w:eastAsia="仿宋" w:cs="仿宋"/>
          <w:sz w:val="32"/>
          <w:szCs w:val="32"/>
        </w:rPr>
      </w:pPr>
      <w:r>
        <w:rPr>
          <w:rFonts w:hint="eastAsia" w:ascii="仿宋" w:hAnsi="仿宋" w:eastAsia="仿宋" w:cs="仿宋"/>
          <w:sz w:val="32"/>
          <w:szCs w:val="32"/>
        </w:rPr>
        <w:t>（三）承担各项财政收支管理。负责编制年度区级预决算草案并组织实施。受区政府委托，向区人民代表大会报告全区预算及其执行情况，向区人大常委会报告决算。组织制定经费开支标准、定额，负责审核批复部门（单位）的年度预决算。</w:t>
      </w:r>
    </w:p>
    <w:p>
      <w:pPr>
        <w:pStyle w:val="2"/>
        <w:bidi w:val="0"/>
        <w:rPr>
          <w:rFonts w:hint="eastAsia" w:ascii="仿宋" w:hAnsi="仿宋" w:eastAsia="仿宋" w:cs="仿宋"/>
          <w:sz w:val="32"/>
          <w:szCs w:val="32"/>
        </w:rPr>
      </w:pPr>
      <w:r>
        <w:rPr>
          <w:rFonts w:hint="eastAsia" w:ascii="仿宋" w:hAnsi="仿宋" w:eastAsia="仿宋" w:cs="仿宋"/>
          <w:sz w:val="32"/>
          <w:szCs w:val="32"/>
        </w:rPr>
        <w:t>（四）负责政府非税收入管理。负责政府性基金管理，按规定管理行政事业性收费。管理财政票据。</w:t>
      </w:r>
    </w:p>
    <w:p>
      <w:pPr>
        <w:pStyle w:val="2"/>
        <w:bidi w:val="0"/>
        <w:rPr>
          <w:rFonts w:hint="eastAsia" w:ascii="仿宋" w:hAnsi="仿宋" w:eastAsia="仿宋" w:cs="仿宋"/>
          <w:sz w:val="32"/>
          <w:szCs w:val="32"/>
        </w:rPr>
      </w:pPr>
      <w:r>
        <w:rPr>
          <w:rFonts w:hint="eastAsia" w:ascii="仿宋" w:hAnsi="仿宋" w:eastAsia="仿宋" w:cs="仿宋"/>
          <w:sz w:val="32"/>
          <w:szCs w:val="32"/>
        </w:rPr>
        <w:t>（五）制定全区国库管理制度、国库集中收付制度，指导和监督国库业务，组织开展国库现金管理工作。制定政府采购制度，编制政府采购预算，监督管理全区政府采购工作。</w:t>
      </w:r>
    </w:p>
    <w:p>
      <w:pPr>
        <w:pStyle w:val="2"/>
        <w:bidi w:val="0"/>
        <w:rPr>
          <w:rFonts w:hint="eastAsia" w:ascii="仿宋" w:hAnsi="仿宋" w:eastAsia="仿宋" w:cs="仿宋"/>
          <w:sz w:val="32"/>
          <w:szCs w:val="32"/>
        </w:rPr>
      </w:pPr>
      <w:r>
        <w:rPr>
          <w:rFonts w:hint="eastAsia" w:ascii="仿宋" w:hAnsi="仿宋" w:eastAsia="仿宋" w:cs="仿宋"/>
          <w:sz w:val="32"/>
          <w:szCs w:val="32"/>
        </w:rPr>
        <w:t>（六）负责全区行政事业单位国有资产购置、审批、拍卖等管理工作；负责制定行政事业单位国有资产管理的规章制度并组织实施。</w:t>
      </w:r>
    </w:p>
    <w:p>
      <w:pPr>
        <w:pStyle w:val="2"/>
        <w:bidi w:val="0"/>
        <w:rPr>
          <w:rFonts w:hint="eastAsia" w:ascii="仿宋" w:hAnsi="仿宋" w:eastAsia="仿宋" w:cs="仿宋"/>
          <w:sz w:val="32"/>
          <w:szCs w:val="32"/>
        </w:rPr>
      </w:pPr>
      <w:r>
        <w:rPr>
          <w:rFonts w:hint="eastAsia" w:ascii="仿宋" w:hAnsi="仿宋" w:eastAsia="仿宋" w:cs="仿宋"/>
          <w:sz w:val="32"/>
          <w:szCs w:val="32"/>
        </w:rPr>
        <w:t>（七）审核和汇总编制全区国有资本经营预决算草案，制订国有资本经营预算的制度和办法，收取区本级企业国有资本收益，组织实施企业财务制度，管理金融类企业国有资产，拟订企业国有资产管理相关制度，管理资产评估工作。</w:t>
      </w:r>
    </w:p>
    <w:p>
      <w:pPr>
        <w:pStyle w:val="2"/>
        <w:bidi w:val="0"/>
        <w:rPr>
          <w:rFonts w:hint="eastAsia" w:ascii="仿宋" w:hAnsi="仿宋" w:eastAsia="仿宋" w:cs="仿宋"/>
          <w:sz w:val="32"/>
          <w:szCs w:val="32"/>
        </w:rPr>
      </w:pPr>
      <w:r>
        <w:rPr>
          <w:rFonts w:hint="eastAsia" w:ascii="仿宋" w:hAnsi="仿宋" w:eastAsia="仿宋" w:cs="仿宋"/>
          <w:sz w:val="32"/>
          <w:szCs w:val="32"/>
        </w:rPr>
        <w:t>（八）负责管理和监督财政性经济发展支出、政府性投资项目的财政拨款，参与拟订政府性建设投资的有关政策，制定基本建设财务制度，负责投资评审管理工作。负责有关政策性补贴和专项储备资金财政管理工作。</w:t>
      </w:r>
    </w:p>
    <w:p>
      <w:pPr>
        <w:pStyle w:val="2"/>
        <w:bidi w:val="0"/>
        <w:rPr>
          <w:rFonts w:hint="eastAsia" w:ascii="仿宋" w:hAnsi="仿宋" w:eastAsia="仿宋" w:cs="仿宋"/>
          <w:sz w:val="32"/>
          <w:szCs w:val="32"/>
        </w:rPr>
      </w:pPr>
      <w:r>
        <w:rPr>
          <w:rFonts w:hint="eastAsia" w:ascii="仿宋" w:hAnsi="仿宋" w:eastAsia="仿宋" w:cs="仿宋"/>
          <w:sz w:val="32"/>
          <w:szCs w:val="32"/>
        </w:rPr>
        <w:t>（九）会同相关部门管理全区社会保障和就业及医疗卫生支出，会同相关部门拟订社会保障资金（基金）的财务管理制度，编制区级社会保障预决算草案。</w:t>
      </w:r>
    </w:p>
    <w:p>
      <w:pPr>
        <w:pStyle w:val="2"/>
        <w:bidi w:val="0"/>
        <w:rPr>
          <w:rFonts w:hint="eastAsia" w:ascii="仿宋" w:hAnsi="仿宋" w:eastAsia="仿宋" w:cs="仿宋"/>
          <w:sz w:val="32"/>
          <w:szCs w:val="32"/>
        </w:rPr>
      </w:pPr>
      <w:r>
        <w:rPr>
          <w:rFonts w:hint="eastAsia" w:ascii="仿宋" w:hAnsi="仿宋" w:eastAsia="仿宋" w:cs="仿宋"/>
          <w:sz w:val="32"/>
          <w:szCs w:val="32"/>
        </w:rPr>
        <w:t>（十）组织实施政府债务管理制度和政策，制定具体管理办法，管理政府债务，防范财政风险。</w:t>
      </w:r>
    </w:p>
    <w:p>
      <w:pPr>
        <w:pStyle w:val="2"/>
        <w:bidi w:val="0"/>
        <w:rPr>
          <w:rFonts w:hint="eastAsia" w:ascii="仿宋" w:hAnsi="仿宋" w:eastAsia="仿宋" w:cs="仿宋"/>
          <w:sz w:val="32"/>
          <w:szCs w:val="32"/>
        </w:rPr>
      </w:pPr>
      <w:r>
        <w:rPr>
          <w:rFonts w:hint="eastAsia" w:ascii="仿宋" w:hAnsi="仿宋" w:eastAsia="仿宋" w:cs="仿宋"/>
          <w:sz w:val="32"/>
          <w:szCs w:val="32"/>
        </w:rPr>
        <w:t>（十一）负责全区的会计工作，监督和规范会计行为，组织实施国家统一的会计制度。</w:t>
      </w:r>
    </w:p>
    <w:p>
      <w:pPr>
        <w:pStyle w:val="2"/>
        <w:bidi w:val="0"/>
        <w:rPr>
          <w:rFonts w:hint="eastAsia" w:ascii="仿宋" w:hAnsi="仿宋" w:eastAsia="仿宋" w:cs="仿宋"/>
          <w:sz w:val="32"/>
          <w:szCs w:val="32"/>
        </w:rPr>
      </w:pPr>
      <w:r>
        <w:rPr>
          <w:rFonts w:hint="eastAsia" w:ascii="仿宋" w:hAnsi="仿宋" w:eastAsia="仿宋" w:cs="仿宋"/>
          <w:sz w:val="32"/>
          <w:szCs w:val="32"/>
        </w:rPr>
        <w:t>（十二）负责财政资金绩效评价工作。监督检查财税法规、政策的执行情况，反映财政收支管理中的重大问题。依法查处违反财经法纪的行为。</w:t>
      </w:r>
    </w:p>
    <w:p>
      <w:pPr>
        <w:pStyle w:val="2"/>
        <w:bidi w:val="0"/>
        <w:rPr>
          <w:rFonts w:hint="eastAsia" w:ascii="仿宋" w:hAnsi="仿宋" w:eastAsia="仿宋" w:cs="仿宋"/>
          <w:sz w:val="32"/>
          <w:szCs w:val="32"/>
        </w:rPr>
      </w:pPr>
      <w:r>
        <w:rPr>
          <w:rFonts w:hint="eastAsia" w:ascii="仿宋" w:hAnsi="仿宋" w:eastAsia="仿宋" w:cs="仿宋"/>
          <w:sz w:val="32"/>
          <w:szCs w:val="32"/>
        </w:rPr>
        <w:t>（十三）负责财政宣传和财政信息管理系统工作。负责全区财政业务培训。</w:t>
      </w:r>
    </w:p>
    <w:p>
      <w:pPr>
        <w:pStyle w:val="2"/>
        <w:bidi w:val="0"/>
        <w:rPr>
          <w:rFonts w:hint="eastAsia" w:ascii="仿宋" w:hAnsi="仿宋" w:eastAsia="仿宋" w:cs="仿宋"/>
          <w:sz w:val="32"/>
          <w:szCs w:val="32"/>
        </w:rPr>
      </w:pPr>
      <w:r>
        <w:rPr>
          <w:rFonts w:hint="eastAsia" w:ascii="仿宋" w:hAnsi="仿宋" w:eastAsia="仿宋" w:cs="仿宋"/>
          <w:sz w:val="32"/>
          <w:szCs w:val="32"/>
        </w:rPr>
        <w:t>（十四）承担区政府公布的有关行政审批事项。</w:t>
      </w:r>
    </w:p>
    <w:p>
      <w:pPr>
        <w:pStyle w:val="2"/>
        <w:bidi w:val="0"/>
        <w:rPr>
          <w:rFonts w:hint="eastAsia" w:ascii="仿宋" w:hAnsi="仿宋" w:eastAsia="仿宋" w:cs="仿宋"/>
          <w:sz w:val="32"/>
          <w:szCs w:val="32"/>
        </w:rPr>
      </w:pPr>
      <w:r>
        <w:rPr>
          <w:rFonts w:hint="eastAsia" w:ascii="仿宋" w:hAnsi="仿宋" w:eastAsia="仿宋" w:cs="仿宋"/>
          <w:sz w:val="32"/>
          <w:szCs w:val="32"/>
        </w:rPr>
        <w:t>（十五）承办区政府交办的其他事项。</w:t>
      </w:r>
    </w:p>
    <w:p>
      <w:pPr>
        <w:spacing w:line="58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主要工作：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2020年，面对严峻复杂的宏观经济形势和艰巨繁重的改革发展任务，在区委</w:t>
      </w:r>
      <w:r>
        <w:rPr>
          <w:rFonts w:hint="eastAsia" w:ascii="仿宋" w:hAnsi="仿宋" w:eastAsia="仿宋"/>
          <w:color w:val="000000"/>
          <w:sz w:val="32"/>
          <w:szCs w:val="32"/>
          <w:lang w:eastAsia="zh-CN"/>
        </w:rPr>
        <w:t>、区政府</w:t>
      </w:r>
      <w:r>
        <w:rPr>
          <w:rFonts w:hint="eastAsia" w:ascii="仿宋" w:hAnsi="仿宋" w:eastAsia="仿宋"/>
          <w:color w:val="000000"/>
          <w:sz w:val="32"/>
          <w:szCs w:val="32"/>
        </w:rPr>
        <w:t>的坚强领导下，在区人大、区政协的监督支持下，我们高举习近平新时代中国特色社会主义思想伟大旗帜，深入学习贯彻党的十九大、十九届四中全会和习近平总书记对四川工作系列重要指示精神，坚定落实区委“123456”执政兴区总体思路，全力推动经济社会高质量发展，圆满完成了年初确定的目标任务</w:t>
      </w:r>
      <w:r>
        <w:rPr>
          <w:rFonts w:hint="eastAsia" w:ascii="仿宋" w:hAnsi="仿宋" w:eastAsia="仿宋"/>
          <w:color w:val="000000"/>
          <w:sz w:val="32"/>
          <w:szCs w:val="32"/>
          <w:lang w:eastAsia="zh-CN"/>
        </w:rPr>
        <w:t>，</w:t>
      </w:r>
      <w:r>
        <w:rPr>
          <w:rFonts w:hint="eastAsia" w:ascii="仿宋" w:hAnsi="仿宋" w:eastAsia="仿宋"/>
          <w:color w:val="000000"/>
          <w:sz w:val="32"/>
          <w:szCs w:val="32"/>
        </w:rPr>
        <w:t>2020年，我们主要做了以下工作：</w:t>
      </w:r>
    </w:p>
    <w:p>
      <w:pPr>
        <w:spacing w:line="576" w:lineRule="exact"/>
        <w:ind w:firstLine="643" w:firstLineChars="200"/>
        <w:rPr>
          <w:rFonts w:hint="eastAsia" w:ascii="仿宋" w:hAnsi="仿宋" w:eastAsia="仿宋" w:cs="仿宋"/>
          <w:color w:val="160B11"/>
          <w:kern w:val="0"/>
          <w:sz w:val="32"/>
          <w:szCs w:val="32"/>
          <w:lang w:eastAsia="zh-CN"/>
        </w:rPr>
      </w:pPr>
      <w:r>
        <w:rPr>
          <w:rFonts w:hint="eastAsia" w:ascii="仿宋" w:hAnsi="仿宋" w:eastAsia="仿宋" w:cs="仿宋"/>
          <w:b/>
          <w:sz w:val="32"/>
          <w:szCs w:val="32"/>
        </w:rPr>
        <w:t>积极应对不利形势，全面完成经济指标。</w:t>
      </w:r>
      <w:r>
        <w:rPr>
          <w:rFonts w:hint="eastAsia" w:ascii="仿宋" w:hAnsi="仿宋" w:eastAsia="仿宋" w:cs="仿宋"/>
          <w:sz w:val="32"/>
          <w:szCs w:val="32"/>
          <w:shd w:val="clear" w:color="auto" w:fill="FFFFFF"/>
        </w:rPr>
        <w:t>努力克服经济下行压力增大、减税降费政策实施和新冠肺炎</w:t>
      </w:r>
      <w:r>
        <w:fldChar w:fldCharType="begin"/>
      </w:r>
      <w:r>
        <w:instrText xml:space="preserve"> HYPERLINK "http://www.wm114.cn/0v/21/index.html" </w:instrText>
      </w:r>
      <w:r>
        <w:fldChar w:fldCharType="separate"/>
      </w:r>
      <w:r>
        <w:rPr>
          <w:rStyle w:val="18"/>
          <w:rFonts w:hint="eastAsia" w:ascii="仿宋" w:hAnsi="仿宋" w:eastAsia="仿宋" w:cs="仿宋"/>
          <w:color w:val="auto"/>
          <w:sz w:val="32"/>
          <w:szCs w:val="32"/>
          <w:u w:val="none"/>
        </w:rPr>
        <w:t>疫情</w:t>
      </w:r>
      <w:r>
        <w:rPr>
          <w:rStyle w:val="18"/>
          <w:rFonts w:hint="eastAsia" w:ascii="仿宋" w:hAnsi="仿宋" w:eastAsia="仿宋" w:cs="仿宋"/>
          <w:color w:val="auto"/>
          <w:sz w:val="32"/>
          <w:szCs w:val="32"/>
          <w:u w:val="none"/>
        </w:rPr>
        <w:fldChar w:fldCharType="end"/>
      </w:r>
      <w:r>
        <w:rPr>
          <w:rFonts w:hint="eastAsia" w:ascii="仿宋" w:hAnsi="仿宋" w:eastAsia="仿宋" w:cs="仿宋"/>
          <w:sz w:val="32"/>
          <w:szCs w:val="32"/>
          <w:shd w:val="clear" w:color="auto" w:fill="FFFFFF"/>
        </w:rPr>
        <w:t>带来的不利影响，迎难而上，多措并举抓收入，确保财政收入应收尽收。</w:t>
      </w:r>
      <w:r>
        <w:rPr>
          <w:rFonts w:hint="eastAsia" w:ascii="仿宋" w:hAnsi="仿宋" w:eastAsia="仿宋" w:cs="仿宋"/>
          <w:color w:val="160B11"/>
          <w:sz w:val="32"/>
          <w:szCs w:val="32"/>
        </w:rPr>
        <w:t>同时，</w:t>
      </w:r>
      <w:r>
        <w:rPr>
          <w:rFonts w:hint="eastAsia" w:ascii="仿宋" w:hAnsi="仿宋" w:eastAsia="仿宋" w:cs="仿宋"/>
          <w:color w:val="160B11"/>
          <w:kern w:val="0"/>
          <w:sz w:val="32"/>
          <w:szCs w:val="32"/>
        </w:rPr>
        <w:t>全面掌握上级支持方向，认真研究上级资金分配政策，加强与省市财政部门的沟通协调，积极反映我区财政的实际困难</w:t>
      </w:r>
      <w:r>
        <w:rPr>
          <w:rFonts w:hint="eastAsia" w:ascii="仿宋" w:hAnsi="仿宋" w:eastAsia="仿宋" w:cs="仿宋"/>
          <w:color w:val="160B11"/>
          <w:kern w:val="0"/>
          <w:sz w:val="32"/>
          <w:szCs w:val="32"/>
          <w:lang w:eastAsia="zh-CN"/>
        </w:rPr>
        <w:t>，全年各项经济指标全面完成。</w:t>
      </w:r>
    </w:p>
    <w:p>
      <w:pPr>
        <w:spacing w:line="576" w:lineRule="exact"/>
        <w:ind w:firstLine="643" w:firstLineChars="200"/>
        <w:rPr>
          <w:rFonts w:ascii="仿宋" w:hAnsi="仿宋" w:eastAsia="仿宋" w:cs="仿宋"/>
          <w:sz w:val="32"/>
          <w:szCs w:val="32"/>
          <w:shd w:val="clear" w:color="auto" w:fill="FFFFFF"/>
        </w:rPr>
      </w:pPr>
      <w:r>
        <w:rPr>
          <w:rFonts w:hint="eastAsia" w:ascii="仿宋" w:hAnsi="仿宋" w:eastAsia="仿宋" w:cs="仿宋"/>
          <w:b/>
          <w:sz w:val="32"/>
          <w:szCs w:val="32"/>
        </w:rPr>
        <w:t>优化调整支出结构，强化基本民生保障。</w:t>
      </w:r>
      <w:r>
        <w:rPr>
          <w:rFonts w:hint="eastAsia" w:ascii="仿宋" w:hAnsi="仿宋" w:eastAsia="仿宋" w:cs="仿宋"/>
          <w:sz w:val="32"/>
          <w:szCs w:val="32"/>
          <w:shd w:val="clear" w:color="auto" w:fill="FFFFFF"/>
        </w:rPr>
        <w:t>按照做好“六稳”工作，落实“六保”任务的要求，牢固树立过“紧日子”思想，大力压减一般性支出，</w:t>
      </w:r>
      <w:r>
        <w:rPr>
          <w:rFonts w:hint="eastAsia" w:ascii="仿宋" w:hAnsi="仿宋" w:eastAsia="仿宋" w:cs="仿宋"/>
          <w:color w:val="000000"/>
          <w:sz w:val="32"/>
          <w:szCs w:val="32"/>
        </w:rPr>
        <w:t>科学合理编制了2020年财政收支预算，</w:t>
      </w:r>
      <w:r>
        <w:rPr>
          <w:rFonts w:hint="eastAsia" w:ascii="仿宋" w:hAnsi="仿宋" w:eastAsia="仿宋" w:cs="仿宋"/>
          <w:sz w:val="32"/>
          <w:szCs w:val="32"/>
          <w:shd w:val="clear" w:color="auto" w:fill="FFFFFF"/>
        </w:rPr>
        <w:t>紧而又紧、实而又实地做好“三保”工作。</w:t>
      </w:r>
    </w:p>
    <w:p>
      <w:pPr>
        <w:spacing w:line="576" w:lineRule="exact"/>
        <w:ind w:firstLine="643" w:firstLineChars="200"/>
        <w:rPr>
          <w:rFonts w:ascii="仿宋" w:hAnsi="仿宋" w:eastAsia="仿宋" w:cs="仿宋"/>
          <w:b/>
          <w:sz w:val="32"/>
          <w:szCs w:val="32"/>
        </w:rPr>
      </w:pPr>
      <w:r>
        <w:rPr>
          <w:rFonts w:hint="eastAsia" w:ascii="仿宋" w:hAnsi="仿宋" w:eastAsia="仿宋" w:cs="仿宋"/>
          <w:b/>
          <w:sz w:val="32"/>
          <w:szCs w:val="32"/>
        </w:rPr>
        <w:t>围绕中心服务大局，支持经济健康发展。</w:t>
      </w:r>
    </w:p>
    <w:p>
      <w:pPr>
        <w:spacing w:line="576" w:lineRule="exact"/>
        <w:ind w:firstLine="643" w:firstLineChars="200"/>
        <w:rPr>
          <w:rFonts w:ascii="仿宋" w:hAnsi="仿宋" w:eastAsia="仿宋" w:cs="仿宋"/>
          <w:bCs/>
          <w:sz w:val="32"/>
          <w:szCs w:val="32"/>
        </w:rPr>
      </w:pPr>
      <w:r>
        <w:rPr>
          <w:rFonts w:hint="eastAsia" w:ascii="仿宋" w:hAnsi="仿宋" w:eastAsia="仿宋" w:cs="仿宋"/>
          <w:b/>
          <w:bCs/>
          <w:sz w:val="32"/>
          <w:szCs w:val="32"/>
        </w:rPr>
        <w:t>1.疫情防控保障到位。</w:t>
      </w:r>
      <w:r>
        <w:rPr>
          <w:rFonts w:hint="eastAsia" w:ascii="仿宋" w:hAnsi="仿宋" w:eastAsia="仿宋" w:cs="仿宋"/>
          <w:color w:val="000000"/>
          <w:sz w:val="32"/>
          <w:szCs w:val="32"/>
          <w:shd w:val="clear" w:color="auto" w:fill="FFFFFF"/>
        </w:rPr>
        <w:t>面对突如其来的新冠肺炎疫情，切实履行后勤保障组职责，</w:t>
      </w:r>
      <w:r>
        <w:rPr>
          <w:rFonts w:hint="eastAsia" w:ascii="仿宋" w:hAnsi="仿宋" w:eastAsia="仿宋" w:cs="仿宋"/>
          <w:sz w:val="32"/>
          <w:szCs w:val="32"/>
          <w:shd w:val="clear" w:color="auto" w:fill="FFFFFF"/>
        </w:rPr>
        <w:t>坚持生命至上、人民至上的原则，</w:t>
      </w:r>
      <w:r>
        <w:rPr>
          <w:rFonts w:hint="eastAsia" w:ascii="仿宋" w:hAnsi="仿宋" w:eastAsia="仿宋" w:cs="仿宋"/>
          <w:bCs/>
          <w:sz w:val="32"/>
          <w:szCs w:val="32"/>
        </w:rPr>
        <w:t>协调金库、代理银行等部门开通疫情防控资金拨付绿色通道，为我区疫情防控提供了坚实的资金保障；</w:t>
      </w:r>
      <w:r>
        <w:rPr>
          <w:rFonts w:hint="eastAsia" w:ascii="仿宋" w:hAnsi="仿宋" w:eastAsia="仿宋" w:cs="仿宋"/>
          <w:color w:val="000000"/>
          <w:sz w:val="32"/>
          <w:szCs w:val="32"/>
          <w:shd w:val="clear" w:color="auto" w:fill="FFFFFF"/>
        </w:rPr>
        <w:t>主动出击、以快取胜，通过多渠道筹集，充分调度</w:t>
      </w:r>
      <w:r>
        <w:rPr>
          <w:rFonts w:hint="eastAsia" w:ascii="仿宋" w:hAnsi="仿宋" w:eastAsia="仿宋" w:cs="仿宋"/>
          <w:bCs/>
          <w:sz w:val="32"/>
          <w:szCs w:val="32"/>
        </w:rPr>
        <w:t>物资，</w:t>
      </w:r>
      <w:r>
        <w:rPr>
          <w:rFonts w:hint="eastAsia" w:ascii="仿宋" w:hAnsi="仿宋" w:eastAsia="仿宋" w:cs="仿宋"/>
          <w:color w:val="000000"/>
          <w:sz w:val="32"/>
          <w:szCs w:val="32"/>
          <w:shd w:val="clear" w:color="auto" w:fill="FFFFFF"/>
        </w:rPr>
        <w:t>为防疫战场提供了充足的物资保障。同时，</w:t>
      </w:r>
      <w:r>
        <w:rPr>
          <w:rFonts w:hint="eastAsia" w:ascii="仿宋" w:hAnsi="仿宋" w:eastAsia="仿宋" w:cs="仿宋"/>
          <w:bCs/>
          <w:sz w:val="32"/>
          <w:szCs w:val="32"/>
        </w:rPr>
        <w:t>按照一手抓疫情防控，一手抓复工复产的要求，全力帮助和支持企业复工复产。</w:t>
      </w:r>
    </w:p>
    <w:p>
      <w:pPr>
        <w:spacing w:line="576" w:lineRule="exact"/>
        <w:ind w:firstLine="643" w:firstLineChars="200"/>
        <w:rPr>
          <w:rFonts w:ascii="仿宋" w:hAnsi="仿宋" w:eastAsia="仿宋" w:cs="仿宋"/>
          <w:sz w:val="32"/>
          <w:szCs w:val="32"/>
        </w:rPr>
      </w:pPr>
      <w:r>
        <w:rPr>
          <w:rFonts w:hint="eastAsia" w:ascii="仿宋" w:hAnsi="仿宋" w:eastAsia="仿宋" w:cs="仿宋"/>
          <w:b/>
          <w:bCs/>
          <w:sz w:val="32"/>
          <w:szCs w:val="32"/>
        </w:rPr>
        <w:t>2.债券申报成效明显。</w:t>
      </w:r>
      <w:r>
        <w:rPr>
          <w:rFonts w:hint="eastAsia" w:ascii="仿宋" w:hAnsi="仿宋" w:eastAsia="仿宋" w:cs="仿宋"/>
          <w:color w:val="000000"/>
          <w:sz w:val="32"/>
          <w:szCs w:val="32"/>
        </w:rPr>
        <w:t>积极争取地方新增专项债券资金和抗疫特别国债资金。全年共完成11个新增专项债券项目 “一案两书”申报工作，有效缓解了地方政府在建项目融资难问题。</w:t>
      </w:r>
    </w:p>
    <w:p>
      <w:pPr>
        <w:spacing w:line="576" w:lineRule="exact"/>
        <w:ind w:firstLine="643" w:firstLineChars="200"/>
        <w:rPr>
          <w:rFonts w:ascii="仿宋" w:hAnsi="仿宋" w:eastAsia="仿宋" w:cs="仿宋"/>
          <w:sz w:val="32"/>
          <w:szCs w:val="32"/>
        </w:rPr>
      </w:pPr>
      <w:r>
        <w:rPr>
          <w:rFonts w:hint="eastAsia" w:ascii="仿宋" w:hAnsi="仿宋" w:eastAsia="仿宋" w:cs="仿宋"/>
          <w:b/>
          <w:color w:val="000000"/>
          <w:sz w:val="32"/>
          <w:szCs w:val="32"/>
          <w:shd w:val="clear" w:color="auto" w:fill="FFFFFF"/>
        </w:rPr>
        <w:t>3.财税改革稳步推进。</w:t>
      </w:r>
      <w:r>
        <w:rPr>
          <w:rFonts w:hint="eastAsia" w:ascii="仿宋" w:hAnsi="仿宋" w:eastAsia="仿宋" w:cs="仿宋"/>
          <w:sz w:val="32"/>
          <w:szCs w:val="32"/>
        </w:rPr>
        <w:t>积极推进财政治理现代化，密切关注中央、省、市关于财政事权和支出责任划分改革、推进地方税体系建设、深化政府采购制度改革等动向，做好相关准备工作，并积极推进。全面实施预算绩效管理，加强预算绩效监控，健全绩效评价结果与预算安排挂钩机制，强化绩效约束，提高财政资源配置效率。积极推进国库集中支付改革，将国库集中支付向乡镇延伸，加强预算执行动态监控分析，不断完善内控制度，确保财政资金绝对安全。推进票据电子化改革,全区各用票单位已完成票据电子化改革工作,票据电子化管理工作已全面正常开展。</w:t>
      </w:r>
    </w:p>
    <w:p>
      <w:pPr>
        <w:spacing w:line="576" w:lineRule="exact"/>
        <w:ind w:firstLine="643" w:firstLineChars="200"/>
        <w:rPr>
          <w:rFonts w:ascii="仿宋" w:hAnsi="仿宋" w:eastAsia="仿宋" w:cs="仿宋"/>
        </w:rPr>
      </w:pPr>
      <w:r>
        <w:rPr>
          <w:rFonts w:hint="eastAsia" w:ascii="仿宋" w:hAnsi="仿宋" w:eastAsia="仿宋" w:cs="仿宋"/>
          <w:b/>
          <w:color w:val="000000"/>
          <w:sz w:val="32"/>
          <w:szCs w:val="32"/>
          <w:shd w:val="clear" w:color="auto" w:fill="FFFFFF"/>
        </w:rPr>
        <w:t>4.决战决胜脱贫攻坚。</w:t>
      </w:r>
      <w:r>
        <w:rPr>
          <w:rFonts w:hint="eastAsia" w:ascii="仿宋" w:hAnsi="仿宋" w:eastAsia="仿宋" w:cs="仿宋"/>
          <w:sz w:val="32"/>
          <w:szCs w:val="32"/>
        </w:rPr>
        <w:t>预算安排专项扶贫资金,有效统筹整合财政涉农资金，用于贫困村、贫困户基础设施建设和产业发展。积极调研走访，重点围绕村“两委”班子建设、基础设施建设、产业规划和发展等方面制定了帮扶方案，积极宣讲扶贫政策，扎实开展“以购代销”，有效壮大村集体经济，圆满完成</w:t>
      </w:r>
      <w:r>
        <w:rPr>
          <w:rFonts w:hint="eastAsia" w:ascii="仿宋" w:hAnsi="仿宋" w:eastAsia="仿宋" w:cs="仿宋"/>
          <w:sz w:val="32"/>
          <w:szCs w:val="32"/>
          <w:lang w:eastAsia="zh-CN"/>
        </w:rPr>
        <w:t>了</w:t>
      </w:r>
      <w:r>
        <w:rPr>
          <w:rFonts w:hint="eastAsia" w:ascii="仿宋" w:hAnsi="仿宋" w:eastAsia="仿宋" w:cs="仿宋"/>
          <w:sz w:val="32"/>
          <w:szCs w:val="32"/>
        </w:rPr>
        <w:t>脱贫攻坚工作</w:t>
      </w:r>
      <w:r>
        <w:rPr>
          <w:rFonts w:hint="eastAsia" w:ascii="仿宋" w:hAnsi="仿宋" w:eastAsia="仿宋" w:cs="仿宋"/>
          <w:sz w:val="32"/>
          <w:szCs w:val="32"/>
          <w:lang w:eastAsia="zh-CN"/>
        </w:rPr>
        <w:t>任务</w:t>
      </w:r>
      <w:r>
        <w:rPr>
          <w:rFonts w:hint="eastAsia" w:ascii="仿宋" w:hAnsi="仿宋" w:eastAsia="仿宋" w:cs="仿宋"/>
          <w:sz w:val="32"/>
          <w:szCs w:val="32"/>
        </w:rPr>
        <w:t>。</w:t>
      </w:r>
    </w:p>
    <w:p>
      <w:pPr>
        <w:spacing w:line="576" w:lineRule="exact"/>
        <w:ind w:firstLine="643" w:firstLineChars="200"/>
        <w:rPr>
          <w:rFonts w:ascii="仿宋" w:hAnsi="仿宋" w:eastAsia="仿宋" w:cs="仿宋"/>
          <w:sz w:val="32"/>
          <w:szCs w:val="32"/>
        </w:rPr>
      </w:pPr>
      <w:r>
        <w:rPr>
          <w:rFonts w:hint="eastAsia" w:ascii="仿宋" w:hAnsi="仿宋" w:eastAsia="仿宋" w:cs="仿宋"/>
          <w:b/>
          <w:bCs/>
          <w:kern w:val="0"/>
          <w:sz w:val="32"/>
          <w:szCs w:val="32"/>
        </w:rPr>
        <w:t>5.主动融入成渝地区双城经济圈建设。</w:t>
      </w:r>
      <w:r>
        <w:rPr>
          <w:rFonts w:hint="eastAsia" w:ascii="仿宋" w:hAnsi="仿宋" w:eastAsia="仿宋" w:cs="仿宋"/>
          <w:sz w:val="32"/>
          <w:szCs w:val="32"/>
        </w:rPr>
        <w:t>认真学习区委七届十一次全会对朝天主动融入成渝地区双城经济圈建设作出的决定，深刻领会把握其重大意义，积极与省财政厅、市财政局搞好对接，准确落脚到“五大实践路径”，主动融入成渝地区双城经济圈建设。</w:t>
      </w:r>
    </w:p>
    <w:p>
      <w:pPr>
        <w:spacing w:line="576" w:lineRule="exact"/>
        <w:ind w:firstLine="643" w:firstLineChars="200"/>
        <w:rPr>
          <w:rFonts w:ascii="仿宋" w:hAnsi="仿宋" w:eastAsia="仿宋" w:cs="仿宋"/>
          <w:b/>
          <w:sz w:val="32"/>
          <w:szCs w:val="32"/>
        </w:rPr>
      </w:pPr>
      <w:r>
        <w:rPr>
          <w:rFonts w:hint="eastAsia" w:ascii="仿宋" w:hAnsi="仿宋" w:eastAsia="仿宋" w:cs="仿宋"/>
          <w:b/>
          <w:sz w:val="32"/>
          <w:szCs w:val="32"/>
        </w:rPr>
        <w:t>强化财政监督管理，提升资金使用效益。</w:t>
      </w:r>
    </w:p>
    <w:p>
      <w:pPr>
        <w:pStyle w:val="12"/>
        <w:snapToGrid w:val="0"/>
        <w:spacing w:before="0" w:beforeAutospacing="0" w:after="0" w:afterAutospacing="0" w:line="576" w:lineRule="exact"/>
        <w:ind w:firstLine="643" w:firstLineChars="200"/>
        <w:jc w:val="both"/>
        <w:rPr>
          <w:rFonts w:ascii="仿宋" w:hAnsi="仿宋" w:eastAsia="仿宋" w:cs="仿宋"/>
          <w:b/>
          <w:sz w:val="32"/>
          <w:szCs w:val="32"/>
        </w:rPr>
      </w:pPr>
      <w:r>
        <w:rPr>
          <w:rFonts w:hint="eastAsia" w:ascii="仿宋" w:hAnsi="仿宋" w:eastAsia="仿宋" w:cs="仿宋"/>
          <w:b/>
          <w:bCs/>
          <w:color w:val="000000"/>
          <w:kern w:val="2"/>
          <w:sz w:val="32"/>
          <w:szCs w:val="32"/>
        </w:rPr>
        <w:t>1.加强财政资金监管。</w:t>
      </w:r>
      <w:r>
        <w:rPr>
          <w:rFonts w:hint="eastAsia" w:ascii="仿宋" w:hAnsi="仿宋" w:eastAsia="仿宋" w:cs="仿宋"/>
          <w:kern w:val="2"/>
          <w:sz w:val="32"/>
          <w:szCs w:val="32"/>
        </w:rPr>
        <w:t>严格按照财政部规定的资金使用范围，切实把握直达资金支持“三保”，做好“六稳”，落实“六保”任务，统筹推进新冠肺炎疫情和经济社会发展，科学合理分配和安排使用直达资金。</w:t>
      </w:r>
      <w:r>
        <w:rPr>
          <w:rFonts w:hint="eastAsia" w:ascii="仿宋" w:hAnsi="仿宋" w:eastAsia="仿宋" w:cs="仿宋"/>
          <w:sz w:val="32"/>
          <w:szCs w:val="32"/>
        </w:rPr>
        <w:t>按照“项目跟着规划走，资金跟着项目走，监管跟着资金走”的原则，坚持和完善扶贫项目报账制度、公告公示制度、检查验收制度，</w:t>
      </w:r>
      <w:r>
        <w:rPr>
          <w:rFonts w:hint="eastAsia" w:ascii="仿宋" w:hAnsi="仿宋" w:eastAsia="仿宋" w:cs="仿宋"/>
          <w:kern w:val="2"/>
          <w:sz w:val="32"/>
          <w:szCs w:val="32"/>
        </w:rPr>
        <w:t>对拨付的所有扶贫资金，按部门、按项目实施检查，形成问题台账，不留死角，逐一整改销号，对检查发现的违纪违规事项，积极向相关部门报告，移送处理，确保了扶贫资金安全高效。积极向区纪委监委汇报，会同派驻纪检组，组建专门队伍，对所有预算单位的“三公”经费，进行拉网式排查检查，持续加强“三公”经费监督管理，进一步严肃纪律，正风肃纪。</w:t>
      </w:r>
    </w:p>
    <w:p>
      <w:pPr>
        <w:spacing w:line="576" w:lineRule="exact"/>
        <w:ind w:firstLine="643" w:firstLineChars="200"/>
        <w:rPr>
          <w:rFonts w:ascii="仿宋" w:hAnsi="仿宋" w:eastAsia="仿宋" w:cs="仿宋"/>
          <w:sz w:val="32"/>
          <w:szCs w:val="32"/>
        </w:rPr>
      </w:pPr>
      <w:r>
        <w:rPr>
          <w:rFonts w:hint="eastAsia" w:ascii="仿宋" w:hAnsi="仿宋" w:eastAsia="仿宋" w:cs="仿宋"/>
          <w:b/>
          <w:sz w:val="32"/>
          <w:szCs w:val="32"/>
        </w:rPr>
        <w:t>2.加强政府采购监管。</w:t>
      </w:r>
      <w:r>
        <w:rPr>
          <w:rFonts w:hint="eastAsia" w:ascii="仿宋" w:hAnsi="仿宋" w:eastAsia="仿宋" w:cs="仿宋"/>
          <w:sz w:val="32"/>
          <w:szCs w:val="32"/>
        </w:rPr>
        <w:t>认真落实习近平总书记关于</w:t>
      </w:r>
      <w:r>
        <w:rPr>
          <w:rFonts w:hint="eastAsia" w:ascii="仿宋" w:hAnsi="仿宋" w:eastAsia="仿宋" w:cs="仿宋"/>
          <w:spacing w:val="-4"/>
          <w:sz w:val="32"/>
          <w:szCs w:val="32"/>
        </w:rPr>
        <w:t>“党和政府带头过紧日子，目的是为老百姓过好日子”</w:t>
      </w:r>
      <w:r>
        <w:rPr>
          <w:rFonts w:hint="eastAsia" w:ascii="仿宋" w:hAnsi="仿宋" w:eastAsia="仿宋" w:cs="仿宋"/>
          <w:sz w:val="32"/>
          <w:szCs w:val="32"/>
        </w:rPr>
        <w:t>重要指示精神，严格执行《政府采购法》《政府采购法实施条例》，深入贯彻省委省政府、市委市政府</w:t>
      </w:r>
      <w:r>
        <w:rPr>
          <w:rFonts w:hint="eastAsia" w:ascii="仿宋" w:hAnsi="仿宋" w:eastAsia="仿宋" w:cs="仿宋"/>
          <w:sz w:val="32"/>
          <w:szCs w:val="32"/>
          <w:lang w:val="zh-CN"/>
        </w:rPr>
        <w:t>关于深化政府采购制度改革、优先采购贫困地区农副产品和物业服务、优化政府采购营商环境等政府采购方面决策部署，</w:t>
      </w:r>
      <w:r>
        <w:rPr>
          <w:rFonts w:hint="eastAsia" w:ascii="仿宋" w:hAnsi="仿宋" w:eastAsia="仿宋" w:cs="仿宋"/>
          <w:sz w:val="32"/>
          <w:szCs w:val="32"/>
        </w:rPr>
        <w:t>扎实</w:t>
      </w:r>
      <w:r>
        <w:rPr>
          <w:rFonts w:hint="eastAsia" w:ascii="仿宋" w:hAnsi="仿宋" w:eastAsia="仿宋" w:cs="仿宋"/>
          <w:sz w:val="32"/>
          <w:szCs w:val="32"/>
          <w:lang w:val="zh-CN"/>
        </w:rPr>
        <w:t>推进政府采购</w:t>
      </w:r>
      <w:r>
        <w:rPr>
          <w:rFonts w:hint="eastAsia" w:ascii="仿宋" w:hAnsi="仿宋" w:eastAsia="仿宋" w:cs="仿宋"/>
          <w:sz w:val="32"/>
          <w:szCs w:val="32"/>
        </w:rPr>
        <w:t>工作</w:t>
      </w:r>
      <w:r>
        <w:rPr>
          <w:rFonts w:hint="eastAsia" w:ascii="仿宋" w:hAnsi="仿宋" w:eastAsia="仿宋" w:cs="仿宋"/>
          <w:sz w:val="32"/>
          <w:szCs w:val="32"/>
          <w:lang w:val="zh-CN"/>
        </w:rPr>
        <w:t>，将公共财物的采购纳入“阳光下的交易”</w:t>
      </w:r>
      <w:r>
        <w:rPr>
          <w:rFonts w:hint="eastAsia" w:ascii="仿宋" w:hAnsi="仿宋" w:eastAsia="仿宋" w:cs="仿宋"/>
          <w:sz w:val="32"/>
          <w:szCs w:val="32"/>
        </w:rPr>
        <w:t>。</w:t>
      </w:r>
    </w:p>
    <w:p>
      <w:pPr>
        <w:spacing w:line="576" w:lineRule="exact"/>
        <w:ind w:firstLine="643" w:firstLineChars="200"/>
        <w:rPr>
          <w:rFonts w:ascii="仿宋" w:hAnsi="仿宋" w:eastAsia="仿宋" w:cs="仿宋"/>
          <w:sz w:val="32"/>
          <w:szCs w:val="32"/>
          <w:lang w:val="zh-CN"/>
        </w:rPr>
      </w:pPr>
      <w:r>
        <w:rPr>
          <w:rFonts w:hint="eastAsia" w:ascii="仿宋" w:hAnsi="仿宋" w:eastAsia="仿宋" w:cs="仿宋"/>
          <w:b/>
          <w:sz w:val="32"/>
          <w:szCs w:val="32"/>
        </w:rPr>
        <w:t>3.</w:t>
      </w:r>
      <w:r>
        <w:rPr>
          <w:rFonts w:hint="eastAsia" w:ascii="仿宋" w:hAnsi="仿宋" w:eastAsia="仿宋" w:cs="仿宋"/>
          <w:b/>
          <w:sz w:val="32"/>
          <w:szCs w:val="32"/>
          <w:lang w:val="zh-CN"/>
        </w:rPr>
        <w:t>加强投资评审管理。</w:t>
      </w:r>
      <w:r>
        <w:rPr>
          <w:rFonts w:hint="eastAsia" w:ascii="仿宋" w:hAnsi="仿宋" w:eastAsia="仿宋" w:cs="仿宋"/>
          <w:sz w:val="32"/>
          <w:szCs w:val="32"/>
          <w:lang w:val="zh-CN"/>
        </w:rPr>
        <w:t>制定了《朝天区财政投资评审管理办法》，</w:t>
      </w:r>
      <w:r>
        <w:rPr>
          <w:rFonts w:hint="eastAsia" w:ascii="仿宋" w:hAnsi="仿宋" w:eastAsia="仿宋" w:cs="仿宋"/>
          <w:sz w:val="32"/>
          <w:szCs w:val="32"/>
        </w:rPr>
        <w:t>进一步</w:t>
      </w:r>
      <w:r>
        <w:rPr>
          <w:rFonts w:hint="eastAsia" w:ascii="仿宋" w:hAnsi="仿宋" w:eastAsia="仿宋" w:cs="仿宋"/>
          <w:sz w:val="32"/>
          <w:szCs w:val="32"/>
          <w:lang w:val="zh-CN"/>
        </w:rPr>
        <w:t>规范</w:t>
      </w:r>
      <w:r>
        <w:rPr>
          <w:rFonts w:hint="eastAsia" w:ascii="仿宋" w:hAnsi="仿宋" w:eastAsia="仿宋" w:cs="仿宋"/>
          <w:sz w:val="32"/>
          <w:szCs w:val="32"/>
        </w:rPr>
        <w:t>了</w:t>
      </w:r>
      <w:r>
        <w:rPr>
          <w:rFonts w:hint="eastAsia" w:ascii="仿宋" w:hAnsi="仿宋" w:eastAsia="仿宋" w:cs="仿宋"/>
          <w:sz w:val="32"/>
          <w:szCs w:val="32"/>
          <w:lang w:val="zh-CN"/>
        </w:rPr>
        <w:t>财政投资评审行为，</w:t>
      </w:r>
      <w:r>
        <w:rPr>
          <w:rFonts w:hint="eastAsia" w:ascii="仿宋" w:hAnsi="仿宋" w:eastAsia="仿宋" w:cs="仿宋"/>
          <w:sz w:val="32"/>
          <w:szCs w:val="32"/>
        </w:rPr>
        <w:t>切实</w:t>
      </w:r>
      <w:r>
        <w:rPr>
          <w:rFonts w:hint="eastAsia" w:ascii="仿宋" w:hAnsi="仿宋" w:eastAsia="仿宋" w:cs="仿宋"/>
          <w:sz w:val="32"/>
          <w:szCs w:val="32"/>
          <w:lang w:val="zh-CN"/>
        </w:rPr>
        <w:t>提高财政资金使用效益。</w:t>
      </w:r>
    </w:p>
    <w:p>
      <w:pPr>
        <w:spacing w:line="576" w:lineRule="exact"/>
        <w:ind w:firstLine="643" w:firstLineChars="200"/>
        <w:rPr>
          <w:rFonts w:ascii="仿宋" w:hAnsi="仿宋" w:eastAsia="仿宋" w:cs="仿宋"/>
          <w:b/>
          <w:sz w:val="32"/>
          <w:szCs w:val="32"/>
        </w:rPr>
      </w:pPr>
      <w:r>
        <w:rPr>
          <w:rFonts w:hint="eastAsia" w:ascii="仿宋" w:hAnsi="仿宋" w:eastAsia="仿宋" w:cs="仿宋"/>
          <w:b/>
          <w:sz w:val="32"/>
          <w:szCs w:val="32"/>
        </w:rPr>
        <w:t>4.加强政府债务管理。</w:t>
      </w:r>
      <w:r>
        <w:rPr>
          <w:rFonts w:hint="eastAsia" w:ascii="仿宋" w:hAnsi="仿宋" w:eastAsia="仿宋" w:cs="仿宋"/>
          <w:color w:val="160B11"/>
          <w:kern w:val="0"/>
          <w:sz w:val="32"/>
          <w:szCs w:val="32"/>
        </w:rPr>
        <w:t>严格执行《朝天区政府债务化解规划》、《朝天区政府债务应急处置预案》等。强化规模控制，实行限额管理，强化债务主体责任意识，将地方政府债务收支纳入预算管理，动态管理地方政府债务。严控地方政府债务增量，有效防范政府债务风险，</w:t>
      </w:r>
      <w:r>
        <w:rPr>
          <w:rFonts w:hint="eastAsia" w:ascii="仿宋" w:hAnsi="仿宋" w:eastAsia="仿宋" w:cs="仿宋"/>
          <w:sz w:val="32"/>
          <w:szCs w:val="32"/>
        </w:rPr>
        <w:t>全区政府性债务风险可控。</w:t>
      </w:r>
    </w:p>
    <w:p>
      <w:pPr>
        <w:pStyle w:val="2"/>
        <w:spacing w:before="93" w:line="576" w:lineRule="exact"/>
        <w:ind w:firstLine="643" w:firstLineChars="200"/>
        <w:rPr>
          <w:rFonts w:ascii="黑体" w:hAnsi="黑体" w:eastAsia="黑体" w:cs="黑体"/>
          <w:bCs/>
          <w:color w:val="000000"/>
          <w:sz w:val="32"/>
          <w:szCs w:val="32"/>
        </w:rPr>
      </w:pPr>
      <w:r>
        <w:rPr>
          <w:rFonts w:hint="eastAsia" w:ascii="仿宋" w:hAnsi="仿宋" w:eastAsia="仿宋" w:cs="仿宋"/>
          <w:b/>
          <w:bCs/>
          <w:sz w:val="32"/>
          <w:szCs w:val="32"/>
        </w:rPr>
        <w:t>5.加强国有资产监管。</w:t>
      </w:r>
      <w:r>
        <w:rPr>
          <w:rFonts w:hint="eastAsia" w:ascii="仿宋" w:hAnsi="仿宋" w:eastAsia="仿宋" w:cs="仿宋"/>
          <w:sz w:val="32"/>
          <w:szCs w:val="32"/>
        </w:rPr>
        <w:t>根据国有资金、国有资产出租出借及融资担保工作任务清单，及时制定了工作方案，起草了《广元市朝天区行政事业单位国有资产处置办法》。并严格按照《全面清理公共资金、国有资产出借和融资担保问题专项整治方案》，把握总体要求，对照目标任务，严格时间节点，全面开展清理，国有资产监管持续加强。</w:t>
      </w:r>
    </w:p>
    <w:p>
      <w:pPr>
        <w:pStyle w:val="2"/>
        <w:adjustRightInd w:val="0"/>
        <w:snapToGrid w:val="0"/>
        <w:spacing w:before="93" w:line="600" w:lineRule="exact"/>
        <w:ind w:firstLine="672" w:firstLineChars="210"/>
        <w:outlineLvl w:val="2"/>
        <w:rPr>
          <w:rFonts w:ascii="黑体" w:hAnsi="黑体" w:eastAsia="黑体" w:cs="黑体"/>
          <w:bCs/>
          <w:color w:val="000000"/>
          <w:sz w:val="32"/>
          <w:szCs w:val="32"/>
        </w:rPr>
      </w:pPr>
    </w:p>
    <w:p>
      <w:pPr>
        <w:pStyle w:val="2"/>
        <w:adjustRightInd w:val="0"/>
        <w:snapToGrid w:val="0"/>
        <w:spacing w:before="93" w:line="600" w:lineRule="exact"/>
        <w:ind w:firstLine="672" w:firstLineChars="210"/>
        <w:outlineLvl w:val="2"/>
        <w:rPr>
          <w:rFonts w:ascii="黑体" w:hAnsi="黑体" w:eastAsia="黑体" w:cs="黑体"/>
          <w:bCs/>
          <w:color w:val="000000"/>
          <w:sz w:val="32"/>
          <w:szCs w:val="32"/>
        </w:rPr>
      </w:pPr>
      <w:r>
        <w:rPr>
          <w:rFonts w:hint="eastAsia" w:ascii="黑体" w:hAnsi="黑体" w:eastAsia="黑体" w:cs="黑体"/>
          <w:bCs/>
          <w:color w:val="000000"/>
          <w:sz w:val="32"/>
          <w:szCs w:val="32"/>
        </w:rPr>
        <w:t>二、机构设置</w:t>
      </w:r>
    </w:p>
    <w:p>
      <w:pPr>
        <w:ind w:firstLine="800" w:firstLineChars="250"/>
        <w:rPr>
          <w:rFonts w:ascii="仿宋" w:hAnsi="仿宋" w:eastAsia="仿宋"/>
          <w:sz w:val="32"/>
          <w:szCs w:val="32"/>
        </w:rPr>
      </w:pPr>
      <w:r>
        <w:rPr>
          <w:rFonts w:hint="eastAsia" w:ascii="仿宋" w:hAnsi="仿宋" w:eastAsia="仿宋"/>
          <w:sz w:val="32"/>
          <w:szCs w:val="32"/>
        </w:rPr>
        <w:t>广元市朝天区财政局下属二级单位</w:t>
      </w:r>
      <w:r>
        <w:rPr>
          <w:rFonts w:ascii="仿宋" w:hAnsi="仿宋" w:eastAsia="仿宋"/>
          <w:sz w:val="32"/>
          <w:szCs w:val="32"/>
        </w:rPr>
        <w:t>1</w:t>
      </w:r>
      <w:r>
        <w:rPr>
          <w:rFonts w:hint="eastAsia" w:ascii="仿宋" w:hAnsi="仿宋" w:eastAsia="仿宋"/>
          <w:sz w:val="32"/>
          <w:szCs w:val="32"/>
        </w:rPr>
        <w:t>个，其中参照公务员法管理的事业单位</w:t>
      </w:r>
      <w:r>
        <w:rPr>
          <w:rFonts w:ascii="仿宋" w:hAnsi="仿宋" w:eastAsia="仿宋"/>
          <w:bCs/>
          <w:sz w:val="32"/>
          <w:szCs w:val="32"/>
        </w:rPr>
        <w:t>1</w:t>
      </w:r>
      <w:r>
        <w:rPr>
          <w:rFonts w:hint="eastAsia" w:ascii="仿宋" w:hAnsi="仿宋" w:eastAsia="仿宋"/>
          <w:sz w:val="32"/>
          <w:szCs w:val="32"/>
        </w:rPr>
        <w:t>个。</w:t>
      </w:r>
    </w:p>
    <w:p>
      <w:pPr>
        <w:pStyle w:val="2"/>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纳入广元市朝天区财政局</w:t>
      </w:r>
      <w:r>
        <w:rPr>
          <w:rFonts w:ascii="仿宋" w:hAnsi="仿宋" w:eastAsia="仿宋"/>
          <w:color w:val="000000"/>
          <w:sz w:val="32"/>
          <w:szCs w:val="32"/>
        </w:rPr>
        <w:t>20</w:t>
      </w:r>
      <w:r>
        <w:rPr>
          <w:rFonts w:hint="eastAsia" w:ascii="仿宋" w:hAnsi="仿宋" w:eastAsia="仿宋"/>
          <w:color w:val="000000"/>
          <w:sz w:val="32"/>
          <w:szCs w:val="32"/>
        </w:rPr>
        <w:t>20年度部门决算编制范围的二级预算单位包括：</w:t>
      </w:r>
    </w:p>
    <w:p>
      <w:pPr>
        <w:pStyle w:val="2"/>
        <w:adjustRightInd w:val="0"/>
        <w:snapToGrid w:val="0"/>
        <w:spacing w:before="93" w:line="600" w:lineRule="exact"/>
        <w:ind w:firstLine="1120" w:firstLineChars="35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、广元市朝天区财政国库支付中心</w:t>
      </w:r>
    </w:p>
    <w:p>
      <w:pPr>
        <w:pStyle w:val="2"/>
        <w:adjustRightInd w:val="0"/>
        <w:snapToGrid w:val="0"/>
        <w:spacing w:before="93" w:line="600" w:lineRule="exact"/>
        <w:ind w:firstLine="640" w:firstLineChars="200"/>
        <w:outlineLvl w:val="2"/>
        <w:rPr>
          <w:rFonts w:ascii="仿宋" w:hAnsi="仿宋" w:eastAsia="仿宋" w:cs="仿宋"/>
          <w:bCs/>
          <w:color w:val="000000"/>
          <w:sz w:val="32"/>
          <w:szCs w:val="32"/>
        </w:rPr>
      </w:pPr>
      <w:r>
        <w:rPr>
          <w:rFonts w:hint="eastAsia" w:ascii="仿宋" w:hAnsi="仿宋" w:eastAsia="仿宋" w:cs="仿宋"/>
          <w:bCs/>
          <w:color w:val="000000"/>
          <w:sz w:val="32"/>
          <w:szCs w:val="32"/>
        </w:rPr>
        <w:t>财政局含财政局机关和财政国库支付中心，其中财政国库支付中心为其所属二级预算单位。局机关内设办公室、财政</w:t>
      </w:r>
      <w:r>
        <w:rPr>
          <w:rFonts w:hint="eastAsia" w:ascii="仿宋" w:hAnsi="仿宋" w:eastAsia="仿宋" w:cs="仿宋"/>
          <w:bCs/>
          <w:color w:val="000000"/>
          <w:sz w:val="32"/>
          <w:szCs w:val="32"/>
          <w:lang w:eastAsia="zh-CN"/>
        </w:rPr>
        <w:t>投资</w:t>
      </w:r>
      <w:r>
        <w:rPr>
          <w:rFonts w:hint="eastAsia" w:ascii="仿宋" w:hAnsi="仿宋" w:eastAsia="仿宋" w:cs="仿宋"/>
          <w:bCs/>
          <w:color w:val="000000"/>
          <w:sz w:val="32"/>
          <w:szCs w:val="32"/>
        </w:rPr>
        <w:t>评审中心、采购监督股、国库股、预算股、农业股、投资股、行政政法股、教科文股、乡财股、社保股、企业股、外金股、绩效评价股、财法股（会计股）、综合股。</w:t>
      </w:r>
    </w:p>
    <w:p>
      <w:pPr>
        <w:pStyle w:val="2"/>
        <w:adjustRightInd w:val="0"/>
        <w:snapToGrid w:val="0"/>
        <w:spacing w:before="93" w:line="600" w:lineRule="exact"/>
        <w:ind w:firstLine="672" w:firstLineChars="210"/>
        <w:outlineLvl w:val="2"/>
        <w:rPr>
          <w:rFonts w:ascii="仿宋" w:hAnsi="仿宋" w:eastAsia="仿宋" w:cs="仿宋"/>
          <w:bCs/>
          <w:color w:val="000000"/>
          <w:sz w:val="32"/>
          <w:szCs w:val="32"/>
        </w:rPr>
      </w:pPr>
    </w:p>
    <w:p>
      <w:pPr>
        <w:pStyle w:val="3"/>
        <w:ind w:right="440"/>
        <w:jc w:val="right"/>
        <w:rPr>
          <w:rFonts w:ascii="黑体" w:hAnsi="黑体" w:eastAsia="黑体"/>
          <w:b w:val="0"/>
          <w:color w:val="000000"/>
        </w:rPr>
      </w:pPr>
      <w:bookmarkStart w:id="12" w:name="_Toc15396602"/>
      <w:bookmarkStart w:id="13" w:name="_Toc15377204"/>
    </w:p>
    <w:p>
      <w:pPr>
        <w:rPr>
          <w:rFonts w:ascii="黑体" w:hAnsi="黑体" w:eastAsia="黑体"/>
          <w:b w:val="0"/>
          <w:color w:val="000000"/>
        </w:rPr>
      </w:pPr>
    </w:p>
    <w:p>
      <w:pPr>
        <w:pStyle w:val="2"/>
        <w:rPr>
          <w:rFonts w:ascii="黑体" w:hAnsi="黑体" w:eastAsia="黑体"/>
          <w:b w:val="0"/>
          <w:color w:val="000000"/>
        </w:rPr>
      </w:pPr>
    </w:p>
    <w:p>
      <w:pPr>
        <w:pStyle w:val="2"/>
        <w:rPr>
          <w:rFonts w:ascii="黑体" w:hAnsi="黑体" w:eastAsia="黑体"/>
          <w:b w:val="0"/>
          <w:color w:val="000000"/>
        </w:rPr>
      </w:pPr>
    </w:p>
    <w:p>
      <w:pPr>
        <w:pStyle w:val="2"/>
        <w:rPr>
          <w:rFonts w:ascii="黑体" w:hAnsi="黑体" w:eastAsia="黑体"/>
          <w:b w:val="0"/>
          <w:color w:val="000000"/>
        </w:rPr>
      </w:pPr>
    </w:p>
    <w:p>
      <w:pPr>
        <w:pStyle w:val="2"/>
        <w:rPr>
          <w:rFonts w:ascii="黑体" w:hAnsi="黑体" w:eastAsia="黑体"/>
          <w:b w:val="0"/>
          <w:color w:val="000000"/>
        </w:rPr>
      </w:pPr>
    </w:p>
    <w:p>
      <w:pPr>
        <w:pStyle w:val="2"/>
        <w:rPr>
          <w:rFonts w:ascii="黑体" w:hAnsi="黑体" w:eastAsia="黑体"/>
          <w:b w:val="0"/>
          <w:color w:val="000000"/>
        </w:rPr>
      </w:pPr>
    </w:p>
    <w:p>
      <w:pPr>
        <w:pStyle w:val="2"/>
        <w:spacing w:before="93"/>
        <w:rPr>
          <w:rFonts w:ascii="黑体" w:hAnsi="黑体" w:eastAsia="黑体"/>
          <w:color w:val="000000"/>
        </w:rPr>
      </w:pPr>
    </w:p>
    <w:p>
      <w:pPr>
        <w:pStyle w:val="2"/>
        <w:spacing w:before="93"/>
        <w:rPr>
          <w:rFonts w:ascii="黑体" w:hAnsi="黑体" w:eastAsia="黑体"/>
          <w:color w:val="000000"/>
        </w:rPr>
      </w:pPr>
    </w:p>
    <w:p>
      <w:pPr>
        <w:pStyle w:val="2"/>
        <w:spacing w:before="93"/>
        <w:rPr>
          <w:rFonts w:ascii="黑体" w:hAnsi="黑体" w:eastAsia="黑体"/>
          <w:color w:val="000000"/>
        </w:rPr>
      </w:pPr>
    </w:p>
    <w:p>
      <w:pPr>
        <w:pStyle w:val="2"/>
        <w:spacing w:before="93"/>
        <w:rPr>
          <w:rFonts w:ascii="黑体" w:hAnsi="黑体" w:eastAsia="黑体"/>
          <w:color w:val="000000"/>
        </w:rPr>
      </w:pPr>
    </w:p>
    <w:p>
      <w:pPr>
        <w:pStyle w:val="3"/>
        <w:ind w:right="440"/>
        <w:rPr>
          <w:rStyle w:val="19"/>
          <w:rFonts w:ascii="黑体" w:hAnsi="黑体" w:eastAsia="黑体"/>
          <w:b w:val="0"/>
          <w:bCs w:val="0"/>
        </w:rPr>
      </w:pPr>
      <w:r>
        <w:rPr>
          <w:rFonts w:hint="eastAsia" w:ascii="黑体" w:hAnsi="黑体" w:eastAsia="黑体"/>
          <w:b w:val="0"/>
          <w:color w:val="000000"/>
        </w:rPr>
        <w:t>第二部分</w:t>
      </w:r>
      <w:r>
        <w:rPr>
          <w:rStyle w:val="19"/>
          <w:rFonts w:ascii="黑体" w:hAnsi="黑体" w:eastAsia="黑体"/>
          <w:b w:val="0"/>
          <w:bCs w:val="0"/>
        </w:rPr>
        <w:t>20</w:t>
      </w:r>
      <w:r>
        <w:rPr>
          <w:rStyle w:val="19"/>
          <w:rFonts w:hint="eastAsia" w:ascii="黑体" w:hAnsi="黑体" w:eastAsia="黑体"/>
          <w:b w:val="0"/>
          <w:bCs w:val="0"/>
        </w:rPr>
        <w:t>20年度部门决算情况说明</w:t>
      </w:r>
      <w:bookmarkEnd w:id="12"/>
      <w:bookmarkEnd w:id="13"/>
    </w:p>
    <w:p/>
    <w:p>
      <w:pPr>
        <w:pStyle w:val="30"/>
        <w:numPr>
          <w:ilvl w:val="0"/>
          <w:numId w:val="1"/>
        </w:numPr>
        <w:spacing w:line="600" w:lineRule="exact"/>
        <w:ind w:firstLineChars="0"/>
        <w:outlineLvl w:val="1"/>
        <w:rPr>
          <w:rStyle w:val="20"/>
          <w:rFonts w:ascii="黑体" w:hAnsi="黑体" w:eastAsia="黑体"/>
          <w:b w:val="0"/>
        </w:rPr>
      </w:pPr>
      <w:bookmarkStart w:id="14" w:name="_Toc15396603"/>
      <w:bookmarkStart w:id="15" w:name="_Toc15377205"/>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14"/>
      <w:bookmarkEnd w:id="15"/>
      <w:r>
        <w:rPr>
          <w:rStyle w:val="33"/>
          <w:rFonts w:hint="eastAsia" w:ascii="黑体" w:hAnsi="黑体" w:eastAsia="黑体"/>
          <w:b w:val="0"/>
        </w:rPr>
        <w:t>(含二级机构)</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20年度收、支总计1500.02万元。与</w:t>
      </w:r>
      <w:r>
        <w:rPr>
          <w:rFonts w:ascii="仿宋" w:hAnsi="仿宋" w:eastAsia="仿宋"/>
          <w:color w:val="000000"/>
          <w:sz w:val="32"/>
          <w:szCs w:val="32"/>
        </w:rPr>
        <w:t>201</w:t>
      </w:r>
      <w:r>
        <w:rPr>
          <w:rFonts w:hint="eastAsia" w:ascii="仿宋" w:hAnsi="仿宋" w:eastAsia="仿宋"/>
          <w:color w:val="000000"/>
          <w:sz w:val="32"/>
          <w:szCs w:val="32"/>
        </w:rPr>
        <w:t>9年相比，收、支各</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34.94万元，增长2</w:t>
      </w:r>
      <w:r>
        <w:rPr>
          <w:rFonts w:ascii="仿宋" w:hAnsi="仿宋" w:eastAsia="仿宋"/>
          <w:color w:val="000000"/>
          <w:sz w:val="32"/>
          <w:szCs w:val="32"/>
        </w:rPr>
        <w:t>%</w:t>
      </w:r>
      <w:r>
        <w:rPr>
          <w:rFonts w:hint="eastAsia" w:ascii="仿宋" w:hAnsi="仿宋" w:eastAsia="仿宋"/>
          <w:color w:val="000000"/>
          <w:sz w:val="32"/>
          <w:szCs w:val="32"/>
        </w:rPr>
        <w:t>。主要原因是金财网身份认证国产系统升级、全区项目评审经费、全区财政绩效评价工作等支出增加。</w:t>
      </w:r>
    </w:p>
    <w:p>
      <w:pPr>
        <w:pStyle w:val="2"/>
        <w:spacing w:before="93"/>
        <w:rPr>
          <w:rFonts w:ascii="仿宋" w:hAnsi="仿宋" w:eastAsia="仿宋"/>
          <w:color w:val="000000"/>
          <w:sz w:val="32"/>
          <w:szCs w:val="32"/>
        </w:rPr>
      </w:pPr>
      <w:r>
        <w:rPr>
          <w:rFonts w:eastAsia="仿宋"/>
        </w:rPr>
        <w:pict>
          <v:shape id="_x0000_s1026" o:spid="_x0000_s1026" o:spt="75" type="#_x0000_t75" style="position:absolute;left:0pt;margin-left:21.6pt;margin-top:14.05pt;height:222.75pt;width:366.75pt;z-index:251659264;mso-width-relative:page;mso-height-relative:page;" o:ole="t" filled="f" o:preferrelative="t" stroked="f" coordsize="21600,21600">
            <v:path/>
            <v:fill on="f" focussize="0,0"/>
            <v:stroke on="f" joinstyle="miter"/>
            <v:imagedata r:id="rId7" o:title=""/>
            <o:lock v:ext="edit" aspectratio="t"/>
          </v:shape>
          <o:OLEObject Type="Embed" ProgID="Excel.Sheet.8" ShapeID="_x0000_s1026" DrawAspect="Content" ObjectID="_1468075725" r:id="rId6">
            <o:LockedField>false</o:LockedField>
          </o:OLEObject>
        </w:pict>
      </w:r>
    </w:p>
    <w:p>
      <w:pPr>
        <w:pStyle w:val="2"/>
        <w:spacing w:before="93"/>
        <w:rPr>
          <w:rFonts w:ascii="仿宋" w:hAnsi="仿宋" w:eastAsia="仿宋"/>
          <w:color w:val="000000"/>
          <w:sz w:val="32"/>
          <w:szCs w:val="32"/>
        </w:rPr>
      </w:pPr>
    </w:p>
    <w:p>
      <w:pPr>
        <w:pStyle w:val="2"/>
        <w:spacing w:before="93"/>
        <w:rPr>
          <w:rFonts w:ascii="仿宋" w:hAnsi="仿宋" w:eastAsia="仿宋"/>
          <w:color w:val="000000"/>
          <w:sz w:val="32"/>
          <w:szCs w:val="32"/>
        </w:rPr>
      </w:pPr>
    </w:p>
    <w:p>
      <w:pPr>
        <w:pStyle w:val="2"/>
        <w:spacing w:before="93"/>
        <w:rPr>
          <w:rFonts w:ascii="仿宋" w:hAnsi="仿宋" w:eastAsia="仿宋"/>
          <w:color w:val="000000"/>
          <w:sz w:val="32"/>
          <w:szCs w:val="32"/>
        </w:rPr>
      </w:pPr>
    </w:p>
    <w:p>
      <w:pPr>
        <w:pStyle w:val="2"/>
        <w:spacing w:before="93"/>
        <w:rPr>
          <w:rFonts w:ascii="仿宋" w:hAnsi="仿宋" w:eastAsia="仿宋"/>
          <w:color w:val="000000"/>
          <w:sz w:val="32"/>
          <w:szCs w:val="32"/>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30"/>
        <w:numPr>
          <w:ilvl w:val="0"/>
          <w:numId w:val="1"/>
        </w:numPr>
        <w:spacing w:line="600" w:lineRule="exact"/>
        <w:ind w:firstLineChars="0"/>
        <w:outlineLvl w:val="1"/>
        <w:rPr>
          <w:rStyle w:val="20"/>
          <w:rFonts w:ascii="黑体" w:hAnsi="黑体" w:eastAsia="黑体"/>
          <w:b w:val="0"/>
        </w:rPr>
      </w:pPr>
      <w:bookmarkStart w:id="16" w:name="_Toc15377206"/>
      <w:bookmarkStart w:id="17" w:name="_Toc15396604"/>
      <w:r>
        <w:rPr>
          <w:rFonts w:hint="eastAsia" w:ascii="黑体" w:hAnsi="黑体" w:eastAsia="黑体"/>
          <w:color w:val="000000"/>
          <w:sz w:val="32"/>
          <w:szCs w:val="32"/>
        </w:rPr>
        <w:t>收</w:t>
      </w:r>
      <w:r>
        <w:rPr>
          <w:rStyle w:val="20"/>
          <w:rFonts w:hint="eastAsia" w:ascii="黑体" w:hAnsi="黑体" w:eastAsia="黑体"/>
          <w:b w:val="0"/>
        </w:rPr>
        <w:t>入决算情况说明</w:t>
      </w:r>
      <w:bookmarkEnd w:id="16"/>
      <w:bookmarkEnd w:id="17"/>
      <w:r>
        <w:rPr>
          <w:rStyle w:val="33"/>
          <w:rFonts w:hint="eastAsia" w:ascii="黑体" w:hAnsi="黑体" w:eastAsia="黑体"/>
          <w:b w:val="0"/>
        </w:rPr>
        <w:t>(含二级机构)</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20年本年收入合计1233.69万元，其中：一般公共预算财政拨款收入1233.69万元，占</w:t>
      </w:r>
      <w:r>
        <w:rPr>
          <w:rFonts w:ascii="仿宋" w:hAnsi="仿宋" w:eastAsia="仿宋"/>
          <w:color w:val="000000"/>
          <w:sz w:val="32"/>
          <w:szCs w:val="32"/>
        </w:rPr>
        <w:t>100%</w:t>
      </w:r>
      <w:r>
        <w:rPr>
          <w:rFonts w:hint="eastAsia" w:ascii="仿宋" w:hAnsi="仿宋" w:eastAsia="仿宋"/>
          <w:color w:val="000000"/>
          <w:sz w:val="32"/>
          <w:szCs w:val="32"/>
        </w:rPr>
        <w:t>。</w:t>
      </w:r>
    </w:p>
    <w:p>
      <w:pPr>
        <w:pStyle w:val="2"/>
        <w:spacing w:before="93"/>
        <w:rPr>
          <w:rFonts w:eastAsia="仿宋"/>
        </w:rPr>
      </w:pPr>
      <w:r>
        <w:rPr>
          <w:rFonts w:hint="eastAsia" w:eastAsia="仿宋"/>
        </w:rPr>
        <w:object>
          <v:shape id="_x0000_i1025" o:spt="75" type="#_x0000_t75" style="height:222.55pt;width:364.7pt;" o:ole="t" filled="f" o:preferrelative="t" stroked="f" coordsize="21600,21600">
            <v:path/>
            <v:fill on="f" focussize="0,0"/>
            <v:stroke on="f" joinstyle="miter"/>
            <v:imagedata r:id="rId9" o:title=""/>
            <o:lock v:ext="edit" aspectratio="t"/>
            <w10:wrap type="none"/>
            <w10:anchorlock/>
          </v:shape>
          <o:OLEObject Type="Embed" ProgID="Excel.Sheet.8" ShapeID="_x0000_i1025" DrawAspect="Content" ObjectID="_1468075726" r:id="rId8">
            <o:LockedField>false</o:LockedField>
          </o:OLEObject>
        </w:object>
      </w:r>
    </w:p>
    <w:p>
      <w:pPr>
        <w:pStyle w:val="30"/>
        <w:numPr>
          <w:ilvl w:val="0"/>
          <w:numId w:val="1"/>
        </w:numPr>
        <w:spacing w:line="600" w:lineRule="exact"/>
        <w:ind w:firstLineChars="0"/>
        <w:outlineLvl w:val="1"/>
        <w:rPr>
          <w:rStyle w:val="20"/>
          <w:rFonts w:ascii="黑体" w:hAnsi="黑体" w:eastAsia="黑体"/>
          <w:b w:val="0"/>
        </w:rPr>
      </w:pPr>
      <w:bookmarkStart w:id="18" w:name="_Toc15396605"/>
      <w:bookmarkStart w:id="19" w:name="_Toc15377207"/>
      <w:r>
        <w:rPr>
          <w:rFonts w:hint="eastAsia" w:ascii="黑体" w:hAnsi="黑体" w:eastAsia="黑体"/>
          <w:color w:val="000000"/>
          <w:sz w:val="32"/>
          <w:szCs w:val="32"/>
        </w:rPr>
        <w:t>支</w:t>
      </w:r>
      <w:r>
        <w:rPr>
          <w:rStyle w:val="20"/>
          <w:rFonts w:hint="eastAsia" w:ascii="黑体" w:hAnsi="黑体" w:eastAsia="黑体"/>
          <w:b w:val="0"/>
        </w:rPr>
        <w:t>出决算情况说明</w:t>
      </w:r>
      <w:bookmarkEnd w:id="18"/>
      <w:bookmarkEnd w:id="19"/>
      <w:r>
        <w:rPr>
          <w:rStyle w:val="33"/>
          <w:rFonts w:hint="eastAsia" w:ascii="黑体" w:hAnsi="黑体" w:eastAsia="黑体"/>
          <w:b w:val="0"/>
        </w:rPr>
        <w:t>(含二级机构)</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20年本年支出合计1323.46万元，其中：基本支出762</w:t>
      </w:r>
      <w:r>
        <w:rPr>
          <w:rFonts w:ascii="仿宋" w:hAnsi="仿宋" w:eastAsia="仿宋"/>
          <w:color w:val="000000"/>
          <w:sz w:val="32"/>
          <w:szCs w:val="32"/>
        </w:rPr>
        <w:t>.</w:t>
      </w:r>
      <w:r>
        <w:rPr>
          <w:rFonts w:hint="eastAsia" w:ascii="仿宋" w:hAnsi="仿宋" w:eastAsia="仿宋"/>
          <w:color w:val="000000"/>
          <w:sz w:val="32"/>
          <w:szCs w:val="32"/>
        </w:rPr>
        <w:t>1</w:t>
      </w:r>
      <w:r>
        <w:rPr>
          <w:rFonts w:ascii="仿宋" w:hAnsi="仿宋" w:eastAsia="仿宋"/>
          <w:color w:val="000000"/>
          <w:sz w:val="32"/>
          <w:szCs w:val="32"/>
        </w:rPr>
        <w:t>2</w:t>
      </w:r>
      <w:r>
        <w:rPr>
          <w:rFonts w:hint="eastAsia" w:ascii="仿宋" w:hAnsi="仿宋" w:eastAsia="仿宋"/>
          <w:color w:val="000000"/>
          <w:sz w:val="32"/>
          <w:szCs w:val="32"/>
        </w:rPr>
        <w:t>万元，占</w:t>
      </w:r>
      <w:r>
        <w:rPr>
          <w:rFonts w:ascii="仿宋" w:hAnsi="仿宋" w:eastAsia="仿宋"/>
          <w:color w:val="000000"/>
          <w:sz w:val="32"/>
          <w:szCs w:val="32"/>
        </w:rPr>
        <w:t>57%</w:t>
      </w:r>
      <w:r>
        <w:rPr>
          <w:rFonts w:hint="eastAsia" w:ascii="仿宋" w:hAnsi="仿宋" w:eastAsia="仿宋"/>
          <w:color w:val="000000"/>
          <w:sz w:val="32"/>
          <w:szCs w:val="32"/>
        </w:rPr>
        <w:t>；项目支出561</w:t>
      </w:r>
      <w:r>
        <w:rPr>
          <w:rFonts w:ascii="仿宋" w:hAnsi="仿宋" w:eastAsia="仿宋"/>
          <w:color w:val="000000"/>
          <w:sz w:val="32"/>
          <w:szCs w:val="32"/>
        </w:rPr>
        <w:t>.</w:t>
      </w:r>
      <w:r>
        <w:rPr>
          <w:rFonts w:hint="eastAsia" w:ascii="仿宋" w:hAnsi="仿宋" w:eastAsia="仿宋"/>
          <w:color w:val="000000"/>
          <w:sz w:val="32"/>
          <w:szCs w:val="32"/>
        </w:rPr>
        <w:t>34万元，占</w:t>
      </w:r>
      <w:r>
        <w:rPr>
          <w:rFonts w:ascii="仿宋" w:hAnsi="仿宋" w:eastAsia="仿宋"/>
          <w:color w:val="000000"/>
          <w:sz w:val="32"/>
          <w:szCs w:val="32"/>
        </w:rPr>
        <w:t>43%</w:t>
      </w:r>
      <w:r>
        <w:rPr>
          <w:rFonts w:hint="eastAsia" w:ascii="仿宋" w:hAnsi="仿宋" w:eastAsia="仿宋"/>
          <w:color w:val="000000"/>
          <w:sz w:val="32"/>
          <w:szCs w:val="32"/>
        </w:rPr>
        <w:t>。</w:t>
      </w:r>
    </w:p>
    <w:p>
      <w:pPr>
        <w:pStyle w:val="2"/>
        <w:spacing w:before="93"/>
        <w:rPr>
          <w:rFonts w:eastAsia="仿宋"/>
        </w:rPr>
      </w:pPr>
      <w:r>
        <w:rPr>
          <w:rFonts w:hint="eastAsia" w:eastAsia="仿宋"/>
        </w:rPr>
        <w:object>
          <v:shape id="_x0000_i1026" o:spt="75" type="#_x0000_t75" style="height:222.55pt;width:353.45pt;" o:ole="t" filled="f" o:preferrelative="t" stroked="f" coordsize="21600,21600">
            <v:path/>
            <v:fill on="f" focussize="0,0"/>
            <v:stroke on="f" joinstyle="miter"/>
            <v:imagedata r:id="rId11" o:title=""/>
            <o:lock v:ext="edit" aspectratio="t"/>
            <w10:wrap type="none"/>
            <w10:anchorlock/>
          </v:shape>
          <o:OLEObject Type="Embed" ProgID="Excel.Sheet.8" ShapeID="_x0000_i1026" DrawAspect="Content" ObjectID="_1468075727" r:id="rId10">
            <o:LockedField>false</o:LockedField>
          </o:OLEObject>
        </w:object>
      </w:r>
    </w:p>
    <w:p>
      <w:pPr>
        <w:spacing w:line="600" w:lineRule="exact"/>
        <w:ind w:firstLine="640" w:firstLineChars="200"/>
        <w:outlineLvl w:val="1"/>
        <w:rPr>
          <w:rStyle w:val="20"/>
          <w:rFonts w:ascii="黑体" w:hAnsi="黑体" w:eastAsia="黑体"/>
          <w:b w:val="0"/>
        </w:rPr>
      </w:pPr>
      <w:bookmarkStart w:id="20" w:name="_Toc15377208"/>
      <w:bookmarkStart w:id="21" w:name="_Toc15396606"/>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20"/>
      <w:bookmarkEnd w:id="21"/>
      <w:r>
        <w:rPr>
          <w:rStyle w:val="33"/>
          <w:rFonts w:hint="eastAsia" w:ascii="黑体" w:hAnsi="黑体" w:eastAsia="黑体"/>
          <w:b w:val="0"/>
        </w:rPr>
        <w:t>(含二级机构)</w:t>
      </w:r>
    </w:p>
    <w:p>
      <w:pPr>
        <w:spacing w:line="600" w:lineRule="exact"/>
        <w:ind w:firstLine="640" w:firstLineChars="200"/>
        <w:rPr>
          <w:rFonts w:ascii="??_GB2312" w:eastAsia="Times New Roman"/>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20年度财政拨款收、支总计1500.02万元。与</w:t>
      </w:r>
      <w:r>
        <w:rPr>
          <w:rFonts w:ascii="仿宋" w:hAnsi="仿宋" w:eastAsia="仿宋"/>
          <w:color w:val="000000"/>
          <w:sz w:val="32"/>
          <w:szCs w:val="32"/>
        </w:rPr>
        <w:t>201</w:t>
      </w:r>
      <w:r>
        <w:rPr>
          <w:rFonts w:hint="eastAsia" w:ascii="仿宋" w:hAnsi="仿宋" w:eastAsia="仿宋"/>
          <w:color w:val="000000"/>
          <w:sz w:val="32"/>
          <w:szCs w:val="32"/>
        </w:rPr>
        <w:t>9年相比，收、支各</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34.94万元，增长2</w:t>
      </w:r>
      <w:r>
        <w:rPr>
          <w:rFonts w:ascii="仿宋" w:hAnsi="仿宋" w:eastAsia="仿宋"/>
          <w:color w:val="000000"/>
          <w:sz w:val="32"/>
          <w:szCs w:val="32"/>
        </w:rPr>
        <w:t>%</w:t>
      </w:r>
      <w:r>
        <w:rPr>
          <w:rFonts w:hint="eastAsia" w:ascii="仿宋" w:hAnsi="仿宋" w:eastAsia="仿宋"/>
          <w:color w:val="000000"/>
          <w:sz w:val="32"/>
          <w:szCs w:val="32"/>
        </w:rPr>
        <w:t>。主要原因是金财网身份认证国产系统升级、全区项目评审经费、全区财政绩效评价工作等支出增加。</w:t>
      </w:r>
    </w:p>
    <w:p>
      <w:pPr>
        <w:spacing w:line="600" w:lineRule="exact"/>
        <w:ind w:firstLine="640" w:firstLineChars="200"/>
        <w:outlineLvl w:val="1"/>
        <w:rPr>
          <w:rStyle w:val="20"/>
          <w:rFonts w:ascii="黑体" w:hAnsi="黑体" w:eastAsia="黑体"/>
          <w:b w:val="0"/>
        </w:rPr>
      </w:pPr>
      <w:bookmarkStart w:id="22" w:name="_Toc15377209"/>
      <w:bookmarkStart w:id="2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22"/>
      <w:bookmarkEnd w:id="23"/>
      <w:r>
        <w:rPr>
          <w:rStyle w:val="33"/>
          <w:rFonts w:hint="eastAsia" w:ascii="黑体" w:hAnsi="黑体" w:eastAsia="黑体"/>
          <w:b w:val="0"/>
        </w:rPr>
        <w:t>(含二级机构)</w:t>
      </w:r>
    </w:p>
    <w:p>
      <w:pPr>
        <w:spacing w:line="600" w:lineRule="exact"/>
        <w:ind w:firstLine="643" w:firstLineChars="200"/>
        <w:outlineLvl w:val="2"/>
        <w:rPr>
          <w:rFonts w:ascii="仿宋" w:hAnsi="仿宋" w:eastAsia="仿宋"/>
          <w:b/>
          <w:color w:val="000000"/>
          <w:sz w:val="32"/>
          <w:szCs w:val="32"/>
        </w:rPr>
      </w:pPr>
      <w:bookmarkStart w:id="24" w:name="_Toc15377210"/>
      <w:r>
        <w:rPr>
          <w:rFonts w:hint="eastAsia" w:ascii="仿宋" w:hAnsi="仿宋" w:eastAsia="仿宋"/>
          <w:b/>
          <w:color w:val="000000"/>
          <w:sz w:val="32"/>
          <w:szCs w:val="32"/>
        </w:rPr>
        <w:t>（一）一般公共预算财政拨款支出决算总体情况</w:t>
      </w:r>
      <w:bookmarkEnd w:id="24"/>
    </w:p>
    <w:p>
      <w:pPr>
        <w:spacing w:line="600" w:lineRule="exact"/>
        <w:ind w:firstLine="640" w:firstLineChars="200"/>
        <w:rPr>
          <w:rFonts w:ascii="??_GB2312" w:eastAsia="Times New Roman"/>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20年一般公共预算财政拨款支出1323.46万元，占本年支出合计的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9年相比，一般公共预算财政拨款增加123.43万元，增长10</w:t>
      </w:r>
      <w:r>
        <w:rPr>
          <w:rFonts w:ascii="仿宋" w:hAnsi="仿宋" w:eastAsia="仿宋"/>
          <w:color w:val="000000"/>
          <w:sz w:val="32"/>
          <w:szCs w:val="32"/>
        </w:rPr>
        <w:t>%</w:t>
      </w:r>
      <w:r>
        <w:rPr>
          <w:rFonts w:hint="eastAsia" w:ascii="仿宋" w:hAnsi="仿宋" w:eastAsia="仿宋"/>
          <w:color w:val="000000"/>
          <w:sz w:val="32"/>
          <w:szCs w:val="32"/>
        </w:rPr>
        <w:t>，主要原因是金财网身份认证国产系统升级、全区项目评审经费纳入单位预算、全区财政绩效评价工作、全区会计人员培训、财政改革等支出增加。</w:t>
      </w:r>
    </w:p>
    <w:p>
      <w:pPr>
        <w:spacing w:line="600" w:lineRule="exact"/>
        <w:ind w:firstLine="640" w:firstLineChars="200"/>
        <w:rPr>
          <w:rFonts w:ascii="??_GB2312" w:eastAsia="Times New Roman"/>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25" w:name="_Toc15377211"/>
      <w:r>
        <w:rPr>
          <w:rFonts w:hint="eastAsia" w:ascii="仿宋" w:hAnsi="仿宋" w:eastAsia="仿宋"/>
          <w:b/>
          <w:color w:val="000000"/>
          <w:sz w:val="32"/>
          <w:szCs w:val="32"/>
        </w:rPr>
        <w:t>（二）一般公共预算财政拨款支出决算结构情况</w:t>
      </w:r>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20年一般公共预算财政拨款支出1323.46万元，主要用于以下方面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支出1160.70万元，占</w:t>
      </w:r>
      <w:r>
        <w:rPr>
          <w:rFonts w:ascii="仿宋" w:hAnsi="仿宋" w:eastAsia="仿宋"/>
          <w:color w:val="000000"/>
          <w:sz w:val="32"/>
          <w:szCs w:val="32"/>
        </w:rPr>
        <w:t>8</w:t>
      </w: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支出76.47万元，占</w:t>
      </w:r>
      <w:r>
        <w:rPr>
          <w:rFonts w:ascii="仿宋" w:hAnsi="仿宋" w:eastAsia="仿宋"/>
          <w:color w:val="000000"/>
          <w:sz w:val="32"/>
          <w:szCs w:val="32"/>
        </w:rPr>
        <w:t>5%</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29.55万元，占</w:t>
      </w:r>
      <w:r>
        <w:rPr>
          <w:rFonts w:ascii="仿宋" w:hAnsi="仿宋" w:eastAsia="仿宋"/>
          <w:color w:val="000000"/>
          <w:sz w:val="32"/>
          <w:szCs w:val="32"/>
        </w:rPr>
        <w:t>2%</w:t>
      </w:r>
      <w:r>
        <w:rPr>
          <w:rFonts w:hint="eastAsia" w:ascii="仿宋" w:hAnsi="仿宋" w:eastAsia="仿宋"/>
          <w:color w:val="000000"/>
          <w:sz w:val="32"/>
          <w:szCs w:val="32"/>
        </w:rPr>
        <w:t>；住房保障支出</w:t>
      </w:r>
      <w:r>
        <w:rPr>
          <w:rFonts w:ascii="仿宋" w:hAnsi="仿宋" w:eastAsia="仿宋"/>
          <w:color w:val="000000"/>
          <w:sz w:val="32"/>
          <w:szCs w:val="32"/>
        </w:rPr>
        <w:t>5</w:t>
      </w: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75万元，占5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26" w:name="_Toc15377212"/>
      <w:r>
        <w:rPr>
          <w:rFonts w:hint="eastAsia" w:ascii="仿宋" w:hAnsi="仿宋" w:eastAsia="仿宋"/>
          <w:b/>
          <w:color w:val="000000"/>
          <w:sz w:val="32"/>
          <w:szCs w:val="32"/>
        </w:rPr>
        <w:t>（三）一般公共预算财政拨款支出决算具体情况</w:t>
      </w:r>
      <w:bookmarkEnd w:id="26"/>
    </w:p>
    <w:p>
      <w:pPr>
        <w:spacing w:line="600" w:lineRule="exact"/>
        <w:ind w:firstLine="643" w:firstLineChars="200"/>
        <w:outlineLvl w:val="2"/>
        <w:rPr>
          <w:rFonts w:ascii="仿宋" w:hAnsi="仿宋" w:eastAsia="仿宋"/>
          <w:color w:val="FF0000"/>
          <w:sz w:val="32"/>
          <w:szCs w:val="32"/>
        </w:rPr>
      </w:pPr>
      <w:bookmarkStart w:id="27" w:name="_Toc15377444"/>
      <w:bookmarkStart w:id="28" w:name="_Toc15377213"/>
      <w:bookmarkStart w:id="29" w:name="_Toc15378460"/>
      <w:r>
        <w:rPr>
          <w:rFonts w:ascii="仿宋" w:hAnsi="仿宋" w:eastAsia="仿宋"/>
          <w:b/>
          <w:color w:val="000000"/>
          <w:sz w:val="32"/>
          <w:szCs w:val="32"/>
        </w:rPr>
        <w:t>20</w:t>
      </w:r>
      <w:r>
        <w:rPr>
          <w:rFonts w:hint="eastAsia" w:ascii="仿宋" w:hAnsi="仿宋" w:eastAsia="仿宋"/>
          <w:b/>
          <w:color w:val="000000"/>
          <w:sz w:val="32"/>
          <w:szCs w:val="32"/>
        </w:rPr>
        <w:t>20年一般公共预算支出决算数为1323.46万元</w:t>
      </w:r>
      <w:r>
        <w:rPr>
          <w:rFonts w:hint="eastAsia" w:ascii="仿宋" w:hAnsi="仿宋" w:eastAsia="仿宋"/>
          <w:color w:val="000000"/>
          <w:sz w:val="32"/>
          <w:szCs w:val="32"/>
        </w:rPr>
        <w:t>，</w:t>
      </w:r>
      <w:r>
        <w:rPr>
          <w:rStyle w:val="16"/>
          <w:rFonts w:hint="eastAsia" w:ascii="仿宋" w:hAnsi="仿宋" w:eastAsia="仿宋"/>
          <w:bCs/>
          <w:color w:val="000000"/>
          <w:sz w:val="32"/>
          <w:szCs w:val="32"/>
        </w:rPr>
        <w:t>完成预算</w:t>
      </w:r>
      <w:r>
        <w:rPr>
          <w:rStyle w:val="16"/>
          <w:rFonts w:ascii="仿宋" w:hAnsi="仿宋" w:eastAsia="仿宋"/>
          <w:bCs/>
          <w:color w:val="000000"/>
          <w:sz w:val="32"/>
          <w:szCs w:val="32"/>
        </w:rPr>
        <w:t>100%</w:t>
      </w:r>
      <w:r>
        <w:rPr>
          <w:rStyle w:val="16"/>
          <w:rFonts w:hint="eastAsia" w:ascii="仿宋" w:hAnsi="仿宋" w:eastAsia="仿宋"/>
          <w:bCs/>
          <w:color w:val="000000"/>
          <w:sz w:val="32"/>
          <w:szCs w:val="32"/>
        </w:rPr>
        <w:t>。其中：</w:t>
      </w:r>
      <w:bookmarkEnd w:id="27"/>
      <w:bookmarkEnd w:id="28"/>
      <w:bookmarkEnd w:id="29"/>
    </w:p>
    <w:p>
      <w:pPr>
        <w:numPr>
          <w:ilvl w:val="0"/>
          <w:numId w:val="2"/>
        </w:num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一般公共服务（类）</w:t>
      </w:r>
      <w:r>
        <w:rPr>
          <w:rStyle w:val="16"/>
          <w:rFonts w:ascii="仿宋" w:hAnsi="仿宋" w:eastAsia="仿宋"/>
          <w:bCs/>
          <w:color w:val="000000"/>
          <w:sz w:val="32"/>
          <w:szCs w:val="32"/>
        </w:rPr>
        <w:t>06</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01</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支出决算为599.36万元，完成预算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numPr>
          <w:ilvl w:val="0"/>
          <w:numId w:val="2"/>
        </w:num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一般公共服务（类）</w:t>
      </w:r>
      <w:r>
        <w:rPr>
          <w:rStyle w:val="16"/>
          <w:rFonts w:ascii="仿宋" w:hAnsi="仿宋" w:eastAsia="仿宋"/>
          <w:bCs/>
          <w:color w:val="000000"/>
          <w:sz w:val="32"/>
          <w:szCs w:val="32"/>
        </w:rPr>
        <w:t>06</w:t>
      </w:r>
      <w:r>
        <w:rPr>
          <w:rStyle w:val="16"/>
          <w:rFonts w:hint="eastAsia" w:ascii="仿宋" w:hAnsi="仿宋" w:eastAsia="仿宋"/>
          <w:bCs/>
          <w:color w:val="000000"/>
          <w:sz w:val="32"/>
          <w:szCs w:val="32"/>
        </w:rPr>
        <w:t>（款）99（项）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支出决算为561.34万元，完成预算76</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。主要原因是：金财网身份认证登录国产密码系统项目等本年度未完成全部支付。</w:t>
      </w:r>
    </w:p>
    <w:p>
      <w:pPr>
        <w:numPr>
          <w:ilvl w:val="0"/>
          <w:numId w:val="2"/>
        </w:num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社会保障和就业（类）</w:t>
      </w:r>
      <w:r>
        <w:rPr>
          <w:rStyle w:val="16"/>
          <w:rFonts w:ascii="仿宋" w:hAnsi="仿宋" w:eastAsia="仿宋"/>
          <w:bCs/>
          <w:color w:val="000000"/>
          <w:sz w:val="32"/>
          <w:szCs w:val="32"/>
        </w:rPr>
        <w:t>05</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05</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支出决算为56.73万元，完成预算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numPr>
          <w:ilvl w:val="0"/>
          <w:numId w:val="2"/>
        </w:numPr>
        <w:spacing w:line="60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4.</w:t>
      </w:r>
      <w:r>
        <w:rPr>
          <w:rStyle w:val="16"/>
          <w:rFonts w:hint="eastAsia" w:ascii="仿宋" w:hAnsi="仿宋" w:eastAsia="仿宋"/>
          <w:bCs/>
          <w:color w:val="000000"/>
          <w:sz w:val="32"/>
          <w:szCs w:val="32"/>
        </w:rPr>
        <w:t>社会保障和就业（类）</w:t>
      </w:r>
      <w:r>
        <w:rPr>
          <w:rStyle w:val="16"/>
          <w:rFonts w:ascii="仿宋" w:hAnsi="仿宋" w:eastAsia="仿宋"/>
          <w:bCs/>
          <w:color w:val="000000"/>
          <w:sz w:val="32"/>
          <w:szCs w:val="32"/>
        </w:rPr>
        <w:t>05</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w:t>
      </w:r>
      <w:r>
        <w:rPr>
          <w:rStyle w:val="16"/>
          <w:rFonts w:hint="eastAsia" w:ascii="仿宋" w:hAnsi="仿宋" w:eastAsia="仿宋"/>
          <w:bCs/>
          <w:color w:val="000000"/>
          <w:sz w:val="32"/>
          <w:szCs w:val="32"/>
        </w:rPr>
        <w:t>6（项）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支出决算为9.98万元，完成预算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pStyle w:val="2"/>
        <w:spacing w:before="93"/>
        <w:rPr>
          <w:rFonts w:eastAsia="仿宋"/>
        </w:rPr>
      </w:pPr>
    </w:p>
    <w:p>
      <w:pPr>
        <w:numPr>
          <w:ilvl w:val="0"/>
          <w:numId w:val="2"/>
        </w:num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社会保障和就业（类）</w:t>
      </w:r>
      <w:r>
        <w:rPr>
          <w:rStyle w:val="16"/>
          <w:rFonts w:ascii="仿宋" w:hAnsi="仿宋" w:eastAsia="仿宋"/>
          <w:bCs/>
          <w:color w:val="000000"/>
          <w:sz w:val="32"/>
          <w:szCs w:val="32"/>
        </w:rPr>
        <w:t>99</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01</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支出决算为9.76万元，完成预算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numPr>
          <w:ilvl w:val="0"/>
          <w:numId w:val="2"/>
        </w:numPr>
        <w:spacing w:line="600" w:lineRule="exact"/>
        <w:ind w:firstLine="643" w:firstLineChars="200"/>
        <w:rPr>
          <w:rStyle w:val="16"/>
          <w:rFonts w:ascii="仿宋" w:hAnsi="仿宋" w:eastAsia="仿宋"/>
          <w:b w:val="0"/>
          <w:bCs/>
          <w:color w:val="000000"/>
          <w:sz w:val="32"/>
          <w:szCs w:val="32"/>
        </w:rPr>
      </w:pP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11</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01</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支出决算为29.55万元，完成预算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numPr>
          <w:ilvl w:val="0"/>
          <w:numId w:val="2"/>
        </w:numPr>
        <w:spacing w:line="600" w:lineRule="exact"/>
        <w:ind w:firstLine="643" w:firstLineChars="200"/>
        <w:rPr>
          <w:rStyle w:val="16"/>
          <w:rFonts w:ascii="仿宋" w:hAnsi="仿宋" w:eastAsia="仿宋"/>
          <w:b w:val="0"/>
          <w:bCs/>
          <w:color w:val="000000"/>
          <w:sz w:val="32"/>
          <w:szCs w:val="32"/>
        </w:rPr>
      </w:pPr>
      <w:r>
        <w:rPr>
          <w:rFonts w:hint="eastAsia" w:ascii="仿宋" w:hAnsi="仿宋" w:eastAsia="仿宋" w:cs="仿宋"/>
          <w:b/>
          <w:bCs/>
          <w:sz w:val="32"/>
          <w:szCs w:val="32"/>
        </w:rPr>
        <w:t>住房保障</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02</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01</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支出决算为56.75万元，完成预算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pStyle w:val="2"/>
        <w:spacing w:before="93"/>
        <w:ind w:firstLine="480" w:firstLineChars="200"/>
      </w:pPr>
    </w:p>
    <w:p>
      <w:pPr>
        <w:pStyle w:val="2"/>
        <w:spacing w:before="93"/>
        <w:ind w:left="420" w:leftChars="200"/>
      </w:pPr>
    </w:p>
    <w:p>
      <w:pPr>
        <w:pStyle w:val="2"/>
        <w:spacing w:before="93"/>
      </w:pPr>
    </w:p>
    <w:p>
      <w:pPr>
        <w:pStyle w:val="2"/>
        <w:spacing w:before="93"/>
      </w:pPr>
    </w:p>
    <w:p>
      <w:pPr>
        <w:tabs>
          <w:tab w:val="right" w:pos="8306"/>
        </w:tabs>
        <w:spacing w:line="600" w:lineRule="exact"/>
        <w:ind w:firstLine="640"/>
        <w:outlineLvl w:val="1"/>
        <w:rPr>
          <w:rStyle w:val="20"/>
        </w:rPr>
      </w:pPr>
      <w:bookmarkStart w:id="30" w:name="_Toc15377214"/>
      <w:bookmarkStart w:id="3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30"/>
      <w:bookmarkEnd w:id="31"/>
      <w:r>
        <w:rPr>
          <w:rStyle w:val="33"/>
          <w:rFonts w:hint="eastAsia" w:ascii="黑体" w:hAnsi="黑体" w:eastAsia="黑体"/>
          <w:b w:val="0"/>
        </w:rPr>
        <w:t>(含二级机构)</w:t>
      </w:r>
      <w:r>
        <w:rPr>
          <w:rStyle w:val="20"/>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20年一般公共预算财政拨款基本支出762.12万元，其中：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667.31万元，主要包括：基本工资、津贴补贴、奖金、绩效工资、机关事业单位基本养老保险缴费、职业年金缴费、职工基本医疗保险缴费、其他社会保障缴费、其他工资福利支出、生活补助、奖励金、住房公积金、抚恤金、生活补助、奖励金。</w:t>
      </w:r>
      <w:r>
        <w:rPr>
          <w:rFonts w:ascii="仿宋" w:hAnsi="仿宋" w:eastAsia="仿宋"/>
          <w:color w:val="000000"/>
          <w:sz w:val="32"/>
          <w:szCs w:val="32"/>
        </w:rPr>
        <w:br w:type="textWrapping"/>
      </w:r>
      <w:r>
        <w:rPr>
          <w:rFonts w:hint="eastAsia" w:ascii="仿宋" w:hAnsi="仿宋" w:eastAsia="仿宋"/>
          <w:color w:val="000000"/>
          <w:sz w:val="32"/>
          <w:szCs w:val="32"/>
        </w:rPr>
        <w:t>　　日常公用经费94.81万元，主要包括：办公费、印刷费、咨询费、手续费、水费、电费、邮电费、物业管理费、差旅费、维修（护）费、租赁费、会议费、公务接待费、工会经费、福利费、其他交通费。</w:t>
      </w:r>
    </w:p>
    <w:p>
      <w:pPr>
        <w:spacing w:line="600" w:lineRule="exact"/>
        <w:ind w:firstLine="640"/>
        <w:outlineLvl w:val="1"/>
        <w:rPr>
          <w:rStyle w:val="20"/>
          <w:rFonts w:ascii="黑体" w:hAnsi="黑体" w:eastAsia="黑体"/>
          <w:b w:val="0"/>
        </w:rPr>
      </w:pPr>
      <w:bookmarkStart w:id="32" w:name="_Toc15377215"/>
      <w:bookmarkStart w:id="33" w:name="_Toc15396609"/>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32"/>
      <w:bookmarkEnd w:id="33"/>
      <w:r>
        <w:rPr>
          <w:rStyle w:val="33"/>
          <w:rFonts w:hint="eastAsia" w:ascii="黑体" w:hAnsi="黑体" w:eastAsia="黑体"/>
          <w:b w:val="0"/>
        </w:rPr>
        <w:t>(含二级机构)</w:t>
      </w:r>
    </w:p>
    <w:p>
      <w:pPr>
        <w:spacing w:line="600" w:lineRule="exact"/>
        <w:ind w:firstLine="640"/>
        <w:outlineLvl w:val="2"/>
        <w:rPr>
          <w:rFonts w:ascii="仿宋" w:hAnsi="仿宋" w:eastAsia="仿宋"/>
          <w:b/>
          <w:color w:val="000000"/>
          <w:sz w:val="32"/>
          <w:szCs w:val="32"/>
        </w:rPr>
      </w:pPr>
      <w:bookmarkStart w:id="34" w:name="_Toc15377216"/>
      <w:r>
        <w:rPr>
          <w:rFonts w:hint="eastAsia" w:ascii="仿宋" w:hAnsi="仿宋" w:eastAsia="仿宋"/>
          <w:b/>
          <w:color w:val="000000"/>
          <w:sz w:val="32"/>
          <w:szCs w:val="32"/>
        </w:rPr>
        <w:t>（一）“三公”经费财政拨款支出决算总体情况说明</w:t>
      </w:r>
      <w:bookmarkEnd w:id="3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20年“三公”经费财政拨款支出决算为1.6万元，完成预算80</w:t>
      </w:r>
      <w:r>
        <w:rPr>
          <w:rFonts w:ascii="仿宋" w:hAnsi="仿宋" w:eastAsia="仿宋"/>
          <w:color w:val="000000"/>
          <w:sz w:val="32"/>
          <w:szCs w:val="32"/>
        </w:rPr>
        <w:t>%</w:t>
      </w:r>
      <w:r>
        <w:rPr>
          <w:rFonts w:hint="eastAsia" w:ascii="仿宋" w:hAnsi="仿宋" w:eastAsia="仿宋"/>
          <w:color w:val="000000"/>
          <w:sz w:val="32"/>
          <w:szCs w:val="32"/>
        </w:rPr>
        <w:t>。主要原因是：推进厉行节约和疫情等因素影响，公务接待减少。</w:t>
      </w:r>
    </w:p>
    <w:p>
      <w:pPr>
        <w:spacing w:line="600" w:lineRule="exact"/>
        <w:ind w:firstLine="640"/>
        <w:outlineLvl w:val="2"/>
        <w:rPr>
          <w:rFonts w:ascii="仿宋" w:hAnsi="仿宋" w:eastAsia="仿宋"/>
          <w:b/>
          <w:color w:val="000000"/>
          <w:sz w:val="32"/>
          <w:szCs w:val="32"/>
        </w:rPr>
      </w:pPr>
      <w:bookmarkStart w:id="35" w:name="_Toc15377217"/>
      <w:r>
        <w:rPr>
          <w:rFonts w:hint="eastAsia" w:ascii="仿宋" w:hAnsi="仿宋" w:eastAsia="仿宋"/>
          <w:b/>
          <w:color w:val="000000"/>
          <w:sz w:val="32"/>
          <w:szCs w:val="32"/>
        </w:rPr>
        <w:t>（二）“三公”经费财政拨款支出决算具体情况说明</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；公务接待费支出决算1.6万元，占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 w:hAnsi="仿宋" w:eastAsia="仿宋" w:cs="仿宋"/>
          <w:color w:val="000000"/>
          <w:sz w:val="32"/>
          <w:szCs w:val="32"/>
        </w:rPr>
      </w:pPr>
      <w:r>
        <w:rPr>
          <w:rFonts w:hint="eastAsia" w:ascii="仿宋" w:hAnsi="仿宋" w:eastAsia="仿宋" w:cs="仿宋"/>
          <w:b/>
          <w:color w:val="000000"/>
          <w:sz w:val="32"/>
          <w:szCs w:val="32"/>
        </w:rPr>
        <w:t>1.因公出国（境）经费支出</w:t>
      </w:r>
      <w:r>
        <w:rPr>
          <w:rFonts w:hint="eastAsia" w:ascii="仿宋" w:hAnsi="仿宋" w:eastAsia="仿宋" w:cs="仿宋"/>
          <w:color w:val="000000"/>
          <w:sz w:val="32"/>
          <w:szCs w:val="32"/>
        </w:rPr>
        <w:t>0万元</w:t>
      </w:r>
      <w:r>
        <w:rPr>
          <w:rStyle w:val="16"/>
          <w:rFonts w:hint="eastAsia" w:ascii="仿宋" w:hAnsi="仿宋" w:eastAsia="仿宋" w:cs="仿宋"/>
          <w:b w:val="0"/>
          <w:bCs/>
          <w:color w:val="000000"/>
          <w:sz w:val="32"/>
          <w:szCs w:val="32"/>
        </w:rPr>
        <w:t>。</w:t>
      </w:r>
      <w:r>
        <w:rPr>
          <w:rFonts w:hint="eastAsia" w:ascii="仿宋" w:hAnsi="仿宋" w:eastAsia="仿宋" w:cs="仿宋"/>
          <w:color w:val="000000"/>
          <w:sz w:val="32"/>
          <w:szCs w:val="32"/>
        </w:rPr>
        <w:t>全年安排因公出国（境）团组0次，出国（境）0人。</w:t>
      </w:r>
    </w:p>
    <w:p>
      <w:pPr>
        <w:spacing w:line="600" w:lineRule="exact"/>
        <w:ind w:firstLine="640"/>
        <w:rPr>
          <w:rFonts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rPr>
        <w:t>0万元</w:t>
      </w:r>
      <w:r>
        <w:rPr>
          <w:rStyle w:val="16"/>
          <w:rFonts w:hint="eastAsia" w:ascii="仿宋" w:hAnsi="仿宋" w:eastAsia="仿宋" w:cs="仿宋"/>
          <w:b w:val="0"/>
          <w:bCs/>
          <w:color w:val="000000"/>
          <w:sz w:val="32"/>
          <w:szCs w:val="32"/>
        </w:rPr>
        <w:t>。</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其中：</w:t>
      </w:r>
      <w:r>
        <w:rPr>
          <w:rFonts w:hint="eastAsia" w:ascii="仿宋" w:hAnsi="仿宋" w:eastAsia="仿宋" w:cs="仿宋"/>
          <w:b/>
          <w:color w:val="000000"/>
          <w:sz w:val="32"/>
          <w:szCs w:val="32"/>
        </w:rPr>
        <w:t>公务用车购置支出</w:t>
      </w:r>
      <w:r>
        <w:rPr>
          <w:rFonts w:hint="eastAsia" w:ascii="仿宋" w:hAnsi="仿宋" w:eastAsia="仿宋" w:cs="仿宋"/>
          <w:color w:val="000000"/>
          <w:sz w:val="32"/>
          <w:szCs w:val="32"/>
        </w:rPr>
        <w:t>0万元。全年按规定更新购置公务用车0辆，金额0元。截至2020年12月底，单位共有公务用车0辆。</w:t>
      </w:r>
    </w:p>
    <w:p>
      <w:pPr>
        <w:spacing w:line="600" w:lineRule="exact"/>
        <w:ind w:firstLine="640"/>
        <w:rPr>
          <w:rFonts w:ascii="仿宋" w:hAnsi="仿宋" w:eastAsia="仿宋" w:cs="仿宋"/>
          <w:color w:val="000000"/>
          <w:sz w:val="32"/>
          <w:szCs w:val="32"/>
        </w:rPr>
      </w:pPr>
      <w:r>
        <w:rPr>
          <w:rFonts w:hint="eastAsia" w:ascii="仿宋" w:hAnsi="仿宋" w:eastAsia="仿宋" w:cs="仿宋"/>
          <w:b/>
          <w:color w:val="000000"/>
          <w:sz w:val="32"/>
          <w:szCs w:val="32"/>
        </w:rPr>
        <w:t>公务用车运行维护费支出</w:t>
      </w:r>
      <w:r>
        <w:rPr>
          <w:rFonts w:hint="eastAsia" w:ascii="仿宋" w:hAnsi="仿宋" w:eastAsia="仿宋" w:cs="仿宋"/>
          <w:color w:val="000000"/>
          <w:sz w:val="32"/>
          <w:szCs w:val="32"/>
        </w:rPr>
        <w:t>0万元。</w:t>
      </w:r>
    </w:p>
    <w:p>
      <w:pPr>
        <w:spacing w:line="600" w:lineRule="exact"/>
        <w:ind w:firstLine="640"/>
        <w:rPr>
          <w:rFonts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color w:val="000000"/>
          <w:sz w:val="32"/>
          <w:szCs w:val="32"/>
        </w:rPr>
        <w:t>1.6万元，</w:t>
      </w:r>
      <w:r>
        <w:rPr>
          <w:rStyle w:val="16"/>
          <w:rFonts w:hint="eastAsia" w:ascii="仿宋" w:hAnsi="仿宋" w:eastAsia="仿宋" w:cs="仿宋"/>
          <w:b w:val="0"/>
          <w:bCs/>
          <w:color w:val="000000"/>
          <w:sz w:val="32"/>
          <w:szCs w:val="32"/>
        </w:rPr>
        <w:t>完成预算100%。</w:t>
      </w:r>
      <w:r>
        <w:rPr>
          <w:rFonts w:hint="eastAsia" w:ascii="仿宋" w:hAnsi="仿宋" w:eastAsia="仿宋" w:cs="仿宋"/>
          <w:color w:val="000000"/>
          <w:sz w:val="32"/>
          <w:szCs w:val="32"/>
        </w:rPr>
        <w:t>公务接待费支出决算比2019年减少3.11万元，下降66%。主要原因是</w:t>
      </w:r>
      <w:r>
        <w:rPr>
          <w:rFonts w:hint="eastAsia" w:ascii="仿宋" w:hAnsi="仿宋" w:eastAsia="仿宋" w:cs="仿宋"/>
          <w:color w:val="000000"/>
          <w:sz w:val="32"/>
          <w:szCs w:val="32"/>
          <w:lang w:eastAsia="zh-CN"/>
        </w:rPr>
        <w:t>压减</w:t>
      </w:r>
      <w:r>
        <w:rPr>
          <w:rFonts w:hint="eastAsia" w:ascii="仿宋" w:hAnsi="仿宋" w:eastAsia="仿宋" w:cs="仿宋"/>
          <w:color w:val="000000"/>
          <w:sz w:val="32"/>
          <w:szCs w:val="32"/>
        </w:rPr>
        <w:t>开支和疫情防控等影响，公务接待活动减少。其中：</w:t>
      </w:r>
    </w:p>
    <w:p>
      <w:pPr>
        <w:spacing w:line="600" w:lineRule="exact"/>
        <w:ind w:firstLine="640"/>
        <w:rPr>
          <w:rFonts w:ascii="仿宋" w:hAnsi="仿宋" w:eastAsia="仿宋" w:cs="仿宋"/>
          <w:color w:val="000000"/>
          <w:sz w:val="32"/>
          <w:szCs w:val="32"/>
        </w:rPr>
      </w:pPr>
      <w:r>
        <w:rPr>
          <w:rFonts w:hint="eastAsia" w:ascii="仿宋" w:hAnsi="仿宋" w:eastAsia="仿宋" w:cs="仿宋"/>
          <w:b/>
          <w:color w:val="000000"/>
          <w:sz w:val="32"/>
          <w:szCs w:val="32"/>
        </w:rPr>
        <w:t>国内公务接待支出</w:t>
      </w:r>
      <w:r>
        <w:rPr>
          <w:rFonts w:hint="eastAsia" w:ascii="仿宋" w:hAnsi="仿宋" w:eastAsia="仿宋" w:cs="仿宋"/>
          <w:color w:val="000000"/>
          <w:sz w:val="32"/>
          <w:szCs w:val="32"/>
        </w:rPr>
        <w:t>1.6万元，主要用于执行公务、开展业务活动开支的交通费、住宿费、用餐费等。国内公务接待16批次，198人次（不包括陪同人员），共计支出1.6万元。</w:t>
      </w:r>
    </w:p>
    <w:p>
      <w:pPr>
        <w:spacing w:line="600" w:lineRule="exact"/>
        <w:ind w:firstLine="640"/>
        <w:outlineLvl w:val="1"/>
        <w:rPr>
          <w:rFonts w:ascii="仿宋" w:hAnsi="仿宋" w:eastAsia="仿宋" w:cs="仿宋"/>
          <w:color w:val="000000"/>
          <w:sz w:val="32"/>
          <w:szCs w:val="32"/>
        </w:rPr>
      </w:pPr>
      <w:bookmarkStart w:id="36" w:name="_Toc15377218"/>
      <w:bookmarkStart w:id="37" w:name="_Toc15396610"/>
    </w:p>
    <w:p>
      <w:pPr>
        <w:spacing w:line="600" w:lineRule="exact"/>
        <w:ind w:firstLine="640"/>
        <w:outlineLvl w:val="1"/>
        <w:rPr>
          <w:rStyle w:val="20"/>
          <w:rFonts w:ascii="仿宋" w:hAnsi="仿宋" w:eastAsia="仿宋" w:cs="仿宋"/>
        </w:rPr>
      </w:pPr>
      <w:r>
        <w:rPr>
          <w:rFonts w:hint="eastAsia" w:ascii="仿宋" w:hAnsi="仿宋" w:eastAsia="仿宋" w:cs="仿宋"/>
          <w:b/>
          <w:bCs/>
          <w:color w:val="000000"/>
          <w:sz w:val="32"/>
          <w:szCs w:val="32"/>
        </w:rPr>
        <w:t>八、</w:t>
      </w:r>
      <w:r>
        <w:rPr>
          <w:rStyle w:val="20"/>
          <w:rFonts w:hint="eastAsia" w:ascii="仿宋" w:hAnsi="仿宋" w:eastAsia="仿宋" w:cs="仿宋"/>
        </w:rPr>
        <w:t>政府性基金预算支出决算情况说明</w:t>
      </w:r>
      <w:bookmarkEnd w:id="36"/>
      <w:bookmarkEnd w:id="37"/>
      <w:r>
        <w:rPr>
          <w:rStyle w:val="33"/>
          <w:rFonts w:hint="eastAsia" w:ascii="仿宋" w:hAnsi="仿宋" w:eastAsia="仿宋" w:cs="仿宋"/>
        </w:rPr>
        <w:t>(含二级机构)</w:t>
      </w:r>
    </w:p>
    <w:p>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2020年政府性基金预算拨款支出0万元。</w:t>
      </w:r>
    </w:p>
    <w:p>
      <w:pPr>
        <w:spacing w:line="600" w:lineRule="exact"/>
        <w:ind w:firstLine="640"/>
        <w:rPr>
          <w:rFonts w:ascii="仿宋" w:hAnsi="仿宋" w:eastAsia="仿宋" w:cs="仿宋"/>
          <w:color w:val="000000"/>
          <w:sz w:val="32"/>
          <w:szCs w:val="32"/>
        </w:rPr>
      </w:pPr>
    </w:p>
    <w:p>
      <w:pPr>
        <w:numPr>
          <w:ilvl w:val="0"/>
          <w:numId w:val="3"/>
        </w:numPr>
        <w:spacing w:line="600" w:lineRule="exact"/>
        <w:ind w:firstLine="640"/>
        <w:outlineLvl w:val="1"/>
        <w:rPr>
          <w:rStyle w:val="20"/>
          <w:rFonts w:ascii="仿宋" w:hAnsi="仿宋" w:eastAsia="仿宋" w:cs="仿宋"/>
          <w:bCs w:val="0"/>
        </w:rPr>
      </w:pPr>
      <w:bookmarkStart w:id="38" w:name="_Toc15396611"/>
      <w:bookmarkStart w:id="39" w:name="_Toc15377219"/>
      <w:r>
        <w:rPr>
          <w:rStyle w:val="20"/>
          <w:rFonts w:hint="eastAsia" w:ascii="仿宋" w:hAnsi="仿宋" w:eastAsia="仿宋" w:cs="仿宋"/>
          <w:bCs w:val="0"/>
        </w:rPr>
        <w:t>国有资本经营预算支出决算情况说明</w:t>
      </w:r>
      <w:bookmarkEnd w:id="38"/>
      <w:bookmarkEnd w:id="39"/>
      <w:r>
        <w:rPr>
          <w:rStyle w:val="33"/>
          <w:rFonts w:hint="eastAsia" w:ascii="仿宋" w:hAnsi="仿宋" w:eastAsia="仿宋" w:cs="仿宋"/>
          <w:bCs w:val="0"/>
        </w:rPr>
        <w:t>(含二级机构)</w:t>
      </w:r>
    </w:p>
    <w:p>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2020年国有资本经营预算拨款支出0万元。</w:t>
      </w:r>
    </w:p>
    <w:p>
      <w:pPr>
        <w:spacing w:line="580" w:lineRule="exact"/>
        <w:jc w:val="center"/>
        <w:rPr>
          <w:rFonts w:ascii="仿宋" w:hAnsi="仿宋" w:eastAsia="仿宋" w:cs="仿宋"/>
          <w:sz w:val="44"/>
          <w:szCs w:val="44"/>
        </w:rPr>
      </w:pPr>
    </w:p>
    <w:p>
      <w:pPr>
        <w:spacing w:line="600" w:lineRule="exact"/>
        <w:ind w:firstLine="803" w:firstLineChars="250"/>
        <w:outlineLvl w:val="1"/>
        <w:rPr>
          <w:rStyle w:val="20"/>
          <w:rFonts w:ascii="仿宋" w:hAnsi="仿宋" w:eastAsia="仿宋" w:cs="仿宋"/>
        </w:rPr>
      </w:pPr>
      <w:bookmarkStart w:id="40" w:name="_Toc15396612"/>
      <w:bookmarkStart w:id="41" w:name="_Toc15377221"/>
      <w:r>
        <w:rPr>
          <w:rFonts w:hint="eastAsia" w:ascii="仿宋" w:hAnsi="仿宋" w:eastAsia="仿宋" w:cs="仿宋"/>
          <w:b/>
          <w:bCs/>
          <w:color w:val="000000"/>
          <w:sz w:val="32"/>
          <w:szCs w:val="32"/>
        </w:rPr>
        <w:t>十</w:t>
      </w:r>
      <w:r>
        <w:rPr>
          <w:rStyle w:val="20"/>
          <w:rFonts w:hint="eastAsia" w:ascii="仿宋" w:hAnsi="仿宋" w:eastAsia="仿宋" w:cs="仿宋"/>
        </w:rPr>
        <w:t>、其他重要事项的情况说明</w:t>
      </w:r>
      <w:bookmarkEnd w:id="40"/>
      <w:bookmarkEnd w:id="41"/>
      <w:r>
        <w:rPr>
          <w:rStyle w:val="33"/>
          <w:rFonts w:hint="eastAsia" w:ascii="仿宋" w:hAnsi="仿宋" w:eastAsia="仿宋" w:cs="仿宋"/>
        </w:rPr>
        <w:t>(含二级机构)</w:t>
      </w:r>
    </w:p>
    <w:p>
      <w:pPr>
        <w:spacing w:line="600" w:lineRule="exact"/>
        <w:ind w:firstLine="643" w:firstLineChars="200"/>
        <w:outlineLvl w:val="2"/>
        <w:rPr>
          <w:rFonts w:ascii="仿宋" w:hAnsi="仿宋" w:eastAsia="仿宋" w:cs="仿宋"/>
          <w:color w:val="000000"/>
          <w:sz w:val="32"/>
          <w:szCs w:val="32"/>
        </w:rPr>
      </w:pPr>
      <w:bookmarkStart w:id="42" w:name="_Toc15377222"/>
      <w:r>
        <w:rPr>
          <w:rFonts w:hint="eastAsia" w:ascii="仿宋" w:hAnsi="仿宋" w:eastAsia="仿宋" w:cs="仿宋"/>
          <w:b/>
          <w:color w:val="000000"/>
          <w:sz w:val="32"/>
          <w:szCs w:val="32"/>
        </w:rPr>
        <w:t>（一）机关运行经费支出情况</w:t>
      </w:r>
      <w:bookmarkEnd w:id="42"/>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2020年，广元市朝天区财政局机关运行经费支出94.81万元，比2019年增加4.76万元，增长</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%。主要原因是本年度在职人员人数增加。</w:t>
      </w:r>
    </w:p>
    <w:p>
      <w:pPr>
        <w:spacing w:line="600" w:lineRule="exact"/>
        <w:ind w:firstLine="643" w:firstLineChars="200"/>
        <w:rPr>
          <w:rFonts w:ascii="仿宋" w:hAnsi="仿宋" w:eastAsia="仿宋" w:cs="仿宋"/>
          <w:b/>
          <w:color w:val="FF0000"/>
          <w:sz w:val="32"/>
          <w:szCs w:val="32"/>
        </w:rPr>
      </w:pPr>
    </w:p>
    <w:p>
      <w:pPr>
        <w:autoSpaceDE w:val="0"/>
        <w:autoSpaceDN w:val="0"/>
        <w:adjustRightInd w:val="0"/>
        <w:spacing w:line="600" w:lineRule="exact"/>
        <w:ind w:firstLine="643" w:firstLineChars="200"/>
        <w:jc w:val="left"/>
        <w:outlineLvl w:val="2"/>
        <w:rPr>
          <w:rFonts w:ascii="仿宋" w:hAnsi="仿宋" w:eastAsia="仿宋" w:cs="仿宋"/>
          <w:b/>
          <w:color w:val="000000"/>
          <w:sz w:val="32"/>
          <w:szCs w:val="32"/>
        </w:rPr>
      </w:pPr>
      <w:bookmarkStart w:id="43" w:name="_Toc15377223"/>
      <w:r>
        <w:rPr>
          <w:rFonts w:hint="eastAsia" w:ascii="仿宋" w:hAnsi="仿宋" w:eastAsia="仿宋" w:cs="仿宋"/>
          <w:b/>
          <w:color w:val="000000"/>
          <w:sz w:val="32"/>
          <w:szCs w:val="32"/>
        </w:rPr>
        <w:t>（二）政府采购支出情况</w:t>
      </w:r>
      <w:bookmarkEnd w:id="43"/>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2020年，广元市朝天区财政局政府采购支出总额103.71万元，其中：政府采购货物支出103.71万元、政府采购工程支出0万元、政府采购服务支出0万元。主要用于日常办公设备采购、金财网身份认证国产密码升级、财政核算平台升级等。</w:t>
      </w:r>
    </w:p>
    <w:p>
      <w:pPr>
        <w:spacing w:line="600" w:lineRule="exact"/>
        <w:ind w:firstLine="643" w:firstLineChars="200"/>
        <w:rPr>
          <w:rFonts w:ascii="仿宋" w:hAnsi="仿宋" w:eastAsia="仿宋" w:cs="仿宋"/>
          <w:b/>
          <w:color w:val="FF0000"/>
          <w:sz w:val="32"/>
          <w:szCs w:val="32"/>
        </w:rPr>
      </w:pPr>
    </w:p>
    <w:p>
      <w:pPr>
        <w:autoSpaceDE w:val="0"/>
        <w:autoSpaceDN w:val="0"/>
        <w:adjustRightInd w:val="0"/>
        <w:spacing w:line="600" w:lineRule="exact"/>
        <w:ind w:firstLine="643" w:firstLineChars="200"/>
        <w:jc w:val="left"/>
        <w:outlineLvl w:val="2"/>
        <w:rPr>
          <w:rFonts w:ascii="仿宋" w:hAnsi="仿宋" w:eastAsia="仿宋" w:cs="仿宋"/>
          <w:b/>
          <w:color w:val="000000"/>
          <w:sz w:val="32"/>
          <w:szCs w:val="32"/>
        </w:rPr>
      </w:pPr>
      <w:bookmarkStart w:id="44" w:name="_Toc15377224"/>
      <w:r>
        <w:rPr>
          <w:rFonts w:hint="eastAsia" w:ascii="仿宋" w:hAnsi="仿宋" w:eastAsia="仿宋" w:cs="仿宋"/>
          <w:b/>
          <w:color w:val="000000"/>
          <w:sz w:val="32"/>
          <w:szCs w:val="32"/>
        </w:rPr>
        <w:t>（三）国有资产占有使用情况</w:t>
      </w:r>
      <w:bookmarkEnd w:id="44"/>
    </w:p>
    <w:p>
      <w:pPr>
        <w:autoSpaceDE w:val="0"/>
        <w:autoSpaceDN w:val="0"/>
        <w:adjustRightInd w:val="0"/>
        <w:spacing w:line="600" w:lineRule="exact"/>
        <w:ind w:firstLine="640" w:firstLineChars="200"/>
        <w:jc w:val="left"/>
        <w:rPr>
          <w:rFonts w:ascii="仿宋" w:hAnsi="仿宋" w:eastAsia="仿宋" w:cs="仿宋"/>
          <w:b/>
          <w:color w:val="FF0000"/>
          <w:sz w:val="32"/>
          <w:szCs w:val="32"/>
        </w:rPr>
      </w:pPr>
      <w:r>
        <w:rPr>
          <w:rFonts w:hint="eastAsia" w:ascii="仿宋" w:hAnsi="仿宋" w:eastAsia="仿宋" w:cs="仿宋"/>
          <w:color w:val="000000"/>
          <w:sz w:val="32"/>
          <w:szCs w:val="32"/>
        </w:rPr>
        <w:t>截至2020年12月31日，广元市朝天区财政局无公务车辆。</w:t>
      </w:r>
    </w:p>
    <w:p>
      <w:pPr>
        <w:autoSpaceDE w:val="0"/>
        <w:autoSpaceDN w:val="0"/>
        <w:adjustRightInd w:val="0"/>
        <w:spacing w:line="600" w:lineRule="exact"/>
        <w:ind w:firstLine="643" w:firstLineChars="200"/>
        <w:jc w:val="left"/>
        <w:outlineLvl w:val="2"/>
        <w:rPr>
          <w:rFonts w:ascii="仿宋" w:hAnsi="仿宋" w:eastAsia="仿宋" w:cs="仿宋"/>
          <w:b/>
          <w:sz w:val="32"/>
          <w:szCs w:val="32"/>
        </w:rPr>
      </w:pPr>
      <w:r>
        <w:rPr>
          <w:rFonts w:hint="eastAsia" w:ascii="仿宋" w:hAnsi="仿宋" w:eastAsia="仿宋" w:cs="仿宋"/>
          <w:b/>
          <w:sz w:val="32"/>
          <w:szCs w:val="32"/>
        </w:rPr>
        <w:t>（四）预算绩效管理情况。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1.项目绩效目标完成情况。</w:t>
      </w:r>
      <w:r>
        <w:rPr>
          <w:rFonts w:hint="eastAsia" w:ascii="仿宋" w:hAnsi="仿宋" w:eastAsia="仿宋" w:cs="仿宋"/>
          <w:sz w:val="32"/>
          <w:szCs w:val="32"/>
        </w:rPr>
        <w:br w:type="textWrapping"/>
      </w:r>
      <w:r>
        <w:rPr>
          <w:rFonts w:hint="eastAsia" w:ascii="仿宋" w:hAnsi="仿宋" w:eastAsia="仿宋" w:cs="仿宋"/>
          <w:sz w:val="32"/>
          <w:szCs w:val="32"/>
        </w:rPr>
        <w:t xml:space="preserve">    本部门在2020年度部门决算中反映“全区绩效评价工作经费”、“金财网身份认证与授权管理系统国产密码算法升级系统购置”等项目绩效目标实际完成情况。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全区绩效评价工作经费项目绩效目标完成情况综述。项目全年预算数9.69万元，执行数为9.69万元，完成预算的100%。通过项目实施，保障了我区绩效评价工作的顺利实施。发现的主要问题：绩效管理意识不到位，相关制度不完善。下一步改进措施：完善有关制度。</w:t>
      </w:r>
    </w:p>
    <w:p>
      <w:pPr>
        <w:spacing w:line="580" w:lineRule="exact"/>
        <w:ind w:firstLine="640" w:firstLineChars="200"/>
        <w:rPr>
          <w:rFonts w:ascii="仿宋" w:hAnsi="仿宋" w:eastAsia="仿宋" w:cs="仿宋"/>
          <w:sz w:val="32"/>
          <w:szCs w:val="32"/>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（2）金财网身份认证与授权管理系统国产密码算法升级系统购置项目绩效目标完成情况综述。项目全年预算数99万元，执行数为40.59万元，完成预算的41%。通过项目实施，提高了我区财政信息系统的安全性。</w:t>
      </w:r>
    </w:p>
    <w:p>
      <w:pPr>
        <w:spacing w:line="580" w:lineRule="exact"/>
        <w:ind w:firstLine="640" w:firstLineChars="200"/>
        <w:rPr>
          <w:rFonts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pStyle w:val="2"/>
        <w:spacing w:before="93"/>
        <w:rPr>
          <w:rFonts w:hint="eastAsia" w:eastAsia="仿宋"/>
        </w:rPr>
      </w:pPr>
    </w:p>
    <w:p>
      <w:pPr>
        <w:pStyle w:val="2"/>
        <w:spacing w:before="93"/>
        <w:rPr>
          <w:rFonts w:hint="eastAsia" w:eastAsia="仿宋"/>
        </w:rPr>
      </w:pPr>
    </w:p>
    <w:p>
      <w:pPr>
        <w:pStyle w:val="2"/>
        <w:spacing w:before="93"/>
        <w:rPr>
          <w:rFonts w:hint="eastAsia" w:eastAsia="仿宋"/>
        </w:rPr>
      </w:pPr>
    </w:p>
    <w:p>
      <w:pPr>
        <w:pStyle w:val="2"/>
        <w:spacing w:before="93"/>
        <w:rPr>
          <w:rFonts w:eastAsia="仿宋"/>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全区绩效评价工作经费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9.69万元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9.69万元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9.69万元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9.69万元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76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sz w:val="24"/>
              </w:rPr>
              <w:t>对2019年度全区预算项目支出、政策支出、部门整体支出开展事后绩效评价。</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1.选定绩效评价目标；                                            2.按照政府采购有关规定进行第三方机构招投标并签订协议，由第三方机构制定评价方案实施绩效评价；  3.第三方机构对绩效评价结果质量负责；                             4.我局按照协议支付评价费用。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 xml:space="preserve">1.以广朝财发〔2020〕53 号文件，选定绩效评价目标18个，其中项目支出12个；政策支出1个；部门整体支出5个。                                   2.按照政府采购有关规定进行第三方机构招投标并签订协议，第三方机构制定评价方案实施绩效评价，于2020年12月将评价结果报送我局；                                                                    3.按照协议支付评价费用。 </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评价项目支出（个）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以评价方案为准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12个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评价政策支出（个）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以评价方案为准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1个</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评价部门整体支出（个）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以评价方案为准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5个</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按照协议执行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资金分配方法合理独立、公平、公正评价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独立、公平、公正评价</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以评价方案为准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2020底完成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2020底完成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以评价方案为准，按照协议支付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会计核算规范以评价方案为准，按照协议支付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9.69万元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社会效益</w:t>
            </w:r>
          </w:p>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第三方机构评价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独立、公平、公正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独立、公平、公正</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社会效益</w:t>
            </w:r>
          </w:p>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社会机构参与度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社会监督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社会监督</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实施重点评价的影响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有利于社会监督财政资金使用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有利于社会监督财政资金使用</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对评价质量满意度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满意</w:t>
            </w:r>
          </w:p>
        </w:tc>
      </w:tr>
      <w:tr>
        <w:tblPrEx>
          <w:tblCellMar>
            <w:top w:w="0" w:type="dxa"/>
            <w:left w:w="0" w:type="dxa"/>
            <w:bottom w:w="0" w:type="dxa"/>
            <w:right w:w="0" w:type="dxa"/>
          </w:tblCellMar>
        </w:tblPrEx>
        <w:trPr>
          <w:trHeight w:val="215" w:hRule="atLeast"/>
          <w:jc w:val="center"/>
        </w:trPr>
        <w:tc>
          <w:tcPr>
            <w:tcW w:w="390" w:type="dxa"/>
          </w:tcPr>
          <w:p>
            <w:pPr>
              <w:widowControl/>
              <w:jc w:val="center"/>
              <w:textAlignment w:val="center"/>
              <w:rPr>
                <w:rFonts w:ascii="仿宋" w:hAnsi="仿宋" w:eastAsia="仿宋" w:cs="仿宋"/>
                <w:color w:val="000000"/>
                <w:sz w:val="24"/>
              </w:rPr>
            </w:pPr>
          </w:p>
        </w:tc>
        <w:tc>
          <w:tcPr>
            <w:tcW w:w="1367" w:type="dxa"/>
          </w:tcPr>
          <w:p>
            <w:pPr>
              <w:widowControl/>
              <w:jc w:val="center"/>
              <w:textAlignment w:val="center"/>
              <w:rPr>
                <w:rFonts w:ascii="仿宋" w:hAnsi="仿宋" w:eastAsia="仿宋" w:cs="仿宋"/>
                <w:color w:val="000000"/>
                <w:sz w:val="24"/>
              </w:rPr>
            </w:pPr>
          </w:p>
        </w:tc>
        <w:tc>
          <w:tcPr>
            <w:tcW w:w="1025" w:type="dxa"/>
            <w:vAlign w:val="center"/>
          </w:tcPr>
          <w:p>
            <w:pPr>
              <w:widowControl/>
              <w:jc w:val="center"/>
              <w:textAlignment w:val="center"/>
              <w:rPr>
                <w:rFonts w:ascii="仿宋" w:hAnsi="仿宋" w:eastAsia="仿宋" w:cs="仿宋"/>
                <w:color w:val="000000"/>
                <w:sz w:val="24"/>
              </w:rPr>
            </w:pPr>
          </w:p>
        </w:tc>
        <w:tc>
          <w:tcPr>
            <w:tcW w:w="2392" w:type="dxa"/>
            <w:vAlign w:val="center"/>
          </w:tcPr>
          <w:p>
            <w:pPr>
              <w:widowControl/>
              <w:jc w:val="center"/>
              <w:textAlignment w:val="center"/>
              <w:rPr>
                <w:rFonts w:ascii="仿宋" w:hAnsi="仿宋" w:eastAsia="仿宋" w:cs="仿宋"/>
                <w:color w:val="000000"/>
                <w:sz w:val="24"/>
              </w:rPr>
            </w:pPr>
          </w:p>
        </w:tc>
        <w:tc>
          <w:tcPr>
            <w:tcW w:w="2394" w:type="dxa"/>
            <w:vAlign w:val="center"/>
          </w:tcPr>
          <w:p>
            <w:pPr>
              <w:widowControl/>
              <w:jc w:val="center"/>
              <w:textAlignment w:val="center"/>
              <w:rPr>
                <w:rFonts w:ascii="仿宋" w:hAnsi="仿宋" w:eastAsia="仿宋" w:cs="仿宋"/>
                <w:color w:val="000000"/>
                <w:sz w:val="24"/>
              </w:rPr>
            </w:pPr>
          </w:p>
        </w:tc>
        <w:tc>
          <w:tcPr>
            <w:tcW w:w="2392" w:type="dxa"/>
            <w:vAlign w:val="center"/>
          </w:tcPr>
          <w:p>
            <w:pPr>
              <w:widowControl/>
              <w:jc w:val="center"/>
              <w:textAlignment w:val="center"/>
              <w:rPr>
                <w:rFonts w:ascii="仿宋" w:hAnsi="仿宋" w:eastAsia="仿宋" w:cs="仿宋"/>
                <w:color w:val="000000"/>
                <w:sz w:val="24"/>
              </w:rPr>
            </w:pPr>
          </w:p>
        </w:tc>
      </w:tr>
    </w:tbl>
    <w:p>
      <w:pPr>
        <w:spacing w:line="580" w:lineRule="exact"/>
        <w:ind w:left="630"/>
        <w:rPr>
          <w:rFonts w:ascii="仿宋" w:hAnsi="仿宋" w:eastAsia="仿宋" w:cs="仿宋"/>
          <w:sz w:val="32"/>
          <w:szCs w:val="32"/>
        </w:rPr>
      </w:pPr>
    </w:p>
    <w:p>
      <w:pPr>
        <w:spacing w:line="580" w:lineRule="exact"/>
        <w:ind w:left="630"/>
        <w:rPr>
          <w:rFonts w:ascii="仿宋" w:hAnsi="仿宋" w:eastAsia="仿宋" w:cs="仿宋"/>
          <w:sz w:val="32"/>
          <w:szCs w:val="32"/>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2"/>
        <w:spacing w:before="93"/>
        <w:rPr>
          <w:rFonts w:eastAsia="仿宋"/>
        </w:rPr>
      </w:pPr>
    </w:p>
    <w:p>
      <w:pPr>
        <w:pStyle w:val="2"/>
        <w:spacing w:before="93"/>
        <w:rPr>
          <w:rFonts w:eastAsia="仿宋"/>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财政局身份认证和授权管理系统国产密码算法升级项目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sz w:val="24"/>
              </w:rPr>
              <w:t>区财政局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40.59万元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40.59万元</w:t>
            </w:r>
          </w:p>
        </w:tc>
      </w:tr>
      <w:tr>
        <w:tblPrEx>
          <w:tblCellMar>
            <w:top w:w="0" w:type="dxa"/>
            <w:left w:w="0" w:type="dxa"/>
            <w:bottom w:w="0" w:type="dxa"/>
            <w:right w:w="0" w:type="dxa"/>
          </w:tblCellMar>
        </w:tblPrEx>
        <w:trPr>
          <w:trHeight w:val="63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76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1、将财政身份认证的CA、RA、KM、身份证网关、数字签名服务器、UK等升级到支持国产密码算法的软硬件产品，达到国家主管部门要求。</w:t>
            </w:r>
          </w:p>
          <w:p>
            <w:pPr>
              <w:pStyle w:val="2"/>
              <w:spacing w:before="93"/>
              <w:rPr>
                <w:rFonts w:eastAsia="仿宋"/>
              </w:rPr>
            </w:pPr>
            <w:r>
              <w:rPr>
                <w:rFonts w:hint="eastAsia" w:eastAsia="仿宋"/>
              </w:rPr>
              <w:t>2、进一步优化设备配置性能，提高系统的健壮性，强化管理能力，提升系统整体的安全性、稳定性。</w:t>
            </w:r>
          </w:p>
          <w:p>
            <w:pPr>
              <w:pStyle w:val="2"/>
              <w:spacing w:before="93"/>
              <w:rPr>
                <w:rFonts w:eastAsia="仿宋"/>
              </w:rPr>
            </w:pPr>
            <w:r>
              <w:rPr>
                <w:rFonts w:hint="eastAsia" w:eastAsia="仿宋"/>
              </w:rPr>
              <w:t>3、为财政业务应用系统推广国产密码算法奠定基础。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1、已将财政身份认证的CA、RA、KM、身份证网关、数字签名服务器、UK等升级到支持国产密码算法的软硬件产品，已达到国家主管部门要求。</w:t>
            </w:r>
          </w:p>
          <w:p>
            <w:pPr>
              <w:pStyle w:val="2"/>
              <w:spacing w:before="93"/>
              <w:rPr>
                <w:rFonts w:eastAsia="仿宋"/>
              </w:rPr>
            </w:pPr>
            <w:r>
              <w:rPr>
                <w:rFonts w:hint="eastAsia" w:eastAsia="仿宋"/>
              </w:rPr>
              <w:t>2、提高了设备配置性能，提高系统的健壮性，强化管理能力，提升系统整体的安全性、稳定性。</w:t>
            </w:r>
          </w:p>
          <w:p>
            <w:pPr>
              <w:widowControl/>
              <w:jc w:val="left"/>
              <w:textAlignment w:val="center"/>
              <w:rPr>
                <w:rFonts w:ascii="仿宋" w:hAnsi="仿宋" w:eastAsia="仿宋" w:cs="仿宋"/>
                <w:color w:val="000000"/>
                <w:sz w:val="24"/>
              </w:rPr>
            </w:pPr>
            <w:r>
              <w:rPr>
                <w:rFonts w:hint="eastAsia" w:eastAsia="仿宋"/>
              </w:rPr>
              <w:t>3、</w:t>
            </w:r>
            <w:r>
              <w:rPr>
                <w:rFonts w:hint="eastAsia" w:eastAsia="仿宋"/>
                <w:sz w:val="24"/>
              </w:rPr>
              <w:t>财政业务应用系统推广国产密码算法奠定基础</w:t>
            </w:r>
            <w:r>
              <w:rPr>
                <w:rFonts w:hint="eastAsia" w:eastAsia="仿宋"/>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将财政身份认证系统、身份证网关、UK设备升级到支持国产密码算法。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优化设备配置和性能，提高系统的健壮性，强化管理能力，提升系整体的安全性、稳定性。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2020底完成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sz w:val="24"/>
              </w:rPr>
              <w:t>按照技术参数与配置标准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目前按照合同约定，已支付40.59万元。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社会效益</w:t>
            </w:r>
          </w:p>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为财政业务应用系统推广国产密码算法奠定了基础。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保证了网络安全，有效的保障了财政资金。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100%</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满意</w:t>
            </w:r>
          </w:p>
        </w:tc>
      </w:tr>
      <w:tr>
        <w:tblPrEx>
          <w:tblCellMar>
            <w:top w:w="0" w:type="dxa"/>
            <w:left w:w="0" w:type="dxa"/>
            <w:bottom w:w="0" w:type="dxa"/>
            <w:right w:w="0" w:type="dxa"/>
          </w:tblCellMar>
        </w:tblPrEx>
        <w:trPr>
          <w:trHeight w:val="215" w:hRule="atLeast"/>
          <w:jc w:val="center"/>
        </w:trPr>
        <w:tc>
          <w:tcPr>
            <w:tcW w:w="390" w:type="dxa"/>
          </w:tcPr>
          <w:p>
            <w:pPr>
              <w:widowControl/>
              <w:jc w:val="center"/>
              <w:textAlignment w:val="center"/>
              <w:rPr>
                <w:rFonts w:ascii="仿宋" w:hAnsi="仿宋" w:eastAsia="仿宋" w:cs="仿宋"/>
                <w:color w:val="000000"/>
                <w:sz w:val="24"/>
              </w:rPr>
            </w:pPr>
          </w:p>
        </w:tc>
        <w:tc>
          <w:tcPr>
            <w:tcW w:w="1367" w:type="dxa"/>
          </w:tcPr>
          <w:p>
            <w:pPr>
              <w:widowControl/>
              <w:jc w:val="center"/>
              <w:textAlignment w:val="center"/>
              <w:rPr>
                <w:rFonts w:ascii="仿宋" w:hAnsi="仿宋" w:eastAsia="仿宋" w:cs="仿宋"/>
                <w:color w:val="000000"/>
                <w:sz w:val="24"/>
              </w:rPr>
            </w:pPr>
          </w:p>
        </w:tc>
        <w:tc>
          <w:tcPr>
            <w:tcW w:w="1025" w:type="dxa"/>
            <w:vAlign w:val="center"/>
          </w:tcPr>
          <w:p>
            <w:pPr>
              <w:widowControl/>
              <w:jc w:val="center"/>
              <w:textAlignment w:val="center"/>
              <w:rPr>
                <w:rFonts w:ascii="仿宋" w:hAnsi="仿宋" w:eastAsia="仿宋" w:cs="仿宋"/>
                <w:color w:val="000000"/>
                <w:sz w:val="24"/>
              </w:rPr>
            </w:pPr>
          </w:p>
        </w:tc>
        <w:tc>
          <w:tcPr>
            <w:tcW w:w="2392" w:type="dxa"/>
            <w:vAlign w:val="center"/>
          </w:tcPr>
          <w:p>
            <w:pPr>
              <w:widowControl/>
              <w:jc w:val="center"/>
              <w:textAlignment w:val="center"/>
              <w:rPr>
                <w:rFonts w:ascii="仿宋" w:hAnsi="仿宋" w:eastAsia="仿宋" w:cs="仿宋"/>
                <w:color w:val="000000"/>
                <w:sz w:val="24"/>
              </w:rPr>
            </w:pPr>
          </w:p>
        </w:tc>
        <w:tc>
          <w:tcPr>
            <w:tcW w:w="2394" w:type="dxa"/>
            <w:vAlign w:val="center"/>
          </w:tcPr>
          <w:p>
            <w:pPr>
              <w:widowControl/>
              <w:jc w:val="center"/>
              <w:textAlignment w:val="center"/>
              <w:rPr>
                <w:rFonts w:ascii="仿宋" w:hAnsi="仿宋" w:eastAsia="仿宋" w:cs="仿宋"/>
                <w:color w:val="000000"/>
                <w:sz w:val="24"/>
              </w:rPr>
            </w:pPr>
          </w:p>
        </w:tc>
        <w:tc>
          <w:tcPr>
            <w:tcW w:w="2392" w:type="dxa"/>
            <w:vAlign w:val="center"/>
          </w:tcPr>
          <w:p>
            <w:pPr>
              <w:widowControl/>
              <w:jc w:val="center"/>
              <w:textAlignment w:val="center"/>
              <w:rPr>
                <w:rFonts w:ascii="仿宋" w:hAnsi="仿宋" w:eastAsia="仿宋" w:cs="仿宋"/>
                <w:color w:val="000000"/>
                <w:sz w:val="24"/>
              </w:rPr>
            </w:pPr>
          </w:p>
        </w:tc>
      </w:tr>
    </w:tbl>
    <w:p>
      <w:pPr>
        <w:pStyle w:val="2"/>
        <w:spacing w:before="93"/>
        <w:rPr>
          <w:rFonts w:eastAsia="仿宋"/>
        </w:rPr>
      </w:pPr>
    </w:p>
    <w:p>
      <w:pPr>
        <w:spacing w:line="580" w:lineRule="exact"/>
        <w:ind w:left="630"/>
        <w:rPr>
          <w:rFonts w:ascii="??_GB2312" w:hAnsi="??_GB2312" w:eastAsia="Times New Roman" w:cs="??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本部门按要求对2020年部门整体支出绩效评价情况开展自评，《广元市朝天区财政局2020年部门整体支出绩效评价报告》见附件（附件1）。</w:t>
      </w: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numPr>
          <w:ilvl w:val="0"/>
          <w:numId w:val="4"/>
        </w:numPr>
        <w:spacing w:line="600" w:lineRule="exact"/>
        <w:ind w:firstLine="660"/>
        <w:jc w:val="center"/>
        <w:outlineLvl w:val="0"/>
        <w:rPr>
          <w:rStyle w:val="19"/>
          <w:rFonts w:ascii="仿宋" w:hAnsi="仿宋" w:eastAsia="仿宋" w:cs="仿宋"/>
        </w:rPr>
      </w:pPr>
      <w:bookmarkStart w:id="45" w:name="_Toc15377225"/>
      <w:bookmarkStart w:id="46" w:name="_Toc15396613"/>
      <w:r>
        <w:rPr>
          <w:rFonts w:hint="eastAsia" w:ascii="仿宋" w:hAnsi="仿宋" w:eastAsia="仿宋" w:cs="仿宋"/>
          <w:b/>
          <w:bCs/>
          <w:color w:val="000000"/>
          <w:sz w:val="44"/>
          <w:szCs w:val="44"/>
        </w:rPr>
        <w:t>名</w:t>
      </w:r>
      <w:r>
        <w:rPr>
          <w:rStyle w:val="19"/>
          <w:rFonts w:hint="eastAsia" w:ascii="仿宋" w:hAnsi="仿宋" w:eastAsia="仿宋" w:cs="仿宋"/>
        </w:rPr>
        <w:t>词解释</w:t>
      </w:r>
      <w:bookmarkEnd w:id="45"/>
      <w:bookmarkEnd w:id="46"/>
    </w:p>
    <w:p>
      <w:pPr>
        <w:spacing w:line="600" w:lineRule="exact"/>
        <w:jc w:val="left"/>
        <w:rPr>
          <w:rFonts w:ascii="仿宋" w:hAnsi="仿宋" w:eastAsia="仿宋" w:cs="仿宋"/>
          <w:b/>
          <w:color w:val="000000"/>
          <w:sz w:val="32"/>
          <w:szCs w:val="32"/>
        </w:rPr>
      </w:pPr>
    </w:p>
    <w:p>
      <w:pPr>
        <w:pStyle w:val="29"/>
        <w:spacing w:line="560" w:lineRule="exact"/>
        <w:ind w:firstLine="640" w:firstLineChars="200"/>
        <w:rPr>
          <w:rFonts w:hAnsi="仿宋"/>
          <w:sz w:val="32"/>
          <w:szCs w:val="32"/>
        </w:rPr>
      </w:pPr>
      <w:r>
        <w:rPr>
          <w:rFonts w:hint="eastAsia" w:hAnsi="仿宋"/>
          <w:sz w:val="32"/>
          <w:szCs w:val="32"/>
        </w:rPr>
        <w:t>1.财政拨款收入：指单位从同级财政部门取得的财政预算资金。</w:t>
      </w:r>
    </w:p>
    <w:p>
      <w:pPr>
        <w:pStyle w:val="29"/>
        <w:spacing w:line="560" w:lineRule="exact"/>
        <w:ind w:firstLine="640" w:firstLineChars="200"/>
        <w:rPr>
          <w:rFonts w:hAnsi="仿宋"/>
          <w:sz w:val="32"/>
          <w:szCs w:val="32"/>
        </w:rPr>
      </w:pPr>
      <w:r>
        <w:rPr>
          <w:rFonts w:hint="eastAsia" w:hAnsi="仿宋"/>
          <w:sz w:val="32"/>
          <w:szCs w:val="32"/>
        </w:rPr>
        <w:t xml:space="preserve">2.年初结转和结余：指以前年度尚未完成、结转到本年按有关规定继续使用的资金。 </w:t>
      </w:r>
    </w:p>
    <w:p>
      <w:pPr>
        <w:pStyle w:val="29"/>
        <w:spacing w:line="560" w:lineRule="exact"/>
        <w:ind w:firstLine="640" w:firstLineChars="200"/>
        <w:rPr>
          <w:rFonts w:hAnsi="仿宋"/>
          <w:sz w:val="32"/>
          <w:szCs w:val="32"/>
        </w:rPr>
      </w:pPr>
      <w:r>
        <w:rPr>
          <w:rFonts w:hint="eastAsia" w:hAnsi="仿宋"/>
          <w:sz w:val="32"/>
          <w:szCs w:val="32"/>
          <w:lang w:val="en-US" w:eastAsia="zh-CN"/>
        </w:rPr>
        <w:t>3</w:t>
      </w:r>
      <w:r>
        <w:rPr>
          <w:rFonts w:hint="eastAsia" w:hAnsi="仿宋"/>
          <w:sz w:val="32"/>
          <w:szCs w:val="32"/>
        </w:rPr>
        <w:t>.年末结转和结余：指单位按有关规定结转到下年或以后年度继续使用的资金。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.一般公共服务（类）06（款）01（项）：指财政事务行政运行，反映行政单位（包括实行公务员管理的事业单位）的基本支出。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.一般公共服务（类）06（款）99（项）：指其他财政事务支出，反映除行政运行、一般行政管理事务、机关服务等以外的其他财政事务方面的支出。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.社会保障和就业（类）05（款）05（项）：指机关事业单位基本养老保险缴费支出，反映由单位缴纳的基本养老保险支出。</w:t>
      </w:r>
    </w:p>
    <w:p>
      <w:pPr>
        <w:spacing w:line="600" w:lineRule="exact"/>
        <w:ind w:firstLine="640" w:firstLineChars="200"/>
        <w:rPr>
          <w:rFonts w:ascii="仿宋" w:hAnsi="仿宋" w:eastAsia="仿宋" w:cs="仿宋"/>
          <w:sz w:val="32"/>
          <w:szCs w:val="32"/>
        </w:rPr>
      </w:pPr>
      <w:r>
        <w:rPr>
          <w:rStyle w:val="16"/>
          <w:rFonts w:hint="eastAsia" w:ascii="仿宋" w:hAnsi="仿宋" w:eastAsia="仿宋" w:cs="仿宋"/>
          <w:b w:val="0"/>
          <w:bCs/>
          <w:color w:val="000000"/>
          <w:sz w:val="32"/>
          <w:szCs w:val="32"/>
          <w:lang w:val="en-US" w:eastAsia="zh-CN"/>
        </w:rPr>
        <w:t>7</w:t>
      </w:r>
      <w:r>
        <w:rPr>
          <w:rStyle w:val="16"/>
          <w:rFonts w:hint="eastAsia" w:ascii="仿宋" w:hAnsi="仿宋" w:eastAsia="仿宋" w:cs="仿宋"/>
          <w:b w:val="0"/>
          <w:bCs/>
          <w:color w:val="000000"/>
          <w:sz w:val="32"/>
          <w:szCs w:val="32"/>
        </w:rPr>
        <w:t xml:space="preserve"> .社会保障和就业（类）05（款）06（项）:指职业年金缴费，反映机关事业单位实施养老保险制度由单位缴纳的职业年金支出。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.社会保障和就业（类）99（款）01（项）：指其他社会保障和就业支出，反映其他用于社会保障和就业方面的支出。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.医疗卫生与计划生育（类）11（款）01（项）：指行政单位医疗，反映行政单位基本医疗保险缴费经费。</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.住房保障（类）02（款）01（项）：指住房公积金，反映行政事业单位按规定比例为职工缴纳的住房公积金。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29"/>
        <w:spacing w:line="560" w:lineRule="exact"/>
        <w:ind w:firstLine="640" w:firstLineChars="200"/>
        <w:rPr>
          <w:rFonts w:hAnsi="仿宋"/>
          <w:sz w:val="32"/>
          <w:szCs w:val="32"/>
        </w:rPr>
      </w:pPr>
      <w:r>
        <w:rPr>
          <w:rFonts w:hint="eastAsia" w:hAnsi="仿宋"/>
          <w:sz w:val="32"/>
          <w:szCs w:val="32"/>
        </w:rPr>
        <w:t>1</w:t>
      </w:r>
      <w:r>
        <w:rPr>
          <w:rFonts w:hint="eastAsia" w:hAnsi="仿宋"/>
          <w:sz w:val="32"/>
          <w:szCs w:val="32"/>
          <w:lang w:val="en-US" w:eastAsia="zh-CN"/>
        </w:rPr>
        <w:t>3</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Ansi="仿宋"/>
          <w:sz w:val="32"/>
          <w:szCs w:val="32"/>
        </w:rPr>
      </w:pPr>
      <w:r>
        <w:rPr>
          <w:rFonts w:hint="eastAsia" w:hAnsi="仿宋"/>
          <w:sz w:val="32"/>
          <w:szCs w:val="32"/>
        </w:rPr>
        <w:t>1</w:t>
      </w:r>
      <w:r>
        <w:rPr>
          <w:rFonts w:hint="eastAsia" w:hAnsi="仿宋"/>
          <w:sz w:val="32"/>
          <w:szCs w:val="32"/>
          <w:lang w:val="en-US" w:eastAsia="zh-CN"/>
        </w:rPr>
        <w:t>4</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29"/>
        <w:spacing w:line="560" w:lineRule="exact"/>
        <w:ind w:firstLine="640" w:firstLineChars="200"/>
        <w:rPr>
          <w:rFonts w:hAnsi="仿宋"/>
          <w:sz w:val="32"/>
          <w:szCs w:val="32"/>
        </w:rPr>
      </w:pPr>
      <w:r>
        <w:rPr>
          <w:rFonts w:hint="eastAsia" w:hAnsi="仿宋"/>
          <w:sz w:val="32"/>
          <w:szCs w:val="32"/>
        </w:rPr>
        <w:t>1</w:t>
      </w:r>
      <w:r>
        <w:rPr>
          <w:rFonts w:hint="eastAsia" w:hAnsi="仿宋"/>
          <w:sz w:val="32"/>
          <w:szCs w:val="32"/>
          <w:lang w:val="en-US" w:eastAsia="zh-CN"/>
        </w:rPr>
        <w:t>7</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Ansi="仿宋"/>
          <w:sz w:val="32"/>
          <w:szCs w:val="32"/>
        </w:rPr>
      </w:pPr>
      <w:r>
        <w:rPr>
          <w:rFonts w:hint="eastAsia" w:hAnsi="仿宋"/>
          <w:sz w:val="32"/>
          <w:szCs w:val="32"/>
        </w:rPr>
        <w:t>1</w:t>
      </w:r>
      <w:r>
        <w:rPr>
          <w:rFonts w:hint="eastAsia" w:hAnsi="仿宋"/>
          <w:sz w:val="32"/>
          <w:szCs w:val="32"/>
          <w:lang w:val="en-US" w:eastAsia="zh-CN"/>
        </w:rPr>
        <w:t>8</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spacing w:line="560" w:lineRule="exact"/>
        <w:ind w:firstLine="640" w:firstLineChars="200"/>
        <w:rPr>
          <w:rFonts w:hAnsi="仿宋"/>
          <w:sz w:val="32"/>
          <w:szCs w:val="32"/>
        </w:rPr>
      </w:pPr>
    </w:p>
    <w:p>
      <w:pPr>
        <w:spacing w:line="600" w:lineRule="exact"/>
        <w:jc w:val="center"/>
        <w:outlineLvl w:val="0"/>
        <w:rPr>
          <w:rFonts w:ascii="仿宋" w:hAnsi="仿宋" w:eastAsia="仿宋"/>
          <w:b/>
          <w:color w:val="000000"/>
          <w:sz w:val="32"/>
          <w:szCs w:val="32"/>
        </w:rPr>
      </w:pPr>
      <w:bookmarkStart w:id="47" w:name="_Toc15396614"/>
      <w:bookmarkStart w:id="48" w:name="_Toc15377226"/>
    </w:p>
    <w:p>
      <w:pPr>
        <w:spacing w:line="600" w:lineRule="exact"/>
        <w:jc w:val="center"/>
        <w:outlineLvl w:val="0"/>
        <w:rPr>
          <w:rFonts w:ascii="仿宋" w:hAnsi="仿宋" w:eastAsia="仿宋"/>
          <w:b/>
          <w:color w:val="000000"/>
          <w:sz w:val="32"/>
          <w:szCs w:val="32"/>
        </w:rPr>
      </w:pPr>
    </w:p>
    <w:p>
      <w:pPr>
        <w:spacing w:line="600" w:lineRule="exact"/>
        <w:jc w:val="center"/>
        <w:outlineLvl w:val="0"/>
        <w:rPr>
          <w:rFonts w:ascii="仿宋" w:hAnsi="仿宋" w:eastAsia="仿宋"/>
          <w:b/>
          <w:color w:val="000000"/>
          <w:sz w:val="32"/>
          <w:szCs w:val="32"/>
        </w:rPr>
      </w:pPr>
    </w:p>
    <w:p>
      <w:pPr>
        <w:spacing w:line="600" w:lineRule="exact"/>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pStyle w:val="2"/>
      </w:pPr>
    </w:p>
    <w:p>
      <w:pPr>
        <w:spacing w:line="600" w:lineRule="exact"/>
        <w:jc w:val="center"/>
        <w:outlineLvl w:val="0"/>
        <w:rPr>
          <w:rStyle w:val="19"/>
          <w:rFonts w:ascii="黑体" w:hAnsi="黑体" w:eastAsia="黑体"/>
          <w:b w:val="0"/>
        </w:rPr>
      </w:pPr>
      <w:r>
        <w:rPr>
          <w:rFonts w:hint="eastAsia" w:ascii="黑体" w:hAnsi="黑体" w:eastAsia="黑体"/>
          <w:color w:val="000000"/>
          <w:sz w:val="44"/>
          <w:szCs w:val="44"/>
        </w:rPr>
        <w:t>第</w:t>
      </w:r>
      <w:r>
        <w:rPr>
          <w:rStyle w:val="19"/>
          <w:rFonts w:hint="eastAsia" w:ascii="黑体" w:hAnsi="黑体" w:eastAsia="黑体"/>
          <w:b w:val="0"/>
        </w:rPr>
        <w:t>四部分附件</w:t>
      </w:r>
      <w:bookmarkEnd w:id="4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黑体" w:hAnsi="宋体" w:eastAsia="黑体" w:cs="宋体"/>
          <w:color w:val="000000"/>
          <w:kern w:val="0"/>
          <w:sz w:val="24"/>
          <w:szCs w:val="32"/>
          <w:shd w:val="clear" w:color="auto" w:fill="FFFFFF"/>
        </w:rPr>
      </w:pPr>
      <w:r>
        <w:rPr>
          <w:rFonts w:hint="eastAsia" w:ascii="方正小标宋简体" w:hAnsi="宋体" w:eastAsia="方正小标宋简体"/>
          <w:color w:val="000000"/>
          <w:kern w:val="0"/>
          <w:sz w:val="32"/>
          <w:szCs w:val="32"/>
        </w:rPr>
        <w:t>广元市朝天区财政局</w:t>
      </w:r>
      <w:r>
        <w:rPr>
          <w:rFonts w:ascii="方正小标宋简体" w:hAnsi="宋体" w:eastAsia="方正小标宋简体"/>
          <w:color w:val="000000"/>
          <w:kern w:val="0"/>
          <w:sz w:val="32"/>
          <w:szCs w:val="32"/>
        </w:rPr>
        <w:t>20</w:t>
      </w:r>
      <w:r>
        <w:rPr>
          <w:rFonts w:hint="eastAsia" w:ascii="方正小标宋简体" w:hAnsi="宋体" w:eastAsia="方正小标宋简体"/>
          <w:color w:val="000000"/>
          <w:kern w:val="0"/>
          <w:sz w:val="32"/>
          <w:szCs w:val="32"/>
        </w:rPr>
        <w:t>20年部门</w:t>
      </w:r>
      <w:r>
        <w:rPr>
          <w:rFonts w:hint="eastAsia" w:ascii="方正小标宋简体" w:hAnsi="宋体" w:eastAsia="方正小标宋简体"/>
          <w:color w:val="000000"/>
          <w:kern w:val="0"/>
          <w:sz w:val="32"/>
          <w:szCs w:val="32"/>
          <w:lang w:val="zh-CN"/>
        </w:rPr>
        <w:t>整体支出绩效评价报告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（一）机构组成。</w:t>
      </w:r>
    </w:p>
    <w:p>
      <w:pPr>
        <w:pStyle w:val="2"/>
        <w:adjustRightInd w:val="0"/>
        <w:snapToGrid w:val="0"/>
        <w:spacing w:before="93" w:line="600" w:lineRule="exact"/>
        <w:ind w:firstLine="640" w:firstLineChars="200"/>
        <w:outlineLvl w:val="2"/>
        <w:rPr>
          <w:rFonts w:ascii="仿宋" w:hAnsi="仿宋" w:eastAsia="仿宋" w:cs="仿宋"/>
          <w:bCs/>
          <w:color w:val="000000"/>
          <w:sz w:val="32"/>
          <w:szCs w:val="32"/>
        </w:rPr>
      </w:pPr>
      <w:r>
        <w:rPr>
          <w:rFonts w:hint="eastAsia" w:ascii="仿宋" w:hAnsi="仿宋" w:eastAsia="仿宋" w:cs="仿宋"/>
          <w:bCs/>
          <w:color w:val="000000"/>
          <w:sz w:val="32"/>
          <w:szCs w:val="32"/>
        </w:rPr>
        <w:t>财政局含财政局机关和财政国库支付中心，其中财政国库支付中心为其所属二级预算单位。局机关内设办公室、财政评审中心、采购监督股、国库股、预算股、农业股、投资股、行政政法股、教科文股、乡财股、社保股、企业股、外金股、绩效评价股、财法股（会计股）、综合股。</w:t>
      </w:r>
    </w:p>
    <w:p>
      <w:pPr>
        <w:pStyle w:val="2"/>
        <w:adjustRightInd w:val="0"/>
        <w:snapToGrid w:val="0"/>
        <w:spacing w:before="93" w:line="600" w:lineRule="exact"/>
        <w:ind w:firstLine="672" w:firstLineChars="210"/>
        <w:outlineLvl w:val="2"/>
        <w:rPr>
          <w:rFonts w:ascii="仿宋" w:hAnsi="仿宋" w:eastAsia="仿宋" w:cs="仿宋"/>
          <w:bCs/>
          <w:color w:val="000000"/>
          <w:sz w:val="32"/>
          <w:szCs w:val="32"/>
        </w:rPr>
      </w:pPr>
    </w:p>
    <w:p>
      <w:pPr>
        <w:pStyle w:val="12"/>
        <w:shd w:val="clear" w:color="auto" w:fill="FFFFFF"/>
        <w:spacing w:before="93" w:line="285" w:lineRule="atLeast"/>
        <w:ind w:firstLine="640" w:firstLineChars="200"/>
        <w:rPr>
          <w:rFonts w:ascii="仿宋" w:hAnsi="仿宋" w:eastAsia="仿宋" w:cs="??_GB2312"/>
          <w:sz w:val="32"/>
          <w:szCs w:val="32"/>
        </w:rPr>
      </w:pPr>
      <w:r>
        <w:rPr>
          <w:rFonts w:hint="eastAsia" w:ascii="仿宋" w:hAnsi="仿宋" w:eastAsia="仿宋" w:cs="??_GB2312"/>
          <w:sz w:val="32"/>
          <w:szCs w:val="32"/>
        </w:rPr>
        <w:t>（二）机构职能。</w:t>
      </w:r>
    </w:p>
    <w:p>
      <w:pPr>
        <w:pStyle w:val="12"/>
        <w:shd w:val="clear" w:color="auto" w:fill="FFFFFF"/>
        <w:spacing w:before="93" w:line="285" w:lineRule="atLeast"/>
        <w:ind w:firstLine="800" w:firstLineChars="250"/>
        <w:rPr>
          <w:rFonts w:ascii="仿宋" w:hAnsi="仿宋" w:eastAsia="仿宋"/>
          <w:color w:val="333333"/>
          <w:sz w:val="32"/>
          <w:szCs w:val="32"/>
        </w:rPr>
      </w:pPr>
      <w:r>
        <w:rPr>
          <w:rFonts w:ascii="仿宋" w:hAnsi="仿宋" w:eastAsia="仿宋"/>
          <w:color w:val="333333"/>
          <w:sz w:val="32"/>
          <w:szCs w:val="32"/>
        </w:rPr>
        <w:t>1</w:t>
      </w:r>
      <w:r>
        <w:rPr>
          <w:rFonts w:hint="eastAsia" w:ascii="仿宋" w:hAnsi="仿宋" w:eastAsia="仿宋"/>
          <w:color w:val="333333"/>
          <w:sz w:val="32"/>
          <w:szCs w:val="32"/>
        </w:rPr>
        <w:t>、拟订全区财政、税收的发展战略、规划、政策和改革方案并组织实施；参与宏观经济分析预测和全区重大宏观经济政策的制定；提出运用财税政策实施宏观经济调控和综合平衡全区财力的建议。</w:t>
      </w:r>
    </w:p>
    <w:p>
      <w:pPr>
        <w:pStyle w:val="12"/>
        <w:shd w:val="clear" w:color="auto" w:fill="FFFFFF"/>
        <w:spacing w:line="285" w:lineRule="atLeast"/>
        <w:ind w:firstLine="640" w:firstLineChars="200"/>
        <w:rPr>
          <w:rFonts w:ascii="仿宋" w:hAnsi="仿宋" w:eastAsia="仿宋"/>
          <w:color w:val="333333"/>
          <w:sz w:val="32"/>
          <w:szCs w:val="32"/>
        </w:rPr>
      </w:pPr>
      <w:r>
        <w:rPr>
          <w:rFonts w:ascii="仿宋" w:hAnsi="仿宋" w:eastAsia="仿宋"/>
          <w:color w:val="333333"/>
          <w:sz w:val="32"/>
          <w:szCs w:val="32"/>
        </w:rPr>
        <w:t>2</w:t>
      </w:r>
      <w:r>
        <w:rPr>
          <w:rFonts w:hint="eastAsia" w:ascii="仿宋" w:hAnsi="仿宋" w:eastAsia="仿宋"/>
          <w:color w:val="333333"/>
          <w:sz w:val="32"/>
          <w:szCs w:val="32"/>
        </w:rPr>
        <w:t>、贯彻执行国家财税法律、法规和方针、政策，组织起草地方性财税法规的实施办法和政策规定并组织实施。按照管理权限管理全区税政事项。</w:t>
      </w:r>
    </w:p>
    <w:p>
      <w:pPr>
        <w:pStyle w:val="12"/>
        <w:shd w:val="clear" w:color="auto" w:fill="FFFFFF"/>
        <w:spacing w:line="285" w:lineRule="atLeast"/>
        <w:ind w:firstLine="640" w:firstLineChars="200"/>
        <w:rPr>
          <w:rFonts w:ascii="仿宋" w:hAnsi="仿宋" w:eastAsia="仿宋"/>
          <w:color w:val="333333"/>
          <w:sz w:val="32"/>
          <w:szCs w:val="32"/>
        </w:rPr>
      </w:pPr>
      <w:r>
        <w:rPr>
          <w:rFonts w:ascii="仿宋" w:hAnsi="仿宋" w:eastAsia="仿宋"/>
          <w:color w:val="333333"/>
          <w:sz w:val="32"/>
          <w:szCs w:val="32"/>
        </w:rPr>
        <w:t>3</w:t>
      </w:r>
      <w:r>
        <w:rPr>
          <w:rFonts w:hint="eastAsia" w:ascii="仿宋" w:hAnsi="仿宋" w:eastAsia="仿宋"/>
          <w:color w:val="333333"/>
          <w:sz w:val="32"/>
          <w:szCs w:val="32"/>
        </w:rPr>
        <w:t>、承担各项财政收支管理。负责编制年度区级预决算草案并组织实施。受区政府委托，向区人民代表大会报告全区预算及其执行情况，向区人大常委会报告决算。组织制定经费开支标准、定额，负责审核批复部门（单位）的年度预决算。</w:t>
      </w:r>
    </w:p>
    <w:p>
      <w:pPr>
        <w:pStyle w:val="12"/>
        <w:shd w:val="clear" w:color="auto" w:fill="FFFFFF"/>
        <w:spacing w:line="285" w:lineRule="atLeast"/>
        <w:ind w:firstLine="480"/>
        <w:rPr>
          <w:rFonts w:hint="eastAsia" w:ascii="仿宋" w:hAnsi="仿宋" w:eastAsia="仿宋"/>
          <w:color w:val="333333"/>
          <w:sz w:val="32"/>
          <w:szCs w:val="32"/>
        </w:rPr>
      </w:pPr>
      <w:r>
        <w:rPr>
          <w:rFonts w:ascii="仿宋" w:hAnsi="仿宋" w:eastAsia="仿宋"/>
          <w:color w:val="333333"/>
          <w:sz w:val="32"/>
          <w:szCs w:val="32"/>
        </w:rPr>
        <w:t>4</w:t>
      </w:r>
      <w:r>
        <w:rPr>
          <w:rFonts w:hint="eastAsia" w:ascii="仿宋" w:hAnsi="仿宋" w:eastAsia="仿宋"/>
          <w:color w:val="333333"/>
          <w:sz w:val="32"/>
          <w:szCs w:val="32"/>
        </w:rPr>
        <w:t>、负责政府非税收入管理。负责政府性基金管理，按规定管理行政事业性收费。管理财政票据。</w:t>
      </w:r>
    </w:p>
    <w:p>
      <w:pPr>
        <w:pStyle w:val="12"/>
        <w:shd w:val="clear" w:color="auto" w:fill="FFFFFF"/>
        <w:spacing w:line="285" w:lineRule="atLeast"/>
        <w:ind w:firstLine="480"/>
        <w:rPr>
          <w:rFonts w:ascii="仿宋" w:hAnsi="仿宋" w:eastAsia="仿宋"/>
          <w:color w:val="333333"/>
          <w:sz w:val="32"/>
          <w:szCs w:val="32"/>
        </w:rPr>
      </w:pPr>
      <w:r>
        <w:rPr>
          <w:rFonts w:ascii="仿宋" w:hAnsi="仿宋" w:eastAsia="仿宋"/>
          <w:color w:val="333333"/>
          <w:sz w:val="32"/>
          <w:szCs w:val="32"/>
        </w:rPr>
        <w:t>5</w:t>
      </w:r>
      <w:r>
        <w:rPr>
          <w:rFonts w:hint="eastAsia" w:ascii="仿宋" w:hAnsi="仿宋" w:eastAsia="仿宋"/>
          <w:color w:val="333333"/>
          <w:sz w:val="32"/>
          <w:szCs w:val="32"/>
        </w:rPr>
        <w:t>、制定全区国库管理制度、国库集中收付制度，指导和监督国库业务，组织开展国库现金管理工作。制定政府采购制度，编制政府采购预算，监督管理全区政府采购工作。</w:t>
      </w:r>
    </w:p>
    <w:p>
      <w:pPr>
        <w:pStyle w:val="12"/>
        <w:shd w:val="clear" w:color="auto" w:fill="FFFFFF"/>
        <w:spacing w:line="285" w:lineRule="atLeast"/>
        <w:ind w:firstLine="480"/>
        <w:rPr>
          <w:rFonts w:ascii="仿宋" w:hAnsi="仿宋" w:eastAsia="仿宋"/>
          <w:color w:val="333333"/>
          <w:sz w:val="32"/>
          <w:szCs w:val="32"/>
        </w:rPr>
      </w:pPr>
      <w:r>
        <w:rPr>
          <w:rFonts w:ascii="仿宋" w:hAnsi="仿宋" w:eastAsia="仿宋"/>
          <w:color w:val="333333"/>
          <w:sz w:val="32"/>
          <w:szCs w:val="32"/>
        </w:rPr>
        <w:t>6</w:t>
      </w:r>
      <w:r>
        <w:rPr>
          <w:rFonts w:hint="eastAsia" w:ascii="仿宋" w:hAnsi="仿宋" w:eastAsia="仿宋"/>
          <w:color w:val="333333"/>
          <w:sz w:val="32"/>
          <w:szCs w:val="32"/>
        </w:rPr>
        <w:t>、负责全区行政事业单位国有资产购置、审批、拍卖等管理工作；负责制定行政事业单位国有资产管理的规章制度并组织实施。</w:t>
      </w:r>
    </w:p>
    <w:p>
      <w:pPr>
        <w:pStyle w:val="12"/>
        <w:shd w:val="clear" w:color="auto" w:fill="FFFFFF"/>
        <w:spacing w:line="285" w:lineRule="atLeast"/>
        <w:ind w:firstLine="480"/>
        <w:rPr>
          <w:rFonts w:ascii="仿宋" w:hAnsi="仿宋" w:eastAsia="仿宋"/>
          <w:color w:val="333333"/>
          <w:sz w:val="32"/>
          <w:szCs w:val="32"/>
        </w:rPr>
      </w:pPr>
      <w:r>
        <w:rPr>
          <w:rFonts w:ascii="仿宋" w:hAnsi="仿宋" w:eastAsia="仿宋"/>
          <w:color w:val="333333"/>
          <w:sz w:val="32"/>
          <w:szCs w:val="32"/>
        </w:rPr>
        <w:t>7</w:t>
      </w:r>
      <w:r>
        <w:rPr>
          <w:rFonts w:hint="eastAsia" w:ascii="仿宋" w:hAnsi="仿宋" w:eastAsia="仿宋"/>
          <w:color w:val="333333"/>
          <w:sz w:val="32"/>
          <w:szCs w:val="32"/>
        </w:rPr>
        <w:t>、审核和汇总编制全区国有资本经营预决算草案，制订国有资本经营预算的制度和办法，收取区本级企业国有资本收益，组织实施企业财务制度，管理金融类企业国有资产，拟订企业国有资产管理相关制度，管理资产评估工作。</w:t>
      </w:r>
    </w:p>
    <w:p>
      <w:pPr>
        <w:pStyle w:val="12"/>
        <w:shd w:val="clear" w:color="auto" w:fill="FFFFFF"/>
        <w:spacing w:line="285" w:lineRule="atLeast"/>
        <w:ind w:firstLine="480"/>
        <w:rPr>
          <w:rFonts w:hint="eastAsia" w:ascii="仿宋" w:hAnsi="仿宋" w:eastAsia="仿宋"/>
          <w:color w:val="333333"/>
          <w:sz w:val="32"/>
          <w:szCs w:val="32"/>
        </w:rPr>
      </w:pPr>
      <w:r>
        <w:rPr>
          <w:rFonts w:ascii="仿宋" w:hAnsi="仿宋" w:eastAsia="仿宋"/>
          <w:color w:val="333333"/>
          <w:sz w:val="32"/>
          <w:szCs w:val="32"/>
        </w:rPr>
        <w:t>8</w:t>
      </w:r>
      <w:r>
        <w:rPr>
          <w:rFonts w:hint="eastAsia" w:ascii="仿宋" w:hAnsi="仿宋" w:eastAsia="仿宋"/>
          <w:color w:val="333333"/>
          <w:sz w:val="32"/>
          <w:szCs w:val="32"/>
        </w:rPr>
        <w:t>、负责管理和监督财政性经济发展支出、政府性投资项目的财政拨款，参与拟订政府性建设投资的有关政策，制定基本建设财务制度，负责投资评审管理工作。负责有关政策性补贴和专项储备资金财政管理工作。</w:t>
      </w:r>
    </w:p>
    <w:p>
      <w:pPr>
        <w:pStyle w:val="12"/>
        <w:shd w:val="clear" w:color="auto" w:fill="FFFFFF"/>
        <w:spacing w:line="285" w:lineRule="atLeast"/>
        <w:ind w:firstLine="480"/>
        <w:rPr>
          <w:rFonts w:ascii="仿宋" w:hAnsi="仿宋" w:eastAsia="仿宋"/>
          <w:color w:val="333333"/>
          <w:sz w:val="32"/>
          <w:szCs w:val="32"/>
        </w:rPr>
      </w:pPr>
      <w:r>
        <w:rPr>
          <w:rFonts w:ascii="仿宋" w:hAnsi="仿宋" w:eastAsia="仿宋"/>
          <w:color w:val="333333"/>
          <w:sz w:val="32"/>
          <w:szCs w:val="32"/>
        </w:rPr>
        <w:t>9</w:t>
      </w:r>
      <w:r>
        <w:rPr>
          <w:rFonts w:hint="eastAsia" w:ascii="仿宋" w:hAnsi="仿宋" w:eastAsia="仿宋"/>
          <w:color w:val="333333"/>
          <w:sz w:val="32"/>
          <w:szCs w:val="32"/>
        </w:rPr>
        <w:t>、会同相关部门管理全区社会保障和就业及医疗卫生支出，会同相关部门拟订社会保障资金（基金）的财务管理制度，编制区级社会保障预决算草案。</w:t>
      </w:r>
    </w:p>
    <w:p>
      <w:pPr>
        <w:pStyle w:val="12"/>
        <w:shd w:val="clear" w:color="auto" w:fill="FFFFFF"/>
        <w:spacing w:line="285" w:lineRule="atLeast"/>
        <w:ind w:firstLine="480"/>
        <w:rPr>
          <w:rFonts w:hint="eastAsia" w:ascii="仿宋" w:hAnsi="仿宋" w:eastAsia="仿宋"/>
          <w:color w:val="333333"/>
          <w:sz w:val="32"/>
          <w:szCs w:val="32"/>
        </w:rPr>
      </w:pPr>
      <w:r>
        <w:rPr>
          <w:rFonts w:ascii="仿宋" w:hAnsi="仿宋" w:eastAsia="仿宋"/>
          <w:color w:val="333333"/>
          <w:sz w:val="32"/>
          <w:szCs w:val="32"/>
        </w:rPr>
        <w:t>10</w:t>
      </w:r>
      <w:r>
        <w:rPr>
          <w:rFonts w:hint="eastAsia" w:ascii="仿宋" w:hAnsi="仿宋" w:eastAsia="仿宋"/>
          <w:color w:val="333333"/>
          <w:sz w:val="32"/>
          <w:szCs w:val="32"/>
        </w:rPr>
        <w:t>、组织实施政府债务管理制度和政策，制定具体管理办法，管理政府债务，防范财政风险。</w:t>
      </w:r>
    </w:p>
    <w:p>
      <w:pPr>
        <w:pStyle w:val="12"/>
        <w:shd w:val="clear" w:color="auto" w:fill="FFFFFF"/>
        <w:spacing w:line="285" w:lineRule="atLeast"/>
        <w:ind w:firstLine="480"/>
        <w:rPr>
          <w:rFonts w:ascii="仿宋" w:hAnsi="仿宋" w:eastAsia="仿宋"/>
          <w:color w:val="333333"/>
          <w:sz w:val="32"/>
          <w:szCs w:val="32"/>
        </w:rPr>
      </w:pPr>
      <w:r>
        <w:rPr>
          <w:rFonts w:ascii="仿宋" w:hAnsi="仿宋" w:eastAsia="仿宋"/>
          <w:color w:val="333333"/>
          <w:sz w:val="32"/>
          <w:szCs w:val="32"/>
        </w:rPr>
        <w:t>11</w:t>
      </w:r>
      <w:r>
        <w:rPr>
          <w:rFonts w:hint="eastAsia" w:ascii="仿宋" w:hAnsi="仿宋" w:eastAsia="仿宋"/>
          <w:color w:val="333333"/>
          <w:sz w:val="32"/>
          <w:szCs w:val="32"/>
        </w:rPr>
        <w:t>、负责全区的会计工作，监督和规范会计行为，组织实施国家统一的会计制度。</w:t>
      </w:r>
    </w:p>
    <w:p>
      <w:pPr>
        <w:pStyle w:val="12"/>
        <w:shd w:val="clear" w:color="auto" w:fill="FFFFFF"/>
        <w:spacing w:line="285" w:lineRule="atLeast"/>
        <w:ind w:firstLine="480"/>
        <w:rPr>
          <w:rFonts w:ascii="仿宋" w:hAnsi="仿宋" w:eastAsia="仿宋"/>
          <w:color w:val="333333"/>
          <w:sz w:val="32"/>
          <w:szCs w:val="32"/>
        </w:rPr>
      </w:pPr>
      <w:r>
        <w:rPr>
          <w:rFonts w:ascii="仿宋" w:hAnsi="仿宋" w:eastAsia="仿宋"/>
          <w:color w:val="333333"/>
          <w:sz w:val="32"/>
          <w:szCs w:val="32"/>
        </w:rPr>
        <w:t>12</w:t>
      </w:r>
      <w:r>
        <w:rPr>
          <w:rFonts w:hint="eastAsia" w:ascii="仿宋" w:hAnsi="仿宋" w:eastAsia="仿宋"/>
          <w:color w:val="333333"/>
          <w:sz w:val="32"/>
          <w:szCs w:val="32"/>
        </w:rPr>
        <w:t>、负责财政资金绩效评价工作。监督检查财税法规、政策的执行情况，反映财政收支管理中的重大问题。依法查处违反财经法纪的行为。</w:t>
      </w:r>
    </w:p>
    <w:p>
      <w:pPr>
        <w:pStyle w:val="12"/>
        <w:shd w:val="clear" w:color="auto" w:fill="FFFFFF"/>
        <w:spacing w:line="285" w:lineRule="atLeast"/>
        <w:ind w:firstLine="480"/>
        <w:rPr>
          <w:rFonts w:ascii="仿宋" w:hAnsi="仿宋" w:eastAsia="仿宋"/>
          <w:color w:val="333333"/>
          <w:sz w:val="32"/>
          <w:szCs w:val="32"/>
        </w:rPr>
      </w:pPr>
      <w:r>
        <w:rPr>
          <w:rFonts w:ascii="仿宋" w:hAnsi="仿宋" w:eastAsia="仿宋"/>
          <w:color w:val="333333"/>
          <w:sz w:val="32"/>
          <w:szCs w:val="32"/>
        </w:rPr>
        <w:t>13</w:t>
      </w:r>
      <w:r>
        <w:rPr>
          <w:rFonts w:hint="eastAsia" w:ascii="仿宋" w:hAnsi="仿宋" w:eastAsia="仿宋"/>
          <w:color w:val="333333"/>
          <w:sz w:val="32"/>
          <w:szCs w:val="32"/>
        </w:rPr>
        <w:t>、负责财政宣传和财政信息管理系统工作。负责全区财政业务培训。</w:t>
      </w:r>
    </w:p>
    <w:p>
      <w:pPr>
        <w:pStyle w:val="12"/>
        <w:shd w:val="clear" w:color="auto" w:fill="FFFFFF"/>
        <w:spacing w:line="285" w:lineRule="atLeast"/>
        <w:ind w:firstLine="480"/>
        <w:rPr>
          <w:rFonts w:ascii="仿宋" w:hAnsi="仿宋" w:eastAsia="仿宋"/>
          <w:color w:val="333333"/>
          <w:sz w:val="32"/>
          <w:szCs w:val="32"/>
        </w:rPr>
      </w:pPr>
      <w:r>
        <w:rPr>
          <w:rFonts w:ascii="仿宋" w:hAnsi="仿宋" w:eastAsia="仿宋"/>
          <w:color w:val="333333"/>
          <w:sz w:val="32"/>
          <w:szCs w:val="32"/>
        </w:rPr>
        <w:t>14</w:t>
      </w:r>
      <w:r>
        <w:rPr>
          <w:rFonts w:hint="eastAsia" w:ascii="仿宋" w:hAnsi="仿宋" w:eastAsia="仿宋"/>
          <w:color w:val="333333"/>
          <w:sz w:val="32"/>
          <w:szCs w:val="32"/>
        </w:rPr>
        <w:t>、承担区政府公布的有关行政审批事项。</w:t>
      </w:r>
    </w:p>
    <w:p>
      <w:pPr>
        <w:pStyle w:val="12"/>
        <w:shd w:val="clear" w:color="auto" w:fill="FFFFFF"/>
        <w:spacing w:before="93" w:line="285" w:lineRule="atLeast"/>
        <w:ind w:firstLine="480"/>
        <w:rPr>
          <w:rFonts w:ascii="仿宋" w:hAnsi="仿宋" w:eastAsia="仿宋"/>
          <w:color w:val="333333"/>
          <w:sz w:val="32"/>
          <w:szCs w:val="32"/>
        </w:rPr>
      </w:pPr>
      <w:r>
        <w:rPr>
          <w:rFonts w:ascii="仿宋" w:hAnsi="仿宋" w:eastAsia="仿宋"/>
          <w:color w:val="333333"/>
          <w:sz w:val="32"/>
          <w:szCs w:val="32"/>
        </w:rPr>
        <w:t>15</w:t>
      </w:r>
      <w:r>
        <w:rPr>
          <w:rFonts w:hint="eastAsia" w:ascii="仿宋" w:hAnsi="仿宋" w:eastAsia="仿宋"/>
          <w:color w:val="333333"/>
          <w:sz w:val="32"/>
          <w:szCs w:val="32"/>
        </w:rPr>
        <w:t>、承办区政府交办的其他事项。</w:t>
      </w:r>
    </w:p>
    <w:p>
      <w:pPr>
        <w:spacing w:line="580" w:lineRule="exact"/>
        <w:ind w:firstLine="320" w:firstLineChars="100"/>
        <w:rPr>
          <w:rFonts w:ascii="仿宋" w:hAnsi="仿宋" w:eastAsia="仿宋" w:cs="??_GB2312"/>
          <w:sz w:val="32"/>
          <w:szCs w:val="32"/>
        </w:rPr>
      </w:pPr>
    </w:p>
    <w:p>
      <w:pPr>
        <w:spacing w:line="580" w:lineRule="exact"/>
        <w:ind w:firstLine="320" w:firstLineChars="100"/>
        <w:rPr>
          <w:rFonts w:ascii="仿宋" w:hAnsi="仿宋" w:eastAsia="仿宋" w:cs="??_GB2312"/>
          <w:sz w:val="32"/>
          <w:szCs w:val="32"/>
        </w:rPr>
      </w:pPr>
      <w:r>
        <w:rPr>
          <w:rFonts w:hint="eastAsia" w:ascii="仿宋" w:hAnsi="仿宋" w:eastAsia="仿宋" w:cs="??_GB2312"/>
          <w:sz w:val="32"/>
          <w:szCs w:val="32"/>
        </w:rPr>
        <w:t>（三）人员概况。</w:t>
      </w:r>
    </w:p>
    <w:p>
      <w:pPr>
        <w:spacing w:line="580" w:lineRule="exact"/>
        <w:ind w:firstLine="320" w:firstLineChars="100"/>
        <w:rPr>
          <w:rFonts w:ascii="仿宋" w:hAnsi="仿宋" w:eastAsia="仿宋" w:cs="??_GB2312"/>
          <w:sz w:val="32"/>
          <w:szCs w:val="32"/>
        </w:rPr>
      </w:pPr>
      <w:r>
        <w:rPr>
          <w:rFonts w:hint="eastAsia" w:ascii="仿宋" w:hAnsi="仿宋" w:eastAsia="仿宋" w:cs="??_GB2312"/>
          <w:sz w:val="32"/>
          <w:szCs w:val="32"/>
        </w:rPr>
        <w:t>全局人员在职人员</w:t>
      </w:r>
      <w:r>
        <w:rPr>
          <w:rFonts w:ascii="仿宋" w:hAnsi="仿宋" w:eastAsia="仿宋" w:cs="??_GB2312"/>
          <w:sz w:val="32"/>
          <w:szCs w:val="32"/>
        </w:rPr>
        <w:t>4</w:t>
      </w:r>
      <w:r>
        <w:rPr>
          <w:rFonts w:hint="eastAsia" w:ascii="仿宋" w:hAnsi="仿宋" w:eastAsia="仿宋" w:cs="??_GB2312"/>
          <w:sz w:val="32"/>
          <w:szCs w:val="32"/>
        </w:rPr>
        <w:t>9人，其中行政公务员编制</w:t>
      </w:r>
      <w:r>
        <w:rPr>
          <w:rFonts w:ascii="仿宋" w:hAnsi="仿宋" w:eastAsia="仿宋" w:cs="??_GB2312"/>
          <w:sz w:val="32"/>
          <w:szCs w:val="32"/>
        </w:rPr>
        <w:t>3</w:t>
      </w:r>
      <w:r>
        <w:rPr>
          <w:rFonts w:hint="eastAsia" w:ascii="仿宋" w:hAnsi="仿宋" w:eastAsia="仿宋" w:cs="??_GB2312"/>
          <w:sz w:val="32"/>
          <w:szCs w:val="32"/>
        </w:rPr>
        <w:t>1人，参公事业人员4人，非参公事业人员</w:t>
      </w:r>
      <w:r>
        <w:rPr>
          <w:rFonts w:ascii="仿宋" w:hAnsi="仿宋" w:eastAsia="仿宋" w:cs="??_GB2312"/>
          <w:sz w:val="32"/>
          <w:szCs w:val="32"/>
        </w:rPr>
        <w:t>1</w:t>
      </w:r>
      <w:r>
        <w:rPr>
          <w:rFonts w:hint="eastAsia" w:ascii="仿宋" w:hAnsi="仿宋" w:eastAsia="仿宋" w:cs="??_GB2312"/>
          <w:sz w:val="32"/>
          <w:szCs w:val="32"/>
        </w:rPr>
        <w:t>3人、临聘人员</w:t>
      </w:r>
      <w:r>
        <w:rPr>
          <w:rFonts w:ascii="仿宋" w:hAnsi="仿宋" w:eastAsia="仿宋" w:cs="??_GB2312"/>
          <w:sz w:val="32"/>
          <w:szCs w:val="32"/>
        </w:rPr>
        <w:t>1</w:t>
      </w:r>
      <w:r>
        <w:rPr>
          <w:rFonts w:hint="eastAsia" w:ascii="仿宋" w:hAnsi="仿宋" w:eastAsia="仿宋" w:cs="??_GB2312"/>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20年度收入总计1500.02万元，其中一般公共预算财政拨款收入1233.69万元、年初结转266.33万元。支出总计1500.02万元，其中1323.46万元、年末结转176.55万元。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（一）部门预算管理。</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我局针对性的制定了对各个内部部门的目标任务量化评价清单，认真编制预算计划指标并严格对照年初预算进行支出控制，确保执行进度、预算完成情况良好。</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（二）专项预算管理。</w:t>
      </w:r>
    </w:p>
    <w:p>
      <w:pPr>
        <w:spacing w:line="580" w:lineRule="exact"/>
        <w:ind w:firstLine="800" w:firstLineChars="250"/>
        <w:rPr>
          <w:rFonts w:ascii="仿宋" w:hAnsi="仿宋" w:eastAsia="仿宋" w:cs="??_GB2312"/>
          <w:sz w:val="32"/>
          <w:szCs w:val="32"/>
        </w:rPr>
      </w:pPr>
      <w:r>
        <w:rPr>
          <w:rFonts w:hint="eastAsia" w:ascii="仿宋" w:hAnsi="仿宋" w:eastAsia="仿宋" w:cs="??_GB2312"/>
          <w:sz w:val="32"/>
          <w:szCs w:val="32"/>
        </w:rPr>
        <w:t>专项预算管理项目程序严密，项目负责人对应按照相关项目经费预算报表编制内容进行填报预算。预算资金分配科学，项目执行过程严格按照批准的预算使用专项经费，专款专用，无挤占挪用专项经费情况发生。</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（三）结果应用情况。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针对本单位预算执行情况展开自评，单位集中评定，结合评定结果，对提出的问题制定整改措施，并对整改情况进行再核实，确保评价取得实效。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（一）评价结论。</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总的看来，</w:t>
      </w:r>
      <w:r>
        <w:rPr>
          <w:rFonts w:ascii="仿宋" w:hAnsi="仿宋" w:eastAsia="仿宋" w:cs="??_GB2312"/>
          <w:sz w:val="32"/>
          <w:szCs w:val="32"/>
        </w:rPr>
        <w:t>20</w:t>
      </w:r>
      <w:r>
        <w:rPr>
          <w:rFonts w:hint="eastAsia" w:ascii="仿宋" w:hAnsi="仿宋" w:eastAsia="仿宋" w:cs="??_GB2312"/>
          <w:sz w:val="32"/>
          <w:szCs w:val="32"/>
        </w:rPr>
        <w:t>20年预算管理具有明确的目标和用途，制</w:t>
      </w:r>
      <w:r>
        <w:rPr>
          <w:rFonts w:hint="eastAsia" w:ascii="仿宋" w:hAnsi="仿宋" w:eastAsia="仿宋" w:cs="??_GB2312"/>
          <w:sz w:val="32"/>
          <w:szCs w:val="32"/>
          <w:lang w:eastAsia="zh-CN"/>
        </w:rPr>
        <w:t>定</w:t>
      </w:r>
      <w:r>
        <w:rPr>
          <w:rFonts w:hint="eastAsia" w:ascii="仿宋" w:hAnsi="仿宋" w:eastAsia="仿宋" w:cs="??_GB2312"/>
          <w:sz w:val="32"/>
          <w:szCs w:val="32"/>
        </w:rPr>
        <w:t>了详细的执行计划，资金到位及时并严格按照规定使用。预算编制、执行日益规范，能较好的满足工作需要，取得了良好的经济效益和社会效益。</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（二）存在问题。</w:t>
      </w:r>
    </w:p>
    <w:p>
      <w:pPr>
        <w:spacing w:line="580" w:lineRule="exact"/>
        <w:ind w:left="958" w:leftChars="304" w:hanging="320" w:hangingChars="100"/>
        <w:rPr>
          <w:rFonts w:hint="eastAsia" w:ascii="仿宋" w:hAnsi="仿宋" w:eastAsia="仿宋" w:cs="??_GB2312"/>
          <w:sz w:val="32"/>
          <w:szCs w:val="32"/>
          <w:lang w:eastAsia="zh-CN"/>
        </w:rPr>
      </w:pPr>
      <w:r>
        <w:rPr>
          <w:rFonts w:ascii="仿宋" w:hAnsi="仿宋" w:eastAsia="仿宋" w:cs="??_GB2312"/>
          <w:sz w:val="32"/>
          <w:szCs w:val="32"/>
        </w:rPr>
        <w:t xml:space="preserve"> 1</w:t>
      </w:r>
      <w:r>
        <w:rPr>
          <w:rFonts w:hint="eastAsia" w:ascii="仿宋" w:hAnsi="仿宋" w:eastAsia="仿宋" w:cs="??_GB2312"/>
          <w:sz w:val="32"/>
          <w:szCs w:val="32"/>
        </w:rPr>
        <w:t>、年初编制的预算不够精确，导致年内预算追加较大</w:t>
      </w:r>
      <w:r>
        <w:rPr>
          <w:rFonts w:hint="eastAsia" w:ascii="仿宋" w:hAnsi="仿宋" w:eastAsia="仿宋" w:cs="??_GB2312"/>
          <w:sz w:val="32"/>
          <w:szCs w:val="32"/>
          <w:lang w:eastAsia="zh-CN"/>
        </w:rPr>
        <w:t>。</w:t>
      </w:r>
    </w:p>
    <w:p>
      <w:pPr>
        <w:spacing w:line="580" w:lineRule="exact"/>
        <w:ind w:left="958" w:leftChars="304" w:hanging="320" w:hangingChars="100"/>
        <w:rPr>
          <w:rFonts w:hint="eastAsia" w:ascii="仿宋" w:hAnsi="仿宋" w:eastAsia="仿宋" w:cs="??_GB2312"/>
          <w:sz w:val="32"/>
          <w:szCs w:val="32"/>
          <w:lang w:eastAsia="zh-CN"/>
        </w:rPr>
      </w:pPr>
      <w:r>
        <w:rPr>
          <w:rFonts w:ascii="仿宋" w:hAnsi="仿宋" w:eastAsia="仿宋" w:cs="??_GB2312"/>
          <w:sz w:val="32"/>
          <w:szCs w:val="32"/>
        </w:rPr>
        <w:t>2</w:t>
      </w:r>
      <w:r>
        <w:rPr>
          <w:rFonts w:hint="eastAsia" w:ascii="仿宋" w:hAnsi="仿宋" w:eastAsia="仿宋" w:cs="??_GB2312"/>
          <w:sz w:val="32"/>
          <w:szCs w:val="32"/>
        </w:rPr>
        <w:t>、预算执行还有待加强，年终有结余，加快支出</w:t>
      </w:r>
      <w:r>
        <w:rPr>
          <w:rFonts w:hint="eastAsia" w:ascii="仿宋" w:hAnsi="仿宋" w:eastAsia="仿宋" w:cs="??_GB2312"/>
          <w:sz w:val="32"/>
          <w:szCs w:val="32"/>
          <w:lang w:eastAsia="zh-CN"/>
        </w:rPr>
        <w:t>。</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（三）改进建议。</w:t>
      </w:r>
    </w:p>
    <w:p>
      <w:pPr>
        <w:spacing w:line="580" w:lineRule="exact"/>
        <w:ind w:firstLine="640" w:firstLineChars="200"/>
        <w:rPr>
          <w:rFonts w:ascii="仿宋" w:hAnsi="仿宋" w:eastAsia="仿宋" w:cs="??_GB2312"/>
          <w:sz w:val="32"/>
          <w:szCs w:val="32"/>
        </w:rPr>
      </w:pPr>
      <w:r>
        <w:rPr>
          <w:rFonts w:ascii="仿宋" w:hAnsi="仿宋" w:eastAsia="仿宋" w:cs="??_GB2312"/>
          <w:sz w:val="32"/>
          <w:szCs w:val="32"/>
        </w:rPr>
        <w:t>1</w:t>
      </w:r>
      <w:r>
        <w:rPr>
          <w:rFonts w:hint="eastAsia" w:ascii="仿宋" w:hAnsi="仿宋" w:eastAsia="仿宋" w:cs="??_GB2312"/>
          <w:sz w:val="32"/>
          <w:szCs w:val="32"/>
        </w:rPr>
        <w:t>、细化预算编制工作</w:t>
      </w:r>
      <w:r>
        <w:rPr>
          <w:rFonts w:hint="eastAsia" w:ascii="仿宋" w:hAnsi="仿宋" w:eastAsia="仿宋" w:cs="??_GB2312"/>
          <w:sz w:val="32"/>
          <w:szCs w:val="32"/>
          <w:lang w:eastAsia="zh-CN"/>
        </w:rPr>
        <w:t>。</w:t>
      </w:r>
      <w:r>
        <w:rPr>
          <w:rFonts w:hint="eastAsia" w:ascii="仿宋" w:hAnsi="仿宋" w:eastAsia="仿宋" w:cs="??_GB2312"/>
          <w:sz w:val="32"/>
          <w:szCs w:val="32"/>
        </w:rPr>
        <w:t>认真做好预算的编制</w:t>
      </w:r>
      <w:r>
        <w:rPr>
          <w:rFonts w:hint="eastAsia" w:ascii="仿宋" w:hAnsi="仿宋" w:eastAsia="仿宋" w:cs="??_GB2312"/>
          <w:sz w:val="32"/>
          <w:szCs w:val="32"/>
          <w:lang w:eastAsia="zh-CN"/>
        </w:rPr>
        <w:t>，</w:t>
      </w:r>
      <w:r>
        <w:rPr>
          <w:rFonts w:hint="eastAsia" w:ascii="仿宋" w:hAnsi="仿宋" w:eastAsia="仿宋" w:cs="??_GB2312"/>
          <w:sz w:val="32"/>
          <w:szCs w:val="32"/>
        </w:rPr>
        <w:t>进一步加强内部机构各部门的预算管理意识，严格按照预算编制的相关制度和要求进行预算编制；全面编制预算项目，优先保障固定性的、相对性的费用支出项目，压缩变动性的、有控制空间的费用项目，进一步提高预算编制的科学性、严谨性和可控性。</w:t>
      </w:r>
    </w:p>
    <w:p>
      <w:pPr>
        <w:spacing w:line="580" w:lineRule="exact"/>
        <w:ind w:firstLine="640" w:firstLineChars="200"/>
        <w:rPr>
          <w:rFonts w:ascii="仿宋" w:hAnsi="仿宋" w:eastAsia="仿宋" w:cs="??_GB2312"/>
          <w:sz w:val="32"/>
          <w:szCs w:val="32"/>
        </w:rPr>
      </w:pPr>
      <w:r>
        <w:rPr>
          <w:rFonts w:ascii="仿宋" w:hAnsi="仿宋" w:eastAsia="仿宋" w:cs="??_GB2312"/>
          <w:sz w:val="32"/>
          <w:szCs w:val="32"/>
        </w:rPr>
        <w:t>2</w:t>
      </w:r>
      <w:r>
        <w:rPr>
          <w:rFonts w:hint="eastAsia" w:ascii="仿宋" w:hAnsi="仿宋" w:eastAsia="仿宋" w:cs="??_GB2312"/>
          <w:sz w:val="32"/>
          <w:szCs w:val="32"/>
        </w:rPr>
        <w:t>、加强财务管理</w:t>
      </w:r>
      <w:r>
        <w:rPr>
          <w:rFonts w:hint="eastAsia" w:ascii="仿宋" w:hAnsi="仿宋" w:eastAsia="仿宋" w:cs="??_GB2312"/>
          <w:sz w:val="32"/>
          <w:szCs w:val="32"/>
          <w:lang w:eastAsia="zh-CN"/>
        </w:rPr>
        <w:t>。</w:t>
      </w:r>
      <w:r>
        <w:rPr>
          <w:rFonts w:hint="eastAsia" w:ascii="仿宋" w:hAnsi="仿宋" w:eastAsia="仿宋" w:cs="??_GB2312"/>
          <w:sz w:val="32"/>
          <w:szCs w:val="32"/>
        </w:rPr>
        <w:t>严格财务审核</w:t>
      </w:r>
      <w:r>
        <w:rPr>
          <w:rFonts w:hint="eastAsia" w:ascii="仿宋" w:hAnsi="仿宋" w:eastAsia="仿宋" w:cs="??_GB2312"/>
          <w:sz w:val="32"/>
          <w:szCs w:val="32"/>
          <w:lang w:eastAsia="zh-CN"/>
        </w:rPr>
        <w:t>，</w:t>
      </w:r>
      <w:r>
        <w:rPr>
          <w:rFonts w:hint="eastAsia" w:ascii="仿宋" w:hAnsi="仿宋" w:eastAsia="仿宋" w:cs="??_GB2312"/>
          <w:sz w:val="32"/>
          <w:szCs w:val="32"/>
        </w:rPr>
        <w:t>按照预算规定的项目和用途</w:t>
      </w:r>
      <w:r>
        <w:rPr>
          <w:rFonts w:hint="eastAsia" w:ascii="仿宋" w:hAnsi="仿宋" w:eastAsia="仿宋" w:cs="??_GB2312"/>
          <w:sz w:val="32"/>
          <w:szCs w:val="32"/>
          <w:lang w:eastAsia="zh-CN"/>
        </w:rPr>
        <w:t>支付</w:t>
      </w:r>
      <w:r>
        <w:rPr>
          <w:rFonts w:hint="eastAsia" w:ascii="仿宋" w:hAnsi="仿宋" w:eastAsia="仿宋" w:cs="??_GB2312"/>
          <w:sz w:val="32"/>
          <w:szCs w:val="32"/>
        </w:rPr>
        <w:t>资金</w:t>
      </w:r>
      <w:r>
        <w:rPr>
          <w:rFonts w:hint="eastAsia" w:ascii="仿宋" w:hAnsi="仿宋" w:eastAsia="仿宋" w:cs="??_GB2312"/>
          <w:sz w:val="32"/>
          <w:szCs w:val="32"/>
          <w:lang w:eastAsia="zh-CN"/>
        </w:rPr>
        <w:t>；</w:t>
      </w:r>
      <w:r>
        <w:rPr>
          <w:rFonts w:hint="eastAsia" w:ascii="仿宋" w:hAnsi="仿宋" w:eastAsia="仿宋" w:cs="??_GB2312"/>
          <w:sz w:val="32"/>
          <w:szCs w:val="32"/>
        </w:rPr>
        <w:t>持续抓好“三公”经费的</w:t>
      </w:r>
      <w:r>
        <w:rPr>
          <w:rFonts w:hint="eastAsia" w:ascii="仿宋" w:hAnsi="仿宋" w:eastAsia="仿宋" w:cs="??_GB2312"/>
          <w:sz w:val="32"/>
          <w:szCs w:val="32"/>
          <w:lang w:eastAsia="zh-CN"/>
        </w:rPr>
        <w:t>管理</w:t>
      </w:r>
      <w:r>
        <w:rPr>
          <w:rFonts w:hint="eastAsia" w:ascii="仿宋" w:hAnsi="仿宋" w:eastAsia="仿宋" w:cs="??_GB2312"/>
          <w:sz w:val="32"/>
          <w:szCs w:val="32"/>
        </w:rPr>
        <w:t>，</w:t>
      </w:r>
      <w:r>
        <w:rPr>
          <w:rFonts w:hint="eastAsia" w:ascii="仿宋" w:hAnsi="仿宋" w:eastAsia="仿宋" w:cs="??_GB2312"/>
          <w:sz w:val="32"/>
          <w:szCs w:val="32"/>
          <w:lang w:eastAsia="zh-CN"/>
        </w:rPr>
        <w:t>严</w:t>
      </w:r>
      <w:r>
        <w:rPr>
          <w:rFonts w:hint="eastAsia" w:ascii="仿宋" w:hAnsi="仿宋" w:eastAsia="仿宋" w:cs="??_GB2312"/>
          <w:sz w:val="32"/>
          <w:szCs w:val="32"/>
        </w:rPr>
        <w:t>把“三公”经费支出的审核、审批，进一步细化“三公”经费的管理，压缩“三公”经费支出。</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3</w:t>
      </w:r>
      <w:r>
        <w:rPr>
          <w:rFonts w:hint="eastAsia" w:ascii="仿宋" w:hAnsi="仿宋" w:eastAsia="仿宋" w:cs="??_GB2312"/>
          <w:sz w:val="32"/>
          <w:szCs w:val="32"/>
        </w:rPr>
        <w:t>、加强项目</w:t>
      </w:r>
      <w:r>
        <w:rPr>
          <w:rFonts w:hint="eastAsia" w:ascii="仿宋" w:hAnsi="仿宋" w:eastAsia="仿宋" w:cs="??_GB2312"/>
          <w:sz w:val="32"/>
          <w:szCs w:val="32"/>
          <w:lang w:eastAsia="zh-CN"/>
        </w:rPr>
        <w:t>实施</w:t>
      </w:r>
      <w:r>
        <w:rPr>
          <w:rFonts w:hint="eastAsia" w:ascii="仿宋" w:hAnsi="仿宋" w:eastAsia="仿宋" w:cs="??_GB2312"/>
          <w:sz w:val="32"/>
          <w:szCs w:val="32"/>
        </w:rPr>
        <w:t>进度跟踪，确保项目绩效目标完成。</w:t>
      </w:r>
    </w:p>
    <w:p>
      <w:pPr>
        <w:pStyle w:val="2"/>
        <w:spacing w:before="93"/>
        <w:rPr>
          <w:rFonts w:ascii="仿宋" w:hAnsi="仿宋" w:eastAsia="仿宋" w:cs="??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bookmarkStart w:id="64" w:name="_GoBack"/>
      <w:bookmarkEnd w:id="64"/>
      <w:r>
        <w:rPr>
          <w:rFonts w:hint="eastAsia" w:ascii="黑体" w:hAnsi="黑体" w:eastAsia="黑体" w:cs="黑体"/>
          <w:sz w:val="32"/>
          <w:szCs w:val="32"/>
        </w:rPr>
        <w:t>附件</w:t>
      </w:r>
      <w:r>
        <w:rPr>
          <w:rFonts w:ascii="黑体" w:hAnsi="黑体" w:eastAsia="黑体" w:cs="黑体"/>
          <w:sz w:val="32"/>
          <w:szCs w:val="32"/>
        </w:rPr>
        <w:t>2</w:t>
      </w:r>
    </w:p>
    <w:p>
      <w:pPr>
        <w:pStyle w:val="3"/>
        <w:spacing w:before="100" w:beforeAutospacing="1" w:after="100" w:afterAutospacing="1" w:line="560" w:lineRule="exact"/>
        <w:jc w:val="center"/>
        <w:rPr>
          <w:rFonts w:hint="eastAsia" w:ascii="方正大标宋简体" w:eastAsia="方正大标宋简体"/>
          <w:sz w:val="32"/>
          <w:szCs w:val="32"/>
        </w:rPr>
      </w:pPr>
      <w:r>
        <w:rPr>
          <w:rFonts w:hint="eastAsia" w:ascii="方正大标宋简体" w:eastAsia="方正大标宋简体"/>
          <w:sz w:val="32"/>
          <w:szCs w:val="32"/>
        </w:rPr>
        <w:t>2020年绩效评价工作经费项目支出</w:t>
      </w:r>
    </w:p>
    <w:p>
      <w:pPr>
        <w:pStyle w:val="3"/>
        <w:spacing w:before="100" w:beforeAutospacing="1" w:after="100" w:afterAutospacing="1" w:line="560" w:lineRule="exact"/>
        <w:jc w:val="center"/>
        <w:rPr>
          <w:rFonts w:hint="eastAsia" w:ascii="方正大标宋简体" w:eastAsia="方正大标宋简体"/>
        </w:rPr>
      </w:pPr>
      <w:r>
        <w:rPr>
          <w:rFonts w:hint="eastAsia" w:ascii="方正大标宋简体" w:eastAsia="方正大标宋简体"/>
          <w:sz w:val="32"/>
          <w:szCs w:val="32"/>
        </w:rPr>
        <w:t>绩效评价报告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（一）项目基本情况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为规范政府购买服务项目管理，提高政府购买服务财政资金使用效益，推动提升公共服务水平，根据《四川省人民政府办公厅关于推进政府向社会力量购买服务工作的意见 》（川办发〔2014〕67号）、《四川省政府购买服务管理办法（暂行）》（川财综〔2015〕63号）、《财政厅关于印发&lt;委托第三方机构参与省级财政绩效评价管理办法&gt;的通知》（川财预〔2015〕140号）、《四川省财政支出绩效评价管理办法》（川财绩〔2016〕1号）</w:t>
      </w:r>
      <w:bookmarkStart w:id="49" w:name="_Toc528942427"/>
      <w:r>
        <w:rPr>
          <w:rFonts w:hint="eastAsia" w:ascii="仿宋" w:hAnsi="仿宋" w:eastAsia="仿宋" w:cs="仿宋"/>
          <w:sz w:val="32"/>
          <w:szCs w:val="32"/>
        </w:rPr>
        <w:t>、《四川省政府购买服务绩效评价管理暂行办法</w:t>
      </w:r>
      <w:bookmarkEnd w:id="49"/>
      <w:r>
        <w:rPr>
          <w:rFonts w:hint="eastAsia" w:ascii="仿宋" w:hAnsi="仿宋" w:eastAsia="仿宋" w:cs="仿宋"/>
          <w:sz w:val="32"/>
          <w:szCs w:val="32"/>
        </w:rPr>
        <w:t>》（川财绩〔2018〕5号）等有关文件要求，财政局绩效评价管理股采购第三方机构负责开展2020年的绩效评价工作。对选定的预算单位实施重点绩效评价，主要内容：一是绩效目标的设定情况、完成进度、实现程度；二是政策（项目）决策的科学性、合理性；三是资金分配、投入和使用管理情况；四是为实现绩效目标制定的制度、采取的措施等；五是财政支出产生的经济性、效率性、效益性（包括经济效益、生态效益、社会效益、可持续影响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项目绩效目标：对2019年度全区预算项目（政策）支出、部门整体支出开展事后绩效评价。一是选定绩效评价目标；二是按照政府采购有关规定进行第三方机构招投标，由第三方机构制定评价方案实施绩效评价；三是提交绩效评价报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二、项目资金管理情况</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（一）资金到位情况。绩效评价工作经费项目是延续性项目，2020到位资金</w:t>
      </w:r>
      <w:r>
        <w:rPr>
          <w:rFonts w:hint="eastAsia" w:ascii="仿宋" w:hAnsi="仿宋" w:eastAsia="仿宋" w:cs="仿宋"/>
          <w:sz w:val="32"/>
          <w:szCs w:val="32"/>
          <w:lang w:val="en-US" w:eastAsia="zh-CN"/>
        </w:rPr>
        <w:t>9.69</w:t>
      </w:r>
      <w:r>
        <w:rPr>
          <w:rFonts w:hint="eastAsia" w:ascii="仿宋" w:hAnsi="仿宋" w:eastAsia="仿宋" w:cs="仿宋"/>
          <w:sz w:val="32"/>
          <w:szCs w:val="32"/>
        </w:rPr>
        <w:t>万元。</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（二）预算资金执行情况。按照政府采购有关规定进行第三方机构招投标，实际支付9</w:t>
      </w:r>
      <w:r>
        <w:rPr>
          <w:rFonts w:hint="eastAsia" w:ascii="仿宋" w:hAnsi="仿宋" w:eastAsia="仿宋" w:cs="仿宋"/>
          <w:sz w:val="32"/>
          <w:szCs w:val="32"/>
          <w:lang w:val="en-US" w:eastAsia="zh-CN"/>
        </w:rPr>
        <w:t>.69</w:t>
      </w:r>
      <w:r>
        <w:rPr>
          <w:rFonts w:hint="eastAsia" w:ascii="仿宋" w:hAnsi="仿宋" w:eastAsia="仿宋" w:cs="仿宋"/>
          <w:sz w:val="32"/>
          <w:szCs w:val="32"/>
        </w:rPr>
        <w:t>万元。</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（三）项目资金规范运行情况。2020年绩效评价工作经费专项使用，运行规范。</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（四）财务管理情况。单位财务管理制度健全，严格执行财务管理制度，账务处理及时，会计核算规范。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三、项目组织实施情况</w:t>
      </w: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（一）项目组织机构与职责落实情况；</w:t>
      </w: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绩效评价管理股依据职责，负责组织实施2020年绩效评价的具体工作。根据省市绩效评价工作相关通知，积极开展本级重点绩效评价工作，一是梳理重点绩效评价对象，二是设计评价体系，三是下发绩效评价通知，四是收集资料。</w:t>
      </w: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（二）项目管理制度建设情况。本项目严格按照广元市朝天区财政局《机关管理制度》“三重一大”和财务管理制度执行。</w:t>
      </w: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 xml:space="preserve">（三）项目组织管理。2020年绩效评价工作经费按照政府采购有关规定，2020年10月区财政局向第三方机构发出磋商邀请，在区纪监委驻财政局纪检组人员监督下，通过资格审查，资料审核，四家机构参与磋商，在同等条件下，最终以竞标价低优先，广元市朝天区会计财政学会中选，双方签订协议，中选机构制定2020年评价方案、组织评价人员，财政局审核通过后，第三方独立、公平、公正实施评价。评价组现场评价收集相关资料、记录工作底稿，查看项目点，取证，座谈，电话回访，问卷调查，评价意见稿征询，向区财政局提交评价结果报告和资料移交。 </w:t>
      </w: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四、项目绩效情况</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（一）项目完成情况。</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1.完成数量。第三方机构完成12个预算单位12个项目支出评价、1个政策评价和5个部门整体支出评价。评价资金19465.81万元。</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2.完成质量。按合同约定，独立、客观、公正评价，得到预算单位对评价结果认可，合格率100﹪。</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3.完成时效。在合同约定的时间完成评价工作。</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4.完成成本。第三方按照协议（合同）完成绩效评价任务，实际支付9.</w:t>
      </w:r>
      <w:r>
        <w:rPr>
          <w:rFonts w:hint="eastAsia" w:ascii="仿宋" w:hAnsi="仿宋" w:eastAsia="仿宋" w:cs="仿宋"/>
          <w:sz w:val="32"/>
          <w:szCs w:val="32"/>
          <w:lang w:val="en-US" w:eastAsia="zh-CN"/>
        </w:rPr>
        <w:t>69</w:t>
      </w:r>
      <w:r>
        <w:rPr>
          <w:rFonts w:hint="eastAsia" w:ascii="仿宋" w:hAnsi="仿宋" w:eastAsia="仿宋" w:cs="仿宋"/>
          <w:sz w:val="32"/>
          <w:szCs w:val="32"/>
        </w:rPr>
        <w:t>万元。</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（二）项目效益情况。</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购买第三方机构参与财政绩效评价工作，独立于委托方和预算绩效评价对象，第三方机构按照协议（合同）约定事项，能够从专业的角度，对照内容科学制定评价指标体系，制定评价方案，客观公正、实事求是地开展现场评价，对原始资料进行核查验证，真实进行相关调查，客观反映评价结果，对出具预算绩效评价报告的客观性和真实性负责。</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通过预算绩效评价结果情况，预算绩效评价单位对第三方机构出具的预算绩效评价报告认可，真实有效。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五、主要经验及做法、存在的问题及原因分析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第三方机构参与预算绩效评价，既独立于委托方和预算绩效评价对象，能够接受委托方和预算绩效评价对象的监督，从专业的角度进行公平公正的绩效评价。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六、有关建议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加强第三方机构预算绩效管理业务培训，参与预算事前评估、绩效目标编审、绩效监控、事后评价等全过程评价管理。</w:t>
      </w:r>
    </w:p>
    <w:p>
      <w:pPr>
        <w:spacing w:line="580" w:lineRule="exact"/>
        <w:ind w:firstLine="640" w:firstLineChars="200"/>
        <w:jc w:val="center"/>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spacing w:line="580" w:lineRule="exact"/>
        <w:ind w:firstLine="640" w:firstLineChars="200"/>
        <w:jc w:val="center"/>
        <w:rPr>
          <w:rFonts w:ascii="方正小标宋简体" w:hAnsi="宋体" w:eastAsia="方正小标宋简体"/>
          <w:color w:val="000000"/>
          <w:kern w:val="0"/>
          <w:sz w:val="32"/>
          <w:szCs w:val="32"/>
        </w:rPr>
      </w:pPr>
      <w:r>
        <w:rPr>
          <w:rFonts w:hint="eastAsia" w:ascii="方正小标宋简体" w:hAnsi="宋体" w:eastAsia="方正小标宋简体"/>
          <w:color w:val="000000"/>
          <w:kern w:val="0"/>
          <w:sz w:val="32"/>
          <w:szCs w:val="32"/>
        </w:rPr>
        <w:t>广元市朝天区财政局身份认证和授权管理系统国产密码算法升级项目</w:t>
      </w:r>
      <w:r>
        <w:rPr>
          <w:rFonts w:ascii="方正小标宋简体" w:hAnsi="宋体" w:eastAsia="方正小标宋简体"/>
          <w:color w:val="000000"/>
          <w:kern w:val="0"/>
          <w:sz w:val="32"/>
          <w:szCs w:val="32"/>
        </w:rPr>
        <w:t>2020</w:t>
      </w:r>
      <w:r>
        <w:rPr>
          <w:rFonts w:hint="eastAsia" w:ascii="方正小标宋简体" w:hAnsi="宋体" w:eastAsia="方正小标宋简体"/>
          <w:color w:val="000000"/>
          <w:kern w:val="0"/>
          <w:sz w:val="32"/>
          <w:szCs w:val="32"/>
        </w:rPr>
        <w:t>年绩效评价报告</w:t>
      </w:r>
    </w:p>
    <w:p>
      <w:pPr>
        <w:spacing w:line="600" w:lineRule="exact"/>
        <w:jc w:val="center"/>
        <w:rPr>
          <w:rFonts w:ascii="方正小标宋简体" w:hAnsi="宋体" w:eastAsia="方正小标宋简体"/>
          <w:color w:val="000000"/>
          <w:kern w:val="0"/>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2020年，</w:t>
      </w:r>
      <w:r>
        <w:rPr>
          <w:rFonts w:hint="eastAsia" w:ascii="仿宋_GB2312" w:hAnsi="宋体" w:eastAsia="仿宋_GB2312"/>
          <w:sz w:val="32"/>
          <w:szCs w:val="32"/>
          <w:lang w:val="zh-CN"/>
        </w:rPr>
        <w:t>广元市朝天区财政局身份认证和授权管理系统国产密码算法升级项目</w:t>
      </w:r>
      <w:r>
        <w:rPr>
          <w:rFonts w:ascii="仿宋_GB2312" w:hAnsi="宋体" w:eastAsia="仿宋_GB2312"/>
          <w:sz w:val="32"/>
          <w:szCs w:val="32"/>
          <w:lang w:val="zh-CN"/>
        </w:rPr>
        <w:t>经费</w:t>
      </w:r>
      <w:r>
        <w:rPr>
          <w:rFonts w:hint="eastAsia" w:ascii="仿宋_GB2312" w:hAnsi="宋体" w:eastAsia="仿宋_GB2312"/>
          <w:sz w:val="32"/>
          <w:szCs w:val="32"/>
          <w:lang w:val="zh-CN"/>
        </w:rPr>
        <w:t>99</w:t>
      </w:r>
      <w:r>
        <w:rPr>
          <w:rFonts w:ascii="仿宋_GB2312" w:hAnsi="宋体" w:eastAsia="仿宋_GB2312"/>
          <w:sz w:val="32"/>
          <w:szCs w:val="32"/>
          <w:lang w:val="zh-CN"/>
        </w:rPr>
        <w:t>万元，主要用于</w:t>
      </w:r>
      <w:r>
        <w:rPr>
          <w:rFonts w:hint="eastAsia" w:ascii="仿宋_GB2312" w:hAnsi="宋体" w:eastAsia="仿宋_GB2312"/>
          <w:sz w:val="32"/>
          <w:szCs w:val="32"/>
          <w:lang w:val="zh-CN"/>
        </w:rPr>
        <w:t>财政身份认证和授权管理系统国产密码算法升级项目</w:t>
      </w:r>
      <w:r>
        <w:rPr>
          <w:rFonts w:ascii="仿宋_GB2312" w:hAnsi="宋体" w:eastAsia="仿宋_GB2312"/>
          <w:sz w:val="32"/>
          <w:szCs w:val="32"/>
          <w:lang w:val="zh-CN"/>
        </w:rPr>
        <w:t>支出。</w:t>
      </w:r>
    </w:p>
    <w:p>
      <w:pPr>
        <w:pStyle w:val="2"/>
        <w:spacing w:before="93"/>
        <w:rPr>
          <w:rFonts w:hint="eastAsia" w:ascii="仿宋_GB2312" w:hAnsi="宋体" w:eastAsia="仿宋_GB2312"/>
          <w:kern w:val="2"/>
          <w:sz w:val="32"/>
          <w:szCs w:val="32"/>
          <w:lang w:val="zh-CN"/>
        </w:rPr>
      </w:pPr>
      <w:r>
        <w:rPr>
          <w:rFonts w:hint="eastAsia" w:ascii="仿宋_GB2312" w:hAnsi="宋体" w:eastAsia="仿宋_GB2312"/>
          <w:kern w:val="2"/>
          <w:sz w:val="32"/>
          <w:szCs w:val="32"/>
          <w:lang w:val="zh-CN"/>
        </w:rPr>
        <w:t>1、项目实施依据。根据《关于开展地方财政身份认证与授权管理系统国产密码算法升级工作的通知》（财信﹝2017﹞17号）及《关于开展市州财政身份认证与授权管理系统国产算法升级工作的通知》（川财网信办﹝2018﹞2号），按照财政部及省财政厅及市财政局整体规划，需在2020年底完成财政身份认证与授权管理系统国产密码算法的升级工作。</w:t>
      </w:r>
    </w:p>
    <w:p>
      <w:pPr>
        <w:pStyle w:val="2"/>
        <w:spacing w:before="93"/>
        <w:ind w:firstLine="640" w:firstLineChars="200"/>
        <w:rPr>
          <w:rFonts w:ascii="仿宋_GB2312" w:hAnsi="宋体" w:eastAsia="仿宋_GB2312"/>
          <w:kern w:val="2"/>
          <w:sz w:val="32"/>
          <w:szCs w:val="32"/>
          <w:lang w:val="zh-CN"/>
        </w:rPr>
      </w:pPr>
      <w:r>
        <w:rPr>
          <w:rFonts w:ascii="仿宋_GB2312" w:hAnsi="宋体" w:eastAsia="仿宋_GB2312"/>
          <w:kern w:val="2"/>
          <w:sz w:val="32"/>
          <w:szCs w:val="32"/>
          <w:lang w:val="zh-CN"/>
        </w:rPr>
        <w:t>2.项目实施主体。区</w:t>
      </w:r>
      <w:r>
        <w:rPr>
          <w:rFonts w:hint="eastAsia" w:ascii="仿宋_GB2312" w:hAnsi="宋体" w:eastAsia="仿宋_GB2312"/>
          <w:kern w:val="2"/>
          <w:sz w:val="32"/>
          <w:szCs w:val="32"/>
          <w:lang w:val="zh-CN"/>
        </w:rPr>
        <w:t>财政</w:t>
      </w:r>
      <w:r>
        <w:rPr>
          <w:rFonts w:ascii="仿宋_GB2312" w:hAnsi="宋体" w:eastAsia="仿宋_GB2312"/>
          <w:kern w:val="2"/>
          <w:sz w:val="32"/>
          <w:szCs w:val="32"/>
          <w:lang w:val="zh-CN"/>
        </w:rPr>
        <w:t>局牵头做好</w:t>
      </w:r>
      <w:r>
        <w:rPr>
          <w:rFonts w:hint="eastAsia" w:ascii="仿宋_GB2312" w:hAnsi="宋体" w:eastAsia="仿宋_GB2312"/>
          <w:kern w:val="2"/>
          <w:sz w:val="32"/>
          <w:szCs w:val="32"/>
          <w:lang w:val="zh-CN"/>
        </w:rPr>
        <w:t>朝天区</w:t>
      </w:r>
      <w:r>
        <w:rPr>
          <w:rFonts w:hint="eastAsia" w:ascii="仿宋_GB2312" w:hAnsi="宋体" w:eastAsia="仿宋_GB2312"/>
          <w:sz w:val="32"/>
          <w:szCs w:val="32"/>
          <w:lang w:val="zh-CN"/>
        </w:rPr>
        <w:t>财政身份认证和授权管理系统国产密码算法升级项目</w:t>
      </w:r>
      <w:r>
        <w:rPr>
          <w:rFonts w:ascii="仿宋_GB2312" w:hAnsi="宋体" w:eastAsia="仿宋_GB2312"/>
          <w:kern w:val="2"/>
          <w:sz w:val="32"/>
          <w:szCs w:val="32"/>
          <w:lang w:val="zh-CN"/>
        </w:rPr>
        <w:t>实施工作，督促技术服务单位严格按照合同约定、中央、省、市相关工作要求，积极开展</w:t>
      </w:r>
      <w:r>
        <w:rPr>
          <w:rFonts w:hint="eastAsia" w:ascii="仿宋_GB2312" w:hAnsi="宋体" w:eastAsia="仿宋_GB2312"/>
          <w:sz w:val="32"/>
          <w:szCs w:val="32"/>
          <w:lang w:val="zh-CN"/>
        </w:rPr>
        <w:t>财政身份认证和授权管理系统国产密码算法升级项目</w:t>
      </w:r>
      <w:r>
        <w:rPr>
          <w:rFonts w:ascii="仿宋_GB2312" w:hAnsi="宋体" w:eastAsia="仿宋_GB2312"/>
          <w:kern w:val="2"/>
          <w:sz w:val="32"/>
          <w:szCs w:val="32"/>
          <w:lang w:val="zh-CN"/>
        </w:rPr>
        <w:t>相关工作，根据省市技术规范和工作流程，项目实施完成后进行项目验收。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整体遵循“算法兼容、数据迁移、平滑过渡”的原则，并沿用原身份认证系统整体架构，升级支持国际通用算法和国密算法的软件系统，部署兼容国际通用算法和国密算法的应用安全组件，把原身份认证系统中的用户数据、密钥数据等数据平滑迁移到升级后的系统，使得升级后的系统既可以管理原有的国际通用算法的证书又可以支持发放国密算法的证书，对于证书整体升级工作透明，已经发放的数字证书不需要重新发放，至2022年业务应用全面升级支持国产密码算法。</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区财政按照《关于印发广元市财政身份认证与授权管理系统国产密码算法升级项目实施方案的通知》（广财办﹝2019﹞53号）要求实施工作计划进度为产品采购、项目实施、项目初验、项目试运行、项目终验备案、新部署应该系统使用国密算法、使用国密算法，停用国际通用算法。</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．该项目申报内容，申报目标根据国产化原则、可靠性原则、延续性原则、扩展性原则合理可行。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针对本项目执行情况展开自评，单位集中评定，结合评定结果，对提出的问题制定整改措施，并对整改情况进行再核实，确保评价取得实效。</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根据《关于开展地方财政身份认证与授权管理系统国产密码算法升级工作的通知》（财信﹝2017﹞17号）及《关于开展市州财政身份认证与授权管理系统国产算法升级工作的通知》（川财网信办﹝2018﹞2号）进行预算该项目。</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该项目由本级财政拨款。</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．资金到位。本级财政资金已到位99万元。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根据合同约定，按照工程进度已支付40.59万元。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spacing w:before="93"/>
        <w:ind w:firstLine="640" w:firstLineChars="200"/>
        <w:rPr>
          <w:rFonts w:hint="eastAsia" w:ascii="仿宋_GB2312" w:hAnsi="宋体" w:eastAsia="仿宋_GB2312"/>
          <w:kern w:val="2"/>
          <w:sz w:val="32"/>
          <w:szCs w:val="32"/>
          <w:lang w:val="zh-CN"/>
        </w:rPr>
      </w:pPr>
      <w:r>
        <w:rPr>
          <w:rFonts w:hint="eastAsia" w:ascii="仿宋_GB2312" w:hAnsi="宋体" w:eastAsia="仿宋_GB2312"/>
          <w:kern w:val="2"/>
          <w:sz w:val="32"/>
          <w:szCs w:val="32"/>
          <w:lang w:val="zh-CN"/>
        </w:rPr>
        <w:t>1、部署支持双算法的身份认证模块和最新版本的授权管理模板、安全审计模板。</w:t>
      </w:r>
    </w:p>
    <w:p>
      <w:pPr>
        <w:pStyle w:val="2"/>
        <w:spacing w:before="93"/>
        <w:ind w:firstLine="640" w:firstLineChars="200"/>
        <w:rPr>
          <w:rFonts w:hint="eastAsia" w:ascii="仿宋_GB2312" w:hAnsi="宋体" w:eastAsia="仿宋_GB2312"/>
          <w:kern w:val="2"/>
          <w:sz w:val="32"/>
          <w:szCs w:val="32"/>
          <w:lang w:val="zh-CN"/>
        </w:rPr>
      </w:pPr>
      <w:r>
        <w:rPr>
          <w:rFonts w:hint="eastAsia" w:ascii="仿宋_GB2312" w:hAnsi="宋体" w:eastAsia="仿宋_GB2312"/>
          <w:kern w:val="2"/>
          <w:sz w:val="32"/>
          <w:szCs w:val="32"/>
          <w:lang w:val="zh-CN"/>
        </w:rPr>
        <w:t>2、部署支持双算法的应用安全组件身份认证网关，并将原有配置导入到新应用安全组件上。</w:t>
      </w:r>
    </w:p>
    <w:p>
      <w:pPr>
        <w:pStyle w:val="2"/>
        <w:spacing w:before="93"/>
        <w:ind w:firstLine="640" w:firstLineChars="200"/>
        <w:rPr>
          <w:rFonts w:hint="eastAsia" w:ascii="仿宋_GB2312" w:hAnsi="宋体" w:eastAsia="仿宋_GB2312"/>
          <w:kern w:val="2"/>
          <w:sz w:val="32"/>
          <w:szCs w:val="32"/>
          <w:lang w:val="zh-CN"/>
        </w:rPr>
      </w:pPr>
      <w:r>
        <w:rPr>
          <w:rFonts w:hint="eastAsia" w:ascii="仿宋_GB2312" w:hAnsi="宋体" w:eastAsia="仿宋_GB2312"/>
          <w:kern w:val="2"/>
          <w:sz w:val="32"/>
          <w:szCs w:val="32"/>
          <w:lang w:val="zh-CN"/>
        </w:rPr>
        <w:t>3、部署证书综合管理系统，并与本省证书注册中心（RA）对接，将RA数据迁移到证书综合管理系统中，证书的所有业务操作均在证书综合管理系统中进行，可实现对证书发放各环节进行统一管理。</w:t>
      </w:r>
    </w:p>
    <w:p>
      <w:pPr>
        <w:pStyle w:val="2"/>
        <w:spacing w:before="93"/>
        <w:ind w:firstLine="480" w:firstLineChars="150"/>
        <w:rPr>
          <w:rFonts w:hint="eastAsia" w:ascii="仿宋_GB2312" w:hAnsi="宋体" w:eastAsia="仿宋_GB2312"/>
          <w:kern w:val="2"/>
          <w:sz w:val="32"/>
          <w:szCs w:val="32"/>
          <w:lang w:val="zh-CN"/>
        </w:rPr>
      </w:pPr>
      <w:r>
        <w:rPr>
          <w:rFonts w:hint="eastAsia" w:ascii="仿宋_GB2312" w:hAnsi="宋体" w:eastAsia="仿宋_GB2312"/>
          <w:kern w:val="2"/>
          <w:sz w:val="32"/>
          <w:szCs w:val="32"/>
          <w:lang w:val="zh-CN"/>
        </w:rPr>
        <w:t>4、已接入CA的应该系统将严格按照最新发布的《财政信息系统安全应用接口标准》、《财政身份认证与授权管理系统—应用系统接入规范》进行接口替换、安全改造。</w:t>
      </w:r>
    </w:p>
    <w:p>
      <w:pPr>
        <w:pStyle w:val="2"/>
        <w:spacing w:before="93"/>
        <w:ind w:firstLine="480" w:firstLineChars="150"/>
        <w:rPr>
          <w:rFonts w:ascii="仿宋_GB2312" w:hAnsi="宋体" w:eastAsia="仿宋_GB2312"/>
          <w:kern w:val="2"/>
          <w:sz w:val="32"/>
          <w:szCs w:val="32"/>
          <w:lang w:val="zh-CN"/>
        </w:rPr>
      </w:pPr>
      <w:r>
        <w:rPr>
          <w:rFonts w:hint="eastAsia" w:ascii="仿宋_GB2312" w:hAnsi="宋体" w:eastAsia="仿宋_GB2312"/>
          <w:kern w:val="2"/>
          <w:sz w:val="32"/>
          <w:szCs w:val="32"/>
          <w:lang w:val="zh-CN"/>
        </w:rPr>
        <w:t>5、新采购的UK需要同时支持双算法、32位高速UK。</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（二）项目监管情况。</w:t>
      </w:r>
      <w:r>
        <w:rPr>
          <w:rFonts w:hint="eastAsia" w:ascii="仿宋_GB2312" w:hAnsi="宋体" w:eastAsia="仿宋_GB2312"/>
          <w:sz w:val="32"/>
          <w:szCs w:val="32"/>
          <w:lang w:val="zh-CN"/>
        </w:rPr>
        <w:t>财政身份认证系统作为财政信息网的重要安全基础设施，我局及时对其进行改造、升级，并采用安全、可靠、受控的国产密码算法确保财政应用信息资源安全。系统整体升级从安全设计、机房环境、网络环境、人员管理、及相关安全策略都满足国家密码管理局对财政建设方案中提出的相关要求。</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目前已经按照省市相关要求。完成了项目实施、项目初验、项目试运行、新部署应用系统使用国密算法。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ind w:firstLine="640" w:firstLineChars="200"/>
        <w:jc w:val="left"/>
        <w:textAlignment w:val="center"/>
        <w:rPr>
          <w:rFonts w:ascii="仿宋_GB2312" w:hAnsi="宋体" w:eastAsia="仿宋_GB2312"/>
          <w:sz w:val="32"/>
          <w:szCs w:val="32"/>
          <w:lang w:val="zh-CN"/>
        </w:rPr>
      </w:pPr>
      <w:r>
        <w:rPr>
          <w:rFonts w:hint="eastAsia" w:ascii="仿宋_GB2312" w:hAnsi="宋体" w:eastAsia="仿宋_GB2312"/>
          <w:sz w:val="32"/>
          <w:szCs w:val="32"/>
          <w:lang w:val="zh-CN"/>
        </w:rPr>
        <w:t>1、将财政身份认证的CA、RA、KM、身份证网关、数字签名服务器、UK等升级到支持国产密码算法的软硬件产品，达到国家主管部门要求。</w:t>
      </w:r>
    </w:p>
    <w:p>
      <w:pPr>
        <w:pStyle w:val="2"/>
        <w:spacing w:before="93"/>
        <w:ind w:firstLine="640" w:firstLineChars="200"/>
        <w:rPr>
          <w:rFonts w:ascii="仿宋_GB2312" w:hAnsi="宋体" w:eastAsia="仿宋_GB2312"/>
          <w:kern w:val="2"/>
          <w:sz w:val="32"/>
          <w:szCs w:val="32"/>
          <w:lang w:val="zh-CN"/>
        </w:rPr>
      </w:pPr>
      <w:r>
        <w:rPr>
          <w:rFonts w:hint="eastAsia" w:ascii="仿宋_GB2312" w:hAnsi="宋体" w:eastAsia="仿宋_GB2312"/>
          <w:kern w:val="2"/>
          <w:sz w:val="32"/>
          <w:szCs w:val="32"/>
          <w:lang w:val="zh-CN"/>
        </w:rPr>
        <w:t>2、进一步优化设备配置性能，提高系统的健壮性，强化管理能力，提升系统整体的安全性、稳定性。</w:t>
      </w:r>
    </w:p>
    <w:p>
      <w:pPr>
        <w:adjustRightInd w:val="0"/>
        <w:snapToGrid w:val="0"/>
        <w:spacing w:line="600" w:lineRule="exact"/>
        <w:ind w:firstLine="720"/>
        <w:rPr>
          <w:rFonts w:hint="eastAsia" w:ascii="仿宋_GB2312" w:hAnsi="宋体" w:eastAsia="仿宋_GB2312"/>
          <w:sz w:val="32"/>
          <w:szCs w:val="32"/>
          <w:lang w:val="zh-CN"/>
        </w:rPr>
      </w:pP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3、为财政业务应用系统推广国产密码算法奠定基础。</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针对本单位预算执行情况展开自评，单位集中评定，结合评定结果，对提出的问题制定整改措施，并对整改情况进行再核实，确保评价取得实效。</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ind w:firstLine="640" w:firstLineChars="200"/>
        <w:rPr>
          <w:rFonts w:ascii="仿宋_GB2312" w:hAnsi="宋体" w:eastAsia="仿宋_GB2312"/>
          <w:sz w:val="32"/>
          <w:szCs w:val="32"/>
          <w:lang w:val="zh-CN"/>
        </w:rPr>
      </w:pPr>
      <w:r>
        <w:rPr>
          <w:rFonts w:ascii="仿宋_GB2312" w:hAnsi="宋体" w:eastAsia="仿宋_GB2312"/>
          <w:sz w:val="32"/>
          <w:szCs w:val="32"/>
          <w:lang w:val="zh-CN"/>
        </w:rPr>
        <w:tab/>
      </w:r>
      <w:r>
        <w:rPr>
          <w:rFonts w:hint="eastAsia" w:ascii="仿宋_GB2312" w:hAnsi="宋体" w:eastAsia="仿宋_GB2312"/>
          <w:sz w:val="32"/>
          <w:szCs w:val="32"/>
          <w:lang w:val="zh-CN"/>
        </w:rPr>
        <w:t>预算执行进度较缓，需进一步加大预算执行力度。</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34"/>
          <w:rFonts w:ascii="黑体" w:hAnsi="黑体" w:eastAsia="黑体"/>
          <w:b w:val="0"/>
        </w:rPr>
      </w:pPr>
    </w:p>
    <w:p>
      <w:pPr>
        <w:spacing w:line="580" w:lineRule="exact"/>
        <w:ind w:firstLine="880" w:firstLineChars="200"/>
        <w:rPr>
          <w:rFonts w:hint="eastAsia" w:ascii="??_GB2312" w:hAnsi="??_GB2312" w:cs="??_GB2312" w:eastAsiaTheme="minorEastAsia"/>
          <w:sz w:val="32"/>
          <w:szCs w:val="32"/>
        </w:rPr>
      </w:pPr>
      <w:r>
        <w:rPr>
          <w:rStyle w:val="34"/>
          <w:rFonts w:ascii="黑体" w:hAnsi="黑体" w:eastAsia="黑体"/>
          <w:b w:val="0"/>
        </w:rPr>
        <w:br w:type="page"/>
      </w:r>
      <w:bookmarkStart w:id="50" w:name="_Toc15396618"/>
    </w:p>
    <w:p>
      <w:pPr>
        <w:spacing w:line="600" w:lineRule="exact"/>
        <w:jc w:val="both"/>
        <w:outlineLvl w:val="0"/>
        <w:rPr>
          <w:rFonts w:ascii="黑体" w:hAnsi="黑体" w:eastAsia="黑体"/>
          <w:color w:val="000000"/>
          <w:sz w:val="44"/>
          <w:szCs w:val="44"/>
        </w:rPr>
      </w:pPr>
    </w:p>
    <w:p>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19"/>
          <w:rFonts w:hint="eastAsia" w:ascii="黑体" w:hAnsi="黑体" w:eastAsia="黑体"/>
          <w:b w:val="0"/>
        </w:rPr>
        <w:t>五部分附表</w:t>
      </w:r>
      <w:bookmarkEnd w:id="48"/>
      <w:bookmarkEnd w:id="50"/>
    </w:p>
    <w:p>
      <w:pPr>
        <w:pStyle w:val="4"/>
        <w:rPr>
          <w:rFonts w:ascii="仿宋" w:hAnsi="仿宋" w:eastAsia="仿宋"/>
          <w:color w:val="000000"/>
        </w:rPr>
      </w:pPr>
      <w:bookmarkStart w:id="51" w:name="_Toc15396619"/>
      <w:r>
        <w:rPr>
          <w:rFonts w:hint="eastAsia" w:ascii="仿宋" w:hAnsi="仿宋" w:eastAsia="仿宋"/>
          <w:b w:val="0"/>
          <w:color w:val="000000"/>
        </w:rPr>
        <w:t>一、收</w:t>
      </w:r>
      <w:r>
        <w:rPr>
          <w:rStyle w:val="20"/>
          <w:rFonts w:hint="eastAsia" w:ascii="仿宋" w:hAnsi="仿宋" w:eastAsia="仿宋"/>
          <w:b w:val="0"/>
          <w:bCs w:val="0"/>
        </w:rPr>
        <w:t>入支出决算总表</w:t>
      </w:r>
      <w:bookmarkEnd w:id="51"/>
    </w:p>
    <w:p>
      <w:pPr>
        <w:pStyle w:val="4"/>
        <w:rPr>
          <w:rFonts w:ascii="仿宋" w:hAnsi="仿宋" w:eastAsia="仿宋"/>
          <w:color w:val="000000"/>
        </w:rPr>
      </w:pPr>
      <w:bookmarkStart w:id="52" w:name="_Toc15396620"/>
      <w:r>
        <w:rPr>
          <w:rFonts w:hint="eastAsia" w:ascii="仿宋" w:hAnsi="仿宋" w:eastAsia="仿宋"/>
          <w:b w:val="0"/>
          <w:color w:val="000000"/>
        </w:rPr>
        <w:t>二、收</w:t>
      </w:r>
      <w:r>
        <w:rPr>
          <w:rStyle w:val="20"/>
          <w:rFonts w:hint="eastAsia" w:ascii="仿宋" w:hAnsi="仿宋" w:eastAsia="仿宋"/>
          <w:b w:val="0"/>
          <w:bCs w:val="0"/>
        </w:rPr>
        <w:t>入决算表</w:t>
      </w:r>
      <w:bookmarkEnd w:id="52"/>
    </w:p>
    <w:p>
      <w:pPr>
        <w:pStyle w:val="4"/>
        <w:rPr>
          <w:rFonts w:ascii="仿宋" w:hAnsi="仿宋" w:eastAsia="仿宋"/>
          <w:color w:val="000000"/>
        </w:rPr>
      </w:pPr>
      <w:bookmarkStart w:id="53"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出决算表</w:t>
      </w:r>
      <w:bookmarkEnd w:id="53"/>
    </w:p>
    <w:p>
      <w:pPr>
        <w:pStyle w:val="4"/>
        <w:rPr>
          <w:rFonts w:ascii="仿宋" w:hAnsi="仿宋" w:eastAsia="仿宋"/>
          <w:b w:val="0"/>
          <w:color w:val="000000"/>
        </w:rPr>
      </w:pPr>
      <w:bookmarkStart w:id="54"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54"/>
    </w:p>
    <w:p>
      <w:pPr>
        <w:pStyle w:val="4"/>
        <w:rPr>
          <w:rStyle w:val="20"/>
          <w:rFonts w:ascii="仿宋" w:hAnsi="仿宋" w:eastAsia="仿宋"/>
          <w:b w:val="0"/>
          <w:bCs w:val="0"/>
        </w:rPr>
      </w:pPr>
      <w:bookmarkStart w:id="55"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w:t>
      </w:r>
      <w:bookmarkEnd w:id="55"/>
      <w:bookmarkStart w:id="56" w:name="_Toc15396624"/>
    </w:p>
    <w:p>
      <w:pPr>
        <w:pStyle w:val="4"/>
        <w:rPr>
          <w:rFonts w:ascii="仿宋" w:hAnsi="仿宋" w:eastAsia="仿宋"/>
          <w:color w:val="000000"/>
        </w:rPr>
      </w:pPr>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56"/>
    </w:p>
    <w:p>
      <w:pPr>
        <w:pStyle w:val="4"/>
        <w:rPr>
          <w:rFonts w:ascii="仿宋" w:hAnsi="仿宋" w:eastAsia="仿宋"/>
          <w:color w:val="000000"/>
        </w:rPr>
      </w:pPr>
      <w:bookmarkStart w:id="57"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57"/>
    </w:p>
    <w:p>
      <w:pPr>
        <w:pStyle w:val="4"/>
        <w:rPr>
          <w:rFonts w:ascii="仿宋" w:hAnsi="仿宋" w:eastAsia="仿宋"/>
          <w:color w:val="000000"/>
        </w:rPr>
      </w:pPr>
      <w:bookmarkStart w:id="58"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58"/>
    </w:p>
    <w:p>
      <w:pPr>
        <w:pStyle w:val="4"/>
        <w:rPr>
          <w:rFonts w:ascii="仿宋" w:hAnsi="仿宋" w:eastAsia="仿宋"/>
          <w:color w:val="000000"/>
        </w:rPr>
      </w:pPr>
      <w:bookmarkStart w:id="59"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59"/>
    </w:p>
    <w:p>
      <w:pPr>
        <w:pStyle w:val="4"/>
        <w:rPr>
          <w:rFonts w:ascii="仿宋" w:hAnsi="仿宋" w:eastAsia="仿宋"/>
          <w:color w:val="000000"/>
        </w:rPr>
      </w:pPr>
      <w:bookmarkStart w:id="60"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60"/>
    </w:p>
    <w:p>
      <w:pPr>
        <w:pStyle w:val="4"/>
        <w:rPr>
          <w:rFonts w:ascii="仿宋" w:hAnsi="仿宋" w:eastAsia="仿宋"/>
          <w:color w:val="000000"/>
        </w:rPr>
      </w:pPr>
      <w:bookmarkStart w:id="61"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61"/>
    </w:p>
    <w:p>
      <w:pPr>
        <w:pStyle w:val="4"/>
        <w:rPr>
          <w:rFonts w:ascii="仿宋" w:hAnsi="仿宋" w:eastAsia="仿宋"/>
          <w:color w:val="000000"/>
        </w:rPr>
      </w:pPr>
      <w:bookmarkStart w:id="62"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62"/>
    </w:p>
    <w:p>
      <w:pPr>
        <w:pStyle w:val="4"/>
        <w:rPr>
          <w:rStyle w:val="20"/>
          <w:rFonts w:ascii="仿宋" w:hAnsi="仿宋" w:eastAsia="仿宋"/>
          <w:b w:val="0"/>
          <w:bCs w:val="0"/>
        </w:rPr>
      </w:pPr>
      <w:bookmarkStart w:id="63" w:name="_Toc15396631"/>
      <w:r>
        <w:rPr>
          <w:rStyle w:val="20"/>
          <w:rFonts w:hint="eastAsia" w:ascii="仿宋" w:hAnsi="仿宋" w:eastAsia="仿宋"/>
          <w:b w:val="0"/>
          <w:bCs w:val="0"/>
        </w:rPr>
        <w:t>十三、</w:t>
      </w:r>
      <w:r>
        <w:rPr>
          <w:rFonts w:hint="eastAsia" w:ascii="仿宋" w:hAnsi="仿宋" w:eastAsia="仿宋"/>
          <w:b w:val="0"/>
          <w:color w:val="000000"/>
        </w:rPr>
        <w:t>国</w:t>
      </w:r>
      <w:r>
        <w:rPr>
          <w:rStyle w:val="20"/>
          <w:rFonts w:hint="eastAsia" w:ascii="仿宋" w:hAnsi="仿宋" w:eastAsia="仿宋"/>
          <w:b w:val="0"/>
          <w:bCs w:val="0"/>
        </w:rPr>
        <w:t>有资本经营预算支出决算表</w:t>
      </w:r>
      <w:bookmarkEnd w:id="63"/>
    </w:p>
    <w:p>
      <w:pPr>
        <w:rPr>
          <w:rFonts w:hint="eastAsia" w:eastAsia="仿宋"/>
          <w:sz w:val="32"/>
          <w:szCs w:val="32"/>
          <w:lang w:eastAsia="zh-CN"/>
        </w:rPr>
      </w:pPr>
      <w:r>
        <w:rPr>
          <w:rFonts w:hint="eastAsia" w:eastAsia="仿宋"/>
          <w:sz w:val="32"/>
          <w:szCs w:val="32"/>
          <w:lang w:eastAsia="zh-CN"/>
        </w:rPr>
        <w:fldChar w:fldCharType="begin"/>
      </w:r>
      <w:r>
        <w:rPr>
          <w:rFonts w:hint="eastAsia" w:eastAsia="仿宋"/>
          <w:sz w:val="32"/>
          <w:szCs w:val="32"/>
          <w:lang w:eastAsia="zh-CN"/>
        </w:rPr>
        <w:instrText xml:space="preserve"> HYPERLINK "2020年财政局部门决算公开报表.xls" </w:instrText>
      </w:r>
      <w:r>
        <w:rPr>
          <w:rFonts w:hint="eastAsia" w:eastAsia="仿宋"/>
          <w:sz w:val="32"/>
          <w:szCs w:val="32"/>
          <w:lang w:eastAsia="zh-CN"/>
        </w:rPr>
        <w:fldChar w:fldCharType="separate"/>
      </w:r>
      <w:r>
        <w:rPr>
          <w:rStyle w:val="17"/>
          <w:rFonts w:hint="eastAsia" w:eastAsia="仿宋"/>
          <w:sz w:val="32"/>
          <w:szCs w:val="32"/>
          <w:lang w:eastAsia="zh-CN"/>
        </w:rPr>
        <w:t>附表</w:t>
      </w:r>
      <w:r>
        <w:rPr>
          <w:rFonts w:hint="eastAsia" w:eastAsia="仿宋"/>
          <w:sz w:val="32"/>
          <w:szCs w:val="32"/>
          <w:lang w:eastAsia="zh-CN"/>
        </w:rPr>
        <w:fldChar w:fldCharType="end"/>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36</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A35C5"/>
    <w:multiLevelType w:val="singleLevel"/>
    <w:tmpl w:val="A0FA35C5"/>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pPr>
        <w:ind w:left="-450"/>
      </w:pPr>
      <w:rPr>
        <w:rFonts w:hint="eastAsia" w:cs="Times New Roman"/>
        <w:b/>
        <w:bCs/>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15AD"/>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2401"/>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075B"/>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010C"/>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00D1"/>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76F"/>
    <w:rsid w:val="00902FA3"/>
    <w:rsid w:val="0091183C"/>
    <w:rsid w:val="009228AA"/>
    <w:rsid w:val="00923564"/>
    <w:rsid w:val="0092392E"/>
    <w:rsid w:val="009315F9"/>
    <w:rsid w:val="00933499"/>
    <w:rsid w:val="00934826"/>
    <w:rsid w:val="00935C98"/>
    <w:rsid w:val="00946945"/>
    <w:rsid w:val="00951248"/>
    <w:rsid w:val="0095152F"/>
    <w:rsid w:val="00954C49"/>
    <w:rsid w:val="00955E37"/>
    <w:rsid w:val="00965B40"/>
    <w:rsid w:val="0097099F"/>
    <w:rsid w:val="00971997"/>
    <w:rsid w:val="00971FFC"/>
    <w:rsid w:val="0098660A"/>
    <w:rsid w:val="00992266"/>
    <w:rsid w:val="009931C3"/>
    <w:rsid w:val="009A1EDB"/>
    <w:rsid w:val="009A3CE4"/>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2DE6"/>
    <w:rsid w:val="00A13CC1"/>
    <w:rsid w:val="00A16847"/>
    <w:rsid w:val="00A237D8"/>
    <w:rsid w:val="00A268C4"/>
    <w:rsid w:val="00A26BD1"/>
    <w:rsid w:val="00A307CD"/>
    <w:rsid w:val="00A331C8"/>
    <w:rsid w:val="00A35117"/>
    <w:rsid w:val="00A37593"/>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6D58"/>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7066"/>
    <w:rsid w:val="00BE7CA3"/>
    <w:rsid w:val="00BF4DB5"/>
    <w:rsid w:val="00BF5BD6"/>
    <w:rsid w:val="00C03E31"/>
    <w:rsid w:val="00C30E69"/>
    <w:rsid w:val="00C33E72"/>
    <w:rsid w:val="00C354B2"/>
    <w:rsid w:val="00C35554"/>
    <w:rsid w:val="00C42709"/>
    <w:rsid w:val="00C533CC"/>
    <w:rsid w:val="00C5751C"/>
    <w:rsid w:val="00C577D9"/>
    <w:rsid w:val="00C61BFC"/>
    <w:rsid w:val="00C62B85"/>
    <w:rsid w:val="00C65438"/>
    <w:rsid w:val="00C91CBB"/>
    <w:rsid w:val="00CB4E70"/>
    <w:rsid w:val="00CB79DA"/>
    <w:rsid w:val="00CC0521"/>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072E"/>
    <w:rsid w:val="00DC26E9"/>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474"/>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1FE8"/>
    <w:rsid w:val="00F841AA"/>
    <w:rsid w:val="00F84A94"/>
    <w:rsid w:val="00F87E96"/>
    <w:rsid w:val="00FA23E8"/>
    <w:rsid w:val="00FD3CC1"/>
    <w:rsid w:val="00FF1E02"/>
    <w:rsid w:val="00FF30B4"/>
    <w:rsid w:val="023A2171"/>
    <w:rsid w:val="042D0CD2"/>
    <w:rsid w:val="067B7CC5"/>
    <w:rsid w:val="0D974BDA"/>
    <w:rsid w:val="0E7B4B5F"/>
    <w:rsid w:val="10C055FF"/>
    <w:rsid w:val="14735608"/>
    <w:rsid w:val="14885C55"/>
    <w:rsid w:val="167C2F7C"/>
    <w:rsid w:val="16BB723D"/>
    <w:rsid w:val="174D0843"/>
    <w:rsid w:val="17C35903"/>
    <w:rsid w:val="1968359C"/>
    <w:rsid w:val="1A7F7A11"/>
    <w:rsid w:val="1BD5208F"/>
    <w:rsid w:val="1E9D2597"/>
    <w:rsid w:val="2186370D"/>
    <w:rsid w:val="231026F3"/>
    <w:rsid w:val="240371BF"/>
    <w:rsid w:val="244223F2"/>
    <w:rsid w:val="250B0C77"/>
    <w:rsid w:val="27791449"/>
    <w:rsid w:val="28B268AD"/>
    <w:rsid w:val="28F15A08"/>
    <w:rsid w:val="29FD04D3"/>
    <w:rsid w:val="2CEA033E"/>
    <w:rsid w:val="310A6252"/>
    <w:rsid w:val="319F7F4E"/>
    <w:rsid w:val="336F4DB2"/>
    <w:rsid w:val="378B6585"/>
    <w:rsid w:val="388B42B0"/>
    <w:rsid w:val="3DDF7DC2"/>
    <w:rsid w:val="3E4434B3"/>
    <w:rsid w:val="3F9726A6"/>
    <w:rsid w:val="4171745B"/>
    <w:rsid w:val="46B90502"/>
    <w:rsid w:val="47C44658"/>
    <w:rsid w:val="4A6D13A0"/>
    <w:rsid w:val="4C6E77CE"/>
    <w:rsid w:val="4D1D2C9A"/>
    <w:rsid w:val="4ECE2238"/>
    <w:rsid w:val="4FFF4895"/>
    <w:rsid w:val="50CE54DD"/>
    <w:rsid w:val="510F04F1"/>
    <w:rsid w:val="51234FE8"/>
    <w:rsid w:val="51341E13"/>
    <w:rsid w:val="52C24482"/>
    <w:rsid w:val="5308234B"/>
    <w:rsid w:val="537548A8"/>
    <w:rsid w:val="53764C20"/>
    <w:rsid w:val="547E3F3B"/>
    <w:rsid w:val="559871C6"/>
    <w:rsid w:val="5A907ED9"/>
    <w:rsid w:val="5AD75C56"/>
    <w:rsid w:val="5AFA241B"/>
    <w:rsid w:val="5CA6092C"/>
    <w:rsid w:val="5D1F77EA"/>
    <w:rsid w:val="5DCB0244"/>
    <w:rsid w:val="62BE430E"/>
    <w:rsid w:val="6444447A"/>
    <w:rsid w:val="64B01381"/>
    <w:rsid w:val="66BF5215"/>
    <w:rsid w:val="66E27341"/>
    <w:rsid w:val="675065CB"/>
    <w:rsid w:val="679E2EBB"/>
    <w:rsid w:val="67EF6551"/>
    <w:rsid w:val="68593A0B"/>
    <w:rsid w:val="69375672"/>
    <w:rsid w:val="69C252C3"/>
    <w:rsid w:val="6A1536B0"/>
    <w:rsid w:val="6A2E21E2"/>
    <w:rsid w:val="6B3029B3"/>
    <w:rsid w:val="6D3C7F05"/>
    <w:rsid w:val="6DB66BAE"/>
    <w:rsid w:val="6E286FD5"/>
    <w:rsid w:val="6FCD65BA"/>
    <w:rsid w:val="700B68A3"/>
    <w:rsid w:val="71D93D01"/>
    <w:rsid w:val="72734D90"/>
    <w:rsid w:val="73513A5F"/>
    <w:rsid w:val="757622D5"/>
    <w:rsid w:val="76CD3746"/>
    <w:rsid w:val="788D3E89"/>
    <w:rsid w:val="7A2237F1"/>
    <w:rsid w:val="7CCB79E0"/>
    <w:rsid w:val="7D0A01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_GB2312" w:eastAsia="Times New Roman"/>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3"/>
    <w:semiHidden/>
    <w:qFormat/>
    <w:uiPriority w:val="99"/>
    <w:rPr>
      <w:sz w:val="18"/>
      <w:szCs w:val="18"/>
    </w:rPr>
  </w:style>
  <w:style w:type="paragraph" w:styleId="8">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rFonts w:cs="Times New Roman"/>
      <w:b/>
    </w:rPr>
  </w:style>
  <w:style w:type="character" w:styleId="17">
    <w:name w:val="FollowedHyperlink"/>
    <w:basedOn w:val="15"/>
    <w:semiHidden/>
    <w:unhideWhenUsed/>
    <w:uiPriority w:val="99"/>
    <w:rPr>
      <w:color w:val="800080"/>
      <w:u w:val="single"/>
    </w:rPr>
  </w:style>
  <w:style w:type="character" w:styleId="18">
    <w:name w:val="Hyperlink"/>
    <w:basedOn w:val="15"/>
    <w:qFormat/>
    <w:uiPriority w:val="99"/>
    <w:rPr>
      <w:rFonts w:cs="Times New Roman"/>
      <w:color w:val="0000FF"/>
      <w:u w:val="single"/>
    </w:rPr>
  </w:style>
  <w:style w:type="character" w:customStyle="1" w:styleId="19">
    <w:name w:val="Heading 1 Char"/>
    <w:basedOn w:val="15"/>
    <w:link w:val="3"/>
    <w:qFormat/>
    <w:locked/>
    <w:uiPriority w:val="99"/>
    <w:rPr>
      <w:rFonts w:ascii="Times New Roman" w:hAnsi="Times New Roman" w:cs="Times New Roman"/>
      <w:b/>
      <w:bCs/>
      <w:kern w:val="44"/>
      <w:sz w:val="44"/>
      <w:szCs w:val="44"/>
    </w:rPr>
  </w:style>
  <w:style w:type="character" w:customStyle="1" w:styleId="20">
    <w:name w:val="Heading 2 Char"/>
    <w:basedOn w:val="15"/>
    <w:link w:val="4"/>
    <w:qFormat/>
    <w:locked/>
    <w:uiPriority w:val="99"/>
    <w:rPr>
      <w:rFonts w:ascii="Cambria" w:hAnsi="Cambria" w:eastAsia="宋体" w:cs="Times New Roman"/>
      <w:b/>
      <w:bCs/>
      <w:kern w:val="2"/>
      <w:sz w:val="32"/>
      <w:szCs w:val="32"/>
    </w:rPr>
  </w:style>
  <w:style w:type="character" w:customStyle="1" w:styleId="21">
    <w:name w:val="标题 3 Char"/>
    <w:basedOn w:val="15"/>
    <w:link w:val="5"/>
    <w:qFormat/>
    <w:locked/>
    <w:uiPriority w:val="99"/>
    <w:rPr>
      <w:rFonts w:ascii="Times New Roman" w:hAnsi="Times New Roman" w:cs="Times New Roman"/>
      <w:b/>
      <w:bCs/>
      <w:kern w:val="2"/>
      <w:sz w:val="32"/>
      <w:szCs w:val="32"/>
    </w:rPr>
  </w:style>
  <w:style w:type="character" w:customStyle="1" w:styleId="22">
    <w:name w:val="Body Text Char"/>
    <w:basedOn w:val="15"/>
    <w:link w:val="2"/>
    <w:semiHidden/>
    <w:qFormat/>
    <w:uiPriority w:val="99"/>
    <w:rPr>
      <w:rFonts w:ascii="Times New Roman" w:hAnsi="Times New Roman" w:cs="Times New Roman"/>
      <w:sz w:val="24"/>
      <w:szCs w:val="24"/>
    </w:rPr>
  </w:style>
  <w:style w:type="character" w:customStyle="1" w:styleId="23">
    <w:name w:val="批注框文本 Char"/>
    <w:basedOn w:val="15"/>
    <w:link w:val="7"/>
    <w:semiHidden/>
    <w:qFormat/>
    <w:locked/>
    <w:uiPriority w:val="99"/>
    <w:rPr>
      <w:rFonts w:ascii="Times New Roman" w:hAnsi="Times New Roman" w:cs="Times New Roman"/>
      <w:kern w:val="2"/>
      <w:sz w:val="18"/>
      <w:szCs w:val="18"/>
    </w:rPr>
  </w:style>
  <w:style w:type="character" w:customStyle="1" w:styleId="24">
    <w:name w:val="Footer Char"/>
    <w:basedOn w:val="15"/>
    <w:link w:val="8"/>
    <w:semiHidden/>
    <w:qFormat/>
    <w:uiPriority w:val="99"/>
    <w:rPr>
      <w:rFonts w:ascii="Times New Roman" w:hAnsi="Times New Roman" w:cs="Times New Roman"/>
      <w:sz w:val="18"/>
      <w:szCs w:val="18"/>
    </w:rPr>
  </w:style>
  <w:style w:type="character" w:customStyle="1" w:styleId="25">
    <w:name w:val="Header Char"/>
    <w:basedOn w:val="15"/>
    <w:link w:val="9"/>
    <w:semiHidden/>
    <w:qFormat/>
    <w:uiPriority w:val="99"/>
    <w:rPr>
      <w:rFonts w:ascii="Times New Roman" w:hAnsi="Times New Roman" w:cs="Times New Roman"/>
      <w:sz w:val="18"/>
      <w:szCs w:val="18"/>
    </w:rPr>
  </w:style>
  <w:style w:type="character" w:customStyle="1" w:styleId="26">
    <w:name w:val="页眉 Char"/>
    <w:link w:val="9"/>
    <w:semiHidden/>
    <w:qFormat/>
    <w:locked/>
    <w:uiPriority w:val="99"/>
    <w:rPr>
      <w:sz w:val="18"/>
    </w:rPr>
  </w:style>
  <w:style w:type="character" w:customStyle="1" w:styleId="27">
    <w:name w:val="页脚 Char"/>
    <w:link w:val="8"/>
    <w:qFormat/>
    <w:locked/>
    <w:uiPriority w:val="99"/>
    <w:rPr>
      <w:sz w:val="18"/>
    </w:rPr>
  </w:style>
  <w:style w:type="character" w:customStyle="1" w:styleId="28">
    <w:name w:val="正文文本 Char"/>
    <w:link w:val="2"/>
    <w:qFormat/>
    <w:locked/>
    <w:uiPriority w:val="99"/>
    <w:rPr>
      <w:rFonts w:ascii="??_GB2312" w:hAnsi="Times New Roman" w:eastAsia="Times New Roman"/>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3">
    <w:name w:val="标题 2 Char"/>
    <w:basedOn w:val="15"/>
    <w:link w:val="4"/>
    <w:qFormat/>
    <w:uiPriority w:val="9"/>
    <w:rPr>
      <w:rFonts w:asciiTheme="majorHAnsi" w:hAnsiTheme="majorHAnsi" w:eastAsiaTheme="majorEastAsia" w:cstheme="majorBidi"/>
      <w:b/>
      <w:bCs/>
      <w:kern w:val="2"/>
      <w:sz w:val="32"/>
      <w:szCs w:val="32"/>
    </w:rPr>
  </w:style>
  <w:style w:type="character" w:customStyle="1" w:styleId="34">
    <w:name w:val="标题 1 Char"/>
    <w:basedOn w:val="15"/>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Workbook2.xls"/><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oleObject" Target="embeddings/Workbook3.xls"/><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2362</Words>
  <Characters>13464</Characters>
  <Lines>112</Lines>
  <Paragraphs>31</Paragraphs>
  <TotalTime>47</TotalTime>
  <ScaleCrop>false</ScaleCrop>
  <LinksUpToDate>false</LinksUpToDate>
  <CharactersWithSpaces>15795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2021-09-22T05:09:00Z</dcterms:created>
  <dc:creator>曹颖</dc:creator>
  <cp:lastModifiedBy>Administrator</cp:lastModifiedBy>
  <cp:lastPrinted>2020-09-27T07:46:00Z</cp:lastPrinted>
  <dcterms:modified xsi:type="dcterms:W3CDTF">2021-09-27T09:22:30Z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2E51001575864A84AB9AC76433D4D4C8</vt:lpwstr>
  </property>
</Properties>
</file>