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77425"/>
      <w:bookmarkStart w:id="2" w:name="_Toc15378441"/>
      <w:bookmarkStart w:id="3" w:name="_Toc15396475"/>
      <w:bookmarkStart w:id="4" w:name="_Toc15396597"/>
      <w:bookmarkStart w:id="5" w:name="_Toc15306267"/>
    </w:p>
    <w:p>
      <w:pPr>
        <w:pageBreakBefore w:val="0"/>
        <w:kinsoku/>
        <w:wordWrap/>
        <w:overflowPunct/>
        <w:topLinePunct w:val="0"/>
        <w:bidi w:val="0"/>
        <w:spacing w:line="240" w:lineRule="auto"/>
        <w:jc w:val="center"/>
        <w:outlineLvl w:val="0"/>
        <w:rPr>
          <w:rFonts w:ascii="方正小标宋简体" w:hAnsi="宋体" w:eastAsia="方正小标宋简体"/>
          <w:color w:val="auto"/>
          <w:sz w:val="72"/>
          <w:szCs w:val="72"/>
          <w:highlight w:val="none"/>
        </w:rPr>
      </w:pPr>
    </w:p>
    <w:p>
      <w:pPr>
        <w:pageBreakBefore w:val="0"/>
        <w:kinsoku/>
        <w:wordWrap/>
        <w:overflowPunct/>
        <w:topLinePunct w:val="0"/>
        <w:bidi w:val="0"/>
        <w:spacing w:line="240" w:lineRule="auto"/>
        <w:jc w:val="center"/>
        <w:outlineLvl w:val="0"/>
        <w:rPr>
          <w:rFonts w:ascii="方正小标宋简体" w:hAnsi="宋体" w:eastAsia="方正小标宋简体"/>
          <w:color w:val="auto"/>
          <w:sz w:val="72"/>
          <w:szCs w:val="72"/>
          <w:highlight w:val="none"/>
        </w:rPr>
      </w:pPr>
    </w:p>
    <w:p>
      <w:pPr>
        <w:pageBreakBefore w:val="0"/>
        <w:kinsoku/>
        <w:wordWrap/>
        <w:overflowPunct/>
        <w:topLinePunct w:val="0"/>
        <w:bidi w:val="0"/>
        <w:spacing w:line="240" w:lineRule="auto"/>
        <w:jc w:val="center"/>
        <w:outlineLvl w:val="0"/>
        <w:rPr>
          <w:rFonts w:ascii="方正小标宋简体" w:hAnsi="宋体" w:eastAsia="方正小标宋简体"/>
          <w:color w:val="auto"/>
          <w:sz w:val="72"/>
          <w:szCs w:val="72"/>
          <w:highlight w:val="none"/>
        </w:rPr>
      </w:pPr>
    </w:p>
    <w:p>
      <w:pPr>
        <w:pageBreakBefore w:val="0"/>
        <w:kinsoku/>
        <w:wordWrap/>
        <w:overflowPunct/>
        <w:topLinePunct w:val="0"/>
        <w:bidi w:val="0"/>
        <w:adjustRightInd w:val="0"/>
        <w:snapToGrid w:val="0"/>
        <w:spacing w:line="24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pageBreakBefore w:val="0"/>
        <w:kinsoku/>
        <w:wordWrap/>
        <w:overflowPunct/>
        <w:topLinePunct w:val="0"/>
        <w:bidi w:val="0"/>
        <w:adjustRightInd w:val="0"/>
        <w:snapToGrid w:val="0"/>
        <w:spacing w:line="24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7194"/>
      <w:bookmarkStart w:id="8" w:name="_Toc15396598"/>
      <w:bookmarkStart w:id="9" w:name="_Toc15378442"/>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宋体" w:eastAsia="方正小标宋简体"/>
          <w:color w:val="000000"/>
          <w:sz w:val="72"/>
          <w:szCs w:val="72"/>
          <w:lang w:eastAsia="zh-CN"/>
        </w:rPr>
        <w:t>广元市朝天区医疗保障局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pageBreakBefore w:val="0"/>
        <w:widowControl/>
        <w:kinsoku/>
        <w:wordWrap/>
        <w:overflowPunct/>
        <w:topLinePunct w:val="0"/>
        <w:bidi w:val="0"/>
        <w:spacing w:line="240" w:lineRule="auto"/>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ageBreakBefore w:val="0"/>
        <w:widowControl/>
        <w:kinsoku/>
        <w:wordWrap/>
        <w:overflowPunct/>
        <w:topLinePunct w:val="0"/>
        <w:bidi w:val="0"/>
        <w:spacing w:line="240" w:lineRule="auto"/>
        <w:jc w:val="center"/>
        <w:rPr>
          <w:rFonts w:ascii="黑体" w:hAnsi="黑体" w:eastAsia="黑体" w:cstheme="minorBidi"/>
          <w:color w:val="auto"/>
          <w:sz w:val="28"/>
          <w:szCs w:val="28"/>
          <w:highlight w:val="none"/>
        </w:rPr>
      </w:pPr>
    </w:p>
    <w:p>
      <w:pPr>
        <w:pStyle w:val="11"/>
        <w:pageBreakBefore w:val="0"/>
        <w:kinsoku/>
        <w:wordWrap/>
        <w:overflowPunct/>
        <w:topLinePunct w:val="0"/>
        <w:bidi w:val="0"/>
        <w:spacing w:before="0" w:line="240" w:lineRule="auto"/>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pageBreakBefore w:val="0"/>
        <w:kinsoku/>
        <w:wordWrap/>
        <w:overflowPunct/>
        <w:topLinePunct w:val="0"/>
        <w:bidi w:val="0"/>
        <w:spacing w:line="240" w:lineRule="auto"/>
        <w:rPr>
          <w:color w:val="auto"/>
          <w:highlight w:val="none"/>
        </w:rPr>
      </w:pPr>
    </w:p>
    <w:p>
      <w:pPr>
        <w:pStyle w:val="11"/>
        <w:pageBreakBefore w:val="0"/>
        <w:kinsoku/>
        <w:wordWrap/>
        <w:overflowPunct/>
        <w:topLinePunct w:val="0"/>
        <w:bidi w:val="0"/>
        <w:adjustRightInd w:val="0"/>
        <w:snapToGrid w:val="0"/>
        <w:spacing w:before="0" w:line="240" w:lineRule="auto"/>
        <w:jc w:val="left"/>
        <w:rPr>
          <w:rFonts w:hint="default" w:eastAsiaTheme="minorEastAsia"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3-8</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olor w:val="auto"/>
          <w:sz w:val="24"/>
          <w:highlight w:val="none"/>
          <w:lang w:val="en-US" w:eastAsia="zh-CN"/>
        </w:rPr>
      </w:pPr>
      <w:r>
        <w:rPr>
          <w:rFonts w:hint="eastAsia"/>
          <w:color w:val="auto"/>
          <w:sz w:val="24"/>
          <w:highlight w:val="none"/>
        </w:rPr>
        <w:t>一、基本职能及主要工作</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3-7</w:t>
      </w:r>
    </w:p>
    <w:p>
      <w:pPr>
        <w:pStyle w:val="12"/>
        <w:pageBreakBefore w:val="0"/>
        <w:kinsoku/>
        <w:wordWrap/>
        <w:overflowPunct/>
        <w:topLinePunct w:val="0"/>
        <w:bidi w:val="0"/>
        <w:adjustRightInd w:val="0"/>
        <w:snapToGrid w:val="0"/>
        <w:spacing w:line="240" w:lineRule="auto"/>
        <w:jc w:val="left"/>
        <w:rPr>
          <w:rFonts w:hint="eastAsia" w:ascii="仿宋" w:hAnsi="仿宋" w:eastAsiaTheme="minorEastAsia" w:cstheme="minorBidi"/>
          <w:color w:val="auto"/>
          <w:sz w:val="24"/>
          <w:highlight w:val="none"/>
          <w:lang w:val="en-US" w:eastAsia="zh-CN"/>
        </w:rPr>
      </w:pPr>
      <w:r>
        <w:rPr>
          <w:rFonts w:hint="eastAsia"/>
          <w:color w:val="auto"/>
          <w:sz w:val="24"/>
          <w:highlight w:val="none"/>
        </w:rPr>
        <w:t>二、机构设置</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8</w:t>
      </w:r>
    </w:p>
    <w:p>
      <w:pPr>
        <w:pStyle w:val="11"/>
        <w:pageBreakBefore w:val="0"/>
        <w:kinsoku/>
        <w:wordWrap/>
        <w:overflowPunct/>
        <w:topLinePunct w:val="0"/>
        <w:bidi w:val="0"/>
        <w:adjustRightInd w:val="0"/>
        <w:snapToGrid w:val="0"/>
        <w:spacing w:before="0" w:line="240" w:lineRule="auto"/>
        <w:jc w:val="left"/>
        <w:rPr>
          <w:rFonts w:hint="default" w:eastAsiaTheme="minorEastAsia"/>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8-15</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一、收入支出决算总体情况说明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9-10</w:t>
      </w:r>
    </w:p>
    <w:p>
      <w:pPr>
        <w:pStyle w:val="12"/>
        <w:pageBreakBefore w:val="0"/>
        <w:kinsoku/>
        <w:wordWrap/>
        <w:overflowPunct/>
        <w:topLinePunct w:val="0"/>
        <w:bidi w:val="0"/>
        <w:adjustRightInd w:val="0"/>
        <w:snapToGrid w:val="0"/>
        <w:spacing w:line="240" w:lineRule="auto"/>
        <w:jc w:val="left"/>
        <w:rPr>
          <w:rFonts w:hint="eastAsia" w:ascii="仿宋" w:hAnsi="仿宋" w:eastAsiaTheme="minorEastAsia" w:cstheme="minorBidi"/>
          <w:color w:val="auto"/>
          <w:sz w:val="24"/>
          <w:highlight w:val="none"/>
          <w:lang w:val="en-US" w:eastAsia="zh-CN"/>
        </w:rPr>
      </w:pPr>
      <w:r>
        <w:rPr>
          <w:rFonts w:hint="eastAsia"/>
          <w:color w:val="auto"/>
          <w:sz w:val="24"/>
          <w:highlight w:val="none"/>
        </w:rPr>
        <w:t>二、收入决算情况说明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9</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三、支出决算情况说明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10</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四、财政拨款收入支出决算总体情况说明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11</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11-13</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13-14</w:t>
      </w:r>
    </w:p>
    <w:p>
      <w:pPr>
        <w:pStyle w:val="12"/>
        <w:pageBreakBefore w:val="0"/>
        <w:kinsoku/>
        <w:wordWrap/>
        <w:overflowPunct/>
        <w:topLinePunct w:val="0"/>
        <w:bidi w:val="0"/>
        <w:adjustRightInd w:val="0"/>
        <w:snapToGrid w:val="0"/>
        <w:spacing w:line="240" w:lineRule="auto"/>
        <w:jc w:val="left"/>
        <w:rPr>
          <w:rFonts w:hint="default" w:ascii="仿宋" w:hAnsi="仿宋" w:eastAsiaTheme="minorEastAsia" w:cstheme="minorBidi"/>
          <w:color w:val="auto"/>
          <w:sz w:val="24"/>
          <w:highlight w:val="none"/>
          <w:lang w:val="en-US" w:eastAsia="zh-CN"/>
        </w:rPr>
      </w:pPr>
      <w:r>
        <w:rPr>
          <w:rFonts w:hint="eastAsia"/>
          <w:color w:val="auto"/>
          <w:sz w:val="24"/>
          <w:highlight w:val="none"/>
        </w:rPr>
        <w:t>八、政府性基金预算支出决算情况说明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14</w:t>
      </w:r>
    </w:p>
    <w:p>
      <w:pPr>
        <w:pStyle w:val="12"/>
        <w:pageBreakBefore w:val="0"/>
        <w:kinsoku/>
        <w:wordWrap/>
        <w:overflowPunct/>
        <w:topLinePunct w:val="0"/>
        <w:bidi w:val="0"/>
        <w:adjustRightInd w:val="0"/>
        <w:snapToGrid w:val="0"/>
        <w:spacing w:line="240" w:lineRule="auto"/>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eastAsia="zh-CN"/>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1"/>
        <w:pageBreakBefore w:val="0"/>
        <w:kinsoku/>
        <w:wordWrap/>
        <w:overflowPunct/>
        <w:topLinePunct w:val="0"/>
        <w:bidi w:val="0"/>
        <w:adjustRightInd w:val="0"/>
        <w:snapToGrid w:val="0"/>
        <w:spacing w:before="0" w:line="240" w:lineRule="auto"/>
        <w:jc w:val="left"/>
        <w:rPr>
          <w:rFonts w:hint="default" w:eastAsiaTheme="minorEastAsia"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16-17</w:t>
      </w:r>
    </w:p>
    <w:p>
      <w:pPr>
        <w:pStyle w:val="11"/>
        <w:pageBreakBefore w:val="0"/>
        <w:kinsoku/>
        <w:wordWrap/>
        <w:overflowPunct/>
        <w:topLinePunct w:val="0"/>
        <w:bidi w:val="0"/>
        <w:adjustRightInd w:val="0"/>
        <w:snapToGrid w:val="0"/>
        <w:spacing w:before="0" w:line="240" w:lineRule="auto"/>
        <w:jc w:val="left"/>
        <w:rPr>
          <w:rFonts w:hint="default" w:eastAsiaTheme="minorEastAsia"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18-22</w:t>
      </w:r>
    </w:p>
    <w:p>
      <w:pPr>
        <w:pStyle w:val="11"/>
        <w:pageBreakBefore w:val="0"/>
        <w:kinsoku/>
        <w:wordWrap/>
        <w:overflowPunct/>
        <w:topLinePunct w:val="0"/>
        <w:bidi w:val="0"/>
        <w:adjustRightInd w:val="0"/>
        <w:snapToGrid w:val="0"/>
        <w:spacing w:before="0" w:line="240" w:lineRule="auto"/>
        <w:jc w:val="left"/>
        <w:rPr>
          <w:rFonts w:hint="default" w:eastAsiaTheme="minorEastAsia"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23-28</w:t>
      </w:r>
      <w:bookmarkStart w:id="73" w:name="_GoBack"/>
      <w:bookmarkEnd w:id="73"/>
    </w:p>
    <w:p>
      <w:pPr>
        <w:pStyle w:val="12"/>
        <w:pageBreakBefore w:val="0"/>
        <w:kinsoku/>
        <w:wordWrap/>
        <w:overflowPunct/>
        <w:topLinePunct w:val="0"/>
        <w:bidi w:val="0"/>
        <w:adjustRightInd w:val="0"/>
        <w:snapToGrid w:val="0"/>
        <w:spacing w:line="240" w:lineRule="auto"/>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pageBreakBefore w:val="0"/>
        <w:kinsoku/>
        <w:wordWrap/>
        <w:overflowPunct/>
        <w:topLinePunct w:val="0"/>
        <w:bidi w:val="0"/>
        <w:adjustRightInd w:val="0"/>
        <w:snapToGrid w:val="0"/>
        <w:spacing w:line="24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pageBreakBefore w:val="0"/>
        <w:widowControl/>
        <w:kinsoku/>
        <w:wordWrap/>
        <w:overflowPunct/>
        <w:topLinePunct w:val="0"/>
        <w:bidi w:val="0"/>
        <w:spacing w:line="240" w:lineRule="auto"/>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pageBreakBefore w:val="0"/>
        <w:kinsoku/>
        <w:wordWrap/>
        <w:overflowPunct/>
        <w:topLinePunct w:val="0"/>
        <w:bidi w:val="0"/>
        <w:spacing w:before="0" w:after="0" w:line="240" w:lineRule="auto"/>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pPr>
        <w:pageBreakBefore w:val="0"/>
        <w:widowControl/>
        <w:kinsoku/>
        <w:wordWrap/>
        <w:overflowPunct/>
        <w:topLinePunct w:val="0"/>
        <w:bidi w:val="0"/>
        <w:spacing w:line="240" w:lineRule="auto"/>
        <w:jc w:val="left"/>
        <w:rPr>
          <w:rFonts w:ascii="黑体" w:eastAsia="黑体"/>
          <w:color w:val="auto"/>
          <w:sz w:val="32"/>
          <w:szCs w:val="32"/>
          <w:highlight w:val="none"/>
        </w:rPr>
      </w:pPr>
    </w:p>
    <w:p>
      <w:pPr>
        <w:pStyle w:val="4"/>
        <w:pageBreakBefore w:val="0"/>
        <w:kinsoku/>
        <w:wordWrap/>
        <w:overflowPunct/>
        <w:topLinePunct w:val="0"/>
        <w:bidi w:val="0"/>
        <w:spacing w:before="0" w:after="0" w:line="240" w:lineRule="auto"/>
        <w:rPr>
          <w:rStyle w:val="26"/>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4"/>
      <w:bookmarkEnd w:id="15"/>
    </w:p>
    <w:p>
      <w:pPr>
        <w:pageBreakBefore w:val="0"/>
        <w:kinsoku/>
        <w:wordWrap/>
        <w:overflowPunct/>
        <w:topLinePunct w:val="0"/>
        <w:bidi w:val="0"/>
        <w:spacing w:line="240" w:lineRule="auto"/>
        <w:ind w:firstLine="640" w:firstLineChars="200"/>
        <w:rPr>
          <w:rFonts w:hint="eastAsia" w:ascii="仿宋" w:hAnsi="仿宋" w:eastAsia="仿宋"/>
          <w:bCs/>
          <w:color w:val="auto"/>
          <w:sz w:val="32"/>
          <w:szCs w:val="32"/>
          <w:highlight w:val="none"/>
        </w:rPr>
      </w:pPr>
      <w:bookmarkStart w:id="16" w:name="_Toc15378445"/>
      <w:bookmarkStart w:id="17" w:name="_Toc15377198"/>
      <w:bookmarkStart w:id="18" w:name="_Toc15377200"/>
      <w:bookmarkStart w:id="19" w:name="_Toc15396601"/>
      <w:r>
        <w:rPr>
          <w:rFonts w:hint="eastAsia" w:ascii="仿宋" w:hAnsi="仿宋" w:eastAsia="仿宋"/>
          <w:bCs/>
          <w:color w:val="auto"/>
          <w:sz w:val="32"/>
          <w:szCs w:val="32"/>
          <w:highlight w:val="none"/>
        </w:rPr>
        <w:t>（一）主要职能。</w:t>
      </w:r>
      <w:bookmarkEnd w:id="16"/>
      <w:bookmarkEnd w:id="17"/>
    </w:p>
    <w:p>
      <w:pPr>
        <w:pageBreakBefore w:val="0"/>
        <w:kinsoku/>
        <w:wordWrap/>
        <w:overflowPunct/>
        <w:topLinePunct w:val="0"/>
        <w:bidi w:val="0"/>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负责贯彻执行国家、省、市、区有关医疗保险、生育保险、医疗救助、长期护理保险等医疗保障政策制度</w:t>
      </w:r>
      <w:r>
        <w:rPr>
          <w:rFonts w:hint="eastAsia" w:ascii="仿宋" w:hAnsi="仿宋" w:eastAsia="仿宋" w:cs="仿宋"/>
          <w:sz w:val="32"/>
          <w:szCs w:val="32"/>
          <w:lang w:eastAsia="zh-CN"/>
        </w:rPr>
        <w:t>。</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组织起草有关医疗保障规范性文件。负责拟订全区医疗保障事业发展规划、政策和标准，并组织实施和监督检查</w:t>
      </w:r>
      <w:r>
        <w:rPr>
          <w:rFonts w:hint="eastAsia" w:ascii="仿宋" w:hAnsi="仿宋" w:eastAsia="仿宋" w:cs="仿宋"/>
          <w:sz w:val="32"/>
          <w:szCs w:val="32"/>
          <w:lang w:eastAsia="zh-CN"/>
        </w:rPr>
        <w:t>。</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组织拟订并实施医疗保障基金监督管理制度，建立健全医疗保障基金安全防控机制，监督强化全区医疗保障基金运行管理。</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组织拟订医疗保障筹资和待遇政策，负责医疗保障基金归集，拟订医疗保障基金年度收支计划，按政策和标准支付医疗待遇;完善动态调整和区域调别平衡机制，统筹城乡医疗保障待遇标准，建立健全与筹资水平相适应的待遇调整机制。</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贯彻执行上级药品目录、医用耗材、医疗服务项目、</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医疗服务设施等医疗保障目录和支付标准政策。拟订全区药品目录、医用耗材、医疗服务项目、医疗服务设施等医疗保障目录和支付标准政策。拟订全区有关医保目录准入谈判规则并组织实施。</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贯彻执行上级药品、医用耗材价格和医疗服务项目、医疗服务设施收费等政策，负责拟订全区医用耗材价格和医疗服务项目、医疗服务设施收费等政策。建立医保支付医药服务价格合理确定和动态调整机制。推动建立市场主导的社会医药服务价格形成机制;建立价格信息监测和信息发布制度。</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贯彻执行上级药品、医用耗材的招标采购政策并监督实施。负责全区药品、医用耗材招标采购平台建设。组织实施大病保险招标准入和业务指导。</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推进医疗保障基金支付方式改革，拟订全区定点医药机构协议和支付管理办法并组织实施。负责全区医疗保障定点机构管理和考核工作。</w:t>
      </w:r>
    </w:p>
    <w:p>
      <w:pPr>
        <w:pageBreakBefore w:val="0"/>
        <w:kinsoku/>
        <w:wordWrap/>
        <w:overflowPunct/>
        <w:topLinePunct w:val="0"/>
        <w:bidi w:val="0"/>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pageBreakBefore w:val="0"/>
        <w:kinsoku/>
        <w:wordWrap/>
        <w:overflowPunct/>
        <w:topLinePunct w:val="0"/>
        <w:bidi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负责全区医疗保障经办管理、公共服务体系建设。组织拟订和完善异地就医管理和费用结算政策。建立健全医疗保障关系转移接续制度。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bCs/>
          <w:color w:val="auto"/>
          <w:sz w:val="32"/>
          <w:szCs w:val="32"/>
          <w:highlight w:val="none"/>
        </w:rPr>
      </w:pPr>
      <w:bookmarkStart w:id="20" w:name="_Toc15378446"/>
      <w:bookmarkStart w:id="21"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 w:hAnsi="仿宋" w:eastAsia="仿宋" w:cs="仿宋"/>
          <w:sz w:val="32"/>
          <w:szCs w:val="32"/>
          <w:lang w:val="en-US" w:eastAsia="zh-CN"/>
        </w:rPr>
        <w:t>1.基金安全有效守护。</w:t>
      </w:r>
      <w:r>
        <w:rPr>
          <w:rFonts w:hint="eastAsia" w:ascii="仿宋_GB2312" w:hAnsi="仿宋_GB2312" w:eastAsia="仿宋_GB2312" w:cs="仿宋_GB2312"/>
          <w:sz w:val="32"/>
          <w:szCs w:val="32"/>
          <w:lang w:val="en-US" w:eastAsia="zh-CN"/>
        </w:rPr>
        <w:t>始终</w:t>
      </w:r>
      <w:r>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把</w:t>
      </w:r>
      <w:r>
        <w:rPr>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筑牢医疗保障民生底线</w:t>
      </w:r>
      <w:r>
        <w:rPr>
          <w:rFonts w:hint="eastAsia" w:ascii="仿宋_GB2312" w:hAnsi="仿宋_GB2312" w:eastAsia="仿宋_GB2312" w:cs="仿宋_GB2312"/>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严</w:t>
      </w:r>
      <w:r>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把医保</w:t>
      </w:r>
      <w:r>
        <w:rPr>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基金安全红线</w:t>
      </w:r>
      <w:r>
        <w:rPr>
          <w:rFonts w:hint="eastAsia" w:ascii="仿宋_GB2312" w:hAnsi="仿宋_GB2312" w:eastAsia="仿宋_GB2312" w:cs="仿宋_GB2312"/>
          <w:i w:val="0"/>
          <w:caps w:val="0"/>
          <w:color w:val="000000" w:themeColor="text1"/>
          <w:spacing w:val="0"/>
          <w:sz w:val="32"/>
          <w:szCs w:val="32"/>
          <w:shd w:val="clear" w:color="auto" w:fill="auto"/>
          <w:lang w:eastAsia="zh-CN"/>
          <w14:textFill>
            <w14:solidFill>
              <w14:schemeClr w14:val="tx1"/>
            </w14:solidFill>
          </w14:textFill>
        </w:rPr>
        <w:t>始终作为首要任务，</w:t>
      </w:r>
      <w:r>
        <w:rPr>
          <w:rFonts w:hint="eastAsia" w:ascii="仿宋_GB2312" w:hAnsi="仿宋_GB2312" w:eastAsia="仿宋_GB2312" w:cs="仿宋_GB2312"/>
          <w:sz w:val="32"/>
          <w:szCs w:val="32"/>
          <w:lang w:val="en-US" w:eastAsia="zh-CN"/>
        </w:rPr>
        <w:t>以持续推进医疗卫生行业领域系统治理和“</w:t>
      </w:r>
      <w:r>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三假”整治</w:t>
      </w:r>
      <w:r>
        <w:rPr>
          <w:rFonts w:hint="eastAsia" w:ascii="仿宋_GB2312" w:hAnsi="仿宋_GB2312" w:eastAsia="仿宋_GB2312" w:cs="仿宋_GB2312"/>
          <w:sz w:val="32"/>
          <w:szCs w:val="32"/>
          <w:lang w:val="en-US" w:eastAsia="zh-CN"/>
        </w:rPr>
        <w:t>为重点</w:t>
      </w:r>
      <w:r>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，聚焦“防”，建章立制堵漏洞；聚焦“查”，常态检查无死角；聚焦“打”，持续高压强震慑；聚焦“督”，规范行为促整改；聚焦“奖”，畅通渠道扬正气，念好了“五字诀”，</w:t>
      </w:r>
      <w:r>
        <w:rPr>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守好</w:t>
      </w:r>
      <w:r>
        <w:rPr>
          <w:rFonts w:hint="eastAsia" w:ascii="仿宋_GB2312" w:hAnsi="仿宋_GB2312" w:eastAsia="仿宋_GB2312" w:cs="仿宋_GB2312"/>
          <w:i w:val="0"/>
          <w:caps w:val="0"/>
          <w:color w:val="000000" w:themeColor="text1"/>
          <w:spacing w:val="0"/>
          <w:sz w:val="32"/>
          <w:szCs w:val="32"/>
          <w:shd w:val="clear" w:color="auto" w:fill="auto"/>
          <w:lang w:eastAsia="zh-CN"/>
          <w14:textFill>
            <w14:solidFill>
              <w14:schemeClr w14:val="tx1"/>
            </w14:solidFill>
          </w14:textFill>
        </w:rPr>
        <w:t>了“安全线”。</w:t>
      </w:r>
      <w:r>
        <w:rPr>
          <w:rFonts w:hint="eastAsia" w:ascii="仿宋_GB2312" w:hAnsi="仿宋_GB2312" w:eastAsia="仿宋_GB2312" w:cs="仿宋_GB2312"/>
          <w:i w:val="0"/>
          <w:caps w:val="0"/>
          <w:color w:val="000000" w:themeColor="text1"/>
          <w:spacing w:val="0"/>
          <w:sz w:val="32"/>
          <w:szCs w:val="32"/>
          <w:shd w:val="clear" w:color="auto" w:fill="auto"/>
          <w:lang w:val="en-US" w:eastAsia="zh-CN"/>
          <w14:textFill>
            <w14:solidFill>
              <w14:schemeClr w14:val="tx1"/>
            </w14:solidFill>
          </w14:textFill>
        </w:rPr>
        <w:t>2021年，通过专项审计、日常稽核、智能审核、自查自纠、飞行检查等方式，收回定点医疗机构违规使用医保基金51万余元，处违约金3.84万元，行政罚款0.06万元，约谈了涉及违规的定点医疗机构主要负责人，在系统内进行了通报，形成了有力震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2.医保征收有力有效。</w:t>
      </w:r>
      <w:r>
        <w:rPr>
          <w:rFonts w:hint="eastAsia" w:ascii="仿宋_GB2312" w:hAnsi="仿宋_GB2312" w:eastAsia="仿宋_GB2312" w:cs="仿宋_GB2312"/>
          <w:sz w:val="32"/>
          <w:szCs w:val="32"/>
          <w:lang w:val="en-US" w:eastAsia="zh-CN"/>
        </w:rPr>
        <w:t>10月9日，率先组织召开会议启动征收工作，建立健全目标绩效、协调联络、督查督办、信息反馈“四大机制”，实施医保催缴记录单、本地已缴费台账、异地已缴费台账、未缴费台账“一单三台账”精细化管理，坚持督领导与领导督、进度通报与名单推送、面上宣传与精准催缴“三个结合”，推动了2022年度居民医保征收有力有效推进。截止2021年12月25日，2022年度城乡居民医疗保险征收153479人4911万元，征收进度位列全市县区第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3.医保改革不断深化。一是</w:t>
      </w:r>
      <w:r>
        <w:rPr>
          <w:rFonts w:hint="eastAsia" w:ascii="仿宋_GB2312" w:hAnsi="仿宋_GB2312" w:eastAsia="仿宋_GB2312" w:cs="仿宋_GB2312"/>
          <w:sz w:val="32"/>
          <w:szCs w:val="32"/>
          <w:lang w:val="en-US" w:eastAsia="zh-CN"/>
        </w:rPr>
        <w:t>医共体医保管理改革稳步推进。形成了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1234</w:t>
      </w:r>
      <w:r>
        <w:rPr>
          <w:rFonts w:hint="eastAsia" w:ascii="仿宋_GB2312" w:hAnsi="仿宋_GB2312" w:eastAsia="仿宋_GB2312" w:cs="仿宋_GB2312"/>
          <w:sz w:val="32"/>
          <w:szCs w:val="32"/>
          <w:lang w:eastAsia="zh-CN"/>
        </w:rPr>
        <w:t>”（一个总额、两个打包、三大改革、四项保障）医共体医保管理改革思路。</w:t>
      </w:r>
      <w:r>
        <w:rPr>
          <w:rFonts w:hint="eastAsia" w:ascii="仿宋_GB2312" w:hAnsi="仿宋_GB2312" w:eastAsia="仿宋_GB2312" w:cs="仿宋_GB2312"/>
          <w:sz w:val="32"/>
          <w:szCs w:val="32"/>
          <w:lang w:val="en-US" w:eastAsia="zh-CN"/>
        </w:rPr>
        <w:t>近期，我区启动了医共体建设第二阶段工作，将乡镇卫生院和村卫生室（“1+2+5+N”中的“N”）全部纳入集团管理，基本形成了人、财、信息、医保结算、考核“五统一”，基本可实现“一个总额付费”，初步构建了医保基金“超支不补、结余留用”机制。二是创新开展家庭医生有偿签约服务。将高血压和糖尿病两个病种纳入有偿签约服务范围，出台了《朝天区高血压、糖尿病患者有偿签约服务工作实施方案（试行）》，签约服务费100元/人，由医保基金（50元）、公卫经费(40元)和签约居民自费（10元）共同分担，通过有偿签约服务，为参保者制定个性化的健康管理目标和健康干预计划，提供持续性地健康管理服务，推进医保、医疗、医药的“三医联动”。三是医保支付方式改革深入推进。29家定点医疗机构全部实行DRG联网预结算，每月病案上传率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医保基础信息着力夯实。一是全面推动医保信息业务编码标准化工作。全区60家定点医药机构全面开展15项医疗保障信息业务编码贯标工作，对医保医生、护士和药师进行标准化、规范化管理，协调解决乡村医生赋码问题。二是全面清理参保数据。按照“完善参保数据，修订错误信息；清理重复参保，变更参保状态；清理未参保人员，核实异地参保信息”的清理要求，各乡镇、村组积极行动，开展辖区参保人员数据清理。现12个乡镇完成数据清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集采药品落地见效。认真落实集采药品落地使用工作，让“灵魂砍价”成效惠及于民。全省五批次集采药品有168种在区内28家定点公立医院落地，使用集采药品13万余盒/支，惠及患者4万余人次，节约药费50余万元。异地就医范围不断扩大。29家定点医院全部开通异地就医住院直接结算，推广国家医保电子凭证应用，方便群众就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经办服务不断优化。一是医保信息系统稳健运行。在市局指导下，集中开展了5次贯标工作业务培训，分4组8人定点入驻4家自用HIS系统医院蹲点指导，通过近两个月努力，按时按质完成“三目录”和人员贯标工作，为全市9月9日顺利上线国家医疗保障信息平台作出了贡献。二是有序推进村级医保代办服务试点建设，选取了朝天镇明月路社区、清风路社区、大巴口社区作为村级医保代办服务试点，明确了经办人员3人、开通了医保网络，开展了业务培训2场次。同时，在被撤并的13个乡镇所在地的村恢复了便民服务中心，医保业务作为第一批便民业务首先恢复。三是集中开展医保信息数据安全管理整顿工作。落实专人对QQ、微信群内敏感数据进行了全面清理，签订了医保信息数据安全管理承诺书，制定了《数据安全管理办法(试行)》《四川省医疗保障一体化大数据平台朝天用户及权限管理办法(试行)》《第三方提取医保数据管理制度》，用制度约束医保经办，堵塞数据使用传输漏洞。四是进一步完善了内控制度。优化了《内部控制制度》、《内部审计监督制度》、《要情报告制度》等十八项工作业务制度，增强制度对经办工作的约束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医疗救助力度不断加大。一是修改完善了《广元市朝天区城乡居民医疗救助管理办法》和《广元市朝天区特殊困难群体医疗救助基金管理办法》,明确救助对象及救助标准，进一步优化救助流程，确保受助群众应救尽救。二是优化了精神病患者和集中供养特困供养人员医疗救助方式，充分发挥医疗救助功能。资助参保30884人次864.75万元，其中资助特困供养、低保、孤儿三类群体6374人次178.47万元。开展医疗救助30683人次1074.33万元，救助已脱贫人口22352人次593.23万元，特困供养、低保对象7511人次287万元，其他特殊困难群体603人次89.5万元，特殊精神疾病患者217人次104.6万元，极大减轻困难群体大病医疗负担。</w:t>
      </w:r>
    </w:p>
    <w:p>
      <w:pPr>
        <w:pStyle w:val="4"/>
        <w:pageBreakBefore w:val="0"/>
        <w:kinsoku/>
        <w:wordWrap/>
        <w:overflowPunct/>
        <w:topLinePunct w:val="0"/>
        <w:bidi w:val="0"/>
        <w:spacing w:before="0" w:after="0" w:line="240" w:lineRule="auto"/>
        <w:rPr>
          <w:rStyle w:val="26"/>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行政单位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，区医疗保障局管理的</w:t>
      </w:r>
      <w:r>
        <w:rPr>
          <w:rFonts w:hint="eastAsia" w:ascii="仿宋" w:hAnsi="仿宋" w:eastAsia="仿宋"/>
          <w:sz w:val="32"/>
          <w:szCs w:val="32"/>
        </w:rPr>
        <w:t>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ageBreakBefore w:val="0"/>
        <w:widowControl/>
        <w:kinsoku/>
        <w:wordWrap/>
        <w:overflowPunct/>
        <w:topLinePunct w:val="0"/>
        <w:bidi w:val="0"/>
        <w:spacing w:line="240" w:lineRule="auto"/>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pageBreakBefore w:val="0"/>
        <w:kinsoku/>
        <w:wordWrap/>
        <w:overflowPunct/>
        <w:topLinePunct w:val="0"/>
        <w:bidi w:val="0"/>
        <w:spacing w:before="0" w:after="0" w:line="240" w:lineRule="auto"/>
        <w:ind w:right="440"/>
        <w:jc w:val="center"/>
        <w:rPr>
          <w:rStyle w:val="25"/>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rPr>
        <w:t>部门决算情况说明</w:t>
      </w:r>
      <w:bookmarkEnd w:id="22"/>
      <w:bookmarkEnd w:id="23"/>
    </w:p>
    <w:p>
      <w:pPr>
        <w:pageBreakBefore w:val="0"/>
        <w:kinsoku/>
        <w:wordWrap/>
        <w:overflowPunct/>
        <w:topLinePunct w:val="0"/>
        <w:bidi w:val="0"/>
        <w:spacing w:line="240" w:lineRule="auto"/>
        <w:rPr>
          <w:color w:val="auto"/>
          <w:highlight w:val="none"/>
        </w:rPr>
      </w:pPr>
    </w:p>
    <w:p>
      <w:pPr>
        <w:pStyle w:val="24"/>
        <w:pageBreakBefore w:val="0"/>
        <w:numPr>
          <w:ilvl w:val="0"/>
          <w:numId w:val="1"/>
        </w:numPr>
        <w:kinsoku/>
        <w:wordWrap/>
        <w:overflowPunct/>
        <w:topLinePunct w:val="0"/>
        <w:bidi w:val="0"/>
        <w:spacing w:line="240" w:lineRule="auto"/>
        <w:ind w:firstLineChars="0"/>
        <w:outlineLvl w:val="1"/>
        <w:rPr>
          <w:rStyle w:val="26"/>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p>
    <w:p>
      <w:pPr>
        <w:pageBreakBefore w:val="0"/>
        <w:kinsoku/>
        <w:wordWrap/>
        <w:overflowPunct/>
        <w:topLinePunct w:val="0"/>
        <w:bidi w:val="0"/>
        <w:spacing w:line="24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入减少4.68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下降1.68%</w:t>
      </w:r>
      <w:r>
        <w:rPr>
          <w:rFonts w:hint="eastAsia" w:ascii="仿宋" w:hAnsi="仿宋" w:eastAsia="仿宋"/>
          <w:color w:val="auto"/>
          <w:sz w:val="32"/>
          <w:szCs w:val="32"/>
          <w:highlight w:val="none"/>
        </w:rPr>
        <w:t>。主要变动原因是</w:t>
      </w:r>
      <w:r>
        <w:rPr>
          <w:rFonts w:hint="eastAsia" w:ascii="仿宋_GB2312" w:hAnsi="仿宋_GB2312" w:eastAsia="仿宋_GB2312" w:cs="仿宋_GB2312"/>
          <w:sz w:val="32"/>
          <w:szCs w:val="32"/>
          <w:lang w:val="en-US" w:eastAsia="zh-CN"/>
        </w:rPr>
        <w:t>项目支出减少</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240" w:lineRule="auto"/>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039870" cy="2191385"/>
            <wp:effectExtent l="4445" t="4445" r="1333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kinsoku/>
        <w:wordWrap/>
        <w:overflowPunct/>
        <w:topLinePunct w:val="0"/>
        <w:bidi w:val="0"/>
        <w:spacing w:line="240" w:lineRule="auto"/>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4"/>
        <w:pageBreakBefore w:val="0"/>
        <w:numPr>
          <w:ilvl w:val="0"/>
          <w:numId w:val="1"/>
        </w:numPr>
        <w:kinsoku/>
        <w:wordWrap/>
        <w:overflowPunct/>
        <w:topLinePunct w:val="0"/>
        <w:bidi w:val="0"/>
        <w:spacing w:line="240" w:lineRule="auto"/>
        <w:ind w:firstLineChars="0"/>
        <w:outlineLvl w:val="1"/>
        <w:rPr>
          <w:rStyle w:val="26"/>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6"/>
      <w:bookmarkEnd w:id="27"/>
    </w:p>
    <w:p>
      <w:pPr>
        <w:pageBreakBefore w:val="0"/>
        <w:kinsoku/>
        <w:wordWrap/>
        <w:overflowPunct/>
        <w:topLinePunct w:val="0"/>
        <w:bidi w:val="0"/>
        <w:spacing w:line="240" w:lineRule="auto"/>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84930" cy="2110740"/>
            <wp:effectExtent l="4445" t="4445" r="15875" b="184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p>
    <w:p>
      <w:pPr>
        <w:pStyle w:val="24"/>
        <w:pageBreakBefore w:val="0"/>
        <w:numPr>
          <w:ilvl w:val="0"/>
          <w:numId w:val="1"/>
        </w:numPr>
        <w:kinsoku/>
        <w:wordWrap/>
        <w:overflowPunct/>
        <w:topLinePunct w:val="0"/>
        <w:bidi w:val="0"/>
        <w:spacing w:line="240" w:lineRule="auto"/>
        <w:ind w:firstLineChars="0"/>
        <w:outlineLvl w:val="1"/>
        <w:rPr>
          <w:rStyle w:val="26"/>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8"/>
      <w:bookmarkEnd w:id="29"/>
    </w:p>
    <w:p>
      <w:pPr>
        <w:pageBreakBefore w:val="0"/>
        <w:kinsoku/>
        <w:wordWrap/>
        <w:overflowPunct/>
        <w:topLinePunct w:val="0"/>
        <w:bidi w:val="0"/>
        <w:spacing w:line="240" w:lineRule="auto"/>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226.45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eastAsia="仿宋"/>
          <w:lang w:eastAsia="zh-CN"/>
        </w:rPr>
      </w:pPr>
      <w:r>
        <w:rPr>
          <w:rFonts w:hint="eastAsia" w:eastAsia="仿宋"/>
          <w:lang w:eastAsia="zh-CN"/>
        </w:rPr>
        <w:drawing>
          <wp:inline distT="0" distB="0" distL="114300" distR="114300">
            <wp:extent cx="3886200" cy="2470785"/>
            <wp:effectExtent l="4445" t="4445" r="14605" b="203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240" w:lineRule="auto"/>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ageBreakBefore w:val="0"/>
        <w:kinsoku/>
        <w:wordWrap/>
        <w:overflowPunct/>
        <w:topLinePunct w:val="0"/>
        <w:bidi w:val="0"/>
        <w:spacing w:line="240" w:lineRule="auto"/>
        <w:ind w:firstLine="640" w:firstLineChars="200"/>
        <w:outlineLvl w:val="1"/>
        <w:rPr>
          <w:rStyle w:val="26"/>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0"/>
      <w:bookmarkEnd w:id="31"/>
    </w:p>
    <w:p>
      <w:pPr>
        <w:pageBreakBefore w:val="0"/>
        <w:kinsoku/>
        <w:wordWrap/>
        <w:overflowPunct/>
        <w:topLinePunct w:val="0"/>
        <w:bidi w:val="0"/>
        <w:spacing w:line="240" w:lineRule="auto"/>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入减少4.68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下降1.68%</w:t>
      </w:r>
      <w:r>
        <w:rPr>
          <w:rFonts w:hint="eastAsia" w:ascii="仿宋" w:hAnsi="仿宋" w:eastAsia="仿宋"/>
          <w:color w:val="auto"/>
          <w:sz w:val="32"/>
          <w:szCs w:val="32"/>
          <w:highlight w:val="none"/>
        </w:rPr>
        <w:t>。主要变动原因是</w:t>
      </w:r>
      <w:r>
        <w:rPr>
          <w:rFonts w:hint="eastAsia" w:ascii="仿宋_GB2312" w:hAnsi="仿宋_GB2312" w:eastAsia="仿宋_GB2312" w:cs="仿宋_GB2312"/>
          <w:sz w:val="32"/>
          <w:szCs w:val="32"/>
          <w:lang w:val="en-US" w:eastAsia="zh-CN"/>
        </w:rPr>
        <w:t>项目支出减少</w:t>
      </w:r>
      <w:r>
        <w:rPr>
          <w:rFonts w:hint="eastAsia" w:ascii="仿宋_GB2312" w:hAnsi="仿宋_GB2312" w:eastAsia="仿宋_GB2312" w:cs="仿宋_GB2312"/>
          <w:sz w:val="32"/>
          <w:szCs w:val="32"/>
          <w:lang w:eastAsia="zh-CN"/>
        </w:rPr>
        <w:t>。</w:t>
      </w:r>
    </w:p>
    <w:p>
      <w:pPr>
        <w:jc w:val="center"/>
        <w:rPr>
          <w:rFonts w:hint="eastAsia"/>
        </w:rPr>
      </w:pPr>
      <w:r>
        <w:rPr>
          <w:rFonts w:hint="eastAsia" w:ascii="仿宋" w:hAnsi="仿宋" w:eastAsia="仿宋"/>
          <w:color w:val="auto"/>
          <w:sz w:val="32"/>
          <w:szCs w:val="32"/>
          <w:highlight w:val="none"/>
          <w:lang w:eastAsia="zh-CN"/>
        </w:rPr>
        <w:drawing>
          <wp:inline distT="0" distB="0" distL="114300" distR="114300">
            <wp:extent cx="3864610" cy="2426335"/>
            <wp:effectExtent l="4445" t="4445" r="1714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240" w:lineRule="auto"/>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ageBreakBefore w:val="0"/>
        <w:kinsoku/>
        <w:wordWrap/>
        <w:overflowPunct/>
        <w:topLinePunct w:val="0"/>
        <w:bidi w:val="0"/>
        <w:spacing w:line="240" w:lineRule="auto"/>
        <w:ind w:firstLine="640" w:firstLineChars="200"/>
        <w:outlineLvl w:val="1"/>
        <w:rPr>
          <w:rStyle w:val="26"/>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2"/>
      <w:bookmarkEnd w:id="33"/>
    </w:p>
    <w:p>
      <w:pPr>
        <w:pageBreakBefore w:val="0"/>
        <w:kinsoku/>
        <w:wordWrap/>
        <w:overflowPunct/>
        <w:topLinePunct w:val="0"/>
        <w:bidi w:val="0"/>
        <w:spacing w:line="240" w:lineRule="auto"/>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pageBreakBefore w:val="0"/>
        <w:kinsoku/>
        <w:wordWrap/>
        <w:overflowPunct/>
        <w:topLinePunct w:val="0"/>
        <w:bidi w:val="0"/>
        <w:spacing w:line="240" w:lineRule="auto"/>
        <w:ind w:firstLine="640" w:firstLineChars="200"/>
        <w:rPr>
          <w:rFonts w:hint="default" w:eastAsia="仿宋"/>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4.68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1.68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_GB2312" w:eastAsia="仿宋_GB2312" w:cs="仿宋_GB2312"/>
          <w:sz w:val="32"/>
          <w:szCs w:val="32"/>
          <w:lang w:val="en-US" w:eastAsia="zh-CN"/>
        </w:rPr>
        <w:t>项目支出减少。</w:t>
      </w: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64610" cy="2476500"/>
            <wp:effectExtent l="4445" t="4445" r="1714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jc w:val="center"/>
        <w:rPr>
          <w:rFonts w:ascii="仿宋" w:hAnsi="仿宋" w:eastAsia="仿宋"/>
          <w:color w:val="auto"/>
          <w:sz w:val="32"/>
          <w:szCs w:val="32"/>
          <w:highlight w:val="none"/>
        </w:rPr>
      </w:pPr>
      <w:r>
        <w:rPr>
          <w:rFonts w:hint="eastAsia" w:ascii="仿宋" w:hAnsi="仿宋" w:eastAsia="仿宋"/>
          <w:color w:val="auto"/>
          <w:sz w:val="30"/>
          <w:szCs w:val="30"/>
          <w:highlight w:val="none"/>
        </w:rPr>
        <w:t>（图5：一般公共预算财政拨款支出决算变动情况）（柱状图）</w:t>
      </w:r>
    </w:p>
    <w:p>
      <w:pPr>
        <w:pageBreakBefore w:val="0"/>
        <w:kinsoku/>
        <w:wordWrap/>
        <w:overflowPunct/>
        <w:topLinePunct w:val="0"/>
        <w:bidi w:val="0"/>
        <w:spacing w:line="240" w:lineRule="auto"/>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274.05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_GB2312" w:hAnsi="仿宋_GB2312" w:eastAsia="仿宋_GB2312" w:cs="仿宋_GB2312"/>
          <w:b w:val="0"/>
          <w:bCs w:val="0"/>
          <w:color w:val="auto"/>
          <w:sz w:val="32"/>
          <w:szCs w:val="32"/>
        </w:rPr>
        <w:t>社会保障和就业（类）支出</w:t>
      </w:r>
      <w:r>
        <w:rPr>
          <w:rFonts w:hint="eastAsia" w:ascii="仿宋_GB2312" w:hAnsi="仿宋_GB2312" w:eastAsia="仿宋_GB2312" w:cs="仿宋_GB2312"/>
          <w:b w:val="0"/>
          <w:bCs w:val="0"/>
          <w:color w:val="auto"/>
          <w:sz w:val="32"/>
          <w:szCs w:val="32"/>
          <w:lang w:val="en-US" w:eastAsia="zh-CN"/>
        </w:rPr>
        <w:t>17.20</w:t>
      </w:r>
      <w:r>
        <w:rPr>
          <w:rFonts w:hint="eastAsia" w:ascii="仿宋_GB2312" w:hAnsi="仿宋_GB2312" w:eastAsia="仿宋_GB2312" w:cs="仿宋_GB2312"/>
          <w:b w:val="0"/>
          <w:bCs w:val="0"/>
          <w:color w:val="auto"/>
          <w:sz w:val="32"/>
          <w:szCs w:val="32"/>
        </w:rPr>
        <w:t>万元，占</w:t>
      </w:r>
      <w:r>
        <w:rPr>
          <w:rFonts w:hint="eastAsia" w:ascii="仿宋_GB2312" w:hAnsi="仿宋_GB2312" w:eastAsia="仿宋_GB2312" w:cs="仿宋_GB2312"/>
          <w:b w:val="0"/>
          <w:bCs w:val="0"/>
          <w:color w:val="auto"/>
          <w:sz w:val="32"/>
          <w:szCs w:val="32"/>
          <w:lang w:val="en-US" w:eastAsia="zh-CN"/>
        </w:rPr>
        <w:t>6.28</w:t>
      </w:r>
      <w:r>
        <w:rPr>
          <w:rFonts w:hint="eastAsia" w:ascii="仿宋_GB2312" w:hAnsi="仿宋_GB2312" w:eastAsia="仿宋_GB2312" w:cs="仿宋_GB2312"/>
          <w:b w:val="0"/>
          <w:bCs w:val="0"/>
          <w:color w:val="auto"/>
          <w:sz w:val="32"/>
          <w:szCs w:val="32"/>
        </w:rPr>
        <w:t>%；卫生健康支出</w:t>
      </w:r>
      <w:r>
        <w:rPr>
          <w:rFonts w:hint="eastAsia" w:ascii="仿宋_GB2312" w:hAnsi="仿宋_GB2312" w:eastAsia="仿宋_GB2312" w:cs="仿宋_GB2312"/>
          <w:b w:val="0"/>
          <w:bCs w:val="0"/>
          <w:color w:val="auto"/>
          <w:sz w:val="32"/>
          <w:szCs w:val="32"/>
          <w:lang w:val="en-US" w:eastAsia="zh-CN"/>
        </w:rPr>
        <w:t>244.10</w:t>
      </w:r>
      <w:r>
        <w:rPr>
          <w:rFonts w:hint="eastAsia" w:ascii="仿宋_GB2312" w:hAnsi="仿宋_GB2312" w:eastAsia="仿宋_GB2312" w:cs="仿宋_GB2312"/>
          <w:b w:val="0"/>
          <w:bCs w:val="0"/>
          <w:color w:val="auto"/>
          <w:sz w:val="32"/>
          <w:szCs w:val="32"/>
        </w:rPr>
        <w:t>万元，占</w:t>
      </w:r>
      <w:r>
        <w:rPr>
          <w:rFonts w:hint="eastAsia" w:ascii="仿宋_GB2312" w:hAnsi="仿宋_GB2312" w:eastAsia="仿宋_GB2312" w:cs="仿宋_GB2312"/>
          <w:b w:val="0"/>
          <w:bCs w:val="0"/>
          <w:color w:val="auto"/>
          <w:sz w:val="32"/>
          <w:szCs w:val="32"/>
          <w:lang w:val="en-US" w:eastAsia="zh-CN"/>
        </w:rPr>
        <w:t>89.07</w:t>
      </w:r>
      <w:r>
        <w:rPr>
          <w:rFonts w:hint="eastAsia" w:ascii="仿宋_GB2312" w:hAnsi="仿宋_GB2312" w:eastAsia="仿宋_GB2312" w:cs="仿宋_GB2312"/>
          <w:b w:val="0"/>
          <w:bCs w:val="0"/>
          <w:color w:val="auto"/>
          <w:sz w:val="32"/>
          <w:szCs w:val="32"/>
        </w:rPr>
        <w:t>%；住房保障支出</w:t>
      </w:r>
      <w:r>
        <w:rPr>
          <w:rFonts w:hint="eastAsia" w:ascii="仿宋_GB2312" w:hAnsi="仿宋_GB2312" w:eastAsia="仿宋_GB2312" w:cs="仿宋_GB2312"/>
          <w:b w:val="0"/>
          <w:bCs w:val="0"/>
          <w:color w:val="auto"/>
          <w:sz w:val="32"/>
          <w:szCs w:val="32"/>
          <w:lang w:val="en-US" w:eastAsia="zh-CN"/>
        </w:rPr>
        <w:t>12.74</w:t>
      </w:r>
      <w:r>
        <w:rPr>
          <w:rFonts w:hint="eastAsia" w:ascii="仿宋_GB2312" w:hAnsi="仿宋_GB2312" w:eastAsia="仿宋_GB2312" w:cs="仿宋_GB2312"/>
          <w:b w:val="0"/>
          <w:bCs w:val="0"/>
          <w:color w:val="auto"/>
          <w:sz w:val="32"/>
          <w:szCs w:val="32"/>
        </w:rPr>
        <w:t>万元，占</w:t>
      </w:r>
      <w:r>
        <w:rPr>
          <w:rFonts w:hint="eastAsia" w:ascii="仿宋_GB2312" w:hAnsi="仿宋_GB2312" w:eastAsia="仿宋_GB2312" w:cs="仿宋_GB2312"/>
          <w:b w:val="0"/>
          <w:bCs w:val="0"/>
          <w:color w:val="auto"/>
          <w:sz w:val="32"/>
          <w:szCs w:val="32"/>
          <w:lang w:val="en-US" w:eastAsia="zh-CN"/>
        </w:rPr>
        <w:t>4.65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p>
    <w:p>
      <w:pPr>
        <w:jc w:val="center"/>
        <w:rPr>
          <w:rFonts w:hint="eastAsia" w:eastAsia="仿宋"/>
          <w:lang w:eastAsia="zh-CN"/>
        </w:rPr>
      </w:pPr>
      <w:r>
        <w:rPr>
          <w:rFonts w:hint="eastAsia" w:eastAsia="仿宋"/>
          <w:lang w:eastAsia="zh-CN"/>
        </w:rPr>
        <w:drawing>
          <wp:inline distT="0" distB="0" distL="114300" distR="114300">
            <wp:extent cx="3534410" cy="2733040"/>
            <wp:effectExtent l="4445" t="4445" r="23495"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24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wordWrap/>
        <w:overflowPunct/>
        <w:topLinePunct w:val="0"/>
        <w:bidi w:val="0"/>
        <w:spacing w:line="240" w:lineRule="auto"/>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pageBreakBefore w:val="0"/>
        <w:kinsoku/>
        <w:wordWrap/>
        <w:overflowPunct/>
        <w:topLinePunct w:val="0"/>
        <w:bidi w:val="0"/>
        <w:spacing w:line="240" w:lineRule="auto"/>
        <w:ind w:firstLine="643" w:firstLineChars="200"/>
        <w:outlineLvl w:val="2"/>
        <w:rPr>
          <w:rFonts w:ascii="仿宋" w:hAnsi="仿宋" w:eastAsia="仿宋"/>
          <w:color w:val="auto"/>
          <w:sz w:val="32"/>
          <w:szCs w:val="32"/>
          <w:highlight w:val="none"/>
        </w:rPr>
      </w:pPr>
      <w:bookmarkStart w:id="37" w:name="_Toc15378460"/>
      <w:bookmarkStart w:id="38" w:name="_Toc15377444"/>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274.05</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1.社会保障和就业（类）行政事业单位养老支出（款）机关事业单位基本养老保险缴费支出（项） : 支出决算为17.2万元，完成预算100%。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2.卫生健康（类）行政事业单位医疗（款）行政单位医疗（项）:支出决算为3.48万元，完成预算100%。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卫生健康（类）行政事业单位医疗（款）事业单位医疗（项）:支出决算为6.01万元，完成预算100%。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b w:val="0"/>
          <w:bCs/>
          <w:color w:val="000000"/>
          <w:sz w:val="32"/>
          <w:szCs w:val="32"/>
          <w:lang w:val="en-US" w:eastAsia="zh-CN"/>
        </w:rPr>
        <w:t>卫生健康（类）医疗保障管理事务（款）行政运行（项）:支出决算为67.79万元，完成预算100%。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b w:val="0"/>
          <w:bCs/>
          <w:color w:val="000000"/>
          <w:sz w:val="32"/>
          <w:szCs w:val="32"/>
          <w:lang w:val="en-US" w:eastAsia="zh-CN"/>
        </w:rPr>
        <w:t>卫生健康（类）医疗保障管理事务（款）一般行政管理事务（项）:支出决算为3.6万元，完成预算100%。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b w:val="0"/>
          <w:bCs/>
          <w:color w:val="000000"/>
          <w:sz w:val="32"/>
          <w:szCs w:val="32"/>
          <w:lang w:val="en-US" w:eastAsia="zh-CN"/>
        </w:rPr>
        <w:t>卫生健康（类）医疗保障管理事务（款）事业运行（项）:支出决算为119.21万元，完成预算100%。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b w:val="0"/>
          <w:bCs/>
          <w:color w:val="000000"/>
          <w:sz w:val="32"/>
          <w:szCs w:val="32"/>
          <w:lang w:val="en-US" w:eastAsia="zh-CN"/>
        </w:rPr>
        <w:t>卫生健康（类）医疗保障管理事务（款）其他医疗保障管理事务支出（项）:支出决算为44万元，完成预算100%。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b/>
          <w:color w:val="auto"/>
          <w:sz w:val="32"/>
          <w:szCs w:val="32"/>
          <w:highlight w:val="none"/>
        </w:rPr>
      </w:pPr>
      <w:r>
        <w:rPr>
          <w:rFonts w:hint="eastAsia" w:ascii="仿宋_GB2312" w:hAnsi="仿宋_GB2312" w:eastAsia="仿宋_GB2312" w:cs="仿宋_GB2312"/>
          <w:b w:val="0"/>
          <w:bCs/>
          <w:color w:val="000000"/>
          <w:sz w:val="32"/>
          <w:szCs w:val="32"/>
          <w:lang w:val="en-US" w:eastAsia="zh-CN"/>
        </w:rPr>
        <w:t>3.住房保障支出（类）住房改革支出（款）住房公积金（项）：支出决算为12.74万元，完成预算100%。</w:t>
      </w:r>
    </w:p>
    <w:p>
      <w:pPr>
        <w:pageBreakBefore w:val="0"/>
        <w:tabs>
          <w:tab w:val="right" w:pos="8306"/>
        </w:tabs>
        <w:kinsoku/>
        <w:wordWrap/>
        <w:overflowPunct/>
        <w:topLinePunct w:val="0"/>
        <w:bidi w:val="0"/>
        <w:spacing w:line="240" w:lineRule="auto"/>
        <w:ind w:firstLine="640"/>
        <w:outlineLvl w:val="1"/>
        <w:rPr>
          <w:rStyle w:val="26"/>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0"/>
      <w:bookmarkEnd w:id="41"/>
      <w:r>
        <w:rPr>
          <w:rStyle w:val="26"/>
          <w:rFonts w:ascii="黑体" w:hAnsi="黑体" w:eastAsia="黑体"/>
          <w:b w:val="0"/>
          <w:color w:val="auto"/>
          <w:highlight w:val="none"/>
        </w:rPr>
        <w:tab/>
      </w:r>
    </w:p>
    <w:p>
      <w:pPr>
        <w:pageBreakBefore w:val="0"/>
        <w:kinsoku/>
        <w:wordWrap/>
        <w:overflowPunct/>
        <w:topLinePunct w:val="0"/>
        <w:bidi w:val="0"/>
        <w:spacing w:line="240" w:lineRule="auto"/>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226.45</w:t>
      </w:r>
      <w:r>
        <w:rPr>
          <w:rFonts w:hint="eastAsia" w:ascii="仿宋" w:hAnsi="仿宋" w:eastAsia="仿宋"/>
          <w:color w:val="auto"/>
          <w:sz w:val="32"/>
          <w:szCs w:val="32"/>
          <w:highlight w:val="none"/>
        </w:rPr>
        <w:t>万元，其中：</w:t>
      </w:r>
    </w:p>
    <w:p>
      <w:pPr>
        <w:pageBreakBefore w:val="0"/>
        <w:kinsoku/>
        <w:wordWrap/>
        <w:overflowPunct/>
        <w:topLinePunct w:val="0"/>
        <w:bidi w:val="0"/>
        <w:spacing w:line="240" w:lineRule="auto"/>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207.44</w:t>
      </w:r>
      <w:r>
        <w:rPr>
          <w:rFonts w:hint="eastAsia" w:ascii="仿宋" w:hAnsi="仿宋" w:eastAsia="仿宋"/>
          <w:color w:val="auto"/>
          <w:sz w:val="32"/>
          <w:szCs w:val="32"/>
          <w:highlight w:val="none"/>
        </w:rPr>
        <w:t>万元，主要包括：基本工资、津贴补贴、奖金、绩效工资、机关事业单位基本养老保险缴费、其他社会保障缴费、生活补助、医疗费补助、住房公积金等。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19.01</w:t>
      </w:r>
      <w:r>
        <w:rPr>
          <w:rFonts w:hint="eastAsia" w:ascii="仿宋" w:hAnsi="仿宋" w:eastAsia="仿宋"/>
          <w:color w:val="auto"/>
          <w:sz w:val="32"/>
          <w:szCs w:val="32"/>
          <w:highlight w:val="none"/>
        </w:rPr>
        <w:t>万元，主要包括：办公费、印刷费、水费、电费、邮电费、差旅费、其他交通费等。</w:t>
      </w:r>
    </w:p>
    <w:p>
      <w:pPr>
        <w:pageBreakBefore w:val="0"/>
        <w:kinsoku/>
        <w:wordWrap/>
        <w:overflowPunct/>
        <w:topLinePunct w:val="0"/>
        <w:bidi w:val="0"/>
        <w:spacing w:line="240" w:lineRule="auto"/>
        <w:ind w:firstLine="640"/>
        <w:outlineLvl w:val="1"/>
        <w:rPr>
          <w:rStyle w:val="26"/>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2"/>
      <w:bookmarkEnd w:id="43"/>
    </w:p>
    <w:p>
      <w:pPr>
        <w:pageBreakBefore w:val="0"/>
        <w:kinsoku/>
        <w:wordWrap/>
        <w:overflowPunct/>
        <w:topLinePunct w:val="0"/>
        <w:bidi w:val="0"/>
        <w:spacing w:line="240" w:lineRule="auto"/>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pageBreakBefore w:val="0"/>
        <w:kinsoku/>
        <w:wordWrap/>
        <w:overflowPunct/>
        <w:topLinePunct w:val="0"/>
        <w:bidi w:val="0"/>
        <w:spacing w:line="24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1.08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topLinePunct w:val="0"/>
        <w:bidi w:val="0"/>
        <w:spacing w:line="240" w:lineRule="auto"/>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pageBreakBefore w:val="0"/>
        <w:kinsoku/>
        <w:wordWrap/>
        <w:overflowPunct/>
        <w:topLinePunct w:val="0"/>
        <w:bidi w:val="0"/>
        <w:spacing w:line="240" w:lineRule="auto"/>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pPr>
      <w:r>
        <w:rPr>
          <w:rFonts w:hint="eastAsia" w:ascii="仿宋" w:hAnsi="仿宋" w:eastAsia="仿宋"/>
          <w:color w:val="auto"/>
          <w:sz w:val="32"/>
          <w:szCs w:val="32"/>
          <w:highlight w:val="none"/>
          <w:lang w:eastAsia="zh-CN"/>
        </w:rPr>
        <w:drawing>
          <wp:inline distT="0" distB="0" distL="114300" distR="114300">
            <wp:extent cx="3812540" cy="2433320"/>
            <wp:effectExtent l="4445" t="4445" r="12065" b="1968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24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ageBreakBefore w:val="0"/>
        <w:kinsoku/>
        <w:wordWrap/>
        <w:overflowPunct/>
        <w:topLinePunct w:val="0"/>
        <w:bidi w:val="0"/>
        <w:spacing w:line="240" w:lineRule="auto"/>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val="en-US" w:eastAsia="zh-CN"/>
        </w:rPr>
        <w:t>年初未安排预算</w:t>
      </w:r>
      <w:r>
        <w:rPr>
          <w:rFonts w:hint="eastAsia" w:ascii="仿宋" w:hAnsi="仿宋" w:eastAsia="仿宋"/>
          <w:color w:val="auto"/>
          <w:sz w:val="32"/>
          <w:szCs w:val="32"/>
          <w:highlight w:val="none"/>
        </w:rPr>
        <w:t>。</w:t>
      </w:r>
    </w:p>
    <w:p>
      <w:pPr>
        <w:pageBreakBefore w:val="0"/>
        <w:kinsoku/>
        <w:wordWrap/>
        <w:overflowPunct/>
        <w:topLinePunct w:val="0"/>
        <w:bidi w:val="0"/>
        <w:spacing w:line="240" w:lineRule="auto"/>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val="en-US" w:eastAsia="zh-CN"/>
        </w:rPr>
        <w:t>年初未安排预算</w:t>
      </w:r>
      <w:r>
        <w:rPr>
          <w:rFonts w:hint="eastAsia" w:ascii="仿宋" w:hAnsi="仿宋" w:eastAsia="仿宋"/>
          <w:color w:val="auto"/>
          <w:sz w:val="32"/>
          <w:szCs w:val="32"/>
          <w:highlight w:val="none"/>
        </w:rPr>
        <w:t>。</w:t>
      </w:r>
    </w:p>
    <w:p>
      <w:pPr>
        <w:pageBreakBefore w:val="0"/>
        <w:kinsoku/>
        <w:wordWrap/>
        <w:overflowPunct/>
        <w:topLinePunct w:val="0"/>
        <w:bidi w:val="0"/>
        <w:spacing w:line="240" w:lineRule="auto"/>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1.08</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增长8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医保新信息系统上线，</w:t>
      </w:r>
      <w:r>
        <w:rPr>
          <w:rFonts w:hint="eastAsia" w:ascii="仿宋_GB2312" w:hAnsi="仿宋_GB2312" w:eastAsia="仿宋_GB2312" w:cs="仿宋_GB2312"/>
          <w:b w:val="0"/>
          <w:bCs/>
          <w:color w:val="000000"/>
          <w:sz w:val="32"/>
          <w:szCs w:val="32"/>
        </w:rPr>
        <w:t>开展业务</w:t>
      </w:r>
      <w:r>
        <w:rPr>
          <w:rFonts w:hint="eastAsia" w:ascii="仿宋_GB2312" w:hAnsi="仿宋_GB2312" w:eastAsia="仿宋_GB2312" w:cs="仿宋_GB2312"/>
          <w:b w:val="0"/>
          <w:bCs/>
          <w:color w:val="000000"/>
          <w:sz w:val="32"/>
          <w:szCs w:val="32"/>
          <w:lang w:val="en-US" w:eastAsia="zh-CN"/>
        </w:rPr>
        <w:t>培训</w:t>
      </w:r>
      <w:r>
        <w:rPr>
          <w:rFonts w:hint="eastAsia" w:ascii="仿宋_GB2312" w:eastAsia="仿宋_GB2312"/>
          <w:color w:val="auto"/>
          <w:sz w:val="32"/>
          <w:szCs w:val="32"/>
          <w:highlight w:val="none"/>
          <w:lang w:val="en-US" w:eastAsia="zh-CN"/>
        </w:rPr>
        <w:t>多轮次全员培训</w:t>
      </w:r>
      <w:r>
        <w:rPr>
          <w:rFonts w:hint="eastAsia" w:ascii="仿宋_GB2312" w:eastAsia="仿宋_GB2312"/>
          <w:color w:val="auto"/>
          <w:sz w:val="32"/>
          <w:szCs w:val="32"/>
          <w:highlight w:val="none"/>
        </w:rPr>
        <w:t>。其中：</w:t>
      </w:r>
    </w:p>
    <w:p>
      <w:pPr>
        <w:pageBreakBefore w:val="0"/>
        <w:kinsoku/>
        <w:wordWrap/>
        <w:overflowPunct/>
        <w:topLinePunct w:val="0"/>
        <w:bidi w:val="0"/>
        <w:spacing w:line="240" w:lineRule="auto"/>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1.08</w:t>
      </w:r>
      <w:r>
        <w:rPr>
          <w:rFonts w:hint="eastAsia" w:ascii="仿宋_GB2312" w:eastAsia="仿宋_GB2312"/>
          <w:color w:val="auto"/>
          <w:sz w:val="32"/>
          <w:szCs w:val="32"/>
          <w:highlight w:val="none"/>
        </w:rPr>
        <w:t>万元，主要用于</w:t>
      </w:r>
      <w:r>
        <w:rPr>
          <w:rFonts w:hint="eastAsia" w:ascii="仿宋_GB2312" w:eastAsia="仿宋_GB2312"/>
          <w:sz w:val="32"/>
          <w:szCs w:val="32"/>
        </w:rPr>
        <w:t>开展业务活动开支的用餐费</w:t>
      </w:r>
      <w:r>
        <w:rPr>
          <w:rFonts w:hint="eastAsia" w:ascii="仿宋_GB2312" w:eastAsia="仿宋_GB2312"/>
          <w:sz w:val="32"/>
          <w:szCs w:val="32"/>
          <w:lang w:eastAsia="zh-CN"/>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324</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1.08</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开展9次业务培训，共计用餐费1.08万元</w:t>
      </w:r>
      <w:r>
        <w:rPr>
          <w:rFonts w:hint="eastAsia" w:ascii="仿宋_GB2312" w:eastAsia="仿宋_GB2312"/>
          <w:color w:val="auto"/>
          <w:sz w:val="32"/>
          <w:szCs w:val="32"/>
          <w:highlight w:val="none"/>
        </w:rPr>
        <w:t>。</w:t>
      </w:r>
    </w:p>
    <w:p>
      <w:pPr>
        <w:pageBreakBefore w:val="0"/>
        <w:kinsoku/>
        <w:wordWrap/>
        <w:overflowPunct/>
        <w:topLinePunct w:val="0"/>
        <w:bidi w:val="0"/>
        <w:spacing w:line="240" w:lineRule="auto"/>
        <w:ind w:firstLine="640"/>
        <w:outlineLvl w:val="1"/>
        <w:rPr>
          <w:rStyle w:val="26"/>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6"/>
      <w:bookmarkEnd w:id="47"/>
    </w:p>
    <w:p>
      <w:pPr>
        <w:pageBreakBefore w:val="0"/>
        <w:kinsoku/>
        <w:wordWrap/>
        <w:overflowPunct/>
        <w:topLinePunct w:val="0"/>
        <w:bidi w:val="0"/>
        <w:spacing w:line="240" w:lineRule="auto"/>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2"/>
        </w:numPr>
        <w:kinsoku/>
        <w:wordWrap/>
        <w:overflowPunct/>
        <w:topLinePunct w:val="0"/>
        <w:bidi w:val="0"/>
        <w:spacing w:line="240" w:lineRule="auto"/>
        <w:ind w:firstLine="640"/>
        <w:outlineLvl w:val="1"/>
        <w:rPr>
          <w:rStyle w:val="26"/>
          <w:rFonts w:ascii="黑体" w:hAnsi="黑体" w:eastAsia="黑体"/>
          <w:b w:val="0"/>
          <w:color w:val="auto"/>
          <w:highlight w:val="none"/>
        </w:rPr>
      </w:pPr>
      <w:bookmarkStart w:id="48" w:name="_Toc15377219"/>
      <w:bookmarkStart w:id="49" w:name="_Toc15396611"/>
      <w:r>
        <w:rPr>
          <w:rStyle w:val="26"/>
          <w:rFonts w:hint="eastAsia" w:ascii="黑体" w:hAnsi="黑体" w:eastAsia="黑体"/>
          <w:b w:val="0"/>
          <w:color w:val="auto"/>
          <w:highlight w:val="none"/>
        </w:rPr>
        <w:t>国有资本经营预算支出决算情况说明</w:t>
      </w:r>
      <w:bookmarkEnd w:id="48"/>
      <w:bookmarkEnd w:id="49"/>
    </w:p>
    <w:p>
      <w:pPr>
        <w:pageBreakBefore w:val="0"/>
        <w:kinsoku/>
        <w:wordWrap/>
        <w:overflowPunct/>
        <w:topLinePunct w:val="0"/>
        <w:bidi w:val="0"/>
        <w:spacing w:line="240" w:lineRule="auto"/>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77221"/>
      <w:bookmarkStart w:id="51" w:name="_Toc15396612"/>
    </w:p>
    <w:p>
      <w:pPr>
        <w:pageBreakBefore w:val="0"/>
        <w:numPr>
          <w:ilvl w:val="0"/>
          <w:numId w:val="2"/>
        </w:numPr>
        <w:kinsoku/>
        <w:wordWrap/>
        <w:overflowPunct/>
        <w:topLinePunct w:val="0"/>
        <w:bidi w:val="0"/>
        <w:spacing w:line="240" w:lineRule="auto"/>
        <w:ind w:firstLine="640"/>
        <w:outlineLvl w:val="1"/>
        <w:rPr>
          <w:rStyle w:val="26"/>
          <w:rFonts w:hint="eastAsia" w:ascii="黑体" w:hAnsi="黑体" w:eastAsia="黑体"/>
          <w:b w:val="0"/>
          <w:color w:val="auto"/>
          <w:highlight w:val="none"/>
        </w:rPr>
      </w:pPr>
      <w:r>
        <w:rPr>
          <w:rStyle w:val="26"/>
          <w:rFonts w:hint="eastAsia" w:ascii="黑体" w:hAnsi="黑体" w:eastAsia="黑体"/>
          <w:b w:val="0"/>
          <w:color w:val="auto"/>
          <w:highlight w:val="none"/>
          <w:lang w:val="en-US" w:eastAsia="zh-CN"/>
        </w:rPr>
        <w:t>预算绩效管理情况</w:t>
      </w:r>
    </w:p>
    <w:p>
      <w:pPr>
        <w:pageBreakBefore w:val="0"/>
        <w:numPr>
          <w:ilvl w:val="0"/>
          <w:numId w:val="0"/>
        </w:numPr>
        <w:kinsoku/>
        <w:wordWrap/>
        <w:overflowPunct/>
        <w:topLinePunct w:val="0"/>
        <w:bidi w:val="0"/>
        <w:spacing w:line="240" w:lineRule="auto"/>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lang w:val="en-US" w:eastAsia="zh-CN"/>
        </w:rPr>
        <w:t>医保稽查稽核工作经费</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7个项目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Arial" w:hAnsi="Arial" w:eastAsia="仿宋_GB2312" w:cs="Arial"/>
          <w:b w:val="0"/>
          <w:bCs w:val="0"/>
          <w:kern w:val="0"/>
          <w:sz w:val="32"/>
          <w:szCs w:val="32"/>
          <w:lang w:val="en-US" w:eastAsia="zh-CN" w:bidi="ar-SA"/>
        </w:rPr>
        <w:t>医疗保障局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pageBreakBefore w:val="0"/>
        <w:numPr>
          <w:ilvl w:val="0"/>
          <w:numId w:val="2"/>
        </w:numPr>
        <w:kinsoku/>
        <w:wordWrap/>
        <w:overflowPunct/>
        <w:topLinePunct w:val="0"/>
        <w:bidi w:val="0"/>
        <w:spacing w:line="240" w:lineRule="auto"/>
        <w:ind w:firstLine="640"/>
        <w:outlineLvl w:val="1"/>
        <w:rPr>
          <w:rStyle w:val="26"/>
          <w:rFonts w:hint="eastAsia" w:ascii="黑体" w:hAnsi="黑体" w:eastAsia="黑体"/>
          <w:b w:val="0"/>
          <w:color w:val="auto"/>
          <w:highlight w:val="none"/>
        </w:rPr>
      </w:pPr>
      <w:r>
        <w:rPr>
          <w:rStyle w:val="26"/>
          <w:rFonts w:hint="eastAsia" w:ascii="黑体" w:hAnsi="黑体" w:eastAsia="黑体"/>
          <w:b w:val="0"/>
          <w:color w:val="auto"/>
          <w:highlight w:val="none"/>
        </w:rPr>
        <w:t>其他重要事项的情况说明</w:t>
      </w:r>
      <w:bookmarkEnd w:id="50"/>
      <w:bookmarkEnd w:id="51"/>
    </w:p>
    <w:p>
      <w:pPr>
        <w:pageBreakBefore w:val="0"/>
        <w:kinsoku/>
        <w:wordWrap/>
        <w:overflowPunct/>
        <w:topLinePunct w:val="0"/>
        <w:bidi w:val="0"/>
        <w:spacing w:line="240" w:lineRule="auto"/>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pageBreakBefore w:val="0"/>
        <w:kinsoku/>
        <w:wordWrap/>
        <w:overflowPunct/>
        <w:topLinePunct w:val="0"/>
        <w:bidi w:val="0"/>
        <w:spacing w:line="240" w:lineRule="auto"/>
        <w:ind w:firstLine="640" w:firstLineChars="200"/>
        <w:rPr>
          <w:rFonts w:hint="eastAsia" w:ascii="仿宋" w:hAnsi="仿宋" w:eastAsia="仿宋"/>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hAnsi="仿宋_GB2312" w:eastAsia="仿宋_GB2312" w:cs="仿宋_GB2312"/>
          <w:b w:val="0"/>
          <w:bCs/>
          <w:color w:val="000000"/>
          <w:sz w:val="32"/>
          <w:szCs w:val="32"/>
          <w:lang w:eastAsia="zh-CN"/>
        </w:rPr>
        <w:t>区医疗保障局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19.01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1.07</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5.33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sz w:val="32"/>
          <w:szCs w:val="32"/>
          <w:lang w:val="en-US" w:eastAsia="zh-CN"/>
        </w:rPr>
        <w:t>节减开支、构建节约型机关</w:t>
      </w:r>
      <w:r>
        <w:rPr>
          <w:rFonts w:hint="eastAsia" w:ascii="仿宋_GB2312" w:hAnsi="仿宋_GB2312" w:eastAsia="仿宋_GB2312" w:cs="仿宋_GB2312"/>
          <w:sz w:val="32"/>
          <w:szCs w:val="32"/>
          <w:lang w:eastAsia="zh-CN"/>
        </w:rPr>
        <w:t>。</w:t>
      </w:r>
    </w:p>
    <w:p>
      <w:pPr>
        <w:pageBreakBefore w:val="0"/>
        <w:kinsoku/>
        <w:wordWrap/>
        <w:overflowPunct/>
        <w:topLinePunct w:val="0"/>
        <w:autoSpaceDE w:val="0"/>
        <w:autoSpaceDN w:val="0"/>
        <w:bidi w:val="0"/>
        <w:adjustRightInd w:val="0"/>
        <w:spacing w:line="240" w:lineRule="auto"/>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pageBreakBefore w:val="0"/>
        <w:kinsoku/>
        <w:wordWrap/>
        <w:overflowPunct/>
        <w:topLinePunct w:val="0"/>
        <w:bidi w:val="0"/>
        <w:spacing w:line="240" w:lineRule="auto"/>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hAnsi="仿宋_GB2312" w:eastAsia="仿宋_GB2312" w:cs="仿宋_GB2312"/>
          <w:b w:val="0"/>
          <w:bCs/>
          <w:color w:val="000000"/>
          <w:sz w:val="32"/>
          <w:szCs w:val="32"/>
          <w:lang w:eastAsia="zh-CN"/>
        </w:rPr>
        <w:t>区医疗保障局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pageBreakBefore w:val="0"/>
        <w:kinsoku/>
        <w:wordWrap/>
        <w:overflowPunct/>
        <w:topLinePunct w:val="0"/>
        <w:autoSpaceDE w:val="0"/>
        <w:autoSpaceDN w:val="0"/>
        <w:bidi w:val="0"/>
        <w:adjustRightInd w:val="0"/>
        <w:spacing w:line="240" w:lineRule="auto"/>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pageBreakBefore w:val="0"/>
        <w:kinsoku/>
        <w:wordWrap/>
        <w:overflowPunct/>
        <w:topLinePunct w:val="0"/>
        <w:autoSpaceDE w:val="0"/>
        <w:autoSpaceDN w:val="0"/>
        <w:bidi w:val="0"/>
        <w:adjustRightInd w:val="0"/>
        <w:spacing w:line="240" w:lineRule="auto"/>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s="仿宋_GB2312"/>
          <w:b w:val="0"/>
          <w:bCs/>
          <w:color w:val="000000"/>
          <w:sz w:val="32"/>
          <w:szCs w:val="32"/>
          <w:lang w:eastAsia="zh-CN"/>
        </w:rPr>
        <w:t>区医疗保障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topLinePunct w:val="0"/>
        <w:autoSpaceDE w:val="0"/>
        <w:autoSpaceDN w:val="0"/>
        <w:bidi w:val="0"/>
        <w:adjustRightInd w:val="0"/>
        <w:spacing w:line="240" w:lineRule="auto"/>
        <w:ind w:firstLine="640" w:firstLineChars="200"/>
        <w:jc w:val="left"/>
        <w:rPr>
          <w:rFonts w:hint="eastAsia" w:ascii="仿宋_GB2312" w:hAnsi="仿宋_GB2312" w:eastAsia="仿宋_GB2312" w:cs="仿宋_GB2312"/>
          <w:color w:val="auto"/>
          <w:sz w:val="32"/>
          <w:szCs w:val="32"/>
          <w:highlight w:val="none"/>
        </w:rPr>
      </w:pPr>
    </w:p>
    <w:p>
      <w:pPr>
        <w:pageBreakBefore w:val="0"/>
        <w:widowControl/>
        <w:kinsoku/>
        <w:wordWrap/>
        <w:overflowPunct/>
        <w:topLinePunct w:val="0"/>
        <w:bidi w:val="0"/>
        <w:spacing w:line="240" w:lineRule="auto"/>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3"/>
        </w:numPr>
        <w:kinsoku/>
        <w:wordWrap/>
        <w:overflowPunct/>
        <w:topLinePunct w:val="0"/>
        <w:bidi w:val="0"/>
        <w:spacing w:line="240" w:lineRule="auto"/>
        <w:ind w:firstLine="660" w:firstLineChars="150"/>
        <w:jc w:val="center"/>
        <w:outlineLvl w:val="0"/>
        <w:rPr>
          <w:rStyle w:val="25"/>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5"/>
      <w:bookmarkEnd w:id="56"/>
    </w:p>
    <w:p>
      <w:pPr>
        <w:pageBreakBefore w:val="0"/>
        <w:kinsoku/>
        <w:wordWrap/>
        <w:overflowPunct/>
        <w:topLinePunct w:val="0"/>
        <w:bidi w:val="0"/>
        <w:spacing w:line="240" w:lineRule="auto"/>
        <w:jc w:val="left"/>
        <w:rPr>
          <w:rFonts w:ascii="宋体"/>
          <w:b/>
          <w:color w:val="auto"/>
          <w:sz w:val="44"/>
          <w:szCs w:val="44"/>
          <w:highlight w:val="none"/>
        </w:rPr>
      </w:pPr>
    </w:p>
    <w:p>
      <w:pPr>
        <w:pStyle w:val="23"/>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社会保障和就业（类）行政事业单位养老支出（款）机关事业单位基本养老保险缴费支出（项）：指</w:t>
      </w:r>
      <w:r>
        <w:rPr>
          <w:rFonts w:hint="eastAsia" w:ascii="仿宋_GB2312" w:eastAsia="仿宋_GB2312"/>
          <w:color w:val="auto"/>
          <w:sz w:val="32"/>
          <w:szCs w:val="32"/>
          <w:highlight w:val="none"/>
          <w:lang w:val="en-US" w:eastAsia="zh-CN"/>
        </w:rPr>
        <w:t>单位支付职工养老保险费用</w:t>
      </w:r>
      <w:r>
        <w:rPr>
          <w:rFonts w:hint="eastAsia" w:ascii="仿宋_GB2312" w:eastAsia="仿宋_GB2312"/>
          <w:color w:val="auto"/>
          <w:sz w:val="32"/>
          <w:szCs w:val="32"/>
          <w:highlight w:val="none"/>
        </w:rPr>
        <w:t>。</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医疗卫生与计划生育（类）行政事业单位医疗（款） 行政单位医疗（项）：指</w:t>
      </w:r>
      <w:r>
        <w:rPr>
          <w:rFonts w:hint="eastAsia" w:ascii="仿宋_GB2312" w:eastAsia="仿宋_GB2312"/>
          <w:color w:val="auto"/>
          <w:sz w:val="32"/>
          <w:szCs w:val="32"/>
          <w:highlight w:val="none"/>
          <w:lang w:val="en-US" w:eastAsia="zh-CN"/>
        </w:rPr>
        <w:t>单位支付行政干部医疗保险费用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行政单位医疗（项）：指</w:t>
      </w:r>
      <w:r>
        <w:rPr>
          <w:rFonts w:hint="eastAsia" w:ascii="仿宋_GB2312" w:eastAsia="仿宋_GB2312"/>
          <w:color w:val="auto"/>
          <w:sz w:val="32"/>
          <w:szCs w:val="32"/>
          <w:highlight w:val="none"/>
          <w:lang w:val="en-US" w:eastAsia="zh-CN"/>
        </w:rPr>
        <w:t>单位支付事业干部医疗保险费用；医疗保障管理事务</w:t>
      </w:r>
      <w:r>
        <w:rPr>
          <w:rFonts w:hint="eastAsia" w:ascii="仿宋_GB2312" w:eastAsia="仿宋_GB2312"/>
          <w:color w:val="auto"/>
          <w:sz w:val="32"/>
          <w:szCs w:val="32"/>
          <w:highlight w:val="none"/>
        </w:rPr>
        <w:t>（款）行政运行（项）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指机关行政工作人员经费及公用经费；医疗保障管理事务</w:t>
      </w:r>
      <w:r>
        <w:rPr>
          <w:rFonts w:hint="eastAsia" w:ascii="仿宋_GB2312" w:eastAsia="仿宋_GB2312"/>
          <w:color w:val="auto"/>
          <w:sz w:val="32"/>
          <w:szCs w:val="32"/>
          <w:highlight w:val="none"/>
        </w:rPr>
        <w:t>（款）一般行政管理事务（项）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指机关单位工作经费（含引进人才补助、金财网维护费、第一书记工作经费）；医疗保障管理事务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w:t>
      </w:r>
      <w:r>
        <w:rPr>
          <w:rFonts w:hint="eastAsia" w:ascii="仿宋_GB2312" w:eastAsia="仿宋_GB2312"/>
          <w:color w:val="auto"/>
          <w:sz w:val="32"/>
          <w:szCs w:val="32"/>
          <w:highlight w:val="none"/>
        </w:rPr>
        <w:t>运行（项）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指机关事业工作人员经费及公用经费。</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住房保障（类）住房保障支出（款）住房公积金（项）：指</w:t>
      </w:r>
      <w:r>
        <w:rPr>
          <w:rFonts w:hint="eastAsia" w:ascii="仿宋_GB2312" w:eastAsia="仿宋_GB2312"/>
          <w:color w:val="auto"/>
          <w:sz w:val="32"/>
          <w:szCs w:val="32"/>
          <w:highlight w:val="none"/>
          <w:lang w:val="en-US" w:eastAsia="zh-CN"/>
        </w:rPr>
        <w:t>单位支付职工住房公积金</w:t>
      </w:r>
      <w:r>
        <w:rPr>
          <w:rFonts w:hint="eastAsia" w:ascii="仿宋_GB2312" w:eastAsia="仿宋_GB2312"/>
          <w:color w:val="auto"/>
          <w:sz w:val="32"/>
          <w:szCs w:val="32"/>
          <w:highlight w:val="none"/>
        </w:rPr>
        <w:t>。</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24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240" w:lineRule="auto"/>
        <w:jc w:val="center"/>
        <w:outlineLvl w:val="0"/>
        <w:rPr>
          <w:rStyle w:val="25"/>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240" w:lineRule="auto"/>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240" w:lineRule="auto"/>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医疗保障局</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r>
        <w:rPr>
          <w:rFonts w:hint="eastAsia" w:ascii="仿宋_GB2312" w:hAnsi="仿宋_GB2312" w:eastAsia="仿宋_GB2312" w:cs="仿宋_GB2312"/>
          <w:color w:val="000000"/>
          <w:kern w:val="0"/>
          <w:sz w:val="32"/>
          <w:szCs w:val="32"/>
          <w:shd w:val="clear" w:color="auto" w:fill="FFFFFF"/>
          <w:lang w:val="zh-CN"/>
        </w:rPr>
        <w:t>一个独立编制机构。</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kern w:val="0"/>
          <w:sz w:val="32"/>
          <w:szCs w:val="32"/>
          <w:shd w:val="clear" w:color="auto" w:fill="FFFFFF"/>
          <w:lang w:val="zh-CN"/>
        </w:rPr>
        <w:t>（二）机构职能。</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负责贯彻执行国家、省、市、区有关医疗保险、生育保险、医疗救助、长期护理保险等医疗保障政策制度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组织起草有关医疗保障规范性文件。负责拟订全区医疗保障事业发展规划、政策和标准，并组织实施和监督检查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组织拟订并实施医疗保障基金监督管理制度，建立健全医疗保障基金安全防控机制，监督强化全区医疗保障基金运行管理。</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组织拟订医疗保障筹资和待遇政策，负责医疗保障基金归集，拟订医疗保障基金年度收支计划，按政策和标准支付医疗待遇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完善动态调整和区域调别平衡机制，统筹城乡医疗保障待遇标准，建立健全与筹资水平相适应的待遇调整机制。</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贯彻执行上级药品目录、医用耗材、医疗服务项目、</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医疗服务设施等医疗保障目录和支付标准政策。拟订全区药品目录、医用耗材、医疗服务项目、医疗服务设施等医疗保障目录和支付标准政策。拟订全区有关医保目录准入谈判规则并组织实施。</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贯彻执行上级药品、医用耗材价格和医疗服务项目、医疗服务设施收费等政策，负责拟订全区医用耗材价格和医疗服务项目、医疗服务设施收费等政策。建立医保支付医药服务价格合理确定和动态调整机制。推动建立市场主导的社会医药服务价格形成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建立价格信息监测和信息发布制度。</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贯彻执行上级药品、医用耗材的招标采购政策并监督实施。负责全区药品、医用耗材招标采购平台建设。组织实施大病保险招标准入和业务指导。</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推进医疗保障基金支付方式改革，拟订全区定点医药机构协议和支付管理办法并组织实施。负责全区医疗保障定点机构管理和考核工作。</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负责全区医疗保障经办管理、公共服务体系建设。组织拟订和完善异地就医管理和费用结算政策。建立健全医疗保障关系转移接续制度。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firstLine="640" w:firstLineChars="200"/>
        <w:textAlignment w:val="auto"/>
        <w:rPr>
          <w:lang w:val="zh-CN"/>
        </w:rPr>
      </w:pPr>
      <w:r>
        <w:rPr>
          <w:rFonts w:hint="eastAsia" w:ascii="楷体_GB2312" w:hAnsi="楷体_GB2312" w:eastAsia="楷体_GB2312" w:cs="楷体_GB2312"/>
          <w:color w:val="000000"/>
          <w:kern w:val="0"/>
          <w:sz w:val="32"/>
          <w:szCs w:val="32"/>
          <w:shd w:val="clear" w:color="auto" w:fill="FFFFFF"/>
          <w:lang w:val="zh-CN"/>
        </w:rPr>
        <w:t>（三）人员概况。</w:t>
      </w:r>
      <w:r>
        <w:rPr>
          <w:rFonts w:hint="eastAsia" w:ascii="仿宋_GB2312" w:hAnsi="仿宋_GB2312" w:eastAsia="仿宋_GB2312" w:cs="仿宋_GB2312"/>
          <w:sz w:val="32"/>
          <w:szCs w:val="32"/>
        </w:rPr>
        <w:t>广元市朝天区</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总编制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名，行政执法编制0名，事业编制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名，工勤编制0人，自收自支编制0名。在职人员总数</w:t>
      </w:r>
      <w:r>
        <w:rPr>
          <w:rFonts w:hint="eastAsia" w:ascii="仿宋_GB2312" w:hAnsi="仿宋_GB2312" w:eastAsia="仿宋_GB2312" w:cs="仿宋_GB2312"/>
          <w:sz w:val="32"/>
          <w:szCs w:val="32"/>
          <w:lang w:val="en-US" w:eastAsia="zh-CN"/>
        </w:rPr>
        <w:t>1</w:t>
      </w:r>
      <w:r>
        <w:rPr>
          <w:rFonts w:hint="eastAsia" w:hAnsi="仿宋_GB2312" w:cs="仿宋_GB2312"/>
          <w:sz w:val="32"/>
          <w:szCs w:val="32"/>
          <w:lang w:val="en-US" w:eastAsia="zh-CN"/>
        </w:rPr>
        <w:t>5</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人，行政执法人员0人，事业人员</w:t>
      </w:r>
      <w:r>
        <w:rPr>
          <w:rFonts w:hint="eastAsia" w:hAnsi="仿宋_GB2312" w:cs="仿宋_GB2312"/>
          <w:sz w:val="32"/>
          <w:szCs w:val="32"/>
          <w:lang w:val="en-US" w:eastAsia="zh-CN"/>
        </w:rPr>
        <w:t>10</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人；退休人员0人。</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（一）部门财政资金收入情况：</w:t>
      </w:r>
      <w:r>
        <w:rPr>
          <w:rFonts w:hint="eastAsia" w:ascii="楷体_GB2312" w:hAnsi="楷体_GB2312" w:eastAsia="楷体_GB2312" w:cs="楷体_GB2312"/>
          <w:sz w:val="32"/>
          <w:szCs w:val="32"/>
          <w:lang w:val="en-US" w:eastAsia="zh-CN"/>
        </w:rPr>
        <w:t>2021年部门预算收入总数274.05万元。</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eastAsia="zh-CN"/>
        </w:rPr>
        <w:t>）部门财政资金支出情况：</w:t>
      </w:r>
      <w:r>
        <w:rPr>
          <w:rFonts w:hint="eastAsia" w:ascii="楷体_GB2312" w:hAnsi="楷体_GB2312" w:eastAsia="楷体_GB2312" w:cs="楷体_GB2312"/>
          <w:sz w:val="32"/>
          <w:szCs w:val="32"/>
          <w:lang w:val="en-US" w:eastAsia="zh-CN"/>
        </w:rPr>
        <w:t>2021年部门预算支出总数274.05万元。</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三、部门整体预算绩效管理情况</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（一）部门预算项目绩效管理。</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按照相关要求编报项目支出预算，科学设置项目绩效目标，客观详实地提供每一个项目的相关资料，项目预算编制做到了论证充分、资料详实、科学合理。在项目实施过程中，积极组织项目分管领导和财会人员学习财经规章，进一步增强</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理财、科学理财、规范理财的责任意识。对项目管理做到科学安排、合理配置、专款专用，确保项目顺利开展，使项目资金最大限度地发挥其作用。</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部门基本支出预算</w:t>
      </w:r>
      <w:r>
        <w:rPr>
          <w:rFonts w:hint="eastAsia" w:ascii="仿宋_GB2312" w:hAnsi="仿宋_GB2312" w:eastAsia="仿宋_GB2312" w:cs="仿宋_GB2312"/>
          <w:sz w:val="32"/>
          <w:szCs w:val="32"/>
          <w:lang w:val="en-US" w:eastAsia="zh-CN"/>
        </w:rPr>
        <w:t>226.45</w:t>
      </w:r>
      <w:r>
        <w:rPr>
          <w:rFonts w:hint="eastAsia" w:ascii="仿宋_GB2312" w:hAnsi="仿宋_GB2312" w:eastAsia="仿宋_GB2312" w:cs="仿宋_GB2312"/>
          <w:sz w:val="32"/>
          <w:szCs w:val="32"/>
        </w:rPr>
        <w:t>万元。其中：人员</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207.44</w:t>
      </w:r>
      <w:r>
        <w:rPr>
          <w:rFonts w:hint="eastAsia" w:ascii="仿宋_GB2312" w:hAnsi="仿宋_GB2312" w:eastAsia="仿宋_GB2312" w:cs="仿宋_GB2312"/>
          <w:sz w:val="32"/>
          <w:szCs w:val="32"/>
        </w:rPr>
        <w:t>万元，主要包括人员工资、津贴补贴、奖金、养老保险、医疗保险、生育险等。</w:t>
      </w:r>
      <w:r>
        <w:rPr>
          <w:rFonts w:hint="eastAsia" w:ascii="仿宋_GB2312" w:hAnsi="仿宋_GB2312" w:eastAsia="仿宋_GB2312" w:cs="仿宋_GB2312"/>
          <w:sz w:val="32"/>
          <w:szCs w:val="32"/>
          <w:lang w:val="en-US" w:eastAsia="zh-CN"/>
        </w:rPr>
        <w:t>运转类</w:t>
      </w:r>
      <w:r>
        <w:rPr>
          <w:rFonts w:hint="eastAsia" w:ascii="仿宋_GB2312" w:hAnsi="仿宋_GB2312" w:eastAsia="仿宋_GB2312" w:cs="仿宋_GB2312"/>
          <w:sz w:val="32"/>
          <w:szCs w:val="32"/>
        </w:rPr>
        <w:t>公用支出</w:t>
      </w:r>
      <w:r>
        <w:rPr>
          <w:rFonts w:hint="eastAsia" w:ascii="仿宋_GB2312" w:hAnsi="仿宋_GB2312" w:eastAsia="仿宋_GB2312" w:cs="仿宋_GB2312"/>
          <w:sz w:val="32"/>
          <w:szCs w:val="32"/>
          <w:lang w:val="en-US" w:eastAsia="zh-CN"/>
        </w:rPr>
        <w:t>19.01</w:t>
      </w:r>
      <w:r>
        <w:rPr>
          <w:rFonts w:hint="eastAsia" w:ascii="仿宋_GB2312" w:hAnsi="仿宋_GB2312" w:eastAsia="仿宋_GB2312" w:cs="仿宋_GB2312"/>
          <w:sz w:val="32"/>
          <w:szCs w:val="32"/>
        </w:rPr>
        <w:t>万元，主要包括日常办公采购用品、水、电、气、差旅费、印刷、会务、公务接待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部门项目</w:t>
      </w:r>
      <w:r>
        <w:rPr>
          <w:rFonts w:hint="eastAsia" w:ascii="仿宋_GB2312" w:hAnsi="仿宋_GB2312" w:eastAsia="仿宋_GB2312" w:cs="仿宋_GB2312"/>
          <w:sz w:val="32"/>
          <w:szCs w:val="32"/>
          <w:lang w:eastAsia="zh-CN"/>
        </w:rPr>
        <w:t>支出预算</w:t>
      </w:r>
      <w:r>
        <w:rPr>
          <w:rFonts w:hint="eastAsia" w:ascii="仿宋_GB2312" w:hAnsi="仿宋_GB2312" w:eastAsia="仿宋_GB2312" w:cs="仿宋_GB2312"/>
          <w:sz w:val="32"/>
          <w:szCs w:val="32"/>
          <w:lang w:val="en-US" w:eastAsia="zh-CN"/>
        </w:rPr>
        <w:t>47.6万元，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稽查稽核工作经费10万元用于开展打击欺诈骗保、稽查稽核工作；医保行风及能力建设5万元用于完善基础设施设备，加强业务人员培训；医保政策宣传广告费7万元用于做好区内参保城镇职工医疗保险、工伤生育保险、医疗救助、异地就医等医保待遇的审核、结算、相关政策宣传工作；医保档案整理费用5万元用于规范各项业务档案资料管理，提升经办服务能力；金保网网络改造维护费7万元用于保持金保网网络运行安全、稳定。医疗服务与保障能力提升补助资金（中央直达资金）10万元用于开展医保政策宣传、基层医保窗口医保元素打造、经办人员业务能力提升培训等方面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机关运行管理项目经费3.6万元，用于支付</w:t>
      </w:r>
      <w:r>
        <w:rPr>
          <w:rFonts w:hint="eastAsia" w:ascii="仿宋_GB2312" w:hAnsi="仿宋_GB2312" w:eastAsia="仿宋_GB2312" w:cs="仿宋_GB2312"/>
          <w:sz w:val="32"/>
          <w:szCs w:val="32"/>
          <w:lang w:eastAsia="zh-CN"/>
        </w:rPr>
        <w:t>引进人才一次性补助2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96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，第一书记补助</w:t>
      </w:r>
      <w:r>
        <w:rPr>
          <w:rFonts w:hint="eastAsia" w:ascii="仿宋_GB2312" w:hAnsi="仿宋_GB2312" w:eastAsia="仿宋_GB2312" w:cs="仿宋_GB2312"/>
          <w:sz w:val="32"/>
          <w:szCs w:val="32"/>
          <w:lang w:val="en-US" w:eastAsia="zh-CN"/>
        </w:rPr>
        <w:t>0.4万元</w:t>
      </w:r>
      <w:r>
        <w:rPr>
          <w:rFonts w:hint="eastAsia" w:ascii="仿宋_GB2312" w:hAnsi="仿宋_GB2312" w:eastAsia="仿宋_GB2312" w:cs="仿宋_GB2312"/>
          <w:sz w:val="32"/>
          <w:szCs w:val="32"/>
          <w:lang w:eastAsia="zh-CN"/>
        </w:rPr>
        <w:t>、金财网费用</w:t>
      </w:r>
      <w:r>
        <w:rPr>
          <w:rFonts w:hint="eastAsia" w:ascii="仿宋_GB2312" w:hAnsi="仿宋_GB2312" w:eastAsia="仿宋_GB2312" w:cs="仿宋_GB2312"/>
          <w:sz w:val="32"/>
          <w:szCs w:val="32"/>
          <w:lang w:val="en-US" w:eastAsia="zh-CN"/>
        </w:rPr>
        <w:t>0.24万元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费用的开支。</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项目支出均按照有关规章制度和项目实施完成情况进行支付，我单位严格按照项目预算要求使用和划拨资金、</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经费管理，专项资金按照项目内容使用，做到专款专用，使用专项资金时，要通过财政专网统一支付，项目过程中全部按照管理办法执行，保障支出合法合规，做到了合法、有序。</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lang w:eastAsia="zh-CN"/>
        </w:rPr>
        <w:t>无违反规定的行为发生。</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zh-CN"/>
        </w:rPr>
        <w:t>（二）结果应用情况。</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区医疗保障局</w:t>
      </w:r>
      <w:r>
        <w:rPr>
          <w:rFonts w:hint="eastAsia" w:ascii="仿宋_GB2312" w:hAnsi="仿宋_GB2312" w:eastAsia="仿宋_GB2312" w:cs="仿宋_GB2312"/>
          <w:sz w:val="32"/>
          <w:szCs w:val="32"/>
          <w:lang w:eastAsia="zh-CN"/>
        </w:rPr>
        <w:t>对评价反映出的问题进行了深入研究分析，并及时整改。结合往年度预算绩效执行过程中存在的问题，在新一轮预算编制工作中深入分析调整我单位的绩效目标申报、财政资金收入支出、财政支出管理、整体绩效等。</w:t>
      </w:r>
    </w:p>
    <w:p>
      <w:pPr>
        <w:pageBreakBefore w:val="0"/>
        <w:widowControl/>
        <w:numPr>
          <w:ilvl w:val="0"/>
          <w:numId w:val="4"/>
        </w:numPr>
        <w:kinsoku/>
        <w:wordWrap/>
        <w:overflowPunct/>
        <w:topLinePunct w:val="0"/>
        <w:bidi w:val="0"/>
        <w:adjustRightInd w:val="0"/>
        <w:snapToGrid w:val="0"/>
        <w:spacing w:line="240" w:lineRule="auto"/>
        <w:ind w:firstLine="640" w:firstLineChars="200"/>
        <w:contextualSpacing/>
        <w:jc w:val="left"/>
        <w:rPr>
          <w:rFonts w:hint="eastAsia" w:ascii="楷体_GB2312" w:hAnsi="楷体_GB2312" w:eastAsia="楷体_GB2312" w:cs="楷体_GB2312"/>
          <w:color w:val="auto"/>
          <w:kern w:val="0"/>
          <w:sz w:val="32"/>
          <w:szCs w:val="32"/>
          <w:highlight w:val="none"/>
          <w:u w:val="none"/>
          <w:shd w:val="clear" w:color="auto" w:fill="FFFFFF"/>
          <w:lang w:val="zh-CN"/>
        </w:rPr>
      </w:pPr>
      <w:r>
        <w:rPr>
          <w:rFonts w:hint="eastAsia" w:ascii="楷体_GB2312" w:hAnsi="楷体_GB2312" w:eastAsia="楷体_GB2312" w:cs="楷体_GB2312"/>
          <w:color w:val="auto"/>
          <w:kern w:val="0"/>
          <w:sz w:val="32"/>
          <w:szCs w:val="32"/>
          <w:highlight w:val="none"/>
          <w:u w:val="none"/>
          <w:shd w:val="clear" w:color="auto" w:fill="FFFFFF"/>
          <w:lang w:val="zh-CN"/>
        </w:rPr>
        <w:t>自评质量</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区医疗保障局</w:t>
      </w:r>
      <w:r>
        <w:rPr>
          <w:rFonts w:hint="eastAsia" w:ascii="仿宋_GB2312" w:hAnsi="仿宋_GB2312" w:eastAsia="仿宋_GB2312" w:cs="仿宋_GB2312"/>
          <w:sz w:val="32"/>
          <w:szCs w:val="32"/>
          <w:lang w:eastAsia="zh-CN"/>
        </w:rPr>
        <w:t>在规定的时限内向财政局报送了部门整体支出绩效评价自评报告。自评报告内容完整，手续齐全，各项评价指标明确。评价结论合理有据、客观公正，如实地体现了单位取得绩效与存在的问题。积极配合财政部门开展的绩效评价工作。及时提供了准确、真实的相关资料。</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240" w:lineRule="auto"/>
        <w:ind w:firstLine="640" w:firstLineChars="200"/>
        <w:contextualSpacing/>
        <w:textAlignment w:val="auto"/>
        <w:rPr>
          <w:rFonts w:hint="eastAsia"/>
          <w:color w:val="FF0000"/>
        </w:rPr>
      </w:pP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lang w:val="en-US" w:eastAsia="zh-CN"/>
        </w:rPr>
        <w:t>一</w:t>
      </w: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rPr>
        <w:t>自评结论。</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240" w:lineRule="auto"/>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根据预算绩效管理工作要求及安排，我单位对2021年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绩效管理工作进行了自评考核，基础自评得</w:t>
      </w:r>
      <w:r>
        <w:rPr>
          <w:rFonts w:hint="eastAsia" w:ascii="仿宋_GB2312" w:hAnsi="仿宋_GB2312" w:eastAsia="仿宋_GB2312" w:cs="仿宋_GB2312"/>
          <w:color w:val="auto"/>
          <w:sz w:val="32"/>
          <w:szCs w:val="32"/>
        </w:rPr>
        <w:t>分9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分，加分项得分0分，共计9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w:t>
      </w:r>
    </w:p>
    <w:p>
      <w:pPr>
        <w:keepNext w:val="0"/>
        <w:keepLines w:val="0"/>
        <w:pageBreakBefore w:val="0"/>
        <w:numPr>
          <w:ilvl w:val="0"/>
          <w:numId w:val="5"/>
        </w:numPr>
        <w:pBdr>
          <w:bottom w:val="single" w:color="FFFFFF" w:sz="4" w:space="15"/>
        </w:pBdr>
        <w:tabs>
          <w:tab w:val="left" w:pos="1440"/>
        </w:tabs>
        <w:kinsoku/>
        <w:wordWrap/>
        <w:overflowPunct/>
        <w:topLinePunct w:val="0"/>
        <w:autoSpaceDE w:val="0"/>
        <w:autoSpaceDN w:val="0"/>
        <w:bidi w:val="0"/>
        <w:adjustRightInd w:val="0"/>
        <w:spacing w:line="240" w:lineRule="auto"/>
        <w:ind w:firstLine="640" w:firstLineChars="200"/>
        <w:contextualSpacing/>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存在问题。</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240" w:lineRule="auto"/>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单位从事财务管理的工作人员存在业务技能不高，对政策的了解不够透彻。开展集中学习不够多，财务知识和政策分析不</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开展专业</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培训较少</w:t>
      </w:r>
      <w:r>
        <w:rPr>
          <w:rFonts w:hint="eastAsia" w:ascii="仿宋_GB2312" w:hAnsi="仿宋_GB2312" w:eastAsia="仿宋_GB2312" w:cs="仿宋_GB2312"/>
          <w:sz w:val="32"/>
          <w:szCs w:val="32"/>
        </w:rPr>
        <w:t>。</w:t>
      </w:r>
    </w:p>
    <w:p>
      <w:pPr>
        <w:keepNext w:val="0"/>
        <w:keepLines w:val="0"/>
        <w:pageBreakBefore w:val="0"/>
        <w:numPr>
          <w:ilvl w:val="0"/>
          <w:numId w:val="5"/>
        </w:numPr>
        <w:pBdr>
          <w:bottom w:val="single" w:color="FFFFFF" w:sz="4" w:space="15"/>
        </w:pBdr>
        <w:tabs>
          <w:tab w:val="left" w:pos="1440"/>
        </w:tabs>
        <w:kinsoku/>
        <w:wordWrap/>
        <w:overflowPunct/>
        <w:topLinePunct w:val="0"/>
        <w:autoSpaceDE w:val="0"/>
        <w:autoSpaceDN w:val="0"/>
        <w:bidi w:val="0"/>
        <w:adjustRightInd w:val="0"/>
        <w:spacing w:line="240" w:lineRule="auto"/>
        <w:ind w:left="0" w:leftChars="0" w:firstLine="640" w:firstLineChars="200"/>
        <w:contextualSpacing/>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改进建议。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240" w:lineRule="auto"/>
        <w:ind w:firstLine="640" w:firstLineChars="200"/>
        <w:contextualSpacing/>
        <w:textAlignment w:val="auto"/>
        <w:rPr>
          <w:rFonts w:hint="eastAsia"/>
        </w:rPr>
      </w:pPr>
      <w:r>
        <w:rPr>
          <w:rFonts w:hint="eastAsia" w:ascii="仿宋_GB2312" w:hAnsi="仿宋_GB2312" w:eastAsia="仿宋_GB2312" w:cs="仿宋_GB2312"/>
          <w:sz w:val="32"/>
          <w:szCs w:val="32"/>
        </w:rPr>
        <w:t>进一步加强预算绩效工作系统化培训，提高从事该项工作人员理论知识水平和业务能力。</w:t>
      </w:r>
    </w:p>
    <w:p>
      <w:pPr>
        <w:pStyle w:val="6"/>
        <w:pageBreakBefore w:val="0"/>
        <w:kinsoku/>
        <w:wordWrap/>
        <w:overflowPunct/>
        <w:topLinePunct w:val="0"/>
        <w:bidi w:val="0"/>
        <w:spacing w:beforeLines="0" w:line="240" w:lineRule="auto"/>
        <w:rPr>
          <w:rFonts w:hint="eastAsia" w:hAnsi="宋体" w:cs="宋体"/>
          <w:color w:val="auto"/>
          <w:kern w:val="0"/>
          <w:sz w:val="32"/>
          <w:szCs w:val="32"/>
          <w:highlight w:val="none"/>
          <w:shd w:val="clear" w:color="auto" w:fill="FFFFFF"/>
          <w:lang w:val="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9"/>
        <w:gridCol w:w="1200"/>
        <w:gridCol w:w="1362"/>
        <w:gridCol w:w="1572"/>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7" w:hRule="atLeast"/>
        </w:trPr>
        <w:tc>
          <w:tcPr>
            <w:tcW w:w="3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主管部门及代码</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广元市朝天区医疗保障局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0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项目预算</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执行情况</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预算数：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49" w:hRule="atLeast"/>
        </w:trPr>
        <w:tc>
          <w:tcPr>
            <w:tcW w:w="3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完成情况</w:t>
            </w:r>
          </w:p>
        </w:tc>
        <w:tc>
          <w:tcPr>
            <w:tcW w:w="4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181"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413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全年开展稽查稽核60次，项目使用经费10万元，全年预计完成不少于60次，该项目的实施确保了医保基金安全运行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项目使用经费10万元，全年完成68次，项目使用经费支出10万元，该项目的实施确保了医保基金安全运行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82" w:hRule="atLeast"/>
        </w:trPr>
        <w:tc>
          <w:tcPr>
            <w:tcW w:w="18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数量指标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医保稽查稽核工作次数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≥60次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68次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质量指标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医保稽查稽核工作合格率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10"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时效指标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成本指标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保稽查稽核工作成本控制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效益</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社会效益  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rPr>
              <w:t>医保稽查稽核工作覆盖率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80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可持续影响指标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医保基金安全平稳运行率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854" w:hRule="atLeast"/>
        </w:trPr>
        <w:tc>
          <w:tcPr>
            <w:tcW w:w="18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满意</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满意度指标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医保稽查稽核工作服务对象满意度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r>
    </w:tbl>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1</w:t>
      </w:r>
      <w:r>
        <w:rPr>
          <w:rFonts w:hint="eastAsia" w:ascii="仿宋_GB2312" w:hAnsi="宋体" w:eastAsia="仿宋_GB2312" w:cs="宋体"/>
          <w:b w:val="0"/>
          <w:bCs w:val="0"/>
          <w:color w:val="auto"/>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2</w:t>
      </w:r>
      <w:r>
        <w:rPr>
          <w:rFonts w:hint="eastAsia" w:ascii="仿宋_GB2312" w:hAnsi="宋体" w:eastAsia="仿宋_GB2312" w:cs="宋体"/>
          <w:b w:val="0"/>
          <w:bCs w:val="0"/>
          <w:color w:val="auto"/>
          <w:kern w:val="0"/>
          <w:sz w:val="32"/>
          <w:szCs w:val="32"/>
          <w:highlight w:val="none"/>
          <w:shd w:val="clear" w:color="auto" w:fill="FFFFFF"/>
          <w:lang w:val="zh-CN"/>
        </w:rPr>
        <w:t>：</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4"/>
        <w:gridCol w:w="1219"/>
        <w:gridCol w:w="1211"/>
        <w:gridCol w:w="1929"/>
        <w:gridCol w:w="1397"/>
        <w:gridCol w:w="223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line="240" w:lineRule="auto"/>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主管部门及代码</w:t>
            </w:r>
          </w:p>
        </w:tc>
        <w:tc>
          <w:tcPr>
            <w:tcW w:w="3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广元市朝天区医疗保障局</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项目预算</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执行情况</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预算数：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完成情况</w:t>
            </w:r>
          </w:p>
        </w:tc>
        <w:tc>
          <w:tcPr>
            <w:tcW w:w="4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435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标1：提供优质、便捷、高效的医疗保障服务。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目标2：完善基础设施设备，加强窗口规范化建设，打造优质服务窗口。</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目标3：加强业务人员培训，培养一批业务精、技能强、能力优的业务骨干，提高医保服务能力。</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开展业务人员培训5次，培养一批业务精、技能强、能力优的业务骨干；完善基础设施设备5套，加强窗口规范化建设，打造优质服务窗口，为办事人员提供优质、便捷、高效的医疗保障服务。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5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211"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数量指标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业务人员能力提升培训次数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≥5次/年</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21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医保窗口建设规范化配备设备套数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≥5套/年</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质量指标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业务人员参与能力提升培训率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医保业务人员知识掌握率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88"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时效指标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成本指标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能力提升培训支出控制</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2.</w:t>
            </w:r>
            <w:r>
              <w:rPr>
                <w:rFonts w:hint="eastAsia" w:ascii="仿宋_GB2312" w:hAnsi="仿宋_GB2312" w:eastAsia="仿宋_GB2312" w:cs="仿宋_GB2312"/>
                <w:i w:val="0"/>
                <w:color w:val="auto"/>
                <w:sz w:val="24"/>
                <w:szCs w:val="24"/>
                <w:highlight w:val="none"/>
                <w:u w:val="none"/>
              </w:rPr>
              <w:t>5万元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2.</w:t>
            </w:r>
            <w:r>
              <w:rPr>
                <w:rFonts w:hint="eastAsia" w:ascii="仿宋_GB2312" w:hAnsi="仿宋_GB2312" w:eastAsia="仿宋_GB2312" w:cs="仿宋_GB2312"/>
                <w:i w:val="0"/>
                <w:color w:val="auto"/>
                <w:sz w:val="24"/>
                <w:szCs w:val="24"/>
                <w:highlight w:val="none"/>
                <w:u w:val="none"/>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窗口规范化建设购买设备支出控制</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2.</w:t>
            </w:r>
            <w:r>
              <w:rPr>
                <w:rFonts w:hint="eastAsia" w:ascii="仿宋_GB2312" w:hAnsi="仿宋_GB2312" w:eastAsia="仿宋_GB2312" w:cs="仿宋_GB2312"/>
                <w:i w:val="0"/>
                <w:color w:val="auto"/>
                <w:sz w:val="24"/>
                <w:szCs w:val="24"/>
                <w:highlight w:val="none"/>
                <w:u w:val="none"/>
              </w:rPr>
              <w:t>5万元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2.</w:t>
            </w:r>
            <w:r>
              <w:rPr>
                <w:rFonts w:hint="eastAsia" w:ascii="仿宋_GB2312" w:hAnsi="仿宋_GB2312" w:eastAsia="仿宋_GB2312" w:cs="仿宋_GB2312"/>
                <w:i w:val="0"/>
                <w:color w:val="auto"/>
                <w:sz w:val="24"/>
                <w:szCs w:val="24"/>
                <w:highlight w:val="none"/>
                <w:u w:val="none"/>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效益</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社会效益  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提高医保服务能力</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提供优质、便捷、高效的医疗保障服务</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提供优质、便捷、高效的医疗保障服务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5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满意</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指标</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医保工作服务对象满意度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r>
    </w:tbl>
    <w:p>
      <w:pPr>
        <w:pStyle w:val="6"/>
        <w:pageBreakBefore w:val="0"/>
        <w:kinsoku/>
        <w:wordWrap/>
        <w:overflowPunct/>
        <w:topLinePunct w:val="0"/>
        <w:bidi w:val="0"/>
        <w:spacing w:beforeLines="0" w:line="240" w:lineRule="auto"/>
        <w:jc w:val="center"/>
        <w:rPr>
          <w:rFonts w:hint="eastAsia" w:ascii="仿宋_GB2312" w:hAnsi="仿宋_GB2312" w:eastAsia="仿宋_GB2312" w:cs="仿宋_GB2312"/>
          <w:color w:val="auto"/>
          <w:kern w:val="0"/>
          <w:sz w:val="24"/>
          <w:szCs w:val="24"/>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3</w:t>
      </w:r>
      <w:r>
        <w:rPr>
          <w:rFonts w:hint="eastAsia" w:ascii="仿宋_GB2312" w:hAnsi="宋体" w:eastAsia="仿宋_GB2312" w:cs="宋体"/>
          <w:b w:val="0"/>
          <w:bCs w:val="0"/>
          <w:color w:val="auto"/>
          <w:kern w:val="0"/>
          <w:sz w:val="32"/>
          <w:szCs w:val="32"/>
          <w:highlight w:val="none"/>
          <w:shd w:val="clear" w:color="auto" w:fill="FFFFFF"/>
          <w:lang w:val="zh-CN"/>
        </w:rPr>
        <w:t>：</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125"/>
        <w:gridCol w:w="1650"/>
        <w:gridCol w:w="1978"/>
        <w:gridCol w:w="1679"/>
        <w:gridCol w:w="1955"/>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line="240" w:lineRule="auto"/>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主管部门及代码</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实施单位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项目预算</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执行情况</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预算数：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执行数：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完成情况</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完成2021年业务档案资料20000份</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全面完成医保业务资料归档</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1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数量指标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完成2021年度新增业务档案资料整理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rPr>
              <w:t>≥</w:t>
            </w:r>
            <w:r>
              <w:rPr>
                <w:rFonts w:hint="eastAsia" w:ascii="仿宋_GB2312" w:hAnsi="仿宋_GB2312" w:eastAsia="仿宋_GB2312" w:cs="仿宋_GB2312"/>
                <w:i w:val="0"/>
                <w:color w:val="auto"/>
                <w:sz w:val="24"/>
                <w:szCs w:val="24"/>
                <w:highlight w:val="none"/>
                <w:u w:val="none"/>
                <w:lang w:val="en-US" w:eastAsia="zh-CN"/>
              </w:rPr>
              <w:t>900本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940本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质量指标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档案资料归档规范率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时效指标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成本指标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2021年业务档案整理归档费用控制</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5万元</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效益</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社会效益  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档案完整规范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规范整理案卷归档，有效保存工作资料，方便档案查询</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规范整理案卷归档，有效保存工作资料，方便档案查询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可持续影响 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档案使用年限</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≥30年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30年-100年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9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满意</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650"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档案管理部门满意度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65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档案使用者满意度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95%</w:t>
            </w:r>
          </w:p>
        </w:tc>
      </w:tr>
    </w:tbl>
    <w:p>
      <w:pPr>
        <w:pageBreakBefore w:val="0"/>
        <w:kinsoku/>
        <w:wordWrap/>
        <w:overflowPunct/>
        <w:topLinePunct w:val="0"/>
        <w:bidi w:val="0"/>
        <w:spacing w:line="240" w:lineRule="auto"/>
        <w:jc w:val="center"/>
        <w:outlineLvl w:val="0"/>
        <w:rPr>
          <w:rFonts w:hint="eastAsia" w:ascii="仿宋_GB2312" w:hAnsi="仿宋_GB2312" w:eastAsia="仿宋_GB2312" w:cs="仿宋_GB2312"/>
          <w:color w:val="auto"/>
          <w:sz w:val="24"/>
          <w:szCs w:val="24"/>
          <w:highlight w:val="none"/>
        </w:rPr>
      </w:pPr>
      <w:bookmarkStart w:id="59" w:name="_Toc15396618"/>
    </w:p>
    <w:p>
      <w:pPr>
        <w:pStyle w:val="6"/>
        <w:pageBreakBefore w:val="0"/>
        <w:kinsoku/>
        <w:wordWrap/>
        <w:overflowPunct/>
        <w:topLinePunct w:val="0"/>
        <w:bidi w:val="0"/>
        <w:spacing w:beforeLines="0" w:line="240" w:lineRule="auto"/>
        <w:rPr>
          <w:rFonts w:hint="eastAsia" w:ascii="仿宋_GB2312" w:hAnsi="仿宋_GB2312" w:eastAsia="仿宋_GB2312" w:cs="仿宋_GB2312"/>
          <w:color w:val="auto"/>
          <w:sz w:val="24"/>
          <w:szCs w:val="24"/>
          <w:highlight w:val="none"/>
          <w:lang w:val="zh-CN"/>
        </w:rPr>
      </w:pPr>
    </w:p>
    <w:p>
      <w:pPr>
        <w:pStyle w:val="6"/>
        <w:pageBreakBefore w:val="0"/>
        <w:kinsoku/>
        <w:wordWrap/>
        <w:overflowPunct/>
        <w:topLinePunct w:val="0"/>
        <w:bidi w:val="0"/>
        <w:spacing w:beforeLines="0" w:line="240" w:lineRule="auto"/>
        <w:rPr>
          <w:rFonts w:hint="eastAsia"/>
          <w:color w:val="auto"/>
          <w:highlight w:val="none"/>
          <w:lang w:val="zh-CN"/>
        </w:rPr>
      </w:pPr>
    </w:p>
    <w:p>
      <w:pPr>
        <w:pStyle w:val="6"/>
        <w:pageBreakBefore w:val="0"/>
        <w:kinsoku/>
        <w:wordWrap/>
        <w:overflowPunct/>
        <w:topLinePunct w:val="0"/>
        <w:bidi w:val="0"/>
        <w:spacing w:beforeLines="0" w:line="240" w:lineRule="auto"/>
        <w:rPr>
          <w:rFonts w:hint="eastAsia"/>
          <w:color w:val="auto"/>
          <w:highlight w:val="none"/>
          <w:lang w:val="zh-CN"/>
        </w:rPr>
      </w:pPr>
    </w:p>
    <w:p>
      <w:pPr>
        <w:pStyle w:val="6"/>
        <w:pageBreakBefore w:val="0"/>
        <w:kinsoku/>
        <w:wordWrap/>
        <w:overflowPunct/>
        <w:topLinePunct w:val="0"/>
        <w:bidi w:val="0"/>
        <w:spacing w:beforeLines="0" w:line="240" w:lineRule="auto"/>
        <w:rPr>
          <w:rFonts w:hint="eastAsia"/>
          <w:color w:val="auto"/>
          <w:highlight w:val="none"/>
          <w:lang w:val="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125"/>
        <w:gridCol w:w="1650"/>
        <w:gridCol w:w="1978"/>
        <w:gridCol w:w="1763"/>
        <w:gridCol w:w="187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line="240" w:lineRule="auto"/>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主管部门及代码</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实施单位</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项目预算</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执行情况</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预算数：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执行数：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完成情况</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广大群众对医保政策的知晓度不断提高、参加居民医保的积极性得到明显增强，</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广泛宣传国家、省、市、区医保政策，群众政策知晓率达90%。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190"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1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vMerge w:val="restart"/>
            <w:tcBorders>
              <w:top w:val="single" w:color="000000" w:sz="4" w:space="0"/>
              <w:left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数量指标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rPr>
              <w:t>参保政策电视广告宣传</w:t>
            </w:r>
            <w:r>
              <w:rPr>
                <w:rFonts w:hint="eastAsia" w:ascii="仿宋_GB2312" w:hAnsi="仿宋_GB2312" w:eastAsia="仿宋_GB2312" w:cs="仿宋_GB2312"/>
                <w:i w:val="0"/>
                <w:color w:val="auto"/>
                <w:sz w:val="24"/>
                <w:szCs w:val="24"/>
                <w:highlight w:val="none"/>
                <w:u w:val="none"/>
                <w:lang w:val="en-US" w:eastAsia="zh-CN"/>
              </w:rPr>
              <w:t>视频</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rPr>
              <w:t>≥</w:t>
            </w:r>
            <w:r>
              <w:rPr>
                <w:rFonts w:hint="eastAsia" w:ascii="仿宋_GB2312" w:hAnsi="仿宋_GB2312" w:eastAsia="仿宋_GB2312" w:cs="仿宋_GB2312"/>
                <w:i w:val="0"/>
                <w:color w:val="auto"/>
                <w:sz w:val="24"/>
                <w:szCs w:val="24"/>
                <w:highlight w:val="none"/>
                <w:u w:val="none"/>
                <w:lang w:val="en-US" w:eastAsia="zh-CN"/>
              </w:rPr>
              <w:t>1条</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650" w:type="dxa"/>
            <w:vMerge w:val="continue"/>
            <w:tcBorders>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发放宣传资料份数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≥4万份</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4万份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质量指标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政策内容宣传覆盖率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时效指标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2021年12月前</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vMerge w:val="restart"/>
            <w:tcBorders>
              <w:top w:val="single" w:color="000000" w:sz="4" w:space="0"/>
              <w:left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成本指标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电视宣传成本控制</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1.2万元</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vMerge w:val="continue"/>
            <w:tcBorders>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宣传资料印制成本控制</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5.8万元</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效益</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社会效益  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群众医保政策知晓率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9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满意</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650" w:type="dxa"/>
            <w:tcBorders>
              <w:top w:val="single" w:color="000000" w:sz="4" w:space="0"/>
              <w:left w:val="single" w:color="000000"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群众满意度</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w:t>
            </w:r>
            <w:r>
              <w:rPr>
                <w:rFonts w:hint="eastAsia" w:ascii="仿宋_GB2312" w:hAnsi="仿宋_GB2312" w:eastAsia="仿宋_GB2312" w:cs="仿宋_GB2312"/>
                <w:i w:val="0"/>
                <w:color w:val="auto"/>
                <w:sz w:val="24"/>
                <w:szCs w:val="24"/>
                <w:highlight w:val="none"/>
                <w:u w:val="none"/>
                <w:lang w:val="en-US" w:eastAsia="zh-CN"/>
              </w:rPr>
              <w:t>8</w:t>
            </w:r>
            <w:r>
              <w:rPr>
                <w:rFonts w:hint="eastAsia" w:ascii="仿宋_GB2312" w:hAnsi="仿宋_GB2312" w:eastAsia="仿宋_GB2312" w:cs="仿宋_GB2312"/>
                <w:i w:val="0"/>
                <w:color w:val="auto"/>
                <w:sz w:val="24"/>
                <w:szCs w:val="24"/>
                <w:highlight w:val="none"/>
                <w:u w:val="none"/>
              </w:rPr>
              <w:t>%</w:t>
            </w:r>
          </w:p>
        </w:tc>
      </w:tr>
      <w:bookmarkEnd w:id="57"/>
      <w:bookmarkEnd w:id="59"/>
    </w:tbl>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bookmarkStart w:id="60" w:name="_Toc15396619"/>
      <w:r>
        <w:rPr>
          <w:rFonts w:hint="eastAsia" w:ascii="仿宋_GB2312" w:hAnsi="宋体" w:eastAsia="仿宋_GB2312" w:cs="宋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4</w:t>
      </w:r>
      <w:r>
        <w:rPr>
          <w:rFonts w:hint="eastAsia" w:ascii="仿宋_GB2312" w:hAnsi="宋体" w:eastAsia="仿宋_GB2312" w:cs="宋体"/>
          <w:b w:val="0"/>
          <w:bCs w:val="0"/>
          <w:color w:val="auto"/>
          <w:kern w:val="0"/>
          <w:sz w:val="32"/>
          <w:szCs w:val="32"/>
          <w:highlight w:val="none"/>
          <w:shd w:val="clear" w:color="auto" w:fill="FFFFFF"/>
          <w:lang w:val="zh-CN"/>
        </w:rPr>
        <w:t>：</w:t>
      </w:r>
    </w:p>
    <w:p>
      <w:pPr>
        <w:pageBreakBefore w:val="0"/>
        <w:kinsoku/>
        <w:wordWrap/>
        <w:overflowPunct/>
        <w:topLinePunct w:val="0"/>
        <w:bidi w:val="0"/>
        <w:spacing w:line="240" w:lineRule="auto"/>
        <w:jc w:val="center"/>
        <w:outlineLvl w:val="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240" w:lineRule="auto"/>
        <w:jc w:val="center"/>
        <w:outlineLvl w:val="0"/>
        <w:rPr>
          <w:rFonts w:hint="eastAsia" w:ascii="仿宋_GB2312" w:hAnsi="仿宋_GB2312" w:eastAsia="仿宋_GB2312" w:cs="仿宋_GB2312"/>
          <w:color w:val="auto"/>
          <w:sz w:val="44"/>
          <w:szCs w:val="44"/>
          <w:highlight w:val="none"/>
        </w:rPr>
      </w:pPr>
    </w:p>
    <w:p>
      <w:pPr>
        <w:pageBreakBefore w:val="0"/>
        <w:kinsoku/>
        <w:wordWrap/>
        <w:overflowPunct/>
        <w:topLinePunct w:val="0"/>
        <w:bidi w:val="0"/>
        <w:spacing w:line="240" w:lineRule="auto"/>
        <w:jc w:val="center"/>
        <w:outlineLvl w:val="0"/>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6"/>
        <w:pageBreakBefore w:val="0"/>
        <w:kinsoku/>
        <w:wordWrap/>
        <w:overflowPunct/>
        <w:topLinePunct w:val="0"/>
        <w:bidi w:val="0"/>
        <w:spacing w:beforeLines="0" w:line="240" w:lineRule="auto"/>
        <w:rPr>
          <w:rFonts w:hint="eastAsia"/>
          <w:color w:val="auto"/>
          <w:highlight w:val="none"/>
          <w:lang w:val="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125"/>
        <w:gridCol w:w="1650"/>
        <w:gridCol w:w="1978"/>
        <w:gridCol w:w="1679"/>
        <w:gridCol w:w="1955"/>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line="240" w:lineRule="auto"/>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主管部门及代码</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实施单位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项目预算</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执行情况</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预算数：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 xml:space="preserve"> 执行数：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财政拨款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其他资金</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完成情况</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金保网网络运行安全、稳定。</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金保网网络运行安全、稳定。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190"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年度绩效指标完成情况</w:t>
            </w:r>
          </w:p>
        </w:tc>
        <w:tc>
          <w:tcPr>
            <w:tcW w:w="11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预期指标值</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数量指标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医保信息传输专线</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一条</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质量指标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金保网网络稳定度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时效指标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2021年12月前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650" w:type="dxa"/>
            <w:tcBorders>
              <w:top w:val="single" w:color="000000" w:sz="4" w:space="0"/>
              <w:left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成本指标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电视宣传成本控制</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7万元</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90" w:type="dxa"/>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效益</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65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社会效益  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医保业务经办高效便捷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网络运行安全、稳定，便于办理医保业务。</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网络运行安全、稳定，便于办理医保业务。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9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auto"/>
                <w:sz w:val="24"/>
                <w:szCs w:val="24"/>
                <w:highlight w:val="none"/>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满意</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度指标</w:t>
            </w:r>
          </w:p>
        </w:tc>
        <w:tc>
          <w:tcPr>
            <w:tcW w:w="1650" w:type="dxa"/>
            <w:tcBorders>
              <w:top w:val="single" w:color="000000" w:sz="4" w:space="0"/>
              <w:left w:val="single" w:color="000000"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指标</w:t>
            </w:r>
          </w:p>
        </w:tc>
        <w:tc>
          <w:tcPr>
            <w:tcW w:w="1978"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网络使用者满意度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w:t>
            </w:r>
            <w:r>
              <w:rPr>
                <w:rFonts w:hint="eastAsia" w:ascii="仿宋_GB2312" w:hAnsi="仿宋_GB2312" w:eastAsia="仿宋_GB2312" w:cs="仿宋_GB2312"/>
                <w:i w:val="0"/>
                <w:color w:val="auto"/>
                <w:sz w:val="24"/>
                <w:szCs w:val="24"/>
                <w:highlight w:val="none"/>
                <w:u w:val="none"/>
                <w:lang w:val="en-US" w:eastAsia="zh-CN"/>
              </w:rPr>
              <w:t>8</w:t>
            </w:r>
            <w:r>
              <w:rPr>
                <w:rFonts w:hint="eastAsia" w:ascii="仿宋_GB2312" w:hAnsi="仿宋_GB2312" w:eastAsia="仿宋_GB2312" w:cs="仿宋_GB2312"/>
                <w:i w:val="0"/>
                <w:color w:val="auto"/>
                <w:sz w:val="24"/>
                <w:szCs w:val="24"/>
                <w:highlight w:val="none"/>
                <w:u w:val="none"/>
              </w:rPr>
              <w:t>%</w:t>
            </w:r>
          </w:p>
        </w:tc>
      </w:tr>
    </w:tbl>
    <w:p>
      <w:pPr>
        <w:keepNext w:val="0"/>
        <w:keepLines w:val="0"/>
        <w:pageBreakBefore w:val="0"/>
        <w:widowControl/>
        <w:kinsoku/>
        <w:wordWrap/>
        <w:overflowPunct/>
        <w:topLinePunct w:val="0"/>
        <w:autoSpaceDE/>
        <w:autoSpaceDN/>
        <w:bidi w:val="0"/>
        <w:adjustRightInd w:val="0"/>
        <w:snapToGrid w:val="0"/>
        <w:spacing w:afterAutospacing="0" w:line="240" w:lineRule="auto"/>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r>
        <w:rPr>
          <w:rFonts w:hint="eastAsia" w:ascii="仿宋_GB2312" w:hAnsi="宋体" w:eastAsia="仿宋_GB2312" w:cs="宋体"/>
          <w:b w:val="0"/>
          <w:bCs w:val="0"/>
          <w:color w:val="auto"/>
          <w:kern w:val="0"/>
          <w:sz w:val="32"/>
          <w:szCs w:val="32"/>
          <w:highlight w:val="none"/>
          <w:shd w:val="clear" w:color="auto" w:fill="FFFFFF"/>
          <w:lang w:val="en-US" w:eastAsia="zh-CN"/>
        </w:rPr>
        <w:t>5</w:t>
      </w:r>
      <w:r>
        <w:rPr>
          <w:rFonts w:hint="eastAsia" w:ascii="仿宋_GB2312" w:hAnsi="宋体" w:eastAsia="仿宋_GB2312" w:cs="宋体"/>
          <w:b w:val="0"/>
          <w:bCs w:val="0"/>
          <w:color w:val="auto"/>
          <w:kern w:val="0"/>
          <w:sz w:val="32"/>
          <w:szCs w:val="32"/>
          <w:highlight w:val="none"/>
          <w:shd w:val="clear" w:color="auto" w:fill="FFFFFF"/>
          <w:lang w:val="zh-CN"/>
        </w:rPr>
        <w:t>：</w:t>
      </w:r>
    </w:p>
    <w:p>
      <w:pPr>
        <w:pageBreakBefore w:val="0"/>
        <w:kinsoku/>
        <w:wordWrap/>
        <w:overflowPunct/>
        <w:topLinePunct w:val="0"/>
        <w:bidi w:val="0"/>
        <w:spacing w:line="240" w:lineRule="auto"/>
        <w:jc w:val="center"/>
        <w:outlineLvl w:val="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240" w:lineRule="auto"/>
        <w:jc w:val="center"/>
        <w:outlineLvl w:val="0"/>
        <w:rPr>
          <w:rFonts w:hint="eastAsia" w:ascii="黑体" w:hAnsi="黑体" w:eastAsia="黑体"/>
          <w:color w:val="auto"/>
          <w:sz w:val="44"/>
          <w:szCs w:val="44"/>
          <w:highlight w:val="none"/>
        </w:rPr>
      </w:pPr>
    </w:p>
    <w:p>
      <w:pPr>
        <w:pStyle w:val="2"/>
        <w:pageBreakBefore w:val="0"/>
        <w:kinsoku/>
        <w:wordWrap/>
        <w:overflowPunct/>
        <w:topLinePunct w:val="0"/>
        <w:bidi w:val="0"/>
        <w:spacing w:line="240" w:lineRule="auto"/>
        <w:rPr>
          <w:rFonts w:hint="eastAsia" w:ascii="黑体" w:hAnsi="黑体" w:eastAsia="黑体"/>
          <w:color w:val="auto"/>
          <w:sz w:val="44"/>
          <w:szCs w:val="44"/>
          <w:highlight w:val="none"/>
        </w:rPr>
      </w:pPr>
    </w:p>
    <w:p>
      <w:pPr>
        <w:pageBreakBefore w:val="0"/>
        <w:kinsoku/>
        <w:wordWrap/>
        <w:overflowPunct/>
        <w:topLinePunct w:val="0"/>
        <w:bidi w:val="0"/>
        <w:spacing w:line="240" w:lineRule="auto"/>
        <w:rPr>
          <w:rFonts w:hint="eastAsia"/>
        </w:rPr>
      </w:pPr>
    </w:p>
    <w:p>
      <w:pPr>
        <w:pageBreakBefore w:val="0"/>
        <w:kinsoku/>
        <w:wordWrap/>
        <w:overflowPunct/>
        <w:topLinePunct w:val="0"/>
        <w:bidi w:val="0"/>
        <w:spacing w:line="240" w:lineRule="auto"/>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rPr>
      </w:pPr>
    </w:p>
    <w:p>
      <w:pPr>
        <w:pageBreakBefore w:val="0"/>
        <w:kinsoku/>
        <w:wordWrap/>
        <w:overflowPunct/>
        <w:topLinePunct w:val="0"/>
        <w:bidi w:val="0"/>
        <w:spacing w:line="240" w:lineRule="auto"/>
        <w:jc w:val="center"/>
        <w:outlineLvl w:val="0"/>
        <w:rPr>
          <w:rFonts w:hint="eastAsia" w:ascii="黑体" w:hAnsi="黑体" w:eastAsia="黑体"/>
          <w:color w:val="auto"/>
          <w:sz w:val="44"/>
          <w:szCs w:val="44"/>
          <w:highlight w:val="none"/>
        </w:rPr>
      </w:pPr>
    </w:p>
    <w:p>
      <w:pPr>
        <w:pageBreakBefore w:val="0"/>
        <w:kinsoku/>
        <w:wordWrap/>
        <w:overflowPunct/>
        <w:topLinePunct w:val="0"/>
        <w:bidi w:val="0"/>
        <w:spacing w:line="240" w:lineRule="auto"/>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p>
    <w:p>
      <w:pPr>
        <w:pStyle w:val="4"/>
        <w:pageBreakBefore w:val="0"/>
        <w:kinsoku/>
        <w:wordWrap/>
        <w:overflowPunct/>
        <w:topLinePunct w:val="0"/>
        <w:bidi w:val="0"/>
        <w:spacing w:before="0" w:after="0" w:line="240" w:lineRule="auto"/>
        <w:rPr>
          <w:rFonts w:hint="eastAsia" w:ascii="仿宋" w:hAnsi="仿宋" w:eastAsia="仿宋"/>
          <w:b w:val="0"/>
          <w:color w:val="auto"/>
          <w:highlight w:val="none"/>
        </w:rPr>
      </w:pPr>
    </w:p>
    <w:p>
      <w:pPr>
        <w:pStyle w:val="4"/>
        <w:pageBreakBefore w:val="0"/>
        <w:kinsoku/>
        <w:wordWrap/>
        <w:overflowPunct/>
        <w:topLinePunct w:val="0"/>
        <w:bidi w:val="0"/>
        <w:spacing w:before="0" w:after="0" w:line="240" w:lineRule="auto"/>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0"/>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1"/>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2"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2"/>
    </w:p>
    <w:p>
      <w:pPr>
        <w:pStyle w:val="4"/>
        <w:pageBreakBefore w:val="0"/>
        <w:kinsoku/>
        <w:wordWrap/>
        <w:overflowPunct/>
        <w:topLinePunct w:val="0"/>
        <w:bidi w:val="0"/>
        <w:spacing w:before="0" w:after="0" w:line="240" w:lineRule="auto"/>
        <w:rPr>
          <w:rFonts w:ascii="仿宋" w:hAnsi="仿宋" w:eastAsia="仿宋"/>
          <w:b w:val="0"/>
          <w:color w:val="auto"/>
          <w:highlight w:val="none"/>
        </w:rPr>
      </w:pPr>
      <w:bookmarkStart w:id="63"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3"/>
    </w:p>
    <w:p>
      <w:pPr>
        <w:pStyle w:val="4"/>
        <w:pageBreakBefore w:val="0"/>
        <w:kinsoku/>
        <w:wordWrap/>
        <w:overflowPunct/>
        <w:topLinePunct w:val="0"/>
        <w:bidi w:val="0"/>
        <w:spacing w:before="0" w:after="0" w:line="240" w:lineRule="auto"/>
        <w:rPr>
          <w:rStyle w:val="26"/>
          <w:rFonts w:ascii="仿宋" w:hAnsi="仿宋" w:eastAsia="仿宋"/>
          <w:b w:val="0"/>
          <w:bCs w:val="0"/>
          <w:color w:val="auto"/>
          <w:highlight w:val="none"/>
        </w:rPr>
      </w:pPr>
      <w:bookmarkStart w:id="64"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4"/>
      <w:bookmarkStart w:id="65" w:name="_Toc15396624"/>
    </w:p>
    <w:p>
      <w:pPr>
        <w:pStyle w:val="4"/>
        <w:pageBreakBefore w:val="0"/>
        <w:kinsoku/>
        <w:wordWrap/>
        <w:overflowPunct/>
        <w:topLinePunct w:val="0"/>
        <w:bidi w:val="0"/>
        <w:spacing w:before="0" w:after="0" w:line="240" w:lineRule="auto"/>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5"/>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6"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6"/>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7"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7"/>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8"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8"/>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69"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9"/>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70"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70"/>
    </w:p>
    <w:p>
      <w:pPr>
        <w:pStyle w:val="4"/>
        <w:pageBreakBefore w:val="0"/>
        <w:kinsoku/>
        <w:wordWrap/>
        <w:overflowPunct/>
        <w:topLinePunct w:val="0"/>
        <w:bidi w:val="0"/>
        <w:spacing w:before="0" w:after="0" w:line="240" w:lineRule="auto"/>
        <w:rPr>
          <w:rFonts w:ascii="仿宋" w:hAnsi="仿宋" w:eastAsia="仿宋"/>
          <w:color w:val="auto"/>
          <w:highlight w:val="none"/>
        </w:rPr>
      </w:pPr>
      <w:bookmarkStart w:id="71"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1"/>
    </w:p>
    <w:p>
      <w:pPr>
        <w:pStyle w:val="4"/>
        <w:pageBreakBefore w:val="0"/>
        <w:kinsoku/>
        <w:wordWrap/>
        <w:overflowPunct/>
        <w:topLinePunct w:val="0"/>
        <w:bidi w:val="0"/>
        <w:spacing w:before="0" w:after="0" w:line="240" w:lineRule="auto"/>
        <w:rPr>
          <w:rStyle w:val="26"/>
          <w:rFonts w:hint="eastAsia" w:ascii="仿宋" w:hAnsi="仿宋" w:eastAsia="仿宋"/>
          <w:b w:val="0"/>
          <w:bCs w:val="0"/>
          <w:color w:val="auto"/>
          <w:highlight w:val="none"/>
        </w:rPr>
      </w:pPr>
      <w:bookmarkStart w:id="72"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72"/>
    </w:p>
    <w:p>
      <w:pPr>
        <w:pageBreakBefore w:val="0"/>
        <w:kinsoku/>
        <w:wordWrap/>
        <w:overflowPunct/>
        <w:topLinePunct w:val="0"/>
        <w:bidi w:val="0"/>
        <w:spacing w:line="240" w:lineRule="auto"/>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C9EC33F"/>
    <w:multiLevelType w:val="singleLevel"/>
    <w:tmpl w:val="DC9EC33F"/>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jlhMGRiZjRjOWRiNGQxNjRlOTM2YTNiMjhm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50431"/>
    <w:rsid w:val="039E2DB0"/>
    <w:rsid w:val="03F259FA"/>
    <w:rsid w:val="048F78FA"/>
    <w:rsid w:val="065C38E4"/>
    <w:rsid w:val="066E0107"/>
    <w:rsid w:val="06BD6252"/>
    <w:rsid w:val="06FA704F"/>
    <w:rsid w:val="07996F6E"/>
    <w:rsid w:val="07B70A9C"/>
    <w:rsid w:val="0A2032A3"/>
    <w:rsid w:val="0A876E4C"/>
    <w:rsid w:val="0EE36616"/>
    <w:rsid w:val="0F2F7A83"/>
    <w:rsid w:val="101860EC"/>
    <w:rsid w:val="10C055FF"/>
    <w:rsid w:val="118107EC"/>
    <w:rsid w:val="12557610"/>
    <w:rsid w:val="13D50BC4"/>
    <w:rsid w:val="143F0797"/>
    <w:rsid w:val="14A141AB"/>
    <w:rsid w:val="15687A58"/>
    <w:rsid w:val="16BB723D"/>
    <w:rsid w:val="16C84A74"/>
    <w:rsid w:val="18DB2984"/>
    <w:rsid w:val="191C3D72"/>
    <w:rsid w:val="19DE3BD4"/>
    <w:rsid w:val="1BC5322D"/>
    <w:rsid w:val="1BE8440E"/>
    <w:rsid w:val="1D155CEE"/>
    <w:rsid w:val="1E0565AE"/>
    <w:rsid w:val="1E9F5666"/>
    <w:rsid w:val="1F7C289F"/>
    <w:rsid w:val="23377C62"/>
    <w:rsid w:val="23860B96"/>
    <w:rsid w:val="23A128D5"/>
    <w:rsid w:val="240371BF"/>
    <w:rsid w:val="248175E8"/>
    <w:rsid w:val="25D56865"/>
    <w:rsid w:val="25F211C5"/>
    <w:rsid w:val="287959E6"/>
    <w:rsid w:val="29FD04D3"/>
    <w:rsid w:val="2C8A61B5"/>
    <w:rsid w:val="2DF04E50"/>
    <w:rsid w:val="319F7F4E"/>
    <w:rsid w:val="31B12460"/>
    <w:rsid w:val="33843679"/>
    <w:rsid w:val="35577297"/>
    <w:rsid w:val="359F7AA1"/>
    <w:rsid w:val="36AA5135"/>
    <w:rsid w:val="370418E2"/>
    <w:rsid w:val="37E16F03"/>
    <w:rsid w:val="3868410D"/>
    <w:rsid w:val="3CBC20D5"/>
    <w:rsid w:val="3CC04CA5"/>
    <w:rsid w:val="3D98207C"/>
    <w:rsid w:val="3E2C2637"/>
    <w:rsid w:val="3E3C1720"/>
    <w:rsid w:val="3E75253C"/>
    <w:rsid w:val="3EF81693"/>
    <w:rsid w:val="43670FED"/>
    <w:rsid w:val="43D21476"/>
    <w:rsid w:val="44E268DA"/>
    <w:rsid w:val="453273D9"/>
    <w:rsid w:val="4A627F82"/>
    <w:rsid w:val="4A7E78C8"/>
    <w:rsid w:val="4A82495E"/>
    <w:rsid w:val="4B4F25DA"/>
    <w:rsid w:val="4BE068DB"/>
    <w:rsid w:val="4D577224"/>
    <w:rsid w:val="4DAF77C9"/>
    <w:rsid w:val="4EAB630A"/>
    <w:rsid w:val="4ECE2238"/>
    <w:rsid w:val="532F31A9"/>
    <w:rsid w:val="549E502A"/>
    <w:rsid w:val="5AE825BC"/>
    <w:rsid w:val="5AF92295"/>
    <w:rsid w:val="5C2D0C63"/>
    <w:rsid w:val="5CD71FC4"/>
    <w:rsid w:val="5EAB603E"/>
    <w:rsid w:val="61151D81"/>
    <w:rsid w:val="62D24A71"/>
    <w:rsid w:val="6543496E"/>
    <w:rsid w:val="662F7293"/>
    <w:rsid w:val="66376316"/>
    <w:rsid w:val="66476618"/>
    <w:rsid w:val="6705172A"/>
    <w:rsid w:val="6822649B"/>
    <w:rsid w:val="6A4E1D0F"/>
    <w:rsid w:val="6C4A05C8"/>
    <w:rsid w:val="6D6D6950"/>
    <w:rsid w:val="6E7E3605"/>
    <w:rsid w:val="6FF5CC65"/>
    <w:rsid w:val="701224E9"/>
    <w:rsid w:val="704240C4"/>
    <w:rsid w:val="71492EDB"/>
    <w:rsid w:val="715C0E4B"/>
    <w:rsid w:val="72734D90"/>
    <w:rsid w:val="730D437D"/>
    <w:rsid w:val="73305B19"/>
    <w:rsid w:val="73AD73D5"/>
    <w:rsid w:val="73B250BD"/>
    <w:rsid w:val="73B6EB34"/>
    <w:rsid w:val="74432E05"/>
    <w:rsid w:val="75183646"/>
    <w:rsid w:val="79E139F7"/>
    <w:rsid w:val="79EC0D68"/>
    <w:rsid w:val="79EE5BA4"/>
    <w:rsid w:val="7A894339"/>
    <w:rsid w:val="7C6144C1"/>
    <w:rsid w:val="7D1D0A0C"/>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收入支出决算总体情况说明图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2020年收入、支出278.73万元</c:v>
                </c:pt>
              </c:strCache>
            </c:strRef>
          </c:tx>
          <c:spPr>
            <a:solidFill>
              <a:schemeClr val="accent1"/>
            </a:solidFill>
            <a:ln>
              <a:noFill/>
            </a:ln>
            <a:effectLst/>
          </c:spPr>
          <c:invertIfNegative val="0"/>
          <c:dPt>
            <c:idx val="1"/>
            <c:invertIfNegative val="0"/>
            <c:bubble3D val="0"/>
            <c:spPr>
              <a:solidFill>
                <a:schemeClr val="accent3"/>
              </a:solidFill>
              <a:ln>
                <a:noFill/>
              </a:ln>
              <a:effectLst/>
            </c:spPr>
          </c:dPt>
          <c:dLbls>
            <c:delete val="1"/>
          </c:dLbls>
          <c:cat>
            <c:strRef>
              <c:f>Sheet1!$A$2:$A$3</c:f>
              <c:strCache>
                <c:ptCount val="2"/>
                <c:pt idx="0">
                  <c:v>2020年</c:v>
                </c:pt>
                <c:pt idx="1">
                  <c:v>2021年</c:v>
                </c:pt>
              </c:strCache>
            </c:strRef>
          </c:cat>
          <c:val>
            <c:numRef>
              <c:f>Sheet1!$B$2:$B$3</c:f>
              <c:numCache>
                <c:formatCode>General</c:formatCode>
                <c:ptCount val="2"/>
                <c:pt idx="0">
                  <c:v>278.73</c:v>
                </c:pt>
              </c:numCache>
            </c:numRef>
          </c:val>
        </c:ser>
        <c:ser>
          <c:idx val="1"/>
          <c:order val="1"/>
          <c:tx>
            <c:strRef>
              <c:f>Sheet1!$C$1</c:f>
              <c:strCache>
                <c:ptCount val="1"/>
                <c:pt idx="0">
                  <c:v>2021年收入、支出274.05万元</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1">
                  <c:v>274.05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2840162"/>
        <c:axId val="962521677"/>
      </c:barChart>
      <c:catAx>
        <c:axId val="4528401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521677"/>
        <c:crosses val="autoZero"/>
        <c:auto val="1"/>
        <c:lblAlgn val="ctr"/>
        <c:lblOffset val="100"/>
        <c:noMultiLvlLbl val="0"/>
      </c:catAx>
      <c:valAx>
        <c:axId val="962521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84016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收入决算情况说明图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2021年一般公共预算财政拨款收入274.05万元，占100%。</c:v>
                </c:pt>
              </c:strCache>
            </c:strRef>
          </c:cat>
          <c:val>
            <c:numRef>
              <c:f>Sheet1!$B$2:$B$5</c:f>
              <c:numCache>
                <c:formatCode>General</c:formatCode>
                <c:ptCount val="4"/>
                <c:pt idx="0">
                  <c:v>274.05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支出决算情况说明图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基本支出226.45万元，占82.63%</c:v>
                </c:pt>
                <c:pt idx="1">
                  <c:v>项目支出47.6万元，占17.37%</c:v>
                </c:pt>
              </c:strCache>
            </c:strRef>
          </c:cat>
          <c:val>
            <c:numRef>
              <c:f>Sheet1!$B$2:$B$3</c:f>
              <c:numCache>
                <c:formatCode>General</c:formatCode>
                <c:ptCount val="2"/>
                <c:pt idx="0">
                  <c:v>226.45</c:v>
                </c:pt>
                <c:pt idx="1">
                  <c:v>47.6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200"/>
              <a:t>财政拨款收入支出决算总体情况说明图</a:t>
            </a:r>
            <a:endParaRPr lang="en-US" altLang="zh-CN"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2020年财政拨款收入、支出278.73万元</c:v>
                </c:pt>
              </c:strCache>
            </c:strRef>
          </c:tx>
          <c:spPr>
            <a:solidFill>
              <a:schemeClr val="accent1"/>
            </a:solidFill>
            <a:ln>
              <a:noFill/>
            </a:ln>
            <a:effectLst/>
          </c:spPr>
          <c:invertIfNegative val="0"/>
          <c:dPt>
            <c:idx val="1"/>
            <c:invertIfNegative val="0"/>
            <c:bubble3D val="0"/>
            <c:spPr>
              <a:solidFill>
                <a:schemeClr val="accent3"/>
              </a:solidFill>
              <a:ln>
                <a:noFill/>
              </a:ln>
              <a:effectLst/>
            </c:spPr>
          </c:dPt>
          <c:dLbls>
            <c:delete val="1"/>
          </c:dLbls>
          <c:cat>
            <c:strRef>
              <c:f>Sheet1!$A$2:$A$3</c:f>
              <c:strCache>
                <c:ptCount val="2"/>
                <c:pt idx="0">
                  <c:v>2020年</c:v>
                </c:pt>
                <c:pt idx="1">
                  <c:v>2021年</c:v>
                </c:pt>
              </c:strCache>
            </c:strRef>
          </c:cat>
          <c:val>
            <c:numRef>
              <c:f>Sheet1!$B$2:$B$3</c:f>
              <c:numCache>
                <c:formatCode>General</c:formatCode>
                <c:ptCount val="2"/>
                <c:pt idx="0">
                  <c:v>278.73</c:v>
                </c:pt>
              </c:numCache>
            </c:numRef>
          </c:val>
        </c:ser>
        <c:ser>
          <c:idx val="1"/>
          <c:order val="1"/>
          <c:tx>
            <c:strRef>
              <c:f>Sheet1!$C$1</c:f>
              <c:strCache>
                <c:ptCount val="1"/>
                <c:pt idx="0">
                  <c:v>2021年财政拨款收入、支出274.05万元</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1">
                  <c:v>274.05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2840162"/>
        <c:axId val="962521677"/>
      </c:barChart>
      <c:catAx>
        <c:axId val="4528401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521677"/>
        <c:crosses val="autoZero"/>
        <c:auto val="1"/>
        <c:lblAlgn val="ctr"/>
        <c:lblOffset val="100"/>
        <c:noMultiLvlLbl val="0"/>
      </c:catAx>
      <c:valAx>
        <c:axId val="962521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84016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050"/>
              <a:t>一般公共预算财政拨款支出决算总体情况说明图</a:t>
            </a:r>
            <a:endParaRPr lang="en-US" altLang="zh-CN"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2020年一般公共预算财政拨款支出278.73万元</c:v>
                </c:pt>
              </c:strCache>
            </c:strRef>
          </c:tx>
          <c:spPr>
            <a:solidFill>
              <a:schemeClr val="accent1"/>
            </a:solidFill>
            <a:ln>
              <a:noFill/>
            </a:ln>
            <a:effectLst/>
          </c:spPr>
          <c:invertIfNegative val="0"/>
          <c:dPt>
            <c:idx val="1"/>
            <c:invertIfNegative val="0"/>
            <c:bubble3D val="0"/>
            <c:spPr>
              <a:solidFill>
                <a:schemeClr val="accent3"/>
              </a:solidFill>
              <a:ln>
                <a:noFill/>
              </a:ln>
              <a:effectLst/>
            </c:spPr>
          </c:dPt>
          <c:dLbls>
            <c:delete val="1"/>
          </c:dLbls>
          <c:cat>
            <c:strRef>
              <c:f>Sheet1!$A$2:$A$3</c:f>
              <c:strCache>
                <c:ptCount val="2"/>
                <c:pt idx="0">
                  <c:v>2020年</c:v>
                </c:pt>
                <c:pt idx="1">
                  <c:v>2021年</c:v>
                </c:pt>
              </c:strCache>
            </c:strRef>
          </c:cat>
          <c:val>
            <c:numRef>
              <c:f>Sheet1!$B$2:$B$3</c:f>
              <c:numCache>
                <c:formatCode>General</c:formatCode>
                <c:ptCount val="2"/>
                <c:pt idx="0">
                  <c:v>278.73</c:v>
                </c:pt>
              </c:numCache>
            </c:numRef>
          </c:val>
        </c:ser>
        <c:ser>
          <c:idx val="1"/>
          <c:order val="1"/>
          <c:tx>
            <c:strRef>
              <c:f>Sheet1!$C$1</c:f>
              <c:strCache>
                <c:ptCount val="1"/>
                <c:pt idx="0">
                  <c:v>2021年一般公共预算财政拨款支出274.05万元，占本年支出合计的100%</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1">
                  <c:v>274.05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52840162"/>
        <c:axId val="962521677"/>
      </c:barChart>
      <c:catAx>
        <c:axId val="4528401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521677"/>
        <c:crosses val="autoZero"/>
        <c:auto val="1"/>
        <c:lblAlgn val="ctr"/>
        <c:lblOffset val="100"/>
        <c:noMultiLvlLbl val="0"/>
      </c:catAx>
      <c:valAx>
        <c:axId val="962521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84016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一般公共预算财政拨款支出决算情况说明图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社会保障和就业（类）支出17.20万元，占6.28%</c:v>
                </c:pt>
                <c:pt idx="1">
                  <c:v>卫生健康支出244.10万元，占89.07%</c:v>
                </c:pt>
                <c:pt idx="2">
                  <c:v>住房保障支出12.74万元，占4.65%</c:v>
                </c:pt>
              </c:strCache>
            </c:strRef>
          </c:cat>
          <c:val>
            <c:numRef>
              <c:f>Sheet1!$B$2:$B$5</c:f>
              <c:numCache>
                <c:formatCode>General</c:formatCode>
                <c:ptCount val="4"/>
                <c:pt idx="0">
                  <c:v>17.2</c:v>
                </c:pt>
                <c:pt idx="1">
                  <c:v>244.1</c:v>
                </c:pt>
                <c:pt idx="2">
                  <c:v>2.74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三公经费财政拨款支出决算具体情况说明图</a:t>
            </a:r>
          </a:p>
        </c:rich>
      </c:tx>
      <c:layout>
        <c:manualLayout>
          <c:xMode val="edge"/>
          <c:yMode val="edge"/>
          <c:x val="0.101932045303132"/>
          <c:y val="0.0613256784968684"/>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2021年“三公”经费财政拨款支出决算中公务接待费支出决算1.08万元，占100%</c:v>
                </c:pt>
              </c:strCache>
            </c:strRef>
          </c:cat>
          <c:val>
            <c:numRef>
              <c:f>Sheet1!$B$2</c:f>
              <c:numCache>
                <c:formatCode>General</c:formatCode>
                <c:ptCount val="1"/>
                <c:pt idx="0">
                  <c:v>1.08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10639</Words>
  <Characters>11346</Characters>
  <Lines>61</Lines>
  <Paragraphs>17</Paragraphs>
  <TotalTime>0</TotalTime>
  <ScaleCrop>false</ScaleCrop>
  <LinksUpToDate>false</LinksUpToDate>
  <CharactersWithSpaces>11389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2022-09-22T02:54:00Z</cp:lastPrinted>
  <dcterms:modified xsi:type="dcterms:W3CDTF">2022-09-28T03:06:28Z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B32CF6ADCAD14855969558D52000DA3F</vt:lpwstr>
  </property>
</Properties>
</file>