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96597"/>
      <w:bookmarkStart w:id="3" w:name="_Toc15377193"/>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6214"/>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7" w:name="_Toc23786"/>
      <w:bookmarkStart w:id="8" w:name="_Toc15306268"/>
      <w:bookmarkStart w:id="9" w:name="_Toc15377194"/>
      <w:bookmarkStart w:id="10" w:name="_Toc15377426"/>
      <w:bookmarkStart w:id="11" w:name="_Toc15378442"/>
      <w:bookmarkStart w:id="12" w:name="_Toc15396598"/>
      <w:bookmarkStart w:id="13" w:name="_Toc15396476"/>
      <w:r>
        <w:rPr>
          <w:rFonts w:hint="eastAsia" w:ascii="方正小标宋简体" w:hAnsi="方正小标宋简体" w:eastAsia="方正小标宋简体" w:cs="方正小标宋简体"/>
          <w:sz w:val="72"/>
          <w:szCs w:val="72"/>
          <w:lang w:eastAsia="zh-CN"/>
        </w:rPr>
        <w:t>广元市朝天区人民法院</w:t>
      </w:r>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4976"/>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0"/>
      </w:pPr>
      <w:r>
        <w:rPr>
          <w:rFonts w:hint="eastAsia"/>
        </w:rPr>
        <w:t>公开时间：</w:t>
      </w:r>
      <w:r>
        <w:t>2022</w:t>
      </w:r>
      <w:r>
        <w:rPr>
          <w:rFonts w:hint="eastAsia"/>
          <w:lang w:eastAsia="zh-CN"/>
        </w:rPr>
        <w:t>年</w:t>
      </w:r>
      <w:r>
        <w:rPr>
          <w:rFonts w:hint="eastAsia"/>
          <w:lang w:val="en-US" w:eastAsia="zh-CN"/>
        </w:rPr>
        <w:t>9</w:t>
      </w:r>
      <w:r>
        <w:rPr>
          <w:rFonts w:hint="eastAsia"/>
        </w:rPr>
        <w:t>月</w:t>
      </w:r>
      <w:r>
        <w:rPr>
          <w:rFonts w:hint="eastAsia"/>
          <w:lang w:val="en-US" w:eastAsia="zh-CN"/>
        </w:rPr>
        <w:t>27</w:t>
      </w:r>
      <w:r>
        <w:rPr>
          <w:rFonts w:hint="eastAsia"/>
        </w:rPr>
        <w:t>日</w:t>
      </w:r>
    </w:p>
    <w:p>
      <w:pPr>
        <w:pStyle w:val="10"/>
        <w:tabs>
          <w:tab w:val="right" w:leader="dot" w:pos="8306"/>
          <w:tab w:val="clear" w:pos="8296"/>
        </w:tabs>
        <w:rPr>
          <w:rFonts w:hint="eastAsia" w:ascii="仿宋_GB2312" w:hAnsi="仿宋_GB2312" w:eastAsia="仿宋_GB2312" w:cs="仿宋_GB2312"/>
          <w:sz w:val="28"/>
          <w:szCs w:val="28"/>
        </w:rPr>
      </w:pPr>
      <w:bookmarkStart w:id="15" w:name="_Toc15396599"/>
      <w:bookmarkStart w:id="16" w:name="_Toc15377196"/>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_Toc7643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xml:space="preserve">第一部分 </w:t>
      </w:r>
      <w:r>
        <w:rPr>
          <w:rFonts w:hint="eastAsia" w:ascii="仿宋_GB2312" w:hAnsi="仿宋_GB2312" w:eastAsia="仿宋_GB2312" w:cs="仿宋_GB2312"/>
          <w:bCs w:val="0"/>
          <w:sz w:val="28"/>
          <w:szCs w:val="28"/>
        </w:rPr>
        <w:t>部门概况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_Toc7643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_Toc16406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一、基</w:t>
      </w:r>
      <w:r>
        <w:rPr>
          <w:rFonts w:hint="eastAsia" w:ascii="仿宋_GB2312" w:hAnsi="仿宋_GB2312" w:eastAsia="仿宋_GB2312" w:cs="仿宋_GB2312"/>
          <w:bCs w:val="0"/>
          <w:sz w:val="28"/>
          <w:szCs w:val="28"/>
        </w:rPr>
        <w:t>本职能及主要工作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_Toc29346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二、机</w:t>
      </w:r>
      <w:r>
        <w:rPr>
          <w:rFonts w:hint="eastAsia" w:ascii="仿宋_GB2312" w:hAnsi="仿宋_GB2312" w:eastAsia="仿宋_GB2312" w:cs="仿宋_GB2312"/>
          <w:bCs w:val="0"/>
          <w:sz w:val="28"/>
          <w:szCs w:val="28"/>
        </w:rPr>
        <w:t>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_Toc29346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_Toc13878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第二部分 2021年度</w:t>
      </w:r>
      <w:r>
        <w:rPr>
          <w:rFonts w:hint="eastAsia" w:ascii="仿宋_GB2312" w:hAnsi="仿宋_GB2312" w:eastAsia="仿宋_GB2312" w:cs="仿宋_GB2312"/>
          <w:bCs/>
          <w:sz w:val="28"/>
          <w:szCs w:val="28"/>
        </w:rPr>
        <w:t>部门决算情况说明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_Toc13878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_Toc9472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 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_Toc9472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_Toc2691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 收入决算情况说明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_Toc12881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 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_Toc12881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_Toc18398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_Toc18398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_Toc13284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_Toc13284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_Toc15082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七、“三公”经费财政拨款支出决算情况说明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_Toc15082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_Toc22293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_Toc22293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_Toc26318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九、 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_Toc26318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_Toc25384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 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_Toc25384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_Toc8948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第三部分 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_Toc8948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_Toc24241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第四部分 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_Toc24241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_Toc11532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_Toc11532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_Toc9337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第五部分 附表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_Toc9337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_Toc8482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一、收</w:t>
      </w:r>
      <w:r>
        <w:rPr>
          <w:rFonts w:hint="eastAsia" w:ascii="仿宋_GB2312" w:hAnsi="仿宋_GB2312" w:eastAsia="仿宋_GB2312" w:cs="仿宋_GB2312"/>
          <w:bCs w:val="0"/>
          <w:sz w:val="28"/>
          <w:szCs w:val="28"/>
        </w:rPr>
        <w:t>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_Toc8482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_Toc8967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二、收</w:t>
      </w:r>
      <w:r>
        <w:rPr>
          <w:rFonts w:hint="eastAsia" w:ascii="仿宋_GB2312" w:hAnsi="仿宋_GB2312" w:eastAsia="仿宋_GB2312" w:cs="仿宋_GB2312"/>
          <w:bCs w:val="0"/>
          <w:sz w:val="28"/>
          <w:szCs w:val="28"/>
        </w:rPr>
        <w:t>入决算表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_Toc8967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_Toc5036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三、</w:t>
      </w:r>
      <w:r>
        <w:rPr>
          <w:rFonts w:hint="eastAsia" w:ascii="仿宋_GB2312" w:hAnsi="仿宋_GB2312" w:eastAsia="仿宋_GB2312" w:cs="仿宋_GB2312"/>
          <w:sz w:val="28"/>
          <w:szCs w:val="28"/>
        </w:rPr>
        <w:t>支</w:t>
      </w:r>
      <w:r>
        <w:rPr>
          <w:rFonts w:hint="eastAsia" w:ascii="仿宋_GB2312" w:hAnsi="仿宋_GB2312" w:eastAsia="仿宋_GB2312" w:cs="仿宋_GB2312"/>
          <w:bCs w:val="0"/>
          <w:sz w:val="28"/>
          <w:szCs w:val="28"/>
        </w:rPr>
        <w:t>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_Toc5036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四、</w:t>
      </w:r>
      <w:r>
        <w:rPr>
          <w:rFonts w:hint="eastAsia" w:ascii="仿宋_GB2312" w:hAnsi="仿宋_GB2312" w:eastAsia="仿宋_GB2312" w:cs="仿宋_GB2312"/>
          <w:sz w:val="28"/>
          <w:szCs w:val="28"/>
        </w:rPr>
        <w:t>财</w:t>
      </w:r>
      <w:r>
        <w:rPr>
          <w:rFonts w:hint="eastAsia" w:ascii="仿宋_GB2312" w:hAnsi="仿宋_GB2312" w:eastAsia="仿宋_GB2312" w:cs="仿宋_GB2312"/>
          <w:bCs w:val="0"/>
          <w:sz w:val="28"/>
          <w:szCs w:val="28"/>
        </w:rPr>
        <w:t>政拨款收入支出决算总表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_Toc1266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_Toc13553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五、</w:t>
      </w:r>
      <w:r>
        <w:rPr>
          <w:rFonts w:hint="eastAsia" w:ascii="仿宋_GB2312" w:hAnsi="仿宋_GB2312" w:eastAsia="仿宋_GB2312" w:cs="仿宋_GB2312"/>
          <w:sz w:val="28"/>
          <w:szCs w:val="28"/>
        </w:rPr>
        <w:t>财</w:t>
      </w:r>
      <w:r>
        <w:rPr>
          <w:rFonts w:hint="eastAsia" w:ascii="仿宋_GB2312" w:hAnsi="仿宋_GB2312" w:eastAsia="仿宋_GB2312" w:cs="仿宋_GB2312"/>
          <w:bCs w:val="0"/>
          <w:sz w:val="28"/>
          <w:szCs w:val="28"/>
        </w:rPr>
        <w:t>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_Toc13553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_Toc28975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六、</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_Toc28975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_Toc4280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七、</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_Toc4280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_Toc19075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八、</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_Toc19075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_Toc21601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九、</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般公共预算财政拨款项目支出决算表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_Toc21601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_Toc20406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_Toc20406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_Toc5848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十一、</w:t>
      </w:r>
      <w:r>
        <w:rPr>
          <w:rFonts w:hint="eastAsia" w:ascii="仿宋_GB2312" w:hAnsi="仿宋_GB2312" w:eastAsia="仿宋_GB2312" w:cs="仿宋_GB2312"/>
          <w:sz w:val="28"/>
          <w:szCs w:val="28"/>
        </w:rPr>
        <w:t>政</w:t>
      </w:r>
      <w:r>
        <w:rPr>
          <w:rFonts w:hint="eastAsia" w:ascii="仿宋_GB2312" w:hAnsi="仿宋_GB2312" w:eastAsia="仿宋_GB2312" w:cs="仿宋_GB2312"/>
          <w:bCs w:val="0"/>
          <w:sz w:val="28"/>
          <w:szCs w:val="28"/>
        </w:rPr>
        <w:t>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_Toc5848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_Toc19011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十二、</w:t>
      </w:r>
      <w:r>
        <w:rPr>
          <w:rFonts w:hint="eastAsia" w:ascii="仿宋_GB2312" w:hAnsi="仿宋_GB2312" w:eastAsia="仿宋_GB2312" w:cs="仿宋_GB2312"/>
          <w:sz w:val="28"/>
          <w:szCs w:val="28"/>
        </w:rPr>
        <w:t>政</w:t>
      </w:r>
      <w:r>
        <w:rPr>
          <w:rFonts w:hint="eastAsia" w:ascii="仿宋_GB2312" w:hAnsi="仿宋_GB2312" w:eastAsia="仿宋_GB2312" w:cs="仿宋_GB2312"/>
          <w:bCs w:val="0"/>
          <w:sz w:val="28"/>
          <w:szCs w:val="28"/>
        </w:rPr>
        <w:t>府性基金预算财政拨款“三公”经费支出决算表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_Toc19011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_Toc14588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十三、</w:t>
      </w:r>
      <w:r>
        <w:rPr>
          <w:rFonts w:hint="eastAsia" w:ascii="仿宋_GB2312" w:hAnsi="仿宋_GB2312" w:eastAsia="仿宋_GB2312" w:cs="仿宋_GB2312"/>
          <w:sz w:val="28"/>
          <w:szCs w:val="28"/>
        </w:rPr>
        <w:t>国</w:t>
      </w:r>
      <w:r>
        <w:rPr>
          <w:rFonts w:hint="eastAsia" w:ascii="仿宋_GB2312" w:hAnsi="仿宋_GB2312" w:eastAsia="仿宋_GB2312" w:cs="仿宋_GB2312"/>
          <w:bCs w:val="0"/>
          <w:sz w:val="28"/>
          <w:szCs w:val="28"/>
        </w:rPr>
        <w:t>有资本经营预算财政拨款收入支出决算表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_Toc14588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_Toc10131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十四、国有资本经营预算财政拨款支出决算表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_Toc10131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r>
        <w:rPr>
          <w:rFonts w:hint="eastAsia" w:ascii="仿宋_GB2312" w:hAnsi="仿宋_GB2312" w:eastAsia="仿宋_GB2312" w:cs="仿宋_GB2312"/>
          <w:sz w:val="28"/>
          <w:szCs w:val="28"/>
        </w:rPr>
        <w:fldChar w:fldCharType="end"/>
      </w:r>
    </w:p>
    <w:p>
      <w:pPr>
        <w:widowControl/>
        <w:spacing w:line="440" w:lineRule="exact"/>
        <w:jc w:val="left"/>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3"/>
        <w:jc w:val="center"/>
        <w:rPr>
          <w:rStyle w:val="18"/>
          <w:rFonts w:ascii="黑体" w:hAnsi="黑体" w:eastAsia="黑体"/>
          <w:b/>
          <w:bCs w:val="0"/>
        </w:rPr>
      </w:pPr>
      <w:bookmarkStart w:id="17" w:name="_Toc7643"/>
      <w:r>
        <w:rPr>
          <w:rFonts w:hint="eastAsia" w:ascii="黑体" w:hAnsi="黑体" w:eastAsia="黑体"/>
          <w:b w:val="0"/>
        </w:rPr>
        <w:t>第一部分</w:t>
      </w:r>
      <w:r>
        <w:rPr>
          <w:rFonts w:ascii="黑体" w:hAnsi="黑体" w:eastAsia="黑体"/>
          <w:b w:val="0"/>
        </w:rPr>
        <w:t xml:space="preserve"> </w:t>
      </w:r>
      <w:r>
        <w:rPr>
          <w:rStyle w:val="18"/>
          <w:rFonts w:hint="eastAsia" w:ascii="黑体" w:hAnsi="黑体" w:eastAsia="黑体"/>
          <w:b w:val="0"/>
          <w:bCs w:val="0"/>
        </w:rPr>
        <w:t>部门概况</w:t>
      </w:r>
      <w:bookmarkEnd w:id="15"/>
      <w:bookmarkEnd w:id="16"/>
      <w:bookmarkEnd w:id="17"/>
    </w:p>
    <w:p>
      <w:pPr>
        <w:widowControl/>
        <w:jc w:val="left"/>
        <w:rPr>
          <w:rFonts w:ascii="黑体" w:eastAsia="黑体"/>
          <w:sz w:val="32"/>
          <w:szCs w:val="32"/>
        </w:rPr>
      </w:pPr>
    </w:p>
    <w:p>
      <w:pPr>
        <w:pStyle w:val="4"/>
        <w:rPr>
          <w:rStyle w:val="19"/>
          <w:rFonts w:ascii="仿宋" w:hAnsi="仿宋" w:eastAsia="仿宋"/>
          <w:b w:val="0"/>
          <w:bCs w:val="0"/>
        </w:rPr>
      </w:pPr>
      <w:bookmarkStart w:id="18" w:name="_Toc15396600"/>
      <w:bookmarkStart w:id="19" w:name="_Toc15377197"/>
      <w:bookmarkStart w:id="20" w:name="_Toc16406"/>
      <w:r>
        <w:rPr>
          <w:rFonts w:hint="eastAsia" w:ascii="黑体" w:hAnsi="黑体" w:eastAsia="黑体"/>
          <w:b w:val="0"/>
        </w:rPr>
        <w:t>一、基</w:t>
      </w:r>
      <w:r>
        <w:rPr>
          <w:rStyle w:val="19"/>
          <w:rFonts w:hint="eastAsia" w:ascii="黑体" w:hAnsi="黑体" w:eastAsia="黑体"/>
          <w:b w:val="0"/>
          <w:bCs w:val="0"/>
        </w:rPr>
        <w:t>本职能及主要工作</w:t>
      </w:r>
      <w:bookmarkEnd w:id="18"/>
      <w:bookmarkEnd w:id="19"/>
      <w:bookmarkEnd w:id="20"/>
    </w:p>
    <w:p>
      <w:pPr>
        <w:pStyle w:val="6"/>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hint="eastAsia" w:ascii="仿宋" w:hAnsi="仿宋" w:eastAsia="仿宋"/>
          <w:bCs/>
          <w:sz w:val="32"/>
          <w:szCs w:val="32"/>
        </w:rPr>
      </w:pPr>
      <w:bookmarkStart w:id="21" w:name="_Toc15378445"/>
      <w:bookmarkStart w:id="22" w:name="_Toc15377198"/>
      <w:r>
        <w:rPr>
          <w:rFonts w:hint="eastAsia" w:ascii="仿宋" w:hAnsi="仿宋" w:eastAsia="仿宋"/>
          <w:bCs/>
          <w:sz w:val="32"/>
          <w:szCs w:val="32"/>
        </w:rPr>
        <w:t>（一）主要职能。</w:t>
      </w:r>
      <w:bookmarkEnd w:id="21"/>
      <w:bookmarkEnd w:id="22"/>
      <w:bookmarkStart w:id="23" w:name="_Toc15377199"/>
      <w:bookmarkStart w:id="24" w:name="_Toc1537844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广元市朝天区人民法院是国家审判机关，依法独立行使审判权，对朝天区人民代表大会及其常委会负责并报告工作，接受区人民代表大会及其常务委员会的法律监督、政协朝天区委员会的民主监督和广元市中级人民法院的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（2）依法审判法律规定由本院管辖和指定管辖的刑事、民事、行政等案件。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（3）受理不服本院生效裁判的各类申诉和再审申请，对其中可能有错误的进行再审；审判市中级法院指定审理和再审的案件。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（4）依法行使司法执行权和司法决定权。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（5）对本院的法官、司法警察和其他工作人员进行教育、管理和培训工作。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（6）对本院的法官、司法警察和其他工作人员实施廉政建设教育和纪检监察工作，报处和查处本院干警违纪案件。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（7）在审判工作中宣传法制、教育公民遵守宪法、法律。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（8）规划、管理本院财务、装备工作。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bCs/>
          <w:sz w:val="32"/>
          <w:szCs w:val="32"/>
        </w:rPr>
      </w:pPr>
      <w:r>
        <w:rPr>
          <w:rFonts w:hint="eastAsia" w:ascii="仿宋_GB2312" w:hAnsi="仿宋_GB2312" w:eastAsia="仿宋_GB2312" w:cs="仿宋_GB2312"/>
          <w:color w:val="000000"/>
          <w:kern w:val="2"/>
          <w:sz w:val="32"/>
          <w:szCs w:val="32"/>
          <w:lang w:val="en-US" w:eastAsia="zh-CN" w:bidi="ar-SA"/>
        </w:rPr>
        <w:t>（9）承办其他应由本院负责的工作。</w:t>
      </w:r>
    </w:p>
    <w:p>
      <w:pPr>
        <w:pStyle w:val="6"/>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（二）2021年重点工作完成情况。</w:t>
      </w:r>
      <w:bookmarkEnd w:id="23"/>
      <w:bookmarkEnd w:id="24"/>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 w:eastAsia="仿宋_GB2312"/>
          <w:sz w:val="32"/>
          <w:szCs w:val="32"/>
        </w:rPr>
      </w:pPr>
      <w:r>
        <w:rPr>
          <w:rFonts w:hint="eastAsia" w:ascii="仿宋_GB2312" w:eastAsia="仿宋_GB2312"/>
          <w:sz w:val="32"/>
          <w:szCs w:val="32"/>
        </w:rPr>
        <w:t>区人民法院全年共</w:t>
      </w:r>
      <w:r>
        <w:rPr>
          <w:rFonts w:hint="eastAsia" w:ascii="仿宋_GB2312" w:hAnsi="仿宋" w:eastAsia="仿宋_GB2312"/>
          <w:sz w:val="32"/>
          <w:szCs w:val="32"/>
        </w:rPr>
        <w:t>受理各类案件2791件 ，审、执结2779 件，服判息诉率、上诉案件改发率等核心指标全市法院第一，</w:t>
      </w:r>
      <w:r>
        <w:rPr>
          <w:rFonts w:hint="eastAsia" w:ascii="仿宋_GB2312" w:eastAsia="仿宋_GB2312"/>
          <w:sz w:val="32"/>
          <w:szCs w:val="32"/>
        </w:rPr>
        <w:t>执行工作单独考核全市法院第一，获全市法院2021年度工作考核一等奖</w:t>
      </w:r>
      <w:r>
        <w:rPr>
          <w:rFonts w:hint="eastAsia" w:ascii="仿宋_GB2312" w:hAnsi="仿宋" w:eastAsia="仿宋_GB2312"/>
          <w:sz w:val="32"/>
          <w:szCs w:val="32"/>
        </w:rPr>
        <w:t>。</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黑体" w:hAnsi="黑体" w:eastAsia="黑体"/>
          <w:color w:val="2F2F2F"/>
          <w:sz w:val="32"/>
          <w:szCs w:val="32"/>
        </w:rPr>
      </w:pPr>
      <w:r>
        <w:rPr>
          <w:rFonts w:hint="eastAsia" w:ascii="黑体" w:hAnsi="黑体" w:eastAsia="黑体"/>
          <w:color w:val="2F2F2F"/>
          <w:sz w:val="32"/>
          <w:szCs w:val="32"/>
        </w:rPr>
        <w:t>坚持党建引领，在加强政治建院上取得新成效</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涵养风清气正新生态。</w:t>
      </w:r>
      <w:r>
        <w:rPr>
          <w:rFonts w:hint="eastAsia" w:ascii="仿宋_GB2312" w:hAnsi="微软雅黑" w:eastAsia="仿宋_GB2312"/>
          <w:sz w:val="32"/>
          <w:szCs w:val="32"/>
        </w:rPr>
        <w:t>毫不动摇坚持党对法院工作的绝对领导，始终把牢正确政治方向，认真贯彻《中国共产党政法工作条例》，坚决执行重大事项请示报告制度,先后向区委及上级法院党组报告重大事项、重要工作12次。全年</w:t>
      </w:r>
      <w:r>
        <w:rPr>
          <w:rFonts w:hint="eastAsia" w:ascii="仿宋_GB2312" w:eastAsia="仿宋_GB2312"/>
          <w:sz w:val="32"/>
          <w:szCs w:val="32"/>
        </w:rPr>
        <w:t>召开意识形态工作研判会议7次，专题研究3次，牢牢把握司法领域意识形态主动权。</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楷体_GB2312" w:eastAsia="仿宋_GB2312" w:cs="楷体_GB2312"/>
          <w:bCs/>
          <w:sz w:val="32"/>
          <w:szCs w:val="32"/>
        </w:rPr>
      </w:pPr>
      <w:r>
        <w:rPr>
          <w:rFonts w:hint="eastAsia" w:ascii="楷体_GB2312" w:hAnsi="楷体" w:eastAsia="楷体_GB2312"/>
          <w:sz w:val="32"/>
          <w:szCs w:val="32"/>
        </w:rPr>
        <w:t>扎实开展党史学习教育。</w:t>
      </w:r>
      <w:r>
        <w:rPr>
          <w:rFonts w:hint="eastAsia" w:ascii="仿宋_GB2312" w:eastAsia="仿宋_GB2312" w:cs="仿宋_GB2312"/>
          <w:spacing w:val="-10"/>
          <w:sz w:val="32"/>
          <w:szCs w:val="32"/>
        </w:rPr>
        <w:t>成立党史学习领导小组，出台《开展党史学习教育的实施方案》等</w:t>
      </w:r>
      <w:r>
        <w:rPr>
          <w:rFonts w:hint="eastAsia" w:ascii="仿宋_GB2312" w:eastAsia="仿宋_GB2312"/>
          <w:sz w:val="32"/>
          <w:szCs w:val="32"/>
        </w:rPr>
        <w:t>6个专项</w:t>
      </w:r>
      <w:r>
        <w:rPr>
          <w:rFonts w:hint="eastAsia" w:ascii="仿宋_GB2312" w:hAnsi="Calibri" w:eastAsia="仿宋_GB2312"/>
          <w:sz w:val="32"/>
          <w:szCs w:val="32"/>
        </w:rPr>
        <w:t>方案，</w:t>
      </w:r>
      <w:r>
        <w:rPr>
          <w:rFonts w:hint="eastAsia" w:ascii="仿宋_GB2312" w:eastAsia="仿宋_GB2312"/>
          <w:sz w:val="32"/>
          <w:szCs w:val="32"/>
        </w:rPr>
        <w:t>组织</w:t>
      </w:r>
      <w:r>
        <w:rPr>
          <w:rFonts w:hint="eastAsia" w:ascii="仿宋_GB2312" w:hAnsi="楷体_GB2312" w:eastAsia="仿宋_GB2312" w:cs="楷体_GB2312"/>
          <w:bCs/>
          <w:sz w:val="32"/>
          <w:szCs w:val="32"/>
        </w:rPr>
        <w:t>全体干警夜学8次、支部学习23次，开展专题研讨4次，听专题党课8次，购买相关书籍200余册供干警随身学，在本院内网和微信公众号开设“党史学习”专题栏目，转发党史知识100余条,支部参观红色教育基地3次，撰写心得体会260余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 w:eastAsia="仿宋_GB2312"/>
          <w:sz w:val="32"/>
          <w:szCs w:val="32"/>
        </w:rPr>
      </w:pPr>
      <w:r>
        <w:rPr>
          <w:rFonts w:hint="eastAsia" w:ascii="楷体_GB2312" w:hAnsi="楷体" w:eastAsia="楷体_GB2312"/>
          <w:sz w:val="32"/>
          <w:szCs w:val="32"/>
        </w:rPr>
        <w:t>着力加强基层党的建设。</w:t>
      </w:r>
      <w:r>
        <w:rPr>
          <w:rFonts w:hint="eastAsia" w:ascii="仿宋_GB2312" w:hAnsi="仿宋" w:eastAsia="仿宋_GB2312"/>
          <w:sz w:val="32"/>
          <w:szCs w:val="32"/>
        </w:rPr>
        <w:t>制定《党支部标准化建设实施方案》，在人民法庭设立党小组，设置党员活动室。定期召开党员大会、支部委员会，党组成员为全体党员讲党课8次，各支部书记讲党课4次，开展特定教育活动专题民主生活会3次。先后组织全体党员开展了党史教育知识竞赛、学“七一”讲话畅谈心得体会、学英模事迹等主题党日活动。</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480"/>
        <w:textAlignment w:val="auto"/>
        <w:rPr>
          <w:rFonts w:ascii="黑体" w:hAnsi="黑体" w:eastAsia="黑体"/>
          <w:color w:val="2F2F2F"/>
          <w:sz w:val="32"/>
          <w:szCs w:val="32"/>
        </w:rPr>
      </w:pPr>
      <w:r>
        <w:rPr>
          <w:rFonts w:hint="eastAsia" w:ascii="黑体" w:hAnsi="黑体" w:eastAsia="黑体"/>
          <w:color w:val="2F2F2F"/>
          <w:sz w:val="32"/>
          <w:szCs w:val="32"/>
        </w:rPr>
        <w:t>坚持创新引领，在保障社会稳定上取得新成效</w:t>
      </w:r>
    </w:p>
    <w:p>
      <w:pPr>
        <w:keepNext w:val="0"/>
        <w:keepLines w:val="0"/>
        <w:pageBreakBefore w:val="0"/>
        <w:widowControl w:val="0"/>
        <w:kinsoku/>
        <w:wordWrap/>
        <w:overflowPunct/>
        <w:topLinePunct w:val="0"/>
        <w:autoSpaceDE/>
        <w:autoSpaceDN/>
        <w:bidi w:val="0"/>
        <w:spacing w:line="576" w:lineRule="exact"/>
        <w:ind w:firstLine="480" w:firstLineChars="150"/>
        <w:textAlignment w:val="auto"/>
        <w:rPr>
          <w:rFonts w:ascii="仿宋_GB2312" w:eastAsia="仿宋_GB2312" w:cs="仿宋"/>
          <w:kern w:val="0"/>
          <w:sz w:val="32"/>
          <w:szCs w:val="32"/>
        </w:rPr>
      </w:pPr>
      <w:r>
        <w:rPr>
          <w:rFonts w:hint="eastAsia" w:ascii="楷体_GB2312" w:hAnsi="楷体" w:eastAsia="楷体_GB2312"/>
          <w:sz w:val="32"/>
          <w:szCs w:val="32"/>
        </w:rPr>
        <w:t>依法严惩各类犯罪，助推更高水平平安朝天建设。</w:t>
      </w:r>
      <w:r>
        <w:rPr>
          <w:rFonts w:hint="eastAsia" w:ascii="仿宋_GB2312" w:eastAsia="仿宋_GB2312"/>
          <w:sz w:val="32"/>
          <w:szCs w:val="32"/>
        </w:rPr>
        <w:t>受理刑事案件76件，审结74件，判处被告人刑罚133人，其中</w:t>
      </w:r>
      <w:r>
        <w:rPr>
          <w:rStyle w:val="32"/>
          <w:rFonts w:hint="eastAsia" w:ascii="仿宋_GB2312" w:hAnsi="宋体" w:eastAsia="仿宋_GB2312"/>
          <w:sz w:val="32"/>
          <w:szCs w:val="32"/>
        </w:rPr>
        <w:t>五年以上有期徒刑</w:t>
      </w:r>
      <w:r>
        <w:rPr>
          <w:rStyle w:val="32"/>
          <w:rFonts w:hint="eastAsia" w:ascii="仿宋_GB2312" w:eastAsia="仿宋_GB2312"/>
          <w:sz w:val="32"/>
          <w:szCs w:val="32"/>
        </w:rPr>
        <w:t>15</w:t>
      </w:r>
      <w:r>
        <w:rPr>
          <w:rStyle w:val="32"/>
          <w:rFonts w:hint="eastAsia" w:ascii="仿宋_GB2312" w:hAnsi="宋体" w:eastAsia="仿宋_GB2312"/>
          <w:sz w:val="32"/>
          <w:szCs w:val="32"/>
        </w:rPr>
        <w:t>人</w:t>
      </w:r>
      <w:r>
        <w:rPr>
          <w:rStyle w:val="32"/>
          <w:rFonts w:hint="eastAsia" w:ascii="仿宋_GB2312" w:eastAsia="仿宋_GB2312"/>
          <w:sz w:val="32"/>
          <w:szCs w:val="32"/>
        </w:rPr>
        <w:t>。</w:t>
      </w:r>
      <w:r>
        <w:rPr>
          <w:rStyle w:val="32"/>
          <w:rFonts w:hint="eastAsia" w:ascii="仿宋_GB2312" w:hAnsi="楷体" w:eastAsia="仿宋_GB2312"/>
          <w:sz w:val="32"/>
          <w:szCs w:val="32"/>
        </w:rPr>
        <w:t>严惩</w:t>
      </w:r>
      <w:r>
        <w:rPr>
          <w:rStyle w:val="32"/>
          <w:rFonts w:hint="eastAsia" w:ascii="仿宋_GB2312" w:eastAsia="仿宋_GB2312"/>
          <w:sz w:val="32"/>
          <w:szCs w:val="32"/>
        </w:rPr>
        <w:t>故意伤害、强奸、盗窃、诈骗等危害人民群众生命财产安全犯罪，审结此类案件22件；</w:t>
      </w:r>
      <w:r>
        <w:rPr>
          <w:rFonts w:hint="eastAsia" w:ascii="仿宋_GB2312" w:hAnsi="楷体" w:eastAsia="仿宋_GB2312"/>
          <w:sz w:val="32"/>
          <w:szCs w:val="32"/>
        </w:rPr>
        <w:t>严厉</w:t>
      </w:r>
      <w:r>
        <w:rPr>
          <w:rFonts w:hint="eastAsia" w:ascii="仿宋_GB2312" w:hAnsi="楷体" w:eastAsia="仿宋_GB2312" w:cs="楷体"/>
          <w:kern w:val="0"/>
          <w:sz w:val="32"/>
          <w:szCs w:val="32"/>
        </w:rPr>
        <w:t>打击</w:t>
      </w:r>
      <w:r>
        <w:rPr>
          <w:rFonts w:hint="eastAsia" w:ascii="仿宋_GB2312" w:hAnsi="微软雅黑" w:eastAsia="仿宋_GB2312"/>
          <w:sz w:val="32"/>
          <w:szCs w:val="32"/>
        </w:rPr>
        <w:t>郑某、邓某、陈某某等人</w:t>
      </w:r>
      <w:r>
        <w:rPr>
          <w:rFonts w:hint="eastAsia" w:ascii="仿宋_GB2312" w:hAnsi="黑体" w:eastAsia="仿宋_GB2312" w:cs="Helvetica"/>
          <w:sz w:val="32"/>
          <w:szCs w:val="32"/>
        </w:rPr>
        <w:t>电信网络诈骗案件6件，判处被告人38人，在依法判处被告人刑罚的同时，判令其</w:t>
      </w:r>
      <w:r>
        <w:rPr>
          <w:rFonts w:hint="eastAsia" w:ascii="仿宋_GB2312" w:eastAsia="仿宋_GB2312" w:cs="楷体" w:hAnsiTheme="majorEastAsia"/>
          <w:kern w:val="0"/>
          <w:sz w:val="32"/>
          <w:szCs w:val="32"/>
        </w:rPr>
        <w:t>追赃退赔；</w:t>
      </w:r>
      <w:r>
        <w:rPr>
          <w:rFonts w:hint="eastAsia" w:ascii="仿宋_GB2312" w:hAnsi="黑体" w:eastAsia="仿宋_GB2312"/>
          <w:sz w:val="32"/>
          <w:szCs w:val="32"/>
        </w:rPr>
        <w:t>保持反腐败高压态势，判处广元市水务局职工邢某某等职务犯罪案件4件4人，提请区反腐败领导小组召开案件会商联席会议3次；重拳</w:t>
      </w:r>
      <w:r>
        <w:rPr>
          <w:rFonts w:hint="eastAsia" w:ascii="仿宋_GB2312" w:hAnsi="Arial" w:eastAsia="仿宋_GB2312" w:cs="Arial"/>
          <w:kern w:val="0"/>
          <w:sz w:val="32"/>
          <w:szCs w:val="32"/>
        </w:rPr>
        <w:t>打击毒品犯罪，审结毒品案件6件，判处被告人10人，重刑率达90%</w:t>
      </w:r>
      <w:r>
        <w:rPr>
          <w:rFonts w:hint="eastAsia" w:ascii="仿宋_GB2312" w:hAnsi="楷体" w:eastAsia="仿宋_GB2312" w:cs="Arial"/>
          <w:bCs/>
          <w:kern w:val="0"/>
          <w:sz w:val="32"/>
          <w:szCs w:val="32"/>
        </w:rPr>
        <w:t>；</w:t>
      </w:r>
      <w:r>
        <w:rPr>
          <w:rStyle w:val="32"/>
          <w:rFonts w:hint="eastAsia" w:ascii="仿宋_GB2312" w:eastAsia="仿宋_GB2312"/>
          <w:sz w:val="32"/>
          <w:szCs w:val="32"/>
        </w:rPr>
        <w:t>依法审结危险驾驶、交通肇事、涉枪涉爆等危害公共安全犯罪28件；审结朱某某寻衅滋事、何某开设赌场等扰乱公共秩序罪4件，维护社会管理秩序。</w:t>
      </w:r>
      <w:r>
        <w:rPr>
          <w:rFonts w:hint="eastAsia" w:ascii="仿宋_GB2312" w:eastAsia="仿宋_GB2312" w:cs="仿宋"/>
          <w:kern w:val="0"/>
          <w:sz w:val="32"/>
          <w:szCs w:val="32"/>
        </w:rPr>
        <w:t>强化刑事涉财产执行，执结罚金、追缴违法所得、责令退赔85件，执行到位金额1563.27万元，及时退赔被害人。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 w:eastAsia="仿宋_GB2312"/>
          <w:sz w:val="32"/>
          <w:szCs w:val="32"/>
        </w:rPr>
      </w:pPr>
      <w:r>
        <w:rPr>
          <w:rFonts w:hint="eastAsia" w:ascii="楷体_GB2312" w:hAnsi="楷体" w:eastAsia="楷体_GB2312" w:cs="Arial"/>
          <w:bCs/>
          <w:kern w:val="0"/>
          <w:sz w:val="32"/>
          <w:szCs w:val="32"/>
        </w:rPr>
        <w:t>稳妥化解民事纠纷，助推更高水平和谐朝天建设。</w:t>
      </w:r>
      <w:r>
        <w:rPr>
          <w:rFonts w:hint="eastAsia" w:ascii="仿宋_GB2312" w:hAnsi="仿宋" w:eastAsia="仿宋_GB2312"/>
          <w:sz w:val="32"/>
          <w:szCs w:val="32"/>
        </w:rPr>
        <w:t>受理民商事案件1251件，审结1241 件。坚持民生优先，依法妥善审结劳动争议、医疗纠纷、住房消费等与民生关系密切的案件，共审结此类案件321 件，会同区信访局、朝天镇等部门成功化解了</w:t>
      </w:r>
      <w:r>
        <w:rPr>
          <w:rFonts w:hint="eastAsia" w:ascii="仿宋_GB2312" w:eastAsia="仿宋_GB2312"/>
          <w:sz w:val="32"/>
          <w:szCs w:val="32"/>
        </w:rPr>
        <w:t>张某某等人诉人民医院医疗损害责任纠纷；开展根治“欠薪”行动，大力</w:t>
      </w:r>
      <w:r>
        <w:rPr>
          <w:rFonts w:hint="eastAsia" w:ascii="仿宋_GB2312" w:hAnsi="仿宋" w:eastAsia="仿宋_GB2312"/>
          <w:sz w:val="32"/>
          <w:szCs w:val="32"/>
        </w:rPr>
        <w:t>加强涉“三农”案件审判，审结拖欠农民工工资等案件261 件，兑现农民工工资847万元；弘扬诚信价值观，依法审理民间借贷、建设施工合同、物业服务合同等纠纷263 件；始终坚持生命至上，审结机动车道路交通事故、生命权、健康权、身体权等人身损害赔偿案案件74 件。与市中院联动，妥善化解了</w:t>
      </w:r>
      <w:r>
        <w:rPr>
          <w:rFonts w:hint="eastAsia" w:ascii="仿宋_GB2312" w:eastAsia="仿宋_GB2312"/>
          <w:sz w:val="32"/>
          <w:szCs w:val="32"/>
        </w:rPr>
        <w:t>雷某某与谢某某、毛某某、秦川驾校</w:t>
      </w:r>
      <w:r>
        <w:rPr>
          <w:rFonts w:hint="eastAsia" w:ascii="仿宋_GB2312" w:hAnsi="仿宋" w:eastAsia="仿宋_GB2312"/>
          <w:color w:val="000000" w:themeColor="text1"/>
          <w:sz w:val="32"/>
          <w:szCs w:val="32"/>
        </w:rPr>
        <w:t>等多被告的连环交通事故责任纠纷；坚持稳字当头，有效化解了</w:t>
      </w:r>
      <w:r>
        <w:rPr>
          <w:rFonts w:hint="eastAsia" w:ascii="仿宋_GB2312" w:eastAsia="仿宋_GB2312"/>
          <w:sz w:val="32"/>
          <w:szCs w:val="32"/>
        </w:rPr>
        <w:t>四川凌鼎建设有限公司诉广元望云旅游发展有限公司曾家山滑雪场度假小镇建设施工合同纠纷等影响曾家山旅游开发案件</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楷体" w:eastAsia="仿宋_GB2312" w:cs="Arial"/>
          <w:bCs/>
          <w:kern w:val="0"/>
          <w:sz w:val="32"/>
          <w:szCs w:val="32"/>
        </w:rPr>
      </w:pPr>
      <w:r>
        <w:rPr>
          <w:rFonts w:hint="eastAsia" w:ascii="楷体_GB2312" w:hAnsi="楷体" w:eastAsia="楷体_GB2312"/>
          <w:sz w:val="32"/>
          <w:szCs w:val="32"/>
        </w:rPr>
        <w:t>妥善化解行政争议，助推更高水平法治朝天建设。</w:t>
      </w:r>
      <w:r>
        <w:rPr>
          <w:rFonts w:hint="eastAsia" w:ascii="仿宋_GB2312" w:hAnsi="仿宋" w:eastAsia="仿宋_GB2312"/>
          <w:sz w:val="32"/>
          <w:szCs w:val="32"/>
        </w:rPr>
        <w:t>受理行政诉讼案件10 件，审结10 件。与区拆迁办、朝天镇等部门联动，化解了</w:t>
      </w:r>
      <w:r>
        <w:rPr>
          <w:rFonts w:hint="eastAsia" w:ascii="仿宋_GB2312" w:eastAsia="仿宋_GB2312" w:cs="仿宋_GB2312"/>
          <w:sz w:val="32"/>
          <w:szCs w:val="32"/>
        </w:rPr>
        <w:t>四川某建筑工程有限公司</w:t>
      </w:r>
      <w:r>
        <w:rPr>
          <w:rFonts w:hint="eastAsia" w:ascii="仿宋_GB2312" w:hAnsi="仿宋" w:eastAsia="仿宋_GB2312"/>
          <w:sz w:val="32"/>
          <w:szCs w:val="32"/>
        </w:rPr>
        <w:t>诉</w:t>
      </w:r>
      <w:r>
        <w:rPr>
          <w:rFonts w:hint="eastAsia" w:ascii="仿宋_GB2312" w:hAnsi="仿宋" w:eastAsia="仿宋_GB2312" w:cs="Dotum"/>
          <w:sz w:val="32"/>
          <w:szCs w:val="32"/>
        </w:rPr>
        <w:t>区土地房屋征收拆迁事务中心、朝天镇人民政府土地征收补偿纠纷。</w:t>
      </w:r>
      <w:r>
        <w:rPr>
          <w:rFonts w:hint="eastAsia" w:ascii="仿宋_GB2312" w:hAnsi="仿宋" w:eastAsia="仿宋_GB2312"/>
          <w:sz w:val="32"/>
          <w:szCs w:val="32"/>
        </w:rPr>
        <w:t>加大对行政机关行政行为合法性的审查，保障行政相对方的合法权益，监督支持行政机关依法行政，向行政机关发出司法建议2 份。行政机关负责人出庭应诉率达100%。积极参与行业治理，向建设主管部门发出查处违法分包司法建议书2份。</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黑体" w:hAnsi="黑体" w:eastAsia="黑体" w:cs="Arial"/>
          <w:bCs/>
          <w:kern w:val="0"/>
          <w:sz w:val="32"/>
          <w:szCs w:val="32"/>
        </w:rPr>
      </w:pPr>
      <w:r>
        <w:rPr>
          <w:rFonts w:hint="eastAsia" w:ascii="黑体" w:hAnsi="黑体" w:eastAsia="黑体" w:cs="Arial"/>
          <w:bCs/>
          <w:kern w:val="0"/>
          <w:sz w:val="32"/>
          <w:szCs w:val="32"/>
        </w:rPr>
        <w:t>坚持司法引领，在服务发展大局上取得新成效</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法治化营商环境更加优化。</w:t>
      </w:r>
      <w:r>
        <w:rPr>
          <w:rFonts w:hint="eastAsia" w:ascii="仿宋_GB2312" w:eastAsia="仿宋_GB2312"/>
          <w:sz w:val="32"/>
          <w:szCs w:val="32"/>
        </w:rPr>
        <w:t>切实做好“六稳”工作，全面落实“六保”任务，</w:t>
      </w:r>
      <w:r>
        <w:rPr>
          <w:rFonts w:hint="eastAsia" w:ascii="仿宋_GB2312" w:hAnsi="仿宋" w:eastAsia="仿宋_GB2312" w:cs="仿宋"/>
          <w:sz w:val="32"/>
          <w:szCs w:val="32"/>
        </w:rPr>
        <w:t>加大对涉企民商事案件的调解力度，妥善化解了八庙沟水电站与天津某公司买卖合同纠纷案，对广元某食品有限公司等暂无力履行能力的企业采取“放水养鱼”和解方式，帮助企业渡过财务危机。</w:t>
      </w:r>
      <w:r>
        <w:rPr>
          <w:rFonts w:hint="eastAsia" w:ascii="仿宋_GB2312" w:eastAsia="仿宋_GB2312"/>
          <w:sz w:val="32"/>
          <w:szCs w:val="32"/>
        </w:rPr>
        <w:t>设立“涉企绿色通道”，依法为涉诉民营企业减、缓、免诉讼费8.8万元。持续开展“法官企业1+1司法服务面对面”活动，走访企业15家，解决企业司法需求13个，开展民营企业法律服务专题讲座5次。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重大风险防控更加有力。</w:t>
      </w:r>
      <w:r>
        <w:rPr>
          <w:rFonts w:hint="eastAsia" w:ascii="仿宋_GB2312" w:hAnsi="楷体" w:eastAsia="仿宋_GB2312"/>
          <w:sz w:val="32"/>
          <w:szCs w:val="32"/>
        </w:rPr>
        <w:t>常态化开展疫情防控，妥善审理涉疫各类案件，依法对境外撤侨过程中犯敲诈勒索罪的</w:t>
      </w:r>
      <w:r>
        <w:rPr>
          <w:rFonts w:hint="eastAsia" w:ascii="仿宋_GB2312" w:eastAsia="仿宋_GB2312"/>
          <w:sz w:val="32"/>
          <w:szCs w:val="32"/>
        </w:rPr>
        <w:t>苏某判处有期徒刑三年。加强金融审判工作，常态化开展涉金融案件专项执行活动，审结涉金融案件317件，涉诉标的1.75 亿元，执结409件，执行到位标的1.96亿元，化解了苍溪农商行与广元某农资有限公司借款合同系列案件。针对放款乱象，向某银行朝天支行发出《加强贷款风险评估预测体系建设》的司法建议。加大对污染环境和破坏环境资源行为的惩处力度，积极护航森林防火和“长江十年禁渔联合行动”，先后在大滩、中子、朝天巡回审理赵某某犯以危险方法危害公共安全、黄某某危害珍贵、濒危野生动物、李某某非法捕捞水产品等案件4件6人，创新裁判方式和执行方式，实行替代性修复、恢复性司法，警示教育极好。</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助推乡村振兴更加多元。</w:t>
      </w:r>
      <w:r>
        <w:rPr>
          <w:rFonts w:hint="eastAsia" w:ascii="仿宋_GB2312" w:hAnsi="楷体" w:eastAsia="仿宋_GB2312"/>
          <w:sz w:val="32"/>
          <w:szCs w:val="32"/>
        </w:rPr>
        <w:t>分片</w:t>
      </w:r>
      <w:r>
        <w:rPr>
          <w:rFonts w:hint="eastAsia" w:ascii="仿宋_GB2312" w:eastAsia="仿宋_GB2312"/>
          <w:sz w:val="32"/>
          <w:szCs w:val="32"/>
        </w:rPr>
        <w:t>设立“乡村振兴司法服务站”，高效化解涉农村土地流转纠纷；大力服务产业园区建设，妥善处理涉产业园区建设矛盾纠纷；依托曾家旅游巡回法庭，</w:t>
      </w:r>
      <w:r>
        <w:rPr>
          <w:rFonts w:hint="eastAsia" w:ascii="仿宋_GB2312" w:hAnsi="楷体" w:eastAsia="仿宋_GB2312"/>
          <w:sz w:val="32"/>
          <w:szCs w:val="32"/>
        </w:rPr>
        <w:t>主动探索创新“五快”、“三当庭”旅游案件审理模式</w:t>
      </w:r>
      <w:r>
        <w:rPr>
          <w:rFonts w:hint="eastAsia" w:ascii="仿宋_GB2312" w:eastAsia="仿宋_GB2312"/>
          <w:sz w:val="32"/>
          <w:szCs w:val="32"/>
        </w:rPr>
        <w:t>，审结涉旅游纠纷案件23件。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基层社会治理更加高效。</w:t>
      </w:r>
      <w:r>
        <w:rPr>
          <w:rFonts w:hint="eastAsia" w:ascii="仿宋_GB2312" w:hAnsi="微软雅黑" w:eastAsia="仿宋_GB2312"/>
          <w:sz w:val="32"/>
          <w:szCs w:val="32"/>
        </w:rPr>
        <w:t>发挥诉前调解委员会、人民调解员、特邀调解员等多元力量优势，化解纠纷234件；继续发挥 “老妈妈劝和队”等社会力量，化解婚姻家庭纠纷247件，调解和好离婚纠纷87件；制定《</w:t>
      </w:r>
      <w:r>
        <w:rPr>
          <w:rFonts w:hint="eastAsia" w:ascii="仿宋_GB2312" w:hAnsi="仿宋_GB2312" w:eastAsia="仿宋_GB2312" w:cs="仿宋_GB2312"/>
          <w:sz w:val="32"/>
          <w:szCs w:val="32"/>
          <w:lang w:val="zh-TW" w:eastAsia="zh-TW"/>
        </w:rPr>
        <w:t>关于开展巡回审判活动的实施意见</w:t>
      </w:r>
      <w:r>
        <w:rPr>
          <w:rFonts w:hint="eastAsia" w:ascii="仿宋_GB2312" w:hAnsi="微软雅黑" w:eastAsia="仿宋_GB2312"/>
          <w:sz w:val="32"/>
          <w:szCs w:val="32"/>
        </w:rPr>
        <w:t>》，巡回审理各类案件136件；注重诉源治理，</w:t>
      </w:r>
      <w:r>
        <w:rPr>
          <w:rFonts w:hint="eastAsia" w:ascii="仿宋_GB2312" w:eastAsia="仿宋_GB2312"/>
          <w:sz w:val="32"/>
          <w:szCs w:val="32"/>
        </w:rPr>
        <w:t>传承新时代“枫桥经验”，加强三大调解组织协调联动，诉外化解追索劳动报酬、相邻权、医患纠纷等213件。</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黑体" w:hAnsi="黑体" w:eastAsia="黑体"/>
          <w:color w:val="2F2F2F"/>
          <w:sz w:val="32"/>
          <w:szCs w:val="32"/>
        </w:rPr>
      </w:pPr>
      <w:r>
        <w:rPr>
          <w:rFonts w:hint="eastAsia" w:ascii="黑体" w:hAnsi="黑体" w:eastAsia="黑体"/>
          <w:color w:val="2F2F2F"/>
          <w:sz w:val="32"/>
          <w:szCs w:val="32"/>
        </w:rPr>
        <w:t>坚持服务引领，在践行司法为民上取得新成效</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eastAsia="仿宋_GB2312"/>
          <w:b/>
          <w:sz w:val="32"/>
          <w:szCs w:val="32"/>
        </w:rPr>
      </w:pPr>
      <w:r>
        <w:rPr>
          <w:rFonts w:hint="eastAsia" w:ascii="楷体_GB2312" w:hAnsi="楷体" w:eastAsia="楷体_GB2312"/>
          <w:color w:val="2F2F2F"/>
          <w:sz w:val="32"/>
          <w:szCs w:val="32"/>
        </w:rPr>
        <w:t>强化权益实现，切实维护胜诉当事人合法权益。</w:t>
      </w:r>
      <w:r>
        <w:rPr>
          <w:rFonts w:hint="eastAsia" w:ascii="仿宋_GB2312" w:eastAsia="仿宋_GB2312"/>
          <w:sz w:val="32"/>
          <w:szCs w:val="32"/>
        </w:rPr>
        <w:t>受理执行案件1187件，结案1180件，执行到位金额2.62亿元。召开15个成员单位“切实解决执行难”工作联席会、“优化营商环境 护航民营企业”专项执行活动联席会，联合公安机关查找下落不明被执行人53人；</w:t>
      </w:r>
      <w:r>
        <w:rPr>
          <w:rFonts w:hint="eastAsia" w:ascii="仿宋_GB2312" w:eastAsia="仿宋_GB2312"/>
          <w:kern w:val="0"/>
          <w:sz w:val="32"/>
          <w:szCs w:val="32"/>
        </w:rPr>
        <w:t>加大对被执行人银行存款、车辆、房地产等财产查控和失信惩戒力度；推进失信被执行人名单制度常态化，</w:t>
      </w:r>
      <w:r>
        <w:rPr>
          <w:rFonts w:hint="eastAsia" w:ascii="仿宋_GB2312" w:eastAsia="仿宋_GB2312" w:cs="仿宋"/>
          <w:kern w:val="0"/>
          <w:sz w:val="32"/>
          <w:szCs w:val="32"/>
        </w:rPr>
        <w:t>纳入失信被执行人名单库374人次，限制高消费493人次；加大拒执打击力度，公开曝光失信被执行人163人次，司法拘留27人，罚款5人，判处刑罚1人；</w:t>
      </w:r>
      <w:r>
        <w:rPr>
          <w:rFonts w:hint="eastAsia" w:ascii="仿宋_GB2312" w:eastAsia="仿宋_GB2312"/>
          <w:sz w:val="32"/>
          <w:szCs w:val="32"/>
        </w:rPr>
        <w:t>纵深推进专项执行活动，先后开展了“司法大拜年”、“防范金融风险专项执行”、“冬日融冰、护民生集中执行”等专项执行活动，先后执结了朝天镇、沙河镇、中子镇人民政府申请执行中铁十九局建设工程合同系列案件，朝天某食品厂拖欠30余名农民工工资等一大批老难案件 ；整治选择性执行、消极执行、乱执行等突出顽瘴痼疾，完成沉淀执行案款清理和发放工作；李继成拒不履行判决裁定罪案入选全省打击拒执犯罪典型十大案例、欧德现案入选全省十大执行不能典型案例。</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坚持服务优先，不断巩固完善诉讼服务中心建设。</w:t>
      </w:r>
      <w:r>
        <w:rPr>
          <w:rFonts w:hint="eastAsia" w:ascii="仿宋_GB2312" w:eastAsia="仿宋_GB2312"/>
          <w:sz w:val="32"/>
          <w:szCs w:val="32"/>
        </w:rPr>
        <w:t>优化 “四川微法院”网上立案功能，推行诉讼引导，立案查询、网上缴费等“一站式”服务，完成网上立案1280件；利用“云审判”、微信群调解各类案件46件，线上发放执行案款102.2万元。</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坚持人民至上，让更多的当事人感受到司法温度。</w:t>
      </w:r>
      <w:r>
        <w:rPr>
          <w:rFonts w:hint="eastAsia" w:ascii="仿宋_GB2312" w:eastAsia="仿宋_GB2312"/>
          <w:sz w:val="32"/>
          <w:szCs w:val="32"/>
        </w:rPr>
        <w:t>开通立案“绿色通道”，依法为经济困难的当事人减缓免诉讼费18.68万元，向生活困难的申请人发放司法救助金</w:t>
      </w:r>
      <w:r>
        <w:rPr>
          <w:rFonts w:hint="eastAsia" w:ascii="仿宋_GB2312" w:eastAsia="仿宋_GB2312" w:cs="仿宋"/>
          <w:kern w:val="0"/>
          <w:sz w:val="32"/>
          <w:szCs w:val="32"/>
        </w:rPr>
        <w:t>19.63</w:t>
      </w:r>
      <w:r>
        <w:rPr>
          <w:rFonts w:hint="eastAsia" w:ascii="仿宋_GB2312" w:eastAsia="仿宋_GB2312"/>
          <w:sz w:val="32"/>
          <w:szCs w:val="32"/>
        </w:rPr>
        <w:t xml:space="preserve"> 万元。</w:t>
      </w:r>
      <w:r>
        <w:rPr>
          <w:rFonts w:hint="eastAsia" w:ascii="仿宋_GB2312" w:hAnsi="楷体" w:eastAsia="仿宋_GB2312"/>
          <w:sz w:val="32"/>
          <w:szCs w:val="32"/>
        </w:rPr>
        <w:t>做好两项改革 “后半篇”</w:t>
      </w:r>
      <w:r>
        <w:rPr>
          <w:rFonts w:hint="eastAsia" w:ascii="仿宋_GB2312" w:eastAsia="仿宋_GB2312"/>
          <w:sz w:val="32"/>
          <w:szCs w:val="32"/>
        </w:rPr>
        <w:t>文章，优化人民法庭布局，</w:t>
      </w:r>
      <w:r>
        <w:rPr>
          <w:rFonts w:hint="eastAsia" w:ascii="仿宋_GB2312" w:eastAsia="仿宋_GB2312"/>
          <w:spacing w:val="8"/>
          <w:sz w:val="32"/>
          <w:szCs w:val="32"/>
        </w:rPr>
        <w:t>提档升级羊木家事法庭、打造曾家环境资源旅游法庭。法庭就地审理案件630件，</w:t>
      </w:r>
      <w:r>
        <w:rPr>
          <w:rFonts w:hint="eastAsia" w:ascii="仿宋_GB2312" w:eastAsia="仿宋_GB2312"/>
          <w:sz w:val="32"/>
          <w:szCs w:val="32"/>
        </w:rPr>
        <w:t>调解、撤诉结案409 件，调、撤率达65% 。</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黑体" w:hAnsi="黑体" w:eastAsia="黑体"/>
          <w:color w:val="2F2F2F"/>
          <w:sz w:val="32"/>
          <w:szCs w:val="32"/>
        </w:rPr>
      </w:pPr>
      <w:r>
        <w:rPr>
          <w:rFonts w:hint="eastAsia" w:ascii="黑体" w:hAnsi="黑体" w:eastAsia="黑体"/>
          <w:color w:val="2F2F2F"/>
          <w:sz w:val="32"/>
          <w:szCs w:val="32"/>
        </w:rPr>
        <w:t>坚持智慧引领，在深化司法改革上取得新成效</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仿宋_GB2312" w:hAnsi="微软雅黑" w:eastAsia="仿宋_GB2312"/>
          <w:sz w:val="32"/>
          <w:szCs w:val="32"/>
        </w:rPr>
      </w:pPr>
      <w:r>
        <w:rPr>
          <w:rFonts w:hint="eastAsia" w:ascii="楷体_GB2312" w:hAnsi="楷体" w:eastAsia="楷体_GB2312"/>
          <w:sz w:val="32"/>
          <w:szCs w:val="32"/>
        </w:rPr>
        <w:t>牵住“牛鼻子”，持续推进司法责任制改革。</w:t>
      </w:r>
      <w:r>
        <w:rPr>
          <w:rFonts w:hint="eastAsia" w:ascii="仿宋_GB2312" w:hAnsi="微软雅黑" w:eastAsia="仿宋_GB2312"/>
          <w:sz w:val="32"/>
          <w:szCs w:val="32"/>
        </w:rPr>
        <w:t>院庭长带头办理案件2450 件，占比88.2 %。积极配合“万案大评查”、常态化开展发改案件重点评查22件、评查裁判文书218份。类案检索2676 件、召开专业法官会议83余次、审判委员会29次，规范法官自由裁量权。</w:t>
      </w:r>
      <w:r>
        <w:rPr>
          <w:rFonts w:hint="eastAsia" w:ascii="仿宋_GB2312" w:eastAsia="仿宋_GB2312"/>
          <w:sz w:val="32"/>
          <w:szCs w:val="32"/>
        </w:rPr>
        <w:t>完善《关于加强“四类案件”监督管理办法》，明确“四类案件”监管方式，院庭长监督各类重点案件75件。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Calibri" w:eastAsia="仿宋_GB2312"/>
          <w:sz w:val="32"/>
          <w:szCs w:val="32"/>
        </w:rPr>
      </w:pPr>
      <w:r>
        <w:rPr>
          <w:rFonts w:hint="eastAsia" w:ascii="仿宋_GB2312" w:hAnsi="微软雅黑" w:eastAsia="仿宋_GB2312"/>
          <w:sz w:val="32"/>
          <w:szCs w:val="32"/>
        </w:rPr>
        <w:t>深化以审判为中心的刑事诉讼制度改革，推动辩护律师全覆盖，为43  名被告人指定了法律援助律师。</w:t>
      </w:r>
      <w:r>
        <w:rPr>
          <w:rFonts w:hint="eastAsia" w:ascii="仿宋_GB2312" w:hAnsi="Calibri" w:eastAsia="仿宋_GB2312"/>
          <w:sz w:val="32"/>
          <w:szCs w:val="32"/>
        </w:rPr>
        <w:t>适用认罪认罚制度审理案件68件，自愿认罪认罚被告人104人</w:t>
      </w:r>
      <w:r>
        <w:rPr>
          <w:rFonts w:hint="eastAsia" w:ascii="仿宋_GB2312" w:hAnsi="微软雅黑" w:eastAsia="仿宋_GB2312"/>
          <w:sz w:val="32"/>
          <w:szCs w:val="32"/>
        </w:rPr>
        <w:t>。</w:t>
      </w:r>
      <w:r>
        <w:rPr>
          <w:rFonts w:hint="eastAsia" w:ascii="仿宋_GB2312" w:hAnsi="Calibri" w:eastAsia="仿宋_GB2312"/>
          <w:sz w:val="32"/>
          <w:szCs w:val="32"/>
        </w:rPr>
        <w:t>适用速裁程序审结案件13件，当庭宣判率100%。</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仿宋_GB2312" w:hAnsi="微软雅黑" w:eastAsia="仿宋_GB2312"/>
          <w:sz w:val="32"/>
          <w:szCs w:val="32"/>
        </w:rPr>
      </w:pPr>
      <w:r>
        <w:rPr>
          <w:rFonts w:hint="eastAsia" w:ascii="楷体_GB2312" w:hAnsi="楷体" w:eastAsia="楷体_GB2312"/>
          <w:sz w:val="32"/>
          <w:szCs w:val="32"/>
        </w:rPr>
        <w:t>打好“组合拳”，全面推广繁简分流改革。</w:t>
      </w:r>
      <w:r>
        <w:rPr>
          <w:rFonts w:hint="eastAsia" w:ascii="仿宋_GB2312" w:hAnsi="微软雅黑" w:eastAsia="仿宋_GB2312"/>
          <w:sz w:val="32"/>
          <w:szCs w:val="32"/>
        </w:rPr>
        <w:t>办理简易速裁案件384件，以12%的法官分流约31%的民事案件，平均审理天数缩短至27.9天。推广一案精判、多案联调，100余起物业服务合同纠纷化解于诉前。组建快执团队，分流小额标的及财产可供完全执行案件200余件。</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黑体" w:hAnsi="黑体" w:eastAsia="黑体"/>
          <w:color w:val="2F2F2F"/>
          <w:sz w:val="32"/>
          <w:szCs w:val="32"/>
        </w:rPr>
      </w:pPr>
      <w:r>
        <w:rPr>
          <w:rFonts w:hint="eastAsia" w:ascii="黑体" w:hAnsi="黑体" w:eastAsia="黑体"/>
          <w:color w:val="2F2F2F"/>
          <w:sz w:val="32"/>
          <w:szCs w:val="32"/>
        </w:rPr>
        <w:t>坚持教育引领，在锻造法院铁军上取得新成效</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lang w:val="zh-TW"/>
        </w:rPr>
      </w:pPr>
      <w:r>
        <w:rPr>
          <w:rFonts w:hint="eastAsia" w:ascii="楷体_GB2312" w:hAnsi="楷体" w:eastAsia="楷体_GB2312"/>
          <w:sz w:val="32"/>
          <w:szCs w:val="32"/>
        </w:rPr>
        <w:t>切实抓实队伍教育整顿。</w:t>
      </w:r>
      <w:r>
        <w:rPr>
          <w:rFonts w:hint="eastAsia" w:ascii="仿宋_GB2312" w:eastAsia="仿宋_GB2312" w:cs="仿宋_GB2312"/>
          <w:spacing w:val="-10"/>
          <w:sz w:val="32"/>
          <w:szCs w:val="32"/>
        </w:rPr>
        <w:t>制定了《区人民法院党组关于队伍教育整顿实施方案》、《顽瘴痼疾整治方案》等方案，成立</w:t>
      </w:r>
      <w:r>
        <w:rPr>
          <w:rFonts w:hint="eastAsia" w:ascii="仿宋_GB2312" w:eastAsia="仿宋_GB2312"/>
          <w:spacing w:val="-10"/>
          <w:sz w:val="32"/>
          <w:szCs w:val="32"/>
        </w:rPr>
        <w:t>6</w:t>
      </w:r>
      <w:r>
        <w:rPr>
          <w:rFonts w:hint="eastAsia" w:ascii="仿宋_GB2312" w:eastAsia="仿宋_GB2312" w:cs="仿宋_GB2312"/>
          <w:spacing w:val="-10"/>
          <w:sz w:val="32"/>
          <w:szCs w:val="32"/>
        </w:rPr>
        <w:t>个专项工作组，</w:t>
      </w:r>
      <w:r>
        <w:rPr>
          <w:rFonts w:hint="eastAsia" w:ascii="仿宋_GB2312" w:eastAsia="仿宋_GB2312"/>
          <w:sz w:val="32"/>
          <w:szCs w:val="32"/>
        </w:rPr>
        <w:t>召开党组会</w:t>
      </w:r>
      <w:r>
        <w:rPr>
          <w:rFonts w:hint="eastAsia" w:ascii="仿宋_GB2312" w:eastAsia="仿宋_GB2312" w:cs="仿宋_GB2312"/>
          <w:spacing w:val="-10"/>
          <w:sz w:val="32"/>
          <w:szCs w:val="32"/>
        </w:rPr>
        <w:t>13次、</w:t>
      </w:r>
      <w:r>
        <w:rPr>
          <w:rFonts w:hint="eastAsia" w:ascii="仿宋_GB2312" w:eastAsia="仿宋_GB2312"/>
          <w:sz w:val="32"/>
          <w:szCs w:val="32"/>
        </w:rPr>
        <w:t>领导小组会19次，主动接受省市区督导指导13次。</w:t>
      </w:r>
      <w:r>
        <w:rPr>
          <w:rFonts w:hint="eastAsia" w:ascii="仿宋_GB2312" w:hAnsi="Calibri" w:eastAsia="仿宋_GB2312"/>
          <w:sz w:val="32"/>
          <w:szCs w:val="32"/>
        </w:rPr>
        <w:t>组织全院干警集中学习23次，</w:t>
      </w:r>
      <w:r>
        <w:rPr>
          <w:rFonts w:hint="eastAsia" w:ascii="仿宋_GB2312" w:hAnsi="楷体_GB2312" w:eastAsia="仿宋_GB2312" w:cs="楷体_GB2312"/>
          <w:bCs/>
          <w:sz w:val="32"/>
          <w:szCs w:val="32"/>
        </w:rPr>
        <w:t>听专题党课报告4次,召开专题研讨3次,观看专题辅导讲座3次,召开全院警示教育大会4次。强化自查自纠，</w:t>
      </w:r>
      <w:r>
        <w:rPr>
          <w:rFonts w:hint="eastAsia" w:ascii="仿宋_GB2312" w:eastAsia="仿宋_GB2312"/>
          <w:sz w:val="32"/>
          <w:szCs w:val="32"/>
        </w:rPr>
        <w:t>对多条问题线索逐一核查销号，给予相关责任人批评教育、提醒谈话等处理。坚持“查改治建”同步推进，</w:t>
      </w:r>
      <w:r>
        <w:rPr>
          <w:rFonts w:hint="eastAsia" w:ascii="仿宋_GB2312" w:hAnsi="仿宋_GB2312" w:eastAsia="仿宋_GB2312" w:cs="仿宋_GB2312"/>
          <w:color w:val="000000" w:themeColor="text1"/>
          <w:sz w:val="32"/>
          <w:szCs w:val="32"/>
          <w:lang w:val="zh-TW"/>
        </w:rPr>
        <w:t>建立健全</w:t>
      </w:r>
      <w:r>
        <w:rPr>
          <w:rFonts w:hint="eastAsia" w:ascii="仿宋_GB2312" w:hAnsi="仿宋_GB2312" w:eastAsia="仿宋_GB2312" w:cs="仿宋_GB2312"/>
          <w:color w:val="000000" w:themeColor="text1"/>
          <w:sz w:val="32"/>
          <w:szCs w:val="32"/>
          <w:lang w:val="zh-TW" w:eastAsia="zh-TW"/>
        </w:rPr>
        <w:t>制度13</w:t>
      </w:r>
      <w:r>
        <w:rPr>
          <w:rFonts w:hint="eastAsia" w:ascii="仿宋_GB2312" w:hAnsi="仿宋_GB2312" w:eastAsia="仿宋_GB2312" w:cs="仿宋_GB2312"/>
          <w:color w:val="000000" w:themeColor="text1"/>
          <w:sz w:val="32"/>
          <w:szCs w:val="32"/>
          <w:lang w:val="zh-TW"/>
        </w:rPr>
        <w:t>个</w:t>
      </w:r>
      <w:r>
        <w:rPr>
          <w:rFonts w:hint="eastAsia" w:ascii="仿宋_GB2312" w:hAnsi="仿宋_GB2312" w:eastAsia="仿宋_GB2312" w:cs="仿宋_GB2312"/>
          <w:color w:val="000000" w:themeColor="text1"/>
          <w:sz w:val="32"/>
          <w:szCs w:val="32"/>
          <w:lang w:val="zh-TW" w:eastAsia="zh-TW"/>
        </w:rPr>
        <w:t>。</w:t>
      </w:r>
      <w:r>
        <w:rPr>
          <w:rFonts w:hint="eastAsia" w:ascii="仿宋_GB2312" w:hAnsi="仿宋_GB2312" w:eastAsia="仿宋_GB2312" w:cs="仿宋_GB2312"/>
          <w:color w:val="000000" w:themeColor="text1"/>
          <w:sz w:val="32"/>
          <w:szCs w:val="32"/>
          <w:lang w:val="zh-TW"/>
        </w:rPr>
        <w:t>开展“我为群众办实事”实践活动，推出便民举措8项，开展为民办实事72件，</w:t>
      </w:r>
      <w:r>
        <w:rPr>
          <w:rFonts w:hint="eastAsia" w:ascii="仿宋_GB2312" w:hAnsi="仿宋_GB2312" w:eastAsia="仿宋_GB2312" w:cs="仿宋_GB2312"/>
          <w:color w:val="000000" w:themeColor="text1"/>
          <w:sz w:val="32"/>
          <w:szCs w:val="32"/>
        </w:rPr>
        <w:t>全面完成教育整顿四项任务</w:t>
      </w:r>
      <w:r>
        <w:rPr>
          <w:rFonts w:hint="eastAsia" w:ascii="仿宋_GB2312" w:hAnsi="仿宋_GB2312" w:eastAsia="仿宋_GB2312" w:cs="仿宋_GB2312"/>
          <w:color w:val="000000" w:themeColor="text1"/>
          <w:sz w:val="32"/>
          <w:szCs w:val="32"/>
          <w:lang w:val="zh-TW"/>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_GB2312" w:eastAsia="仿宋_GB2312"/>
          <w:sz w:val="32"/>
          <w:szCs w:val="32"/>
        </w:rPr>
      </w:pPr>
      <w:r>
        <w:rPr>
          <w:rFonts w:hint="eastAsia" w:ascii="楷体_GB2312" w:hAnsi="楷体" w:eastAsia="楷体_GB2312"/>
          <w:sz w:val="32"/>
          <w:szCs w:val="32"/>
        </w:rPr>
        <w:t>切实强化纪律作风整治。</w:t>
      </w:r>
      <w:r>
        <w:rPr>
          <w:rFonts w:hint="eastAsia" w:ascii="仿宋_GB2312" w:hAnsi="楷体" w:eastAsia="仿宋_GB2312"/>
          <w:sz w:val="32"/>
          <w:szCs w:val="32"/>
        </w:rPr>
        <w:t>以</w:t>
      </w:r>
      <w:r>
        <w:rPr>
          <w:rFonts w:hint="eastAsia" w:ascii="仿宋_GB2312" w:eastAsia="仿宋_GB2312"/>
          <w:sz w:val="32"/>
          <w:szCs w:val="32"/>
        </w:rPr>
        <w:t>纪律作风教育整顿为契机，组织召开2次党组会，查找出 6个方面11个突出问题，全院干警自查7个方面132个问题，均已整改到位。开展针对性反四风活动，严格执行三公经费收支办法和“三重一大”请示报告制度，开展落实八项规定精神专项监督检查4次。</w:t>
      </w:r>
    </w:p>
    <w:p>
      <w:pPr>
        <w:keepNext w:val="0"/>
        <w:keepLines w:val="0"/>
        <w:pageBreakBefore w:val="0"/>
        <w:widowControl w:val="0"/>
        <w:kinsoku/>
        <w:wordWrap/>
        <w:overflowPunct/>
        <w:topLinePunct w:val="0"/>
        <w:autoSpaceDE/>
        <w:autoSpaceDN/>
        <w:bidi w:val="0"/>
        <w:spacing w:line="576" w:lineRule="exact"/>
        <w:ind w:firstLine="645"/>
        <w:textAlignment w:val="auto"/>
        <w:rPr>
          <w:rFonts w:ascii="仿宋_GB2312" w:eastAsia="仿宋_GB2312"/>
          <w:sz w:val="32"/>
          <w:szCs w:val="32"/>
        </w:rPr>
      </w:pPr>
      <w:r>
        <w:rPr>
          <w:rFonts w:hint="eastAsia" w:ascii="楷体_GB2312" w:hAnsi="楷体" w:eastAsia="楷体_GB2312"/>
          <w:sz w:val="32"/>
          <w:szCs w:val="32"/>
        </w:rPr>
        <w:t>切实加强党风廉政建设。</w:t>
      </w:r>
      <w:r>
        <w:rPr>
          <w:rFonts w:hint="eastAsia" w:ascii="仿宋_GB2312" w:eastAsia="仿宋_GB2312"/>
          <w:sz w:val="32"/>
          <w:szCs w:val="32"/>
        </w:rPr>
        <w:t>将党风廉政建设与审判、执行工作一起安排、一起落实，以“四责协同”为抓手，扎实开展违反干预司法“三个规定”整治，切实强化干警自觉接受监督意识。严格落实“一岗双责”，让失责失职必问成为常态，坚持常态化开展警示教育，积极组织干警参加“学史知纪明法”教育培训，扎实开展“以案示警、以案释法、以案促改”活动，以身边违法违纪典型案例为反面教材，深刻吸取教训，不断营造风清气正的司法环境。</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仿宋_GB2312" w:hAnsi="微软雅黑" w:eastAsia="仿宋_GB2312"/>
          <w:sz w:val="32"/>
          <w:szCs w:val="32"/>
        </w:rPr>
      </w:pPr>
      <w:r>
        <w:rPr>
          <w:rFonts w:hint="eastAsia" w:ascii="楷体_GB2312" w:hAnsi="楷体" w:eastAsia="楷体_GB2312"/>
          <w:sz w:val="32"/>
          <w:szCs w:val="32"/>
        </w:rPr>
        <w:t>切实强化职业能力建设。</w:t>
      </w:r>
      <w:r>
        <w:rPr>
          <w:rFonts w:hint="eastAsia" w:ascii="仿宋_GB2312" w:hAnsi="微软雅黑" w:eastAsia="仿宋_GB2312"/>
          <w:sz w:val="32"/>
          <w:szCs w:val="32"/>
        </w:rPr>
        <w:t>抓好《民法典》等法律法规的学习研究，组织干警参加各类培训28 期150 余人次。深化青蓝工程特色实践，为年轻干部成长“搭台子”。</w:t>
      </w:r>
      <w:r>
        <w:rPr>
          <w:rFonts w:hint="eastAsia" w:ascii="仿宋_GB2312" w:eastAsia="仿宋_GB2312"/>
          <w:sz w:val="32"/>
          <w:szCs w:val="32"/>
        </w:rPr>
        <w:t>以庭审评查、案件评查为载体，不断提升法官队伍的法律适用、庭审驾驭、文书说理、判后答疑和案件执行等六种能力，着力打造一支业务精良的职业化法官群体。</w:t>
      </w:r>
    </w:p>
    <w:p>
      <w:pPr>
        <w:pStyle w:val="12"/>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仿宋_GB2312" w:hAnsi="微软雅黑" w:eastAsia="仿宋_GB2312"/>
          <w:sz w:val="32"/>
          <w:szCs w:val="32"/>
        </w:rPr>
      </w:pPr>
      <w:r>
        <w:rPr>
          <w:rFonts w:hint="eastAsia" w:ascii="楷体_GB2312" w:hAnsi="楷体" w:eastAsia="楷体_GB2312"/>
          <w:sz w:val="32"/>
          <w:szCs w:val="32"/>
        </w:rPr>
        <w:t>切实强化主动接受监督。</w:t>
      </w:r>
      <w:r>
        <w:rPr>
          <w:rFonts w:hint="eastAsia" w:ascii="仿宋_GB2312" w:hAnsi="微软雅黑" w:eastAsia="仿宋_GB2312"/>
          <w:sz w:val="32"/>
          <w:szCs w:val="32"/>
        </w:rPr>
        <w:t>加强与代表委员沟通联络，召开座谈会2场，认真做好区人大常委会专题审议刑事审判工作，邀请代表、委员旁听庭审、见证执行等 240余人次。贯彻监察法，自觉接受纪检监察机关监督。依法接受检察监督，邀请检察长列席审判委员会，实现良性互动。广泛接受社会监督，审判流程公开、裁判文书公开、执行信息公开均达100%。开展“庭审进校园”4次、“法院公开日”6次，让阳光下的正义可触可感。</w:t>
      </w:r>
    </w:p>
    <w:p>
      <w:pPr>
        <w:pStyle w:val="4"/>
        <w:rPr>
          <w:rStyle w:val="19"/>
          <w:b w:val="0"/>
          <w:bCs w:val="0"/>
        </w:rPr>
      </w:pPr>
      <w:bookmarkStart w:id="25" w:name="_Toc15377200"/>
      <w:bookmarkStart w:id="26" w:name="_Toc15396601"/>
      <w:bookmarkStart w:id="27" w:name="_Toc29346"/>
      <w:r>
        <w:rPr>
          <w:rFonts w:hint="eastAsia" w:ascii="黑体" w:eastAsia="黑体"/>
          <w:b w:val="0"/>
        </w:rPr>
        <w:t>二、</w:t>
      </w:r>
      <w:r>
        <w:rPr>
          <w:rFonts w:hint="eastAsia" w:ascii="黑体" w:hAnsi="黑体" w:eastAsia="黑体"/>
          <w:b w:val="0"/>
        </w:rPr>
        <w:t>机</w:t>
      </w:r>
      <w:r>
        <w:rPr>
          <w:rStyle w:val="19"/>
          <w:rFonts w:hint="eastAsia" w:ascii="黑体" w:hAnsi="黑体" w:eastAsia="黑体"/>
          <w:b w:val="0"/>
          <w:bCs w:val="0"/>
        </w:rPr>
        <w:t>构设置</w:t>
      </w:r>
      <w:bookmarkEnd w:id="25"/>
      <w:bookmarkEnd w:id="26"/>
      <w:bookmarkEnd w:id="27"/>
    </w:p>
    <w:p>
      <w:pPr>
        <w:pStyle w:val="5"/>
        <w:keepNext/>
        <w:keepLines/>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2"/>
        <w:rPr>
          <w:rFonts w:ascii="仿宋" w:hAnsi="仿宋" w:eastAsia="仿宋"/>
          <w:kern w:val="0"/>
          <w:sz w:val="32"/>
          <w:szCs w:val="32"/>
        </w:rPr>
      </w:pPr>
      <w:bookmarkStart w:id="28" w:name="_Toc16091"/>
      <w:r>
        <w:rPr>
          <w:rFonts w:hint="eastAsia" w:ascii="仿宋_GB2312" w:hAnsi="Times New Roman" w:eastAsia="仿宋_GB2312" w:cs="Times New Roman"/>
          <w:b w:val="0"/>
          <w:bCs w:val="0"/>
          <w:kern w:val="2"/>
          <w:sz w:val="32"/>
          <w:szCs w:val="32"/>
          <w:lang w:val="en-US" w:eastAsia="zh-CN" w:bidi="ar-SA"/>
        </w:rPr>
        <w:t>本院下属二级单位0个，其中行政单位0个，参照公务员法管理的事业单位0个，其他事业单位0个。</w:t>
      </w:r>
      <w:bookmarkEnd w:id="28"/>
    </w:p>
    <w:p>
      <w:pPr>
        <w:pStyle w:val="3"/>
        <w:ind w:right="440"/>
        <w:jc w:val="center"/>
        <w:rPr>
          <w:rFonts w:hint="eastAsia" w:ascii="黑体" w:hAnsi="黑体" w:eastAsia="黑体"/>
          <w:b w:val="0"/>
        </w:rPr>
      </w:pPr>
      <w:bookmarkStart w:id="29" w:name="_Toc13878"/>
      <w:bookmarkStart w:id="30" w:name="_Toc15396602"/>
      <w:bookmarkStart w:id="31" w:name="_Toc15377204"/>
    </w:p>
    <w:p>
      <w:pPr>
        <w:pStyle w:val="3"/>
        <w:ind w:right="440"/>
        <w:jc w:val="center"/>
        <w:rPr>
          <w:rFonts w:hint="eastAsia" w:ascii="黑体" w:hAnsi="黑体" w:eastAsia="黑体"/>
          <w:b w:val="0"/>
        </w:rPr>
      </w:pPr>
    </w:p>
    <w:p>
      <w:pPr>
        <w:pStyle w:val="3"/>
        <w:ind w:right="440"/>
        <w:jc w:val="center"/>
        <w:rPr>
          <w:rFonts w:hint="eastAsia" w:ascii="黑体" w:hAnsi="黑体" w:eastAsia="黑体"/>
          <w:b w:val="0"/>
        </w:rPr>
      </w:pPr>
    </w:p>
    <w:p>
      <w:pPr>
        <w:pStyle w:val="3"/>
        <w:ind w:right="440"/>
        <w:jc w:val="center"/>
        <w:rPr>
          <w:rFonts w:hint="eastAsia" w:ascii="黑体" w:hAnsi="黑体" w:eastAsia="黑体"/>
          <w:b w:val="0"/>
        </w:rPr>
      </w:pPr>
    </w:p>
    <w:p>
      <w:pPr>
        <w:pStyle w:val="3"/>
        <w:ind w:right="440"/>
        <w:jc w:val="center"/>
        <w:rPr>
          <w:rFonts w:hint="eastAsia" w:ascii="黑体" w:hAnsi="黑体" w:eastAsia="黑体"/>
          <w:b w:val="0"/>
        </w:rPr>
      </w:pPr>
    </w:p>
    <w:p>
      <w:pPr>
        <w:pStyle w:val="3"/>
        <w:ind w:right="440"/>
        <w:jc w:val="center"/>
        <w:rPr>
          <w:rFonts w:hint="eastAsia" w:ascii="黑体" w:hAnsi="黑体" w:eastAsia="黑体"/>
          <w:b w:val="0"/>
        </w:rPr>
      </w:pPr>
    </w:p>
    <w:p>
      <w:pPr>
        <w:pStyle w:val="3"/>
        <w:ind w:right="440"/>
        <w:jc w:val="center"/>
        <w:rPr>
          <w:rFonts w:hint="eastAsia" w:ascii="黑体" w:hAnsi="黑体" w:eastAsia="黑体"/>
          <w:b w:val="0"/>
        </w:rPr>
      </w:pPr>
    </w:p>
    <w:p>
      <w:pPr>
        <w:pStyle w:val="3"/>
        <w:ind w:right="440"/>
        <w:jc w:val="center"/>
        <w:rPr>
          <w:rFonts w:hint="eastAsia" w:ascii="黑体" w:hAnsi="黑体" w:eastAsia="黑体"/>
          <w:b w:val="0"/>
        </w:rPr>
      </w:pPr>
    </w:p>
    <w:p>
      <w:pPr>
        <w:pStyle w:val="3"/>
        <w:ind w:right="440"/>
        <w:jc w:val="center"/>
        <w:rPr>
          <w:rFonts w:hint="eastAsia" w:ascii="黑体" w:hAnsi="黑体" w:eastAsia="黑体"/>
          <w:b w:val="0"/>
        </w:rPr>
      </w:pPr>
    </w:p>
    <w:p>
      <w:pPr>
        <w:pStyle w:val="3"/>
        <w:ind w:right="440"/>
        <w:jc w:val="center"/>
        <w:rPr>
          <w:rFonts w:hint="eastAsia" w:ascii="黑体" w:hAnsi="黑体" w:eastAsia="黑体"/>
          <w:b w:val="0"/>
        </w:rPr>
      </w:pPr>
    </w:p>
    <w:p>
      <w:pPr>
        <w:pStyle w:val="3"/>
        <w:ind w:right="440"/>
        <w:jc w:val="center"/>
        <w:rPr>
          <w:rStyle w:val="18"/>
          <w:rFonts w:ascii="黑体" w:hAnsi="黑体" w:eastAsia="黑体"/>
          <w:b w:val="0"/>
          <w:bCs/>
        </w:rPr>
      </w:pPr>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8"/>
          <w:rFonts w:hint="eastAsia" w:ascii="黑体" w:hAnsi="黑体" w:eastAsia="黑体"/>
          <w:b w:val="0"/>
          <w:bCs/>
        </w:rPr>
        <w:t>部门决算情况说明</w:t>
      </w:r>
      <w:bookmarkEnd w:id="29"/>
      <w:bookmarkEnd w:id="30"/>
      <w:bookmarkEnd w:id="31"/>
    </w:p>
    <w:p/>
    <w:p>
      <w:pPr>
        <w:pStyle w:val="29"/>
        <w:numPr>
          <w:ilvl w:val="0"/>
          <w:numId w:val="1"/>
        </w:numPr>
        <w:spacing w:line="600" w:lineRule="exact"/>
        <w:ind w:firstLineChars="0"/>
        <w:outlineLvl w:val="1"/>
        <w:rPr>
          <w:rStyle w:val="19"/>
          <w:rFonts w:ascii="黑体" w:hAnsi="黑体" w:eastAsia="黑体"/>
          <w:b w:val="0"/>
        </w:rPr>
      </w:pPr>
      <w:bookmarkStart w:id="32" w:name="_Toc15377205"/>
      <w:bookmarkStart w:id="33" w:name="_Toc15396603"/>
      <w:bookmarkStart w:id="34" w:name="_Toc9472"/>
      <w:r>
        <w:rPr>
          <w:rFonts w:hint="eastAsia" w:ascii="黑体" w:hAnsi="黑体" w:eastAsia="黑体"/>
          <w:sz w:val="32"/>
          <w:szCs w:val="32"/>
        </w:rPr>
        <w:t>收</w:t>
      </w:r>
      <w:r>
        <w:rPr>
          <w:rStyle w:val="19"/>
          <w:rFonts w:hint="eastAsia" w:ascii="黑体" w:hAnsi="黑体" w:eastAsia="黑体"/>
          <w:b w:val="0"/>
        </w:rPr>
        <w:t>入支出决算总体情况说明</w:t>
      </w:r>
      <w:bookmarkEnd w:id="32"/>
      <w:bookmarkEnd w:id="33"/>
      <w:bookmarkEnd w:id="34"/>
    </w:p>
    <w:p>
      <w:pPr>
        <w:spacing w:line="600" w:lineRule="exact"/>
        <w:ind w:firstLine="420" w:firstLineChars="200"/>
        <w:jc w:val="center"/>
        <w:rPr>
          <w:rFonts w:hint="eastAsia" w:ascii="仿宋" w:hAnsi="仿宋" w:eastAsia="仿宋"/>
          <w:sz w:val="32"/>
          <w:szCs w:val="32"/>
        </w:rPr>
      </w:pPr>
      <w:r>
        <w:pict>
          <v:shape id="_x0000_s1029" o:spid="_x0000_s1029" o:spt="75" type="#_x0000_t75" style="position:absolute;left:0pt;margin-left:15pt;margin-top:108.85pt;height:232.15pt;width:414.9pt;mso-wrap-distance-bottom:0pt;mso-wrap-distance-top:0pt;z-index:251659264;mso-width-relative:page;mso-height-relative:page;" filled="f" o:preferrelative="t" stroked="f" coordsize="21600,21600">
            <v:path/>
            <v:fill on="f" focussize="0,0"/>
            <v:stroke on="f"/>
            <v:imagedata r:id="rId6" o:title=""/>
            <o:lock v:ext="edit" aspectratio="t"/>
            <w10:wrap type="topAndBottom"/>
          </v:shape>
        </w:pict>
      </w:r>
      <w:r>
        <w:rPr>
          <w:rFonts w:ascii="仿宋" w:hAnsi="仿宋" w:eastAsia="仿宋"/>
          <w:sz w:val="32"/>
          <w:szCs w:val="32"/>
        </w:rPr>
        <w:t>2021</w:t>
      </w:r>
      <w:r>
        <w:rPr>
          <w:rFonts w:hint="eastAsia" w:ascii="仿宋" w:hAnsi="仿宋" w:eastAsia="仿宋"/>
          <w:sz w:val="32"/>
          <w:szCs w:val="32"/>
        </w:rPr>
        <w:t>年度收、支总计</w:t>
      </w:r>
      <w:r>
        <w:rPr>
          <w:rFonts w:hint="eastAsia" w:ascii="仿宋" w:hAnsi="仿宋" w:eastAsia="仿宋"/>
          <w:sz w:val="32"/>
          <w:szCs w:val="32"/>
          <w:lang w:val="en-US" w:eastAsia="zh-CN"/>
        </w:rPr>
        <w:t>1378.84</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年相比，收、支总计减少</w:t>
      </w:r>
      <w:r>
        <w:rPr>
          <w:rFonts w:hint="eastAsia" w:ascii="仿宋" w:hAnsi="仿宋" w:eastAsia="仿宋"/>
          <w:sz w:val="32"/>
          <w:szCs w:val="32"/>
          <w:lang w:val="en-US" w:eastAsia="zh-CN"/>
        </w:rPr>
        <w:t>1860.81</w:t>
      </w:r>
      <w:r>
        <w:rPr>
          <w:rFonts w:hint="eastAsia" w:ascii="仿宋" w:hAnsi="仿宋" w:eastAsia="仿宋"/>
          <w:sz w:val="32"/>
          <w:szCs w:val="32"/>
        </w:rPr>
        <w:t>万元，下降</w:t>
      </w:r>
      <w:r>
        <w:rPr>
          <w:rFonts w:hint="eastAsia" w:ascii="仿宋" w:hAnsi="仿宋" w:eastAsia="仿宋"/>
          <w:sz w:val="32"/>
          <w:szCs w:val="32"/>
          <w:lang w:val="en-US" w:eastAsia="zh-CN"/>
        </w:rPr>
        <w:t>57.44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2020年审判法庭与金堆新区停车场及配套设施合建项目。</w: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rPr>
          <w:rFonts w:hint="eastAsia" w:eastAsia="宋体"/>
          <w:lang w:eastAsia="zh-CN"/>
        </w:rPr>
      </w:pPr>
    </w:p>
    <w:p>
      <w:pPr>
        <w:pStyle w:val="29"/>
        <w:numPr>
          <w:ilvl w:val="0"/>
          <w:numId w:val="1"/>
        </w:numPr>
        <w:spacing w:line="600" w:lineRule="exact"/>
        <w:ind w:firstLineChars="0"/>
        <w:outlineLvl w:val="1"/>
        <w:rPr>
          <w:rStyle w:val="19"/>
          <w:rFonts w:ascii="黑体" w:hAnsi="黑体" w:eastAsia="黑体"/>
          <w:b w:val="0"/>
        </w:rPr>
      </w:pPr>
      <w:bookmarkStart w:id="35" w:name="_Toc15396604"/>
      <w:bookmarkStart w:id="36" w:name="_Toc15377206"/>
      <w:bookmarkStart w:id="37" w:name="_Toc2691"/>
      <w:r>
        <w:rPr>
          <w:rFonts w:hint="eastAsia" w:ascii="黑体" w:hAnsi="黑体" w:eastAsia="黑体"/>
          <w:sz w:val="32"/>
          <w:szCs w:val="32"/>
        </w:rPr>
        <w:t>收</w:t>
      </w:r>
      <w:r>
        <w:rPr>
          <w:rStyle w:val="19"/>
          <w:rFonts w:hint="eastAsia" w:ascii="黑体" w:hAnsi="黑体" w:eastAsia="黑体"/>
          <w:b w:val="0"/>
        </w:rPr>
        <w:t>入决算情况说明</w:t>
      </w:r>
      <w:bookmarkEnd w:id="35"/>
      <w:bookmarkEnd w:id="36"/>
      <w:bookmarkEnd w:id="37"/>
    </w:p>
    <w:p>
      <w:pPr>
        <w:spacing w:line="600" w:lineRule="exact"/>
        <w:ind w:firstLine="640" w:firstLineChars="200"/>
        <w:outlineLvl w:val="1"/>
        <w:rPr>
          <w:rFonts w:ascii="仿宋" w:hAnsi="仿宋" w:eastAsia="仿宋"/>
          <w:b/>
          <w:color w:val="FF0000"/>
          <w:sz w:val="32"/>
          <w:szCs w:val="32"/>
        </w:rPr>
      </w:pPr>
      <w:bookmarkStart w:id="38" w:name="_Toc26887"/>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1271.76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1271.76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bookmarkEnd w:id="38"/>
    </w:p>
    <w:p>
      <w:pPr>
        <w:spacing w:line="600" w:lineRule="exact"/>
        <w:outlineLvl w:val="1"/>
        <w:rPr>
          <w:rFonts w:hint="eastAsia" w:ascii="仿宋" w:hAnsi="仿宋" w:eastAsia="仿宋"/>
          <w:color w:val="FF0000"/>
          <w:sz w:val="32"/>
          <w:szCs w:val="32"/>
          <w:lang w:eastAsia="zh-CN"/>
        </w:rPr>
      </w:pPr>
      <w:r>
        <w:pict>
          <v:shape id="_x0000_s1030" o:spid="_x0000_s1030" o:spt="75" type="#_x0000_t75" style="position:absolute;left:0pt;margin-left:55.5pt;margin-top:19.5pt;height:211.05pt;width:325.1pt;mso-wrap-distance-bottom:0pt;mso-wrap-distance-top:0pt;z-index:251660288;mso-width-relative:page;mso-height-relative:page;" filled="f" o:preferrelative="t" stroked="f" coordsize="21600,21600">
            <v:path/>
            <v:fill on="f" focussize="0,0"/>
            <v:stroke on="f"/>
            <v:imagedata r:id="rId7" o:title=""/>
            <o:lock v:ext="edit" aspectratio="t"/>
            <w10:wrap type="topAndBottom"/>
          </v:shape>
        </w:pic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w:t>
      </w:r>
    </w:p>
    <w:p>
      <w:pPr>
        <w:pStyle w:val="29"/>
        <w:numPr>
          <w:ilvl w:val="0"/>
          <w:numId w:val="1"/>
        </w:numPr>
        <w:spacing w:line="600" w:lineRule="exact"/>
        <w:ind w:firstLineChars="0"/>
        <w:outlineLvl w:val="1"/>
        <w:rPr>
          <w:rStyle w:val="19"/>
          <w:rFonts w:ascii="黑体" w:hAnsi="黑体" w:eastAsia="黑体"/>
          <w:b w:val="0"/>
        </w:rPr>
      </w:pPr>
      <w:bookmarkStart w:id="39" w:name="_Toc15396605"/>
      <w:bookmarkStart w:id="40" w:name="_Toc12881"/>
      <w:bookmarkStart w:id="41" w:name="_Toc15377207"/>
      <w:r>
        <w:rPr>
          <w:rFonts w:hint="eastAsia" w:ascii="黑体" w:hAnsi="黑体" w:eastAsia="黑体"/>
          <w:sz w:val="32"/>
          <w:szCs w:val="32"/>
        </w:rPr>
        <w:t>支</w:t>
      </w:r>
      <w:r>
        <w:rPr>
          <w:rStyle w:val="19"/>
          <w:rFonts w:hint="eastAsia" w:ascii="黑体" w:hAnsi="黑体" w:eastAsia="黑体"/>
          <w:b w:val="0"/>
        </w:rPr>
        <w:t>出决算情况说明</w:t>
      </w:r>
      <w:bookmarkEnd w:id="39"/>
      <w:bookmarkEnd w:id="40"/>
      <w:bookmarkEnd w:id="41"/>
    </w:p>
    <w:p>
      <w:pPr>
        <w:spacing w:line="600" w:lineRule="exact"/>
        <w:ind w:firstLine="640" w:firstLineChars="200"/>
        <w:outlineLvl w:val="1"/>
        <w:rPr>
          <w:rFonts w:ascii="仿宋" w:hAnsi="仿宋" w:eastAsia="仿宋"/>
          <w:sz w:val="32"/>
          <w:szCs w:val="32"/>
        </w:rPr>
      </w:pPr>
      <w:bookmarkStart w:id="42" w:name="_Toc16453"/>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1378.84</w:t>
      </w:r>
      <w:r>
        <w:rPr>
          <w:rFonts w:hint="eastAsia" w:ascii="仿宋" w:hAnsi="仿宋" w:eastAsia="仿宋"/>
          <w:sz w:val="32"/>
          <w:szCs w:val="32"/>
        </w:rPr>
        <w:t>万元，其中：基本支出</w:t>
      </w:r>
      <w:r>
        <w:rPr>
          <w:rFonts w:hint="eastAsia" w:ascii="仿宋" w:hAnsi="仿宋" w:eastAsia="仿宋"/>
          <w:sz w:val="32"/>
          <w:szCs w:val="32"/>
          <w:lang w:val="en-US" w:eastAsia="zh-CN"/>
        </w:rPr>
        <w:t>1003.07</w:t>
      </w:r>
      <w:r>
        <w:rPr>
          <w:rFonts w:hint="eastAsia" w:ascii="仿宋" w:hAnsi="仿宋" w:eastAsia="仿宋"/>
          <w:sz w:val="32"/>
          <w:szCs w:val="32"/>
        </w:rPr>
        <w:t>万元，占</w:t>
      </w:r>
      <w:r>
        <w:rPr>
          <w:rFonts w:hint="eastAsia" w:ascii="仿宋" w:hAnsi="仿宋" w:eastAsia="仿宋"/>
          <w:sz w:val="32"/>
          <w:szCs w:val="32"/>
          <w:lang w:val="en-US" w:eastAsia="zh-CN"/>
        </w:rPr>
        <w:t>72.75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375.77</w:t>
      </w:r>
      <w:r>
        <w:rPr>
          <w:rFonts w:hint="eastAsia" w:ascii="仿宋" w:hAnsi="仿宋" w:eastAsia="仿宋"/>
          <w:sz w:val="32"/>
          <w:szCs w:val="32"/>
        </w:rPr>
        <w:t>万元，占</w:t>
      </w:r>
      <w:r>
        <w:rPr>
          <w:rFonts w:hint="eastAsia" w:ascii="仿宋" w:hAnsi="仿宋" w:eastAsia="仿宋"/>
          <w:sz w:val="32"/>
          <w:szCs w:val="32"/>
          <w:lang w:val="en-US" w:eastAsia="zh-CN"/>
        </w:rPr>
        <w:t>27.25</w:t>
      </w:r>
      <w:r>
        <w:rPr>
          <w:rFonts w:ascii="仿宋" w:hAnsi="仿宋" w:eastAsia="仿宋"/>
          <w:sz w:val="32"/>
          <w:szCs w:val="32"/>
        </w:rPr>
        <w:t>%</w:t>
      </w:r>
      <w:r>
        <w:rPr>
          <w:rFonts w:hint="eastAsia" w:ascii="仿宋" w:hAnsi="仿宋" w:eastAsia="仿宋"/>
          <w:sz w:val="32"/>
          <w:szCs w:val="32"/>
        </w:rPr>
        <w:t>。</w:t>
      </w:r>
      <w:bookmarkEnd w:id="42"/>
    </w:p>
    <w:p>
      <w:pPr>
        <w:spacing w:line="600" w:lineRule="exact"/>
        <w:ind w:firstLine="640"/>
        <w:rPr>
          <w:rFonts w:hint="eastAsia" w:ascii="仿宋" w:hAnsi="仿宋" w:eastAsia="仿宋"/>
          <w:sz w:val="32"/>
          <w:szCs w:val="32"/>
          <w:shd w:val="pct10" w:color="auto" w:fill="FFFFFF"/>
          <w:lang w:eastAsia="zh-CN"/>
        </w:rPr>
      </w:pPr>
      <w:r>
        <w:pict>
          <v:shape id="_x0000_s1031" o:spid="_x0000_s1031" o:spt="75" type="#_x0000_t75" style="position:absolute;left:0pt;margin-left:38pt;margin-top:10pt;height:209.05pt;width:350.05pt;mso-wrap-distance-bottom:0pt;mso-wrap-distance-top:0pt;z-index:251661312;mso-width-relative:page;mso-height-relative:page;" filled="f" o:preferrelative="t" stroked="f" coordsize="21600,21600">
            <v:path/>
            <v:fill on="f" focussize="0,0"/>
            <v:stroke on="f"/>
            <v:imagedata r:id="rId8" o:title=""/>
            <o:lock v:ext="edit" aspectratio="t"/>
            <w10:wrap type="topAndBottom"/>
          </v:shape>
        </w:pic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9"/>
          <w:rFonts w:ascii="黑体" w:hAnsi="黑体" w:eastAsia="黑体"/>
          <w:b w:val="0"/>
        </w:rPr>
      </w:pPr>
      <w:bookmarkStart w:id="43" w:name="_Toc15377208"/>
      <w:bookmarkStart w:id="44" w:name="_Toc15396606"/>
      <w:bookmarkStart w:id="45" w:name="_Toc18398"/>
      <w:r>
        <w:rPr>
          <w:rFonts w:hint="eastAsia" w:ascii="黑体" w:hAnsi="黑体" w:eastAsia="黑体"/>
          <w:sz w:val="32"/>
          <w:szCs w:val="32"/>
        </w:rPr>
        <w:t>四、财</w:t>
      </w:r>
      <w:r>
        <w:rPr>
          <w:rStyle w:val="19"/>
          <w:rFonts w:hint="eastAsia" w:ascii="黑体" w:hAnsi="黑体" w:eastAsia="黑体"/>
          <w:b w:val="0"/>
        </w:rPr>
        <w:t>政拨款收入支出决算总体情况说明</w:t>
      </w:r>
      <w:bookmarkEnd w:id="43"/>
      <w:bookmarkEnd w:id="44"/>
      <w:bookmarkEnd w:id="45"/>
    </w:p>
    <w:p>
      <w:pPr>
        <w:spacing w:line="600" w:lineRule="exact"/>
        <w:ind w:firstLine="640"/>
        <w:rPr>
          <w:rFonts w:ascii="仿宋" w:hAnsi="仿宋" w:eastAsia="仿宋"/>
          <w:b/>
          <w:sz w:val="32"/>
          <w:szCs w:val="32"/>
        </w:rPr>
      </w:pPr>
      <w:r>
        <w:rPr>
          <w:rFonts w:ascii="仿宋" w:hAnsi="仿宋" w:eastAsia="仿宋"/>
          <w:sz w:val="32"/>
          <w:szCs w:val="32"/>
        </w:rPr>
        <w:t>2021</w:t>
      </w:r>
      <w:r>
        <w:rPr>
          <w:rFonts w:hint="eastAsia" w:ascii="仿宋" w:hAnsi="仿宋" w:eastAsia="仿宋"/>
          <w:sz w:val="32"/>
          <w:szCs w:val="32"/>
        </w:rPr>
        <w:t>年财政拨款收、支总计</w:t>
      </w:r>
      <w:r>
        <w:rPr>
          <w:rFonts w:hint="eastAsia" w:ascii="仿宋" w:hAnsi="仿宋" w:eastAsia="仿宋"/>
          <w:sz w:val="32"/>
          <w:szCs w:val="32"/>
          <w:lang w:val="en-US" w:eastAsia="zh-CN"/>
        </w:rPr>
        <w:t>1378.84</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年相比，财政拨款收、支总计减少</w:t>
      </w:r>
      <w:r>
        <w:rPr>
          <w:rFonts w:hint="eastAsia" w:ascii="仿宋" w:hAnsi="仿宋" w:eastAsia="仿宋"/>
          <w:sz w:val="32"/>
          <w:szCs w:val="32"/>
          <w:lang w:val="en-US" w:eastAsia="zh-CN"/>
        </w:rPr>
        <w:t>1860.81</w:t>
      </w:r>
      <w:r>
        <w:rPr>
          <w:rFonts w:hint="eastAsia" w:ascii="仿宋" w:hAnsi="仿宋" w:eastAsia="仿宋"/>
          <w:sz w:val="32"/>
          <w:szCs w:val="32"/>
        </w:rPr>
        <w:t>万元，下降</w:t>
      </w:r>
      <w:r>
        <w:rPr>
          <w:rFonts w:hint="eastAsia" w:ascii="仿宋" w:hAnsi="仿宋" w:eastAsia="仿宋"/>
          <w:sz w:val="32"/>
          <w:szCs w:val="32"/>
          <w:lang w:val="en-US" w:eastAsia="zh-CN"/>
        </w:rPr>
        <w:t>57.44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2020年审判法庭与金堆新区停车场及配套设施合建项目。</w:t>
      </w:r>
    </w:p>
    <w:p>
      <w:pPr>
        <w:spacing w:line="600" w:lineRule="exact"/>
        <w:rPr>
          <w:rFonts w:hint="eastAsia" w:ascii="仿宋" w:hAnsi="仿宋" w:eastAsia="仿宋"/>
          <w:sz w:val="32"/>
          <w:szCs w:val="32"/>
          <w:lang w:eastAsia="zh-CN"/>
        </w:rPr>
      </w:pPr>
      <w:r>
        <w:pict>
          <v:shape id="_x0000_s1032" o:spid="_x0000_s1032" o:spt="75" type="#_x0000_t75" style="position:absolute;left:0pt;margin-left:10.5pt;margin-top:18.55pt;height:255.25pt;width:393.15pt;mso-wrap-distance-bottom:0pt;mso-wrap-distance-top:0pt;z-index:251662336;mso-width-relative:page;mso-height-relative:page;" filled="f" o:preferrelative="t" stroked="f" coordsize="21600,21600">
            <v:path/>
            <v:fill on="f" focussize="0,0"/>
            <v:stroke on="f"/>
            <v:imagedata r:id="rId9" o:title=""/>
            <o:lock v:ext="edit" aspectratio="t"/>
            <w10:wrap type="topAndBottom"/>
          </v:shape>
        </w:pic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w:t>
      </w:r>
    </w:p>
    <w:p>
      <w:pPr>
        <w:spacing w:line="600" w:lineRule="exact"/>
        <w:ind w:firstLine="640" w:firstLineChars="200"/>
        <w:outlineLvl w:val="1"/>
        <w:rPr>
          <w:rStyle w:val="19"/>
          <w:rFonts w:ascii="黑体" w:hAnsi="黑体" w:eastAsia="黑体"/>
          <w:b w:val="0"/>
        </w:rPr>
      </w:pPr>
      <w:bookmarkStart w:id="46" w:name="_Toc15396607"/>
      <w:bookmarkStart w:id="47" w:name="_Toc15377209"/>
      <w:bookmarkStart w:id="48" w:name="_Toc2465"/>
      <w:r>
        <w:rPr>
          <w:rFonts w:hint="eastAsia" w:ascii="黑体" w:hAnsi="黑体" w:eastAsia="黑体"/>
          <w:sz w:val="32"/>
          <w:szCs w:val="32"/>
        </w:rPr>
        <w:t>五、</w:t>
      </w:r>
      <w:r>
        <w:rPr>
          <w:rFonts w:hint="eastAsia" w:ascii="黑体" w:hAnsi="黑体" w:eastAsia="黑体"/>
          <w:b/>
          <w:sz w:val="32"/>
          <w:szCs w:val="32"/>
        </w:rPr>
        <w:t>一</w:t>
      </w:r>
      <w:r>
        <w:rPr>
          <w:rStyle w:val="19"/>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sz w:val="32"/>
          <w:szCs w:val="32"/>
        </w:rPr>
      </w:pPr>
      <w:bookmarkStart w:id="49" w:name="_Toc15377210"/>
      <w:r>
        <w:rPr>
          <w:rFonts w:hint="eastAsia" w:ascii="仿宋" w:hAnsi="仿宋" w:eastAsia="仿宋"/>
          <w:b/>
          <w:sz w:val="32"/>
          <w:szCs w:val="32"/>
        </w:rPr>
        <w:t>（一）一般公共预算财政拨款支出决算总体情况</w:t>
      </w:r>
      <w:bookmarkEnd w:id="49"/>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1378.84</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98.56</w:t>
      </w:r>
      <w:r>
        <w:rPr>
          <w:rFonts w:hint="eastAsia" w:ascii="仿宋" w:hAnsi="仿宋" w:eastAsia="仿宋"/>
          <w:sz w:val="32"/>
          <w:szCs w:val="32"/>
        </w:rPr>
        <w:t>万元，增长</w:t>
      </w:r>
      <w:r>
        <w:rPr>
          <w:rFonts w:hint="eastAsia" w:ascii="仿宋" w:hAnsi="仿宋" w:eastAsia="仿宋"/>
          <w:sz w:val="32"/>
          <w:szCs w:val="32"/>
          <w:lang w:val="en-US" w:eastAsia="zh-CN"/>
        </w:rPr>
        <w:t>7.69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基建相关支出增加、购置相关车辆。</w:t>
      </w:r>
    </w:p>
    <w:p>
      <w:pPr>
        <w:spacing w:line="600" w:lineRule="exact"/>
        <w:ind w:firstLine="420" w:firstLineChars="200"/>
        <w:rPr>
          <w:rFonts w:hint="eastAsia" w:ascii="仿宋" w:hAnsi="仿宋" w:eastAsia="仿宋"/>
          <w:sz w:val="32"/>
          <w:szCs w:val="32"/>
          <w:lang w:eastAsia="zh-CN"/>
        </w:rPr>
      </w:pPr>
      <w:r>
        <w:pict>
          <v:shape id="_x0000_s1033" o:spid="_x0000_s1033" o:spt="75" type="#_x0000_t75" style="position:absolute;left:0pt;margin-left:7.5pt;margin-top:6.75pt;height:257.5pt;width:397.1pt;mso-wrap-distance-bottom:0pt;mso-wrap-distance-top:0pt;z-index:251663360;mso-width-relative:page;mso-height-relative:page;" filled="f" o:preferrelative="t" stroked="f" coordsize="21600,21600">
            <v:path/>
            <v:fill on="f" focussize="0,0"/>
            <v:stroke on="f"/>
            <v:imagedata r:id="rId10" o:title=""/>
            <o:lock v:ext="edit" aspectratio="t"/>
            <w10:wrap type="topAndBottom"/>
          </v:shape>
        </w:pict>
      </w: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w:t>
      </w:r>
    </w:p>
    <w:p>
      <w:pPr>
        <w:spacing w:line="600" w:lineRule="exact"/>
        <w:ind w:firstLine="643" w:firstLineChars="200"/>
        <w:outlineLvl w:val="2"/>
        <w:rPr>
          <w:rFonts w:ascii="仿宋" w:hAnsi="仿宋" w:eastAsia="仿宋"/>
          <w:b/>
          <w:sz w:val="32"/>
          <w:szCs w:val="32"/>
        </w:rPr>
      </w:pPr>
      <w:bookmarkStart w:id="50" w:name="_Toc15377211"/>
      <w:r>
        <w:rPr>
          <w:rFonts w:hint="eastAsia" w:ascii="仿宋" w:hAnsi="仿宋" w:eastAsia="仿宋"/>
          <w:b/>
          <w:sz w:val="32"/>
          <w:szCs w:val="32"/>
        </w:rPr>
        <w:t>（二）一般公共预算财政拨款支出决算结构情况</w:t>
      </w:r>
      <w:bookmarkEnd w:id="50"/>
    </w:p>
    <w:p>
      <w:pPr>
        <w:spacing w:line="600" w:lineRule="exact"/>
        <w:ind w:firstLine="640"/>
        <w:rPr>
          <w:rFonts w:ascii="仿宋" w:hAnsi="仿宋" w:eastAsia="仿宋"/>
          <w:sz w:val="32"/>
          <w:szCs w:val="32"/>
        </w:rPr>
      </w:pPr>
      <w:r>
        <w:pict>
          <v:shape id="_x0000_s1034" o:spid="_x0000_s1034" o:spt="75" type="#_x0000_t75" style="position:absolute;left:0pt;margin-left:53.7pt;margin-top:191.65pt;height:209.4pt;width:322.9pt;mso-wrap-distance-bottom:0pt;mso-wrap-distance-top:0pt;z-index:251664384;mso-width-relative:page;mso-height-relative:page;" filled="f" o:preferrelative="t" stroked="f" coordsize="21600,21600">
            <v:path/>
            <v:fill on="f" focussize="0,0"/>
            <v:stroke on="f"/>
            <v:imagedata r:id="rId11" o:title=""/>
            <o:lock v:ext="edit" aspectratio="t"/>
            <w10:wrap type="topAndBottom"/>
          </v:shape>
        </w:pict>
      </w: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1378.84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182.76</w:t>
      </w:r>
      <w:r>
        <w:rPr>
          <w:rFonts w:hint="eastAsia" w:ascii="仿宋" w:hAnsi="仿宋" w:eastAsia="仿宋"/>
          <w:sz w:val="32"/>
          <w:szCs w:val="32"/>
        </w:rPr>
        <w:t>万元，占</w:t>
      </w:r>
      <w:r>
        <w:rPr>
          <w:rFonts w:hint="eastAsia" w:ascii="仿宋" w:hAnsi="仿宋" w:eastAsia="仿宋"/>
          <w:sz w:val="32"/>
          <w:szCs w:val="32"/>
          <w:lang w:val="en-US" w:eastAsia="zh-CN"/>
        </w:rPr>
        <w:t>13.25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eastAsia="zh-CN"/>
        </w:rPr>
        <w:t>公共安全</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1059.57</w:t>
      </w:r>
      <w:r>
        <w:rPr>
          <w:rFonts w:hint="eastAsia" w:ascii="仿宋" w:hAnsi="仿宋" w:eastAsia="仿宋"/>
          <w:sz w:val="32"/>
          <w:szCs w:val="32"/>
        </w:rPr>
        <w:t>万元，占</w:t>
      </w:r>
      <w:r>
        <w:rPr>
          <w:rFonts w:hint="eastAsia" w:ascii="仿宋" w:hAnsi="仿宋" w:eastAsia="仿宋"/>
          <w:sz w:val="32"/>
          <w:szCs w:val="32"/>
          <w:lang w:val="en-US" w:eastAsia="zh-CN"/>
        </w:rPr>
        <w:t>76.85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63.79</w:t>
      </w:r>
      <w:r>
        <w:rPr>
          <w:rFonts w:hint="eastAsia" w:ascii="仿宋" w:hAnsi="仿宋" w:eastAsia="仿宋"/>
          <w:sz w:val="32"/>
          <w:szCs w:val="32"/>
        </w:rPr>
        <w:t>万元，占</w:t>
      </w:r>
      <w:r>
        <w:rPr>
          <w:rFonts w:hint="eastAsia" w:ascii="仿宋" w:hAnsi="仿宋" w:eastAsia="仿宋"/>
          <w:sz w:val="32"/>
          <w:szCs w:val="32"/>
          <w:lang w:val="en-US" w:eastAsia="zh-CN"/>
        </w:rPr>
        <w:t>4.63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26.5</w:t>
      </w:r>
      <w:r>
        <w:rPr>
          <w:rFonts w:hint="eastAsia" w:ascii="仿宋" w:hAnsi="仿宋" w:eastAsia="仿宋"/>
          <w:sz w:val="32"/>
          <w:szCs w:val="32"/>
        </w:rPr>
        <w:t>万元，占</w:t>
      </w:r>
      <w:r>
        <w:rPr>
          <w:rFonts w:hint="eastAsia" w:ascii="仿宋" w:hAnsi="仿宋" w:eastAsia="仿宋"/>
          <w:sz w:val="32"/>
          <w:szCs w:val="32"/>
          <w:lang w:val="en-US" w:eastAsia="zh-CN"/>
        </w:rPr>
        <w:t>1.92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46.21</w:t>
      </w:r>
      <w:r>
        <w:rPr>
          <w:rFonts w:hint="eastAsia" w:ascii="仿宋" w:hAnsi="仿宋" w:eastAsia="仿宋"/>
          <w:sz w:val="32"/>
          <w:szCs w:val="32"/>
        </w:rPr>
        <w:t>万元，占</w:t>
      </w:r>
      <w:r>
        <w:rPr>
          <w:rFonts w:hint="eastAsia" w:ascii="仿宋" w:hAnsi="仿宋" w:eastAsia="仿宋"/>
          <w:sz w:val="32"/>
          <w:szCs w:val="32"/>
          <w:lang w:val="en-US" w:eastAsia="zh-CN"/>
        </w:rPr>
        <w:t>3.35</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hint="eastAsia" w:ascii="仿宋" w:hAnsi="仿宋" w:eastAsia="仿宋"/>
          <w:sz w:val="32"/>
          <w:szCs w:val="32"/>
          <w:lang w:eastAsia="zh-CN"/>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p>
    <w:p>
      <w:pPr>
        <w:spacing w:line="600" w:lineRule="exact"/>
        <w:ind w:firstLine="643" w:firstLineChars="200"/>
        <w:outlineLvl w:val="2"/>
        <w:rPr>
          <w:rFonts w:ascii="仿宋" w:hAnsi="仿宋" w:eastAsia="仿宋"/>
          <w:b/>
          <w:sz w:val="32"/>
          <w:szCs w:val="32"/>
        </w:rPr>
      </w:pPr>
      <w:bookmarkStart w:id="51" w:name="_Toc15377212"/>
      <w:r>
        <w:rPr>
          <w:rFonts w:hint="eastAsia" w:ascii="仿宋" w:hAnsi="仿宋" w:eastAsia="仿宋"/>
          <w:b/>
          <w:sz w:val="32"/>
          <w:szCs w:val="32"/>
        </w:rPr>
        <w:t>（三）一般公共预算财政拨款支出决算具体情况</w:t>
      </w:r>
      <w:bookmarkEnd w:id="51"/>
    </w:p>
    <w:p>
      <w:pPr>
        <w:spacing w:line="600" w:lineRule="exact"/>
        <w:ind w:firstLine="643" w:firstLineChars="200"/>
        <w:outlineLvl w:val="2"/>
        <w:rPr>
          <w:rFonts w:ascii="仿宋" w:hAnsi="仿宋" w:eastAsia="仿宋"/>
          <w:sz w:val="32"/>
          <w:szCs w:val="32"/>
        </w:rPr>
      </w:pPr>
      <w:bookmarkStart w:id="52" w:name="_Toc15377444"/>
      <w:bookmarkStart w:id="53" w:name="_Toc15377213"/>
      <w:bookmarkStart w:id="54" w:name="_Toc15378460"/>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1378.84万元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2"/>
        <w:textAlignment w:val="auto"/>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bCs w:val="0"/>
          <w:color w:val="000000"/>
          <w:sz w:val="32"/>
          <w:szCs w:val="32"/>
          <w:lang w:val="en-US" w:eastAsia="zh-CN"/>
        </w:rPr>
        <w:t>1.公共安全支出（类）政府办公厅（室）及相关机构事务（款）行政运行（项）：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182.76</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2"/>
        <w:textAlignment w:val="auto"/>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bCs w:val="0"/>
          <w:color w:val="000000"/>
          <w:sz w:val="32"/>
          <w:szCs w:val="32"/>
          <w:lang w:val="en-US" w:eastAsia="zh-CN"/>
        </w:rPr>
        <w:t>2.公共安全支出（类）法院（款）行政运行（项）：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647.63</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3" w:firstLineChars="200"/>
        <w:textAlignment w:val="auto"/>
        <w:rPr>
          <w:rFonts w:hint="eastAsia" w:ascii="仿宋_GB2312" w:hAnsi="仿宋_GB2312" w:eastAsia="仿宋_GB2312" w:cs="仿宋_GB2312"/>
          <w:color w:val="000000"/>
          <w:sz w:val="32"/>
          <w:szCs w:val="32"/>
        </w:rPr>
      </w:pPr>
      <w:r>
        <w:rPr>
          <w:rStyle w:val="15"/>
          <w:rFonts w:hint="eastAsia" w:ascii="仿宋_GB2312" w:hAnsi="仿宋_GB2312" w:eastAsia="仿宋_GB2312" w:cs="仿宋_GB2312"/>
          <w:b/>
          <w:bCs w:val="0"/>
          <w:color w:val="000000"/>
          <w:sz w:val="32"/>
          <w:szCs w:val="32"/>
          <w:lang w:val="en-US" w:eastAsia="zh-CN"/>
        </w:rPr>
        <w:t>3.公共安全支出（类）法院（款）一般行政管理事务（项）：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86.29</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3" w:firstLineChars="200"/>
        <w:textAlignment w:val="auto"/>
        <w:rPr>
          <w:rFonts w:hint="eastAsia" w:ascii="仿宋_GB2312" w:hAnsi="仿宋_GB2312" w:eastAsia="仿宋_GB2312" w:cs="仿宋_GB2312"/>
          <w:color w:val="000000"/>
          <w:sz w:val="32"/>
          <w:szCs w:val="32"/>
        </w:rPr>
      </w:pPr>
      <w:r>
        <w:rPr>
          <w:rStyle w:val="15"/>
          <w:rFonts w:hint="eastAsia" w:ascii="仿宋_GB2312" w:hAnsi="仿宋_GB2312" w:eastAsia="仿宋_GB2312" w:cs="仿宋_GB2312"/>
          <w:b/>
          <w:bCs w:val="0"/>
          <w:color w:val="000000"/>
          <w:sz w:val="32"/>
          <w:szCs w:val="32"/>
          <w:lang w:val="en-US" w:eastAsia="zh-CN"/>
        </w:rPr>
        <w:t>4.公共安全支出（类）法院（款）案件审判（项）：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199.82</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2"/>
        <w:textAlignment w:val="auto"/>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bCs w:val="0"/>
          <w:color w:val="000000"/>
          <w:sz w:val="32"/>
          <w:szCs w:val="32"/>
          <w:lang w:val="en-US" w:eastAsia="zh-CN"/>
        </w:rPr>
        <w:t>5.公共安全支出（类）法院（款）案件执行（项）：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5.96</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2"/>
        <w:textAlignment w:val="auto"/>
        <w:rPr>
          <w:rStyle w:val="15"/>
          <w:rFonts w:hint="eastAsia" w:ascii="仿宋_GB2312" w:hAnsi="仿宋_GB2312" w:eastAsia="仿宋_GB2312" w:cs="仿宋_GB2312"/>
          <w:b w:val="0"/>
          <w:bCs/>
          <w:color w:val="000000"/>
          <w:sz w:val="32"/>
          <w:szCs w:val="32"/>
          <w:lang w:eastAsia="zh-CN"/>
        </w:rPr>
      </w:pPr>
      <w:r>
        <w:rPr>
          <w:rStyle w:val="15"/>
          <w:rFonts w:hint="eastAsia" w:ascii="仿宋_GB2312" w:hAnsi="仿宋_GB2312" w:eastAsia="仿宋_GB2312" w:cs="仿宋_GB2312"/>
          <w:b/>
          <w:bCs w:val="0"/>
          <w:color w:val="000000"/>
          <w:sz w:val="32"/>
          <w:szCs w:val="32"/>
          <w:lang w:val="en-US" w:eastAsia="zh-CN"/>
        </w:rPr>
        <w:t>6.公共安全支出（类）法院（款）“两庭建设”（项）：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83.7</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2"/>
        <w:textAlignment w:val="auto"/>
        <w:rPr>
          <w:rStyle w:val="15"/>
          <w:rFonts w:hint="eastAsia" w:ascii="仿宋_GB2312" w:hAnsi="仿宋_GB2312" w:eastAsia="仿宋_GB2312" w:cs="仿宋_GB2312"/>
          <w:b w:val="0"/>
          <w:bCs/>
          <w:color w:val="000000"/>
          <w:sz w:val="32"/>
          <w:szCs w:val="32"/>
          <w:lang w:val="en-US" w:eastAsia="zh-CN"/>
        </w:rPr>
      </w:pPr>
      <w:r>
        <w:rPr>
          <w:rStyle w:val="15"/>
          <w:rFonts w:hint="eastAsia" w:ascii="仿宋_GB2312" w:hAnsi="仿宋_GB2312" w:eastAsia="仿宋_GB2312" w:cs="仿宋_GB2312"/>
          <w:b/>
          <w:bCs w:val="0"/>
          <w:color w:val="000000"/>
          <w:sz w:val="32"/>
          <w:szCs w:val="32"/>
          <w:lang w:val="en-US" w:eastAsia="zh-CN"/>
        </w:rPr>
        <w:t>7.公共安全支出（类）法院（款）机关服务（项）：</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36.17</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640" w:lineRule="exact"/>
        <w:ind w:right="0" w:rightChars="0" w:firstLine="643" w:firstLineChars="200"/>
        <w:textAlignment w:val="auto"/>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bCs/>
          <w:color w:val="000000"/>
          <w:sz w:val="32"/>
          <w:szCs w:val="32"/>
          <w:lang w:val="en-US" w:eastAsia="zh-CN"/>
        </w:rPr>
        <w:t>8</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Cs/>
          <w:color w:val="000000"/>
          <w:sz w:val="32"/>
          <w:szCs w:val="32"/>
          <w:lang w:eastAsia="zh-CN"/>
        </w:rPr>
        <w:t>住房保障支出（类）住房改革支出（款）住房公积金（项）</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 w:val="0"/>
          <w:bCs/>
          <w:color w:val="000000"/>
          <w:sz w:val="32"/>
          <w:szCs w:val="32"/>
        </w:rPr>
        <w:t xml:space="preserve"> 支出决算为</w:t>
      </w:r>
      <w:r>
        <w:rPr>
          <w:rStyle w:val="15"/>
          <w:rFonts w:hint="eastAsia" w:ascii="仿宋_GB2312" w:hAnsi="仿宋_GB2312" w:eastAsia="仿宋_GB2312" w:cs="仿宋_GB2312"/>
          <w:b w:val="0"/>
          <w:bCs/>
          <w:color w:val="000000"/>
          <w:sz w:val="32"/>
          <w:szCs w:val="32"/>
          <w:lang w:val="en-US" w:eastAsia="zh-CN"/>
        </w:rPr>
        <w:t>46.21</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pacing w:line="640" w:lineRule="exact"/>
        <w:ind w:right="0" w:rightChars="0" w:firstLine="643" w:firstLineChars="200"/>
        <w:textAlignment w:val="auto"/>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lang w:val="en-US" w:eastAsia="zh-CN"/>
        </w:rPr>
        <w:t>9</w:t>
      </w:r>
      <w:r>
        <w:rPr>
          <w:rStyle w:val="15"/>
          <w:rFonts w:hint="eastAsia" w:ascii="仿宋_GB2312" w:hAnsi="仿宋_GB2312" w:eastAsia="仿宋_GB2312" w:cs="仿宋_GB2312"/>
          <w:bCs/>
          <w:color w:val="000000"/>
          <w:sz w:val="32"/>
          <w:szCs w:val="32"/>
        </w:rPr>
        <w:t>.社会保障和就业</w:t>
      </w:r>
      <w:r>
        <w:rPr>
          <w:rStyle w:val="15"/>
          <w:rFonts w:hint="eastAsia" w:ascii="仿宋_GB2312" w:hAnsi="仿宋_GB2312" w:eastAsia="仿宋_GB2312" w:cs="仿宋_GB2312"/>
          <w:bCs/>
          <w:color w:val="000000"/>
          <w:sz w:val="32"/>
          <w:szCs w:val="32"/>
          <w:lang w:eastAsia="zh-CN"/>
        </w:rPr>
        <w:t>支出（类）行政事业单位离退休（款）机关事业单位基本养老保险缴费支出（项）</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 w:val="0"/>
          <w:bCs/>
          <w:color w:val="000000"/>
          <w:sz w:val="32"/>
          <w:szCs w:val="32"/>
        </w:rPr>
        <w:t xml:space="preserve"> 支出决算为</w:t>
      </w:r>
      <w:r>
        <w:rPr>
          <w:rStyle w:val="15"/>
          <w:rFonts w:hint="eastAsia" w:ascii="仿宋_GB2312" w:hAnsi="仿宋_GB2312" w:eastAsia="仿宋_GB2312" w:cs="仿宋_GB2312"/>
          <w:b w:val="0"/>
          <w:bCs/>
          <w:color w:val="000000"/>
          <w:sz w:val="32"/>
          <w:szCs w:val="32"/>
          <w:lang w:val="en-US" w:eastAsia="zh-CN"/>
        </w:rPr>
        <w:t>58.75</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pacing w:line="640" w:lineRule="exact"/>
        <w:ind w:right="0" w:rightChars="0" w:firstLine="643" w:firstLineChars="200"/>
        <w:textAlignment w:val="auto"/>
        <w:rPr>
          <w:rFonts w:hint="eastAsia"/>
        </w:rPr>
      </w:pPr>
      <w:r>
        <w:rPr>
          <w:rStyle w:val="15"/>
          <w:rFonts w:hint="eastAsia" w:ascii="仿宋_GB2312" w:hAnsi="仿宋_GB2312" w:eastAsia="仿宋_GB2312" w:cs="仿宋_GB2312"/>
          <w:bCs/>
          <w:color w:val="000000"/>
          <w:sz w:val="32"/>
          <w:szCs w:val="32"/>
          <w:lang w:val="en-US" w:eastAsia="zh-CN"/>
        </w:rPr>
        <w:t>10</w:t>
      </w:r>
      <w:r>
        <w:rPr>
          <w:rStyle w:val="15"/>
          <w:rFonts w:hint="eastAsia" w:ascii="仿宋_GB2312" w:hAnsi="仿宋_GB2312" w:eastAsia="仿宋_GB2312" w:cs="仿宋_GB2312"/>
          <w:bCs/>
          <w:color w:val="000000"/>
          <w:sz w:val="32"/>
          <w:szCs w:val="32"/>
        </w:rPr>
        <w:t>.社会保障和就业</w:t>
      </w:r>
      <w:r>
        <w:rPr>
          <w:rStyle w:val="15"/>
          <w:rFonts w:hint="eastAsia" w:ascii="仿宋_GB2312" w:hAnsi="仿宋_GB2312" w:eastAsia="仿宋_GB2312" w:cs="仿宋_GB2312"/>
          <w:bCs/>
          <w:color w:val="000000"/>
          <w:sz w:val="32"/>
          <w:szCs w:val="32"/>
          <w:lang w:eastAsia="zh-CN"/>
        </w:rPr>
        <w:t>支出（类）行政事业单位离退休（款）机关事业单位职业年金缴费支出（项）</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 w:val="0"/>
          <w:bCs/>
          <w:color w:val="000000"/>
          <w:sz w:val="32"/>
          <w:szCs w:val="32"/>
        </w:rPr>
        <w:t xml:space="preserve"> 支出决算为</w:t>
      </w:r>
      <w:r>
        <w:rPr>
          <w:rStyle w:val="15"/>
          <w:rFonts w:hint="eastAsia" w:ascii="仿宋_GB2312" w:hAnsi="仿宋_GB2312" w:eastAsia="仿宋_GB2312" w:cs="仿宋_GB2312"/>
          <w:b w:val="0"/>
          <w:bCs/>
          <w:color w:val="000000"/>
          <w:sz w:val="32"/>
          <w:szCs w:val="32"/>
          <w:lang w:val="en-US" w:eastAsia="zh-CN"/>
        </w:rPr>
        <w:t>5.04</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3" w:firstLineChars="200"/>
        <w:textAlignment w:val="auto"/>
        <w:rPr>
          <w:rFonts w:ascii="仿宋" w:hAnsi="仿宋" w:eastAsia="仿宋"/>
          <w:b/>
          <w:sz w:val="32"/>
          <w:szCs w:val="32"/>
        </w:rPr>
      </w:pPr>
      <w:r>
        <w:rPr>
          <w:rStyle w:val="15"/>
          <w:rFonts w:hint="eastAsia" w:ascii="仿宋_GB2312" w:hAnsi="仿宋_GB2312" w:eastAsia="仿宋_GB2312" w:cs="仿宋_GB2312"/>
          <w:bCs/>
          <w:color w:val="000000"/>
          <w:sz w:val="32"/>
          <w:szCs w:val="32"/>
          <w:lang w:val="en-US" w:eastAsia="zh-CN"/>
        </w:rPr>
        <w:t>11</w:t>
      </w:r>
      <w:r>
        <w:rPr>
          <w:rStyle w:val="15"/>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lang w:eastAsia="zh-CN"/>
        </w:rPr>
        <w:t>支出（类）行政事业单位医疗（款）行政单位医疗（项）</w:t>
      </w:r>
      <w:r>
        <w:rPr>
          <w:rStyle w:val="15"/>
          <w:rFonts w:hint="eastAsia" w:ascii="仿宋_GB2312" w:hAnsi="仿宋_GB2312" w:eastAsia="仿宋_GB2312" w:cs="仿宋_GB2312"/>
          <w:bCs/>
          <w:color w:val="000000"/>
          <w:sz w:val="32"/>
          <w:szCs w:val="32"/>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26.5</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19"/>
        </w:rPr>
      </w:pPr>
      <w:bookmarkStart w:id="55" w:name="_Toc15396608"/>
      <w:bookmarkStart w:id="56" w:name="_Toc15377214"/>
      <w:bookmarkStart w:id="57" w:name="_Toc1328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9"/>
          <w:rFonts w:hint="eastAsia" w:ascii="黑体" w:hAnsi="黑体" w:eastAsia="黑体"/>
          <w:b w:val="0"/>
        </w:rPr>
        <w:t>般公共预算财政拨款基本支出决算情况说明</w:t>
      </w:r>
      <w:bookmarkEnd w:id="55"/>
      <w:bookmarkEnd w:id="56"/>
      <w:bookmarkEnd w:id="57"/>
      <w:r>
        <w:rPr>
          <w:rStyle w:val="1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1003.07</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880.08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122.98</w:t>
      </w:r>
      <w:r>
        <w:rPr>
          <w:rFonts w:hint="eastAsia" w:ascii="仿宋" w:hAnsi="仿宋" w:eastAsia="仿宋"/>
          <w:sz w:val="32"/>
          <w:szCs w:val="32"/>
        </w:rPr>
        <w:t>万元，主要包括：办公费、印刷费、手续费、水费、电费、邮电费、物业管理费、差旅费、因公出国（境）费用、维修（护）费、租赁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黑体" w:hAnsi="黑体" w:eastAsia="黑体"/>
          <w:b w:val="0"/>
        </w:rPr>
      </w:pPr>
      <w:bookmarkStart w:id="58" w:name="_Toc15377215"/>
      <w:bookmarkStart w:id="59" w:name="_Toc15396609"/>
      <w:bookmarkStart w:id="60" w:name="_Toc15082"/>
      <w:r>
        <w:rPr>
          <w:rFonts w:hint="eastAsia" w:ascii="黑体" w:eastAsia="黑体"/>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58"/>
      <w:bookmarkEnd w:id="59"/>
      <w:bookmarkEnd w:id="60"/>
    </w:p>
    <w:p>
      <w:pPr>
        <w:spacing w:line="600" w:lineRule="exact"/>
        <w:ind w:firstLine="640"/>
        <w:outlineLvl w:val="2"/>
        <w:rPr>
          <w:rFonts w:ascii="仿宋" w:hAnsi="仿宋" w:eastAsia="仿宋"/>
          <w:b/>
          <w:sz w:val="32"/>
          <w:szCs w:val="32"/>
        </w:rPr>
      </w:pPr>
      <w:bookmarkStart w:id="61" w:name="_Toc15377216"/>
      <w:r>
        <w:rPr>
          <w:rFonts w:hint="eastAsia" w:ascii="仿宋" w:hAnsi="仿宋" w:eastAsia="仿宋"/>
          <w:b/>
          <w:sz w:val="32"/>
          <w:szCs w:val="32"/>
        </w:rPr>
        <w:t>（一）“三公”经费财政拨款支出决算总体情况说明</w:t>
      </w:r>
      <w:bookmarkEnd w:id="61"/>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89.66</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62" w:name="_Toc15377217"/>
      <w:r>
        <w:rPr>
          <w:rFonts w:hint="eastAsia" w:ascii="仿宋" w:hAnsi="仿宋" w:eastAsia="仿宋"/>
          <w:b/>
          <w:sz w:val="32"/>
          <w:szCs w:val="32"/>
        </w:rPr>
        <w:t>（二）“三公”经费财政拨款支出决算具体情况说明</w:t>
      </w:r>
      <w:bookmarkEnd w:id="62"/>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年“三公”经费财政拨款支出决算中，因公出国经费支出0万元，年初未安排预算，与上年数无变化；公务用车购置及运行维护费支出决算</w:t>
      </w:r>
      <w:r>
        <w:rPr>
          <w:rFonts w:hint="eastAsia" w:ascii="仿宋" w:hAnsi="仿宋" w:eastAsia="仿宋"/>
          <w:sz w:val="32"/>
          <w:szCs w:val="32"/>
          <w:lang w:val="en-US" w:eastAsia="zh-CN"/>
        </w:rPr>
        <w:t>88.69</w:t>
      </w:r>
      <w:r>
        <w:rPr>
          <w:rFonts w:hint="eastAsia" w:ascii="仿宋" w:hAnsi="仿宋" w:eastAsia="仿宋"/>
          <w:sz w:val="32"/>
          <w:szCs w:val="32"/>
        </w:rPr>
        <w:t>万元，占</w:t>
      </w:r>
      <w:r>
        <w:rPr>
          <w:rFonts w:hint="eastAsia" w:ascii="仿宋" w:hAnsi="仿宋" w:eastAsia="仿宋"/>
          <w:sz w:val="32"/>
          <w:szCs w:val="32"/>
          <w:lang w:val="en-US" w:eastAsia="zh-CN"/>
        </w:rPr>
        <w:t>98.92</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0.97</w:t>
      </w:r>
      <w:r>
        <w:rPr>
          <w:rFonts w:hint="eastAsia" w:ascii="仿宋" w:hAnsi="仿宋" w:eastAsia="仿宋"/>
          <w:sz w:val="32"/>
          <w:szCs w:val="32"/>
        </w:rPr>
        <w:t>万元，占</w:t>
      </w:r>
      <w:r>
        <w:rPr>
          <w:rFonts w:hint="eastAsia" w:ascii="仿宋" w:hAnsi="仿宋" w:eastAsia="仿宋"/>
          <w:sz w:val="32"/>
          <w:szCs w:val="32"/>
          <w:lang w:val="en-US" w:eastAsia="zh-CN"/>
        </w:rPr>
        <w:t>1.08</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jc w:val="center"/>
        <w:rPr>
          <w:rFonts w:hint="eastAsia" w:ascii="仿宋" w:hAnsi="仿宋" w:eastAsia="仿宋"/>
          <w:sz w:val="32"/>
          <w:szCs w:val="32"/>
        </w:rPr>
      </w:pPr>
      <w:r>
        <w:pict>
          <v:shape id="_x0000_s1035" o:spid="_x0000_s1035" o:spt="75" type="#_x0000_t75" style="position:absolute;left:0pt;margin-left:-3.25pt;margin-top:22.2pt;height:257.55pt;width:414.75pt;mso-wrap-distance-bottom:0pt;mso-wrap-distance-top:0pt;z-index:251665408;mso-width-relative:page;mso-height-relative:page;" filled="f" o:preferrelative="t" stroked="f" coordsize="21600,21600">
            <v:path/>
            <v:fill on="f" focussize="0,0"/>
            <v:stroke on="f"/>
            <v:imagedata r:id="rId12" o:title=""/>
            <o:lock v:ext="edit" aspectratio="t"/>
            <w10:wrap type="topAndBottom"/>
          </v:shape>
        </w:pict>
      </w:r>
    </w:p>
    <w:p>
      <w:pPr>
        <w:spacing w:line="600" w:lineRule="exact"/>
        <w:ind w:firstLine="64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sz w:val="32"/>
          <w:szCs w:val="32"/>
        </w:rPr>
        <w:t>支出0万元，年初未安排预算</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88.69</w:t>
      </w:r>
      <w:r>
        <w:rPr>
          <w:rFonts w:hint="eastAsia" w:ascii="仿宋_GB2312" w:eastAsia="仿宋_GB2312"/>
          <w:sz w:val="32"/>
          <w:szCs w:val="32"/>
        </w:rPr>
        <w:t>万元</w:t>
      </w:r>
      <w:r>
        <w:rPr>
          <w:rFonts w:ascii="仿宋_GB2312" w:eastAsia="仿宋_GB2312"/>
          <w:sz w:val="32"/>
          <w:szCs w:val="32"/>
        </w:rPr>
        <w:t>,</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56.24</w:t>
      </w:r>
      <w:r>
        <w:rPr>
          <w:rFonts w:hint="eastAsia" w:ascii="仿宋_GB2312" w:eastAsia="仿宋_GB2312"/>
          <w:sz w:val="32"/>
          <w:szCs w:val="32"/>
        </w:rPr>
        <w:t>万元，增长</w:t>
      </w:r>
      <w:r>
        <w:rPr>
          <w:rFonts w:hint="eastAsia" w:ascii="仿宋_GB2312" w:eastAsia="仿宋_GB2312"/>
          <w:sz w:val="32"/>
          <w:szCs w:val="32"/>
          <w:lang w:val="en-US" w:eastAsia="zh-CN"/>
        </w:rPr>
        <w:t>173.31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2021年有购车计划</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50.59</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2</w:t>
      </w:r>
      <w:r>
        <w:rPr>
          <w:rFonts w:hint="eastAsia" w:ascii="仿宋_GB2312" w:eastAsia="仿宋_GB2312"/>
          <w:sz w:val="32"/>
          <w:szCs w:val="32"/>
        </w:rPr>
        <w:t>辆，其中：越野车</w:t>
      </w:r>
      <w:r>
        <w:rPr>
          <w:rFonts w:hint="eastAsia" w:ascii="仿宋_GB2312" w:eastAsia="仿宋_GB2312"/>
          <w:sz w:val="32"/>
          <w:szCs w:val="32"/>
          <w:lang w:val="en-US" w:eastAsia="zh-CN"/>
        </w:rPr>
        <w:t>1</w:t>
      </w:r>
      <w:r>
        <w:rPr>
          <w:rFonts w:hint="eastAsia" w:ascii="仿宋_GB2312" w:eastAsia="仿宋_GB2312"/>
          <w:sz w:val="32"/>
          <w:szCs w:val="32"/>
        </w:rPr>
        <w:t>辆、金额</w:t>
      </w:r>
      <w:r>
        <w:rPr>
          <w:rFonts w:hint="eastAsia" w:ascii="仿宋_GB2312" w:eastAsia="仿宋_GB2312"/>
          <w:sz w:val="32"/>
          <w:szCs w:val="32"/>
          <w:lang w:val="en-US" w:eastAsia="zh-CN"/>
        </w:rPr>
        <w:t>25.67</w:t>
      </w:r>
      <w:r>
        <w:rPr>
          <w:rFonts w:hint="eastAsia" w:ascii="仿宋_GB2312" w:eastAsia="仿宋_GB2312"/>
          <w:sz w:val="32"/>
          <w:szCs w:val="32"/>
        </w:rPr>
        <w:t>万元，</w:t>
      </w:r>
      <w:r>
        <w:rPr>
          <w:rFonts w:hint="eastAsia" w:ascii="仿宋_GB2312" w:eastAsia="仿宋_GB2312"/>
          <w:sz w:val="32"/>
          <w:szCs w:val="32"/>
          <w:lang w:eastAsia="zh-CN"/>
        </w:rPr>
        <w:t>其他车型</w:t>
      </w:r>
      <w:r>
        <w:rPr>
          <w:rFonts w:hint="eastAsia" w:ascii="仿宋_GB2312" w:eastAsia="仿宋_GB2312"/>
          <w:sz w:val="32"/>
          <w:szCs w:val="32"/>
          <w:lang w:val="en-US" w:eastAsia="zh-CN"/>
        </w:rPr>
        <w:t>1</w:t>
      </w:r>
      <w:r>
        <w:rPr>
          <w:rFonts w:hint="eastAsia" w:ascii="仿宋_GB2312" w:eastAsia="仿宋_GB2312"/>
          <w:sz w:val="32"/>
          <w:szCs w:val="32"/>
        </w:rPr>
        <w:t>辆、金额</w:t>
      </w:r>
      <w:r>
        <w:rPr>
          <w:rFonts w:hint="eastAsia" w:ascii="仿宋_GB2312" w:eastAsia="仿宋_GB2312"/>
          <w:sz w:val="32"/>
          <w:szCs w:val="32"/>
          <w:lang w:val="en-US" w:eastAsia="zh-CN"/>
        </w:rPr>
        <w:t>24.92</w:t>
      </w:r>
      <w:r>
        <w:rPr>
          <w:rFonts w:hint="eastAsia" w:ascii="仿宋_GB2312" w:eastAsia="仿宋_GB2312"/>
          <w:sz w:val="32"/>
          <w:szCs w:val="32"/>
        </w:rPr>
        <w:t>万元，主要用于</w:t>
      </w:r>
      <w:r>
        <w:rPr>
          <w:rFonts w:hint="eastAsia" w:ascii="仿宋_GB2312" w:eastAsia="仿宋_GB2312"/>
          <w:sz w:val="32"/>
          <w:szCs w:val="32"/>
          <w:lang w:eastAsia="zh-CN"/>
        </w:rPr>
        <w:t>执法执勤、审判执行工作开展</w:t>
      </w: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11</w:t>
      </w:r>
      <w:r>
        <w:rPr>
          <w:rFonts w:hint="eastAsia" w:ascii="仿宋_GB2312" w:eastAsia="仿宋_GB2312"/>
          <w:sz w:val="32"/>
          <w:szCs w:val="32"/>
        </w:rPr>
        <w:t>辆，其中：轿车</w:t>
      </w:r>
      <w:r>
        <w:rPr>
          <w:rFonts w:hint="eastAsia" w:ascii="仿宋_GB2312" w:eastAsia="仿宋_GB2312"/>
          <w:sz w:val="32"/>
          <w:szCs w:val="32"/>
          <w:lang w:val="en-US" w:eastAsia="zh-CN"/>
        </w:rPr>
        <w:t>3</w:t>
      </w:r>
      <w:r>
        <w:rPr>
          <w:rFonts w:hint="eastAsia" w:ascii="仿宋_GB2312" w:eastAsia="仿宋_GB2312"/>
          <w:sz w:val="32"/>
          <w:szCs w:val="32"/>
        </w:rPr>
        <w:t>辆、越野车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lang w:eastAsia="zh-CN"/>
        </w:rPr>
        <w:t>其他车型</w:t>
      </w:r>
      <w:r>
        <w:rPr>
          <w:rFonts w:hint="eastAsia" w:ascii="仿宋_GB2312" w:eastAsia="仿宋_GB2312"/>
          <w:sz w:val="32"/>
          <w:szCs w:val="32"/>
          <w:lang w:val="en-US" w:eastAsia="zh-CN"/>
        </w:rPr>
        <w:t>3</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38.1</w:t>
      </w:r>
      <w:r>
        <w:rPr>
          <w:rFonts w:hint="eastAsia" w:ascii="仿宋_GB2312" w:eastAsia="仿宋_GB2312"/>
          <w:sz w:val="32"/>
          <w:szCs w:val="32"/>
        </w:rPr>
        <w:t>万元。主要用于</w:t>
      </w:r>
      <w:r>
        <w:rPr>
          <w:rFonts w:hint="eastAsia" w:ascii="仿宋_GB2312" w:eastAsia="仿宋_GB2312"/>
          <w:sz w:val="32"/>
          <w:szCs w:val="32"/>
          <w:lang w:eastAsia="zh-CN"/>
        </w:rPr>
        <w:t>审判执行</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b/>
          <w:sz w:val="32"/>
          <w:szCs w:val="32"/>
          <w:lang w:val="en-US" w:eastAsia="zh-CN"/>
        </w:rPr>
        <w:t>0.97</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1.06</w:t>
      </w:r>
      <w:r>
        <w:rPr>
          <w:rFonts w:hint="eastAsia" w:ascii="仿宋_GB2312" w:eastAsia="仿宋_GB2312"/>
          <w:sz w:val="32"/>
          <w:szCs w:val="32"/>
        </w:rPr>
        <w:t>万元，下降</w:t>
      </w:r>
      <w:r>
        <w:rPr>
          <w:rFonts w:hint="eastAsia" w:ascii="仿宋_GB2312" w:eastAsia="仿宋_GB2312"/>
          <w:sz w:val="32"/>
          <w:szCs w:val="32"/>
          <w:lang w:val="en-US" w:eastAsia="zh-CN"/>
        </w:rPr>
        <w:t>52.21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公务接待活动减少、厉行节约</w:t>
      </w:r>
      <w:r>
        <w:rPr>
          <w:rFonts w:hint="eastAsia" w:ascii="仿宋_GB2312"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000000"/>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0.97</w:t>
      </w:r>
      <w:r>
        <w:rPr>
          <w:rFonts w:hint="eastAsia" w:ascii="仿宋_GB2312" w:eastAsia="仿宋_GB2312"/>
          <w:sz w:val="32"/>
          <w:szCs w:val="32"/>
        </w:rPr>
        <w:t>万元，主要用于用餐费等。国内公务接待</w:t>
      </w:r>
      <w:r>
        <w:rPr>
          <w:rFonts w:hint="eastAsia" w:ascii="仿宋_GB2312" w:eastAsia="仿宋_GB2312"/>
          <w:sz w:val="32"/>
          <w:szCs w:val="32"/>
          <w:lang w:val="en-US" w:eastAsia="zh-CN"/>
        </w:rPr>
        <w:t>11</w:t>
      </w:r>
      <w:r>
        <w:rPr>
          <w:rFonts w:hint="eastAsia" w:ascii="仿宋_GB2312" w:eastAsia="仿宋_GB2312"/>
          <w:sz w:val="32"/>
          <w:szCs w:val="32"/>
        </w:rPr>
        <w:t>批次，</w:t>
      </w:r>
      <w:r>
        <w:rPr>
          <w:rFonts w:hint="eastAsia" w:ascii="仿宋_GB2312" w:eastAsia="仿宋_GB2312"/>
          <w:sz w:val="32"/>
          <w:szCs w:val="32"/>
          <w:lang w:val="en-US" w:eastAsia="zh-CN"/>
        </w:rPr>
        <w:t>81</w:t>
      </w:r>
      <w:r>
        <w:rPr>
          <w:rFonts w:hint="eastAsia" w:ascii="仿宋_GB2312" w:eastAsia="仿宋_GB2312"/>
          <w:sz w:val="32"/>
          <w:szCs w:val="32"/>
        </w:rPr>
        <w:t>人次，共计支出</w:t>
      </w:r>
      <w:r>
        <w:rPr>
          <w:rFonts w:hint="eastAsia" w:ascii="仿宋_GB2312" w:eastAsia="仿宋_GB2312"/>
          <w:sz w:val="32"/>
          <w:szCs w:val="32"/>
          <w:lang w:val="en-US" w:eastAsia="zh-CN"/>
        </w:rPr>
        <w:t>0.97</w:t>
      </w:r>
      <w:r>
        <w:rPr>
          <w:rFonts w:hint="eastAsia" w:ascii="仿宋_GB2312" w:eastAsia="仿宋_GB2312"/>
          <w:sz w:val="32"/>
          <w:szCs w:val="32"/>
        </w:rPr>
        <w:t>万元，具体内容包括：</w:t>
      </w:r>
      <w:r>
        <w:rPr>
          <w:rFonts w:hint="eastAsia" w:ascii="仿宋_GB2312" w:hAnsi="仿宋_GB2312" w:eastAsia="仿宋_GB2312" w:cs="仿宋_GB2312"/>
          <w:color w:val="000000"/>
          <w:sz w:val="32"/>
          <w:szCs w:val="32"/>
          <w:lang w:eastAsia="zh-CN"/>
        </w:rPr>
        <w:t>其他法院来我院交流学习、上级单位视察调研</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ascii="黑体" w:eastAsia="黑体"/>
          <w:sz w:val="32"/>
          <w:szCs w:val="32"/>
        </w:rPr>
      </w:pPr>
      <w:bookmarkStart w:id="63" w:name="_Toc15377218"/>
      <w:bookmarkStart w:id="64" w:name="_Toc15396610"/>
      <w:r>
        <w:rPr>
          <w:rFonts w:hint="eastAsia" w:ascii="仿宋" w:hAnsi="仿宋" w:eastAsia="仿宋"/>
          <w:b/>
          <w:color w:val="000000"/>
          <w:sz w:val="32"/>
          <w:szCs w:val="32"/>
        </w:rPr>
        <w:t>外事接待支出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19"/>
          <w:rFonts w:ascii="黑体" w:hAnsi="黑体" w:eastAsia="黑体"/>
        </w:rPr>
      </w:pPr>
      <w:bookmarkStart w:id="65" w:name="_Toc22293"/>
      <w:r>
        <w:rPr>
          <w:rFonts w:hint="eastAsia" w:ascii="黑体" w:eastAsia="黑体"/>
          <w:sz w:val="32"/>
          <w:szCs w:val="32"/>
        </w:rPr>
        <w:t>八、</w:t>
      </w:r>
      <w:r>
        <w:rPr>
          <w:rStyle w:val="19"/>
          <w:rFonts w:hint="eastAsia" w:ascii="黑体" w:hAnsi="黑体" w:eastAsia="黑体"/>
          <w:b w:val="0"/>
        </w:rPr>
        <w:t>政府性基金预算支出决算情况说明</w:t>
      </w:r>
      <w:bookmarkEnd w:id="63"/>
      <w:bookmarkEnd w:id="64"/>
      <w:bookmarkEnd w:id="65"/>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19"/>
          <w:rFonts w:ascii="黑体" w:hAnsi="黑体" w:eastAsia="黑体"/>
          <w:b w:val="0"/>
        </w:rPr>
      </w:pPr>
      <w:bookmarkStart w:id="66" w:name="_Toc26318"/>
      <w:bookmarkStart w:id="67" w:name="_Toc15396611"/>
      <w:bookmarkStart w:id="68" w:name="_Toc15377219"/>
      <w:r>
        <w:rPr>
          <w:rStyle w:val="19"/>
          <w:rFonts w:hint="eastAsia" w:ascii="黑体" w:hAnsi="黑体" w:eastAsia="黑体"/>
          <w:b w:val="0"/>
        </w:rPr>
        <w:t>国有资本经营预算支出决算情况说明</w:t>
      </w:r>
      <w:bookmarkEnd w:id="66"/>
      <w:bookmarkEnd w:id="67"/>
      <w:bookmarkEnd w:id="68"/>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19"/>
          <w:rFonts w:ascii="黑体" w:hAnsi="黑体" w:eastAsia="黑体"/>
          <w:b w:val="0"/>
        </w:rPr>
      </w:pPr>
      <w:bookmarkStart w:id="69" w:name="_Toc25384"/>
      <w:bookmarkStart w:id="70" w:name="_Toc15396612"/>
      <w:bookmarkStart w:id="71" w:name="_Toc15377221"/>
      <w:r>
        <w:rPr>
          <w:rStyle w:val="19"/>
          <w:rFonts w:hint="eastAsia" w:ascii="黑体" w:hAnsi="黑体" w:eastAsia="黑体"/>
          <w:b w:val="0"/>
        </w:rPr>
        <w:t>其他重要事项的情况说明</w:t>
      </w:r>
      <w:bookmarkEnd w:id="69"/>
      <w:bookmarkEnd w:id="70"/>
      <w:bookmarkEnd w:id="71"/>
    </w:p>
    <w:p>
      <w:pPr>
        <w:spacing w:line="600" w:lineRule="exact"/>
        <w:ind w:firstLine="643" w:firstLineChars="200"/>
        <w:outlineLvl w:val="2"/>
        <w:rPr>
          <w:rFonts w:ascii="仿宋" w:hAnsi="仿宋" w:eastAsia="仿宋"/>
          <w:sz w:val="32"/>
          <w:szCs w:val="32"/>
        </w:rPr>
      </w:pPr>
      <w:bookmarkStart w:id="72" w:name="_Toc15377222"/>
      <w:r>
        <w:rPr>
          <w:rFonts w:hint="eastAsia" w:ascii="仿宋" w:hAnsi="仿宋" w:eastAsia="仿宋"/>
          <w:b/>
          <w:sz w:val="32"/>
          <w:szCs w:val="32"/>
        </w:rPr>
        <w:t>（一）机关运行经费支出情况</w:t>
      </w:r>
      <w:bookmarkEnd w:id="72"/>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区法院</w:t>
      </w:r>
      <w:r>
        <w:rPr>
          <w:rFonts w:hint="eastAsia" w:ascii="仿宋_GB2312" w:eastAsia="仿宋_GB2312"/>
          <w:sz w:val="32"/>
          <w:szCs w:val="32"/>
        </w:rPr>
        <w:t>机关运行经费支出</w:t>
      </w:r>
      <w:r>
        <w:rPr>
          <w:rFonts w:hint="eastAsia" w:ascii="仿宋_GB2312" w:eastAsia="仿宋_GB2312"/>
          <w:sz w:val="32"/>
          <w:szCs w:val="32"/>
          <w:lang w:val="en-US" w:eastAsia="zh-CN"/>
        </w:rPr>
        <w:t>122.98</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6.27</w:t>
      </w:r>
      <w:r>
        <w:rPr>
          <w:rFonts w:hint="eastAsia" w:ascii="仿宋_GB2312" w:eastAsia="仿宋_GB2312"/>
          <w:sz w:val="32"/>
          <w:szCs w:val="32"/>
        </w:rPr>
        <w:t>万元，下降</w:t>
      </w:r>
      <w:r>
        <w:rPr>
          <w:rFonts w:hint="eastAsia" w:ascii="仿宋_GB2312" w:eastAsia="仿宋_GB2312"/>
          <w:sz w:val="32"/>
          <w:szCs w:val="32"/>
          <w:lang w:val="en-US" w:eastAsia="zh-CN"/>
        </w:rPr>
        <w:t>4.85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相关人员调离调出。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3"/>
      <w:r>
        <w:rPr>
          <w:rFonts w:hint="eastAsia" w:ascii="仿宋" w:hAnsi="仿宋" w:eastAsia="仿宋"/>
          <w:b/>
          <w:sz w:val="32"/>
          <w:szCs w:val="32"/>
        </w:rPr>
        <w:t>（二）政府采购支出情况</w:t>
      </w:r>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区法院</w:t>
      </w:r>
      <w:r>
        <w:rPr>
          <w:rFonts w:hint="eastAsia" w:ascii="仿宋_GB2312" w:eastAsia="仿宋_GB2312"/>
          <w:sz w:val="32"/>
          <w:szCs w:val="32"/>
        </w:rPr>
        <w:t>政府采购支出总额</w:t>
      </w:r>
      <w:r>
        <w:rPr>
          <w:rFonts w:hint="eastAsia" w:ascii="仿宋_GB2312" w:eastAsia="仿宋_GB2312"/>
          <w:sz w:val="32"/>
          <w:szCs w:val="32"/>
          <w:lang w:val="en-US" w:eastAsia="zh-CN"/>
        </w:rPr>
        <w:t>54.47</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54.47</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执勤执法车辆采购</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4"/>
      <w:r>
        <w:rPr>
          <w:rFonts w:hint="eastAsia" w:ascii="仿宋" w:hAnsi="仿宋" w:eastAsia="仿宋"/>
          <w:b/>
          <w:sz w:val="32"/>
          <w:szCs w:val="32"/>
        </w:rPr>
        <w:t>（三）国有资产占有使用情况</w:t>
      </w:r>
      <w:bookmarkEnd w:id="7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区法院</w:t>
      </w:r>
      <w:r>
        <w:rPr>
          <w:rFonts w:hint="eastAsia" w:ascii="仿宋_GB2312" w:eastAsia="仿宋_GB2312"/>
          <w:sz w:val="32"/>
          <w:szCs w:val="32"/>
        </w:rPr>
        <w:t>共有车辆</w:t>
      </w:r>
      <w:r>
        <w:rPr>
          <w:rFonts w:hint="eastAsia" w:ascii="仿宋_GB2312" w:eastAsia="仿宋_GB2312"/>
          <w:sz w:val="32"/>
          <w:szCs w:val="32"/>
          <w:lang w:val="en-US" w:eastAsia="zh-CN"/>
        </w:rPr>
        <w:t>11</w:t>
      </w:r>
      <w:r>
        <w:rPr>
          <w:rFonts w:hint="eastAsia" w:ascii="仿宋_GB2312" w:eastAsia="仿宋_GB2312"/>
          <w:sz w:val="32"/>
          <w:szCs w:val="32"/>
        </w:rPr>
        <w:t>辆，其中：</w:t>
      </w:r>
      <w:r>
        <w:rPr>
          <w:rFonts w:hint="eastAsia" w:ascii="仿宋_GB2312" w:eastAsia="仿宋_GB2312"/>
          <w:color w:val="000000"/>
          <w:sz w:val="32"/>
          <w:szCs w:val="32"/>
        </w:rPr>
        <w:t>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执法执勤用车</w:t>
      </w:r>
      <w:r>
        <w:rPr>
          <w:rFonts w:hint="eastAsia" w:ascii="仿宋_GB2312" w:eastAsia="仿宋_GB2312"/>
          <w:color w:val="000000"/>
          <w:sz w:val="32"/>
          <w:szCs w:val="32"/>
          <w:lang w:val="en-US" w:eastAsia="zh-CN"/>
        </w:rPr>
        <w:t>11辆</w:t>
      </w:r>
      <w:r>
        <w:rPr>
          <w:rFonts w:hint="eastAsia" w:ascii="仿宋_GB2312" w:eastAsia="仿宋_GB2312"/>
          <w:color w:val="000000"/>
          <w:sz w:val="32"/>
          <w:szCs w:val="32"/>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办案业务经费、案件执行业务经费、陪审员工作经费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区法院</w:t>
      </w:r>
      <w:r>
        <w:rPr>
          <w:rFonts w:hint="eastAsia" w:ascii="仿宋_GB2312" w:hAnsi="仿宋_GB2312" w:eastAsia="仿宋_GB2312" w:cs="仿宋_GB2312"/>
          <w:sz w:val="32"/>
          <w:szCs w:val="32"/>
        </w:rPr>
        <w:t>部门整体绩效评价报告》见附件（第四部分）。</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18"/>
          <w:rFonts w:ascii="黑体" w:hAnsi="黑体" w:eastAsia="黑体"/>
          <w:b w:val="0"/>
        </w:rPr>
      </w:pPr>
      <w:bookmarkStart w:id="75" w:name="_Toc15377225"/>
      <w:bookmarkStart w:id="76" w:name="_Toc15396613"/>
      <w:bookmarkStart w:id="77" w:name="_Toc8948"/>
      <w:r>
        <w:rPr>
          <w:rFonts w:hint="eastAsia" w:ascii="黑体" w:hAnsi="黑体" w:eastAsia="黑体"/>
          <w:sz w:val="44"/>
          <w:szCs w:val="44"/>
        </w:rPr>
        <w:t>名</w:t>
      </w:r>
      <w:r>
        <w:rPr>
          <w:rStyle w:val="18"/>
          <w:rFonts w:hint="eastAsia" w:ascii="黑体" w:hAnsi="黑体" w:eastAsia="黑体"/>
          <w:b w:val="0"/>
        </w:rPr>
        <w:t>词解释</w:t>
      </w:r>
      <w:bookmarkEnd w:id="75"/>
      <w:bookmarkEnd w:id="76"/>
      <w:bookmarkEnd w:id="77"/>
    </w:p>
    <w:p>
      <w:pPr>
        <w:spacing w:line="600" w:lineRule="exact"/>
        <w:jc w:val="left"/>
        <w:rPr>
          <w:rFonts w:ascii="宋体"/>
          <w:b/>
          <w:sz w:val="44"/>
          <w:szCs w:val="44"/>
        </w:rPr>
      </w:pP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bookmarkStart w:id="78"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lang w:eastAsia="zh-CN"/>
        </w:rPr>
        <w:t>公共安全</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法院</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公共安全</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法院</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一般行政管理事务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反映行政单位（包含实行公务员管理的事业单位）未单独设置项级科目的其他项目支出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w:t>
      </w:r>
      <w:r>
        <w:rPr>
          <w:rFonts w:hint="eastAsia" w:ascii="仿宋_GB2312" w:eastAsia="仿宋_GB2312"/>
          <w:color w:val="000000"/>
          <w:sz w:val="32"/>
          <w:szCs w:val="32"/>
          <w:lang w:eastAsia="zh-CN"/>
        </w:rPr>
        <w:t>法院</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案件审判</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反映人民法院对刑事、民事、行政、涉外等案件审判活动的支出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lang w:eastAsia="zh-CN"/>
        </w:rPr>
        <w:t>公共安全</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法院</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案件执行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反映人民法院对刑事、民事、行政、涉外等案件执行活动和对各种非诉执行活动的支出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反映机关事业单位实施养老保险制度由单位缴纳的基本养老保险费支出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机关事业单位职业年金缴费支出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反映机关事业单位实施养老保险制度由单位缴纳的职业年金支出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反映财政部门集中安排的行政单位基本医疗保险缴费经费，未参加医疗保险的行政单位的公费医疗经费，按国家规定享受离休人员、红军老战士待遇人员的医疗经费</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lang w:eastAsia="zh-CN"/>
        </w:rPr>
        <w:t>教育支出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进修及培训</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培训支出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反映各部门安排的用于培训的支出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反映行政事业单位按人力资源和社会保障部、财政部规定的基本工资和津贴补贴以及规定比列为职工缴纳的住房公积金</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lang w:eastAsia="zh-CN"/>
        </w:rPr>
        <w:t>项目支出：指在基本支出之外为完成特定行政任务和事业发展目标所发生的支出。</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19.经营支出：指事业单位在专业业务活动及其辅助活动之外开展非独立核算经营活动发生的支出。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keepNext w:val="0"/>
        <w:keepLines w:val="0"/>
        <w:pageBreakBefore w:val="0"/>
        <w:widowControl w:val="0"/>
        <w:kinsoku/>
        <w:wordWrap/>
        <w:overflowPunct/>
        <w:topLinePunct w:val="0"/>
        <w:bidi w:val="0"/>
        <w:snapToGrid/>
        <w:spacing w:line="640" w:lineRule="exact"/>
        <w:ind w:right="0" w:rightChars="0" w:firstLine="640" w:firstLineChars="200"/>
        <w:textAlignment w:val="auto"/>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8"/>
          <w:rFonts w:ascii="黑体" w:hAnsi="黑体" w:eastAsia="黑体"/>
          <w:b w:val="0"/>
        </w:rPr>
      </w:pPr>
      <w:r>
        <w:rPr>
          <w:rFonts w:ascii="宋体"/>
          <w:b/>
          <w:sz w:val="44"/>
          <w:szCs w:val="44"/>
        </w:rPr>
        <w:br w:type="page"/>
      </w:r>
      <w:bookmarkStart w:id="79" w:name="_Toc15396614"/>
      <w:bookmarkStart w:id="80" w:name="_Toc24241"/>
      <w:r>
        <w:rPr>
          <w:rFonts w:hint="eastAsia" w:ascii="黑体" w:hAnsi="黑体" w:eastAsia="黑体"/>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79"/>
      <w:bookmarkEnd w:id="80"/>
    </w:p>
    <w:p>
      <w:pPr>
        <w:spacing w:line="572" w:lineRule="exact"/>
        <w:jc w:val="left"/>
        <w:outlineLvl w:val="0"/>
        <w:rPr>
          <w:rFonts w:ascii="方正小标宋简体" w:hAnsi="方正小标宋简体" w:eastAsia="方正小标宋简体" w:cs="方正小标宋简体"/>
          <w:sz w:val="44"/>
          <w:szCs w:val="44"/>
        </w:rPr>
      </w:pPr>
      <w:bookmarkStart w:id="81" w:name="_Toc11532"/>
      <w:r>
        <w:rPr>
          <w:rFonts w:hint="eastAsia" w:ascii="黑体" w:hAnsi="黑体" w:eastAsia="黑体" w:cs="黑体"/>
          <w:sz w:val="32"/>
          <w:szCs w:val="32"/>
        </w:rPr>
        <w:t>附件</w:t>
      </w:r>
      <w:bookmarkEnd w:id="81"/>
    </w:p>
    <w:p>
      <w:pPr>
        <w:spacing w:line="572"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eastAsia="zh-CN"/>
        </w:rPr>
        <w:t>区法院</w:t>
      </w:r>
      <w:r>
        <w:rPr>
          <w:rFonts w:hint="eastAsia" w:ascii="方正小标宋简体" w:hAnsi="宋体" w:eastAsia="方正小标宋简体"/>
          <w:kern w:val="0"/>
          <w:sz w:val="40"/>
          <w:szCs w:val="44"/>
        </w:rPr>
        <w:t>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640" w:lineRule="exact"/>
        <w:ind w:left="0" w:leftChars="0" w:right="0" w:righ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640" w:lineRule="exact"/>
        <w:ind w:left="0" w:leftChars="0" w:right="0" w:rightChars="0" w:firstLine="640" w:firstLineChars="200"/>
        <w:contextualSpacing/>
        <w:jc w:val="left"/>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 xml:space="preserve"> </w:t>
      </w:r>
      <w:r>
        <w:rPr>
          <w:rFonts w:hint="eastAsia" w:ascii="仿宋_GB2312" w:hAnsi="仿宋_GB2312" w:eastAsia="仿宋_GB2312" w:cs="仿宋_GB2312"/>
          <w:bCs/>
          <w:color w:val="000000"/>
          <w:kern w:val="0"/>
          <w:sz w:val="32"/>
          <w:szCs w:val="32"/>
          <w:lang w:val="en-US" w:eastAsia="zh-CN" w:bidi="ar-SA"/>
        </w:rPr>
        <w:t>广元市朝天区人民法院属于一级预算单位，没有下属二级单位。</w:t>
      </w:r>
    </w:p>
    <w:p>
      <w:pPr>
        <w:keepNext w:val="0"/>
        <w:keepLines w:val="0"/>
        <w:pageBreakBefore w:val="0"/>
        <w:widowControl/>
        <w:kinsoku/>
        <w:wordWrap/>
        <w:overflowPunct/>
        <w:topLinePunct w:val="0"/>
        <w:autoSpaceDE/>
        <w:autoSpaceDN/>
        <w:bidi w:val="0"/>
        <w:adjustRightInd w:val="0"/>
        <w:snapToGrid w:val="0"/>
        <w:spacing w:line="640" w:lineRule="exact"/>
        <w:ind w:left="0" w:leftChars="0" w:right="0" w:rightChars="0"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（二）机构职能。</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eastAsia="zh-CN"/>
        </w:rPr>
        <w:t>广元市朝天区人民法院是国家审判机关，依法独立行使审判权，对朝天区人民代表大会及其常委会负责并报告工作，接受区人民代表大会及其常务委员会的法律监督、政协朝天区委员会的民主监督和广元市中级人民法院的指导。</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依法审判法律规定由本院管辖和指定管辖的刑事、民事、行政等案件。</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受理不服本院生效裁判的各类申诉和再审申请，对其中可能有错误的进行再审；审判市中级法院指定审理和再审的案件。</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eastAsia="zh-CN"/>
        </w:rPr>
        <w:t>依法行使司法执行权和司法决定权。</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eastAsia="zh-CN"/>
        </w:rPr>
        <w:t>对本院的法官、司法警察和其他工作人员进行教育、管理和培训工作。</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lang w:eastAsia="zh-CN"/>
        </w:rPr>
        <w:t>对本院的法官、司法警察和其他工作人员实施廉政建设教育和纪检监察工作，报处和查处本院干警违纪案件。</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lang w:eastAsia="zh-CN"/>
        </w:rPr>
        <w:t>在审判工作中宣传法制、教育公民遵守宪法、法律。</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lang w:eastAsia="zh-CN"/>
        </w:rPr>
        <w:t>规划、管理本院财务、装备工作。</w:t>
      </w:r>
    </w:p>
    <w:p>
      <w:pPr>
        <w:pStyle w:val="6"/>
        <w:keepNext w:val="0"/>
        <w:keepLines w:val="0"/>
        <w:pageBreakBefore w:val="0"/>
        <w:widowControl w:val="0"/>
        <w:kinsoku/>
        <w:wordWrap/>
        <w:overflowPunct/>
        <w:topLinePunct w:val="0"/>
        <w:autoSpaceDE/>
        <w:autoSpaceDN/>
        <w:bidi w:val="0"/>
        <w:adjustRightInd w:val="0"/>
        <w:snapToGrid w:val="0"/>
        <w:spacing w:before="93" w:line="640" w:lineRule="exact"/>
        <w:ind w:right="0" w:rightChars="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lang w:eastAsia="zh-CN"/>
        </w:rPr>
        <w:t>承办其他应由本院负责的工作。</w:t>
      </w:r>
    </w:p>
    <w:p>
      <w:pPr>
        <w:keepNext w:val="0"/>
        <w:keepLines w:val="0"/>
        <w:pageBreakBefore w:val="0"/>
        <w:widowControl/>
        <w:kinsoku/>
        <w:wordWrap/>
        <w:overflowPunct/>
        <w:topLinePunct w:val="0"/>
        <w:autoSpaceDE/>
        <w:autoSpaceDN/>
        <w:bidi w:val="0"/>
        <w:adjustRightInd w:val="0"/>
        <w:snapToGrid w:val="0"/>
        <w:spacing w:line="640" w:lineRule="exact"/>
        <w:ind w:right="0" w:rightChars="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640" w:lineRule="exact"/>
        <w:ind w:right="0" w:rightChars="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本年度实有在编人员48人，聘用制人员38人。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640" w:lineRule="exact"/>
        <w:ind w:right="0" w:rightChars="0"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hAnsi="宋体" w:eastAsia="仿宋_GB2312" w:cs="宋体"/>
          <w:color w:val="000000"/>
          <w:kern w:val="0"/>
          <w:sz w:val="32"/>
          <w:szCs w:val="32"/>
          <w:shd w:val="clear" w:color="auto" w:fill="FFFFFF"/>
          <w:lang w:val="zh-CN"/>
        </w:rPr>
      </w:pPr>
      <w:bookmarkStart w:id="82" w:name="_Toc10318"/>
      <w:bookmarkStart w:id="83" w:name="_Toc28357"/>
      <w:bookmarkStart w:id="84" w:name="_Toc14620"/>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年本年收入合计</w:t>
      </w:r>
      <w:r>
        <w:rPr>
          <w:rFonts w:hint="eastAsia" w:ascii="仿宋_GB2312" w:hAnsi="仿宋_GB2312" w:eastAsia="仿宋_GB2312" w:cs="仿宋_GB2312"/>
          <w:b w:val="0"/>
          <w:bCs w:val="0"/>
          <w:kern w:val="2"/>
          <w:sz w:val="32"/>
          <w:szCs w:val="32"/>
          <w:lang w:val="en-US" w:eastAsia="zh-CN" w:bidi="ar-SA"/>
        </w:rPr>
        <w:t>1271.76</w:t>
      </w:r>
      <w:r>
        <w:rPr>
          <w:rFonts w:hint="eastAsia" w:ascii="仿宋" w:hAnsi="仿宋" w:eastAsia="仿宋"/>
          <w:color w:val="000000"/>
          <w:sz w:val="32"/>
          <w:szCs w:val="32"/>
        </w:rPr>
        <w:t>万元，其中：一般公共预算财政拨款收入</w:t>
      </w:r>
      <w:r>
        <w:rPr>
          <w:rFonts w:hint="eastAsia" w:ascii="仿宋_GB2312" w:hAnsi="仿宋_GB2312" w:eastAsia="仿宋_GB2312" w:cs="仿宋_GB2312"/>
          <w:b w:val="0"/>
          <w:bCs w:val="0"/>
          <w:kern w:val="2"/>
          <w:sz w:val="32"/>
          <w:szCs w:val="32"/>
          <w:lang w:val="en-US" w:eastAsia="zh-CN" w:bidi="ar-SA"/>
        </w:rPr>
        <w:t>1271.76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bookmarkEnd w:id="82"/>
      <w:bookmarkEnd w:id="83"/>
      <w:bookmarkEnd w:id="84"/>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right="0" w:rightChars="0"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adjustRightInd w:val="0"/>
        <w:snapToGrid w:val="0"/>
        <w:spacing w:line="572" w:lineRule="exact"/>
        <w:ind w:firstLine="640" w:firstLineChars="200"/>
        <w:contextualSpacing/>
        <w:jc w:val="left"/>
        <w:rPr>
          <w:rFonts w:hint="eastAsia" w:ascii="仿宋" w:hAnsi="仿宋" w:eastAsia="仿宋"/>
          <w:color w:val="000000"/>
          <w:sz w:val="32"/>
          <w:szCs w:val="32"/>
          <w:lang w:val="en-US" w:eastAsia="zh-CN"/>
        </w:rPr>
      </w:pPr>
      <w:bookmarkStart w:id="85" w:name="_Toc3895"/>
      <w:bookmarkStart w:id="86" w:name="_Toc4734"/>
      <w:bookmarkStart w:id="87" w:name="_Toc11278"/>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年本年支出合计</w:t>
      </w:r>
      <w:r>
        <w:rPr>
          <w:rFonts w:hint="eastAsia" w:ascii="仿宋_GB2312" w:hAnsi="仿宋_GB2312" w:eastAsia="仿宋_GB2312" w:cs="仿宋_GB2312"/>
          <w:color w:val="000000"/>
          <w:sz w:val="32"/>
          <w:szCs w:val="32"/>
          <w:lang w:val="en-US" w:eastAsia="zh-CN"/>
        </w:rPr>
        <w:t>1378.84</w:t>
      </w:r>
      <w:r>
        <w:rPr>
          <w:rFonts w:hint="eastAsia" w:ascii="仿宋" w:hAnsi="仿宋" w:eastAsia="仿宋"/>
          <w:color w:val="000000"/>
          <w:sz w:val="32"/>
          <w:szCs w:val="32"/>
        </w:rPr>
        <w:t>万元，其中：</w:t>
      </w:r>
      <w:r>
        <w:rPr>
          <w:rFonts w:hint="eastAsia" w:ascii="仿宋_GB2312" w:hAnsi="仿宋_GB2312" w:eastAsia="仿宋_GB2312" w:cs="仿宋_GB2312"/>
          <w:color w:val="000000"/>
          <w:sz w:val="32"/>
          <w:szCs w:val="32"/>
        </w:rPr>
        <w:t>其中：基本支出</w:t>
      </w:r>
      <w:r>
        <w:rPr>
          <w:rFonts w:hint="eastAsia" w:ascii="仿宋_GB2312" w:hAnsi="仿宋_GB2312" w:eastAsia="仿宋_GB2312" w:cs="仿宋_GB2312"/>
          <w:color w:val="000000"/>
          <w:sz w:val="32"/>
          <w:szCs w:val="32"/>
          <w:lang w:val="en-US" w:eastAsia="zh-CN"/>
        </w:rPr>
        <w:t>1003.07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72.75</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375.77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27.25</w:t>
      </w:r>
      <w:r>
        <w:rPr>
          <w:rFonts w:hint="eastAsia" w:ascii="仿宋_GB2312" w:hAnsi="仿宋_GB2312" w:eastAsia="仿宋_GB2312" w:cs="仿宋_GB2312"/>
          <w:color w:val="000000"/>
          <w:sz w:val="32"/>
          <w:szCs w:val="32"/>
        </w:rPr>
        <w:t>%</w:t>
      </w:r>
      <w:r>
        <w:rPr>
          <w:rFonts w:hint="eastAsia" w:ascii="仿宋" w:hAnsi="仿宋" w:eastAsia="仿宋"/>
          <w:color w:val="000000"/>
          <w:sz w:val="32"/>
          <w:szCs w:val="32"/>
        </w:rPr>
        <w:t>。</w:t>
      </w:r>
      <w:bookmarkEnd w:id="85"/>
      <w:bookmarkEnd w:id="86"/>
      <w:bookmarkEnd w:id="87"/>
      <w:r>
        <w:rPr>
          <w:rFonts w:hint="eastAsia" w:ascii="仿宋" w:hAnsi="仿宋" w:eastAsia="仿宋"/>
          <w:color w:val="000000"/>
          <w:sz w:val="32"/>
          <w:szCs w:val="32"/>
          <w:lang w:val="en-US" w:eastAsia="zh-CN"/>
        </w:rPr>
        <w:t xml:space="preserve"> </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pStyle w:val="6"/>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仿宋_GB2312" w:eastAsia="仿宋_GB2312"/>
          <w:sz w:val="32"/>
          <w:szCs w:val="32"/>
        </w:rPr>
      </w:pPr>
      <w:r>
        <w:rPr>
          <w:rFonts w:hint="eastAsia" w:hAnsi="Times New Roman" w:eastAsia="仿宋_GB2312" w:cs="Times New Roman"/>
          <w:kern w:val="2"/>
          <w:sz w:val="32"/>
          <w:szCs w:val="32"/>
          <w:lang w:val="en-US" w:eastAsia="zh-CN" w:bidi="ar-SA"/>
        </w:rPr>
        <w:t>绩效目标编制情况。</w:t>
      </w:r>
      <w:r>
        <w:rPr>
          <w:rFonts w:hint="eastAsia" w:ascii="仿宋_GB2312" w:hAnsi="Times New Roman" w:eastAsia="仿宋_GB2312" w:cs="Times New Roman"/>
          <w:kern w:val="2"/>
          <w:sz w:val="32"/>
          <w:szCs w:val="32"/>
          <w:lang w:val="en-US" w:eastAsia="zh-CN" w:bidi="ar-SA"/>
        </w:rPr>
        <w:t>部门整体绩效目标</w:t>
      </w:r>
      <w:r>
        <w:rPr>
          <w:rFonts w:hint="eastAsia"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专项</w:t>
      </w:r>
      <w:r>
        <w:rPr>
          <w:rFonts w:hint="eastAsia" w:ascii="仿宋_GB2312" w:hAnsi="Times New Roman" w:eastAsia="仿宋_GB2312" w:cs="Times New Roman"/>
          <w:kern w:val="2"/>
          <w:sz w:val="32"/>
          <w:szCs w:val="32"/>
          <w:lang w:val="en-US" w:eastAsia="zh-CN" w:bidi="ar-SA"/>
        </w:rPr>
        <w:t>项目绩效目编制</w:t>
      </w:r>
      <w:r>
        <w:rPr>
          <w:rFonts w:hint="eastAsia" w:cs="Times New Roman"/>
          <w:kern w:val="2"/>
          <w:sz w:val="32"/>
          <w:szCs w:val="32"/>
          <w:lang w:val="en-US" w:eastAsia="zh-CN" w:bidi="ar-SA"/>
        </w:rPr>
        <w:t>根据法院审判执行工作开展，结合法院审判质效相关要求</w:t>
      </w:r>
      <w:r>
        <w:rPr>
          <w:rFonts w:hint="eastAsia" w:ascii="仿宋_GB2312" w:hAnsi="Times New Roman" w:eastAsia="仿宋_GB2312" w:cs="Times New Roman"/>
          <w:kern w:val="2"/>
          <w:sz w:val="32"/>
          <w:szCs w:val="32"/>
          <w:lang w:val="en-US" w:eastAsia="zh-CN" w:bidi="ar-SA"/>
        </w:rPr>
        <w:t>，对绩效指标</w:t>
      </w:r>
      <w:r>
        <w:rPr>
          <w:rFonts w:hint="eastAsia" w:cs="Times New Roman"/>
          <w:kern w:val="2"/>
          <w:sz w:val="32"/>
          <w:szCs w:val="32"/>
          <w:lang w:val="en-US" w:eastAsia="zh-CN" w:bidi="ar-SA"/>
        </w:rPr>
        <w:t>结合考核指标</w:t>
      </w:r>
      <w:r>
        <w:rPr>
          <w:rFonts w:hint="eastAsia" w:ascii="仿宋_GB2312" w:hAnsi="Times New Roman" w:eastAsia="仿宋_GB2312" w:cs="Times New Roman"/>
          <w:kern w:val="2"/>
          <w:sz w:val="32"/>
          <w:szCs w:val="32"/>
          <w:lang w:val="en-US" w:eastAsia="zh-CN" w:bidi="ar-SA"/>
        </w:rPr>
        <w:t>尽量量化。整体绩效目标涵盖</w:t>
      </w:r>
      <w:r>
        <w:rPr>
          <w:rFonts w:hint="eastAsia" w:hAnsi="Times New Roman" w:eastAsia="仿宋_GB2312" w:cs="Times New Roman"/>
          <w:kern w:val="2"/>
          <w:sz w:val="32"/>
          <w:szCs w:val="32"/>
          <w:lang w:val="en-US" w:eastAsia="zh-CN" w:bidi="ar-SA"/>
        </w:rPr>
        <w:t>了</w:t>
      </w:r>
      <w:r>
        <w:rPr>
          <w:rFonts w:hint="eastAsia" w:cs="Times New Roman"/>
          <w:kern w:val="2"/>
          <w:sz w:val="32"/>
          <w:szCs w:val="32"/>
          <w:lang w:val="en-US" w:eastAsia="zh-CN" w:bidi="ar-SA"/>
        </w:rPr>
        <w:t>我院审判执行工作各项要求，总体分为</w:t>
      </w:r>
      <w:r>
        <w:rPr>
          <w:rFonts w:hint="eastAsia" w:ascii="仿宋_GB2312" w:hAnsi="Times New Roman" w:eastAsia="仿宋_GB2312" w:cs="Times New Roman"/>
          <w:kern w:val="2"/>
          <w:sz w:val="32"/>
          <w:szCs w:val="32"/>
          <w:lang w:val="en-US" w:eastAsia="zh-CN" w:bidi="ar-SA"/>
        </w:rPr>
        <w:t>单位基本支出和所有项目支出</w:t>
      </w:r>
      <w:r>
        <w:rPr>
          <w:rFonts w:hint="eastAsia" w:cs="Times New Roman"/>
          <w:kern w:val="2"/>
          <w:sz w:val="32"/>
          <w:szCs w:val="32"/>
          <w:lang w:val="en-US" w:eastAsia="zh-CN" w:bidi="ar-SA"/>
        </w:rPr>
        <w:t>。</w:t>
      </w:r>
      <w:r>
        <w:rPr>
          <w:rFonts w:hint="eastAsia" w:hAnsi="Times New Roman" w:eastAsia="仿宋_GB2312" w:cs="Times New Roman"/>
          <w:kern w:val="2"/>
          <w:sz w:val="32"/>
          <w:szCs w:val="32"/>
          <w:lang w:val="en-US" w:eastAsia="zh-CN" w:bidi="ar-SA"/>
        </w:rPr>
        <w:t>绩效监控情况。按照</w:t>
      </w:r>
      <w:r>
        <w:rPr>
          <w:rFonts w:hint="eastAsia" w:cs="Times New Roman"/>
          <w:kern w:val="2"/>
          <w:sz w:val="32"/>
          <w:szCs w:val="32"/>
          <w:lang w:val="en-US" w:eastAsia="zh-CN" w:bidi="ar-SA"/>
        </w:rPr>
        <w:t>年初</w:t>
      </w:r>
      <w:r>
        <w:rPr>
          <w:rFonts w:hint="eastAsia" w:hAnsi="Times New Roman" w:eastAsia="仿宋_GB2312" w:cs="Times New Roman"/>
          <w:kern w:val="2"/>
          <w:sz w:val="32"/>
          <w:szCs w:val="32"/>
          <w:lang w:val="en-US" w:eastAsia="zh-CN" w:bidi="ar-SA"/>
        </w:rPr>
        <w:t>预算批复，</w:t>
      </w:r>
      <w:r>
        <w:rPr>
          <w:rFonts w:hint="eastAsia"/>
          <w:sz w:val="32"/>
          <w:szCs w:val="32"/>
          <w:lang w:eastAsia="zh-CN"/>
        </w:rPr>
        <w:t>对重点项目</w:t>
      </w:r>
      <w:r>
        <w:rPr>
          <w:rFonts w:hint="eastAsia" w:ascii="仿宋_GB2312" w:eastAsia="仿宋_GB2312"/>
          <w:sz w:val="32"/>
          <w:szCs w:val="32"/>
        </w:rPr>
        <w:t>资金监控，随时监控</w:t>
      </w:r>
      <w:r>
        <w:rPr>
          <w:rFonts w:hint="eastAsia" w:eastAsia="仿宋_GB2312"/>
          <w:sz w:val="32"/>
          <w:szCs w:val="32"/>
          <w:lang w:eastAsia="zh-CN"/>
        </w:rPr>
        <w:t>预算</w:t>
      </w:r>
      <w:r>
        <w:rPr>
          <w:rFonts w:hint="eastAsia" w:ascii="仿宋_GB2312" w:eastAsia="仿宋_GB2312"/>
          <w:sz w:val="32"/>
          <w:szCs w:val="32"/>
        </w:rPr>
        <w:t>实施进度。</w:t>
      </w:r>
      <w:r>
        <w:rPr>
          <w:rFonts w:hint="eastAsia" w:hAnsi="Times New Roman" w:eastAsia="仿宋_GB2312" w:cs="Times New Roman"/>
          <w:kern w:val="2"/>
          <w:sz w:val="32"/>
          <w:szCs w:val="32"/>
          <w:lang w:val="en-US" w:eastAsia="zh-CN" w:bidi="ar-SA"/>
        </w:rPr>
        <w:t>同时，按照</w:t>
      </w:r>
      <w:r>
        <w:rPr>
          <w:rFonts w:hint="eastAsia" w:cs="Times New Roman"/>
          <w:kern w:val="2"/>
          <w:sz w:val="32"/>
          <w:szCs w:val="32"/>
          <w:lang w:val="en-US" w:eastAsia="zh-CN" w:bidi="ar-SA"/>
        </w:rPr>
        <w:t>区</w:t>
      </w:r>
      <w:r>
        <w:rPr>
          <w:rFonts w:hint="eastAsia" w:hAnsi="Times New Roman" w:eastAsia="仿宋_GB2312" w:cs="Times New Roman"/>
          <w:kern w:val="2"/>
          <w:sz w:val="32"/>
          <w:szCs w:val="32"/>
          <w:lang w:val="en-US" w:eastAsia="zh-CN" w:bidi="ar-SA"/>
        </w:rPr>
        <w:t>财政要求填报了相关报表。</w:t>
      </w:r>
      <w:r>
        <w:rPr>
          <w:rFonts w:hint="eastAsia" w:cs="Times New Roman"/>
          <w:kern w:val="2"/>
          <w:sz w:val="32"/>
          <w:szCs w:val="32"/>
          <w:lang w:val="en-US" w:eastAsia="zh-CN" w:bidi="ar-SA"/>
        </w:rPr>
        <w:t>绩效目标完成较为良好。</w:t>
      </w:r>
      <w:r>
        <w:rPr>
          <w:rFonts w:hint="eastAsia" w:ascii="仿宋_GB2312" w:eastAsia="仿宋_GB2312"/>
          <w:sz w:val="32"/>
          <w:szCs w:val="32"/>
        </w:rPr>
        <w:t>绩效评价开展、评价结果报告情况。积极配合</w:t>
      </w:r>
      <w:r>
        <w:rPr>
          <w:rFonts w:hint="eastAsia"/>
          <w:sz w:val="32"/>
          <w:szCs w:val="32"/>
          <w:lang w:eastAsia="zh-CN"/>
        </w:rPr>
        <w:t>区</w:t>
      </w:r>
      <w:r>
        <w:rPr>
          <w:rFonts w:hint="eastAsia" w:ascii="仿宋_GB2312" w:eastAsia="仿宋_GB2312"/>
          <w:sz w:val="32"/>
          <w:szCs w:val="32"/>
        </w:rPr>
        <w:t>财政局开展绩效评价有关工作，</w:t>
      </w:r>
      <w:r>
        <w:rPr>
          <w:rFonts w:hint="eastAsia"/>
          <w:sz w:val="32"/>
          <w:szCs w:val="32"/>
          <w:lang w:eastAsia="zh-CN"/>
        </w:rPr>
        <w:t>并</w:t>
      </w:r>
      <w:r>
        <w:rPr>
          <w:rFonts w:hint="eastAsia" w:ascii="仿宋_GB2312" w:eastAsia="仿宋_GB2312"/>
          <w:sz w:val="32"/>
          <w:szCs w:val="32"/>
        </w:rPr>
        <w:t>按时报送了</w:t>
      </w:r>
      <w:r>
        <w:rPr>
          <w:rFonts w:hint="eastAsia" w:ascii="仿宋_GB2312" w:eastAsia="仿宋_GB2312"/>
          <w:sz w:val="32"/>
          <w:szCs w:val="32"/>
          <w:lang w:val="en-US" w:eastAsia="zh-CN"/>
        </w:rPr>
        <w:t>202</w:t>
      </w:r>
      <w:r>
        <w:rPr>
          <w:rFonts w:hint="eastAsia"/>
          <w:sz w:val="32"/>
          <w:szCs w:val="32"/>
          <w:lang w:val="en-US" w:eastAsia="zh-CN"/>
        </w:rPr>
        <w:t>1</w:t>
      </w:r>
      <w:r>
        <w:rPr>
          <w:rFonts w:hint="eastAsia" w:ascii="仿宋_GB2312" w:eastAsia="仿宋_GB2312"/>
          <w:sz w:val="32"/>
          <w:szCs w:val="32"/>
        </w:rPr>
        <w:t>年部门支出绩效评价自评表等相关材料。</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内部应用</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我院将部门整体绩效评价和法院审判执行工作相结合，运用审判质效等行业化参数，对绩效指标进行合理化设置。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CN" w:bidi="ar-SA"/>
        </w:rPr>
        <w:t>自评公开。部门整体绩效评价我院根据财政部门要求进行开展，随决算公开一道进行公开。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w:t>
      </w:r>
      <w:r>
        <w:rPr>
          <w:rFonts w:hint="eastAsia" w:ascii="仿宋_GB2312" w:eastAsia="仿宋_GB2312" w:cs="Times New Roman"/>
          <w:kern w:val="2"/>
          <w:sz w:val="32"/>
          <w:szCs w:val="32"/>
          <w:lang w:val="en-US" w:eastAsia="zh-CN" w:bidi="ar-SA"/>
        </w:rPr>
        <w:t>问题整改</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暂无，然需要在设置年度指标时，不局限于审判质效的应用。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应用反馈</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根据年度指标运行情况，对以后的指标设置，积累了较好的工作经验。</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 xml:space="preserve">    </w:t>
      </w:r>
      <w:r>
        <w:rPr>
          <w:rFonts w:hint="eastAsia" w:ascii="仿宋_GB2312" w:eastAsia="仿宋_GB2312"/>
          <w:sz w:val="32"/>
          <w:szCs w:val="32"/>
          <w:lang w:val="en-US" w:eastAsia="zh-CN"/>
        </w:rPr>
        <w:t>2021年度整体绩效评价得分87分。</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 w:hAnsi="仿宋" w:eastAsia="仿宋" w:cs="Times New Roman"/>
          <w:b w:val="0"/>
          <w:bCs/>
          <w:color w:val="000000"/>
          <w:kern w:val="2"/>
          <w:sz w:val="32"/>
          <w:szCs w:val="32"/>
          <w:lang w:val="en-US" w:eastAsia="zh-CN" w:bidi="ar-SA"/>
        </w:rPr>
      </w:pPr>
      <w:r>
        <w:rPr>
          <w:rFonts w:hint="eastAsia" w:ascii="仿宋_GB2312" w:hAnsi="宋体" w:eastAsia="仿宋_GB2312" w:cs="宋体"/>
          <w:kern w:val="0"/>
          <w:sz w:val="32"/>
          <w:szCs w:val="32"/>
          <w:shd w:val="clear" w:color="auto" w:fill="FFFFFF"/>
          <w:lang w:val="zh-CN"/>
        </w:rPr>
        <w:t>（一）评价结论。</w:t>
      </w:r>
      <w:r>
        <w:rPr>
          <w:rFonts w:hint="eastAsia" w:ascii="仿宋" w:hAnsi="仿宋" w:eastAsia="仿宋" w:cs="Times New Roman"/>
          <w:b w:val="0"/>
          <w:bCs/>
          <w:color w:val="000000"/>
          <w:kern w:val="2"/>
          <w:sz w:val="32"/>
          <w:szCs w:val="32"/>
          <w:lang w:val="en-US" w:eastAsia="zh-CN" w:bidi="ar-SA"/>
        </w:rPr>
        <w:t>2021年，我院以审判执行为主线，紧抓审判质效不放松，努力做好年度绩效工作。较好的开展了绩效目标编制，并及时报送绩效目标。努力做好过程监控，及时查找不足之处。认真完成绩效评价。运用绩效评价结果来规范我院审判执行工作、改进绩效开展中的不足之处。</w:t>
      </w:r>
    </w:p>
    <w:p>
      <w:pPr>
        <w:spacing w:line="600" w:lineRule="exact"/>
        <w:ind w:firstLine="640" w:firstLineChars="200"/>
        <w:rPr>
          <w:rFonts w:hint="eastAsia" w:ascii="方正仿宋简体" w:eastAsia="方正仿宋简体"/>
          <w:szCs w:val="32"/>
          <w:lang w:eastAsia="zh-CN"/>
        </w:rPr>
      </w:pPr>
      <w:r>
        <w:rPr>
          <w:rFonts w:hint="eastAsia" w:ascii="仿宋_GB2312" w:hAnsi="宋体" w:eastAsia="仿宋_GB2312" w:cs="宋体"/>
          <w:kern w:val="0"/>
          <w:sz w:val="32"/>
          <w:szCs w:val="32"/>
          <w:shd w:val="clear" w:color="auto" w:fill="FFFFFF"/>
          <w:lang w:val="zh-CN"/>
        </w:rPr>
        <w:t>（二）存在问题。</w:t>
      </w:r>
      <w:r>
        <w:rPr>
          <w:rFonts w:hint="eastAsia" w:ascii="仿宋_GB2312" w:hAnsi="宋体" w:eastAsia="仿宋_GB2312" w:cs="宋体"/>
          <w:kern w:val="0"/>
          <w:sz w:val="32"/>
          <w:szCs w:val="32"/>
          <w:shd w:val="clear" w:color="auto" w:fill="FFFFFF"/>
          <w:lang w:val="zh-CN" w:eastAsia="zh-CN"/>
        </w:rPr>
        <w:t>对青年干警的投入力度不高，相关的制度还不够完善。对经费预算编制不够合理，设置绩效目标不够细致。主要是经费不足，无法对干警增加培训、学习、交流机会。相关制度具体环节还不够深入。</w:t>
      </w:r>
    </w:p>
    <w:p>
      <w:pPr>
        <w:spacing w:line="600" w:lineRule="exact"/>
        <w:ind w:firstLine="640" w:firstLineChars="200"/>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eastAsia="zh-CN"/>
        </w:rPr>
        <w:t>（三）改进建议。</w:t>
      </w:r>
      <w:r>
        <w:rPr>
          <w:rFonts w:hint="eastAsia" w:ascii="仿宋_GB2312" w:hAnsi="宋体" w:eastAsia="仿宋_GB2312" w:cs="宋体"/>
          <w:kern w:val="0"/>
          <w:sz w:val="32"/>
          <w:szCs w:val="32"/>
          <w:shd w:val="clear" w:color="auto" w:fill="FFFFFF"/>
          <w:lang w:val="en-US" w:eastAsia="zh-CN"/>
        </w:rPr>
        <w:t>转变对青年干警的培养方式，加强事务锻炼，对青年干警实行领导联系制，加大对青年干警的了解，从理想信念、业务素质、生活琐事进行正面的引导。</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lang w:val="zh-CN"/>
        </w:rPr>
      </w:pPr>
      <w:r>
        <w:rPr>
          <w:rFonts w:hint="eastAsia" w:hAnsi="宋体" w:cs="宋体"/>
          <w:sz w:val="32"/>
          <w:szCs w:val="32"/>
          <w:shd w:val="clear" w:color="auto" w:fill="FFFFFF"/>
          <w:lang w:val="zh-CN"/>
        </w:rPr>
        <w:t>附件</w:t>
      </w:r>
    </w:p>
    <w:p>
      <w:pPr>
        <w:spacing w:line="600" w:lineRule="exact"/>
        <w:ind w:firstLine="883"/>
        <w:jc w:val="center"/>
        <w:rPr>
          <w:rFonts w:hint="eastAsia"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（贫困村第一书记工作经费）</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val="en-US" w:eastAsia="zh-CN"/>
        </w:rPr>
        <w:t>广元市朝天区人民法院是独立核算的一级预算部门，负</w:t>
      </w:r>
      <w:r>
        <w:rPr>
          <w:rFonts w:hint="eastAsia" w:ascii="仿宋_GB2312" w:hAnsi="宋体" w:eastAsia="仿宋_GB2312" w:cs="Times New Roman"/>
          <w:sz w:val="32"/>
          <w:szCs w:val="32"/>
          <w:lang w:val="en-US" w:eastAsia="zh-CN"/>
        </w:rPr>
        <w:t>责</w:t>
      </w:r>
      <w:r>
        <w:rPr>
          <w:rFonts w:hint="eastAsia" w:ascii="仿宋_GB2312" w:hAnsi="宋体" w:eastAsia="仿宋_GB2312"/>
          <w:sz w:val="32"/>
          <w:szCs w:val="32"/>
          <w:lang w:val="zh-CN"/>
        </w:rPr>
        <w:t>贫困村第一书记工作经费</w:t>
      </w:r>
      <w:r>
        <w:rPr>
          <w:rFonts w:hint="eastAsia" w:ascii="仿宋_GB2312" w:hAnsi="宋体" w:eastAsia="仿宋_GB2312" w:cs="Times New Roman"/>
          <w:sz w:val="32"/>
          <w:szCs w:val="32"/>
          <w:lang w:val="en-US" w:eastAsia="zh-CN"/>
        </w:rPr>
        <w:t>项目的年初预算的编制和绩效目标的设置，确保项目预算开展的可行</w:t>
      </w:r>
      <w:r>
        <w:rPr>
          <w:rFonts w:hint="eastAsia" w:ascii="仿宋_GB2312" w:hAnsi="宋体" w:eastAsia="仿宋_GB2312"/>
          <w:sz w:val="32"/>
          <w:szCs w:val="32"/>
          <w:lang w:val="en-US" w:eastAsia="zh-CN"/>
        </w:rPr>
        <w:t>性。</w:t>
      </w:r>
      <w:r>
        <w:rPr>
          <w:rFonts w:hint="eastAsia" w:ascii="仿宋_GB2312" w:hAnsi="宋体" w:eastAsia="仿宋_GB2312" w:cs="Times New Roman"/>
          <w:kern w:val="2"/>
          <w:sz w:val="32"/>
          <w:szCs w:val="32"/>
          <w:lang w:val="en-US" w:eastAsia="zh-CN" w:bidi="ar-SA"/>
        </w:rPr>
        <w:t>项目完成后的决算编审、绩效目标考核和项目自评，以及其他与项目相关工作。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为做好2021年乡村振兴工作，保障第一书记与驻村队员相关经费支出，我院申报预算资金1.5万元。区财政部门予以批复。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val="zh-CN"/>
        </w:rPr>
        <w:t>贫困村第一书记工作经费</w:t>
      </w:r>
      <w:r>
        <w:rPr>
          <w:rFonts w:hint="eastAsia" w:ascii="仿宋_GB2312" w:hAnsi="宋体" w:eastAsia="仿宋_GB2312" w:cs="Times New Roman"/>
          <w:kern w:val="2"/>
          <w:sz w:val="32"/>
          <w:szCs w:val="32"/>
          <w:lang w:val="en-US" w:eastAsia="zh-CN" w:bidi="ar-SA"/>
        </w:rPr>
        <w:t>资金来源系财政全额拨款的一般公共预算资金，按照我院财务管理的相关规定，实行专款专用，保障我保障第一书记与驻村队员完成好驻村帮扶任务。项目的所有经费开支均进行严格的审批程序，并及时进行支付、会计核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在资金预算申报时充分规划我院驻村</w:t>
      </w:r>
      <w:r>
        <w:rPr>
          <w:rFonts w:hint="eastAsia" w:ascii="仿宋_GB2312" w:hAnsi="宋体" w:eastAsia="仿宋_GB2312" w:cs="Times New Roman"/>
          <w:sz w:val="32"/>
          <w:szCs w:val="32"/>
          <w:lang w:val="zh-CN" w:eastAsia="zh-CN"/>
        </w:rPr>
        <w:t>工作任务</w:t>
      </w:r>
      <w:r>
        <w:rPr>
          <w:rFonts w:hint="eastAsia" w:ascii="仿宋_GB2312" w:hAnsi="宋体" w:eastAsia="仿宋_GB2312" w:cs="Times New Roman"/>
          <w:kern w:val="2"/>
          <w:sz w:val="32"/>
          <w:szCs w:val="32"/>
          <w:lang w:val="en-US" w:eastAsia="zh-CN" w:bidi="ar-SA"/>
        </w:rPr>
        <w:t>，保障我院乡村振兴工作开展。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zh-CN"/>
        </w:rPr>
        <w:t>贫困村第一书记工作经费</w:t>
      </w:r>
      <w:r>
        <w:rPr>
          <w:rFonts w:hint="eastAsia" w:ascii="仿宋_GB2312" w:hAnsi="宋体" w:eastAsia="仿宋_GB2312"/>
          <w:sz w:val="32"/>
          <w:szCs w:val="32"/>
          <w:lang w:val="en-US" w:eastAsia="zh-CN"/>
        </w:rPr>
        <w:t>是保障</w:t>
      </w:r>
      <w:r>
        <w:rPr>
          <w:rFonts w:hint="eastAsia" w:ascii="仿宋_GB2312" w:hAnsi="宋体" w:eastAsia="仿宋_GB2312" w:cs="Times New Roman"/>
          <w:kern w:val="2"/>
          <w:sz w:val="32"/>
          <w:szCs w:val="32"/>
          <w:lang w:val="en-US" w:eastAsia="zh-CN" w:bidi="ar-SA"/>
        </w:rPr>
        <w:t>第一书记与驻村队员正常开展驻村任务</w:t>
      </w:r>
      <w:r>
        <w:rPr>
          <w:rFonts w:hint="eastAsia" w:ascii="仿宋_GB2312" w:hAnsi="宋体" w:eastAsia="仿宋_GB2312"/>
          <w:sz w:val="32"/>
          <w:szCs w:val="32"/>
          <w:lang w:val="en-US" w:eastAsia="zh-CN"/>
        </w:rPr>
        <w:t>，来源于财政全额拨款。</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Times New Roman"/>
          <w:kern w:val="2"/>
          <w:sz w:val="32"/>
          <w:szCs w:val="32"/>
          <w:lang w:val="en-US" w:eastAsia="zh-CN" w:bidi="ar-SA"/>
        </w:rPr>
        <w:t>具体绩效目标：完成全年驻村工作任务。</w:t>
      </w:r>
      <w:r>
        <w:rPr>
          <w:rFonts w:hint="eastAsia" w:ascii="仿宋_GB2312" w:hAnsi="仿宋_GB2312" w:eastAsia="仿宋_GB2312" w:cs="仿宋_GB2312"/>
          <w:sz w:val="32"/>
          <w:szCs w:val="32"/>
          <w:lang w:val="en-US" w:eastAsia="zh-CN"/>
        </w:rPr>
        <w:t>2021年保障人员3人；到位率达100%；驻村1个为核心指标。</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2021年第一书记与驻村队员较好的完成了乡村振兴工作，</w:t>
      </w:r>
      <w:r>
        <w:rPr>
          <w:rFonts w:hint="eastAsia" w:ascii="仿宋_GB2312" w:hAnsi="宋体" w:eastAsia="仿宋_GB2312"/>
          <w:sz w:val="32"/>
          <w:szCs w:val="32"/>
          <w:lang w:val="zh-CN"/>
        </w:rPr>
        <w:t>贫困村第一书记工作</w:t>
      </w:r>
      <w:r>
        <w:rPr>
          <w:rFonts w:hint="eastAsia" w:ascii="仿宋_GB2312" w:hAnsi="宋体" w:eastAsia="仿宋_GB2312" w:cs="Times New Roman"/>
          <w:sz w:val="32"/>
          <w:szCs w:val="32"/>
          <w:lang w:val="zh-CN" w:eastAsia="zh-CN"/>
        </w:rPr>
        <w:t>费用</w:t>
      </w:r>
      <w:r>
        <w:rPr>
          <w:rFonts w:hint="eastAsia" w:ascii="仿宋_GB2312" w:hAnsi="宋体" w:eastAsia="仿宋_GB2312" w:cs="Times New Roman"/>
          <w:kern w:val="2"/>
          <w:sz w:val="32"/>
          <w:szCs w:val="32"/>
          <w:lang w:val="en-US" w:eastAsia="zh-CN" w:bidi="ar-SA"/>
        </w:rPr>
        <w:t>项目计划实施内容与项目预算实施内容完全相符，该工作经费已完成乡村振兴工作的顺利开展，项目申报的目标是合理可行的。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项目自评采用总体评价的方法，项目管理严格，效果明显，完成各项预定目标，达到预期的社会效益。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仿宋_GB2312" w:hAnsi="宋体" w:eastAsia="仿宋_GB2312"/>
          <w:sz w:val="32"/>
          <w:szCs w:val="32"/>
          <w:lang w:val="zh-CN"/>
        </w:rPr>
        <w:t>贫困村第一书记工作</w:t>
      </w:r>
      <w:r>
        <w:rPr>
          <w:rFonts w:hint="eastAsia" w:ascii="仿宋_GB2312" w:hAnsi="宋体" w:eastAsia="仿宋_GB2312" w:cs="Times New Roman"/>
          <w:sz w:val="32"/>
          <w:szCs w:val="32"/>
          <w:lang w:val="en-US" w:eastAsia="zh-CN"/>
        </w:rPr>
        <w:t>经费年初资金申报1.5万元，财政批复下达1.5万元，年内无预算调整。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1.资金计划。我院</w:t>
      </w:r>
      <w:r>
        <w:rPr>
          <w:rFonts w:hint="eastAsia" w:ascii="仿宋_GB2312" w:hAnsi="宋体" w:eastAsia="仿宋_GB2312"/>
          <w:sz w:val="32"/>
          <w:szCs w:val="32"/>
          <w:lang w:val="zh-CN"/>
        </w:rPr>
        <w:t>贫困村第一书记工作</w:t>
      </w:r>
      <w:r>
        <w:rPr>
          <w:rFonts w:hint="eastAsia" w:ascii="仿宋_GB2312" w:hAnsi="宋体" w:eastAsia="仿宋_GB2312" w:cs="Times New Roman"/>
          <w:sz w:val="32"/>
          <w:szCs w:val="32"/>
          <w:lang w:val="en-US" w:eastAsia="zh-CN"/>
        </w:rPr>
        <w:t>资金全额来源于财政一般公共预算资金拨款。</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kern w:val="2"/>
          <w:sz w:val="32"/>
          <w:szCs w:val="32"/>
          <w:lang w:val="en-US" w:eastAsia="zh-CN" w:bidi="ar-SA"/>
        </w:rPr>
        <w:t>2.资金到位。</w:t>
      </w:r>
      <w:r>
        <w:rPr>
          <w:rFonts w:hint="eastAsia" w:ascii="仿宋_GB2312" w:hAnsi="宋体" w:eastAsia="仿宋_GB2312"/>
          <w:sz w:val="32"/>
          <w:szCs w:val="32"/>
          <w:lang w:val="zh-CN"/>
        </w:rPr>
        <w:t>贫困村第一书记工作</w:t>
      </w:r>
      <w:r>
        <w:rPr>
          <w:rFonts w:hint="eastAsia" w:ascii="仿宋_GB2312" w:hAnsi="宋体" w:eastAsia="仿宋_GB2312" w:cs="Times New Roman"/>
          <w:sz w:val="32"/>
          <w:szCs w:val="32"/>
          <w:lang w:val="en-US" w:eastAsia="zh-CN"/>
        </w:rPr>
        <w:t>资金在2021年度内全额及时到位，到位率100%。</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3.资金使用。2021年度</w:t>
      </w:r>
      <w:r>
        <w:rPr>
          <w:rFonts w:hint="eastAsia" w:ascii="仿宋_GB2312" w:hAnsi="宋体" w:eastAsia="仿宋_GB2312"/>
          <w:sz w:val="32"/>
          <w:szCs w:val="32"/>
          <w:lang w:val="zh-CN"/>
        </w:rPr>
        <w:t>贫困村第一书记工作</w:t>
      </w:r>
      <w:r>
        <w:rPr>
          <w:rFonts w:hint="eastAsia" w:ascii="仿宋_GB2312" w:hAnsi="宋体" w:eastAsia="仿宋_GB2312" w:cs="Times New Roman"/>
          <w:sz w:val="32"/>
          <w:szCs w:val="32"/>
          <w:lang w:val="en-US" w:eastAsia="zh-CN"/>
        </w:rPr>
        <w:t>经费累计支出1.5万元。较好的完成本项目预期设置的目标。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严格按照财务管理资金使用的规定，依据财政相关制度，充分认识资金的重要性，发挥项目资金最大作用，坚持厉行节约，不存在资金截留、挤占和挪用现象。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4"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eastAsia="仿宋_GB2312"/>
          <w:sz w:val="32"/>
          <w:szCs w:val="32"/>
          <w:lang w:val="zh-CN"/>
        </w:rPr>
        <w:t>项目以业务分管院长牵头，</w:t>
      </w:r>
      <w:r>
        <w:rPr>
          <w:rFonts w:hint="eastAsia" w:eastAsia="仿宋_GB2312"/>
          <w:sz w:val="32"/>
          <w:szCs w:val="32"/>
          <w:lang w:val="zh-CN"/>
        </w:rPr>
        <w:t>综合办公室、所驻村</w:t>
      </w:r>
      <w:r>
        <w:rPr>
          <w:rFonts w:eastAsia="仿宋_GB2312"/>
          <w:sz w:val="32"/>
          <w:szCs w:val="32"/>
          <w:lang w:val="zh-CN"/>
        </w:rPr>
        <w:t>协同配合的组织构架，负责对项目执行</w:t>
      </w:r>
      <w:r>
        <w:rPr>
          <w:rFonts w:hint="eastAsia" w:eastAsia="仿宋_GB2312"/>
          <w:sz w:val="32"/>
          <w:szCs w:val="32"/>
          <w:lang w:val="zh-CN"/>
        </w:rPr>
        <w:t>情况</w:t>
      </w:r>
      <w:r>
        <w:rPr>
          <w:rFonts w:eastAsia="仿宋_GB2312"/>
          <w:sz w:val="32"/>
          <w:szCs w:val="32"/>
          <w:lang w:val="zh-CN"/>
        </w:rPr>
        <w:t>负责，由</w:t>
      </w:r>
      <w:r>
        <w:rPr>
          <w:rFonts w:hint="eastAsia" w:eastAsia="仿宋_GB2312"/>
          <w:sz w:val="32"/>
          <w:szCs w:val="32"/>
          <w:lang w:val="zh-CN"/>
        </w:rPr>
        <w:t>院督查室</w:t>
      </w:r>
      <w:r>
        <w:rPr>
          <w:rFonts w:eastAsia="仿宋_GB2312"/>
          <w:sz w:val="32"/>
          <w:szCs w:val="32"/>
          <w:lang w:val="zh-CN"/>
        </w:rPr>
        <w:t>监督验收项目发生的合理合规性，</w:t>
      </w:r>
      <w:r>
        <w:rPr>
          <w:rFonts w:hint="eastAsia" w:eastAsia="仿宋_GB2312"/>
          <w:sz w:val="32"/>
          <w:szCs w:val="32"/>
          <w:lang w:val="zh-CN"/>
        </w:rPr>
        <w:t>综合办公室</w:t>
      </w:r>
      <w:r>
        <w:rPr>
          <w:rFonts w:eastAsia="仿宋_GB2312"/>
          <w:sz w:val="32"/>
          <w:szCs w:val="32"/>
          <w:lang w:val="zh-CN"/>
        </w:rPr>
        <w:t>对项目资金的支付严格把关。</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eastAsia="仿宋_GB2312"/>
          <w:sz w:val="32"/>
          <w:szCs w:val="32"/>
          <w:lang w:val="zh-CN"/>
        </w:rPr>
        <w:t>项目推行全面质量管理，充分发挥监督管理职能，财务报账严格执行财务审批程序。</w:t>
      </w:r>
    </w:p>
    <w:p>
      <w:pPr>
        <w:adjustRightInd w:val="0"/>
        <w:snapToGrid w:val="0"/>
        <w:spacing w:line="574" w:lineRule="exact"/>
        <w:ind w:firstLine="643" w:firstLineChars="200"/>
        <w:rPr>
          <w:rFonts w:eastAsia="仿宋_GB2312"/>
          <w:sz w:val="32"/>
          <w:szCs w:val="32"/>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贫困村第一书记工作</w:t>
      </w:r>
      <w:r>
        <w:rPr>
          <w:rFonts w:hint="eastAsia" w:ascii="仿宋_GB2312" w:hAnsi="宋体" w:eastAsia="仿宋_GB2312" w:cs="Times New Roman"/>
          <w:sz w:val="32"/>
          <w:szCs w:val="32"/>
          <w:lang w:val="en-US" w:eastAsia="zh-CN"/>
        </w:rPr>
        <w:t>经费</w:t>
      </w:r>
      <w:r>
        <w:rPr>
          <w:rFonts w:eastAsia="仿宋_GB2312"/>
          <w:sz w:val="32"/>
          <w:szCs w:val="32"/>
        </w:rPr>
        <w:t>严格按照</w:t>
      </w:r>
      <w:r>
        <w:rPr>
          <w:rFonts w:hint="eastAsia" w:eastAsia="仿宋_GB2312"/>
          <w:sz w:val="32"/>
          <w:szCs w:val="32"/>
          <w:lang w:eastAsia="zh-CN"/>
        </w:rPr>
        <w:t>乡村振兴相关工作任务进行执行</w:t>
      </w:r>
      <w:r>
        <w:rPr>
          <w:rFonts w:eastAsia="仿宋_GB2312"/>
          <w:sz w:val="32"/>
          <w:szCs w:val="32"/>
        </w:rPr>
        <w:t>，并主动接受院</w:t>
      </w:r>
      <w:r>
        <w:rPr>
          <w:rFonts w:hint="eastAsia" w:eastAsia="仿宋_GB2312"/>
          <w:sz w:val="32"/>
          <w:szCs w:val="32"/>
          <w:lang w:eastAsia="zh-CN"/>
        </w:rPr>
        <w:t>督查</w:t>
      </w:r>
      <w:r>
        <w:rPr>
          <w:rFonts w:eastAsia="仿宋_GB2312"/>
          <w:sz w:val="32"/>
          <w:szCs w:val="32"/>
        </w:rPr>
        <w:t>室的监督，做到了专款专用，没有滞留截流挤占挪用的现象。</w:t>
      </w:r>
      <w:r>
        <w:rPr>
          <w:rFonts w:eastAsia="仿宋_GB2312"/>
          <w:sz w:val="32"/>
          <w:szCs w:val="32"/>
          <w:lang w:val="zh-CN"/>
        </w:rPr>
        <w:t>项目采用一</w:t>
      </w:r>
      <w:r>
        <w:rPr>
          <w:rFonts w:hint="eastAsia" w:eastAsia="仿宋_GB2312"/>
          <w:sz w:val="32"/>
          <w:szCs w:val="32"/>
          <w:lang w:val="zh-CN"/>
        </w:rPr>
        <w:t>事</w:t>
      </w:r>
      <w:r>
        <w:rPr>
          <w:rFonts w:eastAsia="仿宋_GB2312"/>
          <w:sz w:val="32"/>
          <w:szCs w:val="32"/>
          <w:lang w:val="zh-CN"/>
        </w:rPr>
        <w:t>一报的方式执行。</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仿宋_GB2312" w:eastAsia="仿宋_GB2312" w:cs="仿宋_GB2312"/>
          <w:kern w:val="2"/>
          <w:sz w:val="32"/>
          <w:szCs w:val="32"/>
          <w:lang w:val="en-US" w:eastAsia="zh-CN" w:bidi="ar-SA"/>
        </w:rPr>
        <w:t>2021年</w:t>
      </w:r>
      <w:r>
        <w:rPr>
          <w:rFonts w:hint="eastAsia" w:ascii="仿宋_GB2312" w:hAnsi="宋体" w:eastAsia="仿宋_GB2312"/>
          <w:sz w:val="32"/>
          <w:szCs w:val="32"/>
          <w:lang w:val="zh-CN"/>
        </w:rPr>
        <w:t>贫困村第一书记工作</w:t>
      </w:r>
      <w:r>
        <w:rPr>
          <w:rFonts w:hint="eastAsia" w:ascii="仿宋_GB2312" w:hAnsi="宋体" w:eastAsia="仿宋_GB2312" w:cs="Times New Roman"/>
          <w:sz w:val="32"/>
          <w:szCs w:val="32"/>
          <w:lang w:val="en-US" w:eastAsia="zh-CN"/>
        </w:rPr>
        <w:t>经费保障工作队3人正常工作运转；全年驻村1个（李家镇民主村）；人员到位率100%；较好的保障乡村振兴工作延续性开展；群众认可法院乡村振兴工作。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_GB2312" w:hAnsi="宋体" w:eastAsia="仿宋_GB2312"/>
          <w:sz w:val="32"/>
          <w:szCs w:val="32"/>
          <w:lang w:val="zh-CN"/>
        </w:rPr>
        <w:t>贫困村第一书记工作</w:t>
      </w:r>
      <w:r>
        <w:rPr>
          <w:rFonts w:hint="eastAsia" w:ascii="仿宋_GB2312" w:hAnsi="宋体" w:eastAsia="仿宋_GB2312" w:cs="Times New Roman"/>
          <w:sz w:val="32"/>
          <w:szCs w:val="32"/>
          <w:lang w:val="en-US" w:eastAsia="zh-CN"/>
        </w:rPr>
        <w:t>经费的实施</w:t>
      </w:r>
      <w:r>
        <w:rPr>
          <w:rFonts w:hint="eastAsia" w:ascii="仿宋_GB2312" w:hAnsi="仿宋_GB2312" w:eastAsia="仿宋_GB2312" w:cs="仿宋_GB2312"/>
          <w:sz w:val="32"/>
          <w:szCs w:val="32"/>
          <w:lang w:val="en-US" w:eastAsia="zh-CN"/>
        </w:rPr>
        <w:t>，赢得了驻村村民的一致认可。</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该项目的实施，有效的保障了乡村振兴</w:t>
      </w:r>
      <w:r>
        <w:rPr>
          <w:rFonts w:hint="eastAsia" w:ascii="仿宋_GB2312" w:hAnsi="宋体" w:eastAsia="仿宋_GB2312" w:cs="Times New Roman"/>
          <w:sz w:val="32"/>
          <w:szCs w:val="32"/>
          <w:lang w:val="zh-CN" w:eastAsia="zh-CN"/>
        </w:rPr>
        <w:t>工作</w:t>
      </w:r>
      <w:r>
        <w:rPr>
          <w:rFonts w:hint="eastAsia" w:ascii="仿宋_GB2312" w:eastAsia="仿宋_GB2312"/>
          <w:sz w:val="32"/>
          <w:szCs w:val="32"/>
          <w:lang w:val="en-US" w:eastAsia="zh-CN"/>
        </w:rPr>
        <w:t>的开展，同时保障了</w:t>
      </w:r>
      <w:r>
        <w:rPr>
          <w:rFonts w:hint="eastAsia" w:ascii="仿宋_GB2312" w:hAnsi="宋体" w:eastAsia="仿宋_GB2312" w:cs="Times New Roman"/>
          <w:kern w:val="2"/>
          <w:sz w:val="32"/>
          <w:szCs w:val="32"/>
          <w:lang w:val="en-US" w:eastAsia="zh-CN" w:bidi="ar-SA"/>
        </w:rPr>
        <w:t>第一书记与驻村队员正常工作运行</w:t>
      </w:r>
      <w:r>
        <w:rPr>
          <w:rFonts w:hint="eastAsia" w:ascii="仿宋_GB2312" w:eastAsia="仿宋_GB2312"/>
          <w:sz w:val="32"/>
          <w:szCs w:val="32"/>
          <w:lang w:val="en-US" w:eastAsia="zh-CN"/>
        </w:rPr>
        <w:t>。乡村振兴工作也得到村民的认可。</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eastAsia="仿宋_GB2312"/>
          <w:sz w:val="32"/>
          <w:szCs w:val="32"/>
          <w:lang w:val="en-US" w:eastAsia="zh-CN"/>
        </w:rPr>
      </w:pPr>
      <w:r>
        <w:rPr>
          <w:rFonts w:hint="eastAsia" w:ascii="仿宋_GB2312" w:eastAsia="仿宋_GB2312"/>
          <w:sz w:val="32"/>
          <w:szCs w:val="32"/>
          <w:lang w:val="en-US" w:eastAsia="zh-CN"/>
        </w:rPr>
        <w:t>暂无。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暂无。</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bookmarkStart w:id="117" w:name="_GoBack"/>
      <w:bookmarkEnd w:id="117"/>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hint="eastAsia" w:ascii="宋体" w:eastAsia="宋体" w:cs="宋体"/>
                <w:b/>
                <w:sz w:val="32"/>
                <w:szCs w:val="32"/>
                <w:lang w:eastAsia="zh-CN"/>
              </w:rPr>
            </w:pPr>
            <w:r>
              <w:rPr>
                <w:rFonts w:ascii="宋体" w:hAnsi="宋体" w:cs="宋体"/>
                <w:b/>
                <w:sz w:val="32"/>
                <w:szCs w:val="32"/>
              </w:rPr>
              <w:t>2021</w:t>
            </w:r>
            <w:r>
              <w:rPr>
                <w:rFonts w:hint="eastAsia" w:ascii="宋体" w:hAnsi="宋体" w:cs="宋体"/>
                <w:b/>
                <w:sz w:val="32"/>
                <w:szCs w:val="32"/>
              </w:rPr>
              <w:t>年</w:t>
            </w:r>
            <w:r>
              <w:rPr>
                <w:rFonts w:hint="eastAsia" w:ascii="宋体" w:hAnsi="宋体" w:cs="宋体"/>
                <w:b/>
                <w:sz w:val="32"/>
                <w:szCs w:val="32"/>
                <w:lang w:eastAsia="zh-CN"/>
              </w:rPr>
              <w:t>项目支出绩效目标自评表</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203201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cs="宋体"/>
                <w:sz w:val="18"/>
                <w:szCs w:val="18"/>
                <w:lang w:eastAsia="zh-CN"/>
              </w:rPr>
            </w:pPr>
            <w:r>
              <w:rPr>
                <w:rFonts w:hint="eastAsia" w:ascii="宋体" w:cs="宋体"/>
                <w:sz w:val="18"/>
                <w:szCs w:val="18"/>
                <w:lang w:eastAsia="zh-CN"/>
              </w:rPr>
              <w:t>广元市朝天区人民法院</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项目预算</w:t>
            </w:r>
            <w:r>
              <w:rPr>
                <w:rFonts w:ascii="宋体" w:cs="宋体"/>
                <w:kern w:val="0"/>
                <w:sz w:val="18"/>
                <w:szCs w:val="18"/>
              </w:rPr>
              <w:br w:type="textWrapping"/>
            </w:r>
            <w:r>
              <w:rPr>
                <w:rFonts w:hint="eastAsia" w:ascii="宋体" w:hAnsi="宋体" w:cs="宋体"/>
                <w:kern w:val="0"/>
                <w:sz w:val="18"/>
                <w:szCs w:val="18"/>
              </w:rPr>
              <w:t>执行情况</w:t>
            </w:r>
            <w:r>
              <w:rPr>
                <w:rFonts w:ascii="宋体" w:cs="宋体"/>
                <w:kern w:val="0"/>
                <w:sz w:val="18"/>
                <w:szCs w:val="18"/>
              </w:rPr>
              <w:br w:type="textWrapping"/>
            </w:r>
            <w:r>
              <w:rPr>
                <w:rFonts w:hint="eastAsia" w:ascii="宋体" w:hAnsi="宋体" w:cs="宋体"/>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1.5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1.5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年度总体目标</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hint="eastAsia" w:ascii="宋体" w:eastAsia="宋体" w:cs="宋体"/>
                <w:sz w:val="18"/>
                <w:szCs w:val="18"/>
                <w:lang w:eastAsia="zh-CN"/>
              </w:rPr>
            </w:pPr>
            <w:r>
              <w:rPr>
                <w:rFonts w:hint="eastAsia" w:ascii="宋体" w:cs="宋体"/>
                <w:sz w:val="18"/>
                <w:szCs w:val="18"/>
                <w:lang w:eastAsia="zh-CN"/>
              </w:rPr>
              <w:t>保障乡村振兴工作正常开展</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lang w:eastAsia="zh-CN"/>
              </w:rPr>
              <w:t>保障乡村振兴工作正常开展</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完成</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保障人数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驻村个数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到位率（%）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数量指标完成时限</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可持续影响</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保障乡村振兴工作延续性开展</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好</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好</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满意</w:t>
            </w:r>
            <w:r>
              <w:rPr>
                <w:rFonts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满意度</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群众对法院</w:t>
            </w:r>
            <w:r>
              <w:rPr>
                <w:rFonts w:hint="eastAsia" w:ascii="仿宋_GB2312" w:hAnsi="仿宋_GB2312" w:eastAsia="仿宋_GB2312" w:cs="仿宋_GB2312"/>
                <w:sz w:val="18"/>
                <w:szCs w:val="18"/>
                <w:lang w:eastAsia="zh-CN"/>
              </w:rPr>
              <w:t>乡村振兴</w:t>
            </w:r>
            <w:r>
              <w:rPr>
                <w:rFonts w:hint="eastAsia" w:ascii="仿宋_GB2312" w:hAnsi="仿宋_GB2312" w:eastAsia="仿宋_GB2312" w:cs="仿宋_GB2312"/>
                <w:sz w:val="18"/>
                <w:szCs w:val="18"/>
              </w:rPr>
              <w:t>工作的认可度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好</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好</w:t>
            </w:r>
          </w:p>
        </w:tc>
      </w:tr>
    </w:tbl>
    <w:p>
      <w:pPr>
        <w:pStyle w:val="6"/>
        <w:spacing w:before="93"/>
        <w:rPr>
          <w:lang w:val="zh-CN"/>
        </w:rPr>
      </w:pPr>
      <w:r>
        <w:rPr>
          <w:rFonts w:hint="eastAsia" w:hAnsi="宋体" w:cs="宋体"/>
          <w:sz w:val="32"/>
          <w:szCs w:val="32"/>
          <w:shd w:val="clear" w:color="auto" w:fill="FFFFFF"/>
          <w:lang w:val="zh-CN"/>
        </w:rPr>
        <w:t>附件</w:t>
      </w:r>
    </w:p>
    <w:p>
      <w:pPr>
        <w:spacing w:line="600" w:lineRule="exact"/>
        <w:ind w:firstLine="883"/>
        <w:jc w:val="center"/>
        <w:rPr>
          <w:rFonts w:ascii="方正小标宋简体" w:hAnsi="方正小标宋简体" w:eastAsia="方正小标宋简体" w:cs="方正小标宋简体"/>
          <w:sz w:val="40"/>
          <w:szCs w:val="40"/>
        </w:rPr>
      </w:pPr>
    </w:p>
    <w:p>
      <w:pPr>
        <w:spacing w:line="600" w:lineRule="exact"/>
        <w:ind w:firstLine="883"/>
        <w:jc w:val="center"/>
        <w:rPr>
          <w:rFonts w:ascii="方正小标宋简体" w:hAnsi="方正小标宋简体" w:eastAsia="方正小标宋简体" w:cs="方正小标宋简体"/>
          <w:sz w:val="40"/>
          <w:szCs w:val="40"/>
        </w:rPr>
      </w:pPr>
    </w:p>
    <w:p>
      <w:pPr>
        <w:spacing w:line="600" w:lineRule="exact"/>
        <w:ind w:firstLine="883"/>
        <w:jc w:val="center"/>
        <w:rPr>
          <w:rFonts w:ascii="方正小标宋简体" w:hAnsi="方正小标宋简体" w:eastAsia="方正小标宋简体" w:cs="方正小标宋简体"/>
          <w:sz w:val="40"/>
          <w:szCs w:val="40"/>
        </w:rPr>
      </w:pPr>
    </w:p>
    <w:p>
      <w:pPr>
        <w:spacing w:line="600" w:lineRule="exact"/>
        <w:ind w:firstLine="883"/>
        <w:jc w:val="center"/>
        <w:rPr>
          <w:rFonts w:ascii="方正小标宋简体" w:hAnsi="方正小标宋简体" w:eastAsia="方正小标宋简体" w:cs="方正小标宋简体"/>
          <w:sz w:val="40"/>
          <w:szCs w:val="40"/>
        </w:rPr>
      </w:pPr>
    </w:p>
    <w:p>
      <w:pPr>
        <w:spacing w:line="600" w:lineRule="exact"/>
        <w:ind w:firstLine="883"/>
        <w:jc w:val="center"/>
        <w:rPr>
          <w:rFonts w:ascii="方正小标宋简体" w:hAnsi="方正小标宋简体" w:eastAsia="方正小标宋简体" w:cs="方正小标宋简体"/>
          <w:sz w:val="40"/>
          <w:szCs w:val="40"/>
        </w:rPr>
      </w:pPr>
    </w:p>
    <w:p>
      <w:pPr>
        <w:spacing w:line="600" w:lineRule="exact"/>
        <w:ind w:firstLine="883"/>
        <w:jc w:val="center"/>
        <w:rPr>
          <w:rFonts w:ascii="方正小标宋简体" w:hAnsi="方正小标宋简体" w:eastAsia="方正小标宋简体" w:cs="方正小标宋简体"/>
          <w:sz w:val="40"/>
          <w:szCs w:val="40"/>
        </w:rPr>
      </w:pPr>
    </w:p>
    <w:p>
      <w:pPr>
        <w:spacing w:line="600" w:lineRule="exact"/>
        <w:ind w:firstLine="883"/>
        <w:jc w:val="center"/>
        <w:rPr>
          <w:rFonts w:ascii="方正小标宋简体" w:hAnsi="方正小标宋简体" w:eastAsia="方正小标宋简体" w:cs="方正小标宋简体"/>
          <w:sz w:val="40"/>
          <w:szCs w:val="40"/>
        </w:rPr>
      </w:pPr>
    </w:p>
    <w:p>
      <w:pPr>
        <w:spacing w:line="600" w:lineRule="exact"/>
        <w:ind w:firstLine="883"/>
        <w:jc w:val="center"/>
        <w:rPr>
          <w:rFonts w:ascii="方正小标宋简体" w:hAnsi="方正小标宋简体" w:eastAsia="方正小标宋简体" w:cs="方正小标宋简体"/>
          <w:sz w:val="40"/>
          <w:szCs w:val="40"/>
        </w:rPr>
      </w:pPr>
    </w:p>
    <w:p>
      <w:pPr>
        <w:spacing w:line="600" w:lineRule="exact"/>
        <w:ind w:firstLine="883"/>
        <w:jc w:val="center"/>
        <w:rPr>
          <w:rFonts w:hint="eastAsia"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（办案业务经费）</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val="en-US" w:eastAsia="zh-CN"/>
        </w:rPr>
        <w:t>广元市朝天区人民法院是独立核算的一级预算部门，负责办案业务经费项目的年初预算的编制和绩效目标的设置，确保项目预算开展的可行性。</w:t>
      </w:r>
      <w:r>
        <w:rPr>
          <w:rFonts w:hint="eastAsia" w:ascii="仿宋_GB2312" w:hAnsi="宋体" w:eastAsia="仿宋_GB2312" w:cs="Times New Roman"/>
          <w:kern w:val="2"/>
          <w:sz w:val="32"/>
          <w:szCs w:val="32"/>
          <w:lang w:val="en-US" w:eastAsia="zh-CN" w:bidi="ar-SA"/>
        </w:rPr>
        <w:t>项目完成后的决算编审、绩效目标考核和项目自评，以及其他与项目相关工作。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为做好执行审判工作，为全区提供优质的法治环境持续发力，我院申报预算资金30万元。区财政部门予以批复。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办案业务费资金来源系财政全额拨款的一般公共预算资金，按照我院财务管理的相关规定，结合2021年案件办理的实际情况，有序开展项目执行工作。项目的所有经费开支均进行严格的审批程序，并及时进行支付、会计核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在资金预算申报时充分规划我院年度审判执行和协调政法转移支付项目开展，保障我院案件办理工作开展。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办案业务经费主要保障我院办案，确保审判执行工作能高效开展。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当年预计新收案件2200件，实际新收案件2791件；2021年预计结案2200件，实际结案2779件；年度案件办结率预计96%，实际结案率99.22%；案件发改率预计小于1.56%，实际0.17%；预计审判时效小于38.98天，实际为28.01天；提升法院审判公信力；年度服判息诉率大于85%，实际为98.46%。2021年案件数量上存在差异，结合审判质效相关要求，属于正常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办案</w:t>
      </w:r>
      <w:r>
        <w:rPr>
          <w:rFonts w:hint="eastAsia" w:ascii="仿宋_GB2312" w:hAnsi="仿宋_GB2312" w:eastAsia="仿宋_GB2312" w:cs="仿宋_GB2312"/>
          <w:sz w:val="32"/>
          <w:szCs w:val="32"/>
          <w:lang w:val="en-US" w:eastAsia="zh-CN"/>
        </w:rPr>
        <w:t>业务经费主要依照法院工作中的审判执行工作开展来设置目标，同时完成情况依据审管部门提供年终数据。客观真实的反映了我院审判执行工作的开展情况。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项目自评采用总体评价的方法，项目管理严格，效果明显，完成各项预定目标，达到预期的社会效益。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办案业务经费年初资金申报30万元，财政批复下达30万元，年内无预算调整。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1.资金计划。我院办案业务费项目资金全额来源于财政一般公共预算资金拨款。</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kern w:val="2"/>
          <w:sz w:val="32"/>
          <w:szCs w:val="32"/>
          <w:lang w:val="en-US" w:eastAsia="zh-CN" w:bidi="ar-SA"/>
        </w:rPr>
        <w:t>2.资金到位。</w:t>
      </w:r>
      <w:r>
        <w:rPr>
          <w:rFonts w:hint="eastAsia" w:ascii="仿宋_GB2312" w:hAnsi="宋体" w:eastAsia="仿宋_GB2312" w:cs="Times New Roman"/>
          <w:sz w:val="32"/>
          <w:szCs w:val="32"/>
          <w:lang w:val="en-US" w:eastAsia="zh-CN"/>
        </w:rPr>
        <w:t>办案业务费项目资金在2021年度内全额及时到位，到位率100%。</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3.资金使用。2021年度办案业务费等工作经费累计支出30万元。较好的完成本项目预期设置的目标。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严格按照财务管理资金使用的规定，依据财政相关制度，充分认识资金的重要性，发挥项目资金最大作用，坚持厉行节约，不存在资金截留、挤占和挪用现象。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4"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eastAsia="仿宋_GB2312"/>
          <w:sz w:val="32"/>
          <w:szCs w:val="32"/>
          <w:lang w:val="zh-CN"/>
        </w:rPr>
        <w:t>项目以业务分管院长牵头，</w:t>
      </w:r>
      <w:r>
        <w:rPr>
          <w:rFonts w:hint="eastAsia" w:eastAsia="仿宋_GB2312"/>
          <w:sz w:val="32"/>
          <w:szCs w:val="32"/>
          <w:lang w:val="zh-CN"/>
        </w:rPr>
        <w:t>综合办公室、审管部门及</w:t>
      </w:r>
      <w:r>
        <w:rPr>
          <w:rFonts w:eastAsia="仿宋_GB2312"/>
          <w:sz w:val="32"/>
          <w:szCs w:val="32"/>
          <w:lang w:val="zh-CN"/>
        </w:rPr>
        <w:t>各业务庭室</w:t>
      </w:r>
      <w:r>
        <w:rPr>
          <w:rFonts w:hint="eastAsia" w:eastAsia="仿宋_GB2312"/>
          <w:sz w:val="32"/>
          <w:szCs w:val="32"/>
          <w:lang w:val="zh-CN"/>
        </w:rPr>
        <w:t>负责人</w:t>
      </w:r>
      <w:r>
        <w:rPr>
          <w:rFonts w:eastAsia="仿宋_GB2312"/>
          <w:sz w:val="32"/>
          <w:szCs w:val="32"/>
          <w:lang w:val="zh-CN"/>
        </w:rPr>
        <w:t>协同配合的组织构架，负责对项目执行</w:t>
      </w:r>
      <w:r>
        <w:rPr>
          <w:rFonts w:hint="eastAsia" w:eastAsia="仿宋_GB2312"/>
          <w:sz w:val="32"/>
          <w:szCs w:val="32"/>
          <w:lang w:val="zh-CN"/>
        </w:rPr>
        <w:t>情况</w:t>
      </w:r>
      <w:r>
        <w:rPr>
          <w:rFonts w:eastAsia="仿宋_GB2312"/>
          <w:sz w:val="32"/>
          <w:szCs w:val="32"/>
          <w:lang w:val="zh-CN"/>
        </w:rPr>
        <w:t>负责，由</w:t>
      </w:r>
      <w:r>
        <w:rPr>
          <w:rFonts w:hint="eastAsia" w:eastAsia="仿宋_GB2312"/>
          <w:sz w:val="32"/>
          <w:szCs w:val="32"/>
          <w:lang w:val="zh-CN"/>
        </w:rPr>
        <w:t>院督查室</w:t>
      </w:r>
      <w:r>
        <w:rPr>
          <w:rFonts w:eastAsia="仿宋_GB2312"/>
          <w:sz w:val="32"/>
          <w:szCs w:val="32"/>
          <w:lang w:val="zh-CN"/>
        </w:rPr>
        <w:t>监督验收项目发生的合理合规性，</w:t>
      </w:r>
      <w:r>
        <w:rPr>
          <w:rFonts w:hint="eastAsia" w:eastAsia="仿宋_GB2312"/>
          <w:sz w:val="32"/>
          <w:szCs w:val="32"/>
          <w:lang w:val="zh-CN"/>
        </w:rPr>
        <w:t>综合办公室</w:t>
      </w:r>
      <w:r>
        <w:rPr>
          <w:rFonts w:eastAsia="仿宋_GB2312"/>
          <w:sz w:val="32"/>
          <w:szCs w:val="32"/>
          <w:lang w:val="zh-CN"/>
        </w:rPr>
        <w:t>对项目资金的支付严格把关。</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eastAsia="仿宋_GB2312"/>
          <w:sz w:val="32"/>
          <w:szCs w:val="32"/>
          <w:lang w:val="zh-CN"/>
        </w:rPr>
        <w:t>项目推行全面质量管理，充分发挥监督管理职能，财务报账严格执行财务审批程序。</w:t>
      </w:r>
    </w:p>
    <w:p>
      <w:pPr>
        <w:adjustRightInd w:val="0"/>
        <w:snapToGrid w:val="0"/>
        <w:spacing w:line="574" w:lineRule="exact"/>
        <w:ind w:firstLine="643" w:firstLineChars="200"/>
        <w:rPr>
          <w:rFonts w:eastAsia="仿宋_GB2312"/>
          <w:sz w:val="32"/>
          <w:szCs w:val="32"/>
        </w:rPr>
      </w:pPr>
      <w:r>
        <w:rPr>
          <w:rFonts w:hint="eastAsia" w:ascii="楷体_GB2312" w:hAnsi="宋体" w:eastAsia="楷体_GB2312"/>
          <w:b/>
          <w:sz w:val="32"/>
          <w:szCs w:val="32"/>
          <w:lang w:val="zh-CN"/>
        </w:rPr>
        <w:t>（三）项目监管情况。</w:t>
      </w:r>
      <w:r>
        <w:rPr>
          <w:rFonts w:hint="eastAsia" w:eastAsia="仿宋_GB2312"/>
          <w:sz w:val="32"/>
          <w:szCs w:val="32"/>
          <w:lang w:val="zh-CN"/>
        </w:rPr>
        <w:t>办案业务经费</w:t>
      </w:r>
      <w:r>
        <w:rPr>
          <w:rFonts w:eastAsia="仿宋_GB2312"/>
          <w:sz w:val="32"/>
          <w:szCs w:val="32"/>
        </w:rPr>
        <w:t>严格按照</w:t>
      </w:r>
      <w:r>
        <w:rPr>
          <w:rFonts w:hint="eastAsia" w:eastAsia="仿宋_GB2312"/>
          <w:sz w:val="32"/>
          <w:szCs w:val="32"/>
          <w:lang w:eastAsia="zh-CN"/>
        </w:rPr>
        <w:t>法院职能职责执行</w:t>
      </w:r>
      <w:r>
        <w:rPr>
          <w:rFonts w:eastAsia="仿宋_GB2312"/>
          <w:sz w:val="32"/>
          <w:szCs w:val="32"/>
        </w:rPr>
        <w:t>，并主动接受院</w:t>
      </w:r>
      <w:r>
        <w:rPr>
          <w:rFonts w:hint="eastAsia" w:eastAsia="仿宋_GB2312"/>
          <w:sz w:val="32"/>
          <w:szCs w:val="32"/>
          <w:lang w:eastAsia="zh-CN"/>
        </w:rPr>
        <w:t>督查</w:t>
      </w:r>
      <w:r>
        <w:rPr>
          <w:rFonts w:eastAsia="仿宋_GB2312"/>
          <w:sz w:val="32"/>
          <w:szCs w:val="32"/>
        </w:rPr>
        <w:t>室的监督，做到了专款专用，没有滞留截流挤占挪用的现象。</w:t>
      </w:r>
      <w:r>
        <w:rPr>
          <w:rFonts w:eastAsia="仿宋_GB2312"/>
          <w:sz w:val="32"/>
          <w:szCs w:val="32"/>
          <w:lang w:val="zh-CN"/>
        </w:rPr>
        <w:t>项目采用一</w:t>
      </w:r>
      <w:r>
        <w:rPr>
          <w:rFonts w:hint="eastAsia" w:eastAsia="仿宋_GB2312"/>
          <w:sz w:val="32"/>
          <w:szCs w:val="32"/>
          <w:lang w:val="zh-CN"/>
        </w:rPr>
        <w:t>事</w:t>
      </w:r>
      <w:r>
        <w:rPr>
          <w:rFonts w:eastAsia="仿宋_GB2312"/>
          <w:sz w:val="32"/>
          <w:szCs w:val="32"/>
          <w:lang w:val="zh-CN"/>
        </w:rPr>
        <w:t>一报的方式执行。</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2021年当年新收案件2791件；2021年结案2779件；当年受理执行案件1186件；年度案件办结率99.22%；案件发改率0.17%；审判时效为28.01天；年度服判息诉率为98.46%。2021年案件数量上存在差异，结合审判质效相关要求，属于正常范围。较好的完成2021年相关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项目执行中，主要核心指标运行良好。</w:t>
      </w:r>
      <w:r>
        <w:rPr>
          <w:rFonts w:hint="eastAsia" w:ascii="仿宋_GB2312" w:hAnsi="仿宋_GB2312" w:eastAsia="仿宋_GB2312" w:cs="仿宋_GB2312"/>
          <w:sz w:val="32"/>
          <w:szCs w:val="32"/>
          <w:lang w:val="en-US" w:eastAsia="zh-CN"/>
        </w:rPr>
        <w:t>年度案件办结率99.22%；案件发改率0.17%；审判时效为28.01天；年度服判息诉率为98.46%，提升法院审判公信力。项目达到预期效果。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项目的实施，有效的保障了我院审判执行工作的开展，为人民群众正常生活生产提供法治保障。该项目能够按照计划完成预期目标，取得了不错的成绩，项目运行也是严格那规章制度进行，不存在违规使用项目资金的情况。存在指标预期和年终的差异，也符合审判质效相关要求。</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对于项目中数量指标的变动，在绩效目标申报设置来看，数据设置还是没有充分结合我院的实际情况。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针对项目自评中发现的问题，应积极与审管部门对接，实时对指标进行监控，保障项目更加高效的运行。</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hint="eastAsia" w:ascii="宋体" w:eastAsia="宋体" w:cs="宋体"/>
                <w:b/>
                <w:sz w:val="32"/>
                <w:szCs w:val="32"/>
                <w:lang w:eastAsia="zh-CN"/>
              </w:rPr>
            </w:pPr>
            <w:r>
              <w:rPr>
                <w:rFonts w:ascii="宋体" w:hAnsi="宋体" w:cs="宋体"/>
                <w:b/>
                <w:sz w:val="32"/>
                <w:szCs w:val="32"/>
              </w:rPr>
              <w:t>2021</w:t>
            </w:r>
            <w:r>
              <w:rPr>
                <w:rFonts w:hint="eastAsia" w:ascii="宋体" w:hAnsi="宋体" w:cs="宋体"/>
                <w:b/>
                <w:sz w:val="32"/>
                <w:szCs w:val="32"/>
              </w:rPr>
              <w:t>年</w:t>
            </w:r>
            <w:r>
              <w:rPr>
                <w:rFonts w:hint="eastAsia" w:ascii="宋体" w:hAnsi="宋体" w:cs="宋体"/>
                <w:b/>
                <w:sz w:val="32"/>
                <w:szCs w:val="32"/>
                <w:lang w:eastAsia="zh-CN"/>
              </w:rPr>
              <w:t>项目支出绩效目标自评表</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203201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cs="宋体"/>
                <w:sz w:val="18"/>
                <w:szCs w:val="18"/>
                <w:lang w:eastAsia="zh-CN"/>
              </w:rPr>
            </w:pPr>
            <w:r>
              <w:rPr>
                <w:rFonts w:hint="eastAsia" w:ascii="宋体" w:cs="宋体"/>
                <w:sz w:val="18"/>
                <w:szCs w:val="18"/>
                <w:lang w:eastAsia="zh-CN"/>
              </w:rPr>
              <w:t>广元市朝天区人民法院</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项目预算</w:t>
            </w:r>
            <w:r>
              <w:rPr>
                <w:rFonts w:ascii="宋体" w:cs="宋体"/>
                <w:kern w:val="0"/>
                <w:sz w:val="18"/>
                <w:szCs w:val="18"/>
              </w:rPr>
              <w:br w:type="textWrapping"/>
            </w:r>
            <w:r>
              <w:rPr>
                <w:rFonts w:hint="eastAsia" w:ascii="宋体" w:hAnsi="宋体" w:cs="宋体"/>
                <w:kern w:val="0"/>
                <w:sz w:val="18"/>
                <w:szCs w:val="18"/>
              </w:rPr>
              <w:t>执行情况</w:t>
            </w:r>
            <w:r>
              <w:rPr>
                <w:rFonts w:ascii="宋体" w:cs="宋体"/>
                <w:kern w:val="0"/>
                <w:sz w:val="18"/>
                <w:szCs w:val="18"/>
              </w:rPr>
              <w:br w:type="textWrapping"/>
            </w:r>
            <w:r>
              <w:rPr>
                <w:rFonts w:hint="eastAsia" w:ascii="宋体" w:hAnsi="宋体" w:cs="宋体"/>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30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30</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30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30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年度总体目标</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rPr>
              <w:t>保障全年办案任务2200件及我院其他中心工作的有序开展</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rPr>
              <w:t>保障我院全年案件的办理和其他案件相关事宜的推进</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完成</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年度新收案件数（件）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2791</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年度结案数（件）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2779</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案件办结率（</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≧96%</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99.22%</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案件改发率（%）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≦1.56%</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0.17%</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数量指标完成时限</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提升案件审判时效（天）</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≦38.98</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28.01</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可持续影响</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提升法院审判公信力</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提升法院审判公信力</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提升法院审判公信力</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满意</w:t>
            </w:r>
            <w:r>
              <w:rPr>
                <w:rFonts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满意度</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服判息诉率（%）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≥85%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98.46%</w:t>
            </w:r>
          </w:p>
        </w:tc>
      </w:tr>
    </w:tbl>
    <w:p>
      <w:pPr>
        <w:widowControl/>
        <w:adjustRightInd w:val="0"/>
        <w:snapToGrid w:val="0"/>
        <w:spacing w:line="580" w:lineRule="exact"/>
        <w:ind w:firstLine="36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18"/>
          <w:szCs w:val="18"/>
          <w:shd w:val="clear" w:color="auto" w:fill="FFFFFF"/>
          <w:lang w:val="zh-CN"/>
        </w:rPr>
        <w:t>附表：</w:t>
      </w:r>
    </w:p>
    <w:p>
      <w:pPr>
        <w:pStyle w:val="6"/>
        <w:spacing w:before="93"/>
        <w:rPr>
          <w:lang w:val="zh-CN"/>
        </w:rPr>
      </w:pPr>
      <w:r>
        <w:rPr>
          <w:rStyle w:val="18"/>
          <w:rFonts w:ascii="黑体" w:hAnsi="黑体" w:eastAsia="黑体"/>
          <w:b w:val="0"/>
        </w:rPr>
        <w:br w:type="page"/>
      </w:r>
      <w:r>
        <w:rPr>
          <w:rFonts w:hint="eastAsia" w:hAnsi="宋体" w:cs="宋体"/>
          <w:sz w:val="32"/>
          <w:szCs w:val="32"/>
          <w:shd w:val="clear" w:color="auto" w:fill="FFFFFF"/>
          <w:lang w:val="zh-CN"/>
        </w:rPr>
        <w:t>附件</w:t>
      </w:r>
    </w:p>
    <w:p>
      <w:pPr>
        <w:spacing w:line="600" w:lineRule="exact"/>
        <w:ind w:firstLine="883"/>
        <w:jc w:val="center"/>
        <w:rPr>
          <w:rFonts w:hint="eastAsia"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（陪审员工作经费）</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val="en-US" w:eastAsia="zh-CN"/>
        </w:rPr>
        <w:t>广元市朝天区人民法院是独立核算的一级预算部门，负</w:t>
      </w:r>
      <w:r>
        <w:rPr>
          <w:rFonts w:hint="eastAsia" w:ascii="仿宋_GB2312" w:hAnsi="宋体" w:eastAsia="仿宋_GB2312" w:cs="Times New Roman"/>
          <w:sz w:val="32"/>
          <w:szCs w:val="32"/>
          <w:lang w:val="en-US" w:eastAsia="zh-CN"/>
        </w:rPr>
        <w:t>责</w:t>
      </w:r>
      <w:r>
        <w:rPr>
          <w:rFonts w:hint="eastAsia" w:ascii="仿宋_GB2312" w:hAnsi="宋体" w:eastAsia="仿宋_GB2312" w:cs="Times New Roman"/>
          <w:sz w:val="32"/>
          <w:szCs w:val="32"/>
          <w:lang w:val="zh-CN" w:eastAsia="zh-CN"/>
        </w:rPr>
        <w:t>陪审员工作费用</w:t>
      </w:r>
      <w:r>
        <w:rPr>
          <w:rFonts w:hint="eastAsia" w:ascii="仿宋_GB2312" w:hAnsi="宋体" w:eastAsia="仿宋_GB2312" w:cs="Times New Roman"/>
          <w:sz w:val="32"/>
          <w:szCs w:val="32"/>
          <w:lang w:val="en-US" w:eastAsia="zh-CN"/>
        </w:rPr>
        <w:t>项目的年初预算的编制和绩效目标的设置，确保项目预算开展的可行</w:t>
      </w:r>
      <w:r>
        <w:rPr>
          <w:rFonts w:hint="eastAsia" w:ascii="仿宋_GB2312" w:hAnsi="宋体" w:eastAsia="仿宋_GB2312"/>
          <w:sz w:val="32"/>
          <w:szCs w:val="32"/>
          <w:lang w:val="en-US" w:eastAsia="zh-CN"/>
        </w:rPr>
        <w:t>性。</w:t>
      </w:r>
      <w:r>
        <w:rPr>
          <w:rFonts w:hint="eastAsia" w:ascii="仿宋_GB2312" w:hAnsi="宋体" w:eastAsia="仿宋_GB2312" w:cs="Times New Roman"/>
          <w:kern w:val="2"/>
          <w:sz w:val="32"/>
          <w:szCs w:val="32"/>
          <w:lang w:val="en-US" w:eastAsia="zh-CN" w:bidi="ar-SA"/>
        </w:rPr>
        <w:t>项目完成后的决算编审、绩效目标考核和项目自评，以及其他与项目相关工作。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为做好</w:t>
      </w:r>
      <w:r>
        <w:rPr>
          <w:rFonts w:hint="eastAsia" w:ascii="仿宋_GB2312" w:hAnsi="宋体" w:eastAsia="仿宋_GB2312" w:cs="Times New Roman"/>
          <w:sz w:val="32"/>
          <w:szCs w:val="32"/>
          <w:lang w:val="zh-CN" w:eastAsia="zh-CN"/>
        </w:rPr>
        <w:t>陪审员</w:t>
      </w:r>
      <w:r>
        <w:rPr>
          <w:rFonts w:hint="eastAsia" w:ascii="仿宋_GB2312" w:hAnsi="宋体" w:eastAsia="仿宋_GB2312" w:cs="Times New Roman"/>
          <w:kern w:val="2"/>
          <w:sz w:val="32"/>
          <w:szCs w:val="32"/>
          <w:lang w:val="en-US" w:eastAsia="zh-CN" w:bidi="ar-SA"/>
        </w:rPr>
        <w:t>工作，</w:t>
      </w:r>
      <w:r>
        <w:rPr>
          <w:rFonts w:hint="eastAsia" w:ascii="仿宋_GB2312" w:eastAsia="仿宋_GB2312"/>
          <w:sz w:val="32"/>
          <w:szCs w:val="32"/>
        </w:rPr>
        <w:t>扩大社会各界参与</w:t>
      </w:r>
      <w:r>
        <w:rPr>
          <w:rFonts w:hint="eastAsia" w:ascii="仿宋_GB2312" w:eastAsia="仿宋_GB2312"/>
          <w:sz w:val="32"/>
          <w:szCs w:val="32"/>
          <w:lang w:eastAsia="zh-CN"/>
        </w:rPr>
        <w:t>，</w:t>
      </w:r>
      <w:r>
        <w:rPr>
          <w:rFonts w:hint="eastAsia" w:ascii="仿宋_GB2312" w:hAnsi="宋体" w:eastAsia="仿宋_GB2312" w:cs="Times New Roman"/>
          <w:kern w:val="2"/>
          <w:sz w:val="32"/>
          <w:szCs w:val="32"/>
          <w:lang w:val="en-US" w:eastAsia="zh-CN" w:bidi="ar-SA"/>
        </w:rPr>
        <w:t>为全区提供优质的法治环境持续发力，我院申报预算资金5万元。区财政部门予以批复。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sz w:val="32"/>
          <w:szCs w:val="32"/>
          <w:lang w:val="zh-CN" w:eastAsia="zh-CN"/>
        </w:rPr>
        <w:t>陪审员工作费用</w:t>
      </w:r>
      <w:r>
        <w:rPr>
          <w:rFonts w:hint="eastAsia" w:ascii="仿宋_GB2312" w:hAnsi="宋体" w:eastAsia="仿宋_GB2312" w:cs="Times New Roman"/>
          <w:kern w:val="2"/>
          <w:sz w:val="32"/>
          <w:szCs w:val="32"/>
          <w:lang w:val="en-US" w:eastAsia="zh-CN" w:bidi="ar-SA"/>
        </w:rPr>
        <w:t>资金来源系财政全额拨款的一般公共预算资金，按照我院财务管理的相关规定，实行专款专用，保障我院选任人民陪审员、积极开展人民陪审员案件参与等工作高效有序开展。项目的所有经费开支均进行严格的审批程序，并及时进行支付、会计核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在资金预算申报时充分规划我院年度</w:t>
      </w:r>
      <w:r>
        <w:rPr>
          <w:rFonts w:hint="eastAsia" w:ascii="仿宋_GB2312" w:hAnsi="宋体" w:eastAsia="仿宋_GB2312" w:cs="Times New Roman"/>
          <w:sz w:val="32"/>
          <w:szCs w:val="32"/>
          <w:lang w:val="zh-CN" w:eastAsia="zh-CN"/>
        </w:rPr>
        <w:t>陪审员工作</w:t>
      </w:r>
      <w:r>
        <w:rPr>
          <w:rFonts w:hint="eastAsia" w:ascii="仿宋_GB2312" w:hAnsi="宋体" w:eastAsia="仿宋_GB2312" w:cs="Times New Roman"/>
          <w:kern w:val="2"/>
          <w:sz w:val="32"/>
          <w:szCs w:val="32"/>
          <w:lang w:val="en-US" w:eastAsia="zh-CN" w:bidi="ar-SA"/>
        </w:rPr>
        <w:t>，保障我院审判执行工作开展。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cs="Times New Roman"/>
          <w:sz w:val="32"/>
          <w:szCs w:val="32"/>
          <w:lang w:val="zh-CN" w:eastAsia="zh-CN"/>
        </w:rPr>
        <w:t>陪审员工作费用</w:t>
      </w:r>
      <w:r>
        <w:rPr>
          <w:rFonts w:hint="eastAsia" w:ascii="仿宋_GB2312" w:hAnsi="宋体" w:eastAsia="仿宋_GB2312"/>
          <w:sz w:val="32"/>
          <w:szCs w:val="32"/>
          <w:lang w:val="en-US" w:eastAsia="zh-CN"/>
        </w:rPr>
        <w:t>是保障</w:t>
      </w:r>
      <w:r>
        <w:rPr>
          <w:rFonts w:hint="eastAsia" w:ascii="仿宋_GB2312" w:hAnsi="宋体" w:eastAsia="仿宋_GB2312" w:cs="Times New Roman"/>
          <w:sz w:val="32"/>
          <w:szCs w:val="32"/>
          <w:lang w:val="zh-CN" w:eastAsia="zh-CN"/>
        </w:rPr>
        <w:t>陪审员</w:t>
      </w:r>
      <w:r>
        <w:rPr>
          <w:rFonts w:hint="eastAsia" w:ascii="仿宋_GB2312" w:hAnsi="宋体" w:eastAsia="仿宋_GB2312"/>
          <w:sz w:val="32"/>
          <w:szCs w:val="32"/>
          <w:lang w:val="en-US" w:eastAsia="zh-CN"/>
        </w:rPr>
        <w:t>开展正常庭审、调解工作，来源于财政全额拨款。</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Times New Roman"/>
          <w:kern w:val="2"/>
          <w:sz w:val="32"/>
          <w:szCs w:val="32"/>
          <w:lang w:val="en-US" w:eastAsia="zh-CN" w:bidi="ar-SA"/>
        </w:rPr>
        <w:t>具体绩效目标：完成全年陪审任务，做好人民陪审员选任工作。</w:t>
      </w:r>
      <w:r>
        <w:rPr>
          <w:rFonts w:hint="eastAsia" w:ascii="仿宋_GB2312" w:hAnsi="仿宋_GB2312" w:eastAsia="仿宋_GB2312" w:cs="仿宋_GB2312"/>
          <w:sz w:val="32"/>
          <w:szCs w:val="32"/>
          <w:lang w:val="en-US" w:eastAsia="zh-CN"/>
        </w:rPr>
        <w:t>2021年陪审案件数预计完成240件；出勤率达100%为核心指标。</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2021年人民陪审员较好的完成了全年陪审工作，</w:t>
      </w:r>
      <w:r>
        <w:rPr>
          <w:rFonts w:hint="eastAsia" w:ascii="仿宋_GB2312" w:hAnsi="宋体" w:eastAsia="仿宋_GB2312" w:cs="Times New Roman"/>
          <w:sz w:val="32"/>
          <w:szCs w:val="32"/>
          <w:lang w:val="zh-CN" w:eastAsia="zh-CN"/>
        </w:rPr>
        <w:t>陪审员工作费用</w:t>
      </w:r>
      <w:r>
        <w:rPr>
          <w:rFonts w:hint="eastAsia" w:ascii="仿宋_GB2312" w:hAnsi="宋体" w:eastAsia="仿宋_GB2312" w:cs="Times New Roman"/>
          <w:kern w:val="2"/>
          <w:sz w:val="32"/>
          <w:szCs w:val="32"/>
          <w:lang w:val="en-US" w:eastAsia="zh-CN" w:bidi="ar-SA"/>
        </w:rPr>
        <w:t>项目计划实施内容与项目预算实施内容完全相符，该工作经费已完成陪审员工作的顺利开展，项目申报的目标是合理可行的。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项目自评采用总体评价的方法，项目管理严格，效果明显，完成各项预定目标，达到预期的社会效益。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陪审员经费年初资金申报5万元，财政批复下达5万元，年内无预算调整。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1.资金计划。我院陪审员经费项目资金全额来源于财政一般公共预算资金拨款。</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kern w:val="2"/>
          <w:sz w:val="32"/>
          <w:szCs w:val="32"/>
          <w:lang w:val="en-US" w:eastAsia="zh-CN" w:bidi="ar-SA"/>
        </w:rPr>
        <w:t>2.资金到位。</w:t>
      </w:r>
      <w:r>
        <w:rPr>
          <w:rFonts w:hint="eastAsia" w:ascii="仿宋_GB2312" w:hAnsi="宋体" w:eastAsia="仿宋_GB2312" w:cs="Times New Roman"/>
          <w:sz w:val="32"/>
          <w:szCs w:val="32"/>
          <w:lang w:val="en-US" w:eastAsia="zh-CN"/>
        </w:rPr>
        <w:t>陪审员经费项目资金在2021年度内全额及时到位，到位率100%。</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3.资金使用。2021年度陪审员经费工作经费累计支出5万元。较好的完成本项目预期设置的目标。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严格按照财务管理资金使用的规定，依据财政相关制度，充分认识资金的重要性，发挥项目资金最大作用，坚持厉行节约，不存在资金截留、挤占和挪用现象。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4"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eastAsia="仿宋_GB2312"/>
          <w:sz w:val="32"/>
          <w:szCs w:val="32"/>
          <w:lang w:val="zh-CN"/>
        </w:rPr>
        <w:t>项目以业务分管院长牵头，</w:t>
      </w:r>
      <w:r>
        <w:rPr>
          <w:rFonts w:hint="eastAsia" w:eastAsia="仿宋_GB2312"/>
          <w:sz w:val="32"/>
          <w:szCs w:val="32"/>
          <w:lang w:val="zh-CN"/>
        </w:rPr>
        <w:t>综合办公室、审管部门及</w:t>
      </w:r>
      <w:r>
        <w:rPr>
          <w:rFonts w:eastAsia="仿宋_GB2312"/>
          <w:sz w:val="32"/>
          <w:szCs w:val="32"/>
          <w:lang w:val="zh-CN"/>
        </w:rPr>
        <w:t>各业务庭室</w:t>
      </w:r>
      <w:r>
        <w:rPr>
          <w:rFonts w:hint="eastAsia" w:eastAsia="仿宋_GB2312"/>
          <w:sz w:val="32"/>
          <w:szCs w:val="32"/>
          <w:lang w:val="zh-CN"/>
        </w:rPr>
        <w:t>负责人</w:t>
      </w:r>
      <w:r>
        <w:rPr>
          <w:rFonts w:eastAsia="仿宋_GB2312"/>
          <w:sz w:val="32"/>
          <w:szCs w:val="32"/>
          <w:lang w:val="zh-CN"/>
        </w:rPr>
        <w:t>协同配合的组织构架，负责对项目执行</w:t>
      </w:r>
      <w:r>
        <w:rPr>
          <w:rFonts w:hint="eastAsia" w:eastAsia="仿宋_GB2312"/>
          <w:sz w:val="32"/>
          <w:szCs w:val="32"/>
          <w:lang w:val="zh-CN"/>
        </w:rPr>
        <w:t>情况</w:t>
      </w:r>
      <w:r>
        <w:rPr>
          <w:rFonts w:eastAsia="仿宋_GB2312"/>
          <w:sz w:val="32"/>
          <w:szCs w:val="32"/>
          <w:lang w:val="zh-CN"/>
        </w:rPr>
        <w:t>负责，由</w:t>
      </w:r>
      <w:r>
        <w:rPr>
          <w:rFonts w:hint="eastAsia" w:eastAsia="仿宋_GB2312"/>
          <w:sz w:val="32"/>
          <w:szCs w:val="32"/>
          <w:lang w:val="zh-CN"/>
        </w:rPr>
        <w:t>院督查室</w:t>
      </w:r>
      <w:r>
        <w:rPr>
          <w:rFonts w:eastAsia="仿宋_GB2312"/>
          <w:sz w:val="32"/>
          <w:szCs w:val="32"/>
          <w:lang w:val="zh-CN"/>
        </w:rPr>
        <w:t>监督验收项目发生的合理合规性，</w:t>
      </w:r>
      <w:r>
        <w:rPr>
          <w:rFonts w:hint="eastAsia" w:eastAsia="仿宋_GB2312"/>
          <w:sz w:val="32"/>
          <w:szCs w:val="32"/>
          <w:lang w:val="zh-CN"/>
        </w:rPr>
        <w:t>综合办公室</w:t>
      </w:r>
      <w:r>
        <w:rPr>
          <w:rFonts w:eastAsia="仿宋_GB2312"/>
          <w:sz w:val="32"/>
          <w:szCs w:val="32"/>
          <w:lang w:val="zh-CN"/>
        </w:rPr>
        <w:t>对项目资金的支付严格把关。</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eastAsia="仿宋_GB2312"/>
          <w:sz w:val="32"/>
          <w:szCs w:val="32"/>
          <w:lang w:val="zh-CN"/>
        </w:rPr>
        <w:t>项目推行全面质量管理，充分发挥监督管理职能，财务报账严格执行财务审批程序。</w:t>
      </w:r>
    </w:p>
    <w:p>
      <w:pPr>
        <w:adjustRightInd w:val="0"/>
        <w:snapToGrid w:val="0"/>
        <w:spacing w:line="574" w:lineRule="exact"/>
        <w:ind w:firstLine="643" w:firstLineChars="200"/>
        <w:rPr>
          <w:rFonts w:eastAsia="仿宋_GB2312"/>
          <w:sz w:val="32"/>
          <w:szCs w:val="32"/>
        </w:rPr>
      </w:pPr>
      <w:r>
        <w:rPr>
          <w:rFonts w:hint="eastAsia" w:ascii="楷体_GB2312" w:hAnsi="宋体" w:eastAsia="楷体_GB2312"/>
          <w:b/>
          <w:sz w:val="32"/>
          <w:szCs w:val="32"/>
          <w:lang w:val="zh-CN"/>
        </w:rPr>
        <w:t>（三）项目监管情况。</w:t>
      </w:r>
      <w:r>
        <w:rPr>
          <w:rFonts w:hint="eastAsia" w:ascii="仿宋_GB2312" w:hAnsi="宋体" w:eastAsia="仿宋_GB2312" w:cs="Times New Roman"/>
          <w:sz w:val="32"/>
          <w:szCs w:val="32"/>
          <w:lang w:val="en-US" w:eastAsia="zh-CN"/>
        </w:rPr>
        <w:t>陪审员经费</w:t>
      </w:r>
      <w:r>
        <w:rPr>
          <w:rFonts w:eastAsia="仿宋_GB2312"/>
          <w:sz w:val="32"/>
          <w:szCs w:val="32"/>
        </w:rPr>
        <w:t>严格按照</w:t>
      </w:r>
      <w:r>
        <w:rPr>
          <w:rFonts w:hint="eastAsia" w:eastAsia="仿宋_GB2312"/>
          <w:sz w:val="32"/>
          <w:szCs w:val="32"/>
          <w:lang w:eastAsia="zh-CN"/>
        </w:rPr>
        <w:t>人民陪审员相关规章制度进行执行</w:t>
      </w:r>
      <w:r>
        <w:rPr>
          <w:rFonts w:eastAsia="仿宋_GB2312"/>
          <w:sz w:val="32"/>
          <w:szCs w:val="32"/>
        </w:rPr>
        <w:t>，并主动接受院</w:t>
      </w:r>
      <w:r>
        <w:rPr>
          <w:rFonts w:hint="eastAsia" w:eastAsia="仿宋_GB2312"/>
          <w:sz w:val="32"/>
          <w:szCs w:val="32"/>
          <w:lang w:eastAsia="zh-CN"/>
        </w:rPr>
        <w:t>督查</w:t>
      </w:r>
      <w:r>
        <w:rPr>
          <w:rFonts w:eastAsia="仿宋_GB2312"/>
          <w:sz w:val="32"/>
          <w:szCs w:val="32"/>
        </w:rPr>
        <w:t>室的监督，做到了专款专用，没有滞留截流挤占挪用的现象。</w:t>
      </w:r>
      <w:r>
        <w:rPr>
          <w:rFonts w:eastAsia="仿宋_GB2312"/>
          <w:sz w:val="32"/>
          <w:szCs w:val="32"/>
          <w:lang w:val="zh-CN"/>
        </w:rPr>
        <w:t>项目采用一</w:t>
      </w:r>
      <w:r>
        <w:rPr>
          <w:rFonts w:hint="eastAsia" w:eastAsia="仿宋_GB2312"/>
          <w:sz w:val="32"/>
          <w:szCs w:val="32"/>
          <w:lang w:val="zh-CN"/>
        </w:rPr>
        <w:t>事</w:t>
      </w:r>
      <w:r>
        <w:rPr>
          <w:rFonts w:eastAsia="仿宋_GB2312"/>
          <w:sz w:val="32"/>
          <w:szCs w:val="32"/>
          <w:lang w:val="zh-CN"/>
        </w:rPr>
        <w:t>一报的方式执行。</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2021年人民陪审员完成陪审案件数180件；出勤率100%；在年度完成相应工作量；保障社会经济持续和谐发展；保障案件审判执行公信力；广泛赢得群众的认可度。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2021年陪审案件数完成1800件，出勤率达100%为核心指标。两个指标的运行情况较为良好。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该项目的实施，有效的保障了我院</w:t>
      </w:r>
      <w:r>
        <w:rPr>
          <w:rFonts w:hint="eastAsia" w:ascii="仿宋_GB2312" w:hAnsi="宋体" w:eastAsia="仿宋_GB2312" w:cs="Times New Roman"/>
          <w:sz w:val="32"/>
          <w:szCs w:val="32"/>
          <w:lang w:val="zh-CN" w:eastAsia="zh-CN"/>
        </w:rPr>
        <w:t>陪审员工作</w:t>
      </w:r>
      <w:r>
        <w:rPr>
          <w:rFonts w:hint="eastAsia" w:ascii="仿宋_GB2312" w:eastAsia="仿宋_GB2312"/>
          <w:sz w:val="32"/>
          <w:szCs w:val="32"/>
          <w:lang w:val="en-US" w:eastAsia="zh-CN"/>
        </w:rPr>
        <w:t>的开展，为人民群众正常生活生产提供法治保障。项目运行中关于陪审案件数完成情况与预计数据有差异，然人民陪审员工作是结合审判执行工作实际进行开展执行。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eastAsia="仿宋_GB2312"/>
          <w:sz w:val="32"/>
          <w:szCs w:val="32"/>
          <w:lang w:val="en-US" w:eastAsia="zh-CN"/>
        </w:rPr>
        <w:t>项目运行中关于陪审案件数完成情况与预计数据有差异</w:t>
      </w:r>
      <w:r>
        <w:rPr>
          <w:rFonts w:hint="eastAsia" w:ascii="仿宋_GB2312" w:hAnsi="宋体" w:eastAsia="仿宋_GB2312"/>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针对项目自评中发现的问题，及时了解人民陪审员陪审案件数，在过控管理中进行适时调整，同时应积极与审管部门对接，实时对指标进行监控，保障项目更加高效的运行。</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hint="eastAsia" w:ascii="宋体" w:eastAsia="宋体" w:cs="宋体"/>
                <w:b/>
                <w:sz w:val="32"/>
                <w:szCs w:val="32"/>
                <w:lang w:eastAsia="zh-CN"/>
              </w:rPr>
            </w:pPr>
            <w:r>
              <w:rPr>
                <w:rFonts w:ascii="宋体" w:hAnsi="宋体" w:cs="宋体"/>
                <w:b/>
                <w:sz w:val="32"/>
                <w:szCs w:val="32"/>
              </w:rPr>
              <w:t>2021</w:t>
            </w:r>
            <w:r>
              <w:rPr>
                <w:rFonts w:hint="eastAsia" w:ascii="宋体" w:hAnsi="宋体" w:cs="宋体"/>
                <w:b/>
                <w:sz w:val="32"/>
                <w:szCs w:val="32"/>
              </w:rPr>
              <w:t>年</w:t>
            </w:r>
            <w:r>
              <w:rPr>
                <w:rFonts w:hint="eastAsia" w:ascii="宋体" w:hAnsi="宋体" w:cs="宋体"/>
                <w:b/>
                <w:sz w:val="32"/>
                <w:szCs w:val="32"/>
                <w:lang w:eastAsia="zh-CN"/>
              </w:rPr>
              <w:t>项目支出绩效目标自评表</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203201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cs="宋体"/>
                <w:sz w:val="18"/>
                <w:szCs w:val="18"/>
                <w:lang w:eastAsia="zh-CN"/>
              </w:rPr>
            </w:pPr>
            <w:r>
              <w:rPr>
                <w:rFonts w:hint="eastAsia" w:ascii="宋体" w:cs="宋体"/>
                <w:sz w:val="18"/>
                <w:szCs w:val="18"/>
                <w:lang w:eastAsia="zh-CN"/>
              </w:rPr>
              <w:t>广元市朝天区人民法院</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项目预算</w:t>
            </w:r>
            <w:r>
              <w:rPr>
                <w:rFonts w:ascii="宋体" w:cs="宋体"/>
                <w:kern w:val="0"/>
                <w:sz w:val="18"/>
                <w:szCs w:val="18"/>
              </w:rPr>
              <w:br w:type="textWrapping"/>
            </w:r>
            <w:r>
              <w:rPr>
                <w:rFonts w:hint="eastAsia" w:ascii="宋体" w:hAnsi="宋体" w:cs="宋体"/>
                <w:kern w:val="0"/>
                <w:sz w:val="18"/>
                <w:szCs w:val="18"/>
              </w:rPr>
              <w:t>执行情况</w:t>
            </w:r>
            <w:r>
              <w:rPr>
                <w:rFonts w:ascii="宋体" w:cs="宋体"/>
                <w:kern w:val="0"/>
                <w:sz w:val="18"/>
                <w:szCs w:val="18"/>
              </w:rPr>
              <w:br w:type="textWrapping"/>
            </w:r>
            <w:r>
              <w:rPr>
                <w:rFonts w:hint="eastAsia" w:ascii="宋体" w:hAnsi="宋体" w:cs="宋体"/>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年度总体目标</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rPr>
              <w:t>保障人民陪审员全年陪审员任务完成</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rPr>
              <w:t>确保人民陪审员工作正常开展</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完成</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陪审案件数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出勤率（%）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数量指标完成时限</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社会效益</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社会经济持续和谐发展</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保障社会经济持续和谐发展</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保障社会经济持续和谐发展</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可持续影响</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提升法院审判公信力</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提升法院审判公信力</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提升法院审判公信力</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满意</w:t>
            </w:r>
            <w:r>
              <w:rPr>
                <w:rFonts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满意度</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群众对法院工作的认可度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r>
              <w:rPr>
                <w:rFonts w:hint="eastAsia" w:ascii="仿宋_GB2312" w:hAnsi="仿宋_GB2312" w:eastAsia="仿宋_GB2312" w:cs="仿宋_GB2312"/>
                <w:sz w:val="18"/>
                <w:szCs w:val="18"/>
              </w:rPr>
              <w:t>%</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w:t>
            </w:r>
            <w:r>
              <w:rPr>
                <w:rFonts w:hint="eastAsia" w:ascii="仿宋_GB2312" w:hAnsi="仿宋_GB2312" w:eastAsia="仿宋_GB2312" w:cs="仿宋_GB2312"/>
                <w:sz w:val="18"/>
                <w:szCs w:val="18"/>
              </w:rPr>
              <w:t>6%</w:t>
            </w:r>
          </w:p>
        </w:tc>
      </w:tr>
    </w:tbl>
    <w:p>
      <w:pPr>
        <w:widowControl/>
        <w:jc w:val="left"/>
        <w:rPr>
          <w:rStyle w:val="18"/>
          <w:rFonts w:ascii="黑体" w:hAnsi="黑体" w:eastAsia="黑体"/>
          <w:b w:val="0"/>
        </w:rPr>
      </w:pPr>
    </w:p>
    <w:p>
      <w:pPr>
        <w:spacing w:line="600" w:lineRule="exact"/>
        <w:jc w:val="center"/>
        <w:outlineLvl w:val="0"/>
        <w:rPr>
          <w:rFonts w:hint="eastAsia" w:ascii="黑体" w:hAnsi="黑体" w:eastAsia="黑体"/>
          <w:sz w:val="44"/>
          <w:szCs w:val="44"/>
        </w:rPr>
      </w:pPr>
      <w:bookmarkStart w:id="88" w:name="_Toc15396618"/>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6"/>
        <w:spacing w:before="93"/>
        <w:rPr>
          <w:lang w:val="zh-CN"/>
        </w:rPr>
      </w:pPr>
      <w:r>
        <w:rPr>
          <w:rFonts w:hint="eastAsia" w:hAnsi="宋体" w:cs="宋体"/>
          <w:sz w:val="32"/>
          <w:szCs w:val="32"/>
          <w:shd w:val="clear" w:color="auto" w:fill="FFFFFF"/>
          <w:lang w:val="zh-CN"/>
        </w:rPr>
        <w:t>附件</w:t>
      </w:r>
    </w:p>
    <w:p>
      <w:pPr>
        <w:spacing w:line="600" w:lineRule="exact"/>
        <w:ind w:firstLine="883"/>
        <w:jc w:val="center"/>
        <w:rPr>
          <w:rFonts w:hint="eastAsia"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（公务交通补贴）</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val="en-US" w:eastAsia="zh-CN"/>
        </w:rPr>
        <w:t>广元市朝天区人民法院是独立核算的一级预算部门，负</w:t>
      </w:r>
      <w:r>
        <w:rPr>
          <w:rFonts w:hint="eastAsia" w:ascii="仿宋_GB2312" w:hAnsi="宋体" w:eastAsia="仿宋_GB2312" w:cs="Times New Roman"/>
          <w:sz w:val="32"/>
          <w:szCs w:val="32"/>
          <w:lang w:val="en-US" w:eastAsia="zh-CN"/>
        </w:rPr>
        <w:t>责</w:t>
      </w:r>
      <w:r>
        <w:rPr>
          <w:rFonts w:hint="eastAsia" w:ascii="仿宋_GB2312" w:hAnsi="宋体" w:eastAsia="仿宋_GB2312"/>
          <w:sz w:val="32"/>
          <w:szCs w:val="32"/>
          <w:lang w:val="zh-CN"/>
        </w:rPr>
        <w:t>公务交通补贴</w:t>
      </w:r>
      <w:r>
        <w:rPr>
          <w:rFonts w:hint="eastAsia" w:ascii="仿宋_GB2312" w:hAnsi="宋体" w:eastAsia="仿宋_GB2312" w:cs="Times New Roman"/>
          <w:sz w:val="32"/>
          <w:szCs w:val="32"/>
          <w:lang w:val="en-US" w:eastAsia="zh-CN"/>
        </w:rPr>
        <w:t>项目的年初预算的编制和绩效目标的设置，确保项目预算开展的可行</w:t>
      </w:r>
      <w:r>
        <w:rPr>
          <w:rFonts w:hint="eastAsia" w:ascii="仿宋_GB2312" w:hAnsi="宋体" w:eastAsia="仿宋_GB2312"/>
          <w:sz w:val="32"/>
          <w:szCs w:val="32"/>
          <w:lang w:val="en-US" w:eastAsia="zh-CN"/>
        </w:rPr>
        <w:t>性。</w:t>
      </w:r>
      <w:r>
        <w:rPr>
          <w:rFonts w:hint="eastAsia" w:ascii="仿宋_GB2312" w:hAnsi="宋体" w:eastAsia="仿宋_GB2312" w:cs="Times New Roman"/>
          <w:kern w:val="2"/>
          <w:sz w:val="32"/>
          <w:szCs w:val="32"/>
          <w:lang w:val="en-US" w:eastAsia="zh-CN" w:bidi="ar-SA"/>
        </w:rPr>
        <w:t>项目完成后的决算编审、绩效目标考核和项目自评，以及其他与项目相关工作。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为做好</w:t>
      </w:r>
      <w:r>
        <w:rPr>
          <w:rFonts w:hint="eastAsia" w:ascii="仿宋_GB2312" w:hAnsi="宋体" w:eastAsia="仿宋_GB2312" w:cs="Times New Roman"/>
          <w:sz w:val="32"/>
          <w:szCs w:val="32"/>
          <w:lang w:val="zh-CN" w:eastAsia="zh-CN"/>
        </w:rPr>
        <w:t>公务交通补贴发放工作</w:t>
      </w:r>
      <w:r>
        <w:rPr>
          <w:rFonts w:hint="eastAsia" w:ascii="仿宋_GB2312" w:hAnsi="宋体" w:eastAsia="仿宋_GB2312" w:cs="Times New Roman"/>
          <w:kern w:val="2"/>
          <w:sz w:val="32"/>
          <w:szCs w:val="32"/>
          <w:lang w:val="en-US" w:eastAsia="zh-CN" w:bidi="ar-SA"/>
        </w:rPr>
        <w:t>，</w:t>
      </w:r>
      <w:r>
        <w:rPr>
          <w:rFonts w:hint="eastAsia" w:ascii="仿宋_GB2312" w:eastAsia="仿宋_GB2312"/>
          <w:sz w:val="32"/>
          <w:szCs w:val="32"/>
          <w:lang w:eastAsia="zh-CN"/>
        </w:rPr>
        <w:t>保障全院干警合理待遇享受</w:t>
      </w:r>
      <w:r>
        <w:rPr>
          <w:rFonts w:hint="eastAsia" w:ascii="仿宋_GB2312" w:hAnsi="宋体" w:eastAsia="仿宋_GB2312" w:cs="Times New Roman"/>
          <w:kern w:val="2"/>
          <w:sz w:val="32"/>
          <w:szCs w:val="32"/>
          <w:lang w:val="en-US" w:eastAsia="zh-CN" w:bidi="ar-SA"/>
        </w:rPr>
        <w:t>，我院申报预算资金39.26万元。年终调整38.73万元。区财政部门予以批复。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val="zh-CN"/>
        </w:rPr>
        <w:t>公务交通补贴</w:t>
      </w:r>
      <w:r>
        <w:rPr>
          <w:rFonts w:hint="eastAsia" w:ascii="仿宋_GB2312" w:hAnsi="宋体" w:eastAsia="仿宋_GB2312" w:cs="Times New Roman"/>
          <w:kern w:val="2"/>
          <w:sz w:val="32"/>
          <w:szCs w:val="32"/>
          <w:lang w:val="en-US" w:eastAsia="zh-CN" w:bidi="ar-SA"/>
        </w:rPr>
        <w:t>资金来源系财政全额拨款的一般公共预算资金，按照我院财务管理的相关规定，实行专款专用，保障我院干警正常福利支出。项目的所有经费开支均进行严格的审批程序，并及时进行支付、会计核算。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在资金预算申报时充分规划我院</w:t>
      </w:r>
      <w:r>
        <w:rPr>
          <w:rFonts w:hint="eastAsia" w:ascii="仿宋_GB2312" w:hAnsi="宋体" w:eastAsia="仿宋_GB2312"/>
          <w:sz w:val="32"/>
          <w:szCs w:val="32"/>
          <w:lang w:val="zh-CN"/>
        </w:rPr>
        <w:t>公务交通补贴与实际人员在职在岗情况</w:t>
      </w:r>
      <w:r>
        <w:rPr>
          <w:rFonts w:hint="eastAsia" w:ascii="仿宋_GB2312" w:hAnsi="宋体" w:eastAsia="仿宋_GB2312" w:cs="Times New Roman"/>
          <w:kern w:val="2"/>
          <w:sz w:val="32"/>
          <w:szCs w:val="32"/>
          <w:lang w:val="en-US" w:eastAsia="zh-CN" w:bidi="ar-SA"/>
        </w:rPr>
        <w:t>，保障我院我院干警合理合规待遇。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公务交通补贴</w:t>
      </w:r>
      <w:r>
        <w:rPr>
          <w:rFonts w:hint="eastAsia" w:ascii="仿宋_GB2312" w:hAnsi="宋体" w:eastAsia="仿宋_GB2312"/>
          <w:sz w:val="32"/>
          <w:szCs w:val="32"/>
          <w:lang w:val="en-US" w:eastAsia="zh-CN"/>
        </w:rPr>
        <w:t>是保障</w:t>
      </w:r>
      <w:r>
        <w:rPr>
          <w:rFonts w:hint="eastAsia" w:ascii="仿宋_GB2312" w:eastAsia="仿宋_GB2312"/>
          <w:sz w:val="32"/>
          <w:szCs w:val="32"/>
          <w:lang w:eastAsia="zh-CN"/>
        </w:rPr>
        <w:t>全院干警合理待遇享受</w:t>
      </w:r>
      <w:r>
        <w:rPr>
          <w:rFonts w:hint="eastAsia" w:ascii="仿宋_GB2312" w:hAnsi="宋体" w:eastAsia="仿宋_GB2312"/>
          <w:sz w:val="32"/>
          <w:szCs w:val="32"/>
          <w:lang w:val="en-US" w:eastAsia="zh-CN"/>
        </w:rPr>
        <w:t>，来源于财政全额拨款。</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Times New Roman"/>
          <w:kern w:val="2"/>
          <w:sz w:val="32"/>
          <w:szCs w:val="32"/>
          <w:lang w:val="en-US" w:eastAsia="zh-CN" w:bidi="ar-SA"/>
        </w:rPr>
        <w:t>具体绩效目标：确保应发尽发，到位率100%</w:t>
      </w:r>
      <w:r>
        <w:rPr>
          <w:rFonts w:hint="eastAsia" w:ascii="仿宋_GB2312" w:hAnsi="仿宋_GB2312" w:eastAsia="仿宋_GB2312" w:cs="仿宋_GB2312"/>
          <w:sz w:val="32"/>
          <w:szCs w:val="32"/>
          <w:lang w:val="en-US" w:eastAsia="zh-CN"/>
        </w:rPr>
        <w:t>为核心指标。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项目自评采用总体评价的方法，项目管理严格，效果明显，完成各项预定目标，达到预期的社会效益。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仿宋_GB2312" w:hAnsi="宋体" w:eastAsia="仿宋_GB2312"/>
          <w:sz w:val="32"/>
          <w:szCs w:val="32"/>
          <w:lang w:val="zh-CN"/>
        </w:rPr>
        <w:t>公务交通补贴</w:t>
      </w:r>
      <w:r>
        <w:rPr>
          <w:rFonts w:hint="eastAsia" w:ascii="仿宋_GB2312" w:hAnsi="宋体" w:eastAsia="仿宋_GB2312" w:cs="Times New Roman"/>
          <w:sz w:val="32"/>
          <w:szCs w:val="32"/>
          <w:lang w:val="en-US" w:eastAsia="zh-CN"/>
        </w:rPr>
        <w:t>年初资金申报39.26万元，财政批复下达39.26万元，年内根据干警实际在岗情况进行追减，实际执行38.73万元。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1.资金计划。我院3</w:t>
      </w:r>
      <w:r>
        <w:rPr>
          <w:rFonts w:hint="eastAsia" w:ascii="仿宋_GB2312" w:hAnsi="宋体" w:eastAsia="仿宋_GB2312"/>
          <w:sz w:val="32"/>
          <w:szCs w:val="32"/>
          <w:lang w:val="zh-CN"/>
        </w:rPr>
        <w:t>公务交通补贴</w:t>
      </w:r>
      <w:r>
        <w:rPr>
          <w:rFonts w:hint="eastAsia" w:ascii="仿宋_GB2312" w:hAnsi="宋体" w:eastAsia="仿宋_GB2312" w:cs="Times New Roman"/>
          <w:sz w:val="32"/>
          <w:szCs w:val="32"/>
          <w:lang w:val="en-US" w:eastAsia="zh-CN"/>
        </w:rPr>
        <w:t>资金全额来源于财政一般公共预算资金拨款。</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kern w:val="2"/>
          <w:sz w:val="32"/>
          <w:szCs w:val="32"/>
          <w:lang w:val="en-US" w:eastAsia="zh-CN" w:bidi="ar-SA"/>
        </w:rPr>
        <w:t>2.资金到位。</w:t>
      </w:r>
      <w:r>
        <w:rPr>
          <w:rFonts w:hint="eastAsia" w:ascii="仿宋_GB2312" w:hAnsi="宋体" w:eastAsia="仿宋_GB2312"/>
          <w:sz w:val="32"/>
          <w:szCs w:val="32"/>
          <w:lang w:val="zh-CN"/>
        </w:rPr>
        <w:t>公务交通补贴</w:t>
      </w:r>
      <w:r>
        <w:rPr>
          <w:rFonts w:hint="eastAsia" w:ascii="仿宋_GB2312" w:hAnsi="宋体" w:eastAsia="仿宋_GB2312" w:cs="Times New Roman"/>
          <w:sz w:val="32"/>
          <w:szCs w:val="32"/>
          <w:lang w:val="en-US" w:eastAsia="zh-CN"/>
        </w:rPr>
        <w:t>资金在2021年度内全额及时到位，到位率100%。</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3.资金使用。2021年度</w:t>
      </w:r>
      <w:r>
        <w:rPr>
          <w:rFonts w:hint="eastAsia" w:ascii="仿宋_GB2312" w:hAnsi="宋体" w:eastAsia="仿宋_GB2312"/>
          <w:sz w:val="32"/>
          <w:szCs w:val="32"/>
          <w:lang w:val="zh-CN"/>
        </w:rPr>
        <w:t>公务交通补贴</w:t>
      </w:r>
      <w:r>
        <w:rPr>
          <w:rFonts w:hint="eastAsia" w:ascii="仿宋_GB2312" w:hAnsi="宋体" w:eastAsia="仿宋_GB2312" w:cs="Times New Roman"/>
          <w:sz w:val="32"/>
          <w:szCs w:val="32"/>
          <w:lang w:val="en-US" w:eastAsia="zh-CN"/>
        </w:rPr>
        <w:t>累计支出38.73万元。资金支出依照实际在编在岗人数进行执行。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严格按照财务管理资金使用的规定，依据财政相关制度，充分认识资金的重要性，发挥项目资金最大作用，坚持厉行节约，不存在资金截留、挤占和挪用现象。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4"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eastAsia="仿宋_GB2312"/>
          <w:sz w:val="32"/>
          <w:szCs w:val="32"/>
          <w:lang w:val="zh-CN"/>
        </w:rPr>
        <w:t>项目以业务分管院长牵头，</w:t>
      </w:r>
      <w:r>
        <w:rPr>
          <w:rFonts w:hint="eastAsia" w:eastAsia="仿宋_GB2312"/>
          <w:sz w:val="32"/>
          <w:szCs w:val="32"/>
          <w:lang w:val="zh-CN"/>
        </w:rPr>
        <w:t>综合办公室、政治部及</w:t>
      </w:r>
      <w:r>
        <w:rPr>
          <w:rFonts w:eastAsia="仿宋_GB2312"/>
          <w:sz w:val="32"/>
          <w:szCs w:val="32"/>
          <w:lang w:val="zh-CN"/>
        </w:rPr>
        <w:t>各业务庭室</w:t>
      </w:r>
      <w:r>
        <w:rPr>
          <w:rFonts w:hint="eastAsia" w:eastAsia="仿宋_GB2312"/>
          <w:sz w:val="32"/>
          <w:szCs w:val="32"/>
          <w:lang w:val="zh-CN"/>
        </w:rPr>
        <w:t>负责人</w:t>
      </w:r>
      <w:r>
        <w:rPr>
          <w:rFonts w:eastAsia="仿宋_GB2312"/>
          <w:sz w:val="32"/>
          <w:szCs w:val="32"/>
          <w:lang w:val="zh-CN"/>
        </w:rPr>
        <w:t>协同配合的组织构架，负责对项目执行</w:t>
      </w:r>
      <w:r>
        <w:rPr>
          <w:rFonts w:hint="eastAsia" w:eastAsia="仿宋_GB2312"/>
          <w:sz w:val="32"/>
          <w:szCs w:val="32"/>
          <w:lang w:val="zh-CN"/>
        </w:rPr>
        <w:t>情况</w:t>
      </w:r>
      <w:r>
        <w:rPr>
          <w:rFonts w:eastAsia="仿宋_GB2312"/>
          <w:sz w:val="32"/>
          <w:szCs w:val="32"/>
          <w:lang w:val="zh-CN"/>
        </w:rPr>
        <w:t>负责，由</w:t>
      </w:r>
      <w:r>
        <w:rPr>
          <w:rFonts w:hint="eastAsia" w:eastAsia="仿宋_GB2312"/>
          <w:sz w:val="32"/>
          <w:szCs w:val="32"/>
          <w:lang w:val="zh-CN"/>
        </w:rPr>
        <w:t>院督查室</w:t>
      </w:r>
      <w:r>
        <w:rPr>
          <w:rFonts w:eastAsia="仿宋_GB2312"/>
          <w:sz w:val="32"/>
          <w:szCs w:val="32"/>
          <w:lang w:val="zh-CN"/>
        </w:rPr>
        <w:t>监督验收项目发生的合理合规性，</w:t>
      </w:r>
      <w:r>
        <w:rPr>
          <w:rFonts w:hint="eastAsia" w:eastAsia="仿宋_GB2312"/>
          <w:sz w:val="32"/>
          <w:szCs w:val="32"/>
          <w:lang w:val="zh-CN"/>
        </w:rPr>
        <w:t>综合办公室</w:t>
      </w:r>
      <w:r>
        <w:rPr>
          <w:rFonts w:eastAsia="仿宋_GB2312"/>
          <w:sz w:val="32"/>
          <w:szCs w:val="32"/>
          <w:lang w:val="zh-CN"/>
        </w:rPr>
        <w:t>对项目资金的支付严格把关。</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eastAsia="仿宋_GB2312"/>
          <w:sz w:val="32"/>
          <w:szCs w:val="32"/>
          <w:lang w:val="zh-CN"/>
        </w:rPr>
        <w:t>项目推行全面质量管理，充分发挥监督管理职能，财务报账严格执行财务审批程序。</w:t>
      </w:r>
    </w:p>
    <w:p>
      <w:pPr>
        <w:adjustRightInd w:val="0"/>
        <w:snapToGrid w:val="0"/>
        <w:spacing w:line="574" w:lineRule="exact"/>
        <w:ind w:firstLine="643" w:firstLineChars="200"/>
        <w:rPr>
          <w:rFonts w:eastAsia="仿宋_GB2312"/>
          <w:sz w:val="32"/>
          <w:szCs w:val="32"/>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公务交通补贴</w:t>
      </w:r>
      <w:r>
        <w:rPr>
          <w:rFonts w:eastAsia="仿宋_GB2312"/>
          <w:sz w:val="32"/>
          <w:szCs w:val="32"/>
        </w:rPr>
        <w:t>严格按照</w:t>
      </w:r>
      <w:r>
        <w:rPr>
          <w:rFonts w:hint="eastAsia" w:eastAsia="仿宋_GB2312"/>
          <w:sz w:val="32"/>
          <w:szCs w:val="32"/>
          <w:lang w:eastAsia="zh-CN"/>
        </w:rPr>
        <w:t>相关财政相关口径、标准进行发放</w:t>
      </w:r>
      <w:r>
        <w:rPr>
          <w:rFonts w:eastAsia="仿宋_GB2312"/>
          <w:sz w:val="32"/>
          <w:szCs w:val="32"/>
        </w:rPr>
        <w:t>，并主动接受院</w:t>
      </w:r>
      <w:r>
        <w:rPr>
          <w:rFonts w:hint="eastAsia" w:eastAsia="仿宋_GB2312"/>
          <w:sz w:val="32"/>
          <w:szCs w:val="32"/>
          <w:lang w:eastAsia="zh-CN"/>
        </w:rPr>
        <w:t>督查</w:t>
      </w:r>
      <w:r>
        <w:rPr>
          <w:rFonts w:eastAsia="仿宋_GB2312"/>
          <w:sz w:val="32"/>
          <w:szCs w:val="32"/>
        </w:rPr>
        <w:t>室的监督，做到了专款专用，没有滞留截流挤占挪用的现象。</w:t>
      </w:r>
      <w:r>
        <w:rPr>
          <w:rFonts w:eastAsia="仿宋_GB2312"/>
          <w:sz w:val="32"/>
          <w:szCs w:val="32"/>
          <w:lang w:val="zh-CN"/>
        </w:rPr>
        <w:t>项目采用一</w:t>
      </w:r>
      <w:r>
        <w:rPr>
          <w:rFonts w:hint="eastAsia" w:eastAsia="仿宋_GB2312"/>
          <w:sz w:val="32"/>
          <w:szCs w:val="32"/>
          <w:lang w:val="zh-CN"/>
        </w:rPr>
        <w:t>事</w:t>
      </w:r>
      <w:r>
        <w:rPr>
          <w:rFonts w:eastAsia="仿宋_GB2312"/>
          <w:sz w:val="32"/>
          <w:szCs w:val="32"/>
          <w:lang w:val="zh-CN"/>
        </w:rPr>
        <w:t>一报的方式执行。</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w:t>
      </w:r>
      <w:r>
        <w:rPr>
          <w:rFonts w:hint="eastAsia" w:ascii="仿宋_GB2312" w:hAnsi="宋体" w:eastAsia="仿宋_GB2312"/>
          <w:sz w:val="32"/>
          <w:szCs w:val="32"/>
          <w:lang w:val="zh-CN"/>
        </w:rPr>
        <w:t>公务交通补贴保障了</w:t>
      </w:r>
      <w:r>
        <w:rPr>
          <w:rFonts w:hint="eastAsia" w:ascii="仿宋_GB2312" w:hAnsi="宋体" w:eastAsia="仿宋_GB2312"/>
          <w:sz w:val="32"/>
          <w:szCs w:val="32"/>
          <w:lang w:val="en-US" w:eastAsia="zh-CN"/>
        </w:rPr>
        <w:t>45位干警的正常待遇支出</w:t>
      </w:r>
      <w:r>
        <w:rPr>
          <w:rFonts w:hint="eastAsia" w:ascii="仿宋_GB2312" w:hAnsi="仿宋_GB2312" w:eastAsia="仿宋_GB2312" w:cs="仿宋_GB2312"/>
          <w:kern w:val="2"/>
          <w:sz w:val="32"/>
          <w:szCs w:val="32"/>
          <w:lang w:val="en-US" w:eastAsia="zh-CN" w:bidi="ar-SA"/>
        </w:rPr>
        <w:t>；资金到位率100%；在年度完成相应工作量；提高干警工作积极性。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仿宋_GB2312" w:eastAsia="仿宋_GB2312" w:cs="仿宋_GB2312"/>
          <w:sz w:val="32"/>
          <w:szCs w:val="32"/>
          <w:lang w:val="en-US" w:eastAsia="zh-CN"/>
        </w:rPr>
        <w:t>2021年</w:t>
      </w:r>
      <w:r>
        <w:rPr>
          <w:rFonts w:hint="eastAsia" w:ascii="仿宋_GB2312" w:hAnsi="宋体" w:eastAsia="仿宋_GB2312"/>
          <w:sz w:val="32"/>
          <w:szCs w:val="32"/>
          <w:lang w:val="zh-CN"/>
        </w:rPr>
        <w:t>公务交通补贴保障干警正常待遇的支付，能很好调动干警积极性。</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该项目的实施，有效的保障了我院</w:t>
      </w:r>
      <w:r>
        <w:rPr>
          <w:rFonts w:hint="eastAsia" w:ascii="仿宋_GB2312" w:hAnsi="宋体" w:eastAsia="仿宋_GB2312" w:cs="Times New Roman"/>
          <w:sz w:val="32"/>
          <w:szCs w:val="32"/>
          <w:lang w:val="zh-CN" w:eastAsia="zh-CN"/>
        </w:rPr>
        <w:t>干警正常待遇的支出，</w:t>
      </w:r>
      <w:r>
        <w:rPr>
          <w:rFonts w:hint="eastAsia" w:ascii="仿宋_GB2312" w:hAnsi="仿宋_GB2312" w:eastAsia="仿宋_GB2312" w:cs="仿宋_GB2312"/>
          <w:kern w:val="2"/>
          <w:sz w:val="32"/>
          <w:szCs w:val="32"/>
          <w:lang w:val="en-US" w:eastAsia="zh-CN" w:bidi="ar-SA"/>
        </w:rPr>
        <w:t>提高干警工作积极性</w:t>
      </w:r>
      <w:r>
        <w:rPr>
          <w:rFonts w:hint="eastAsia" w:ascii="仿宋_GB2312" w:eastAsia="仿宋_GB2312"/>
          <w:sz w:val="32"/>
          <w:szCs w:val="32"/>
          <w:lang w:val="en-US" w:eastAsia="zh-CN"/>
        </w:rPr>
        <w:t>，资金执行较好的完成了应有的效果。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eastAsia="仿宋_GB2312"/>
          <w:sz w:val="32"/>
          <w:szCs w:val="32"/>
          <w:lang w:val="en-US" w:eastAsia="zh-CN"/>
        </w:rPr>
      </w:pPr>
      <w:r>
        <w:rPr>
          <w:rFonts w:hint="eastAsia" w:ascii="仿宋_GB2312" w:eastAsia="仿宋_GB2312"/>
          <w:sz w:val="32"/>
          <w:szCs w:val="32"/>
          <w:lang w:val="en-US" w:eastAsia="zh-CN"/>
        </w:rPr>
        <w:t>暂无。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6"/>
        <w:keepNext w:val="0"/>
        <w:keepLines w:val="0"/>
        <w:pageBreakBefore w:val="0"/>
        <w:widowControl w:val="0"/>
        <w:kinsoku/>
        <w:wordWrap/>
        <w:overflowPunct/>
        <w:topLinePunct w:val="0"/>
        <w:autoSpaceDE/>
        <w:autoSpaceDN/>
        <w:bidi w:val="0"/>
        <w:adjustRightInd/>
        <w:snapToGrid/>
        <w:spacing w:beforeLines="0" w:line="640" w:lineRule="exact"/>
        <w:ind w:firstLine="640" w:firstLineChars="200"/>
        <w:textAlignment w:val="auto"/>
        <w:rPr>
          <w:lang w:val="zh-CN"/>
        </w:rPr>
      </w:pPr>
      <w:r>
        <w:rPr>
          <w:rFonts w:hint="eastAsia" w:hAnsi="宋体"/>
          <w:sz w:val="32"/>
          <w:szCs w:val="32"/>
          <w:lang w:val="zh-CN"/>
        </w:rPr>
        <w:t>暂无。</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hint="eastAsia" w:ascii="宋体" w:eastAsia="宋体" w:cs="宋体"/>
                <w:b/>
                <w:sz w:val="32"/>
                <w:szCs w:val="32"/>
                <w:lang w:eastAsia="zh-CN"/>
              </w:rPr>
            </w:pPr>
            <w:r>
              <w:rPr>
                <w:rFonts w:ascii="宋体" w:hAnsi="宋体" w:cs="宋体"/>
                <w:b/>
                <w:sz w:val="32"/>
                <w:szCs w:val="32"/>
              </w:rPr>
              <w:t>2021</w:t>
            </w:r>
            <w:r>
              <w:rPr>
                <w:rFonts w:hint="eastAsia" w:ascii="宋体" w:hAnsi="宋体" w:cs="宋体"/>
                <w:b/>
                <w:sz w:val="32"/>
                <w:szCs w:val="32"/>
              </w:rPr>
              <w:t>年</w:t>
            </w:r>
            <w:r>
              <w:rPr>
                <w:rFonts w:hint="eastAsia" w:ascii="宋体" w:hAnsi="宋体" w:cs="宋体"/>
                <w:b/>
                <w:sz w:val="32"/>
                <w:szCs w:val="32"/>
                <w:lang w:eastAsia="zh-CN"/>
              </w:rPr>
              <w:t>项目支出绩效目标自评表</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203201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cs="宋体"/>
                <w:sz w:val="18"/>
                <w:szCs w:val="18"/>
                <w:lang w:eastAsia="zh-CN"/>
              </w:rPr>
            </w:pPr>
            <w:r>
              <w:rPr>
                <w:rFonts w:hint="eastAsia" w:ascii="宋体" w:cs="宋体"/>
                <w:sz w:val="18"/>
                <w:szCs w:val="18"/>
                <w:lang w:eastAsia="zh-CN"/>
              </w:rPr>
              <w:t>广元市朝天区人民法院</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项目预算</w:t>
            </w:r>
            <w:r>
              <w:rPr>
                <w:rFonts w:ascii="宋体" w:cs="宋体"/>
                <w:kern w:val="0"/>
                <w:sz w:val="18"/>
                <w:szCs w:val="18"/>
              </w:rPr>
              <w:br w:type="textWrapping"/>
            </w:r>
            <w:r>
              <w:rPr>
                <w:rFonts w:hint="eastAsia" w:ascii="宋体" w:hAnsi="宋体" w:cs="宋体"/>
                <w:kern w:val="0"/>
                <w:sz w:val="18"/>
                <w:szCs w:val="18"/>
              </w:rPr>
              <w:t>执行情况</w:t>
            </w:r>
            <w:r>
              <w:rPr>
                <w:rFonts w:ascii="宋体" w:cs="宋体"/>
                <w:kern w:val="0"/>
                <w:sz w:val="18"/>
                <w:szCs w:val="18"/>
              </w:rPr>
              <w:br w:type="textWrapping"/>
            </w:r>
            <w:r>
              <w:rPr>
                <w:rFonts w:hint="eastAsia" w:ascii="宋体" w:hAnsi="宋体" w:cs="宋体"/>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38.73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38.73</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38.73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38.73</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年度总体目标</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rPr>
              <w:t>保障全院46名干警正常发放公务交通补贴</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rPr>
              <w:t>保障全院4</w:t>
            </w:r>
            <w:r>
              <w:rPr>
                <w:rFonts w:hint="eastAsia" w:ascii="宋体" w:cs="宋体"/>
                <w:sz w:val="18"/>
                <w:szCs w:val="18"/>
                <w:lang w:val="en-US" w:eastAsia="zh-CN"/>
              </w:rPr>
              <w:t>5</w:t>
            </w:r>
            <w:r>
              <w:rPr>
                <w:rFonts w:hint="eastAsia" w:ascii="宋体" w:cs="宋体"/>
                <w:sz w:val="18"/>
                <w:szCs w:val="18"/>
              </w:rPr>
              <w:t>名干警正常发放公务交通补贴</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完成</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年度执行人数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46</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到位率（%）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rPr>
              <w:t>%</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数量指标完成时限</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可持续影响</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2"/>
                <w:sz w:val="18"/>
                <w:szCs w:val="18"/>
                <w:lang w:val="en-US" w:eastAsia="zh-CN" w:bidi="ar-SA"/>
              </w:rPr>
              <w:t>提高干警工作积极性</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2"/>
                <w:sz w:val="18"/>
                <w:szCs w:val="18"/>
                <w:lang w:val="en-US" w:eastAsia="zh-CN" w:bidi="ar-SA"/>
              </w:rPr>
              <w:t>提高干警工作积极性</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2"/>
                <w:sz w:val="18"/>
                <w:szCs w:val="18"/>
                <w:lang w:val="en-US" w:eastAsia="zh-CN" w:bidi="ar-SA"/>
              </w:rPr>
              <w:t>提高干警工作积极性</w:t>
            </w:r>
          </w:p>
        </w:tc>
      </w:tr>
    </w:tbl>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6"/>
        <w:spacing w:before="93"/>
        <w:rPr>
          <w:lang w:val="zh-CN"/>
        </w:rPr>
      </w:pPr>
      <w:r>
        <w:rPr>
          <w:rFonts w:hint="eastAsia" w:hAnsi="宋体" w:cs="宋体"/>
          <w:sz w:val="32"/>
          <w:szCs w:val="32"/>
          <w:shd w:val="clear" w:color="auto" w:fill="FFFFFF"/>
          <w:lang w:val="zh-CN"/>
        </w:rPr>
        <w:t>附件</w:t>
      </w:r>
    </w:p>
    <w:p>
      <w:pPr>
        <w:spacing w:line="600" w:lineRule="exact"/>
        <w:ind w:firstLine="883"/>
        <w:jc w:val="center"/>
        <w:rPr>
          <w:rFonts w:hint="eastAsia"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（案件执行业务费）</w:t>
      </w:r>
    </w:p>
    <w:p>
      <w:pPr>
        <w:spacing w:line="600" w:lineRule="exact"/>
        <w:ind w:firstLine="640"/>
        <w:jc w:val="center"/>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val="en-US" w:eastAsia="zh-CN"/>
        </w:rPr>
        <w:t>广元市朝天区人民法院是独立核算的一级预算部门，负责</w:t>
      </w:r>
      <w:r>
        <w:rPr>
          <w:rFonts w:hint="eastAsia" w:ascii="仿宋_GB2312" w:hAnsi="宋体" w:eastAsia="仿宋_GB2312"/>
          <w:sz w:val="32"/>
          <w:szCs w:val="32"/>
          <w:lang w:val="zh-CN"/>
        </w:rPr>
        <w:t>案件执行业务费</w:t>
      </w:r>
      <w:r>
        <w:rPr>
          <w:rFonts w:hint="eastAsia" w:ascii="仿宋_GB2312" w:hAnsi="宋体" w:eastAsia="仿宋_GB2312"/>
          <w:sz w:val="32"/>
          <w:szCs w:val="32"/>
          <w:lang w:val="en-US" w:eastAsia="zh-CN"/>
        </w:rPr>
        <w:t>项目的年初预算的编制和绩效目标的设置，确保项目预算开展的可行性。</w:t>
      </w:r>
      <w:r>
        <w:rPr>
          <w:rFonts w:hint="eastAsia" w:ascii="仿宋_GB2312" w:hAnsi="宋体" w:eastAsia="仿宋_GB2312" w:cs="Times New Roman"/>
          <w:kern w:val="2"/>
          <w:sz w:val="32"/>
          <w:szCs w:val="32"/>
          <w:lang w:val="en-US" w:eastAsia="zh-CN" w:bidi="ar-SA"/>
        </w:rPr>
        <w:t>项目完成后的决算编审、绩效目标考核和项目自评，以及其他与项目相关工作。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为做好执行审判工作，为全区提供优质的法治环境持续发力，我院申报预算资金25万元。区财政部门予以批复。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val="zh-CN"/>
        </w:rPr>
        <w:t>案件执行业务费</w:t>
      </w:r>
      <w:r>
        <w:rPr>
          <w:rFonts w:hint="eastAsia" w:ascii="仿宋_GB2312" w:hAnsi="宋体" w:eastAsia="仿宋_GB2312" w:cs="Times New Roman"/>
          <w:kern w:val="2"/>
          <w:sz w:val="32"/>
          <w:szCs w:val="32"/>
          <w:lang w:val="en-US" w:eastAsia="zh-CN" w:bidi="ar-SA"/>
        </w:rPr>
        <w:t>资金来源系财政全额拨款的一般公共预算资金，按照我院财务管理的相关规定，结合2021年案件办理的实际情况，有序开展项目执行工作，尤其是执行专项活动的开展。项目的所有经费开支均进行严格的审批程序，并及时进行支付、会计核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在资金预算申报时充分规划我院年度执行工作开展、执行专项活动推行，保障我院案件办理工作开展。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zh-CN"/>
        </w:rPr>
        <w:t>案件执行业务费能很好保障执行工作的高效开展，推动执行专项活动执行</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2021年度受理执行案件预计820件；预计年度结案810件；年度司法救助5人次；召开联席会议1次；年度案件结案率预计大于98%；执行工作赢得群众的较高认可度。</w:t>
      </w:r>
      <w:r>
        <w:rPr>
          <w:rFonts w:hint="eastAsia" w:ascii="仿宋_GB2312" w:hAnsi="宋体" w:eastAsia="仿宋_GB2312"/>
          <w:sz w:val="32"/>
          <w:szCs w:val="32"/>
          <w:lang w:val="en-US" w:eastAsia="zh-CN"/>
        </w:rPr>
        <w:t>案件执行业务费</w:t>
      </w:r>
      <w:r>
        <w:rPr>
          <w:rFonts w:hint="eastAsia" w:ascii="仿宋_GB2312" w:hAnsi="仿宋_GB2312" w:eastAsia="仿宋_GB2312" w:cs="仿宋_GB2312"/>
          <w:sz w:val="32"/>
          <w:szCs w:val="32"/>
          <w:lang w:val="en-US" w:eastAsia="zh-CN"/>
        </w:rPr>
        <w:t>主要依照法院工作中的执行工作开展来设置目标，同时完成情况依据审管部门、执行部门提供年终数据。客观真实的反映了我院执行工作的开展情况。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640" w:lineRule="exact"/>
        <w:ind w:firstLine="72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项目自评采用总体评价的方法，项目管理严格，效果明显，完成各项预定目标，达到预期的社会效益。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仿宋_GB2312" w:hAnsi="宋体" w:eastAsia="仿宋_GB2312"/>
          <w:sz w:val="32"/>
          <w:szCs w:val="32"/>
          <w:lang w:val="zh-CN"/>
        </w:rPr>
        <w:t>案件执行业务费</w:t>
      </w:r>
      <w:r>
        <w:rPr>
          <w:rFonts w:hint="eastAsia" w:ascii="仿宋_GB2312" w:hAnsi="宋体" w:eastAsia="仿宋_GB2312" w:cs="Times New Roman"/>
          <w:sz w:val="32"/>
          <w:szCs w:val="32"/>
          <w:lang w:val="en-US" w:eastAsia="zh-CN"/>
        </w:rPr>
        <w:t>年初资金申报25万元，财政批复下达25万元，年内无预算调整。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1.资金计划。我院</w:t>
      </w:r>
      <w:r>
        <w:rPr>
          <w:rFonts w:hint="eastAsia" w:ascii="仿宋_GB2312" w:hAnsi="宋体" w:eastAsia="仿宋_GB2312"/>
          <w:sz w:val="32"/>
          <w:szCs w:val="32"/>
          <w:lang w:val="zh-CN"/>
        </w:rPr>
        <w:t>案件执行业务费</w:t>
      </w:r>
      <w:r>
        <w:rPr>
          <w:rFonts w:hint="eastAsia" w:ascii="仿宋_GB2312" w:hAnsi="宋体" w:eastAsia="仿宋_GB2312" w:cs="Times New Roman"/>
          <w:sz w:val="32"/>
          <w:szCs w:val="32"/>
          <w:lang w:val="en-US" w:eastAsia="zh-CN"/>
        </w:rPr>
        <w:t>项目资金全额来源于财政一般公共预算资金拨款。</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kern w:val="2"/>
          <w:sz w:val="32"/>
          <w:szCs w:val="32"/>
          <w:lang w:val="en-US" w:eastAsia="zh-CN" w:bidi="ar-SA"/>
        </w:rPr>
        <w:t>2.资金到位。</w:t>
      </w:r>
      <w:r>
        <w:rPr>
          <w:rFonts w:hint="eastAsia" w:ascii="仿宋_GB2312" w:hAnsi="宋体" w:eastAsia="仿宋_GB2312"/>
          <w:sz w:val="32"/>
          <w:szCs w:val="32"/>
          <w:lang w:val="zh-CN"/>
        </w:rPr>
        <w:t>案件执行业务费</w:t>
      </w:r>
      <w:r>
        <w:rPr>
          <w:rFonts w:hint="eastAsia" w:ascii="仿宋_GB2312" w:hAnsi="宋体" w:eastAsia="仿宋_GB2312" w:cs="Times New Roman"/>
          <w:sz w:val="32"/>
          <w:szCs w:val="32"/>
          <w:lang w:val="en-US" w:eastAsia="zh-CN"/>
        </w:rPr>
        <w:t>资金在2021年度内全额及时到位，到位率100%。</w:t>
      </w:r>
    </w:p>
    <w:p>
      <w:pPr>
        <w:pStyle w:val="2"/>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3.资金使用。2021年度</w:t>
      </w:r>
      <w:r>
        <w:rPr>
          <w:rFonts w:hint="eastAsia" w:ascii="仿宋_GB2312" w:hAnsi="宋体" w:eastAsia="仿宋_GB2312"/>
          <w:sz w:val="32"/>
          <w:szCs w:val="32"/>
          <w:lang w:val="zh-CN"/>
        </w:rPr>
        <w:t>案件执行业务费</w:t>
      </w:r>
      <w:r>
        <w:rPr>
          <w:rFonts w:hint="eastAsia" w:ascii="仿宋_GB2312" w:hAnsi="宋体" w:eastAsia="仿宋_GB2312" w:cs="Times New Roman"/>
          <w:sz w:val="32"/>
          <w:szCs w:val="32"/>
          <w:lang w:val="en-US" w:eastAsia="zh-CN"/>
        </w:rPr>
        <w:t>累计支出25万元。较好的完成本项目预期设置的目标。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严格按照财务管理资金使用的规定，依据财政相关制度，充分认识资金的重要性，发挥项目资金最大作用，坚持厉行节约，不存在资金截留、挤占和挪用现象。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4"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eastAsia="仿宋_GB2312"/>
          <w:sz w:val="32"/>
          <w:szCs w:val="32"/>
          <w:lang w:val="zh-CN"/>
        </w:rPr>
        <w:t>项目以业务分管院长</w:t>
      </w:r>
      <w:r>
        <w:rPr>
          <w:rFonts w:hint="eastAsia" w:eastAsia="仿宋_GB2312"/>
          <w:sz w:val="32"/>
          <w:szCs w:val="32"/>
          <w:lang w:val="zh-CN"/>
        </w:rPr>
        <w:t>、执行局长</w:t>
      </w:r>
      <w:r>
        <w:rPr>
          <w:rFonts w:eastAsia="仿宋_GB2312"/>
          <w:sz w:val="32"/>
          <w:szCs w:val="32"/>
          <w:lang w:val="zh-CN"/>
        </w:rPr>
        <w:t>牵头，</w:t>
      </w:r>
      <w:r>
        <w:rPr>
          <w:rFonts w:hint="eastAsia" w:eastAsia="仿宋_GB2312"/>
          <w:sz w:val="32"/>
          <w:szCs w:val="32"/>
          <w:lang w:val="zh-CN"/>
        </w:rPr>
        <w:t>执行局、综合办公室、审管部门及</w:t>
      </w:r>
      <w:r>
        <w:rPr>
          <w:rFonts w:eastAsia="仿宋_GB2312"/>
          <w:sz w:val="32"/>
          <w:szCs w:val="32"/>
          <w:lang w:val="zh-CN"/>
        </w:rPr>
        <w:t>各业务庭室</w:t>
      </w:r>
      <w:r>
        <w:rPr>
          <w:rFonts w:hint="eastAsia" w:eastAsia="仿宋_GB2312"/>
          <w:sz w:val="32"/>
          <w:szCs w:val="32"/>
          <w:lang w:val="zh-CN"/>
        </w:rPr>
        <w:t>负责人</w:t>
      </w:r>
      <w:r>
        <w:rPr>
          <w:rFonts w:eastAsia="仿宋_GB2312"/>
          <w:sz w:val="32"/>
          <w:szCs w:val="32"/>
          <w:lang w:val="zh-CN"/>
        </w:rPr>
        <w:t>协同配合的组织构架，负责对项目执行</w:t>
      </w:r>
      <w:r>
        <w:rPr>
          <w:rFonts w:hint="eastAsia" w:eastAsia="仿宋_GB2312"/>
          <w:sz w:val="32"/>
          <w:szCs w:val="32"/>
          <w:lang w:val="zh-CN"/>
        </w:rPr>
        <w:t>情况</w:t>
      </w:r>
      <w:r>
        <w:rPr>
          <w:rFonts w:eastAsia="仿宋_GB2312"/>
          <w:sz w:val="32"/>
          <w:szCs w:val="32"/>
          <w:lang w:val="zh-CN"/>
        </w:rPr>
        <w:t>负责，由</w:t>
      </w:r>
      <w:r>
        <w:rPr>
          <w:rFonts w:hint="eastAsia" w:eastAsia="仿宋_GB2312"/>
          <w:sz w:val="32"/>
          <w:szCs w:val="32"/>
          <w:lang w:val="zh-CN"/>
        </w:rPr>
        <w:t>院督查室</w:t>
      </w:r>
      <w:r>
        <w:rPr>
          <w:rFonts w:eastAsia="仿宋_GB2312"/>
          <w:sz w:val="32"/>
          <w:szCs w:val="32"/>
          <w:lang w:val="zh-CN"/>
        </w:rPr>
        <w:t>监督验收项目发生的合理合规性，</w:t>
      </w:r>
      <w:r>
        <w:rPr>
          <w:rFonts w:hint="eastAsia" w:eastAsia="仿宋_GB2312"/>
          <w:sz w:val="32"/>
          <w:szCs w:val="32"/>
          <w:lang w:val="zh-CN"/>
        </w:rPr>
        <w:t>综合办公室</w:t>
      </w:r>
      <w:r>
        <w:rPr>
          <w:rFonts w:eastAsia="仿宋_GB2312"/>
          <w:sz w:val="32"/>
          <w:szCs w:val="32"/>
          <w:lang w:val="zh-CN"/>
        </w:rPr>
        <w:t>对项目资金的支付严格把关。</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eastAsia="仿宋_GB2312"/>
          <w:sz w:val="32"/>
          <w:szCs w:val="32"/>
          <w:lang w:val="zh-CN"/>
        </w:rPr>
        <w:t>项目推行全面质量管理，充分发挥监督管理职能，财务报账严格执行财务审批程序。</w:t>
      </w:r>
    </w:p>
    <w:p>
      <w:pPr>
        <w:adjustRightInd w:val="0"/>
        <w:snapToGrid w:val="0"/>
        <w:spacing w:line="574" w:lineRule="exact"/>
        <w:ind w:firstLine="643" w:firstLineChars="200"/>
        <w:rPr>
          <w:rFonts w:eastAsia="仿宋_GB2312"/>
          <w:sz w:val="32"/>
          <w:szCs w:val="32"/>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案件执行业务费</w:t>
      </w:r>
      <w:r>
        <w:rPr>
          <w:rFonts w:eastAsia="仿宋_GB2312"/>
          <w:sz w:val="32"/>
          <w:szCs w:val="32"/>
        </w:rPr>
        <w:t>严格按照</w:t>
      </w:r>
      <w:r>
        <w:rPr>
          <w:rFonts w:hint="eastAsia" w:eastAsia="仿宋_GB2312"/>
          <w:sz w:val="32"/>
          <w:szCs w:val="32"/>
          <w:lang w:eastAsia="zh-CN"/>
        </w:rPr>
        <w:t>法院职能职责执行</w:t>
      </w:r>
      <w:r>
        <w:rPr>
          <w:rFonts w:eastAsia="仿宋_GB2312"/>
          <w:sz w:val="32"/>
          <w:szCs w:val="32"/>
        </w:rPr>
        <w:t>，并主动接受院</w:t>
      </w:r>
      <w:r>
        <w:rPr>
          <w:rFonts w:hint="eastAsia" w:eastAsia="仿宋_GB2312"/>
          <w:sz w:val="32"/>
          <w:szCs w:val="32"/>
          <w:lang w:eastAsia="zh-CN"/>
        </w:rPr>
        <w:t>督查</w:t>
      </w:r>
      <w:r>
        <w:rPr>
          <w:rFonts w:eastAsia="仿宋_GB2312"/>
          <w:sz w:val="32"/>
          <w:szCs w:val="32"/>
        </w:rPr>
        <w:t>室的监督，做到了专款专用，没有滞留截流挤占挪用的现象。</w:t>
      </w:r>
      <w:r>
        <w:rPr>
          <w:rFonts w:eastAsia="仿宋_GB2312"/>
          <w:sz w:val="32"/>
          <w:szCs w:val="32"/>
          <w:lang w:val="zh-CN"/>
        </w:rPr>
        <w:t>项目采用一</w:t>
      </w:r>
      <w:r>
        <w:rPr>
          <w:rFonts w:hint="eastAsia" w:eastAsia="仿宋_GB2312"/>
          <w:sz w:val="32"/>
          <w:szCs w:val="32"/>
          <w:lang w:val="zh-CN"/>
        </w:rPr>
        <w:t>事</w:t>
      </w:r>
      <w:r>
        <w:rPr>
          <w:rFonts w:eastAsia="仿宋_GB2312"/>
          <w:sz w:val="32"/>
          <w:szCs w:val="32"/>
          <w:lang w:val="zh-CN"/>
        </w:rPr>
        <w:t>一报的方式执行。</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2021年度受理执行案件1186件；年度结案1179件；召开联席会议2次；年度司法救助5人次；年度案件结案率99.41%；执行工作赢得群众的较高认可度。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2021年我院执行工作从规范、及时、准确出发，较好的完成了年度执行工作任务，保障了广大申请人的合法权益。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该项目的实施，有效的保障了我院</w:t>
      </w:r>
      <w:r>
        <w:rPr>
          <w:rFonts w:hint="eastAsia" w:ascii="仿宋_GB2312" w:hAnsi="宋体" w:eastAsia="仿宋_GB2312" w:cs="Times New Roman"/>
          <w:kern w:val="2"/>
          <w:sz w:val="32"/>
          <w:szCs w:val="32"/>
          <w:lang w:val="en-US" w:eastAsia="zh-CN" w:bidi="ar-SA"/>
        </w:rPr>
        <w:t>执行工作，尤其是执行专项活动的开展</w:t>
      </w:r>
      <w:r>
        <w:rPr>
          <w:rFonts w:hint="eastAsia" w:ascii="仿宋_GB2312" w:eastAsia="仿宋_GB2312"/>
          <w:sz w:val="32"/>
          <w:szCs w:val="32"/>
          <w:lang w:val="en-US" w:eastAsia="zh-CN"/>
        </w:rPr>
        <w:t>，为人民群众正常生活生产提供法治保障。该项目能够按照计划完成预期目标，取得了不错的成绩，项目运行也是严格那规章制度进行，不存在违规使用项目资金的情况。存在指标预期和年终的差异，也符合审判质效相关要求。</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对于项目中数量指标的变动，在绩效目标申报设置来看，数据设置还是没有充分结合我院的实际情况。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针对项目自评中发现的问题，应积极与执行局、审管部门对接，实时对指标进行监控，保障项目更加高效的运行。</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hint="eastAsia" w:ascii="宋体" w:eastAsia="宋体" w:cs="宋体"/>
                <w:b/>
                <w:sz w:val="32"/>
                <w:szCs w:val="32"/>
                <w:lang w:eastAsia="zh-CN"/>
              </w:rPr>
            </w:pPr>
            <w:r>
              <w:rPr>
                <w:rFonts w:ascii="宋体" w:hAnsi="宋体" w:cs="宋体"/>
                <w:b/>
                <w:sz w:val="32"/>
                <w:szCs w:val="32"/>
              </w:rPr>
              <w:t>2021</w:t>
            </w:r>
            <w:r>
              <w:rPr>
                <w:rFonts w:hint="eastAsia" w:ascii="宋体" w:hAnsi="宋体" w:cs="宋体"/>
                <w:b/>
                <w:sz w:val="32"/>
                <w:szCs w:val="32"/>
              </w:rPr>
              <w:t>年</w:t>
            </w:r>
            <w:r>
              <w:rPr>
                <w:rFonts w:hint="eastAsia" w:ascii="宋体" w:hAnsi="宋体" w:cs="宋体"/>
                <w:b/>
                <w:sz w:val="32"/>
                <w:szCs w:val="32"/>
                <w:lang w:eastAsia="zh-CN"/>
              </w:rPr>
              <w:t>项目支出绩效目标自评表</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203201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cs="宋体"/>
                <w:sz w:val="18"/>
                <w:szCs w:val="18"/>
                <w:lang w:eastAsia="zh-CN"/>
              </w:rPr>
            </w:pPr>
            <w:r>
              <w:rPr>
                <w:rFonts w:hint="eastAsia" w:ascii="宋体" w:cs="宋体"/>
                <w:sz w:val="18"/>
                <w:szCs w:val="18"/>
                <w:lang w:eastAsia="zh-CN"/>
              </w:rPr>
              <w:t>广元市朝天区人民法院</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项目预算</w:t>
            </w:r>
            <w:r>
              <w:rPr>
                <w:rFonts w:ascii="宋体" w:cs="宋体"/>
                <w:kern w:val="0"/>
                <w:sz w:val="18"/>
                <w:szCs w:val="18"/>
              </w:rPr>
              <w:br w:type="textWrapping"/>
            </w:r>
            <w:r>
              <w:rPr>
                <w:rFonts w:hint="eastAsia" w:ascii="宋体" w:hAnsi="宋体" w:cs="宋体"/>
                <w:kern w:val="0"/>
                <w:sz w:val="18"/>
                <w:szCs w:val="18"/>
              </w:rPr>
              <w:t>执行情况</w:t>
            </w:r>
            <w:r>
              <w:rPr>
                <w:rFonts w:ascii="宋体" w:cs="宋体"/>
                <w:kern w:val="0"/>
                <w:sz w:val="18"/>
                <w:szCs w:val="18"/>
              </w:rPr>
              <w:br w:type="textWrapping"/>
            </w:r>
            <w:r>
              <w:rPr>
                <w:rFonts w:hint="eastAsia" w:ascii="宋体" w:hAnsi="宋体" w:cs="宋体"/>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25</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其中：</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eastAsia="宋体" w:cs="宋体"/>
                <w:sz w:val="18"/>
                <w:szCs w:val="18"/>
                <w:lang w:val="en-US" w:eastAsia="zh-CN"/>
              </w:rPr>
            </w:pPr>
            <w:r>
              <w:rPr>
                <w:rFonts w:hint="eastAsia" w:ascii="宋体" w:cs="宋体"/>
                <w:sz w:val="18"/>
                <w:szCs w:val="18"/>
                <w:lang w:val="en-US" w:eastAsia="zh-CN"/>
              </w:rPr>
              <w:t>25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18"/>
                <w:szCs w:val="18"/>
              </w:rPr>
            </w:pPr>
            <w:r>
              <w:rPr>
                <w:rFonts w:hint="eastAsia" w:ascii="宋体" w:hAnsi="宋体" w:cs="宋体"/>
                <w:kern w:val="0"/>
                <w:sz w:val="18"/>
                <w:szCs w:val="18"/>
              </w:rPr>
              <w:t>年度总体目标</w:t>
            </w:r>
          </w:p>
          <w:p>
            <w:pPr>
              <w:widowControl/>
              <w:spacing w:line="320" w:lineRule="exact"/>
              <w:jc w:val="center"/>
              <w:textAlignment w:val="center"/>
              <w:rPr>
                <w:rFonts w:ascii="宋体" w:cs="宋体"/>
                <w:sz w:val="18"/>
                <w:szCs w:val="18"/>
              </w:rPr>
            </w:pPr>
            <w:r>
              <w:rPr>
                <w:rFonts w:hint="eastAsia" w:ascii="宋体" w:hAnsi="宋体" w:cs="宋体"/>
                <w:kern w:val="0"/>
                <w:sz w:val="18"/>
                <w:szCs w:val="18"/>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18"/>
                <w:szCs w:val="18"/>
              </w:rPr>
            </w:pPr>
            <w:r>
              <w:rPr>
                <w:rFonts w:hint="eastAsia" w:ascii="宋体" w:hAnsi="宋体" w:cs="宋体"/>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18"/>
                <w:szCs w:val="18"/>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rPr>
              <w:t>保障2021年执行工作正常开展，切实解决执行难</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宋体" w:cs="宋体"/>
                <w:sz w:val="18"/>
                <w:szCs w:val="18"/>
              </w:rPr>
            </w:pPr>
            <w:r>
              <w:rPr>
                <w:rFonts w:hint="eastAsia" w:ascii="宋体" w:cs="宋体"/>
                <w:sz w:val="18"/>
                <w:szCs w:val="18"/>
              </w:rPr>
              <w:t>保障2021年执行工作正常开展，切实解决执行难</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完成</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年度新受理案件数（件）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820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1186</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年度结案数（件）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810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1179</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司法救助人次</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召开执行工作联席会议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数量指标完成时限</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2021.12.31</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18"/>
                <w:szCs w:val="18"/>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满意</w:t>
            </w:r>
            <w:r>
              <w:rPr>
                <w:rFonts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满意度</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赢得群众对法院执行工作的认可</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好</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好</w:t>
            </w:r>
          </w:p>
        </w:tc>
      </w:tr>
    </w:tbl>
    <w:p>
      <w:pPr>
        <w:widowControl/>
        <w:adjustRightInd w:val="0"/>
        <w:snapToGrid w:val="0"/>
        <w:spacing w:line="580" w:lineRule="exact"/>
        <w:ind w:firstLine="36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18"/>
          <w:szCs w:val="18"/>
          <w:shd w:val="clear" w:color="auto" w:fill="FFFFFF"/>
          <w:lang w:val="zh-CN"/>
        </w:rPr>
        <w:t>附表：</w:t>
      </w: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Fonts w:ascii="仿宋" w:hAnsi="仿宋" w:eastAsia="仿宋"/>
        </w:rPr>
      </w:pPr>
      <w:bookmarkStart w:id="89" w:name="_Toc9337"/>
      <w:r>
        <w:rPr>
          <w:rFonts w:hint="eastAsia" w:ascii="黑体" w:hAnsi="黑体" w:eastAsia="黑体"/>
          <w:sz w:val="44"/>
          <w:szCs w:val="44"/>
        </w:rPr>
        <w:t>第</w:t>
      </w:r>
      <w:r>
        <w:rPr>
          <w:rStyle w:val="18"/>
          <w:rFonts w:hint="eastAsia" w:ascii="黑体" w:hAnsi="黑体" w:eastAsia="黑体"/>
          <w:b w:val="0"/>
        </w:rPr>
        <w:t>五部分</w:t>
      </w:r>
      <w:r>
        <w:rPr>
          <w:rStyle w:val="18"/>
          <w:rFonts w:ascii="黑体" w:hAnsi="黑体" w:eastAsia="黑体"/>
          <w:b w:val="0"/>
        </w:rPr>
        <w:t xml:space="preserve"> </w:t>
      </w:r>
      <w:r>
        <w:rPr>
          <w:rStyle w:val="18"/>
          <w:rFonts w:hint="eastAsia" w:ascii="黑体" w:hAnsi="黑体" w:eastAsia="黑体"/>
          <w:b w:val="0"/>
        </w:rPr>
        <w:t>附表</w:t>
      </w:r>
      <w:bookmarkEnd w:id="78"/>
      <w:bookmarkEnd w:id="88"/>
      <w:bookmarkEnd w:id="89"/>
      <w:bookmarkStart w:id="90" w:name="_Toc15396619"/>
    </w:p>
    <w:p>
      <w:pPr>
        <w:pStyle w:val="4"/>
        <w:rPr>
          <w:rFonts w:ascii="仿宋" w:hAnsi="仿宋" w:eastAsia="仿宋"/>
        </w:rPr>
      </w:pPr>
      <w:bookmarkStart w:id="91" w:name="_Toc8482"/>
      <w:r>
        <w:rPr>
          <w:rFonts w:hint="eastAsia" w:ascii="仿宋" w:hAnsi="仿宋" w:eastAsia="仿宋"/>
          <w:b w:val="0"/>
        </w:rPr>
        <w:t>一、收</w:t>
      </w:r>
      <w:r>
        <w:rPr>
          <w:rStyle w:val="19"/>
          <w:rFonts w:hint="eastAsia" w:ascii="仿宋" w:hAnsi="仿宋" w:eastAsia="仿宋"/>
          <w:b w:val="0"/>
          <w:bCs w:val="0"/>
        </w:rPr>
        <w:t>入支出决算总表</w:t>
      </w:r>
      <w:bookmarkEnd w:id="90"/>
      <w:bookmarkEnd w:id="91"/>
    </w:p>
    <w:p>
      <w:pPr>
        <w:pStyle w:val="4"/>
        <w:rPr>
          <w:rFonts w:ascii="仿宋" w:hAnsi="仿宋" w:eastAsia="仿宋"/>
        </w:rPr>
      </w:pPr>
      <w:bookmarkStart w:id="92" w:name="_Toc15396620"/>
      <w:bookmarkStart w:id="93" w:name="_Toc8967"/>
      <w:r>
        <w:rPr>
          <w:rFonts w:hint="eastAsia" w:ascii="仿宋" w:hAnsi="仿宋" w:eastAsia="仿宋"/>
          <w:b w:val="0"/>
        </w:rPr>
        <w:t>二、收</w:t>
      </w:r>
      <w:r>
        <w:rPr>
          <w:rStyle w:val="19"/>
          <w:rFonts w:hint="eastAsia" w:ascii="仿宋" w:hAnsi="仿宋" w:eastAsia="仿宋"/>
          <w:b w:val="0"/>
          <w:bCs w:val="0"/>
        </w:rPr>
        <w:t>入决算表</w:t>
      </w:r>
      <w:bookmarkEnd w:id="92"/>
      <w:bookmarkEnd w:id="93"/>
    </w:p>
    <w:p>
      <w:pPr>
        <w:pStyle w:val="4"/>
        <w:rPr>
          <w:rFonts w:ascii="仿宋" w:hAnsi="仿宋" w:eastAsia="仿宋"/>
        </w:rPr>
      </w:pPr>
      <w:bookmarkStart w:id="94" w:name="_Toc15396621"/>
      <w:bookmarkStart w:id="95" w:name="_Toc5036"/>
      <w:r>
        <w:rPr>
          <w:rStyle w:val="19"/>
          <w:rFonts w:hint="eastAsia" w:ascii="仿宋" w:hAnsi="仿宋" w:eastAsia="仿宋"/>
          <w:b w:val="0"/>
          <w:bCs w:val="0"/>
        </w:rPr>
        <w:t>三、</w:t>
      </w:r>
      <w:r>
        <w:rPr>
          <w:rFonts w:hint="eastAsia" w:ascii="仿宋" w:hAnsi="仿宋" w:eastAsia="仿宋"/>
          <w:b w:val="0"/>
        </w:rPr>
        <w:t>支</w:t>
      </w:r>
      <w:r>
        <w:rPr>
          <w:rStyle w:val="19"/>
          <w:rFonts w:hint="eastAsia" w:ascii="仿宋" w:hAnsi="仿宋" w:eastAsia="仿宋"/>
          <w:b w:val="0"/>
          <w:bCs w:val="0"/>
        </w:rPr>
        <w:t>出决算表</w:t>
      </w:r>
      <w:bookmarkEnd w:id="94"/>
      <w:bookmarkEnd w:id="95"/>
    </w:p>
    <w:p>
      <w:pPr>
        <w:pStyle w:val="4"/>
        <w:rPr>
          <w:rFonts w:ascii="仿宋" w:hAnsi="仿宋" w:eastAsia="仿宋"/>
          <w:b w:val="0"/>
        </w:rPr>
      </w:pPr>
      <w:bookmarkStart w:id="96" w:name="_Toc15396622"/>
      <w:bookmarkStart w:id="97" w:name="_Toc1266"/>
      <w:r>
        <w:rPr>
          <w:rStyle w:val="19"/>
          <w:rFonts w:hint="eastAsia" w:ascii="仿宋" w:hAnsi="仿宋" w:eastAsia="仿宋"/>
          <w:b w:val="0"/>
          <w:bCs w:val="0"/>
        </w:rPr>
        <w:t>四、</w:t>
      </w:r>
      <w:r>
        <w:rPr>
          <w:rFonts w:hint="eastAsia" w:ascii="仿宋" w:hAnsi="仿宋" w:eastAsia="仿宋"/>
          <w:b w:val="0"/>
        </w:rPr>
        <w:t>财</w:t>
      </w:r>
      <w:r>
        <w:rPr>
          <w:rStyle w:val="19"/>
          <w:rFonts w:hint="eastAsia" w:ascii="仿宋" w:hAnsi="仿宋" w:eastAsia="仿宋"/>
          <w:b w:val="0"/>
          <w:bCs w:val="0"/>
        </w:rPr>
        <w:t>政拨款收入支出决算总表</w:t>
      </w:r>
      <w:bookmarkEnd w:id="96"/>
      <w:bookmarkEnd w:id="97"/>
    </w:p>
    <w:p>
      <w:pPr>
        <w:pStyle w:val="4"/>
        <w:rPr>
          <w:rStyle w:val="19"/>
          <w:rFonts w:ascii="仿宋" w:hAnsi="仿宋" w:eastAsia="仿宋"/>
          <w:b w:val="0"/>
          <w:bCs w:val="0"/>
        </w:rPr>
      </w:pPr>
      <w:bookmarkStart w:id="98" w:name="_Toc15396623"/>
      <w:bookmarkStart w:id="99" w:name="_Toc13553"/>
      <w:r>
        <w:rPr>
          <w:rStyle w:val="19"/>
          <w:rFonts w:hint="eastAsia" w:ascii="仿宋" w:hAnsi="仿宋" w:eastAsia="仿宋"/>
          <w:b w:val="0"/>
          <w:bCs w:val="0"/>
        </w:rPr>
        <w:t>五、</w:t>
      </w:r>
      <w:r>
        <w:rPr>
          <w:rFonts w:hint="eastAsia" w:ascii="仿宋" w:hAnsi="仿宋" w:eastAsia="仿宋"/>
          <w:b w:val="0"/>
        </w:rPr>
        <w:t>财</w:t>
      </w:r>
      <w:r>
        <w:rPr>
          <w:rStyle w:val="19"/>
          <w:rFonts w:hint="eastAsia" w:ascii="仿宋" w:hAnsi="仿宋" w:eastAsia="仿宋"/>
          <w:b w:val="0"/>
          <w:bCs w:val="0"/>
        </w:rPr>
        <w:t>政拨款支出决算明细表</w:t>
      </w:r>
      <w:bookmarkEnd w:id="98"/>
      <w:bookmarkEnd w:id="99"/>
      <w:bookmarkStart w:id="100" w:name="_Toc15396624"/>
    </w:p>
    <w:p>
      <w:pPr>
        <w:pStyle w:val="4"/>
        <w:rPr>
          <w:rFonts w:ascii="仿宋" w:hAnsi="仿宋" w:eastAsia="仿宋"/>
        </w:rPr>
      </w:pPr>
      <w:bookmarkStart w:id="101" w:name="_Toc28975"/>
      <w:r>
        <w:rPr>
          <w:rStyle w:val="19"/>
          <w:rFonts w:hint="eastAsia" w:ascii="仿宋" w:hAnsi="仿宋" w:eastAsia="仿宋"/>
          <w:b w:val="0"/>
          <w:bCs w:val="0"/>
        </w:rPr>
        <w:t>六、</w:t>
      </w:r>
      <w:r>
        <w:rPr>
          <w:rFonts w:hint="eastAsia" w:ascii="仿宋" w:hAnsi="仿宋" w:eastAsia="仿宋"/>
          <w:b w:val="0"/>
        </w:rPr>
        <w:t>一</w:t>
      </w:r>
      <w:r>
        <w:rPr>
          <w:rStyle w:val="19"/>
          <w:rFonts w:hint="eastAsia" w:ascii="仿宋" w:hAnsi="仿宋" w:eastAsia="仿宋"/>
          <w:b w:val="0"/>
          <w:bCs w:val="0"/>
        </w:rPr>
        <w:t>般公共预算财政拨款支出决算表</w:t>
      </w:r>
      <w:bookmarkEnd w:id="100"/>
      <w:bookmarkEnd w:id="101"/>
    </w:p>
    <w:p>
      <w:pPr>
        <w:pStyle w:val="4"/>
        <w:rPr>
          <w:rFonts w:ascii="仿宋" w:hAnsi="仿宋" w:eastAsia="仿宋"/>
        </w:rPr>
      </w:pPr>
      <w:bookmarkStart w:id="102" w:name="_Toc15396625"/>
      <w:bookmarkStart w:id="103" w:name="_Toc4280"/>
      <w:r>
        <w:rPr>
          <w:rStyle w:val="19"/>
          <w:rFonts w:hint="eastAsia" w:ascii="仿宋" w:hAnsi="仿宋" w:eastAsia="仿宋"/>
          <w:b w:val="0"/>
          <w:bCs w:val="0"/>
        </w:rPr>
        <w:t>七、</w:t>
      </w:r>
      <w:r>
        <w:rPr>
          <w:rFonts w:hint="eastAsia" w:ascii="仿宋" w:hAnsi="仿宋" w:eastAsia="仿宋"/>
          <w:b w:val="0"/>
        </w:rPr>
        <w:t>一</w:t>
      </w:r>
      <w:r>
        <w:rPr>
          <w:rStyle w:val="19"/>
          <w:rFonts w:hint="eastAsia" w:ascii="仿宋" w:hAnsi="仿宋" w:eastAsia="仿宋"/>
          <w:b w:val="0"/>
          <w:bCs w:val="0"/>
        </w:rPr>
        <w:t>般公共预算财政拨款支出决算明细表</w:t>
      </w:r>
      <w:bookmarkEnd w:id="102"/>
      <w:bookmarkEnd w:id="103"/>
    </w:p>
    <w:p>
      <w:pPr>
        <w:pStyle w:val="4"/>
        <w:rPr>
          <w:rFonts w:ascii="仿宋" w:hAnsi="仿宋" w:eastAsia="仿宋"/>
        </w:rPr>
      </w:pPr>
      <w:bookmarkStart w:id="104" w:name="_Toc15396626"/>
      <w:bookmarkStart w:id="105" w:name="_Toc19075"/>
      <w:r>
        <w:rPr>
          <w:rStyle w:val="19"/>
          <w:rFonts w:hint="eastAsia" w:ascii="仿宋" w:hAnsi="仿宋" w:eastAsia="仿宋"/>
          <w:b w:val="0"/>
          <w:bCs w:val="0"/>
        </w:rPr>
        <w:t>八、</w:t>
      </w:r>
      <w:r>
        <w:rPr>
          <w:rFonts w:hint="eastAsia" w:ascii="仿宋" w:hAnsi="仿宋" w:eastAsia="仿宋"/>
          <w:b w:val="0"/>
        </w:rPr>
        <w:t>一</w:t>
      </w:r>
      <w:r>
        <w:rPr>
          <w:rStyle w:val="19"/>
          <w:rFonts w:hint="eastAsia" w:ascii="仿宋" w:hAnsi="仿宋" w:eastAsia="仿宋"/>
          <w:b w:val="0"/>
          <w:bCs w:val="0"/>
        </w:rPr>
        <w:t>般公共预算财政拨款基本支出决算表</w:t>
      </w:r>
      <w:bookmarkEnd w:id="104"/>
      <w:bookmarkEnd w:id="105"/>
    </w:p>
    <w:p>
      <w:pPr>
        <w:pStyle w:val="4"/>
        <w:rPr>
          <w:rFonts w:ascii="仿宋" w:hAnsi="仿宋" w:eastAsia="仿宋"/>
        </w:rPr>
      </w:pPr>
      <w:bookmarkStart w:id="106" w:name="_Toc15396627"/>
      <w:bookmarkStart w:id="107" w:name="_Toc21601"/>
      <w:r>
        <w:rPr>
          <w:rStyle w:val="19"/>
          <w:rFonts w:hint="eastAsia" w:ascii="仿宋" w:hAnsi="仿宋" w:eastAsia="仿宋"/>
          <w:b w:val="0"/>
          <w:bCs w:val="0"/>
        </w:rPr>
        <w:t>九、</w:t>
      </w:r>
      <w:r>
        <w:rPr>
          <w:rFonts w:hint="eastAsia" w:ascii="仿宋" w:hAnsi="仿宋" w:eastAsia="仿宋"/>
          <w:b w:val="0"/>
        </w:rPr>
        <w:t>一</w:t>
      </w:r>
      <w:r>
        <w:rPr>
          <w:rStyle w:val="19"/>
          <w:rFonts w:hint="eastAsia" w:ascii="仿宋" w:hAnsi="仿宋" w:eastAsia="仿宋"/>
          <w:b w:val="0"/>
          <w:bCs w:val="0"/>
        </w:rPr>
        <w:t>般公共预算财政拨款项目支出决算表</w:t>
      </w:r>
      <w:bookmarkEnd w:id="106"/>
      <w:bookmarkEnd w:id="107"/>
    </w:p>
    <w:p>
      <w:pPr>
        <w:pStyle w:val="4"/>
        <w:rPr>
          <w:rFonts w:ascii="仿宋" w:hAnsi="仿宋" w:eastAsia="仿宋"/>
        </w:rPr>
      </w:pPr>
      <w:bookmarkStart w:id="108" w:name="_Toc15396628"/>
      <w:bookmarkStart w:id="109" w:name="_Toc20406"/>
      <w:r>
        <w:rPr>
          <w:rStyle w:val="19"/>
          <w:rFonts w:hint="eastAsia" w:ascii="仿宋" w:hAnsi="仿宋" w:eastAsia="仿宋"/>
          <w:b w:val="0"/>
          <w:bCs w:val="0"/>
        </w:rPr>
        <w:t>十、</w:t>
      </w:r>
      <w:r>
        <w:rPr>
          <w:rFonts w:hint="eastAsia" w:ascii="仿宋" w:hAnsi="仿宋" w:eastAsia="仿宋"/>
          <w:b w:val="0"/>
        </w:rPr>
        <w:t>一</w:t>
      </w:r>
      <w:r>
        <w:rPr>
          <w:rStyle w:val="19"/>
          <w:rFonts w:hint="eastAsia" w:ascii="仿宋" w:hAnsi="仿宋" w:eastAsia="仿宋"/>
          <w:b w:val="0"/>
          <w:bCs w:val="0"/>
        </w:rPr>
        <w:t>般公共预算财政拨款“三公”经费支出决算表</w:t>
      </w:r>
      <w:bookmarkEnd w:id="108"/>
      <w:bookmarkEnd w:id="109"/>
    </w:p>
    <w:p>
      <w:pPr>
        <w:pStyle w:val="4"/>
        <w:rPr>
          <w:rFonts w:ascii="仿宋" w:hAnsi="仿宋" w:eastAsia="仿宋"/>
        </w:rPr>
      </w:pPr>
      <w:bookmarkStart w:id="110" w:name="_Toc15396629"/>
      <w:bookmarkStart w:id="111" w:name="_Toc5848"/>
      <w:r>
        <w:rPr>
          <w:rStyle w:val="19"/>
          <w:rFonts w:hint="eastAsia" w:ascii="仿宋" w:hAnsi="仿宋" w:eastAsia="仿宋"/>
          <w:b w:val="0"/>
          <w:bCs w:val="0"/>
        </w:rPr>
        <w:t>十一、</w:t>
      </w:r>
      <w:r>
        <w:rPr>
          <w:rFonts w:hint="eastAsia" w:ascii="仿宋" w:hAnsi="仿宋" w:eastAsia="仿宋"/>
          <w:b w:val="0"/>
        </w:rPr>
        <w:t>政</w:t>
      </w:r>
      <w:r>
        <w:rPr>
          <w:rStyle w:val="19"/>
          <w:rFonts w:hint="eastAsia" w:ascii="仿宋" w:hAnsi="仿宋" w:eastAsia="仿宋"/>
          <w:b w:val="0"/>
          <w:bCs w:val="0"/>
        </w:rPr>
        <w:t>府性基金预算财政拨款收入支出决算表</w:t>
      </w:r>
      <w:bookmarkEnd w:id="110"/>
      <w:bookmarkEnd w:id="111"/>
    </w:p>
    <w:p>
      <w:pPr>
        <w:pStyle w:val="4"/>
        <w:rPr>
          <w:rFonts w:ascii="仿宋" w:hAnsi="仿宋" w:eastAsia="仿宋"/>
        </w:rPr>
      </w:pPr>
      <w:bookmarkStart w:id="112" w:name="_Toc15396630"/>
      <w:bookmarkStart w:id="113" w:name="_Toc19011"/>
      <w:r>
        <w:rPr>
          <w:rStyle w:val="19"/>
          <w:rFonts w:hint="eastAsia" w:ascii="仿宋" w:hAnsi="仿宋" w:eastAsia="仿宋"/>
          <w:b w:val="0"/>
          <w:bCs w:val="0"/>
        </w:rPr>
        <w:t>十二、</w:t>
      </w:r>
      <w:r>
        <w:rPr>
          <w:rFonts w:hint="eastAsia" w:ascii="仿宋" w:hAnsi="仿宋" w:eastAsia="仿宋"/>
          <w:b w:val="0"/>
        </w:rPr>
        <w:t>政</w:t>
      </w:r>
      <w:r>
        <w:rPr>
          <w:rStyle w:val="19"/>
          <w:rFonts w:hint="eastAsia" w:ascii="仿宋" w:hAnsi="仿宋" w:eastAsia="仿宋"/>
          <w:b w:val="0"/>
          <w:bCs w:val="0"/>
        </w:rPr>
        <w:t>府性基金预算财政拨款“三公”经费支出决算表</w:t>
      </w:r>
      <w:bookmarkEnd w:id="112"/>
      <w:bookmarkEnd w:id="113"/>
    </w:p>
    <w:p>
      <w:pPr>
        <w:pStyle w:val="4"/>
        <w:rPr>
          <w:rStyle w:val="19"/>
          <w:rFonts w:ascii="仿宋" w:hAnsi="仿宋" w:eastAsia="仿宋"/>
          <w:b w:val="0"/>
          <w:bCs w:val="0"/>
        </w:rPr>
      </w:pPr>
      <w:bookmarkStart w:id="114" w:name="_Toc15396631"/>
      <w:bookmarkStart w:id="115" w:name="_Toc14588"/>
      <w:r>
        <w:rPr>
          <w:rStyle w:val="19"/>
          <w:rFonts w:hint="eastAsia" w:ascii="仿宋" w:hAnsi="仿宋" w:eastAsia="仿宋"/>
          <w:b w:val="0"/>
          <w:bCs w:val="0"/>
        </w:rPr>
        <w:t>十三、</w:t>
      </w:r>
      <w:r>
        <w:rPr>
          <w:rFonts w:hint="eastAsia" w:ascii="仿宋" w:hAnsi="仿宋" w:eastAsia="仿宋"/>
          <w:b w:val="0"/>
        </w:rPr>
        <w:t>国</w:t>
      </w:r>
      <w:r>
        <w:rPr>
          <w:rStyle w:val="19"/>
          <w:rFonts w:hint="eastAsia" w:ascii="仿宋" w:hAnsi="仿宋" w:eastAsia="仿宋"/>
          <w:b w:val="0"/>
          <w:bCs w:val="0"/>
        </w:rPr>
        <w:t>有资本经营预算财政拨款收入支出决算表</w:t>
      </w:r>
      <w:bookmarkEnd w:id="114"/>
      <w:bookmarkEnd w:id="115"/>
    </w:p>
    <w:p>
      <w:pPr>
        <w:rPr>
          <w:rFonts w:eastAsia="仿宋"/>
        </w:rPr>
      </w:pPr>
      <w:bookmarkStart w:id="116" w:name="_Toc10131"/>
      <w:r>
        <w:rPr>
          <w:rStyle w:val="19"/>
          <w:rFonts w:hint="eastAsia" w:ascii="仿宋" w:hAnsi="仿宋" w:eastAsia="仿宋"/>
          <w:b w:val="0"/>
          <w:bCs w:val="0"/>
        </w:rPr>
        <w:t>十四、国有资本经营预算财政拨款支出决算表</w:t>
      </w:r>
      <w:bookmarkEnd w:id="11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Dotum">
    <w:panose1 w:val="020B0600000101010101"/>
    <w:charset w:val="81"/>
    <w:family w:val="swiss"/>
    <w:pitch w:val="default"/>
    <w:sig w:usb0="B00002AF" w:usb1="69D77CFB" w:usb2="00000030" w:usb3="00000000" w:csb0="4008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3E794925"/>
    <w:multiLevelType w:val="singleLevel"/>
    <w:tmpl w:val="3E794925"/>
    <w:lvl w:ilvl="0" w:tentative="0">
      <w:start w:val="3"/>
      <w:numFmt w:val="chineseCounting"/>
      <w:suff w:val="nothing"/>
      <w:lvlText w:val="（%1）"/>
      <w:lvlJc w:val="left"/>
      <w:rPr>
        <w:rFonts w:hint="eastAsia" w:cs="Times New Roman"/>
      </w:rPr>
    </w:lvl>
  </w:abstractNum>
  <w:abstractNum w:abstractNumId="4">
    <w:nsid w:val="5F69B116"/>
    <w:multiLevelType w:val="singleLevel"/>
    <w:tmpl w:val="5F69B116"/>
    <w:lvl w:ilvl="0" w:tentative="0">
      <w:start w:val="2"/>
      <w:numFmt w:val="chineseCounting"/>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VkZDhlM2M4MWNiMDM5ZTFmZjFjMWE5YWRlN2I3YTM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33B"/>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4E6C"/>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B07BA"/>
    <w:rsid w:val="02880C6E"/>
    <w:rsid w:val="034719AC"/>
    <w:rsid w:val="03B770C2"/>
    <w:rsid w:val="0522205A"/>
    <w:rsid w:val="05525CDC"/>
    <w:rsid w:val="05AC6E21"/>
    <w:rsid w:val="064E7EBC"/>
    <w:rsid w:val="066E0107"/>
    <w:rsid w:val="06F731AC"/>
    <w:rsid w:val="06FA6687"/>
    <w:rsid w:val="07996F6E"/>
    <w:rsid w:val="07C16458"/>
    <w:rsid w:val="08334479"/>
    <w:rsid w:val="08924C50"/>
    <w:rsid w:val="08E81D72"/>
    <w:rsid w:val="09014346"/>
    <w:rsid w:val="09382467"/>
    <w:rsid w:val="0A2032A3"/>
    <w:rsid w:val="0B2233EC"/>
    <w:rsid w:val="0B697506"/>
    <w:rsid w:val="0E0367E9"/>
    <w:rsid w:val="0E0F465B"/>
    <w:rsid w:val="0E59465B"/>
    <w:rsid w:val="101860EC"/>
    <w:rsid w:val="10C055FF"/>
    <w:rsid w:val="118107EC"/>
    <w:rsid w:val="122E2587"/>
    <w:rsid w:val="12981456"/>
    <w:rsid w:val="13D50BC4"/>
    <w:rsid w:val="16431F7C"/>
    <w:rsid w:val="16BB723D"/>
    <w:rsid w:val="18B22FBB"/>
    <w:rsid w:val="1A983FEE"/>
    <w:rsid w:val="1AD02AAD"/>
    <w:rsid w:val="1BE8440E"/>
    <w:rsid w:val="1C246CD2"/>
    <w:rsid w:val="1D155CEE"/>
    <w:rsid w:val="21644D58"/>
    <w:rsid w:val="226A5C18"/>
    <w:rsid w:val="227024A2"/>
    <w:rsid w:val="23860B96"/>
    <w:rsid w:val="240371BF"/>
    <w:rsid w:val="246F4561"/>
    <w:rsid w:val="24B93F22"/>
    <w:rsid w:val="25370F6E"/>
    <w:rsid w:val="25F3615F"/>
    <w:rsid w:val="28461F88"/>
    <w:rsid w:val="29F372E8"/>
    <w:rsid w:val="29FD04D3"/>
    <w:rsid w:val="2B781EB9"/>
    <w:rsid w:val="2BC12588"/>
    <w:rsid w:val="2C8A61B5"/>
    <w:rsid w:val="2CCE400E"/>
    <w:rsid w:val="2D725600"/>
    <w:rsid w:val="2DF04E50"/>
    <w:rsid w:val="319F7F4E"/>
    <w:rsid w:val="32A3745F"/>
    <w:rsid w:val="331C5AD4"/>
    <w:rsid w:val="33633703"/>
    <w:rsid w:val="33EC194A"/>
    <w:rsid w:val="368E011C"/>
    <w:rsid w:val="36AA5135"/>
    <w:rsid w:val="36BE184E"/>
    <w:rsid w:val="37E16F03"/>
    <w:rsid w:val="3946010D"/>
    <w:rsid w:val="398B5761"/>
    <w:rsid w:val="3C241AB8"/>
    <w:rsid w:val="3CE95BCD"/>
    <w:rsid w:val="3D651F8D"/>
    <w:rsid w:val="3D98207C"/>
    <w:rsid w:val="3DC9169C"/>
    <w:rsid w:val="3EC5671A"/>
    <w:rsid w:val="40264D80"/>
    <w:rsid w:val="412F2E76"/>
    <w:rsid w:val="413E755D"/>
    <w:rsid w:val="41883434"/>
    <w:rsid w:val="439E282A"/>
    <w:rsid w:val="43AF64F0"/>
    <w:rsid w:val="43B11FA1"/>
    <w:rsid w:val="445C19A1"/>
    <w:rsid w:val="44E268DA"/>
    <w:rsid w:val="45331F8F"/>
    <w:rsid w:val="465E7D59"/>
    <w:rsid w:val="47117494"/>
    <w:rsid w:val="48252B29"/>
    <w:rsid w:val="495E134F"/>
    <w:rsid w:val="4A07693F"/>
    <w:rsid w:val="4A23064C"/>
    <w:rsid w:val="4A627F82"/>
    <w:rsid w:val="4B4F25DA"/>
    <w:rsid w:val="4BE068DB"/>
    <w:rsid w:val="4BEE652D"/>
    <w:rsid w:val="4C093496"/>
    <w:rsid w:val="4CF3569F"/>
    <w:rsid w:val="4D577224"/>
    <w:rsid w:val="4EAB630A"/>
    <w:rsid w:val="4EC84BF2"/>
    <w:rsid w:val="4ECE2238"/>
    <w:rsid w:val="524501CB"/>
    <w:rsid w:val="53F96D46"/>
    <w:rsid w:val="54170D5F"/>
    <w:rsid w:val="568A7075"/>
    <w:rsid w:val="56B9001C"/>
    <w:rsid w:val="57943BE9"/>
    <w:rsid w:val="59752C35"/>
    <w:rsid w:val="59DF1DD8"/>
    <w:rsid w:val="5AF92295"/>
    <w:rsid w:val="5BE37B82"/>
    <w:rsid w:val="5C9D4D8F"/>
    <w:rsid w:val="5CD71FC4"/>
    <w:rsid w:val="5DA36C6E"/>
    <w:rsid w:val="5F0674B4"/>
    <w:rsid w:val="5F085DA4"/>
    <w:rsid w:val="5FBB782C"/>
    <w:rsid w:val="61841D34"/>
    <w:rsid w:val="63A775F7"/>
    <w:rsid w:val="63D438A3"/>
    <w:rsid w:val="69D17EA1"/>
    <w:rsid w:val="6A492160"/>
    <w:rsid w:val="6A9104EF"/>
    <w:rsid w:val="6A9E040D"/>
    <w:rsid w:val="6AFC176B"/>
    <w:rsid w:val="6C4A05C8"/>
    <w:rsid w:val="6CFF6F0B"/>
    <w:rsid w:val="6DC321C1"/>
    <w:rsid w:val="6E7E3605"/>
    <w:rsid w:val="6ED14A77"/>
    <w:rsid w:val="6F295411"/>
    <w:rsid w:val="6FF5CC65"/>
    <w:rsid w:val="70C310C6"/>
    <w:rsid w:val="715C0E4B"/>
    <w:rsid w:val="721E4206"/>
    <w:rsid w:val="72734D90"/>
    <w:rsid w:val="73427202"/>
    <w:rsid w:val="73AD73D5"/>
    <w:rsid w:val="73B6EB34"/>
    <w:rsid w:val="74D304DE"/>
    <w:rsid w:val="750C4747"/>
    <w:rsid w:val="76035D05"/>
    <w:rsid w:val="762A6544"/>
    <w:rsid w:val="76A36180"/>
    <w:rsid w:val="77417275"/>
    <w:rsid w:val="77530965"/>
    <w:rsid w:val="78A621D9"/>
    <w:rsid w:val="798271F7"/>
    <w:rsid w:val="798A60AC"/>
    <w:rsid w:val="79EE5BA4"/>
    <w:rsid w:val="7A894339"/>
    <w:rsid w:val="7EEF11D3"/>
    <w:rsid w:val="7FA30C79"/>
    <w:rsid w:val="7FA75BC4"/>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6">
    <w:name w:val="Body Text"/>
    <w:basedOn w:val="1"/>
    <w:link w:val="27"/>
    <w:qFormat/>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2"/>
    <w:semiHidden/>
    <w:uiPriority w:val="99"/>
    <w:rPr>
      <w:sz w:val="18"/>
      <w:szCs w:val="18"/>
    </w:rPr>
  </w:style>
  <w:style w:type="paragraph" w:styleId="9">
    <w:name w:val="header"/>
    <w:basedOn w:val="1"/>
    <w:link w:val="25"/>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character" w:styleId="15">
    <w:name w:val="Strong"/>
    <w:basedOn w:val="14"/>
    <w:qFormat/>
    <w:uiPriority w:val="99"/>
    <w:rPr>
      <w:rFonts w:cs="Times New Roman"/>
      <w:b/>
    </w:rPr>
  </w:style>
  <w:style w:type="character" w:styleId="16">
    <w:name w:val="page number"/>
    <w:basedOn w:val="14"/>
    <w:uiPriority w:val="0"/>
  </w:style>
  <w:style w:type="character" w:styleId="17">
    <w:name w:val="Hyperlink"/>
    <w:basedOn w:val="14"/>
    <w:qFormat/>
    <w:uiPriority w:val="99"/>
    <w:rPr>
      <w:rFonts w:cs="Times New Roman"/>
      <w:color w:val="0000FF"/>
      <w:u w:val="single"/>
    </w:rPr>
  </w:style>
  <w:style w:type="character" w:customStyle="1" w:styleId="18">
    <w:name w:val="Heading 1 Char"/>
    <w:basedOn w:val="14"/>
    <w:link w:val="3"/>
    <w:qFormat/>
    <w:locked/>
    <w:uiPriority w:val="99"/>
    <w:rPr>
      <w:rFonts w:ascii="Times New Roman" w:hAnsi="Times New Roman" w:cs="Times New Roman"/>
      <w:b/>
      <w:bCs/>
      <w:kern w:val="44"/>
      <w:sz w:val="44"/>
      <w:szCs w:val="44"/>
    </w:rPr>
  </w:style>
  <w:style w:type="character" w:customStyle="1" w:styleId="19">
    <w:name w:val="Heading 2 Char"/>
    <w:basedOn w:val="14"/>
    <w:link w:val="4"/>
    <w:qFormat/>
    <w:locked/>
    <w:uiPriority w:val="99"/>
    <w:rPr>
      <w:rFonts w:ascii="Cambria" w:hAnsi="Cambria" w:eastAsia="宋体" w:cs="Times New Roman"/>
      <w:b/>
      <w:bCs/>
      <w:kern w:val="2"/>
      <w:sz w:val="32"/>
      <w:szCs w:val="32"/>
    </w:rPr>
  </w:style>
  <w:style w:type="character" w:customStyle="1" w:styleId="20">
    <w:name w:val="Heading 3 Char"/>
    <w:basedOn w:val="14"/>
    <w:link w:val="5"/>
    <w:qFormat/>
    <w:locked/>
    <w:uiPriority w:val="99"/>
    <w:rPr>
      <w:rFonts w:ascii="Times New Roman" w:hAnsi="Times New Roman" w:cs="Times New Roman"/>
      <w:b/>
      <w:bCs/>
      <w:kern w:val="2"/>
      <w:sz w:val="32"/>
      <w:szCs w:val="32"/>
    </w:rPr>
  </w:style>
  <w:style w:type="character" w:customStyle="1" w:styleId="21">
    <w:name w:val="Body Text Char"/>
    <w:basedOn w:val="14"/>
    <w:link w:val="6"/>
    <w:semiHidden/>
    <w:qFormat/>
    <w:uiPriority w:val="99"/>
    <w:rPr>
      <w:rFonts w:ascii="Times New Roman" w:hAnsi="Times New Roman" w:cs="Times New Roman"/>
      <w:sz w:val="24"/>
      <w:szCs w:val="24"/>
    </w:rPr>
  </w:style>
  <w:style w:type="character" w:customStyle="1" w:styleId="22">
    <w:name w:val="Balloon Text Char"/>
    <w:basedOn w:val="14"/>
    <w:link w:val="8"/>
    <w:semiHidden/>
    <w:qFormat/>
    <w:locked/>
    <w:uiPriority w:val="99"/>
    <w:rPr>
      <w:rFonts w:ascii="Times New Roman" w:hAnsi="Times New Roman" w:cs="Times New Roman"/>
      <w:kern w:val="2"/>
      <w:sz w:val="18"/>
      <w:szCs w:val="18"/>
    </w:rPr>
  </w:style>
  <w:style w:type="character" w:customStyle="1" w:styleId="23">
    <w:name w:val="Footer Char"/>
    <w:basedOn w:val="14"/>
    <w:link w:val="2"/>
    <w:semiHidden/>
    <w:qFormat/>
    <w:uiPriority w:val="99"/>
    <w:rPr>
      <w:rFonts w:ascii="Times New Roman" w:hAnsi="Times New Roman" w:cs="Times New Roman"/>
      <w:sz w:val="18"/>
      <w:szCs w:val="18"/>
    </w:rPr>
  </w:style>
  <w:style w:type="character" w:customStyle="1" w:styleId="24">
    <w:name w:val="Header Char"/>
    <w:basedOn w:val="14"/>
    <w:link w:val="9"/>
    <w:semiHidden/>
    <w:qFormat/>
    <w:uiPriority w:val="99"/>
    <w:rPr>
      <w:rFonts w:ascii="Times New Roman" w:hAnsi="Times New Roman" w:cs="Times New Roman"/>
      <w:sz w:val="18"/>
      <w:szCs w:val="18"/>
    </w:rPr>
  </w:style>
  <w:style w:type="character" w:customStyle="1" w:styleId="25">
    <w:name w:val="Header Char1"/>
    <w:link w:val="9"/>
    <w:semiHidden/>
    <w:qFormat/>
    <w:locked/>
    <w:uiPriority w:val="99"/>
    <w:rPr>
      <w:sz w:val="18"/>
    </w:rPr>
  </w:style>
  <w:style w:type="character" w:customStyle="1" w:styleId="26">
    <w:name w:val="Footer Char1"/>
    <w:link w:val="2"/>
    <w:qFormat/>
    <w:locked/>
    <w:uiPriority w:val="99"/>
    <w:rPr>
      <w:sz w:val="18"/>
    </w:rPr>
  </w:style>
  <w:style w:type="character" w:customStyle="1" w:styleId="27">
    <w:name w:val="Body Text Char1"/>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1">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57</Pages>
  <Words>19544</Words>
  <Characters>20884</Characters>
  <Lines>0</Lines>
  <Paragraphs>0</Paragraphs>
  <TotalTime>149</TotalTime>
  <ScaleCrop>false</ScaleCrop>
  <LinksUpToDate>false</LinksUpToDate>
  <CharactersWithSpaces>21012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Silencen</cp:lastModifiedBy>
  <cp:lastPrinted>2022-08-08T09:11:00Z</cp:lastPrinted>
  <dcterms:modified xsi:type="dcterms:W3CDTF">2022-09-23T06:35:55Z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0723438CF0BA4B5EAEDE01A44ED9D88F</vt:lpwstr>
  </property>
</Properties>
</file>