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8441"/>
      <w:bookmarkStart w:id="3" w:name="_Toc15377193"/>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77194"/>
      <w:bookmarkStart w:id="8" w:name="_Toc15378442"/>
      <w:bookmarkStart w:id="9" w:name="_Toc15396476"/>
      <w:bookmarkStart w:id="10" w:name="_Toc15306268"/>
      <w:bookmarkStart w:id="11" w:name="_Toc15396598"/>
      <w:r>
        <w:rPr>
          <w:rFonts w:hint="eastAsia" w:ascii="方正小标宋简体" w:hAnsi="方正小标宋简体" w:eastAsia="方正小标宋简体" w:cs="方正小标宋简体"/>
          <w:sz w:val="72"/>
          <w:szCs w:val="72"/>
          <w:lang w:eastAsia="zh-CN"/>
        </w:rPr>
        <w:t>广元市朝天国土空间规划编制研究中心</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1"/>
      </w:pPr>
      <w:r>
        <w:rPr>
          <w:rFonts w:hint="eastAsia"/>
        </w:rPr>
        <w:t>公开时间：</w:t>
      </w:r>
      <w:r>
        <w:t>2022</w:t>
      </w:r>
      <w:r>
        <w:rPr>
          <w:rFonts w:hint="eastAsia"/>
          <w:lang w:eastAsia="zh-CN"/>
        </w:rPr>
        <w:t>年</w:t>
      </w:r>
      <w:r>
        <w:t xml:space="preserve"> </w:t>
      </w:r>
      <w:r>
        <w:rPr>
          <w:rFonts w:hint="eastAsia"/>
          <w:lang w:val="en-US" w:eastAsia="zh-CN"/>
        </w:rPr>
        <w:t>9</w:t>
      </w:r>
      <w:r>
        <w:t xml:space="preserve"> </w:t>
      </w:r>
      <w:r>
        <w:rPr>
          <w:rFonts w:hint="eastAsia"/>
        </w:rPr>
        <w:t>月</w:t>
      </w:r>
      <w:r>
        <w:t xml:space="preserve"> </w:t>
      </w:r>
      <w:r>
        <w:rPr>
          <w:rFonts w:hint="eastAsia"/>
          <w:lang w:val="en-US" w:eastAsia="zh-CN"/>
        </w:rPr>
        <w:t>28</w:t>
      </w:r>
      <w:bookmarkStart w:id="73" w:name="_GoBack"/>
      <w:bookmarkEnd w:id="73"/>
      <w:r>
        <w:t xml:space="preserve"> </w:t>
      </w:r>
      <w:r>
        <w:rPr>
          <w:rFonts w:hint="eastAsia"/>
        </w:rPr>
        <w:t>日</w:t>
      </w:r>
    </w:p>
    <w:p/>
    <w:p>
      <w:pPr>
        <w:pStyle w:val="1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p>
    <w:p>
      <w:pPr>
        <w:pStyle w:val="12"/>
        <w:adjustRightInd w:val="0"/>
        <w:snapToGrid w:val="0"/>
        <w:spacing w:line="440" w:lineRule="exact"/>
        <w:jc w:val="left"/>
        <w:rPr>
          <w:rFonts w:ascii="仿宋" w:hAnsi="仿宋" w:eastAsia="仿宋"/>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w:t>
      </w:r>
      <w:r>
        <w:rPr>
          <w:sz w:val="24"/>
        </w:rPr>
        <w:t xml:space="preserve"> 2021</w:t>
      </w:r>
      <w:r>
        <w:rPr>
          <w:rFonts w:hint="eastAsia"/>
          <w:sz w:val="24"/>
        </w:rPr>
        <w:t>年度部门决算情况说明</w:t>
      </w:r>
    </w:p>
    <w:p>
      <w:pPr>
        <w:pStyle w:val="12"/>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sz w:val="24"/>
        </w:rPr>
      </w:pPr>
      <w:r>
        <w:rPr>
          <w:rFonts w:hint="eastAsia"/>
          <w:sz w:val="24"/>
        </w:rPr>
        <w:t>二、收入决算情况说明</w:t>
      </w:r>
    </w:p>
    <w:p>
      <w:pPr>
        <w:pStyle w:val="12"/>
        <w:adjustRightInd w:val="0"/>
        <w:snapToGrid w:val="0"/>
        <w:spacing w:line="440" w:lineRule="exact"/>
        <w:jc w:val="left"/>
        <w:rPr>
          <w:rFonts w:ascii="仿宋" w:hAnsi="仿宋" w:eastAsia="仿宋"/>
          <w:sz w:val="24"/>
        </w:rPr>
      </w:pPr>
      <w:r>
        <w:rPr>
          <w:rFonts w:hint="eastAsia"/>
          <w:sz w:val="24"/>
        </w:rPr>
        <w:t>三、支出决算情况说明</w:t>
      </w:r>
    </w:p>
    <w:p>
      <w:pPr>
        <w:pStyle w:val="12"/>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sz w:val="24"/>
        </w:rPr>
      </w:pPr>
      <w:r>
        <w:rPr>
          <w:rFonts w:hint="eastAsia"/>
          <w:sz w:val="24"/>
        </w:rPr>
        <w:t>七、“三公”经费财政拨款支出决算情况说明</w:t>
      </w:r>
    </w:p>
    <w:p>
      <w:pPr>
        <w:pStyle w:val="12"/>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2"/>
        <w:adjustRightInd w:val="0"/>
        <w:snapToGrid w:val="0"/>
        <w:spacing w:line="440" w:lineRule="exact"/>
        <w:ind w:leftChars="0"/>
        <w:jc w:val="left"/>
        <w:rPr>
          <w:rFonts w:ascii="宋体" w:cs="宋体"/>
          <w:sz w:val="24"/>
        </w:rPr>
      </w:pPr>
      <w:r>
        <w:rPr>
          <w:rFonts w:hint="eastAsia" w:ascii="宋体" w:hAnsi="宋体" w:cs="宋体"/>
          <w:sz w:val="24"/>
        </w:rPr>
        <w:t>九、国有资本经营预算支出决算情况说明</w:t>
      </w:r>
    </w:p>
    <w:p>
      <w:pPr>
        <w:adjustRightInd w:val="0"/>
        <w:snapToGrid w:val="0"/>
        <w:spacing w:line="440" w:lineRule="exact"/>
        <w:ind w:firstLine="420" w:firstLineChars="175"/>
        <w:jc w:val="left"/>
        <w:rPr>
          <w:rFonts w:ascii="宋体" w:cs="宋体"/>
          <w:sz w:val="24"/>
        </w:rPr>
      </w:pPr>
      <w:r>
        <w:rPr>
          <w:rStyle w:val="16"/>
          <w:rFonts w:hint="eastAsia" w:ascii="宋体" w:hAnsi="宋体" w:cs="宋体"/>
          <w:color w:val="auto"/>
          <w:sz w:val="24"/>
          <w:u w:val="none"/>
        </w:rPr>
        <w:t>十、</w:t>
      </w:r>
      <w:r>
        <w:rPr>
          <w:rFonts w:hint="eastAsia" w:ascii="宋体" w:hAnsi="宋体" w:cs="宋体"/>
          <w:sz w:val="24"/>
        </w:rPr>
        <w:t>其他重要事项的情况说明</w:t>
      </w:r>
      <w:r>
        <w:rPr>
          <w:rFonts w:ascii="宋体" w:cs="宋体"/>
          <w:sz w:val="24"/>
        </w:rPr>
        <w:tab/>
      </w:r>
    </w:p>
    <w:p>
      <w:pPr>
        <w:pStyle w:val="11"/>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宋体" w:cs="宋体"/>
          <w:sz w:val="24"/>
        </w:rPr>
      </w:pPr>
      <w:r>
        <w:rPr>
          <w:rFonts w:hint="eastAsia" w:ascii="宋体" w:hAnsi="宋体" w:cs="宋体"/>
          <w:sz w:val="24"/>
        </w:rPr>
        <w:t>二、收入决算表</w:t>
      </w:r>
    </w:p>
    <w:p>
      <w:pPr>
        <w:pStyle w:val="12"/>
        <w:adjustRightInd w:val="0"/>
        <w:snapToGrid w:val="0"/>
        <w:spacing w:line="440" w:lineRule="exact"/>
        <w:jc w:val="left"/>
        <w:rPr>
          <w:rFonts w:ascii="宋体" w:cs="宋体"/>
          <w:sz w:val="24"/>
        </w:rPr>
      </w:pPr>
      <w:r>
        <w:rPr>
          <w:rFonts w:hint="eastAsia" w:ascii="宋体" w:hAnsi="宋体" w:cs="宋体"/>
          <w:sz w:val="24"/>
        </w:rPr>
        <w:t>三、支出决算表</w:t>
      </w:r>
    </w:p>
    <w:p>
      <w:pPr>
        <w:pStyle w:val="12"/>
        <w:adjustRightInd w:val="0"/>
        <w:snapToGrid w:val="0"/>
        <w:spacing w:line="440" w:lineRule="exact"/>
        <w:jc w:val="left"/>
        <w:rPr>
          <w:rFonts w:ascii="宋体" w:cs="宋体"/>
          <w:sz w:val="24"/>
        </w:rPr>
      </w:pPr>
      <w:r>
        <w:rPr>
          <w:rFonts w:hint="eastAsia" w:ascii="宋体" w:hAnsi="宋体" w:cs="宋体"/>
          <w:sz w:val="24"/>
        </w:rPr>
        <w:t>四、财政拨款收入支出决算总表</w:t>
      </w:r>
    </w:p>
    <w:p>
      <w:pPr>
        <w:pStyle w:val="12"/>
        <w:adjustRightInd w:val="0"/>
        <w:snapToGrid w:val="0"/>
        <w:spacing w:line="440" w:lineRule="exact"/>
        <w:jc w:val="left"/>
        <w:rPr>
          <w:rFonts w:ascii="宋体" w:cs="宋体"/>
          <w:sz w:val="24"/>
        </w:rPr>
      </w:pPr>
      <w:r>
        <w:rPr>
          <w:rFonts w:hint="eastAsia" w:ascii="宋体" w:hAnsi="宋体" w:cs="宋体"/>
          <w:sz w:val="24"/>
        </w:rPr>
        <w:t>五、财政拨款支出决算明细表</w:t>
      </w:r>
    </w:p>
    <w:p>
      <w:pPr>
        <w:pStyle w:val="12"/>
        <w:adjustRightInd w:val="0"/>
        <w:snapToGrid w:val="0"/>
        <w:spacing w:line="440" w:lineRule="exact"/>
        <w:jc w:val="left"/>
        <w:rPr>
          <w:rFonts w:ascii="宋体" w:cs="宋体"/>
          <w:sz w:val="24"/>
        </w:rPr>
      </w:pPr>
      <w:r>
        <w:rPr>
          <w:rFonts w:hint="eastAsia" w:ascii="宋体" w:hAnsi="宋体" w:cs="宋体"/>
          <w:sz w:val="24"/>
        </w:rPr>
        <w:t>六、一般公共预算财政拨款支出决算表</w:t>
      </w:r>
    </w:p>
    <w:p>
      <w:pPr>
        <w:pStyle w:val="12"/>
        <w:adjustRightInd w:val="0"/>
        <w:snapToGrid w:val="0"/>
        <w:spacing w:line="440" w:lineRule="exact"/>
        <w:jc w:val="left"/>
        <w:rPr>
          <w:rFonts w:ascii="宋体" w:cs="宋体"/>
          <w:sz w:val="24"/>
        </w:rPr>
      </w:pPr>
      <w:r>
        <w:rPr>
          <w:rFonts w:hint="eastAsia" w:ascii="宋体" w:hAnsi="宋体" w:cs="宋体"/>
          <w:sz w:val="24"/>
        </w:rPr>
        <w:t>七、一般公共预算财政拨款支出决算明细表</w:t>
      </w:r>
    </w:p>
    <w:p>
      <w:pPr>
        <w:pStyle w:val="12"/>
        <w:adjustRightInd w:val="0"/>
        <w:snapToGrid w:val="0"/>
        <w:spacing w:line="440" w:lineRule="exact"/>
        <w:jc w:val="left"/>
        <w:rPr>
          <w:rFonts w:ascii="宋体" w:cs="宋体"/>
          <w:sz w:val="24"/>
        </w:rPr>
      </w:pPr>
      <w:r>
        <w:rPr>
          <w:rFonts w:hint="eastAsia" w:ascii="宋体" w:hAnsi="宋体" w:cs="宋体"/>
          <w:sz w:val="24"/>
        </w:rPr>
        <w:t>八、一般公共预算财政拨款基本支出决算表</w:t>
      </w:r>
    </w:p>
    <w:p>
      <w:pPr>
        <w:pStyle w:val="12"/>
        <w:adjustRightInd w:val="0"/>
        <w:snapToGrid w:val="0"/>
        <w:spacing w:line="440" w:lineRule="exact"/>
        <w:jc w:val="left"/>
        <w:rPr>
          <w:rFonts w:ascii="宋体" w:cs="宋体"/>
          <w:sz w:val="24"/>
        </w:rPr>
      </w:pPr>
      <w:r>
        <w:rPr>
          <w:rFonts w:hint="eastAsia" w:ascii="宋体" w:hAnsi="宋体" w:cs="宋体"/>
          <w:sz w:val="24"/>
        </w:rPr>
        <w:t>九、一般公共预算财政拨款项目支出决算表</w:t>
      </w:r>
    </w:p>
    <w:p>
      <w:pPr>
        <w:pStyle w:val="12"/>
        <w:adjustRightInd w:val="0"/>
        <w:snapToGrid w:val="0"/>
        <w:spacing w:line="440" w:lineRule="exact"/>
        <w:jc w:val="left"/>
        <w:rPr>
          <w:rFonts w:ascii="宋体" w:cs="宋体"/>
          <w:sz w:val="24"/>
        </w:rPr>
      </w:pPr>
      <w:r>
        <w:rPr>
          <w:rFonts w:hint="eastAsia" w:ascii="宋体" w:hAnsi="宋体" w:cs="宋体"/>
          <w:sz w:val="24"/>
        </w:rPr>
        <w:t>十、一般公共预算财政拨款“三公”经费支出决算表</w:t>
      </w:r>
    </w:p>
    <w:p>
      <w:pPr>
        <w:pStyle w:val="12"/>
        <w:adjustRightInd w:val="0"/>
        <w:snapToGrid w:val="0"/>
        <w:spacing w:line="440" w:lineRule="exact"/>
        <w:jc w:val="left"/>
        <w:rPr>
          <w:rFonts w:ascii="宋体" w:cs="宋体"/>
          <w:sz w:val="24"/>
        </w:rPr>
      </w:pPr>
      <w:r>
        <w:rPr>
          <w:rFonts w:hint="eastAsia" w:ascii="宋体" w:hAnsi="宋体" w:cs="宋体"/>
          <w:sz w:val="24"/>
        </w:rPr>
        <w:t>十一、政府性基金预算财政拨款收入支出决算表</w:t>
      </w:r>
    </w:p>
    <w:p>
      <w:pPr>
        <w:pStyle w:val="12"/>
        <w:adjustRightInd w:val="0"/>
        <w:snapToGrid w:val="0"/>
        <w:spacing w:line="440" w:lineRule="exact"/>
        <w:jc w:val="left"/>
        <w:rPr>
          <w:rFonts w:ascii="宋体" w:cs="宋体"/>
          <w:sz w:val="24"/>
        </w:rPr>
      </w:pPr>
      <w:r>
        <w:rPr>
          <w:rFonts w:hint="eastAsia" w:ascii="宋体" w:hAnsi="宋体" w:cs="宋体"/>
          <w:sz w:val="24"/>
        </w:rPr>
        <w:t>十二、政府性基金预算财政拨款“三公”经费支出决算表</w:t>
      </w:r>
    </w:p>
    <w:p>
      <w:pPr>
        <w:pStyle w:val="12"/>
        <w:adjustRightInd w:val="0"/>
        <w:snapToGrid w:val="0"/>
        <w:spacing w:line="440" w:lineRule="exact"/>
        <w:jc w:val="left"/>
        <w:rPr>
          <w:rFonts w:ascii="宋体" w:cs="宋体"/>
          <w:sz w:val="24"/>
        </w:rPr>
      </w:pPr>
      <w:r>
        <w:rPr>
          <w:rFonts w:hint="eastAsia" w:ascii="宋体" w:hAnsi="宋体" w:cs="宋体"/>
          <w:sz w:val="24"/>
        </w:rPr>
        <w:t>十三、国有资本经营预算财政拨款收入支出决算表</w:t>
      </w:r>
    </w:p>
    <w:p>
      <w:pPr>
        <w:pStyle w:val="12"/>
        <w:adjustRightInd w:val="0"/>
        <w:snapToGrid w:val="0"/>
        <w:spacing w:line="440" w:lineRule="exact"/>
        <w:jc w:val="left"/>
        <w:rPr>
          <w:rFonts w:ascii="仿宋" w:hAnsi="仿宋" w:eastAsia="仿宋"/>
          <w:bCs/>
          <w:kern w:val="44"/>
          <w:sz w:val="24"/>
        </w:rPr>
      </w:pPr>
      <w:r>
        <w:rPr>
          <w:rFonts w:hint="eastAsia" w:ascii="宋体" w:hAnsi="宋体" w:cs="宋体"/>
          <w:sz w:val="24"/>
        </w:rPr>
        <w:t>十四、国有资本经营预算财政拨款支出决算表</w:t>
      </w:r>
      <w:bookmarkStart w:id="12" w:name="_Toc15396599"/>
      <w:bookmarkStart w:id="13" w:name="_Toc15377196"/>
      <w:r>
        <w:rPr>
          <w:rFonts w:ascii="仿宋" w:hAnsi="仿宋" w:eastAsia="仿宋"/>
          <w:b/>
          <w:sz w:val="24"/>
        </w:rPr>
        <w:br w:type="page"/>
      </w:r>
    </w:p>
    <w:p>
      <w:pPr>
        <w:pStyle w:val="3"/>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18"/>
          <w:rFonts w:ascii="仿宋" w:hAnsi="仿宋" w:eastAsia="仿宋"/>
          <w:b w:val="0"/>
          <w:bCs w:val="0"/>
        </w:rPr>
      </w:pPr>
      <w:bookmarkStart w:id="14" w:name="_Toc15396600"/>
      <w:bookmarkStart w:id="15" w:name="_Toc15377197"/>
      <w:r>
        <w:rPr>
          <w:rFonts w:hint="eastAsia" w:ascii="黑体" w:hAnsi="黑体" w:eastAsia="黑体"/>
          <w:b w:val="0"/>
        </w:rPr>
        <w:t>一、基</w:t>
      </w:r>
      <w:r>
        <w:rPr>
          <w:rStyle w:val="18"/>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r>
        <w:rPr>
          <w:rFonts w:hint="eastAsia" w:ascii="仿宋" w:hAnsi="仿宋" w:eastAsia="仿宋" w:cs="Times New Roman"/>
          <w:bCs/>
          <w:color w:val="000000"/>
          <w:sz w:val="32"/>
          <w:szCs w:val="32"/>
        </w:rPr>
        <w:t>组织编制本辖区国土空间规划、城市设计、概念规划等。负责制定管辖范围内的项目选址、规划设计前期研究和规划设计方案审查。承担辖区规划管理审查相关事务工作。</w:t>
      </w:r>
      <w:bookmarkEnd w:id="16"/>
      <w:bookmarkEnd w:id="17"/>
    </w:p>
    <w:p>
      <w:pPr>
        <w:spacing w:line="576" w:lineRule="exact"/>
        <w:ind w:firstLine="640" w:firstLineChars="200"/>
        <w:jc w:val="left"/>
        <w:rPr>
          <w:rFonts w:hint="eastAsia" w:ascii="仿宋_GB2312" w:hAnsi="仿宋_GB2312" w:eastAsia="仿宋_GB2312" w:cs="仿宋_GB2312"/>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18"/>
      <w:bookmarkEnd w:id="19"/>
      <w:r>
        <w:rPr>
          <w:rFonts w:hint="eastAsia" w:ascii="仿宋_GB2312" w:hAnsi="楷体_GB2312" w:eastAsia="仿宋_GB2312" w:cs="楷体_GB2312"/>
          <w:b/>
          <w:bCs/>
          <w:sz w:val="32"/>
          <w:szCs w:val="32"/>
        </w:rPr>
        <w:t>一是</w:t>
      </w:r>
      <w:r>
        <w:rPr>
          <w:rFonts w:hint="eastAsia" w:ascii="仿宋_GB2312" w:hAnsi="仿宋_GB2312" w:eastAsia="仿宋_GB2312" w:cs="仿宋_GB2312"/>
          <w:sz w:val="32"/>
          <w:szCs w:val="32"/>
        </w:rPr>
        <w:t>国土空间规划编制工作顺利开展，成立国土空间规划编制领导小组，编制了《广元市朝天区国土空间规划“三区三线”划定试点工作方案》。目前已完成双评价、双评估、水资源承载力、人口流动和城镇化发展等专题报告基本内容。完成“三区三线”第一轮、第二轮试划方案，并上报。形成朝天区国土空间总体规划初步方案，并与广元市级空间规划对接，分别于去年8月、今年9月、12月由区委、区政府主要领导主持，相关分管领导及部门、12个乡镇参与，进行了多次意见征求。</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 xml:space="preserve">先后完成了《关于加强朝天乡村规划建设的调研报告》、《朝天区加强乡村规划建设工作方案》，并经区委审定印发实施；制定了《广元市朝天区以片区为单位编制乡村级国土空间规划工作方案》，将朝天区科学划定为：朝天核桃农文旅融合、曾家山农旅文康融合、羊木农商融合、中子农工旅融合四个发展片区，设4个中心镇、1个副中心镇，划定32个村级发展片区，设33个中心村。结合功能分区和定位，分片区分层级编制乡村规划；完成了沙河镇白虎和罗圈岩2个村规划编制试点工作；今年8月全面启动“曾家山农旅文康融合发展片区”国土空间总体规划编制工作，于1月形成了初步方案，正在征求部门和乡镇意见，预计2022年6月全面完成该项工作。三是积极搭建信息平台。开展“一张蓝图”信息平台和“多规合一”、“多测合一”、“多验合一”等业务协同平台建设。2020年6月底已实现与工改系统互联互通，正在推广使用。四是持续做好规划服务。截止目前，召开国土空间规划领导小组会议9次，对项目设计方案内部审查项目达60余个，全年通过国土空间规划领导小组会议审查项目37个。 </w:t>
      </w:r>
    </w:p>
    <w:p>
      <w:pPr>
        <w:pStyle w:val="4"/>
        <w:rPr>
          <w:rStyle w:val="18"/>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18"/>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广元市朝天国土空间规划编制研究中心</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17"/>
          <w:rFonts w:ascii="黑体" w:hAnsi="黑体" w:eastAsia="黑体"/>
          <w:b w:val="0"/>
          <w:bCs/>
        </w:rPr>
      </w:pPr>
      <w:bookmarkStart w:id="22" w:name="_Toc15396602"/>
      <w:bookmarkStart w:id="23" w:name="_Toc15377204"/>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7"/>
          <w:rFonts w:hint="eastAsia" w:ascii="黑体" w:hAnsi="黑体" w:eastAsia="黑体"/>
          <w:b w:val="0"/>
          <w:bCs/>
        </w:rPr>
        <w:t>部门决算情况说明</w:t>
      </w:r>
      <w:bookmarkEnd w:id="22"/>
      <w:bookmarkEnd w:id="23"/>
    </w:p>
    <w:p/>
    <w:p>
      <w:pPr>
        <w:pStyle w:val="28"/>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eastAsia="仿宋_GB2312"/>
          <w:sz w:val="32"/>
          <w:szCs w:val="32"/>
          <w:lang w:eastAsia="zh-CN"/>
        </w:rPr>
      </w:pPr>
      <w:r>
        <w:rPr>
          <w:rFonts w:ascii="仿宋" w:hAnsi="仿宋" w:eastAsia="仿宋"/>
          <w:sz w:val="32"/>
          <w:szCs w:val="32"/>
        </w:rPr>
        <w:t>2021</w:t>
      </w:r>
      <w:r>
        <w:rPr>
          <w:rFonts w:hint="eastAsia" w:ascii="仿宋" w:hAnsi="仿宋" w:eastAsia="仿宋"/>
          <w:sz w:val="32"/>
          <w:szCs w:val="32"/>
        </w:rPr>
        <w:t>年度收、支总计</w:t>
      </w:r>
      <w:r>
        <w:rPr>
          <w:rFonts w:hint="eastAsia" w:ascii="仿宋" w:hAnsi="仿宋" w:eastAsia="仿宋"/>
          <w:sz w:val="32"/>
          <w:szCs w:val="32"/>
          <w:lang w:val="en-US" w:eastAsia="zh-CN"/>
        </w:rPr>
        <w:t>336.53</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年相比，收、支总计各增加</w:t>
      </w:r>
      <w:r>
        <w:rPr>
          <w:rFonts w:hint="eastAsia" w:ascii="仿宋" w:hAnsi="仿宋" w:eastAsia="仿宋"/>
          <w:sz w:val="32"/>
          <w:szCs w:val="32"/>
          <w:lang w:val="en-US" w:eastAsia="zh-CN"/>
        </w:rPr>
        <w:t>127.56</w:t>
      </w:r>
      <w:r>
        <w:rPr>
          <w:rFonts w:hint="eastAsia" w:ascii="仿宋" w:hAnsi="仿宋" w:eastAsia="仿宋"/>
          <w:sz w:val="32"/>
          <w:szCs w:val="32"/>
        </w:rPr>
        <w:t>万元，增长</w:t>
      </w:r>
      <w:r>
        <w:rPr>
          <w:rFonts w:hint="eastAsia" w:ascii="仿宋" w:hAnsi="仿宋" w:eastAsia="仿宋"/>
          <w:sz w:val="32"/>
          <w:szCs w:val="32"/>
          <w:lang w:val="en-US" w:eastAsia="zh-CN"/>
        </w:rPr>
        <w:t>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规划编制费用增加，收入、支出对应增加。</w:t>
      </w:r>
    </w:p>
    <w:p>
      <w:pPr>
        <w:pStyle w:val="6"/>
        <w:rPr>
          <w:rFonts w:hint="eastAsia" w:ascii="仿宋_GB2312" w:eastAsia="仿宋_GB2312"/>
          <w:sz w:val="32"/>
          <w:szCs w:val="32"/>
          <w:lang w:eastAsia="zh-CN"/>
        </w:rPr>
      </w:pPr>
      <w:r>
        <w:rPr>
          <w:rFonts w:hint="eastAsia" w:ascii="仿宋_GB2312" w:eastAsia="仿宋_GB2312"/>
          <w:sz w:val="32"/>
          <w:szCs w:val="32"/>
          <w:lang w:eastAsia="zh-CN"/>
        </w:rPr>
        <w:object>
          <v:shape id="_x0000_i1025" o:spt="75" type="#_x0000_t75" style="height:222.75pt;width:412.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rPr>
          <w:rFonts w:hint="eastAsia"/>
          <w:lang w:eastAsia="zh-CN"/>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8"/>
        <w:numPr>
          <w:ilvl w:val="0"/>
          <w:numId w:val="1"/>
        </w:numPr>
        <w:spacing w:line="600" w:lineRule="exact"/>
        <w:ind w:firstLineChars="0"/>
        <w:outlineLvl w:val="1"/>
        <w:rPr>
          <w:rStyle w:val="18"/>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hint="default"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336.53</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336.53</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color w:val="FF0000"/>
          <w:sz w:val="32"/>
          <w:szCs w:val="32"/>
        </w:rPr>
      </w:pPr>
      <w:r>
        <w:rPr>
          <w:rFonts w:hint="eastAsia" w:ascii="仿宋" w:hAnsi="仿宋" w:eastAsia="仿宋"/>
          <w:b/>
          <w:sz w:val="32"/>
          <w:szCs w:val="32"/>
        </w:rPr>
        <w:t>（注：数据来源于财决</w:t>
      </w:r>
      <w:r>
        <w:rPr>
          <w:rFonts w:ascii="仿宋" w:hAnsi="仿宋" w:eastAsia="仿宋"/>
          <w:b/>
          <w:sz w:val="32"/>
          <w:szCs w:val="32"/>
        </w:rPr>
        <w:t>01</w:t>
      </w:r>
      <w:r>
        <w:rPr>
          <w:rFonts w:hint="eastAsia" w:ascii="仿宋" w:hAnsi="仿宋" w:eastAsia="仿宋"/>
          <w:b/>
          <w:sz w:val="32"/>
          <w:szCs w:val="32"/>
        </w:rPr>
        <w:t>表）</w:t>
      </w:r>
    </w:p>
    <w:p>
      <w:pPr>
        <w:spacing w:line="600" w:lineRule="exact"/>
        <w:ind w:firstLine="640" w:firstLineChars="200"/>
        <w:rPr>
          <w:rFonts w:hint="eastAsia" w:ascii="仿宋" w:hAnsi="仿宋" w:eastAsia="仿宋"/>
          <w:sz w:val="32"/>
          <w:szCs w:val="32"/>
        </w:rPr>
      </w:pPr>
    </w:p>
    <w:p>
      <w:pPr>
        <w:pStyle w:val="6"/>
        <w:rPr>
          <w:rFonts w:hint="eastAsia" w:eastAsia="仿宋"/>
          <w:lang w:eastAsia="zh-CN"/>
        </w:rPr>
      </w:pPr>
      <w:r>
        <w:rPr>
          <w:rFonts w:hint="eastAsia" w:eastAsia="仿宋"/>
          <w:lang w:eastAsia="zh-CN"/>
        </w:rPr>
        <w:object>
          <v:shape id="_x0000_i1026" o:spt="75" type="#_x0000_t75" style="height:187.5pt;width:366.75pt;" o:ole="t" filled="f" o:preferrelative="t" stroked="f" coordsize="21600,21600">
            <v:path/>
            <v:fill on="f" focussize="0,0"/>
            <v:stroke on="f"/>
            <v:imagedata r:id="rId9" o:title=""/>
            <o:lock v:ext="edit" aspectratio="t"/>
            <w10:wrap type="none"/>
            <w10:anchorlock/>
          </v:shape>
          <o:OLEObject Type="Embed" ProgID="Excel.Chart.8" ShapeID="_x0000_i1026" DrawAspect="Content" ObjectID="_1468075726" r:id="rId8">
            <o:LockedField>false</o:LockedField>
          </o:OLEObject>
        </w:object>
      </w:r>
    </w:p>
    <w:p>
      <w:r>
        <w:rPr>
          <w:rFonts w:hint="eastAsia" w:ascii="仿宋" w:hAnsi="仿宋" w:eastAsia="仿宋"/>
          <w:sz w:val="32"/>
          <w:szCs w:val="32"/>
        </w:rPr>
        <w:t>（图</w:t>
      </w:r>
      <w:r>
        <w:rPr>
          <w:rFonts w:ascii="仿宋" w:hAnsi="仿宋" w:eastAsia="仿宋"/>
          <w:sz w:val="32"/>
          <w:szCs w:val="32"/>
        </w:rPr>
        <w:t>2</w:t>
      </w:r>
      <w:r>
        <w:rPr>
          <w:rFonts w:hint="eastAsia" w:ascii="仿宋" w:hAnsi="仿宋" w:eastAsia="仿宋"/>
          <w:sz w:val="32"/>
          <w:szCs w:val="32"/>
        </w:rPr>
        <w:t>：收入决算结构图）（饼状图）</w:t>
      </w:r>
    </w:p>
    <w:p>
      <w:pPr>
        <w:pStyle w:val="28"/>
        <w:numPr>
          <w:ilvl w:val="0"/>
          <w:numId w:val="1"/>
        </w:numPr>
        <w:spacing w:line="600" w:lineRule="exact"/>
        <w:ind w:firstLineChars="0"/>
        <w:outlineLvl w:val="1"/>
        <w:rPr>
          <w:rStyle w:val="18"/>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18"/>
          <w:rFonts w:hint="eastAsia" w:ascii="黑体" w:hAnsi="黑体" w:eastAsia="黑体"/>
          <w:b w:val="0"/>
        </w:rPr>
        <w:t>出决算情况说明</w:t>
      </w:r>
      <w:bookmarkEnd w:id="28"/>
      <w:bookmarkEnd w:id="29"/>
    </w:p>
    <w:p>
      <w:pPr>
        <w:spacing w:line="600" w:lineRule="exact"/>
        <w:ind w:firstLine="640" w:firstLineChars="200"/>
        <w:outlineLvl w:val="1"/>
        <w:rPr>
          <w:rFonts w:hint="default" w:ascii="仿宋" w:hAnsi="仿宋" w:eastAsia="仿宋"/>
          <w:sz w:val="32"/>
          <w:szCs w:val="32"/>
          <w:lang w:val="en-US"/>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336.53</w:t>
      </w:r>
      <w:r>
        <w:rPr>
          <w:rFonts w:hint="eastAsia" w:ascii="仿宋" w:hAnsi="仿宋" w:eastAsia="仿宋"/>
          <w:sz w:val="32"/>
          <w:szCs w:val="32"/>
        </w:rPr>
        <w:t>万元，其中：基本支出</w:t>
      </w:r>
      <w:r>
        <w:rPr>
          <w:rFonts w:hint="eastAsia" w:ascii="仿宋" w:hAnsi="仿宋" w:eastAsia="仿宋"/>
          <w:sz w:val="32"/>
          <w:szCs w:val="32"/>
          <w:lang w:val="en-US" w:eastAsia="zh-CN"/>
        </w:rPr>
        <w:t>135.89</w:t>
      </w:r>
      <w:r>
        <w:rPr>
          <w:rFonts w:hint="eastAsia" w:ascii="仿宋" w:hAnsi="仿宋" w:eastAsia="仿宋"/>
          <w:sz w:val="32"/>
          <w:szCs w:val="32"/>
        </w:rPr>
        <w:t>万元，占</w:t>
      </w:r>
      <w:r>
        <w:rPr>
          <w:rFonts w:hint="eastAsia" w:ascii="仿宋" w:hAnsi="仿宋" w:eastAsia="仿宋"/>
          <w:sz w:val="32"/>
          <w:szCs w:val="32"/>
          <w:lang w:val="en-US" w:eastAsia="zh-CN"/>
        </w:rPr>
        <w:t>40</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200.64</w:t>
      </w:r>
      <w:r>
        <w:rPr>
          <w:rFonts w:hint="eastAsia" w:ascii="仿宋" w:hAnsi="仿宋" w:eastAsia="仿宋"/>
          <w:sz w:val="32"/>
          <w:szCs w:val="32"/>
        </w:rPr>
        <w:t>万元，占</w:t>
      </w:r>
      <w:r>
        <w:rPr>
          <w:rFonts w:hint="eastAsia" w:ascii="仿宋" w:hAnsi="仿宋" w:eastAsia="仿宋"/>
          <w:sz w:val="32"/>
          <w:szCs w:val="32"/>
          <w:lang w:val="en-US" w:eastAsia="zh-CN"/>
        </w:rPr>
        <w:t>60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outlineLvl w:val="1"/>
        <w:rPr>
          <w:rFonts w:ascii="仿宋" w:hAnsi="仿宋" w:eastAsia="仿宋"/>
          <w:sz w:val="32"/>
          <w:szCs w:val="32"/>
          <w:shd w:val="pct10" w:color="auto" w:fill="FFFFFF"/>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pPr>
        <w:pStyle w:val="6"/>
        <w:rPr>
          <w:rFonts w:hint="eastAsia" w:ascii="仿宋" w:hAnsi="仿宋" w:eastAsia="仿宋"/>
          <w:sz w:val="32"/>
          <w:szCs w:val="32"/>
          <w:lang w:eastAsia="zh-CN"/>
        </w:rPr>
      </w:pPr>
      <w:r>
        <w:rPr>
          <w:rFonts w:hint="eastAsia" w:ascii="仿宋" w:hAnsi="仿宋" w:eastAsia="仿宋"/>
          <w:sz w:val="32"/>
          <w:szCs w:val="32"/>
          <w:lang w:eastAsia="zh-CN"/>
        </w:rPr>
        <w:object>
          <v:shape id="_x0000_i1027" o:spt="75" type="#_x0000_t75" style="height:201.75pt;width:398.25pt;" o:ole="t" filled="f" o:preferrelative="t" stroked="f" coordsize="21600,21600">
            <v:path/>
            <v:fill on="f" focussize="0,0"/>
            <v:stroke on="f"/>
            <v:imagedata r:id="rId11" o:title=""/>
            <o:lock v:ext="edit" aspectratio="t"/>
            <w10:wrap type="none"/>
            <w10:anchorlock/>
          </v:shape>
          <o:OLEObject Type="Embed" ProgID="Excel.Chart.8" ShapeID="_x0000_i1027" DrawAspect="Content" ObjectID="_1468075727" r:id="rId10">
            <o:LockedField>false</o:LockedField>
          </o:OLEObject>
        </w:objec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3</w:t>
      </w:r>
      <w:r>
        <w:rPr>
          <w:rFonts w:hint="eastAsia" w:ascii="仿宋" w:hAnsi="仿宋" w:eastAsia="仿宋"/>
          <w:sz w:val="32"/>
          <w:szCs w:val="32"/>
        </w:rPr>
        <w:t>：支出决算结构图）（饼状图）</w:t>
      </w:r>
    </w:p>
    <w:p>
      <w:pPr>
        <w:rPr>
          <w:rFonts w:hint="eastAsia"/>
          <w:lang w:eastAsia="zh-CN"/>
        </w:rPr>
      </w:pPr>
    </w:p>
    <w:p>
      <w:pPr>
        <w:spacing w:line="600" w:lineRule="exact"/>
        <w:ind w:firstLine="640" w:firstLineChars="200"/>
        <w:outlineLvl w:val="1"/>
        <w:rPr>
          <w:rStyle w:val="18"/>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sz w:val="32"/>
          <w:szCs w:val="32"/>
        </w:rPr>
        <w:t>2021</w:t>
      </w:r>
      <w:r>
        <w:rPr>
          <w:rFonts w:hint="eastAsia" w:ascii="仿宋" w:hAnsi="仿宋" w:eastAsia="仿宋"/>
          <w:sz w:val="32"/>
          <w:szCs w:val="32"/>
        </w:rPr>
        <w:t>年财政拨款收、支总计</w:t>
      </w:r>
      <w:r>
        <w:rPr>
          <w:rFonts w:hint="eastAsia" w:ascii="仿宋" w:hAnsi="仿宋" w:eastAsia="仿宋"/>
          <w:sz w:val="32"/>
          <w:szCs w:val="32"/>
          <w:lang w:val="en-US" w:eastAsia="zh-CN"/>
        </w:rPr>
        <w:t>336.53</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年相比，财政拨款收、支总计各增加</w:t>
      </w:r>
      <w:r>
        <w:rPr>
          <w:rFonts w:hint="eastAsia" w:ascii="仿宋" w:hAnsi="仿宋" w:eastAsia="仿宋"/>
          <w:sz w:val="32"/>
          <w:szCs w:val="32"/>
          <w:lang w:val="en-US" w:eastAsia="zh-CN"/>
        </w:rPr>
        <w:t>127.56</w:t>
      </w:r>
      <w:r>
        <w:rPr>
          <w:rFonts w:hint="eastAsia" w:ascii="仿宋" w:hAnsi="仿宋" w:eastAsia="仿宋"/>
          <w:sz w:val="32"/>
          <w:szCs w:val="32"/>
        </w:rPr>
        <w:t>万元，增长</w:t>
      </w:r>
      <w:r>
        <w:rPr>
          <w:rFonts w:hint="eastAsia" w:ascii="仿宋" w:hAnsi="仿宋" w:eastAsia="仿宋"/>
          <w:sz w:val="32"/>
          <w:szCs w:val="32"/>
          <w:lang w:val="en-US" w:eastAsia="zh-CN"/>
        </w:rPr>
        <w:t>61</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color w:val="000000"/>
          <w:sz w:val="32"/>
          <w:szCs w:val="32"/>
        </w:rPr>
        <w:t>是</w:t>
      </w:r>
      <w:r>
        <w:rPr>
          <w:rFonts w:hint="eastAsia" w:ascii="仿宋" w:hAnsi="仿宋" w:eastAsia="仿宋"/>
          <w:color w:val="000000"/>
          <w:sz w:val="32"/>
          <w:szCs w:val="32"/>
          <w:lang w:eastAsia="zh-CN"/>
        </w:rPr>
        <w:t>规划编制费用增加，收入、支出对应增加。</w:t>
      </w:r>
    </w:p>
    <w:p>
      <w:pPr>
        <w:spacing w:line="600" w:lineRule="exact"/>
        <w:ind w:firstLine="640"/>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p>
    <w:p>
      <w:pPr>
        <w:pStyle w:val="6"/>
        <w:rPr>
          <w:rFonts w:hint="eastAsia" w:ascii="仿宋" w:hAnsi="仿宋" w:eastAsia="仿宋"/>
          <w:sz w:val="32"/>
          <w:szCs w:val="32"/>
        </w:rPr>
      </w:pPr>
      <w:r>
        <w:rPr>
          <w:rFonts w:hint="eastAsia" w:ascii="仿宋_GB2312" w:eastAsia="仿宋_GB2312"/>
          <w:sz w:val="32"/>
          <w:szCs w:val="32"/>
          <w:lang w:eastAsia="zh-CN"/>
        </w:rPr>
        <w:object>
          <v:shape id="_x0000_i1028" o:spt="75" type="#_x0000_t75" style="height:197.25pt;width:447.75pt;" o:ole="t" filled="f" o:preferrelative="t" stroked="f" coordsize="21600,21600">
            <v:path/>
            <v:fill on="f" focussize="0,0"/>
            <v:stroke on="f"/>
            <v:imagedata r:id="rId13" o:title=""/>
            <o:lock v:ext="edit" aspectratio="t"/>
            <w10:wrap type="none"/>
            <w10:anchorlock/>
          </v:shape>
          <o:OLEObject Type="Embed" ProgID="Excel.Chart.8" ShapeID="_x0000_i1028" DrawAspect="Content" ObjectID="_1468075728" r:id="rId12">
            <o:LockedField>false</o:LockedField>
          </o:OLEObject>
        </w:object>
      </w:r>
      <w:bookmarkStart w:id="32" w:name="_Toc15396607"/>
      <w:bookmarkStart w:id="33" w:name="_Toc15377209"/>
      <w:r>
        <w:rPr>
          <w:rFonts w:hint="eastAsia"/>
          <w:sz w:val="32"/>
          <w:szCs w:val="32"/>
          <w:lang w:val="en-US" w:eastAsia="zh-CN"/>
        </w:rPr>
        <w:t xml:space="preserve">     </w:t>
      </w:r>
      <w:r>
        <w:rPr>
          <w:rFonts w:hint="eastAsia" w:ascii="仿宋" w:hAnsi="仿宋" w:eastAsia="仿宋"/>
          <w:sz w:val="32"/>
          <w:szCs w:val="32"/>
        </w:rPr>
        <w:t>（图</w:t>
      </w:r>
      <w:r>
        <w:rPr>
          <w:rFonts w:ascii="仿宋" w:hAnsi="仿宋" w:eastAsia="仿宋"/>
          <w:sz w:val="32"/>
          <w:szCs w:val="32"/>
        </w:rPr>
        <w:t>4</w:t>
      </w:r>
      <w:r>
        <w:rPr>
          <w:rFonts w:hint="eastAsia" w:ascii="仿宋" w:hAnsi="仿宋" w:eastAsia="仿宋"/>
          <w:sz w:val="32"/>
          <w:szCs w:val="32"/>
        </w:rPr>
        <w:t>：财政拨款收、支决算总计变动情况）（柱状图）</w:t>
      </w:r>
    </w:p>
    <w:p>
      <w:pPr>
        <w:pStyle w:val="6"/>
        <w:ind w:firstLine="960" w:firstLineChars="300"/>
        <w:rPr>
          <w:rStyle w:val="1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336.53</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127.56</w:t>
      </w:r>
      <w:r>
        <w:rPr>
          <w:rFonts w:hint="eastAsia" w:ascii="仿宋" w:hAnsi="仿宋" w:eastAsia="仿宋"/>
          <w:sz w:val="32"/>
          <w:szCs w:val="32"/>
        </w:rPr>
        <w:t>万元，增长</w:t>
      </w:r>
      <w:r>
        <w:rPr>
          <w:rFonts w:hint="eastAsia" w:ascii="仿宋" w:hAnsi="仿宋" w:eastAsia="仿宋"/>
          <w:sz w:val="32"/>
          <w:szCs w:val="32"/>
          <w:lang w:val="en-US" w:eastAsia="zh-CN"/>
        </w:rPr>
        <w:t>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是</w:t>
      </w:r>
      <w:r>
        <w:rPr>
          <w:rFonts w:hint="eastAsia" w:ascii="仿宋" w:hAnsi="仿宋" w:eastAsia="仿宋"/>
          <w:color w:val="000000"/>
          <w:sz w:val="32"/>
          <w:szCs w:val="32"/>
          <w:lang w:eastAsia="zh-CN"/>
        </w:rPr>
        <w:t>规划编制费用增加，收入、支出对应增加。</w:t>
      </w:r>
    </w:p>
    <w:p>
      <w:pPr>
        <w:pStyle w:val="2"/>
        <w:ind w:left="0" w:leftChars="0" w:firstLine="320" w:firstLineChars="100"/>
      </w:pPr>
      <w:r>
        <w:rPr>
          <w:rFonts w:hint="eastAsia" w:ascii="仿宋_GB2312" w:eastAsia="仿宋_GB2312"/>
          <w:sz w:val="32"/>
          <w:szCs w:val="32"/>
          <w:lang w:eastAsia="zh-CN"/>
        </w:rPr>
        <w:object>
          <v:shape id="_x0000_i1029" o:spt="75" type="#_x0000_t75" style="height:169.9pt;width:409.5pt;" o:ole="t" filled="f" o:preferrelative="t" stroked="f" coordsize="21600,21600">
            <v:path/>
            <v:fill on="f" focussize="0,0"/>
            <v:stroke on="f"/>
            <v:imagedata r:id="rId15" o:title=""/>
            <o:lock v:ext="edit" aspectratio="t"/>
            <w10:wrap type="none"/>
            <w10:anchorlock/>
          </v:shape>
          <o:OLEObject Type="Embed" ProgID="Excel.Chart.8" ShapeID="_x0000_i1029" DrawAspect="Content" ObjectID="_1468075729" r:id="rId14">
            <o:LockedField>false</o:LockedField>
          </o:OLEObject>
        </w:object>
      </w:r>
      <w:r>
        <w:rPr>
          <w:rFonts w:hint="eastAsia" w:ascii="仿宋" w:hAnsi="仿宋" w:eastAsia="仿宋"/>
          <w:sz w:val="32"/>
          <w:szCs w:val="32"/>
        </w:rPr>
        <w:t>（图</w:t>
      </w:r>
      <w:r>
        <w:rPr>
          <w:rFonts w:ascii="仿宋" w:hAnsi="仿宋" w:eastAsia="仿宋"/>
          <w:sz w:val="32"/>
          <w:szCs w:val="32"/>
        </w:rPr>
        <w:t>5</w:t>
      </w:r>
      <w:r>
        <w:rPr>
          <w:rFonts w:hint="eastAsia" w:ascii="仿宋" w:hAnsi="仿宋" w:eastAsia="仿宋"/>
          <w:sz w:val="32"/>
          <w:szCs w:val="32"/>
        </w:rPr>
        <w:t>：一般公共预算财政拨款支出决算变动情况）（柱状图）</w:t>
      </w: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336.53</w:t>
      </w:r>
      <w:r>
        <w:rPr>
          <w:rFonts w:hint="eastAsia" w:ascii="仿宋" w:hAnsi="仿宋" w:eastAsia="仿宋"/>
          <w:sz w:val="32"/>
          <w:szCs w:val="32"/>
        </w:rPr>
        <w:t>万元，主要用于以下方面</w:t>
      </w:r>
      <w:r>
        <w:rPr>
          <w:rFonts w:ascii="仿宋" w:hAnsi="仿宋" w:eastAsia="仿宋"/>
          <w:sz w:val="32"/>
          <w:szCs w:val="32"/>
        </w:rPr>
        <w:t>:</w:t>
      </w:r>
      <w:r>
        <w:rPr>
          <w:rFonts w:hint="eastAsia" w:ascii="楷体_GB2312" w:eastAsia="楷体_GB2312"/>
          <w:sz w:val="32"/>
          <w:szCs w:val="32"/>
        </w:rPr>
        <w:t>城</w:t>
      </w:r>
      <w:r>
        <w:rPr>
          <w:rFonts w:hint="eastAsia" w:ascii="楷体_GB2312" w:eastAsia="楷体_GB2312"/>
          <w:sz w:val="32"/>
          <w:szCs w:val="32"/>
          <w:lang w:eastAsia="zh-CN"/>
        </w:rPr>
        <w:t>乡</w:t>
      </w:r>
      <w:r>
        <w:rPr>
          <w:rFonts w:hint="eastAsia" w:ascii="楷体_GB2312" w:eastAsia="楷体_GB2312"/>
          <w:sz w:val="32"/>
          <w:szCs w:val="32"/>
        </w:rPr>
        <w:t>社区（类）支出</w:t>
      </w:r>
      <w:r>
        <w:rPr>
          <w:rFonts w:hint="eastAsia" w:ascii="楷体_GB2312" w:eastAsia="楷体_GB2312"/>
          <w:sz w:val="32"/>
          <w:szCs w:val="32"/>
          <w:lang w:val="en-US" w:eastAsia="zh-CN"/>
        </w:rPr>
        <w:t>309.81</w:t>
      </w:r>
      <w:r>
        <w:rPr>
          <w:rFonts w:hint="eastAsia" w:ascii="楷体_GB2312" w:eastAsia="楷体_GB2312"/>
          <w:sz w:val="32"/>
          <w:szCs w:val="32"/>
        </w:rPr>
        <w:t>万元，占</w:t>
      </w:r>
      <w:r>
        <w:rPr>
          <w:rFonts w:hint="eastAsia" w:ascii="楷体_GB2312" w:eastAsia="楷体_GB2312"/>
          <w:sz w:val="32"/>
          <w:szCs w:val="32"/>
          <w:lang w:val="en-US" w:eastAsia="zh-CN"/>
        </w:rPr>
        <w:t>92.09</w:t>
      </w:r>
      <w:r>
        <w:rPr>
          <w:rFonts w:hint="eastAsia" w:ascii="楷体_GB2312" w:eastAsia="楷体_GB2312"/>
          <w:sz w:val="32"/>
          <w:szCs w:val="32"/>
        </w:rPr>
        <w:t>%；社会保障和就业（类）支出</w:t>
      </w:r>
      <w:r>
        <w:rPr>
          <w:rFonts w:hint="eastAsia" w:ascii="楷体_GB2312" w:eastAsia="楷体_GB2312"/>
          <w:sz w:val="32"/>
          <w:szCs w:val="32"/>
          <w:lang w:val="en-US" w:eastAsia="zh-CN"/>
        </w:rPr>
        <w:t>11.73</w:t>
      </w:r>
      <w:r>
        <w:rPr>
          <w:rFonts w:hint="eastAsia" w:ascii="楷体_GB2312" w:eastAsia="楷体_GB2312"/>
          <w:sz w:val="32"/>
          <w:szCs w:val="32"/>
        </w:rPr>
        <w:t>万元，占</w:t>
      </w:r>
      <w:r>
        <w:rPr>
          <w:rFonts w:hint="eastAsia" w:ascii="楷体_GB2312" w:eastAsia="楷体_GB2312"/>
          <w:sz w:val="32"/>
          <w:szCs w:val="32"/>
          <w:lang w:val="en-US" w:eastAsia="zh-CN"/>
        </w:rPr>
        <w:t>3.48</w:t>
      </w:r>
      <w:r>
        <w:rPr>
          <w:rFonts w:hint="eastAsia" w:ascii="楷体_GB2312" w:eastAsia="楷体_GB2312"/>
          <w:sz w:val="32"/>
          <w:szCs w:val="32"/>
        </w:rPr>
        <w:t>%；</w:t>
      </w:r>
      <w:r>
        <w:rPr>
          <w:rFonts w:hint="eastAsia" w:ascii="楷体_GB2312" w:eastAsia="楷体_GB2312"/>
          <w:sz w:val="32"/>
          <w:szCs w:val="32"/>
          <w:lang w:eastAsia="zh-CN"/>
        </w:rPr>
        <w:t>卫生健康</w:t>
      </w:r>
      <w:r>
        <w:rPr>
          <w:rFonts w:hint="eastAsia" w:ascii="楷体_GB2312" w:eastAsia="楷体_GB2312"/>
          <w:sz w:val="32"/>
          <w:szCs w:val="32"/>
        </w:rPr>
        <w:t>（类）支出</w:t>
      </w:r>
      <w:r>
        <w:rPr>
          <w:rFonts w:hint="eastAsia" w:ascii="楷体_GB2312" w:eastAsia="楷体_GB2312"/>
          <w:sz w:val="32"/>
          <w:szCs w:val="32"/>
          <w:lang w:val="en-US" w:eastAsia="zh-CN"/>
        </w:rPr>
        <w:t>4.35</w:t>
      </w:r>
      <w:r>
        <w:rPr>
          <w:rFonts w:hint="eastAsia" w:ascii="楷体_GB2312" w:eastAsia="楷体_GB2312"/>
          <w:sz w:val="32"/>
          <w:szCs w:val="32"/>
        </w:rPr>
        <w:t>万元，占</w:t>
      </w:r>
      <w:r>
        <w:rPr>
          <w:rFonts w:hint="eastAsia" w:ascii="楷体_GB2312" w:eastAsia="楷体_GB2312"/>
          <w:sz w:val="32"/>
          <w:szCs w:val="32"/>
          <w:lang w:val="en-US" w:eastAsia="zh-CN"/>
        </w:rPr>
        <w:t>1.29</w:t>
      </w:r>
      <w:r>
        <w:rPr>
          <w:rFonts w:hint="eastAsia" w:ascii="楷体_GB2312" w:eastAsia="楷体_GB2312"/>
          <w:sz w:val="32"/>
          <w:szCs w:val="32"/>
        </w:rPr>
        <w:t>%；住房保障（类）支出</w:t>
      </w:r>
      <w:r>
        <w:rPr>
          <w:rFonts w:hint="eastAsia" w:ascii="楷体_GB2312" w:eastAsia="楷体_GB2312"/>
          <w:sz w:val="32"/>
          <w:szCs w:val="32"/>
          <w:lang w:val="en-US" w:eastAsia="zh-CN"/>
        </w:rPr>
        <w:t>10.23</w:t>
      </w:r>
      <w:r>
        <w:rPr>
          <w:rFonts w:hint="eastAsia" w:ascii="楷体_GB2312" w:eastAsia="楷体_GB2312"/>
          <w:sz w:val="32"/>
          <w:szCs w:val="32"/>
        </w:rPr>
        <w:t>万元，占</w:t>
      </w:r>
      <w:r>
        <w:rPr>
          <w:rFonts w:hint="eastAsia" w:ascii="楷体_GB2312" w:eastAsia="楷体_GB2312"/>
          <w:sz w:val="32"/>
          <w:szCs w:val="32"/>
          <w:lang w:val="en-US" w:eastAsia="zh-CN"/>
        </w:rPr>
        <w:t>3.03</w:t>
      </w:r>
      <w:r>
        <w:rPr>
          <w:rFonts w:hint="eastAsia" w:ascii="楷体_GB2312" w:eastAsia="楷体_GB2312"/>
          <w:sz w:val="32"/>
          <w:szCs w:val="32"/>
        </w:rPr>
        <w:t>%；农林水(类)支出0.</w:t>
      </w:r>
      <w:r>
        <w:rPr>
          <w:rFonts w:hint="eastAsia" w:ascii="楷体_GB2312" w:eastAsia="楷体_GB2312"/>
          <w:sz w:val="32"/>
          <w:szCs w:val="32"/>
          <w:lang w:val="en-US" w:eastAsia="zh-CN"/>
        </w:rPr>
        <w:t>4</w:t>
      </w:r>
      <w:r>
        <w:rPr>
          <w:rFonts w:hint="eastAsia" w:ascii="楷体_GB2312" w:eastAsia="楷体_GB2312"/>
          <w:sz w:val="32"/>
          <w:szCs w:val="32"/>
        </w:rPr>
        <w:t>万元，占</w:t>
      </w:r>
      <w:r>
        <w:rPr>
          <w:rFonts w:hint="eastAsia" w:ascii="楷体_GB2312" w:eastAsia="楷体_GB2312"/>
          <w:sz w:val="32"/>
          <w:szCs w:val="32"/>
          <w:lang w:val="en-US" w:eastAsia="zh-CN"/>
        </w:rPr>
        <w:t>0.11</w:t>
      </w:r>
      <w:r>
        <w:rPr>
          <w:rFonts w:hint="eastAsia" w:ascii="楷体_GB2312" w:eastAsia="楷体_GB2312"/>
          <w:sz w:val="32"/>
          <w:szCs w:val="32"/>
        </w:rPr>
        <w:t>%。</w:t>
      </w:r>
    </w:p>
    <w:p>
      <w:pPr>
        <w:spacing w:line="600" w:lineRule="exact"/>
        <w:ind w:firstLine="640"/>
        <w:rPr>
          <w:rFonts w:hint="eastAsia" w:ascii="仿宋" w:hAnsi="仿宋" w:eastAsia="仿宋"/>
          <w:sz w:val="32"/>
          <w:szCs w:val="32"/>
          <w:lang w:eastAsia="zh-CN"/>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p>
    <w:p>
      <w:pPr>
        <w:pStyle w:val="6"/>
        <w:rPr>
          <w:rFonts w:hint="eastAsia" w:ascii="仿宋" w:hAnsi="仿宋" w:eastAsia="仿宋"/>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887095</wp:posOffset>
                </wp:positionH>
                <wp:positionV relativeFrom="paragraph">
                  <wp:posOffset>330200</wp:posOffset>
                </wp:positionV>
                <wp:extent cx="2263140" cy="336550"/>
                <wp:effectExtent l="4445" t="4445" r="18415" b="20955"/>
                <wp:wrapNone/>
                <wp:docPr id="1" name="文本框 5"/>
                <wp:cNvGraphicFramePr/>
                <a:graphic xmlns:a="http://schemas.openxmlformats.org/drawingml/2006/main">
                  <a:graphicData uri="http://schemas.microsoft.com/office/word/2010/wordprocessingShape">
                    <wps:wsp>
                      <wps:cNvSpPr txBox="1"/>
                      <wps:spPr>
                        <a:xfrm>
                          <a:off x="0" y="0"/>
                          <a:ext cx="2263140" cy="33655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2021年一般公共预算财政拨款支出</w:t>
                            </w:r>
                          </w:p>
                        </w:txbxContent>
                      </wps:txbx>
                      <wps:bodyPr upright="1"/>
                    </wps:wsp>
                  </a:graphicData>
                </a:graphic>
              </wp:anchor>
            </w:drawing>
          </mc:Choice>
          <mc:Fallback>
            <w:pict>
              <v:shape id="文本框 5" o:spid="_x0000_s1026" o:spt="202" type="#_x0000_t202" style="position:absolute;left:0pt;margin-left:69.85pt;margin-top:26pt;height:26.5pt;width:178.2pt;z-index:251659264;mso-width-relative:page;mso-height-relative:page;" fillcolor="#FFFFFF" filled="t" stroked="t" coordsize="21600,21600" o:gfxdata="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o0GN2AAAAAoBAAAPAAAAAAAAAAEAIAAAACIAAABkcnMvZG93bnJldi54bWxQSwECFAAUAAAA&#10;CACHTuJA6FtGAO4BAADoAwAADgAAAAAAAAABACAAAAAnAQAAZHJzL2Uyb0RvYy54bWxQSwUGAAAA&#10;AAYABgBZAQAAhwUAAAAA&#10;">
                <v:fill on="t" focussize="0,0"/>
                <v:stroke color="#FFFFFF" joinstyle="miter"/>
                <v:imagedata o:title=""/>
                <o:lock v:ext="edit" aspectratio="f"/>
                <v:textbox>
                  <w:txbxContent>
                    <w:p>
                      <w:r>
                        <w:rPr>
                          <w:rFonts w:hint="eastAsia"/>
                        </w:rPr>
                        <w:t>2021年一般公共预算财政拨款支出</w:t>
                      </w:r>
                    </w:p>
                  </w:txbxContent>
                </v:textbox>
              </v:shape>
            </w:pict>
          </mc:Fallback>
        </mc:AlternateContent>
      </w:r>
      <w:r>
        <w:rPr>
          <w:rFonts w:hint="eastAsia" w:ascii="仿宋" w:hAnsi="仿宋" w:eastAsia="仿宋"/>
          <w:sz w:val="32"/>
          <w:szCs w:val="32"/>
          <w:lang w:eastAsia="zh-CN"/>
        </w:rPr>
        <w:object>
          <v:shape id="_x0000_i1030" o:spt="75" type="#_x0000_t75" style="height:177.75pt;width:393.3pt;" o:ole="t" filled="f" o:preferrelative="t" stroked="f" coordsize="21600,21600">
            <v:path/>
            <v:fill on="f" focussize="0,0"/>
            <v:stroke on="f"/>
            <v:imagedata r:id="rId17" o:title=""/>
            <o:lock v:ext="edit" aspectratio="t"/>
            <w10:wrap type="none"/>
            <w10:anchorlock/>
          </v:shape>
          <o:OLEObject Type="Embed" ProgID="Excel.Chart.8" ShapeID="_x0000_i1030" DrawAspect="Content" ObjectID="_1468075730" r:id="rId16">
            <o:LockedField>false</o:LockedField>
          </o:OLEObject>
        </w:object>
      </w:r>
    </w:p>
    <w:p>
      <w:pPr>
        <w:pStyle w:val="6"/>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6</w:t>
      </w:r>
      <w:r>
        <w:rPr>
          <w:rFonts w:hint="eastAsia" w:ascii="仿宋" w:hAnsi="仿宋" w:eastAsia="仿宋"/>
          <w:sz w:val="32"/>
          <w:szCs w:val="32"/>
        </w:rPr>
        <w:t>：一般公共预算财政拨款支出决算结构（饼状图）</w:t>
      </w: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7213"/>
      <w:bookmarkStart w:id="38" w:name="_Toc15378460"/>
      <w:bookmarkStart w:id="39" w:name="_Toc15377444"/>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336.53万元</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numPr>
          <w:ilvl w:val="0"/>
          <w:numId w:val="0"/>
        </w:numPr>
        <w:ind w:firstLine="643" w:firstLineChars="200"/>
        <w:rPr>
          <w:rFonts w:hint="eastAsia" w:ascii="楷体_GB2312" w:eastAsia="楷体_GB2312"/>
          <w:sz w:val="32"/>
          <w:szCs w:val="32"/>
          <w:lang w:eastAsia="zh-CN"/>
        </w:rPr>
      </w:pPr>
      <w:r>
        <w:rPr>
          <w:rStyle w:val="15"/>
          <w:rFonts w:ascii="仿宋" w:hAnsi="仿宋" w:eastAsia="仿宋"/>
          <w:bCs/>
          <w:sz w:val="32"/>
          <w:szCs w:val="32"/>
        </w:rPr>
        <w:t>1</w:t>
      </w:r>
      <w:r>
        <w:rPr>
          <w:rFonts w:hint="eastAsia" w:ascii="仿宋_GB2312" w:hAnsi="宋体" w:eastAsia="仿宋_GB2312"/>
          <w:sz w:val="32"/>
          <w:szCs w:val="32"/>
          <w:lang w:val="zh-CN"/>
        </w:rPr>
        <w:t>．</w:t>
      </w:r>
      <w:r>
        <w:rPr>
          <w:rFonts w:hint="eastAsia" w:ascii="楷体_GB2312" w:eastAsia="楷体_GB2312"/>
          <w:b/>
          <w:sz w:val="32"/>
          <w:szCs w:val="32"/>
        </w:rPr>
        <w:t>城</w:t>
      </w:r>
      <w:r>
        <w:rPr>
          <w:rFonts w:hint="eastAsia" w:ascii="楷体_GB2312" w:eastAsia="楷体_GB2312"/>
          <w:b/>
          <w:sz w:val="32"/>
          <w:szCs w:val="32"/>
          <w:lang w:eastAsia="zh-CN"/>
        </w:rPr>
        <w:t>乡</w:t>
      </w:r>
      <w:r>
        <w:rPr>
          <w:rFonts w:hint="eastAsia" w:ascii="楷体_GB2312" w:eastAsia="楷体_GB2312"/>
          <w:b/>
          <w:sz w:val="32"/>
          <w:szCs w:val="32"/>
        </w:rPr>
        <w:t>社区（类）城</w:t>
      </w:r>
      <w:r>
        <w:rPr>
          <w:rFonts w:hint="eastAsia" w:ascii="楷体_GB2312" w:eastAsia="楷体_GB2312"/>
          <w:b/>
          <w:sz w:val="32"/>
          <w:szCs w:val="32"/>
          <w:lang w:eastAsia="zh-CN"/>
        </w:rPr>
        <w:t>乡</w:t>
      </w:r>
      <w:r>
        <w:rPr>
          <w:rFonts w:hint="eastAsia" w:ascii="楷体_GB2312" w:eastAsia="楷体_GB2312"/>
          <w:b/>
          <w:sz w:val="32"/>
          <w:szCs w:val="32"/>
        </w:rPr>
        <w:t>社区管理事务（款）一般行政管理事务（项）</w:t>
      </w:r>
      <w:r>
        <w:rPr>
          <w:rFonts w:hint="eastAsia" w:ascii="楷体_GB2312" w:eastAsia="楷体_GB2312"/>
          <w:sz w:val="32"/>
          <w:szCs w:val="32"/>
        </w:rPr>
        <w:t>: 支出决算为</w:t>
      </w:r>
      <w:r>
        <w:rPr>
          <w:rFonts w:hint="eastAsia" w:ascii="楷体_GB2312" w:eastAsia="楷体_GB2312"/>
          <w:sz w:val="32"/>
          <w:szCs w:val="32"/>
          <w:lang w:val="en-US" w:eastAsia="zh-CN"/>
        </w:rPr>
        <w:t>100</w:t>
      </w:r>
      <w:r>
        <w:rPr>
          <w:rFonts w:hint="eastAsia" w:ascii="楷体_GB2312" w:eastAsia="楷体_GB2312"/>
          <w:sz w:val="32"/>
          <w:szCs w:val="32"/>
        </w:rPr>
        <w:t>万元，完成预算100%，决算数等于预算数的主要原因是严格按照预算指标执行；城</w:t>
      </w:r>
      <w:r>
        <w:rPr>
          <w:rFonts w:hint="eastAsia" w:ascii="楷体_GB2312" w:eastAsia="楷体_GB2312"/>
          <w:sz w:val="32"/>
          <w:szCs w:val="32"/>
          <w:lang w:eastAsia="zh-CN"/>
        </w:rPr>
        <w:t>乡</w:t>
      </w:r>
      <w:r>
        <w:rPr>
          <w:rFonts w:hint="eastAsia" w:ascii="楷体_GB2312" w:eastAsia="楷体_GB2312"/>
          <w:sz w:val="32"/>
          <w:szCs w:val="32"/>
        </w:rPr>
        <w:t>社区（类）城</w:t>
      </w:r>
      <w:r>
        <w:rPr>
          <w:rFonts w:hint="eastAsia" w:ascii="楷体_GB2312" w:eastAsia="楷体_GB2312"/>
          <w:sz w:val="32"/>
          <w:szCs w:val="32"/>
          <w:lang w:eastAsia="zh-CN"/>
        </w:rPr>
        <w:t>乡</w:t>
      </w:r>
      <w:r>
        <w:rPr>
          <w:rFonts w:hint="eastAsia" w:ascii="楷体_GB2312" w:eastAsia="楷体_GB2312"/>
          <w:sz w:val="32"/>
          <w:szCs w:val="32"/>
        </w:rPr>
        <w:t>社区管理事务（款）</w:t>
      </w:r>
      <w:r>
        <w:rPr>
          <w:rFonts w:hint="eastAsia" w:ascii="楷体_GB2312" w:eastAsia="楷体_GB2312"/>
          <w:sz w:val="32"/>
          <w:szCs w:val="32"/>
          <w:lang w:eastAsia="zh-CN"/>
        </w:rPr>
        <w:t>机关服务</w:t>
      </w:r>
      <w:r>
        <w:rPr>
          <w:rFonts w:hint="eastAsia" w:ascii="楷体_GB2312" w:eastAsia="楷体_GB2312"/>
          <w:sz w:val="32"/>
          <w:szCs w:val="32"/>
        </w:rPr>
        <w:t>（项）: 支出决算为</w:t>
      </w:r>
      <w:r>
        <w:rPr>
          <w:rFonts w:hint="eastAsia" w:ascii="楷体_GB2312" w:eastAsia="楷体_GB2312"/>
          <w:sz w:val="32"/>
          <w:szCs w:val="32"/>
          <w:lang w:val="en-US" w:eastAsia="zh-CN"/>
        </w:rPr>
        <w:t>109.57</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预算数的主要原因是严格按照预算指标执行</w:t>
      </w:r>
      <w:r>
        <w:rPr>
          <w:rFonts w:hint="eastAsia" w:ascii="楷体_GB2312" w:eastAsia="楷体_GB2312"/>
          <w:sz w:val="32"/>
          <w:szCs w:val="32"/>
          <w:lang w:eastAsia="zh-CN"/>
        </w:rPr>
        <w:t>；</w:t>
      </w:r>
      <w:r>
        <w:rPr>
          <w:rFonts w:hint="eastAsia" w:ascii="楷体_GB2312" w:eastAsia="楷体_GB2312"/>
          <w:sz w:val="32"/>
          <w:szCs w:val="32"/>
        </w:rPr>
        <w:t>城</w:t>
      </w:r>
      <w:r>
        <w:rPr>
          <w:rFonts w:hint="eastAsia" w:ascii="楷体_GB2312" w:eastAsia="楷体_GB2312"/>
          <w:sz w:val="32"/>
          <w:szCs w:val="32"/>
          <w:lang w:eastAsia="zh-CN"/>
        </w:rPr>
        <w:t>乡</w:t>
      </w:r>
      <w:r>
        <w:rPr>
          <w:rFonts w:hint="eastAsia" w:ascii="楷体_GB2312" w:eastAsia="楷体_GB2312"/>
          <w:sz w:val="32"/>
          <w:szCs w:val="32"/>
        </w:rPr>
        <w:t>社区（类）城</w:t>
      </w:r>
      <w:r>
        <w:rPr>
          <w:rFonts w:hint="eastAsia" w:ascii="楷体_GB2312" w:eastAsia="楷体_GB2312"/>
          <w:sz w:val="32"/>
          <w:szCs w:val="32"/>
          <w:lang w:eastAsia="zh-CN"/>
        </w:rPr>
        <w:t>乡</w:t>
      </w:r>
      <w:r>
        <w:rPr>
          <w:rFonts w:hint="eastAsia" w:ascii="楷体_GB2312" w:eastAsia="楷体_GB2312"/>
          <w:sz w:val="32"/>
          <w:szCs w:val="32"/>
        </w:rPr>
        <w:t>社区</w:t>
      </w:r>
      <w:r>
        <w:rPr>
          <w:rFonts w:hint="eastAsia" w:ascii="楷体_GB2312" w:eastAsia="楷体_GB2312"/>
          <w:sz w:val="32"/>
          <w:szCs w:val="32"/>
          <w:lang w:eastAsia="zh-CN"/>
        </w:rPr>
        <w:t>规划与</w:t>
      </w:r>
      <w:r>
        <w:rPr>
          <w:rFonts w:hint="eastAsia" w:ascii="楷体_GB2312" w:eastAsia="楷体_GB2312"/>
          <w:sz w:val="32"/>
          <w:szCs w:val="32"/>
        </w:rPr>
        <w:t>管理（款）</w:t>
      </w:r>
      <w:r>
        <w:rPr>
          <w:rFonts w:hint="eastAsia" w:ascii="楷体_GB2312" w:eastAsia="楷体_GB2312"/>
          <w:sz w:val="32"/>
          <w:szCs w:val="32"/>
          <w:lang w:eastAsia="zh-CN"/>
        </w:rPr>
        <w:t>城乡社区规划与管理</w:t>
      </w:r>
      <w:r>
        <w:rPr>
          <w:rFonts w:hint="eastAsia" w:ascii="楷体_GB2312" w:eastAsia="楷体_GB2312"/>
          <w:sz w:val="32"/>
          <w:szCs w:val="32"/>
        </w:rPr>
        <w:t>（项）: 支出决算为</w:t>
      </w:r>
      <w:r>
        <w:rPr>
          <w:rFonts w:hint="eastAsia" w:ascii="楷体_GB2312" w:eastAsia="楷体_GB2312"/>
          <w:sz w:val="32"/>
          <w:szCs w:val="32"/>
          <w:lang w:val="en-US" w:eastAsia="zh-CN"/>
        </w:rPr>
        <w:t>100.24</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预算数的主要原因是严格按照预算指标执行</w:t>
      </w:r>
      <w:r>
        <w:rPr>
          <w:rFonts w:hint="eastAsia" w:ascii="楷体_GB2312" w:eastAsia="楷体_GB2312"/>
          <w:sz w:val="32"/>
          <w:szCs w:val="32"/>
          <w:lang w:eastAsia="zh-CN"/>
        </w:rPr>
        <w:t>；</w:t>
      </w:r>
    </w:p>
    <w:p>
      <w:pPr>
        <w:numPr>
          <w:ilvl w:val="0"/>
          <w:numId w:val="0"/>
        </w:numPr>
        <w:ind w:firstLine="643" w:firstLineChars="200"/>
        <w:rPr>
          <w:rFonts w:hint="eastAsia" w:ascii="楷体_GB2312" w:eastAsia="楷体_GB2312"/>
          <w:sz w:val="32"/>
          <w:szCs w:val="32"/>
          <w:lang w:eastAsia="zh-CN"/>
        </w:rPr>
      </w:pPr>
      <w:r>
        <w:rPr>
          <w:rFonts w:hint="eastAsia" w:ascii="楷体_GB2312" w:eastAsia="楷体_GB2312"/>
          <w:b/>
          <w:sz w:val="32"/>
          <w:szCs w:val="32"/>
          <w:lang w:val="en-US" w:eastAsia="zh-CN"/>
        </w:rPr>
        <w:t>2.</w:t>
      </w:r>
      <w:r>
        <w:rPr>
          <w:rFonts w:hint="eastAsia" w:ascii="楷体_GB2312" w:eastAsia="楷体_GB2312"/>
          <w:b/>
          <w:sz w:val="32"/>
          <w:szCs w:val="32"/>
        </w:rPr>
        <w:t>社会保障和就业（类）行政事业单位</w:t>
      </w:r>
      <w:r>
        <w:rPr>
          <w:rFonts w:hint="eastAsia" w:ascii="楷体_GB2312" w:eastAsia="楷体_GB2312"/>
          <w:b/>
          <w:sz w:val="32"/>
          <w:szCs w:val="32"/>
          <w:lang w:eastAsia="zh-CN"/>
        </w:rPr>
        <w:t>养老</w:t>
      </w:r>
      <w:r>
        <w:rPr>
          <w:rFonts w:hint="eastAsia" w:ascii="楷体_GB2312" w:eastAsia="楷体_GB2312"/>
          <w:b/>
          <w:sz w:val="32"/>
          <w:szCs w:val="32"/>
        </w:rPr>
        <w:t>（款）机关事业单位基本养老保险缴费支出（项）</w:t>
      </w:r>
      <w:r>
        <w:rPr>
          <w:rFonts w:hint="eastAsia" w:ascii="楷体_GB2312" w:eastAsia="楷体_GB2312"/>
          <w:sz w:val="32"/>
          <w:szCs w:val="32"/>
        </w:rPr>
        <w:t>: 支出决算为</w:t>
      </w:r>
      <w:r>
        <w:rPr>
          <w:rFonts w:hint="eastAsia" w:ascii="楷体_GB2312" w:eastAsia="楷体_GB2312"/>
          <w:sz w:val="32"/>
          <w:szCs w:val="32"/>
          <w:lang w:val="en-US" w:eastAsia="zh-CN"/>
        </w:rPr>
        <w:t>11.03</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预算数的主要原因严格按照预算指标执行；社会保障和就业（类）其他社会保障和就业支出（款）其他社会保障和就业支出（项）: 支出决算为</w:t>
      </w:r>
      <w:r>
        <w:rPr>
          <w:rFonts w:hint="eastAsia" w:ascii="楷体_GB2312" w:eastAsia="楷体_GB2312"/>
          <w:sz w:val="32"/>
          <w:szCs w:val="32"/>
          <w:lang w:val="en-US" w:eastAsia="zh-CN"/>
        </w:rPr>
        <w:t>0.7</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预算数的主要原因是严格按照预算指标执行</w:t>
      </w:r>
      <w:r>
        <w:rPr>
          <w:rFonts w:hint="eastAsia" w:ascii="楷体_GB2312" w:eastAsia="楷体_GB2312"/>
          <w:sz w:val="32"/>
          <w:szCs w:val="32"/>
          <w:lang w:eastAsia="zh-CN"/>
        </w:rPr>
        <w:t>；</w:t>
      </w:r>
    </w:p>
    <w:p>
      <w:pPr>
        <w:ind w:firstLine="643" w:firstLineChars="200"/>
        <w:rPr>
          <w:rFonts w:ascii="楷体_GB2312" w:eastAsia="楷体_GB2312"/>
          <w:sz w:val="32"/>
          <w:szCs w:val="32"/>
        </w:rPr>
      </w:pPr>
      <w:r>
        <w:rPr>
          <w:rFonts w:hint="eastAsia" w:ascii="楷体_GB2312" w:eastAsia="楷体_GB2312"/>
          <w:b/>
          <w:sz w:val="32"/>
          <w:szCs w:val="32"/>
        </w:rPr>
        <w:t>3.</w:t>
      </w:r>
      <w:r>
        <w:rPr>
          <w:rFonts w:hint="eastAsia" w:ascii="楷体_GB2312" w:eastAsia="楷体_GB2312"/>
          <w:b/>
          <w:sz w:val="32"/>
          <w:szCs w:val="32"/>
          <w:lang w:eastAsia="zh-CN"/>
        </w:rPr>
        <w:t>卫生健康</w:t>
      </w:r>
      <w:r>
        <w:rPr>
          <w:rFonts w:hint="eastAsia" w:ascii="楷体_GB2312" w:eastAsia="楷体_GB2312"/>
          <w:b/>
          <w:sz w:val="32"/>
          <w:szCs w:val="32"/>
        </w:rPr>
        <w:t>（类）行政事业单位医疗（款）</w:t>
      </w:r>
      <w:r>
        <w:rPr>
          <w:rFonts w:hint="eastAsia" w:ascii="楷体_GB2312" w:eastAsia="楷体_GB2312"/>
          <w:b/>
          <w:sz w:val="32"/>
          <w:szCs w:val="32"/>
          <w:lang w:eastAsia="zh-CN"/>
        </w:rPr>
        <w:t>事业</w:t>
      </w:r>
      <w:r>
        <w:rPr>
          <w:rFonts w:hint="eastAsia" w:ascii="楷体_GB2312" w:eastAsia="楷体_GB2312"/>
          <w:b/>
          <w:sz w:val="32"/>
          <w:szCs w:val="32"/>
        </w:rPr>
        <w:t>单位医疗（项）:</w:t>
      </w:r>
      <w:r>
        <w:rPr>
          <w:rFonts w:hint="eastAsia" w:ascii="楷体_GB2312" w:eastAsia="楷体_GB2312"/>
          <w:sz w:val="32"/>
          <w:szCs w:val="32"/>
        </w:rPr>
        <w:t>支出决算为</w:t>
      </w:r>
      <w:r>
        <w:rPr>
          <w:rFonts w:hint="eastAsia" w:ascii="楷体_GB2312" w:eastAsia="楷体_GB2312"/>
          <w:sz w:val="32"/>
          <w:szCs w:val="32"/>
          <w:lang w:val="en-US" w:eastAsia="zh-CN"/>
        </w:rPr>
        <w:t>4.35</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w:t>
      </w:r>
      <w:r>
        <w:rPr>
          <w:rFonts w:hint="eastAsia" w:ascii="楷体_GB2312" w:eastAsia="楷体_GB2312"/>
          <w:sz w:val="32"/>
          <w:szCs w:val="32"/>
          <w:lang w:eastAsia="zh-CN"/>
        </w:rPr>
        <w:t>等于</w:t>
      </w:r>
      <w:r>
        <w:rPr>
          <w:rFonts w:hint="eastAsia" w:ascii="楷体_GB2312" w:eastAsia="楷体_GB2312"/>
          <w:sz w:val="32"/>
          <w:szCs w:val="32"/>
        </w:rPr>
        <w:t>预算数的主要原因是严格按照预算指标执行</w:t>
      </w:r>
      <w:r>
        <w:rPr>
          <w:rFonts w:hint="eastAsia" w:ascii="楷体_GB2312" w:eastAsia="楷体_GB2312"/>
          <w:sz w:val="32"/>
          <w:szCs w:val="32"/>
          <w:lang w:eastAsia="zh-CN"/>
        </w:rPr>
        <w:t>；</w:t>
      </w:r>
    </w:p>
    <w:p>
      <w:pPr>
        <w:ind w:firstLine="643" w:firstLineChars="200"/>
        <w:rPr>
          <w:rFonts w:hint="eastAsia" w:ascii="楷体_GB2312" w:eastAsia="楷体_GB2312"/>
          <w:sz w:val="32"/>
          <w:szCs w:val="32"/>
          <w:lang w:eastAsia="zh-CN"/>
        </w:rPr>
      </w:pPr>
      <w:r>
        <w:rPr>
          <w:rFonts w:hint="eastAsia" w:ascii="楷体_GB2312" w:eastAsia="楷体_GB2312"/>
          <w:b/>
          <w:sz w:val="32"/>
          <w:szCs w:val="32"/>
        </w:rPr>
        <w:t>4. 住房保障（类）住房改革支出（款）住房公积金（项）:</w:t>
      </w:r>
      <w:r>
        <w:rPr>
          <w:rFonts w:hint="eastAsia" w:ascii="楷体_GB2312" w:eastAsia="楷体_GB2312"/>
          <w:sz w:val="32"/>
          <w:szCs w:val="32"/>
        </w:rPr>
        <w:t>支出决算为</w:t>
      </w:r>
      <w:r>
        <w:rPr>
          <w:rFonts w:hint="eastAsia" w:ascii="楷体_GB2312" w:eastAsia="楷体_GB2312"/>
          <w:sz w:val="32"/>
          <w:szCs w:val="32"/>
          <w:lang w:val="en-US" w:eastAsia="zh-CN"/>
        </w:rPr>
        <w:t>10.23</w:t>
      </w:r>
      <w:r>
        <w:rPr>
          <w:rFonts w:hint="eastAsia" w:ascii="楷体_GB2312" w:eastAsia="楷体_GB2312"/>
          <w:sz w:val="32"/>
          <w:szCs w:val="32"/>
        </w:rPr>
        <w:t>万元，完成预算</w:t>
      </w:r>
      <w:r>
        <w:rPr>
          <w:rFonts w:hint="eastAsia" w:ascii="楷体_GB2312" w:eastAsia="楷体_GB2312"/>
          <w:sz w:val="32"/>
          <w:szCs w:val="32"/>
          <w:lang w:val="en-US" w:eastAsia="zh-CN"/>
        </w:rPr>
        <w:t>100</w:t>
      </w:r>
      <w:r>
        <w:rPr>
          <w:rFonts w:hint="eastAsia" w:ascii="楷体_GB2312" w:eastAsia="楷体_GB2312"/>
          <w:sz w:val="32"/>
          <w:szCs w:val="32"/>
        </w:rPr>
        <w:t>%，，决算数等于预算数的主要原因是严格按照预算指标执行</w:t>
      </w:r>
      <w:r>
        <w:rPr>
          <w:rFonts w:hint="eastAsia" w:ascii="楷体_GB2312" w:eastAsia="楷体_GB2312"/>
          <w:sz w:val="32"/>
          <w:szCs w:val="32"/>
          <w:lang w:eastAsia="zh-CN"/>
        </w:rPr>
        <w:t>；</w:t>
      </w:r>
    </w:p>
    <w:p>
      <w:pPr>
        <w:spacing w:line="600" w:lineRule="exact"/>
        <w:ind w:firstLine="643" w:firstLineChars="200"/>
        <w:rPr>
          <w:rFonts w:hint="eastAsia" w:ascii="楷体_GB2312" w:eastAsia="楷体_GB2312"/>
          <w:sz w:val="32"/>
          <w:szCs w:val="32"/>
        </w:rPr>
      </w:pPr>
      <w:r>
        <w:rPr>
          <w:rFonts w:hint="eastAsia" w:ascii="楷体_GB2312" w:eastAsia="楷体_GB2312"/>
          <w:b/>
          <w:sz w:val="32"/>
          <w:szCs w:val="32"/>
        </w:rPr>
        <w:t>5. 农林水(类) 扶贫（款）其他扶贫支出（项）:</w:t>
      </w:r>
      <w:r>
        <w:rPr>
          <w:rFonts w:hint="eastAsia" w:ascii="楷体_GB2312" w:eastAsia="楷体_GB2312"/>
          <w:sz w:val="32"/>
          <w:szCs w:val="32"/>
        </w:rPr>
        <w:t>支出决算为0.</w:t>
      </w:r>
      <w:r>
        <w:rPr>
          <w:rFonts w:hint="eastAsia" w:ascii="楷体_GB2312" w:eastAsia="楷体_GB2312"/>
          <w:sz w:val="32"/>
          <w:szCs w:val="32"/>
          <w:lang w:val="en-US" w:eastAsia="zh-CN"/>
        </w:rPr>
        <w:t>4</w:t>
      </w:r>
      <w:r>
        <w:rPr>
          <w:rFonts w:hint="eastAsia" w:ascii="楷体_GB2312" w:eastAsia="楷体_GB2312"/>
          <w:sz w:val="32"/>
          <w:szCs w:val="32"/>
        </w:rPr>
        <w:t>万元，完成预算100%，决算数等于预算数的主要原因是严格按照预算指标执行。</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表和财决</w:t>
      </w:r>
      <w:r>
        <w:rPr>
          <w:rFonts w:ascii="仿宋" w:hAnsi="仿宋" w:eastAsia="仿宋"/>
          <w:b/>
          <w:sz w:val="32"/>
          <w:szCs w:val="32"/>
        </w:rPr>
        <w:t>08</w:t>
      </w:r>
      <w:r>
        <w:rPr>
          <w:rFonts w:hint="eastAsia" w:ascii="仿宋" w:hAnsi="仿宋" w:eastAsia="仿宋"/>
          <w:b/>
          <w:sz w:val="32"/>
          <w:szCs w:val="32"/>
        </w:rPr>
        <w:t>表）</w:t>
      </w:r>
    </w:p>
    <w:p>
      <w:pPr>
        <w:tabs>
          <w:tab w:val="right" w:pos="8306"/>
        </w:tabs>
        <w:spacing w:line="600" w:lineRule="exact"/>
        <w:ind w:firstLine="640"/>
        <w:outlineLvl w:val="1"/>
        <w:rPr>
          <w:rStyle w:val="18"/>
        </w:rPr>
      </w:pPr>
      <w:bookmarkStart w:id="40" w:name="_Toc15377214"/>
      <w:bookmarkStart w:id="4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135.89</w:t>
      </w:r>
      <w:r>
        <w:rPr>
          <w:rFonts w:hint="eastAsia" w:ascii="仿宋" w:hAnsi="仿宋" w:eastAsia="仿宋"/>
          <w:sz w:val="32"/>
          <w:szCs w:val="32"/>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工资福利支出</w:t>
      </w:r>
      <w:r>
        <w:rPr>
          <w:rFonts w:hint="eastAsia" w:ascii="仿宋" w:hAnsi="仿宋" w:eastAsia="仿宋"/>
          <w:sz w:val="32"/>
          <w:szCs w:val="32"/>
          <w:lang w:val="en-US" w:eastAsia="zh-CN"/>
        </w:rPr>
        <w:t>122.02</w:t>
      </w:r>
      <w:r>
        <w:rPr>
          <w:rFonts w:hint="eastAsia" w:ascii="仿宋" w:hAnsi="仿宋" w:eastAsia="仿宋"/>
          <w:sz w:val="32"/>
          <w:szCs w:val="32"/>
        </w:rPr>
        <w:t>万元，主要包括：基本工资、津贴补贴、绩效工资、机关事业单位基本养老保险缴费、其他社会保障缴费、职工基本医疗保险缴费、住房公积金</w:t>
      </w:r>
      <w:r>
        <w:rPr>
          <w:rFonts w:hint="eastAsia" w:ascii="仿宋" w:hAnsi="仿宋" w:eastAsia="仿宋"/>
          <w:sz w:val="32"/>
          <w:szCs w:val="32"/>
          <w:lang w:eastAsia="zh-CN"/>
        </w:rPr>
        <w:t>、其他工资福利支出</w:t>
      </w:r>
      <w:r>
        <w:rPr>
          <w:rFonts w:hint="eastAsia" w:ascii="仿宋" w:hAnsi="仿宋" w:eastAsia="仿宋"/>
          <w:sz w:val="32"/>
          <w:szCs w:val="32"/>
        </w:rPr>
        <w:t>。</w:t>
      </w:r>
    </w:p>
    <w:p>
      <w:pPr>
        <w:spacing w:line="600" w:lineRule="exact"/>
        <w:ind w:firstLine="645"/>
        <w:rPr>
          <w:rFonts w:hint="eastAsia" w:ascii="仿宋" w:hAnsi="仿宋" w:eastAsia="仿宋"/>
          <w:sz w:val="32"/>
          <w:szCs w:val="32"/>
        </w:rPr>
      </w:pPr>
      <w:r>
        <w:rPr>
          <w:rFonts w:hint="eastAsia" w:ascii="仿宋" w:hAnsi="仿宋" w:eastAsia="仿宋"/>
          <w:sz w:val="32"/>
          <w:szCs w:val="32"/>
          <w:lang w:eastAsia="zh-CN"/>
        </w:rPr>
        <w:t>商品和服务支出</w:t>
      </w:r>
      <w:r>
        <w:rPr>
          <w:rFonts w:hint="eastAsia" w:ascii="仿宋" w:hAnsi="仿宋" w:eastAsia="仿宋"/>
          <w:sz w:val="32"/>
          <w:szCs w:val="32"/>
          <w:lang w:val="en-US" w:eastAsia="zh-CN"/>
        </w:rPr>
        <w:t>10.81</w:t>
      </w:r>
      <w:r>
        <w:rPr>
          <w:rFonts w:hint="eastAsia" w:ascii="仿宋" w:hAnsi="仿宋" w:eastAsia="仿宋"/>
          <w:sz w:val="32"/>
          <w:szCs w:val="32"/>
        </w:rPr>
        <w:t>万元，主要包括：办公费、印刷费、手续费、水费、电费、邮电费、差旅费、维修（护）费、公务接待费。</w:t>
      </w:r>
    </w:p>
    <w:p>
      <w:pPr>
        <w:pStyle w:val="2"/>
        <w:ind w:left="0" w:leftChars="0" w:firstLine="640" w:firstLineChars="200"/>
        <w:jc w:val="left"/>
        <w:rPr>
          <w:rFonts w:hint="eastAsia" w:eastAsia="仿宋"/>
          <w:lang w:val="en-US" w:eastAsia="zh-CN"/>
        </w:rPr>
      </w:pPr>
      <w:r>
        <w:rPr>
          <w:rFonts w:hint="eastAsia" w:ascii="仿宋" w:hAnsi="仿宋" w:eastAsia="仿宋"/>
          <w:sz w:val="32"/>
          <w:szCs w:val="32"/>
          <w:lang w:eastAsia="zh-CN"/>
        </w:rPr>
        <w:t>个人和家庭补助支出</w:t>
      </w:r>
      <w:r>
        <w:rPr>
          <w:rFonts w:hint="eastAsia" w:ascii="仿宋" w:hAnsi="仿宋" w:eastAsia="仿宋"/>
          <w:sz w:val="32"/>
          <w:szCs w:val="32"/>
          <w:lang w:val="en-US" w:eastAsia="zh-CN"/>
        </w:rPr>
        <w:t>3.06万元，</w:t>
      </w:r>
      <w:r>
        <w:rPr>
          <w:rFonts w:hint="eastAsia" w:ascii="仿宋" w:hAnsi="仿宋" w:eastAsia="仿宋"/>
          <w:sz w:val="32"/>
          <w:szCs w:val="32"/>
        </w:rPr>
        <w:t>主要包括：</w:t>
      </w:r>
      <w:r>
        <w:rPr>
          <w:rFonts w:hint="eastAsia" w:ascii="仿宋" w:hAnsi="仿宋" w:eastAsia="仿宋"/>
          <w:sz w:val="32"/>
          <w:szCs w:val="32"/>
          <w:lang w:eastAsia="zh-CN"/>
        </w:rPr>
        <w:t>生活补助、奖励金。</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07</w:t>
      </w:r>
      <w:r>
        <w:rPr>
          <w:rFonts w:hint="eastAsia" w:ascii="仿宋" w:hAnsi="仿宋" w:eastAsia="仿宋"/>
          <w:b/>
          <w:sz w:val="32"/>
          <w:szCs w:val="32"/>
        </w:rPr>
        <w:t>表和财决</w:t>
      </w:r>
      <w:r>
        <w:rPr>
          <w:rFonts w:ascii="仿宋" w:hAnsi="仿宋" w:eastAsia="仿宋"/>
          <w:b/>
          <w:sz w:val="32"/>
          <w:szCs w:val="32"/>
        </w:rPr>
        <w:t>08-1</w:t>
      </w:r>
      <w:r>
        <w:rPr>
          <w:rFonts w:hint="eastAsia" w:ascii="仿宋" w:hAnsi="仿宋" w:eastAsia="仿宋"/>
          <w:b/>
          <w:sz w:val="32"/>
          <w:szCs w:val="32"/>
        </w:rPr>
        <w:t>表）</w:t>
      </w:r>
    </w:p>
    <w:p>
      <w:pPr>
        <w:spacing w:line="600" w:lineRule="exact"/>
        <w:ind w:firstLine="640"/>
        <w:outlineLvl w:val="1"/>
        <w:rPr>
          <w:rStyle w:val="18"/>
          <w:rFonts w:ascii="黑体" w:hAnsi="黑体" w:eastAsia="黑体"/>
          <w:b w:val="0"/>
        </w:rPr>
      </w:pPr>
      <w:bookmarkStart w:id="42" w:name="_Toc15396609"/>
      <w:bookmarkStart w:id="43" w:name="_Toc15377215"/>
      <w:r>
        <w:rPr>
          <w:rFonts w:hint="eastAsia" w:ascii="黑体" w:eastAsia="黑体"/>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0.78</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楷体_GB2312" w:eastAsia="楷体_GB2312"/>
          <w:sz w:val="32"/>
          <w:szCs w:val="32"/>
        </w:rPr>
        <w:t>严格控制“三公经费”支出</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（注：上述“预算”口径为调整预算数。）</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hint="eastAsia"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0.78</w:t>
      </w:r>
      <w:r>
        <w:rPr>
          <w:rFonts w:hint="eastAsia" w:ascii="仿宋" w:hAnsi="仿宋" w:eastAsia="仿宋"/>
          <w:sz w:val="32"/>
          <w:szCs w:val="32"/>
        </w:rPr>
        <w:t>万元，占</w:t>
      </w:r>
      <w:r>
        <w:rPr>
          <w:rFonts w:hint="eastAsia" w:ascii="仿宋" w:hAnsi="仿宋" w:eastAsia="仿宋"/>
          <w:sz w:val="32"/>
          <w:szCs w:val="32"/>
          <w:lang w:val="en-US" w:eastAsia="zh-CN"/>
        </w:rPr>
        <w:t>0.2</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lang w:eastAsia="zh-CN"/>
        </w:rPr>
        <w:object>
          <v:shape id="_x0000_i1031" o:spt="75" type="#_x0000_t75" style="height:201.75pt;width:432pt;" o:ole="t" filled="f" o:preferrelative="t" stroked="f" coordsize="21600,21600">
            <v:path/>
            <v:fill on="f" focussize="0,0"/>
            <v:stroke on="f"/>
            <v:imagedata r:id="rId19" o:title=""/>
            <o:lock v:ext="edit" aspectratio="t"/>
            <w10:wrap type="none"/>
            <w10:anchorlock/>
          </v:shape>
          <o:OLEObject Type="Embed" ProgID="Excel.Chart.8" ShapeID="_x0000_i1031" DrawAspect="Content" ObjectID="_1468075731" r:id="rId18">
            <o:LockedField>false</o:LockedField>
          </o:OLEObject>
        </w:object>
      </w:r>
      <w:r>
        <w:rPr>
          <w:rFonts w:hint="eastAsia" w:ascii="仿宋" w:hAnsi="仿宋" w:eastAsia="仿宋"/>
          <w:sz w:val="32"/>
          <w:szCs w:val="32"/>
          <w:lang w:val="en-US" w:eastAsia="zh-CN"/>
        </w:rPr>
        <w:t xml:space="preserve">   </w:t>
      </w:r>
      <w:r>
        <w:rPr>
          <w:rFonts w:hint="eastAsia" w:ascii="仿宋" w:hAnsi="仿宋" w:eastAsia="仿宋"/>
          <w:sz w:val="32"/>
          <w:szCs w:val="32"/>
        </w:rPr>
        <w:t>（图</w:t>
      </w:r>
      <w:r>
        <w:rPr>
          <w:rFonts w:ascii="仿宋" w:hAnsi="仿宋" w:eastAsia="仿宋"/>
          <w:sz w:val="32"/>
          <w:szCs w:val="32"/>
        </w:rPr>
        <w:t>7</w:t>
      </w:r>
      <w:r>
        <w:rPr>
          <w:rFonts w:hint="eastAsia" w:ascii="仿宋" w:hAnsi="仿宋" w:eastAsia="仿宋"/>
          <w:sz w:val="32"/>
          <w:szCs w:val="32"/>
        </w:rPr>
        <w:t>：“三公”经费财政拨款支出结构）（饼状图）</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0.78</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default" w:ascii="仿宋" w:hAnsi="仿宋" w:eastAsia="仿宋"/>
          <w:b w:val="0"/>
          <w:bCs/>
          <w:sz w:val="32"/>
          <w:szCs w:val="32"/>
          <w:lang w:val="en-US" w:eastAsia="zh-CN"/>
        </w:rPr>
        <w:t>50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0.29</w:t>
      </w:r>
      <w:r>
        <w:rPr>
          <w:rFonts w:hint="eastAsia" w:ascii="仿宋_GB2312" w:eastAsia="仿宋_GB2312"/>
          <w:sz w:val="32"/>
          <w:szCs w:val="32"/>
        </w:rPr>
        <w:t>万元，增长</w:t>
      </w:r>
      <w:r>
        <w:rPr>
          <w:rFonts w:hint="eastAsia" w:ascii="仿宋_GB2312" w:eastAsia="仿宋_GB2312"/>
          <w:sz w:val="32"/>
          <w:szCs w:val="32"/>
          <w:lang w:val="en-US" w:eastAsia="zh-CN"/>
        </w:rPr>
        <w:t>59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公务接待次数增加</w:t>
      </w:r>
      <w:r>
        <w:rPr>
          <w:rFonts w:hint="eastAsia" w:ascii="仿宋_GB2312" w:eastAsia="仿宋_GB2312"/>
          <w:sz w:val="32"/>
          <w:szCs w:val="32"/>
        </w:rPr>
        <w:t>。其中：</w:t>
      </w:r>
    </w:p>
    <w:p>
      <w:pPr>
        <w:spacing w:line="600" w:lineRule="exact"/>
        <w:ind w:firstLine="640"/>
        <w:rPr>
          <w:rFonts w:ascii="黑体" w:eastAsia="黑体"/>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0.78</w:t>
      </w:r>
      <w:r>
        <w:rPr>
          <w:rFonts w:hint="eastAsia" w:ascii="仿宋_GB2312" w:eastAsia="仿宋_GB2312"/>
          <w:sz w:val="32"/>
          <w:szCs w:val="32"/>
        </w:rPr>
        <w:t>万元，主要用于公务、开展业务活动开支的交通费、住宿费、用餐费等。国内公务接待</w:t>
      </w:r>
      <w:r>
        <w:rPr>
          <w:rFonts w:hint="eastAsia" w:ascii="仿宋_GB2312" w:eastAsia="仿宋_GB2312"/>
          <w:color w:val="FF0000"/>
          <w:sz w:val="32"/>
          <w:szCs w:val="32"/>
          <w:lang w:val="en-US" w:eastAsia="zh-CN"/>
        </w:rPr>
        <w:t>12</w:t>
      </w:r>
      <w:r>
        <w:rPr>
          <w:rFonts w:hint="eastAsia" w:ascii="仿宋_GB2312" w:eastAsia="仿宋_GB2312"/>
          <w:sz w:val="32"/>
          <w:szCs w:val="32"/>
        </w:rPr>
        <w:t>批次，</w:t>
      </w:r>
      <w:r>
        <w:rPr>
          <w:rFonts w:hint="eastAsia" w:ascii="仿宋_GB2312" w:eastAsia="仿宋_GB2312"/>
          <w:color w:val="FF0000"/>
          <w:sz w:val="32"/>
          <w:szCs w:val="32"/>
          <w:lang w:val="en-US" w:eastAsia="zh-CN"/>
        </w:rPr>
        <w:t>150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0.78</w:t>
      </w:r>
      <w:r>
        <w:rPr>
          <w:rFonts w:hint="eastAsia" w:ascii="仿宋_GB2312" w:eastAsia="仿宋_GB2312"/>
          <w:sz w:val="32"/>
          <w:szCs w:val="32"/>
        </w:rPr>
        <w:t>万元，具体内容包括：</w:t>
      </w:r>
      <w:r>
        <w:rPr>
          <w:rFonts w:hint="eastAsia" w:ascii="仿宋_GB2312" w:eastAsia="仿宋_GB2312"/>
          <w:color w:val="000000"/>
          <w:sz w:val="32"/>
          <w:szCs w:val="32"/>
          <w:lang w:eastAsia="zh-CN"/>
        </w:rPr>
        <w:t>规划审查领导小组会议工作餐</w:t>
      </w:r>
      <w:r>
        <w:rPr>
          <w:rFonts w:hint="eastAsia" w:ascii="仿宋_GB2312" w:eastAsia="仿宋_GB2312"/>
          <w:color w:val="FF0000"/>
          <w:sz w:val="32"/>
          <w:szCs w:val="32"/>
          <w:lang w:val="en-US" w:eastAsia="zh-CN"/>
        </w:rPr>
        <w:t>12</w:t>
      </w:r>
      <w:r>
        <w:rPr>
          <w:rFonts w:hint="eastAsia" w:ascii="仿宋_GB2312" w:eastAsia="仿宋_GB2312"/>
          <w:color w:val="000000"/>
          <w:sz w:val="32"/>
          <w:szCs w:val="32"/>
          <w:lang w:val="en-US" w:eastAsia="zh-CN"/>
        </w:rPr>
        <w:t>次，金额：</w:t>
      </w:r>
      <w:r>
        <w:rPr>
          <w:rFonts w:hint="eastAsia" w:ascii="仿宋_GB2312" w:eastAsia="仿宋_GB2312"/>
          <w:color w:val="FF0000"/>
          <w:sz w:val="32"/>
          <w:szCs w:val="32"/>
          <w:lang w:val="en-US" w:eastAsia="zh-CN"/>
        </w:rPr>
        <w:t>0.78</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lang w:eastAsia="zh-CN"/>
        </w:rPr>
        <w:t>。</w:t>
      </w:r>
      <w:bookmarkStart w:id="46" w:name="_Toc15377218"/>
      <w:bookmarkStart w:id="47" w:name="_Toc15396610"/>
    </w:p>
    <w:p>
      <w:pPr>
        <w:spacing w:line="600" w:lineRule="exact"/>
        <w:ind w:firstLine="640"/>
        <w:outlineLvl w:val="1"/>
        <w:rPr>
          <w:rStyle w:val="18"/>
          <w:rFonts w:ascii="黑体" w:hAnsi="黑体" w:eastAsia="黑体"/>
        </w:rPr>
      </w:pPr>
      <w:r>
        <w:rPr>
          <w:rFonts w:hint="eastAsia" w:ascii="黑体" w:eastAsia="黑体"/>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18"/>
          <w:rFonts w:ascii="黑体" w:hAnsi="黑体" w:eastAsia="黑体"/>
          <w:b w:val="0"/>
        </w:rPr>
      </w:pPr>
      <w:bookmarkStart w:id="48" w:name="_Toc15396611"/>
      <w:bookmarkStart w:id="49" w:name="_Toc15377219"/>
      <w:r>
        <w:rPr>
          <w:rStyle w:val="18"/>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18"/>
          <w:rFonts w:ascii="黑体" w:hAnsi="黑体" w:eastAsia="黑体"/>
          <w:b w:val="0"/>
        </w:rPr>
      </w:pPr>
      <w:bookmarkStart w:id="50" w:name="_Toc15377221"/>
      <w:bookmarkStart w:id="51" w:name="_Toc15396612"/>
      <w:r>
        <w:rPr>
          <w:rStyle w:val="1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1280" w:firstLineChars="400"/>
        <w:rPr>
          <w:rFonts w:hint="eastAsia" w:ascii="仿宋_GB2312" w:eastAsia="仿宋_GB2312"/>
          <w:sz w:val="32"/>
          <w:szCs w:val="32"/>
          <w:lang w:eastAsia="zh-CN"/>
        </w:rPr>
      </w:pPr>
      <w:r>
        <w:rPr>
          <w:rFonts w:hint="eastAsia" w:ascii="仿宋_GB2312" w:eastAsia="仿宋_GB2312"/>
          <w:sz w:val="32"/>
          <w:szCs w:val="32"/>
          <w:lang w:eastAsia="zh-CN"/>
        </w:rPr>
        <w:t>事业单位无</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360" w:lineRule="auto"/>
        <w:jc w:val="left"/>
        <w:rPr>
          <w:rFonts w:ascii="仿宋_GB2312" w:eastAsia="仿宋_GB2312"/>
          <w:sz w:val="32"/>
          <w:szCs w:val="32"/>
        </w:rPr>
      </w:pPr>
      <w:r>
        <w:rPr>
          <w:rFonts w:hint="eastAsia" w:ascii="仿宋_GB2312" w:eastAsia="仿宋_GB2312"/>
          <w:sz w:val="32"/>
          <w:szCs w:val="32"/>
          <w:lang w:val="en-US" w:eastAsia="zh-CN"/>
        </w:rPr>
        <w:t xml:space="preserve">  </w:t>
      </w:r>
      <w:r>
        <w:rPr>
          <w:rFonts w:ascii="仿宋_GB2312" w:eastAsia="仿宋_GB2312"/>
          <w:sz w:val="32"/>
          <w:szCs w:val="32"/>
        </w:rPr>
        <w:t>2021</w:t>
      </w:r>
      <w:r>
        <w:rPr>
          <w:rFonts w:hint="eastAsia" w:ascii="仿宋_GB2312" w:eastAsia="仿宋_GB2312"/>
          <w:sz w:val="32"/>
          <w:szCs w:val="32"/>
        </w:rPr>
        <w:t>年，政府采购支出总额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万元。主要用于朝天区曾家山区域乡村级规划</w:t>
      </w:r>
      <w:r>
        <w:rPr>
          <w:rFonts w:hint="eastAsia" w:ascii="仿宋_GB2312" w:eastAsia="仿宋_GB2312"/>
          <w:sz w:val="32"/>
          <w:szCs w:val="32"/>
          <w:lang w:eastAsia="zh-CN"/>
        </w:rPr>
        <w:t>编</w:t>
      </w:r>
      <w:r>
        <w:rPr>
          <w:rFonts w:hint="eastAsia" w:ascii="仿宋_GB2312" w:eastAsia="仿宋_GB2312"/>
          <w:sz w:val="32"/>
          <w:szCs w:val="32"/>
        </w:rPr>
        <w:t>制</w:t>
      </w:r>
      <w:r>
        <w:rPr>
          <w:rFonts w:hint="eastAsia" w:ascii="仿宋_GB2312" w:eastAsia="仿宋_GB2312"/>
          <w:sz w:val="32"/>
          <w:szCs w:val="32"/>
          <w:lang w:eastAsia="zh-CN"/>
        </w:rPr>
        <w:t>工作</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仿宋_GB2312" w:eastAsia="仿宋_GB2312" w:cs="仿宋_GB2312"/>
          <w:sz w:val="32"/>
          <w:szCs w:val="32"/>
          <w:lang w:eastAsia="zh-CN"/>
        </w:rPr>
        <w:t>规划编制</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eastAsia="zh-CN"/>
        </w:rPr>
        <w:t>规划编制</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eastAsia="zh-CN"/>
        </w:rPr>
        <w:t>规划编制</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eastAsia="zh-CN"/>
        </w:rPr>
        <w:t>规划编制</w:t>
      </w:r>
      <w:r>
        <w:rPr>
          <w:rFonts w:hint="eastAsia" w:ascii="仿宋_GB2312" w:hAnsi="仿宋_GB2312" w:eastAsia="仿宋_GB2312" w:cs="仿宋_GB2312"/>
          <w:sz w:val="32"/>
          <w:szCs w:val="32"/>
        </w:rPr>
        <w:t>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广元市朝天国土空间规划编制研究中心</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17"/>
          <w:rFonts w:ascii="黑体" w:hAnsi="黑体" w:eastAsia="黑体"/>
          <w:b w:val="0"/>
        </w:rPr>
      </w:pPr>
      <w:bookmarkStart w:id="55" w:name="_Toc15396613"/>
      <w:bookmarkStart w:id="56" w:name="_Toc15377225"/>
      <w:r>
        <w:rPr>
          <w:rFonts w:hint="eastAsia" w:ascii="黑体" w:hAnsi="黑体" w:eastAsia="黑体"/>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ind w:firstLine="640" w:firstLineChars="200"/>
        <w:rPr>
          <w:rFonts w:ascii="楷体_GB2312" w:eastAsia="楷体_GB2312"/>
          <w:sz w:val="32"/>
          <w:szCs w:val="32"/>
        </w:rPr>
      </w:pPr>
      <w:r>
        <w:rPr>
          <w:rFonts w:hint="eastAsia" w:ascii="楷体_GB2312" w:eastAsia="楷体_GB2312"/>
          <w:sz w:val="32"/>
          <w:szCs w:val="32"/>
        </w:rPr>
        <w:t>2.社会保障和就业（类）行政事业单位离退休（款）机关事业单位基本养老保险缴费支出（项）：指反应用于机关事业单位实施养老保险制度由单位缴纳的基本养老保险费支出；社会保障和就业（类）其他社会保障和就业支出（款）其他社会保障和就业支出（项）:指其他用于社会保障和就业方面的支出。</w:t>
      </w:r>
    </w:p>
    <w:p>
      <w:pPr>
        <w:ind w:firstLine="640" w:firstLineChars="200"/>
        <w:rPr>
          <w:rFonts w:ascii="楷体_GB2312" w:eastAsia="楷体_GB2312"/>
          <w:sz w:val="32"/>
          <w:szCs w:val="32"/>
        </w:rPr>
      </w:pPr>
      <w:r>
        <w:rPr>
          <w:rFonts w:hint="eastAsia" w:ascii="楷体_GB2312" w:eastAsia="楷体_GB2312"/>
          <w:sz w:val="32"/>
          <w:szCs w:val="32"/>
        </w:rPr>
        <w:t>3.医疗卫生与计划生育（类）行政事业单位医疗（款）  行政单位医疗（项）：指行政事业单位医疗方面的支出。</w:t>
      </w:r>
    </w:p>
    <w:p>
      <w:pPr>
        <w:ind w:firstLine="640" w:firstLineChars="200"/>
        <w:rPr>
          <w:rFonts w:ascii="楷体_GB2312" w:eastAsia="楷体_GB2312"/>
          <w:sz w:val="32"/>
          <w:szCs w:val="32"/>
        </w:rPr>
      </w:pPr>
      <w:r>
        <w:rPr>
          <w:rFonts w:hint="eastAsia" w:ascii="楷体_GB2312" w:eastAsia="楷体_GB2312"/>
          <w:sz w:val="32"/>
          <w:szCs w:val="32"/>
        </w:rPr>
        <w:t>4.城市社区（类）城市社区管理事务（款）行政运行、（项）：指城乡社区管理事务中单位的基本支出；社会保障和就业（类）其他社会保障和就业支出（款）其他社会保障和就业支出（项）:指城乡社区管理事务中未单独设置项级科目的其他项目支出。</w:t>
      </w:r>
    </w:p>
    <w:p>
      <w:pPr>
        <w:ind w:firstLine="640" w:firstLineChars="200"/>
        <w:rPr>
          <w:rFonts w:ascii="楷体_GB2312" w:eastAsia="楷体_GB2312"/>
          <w:sz w:val="32"/>
          <w:szCs w:val="32"/>
        </w:rPr>
      </w:pPr>
      <w:r>
        <w:rPr>
          <w:rFonts w:hint="eastAsia" w:ascii="楷体_GB2312" w:eastAsia="楷体_GB2312"/>
          <w:sz w:val="32"/>
          <w:szCs w:val="32"/>
        </w:rPr>
        <w:t>5.农林水(类) 扶贫（款）其他扶贫支出（项）：指其他用于扶贫方面的支出。</w:t>
      </w:r>
    </w:p>
    <w:p>
      <w:pPr>
        <w:ind w:firstLine="640" w:firstLineChars="200"/>
        <w:rPr>
          <w:rFonts w:ascii="楷体_GB2312" w:eastAsia="楷体_GB2312"/>
          <w:sz w:val="32"/>
          <w:szCs w:val="32"/>
        </w:rPr>
      </w:pPr>
      <w:r>
        <w:rPr>
          <w:rFonts w:hint="eastAsia" w:ascii="楷体_GB2312" w:eastAsia="楷体_GB2312"/>
          <w:sz w:val="32"/>
          <w:szCs w:val="32"/>
        </w:rPr>
        <w:t>6.住房保障（类）住房改革支出（款）住房公积金（项）：指行政事业单位按人力资源和社会保障部、财政部规定的基本工资和津贴补贴以及规定比例为职工缴纳的住房公积金。</w:t>
      </w:r>
    </w:p>
    <w:p>
      <w:pPr>
        <w:ind w:firstLine="640" w:firstLineChars="200"/>
        <w:rPr>
          <w:rFonts w:ascii="楷体_GB2312" w:eastAsia="楷体_GB2312"/>
          <w:sz w:val="32"/>
          <w:szCs w:val="32"/>
        </w:rPr>
      </w:pPr>
      <w:r>
        <w:rPr>
          <w:rFonts w:hint="eastAsia" w:ascii="楷体_GB2312" w:eastAsia="楷体_GB2312"/>
          <w:sz w:val="32"/>
          <w:szCs w:val="32"/>
        </w:rPr>
        <w:t>7.基本支出：指为保障机构正常运转、完成日常工作任务而发生的人员支出和公用支出。</w:t>
      </w:r>
    </w:p>
    <w:p>
      <w:pPr>
        <w:ind w:firstLine="640" w:firstLineChars="200"/>
        <w:rPr>
          <w:rFonts w:ascii="楷体_GB2312" w:eastAsia="楷体_GB2312"/>
          <w:sz w:val="32"/>
          <w:szCs w:val="32"/>
        </w:rPr>
      </w:pPr>
      <w:r>
        <w:rPr>
          <w:rFonts w:hint="eastAsia" w:ascii="楷体_GB2312" w:eastAsia="楷体_GB2312"/>
          <w:sz w:val="32"/>
          <w:szCs w:val="32"/>
        </w:rPr>
        <w:t xml:space="preserve">8.项目支出：指在基本支出之外为完成特定行政任务和事业发展目标所发生的支出。 </w:t>
      </w:r>
    </w:p>
    <w:p>
      <w:pPr>
        <w:ind w:firstLine="640" w:firstLineChars="200"/>
        <w:rPr>
          <w:rFonts w:ascii="楷体_GB2312" w:eastAsia="楷体_GB2312"/>
          <w:sz w:val="32"/>
          <w:szCs w:val="32"/>
        </w:rPr>
      </w:pPr>
      <w:r>
        <w:rPr>
          <w:rFonts w:hint="eastAsia" w:ascii="楷体_GB2312" w:eastAsia="楷体_GB2312"/>
          <w:sz w:val="32"/>
          <w:szCs w:val="32"/>
        </w:rPr>
        <w:t>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楷体_GB2312" w:eastAsia="楷体_GB2312"/>
          <w:sz w:val="32"/>
          <w:szCs w:val="32"/>
        </w:rPr>
      </w:pPr>
      <w:r>
        <w:rPr>
          <w:rFonts w:hint="eastAsia" w:ascii="楷体_GB2312" w:eastAsia="楷体_GB2312"/>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楷体_GB2312" w:eastAsia="楷体_GB2312"/>
          <w:sz w:val="32"/>
          <w:szCs w:val="32"/>
        </w:rPr>
      </w:pPr>
      <w:r>
        <w:rPr>
          <w:rFonts w:hint="eastAsia" w:ascii="楷体_GB2312" w:eastAsia="楷体_GB2312"/>
          <w:sz w:val="32"/>
          <w:szCs w:val="32"/>
          <w:lang w:val="en-US" w:eastAsia="zh-CN"/>
        </w:rPr>
        <w:t>11</w:t>
      </w:r>
      <w:r>
        <w:rPr>
          <w:rFonts w:hint="eastAsia" w:ascii="楷体_GB2312" w:eastAsia="楷体_GB2312"/>
          <w:sz w:val="32"/>
          <w:szCs w:val="32"/>
          <w:lang w:val="zh-CN"/>
        </w:rPr>
        <w:t>．</w:t>
      </w:r>
      <w:r>
        <w:rPr>
          <w:rFonts w:hint="eastAsia" w:ascii="楷体_GB2312" w:eastAsia="楷体_GB2312"/>
          <w:sz w:val="32"/>
          <w:szCs w:val="32"/>
        </w:rPr>
        <w:t>基本支出：指为保障机构正常运转、完成日常工作任务而发生的人员支出和公用支出。</w:t>
      </w:r>
    </w:p>
    <w:p>
      <w:pPr>
        <w:ind w:firstLine="640" w:firstLineChars="200"/>
        <w:rPr>
          <w:rFonts w:hint="eastAsia" w:ascii="楷体_GB2312" w:eastAsia="楷体_GB2312"/>
          <w:sz w:val="32"/>
          <w:szCs w:val="32"/>
        </w:rPr>
      </w:pPr>
      <w:r>
        <w:rPr>
          <w:rFonts w:hint="eastAsia" w:ascii="楷体_GB2312" w:eastAsia="楷体_GB2312"/>
          <w:sz w:val="32"/>
          <w:szCs w:val="32"/>
          <w:lang w:val="en-US" w:eastAsia="zh-CN"/>
        </w:rPr>
        <w:t>12</w:t>
      </w:r>
      <w:r>
        <w:rPr>
          <w:rFonts w:hint="eastAsia" w:ascii="楷体_GB2312" w:eastAsia="楷体_GB2312"/>
          <w:sz w:val="32"/>
          <w:szCs w:val="32"/>
          <w:lang w:val="zh-CN"/>
        </w:rPr>
        <w:t>．</w:t>
      </w:r>
      <w:r>
        <w:rPr>
          <w:rFonts w:hint="eastAsia" w:ascii="楷体_GB2312" w:eastAsia="楷体_GB2312"/>
          <w:sz w:val="32"/>
          <w:szCs w:val="32"/>
        </w:rPr>
        <w:t xml:space="preserve">项目支出：指在基本支出之外为完成特定行政任务和事业发展目标所发生的支出。 </w:t>
      </w:r>
    </w:p>
    <w:p>
      <w:pPr>
        <w:pStyle w:val="27"/>
        <w:spacing w:line="560" w:lineRule="exact"/>
        <w:ind w:firstLine="640" w:firstLineChars="200"/>
        <w:rPr>
          <w:rFonts w:ascii="仿宋_GB2312" w:eastAsia="仿宋_GB2312"/>
          <w:color w:val="auto"/>
          <w:sz w:val="32"/>
          <w:szCs w:val="32"/>
        </w:rPr>
      </w:pPr>
      <w:r>
        <w:rPr>
          <w:rFonts w:hint="eastAsia" w:ascii="楷体_GB2312" w:hAnsi="Times New Roman" w:eastAsia="楷体_GB2312" w:cs="Times New Roman"/>
          <w:color w:val="auto"/>
          <w:kern w:val="2"/>
          <w:sz w:val="32"/>
          <w:szCs w:val="32"/>
          <w:lang w:val="en-US" w:eastAsia="zh-CN" w:bidi="ar-SA"/>
        </w:rPr>
        <w:t>13</w:t>
      </w:r>
      <w:r>
        <w:rPr>
          <w:rFonts w:hint="eastAsia" w:ascii="楷体_GB2312" w:hAnsi="Times New Roman" w:eastAsia="楷体_GB2312" w:cs="Times New Roman"/>
          <w:color w:val="auto"/>
          <w:kern w:val="2"/>
          <w:sz w:val="32"/>
          <w:szCs w:val="32"/>
          <w:lang w:val="zh-CN" w:eastAsia="zh-CN" w:bidi="ar-SA"/>
        </w:rPr>
        <w:t>．</w:t>
      </w:r>
      <w:r>
        <w:rPr>
          <w:rFonts w:hint="eastAsia" w:ascii="楷体_GB2312" w:hAnsi="Times New Roman" w:eastAsia="楷体_GB2312" w:cs="Times New Roman"/>
          <w:color w:val="auto"/>
          <w:kern w:val="2"/>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17"/>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hint="eastAsia" w:ascii="方正小标宋简体" w:hAnsi="宋体" w:eastAsia="方正小标宋简体"/>
          <w:kern w:val="0"/>
          <w:sz w:val="40"/>
          <w:szCs w:val="44"/>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eastAsia="zh-CN"/>
        </w:rPr>
        <w:t>广元市朝天国土空间规划编制研究中心</w:t>
      </w:r>
      <w:r>
        <w:rPr>
          <w:rFonts w:hint="eastAsia" w:ascii="方正小标宋简体" w:hAnsi="宋体" w:eastAsia="方正小标宋简体"/>
          <w:kern w:val="0"/>
          <w:sz w:val="40"/>
          <w:szCs w:val="44"/>
        </w:rPr>
        <w:t>部门整体绩效评价报告</w:t>
      </w:r>
    </w:p>
    <w:p>
      <w:pPr>
        <w:pStyle w:val="2"/>
        <w:rPr>
          <w:lang w:val="zh-CN"/>
        </w:rPr>
      </w:pP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一、部门（单位）概况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（一）基本情况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广元市</w:t>
      </w:r>
      <w:r>
        <w:rPr>
          <w:rFonts w:hint="eastAsia" w:ascii="方正仿宋简体" w:hAnsi="Times New Roman" w:eastAsia="方正仿宋简体" w:cs="Times New Roman"/>
          <w:sz w:val="32"/>
          <w:szCs w:val="32"/>
          <w:lang w:eastAsia="zh-CN"/>
        </w:rPr>
        <w:t>国土空间规划编制研究中心</w:t>
      </w:r>
      <w:r>
        <w:rPr>
          <w:rFonts w:hint="eastAsia" w:ascii="方正仿宋简体" w:hAnsi="Times New Roman" w:eastAsia="方正仿宋简体" w:cs="Times New Roman"/>
          <w:sz w:val="32"/>
          <w:szCs w:val="32"/>
        </w:rPr>
        <w:t>属财政一级预算单位，下属二级预算单位0个，其中参照公务员法管理的事业单位0个，（其他事业单位0个）。</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广元市</w:t>
      </w:r>
      <w:r>
        <w:rPr>
          <w:rFonts w:hint="eastAsia" w:ascii="方正仿宋简体" w:hAnsi="Times New Roman" w:eastAsia="方正仿宋简体" w:cs="Times New Roman"/>
          <w:sz w:val="32"/>
          <w:szCs w:val="32"/>
          <w:lang w:eastAsia="zh-CN"/>
        </w:rPr>
        <w:t>国土空间规划编制研究中心</w:t>
      </w:r>
      <w:r>
        <w:rPr>
          <w:rFonts w:hint="eastAsia" w:ascii="方正仿宋简体" w:hAnsi="Times New Roman" w:eastAsia="方正仿宋简体" w:cs="Times New Roman"/>
          <w:sz w:val="32"/>
          <w:szCs w:val="32"/>
        </w:rPr>
        <w:t>总编制12名，其中行政编制0名，行政执法编制0名，事业编制12名，工勤编制0人，自收自支编制0名。在职人员总数</w:t>
      </w:r>
      <w:r>
        <w:rPr>
          <w:rFonts w:hint="eastAsia" w:ascii="方正仿宋简体" w:hAnsi="Times New Roman" w:eastAsia="方正仿宋简体" w:cs="Times New Roman"/>
          <w:sz w:val="32"/>
          <w:szCs w:val="32"/>
          <w:lang w:val="en-US" w:eastAsia="zh-CN"/>
        </w:rPr>
        <w:t>12</w:t>
      </w:r>
      <w:r>
        <w:rPr>
          <w:rFonts w:hint="eastAsia" w:ascii="方正仿宋简体" w:hAnsi="Times New Roman" w:eastAsia="方正仿宋简体" w:cs="Times New Roman"/>
          <w:sz w:val="32"/>
          <w:szCs w:val="32"/>
        </w:rPr>
        <w:t>人，其中行政人员0人，行政执法人员0人，事业人员</w:t>
      </w:r>
      <w:r>
        <w:rPr>
          <w:rFonts w:hint="eastAsia" w:ascii="方正仿宋简体" w:hAnsi="Times New Roman" w:eastAsia="方正仿宋简体" w:cs="Times New Roman"/>
          <w:sz w:val="32"/>
          <w:szCs w:val="32"/>
          <w:lang w:val="en-US" w:eastAsia="zh-CN"/>
        </w:rPr>
        <w:t>12</w:t>
      </w:r>
      <w:r>
        <w:rPr>
          <w:rFonts w:hint="eastAsia" w:ascii="方正仿宋简体" w:hAnsi="Times New Roman" w:eastAsia="方正仿宋简体" w:cs="Times New Roman"/>
          <w:sz w:val="32"/>
          <w:szCs w:val="32"/>
        </w:rPr>
        <w:t>人，工勤人员0人</w:t>
      </w:r>
      <w:r>
        <w:rPr>
          <w:rFonts w:hint="eastAsia" w:ascii="方正仿宋简体" w:hAnsi="Times New Roman" w:eastAsia="方正仿宋简体" w:cs="Times New Roman"/>
          <w:sz w:val="32"/>
          <w:szCs w:val="32"/>
          <w:lang w:eastAsia="zh-CN"/>
        </w:rPr>
        <w:t>，</w:t>
      </w:r>
      <w:r>
        <w:rPr>
          <w:rFonts w:hint="eastAsia" w:ascii="方正仿宋简体" w:hAnsi="Times New Roman" w:eastAsia="方正仿宋简体" w:cs="Times New Roman"/>
          <w:sz w:val="32"/>
          <w:szCs w:val="32"/>
        </w:rPr>
        <w:t>退休人员0人</w:t>
      </w:r>
      <w:r>
        <w:rPr>
          <w:rFonts w:hint="eastAsia" w:ascii="方正仿宋简体" w:hAnsi="Times New Roman" w:eastAsia="方正仿宋简体" w:cs="Times New Roman"/>
          <w:sz w:val="32"/>
          <w:szCs w:val="32"/>
          <w:lang w:eastAsia="zh-CN"/>
        </w:rPr>
        <w:t>，购买服务人员</w:t>
      </w:r>
      <w:r>
        <w:rPr>
          <w:rFonts w:hint="eastAsia" w:ascii="方正仿宋简体" w:hAnsi="Times New Roman" w:eastAsia="方正仿宋简体" w:cs="Times New Roman"/>
          <w:sz w:val="32"/>
          <w:szCs w:val="32"/>
          <w:lang w:val="en-US" w:eastAsia="zh-CN"/>
        </w:rPr>
        <w:t>1人</w:t>
      </w:r>
      <w:r>
        <w:rPr>
          <w:rFonts w:hint="eastAsia" w:ascii="方正仿宋简体" w:hAnsi="Times New Roman" w:eastAsia="方正仿宋简体" w:cs="Times New Roman"/>
          <w:sz w:val="32"/>
          <w:szCs w:val="32"/>
        </w:rPr>
        <w:t>。资产总额</w:t>
      </w:r>
      <w:r>
        <w:rPr>
          <w:rFonts w:hint="eastAsia" w:ascii="方正仿宋简体" w:hAnsi="Times New Roman" w:eastAsia="方正仿宋简体" w:cs="Times New Roman"/>
          <w:sz w:val="32"/>
          <w:szCs w:val="32"/>
          <w:lang w:val="en-US" w:eastAsia="zh-CN"/>
        </w:rPr>
        <w:t>13.63</w:t>
      </w:r>
      <w:r>
        <w:rPr>
          <w:rFonts w:hint="eastAsia" w:ascii="方正仿宋简体" w:hAnsi="Times New Roman" w:eastAsia="方正仿宋简体" w:cs="Times New Roman"/>
          <w:sz w:val="32"/>
          <w:szCs w:val="32"/>
        </w:rPr>
        <w:t xml:space="preserve">万元。 </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广元市</w:t>
      </w:r>
      <w:r>
        <w:rPr>
          <w:rFonts w:hint="eastAsia" w:ascii="方正仿宋简体" w:hAnsi="Times New Roman" w:eastAsia="方正仿宋简体" w:cs="Times New Roman"/>
          <w:sz w:val="32"/>
          <w:szCs w:val="32"/>
          <w:lang w:eastAsia="zh-CN"/>
        </w:rPr>
        <w:t>国土空间规划编制研究中心职能职责：</w:t>
      </w:r>
      <w:r>
        <w:rPr>
          <w:rFonts w:hint="eastAsia" w:ascii="方正仿宋简体" w:hAnsi="Times New Roman" w:eastAsia="方正仿宋简体" w:cs="Times New Roman"/>
          <w:sz w:val="32"/>
          <w:szCs w:val="32"/>
        </w:rPr>
        <w:t>组织编制本辖区国土空间规划、城市设计、概念规划等; 负责指定管辖范围内的项目选址、规划设计前期研究和规划设计方案审查; 承担辖区规划管理审查相关事务工作; 完成区委区政府交办的其他事项（区下工作目标任务、做好财政预算绩效管理等工作、做好依法治区、城乡环境综合治理、信访、维稳综合、扫黑除恶、禁毒等社会治理工作、加强党风廉政建设、从严治党等工作、脱贫攻坚工作、规划馆管理相关工作等其他工作）;</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（二）部门自评步骤及方法</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1</w:t>
      </w:r>
      <w:r>
        <w:rPr>
          <w:rFonts w:hint="eastAsia" w:ascii="方正仿宋简体" w:hAnsi="Times New Roman" w:eastAsia="方正仿宋简体" w:cs="Times New Roman"/>
          <w:sz w:val="32"/>
          <w:szCs w:val="32"/>
          <w:lang w:val="en-US" w:eastAsia="zh-CN"/>
        </w:rPr>
        <w:t>.</w:t>
      </w:r>
      <w:r>
        <w:rPr>
          <w:rFonts w:hint="eastAsia" w:ascii="方正仿宋简体" w:hAnsi="Times New Roman" w:eastAsia="方正仿宋简体" w:cs="Times New Roman"/>
          <w:sz w:val="32"/>
          <w:szCs w:val="32"/>
        </w:rPr>
        <w:t>组织领导</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 xml:space="preserve">为加强组织领导，更好的开展评价工作，强化组织协调，形成工作合力，确保评价工作顺利完成，成立工作领导小组。  </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组  长：李长斌</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副组长：习中国、李刚</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成  员：汪芊、庞斌、王俊明、蒲海静、雷雨</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评价工作小组负责本次绩效评价工作的组织、协调、督促、检查工作。相关业务</w:t>
      </w:r>
      <w:r>
        <w:rPr>
          <w:rFonts w:hint="eastAsia" w:ascii="方正仿宋简体" w:hAnsi="Times New Roman" w:eastAsia="方正仿宋简体" w:cs="Times New Roman"/>
          <w:sz w:val="32"/>
          <w:szCs w:val="32"/>
          <w:lang w:eastAsia="zh-CN"/>
        </w:rPr>
        <w:t>股</w:t>
      </w:r>
      <w:r>
        <w:rPr>
          <w:rFonts w:hint="eastAsia" w:ascii="方正仿宋简体" w:hAnsi="Times New Roman" w:eastAsia="方正仿宋简体" w:cs="Times New Roman"/>
          <w:sz w:val="32"/>
          <w:szCs w:val="32"/>
        </w:rPr>
        <w:t>室负责202</w:t>
      </w:r>
      <w:r>
        <w:rPr>
          <w:rFonts w:hint="eastAsia" w:ascii="方正仿宋简体" w:hAnsi="Times New Roman" w:eastAsia="方正仿宋简体" w:cs="Times New Roman"/>
          <w:sz w:val="32"/>
          <w:szCs w:val="32"/>
          <w:lang w:val="en-US" w:eastAsia="zh-CN"/>
        </w:rPr>
        <w:t>1</w:t>
      </w:r>
      <w:r>
        <w:rPr>
          <w:rFonts w:hint="eastAsia" w:ascii="方正仿宋简体" w:hAnsi="Times New Roman" w:eastAsia="方正仿宋简体" w:cs="Times New Roman"/>
          <w:sz w:val="32"/>
          <w:szCs w:val="32"/>
        </w:rPr>
        <w:t>年度部门预算项目支出绩效评价工作，绩效评价工作小组负责复核项目数量的完整性及项目资金的准确性。</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2</w:t>
      </w:r>
      <w:r>
        <w:rPr>
          <w:rFonts w:hint="eastAsia" w:ascii="方正仿宋简体" w:hAnsi="Times New Roman" w:eastAsia="方正仿宋简体" w:cs="Times New Roman"/>
          <w:sz w:val="32"/>
          <w:szCs w:val="32"/>
          <w:lang w:val="en-US" w:eastAsia="zh-CN"/>
        </w:rPr>
        <w:t>.</w:t>
      </w:r>
      <w:r>
        <w:rPr>
          <w:rFonts w:hint="eastAsia" w:ascii="方正仿宋简体" w:hAnsi="Times New Roman" w:eastAsia="方正仿宋简体" w:cs="Times New Roman"/>
          <w:sz w:val="32"/>
          <w:szCs w:val="32"/>
        </w:rPr>
        <w:t>评价原则</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（1）履行部门主体责任。按照“谁使用资金、谁负责绩效评价”的要求，各业务</w:t>
      </w:r>
      <w:r>
        <w:rPr>
          <w:rFonts w:hint="eastAsia" w:ascii="方正仿宋简体" w:hAnsi="Times New Roman" w:eastAsia="方正仿宋简体" w:cs="Times New Roman"/>
          <w:sz w:val="32"/>
          <w:szCs w:val="32"/>
          <w:lang w:eastAsia="zh-CN"/>
        </w:rPr>
        <w:t>股</w:t>
      </w:r>
      <w:r>
        <w:rPr>
          <w:rFonts w:hint="eastAsia" w:ascii="方正仿宋简体" w:hAnsi="Times New Roman" w:eastAsia="方正仿宋简体" w:cs="Times New Roman"/>
          <w:sz w:val="32"/>
          <w:szCs w:val="32"/>
        </w:rPr>
        <w:t>室认真组织相关项目支出绩效评价的数据统计、信息采集以及资料汇总审核等相关工作。</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（2）确保评价客观真实。项目绩效自评应做到依法依规，实事求是，确保数据真实、准确，内容全面、完整，严禁弄虚作假，刻意抬高分数。</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（3）评价方法及工作流程</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各项目责任</w:t>
      </w:r>
      <w:r>
        <w:rPr>
          <w:rFonts w:hint="eastAsia" w:ascii="方正仿宋简体" w:hAnsi="Times New Roman" w:eastAsia="方正仿宋简体" w:cs="Times New Roman"/>
          <w:sz w:val="32"/>
          <w:szCs w:val="32"/>
          <w:lang w:eastAsia="zh-CN"/>
        </w:rPr>
        <w:t>股</w:t>
      </w:r>
      <w:r>
        <w:rPr>
          <w:rFonts w:hint="eastAsia" w:ascii="方正仿宋简体" w:hAnsi="Times New Roman" w:eastAsia="方正仿宋简体" w:cs="Times New Roman"/>
          <w:sz w:val="32"/>
          <w:szCs w:val="32"/>
        </w:rPr>
        <w:t>室自评 → 绩效评价工作小组复核 → 以单位的名义出具复核后的项目绩效自评报告，并按时报送区财政局绩效办。</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3</w:t>
      </w:r>
      <w:r>
        <w:rPr>
          <w:rFonts w:hint="eastAsia" w:ascii="方正仿宋简体" w:hAnsi="Times New Roman" w:eastAsia="方正仿宋简体" w:cs="Times New Roman"/>
          <w:sz w:val="32"/>
          <w:szCs w:val="32"/>
          <w:lang w:val="en-US" w:eastAsia="zh-CN"/>
        </w:rPr>
        <w:t>.</w:t>
      </w:r>
      <w:r>
        <w:rPr>
          <w:rFonts w:hint="eastAsia" w:ascii="方正仿宋简体" w:hAnsi="Times New Roman" w:eastAsia="方正仿宋简体" w:cs="Times New Roman"/>
          <w:sz w:val="32"/>
          <w:szCs w:val="32"/>
        </w:rPr>
        <w:t>工作步骤</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（1）准备阶段（5月6日-5月12日）</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按照区财政局绩效办要求，制定绩效评价工作方案，部署绩效评价相关工作，同步统计财务数据和准备佐证材料。</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（2）自评阶段（5月13日-5月19日）</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按照绩效评价工作要求，针对评价项目，建立科学规范的评价指标体系，根据项目实施情况严格评分，认真撰写绩效自评报告，统一提交至区财政绩效办。</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（3）结果应用</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本次财务审核结果将作为部门预算绩效管理考核以及下一年度项目预算申报的重要依据。</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（三）部门支出绩效评价自评得分情况（</w:t>
      </w:r>
      <w:r>
        <w:rPr>
          <w:rFonts w:hint="eastAsia" w:ascii="方正仿宋简体" w:hAnsi="Times New Roman" w:eastAsia="方正仿宋简体" w:cs="Times New Roman"/>
          <w:sz w:val="32"/>
          <w:szCs w:val="32"/>
          <w:lang w:eastAsia="zh-CN"/>
        </w:rPr>
        <w:t>见</w:t>
      </w:r>
      <w:r>
        <w:rPr>
          <w:rFonts w:hint="eastAsia" w:ascii="方正仿宋简体" w:hAnsi="Times New Roman" w:eastAsia="方正仿宋简体" w:cs="Times New Roman"/>
          <w:sz w:val="32"/>
          <w:szCs w:val="32"/>
        </w:rPr>
        <w:t>附</w:t>
      </w:r>
      <w:r>
        <w:rPr>
          <w:rFonts w:hint="eastAsia" w:ascii="方正仿宋简体" w:hAnsi="Times New Roman" w:eastAsia="方正仿宋简体" w:cs="Times New Roman"/>
          <w:sz w:val="32"/>
          <w:szCs w:val="32"/>
          <w:lang w:eastAsia="zh-CN"/>
        </w:rPr>
        <w:t>表</w:t>
      </w:r>
      <w:r>
        <w:rPr>
          <w:rFonts w:hint="eastAsia" w:ascii="方正仿宋简体" w:hAnsi="Times New Roman" w:eastAsia="方正仿宋简体" w:cs="Times New Roman"/>
          <w:sz w:val="32"/>
          <w:szCs w:val="32"/>
        </w:rPr>
        <w:t>）</w:t>
      </w:r>
    </w:p>
    <w:p>
      <w:pPr>
        <w:keepNext w:val="0"/>
        <w:keepLines w:val="0"/>
        <w:pageBreakBefore w:val="0"/>
        <w:widowControl/>
        <w:numPr>
          <w:ilvl w:val="0"/>
          <w:numId w:val="4"/>
        </w:numPr>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部门财政资金收支情况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lang w:val="en-US" w:eastAsia="zh-CN"/>
        </w:rPr>
        <w:t>2021</w:t>
      </w:r>
      <w:r>
        <w:rPr>
          <w:rFonts w:hint="eastAsia" w:ascii="方正仿宋简体" w:hAnsi="Times New Roman" w:eastAsia="方正仿宋简体" w:cs="Times New Roman"/>
          <w:sz w:val="32"/>
          <w:szCs w:val="32"/>
        </w:rPr>
        <w:t>年度收、支总计</w:t>
      </w:r>
      <w:r>
        <w:rPr>
          <w:rFonts w:hint="eastAsia" w:ascii="方正仿宋简体" w:hAnsi="Times New Roman" w:eastAsia="方正仿宋简体" w:cs="Times New Roman"/>
          <w:sz w:val="32"/>
          <w:szCs w:val="32"/>
          <w:lang w:val="en-US" w:eastAsia="zh-CN"/>
        </w:rPr>
        <w:t>336.56</w:t>
      </w:r>
      <w:r>
        <w:rPr>
          <w:rFonts w:hint="eastAsia" w:ascii="方正仿宋简体" w:hAnsi="Times New Roman" w:eastAsia="方正仿宋简体" w:cs="Times New Roman"/>
          <w:sz w:val="32"/>
          <w:szCs w:val="32"/>
        </w:rPr>
        <w:t>万元。与</w:t>
      </w:r>
      <w:r>
        <w:rPr>
          <w:rFonts w:hint="eastAsia" w:ascii="方正仿宋简体" w:hAnsi="Times New Roman" w:eastAsia="方正仿宋简体" w:cs="Times New Roman"/>
          <w:sz w:val="32"/>
          <w:szCs w:val="32"/>
          <w:lang w:val="en-US" w:eastAsia="zh-CN"/>
        </w:rPr>
        <w:t>2020</w:t>
      </w:r>
      <w:r>
        <w:rPr>
          <w:rFonts w:hint="eastAsia" w:ascii="方正仿宋简体" w:hAnsi="Times New Roman" w:eastAsia="方正仿宋简体" w:cs="Times New Roman"/>
          <w:sz w:val="32"/>
          <w:szCs w:val="32"/>
        </w:rPr>
        <w:t>年相比，收、支总计各</w:t>
      </w:r>
      <w:r>
        <w:rPr>
          <w:rFonts w:hint="eastAsia" w:ascii="方正仿宋简体" w:hAnsi="Times New Roman" w:eastAsia="方正仿宋简体" w:cs="Times New Roman"/>
          <w:sz w:val="32"/>
          <w:szCs w:val="32"/>
          <w:lang w:eastAsia="zh-CN"/>
        </w:rPr>
        <w:t>增加</w:t>
      </w:r>
      <w:r>
        <w:rPr>
          <w:rFonts w:hint="eastAsia" w:ascii="方正仿宋简体" w:hAnsi="Times New Roman" w:eastAsia="方正仿宋简体" w:cs="Times New Roman"/>
          <w:sz w:val="32"/>
          <w:szCs w:val="32"/>
          <w:lang w:val="en-US" w:eastAsia="zh-CN"/>
        </w:rPr>
        <w:t>127.56</w:t>
      </w:r>
      <w:r>
        <w:rPr>
          <w:rFonts w:hint="eastAsia" w:ascii="方正仿宋简体" w:hAnsi="Times New Roman" w:eastAsia="方正仿宋简体" w:cs="Times New Roman"/>
          <w:sz w:val="32"/>
          <w:szCs w:val="32"/>
        </w:rPr>
        <w:t>万元，</w:t>
      </w:r>
      <w:r>
        <w:rPr>
          <w:rFonts w:hint="eastAsia" w:ascii="方正仿宋简体" w:hAnsi="Times New Roman" w:eastAsia="方正仿宋简体" w:cs="Times New Roman"/>
          <w:sz w:val="32"/>
          <w:szCs w:val="32"/>
          <w:lang w:eastAsia="zh-CN"/>
        </w:rPr>
        <w:t>增长</w:t>
      </w:r>
      <w:r>
        <w:rPr>
          <w:rFonts w:hint="eastAsia" w:ascii="方正仿宋简体" w:hAnsi="Times New Roman" w:eastAsia="方正仿宋简体" w:cs="Times New Roman"/>
          <w:sz w:val="32"/>
          <w:szCs w:val="32"/>
          <w:lang w:val="en-US" w:eastAsia="zh-CN"/>
        </w:rPr>
        <w:t>61</w:t>
      </w:r>
      <w:r>
        <w:rPr>
          <w:rFonts w:hint="eastAsia" w:ascii="方正仿宋简体" w:hAnsi="Times New Roman" w:eastAsia="方正仿宋简体" w:cs="Times New Roman"/>
          <w:sz w:val="32"/>
          <w:szCs w:val="32"/>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color w:val="000000"/>
          <w:kern w:val="0"/>
          <w:sz w:val="28"/>
          <w:szCs w:val="28"/>
          <w:shd w:val="clear" w:color="auto" w:fill="FFFFFF"/>
        </w:rPr>
      </w:pPr>
      <w:r>
        <w:rPr>
          <w:rFonts w:hint="eastAsia" w:ascii="黑体" w:hAnsi="黑体" w:eastAsia="黑体" w:cs="Times New Roman"/>
          <w:color w:val="000000"/>
          <w:kern w:val="0"/>
          <w:sz w:val="32"/>
          <w:szCs w:val="32"/>
          <w:shd w:val="clear" w:color="auto" w:fill="FFFFFF"/>
        </w:rPr>
        <w:t>三、部门整体预算绩效管理情况</w:t>
      </w:r>
      <w:r>
        <w:rPr>
          <w:rFonts w:hint="eastAsia" w:ascii="黑体" w:hAnsi="黑体" w:eastAsia="黑体" w:cs="Times New Roman"/>
          <w:color w:val="000000"/>
          <w:kern w:val="0"/>
          <w:sz w:val="28"/>
          <w:szCs w:val="28"/>
          <w:shd w:val="clear" w:color="auto" w:fill="FFFFFF"/>
        </w:rPr>
        <w:t>（根据适用指标体系进行调整）</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（一）预算编制（评价本单位2021年度部门预算编制质量和预算配置情况）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1.编制质量</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预算编制工作严格遵循合法性、真实性、完整性、重点性、绩效性，实行零基预算，按定额标准编制部门。专项预算细化，按规定及时公示了部门预算。及时清理，准确反映结余结转资金，严格执行结余结转资金的管理规定。</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2.预算配置</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编制人数12名，在职人员11人，在编制控制范围内，在职人员空置率8%。“三公”经费本年预算数1.56万元，较上年1.66万元减少3%。</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（二）预算执行（评价本单位2021年部门预算执行情况）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1.执行进度。</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项目支出严格按部门预算均衡执行，根据批复的预算安排各项收支，确保预算严格有效执行。</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2.预算调整。</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项目支出按年初预算执行，未作出调整。</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3.经费控制。</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严格按照部门预算执行</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4.政府采购。</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严格按照政府采购限额进行采购</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预算管理。</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严格按照相关规定执行</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（三）综合管理情况（评价本单位2021年度资产管理、内控管理、信息公开、绩效评价等情况）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1.资产管理制度、信息系统建设、资产清查上报情况。加强资产管理，资产录入国有资产管理信息系统，每项资产建立了资产卡片，实行动态管理，完成资产清查工作并按时上报。</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2.部门内部控制制度健全情况。建立和健全了预算业务管理、收支业务管理、政府采购业务管理、资产管理、合同管理等内部控制制度。查找了风险点，完善了业务流程。使经济业务管理更规范，健康。</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3.预决算及绩效信息公开情况。在朝天政府网上及时全面的进行预决算及绩效信息公开。</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4.绩效评价开展、评价结果报告及问题整改情况。我中心成立自评工作组，组织实施2021年绩效管理自评工作。部门整体支出绩效良好,保障单位正常运转和完成各项工作，项目资金专款专用，拨款及时。存在的问题: 财务人员票据审核不严。改进建议：一是加强财务人员财务知识学习和培训，提高业务能力；二是严格票据审核，控制经费支出。</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（四）部门整体效益情况（本单位2021年度财政支出各项指标完成及效益情况）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 xml:space="preserve">1.履职完成情况：效率性评价和有效性评价 </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 xml:space="preserve">我中心基本完成了当年度计划经费的拨付工作，有效对其实行了监管，确保了专项经费专款专用。对于基本支出也能遵守各项规章制度，人员经费安排基本得当，业务工作与项目经费、人员经费安排配比率良好。 </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2.履职效果情况：社会效益</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加强规划科学实施，强化规划督导检查，努力打造生活、生产、生态于一体，产、城、人融合发展的城市生活生态圈。</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3.社会满意度及可持续性影响。构建朝天区域发展新格局和建设“美丽朝天”为主线，充分发挥规划引领城乡建设的职能作用，重点在“加强规划管理、强化规划保障、推进配套建设、优化规划服务”上发力，助推朝天社会经济发展再上新台阶。</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textAlignment w:val="auto"/>
        <w:rPr>
          <w:rFonts w:hint="eastAsia" w:ascii="黑体" w:hAnsi="黑体" w:eastAsia="黑体" w:cs="Times New Roman"/>
          <w:color w:val="000000"/>
          <w:kern w:val="0"/>
          <w:sz w:val="32"/>
          <w:szCs w:val="32"/>
          <w:shd w:val="clear" w:color="auto" w:fill="FFFFFF"/>
        </w:rPr>
      </w:pPr>
      <w:r>
        <w:rPr>
          <w:rFonts w:hint="eastAsia" w:ascii="黑体" w:hAnsi="黑体" w:eastAsia="黑体" w:cs="Times New Roman"/>
          <w:color w:val="000000"/>
          <w:kern w:val="0"/>
          <w:sz w:val="32"/>
          <w:szCs w:val="32"/>
          <w:shd w:val="clear" w:color="auto" w:fill="FFFFFF"/>
        </w:rPr>
        <w:t>四、自评结论及建议</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（一）自评结论。良好</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（二）存在问题。</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1.预算准确率有待提高。年初预算编制不够精确，考虑不全面，导致年底决算数与年初预算数相差较大。原因一是由于不是全口径预算,仅指市级财政年初安排数，没有本级财政市级安排以及预算年中追加的调整预算拨款数，二是前瞻性不强，没有综合考虑单位公用经费及项目支出。</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2.预算执行存在偏差。由于预算安排不足,造成部分科目实际支出比预算偏高，缺口资金只能调剂其他资金使用，存在着预算项目间互相进行调剂的情况。</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（三）改进建议。</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1.合理编制年度预算。参考上年度预算执行情况和本年度收支预测，制订科学合理的预算标准，将预算支出项目细化，遵循实事求是的原则，进一步提高预算的可执行性。</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2.进一步加强资产管理。应对账面固定资产实物进行核查，对历年应收、应付呆账等进行清理、处置，调整账务，夯实资产资金管理基础，摸清资产家底，以最大限度利用好现有资产。</w:t>
      </w:r>
    </w:p>
    <w:p>
      <w:pPr>
        <w:keepNext w:val="0"/>
        <w:keepLines w:val="0"/>
        <w:pageBreakBefore w:val="0"/>
        <w:kinsoku/>
        <w:wordWrap/>
        <w:overflowPunct/>
        <w:topLinePunct w:val="0"/>
        <w:autoSpaceDN/>
        <w:bidi w:val="0"/>
        <w:spacing w:line="576" w:lineRule="exact"/>
        <w:ind w:firstLine="640" w:firstLineChars="200"/>
        <w:textAlignment w:val="auto"/>
        <w:rPr>
          <w:rFonts w:hint="eastAsia" w:ascii="方正仿宋简体" w:hAnsi="Times New Roman" w:eastAsia="方正仿宋简体" w:cs="Times New Roman"/>
          <w:sz w:val="32"/>
          <w:szCs w:val="32"/>
          <w:lang w:val="en-US" w:eastAsia="zh-CN"/>
        </w:rPr>
      </w:pPr>
      <w:r>
        <w:rPr>
          <w:rFonts w:hint="eastAsia" w:ascii="方正仿宋简体" w:hAnsi="Times New Roman" w:eastAsia="方正仿宋简体" w:cs="Times New Roman"/>
          <w:sz w:val="32"/>
          <w:szCs w:val="32"/>
          <w:lang w:val="en-US" w:eastAsia="zh-CN"/>
        </w:rPr>
        <w:t>3.进一步完善项目监管机制。项目立项须严格遵循一切从实际出发的原则，结合工作的必要性、以维护人民群众利益为落脚点。将项目做实，环环守规，节节有矩。项目前期加强预算审核、严格执行政府采购程序，项目中监管实施到位，确保项目的质量效益。</w:t>
      </w:r>
    </w:p>
    <w:p>
      <w:pPr>
        <w:pStyle w:val="6"/>
        <w:spacing w:before="93"/>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rFonts w:hAnsi="宋体" w:cs="宋体"/>
          <w:sz w:val="32"/>
          <w:szCs w:val="32"/>
          <w:shd w:val="clear" w:color="auto" w:fill="FFFFFF"/>
          <w:lang w:val="zh-CN"/>
        </w:rPr>
      </w:pPr>
    </w:p>
    <w:p>
      <w:pPr>
        <w:rPr>
          <w:rFonts w:hAnsi="宋体" w:cs="宋体"/>
          <w:sz w:val="32"/>
          <w:szCs w:val="32"/>
          <w:shd w:val="clear" w:color="auto" w:fill="FFFFFF"/>
          <w:lang w:val="zh-CN"/>
        </w:rPr>
      </w:pPr>
    </w:p>
    <w:p>
      <w:pPr>
        <w:pStyle w:val="2"/>
        <w:rPr>
          <w:lang w:val="zh-CN"/>
        </w:rPr>
      </w:pPr>
    </w:p>
    <w:p>
      <w:pPr>
        <w:pStyle w:val="6"/>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专项预算项目支出绩效自评报告范本</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sz w:val="32"/>
          <w:szCs w:val="32"/>
          <w:lang w:val="zh-CN"/>
        </w:rPr>
        <w:t>（规划编制）</w:t>
      </w:r>
    </w:p>
    <w:p>
      <w:pPr>
        <w:numPr>
          <w:ilvl w:val="0"/>
          <w:numId w:val="5"/>
        </w:num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项目概况</w:t>
      </w:r>
    </w:p>
    <w:p>
      <w:pPr>
        <w:numPr>
          <w:ilvl w:val="0"/>
          <w:numId w:val="6"/>
        </w:numPr>
        <w:spacing w:line="560" w:lineRule="exact"/>
        <w:ind w:firstLine="616" w:firstLineChars="200"/>
        <w:rPr>
          <w:rFonts w:hint="eastAsia" w:ascii="仿宋_GB2312" w:hAnsi="仿宋" w:eastAsia="仿宋_GB2312"/>
          <w:sz w:val="32"/>
          <w:szCs w:val="32"/>
          <w:lang w:val="en-US" w:eastAsia="zh-CN"/>
        </w:rPr>
      </w:pPr>
      <w:r>
        <w:rPr>
          <w:rFonts w:hint="eastAsia" w:ascii="楷体_GB2312" w:hAnsi="Times New Roman" w:eastAsia="楷体_GB2312" w:cs="Times New Roman"/>
          <w:bCs/>
          <w:spacing w:val="-6"/>
          <w:sz w:val="32"/>
          <w:szCs w:val="32"/>
        </w:rPr>
        <w:t>项目资金申报及批复情况。</w:t>
      </w:r>
      <w:r>
        <w:rPr>
          <w:rFonts w:hint="eastAsia" w:ascii="楷体_GB2312" w:hAnsi="Times New Roman" w:eastAsia="楷体_GB2312" w:cs="Times New Roman"/>
          <w:bCs/>
          <w:spacing w:val="-6"/>
          <w:sz w:val="32"/>
          <w:szCs w:val="32"/>
          <w:lang w:eastAsia="zh-CN"/>
        </w:rPr>
        <w:t>本项目申报资金</w:t>
      </w:r>
      <w:r>
        <w:rPr>
          <w:rFonts w:hint="eastAsia" w:ascii="楷体_GB2312" w:hAnsi="Times New Roman" w:eastAsia="楷体_GB2312" w:cs="Times New Roman"/>
          <w:bCs/>
          <w:spacing w:val="-6"/>
          <w:sz w:val="32"/>
          <w:szCs w:val="32"/>
          <w:lang w:val="en-US" w:eastAsia="zh-CN"/>
        </w:rPr>
        <w:t>738.8万元，2021年</w:t>
      </w:r>
      <w:r>
        <w:rPr>
          <w:rFonts w:hint="eastAsia" w:ascii="仿宋_GB2312" w:hAnsi="仿宋" w:eastAsia="仿宋_GB2312"/>
          <w:sz w:val="32"/>
          <w:szCs w:val="32"/>
          <w:lang w:eastAsia="zh-CN"/>
        </w:rPr>
        <w:t>年初</w:t>
      </w:r>
      <w:r>
        <w:rPr>
          <w:rFonts w:hint="eastAsia" w:ascii="仿宋_GB2312" w:hAnsi="仿宋" w:eastAsia="仿宋_GB2312"/>
          <w:sz w:val="32"/>
          <w:szCs w:val="32"/>
        </w:rPr>
        <w:t>资金预算</w:t>
      </w:r>
      <w:r>
        <w:rPr>
          <w:rFonts w:hint="eastAsia" w:ascii="仿宋_GB2312" w:hAnsi="仿宋" w:eastAsia="仿宋_GB2312"/>
          <w:sz w:val="32"/>
          <w:szCs w:val="32"/>
          <w:lang w:val="en-US" w:eastAsia="zh-CN"/>
        </w:rPr>
        <w:t>100</w:t>
      </w:r>
      <w:r>
        <w:rPr>
          <w:rFonts w:hint="eastAsia" w:ascii="仿宋_GB2312" w:hAnsi="仿宋" w:eastAsia="仿宋_GB2312"/>
          <w:sz w:val="32"/>
          <w:szCs w:val="32"/>
        </w:rPr>
        <w:t>万元，</w:t>
      </w:r>
      <w:r>
        <w:rPr>
          <w:rFonts w:hint="eastAsia" w:ascii="仿宋_GB2312" w:hAnsi="仿宋" w:eastAsia="仿宋_GB2312"/>
          <w:sz w:val="32"/>
          <w:szCs w:val="32"/>
          <w:lang w:eastAsia="zh-CN"/>
        </w:rPr>
        <w:t>年终调整为</w:t>
      </w:r>
      <w:r>
        <w:rPr>
          <w:rFonts w:hint="eastAsia" w:ascii="仿宋_GB2312" w:hAnsi="仿宋" w:eastAsia="仿宋_GB2312"/>
          <w:sz w:val="32"/>
          <w:szCs w:val="32"/>
          <w:lang w:val="en-US" w:eastAsia="zh-CN"/>
        </w:rPr>
        <w:t>200万元，预算差在2022年度中预算。项目经财政局审核并批复资金后实施，财政资金严格按照预算支出科目进行使用，符合资金管理办法等相关规定。</w:t>
      </w:r>
    </w:p>
    <w:p>
      <w:pPr>
        <w:numPr>
          <w:ilvl w:val="0"/>
          <w:numId w:val="0"/>
        </w:numPr>
        <w:spacing w:line="560" w:lineRule="exact"/>
        <w:ind w:firstLine="640" w:firstLineChars="200"/>
        <w:rPr>
          <w:rFonts w:hint="eastAsia" w:ascii="黑体" w:hAnsi="黑体" w:eastAsia="黑体"/>
          <w:b/>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二</w:t>
      </w:r>
      <w:r>
        <w:rPr>
          <w:rFonts w:hint="eastAsia" w:ascii="仿宋_GB2312" w:hAnsi="仿宋" w:eastAsia="仿宋_GB2312"/>
          <w:sz w:val="32"/>
          <w:szCs w:val="32"/>
        </w:rPr>
        <w:t>）项目绩效目标：项目预期总目标通过建立空间规划体系，划定生产、生活、生态空间，开发管理界限。时效指标</w:t>
      </w:r>
      <w:r>
        <w:rPr>
          <w:rFonts w:hint="eastAsia" w:ascii="仿宋_GB2312" w:hAnsi="仿宋" w:eastAsia="仿宋_GB2312"/>
          <w:sz w:val="32"/>
          <w:szCs w:val="32"/>
          <w:lang w:val="en-US" w:eastAsia="zh-CN"/>
        </w:rPr>
        <w:t>:</w:t>
      </w:r>
      <w:r>
        <w:rPr>
          <w:rFonts w:hint="eastAsia" w:ascii="仿宋_GB2312" w:hAnsi="仿宋" w:eastAsia="仿宋_GB2312"/>
          <w:sz w:val="32"/>
          <w:szCs w:val="32"/>
        </w:rPr>
        <w:t>在202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年12月31日之前完成</w:t>
      </w:r>
      <w:r>
        <w:rPr>
          <w:rFonts w:hint="eastAsia" w:ascii="仿宋_GB2312" w:hAnsi="仿宋" w:eastAsia="仿宋_GB2312"/>
          <w:sz w:val="32"/>
          <w:szCs w:val="32"/>
          <w:lang w:eastAsia="zh-CN"/>
        </w:rPr>
        <w:t>初步成果提交</w:t>
      </w:r>
      <w:r>
        <w:rPr>
          <w:rFonts w:hint="eastAsia" w:ascii="仿宋_GB2312" w:hAnsi="仿宋" w:eastAsia="仿宋_GB2312"/>
          <w:sz w:val="32"/>
          <w:szCs w:val="32"/>
        </w:rPr>
        <w:t>；经济效益</w:t>
      </w:r>
      <w:r>
        <w:rPr>
          <w:rFonts w:hint="eastAsia" w:ascii="仿宋_GB2312" w:hAnsi="仿宋" w:eastAsia="仿宋_GB2312"/>
          <w:sz w:val="32"/>
          <w:szCs w:val="32"/>
          <w:lang w:val="en-US" w:eastAsia="zh-CN"/>
        </w:rPr>
        <w:t>:</w:t>
      </w:r>
      <w:r>
        <w:rPr>
          <w:rFonts w:hint="eastAsia" w:ascii="仿宋_GB2312" w:hAnsi="仿宋" w:eastAsia="仿宋_GB2312"/>
          <w:sz w:val="32"/>
          <w:szCs w:val="32"/>
        </w:rPr>
        <w:t>促进城乡经济发展；社会效益：缓和村镇建设与农业用地矛盾，有利于合理利用土地资源，合理布局城乡内部功能组织，保障城乡安全、有利于保护自然和文化遗产；生态效益</w:t>
      </w:r>
      <w:r>
        <w:rPr>
          <w:rFonts w:hint="eastAsia" w:ascii="仿宋_GB2312" w:hAnsi="仿宋" w:eastAsia="仿宋_GB2312"/>
          <w:sz w:val="32"/>
          <w:szCs w:val="32"/>
          <w:lang w:val="en-US" w:eastAsia="zh-CN"/>
        </w:rPr>
        <w:t>:</w:t>
      </w:r>
      <w:r>
        <w:rPr>
          <w:rFonts w:hint="eastAsia" w:ascii="仿宋_GB2312" w:hAnsi="仿宋" w:eastAsia="仿宋_GB2312"/>
          <w:sz w:val="32"/>
          <w:szCs w:val="32"/>
        </w:rPr>
        <w:t>缓和村镇建设与农业用地矛盾，有利于合理利用土地资源，合理布局城乡内部功能组织，保障城乡安全、有利于保护自然和文化遗产。</w:t>
      </w:r>
    </w:p>
    <w:p>
      <w:pPr>
        <w:autoSpaceDE w:val="0"/>
        <w:spacing w:line="540" w:lineRule="exact"/>
        <w:ind w:firstLine="616" w:firstLineChars="200"/>
        <w:rPr>
          <w:rFonts w:hint="eastAsia" w:ascii="仿宋_GB2312" w:hAnsi="Times New Roman" w:eastAsia="楷体_GB2312" w:cs="Times New Roman"/>
          <w:spacing w:val="-6"/>
          <w:sz w:val="32"/>
          <w:szCs w:val="32"/>
          <w:lang w:eastAsia="zh-CN"/>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cs="Times New Roman"/>
          <w:spacing w:val="-6"/>
          <w:sz w:val="32"/>
          <w:szCs w:val="32"/>
          <w:lang w:eastAsia="zh-CN"/>
        </w:rPr>
        <w:t>项目申报内容与具体实施内容相符，且申报目标合理可行。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40" w:firstLineChars="200"/>
        <w:rPr>
          <w:rFonts w:hint="eastAsia" w:ascii="楷体_GB2312" w:hAnsi="Times New Roman" w:eastAsia="楷体_GB2312" w:cs="Times New Roman"/>
          <w:bCs/>
          <w:spacing w:val="-6"/>
          <w:sz w:val="32"/>
          <w:szCs w:val="32"/>
        </w:rPr>
      </w:pPr>
      <w:r>
        <w:rPr>
          <w:rFonts w:hint="eastAsia" w:ascii="仿宋_GB2312" w:hAnsi="仿宋" w:eastAsia="仿宋_GB2312"/>
          <w:sz w:val="32"/>
          <w:szCs w:val="32"/>
        </w:rPr>
        <w:t>（一）</w:t>
      </w:r>
      <w:r>
        <w:rPr>
          <w:rFonts w:hint="eastAsia" w:ascii="楷体_GB2312" w:hAnsi="Times New Roman" w:eastAsia="楷体_GB2312" w:cs="Times New Roman"/>
          <w:bCs/>
          <w:spacing w:val="-6"/>
          <w:sz w:val="32"/>
          <w:szCs w:val="32"/>
        </w:rPr>
        <w:t>资金计划、到位及使用情况</w:t>
      </w:r>
    </w:p>
    <w:p>
      <w:pPr>
        <w:spacing w:line="560" w:lineRule="exact"/>
        <w:ind w:firstLine="645"/>
        <w:rPr>
          <w:rFonts w:hint="eastAsia" w:ascii="仿宋_GB2312" w:hAnsi="仿宋" w:eastAsia="仿宋_GB2312"/>
          <w:sz w:val="32"/>
          <w:szCs w:val="32"/>
        </w:rPr>
      </w:pPr>
      <w:r>
        <w:rPr>
          <w:rFonts w:hint="eastAsia" w:ascii="仿宋_GB2312" w:hAnsi="Times New Roman" w:eastAsia="仿宋_GB2312" w:cs="Times New Roman"/>
          <w:spacing w:val="-6"/>
          <w:sz w:val="32"/>
          <w:szCs w:val="32"/>
        </w:rPr>
        <w:t>1.资金计划及到位。</w:t>
      </w:r>
      <w:r>
        <w:rPr>
          <w:rFonts w:hint="eastAsia" w:ascii="仿宋_GB2312" w:hAnsi="仿宋" w:eastAsia="仿宋_GB2312"/>
          <w:sz w:val="32"/>
          <w:szCs w:val="32"/>
        </w:rPr>
        <w:t>项目资金到位</w:t>
      </w:r>
      <w:r>
        <w:rPr>
          <w:rFonts w:hint="eastAsia" w:ascii="仿宋_GB2312" w:hAnsi="仿宋" w:eastAsia="仿宋_GB2312"/>
          <w:sz w:val="32"/>
          <w:szCs w:val="32"/>
          <w:lang w:val="en-US" w:eastAsia="zh-CN"/>
        </w:rPr>
        <w:t>25万元，资金到位率12%</w:t>
      </w:r>
      <w:r>
        <w:rPr>
          <w:rFonts w:hint="eastAsia" w:ascii="仿宋_GB2312" w:hAnsi="仿宋" w:eastAsia="仿宋_GB2312"/>
          <w:sz w:val="32"/>
          <w:szCs w:val="32"/>
        </w:rPr>
        <w:t>。</w:t>
      </w:r>
    </w:p>
    <w:p>
      <w:pPr>
        <w:spacing w:line="560" w:lineRule="exact"/>
        <w:ind w:firstLine="645"/>
        <w:rPr>
          <w:rFonts w:hint="default" w:ascii="仿宋_GB2312" w:hAnsi="仿宋" w:eastAsia="仿宋_GB2312"/>
          <w:sz w:val="32"/>
          <w:szCs w:val="32"/>
          <w:lang w:val="en-US" w:eastAsia="zh-CN"/>
        </w:rPr>
      </w:pPr>
      <w:r>
        <w:rPr>
          <w:rFonts w:hint="eastAsia" w:ascii="仿宋_GB2312" w:hAnsi="Times New Roman" w:eastAsia="仿宋_GB2312" w:cs="Times New Roman"/>
          <w:spacing w:val="-6"/>
          <w:sz w:val="32"/>
          <w:szCs w:val="32"/>
        </w:rPr>
        <w:t>2.资金使用。</w:t>
      </w:r>
      <w:r>
        <w:rPr>
          <w:rFonts w:hint="eastAsia" w:ascii="仿宋_GB2312" w:hAnsi="Times New Roman" w:eastAsia="仿宋_GB2312" w:cs="Times New Roman"/>
          <w:spacing w:val="-6"/>
          <w:sz w:val="32"/>
          <w:szCs w:val="32"/>
          <w:lang w:eastAsia="zh-CN"/>
        </w:rPr>
        <w:t>截止</w:t>
      </w:r>
      <w:r>
        <w:rPr>
          <w:rFonts w:hint="eastAsia" w:ascii="仿宋_GB2312" w:eastAsia="仿宋_GB2312" w:cs="Times New Roman"/>
          <w:spacing w:val="-6"/>
          <w:sz w:val="32"/>
          <w:szCs w:val="32"/>
          <w:lang w:eastAsia="zh-CN"/>
        </w:rPr>
        <w:t>目前</w:t>
      </w:r>
      <w:r>
        <w:rPr>
          <w:rFonts w:hint="eastAsia" w:ascii="仿宋_GB2312" w:hAnsi="Times New Roman" w:eastAsia="仿宋_GB2312" w:cs="Times New Roman"/>
          <w:spacing w:val="-6"/>
          <w:sz w:val="32"/>
          <w:szCs w:val="32"/>
          <w:lang w:eastAsia="zh-CN"/>
        </w:rPr>
        <w:t>实际支出</w:t>
      </w:r>
      <w:r>
        <w:rPr>
          <w:rFonts w:hint="eastAsia" w:ascii="仿宋_GB2312" w:hAnsi="Times New Roman" w:eastAsia="仿宋_GB2312" w:cs="Times New Roman"/>
          <w:spacing w:val="-6"/>
          <w:sz w:val="32"/>
          <w:szCs w:val="32"/>
          <w:lang w:val="en-US" w:eastAsia="zh-CN"/>
        </w:rPr>
        <w:t>25万元，项目资金严格按照实施方案预算科目计划进行支出，各预算科目资金略有调整，调整幅度符合资金管理规定的范围。</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（二）项目财务管理情况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已制定《</w:t>
      </w:r>
      <w:r>
        <w:rPr>
          <w:rFonts w:hint="eastAsia" w:ascii="仿宋_GB2312" w:hAnsi="仿宋" w:eastAsia="仿宋_GB2312"/>
          <w:sz w:val="32"/>
          <w:szCs w:val="32"/>
          <w:lang w:eastAsia="zh-CN"/>
        </w:rPr>
        <w:t>中心</w:t>
      </w:r>
      <w:r>
        <w:rPr>
          <w:rFonts w:hint="eastAsia" w:ascii="仿宋_GB2312" w:hAnsi="仿宋" w:eastAsia="仿宋_GB2312"/>
          <w:sz w:val="32"/>
          <w:szCs w:val="32"/>
        </w:rPr>
        <w:t>财务管理制度》，要求项目资金支付严格按照财务制度执行，账务处理及时，会计核算规范。</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（三）项目组织实施情况</w:t>
      </w:r>
    </w:p>
    <w:p>
      <w:pPr>
        <w:spacing w:line="560" w:lineRule="exact"/>
        <w:ind w:firstLine="660"/>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项目组织机构与职责落实情况</w:t>
      </w:r>
      <w:r>
        <w:rPr>
          <w:rFonts w:hint="eastAsia" w:ascii="仿宋_GB2312" w:hAnsi="仿宋" w:eastAsia="仿宋_GB2312"/>
          <w:sz w:val="32"/>
          <w:szCs w:val="32"/>
          <w:lang w:eastAsia="zh-CN"/>
        </w:rPr>
        <w:t>：</w:t>
      </w:r>
      <w:r>
        <w:rPr>
          <w:rFonts w:hint="eastAsia" w:ascii="仿宋_GB2312" w:hAnsi="仿宋" w:eastAsia="仿宋_GB2312"/>
          <w:sz w:val="32"/>
          <w:szCs w:val="32"/>
        </w:rPr>
        <w:t>根据区委区政府安排部署，区规划</w:t>
      </w:r>
      <w:r>
        <w:rPr>
          <w:rFonts w:hint="eastAsia" w:ascii="仿宋_GB2312" w:hAnsi="仿宋" w:eastAsia="仿宋_GB2312"/>
          <w:sz w:val="32"/>
          <w:szCs w:val="32"/>
          <w:lang w:eastAsia="zh-CN"/>
        </w:rPr>
        <w:t>中心</w:t>
      </w:r>
      <w:r>
        <w:rPr>
          <w:rFonts w:hint="eastAsia" w:ascii="仿宋_GB2312" w:hAnsi="仿宋" w:eastAsia="仿宋_GB2312"/>
          <w:sz w:val="32"/>
          <w:szCs w:val="32"/>
        </w:rPr>
        <w:t>作为规划编制项目实施主体。区规划</w:t>
      </w:r>
      <w:r>
        <w:rPr>
          <w:rFonts w:hint="eastAsia" w:ascii="仿宋_GB2312" w:hAnsi="仿宋" w:eastAsia="仿宋_GB2312"/>
          <w:sz w:val="32"/>
          <w:szCs w:val="32"/>
          <w:lang w:eastAsia="zh-CN"/>
        </w:rPr>
        <w:t>中心</w:t>
      </w:r>
      <w:r>
        <w:rPr>
          <w:rFonts w:hint="eastAsia" w:ascii="仿宋_GB2312" w:hAnsi="仿宋" w:eastAsia="仿宋_GB2312"/>
          <w:sz w:val="32"/>
          <w:szCs w:val="32"/>
        </w:rPr>
        <w:t>按照政府采购法和相关规定，委托招标代理机构，进行规划编制工作的采购工作，确定中标单位，稳步推进规划编制工作。</w:t>
      </w:r>
    </w:p>
    <w:p>
      <w:pPr>
        <w:spacing w:line="560" w:lineRule="exact"/>
        <w:ind w:firstLine="66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项目管理制度建设情况</w:t>
      </w:r>
      <w:r>
        <w:rPr>
          <w:rFonts w:hint="eastAsia" w:ascii="仿宋_GB2312" w:hAnsi="仿宋" w:eastAsia="仿宋_GB2312"/>
          <w:sz w:val="32"/>
          <w:szCs w:val="32"/>
          <w:lang w:eastAsia="zh-CN"/>
        </w:rPr>
        <w:t>：</w:t>
      </w:r>
      <w:r>
        <w:rPr>
          <w:rFonts w:hint="eastAsia" w:ascii="仿宋_GB2312" w:hAnsi="仿宋" w:eastAsia="仿宋_GB2312"/>
          <w:sz w:val="32"/>
          <w:szCs w:val="32"/>
        </w:rPr>
        <w:t>为加强项目绩效管理制度的建设，我</w:t>
      </w:r>
      <w:r>
        <w:rPr>
          <w:rFonts w:hint="eastAsia" w:ascii="仿宋_GB2312" w:hAnsi="仿宋" w:eastAsia="仿宋_GB2312"/>
          <w:sz w:val="32"/>
          <w:szCs w:val="32"/>
          <w:lang w:eastAsia="zh-CN"/>
        </w:rPr>
        <w:t>中心</w:t>
      </w:r>
      <w:r>
        <w:rPr>
          <w:rFonts w:hint="eastAsia" w:ascii="仿宋_GB2312" w:hAnsi="仿宋" w:eastAsia="仿宋_GB2312"/>
          <w:sz w:val="32"/>
          <w:szCs w:val="32"/>
        </w:rPr>
        <w:t>制定了一系列管理办法，项目严格执行。项目管理强化绩效理念和支出责任，提高财政资金使用效益，对预算绩效管理相关材料未达到报送要求、财政资金配置和执行绩效未能达到预期目标或规定标准的业务股室实行绩效问责。</w:t>
      </w:r>
    </w:p>
    <w:p>
      <w:pPr>
        <w:spacing w:line="560" w:lineRule="exact"/>
        <w:ind w:firstLine="66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项目组织管理落实情况</w:t>
      </w:r>
      <w:r>
        <w:rPr>
          <w:rFonts w:hint="eastAsia" w:ascii="仿宋_GB2312" w:hAnsi="仿宋" w:eastAsia="仿宋_GB2312"/>
          <w:sz w:val="32"/>
          <w:szCs w:val="32"/>
          <w:lang w:eastAsia="zh-CN"/>
        </w:rPr>
        <w:t>：</w:t>
      </w:r>
      <w:r>
        <w:rPr>
          <w:rFonts w:hint="eastAsia" w:ascii="仿宋_GB2312" w:hAnsi="仿宋" w:eastAsia="仿宋_GB2312"/>
          <w:sz w:val="32"/>
          <w:szCs w:val="32"/>
        </w:rPr>
        <w:t>为保证项目编制质量，项目牵头股室对项目进行跟踪，对编制项目现场踏勘、基础资料收集等各个阶段进行监督、检查。并按照项目开展情况、组织自然资源、住建、林业等区级相关部门安排听取各阶段方案汇报，对各阶段成果提出修改意见，保障项目成果能够达到规划要求。</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三、项目绩效情况</w:t>
      </w:r>
      <w:r>
        <w:rPr>
          <w:rFonts w:hint="eastAsia" w:ascii="黑体" w:hAnsi="黑体" w:eastAsia="黑体" w:cs="Times New Roman"/>
          <w:spacing w:val="-6"/>
          <w:sz w:val="32"/>
          <w:szCs w:val="32"/>
        </w:rPr>
        <w:tab/>
      </w:r>
    </w:p>
    <w:p>
      <w:pPr>
        <w:spacing w:line="560" w:lineRule="exact"/>
        <w:ind w:firstLine="645"/>
        <w:rPr>
          <w:rFonts w:hint="eastAsia" w:ascii="楷体_GB2312" w:hAnsi="仿宋" w:eastAsia="楷体_GB2312"/>
          <w:sz w:val="32"/>
          <w:szCs w:val="32"/>
        </w:rPr>
      </w:pPr>
      <w:r>
        <w:rPr>
          <w:rFonts w:hint="eastAsia" w:ascii="楷体_GB2312" w:hAnsi="仿宋" w:eastAsia="楷体_GB2312"/>
          <w:sz w:val="32"/>
          <w:szCs w:val="32"/>
        </w:rPr>
        <w:t>（一）项目完成情况。</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规划编制项目按照城乡规划法有关要求，完成了专家评审、报批等工作，并提交了</w:t>
      </w:r>
      <w:r>
        <w:rPr>
          <w:rFonts w:hint="eastAsia" w:ascii="仿宋_GB2312" w:hAnsi="仿宋" w:eastAsia="仿宋_GB2312"/>
          <w:sz w:val="32"/>
          <w:szCs w:val="32"/>
          <w:lang w:eastAsia="zh-CN"/>
        </w:rPr>
        <w:t>初步编制</w:t>
      </w:r>
      <w:r>
        <w:rPr>
          <w:rFonts w:hint="eastAsia" w:ascii="仿宋_GB2312" w:hAnsi="仿宋" w:eastAsia="仿宋_GB2312"/>
          <w:sz w:val="32"/>
          <w:szCs w:val="32"/>
        </w:rPr>
        <w:t>成果。政府采购备案材料完整，项目预算</w:t>
      </w:r>
      <w:r>
        <w:rPr>
          <w:rFonts w:hint="eastAsia" w:ascii="仿宋_GB2312" w:hAnsi="仿宋" w:eastAsia="仿宋_GB2312"/>
          <w:sz w:val="32"/>
          <w:szCs w:val="32"/>
          <w:lang w:val="en-US" w:eastAsia="zh-CN"/>
        </w:rPr>
        <w:t>2021年200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2022年538.8万元。</w:t>
      </w:r>
      <w:r>
        <w:rPr>
          <w:rFonts w:hint="eastAsia" w:ascii="仿宋_GB2312" w:hAnsi="仿宋" w:eastAsia="仿宋_GB2312"/>
          <w:sz w:val="32"/>
          <w:szCs w:val="32"/>
        </w:rPr>
        <w:t>区财政拨项目费用</w:t>
      </w:r>
      <w:r>
        <w:rPr>
          <w:rFonts w:hint="eastAsia" w:ascii="仿宋_GB2312" w:hAnsi="仿宋" w:eastAsia="仿宋_GB2312"/>
          <w:sz w:val="32"/>
          <w:szCs w:val="32"/>
          <w:lang w:val="en-US" w:eastAsia="zh-CN"/>
        </w:rPr>
        <w:t>25</w:t>
      </w:r>
      <w:r>
        <w:rPr>
          <w:rFonts w:hint="eastAsia" w:ascii="仿宋_GB2312" w:hAnsi="仿宋" w:eastAsia="仿宋_GB2312"/>
          <w:sz w:val="32"/>
          <w:szCs w:val="32"/>
        </w:rPr>
        <w:t>万元，实际支付</w:t>
      </w:r>
      <w:r>
        <w:rPr>
          <w:rFonts w:hint="eastAsia" w:ascii="仿宋_GB2312" w:hAnsi="仿宋" w:eastAsia="仿宋_GB2312"/>
          <w:sz w:val="32"/>
          <w:szCs w:val="32"/>
          <w:lang w:val="en-US" w:eastAsia="zh-CN"/>
        </w:rPr>
        <w:t>25</w:t>
      </w:r>
      <w:r>
        <w:rPr>
          <w:rFonts w:hint="eastAsia" w:ascii="仿宋_GB2312" w:hAnsi="仿宋" w:eastAsia="仿宋_GB2312"/>
          <w:sz w:val="32"/>
          <w:szCs w:val="32"/>
        </w:rPr>
        <w:t>万元。</w:t>
      </w:r>
    </w:p>
    <w:p>
      <w:pPr>
        <w:spacing w:line="560" w:lineRule="exact"/>
        <w:ind w:firstLine="645"/>
        <w:rPr>
          <w:rFonts w:hint="eastAsia" w:ascii="楷体_GB2312" w:hAnsi="仿宋" w:eastAsia="楷体_GB2312"/>
          <w:sz w:val="32"/>
          <w:szCs w:val="32"/>
        </w:rPr>
      </w:pPr>
      <w:r>
        <w:rPr>
          <w:rFonts w:hint="eastAsia" w:ascii="楷体_GB2312" w:hAnsi="仿宋" w:eastAsia="楷体_GB2312"/>
          <w:sz w:val="32"/>
          <w:szCs w:val="32"/>
        </w:rPr>
        <w:t>（二）项目效益情况。</w:t>
      </w:r>
    </w:p>
    <w:p>
      <w:pPr>
        <w:spacing w:line="560" w:lineRule="exact"/>
        <w:ind w:firstLine="640" w:firstLineChars="200"/>
        <w:rPr>
          <w:rFonts w:hint="eastAsia" w:ascii="黑体" w:hAnsi="黑体" w:eastAsia="黑体"/>
          <w:b/>
          <w:sz w:val="32"/>
          <w:szCs w:val="32"/>
        </w:rPr>
      </w:pPr>
      <w:r>
        <w:rPr>
          <w:rFonts w:hint="eastAsia" w:ascii="仿宋_GB2312" w:hAnsi="仿宋" w:eastAsia="仿宋_GB2312"/>
          <w:sz w:val="32"/>
          <w:szCs w:val="32"/>
        </w:rPr>
        <w:t>达到项目预期绩效目标。经济效益：促进城乡经济发展；社会效益：缓和村镇建设与农业用地矛盾，有利于合理利用土地资源，合理布局城乡内部功能组织，保障城乡安全；生态效益：有利于保护自然和文化遗产。</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四、问题及建议</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（一）存在的问题</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由于规划编制项目的特殊性，大多数项目都集中在年底支付，因此项目执行存在年初松年底紧的情况。</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规划编制专项经费涉及的项目多，打包评价难以确定合适的指标体系。</w:t>
      </w:r>
    </w:p>
    <w:p>
      <w:pPr>
        <w:spacing w:line="560" w:lineRule="exact"/>
        <w:ind w:firstLine="640" w:firstLineChars="200"/>
        <w:rPr>
          <w:rFonts w:hint="eastAsia" w:ascii="楷体_GB2312" w:hAnsi="Times New Roman" w:eastAsia="楷体_GB2312" w:cs="Times New Roman"/>
          <w:bCs/>
          <w:spacing w:val="-6"/>
          <w:sz w:val="32"/>
          <w:szCs w:val="32"/>
        </w:rPr>
      </w:pPr>
      <w:r>
        <w:rPr>
          <w:rFonts w:hint="eastAsia" w:ascii="仿宋_GB2312" w:hAnsi="仿宋" w:eastAsia="仿宋_GB2312"/>
          <w:sz w:val="32"/>
          <w:szCs w:val="32"/>
        </w:rPr>
        <w:t>3</w:t>
      </w:r>
      <w:r>
        <w:rPr>
          <w:rFonts w:hint="eastAsia" w:ascii="仿宋_GB2312" w:hAnsi="仿宋" w:eastAsia="仿宋_GB2312"/>
          <w:sz w:val="32"/>
          <w:szCs w:val="32"/>
          <w:lang w:val="en-US" w:eastAsia="zh-CN"/>
        </w:rPr>
        <w:t>.</w:t>
      </w:r>
      <w:r>
        <w:rPr>
          <w:rFonts w:hint="eastAsia" w:ascii="仿宋_GB2312" w:hAnsi="仿宋" w:eastAsia="仿宋_GB2312"/>
          <w:sz w:val="32"/>
          <w:szCs w:val="32"/>
        </w:rPr>
        <w:t>规划项目的特点是规划控制，实施过程长，经济效益、社会效益以及其他效益短期体现不明显，因此绩效评价工作需特殊处理。</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（二）相关建议。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w:t>
      </w:r>
      <w:r>
        <w:rPr>
          <w:rFonts w:hint="eastAsia" w:ascii="仿宋_GB2312" w:hAnsi="仿宋" w:eastAsia="仿宋_GB2312"/>
          <w:sz w:val="32"/>
          <w:szCs w:val="32"/>
        </w:rPr>
        <w:t>进一步完善各项绩效管理相关指标体系、制度、方法，确保从下至上绩效管理相关数据、信息采集通畅及时。</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仿宋" w:eastAsia="仿宋_GB2312"/>
          <w:sz w:val="32"/>
          <w:szCs w:val="32"/>
        </w:rPr>
        <w:t>2</w:t>
      </w:r>
      <w:r>
        <w:rPr>
          <w:rFonts w:hint="eastAsia" w:ascii="仿宋_GB2312" w:hAnsi="仿宋" w:eastAsia="仿宋_GB2312"/>
          <w:sz w:val="32"/>
          <w:szCs w:val="32"/>
          <w:lang w:val="en-US" w:eastAsia="zh-CN"/>
        </w:rPr>
        <w:t>.</w:t>
      </w:r>
      <w:r>
        <w:rPr>
          <w:rFonts w:hint="eastAsia" w:ascii="仿宋_GB2312" w:hAnsi="仿宋" w:eastAsia="仿宋_GB2312"/>
          <w:sz w:val="32"/>
          <w:szCs w:val="32"/>
        </w:rPr>
        <w:t>与财政积极对接，预算内编制经费按季度安排到位，保障项目编制进度及质量。</w:t>
      </w:r>
    </w:p>
    <w:p>
      <w:pPr>
        <w:rPr>
          <w:lang w:val="zh-CN"/>
        </w:rPr>
      </w:pPr>
    </w:p>
    <w:tbl>
      <w:tblPr>
        <w:tblStyle w:val="13"/>
        <w:tblpPr w:leftFromText="180" w:rightFromText="180" w:vertAnchor="text" w:horzAnchor="page" w:tblpXSpec="center" w:tblpY="660"/>
        <w:tblOverlap w:val="never"/>
        <w:tblW w:w="9811" w:type="dxa"/>
        <w:jc w:val="center"/>
        <w:tblLayout w:type="fixed"/>
        <w:tblCellMar>
          <w:top w:w="0" w:type="dxa"/>
          <w:left w:w="108" w:type="dxa"/>
          <w:bottom w:w="0" w:type="dxa"/>
          <w:right w:w="108" w:type="dxa"/>
        </w:tblCellMar>
      </w:tblPr>
      <w:tblGrid>
        <w:gridCol w:w="1976"/>
        <w:gridCol w:w="1142"/>
        <w:gridCol w:w="1208"/>
        <w:gridCol w:w="1175"/>
        <w:gridCol w:w="2112"/>
        <w:gridCol w:w="1962"/>
        <w:gridCol w:w="236"/>
      </w:tblGrid>
      <w:tr>
        <w:tblPrEx>
          <w:tblCellMar>
            <w:top w:w="0" w:type="dxa"/>
            <w:left w:w="108" w:type="dxa"/>
            <w:bottom w:w="0" w:type="dxa"/>
            <w:right w:w="108" w:type="dxa"/>
          </w:tblCellMar>
        </w:tblPrEx>
        <w:trPr>
          <w:trHeight w:val="675" w:hRule="atLeast"/>
          <w:jc w:val="center"/>
        </w:trPr>
        <w:tc>
          <w:tcPr>
            <w:tcW w:w="9575" w:type="dxa"/>
            <w:gridSpan w:val="6"/>
            <w:tcBorders>
              <w:top w:val="nil"/>
              <w:left w:val="nil"/>
              <w:bottom w:val="nil"/>
              <w:right w:val="nil"/>
            </w:tcBorders>
            <w:vAlign w:val="center"/>
          </w:tcPr>
          <w:p>
            <w:pPr>
              <w:widowControl/>
              <w:textAlignment w:val="center"/>
              <w:rPr>
                <w:rFonts w:ascii="宋体" w:cs="宋体"/>
                <w:b/>
                <w:sz w:val="32"/>
                <w:szCs w:val="32"/>
              </w:rPr>
            </w:pPr>
            <w:r>
              <w:rPr>
                <w:rFonts w:ascii="宋体" w:hAnsi="宋体" w:cs="宋体"/>
                <w:b/>
                <w:sz w:val="32"/>
                <w:szCs w:val="32"/>
              </w:rPr>
              <w:t>2021</w:t>
            </w:r>
            <w:r>
              <w:rPr>
                <w:rFonts w:hint="eastAsia" w:ascii="宋体" w:hAnsi="宋体" w:cs="宋体"/>
                <w:b/>
                <w:sz w:val="32"/>
                <w:szCs w:val="32"/>
              </w:rPr>
              <w:t>年</w:t>
            </w:r>
            <w:r>
              <w:rPr>
                <w:rFonts w:ascii="宋体" w:hAnsi="宋体" w:cs="宋体"/>
                <w:b/>
                <w:sz w:val="32"/>
                <w:szCs w:val="32"/>
              </w:rPr>
              <w:t>100</w:t>
            </w:r>
            <w:r>
              <w:rPr>
                <w:rFonts w:hint="eastAsia" w:ascii="宋体" w:hAnsi="宋体" w:cs="宋体"/>
                <w:b/>
                <w:sz w:val="32"/>
                <w:szCs w:val="32"/>
              </w:rPr>
              <w:t>万元以上（含）特定目标类部门预算项目绩效目标自评</w:t>
            </w:r>
          </w:p>
        </w:tc>
        <w:tc>
          <w:tcPr>
            <w:tcW w:w="236" w:type="dxa"/>
            <w:tcBorders>
              <w:top w:val="nil"/>
              <w:left w:val="nil"/>
              <w:bottom w:val="nil"/>
              <w:right w:val="nil"/>
            </w:tcBorders>
            <w:vAlign w:val="center"/>
          </w:tcPr>
          <w:p>
            <w:pPr>
              <w:widowControl/>
              <w:jc w:val="center"/>
              <w:textAlignment w:val="center"/>
              <w:rPr>
                <w:rFonts w:asci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主管部门及代码</w:t>
            </w:r>
          </w:p>
        </w:tc>
        <w:tc>
          <w:tcPr>
            <w:tcW w:w="23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eastAsia" w:ascii="宋体" w:eastAsia="宋体" w:cs="宋体"/>
                <w:sz w:val="24"/>
                <w:lang w:eastAsia="zh-CN"/>
              </w:rPr>
            </w:pPr>
            <w:r>
              <w:rPr>
                <w:rFonts w:hint="eastAsia" w:ascii="宋体" w:cs="宋体"/>
                <w:sz w:val="24"/>
                <w:lang w:eastAsia="zh-CN"/>
              </w:rPr>
              <w:t>广元市自然资源局</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实施单位</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eastAsia="宋体" w:cs="宋体"/>
                <w:sz w:val="24"/>
                <w:lang w:eastAsia="zh-CN"/>
              </w:rPr>
            </w:pPr>
            <w:r>
              <w:rPr>
                <w:rFonts w:hint="eastAsia" w:ascii="宋体" w:cs="宋体"/>
                <w:sz w:val="24"/>
                <w:lang w:eastAsia="zh-CN"/>
              </w:rPr>
              <w:t>广元市朝天国土空间规划编制研究中心</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both"/>
              <w:textAlignment w:val="center"/>
              <w:rPr>
                <w:rFonts w:hint="eastAsia" w:ascii="宋体" w:hAnsi="宋体" w:eastAsia="宋体" w:cs="宋体"/>
                <w:kern w:val="0"/>
                <w:sz w:val="24"/>
                <w:lang w:eastAsia="zh-CN"/>
              </w:rPr>
            </w:pPr>
            <w:r>
              <w:rPr>
                <w:rFonts w:hint="eastAsia" w:ascii="宋体" w:hAnsi="宋体" w:cs="宋体"/>
                <w:kern w:val="0"/>
                <w:sz w:val="24"/>
              </w:rPr>
              <w:t>项目预算</w:t>
            </w:r>
          </w:p>
          <w:p>
            <w:pPr>
              <w:widowControl/>
              <w:spacing w:line="320" w:lineRule="exact"/>
              <w:jc w:val="center"/>
              <w:textAlignment w:val="center"/>
              <w:rPr>
                <w:rFonts w:hint="eastAsia" w:ascii="宋体" w:hAnsi="宋体" w:eastAsia="宋体" w:cs="宋体"/>
                <w:kern w:val="0"/>
                <w:sz w:val="24"/>
                <w:lang w:eastAsia="zh-CN"/>
              </w:rPr>
            </w:pPr>
            <w:r>
              <w:rPr>
                <w:rFonts w:hint="eastAsia" w:ascii="宋体" w:hAnsi="宋体" w:cs="宋体"/>
                <w:kern w:val="0"/>
                <w:sz w:val="24"/>
              </w:rPr>
              <w:t>执行情况</w:t>
            </w:r>
          </w:p>
          <w:p>
            <w:pPr>
              <w:widowControl/>
              <w:spacing w:line="320" w:lineRule="exact"/>
              <w:jc w:val="center"/>
              <w:textAlignment w:val="center"/>
              <w:rPr>
                <w:rFonts w:ascii="宋体" w:cs="宋体"/>
                <w:sz w:val="24"/>
              </w:rPr>
            </w:pPr>
            <w:r>
              <w:rPr>
                <w:rFonts w:hint="eastAsia" w:ascii="宋体" w:hAnsi="宋体" w:cs="宋体"/>
                <w:kern w:val="0"/>
                <w:sz w:val="24"/>
              </w:rPr>
              <w:t>（万元）</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预算数：</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default" w:ascii="宋体" w:eastAsia="宋体" w:cs="宋体"/>
                <w:sz w:val="24"/>
                <w:lang w:val="en-US" w:eastAsia="zh-CN"/>
              </w:rPr>
            </w:pPr>
            <w:r>
              <w:rPr>
                <w:rFonts w:hint="eastAsia" w:ascii="宋体" w:cs="宋体"/>
                <w:sz w:val="24"/>
                <w:lang w:val="en-US" w:eastAsia="zh-CN"/>
              </w:rPr>
              <w:t>200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ascii="宋体" w:hAnsi="宋体" w:cs="宋体"/>
                <w:kern w:val="0"/>
                <w:sz w:val="24"/>
              </w:rPr>
              <w:t xml:space="preserve"> </w:t>
            </w:r>
            <w:r>
              <w:rPr>
                <w:rFonts w:hint="eastAsia" w:ascii="宋体" w:hAnsi="宋体" w:cs="宋体"/>
                <w:kern w:val="0"/>
                <w:sz w:val="24"/>
              </w:rPr>
              <w:t>执行数：</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default" w:ascii="宋体" w:eastAsia="宋体" w:cs="宋体"/>
                <w:sz w:val="24"/>
                <w:lang w:val="en-US" w:eastAsia="zh-CN"/>
              </w:rPr>
            </w:pPr>
            <w:r>
              <w:rPr>
                <w:rFonts w:hint="eastAsia" w:ascii="宋体" w:cs="宋体"/>
                <w:sz w:val="24"/>
                <w:lang w:val="en-US" w:eastAsia="zh-CN"/>
              </w:rPr>
              <w:t>25</w:t>
            </w:r>
          </w:p>
        </w:tc>
      </w:tr>
      <w:tr>
        <w:tblPrEx>
          <w:tblCellMar>
            <w:top w:w="0" w:type="dxa"/>
            <w:left w:w="108" w:type="dxa"/>
            <w:bottom w:w="0" w:type="dxa"/>
            <w:right w:w="108" w:type="dxa"/>
          </w:tblCellMar>
        </w:tblPrEx>
        <w:trPr>
          <w:gridAfter w:val="1"/>
          <w:wAfter w:w="236" w:type="dxa"/>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cs="宋体"/>
                <w:sz w:val="24"/>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其中</w:t>
            </w:r>
            <w:r>
              <w:rPr>
                <w:rFonts w:hint="eastAsia" w:ascii="宋体" w:hAnsi="宋体" w:cs="宋体"/>
                <w:kern w:val="0"/>
                <w:sz w:val="24"/>
                <w:lang w:val="en-US" w:eastAsia="zh-CN"/>
              </w:rPr>
              <w:t>:</w:t>
            </w:r>
            <w:r>
              <w:rPr>
                <w:rFonts w:hint="eastAsia" w:ascii="宋体" w:hAnsi="宋体" w:cs="宋体"/>
                <w:kern w:val="0"/>
                <w:sz w:val="24"/>
              </w:rPr>
              <w:t>财政拨款</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default" w:ascii="宋体" w:eastAsia="宋体" w:cs="宋体"/>
                <w:sz w:val="24"/>
                <w:lang w:val="en-US" w:eastAsia="zh-CN"/>
              </w:rPr>
            </w:pPr>
            <w:r>
              <w:rPr>
                <w:rFonts w:hint="eastAsia" w:ascii="宋体" w:cs="宋体"/>
                <w:sz w:val="24"/>
                <w:lang w:val="en-US" w:eastAsia="zh-CN"/>
              </w:rPr>
              <w:t>200</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其中</w:t>
            </w:r>
            <w:r>
              <w:rPr>
                <w:rFonts w:hint="eastAsia" w:ascii="宋体" w:hAnsi="宋体" w:cs="宋体"/>
                <w:kern w:val="0"/>
                <w:sz w:val="24"/>
                <w:lang w:val="en-US" w:eastAsia="zh-CN"/>
              </w:rPr>
              <w:t>:</w:t>
            </w:r>
            <w:r>
              <w:rPr>
                <w:rFonts w:hint="eastAsia" w:ascii="宋体" w:hAnsi="宋体" w:cs="宋体"/>
                <w:kern w:val="0"/>
                <w:sz w:val="24"/>
              </w:rPr>
              <w:t>财政拨款</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hint="default" w:ascii="宋体" w:eastAsia="宋体" w:cs="宋体"/>
                <w:sz w:val="24"/>
                <w:lang w:val="en-US" w:eastAsia="zh-CN"/>
              </w:rPr>
            </w:pPr>
            <w:r>
              <w:rPr>
                <w:rFonts w:hint="eastAsia" w:ascii="宋体" w:cs="宋体"/>
                <w:sz w:val="24"/>
                <w:lang w:val="en-US" w:eastAsia="zh-CN"/>
              </w:rPr>
              <w:t>25</w:t>
            </w:r>
          </w:p>
        </w:tc>
      </w:tr>
      <w:tr>
        <w:tblPrEx>
          <w:tblCellMar>
            <w:top w:w="0" w:type="dxa"/>
            <w:left w:w="108" w:type="dxa"/>
            <w:bottom w:w="0" w:type="dxa"/>
            <w:right w:w="108" w:type="dxa"/>
          </w:tblCellMar>
        </w:tblPrEx>
        <w:trPr>
          <w:gridAfter w:val="1"/>
          <w:wAfter w:w="236" w:type="dxa"/>
          <w:trHeight w:val="341" w:hRule="atLeast"/>
          <w:jc w:val="center"/>
        </w:trPr>
        <w:tc>
          <w:tcPr>
            <w:tcW w:w="3118" w:type="dxa"/>
            <w:gridSpan w:val="2"/>
            <w:vMerge w:val="continue"/>
            <w:tcBorders>
              <w:top w:val="single" w:color="000000" w:sz="4" w:space="0"/>
              <w:left w:val="single" w:color="000000" w:sz="4" w:space="0"/>
              <w:bottom w:val="single" w:color="auto" w:sz="4" w:space="0"/>
              <w:right w:val="single" w:color="000000" w:sz="4" w:space="0"/>
            </w:tcBorders>
            <w:vAlign w:val="center"/>
          </w:tcPr>
          <w:p>
            <w:pPr>
              <w:spacing w:line="320" w:lineRule="exact"/>
              <w:jc w:val="center"/>
              <w:rPr>
                <w:rFonts w:ascii="宋体" w:cs="宋体"/>
                <w:sz w:val="24"/>
              </w:rPr>
            </w:pPr>
          </w:p>
        </w:tc>
        <w:tc>
          <w:tcPr>
            <w:tcW w:w="1208"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175"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cs="宋体"/>
                <w:sz w:val="24"/>
              </w:rPr>
            </w:pPr>
          </w:p>
        </w:tc>
        <w:tc>
          <w:tcPr>
            <w:tcW w:w="2112"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left"/>
              <w:textAlignment w:val="center"/>
              <w:rPr>
                <w:rFonts w:ascii="宋体" w:cs="宋体"/>
                <w:sz w:val="24"/>
              </w:rPr>
            </w:pPr>
            <w:r>
              <w:rPr>
                <w:rFonts w:hint="eastAsia" w:ascii="宋体" w:hAnsi="宋体" w:cs="宋体"/>
                <w:kern w:val="0"/>
                <w:sz w:val="24"/>
              </w:rPr>
              <w:t>其他资金</w:t>
            </w:r>
          </w:p>
        </w:tc>
        <w:tc>
          <w:tcPr>
            <w:tcW w:w="1962" w:type="dxa"/>
            <w:tcBorders>
              <w:top w:val="single" w:color="000000" w:sz="4" w:space="0"/>
              <w:left w:val="single" w:color="000000" w:sz="4" w:space="0"/>
              <w:bottom w:val="single" w:color="auto" w:sz="4" w:space="0"/>
              <w:right w:val="single" w:color="000000" w:sz="4" w:space="0"/>
            </w:tcBorders>
            <w:vAlign w:val="center"/>
          </w:tcPr>
          <w:p>
            <w:pPr>
              <w:widowControl/>
              <w:spacing w:line="320" w:lineRule="exact"/>
              <w:jc w:val="center"/>
              <w:textAlignment w:val="center"/>
              <w:rPr>
                <w:rFonts w:ascii="宋体" w:cs="宋体"/>
                <w:sz w:val="24"/>
              </w:rPr>
            </w:pPr>
          </w:p>
        </w:tc>
      </w:tr>
      <w:tr>
        <w:tblPrEx>
          <w:tblCellMar>
            <w:top w:w="0" w:type="dxa"/>
            <w:left w:w="108" w:type="dxa"/>
            <w:bottom w:w="0" w:type="dxa"/>
            <w:right w:w="108" w:type="dxa"/>
          </w:tblCellMar>
        </w:tblPrEx>
        <w:trPr>
          <w:gridAfter w:val="1"/>
          <w:wAfter w:w="236" w:type="dxa"/>
          <w:trHeight w:val="447" w:hRule="atLeast"/>
          <w:jc w:val="center"/>
        </w:trPr>
        <w:tc>
          <w:tcPr>
            <w:tcW w:w="1976"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center"/>
              <w:textAlignment w:val="center"/>
              <w:rPr>
                <w:rFonts w:asci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cs="宋体"/>
                <w:sz w:val="24"/>
              </w:rPr>
            </w:pPr>
            <w:r>
              <w:rPr>
                <w:rFonts w:hint="eastAsia" w:ascii="宋体" w:hAnsi="宋体" w:cs="宋体"/>
                <w:kern w:val="0"/>
                <w:sz w:val="24"/>
              </w:rPr>
              <w:t>完成情况</w:t>
            </w:r>
          </w:p>
        </w:tc>
        <w:tc>
          <w:tcPr>
            <w:tcW w:w="3525" w:type="dxa"/>
            <w:gridSpan w:val="3"/>
            <w:tcBorders>
              <w:top w:val="single" w:color="auto"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预期目标</w:t>
            </w:r>
          </w:p>
        </w:tc>
        <w:tc>
          <w:tcPr>
            <w:tcW w:w="4074" w:type="dxa"/>
            <w:gridSpan w:val="2"/>
            <w:tcBorders>
              <w:top w:val="single" w:color="auto"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jc w:val="center"/>
        </w:trPr>
        <w:tc>
          <w:tcPr>
            <w:tcW w:w="1976" w:type="dxa"/>
            <w:vMerge w:val="continue"/>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cs="宋体"/>
                <w:sz w:val="24"/>
              </w:rPr>
            </w:pPr>
          </w:p>
        </w:tc>
        <w:tc>
          <w:tcPr>
            <w:tcW w:w="3525"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top"/>
              <w:rPr>
                <w:rFonts w:ascii="宋体" w:cs="宋体"/>
                <w:sz w:val="24"/>
              </w:rPr>
            </w:pPr>
            <w:r>
              <w:rPr>
                <w:rFonts w:hint="eastAsia" w:ascii="仿宋_GB2312" w:hAnsi="仿宋_GB2312" w:eastAsia="仿宋_GB2312" w:cs="仿宋_GB2312"/>
                <w:sz w:val="15"/>
                <w:szCs w:val="15"/>
              </w:rPr>
              <w:t>通过建立空间规划体系，划定生产、生活、生态空间，开发管理界限。</w:t>
            </w:r>
          </w:p>
        </w:tc>
        <w:tc>
          <w:tcPr>
            <w:tcW w:w="4074" w:type="dxa"/>
            <w:gridSpan w:val="2"/>
            <w:tcBorders>
              <w:top w:val="single" w:color="000000" w:sz="4" w:space="0"/>
              <w:left w:val="single" w:color="000000" w:sz="4" w:space="0"/>
              <w:bottom w:val="single" w:color="000000" w:sz="4" w:space="0"/>
              <w:right w:val="single" w:color="auto" w:sz="4" w:space="0"/>
            </w:tcBorders>
          </w:tcPr>
          <w:p>
            <w:pPr>
              <w:widowControl/>
              <w:spacing w:line="320" w:lineRule="exact"/>
              <w:jc w:val="center"/>
              <w:textAlignment w:val="top"/>
              <w:rPr>
                <w:rFonts w:ascii="宋体" w:cs="宋体"/>
                <w:sz w:val="24"/>
              </w:rPr>
            </w:pPr>
            <w:r>
              <w:rPr>
                <w:rFonts w:hint="eastAsia" w:ascii="仿宋_GB2312" w:hAnsi="仿宋_GB2312" w:eastAsia="仿宋_GB2312" w:cs="仿宋_GB2312"/>
                <w:sz w:val="15"/>
                <w:szCs w:val="15"/>
              </w:rPr>
              <w:t>通过建立空间规划体系，划定生产、生活、生态空间，开发管理界限。</w:t>
            </w:r>
          </w:p>
        </w:tc>
      </w:tr>
      <w:tr>
        <w:tblPrEx>
          <w:tblCellMar>
            <w:top w:w="0" w:type="dxa"/>
            <w:left w:w="108" w:type="dxa"/>
            <w:bottom w:w="0" w:type="dxa"/>
            <w:right w:w="108" w:type="dxa"/>
          </w:tblCellMar>
        </w:tblPrEx>
        <w:trPr>
          <w:gridAfter w:val="1"/>
          <w:wAfter w:w="236" w:type="dxa"/>
          <w:trHeight w:val="693" w:hRule="atLeast"/>
          <w:jc w:val="center"/>
        </w:trPr>
        <w:tc>
          <w:tcPr>
            <w:tcW w:w="1976" w:type="dxa"/>
            <w:vMerge w:val="restart"/>
            <w:tcBorders>
              <w:top w:val="single" w:color="000000" w:sz="4" w:space="0"/>
              <w:left w:val="single" w:color="auto"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1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62" w:type="dxa"/>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auto"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完成</w:t>
            </w:r>
          </w:p>
          <w:p>
            <w:pPr>
              <w:widowControl/>
              <w:spacing w:line="3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指标</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数量指标</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规划编制数量</w:t>
            </w:r>
          </w:p>
        </w:tc>
        <w:tc>
          <w:tcPr>
            <w:tcW w:w="2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3个（两河囗镇囯土空间总体规划、李家镇国土空间总体规划、临溪乡国土空间总体规划</w:t>
            </w:r>
          </w:p>
        </w:tc>
        <w:tc>
          <w:tcPr>
            <w:tcW w:w="19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5个乡镇45个村（曾家镇、两河口、李家镇、临溪乡、麻柳乡）规划</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auto"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s="仿宋_GB2312"/>
                <w:kern w:val="0"/>
                <w:sz w:val="15"/>
                <w:szCs w:val="15"/>
              </w:rPr>
            </w:pP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质量指标</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规划编制成果</w:t>
            </w:r>
          </w:p>
        </w:tc>
        <w:tc>
          <w:tcPr>
            <w:tcW w:w="2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按合同约定执行，达到国家编制标准</w:t>
            </w:r>
          </w:p>
        </w:tc>
        <w:tc>
          <w:tcPr>
            <w:tcW w:w="19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初步成果已提交</w:t>
            </w:r>
          </w:p>
        </w:tc>
      </w:tr>
      <w:tr>
        <w:tblPrEx>
          <w:tblCellMar>
            <w:top w:w="0" w:type="dxa"/>
            <w:left w:w="108" w:type="dxa"/>
            <w:bottom w:w="0" w:type="dxa"/>
            <w:right w:w="108" w:type="dxa"/>
          </w:tblCellMar>
        </w:tblPrEx>
        <w:trPr>
          <w:gridAfter w:val="1"/>
          <w:wAfter w:w="236" w:type="dxa"/>
          <w:trHeight w:val="415" w:hRule="atLeast"/>
          <w:jc w:val="center"/>
        </w:trPr>
        <w:tc>
          <w:tcPr>
            <w:tcW w:w="1976" w:type="dxa"/>
            <w:vMerge w:val="continue"/>
            <w:tcBorders>
              <w:left w:val="single" w:color="auto"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s="仿宋_GB2312"/>
                <w:kern w:val="0"/>
                <w:sz w:val="15"/>
                <w:szCs w:val="15"/>
              </w:rPr>
            </w:pP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时效指标</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 xml:space="preserve"> 规划编制时间段</w:t>
            </w:r>
          </w:p>
        </w:tc>
        <w:tc>
          <w:tcPr>
            <w:tcW w:w="2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按合同约定时限完成</w:t>
            </w:r>
          </w:p>
        </w:tc>
        <w:tc>
          <w:tcPr>
            <w:tcW w:w="19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按合同约定时限完成</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auto"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15"/>
                <w:szCs w:val="15"/>
              </w:rPr>
              <w:t>成本指标</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 xml:space="preserve"> 规划编制费用</w:t>
            </w:r>
          </w:p>
        </w:tc>
        <w:tc>
          <w:tcPr>
            <w:tcW w:w="2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100万元</w:t>
            </w:r>
          </w:p>
        </w:tc>
        <w:tc>
          <w:tcPr>
            <w:tcW w:w="19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sz w:val="15"/>
                <w:szCs w:val="15"/>
                <w:lang w:val="en-US" w:eastAsia="zh-CN"/>
              </w:rPr>
            </w:pPr>
            <w:r>
              <w:rPr>
                <w:rFonts w:hint="eastAsia" w:ascii="仿宋_GB2312" w:hAnsi="仿宋_GB2312" w:eastAsia="仿宋_GB2312" w:cs="仿宋_GB2312"/>
                <w:sz w:val="15"/>
                <w:szCs w:val="15"/>
                <w:lang w:val="en-US" w:eastAsia="zh-CN"/>
              </w:rPr>
              <w:t>25万元</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auto"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hint="eastAsia" w:ascii="仿宋_GB2312" w:hAnsi="仿宋_GB2312" w:eastAsia="仿宋_GB2312" w:cs="仿宋_GB2312"/>
                <w:kern w:val="0"/>
                <w:sz w:val="15"/>
                <w:szCs w:val="15"/>
                <w:lang w:eastAsia="zh-CN"/>
              </w:rPr>
            </w:pPr>
            <w:r>
              <w:rPr>
                <w:rFonts w:hint="eastAsia" w:ascii="仿宋_GB2312" w:hAnsi="仿宋_GB2312" w:eastAsia="仿宋_GB2312" w:cs="仿宋_GB2312"/>
                <w:kern w:val="0"/>
                <w:sz w:val="15"/>
                <w:szCs w:val="15"/>
              </w:rPr>
              <w:t>效益</w:t>
            </w:r>
          </w:p>
          <w:p>
            <w:pPr>
              <w:widowControl/>
              <w:spacing w:line="3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指标</w:t>
            </w: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经济效益指标</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规划编制</w:t>
            </w:r>
          </w:p>
        </w:tc>
        <w:tc>
          <w:tcPr>
            <w:tcW w:w="2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提升朝天区乡村级规划建设的科学性、实用性、前瞻性，促进乡村振兴战略深入实施，做好乡镇行政区划和村级建制调整改革后半篇文章。</w:t>
            </w:r>
          </w:p>
        </w:tc>
        <w:tc>
          <w:tcPr>
            <w:tcW w:w="19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按预期目标完成</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auto"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hint="eastAsia" w:ascii="仿宋_GB2312" w:hAnsi="仿宋_GB2312" w:eastAsia="仿宋_GB2312" w:cs="仿宋_GB2312"/>
                <w:kern w:val="0"/>
                <w:sz w:val="15"/>
                <w:szCs w:val="15"/>
              </w:rPr>
            </w:pPr>
          </w:p>
        </w:tc>
        <w:tc>
          <w:tcPr>
            <w:tcW w:w="12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社会效益指标</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规划编制</w:t>
            </w:r>
          </w:p>
        </w:tc>
        <w:tc>
          <w:tcPr>
            <w:tcW w:w="21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明确国土空间生态修复目标、任务和重点区域，安排国土综合整治和生态保护修复重点项目的规模、布局和时序。</w:t>
            </w:r>
          </w:p>
        </w:tc>
        <w:tc>
          <w:tcPr>
            <w:tcW w:w="196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按预期目标完成</w:t>
            </w:r>
          </w:p>
        </w:tc>
      </w:tr>
      <w:tr>
        <w:tblPrEx>
          <w:tblCellMar>
            <w:top w:w="0" w:type="dxa"/>
            <w:left w:w="108" w:type="dxa"/>
            <w:bottom w:w="0" w:type="dxa"/>
            <w:right w:w="108" w:type="dxa"/>
          </w:tblCellMar>
        </w:tblPrEx>
        <w:trPr>
          <w:gridAfter w:val="1"/>
          <w:wAfter w:w="236" w:type="dxa"/>
          <w:trHeight w:val="480" w:hRule="atLeast"/>
          <w:jc w:val="center"/>
        </w:trPr>
        <w:tc>
          <w:tcPr>
            <w:tcW w:w="1976" w:type="dxa"/>
            <w:vMerge w:val="continue"/>
            <w:tcBorders>
              <w:left w:val="single" w:color="auto" w:sz="4" w:space="0"/>
              <w:bottom w:val="single" w:color="auto"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auto"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2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可持续影响 指标</w:t>
            </w:r>
          </w:p>
        </w:tc>
        <w:tc>
          <w:tcPr>
            <w:tcW w:w="11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 xml:space="preserve"> 规划编制</w:t>
            </w:r>
          </w:p>
        </w:tc>
        <w:tc>
          <w:tcPr>
            <w:tcW w:w="211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良好</w:t>
            </w:r>
          </w:p>
        </w:tc>
        <w:tc>
          <w:tcPr>
            <w:tcW w:w="1962"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bottom"/>
              <w:rPr>
                <w:rFonts w:hint="eastAsia"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按合同履约</w:t>
            </w:r>
          </w:p>
        </w:tc>
      </w:tr>
    </w:tbl>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p>
      <w:pPr>
        <w:widowControl/>
        <w:adjustRightInd w:val="0"/>
        <w:snapToGrid w:val="0"/>
        <w:spacing w:line="580" w:lineRule="exact"/>
        <w:contextualSpacing/>
        <w:jc w:val="left"/>
      </w:pPr>
      <w:r>
        <w:rPr>
          <w:rFonts w:hint="eastAsia" w:ascii="仿宋_GB2312" w:hAnsi="宋体" w:eastAsia="仿宋_GB2312" w:cs="宋体"/>
          <w:kern w:val="0"/>
          <w:sz w:val="32"/>
          <w:szCs w:val="32"/>
          <w:shd w:val="clear" w:color="auto" w:fill="FFFFFF"/>
        </w:rPr>
        <w:t>（注：有两个及以上</w:t>
      </w:r>
      <w:r>
        <w:rPr>
          <w:rFonts w:ascii="仿宋_GB2312" w:hAnsi="宋体" w:eastAsia="仿宋_GB2312" w:cs="宋体"/>
          <w:kern w:val="0"/>
          <w:sz w:val="32"/>
          <w:szCs w:val="32"/>
          <w:shd w:val="clear" w:color="auto" w:fill="FFFFFF"/>
        </w:rPr>
        <w:t>100</w:t>
      </w:r>
      <w:r>
        <w:rPr>
          <w:rFonts w:hint="eastAsia" w:ascii="仿宋_GB2312" w:hAnsi="宋体" w:eastAsia="仿宋_GB2312" w:cs="宋体"/>
          <w:kern w:val="0"/>
          <w:sz w:val="32"/>
          <w:szCs w:val="32"/>
          <w:shd w:val="clear" w:color="auto" w:fill="FFFFFF"/>
        </w:rPr>
        <w:t>万元以上（含）特定目标类部门预算项目的，需分别开展绩效目标自评并填写附表）</w:t>
      </w:r>
    </w:p>
    <w:p>
      <w:pPr>
        <w:spacing w:line="580" w:lineRule="exact"/>
        <w:rPr>
          <w:rStyle w:val="17"/>
          <w:rFonts w:ascii="黑体" w:hAnsi="黑体" w:eastAsia="黑体"/>
          <w:b w:val="0"/>
        </w:rPr>
      </w:pPr>
    </w:p>
    <w:p>
      <w:pPr>
        <w:widowControl/>
        <w:jc w:val="left"/>
        <w:rPr>
          <w:rStyle w:val="17"/>
          <w:rFonts w:ascii="黑体" w:hAnsi="黑体" w:eastAsia="黑体"/>
          <w:b w:val="0"/>
        </w:rPr>
      </w:pPr>
      <w:r>
        <w:rPr>
          <w:rStyle w:val="17"/>
          <w:rFonts w:ascii="黑体" w:hAnsi="黑体" w:eastAsia="黑体"/>
          <w:b w:val="0"/>
        </w:rPr>
        <w:br w:type="page"/>
      </w: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18"/>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18"/>
          <w:rFonts w:hint="eastAsia" w:ascii="仿宋" w:hAnsi="仿宋" w:eastAsia="仿宋"/>
          <w:b w:val="0"/>
          <w:bCs w:val="0"/>
        </w:rPr>
        <w:t>入决算表</w:t>
      </w:r>
      <w:bookmarkEnd w:id="61"/>
    </w:p>
    <w:p>
      <w:pPr>
        <w:pStyle w:val="4"/>
        <w:rPr>
          <w:rFonts w:ascii="仿宋" w:hAnsi="仿宋" w:eastAsia="仿宋"/>
        </w:rPr>
      </w:pPr>
      <w:bookmarkStart w:id="62" w:name="_Toc15396621"/>
      <w:r>
        <w:rPr>
          <w:rStyle w:val="18"/>
          <w:rFonts w:hint="eastAsia" w:ascii="仿宋" w:hAnsi="仿宋" w:eastAsia="仿宋"/>
          <w:b w:val="0"/>
          <w:bCs w:val="0"/>
        </w:rPr>
        <w:t>三、</w:t>
      </w:r>
      <w:r>
        <w:rPr>
          <w:rFonts w:hint="eastAsia" w:ascii="仿宋" w:hAnsi="仿宋" w:eastAsia="仿宋"/>
          <w:b w:val="0"/>
        </w:rPr>
        <w:t>支</w:t>
      </w:r>
      <w:r>
        <w:rPr>
          <w:rStyle w:val="18"/>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18"/>
          <w:rFonts w:hint="eastAsia" w:ascii="仿宋" w:hAnsi="仿宋" w:eastAsia="仿宋"/>
          <w:b w:val="0"/>
          <w:bCs w:val="0"/>
        </w:rPr>
        <w:t>四、</w:t>
      </w:r>
      <w:r>
        <w:rPr>
          <w:rFonts w:hint="eastAsia" w:ascii="仿宋" w:hAnsi="仿宋" w:eastAsia="仿宋"/>
          <w:b w:val="0"/>
        </w:rPr>
        <w:t>财</w:t>
      </w:r>
      <w:r>
        <w:rPr>
          <w:rStyle w:val="18"/>
          <w:rFonts w:hint="eastAsia" w:ascii="仿宋" w:hAnsi="仿宋" w:eastAsia="仿宋"/>
          <w:b w:val="0"/>
          <w:bCs w:val="0"/>
        </w:rPr>
        <w:t>政拨款收入支出决算总表</w:t>
      </w:r>
      <w:bookmarkEnd w:id="63"/>
    </w:p>
    <w:p>
      <w:pPr>
        <w:pStyle w:val="4"/>
        <w:rPr>
          <w:rStyle w:val="18"/>
          <w:rFonts w:ascii="仿宋" w:hAnsi="仿宋" w:eastAsia="仿宋"/>
          <w:b w:val="0"/>
          <w:bCs w:val="0"/>
        </w:rPr>
      </w:pPr>
      <w:bookmarkStart w:id="64" w:name="_Toc15396623"/>
      <w:r>
        <w:rPr>
          <w:rStyle w:val="18"/>
          <w:rFonts w:hint="eastAsia" w:ascii="仿宋" w:hAnsi="仿宋" w:eastAsia="仿宋"/>
          <w:b w:val="0"/>
          <w:bCs w:val="0"/>
        </w:rPr>
        <w:t>五、</w:t>
      </w:r>
      <w:r>
        <w:rPr>
          <w:rFonts w:hint="eastAsia" w:ascii="仿宋" w:hAnsi="仿宋" w:eastAsia="仿宋"/>
          <w:b w:val="0"/>
        </w:rPr>
        <w:t>财</w:t>
      </w:r>
      <w:r>
        <w:rPr>
          <w:rStyle w:val="18"/>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18"/>
          <w:rFonts w:hint="eastAsia" w:ascii="仿宋" w:hAnsi="仿宋" w:eastAsia="仿宋"/>
          <w:b w:val="0"/>
          <w:bCs w:val="0"/>
        </w:rPr>
        <w:t>六、</w:t>
      </w:r>
      <w:r>
        <w:rPr>
          <w:rFonts w:hint="eastAsia" w:ascii="仿宋" w:hAnsi="仿宋" w:eastAsia="仿宋"/>
          <w:b w:val="0"/>
        </w:rPr>
        <w:t>一</w:t>
      </w:r>
      <w:r>
        <w:rPr>
          <w:rStyle w:val="18"/>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18"/>
          <w:rFonts w:hint="eastAsia" w:ascii="仿宋" w:hAnsi="仿宋" w:eastAsia="仿宋"/>
          <w:b w:val="0"/>
          <w:bCs w:val="0"/>
        </w:rPr>
        <w:t>七、</w:t>
      </w:r>
      <w:r>
        <w:rPr>
          <w:rFonts w:hint="eastAsia" w:ascii="仿宋" w:hAnsi="仿宋" w:eastAsia="仿宋"/>
          <w:b w:val="0"/>
        </w:rPr>
        <w:t>一</w:t>
      </w:r>
      <w:r>
        <w:rPr>
          <w:rStyle w:val="18"/>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18"/>
          <w:rFonts w:hint="eastAsia" w:ascii="仿宋" w:hAnsi="仿宋" w:eastAsia="仿宋"/>
          <w:b w:val="0"/>
          <w:bCs w:val="0"/>
        </w:rPr>
        <w:t>八、</w:t>
      </w:r>
      <w:r>
        <w:rPr>
          <w:rFonts w:hint="eastAsia" w:ascii="仿宋" w:hAnsi="仿宋" w:eastAsia="仿宋"/>
          <w:b w:val="0"/>
        </w:rPr>
        <w:t>一</w:t>
      </w:r>
      <w:r>
        <w:rPr>
          <w:rStyle w:val="18"/>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18"/>
          <w:rFonts w:hint="eastAsia" w:ascii="仿宋" w:hAnsi="仿宋" w:eastAsia="仿宋"/>
          <w:b w:val="0"/>
          <w:bCs w:val="0"/>
        </w:rPr>
        <w:t>九、</w:t>
      </w:r>
      <w:r>
        <w:rPr>
          <w:rFonts w:hint="eastAsia" w:ascii="仿宋" w:hAnsi="仿宋" w:eastAsia="仿宋"/>
          <w:b w:val="0"/>
        </w:rPr>
        <w:t>一</w:t>
      </w:r>
      <w:r>
        <w:rPr>
          <w:rStyle w:val="18"/>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18"/>
          <w:rFonts w:hint="eastAsia" w:ascii="仿宋" w:hAnsi="仿宋" w:eastAsia="仿宋"/>
          <w:b w:val="0"/>
          <w:bCs w:val="0"/>
        </w:rPr>
        <w:t>十、</w:t>
      </w:r>
      <w:r>
        <w:rPr>
          <w:rFonts w:hint="eastAsia" w:ascii="仿宋" w:hAnsi="仿宋" w:eastAsia="仿宋"/>
          <w:b w:val="0"/>
        </w:rPr>
        <w:t>一</w:t>
      </w:r>
      <w:r>
        <w:rPr>
          <w:rStyle w:val="18"/>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18"/>
          <w:rFonts w:hint="eastAsia" w:ascii="仿宋" w:hAnsi="仿宋" w:eastAsia="仿宋"/>
          <w:b w:val="0"/>
          <w:bCs w:val="0"/>
        </w:rPr>
        <w:t>十一、</w:t>
      </w:r>
      <w:r>
        <w:rPr>
          <w:rFonts w:hint="eastAsia" w:ascii="仿宋" w:hAnsi="仿宋" w:eastAsia="仿宋"/>
          <w:b w:val="0"/>
        </w:rPr>
        <w:t>政</w:t>
      </w:r>
      <w:r>
        <w:rPr>
          <w:rStyle w:val="18"/>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18"/>
          <w:rFonts w:hint="eastAsia" w:ascii="仿宋" w:hAnsi="仿宋" w:eastAsia="仿宋"/>
          <w:b w:val="0"/>
          <w:bCs w:val="0"/>
        </w:rPr>
        <w:t>十二、</w:t>
      </w:r>
      <w:r>
        <w:rPr>
          <w:rFonts w:hint="eastAsia" w:ascii="仿宋" w:hAnsi="仿宋" w:eastAsia="仿宋"/>
          <w:b w:val="0"/>
        </w:rPr>
        <w:t>政</w:t>
      </w:r>
      <w:r>
        <w:rPr>
          <w:rStyle w:val="18"/>
          <w:rFonts w:hint="eastAsia" w:ascii="仿宋" w:hAnsi="仿宋" w:eastAsia="仿宋"/>
          <w:b w:val="0"/>
          <w:bCs w:val="0"/>
        </w:rPr>
        <w:t>府性基金预算财政拨款“三公”经费支出决算表</w:t>
      </w:r>
      <w:bookmarkEnd w:id="71"/>
    </w:p>
    <w:p>
      <w:pPr>
        <w:pStyle w:val="4"/>
        <w:rPr>
          <w:rStyle w:val="18"/>
          <w:rFonts w:ascii="仿宋" w:hAnsi="仿宋" w:eastAsia="仿宋"/>
          <w:b w:val="0"/>
          <w:bCs w:val="0"/>
        </w:rPr>
      </w:pPr>
      <w:bookmarkStart w:id="72" w:name="_Toc15396631"/>
      <w:r>
        <w:rPr>
          <w:rStyle w:val="18"/>
          <w:rFonts w:hint="eastAsia" w:ascii="仿宋" w:hAnsi="仿宋" w:eastAsia="仿宋"/>
          <w:b w:val="0"/>
          <w:bCs w:val="0"/>
        </w:rPr>
        <w:t>十三、</w:t>
      </w:r>
      <w:r>
        <w:rPr>
          <w:rFonts w:hint="eastAsia" w:ascii="仿宋" w:hAnsi="仿宋" w:eastAsia="仿宋"/>
          <w:b w:val="0"/>
        </w:rPr>
        <w:t>国</w:t>
      </w:r>
      <w:r>
        <w:rPr>
          <w:rStyle w:val="18"/>
          <w:rFonts w:hint="eastAsia" w:ascii="仿宋" w:hAnsi="仿宋" w:eastAsia="仿宋"/>
          <w:b w:val="0"/>
          <w:bCs w:val="0"/>
        </w:rPr>
        <w:t>有资本经营预算财政拨款收入支出决算表</w:t>
      </w:r>
      <w:bookmarkEnd w:id="72"/>
    </w:p>
    <w:p>
      <w:pPr>
        <w:rPr>
          <w:rFonts w:eastAsia="仿宋"/>
        </w:rPr>
      </w:pPr>
      <w:r>
        <w:rPr>
          <w:rStyle w:val="18"/>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FD6D8"/>
    <w:multiLevelType w:val="singleLevel"/>
    <w:tmpl w:val="81FFD6D8"/>
    <w:lvl w:ilvl="0" w:tentative="0">
      <w:start w:val="1"/>
      <w:numFmt w:val="chineseCounting"/>
      <w:suff w:val="nothing"/>
      <w:lvlText w:val="%1、"/>
      <w:lvlJc w:val="left"/>
      <w:rPr>
        <w:rFonts w:hint="eastAsia"/>
      </w:rPr>
    </w:lvl>
  </w:abstractNum>
  <w:abstractNum w:abstractNumId="1">
    <w:nsid w:val="8E432034"/>
    <w:multiLevelType w:val="singleLevel"/>
    <w:tmpl w:val="8E432034"/>
    <w:lvl w:ilvl="0" w:tentative="0">
      <w:start w:val="2"/>
      <w:numFmt w:val="chineseCounting"/>
      <w:suff w:val="nothing"/>
      <w:lvlText w:val="%1、"/>
      <w:lvlJc w:val="left"/>
      <w:rPr>
        <w:rFonts w:hint="eastAsia"/>
      </w:rPr>
    </w:lvl>
  </w:abstractNum>
  <w:abstractNum w:abstractNumId="2">
    <w:nsid w:val="A184A2AD"/>
    <w:multiLevelType w:val="singleLevel"/>
    <w:tmpl w:val="A184A2AD"/>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MjNjNDNjMzAyYjRmNWU3YmMxMjYyMjI5MWIzOGEifQ=="/>
  </w:docVars>
  <w:rsids>
    <w:rsidRoot w:val="00F1361C"/>
    <w:rsid w:val="000222C6"/>
    <w:rsid w:val="0002549F"/>
    <w:rsid w:val="00035963"/>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967B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85B87"/>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1E3D"/>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2B82"/>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11345"/>
    <w:rsid w:val="018557C9"/>
    <w:rsid w:val="01B464A4"/>
    <w:rsid w:val="02AC1160"/>
    <w:rsid w:val="02AC5F8B"/>
    <w:rsid w:val="031B4E73"/>
    <w:rsid w:val="034B0AC6"/>
    <w:rsid w:val="0365214C"/>
    <w:rsid w:val="03A66700"/>
    <w:rsid w:val="03B770C2"/>
    <w:rsid w:val="044D1EB4"/>
    <w:rsid w:val="046E5030"/>
    <w:rsid w:val="04B361ED"/>
    <w:rsid w:val="04D64379"/>
    <w:rsid w:val="05316F7F"/>
    <w:rsid w:val="058731EA"/>
    <w:rsid w:val="059D11D7"/>
    <w:rsid w:val="05AC6E21"/>
    <w:rsid w:val="064E7EBC"/>
    <w:rsid w:val="066E0107"/>
    <w:rsid w:val="068902F3"/>
    <w:rsid w:val="06F37A6F"/>
    <w:rsid w:val="070C0397"/>
    <w:rsid w:val="079907E2"/>
    <w:rsid w:val="07996F6E"/>
    <w:rsid w:val="07B92A66"/>
    <w:rsid w:val="08245586"/>
    <w:rsid w:val="08B97B9F"/>
    <w:rsid w:val="08CB76E9"/>
    <w:rsid w:val="08FF2325"/>
    <w:rsid w:val="093412EE"/>
    <w:rsid w:val="095A2D1D"/>
    <w:rsid w:val="098870DE"/>
    <w:rsid w:val="09E34AD6"/>
    <w:rsid w:val="0A053D41"/>
    <w:rsid w:val="0A2032A3"/>
    <w:rsid w:val="0A3353C0"/>
    <w:rsid w:val="0A64315D"/>
    <w:rsid w:val="0A7B2DD2"/>
    <w:rsid w:val="0A864D8E"/>
    <w:rsid w:val="0AA279B3"/>
    <w:rsid w:val="0AEF29B0"/>
    <w:rsid w:val="0BAE1DFE"/>
    <w:rsid w:val="0C230DF6"/>
    <w:rsid w:val="0C287BDF"/>
    <w:rsid w:val="0D0C2BB8"/>
    <w:rsid w:val="0D645FE7"/>
    <w:rsid w:val="0D8B6C53"/>
    <w:rsid w:val="0DF847C1"/>
    <w:rsid w:val="0E396F77"/>
    <w:rsid w:val="0ECA63A6"/>
    <w:rsid w:val="0EFB7551"/>
    <w:rsid w:val="0F072309"/>
    <w:rsid w:val="0F2642B6"/>
    <w:rsid w:val="0F73799F"/>
    <w:rsid w:val="0FE268D2"/>
    <w:rsid w:val="0FFF2388"/>
    <w:rsid w:val="101860EC"/>
    <w:rsid w:val="103B6D46"/>
    <w:rsid w:val="109776BD"/>
    <w:rsid w:val="10C055FF"/>
    <w:rsid w:val="1102722C"/>
    <w:rsid w:val="118107EC"/>
    <w:rsid w:val="11DC678C"/>
    <w:rsid w:val="11FC1ECD"/>
    <w:rsid w:val="12026A48"/>
    <w:rsid w:val="12042B30"/>
    <w:rsid w:val="125973EA"/>
    <w:rsid w:val="12AB48FF"/>
    <w:rsid w:val="1312181A"/>
    <w:rsid w:val="134E0E5D"/>
    <w:rsid w:val="136B5F60"/>
    <w:rsid w:val="1381301D"/>
    <w:rsid w:val="13BE3769"/>
    <w:rsid w:val="13D50BC4"/>
    <w:rsid w:val="144F6A13"/>
    <w:rsid w:val="14D44CEB"/>
    <w:rsid w:val="15095AC8"/>
    <w:rsid w:val="151F1C95"/>
    <w:rsid w:val="158C2D9C"/>
    <w:rsid w:val="164C3499"/>
    <w:rsid w:val="16BB723D"/>
    <w:rsid w:val="171F03C0"/>
    <w:rsid w:val="17306175"/>
    <w:rsid w:val="17676F98"/>
    <w:rsid w:val="181331AF"/>
    <w:rsid w:val="18721BFE"/>
    <w:rsid w:val="1875452B"/>
    <w:rsid w:val="19797D0C"/>
    <w:rsid w:val="19851B30"/>
    <w:rsid w:val="19F53A8B"/>
    <w:rsid w:val="1A2F5840"/>
    <w:rsid w:val="1A983FEE"/>
    <w:rsid w:val="1B177D78"/>
    <w:rsid w:val="1BE0785C"/>
    <w:rsid w:val="1BE8440E"/>
    <w:rsid w:val="1C56667E"/>
    <w:rsid w:val="1CB61254"/>
    <w:rsid w:val="1CC75DDB"/>
    <w:rsid w:val="1D155CEE"/>
    <w:rsid w:val="1DDB4B49"/>
    <w:rsid w:val="1DFB128B"/>
    <w:rsid w:val="1EA54D5D"/>
    <w:rsid w:val="1F0C1276"/>
    <w:rsid w:val="1F770CB6"/>
    <w:rsid w:val="200A5653"/>
    <w:rsid w:val="20EF79E3"/>
    <w:rsid w:val="2161036C"/>
    <w:rsid w:val="21D42B50"/>
    <w:rsid w:val="21F16E98"/>
    <w:rsid w:val="22431751"/>
    <w:rsid w:val="228471E3"/>
    <w:rsid w:val="228A4452"/>
    <w:rsid w:val="22A33F0B"/>
    <w:rsid w:val="22B660C8"/>
    <w:rsid w:val="232E02C0"/>
    <w:rsid w:val="23331568"/>
    <w:rsid w:val="23333912"/>
    <w:rsid w:val="23860B96"/>
    <w:rsid w:val="240371BF"/>
    <w:rsid w:val="240C5593"/>
    <w:rsid w:val="24C81497"/>
    <w:rsid w:val="25C80C02"/>
    <w:rsid w:val="26B2766C"/>
    <w:rsid w:val="272555CB"/>
    <w:rsid w:val="27297B04"/>
    <w:rsid w:val="276F6846"/>
    <w:rsid w:val="28542803"/>
    <w:rsid w:val="286B34B1"/>
    <w:rsid w:val="28776299"/>
    <w:rsid w:val="28B97606"/>
    <w:rsid w:val="29152024"/>
    <w:rsid w:val="29CF4543"/>
    <w:rsid w:val="29FC2AA3"/>
    <w:rsid w:val="29FD04D3"/>
    <w:rsid w:val="2A8D29F9"/>
    <w:rsid w:val="2AA50421"/>
    <w:rsid w:val="2B5621F6"/>
    <w:rsid w:val="2BF23A18"/>
    <w:rsid w:val="2C3476A4"/>
    <w:rsid w:val="2C55425C"/>
    <w:rsid w:val="2C8A61B5"/>
    <w:rsid w:val="2C993DA9"/>
    <w:rsid w:val="2D113C66"/>
    <w:rsid w:val="2D733F8D"/>
    <w:rsid w:val="2D745BE9"/>
    <w:rsid w:val="2DA07759"/>
    <w:rsid w:val="2DB53832"/>
    <w:rsid w:val="2DF04E50"/>
    <w:rsid w:val="2E2369C3"/>
    <w:rsid w:val="2E7B1F74"/>
    <w:rsid w:val="2E99384E"/>
    <w:rsid w:val="2F3F2A43"/>
    <w:rsid w:val="2F9C4D38"/>
    <w:rsid w:val="2FB153C0"/>
    <w:rsid w:val="31210BB1"/>
    <w:rsid w:val="313762E8"/>
    <w:rsid w:val="319F7F4E"/>
    <w:rsid w:val="32CC0FF0"/>
    <w:rsid w:val="32DB6FFE"/>
    <w:rsid w:val="33FB4B87"/>
    <w:rsid w:val="34C250E4"/>
    <w:rsid w:val="34E138A4"/>
    <w:rsid w:val="3511718E"/>
    <w:rsid w:val="3532685B"/>
    <w:rsid w:val="359F373E"/>
    <w:rsid w:val="35A6206D"/>
    <w:rsid w:val="35C44201"/>
    <w:rsid w:val="365E410F"/>
    <w:rsid w:val="36AA5135"/>
    <w:rsid w:val="37A779ED"/>
    <w:rsid w:val="37C14A80"/>
    <w:rsid w:val="37E16F03"/>
    <w:rsid w:val="38F71E85"/>
    <w:rsid w:val="39C10760"/>
    <w:rsid w:val="3A217E73"/>
    <w:rsid w:val="3A36092A"/>
    <w:rsid w:val="3A61784F"/>
    <w:rsid w:val="3A860CAB"/>
    <w:rsid w:val="3AEC2DF4"/>
    <w:rsid w:val="3BD643C7"/>
    <w:rsid w:val="3BE70D63"/>
    <w:rsid w:val="3C5A25FC"/>
    <w:rsid w:val="3C5C2985"/>
    <w:rsid w:val="3CB054DF"/>
    <w:rsid w:val="3D98207C"/>
    <w:rsid w:val="3DE43692"/>
    <w:rsid w:val="3E2076E0"/>
    <w:rsid w:val="3EC5671A"/>
    <w:rsid w:val="3F2C30E8"/>
    <w:rsid w:val="3FAD1920"/>
    <w:rsid w:val="3FDC6E09"/>
    <w:rsid w:val="401A15ED"/>
    <w:rsid w:val="40EB63CF"/>
    <w:rsid w:val="41001EE0"/>
    <w:rsid w:val="41A3415D"/>
    <w:rsid w:val="428233A2"/>
    <w:rsid w:val="437E1F52"/>
    <w:rsid w:val="438A0837"/>
    <w:rsid w:val="44415C92"/>
    <w:rsid w:val="44CD67E7"/>
    <w:rsid w:val="44E268DA"/>
    <w:rsid w:val="44FC6C5A"/>
    <w:rsid w:val="46003033"/>
    <w:rsid w:val="46113492"/>
    <w:rsid w:val="467B1FE3"/>
    <w:rsid w:val="46C47640"/>
    <w:rsid w:val="46F968A0"/>
    <w:rsid w:val="471C20EE"/>
    <w:rsid w:val="47B110B5"/>
    <w:rsid w:val="48927DF0"/>
    <w:rsid w:val="48D62986"/>
    <w:rsid w:val="491F2710"/>
    <w:rsid w:val="492D1427"/>
    <w:rsid w:val="49797BFF"/>
    <w:rsid w:val="4A345F75"/>
    <w:rsid w:val="4A58168F"/>
    <w:rsid w:val="4A627F82"/>
    <w:rsid w:val="4B0435C5"/>
    <w:rsid w:val="4B137364"/>
    <w:rsid w:val="4B4439C2"/>
    <w:rsid w:val="4B4F25DA"/>
    <w:rsid w:val="4BA916AB"/>
    <w:rsid w:val="4BAE072C"/>
    <w:rsid w:val="4BC14583"/>
    <w:rsid w:val="4BCB7C3F"/>
    <w:rsid w:val="4BE068DB"/>
    <w:rsid w:val="4C0C0983"/>
    <w:rsid w:val="4C561BC7"/>
    <w:rsid w:val="4CAE48F7"/>
    <w:rsid w:val="4D577224"/>
    <w:rsid w:val="4D89797D"/>
    <w:rsid w:val="4D933D57"/>
    <w:rsid w:val="4DA62712"/>
    <w:rsid w:val="4E6369FC"/>
    <w:rsid w:val="4EAB630A"/>
    <w:rsid w:val="4EB53251"/>
    <w:rsid w:val="4ECE2238"/>
    <w:rsid w:val="4EDB4BC8"/>
    <w:rsid w:val="4EDD1B11"/>
    <w:rsid w:val="4EF621E1"/>
    <w:rsid w:val="4EFF21AA"/>
    <w:rsid w:val="4FB15253"/>
    <w:rsid w:val="4FD03A76"/>
    <w:rsid w:val="4FE452DB"/>
    <w:rsid w:val="504A1076"/>
    <w:rsid w:val="505E5526"/>
    <w:rsid w:val="51C70EA9"/>
    <w:rsid w:val="51F10AA8"/>
    <w:rsid w:val="51FA74D0"/>
    <w:rsid w:val="520A4CE3"/>
    <w:rsid w:val="5294522F"/>
    <w:rsid w:val="52A336C4"/>
    <w:rsid w:val="52E9394D"/>
    <w:rsid w:val="53016C1C"/>
    <w:rsid w:val="53177C0E"/>
    <w:rsid w:val="535B7AFB"/>
    <w:rsid w:val="53FE0921"/>
    <w:rsid w:val="54170D5F"/>
    <w:rsid w:val="54273E81"/>
    <w:rsid w:val="55083CB2"/>
    <w:rsid w:val="55821CB6"/>
    <w:rsid w:val="5583104B"/>
    <w:rsid w:val="55D37EFF"/>
    <w:rsid w:val="55F054C6"/>
    <w:rsid w:val="55F85053"/>
    <w:rsid w:val="56307F1D"/>
    <w:rsid w:val="56B11101"/>
    <w:rsid w:val="570332CE"/>
    <w:rsid w:val="572B1EDA"/>
    <w:rsid w:val="574801A4"/>
    <w:rsid w:val="576D0B44"/>
    <w:rsid w:val="57AC4DC9"/>
    <w:rsid w:val="58493626"/>
    <w:rsid w:val="5858496A"/>
    <w:rsid w:val="58EB701F"/>
    <w:rsid w:val="591A5138"/>
    <w:rsid w:val="59584C3B"/>
    <w:rsid w:val="59641319"/>
    <w:rsid w:val="59A87812"/>
    <w:rsid w:val="59AA17DC"/>
    <w:rsid w:val="5AF92295"/>
    <w:rsid w:val="5B5A4B3C"/>
    <w:rsid w:val="5B671502"/>
    <w:rsid w:val="5B8B328D"/>
    <w:rsid w:val="5C0D1BAE"/>
    <w:rsid w:val="5C9D4D8F"/>
    <w:rsid w:val="5CD71FC4"/>
    <w:rsid w:val="5E1611EE"/>
    <w:rsid w:val="5EDC447C"/>
    <w:rsid w:val="5F131BD1"/>
    <w:rsid w:val="5F5626B3"/>
    <w:rsid w:val="5F5B7B0A"/>
    <w:rsid w:val="603F2426"/>
    <w:rsid w:val="6085318D"/>
    <w:rsid w:val="608E3BBA"/>
    <w:rsid w:val="60974649"/>
    <w:rsid w:val="6098413C"/>
    <w:rsid w:val="610220C6"/>
    <w:rsid w:val="611877D8"/>
    <w:rsid w:val="61603CCC"/>
    <w:rsid w:val="61CD7A3C"/>
    <w:rsid w:val="61EE4178"/>
    <w:rsid w:val="62006992"/>
    <w:rsid w:val="628D57F7"/>
    <w:rsid w:val="62FF7D1A"/>
    <w:rsid w:val="635A103D"/>
    <w:rsid w:val="63652244"/>
    <w:rsid w:val="63696897"/>
    <w:rsid w:val="63721227"/>
    <w:rsid w:val="638C3D00"/>
    <w:rsid w:val="63D438A3"/>
    <w:rsid w:val="64DA7531"/>
    <w:rsid w:val="64F22202"/>
    <w:rsid w:val="6506600C"/>
    <w:rsid w:val="673634F1"/>
    <w:rsid w:val="67CB3049"/>
    <w:rsid w:val="687C2595"/>
    <w:rsid w:val="68803A47"/>
    <w:rsid w:val="68BC6214"/>
    <w:rsid w:val="69011409"/>
    <w:rsid w:val="69CC23A4"/>
    <w:rsid w:val="6AB37DC4"/>
    <w:rsid w:val="6AEC7901"/>
    <w:rsid w:val="6B463A66"/>
    <w:rsid w:val="6BA240C1"/>
    <w:rsid w:val="6C4A05C8"/>
    <w:rsid w:val="6CB54136"/>
    <w:rsid w:val="6CD323B9"/>
    <w:rsid w:val="6CED3A62"/>
    <w:rsid w:val="6CF3094C"/>
    <w:rsid w:val="6D9739CD"/>
    <w:rsid w:val="6E76659D"/>
    <w:rsid w:val="6E7E3605"/>
    <w:rsid w:val="6FF5CC65"/>
    <w:rsid w:val="705072C4"/>
    <w:rsid w:val="70CC53CF"/>
    <w:rsid w:val="70D94A29"/>
    <w:rsid w:val="715C0E4B"/>
    <w:rsid w:val="725A5C77"/>
    <w:rsid w:val="72734D90"/>
    <w:rsid w:val="73AD73D5"/>
    <w:rsid w:val="73B6EB34"/>
    <w:rsid w:val="742B3587"/>
    <w:rsid w:val="7472484C"/>
    <w:rsid w:val="74BA06CD"/>
    <w:rsid w:val="74FB7AD1"/>
    <w:rsid w:val="751F49D4"/>
    <w:rsid w:val="755A37DE"/>
    <w:rsid w:val="76B526B4"/>
    <w:rsid w:val="770734FA"/>
    <w:rsid w:val="774C6D39"/>
    <w:rsid w:val="77750427"/>
    <w:rsid w:val="77A967D7"/>
    <w:rsid w:val="79312F28"/>
    <w:rsid w:val="79EE5BA4"/>
    <w:rsid w:val="7A2D7B93"/>
    <w:rsid w:val="7A894339"/>
    <w:rsid w:val="7ABC3331"/>
    <w:rsid w:val="7AC5601E"/>
    <w:rsid w:val="7B966E5F"/>
    <w:rsid w:val="7D0169C8"/>
    <w:rsid w:val="7D1D3EEF"/>
    <w:rsid w:val="7DEF4AD2"/>
    <w:rsid w:val="7E2547CF"/>
    <w:rsid w:val="7E4B5883"/>
    <w:rsid w:val="7EEF11D3"/>
    <w:rsid w:val="7EFC654D"/>
    <w:rsid w:val="7F1046F2"/>
    <w:rsid w:val="7F594883"/>
    <w:rsid w:val="7F833A9F"/>
    <w:rsid w:val="7F934218"/>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table of figures1"/>
    <w:basedOn w:val="1"/>
    <w:next w:val="1"/>
    <w:qFormat/>
    <w:uiPriority w:val="99"/>
    <w:pPr>
      <w:ind w:left="200" w:leftChars="200" w:hanging="200" w:hangingChars="200"/>
    </w:pPr>
    <w:rPr>
      <w:rFonts w:eastAsia="仿宋_GB2312"/>
      <w:sz w:val="32"/>
      <w:szCs w:val="32"/>
    </w:rPr>
  </w:style>
  <w:style w:type="paragraph" w:styleId="6">
    <w:name w:val="Body Text"/>
    <w:basedOn w:val="1"/>
    <w:next w:val="1"/>
    <w:link w:val="26"/>
    <w:qFormat/>
    <w:uiPriority w:val="99"/>
    <w:pPr>
      <w:spacing w:beforeLines="30"/>
    </w:pPr>
    <w:rPr>
      <w:rFonts w:ascii="仿宋_GB2312" w:eastAsia="仿宋_GB2312"/>
      <w:kern w:val="0"/>
      <w:sz w:val="24"/>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1"/>
    <w:semiHidden/>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Heading 1 Char"/>
    <w:basedOn w:val="14"/>
    <w:link w:val="3"/>
    <w:qFormat/>
    <w:locked/>
    <w:uiPriority w:val="99"/>
    <w:rPr>
      <w:rFonts w:ascii="Times New Roman" w:hAnsi="Times New Roman" w:cs="Times New Roman"/>
      <w:b/>
      <w:bCs/>
      <w:kern w:val="44"/>
      <w:sz w:val="44"/>
      <w:szCs w:val="44"/>
    </w:rPr>
  </w:style>
  <w:style w:type="character" w:customStyle="1" w:styleId="18">
    <w:name w:val="Heading 2 Char"/>
    <w:basedOn w:val="14"/>
    <w:link w:val="4"/>
    <w:qFormat/>
    <w:locked/>
    <w:uiPriority w:val="99"/>
    <w:rPr>
      <w:rFonts w:ascii="Cambria" w:hAnsi="Cambria" w:eastAsia="宋体" w:cs="Times New Roman"/>
      <w:b/>
      <w:bCs/>
      <w:kern w:val="2"/>
      <w:sz w:val="32"/>
      <w:szCs w:val="32"/>
    </w:rPr>
  </w:style>
  <w:style w:type="character" w:customStyle="1" w:styleId="19">
    <w:name w:val="Heading 3 Char"/>
    <w:basedOn w:val="14"/>
    <w:link w:val="5"/>
    <w:qFormat/>
    <w:locked/>
    <w:uiPriority w:val="99"/>
    <w:rPr>
      <w:rFonts w:ascii="Times New Roman" w:hAnsi="Times New Roman" w:cs="Times New Roman"/>
      <w:b/>
      <w:bCs/>
      <w:kern w:val="2"/>
      <w:sz w:val="32"/>
      <w:szCs w:val="32"/>
    </w:rPr>
  </w:style>
  <w:style w:type="character" w:customStyle="1" w:styleId="20">
    <w:name w:val="Body Text Char"/>
    <w:basedOn w:val="14"/>
    <w:link w:val="6"/>
    <w:semiHidden/>
    <w:qFormat/>
    <w:uiPriority w:val="99"/>
    <w:rPr>
      <w:rFonts w:ascii="Times New Roman" w:hAnsi="Times New Roman" w:cs="Times New Roman"/>
      <w:sz w:val="24"/>
      <w:szCs w:val="24"/>
    </w:rPr>
  </w:style>
  <w:style w:type="character" w:customStyle="1" w:styleId="21">
    <w:name w:val="Balloon Text Char"/>
    <w:basedOn w:val="14"/>
    <w:link w:val="8"/>
    <w:semiHidden/>
    <w:qFormat/>
    <w:locked/>
    <w:uiPriority w:val="99"/>
    <w:rPr>
      <w:rFonts w:ascii="Times New Roman" w:hAnsi="Times New Roman" w:cs="Times New Roman"/>
      <w:kern w:val="2"/>
      <w:sz w:val="18"/>
      <w:szCs w:val="18"/>
    </w:rPr>
  </w:style>
  <w:style w:type="character" w:customStyle="1" w:styleId="22">
    <w:name w:val="Footer Char"/>
    <w:basedOn w:val="14"/>
    <w:link w:val="9"/>
    <w:semiHidden/>
    <w:qFormat/>
    <w:uiPriority w:val="99"/>
    <w:rPr>
      <w:rFonts w:ascii="Times New Roman" w:hAnsi="Times New Roman" w:cs="Times New Roman"/>
      <w:sz w:val="18"/>
      <w:szCs w:val="18"/>
    </w:rPr>
  </w:style>
  <w:style w:type="character" w:customStyle="1" w:styleId="23">
    <w:name w:val="Header Char"/>
    <w:basedOn w:val="14"/>
    <w:link w:val="10"/>
    <w:semiHidden/>
    <w:qFormat/>
    <w:uiPriority w:val="99"/>
    <w:rPr>
      <w:rFonts w:ascii="Times New Roman" w:hAnsi="Times New Roman" w:cs="Times New Roman"/>
      <w:sz w:val="18"/>
      <w:szCs w:val="18"/>
    </w:rPr>
  </w:style>
  <w:style w:type="character" w:customStyle="1" w:styleId="24">
    <w:name w:val="Header Char1"/>
    <w:link w:val="10"/>
    <w:semiHidden/>
    <w:qFormat/>
    <w:locked/>
    <w:uiPriority w:val="99"/>
    <w:rPr>
      <w:sz w:val="18"/>
    </w:rPr>
  </w:style>
  <w:style w:type="character" w:customStyle="1" w:styleId="25">
    <w:name w:val="Footer Char1"/>
    <w:link w:val="9"/>
    <w:qFormat/>
    <w:locked/>
    <w:uiPriority w:val="99"/>
    <w:rPr>
      <w:sz w:val="18"/>
    </w:rPr>
  </w:style>
  <w:style w:type="character" w:customStyle="1" w:styleId="26">
    <w:name w:val="Body Text Char1"/>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29</Pages>
  <Words>9947</Words>
  <Characters>10459</Characters>
  <Lines>0</Lines>
  <Paragraphs>0</Paragraphs>
  <TotalTime>60</TotalTime>
  <ScaleCrop>false</ScaleCrop>
  <LinksUpToDate>false</LinksUpToDate>
  <CharactersWithSpaces>10522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2022-09-21T09:23:00Z</cp:lastPrinted>
  <dcterms:modified xsi:type="dcterms:W3CDTF">2022-09-28T08:03:02Z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C1D9A9CCDF4340BDAB35B0D9C867D13D</vt:lpwstr>
  </property>
</Properties>
</file>