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pStyle w:val="2"/>
        <w:rPr>
          <w:rFonts w:hint="default"/>
          <w:lang w:val="en-US" w:eastAsia="zh-CN"/>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425"/>
      <w:bookmarkStart w:id="3" w:name="_Toc15378441"/>
      <w:bookmarkStart w:id="4" w:name="_Toc15396597"/>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7426"/>
      <w:bookmarkStart w:id="7" w:name="_Toc15377194"/>
      <w:bookmarkStart w:id="8" w:name="_Toc15396598"/>
      <w:bookmarkStart w:id="9" w:name="_Toc15378442"/>
      <w:bookmarkStart w:id="10" w:name="_Toc15306268"/>
      <w:bookmarkStart w:id="11" w:name="_Toc15396476"/>
      <w:r>
        <w:rPr>
          <w:rFonts w:hint="eastAsia" w:ascii="方正小标宋简体" w:hAnsi="方正小标宋简体" w:eastAsia="方正小标宋简体" w:cs="方正小标宋简体"/>
          <w:color w:val="auto"/>
          <w:sz w:val="72"/>
          <w:szCs w:val="72"/>
          <w:highlight w:val="none"/>
          <w:lang w:val="en-US" w:eastAsia="zh-CN"/>
        </w:rPr>
        <w:t>四川省广元市曾家山景区服务中心</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方正小标宋简体" w:hAnsi="宋体" w:eastAsia="方正小标宋简体"/>
          <w:color w:val="auto"/>
          <w:sz w:val="36"/>
          <w:szCs w:val="36"/>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hint="eastAsia" w:ascii="黑体" w:hAnsi="黑体" w:eastAsia="黑体"/>
          <w:color w:val="auto"/>
          <w:sz w:val="48"/>
          <w:szCs w:val="48"/>
          <w:highlight w:val="none"/>
        </w:rPr>
      </w:pPr>
      <w:r>
        <w:rPr>
          <w:rFonts w:hint="eastAsia" w:ascii="黑体" w:hAnsi="黑体" w:eastAsia="黑体"/>
          <w:color w:val="auto"/>
          <w:sz w:val="48"/>
          <w:szCs w:val="48"/>
          <w:highlight w:val="none"/>
        </w:rPr>
        <w:t>目录</w:t>
      </w:r>
    </w:p>
    <w:p>
      <w:pPr>
        <w:pStyle w:val="2"/>
        <w:rPr>
          <w:rFonts w:hint="eastAsia"/>
        </w:rPr>
      </w:pPr>
    </w:p>
    <w:p>
      <w:pPr>
        <w:pStyle w:val="10"/>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10</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color w:val="auto"/>
          <w:sz w:val="24"/>
          <w:highlight w:val="none"/>
          <w:lang w:val="en-US" w:eastAsia="zh-CN"/>
        </w:rPr>
        <w:t>.............................................................................................1</w:t>
      </w:r>
    </w:p>
    <w:p>
      <w:pPr>
        <w:pStyle w:val="11"/>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default" w:ascii="Times New Roman" w:hAnsi="Times New Roman" w:cs="Times New Roman" w:eastAsiaTheme="minorEastAsia"/>
          <w:color w:val="auto"/>
          <w:sz w:val="24"/>
          <w:highlight w:val="none"/>
          <w:lang w:val="en-US" w:eastAsia="zh-CN"/>
        </w:rPr>
        <w:t>................................</w:t>
      </w:r>
      <w:r>
        <w:rPr>
          <w:rFonts w:hint="eastAsia" w:ascii="Times New Roman" w:hAnsi="Times New Roman" w:cs="Times New Roman" w:eastAsiaTheme="minorEastAsia"/>
          <w:color w:val="auto"/>
          <w:sz w:val="24"/>
          <w:highlight w:val="none"/>
          <w:lang w:val="en-US" w:eastAsia="zh-CN"/>
        </w:rPr>
        <w:t>................................</w:t>
      </w:r>
      <w:r>
        <w:rPr>
          <w:rFonts w:hint="default" w:ascii="Times New Roman" w:hAnsi="Times New Roman" w:cs="Times New Roman" w:eastAsiaTheme="minorEastAsia"/>
          <w:color w:val="auto"/>
          <w:sz w:val="24"/>
          <w:highlight w:val="none"/>
          <w:lang w:val="en-US" w:eastAsia="zh-CN"/>
        </w:rPr>
        <w:t>1</w:t>
      </w:r>
    </w:p>
    <w:p>
      <w:pPr>
        <w:pStyle w:val="10"/>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8</w:t>
      </w:r>
    </w:p>
    <w:p>
      <w:pPr>
        <w:pStyle w:val="11"/>
        <w:adjustRightInd w:val="0"/>
        <w:snapToGrid w:val="0"/>
        <w:spacing w:line="440" w:lineRule="exact"/>
        <w:jc w:val="left"/>
        <w:rPr>
          <w:rFonts w:hint="default" w:ascii="Times New Roman" w:hAnsi="Times New Roman" w:eastAsia="宋体" w:cs="Times New Roman"/>
          <w:color w:val="auto"/>
          <w:sz w:val="24"/>
          <w:highlight w:val="none"/>
          <w:lang w:val="en-US" w:eastAsia="zh-CN"/>
        </w:rPr>
      </w:pPr>
      <w:r>
        <w:rPr>
          <w:rFonts w:hint="eastAsia"/>
          <w:color w:val="auto"/>
          <w:sz w:val="24"/>
          <w:highlight w:val="none"/>
        </w:rPr>
        <w:t>一、收入支出决算总体情况说明</w:t>
      </w:r>
      <w:r>
        <w:rPr>
          <w:rFonts w:hint="eastAsia" w:ascii="Times New Roman" w:hAnsi="Times New Roman" w:cs="Times New Roman"/>
          <w:color w:val="auto"/>
          <w:sz w:val="24"/>
          <w:highlight w:val="none"/>
          <w:lang w:val="en-US" w:eastAsia="zh-CN"/>
        </w:rPr>
        <w:t>.............................................................8</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二、收入决算情况说明</w:t>
      </w:r>
      <w:r>
        <w:rPr>
          <w:rFonts w:hint="eastAsia"/>
          <w:color w:val="auto"/>
          <w:sz w:val="24"/>
          <w:highlight w:val="none"/>
          <w:lang w:val="en-US" w:eastAsia="zh-CN"/>
        </w:rPr>
        <w:t>.............................................................................8</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r>
        <w:rPr>
          <w:rFonts w:hint="eastAsia"/>
          <w:color w:val="auto"/>
          <w:sz w:val="24"/>
          <w:highlight w:val="none"/>
          <w:lang w:val="en-US" w:eastAsia="zh-CN"/>
        </w:rPr>
        <w:t>.............................................................................9</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r>
        <w:rPr>
          <w:rFonts w:hint="eastAsia"/>
          <w:color w:val="auto"/>
          <w:sz w:val="24"/>
          <w:highlight w:val="none"/>
          <w:lang w:val="en-US" w:eastAsia="zh-CN"/>
        </w:rPr>
        <w:t>............................................10</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r>
        <w:rPr>
          <w:rFonts w:hint="eastAsia"/>
          <w:color w:val="auto"/>
          <w:sz w:val="24"/>
          <w:highlight w:val="none"/>
          <w:lang w:val="en-US" w:eastAsia="zh-CN"/>
        </w:rPr>
        <w:t>....................................10</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r>
        <w:rPr>
          <w:rFonts w:hint="eastAsia"/>
          <w:color w:val="auto"/>
          <w:sz w:val="24"/>
          <w:highlight w:val="none"/>
          <w:lang w:val="en-US" w:eastAsia="zh-CN"/>
        </w:rPr>
        <w:t>............................13</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color w:val="auto"/>
          <w:sz w:val="24"/>
          <w:highlight w:val="none"/>
          <w:lang w:val="en-US" w:eastAsia="zh-CN"/>
        </w:rPr>
        <w:t>......................................13</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eastAsia"/>
          <w:color w:val="auto"/>
          <w:sz w:val="24"/>
          <w:highlight w:val="none"/>
          <w:lang w:val="en-US" w:eastAsia="zh-CN"/>
        </w:rPr>
        <w:t>................................................15</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r>
        <w:rPr>
          <w:rFonts w:hint="eastAsia"/>
          <w:color w:val="auto"/>
          <w:sz w:val="24"/>
          <w:highlight w:val="none"/>
          <w:lang w:val="en-US" w:eastAsia="zh-CN"/>
        </w:rPr>
        <w:t>............................................15</w:t>
      </w:r>
    </w:p>
    <w:p>
      <w:pPr>
        <w:pStyle w:val="11"/>
        <w:adjustRightInd w:val="0"/>
        <w:snapToGrid w:val="0"/>
        <w:spacing w:line="440" w:lineRule="exact"/>
        <w:jc w:val="left"/>
        <w:rPr>
          <w:rFonts w:hint="default" w:eastAsia="宋体"/>
          <w:lang w:val="en-US" w:eastAsia="zh-CN"/>
        </w:rPr>
      </w:pPr>
      <w:r>
        <w:rPr>
          <w:rFonts w:hint="eastAsia"/>
          <w:color w:val="auto"/>
          <w:sz w:val="24"/>
          <w:highlight w:val="none"/>
        </w:rPr>
        <w:t>十、</w:t>
      </w:r>
      <w:r>
        <w:rPr>
          <w:rFonts w:hint="eastAsia" w:asciiTheme="minorEastAsia" w:hAnsiTheme="minorEastAsia" w:eastAsiaTheme="minorEastAsia" w:cstheme="minorEastAsia"/>
          <w:color w:val="auto"/>
          <w:sz w:val="24"/>
          <w:highlight w:val="none"/>
          <w:lang w:val="en-US" w:eastAsia="zh-CN"/>
        </w:rPr>
        <w:t>预算绩效管理情况</w:t>
      </w:r>
      <w:r>
        <w:rPr>
          <w:rFonts w:hint="default" w:ascii="Times New Roman" w:hAnsi="Times New Roman" w:cs="Times New Roman" w:eastAsiaTheme="minorEastAsia"/>
          <w:color w:val="auto"/>
          <w:sz w:val="24"/>
          <w:highlight w:val="none"/>
          <w:lang w:val="en-US" w:eastAsia="zh-CN"/>
        </w:rPr>
        <w:t>.....................................</w:t>
      </w:r>
      <w:r>
        <w:rPr>
          <w:rFonts w:hint="eastAsia" w:ascii="Times New Roman" w:hAnsi="Times New Roman" w:cs="Times New Roman" w:eastAsiaTheme="minorEastAsia"/>
          <w:color w:val="auto"/>
          <w:sz w:val="24"/>
          <w:highlight w:val="none"/>
          <w:lang w:val="en-US" w:eastAsia="zh-CN"/>
        </w:rPr>
        <w:t>......................................</w:t>
      </w:r>
      <w:r>
        <w:rPr>
          <w:rFonts w:hint="default" w:ascii="Times New Roman" w:hAnsi="Times New Roman" w:cs="Times New Roman" w:eastAsiaTheme="minorEastAsia"/>
          <w:color w:val="auto"/>
          <w:sz w:val="24"/>
          <w:highlight w:val="none"/>
          <w:lang w:val="en-US" w:eastAsia="zh-CN"/>
        </w:rPr>
        <w:t>.15</w:t>
      </w:r>
    </w:p>
    <w:p>
      <w:pPr>
        <w:pStyle w:val="11"/>
        <w:adjustRightInd w:val="0"/>
        <w:snapToGrid w:val="0"/>
        <w:spacing w:line="440" w:lineRule="exact"/>
        <w:jc w:val="left"/>
        <w:rPr>
          <w:rFonts w:hint="default" w:eastAsia="宋体"/>
          <w:lang w:val="en-US" w:eastAsia="zh-CN"/>
        </w:rPr>
      </w:pPr>
      <w:r>
        <w:rPr>
          <w:rFonts w:hint="eastAsia"/>
          <w:color w:val="auto"/>
          <w:sz w:val="24"/>
          <w:highlight w:val="none"/>
          <w:lang w:val="en-US" w:eastAsia="zh-CN"/>
        </w:rPr>
        <w:t>十一、</w:t>
      </w:r>
      <w:r>
        <w:rPr>
          <w:rFonts w:hint="eastAsia"/>
          <w:color w:val="auto"/>
          <w:sz w:val="24"/>
          <w:highlight w:val="none"/>
        </w:rPr>
        <w:t>其他重要事项的情况说明</w:t>
      </w:r>
      <w:r>
        <w:rPr>
          <w:rFonts w:hint="eastAsia"/>
          <w:color w:val="auto"/>
          <w:sz w:val="24"/>
          <w:highlight w:val="none"/>
          <w:lang w:val="en-US" w:eastAsia="zh-CN"/>
        </w:rPr>
        <w:t>............................................................15</w:t>
      </w:r>
    </w:p>
    <w:p>
      <w:pPr>
        <w:pStyle w:val="10"/>
        <w:adjustRightInd w:val="0"/>
        <w:snapToGrid w:val="0"/>
        <w:spacing w:before="0" w:line="440" w:lineRule="exact"/>
        <w:jc w:val="left"/>
        <w:rPr>
          <w:rFonts w:hint="default" w:ascii="Times New Roman" w:hAnsi="Times New Roman" w:eastAsia="仿宋" w:cs="Times New Roman"/>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17</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19</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..21</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1"/>
        <w:adjustRightInd w:val="0"/>
        <w:snapToGrid w:val="0"/>
        <w:spacing w:line="440" w:lineRule="exact"/>
        <w:jc w:val="left"/>
        <w:rPr>
          <w:rFonts w:hint="eastAsia"/>
          <w:color w:val="auto"/>
          <w:sz w:val="24"/>
          <w:highlight w:val="none"/>
          <w:lang w:val="en-US" w:eastAsia="zh-CN"/>
        </w:rPr>
        <w:sectPr>
          <w:pgSz w:w="11906" w:h="16838"/>
          <w:pgMar w:top="1440" w:right="1800" w:bottom="1440" w:left="1800" w:header="851" w:footer="992" w:gutter="0"/>
          <w:pgNumType w:start="1"/>
          <w:cols w:space="425" w:num="1"/>
          <w:titlePg/>
          <w:docGrid w:type="lines" w:linePitch="312" w:charSpace="0"/>
        </w:sectPr>
      </w:pPr>
    </w:p>
    <w:p>
      <w:pPr>
        <w:pStyle w:val="11"/>
        <w:adjustRightInd w:val="0"/>
        <w:snapToGrid w:val="0"/>
        <w:spacing w:line="440" w:lineRule="exact"/>
        <w:jc w:val="left"/>
        <w:rPr>
          <w:rFonts w:hint="eastAsia" w:eastAsia="宋体"/>
          <w:color w:val="auto"/>
          <w:sz w:val="24"/>
          <w:highlight w:val="none"/>
          <w:lang w:val="en-US" w:eastAsia="zh-CN"/>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rPr>
          <w:rFonts w:hint="eastAsia"/>
          <w:color w:val="auto"/>
          <w:sz w:val="24"/>
          <w:highlight w:val="none"/>
          <w:lang w:val="en-US" w:eastAsia="zh-CN"/>
        </w:rPr>
        <w:t xml:space="preserve"> </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pStyle w:val="3"/>
        <w:jc w:val="center"/>
        <w:rPr>
          <w:rFonts w:hint="eastAsia" w:ascii="黑体" w:hAnsi="黑体" w:eastAsia="黑体"/>
          <w:b w:val="0"/>
          <w:color w:val="auto"/>
          <w:highlight w:val="none"/>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bookmarkStart w:id="12" w:name="_Toc15377196"/>
      <w:bookmarkStart w:id="13" w:name="_Toc15396599"/>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pStyle w:val="4"/>
        <w:numPr>
          <w:ilvl w:val="0"/>
          <w:numId w:val="1"/>
        </w:numPr>
        <w:rPr>
          <w:rStyle w:val="25"/>
          <w:rFonts w:hint="eastAsia" w:ascii="黑体" w:hAnsi="黑体" w:eastAsia="黑体"/>
          <w:b w:val="0"/>
          <w:bCs w:val="0"/>
          <w:color w:val="auto"/>
          <w:highlight w:val="none"/>
          <w:lang w:eastAsia="zh-CN"/>
        </w:rPr>
      </w:pPr>
      <w:bookmarkStart w:id="14" w:name="_Toc15377197"/>
      <w:bookmarkStart w:id="15" w:name="_Toc15396600"/>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曾家山景区服务中心负责曾家山旅游度假区旅游咨询服务、信息统计、智慧化体系建设及管理。</w:t>
      </w:r>
    </w:p>
    <w:p>
      <w:pPr>
        <w:pStyle w:val="4"/>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ind w:firstLine="640" w:firstLineChars="200"/>
        <w:rPr>
          <w:rFonts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val="en-US" w:eastAsia="zh-CN"/>
        </w:rPr>
        <w:t>抓牢抓实景区</w:t>
      </w:r>
      <w:r>
        <w:rPr>
          <w:rFonts w:hint="eastAsia" w:ascii="楷体" w:hAnsi="楷体" w:eastAsia="楷体"/>
          <w:sz w:val="32"/>
          <w:szCs w:val="32"/>
        </w:rPr>
        <w:t>安全生产</w:t>
      </w:r>
    </w:p>
    <w:p>
      <w:pPr>
        <w:ind w:firstLine="640" w:firstLineChars="200"/>
        <w:rPr>
          <w:rFonts w:ascii="仿宋_GB2312" w:eastAsia="仿宋_GB2312"/>
          <w:sz w:val="32"/>
          <w:szCs w:val="32"/>
        </w:rPr>
      </w:pPr>
      <w:r>
        <w:rPr>
          <w:rFonts w:hint="eastAsia" w:ascii="仿宋_GB2312" w:eastAsia="仿宋_GB2312"/>
          <w:sz w:val="32"/>
          <w:szCs w:val="32"/>
        </w:rPr>
        <w:t>1.明确安全生产责任。“安全重于泰山，排险决无小事”，景区在强化</w:t>
      </w:r>
      <w:r>
        <w:rPr>
          <w:rFonts w:hint="eastAsia" w:ascii="仿宋_GB2312" w:eastAsia="仿宋_GB2312"/>
          <w:sz w:val="32"/>
          <w:szCs w:val="32"/>
          <w:lang w:val="en-US" w:eastAsia="zh-CN"/>
        </w:rPr>
        <w:t>日常</w:t>
      </w:r>
      <w:r>
        <w:rPr>
          <w:rFonts w:hint="eastAsia" w:ascii="仿宋_GB2312" w:eastAsia="仿宋_GB2312"/>
          <w:sz w:val="32"/>
          <w:szCs w:val="32"/>
        </w:rPr>
        <w:t>管理的基础上，还对安全职责进行了细分，按照区域责任分工的原则，行政一把手负总责，分管同志及安保人员对景区内的安全生产负责，各部门分工协调，密切配合，相互协作，实行领导干部带队检查制度和巡查机制，将具体责任落实到每个人。</w:t>
      </w:r>
    </w:p>
    <w:p>
      <w:pPr>
        <w:ind w:firstLine="640" w:firstLineChars="200"/>
        <w:rPr>
          <w:rFonts w:ascii="仿宋_GB2312" w:eastAsia="仿宋_GB2312"/>
          <w:sz w:val="32"/>
          <w:szCs w:val="32"/>
        </w:rPr>
      </w:pPr>
      <w:r>
        <w:rPr>
          <w:rFonts w:hint="eastAsia" w:ascii="仿宋_GB2312" w:eastAsia="仿宋_GB2312"/>
          <w:sz w:val="32"/>
          <w:szCs w:val="32"/>
        </w:rPr>
        <w:t>2.落实安全生产制度。为切实加强景区旅游安全生产工作，营造良好的旅游安全环境，景区与工作人员签订安全生产责任书，全面落实安全生产责任制。一是加强安全隐患排查。加强对景区步游道、扶手栏杆、观光亭、观景平台等基础设施隐患排查，对存在的安全隐患按应急预案及时向领导小组报告，并及时组织处理。加强消防设施安全检查，重点检查景区各点</w:t>
      </w:r>
      <w:r>
        <w:rPr>
          <w:rFonts w:hint="eastAsia" w:ascii="仿宋_GB2312" w:eastAsia="仿宋_GB2312"/>
          <w:sz w:val="32"/>
          <w:szCs w:val="32"/>
          <w:lang w:val="en-US" w:eastAsia="zh-CN"/>
        </w:rPr>
        <w:t>消防通道、</w:t>
      </w:r>
      <w:r>
        <w:rPr>
          <w:rFonts w:hint="eastAsia" w:ascii="仿宋_GB2312" w:eastAsia="仿宋_GB2312"/>
          <w:sz w:val="32"/>
          <w:szCs w:val="32"/>
        </w:rPr>
        <w:t>消防栓、灭火器等消防设施，及时更换过期消防设备，定期组织景区员工开展应急演练，提高员工应急处理能力，掌握突发事件应急处理技巧。二是加强节假日值班值守。在节假日前，领导亲自挂帅，带领相关人员对消防设备进行检查和安全巡查，为保证旅游环境的安全有序，组织全体</w:t>
      </w:r>
      <w:r>
        <w:rPr>
          <w:rFonts w:hint="eastAsia" w:ascii="仿宋_GB2312" w:eastAsia="仿宋_GB2312"/>
          <w:sz w:val="32"/>
          <w:szCs w:val="32"/>
          <w:lang w:val="en-US" w:eastAsia="zh-CN"/>
        </w:rPr>
        <w:t>工作</w:t>
      </w:r>
      <w:r>
        <w:rPr>
          <w:rFonts w:hint="eastAsia" w:ascii="仿宋_GB2312" w:eastAsia="仿宋_GB2312"/>
          <w:sz w:val="32"/>
          <w:szCs w:val="32"/>
        </w:rPr>
        <w:t>人员节假日上班，维护节日期间旅游安全和交通秩序。采取强力措施，在冰冻、汛期灾害天气期间，及时发布冰冻汛期灾害信息，紧急关停景区，确保灾害天气期间旅游安全。三是</w:t>
      </w:r>
      <w:r>
        <w:rPr>
          <w:rFonts w:hint="eastAsia" w:ascii="仿宋_GB2312" w:eastAsia="仿宋_GB2312"/>
          <w:sz w:val="32"/>
          <w:szCs w:val="32"/>
          <w:lang w:val="en-US" w:eastAsia="zh-CN"/>
        </w:rPr>
        <w:t>严格落实火源管控措施。</w:t>
      </w:r>
      <w:r>
        <w:rPr>
          <w:rFonts w:hint="eastAsia" w:ascii="仿宋_GB2312" w:eastAsia="仿宋_GB2312"/>
          <w:sz w:val="32"/>
          <w:szCs w:val="32"/>
        </w:rPr>
        <w:t>在景区</w:t>
      </w:r>
      <w:r>
        <w:rPr>
          <w:rFonts w:hint="eastAsia" w:ascii="仿宋_GB2312" w:eastAsia="仿宋_GB2312"/>
          <w:sz w:val="32"/>
          <w:szCs w:val="32"/>
          <w:lang w:val="en-US" w:eastAsia="zh-CN"/>
        </w:rPr>
        <w:t>出入</w:t>
      </w:r>
      <w:r>
        <w:rPr>
          <w:rFonts w:hint="eastAsia" w:ascii="仿宋_GB2312" w:eastAsia="仿宋_GB2312"/>
          <w:sz w:val="32"/>
          <w:szCs w:val="32"/>
        </w:rPr>
        <w:t>口实行扫森林防火码进出景区，严禁</w:t>
      </w:r>
      <w:r>
        <w:rPr>
          <w:rFonts w:hint="eastAsia" w:ascii="仿宋_GB2312" w:eastAsia="仿宋_GB2312"/>
          <w:sz w:val="32"/>
          <w:szCs w:val="32"/>
          <w:lang w:val="en-US" w:eastAsia="zh-CN"/>
        </w:rPr>
        <w:t>携带</w:t>
      </w:r>
      <w:r>
        <w:rPr>
          <w:rFonts w:hint="eastAsia" w:ascii="仿宋_GB2312" w:eastAsia="仿宋_GB2312"/>
          <w:sz w:val="32"/>
          <w:szCs w:val="32"/>
        </w:rPr>
        <w:t>打火机、火柴等火种进景区，并在</w:t>
      </w:r>
      <w:r>
        <w:rPr>
          <w:rFonts w:hint="eastAsia" w:ascii="仿宋_GB2312" w:eastAsia="仿宋_GB2312"/>
          <w:sz w:val="32"/>
          <w:szCs w:val="32"/>
          <w:lang w:val="en-US" w:eastAsia="zh-CN"/>
        </w:rPr>
        <w:t>入</w:t>
      </w:r>
      <w:r>
        <w:rPr>
          <w:rFonts w:hint="eastAsia" w:ascii="仿宋_GB2312" w:eastAsia="仿宋_GB2312"/>
          <w:sz w:val="32"/>
          <w:szCs w:val="32"/>
        </w:rPr>
        <w:t>口安排火种存放点，对游客进行提醒，杜绝一切火种进山入林。四是加强新冠肺炎疫情防控</w:t>
      </w:r>
      <w:r>
        <w:rPr>
          <w:rFonts w:hint="eastAsia" w:ascii="仿宋_GB2312" w:eastAsia="仿宋_GB2312"/>
          <w:sz w:val="32"/>
          <w:szCs w:val="32"/>
          <w:lang w:val="en-US" w:eastAsia="zh-CN"/>
        </w:rPr>
        <w:t>工作力度</w:t>
      </w:r>
      <w:r>
        <w:rPr>
          <w:rFonts w:hint="eastAsia" w:ascii="仿宋_GB2312" w:eastAsia="仿宋_GB2312"/>
          <w:sz w:val="32"/>
          <w:szCs w:val="32"/>
        </w:rPr>
        <w:t>。严格落实“限量、预约、错峰”防疫要求，加大对来往游客的信息排查，加强信息登记，从严落实</w:t>
      </w:r>
      <w:r>
        <w:rPr>
          <w:rFonts w:hint="eastAsia" w:ascii="仿宋_GB2312" w:eastAsia="仿宋_GB2312"/>
          <w:sz w:val="32"/>
          <w:szCs w:val="32"/>
          <w:lang w:val="en-US" w:eastAsia="zh-CN"/>
        </w:rPr>
        <w:t>亮码验码扫码、</w:t>
      </w:r>
      <w:r>
        <w:rPr>
          <w:rFonts w:hint="eastAsia" w:ascii="仿宋_GB2312" w:eastAsia="仿宋_GB2312"/>
          <w:sz w:val="32"/>
          <w:szCs w:val="32"/>
        </w:rPr>
        <w:t>体温检测、环境消杀等防疫举措，切实筑牢疫情防控防线。</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3.强化安全生产培训。今年</w:t>
      </w:r>
      <w:r>
        <w:rPr>
          <w:rFonts w:hint="eastAsia" w:ascii="仿宋_GB2312" w:eastAsia="仿宋_GB2312"/>
          <w:sz w:val="32"/>
          <w:szCs w:val="32"/>
          <w:lang w:val="en-US" w:eastAsia="zh-CN"/>
        </w:rPr>
        <w:t>以来</w:t>
      </w:r>
      <w:r>
        <w:rPr>
          <w:rFonts w:hint="eastAsia" w:ascii="仿宋_GB2312" w:eastAsia="仿宋_GB2312"/>
          <w:sz w:val="32"/>
          <w:szCs w:val="32"/>
        </w:rPr>
        <w:t>，</w:t>
      </w:r>
      <w:r>
        <w:rPr>
          <w:rFonts w:hint="eastAsia" w:ascii="仿宋_GB2312" w:eastAsia="仿宋_GB2312"/>
          <w:sz w:val="32"/>
          <w:szCs w:val="32"/>
          <w:lang w:val="en-US" w:eastAsia="zh-CN"/>
        </w:rPr>
        <w:t>我单位组织开展了</w:t>
      </w:r>
      <w:r>
        <w:rPr>
          <w:rFonts w:hint="eastAsia" w:ascii="仿宋_GB2312" w:eastAsia="仿宋_GB2312"/>
          <w:sz w:val="32"/>
          <w:szCs w:val="32"/>
        </w:rPr>
        <w:t>“5.12”防震减灾应急演练</w:t>
      </w:r>
      <w:r>
        <w:rPr>
          <w:rFonts w:hint="eastAsia" w:ascii="仿宋_GB2312" w:eastAsia="仿宋_GB2312"/>
          <w:sz w:val="32"/>
          <w:szCs w:val="32"/>
          <w:lang w:eastAsia="zh-CN"/>
        </w:rPr>
        <w:t>、</w:t>
      </w:r>
      <w:r>
        <w:rPr>
          <w:rFonts w:hint="eastAsia" w:ascii="仿宋_GB2312" w:eastAsia="仿宋_GB2312"/>
          <w:sz w:val="32"/>
          <w:szCs w:val="32"/>
          <w:lang w:val="en-US" w:eastAsia="zh-CN"/>
        </w:rPr>
        <w:t>服务质量提升及疫情防控闭环管理专题培训</w:t>
      </w:r>
      <w:r>
        <w:rPr>
          <w:rFonts w:hint="eastAsia" w:ascii="仿宋_GB2312" w:eastAsia="仿宋_GB2312"/>
          <w:sz w:val="32"/>
          <w:szCs w:val="32"/>
        </w:rPr>
        <w:t>，参加</w:t>
      </w:r>
      <w:r>
        <w:rPr>
          <w:rFonts w:hint="eastAsia" w:ascii="仿宋_GB2312" w:eastAsia="仿宋_GB2312"/>
          <w:sz w:val="32"/>
          <w:szCs w:val="32"/>
          <w:lang w:eastAsia="zh-CN"/>
        </w:rPr>
        <w:t>了</w:t>
      </w:r>
      <w:r>
        <w:rPr>
          <w:rFonts w:hint="eastAsia" w:ascii="仿宋_GB2312" w:eastAsia="仿宋_GB2312"/>
          <w:sz w:val="32"/>
          <w:szCs w:val="32"/>
        </w:rPr>
        <w:t>区文旅体局组织的安全救护训练。</w:t>
      </w:r>
      <w:r>
        <w:rPr>
          <w:rFonts w:hint="eastAsia" w:ascii="仿宋_GB2312" w:eastAsia="仿宋_GB2312"/>
          <w:sz w:val="32"/>
          <w:szCs w:val="32"/>
          <w:lang w:val="en-US" w:eastAsia="zh-CN"/>
        </w:rPr>
        <w:t>通过培训演练，进一步检验景区各项应急预案</w:t>
      </w:r>
      <w:r>
        <w:rPr>
          <w:rFonts w:hint="eastAsia" w:ascii="仿宋_GB2312" w:eastAsia="仿宋_GB2312"/>
          <w:sz w:val="32"/>
          <w:szCs w:val="32"/>
        </w:rPr>
        <w:t>的可行性和</w:t>
      </w:r>
      <w:r>
        <w:rPr>
          <w:rFonts w:hint="eastAsia" w:ascii="仿宋_GB2312" w:eastAsia="仿宋_GB2312"/>
          <w:sz w:val="32"/>
          <w:szCs w:val="32"/>
          <w:lang w:val="en-US" w:eastAsia="zh-CN"/>
        </w:rPr>
        <w:t>实操性</w:t>
      </w:r>
      <w:r>
        <w:rPr>
          <w:rFonts w:hint="eastAsia" w:ascii="仿宋_GB2312" w:eastAsia="仿宋_GB2312"/>
          <w:sz w:val="32"/>
          <w:szCs w:val="32"/>
        </w:rPr>
        <w:t>，</w:t>
      </w:r>
      <w:r>
        <w:rPr>
          <w:rFonts w:hint="eastAsia" w:ascii="仿宋_GB2312" w:eastAsia="仿宋_GB2312"/>
          <w:sz w:val="32"/>
          <w:szCs w:val="32"/>
          <w:lang w:val="en-US" w:eastAsia="zh-CN"/>
        </w:rPr>
        <w:t>及时</w:t>
      </w:r>
      <w:r>
        <w:rPr>
          <w:rFonts w:hint="eastAsia" w:ascii="仿宋_GB2312" w:eastAsia="仿宋_GB2312"/>
          <w:sz w:val="32"/>
          <w:szCs w:val="32"/>
        </w:rPr>
        <w:t>发现存在的问题和不足，以便及时</w:t>
      </w:r>
      <w:r>
        <w:rPr>
          <w:rFonts w:hint="eastAsia" w:ascii="仿宋_GB2312" w:eastAsia="仿宋_GB2312"/>
          <w:sz w:val="32"/>
          <w:szCs w:val="32"/>
          <w:lang w:val="en-US" w:eastAsia="zh-CN"/>
        </w:rPr>
        <w:t>改进完善</w:t>
      </w:r>
      <w:r>
        <w:rPr>
          <w:rFonts w:hint="eastAsia" w:ascii="仿宋_GB2312" w:eastAsia="仿宋_GB2312"/>
          <w:sz w:val="32"/>
          <w:szCs w:val="32"/>
        </w:rPr>
        <w:t>。同时，按照上级有关规定要求，定期召开安全生产会议，</w:t>
      </w:r>
      <w:r>
        <w:rPr>
          <w:rFonts w:hint="eastAsia" w:ascii="仿宋_GB2312" w:eastAsia="仿宋_GB2312"/>
          <w:sz w:val="32"/>
          <w:szCs w:val="32"/>
          <w:lang w:val="en-US" w:eastAsia="zh-CN"/>
        </w:rPr>
        <w:t>加强</w:t>
      </w:r>
      <w:r>
        <w:rPr>
          <w:rFonts w:hint="eastAsia" w:ascii="仿宋_GB2312" w:eastAsia="仿宋_GB2312"/>
          <w:sz w:val="32"/>
          <w:szCs w:val="32"/>
        </w:rPr>
        <w:t>安全生产</w:t>
      </w:r>
      <w:r>
        <w:rPr>
          <w:rFonts w:hint="eastAsia" w:ascii="仿宋_GB2312" w:eastAsia="仿宋_GB2312"/>
          <w:sz w:val="32"/>
          <w:szCs w:val="32"/>
          <w:lang w:val="en-US" w:eastAsia="zh-CN"/>
        </w:rPr>
        <w:t>知识</w:t>
      </w:r>
      <w:r>
        <w:rPr>
          <w:rFonts w:hint="eastAsia" w:ascii="仿宋_GB2312" w:eastAsia="仿宋_GB2312"/>
          <w:sz w:val="32"/>
          <w:szCs w:val="32"/>
        </w:rPr>
        <w:t>学习，</w:t>
      </w:r>
      <w:r>
        <w:rPr>
          <w:rFonts w:hint="eastAsia" w:ascii="仿宋_GB2312" w:eastAsia="仿宋_GB2312"/>
          <w:sz w:val="32"/>
          <w:szCs w:val="32"/>
          <w:lang w:val="en-US" w:eastAsia="zh-CN"/>
        </w:rPr>
        <w:t>引导</w:t>
      </w:r>
      <w:r>
        <w:rPr>
          <w:rFonts w:hint="eastAsia" w:ascii="仿宋_GB2312" w:eastAsia="仿宋_GB2312"/>
          <w:sz w:val="32"/>
          <w:szCs w:val="32"/>
        </w:rPr>
        <w:t>干部职工</w:t>
      </w:r>
      <w:r>
        <w:rPr>
          <w:rFonts w:hint="eastAsia" w:ascii="仿宋_GB2312" w:eastAsia="仿宋_GB2312"/>
          <w:sz w:val="32"/>
          <w:szCs w:val="32"/>
          <w:lang w:val="en-US" w:eastAsia="zh-CN"/>
        </w:rPr>
        <w:t>进一步树牢</w:t>
      </w:r>
      <w:r>
        <w:rPr>
          <w:rFonts w:hint="eastAsia" w:ascii="仿宋_GB2312" w:eastAsia="仿宋_GB2312"/>
          <w:sz w:val="32"/>
          <w:szCs w:val="32"/>
        </w:rPr>
        <w:t>安全生产意识，</w:t>
      </w:r>
      <w:r>
        <w:rPr>
          <w:rFonts w:hint="eastAsia" w:ascii="仿宋_GB2312" w:eastAsia="仿宋_GB2312"/>
          <w:sz w:val="32"/>
          <w:szCs w:val="32"/>
          <w:lang w:val="en-US" w:eastAsia="zh-CN"/>
        </w:rPr>
        <w:t>景区的</w:t>
      </w:r>
      <w:r>
        <w:rPr>
          <w:rFonts w:hint="eastAsia" w:ascii="仿宋_GB2312" w:eastAsia="仿宋_GB2312"/>
          <w:sz w:val="32"/>
          <w:szCs w:val="32"/>
        </w:rPr>
        <w:t>安全生产管理水平</w:t>
      </w:r>
      <w:r>
        <w:rPr>
          <w:rFonts w:hint="eastAsia" w:ascii="仿宋_GB2312" w:eastAsia="仿宋_GB2312"/>
          <w:sz w:val="32"/>
          <w:szCs w:val="32"/>
          <w:lang w:val="en-US" w:eastAsia="zh-CN"/>
        </w:rPr>
        <w:t>得到大幅提高</w:t>
      </w:r>
      <w:r>
        <w:rPr>
          <w:rFonts w:hint="eastAsia" w:ascii="仿宋_GB2312" w:eastAsia="仿宋_GB2312"/>
          <w:sz w:val="32"/>
          <w:szCs w:val="32"/>
          <w:lang w:eastAsia="zh-CN"/>
        </w:rPr>
        <w:t>。</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持续抓好基层党的建设</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default" w:ascii="仿宋_GB2312" w:eastAsia="仿宋_GB2312"/>
          <w:sz w:val="32"/>
          <w:szCs w:val="32"/>
          <w:lang w:val="en-US" w:eastAsia="zh-CN"/>
        </w:rPr>
        <w:t>加强思想建设。常态化监督党员干部加强“学习强国”在线学习，学员每天参与度达到</w:t>
      </w:r>
      <w:r>
        <w:rPr>
          <w:rFonts w:hint="eastAsia" w:ascii="仿宋_GB2312" w:eastAsia="仿宋_GB2312"/>
          <w:sz w:val="32"/>
          <w:szCs w:val="32"/>
          <w:lang w:val="en-US" w:eastAsia="zh-CN"/>
        </w:rPr>
        <w:t>7</w:t>
      </w:r>
      <w:r>
        <w:rPr>
          <w:rFonts w:hint="default" w:ascii="仿宋_GB2312" w:eastAsia="仿宋_GB2312"/>
          <w:sz w:val="32"/>
          <w:szCs w:val="32"/>
          <w:lang w:val="en-US" w:eastAsia="zh-CN"/>
        </w:rPr>
        <w:t>0%以上，每月组织开展中心组理论学习，重点学习</w:t>
      </w:r>
      <w:r>
        <w:rPr>
          <w:rFonts w:hint="eastAsia" w:ascii="仿宋_GB2312" w:eastAsia="仿宋_GB2312"/>
          <w:sz w:val="32"/>
          <w:szCs w:val="32"/>
          <w:lang w:val="en-US" w:eastAsia="zh-CN"/>
        </w:rPr>
        <w:t>了</w:t>
      </w:r>
      <w:r>
        <w:rPr>
          <w:rFonts w:hint="default" w:ascii="仿宋_GB2312" w:eastAsia="仿宋_GB2312"/>
          <w:sz w:val="32"/>
          <w:szCs w:val="32"/>
          <w:lang w:val="en-US" w:eastAsia="zh-CN"/>
        </w:rPr>
        <w:t>习近平新时代中国特色社会主义思想及习近平总书记对四川工作重要指示精神</w:t>
      </w:r>
      <w:r>
        <w:rPr>
          <w:rFonts w:hint="eastAsia" w:ascii="仿宋_GB2312" w:eastAsia="仿宋_GB2312"/>
          <w:sz w:val="32"/>
          <w:szCs w:val="32"/>
          <w:lang w:val="en-US" w:eastAsia="zh-CN"/>
        </w:rPr>
        <w:t>，学习了党中央、省委、市委、区委系列全会精神，开展了以中共党史、新中国史、改革开放史、社会主义发展史为核心的“四史”的学习，学习了党章党规及法律法规</w:t>
      </w:r>
      <w:r>
        <w:rPr>
          <w:rFonts w:hint="default" w:ascii="仿宋_GB2312" w:eastAsia="仿宋_GB2312"/>
          <w:sz w:val="32"/>
          <w:szCs w:val="32"/>
          <w:lang w:val="en-US" w:eastAsia="zh-CN"/>
        </w:rPr>
        <w:t>。年内共开展中心组理论学习会议12次，支部书记讲党课</w:t>
      </w:r>
      <w:r>
        <w:rPr>
          <w:rFonts w:hint="default" w:ascii="仿宋_GB2312" w:eastAsia="仿宋_GB2312"/>
          <w:color w:val="auto"/>
          <w:sz w:val="32"/>
          <w:szCs w:val="32"/>
          <w:lang w:val="en-US" w:eastAsia="zh-CN"/>
        </w:rPr>
        <w:t>4</w:t>
      </w:r>
      <w:r>
        <w:rPr>
          <w:rFonts w:hint="default" w:ascii="仿宋_GB2312" w:eastAsia="仿宋_GB2312"/>
          <w:sz w:val="32"/>
          <w:szCs w:val="32"/>
          <w:lang w:val="en-US" w:eastAsia="zh-CN"/>
        </w:rPr>
        <w:t>次。</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default" w:ascii="仿宋_GB2312" w:eastAsia="仿宋_GB2312"/>
          <w:sz w:val="32"/>
          <w:szCs w:val="32"/>
          <w:lang w:val="en-US" w:eastAsia="zh-CN"/>
        </w:rPr>
        <w:t>加强组织建设。</w:t>
      </w:r>
      <w:r>
        <w:rPr>
          <w:rFonts w:hint="eastAsia" w:ascii="仿宋_GB2312" w:eastAsia="仿宋_GB2312"/>
          <w:sz w:val="32"/>
          <w:szCs w:val="32"/>
          <w:lang w:val="en-US" w:eastAsia="zh-CN"/>
        </w:rPr>
        <w:t>今年7月份，景区服务中心召开了全体党员大会，对支部委员会进行了换届选举，并顺利完成支委委员的工作交接。同时，景区服务中心</w:t>
      </w:r>
      <w:r>
        <w:rPr>
          <w:rFonts w:hint="default" w:ascii="仿宋_GB2312" w:eastAsia="仿宋_GB2312"/>
          <w:sz w:val="32"/>
          <w:szCs w:val="32"/>
          <w:lang w:val="en-US" w:eastAsia="zh-CN"/>
        </w:rPr>
        <w:t>严格按照党员发展“十六”字方针总要求，</w:t>
      </w:r>
      <w:r>
        <w:rPr>
          <w:rFonts w:hint="eastAsia" w:ascii="仿宋_GB2312" w:eastAsia="仿宋_GB2312"/>
          <w:sz w:val="32"/>
          <w:szCs w:val="32"/>
          <w:lang w:val="en-US" w:eastAsia="zh-CN"/>
        </w:rPr>
        <w:t>加强党员发展管理，全年接转党员组织关系1名</w:t>
      </w:r>
      <w:r>
        <w:rPr>
          <w:rFonts w:hint="default" w:ascii="仿宋_GB2312" w:eastAsia="仿宋_GB2312"/>
          <w:sz w:val="32"/>
          <w:szCs w:val="32"/>
          <w:lang w:val="en-US" w:eastAsia="zh-CN"/>
        </w:rPr>
        <w:t>，目前共有正式党员1</w:t>
      </w:r>
      <w:r>
        <w:rPr>
          <w:rFonts w:hint="eastAsia" w:ascii="仿宋_GB2312" w:eastAsia="仿宋_GB2312"/>
          <w:sz w:val="32"/>
          <w:szCs w:val="32"/>
          <w:lang w:val="en-US" w:eastAsia="zh-CN"/>
        </w:rPr>
        <w:t>0</w:t>
      </w:r>
      <w:r>
        <w:rPr>
          <w:rFonts w:hint="default" w:ascii="仿宋_GB2312" w:eastAsia="仿宋_GB2312"/>
          <w:sz w:val="32"/>
          <w:szCs w:val="32"/>
          <w:lang w:val="en-US" w:eastAsia="zh-CN"/>
        </w:rPr>
        <w:t>名，入党积极分子2名。</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w:t>
      </w:r>
      <w:r>
        <w:rPr>
          <w:rFonts w:hint="default" w:ascii="仿宋_GB2312" w:eastAsia="仿宋_GB2312"/>
          <w:sz w:val="32"/>
          <w:szCs w:val="32"/>
          <w:lang w:val="en-US" w:eastAsia="zh-CN"/>
        </w:rPr>
        <w:t>加强作风建设。坚持“作风建设永远在路上”，深入推进党风廉政建设</w:t>
      </w:r>
      <w:r>
        <w:rPr>
          <w:rFonts w:hint="eastAsia" w:ascii="仿宋_GB2312" w:eastAsia="仿宋_GB2312"/>
          <w:sz w:val="32"/>
          <w:szCs w:val="32"/>
          <w:lang w:val="en-US" w:eastAsia="zh-CN"/>
        </w:rPr>
        <w:t>，</w:t>
      </w:r>
      <w:r>
        <w:rPr>
          <w:rFonts w:hint="default" w:ascii="仿宋_GB2312" w:eastAsia="仿宋_GB2312"/>
          <w:sz w:val="32"/>
          <w:szCs w:val="32"/>
          <w:lang w:val="en-US" w:eastAsia="zh-CN"/>
        </w:rPr>
        <w:t>严格落实中央八项规定、省委省政府十项规定、市委“六个带头”精神及其实施细则，逗硬执行区委“七个加强”相关规定</w:t>
      </w:r>
      <w:r>
        <w:rPr>
          <w:rFonts w:hint="eastAsia" w:ascii="仿宋_GB2312" w:eastAsia="仿宋_GB2312"/>
          <w:sz w:val="32"/>
          <w:szCs w:val="32"/>
          <w:lang w:val="en-US" w:eastAsia="zh-CN"/>
        </w:rPr>
        <w:t>，</w:t>
      </w:r>
      <w:r>
        <w:rPr>
          <w:rFonts w:hint="default" w:ascii="仿宋_GB2312" w:eastAsia="仿宋_GB2312"/>
          <w:sz w:val="32"/>
          <w:szCs w:val="32"/>
          <w:lang w:val="en-US" w:eastAsia="zh-CN"/>
        </w:rPr>
        <w:t>不断深入自查，摸排问题，及时制定整改措施并限期推动落实，进一步推动党风廉政建设和反腐败斗争，落实主体责任。</w:t>
      </w:r>
      <w:r>
        <w:rPr>
          <w:rFonts w:hint="eastAsia" w:ascii="仿宋_GB2312" w:eastAsia="仿宋_GB2312"/>
          <w:sz w:val="32"/>
          <w:szCs w:val="32"/>
          <w:lang w:val="en-US" w:eastAsia="zh-CN"/>
        </w:rPr>
        <w:t>今年以来，景区服务中心重点</w:t>
      </w:r>
      <w:r>
        <w:rPr>
          <w:rFonts w:hint="default" w:ascii="仿宋_GB2312" w:eastAsia="仿宋_GB2312"/>
          <w:sz w:val="32"/>
          <w:szCs w:val="32"/>
          <w:lang w:val="en-US" w:eastAsia="zh-CN"/>
        </w:rPr>
        <w:t>排查了党员干部参与赌博、吸毒、涉黑涉恶、违规举办“升学宴”等违纪违法行为</w:t>
      </w:r>
      <w:r>
        <w:rPr>
          <w:rFonts w:hint="eastAsia" w:ascii="仿宋_GB2312" w:eastAsia="仿宋_GB2312"/>
          <w:sz w:val="32"/>
          <w:szCs w:val="32"/>
          <w:lang w:val="en-US" w:eastAsia="zh-CN"/>
        </w:rPr>
        <w:t>，全年无此类现象发生</w:t>
      </w:r>
      <w:r>
        <w:rPr>
          <w:rFonts w:hint="default" w:ascii="仿宋_GB2312" w:eastAsia="仿宋_GB2312"/>
          <w:sz w:val="32"/>
          <w:szCs w:val="32"/>
          <w:lang w:val="en-US" w:eastAsia="zh-CN"/>
        </w:rPr>
        <w:t>。</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扎实推进党史学习教育</w:t>
      </w:r>
    </w:p>
    <w:p>
      <w:pPr>
        <w:ind w:firstLine="640" w:firstLineChars="200"/>
        <w:rPr>
          <w:rFonts w:ascii="仿宋_GB2312" w:eastAsia="仿宋_GB2312"/>
          <w:sz w:val="32"/>
          <w:szCs w:val="32"/>
        </w:rPr>
      </w:pPr>
      <w:r>
        <w:rPr>
          <w:rFonts w:hint="eastAsia" w:ascii="仿宋_GB2312" w:eastAsia="仿宋_GB2312"/>
          <w:sz w:val="32"/>
          <w:szCs w:val="32"/>
        </w:rPr>
        <w:t>严格按照管委会党史学习教育工作安排，结合中心组理论学习、三会一课、主题党日等组织生活，常态化组织党员干部加强对中共党史、新中国史、改革开放史、社会主义发展史等相关内容的学习，教育引导党员干部坚持做到学史明理、学史增信、学史崇德、学史力行。在学习过程中，为提高学习成效，景区服务中心采取了书本学习、网络在线学习、参观红色遗址、观看红色电影、党课学习等多种方式，大大提高了党员干部学习党史的积极性、主动性，使党员干部进一步感悟习近平新时代中国特色社会主义思想伟力，自觉从习近平新时代中国特色社会主义思想中找方向、找遵循、找方法，自觉在学懂弄通做实上下功夫，切实用党的创新理论武装头脑、指导实践、推动工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lang w:val="en-US" w:eastAsia="zh-CN"/>
        </w:rPr>
        <w:t>有力推进旅游市场拓展</w:t>
      </w:r>
    </w:p>
    <w:p>
      <w:pPr>
        <w:ind w:firstLine="640" w:firstLineChars="200"/>
        <w:rPr>
          <w:rFonts w:ascii="仿宋_GB2312" w:eastAsia="仿宋_GB2312"/>
          <w:sz w:val="32"/>
          <w:szCs w:val="32"/>
        </w:rPr>
      </w:pPr>
      <w:r>
        <w:rPr>
          <w:rFonts w:hint="eastAsia" w:ascii="仿宋_GB2312" w:eastAsia="仿宋_GB2312"/>
          <w:sz w:val="32"/>
          <w:szCs w:val="32"/>
        </w:rPr>
        <w:t>1.门票收入方面。由于受</w:t>
      </w:r>
      <w:r>
        <w:rPr>
          <w:rFonts w:hint="eastAsia" w:ascii="仿宋_GB2312" w:eastAsia="仿宋_GB2312"/>
          <w:sz w:val="32"/>
          <w:szCs w:val="32"/>
          <w:lang w:val="en-US" w:eastAsia="zh-CN"/>
        </w:rPr>
        <w:t>新冠肺炎</w:t>
      </w:r>
      <w:r>
        <w:rPr>
          <w:rFonts w:hint="eastAsia" w:ascii="仿宋_GB2312" w:eastAsia="仿宋_GB2312"/>
          <w:sz w:val="32"/>
          <w:szCs w:val="32"/>
        </w:rPr>
        <w:t>疫情及</w:t>
      </w:r>
      <w:r>
        <w:rPr>
          <w:rFonts w:hint="eastAsia" w:ascii="仿宋_GB2312" w:eastAsia="仿宋_GB2312"/>
          <w:sz w:val="32"/>
          <w:szCs w:val="32"/>
          <w:lang w:val="en-US" w:eastAsia="zh-CN"/>
        </w:rPr>
        <w:t>京昆高速、</w:t>
      </w:r>
      <w:r>
        <w:rPr>
          <w:rFonts w:hint="eastAsia" w:ascii="仿宋_GB2312" w:eastAsia="仿宋_GB2312"/>
          <w:sz w:val="32"/>
          <w:szCs w:val="32"/>
        </w:rPr>
        <w:t>七曾快速通道断道施工影响，景区</w:t>
      </w:r>
      <w:r>
        <w:rPr>
          <w:rFonts w:hint="eastAsia" w:ascii="仿宋_GB2312" w:eastAsia="仿宋_GB2312"/>
          <w:sz w:val="32"/>
          <w:szCs w:val="32"/>
          <w:lang w:val="en-US" w:eastAsia="zh-CN"/>
        </w:rPr>
        <w:t>全年</w:t>
      </w:r>
      <w:r>
        <w:rPr>
          <w:rFonts w:hint="eastAsia" w:ascii="仿宋_GB2312" w:eastAsia="仿宋_GB2312"/>
          <w:sz w:val="32"/>
          <w:szCs w:val="32"/>
        </w:rPr>
        <w:t>门票总收入为118.09万元，占全年目标任务的</w:t>
      </w:r>
      <w:r>
        <w:rPr>
          <w:rFonts w:hint="eastAsia" w:ascii="仿宋_GB2312" w:eastAsia="仿宋_GB2312"/>
          <w:color w:val="auto"/>
          <w:sz w:val="32"/>
          <w:szCs w:val="32"/>
          <w:lang w:val="en-US" w:eastAsia="zh-CN"/>
        </w:rPr>
        <w:t>39.4</w:t>
      </w:r>
      <w:r>
        <w:rPr>
          <w:rFonts w:hint="eastAsia" w:ascii="仿宋_GB2312" w:eastAsia="仿宋_GB2312"/>
          <w:color w:val="auto"/>
          <w:sz w:val="32"/>
          <w:szCs w:val="32"/>
        </w:rPr>
        <w:t>%。</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2.市场营销方面。一是积极开展宣传促销活动。组织营销人员参加了杭州市·广元市两地工会深化东西部协作工作座谈会，推介职工疗休养基地简要情况；参加了第25届重庆都市文化旅游节暨城际旅游交易会，加强曾家山旅游资源的宣传推介，不断提升曾家山景区的知名度；协助筹备了全省旅游景区发展大会、全国女子门球赛</w:t>
      </w:r>
      <w:r>
        <w:rPr>
          <w:rFonts w:hint="eastAsia" w:ascii="仿宋_GB2312" w:eastAsia="仿宋_GB2312"/>
          <w:sz w:val="32"/>
          <w:szCs w:val="32"/>
          <w:lang w:eastAsia="zh-CN"/>
        </w:rPr>
        <w:t>、</w:t>
      </w:r>
      <w:r>
        <w:rPr>
          <w:rFonts w:hint="eastAsia" w:ascii="仿宋_GB2312" w:eastAsia="仿宋_GB2312"/>
          <w:sz w:val="32"/>
          <w:szCs w:val="32"/>
          <w:lang w:val="en-US" w:eastAsia="zh-CN"/>
        </w:rPr>
        <w:t>第十一届大蜀道文化旅游节及2021年全市文化和旅游发展大会</w:t>
      </w:r>
      <w:r>
        <w:rPr>
          <w:rFonts w:hint="eastAsia" w:ascii="仿宋_GB2312" w:eastAsia="仿宋_GB2312"/>
          <w:sz w:val="32"/>
          <w:szCs w:val="32"/>
        </w:rPr>
        <w:t>等文旅活动，扎实抓好参会嘉宾及游客接待工作，以优质服务展现景区良好形象。</w:t>
      </w:r>
      <w:r>
        <w:rPr>
          <w:rFonts w:hint="eastAsia" w:ascii="仿宋_GB2312" w:eastAsia="仿宋_GB2312"/>
          <w:sz w:val="32"/>
          <w:szCs w:val="32"/>
          <w:lang w:val="en-US" w:eastAsia="zh-CN"/>
        </w:rPr>
        <w:t>二是加强旅游市场开发。</w:t>
      </w:r>
      <w:r>
        <w:rPr>
          <w:rFonts w:hint="eastAsia" w:ascii="仿宋_GB2312" w:eastAsia="仿宋_GB2312"/>
          <w:sz w:val="32"/>
          <w:szCs w:val="32"/>
        </w:rPr>
        <w:t>主动对接成都、绵阳、重庆、甘肃、陕西、广元等周边地区旅行社，商谈旅游合作事项，研讨团队优惠政策，完善长效合作机制，扩大客源市场开发，积极带动经济效益。</w:t>
      </w:r>
      <w:r>
        <w:rPr>
          <w:rFonts w:hint="eastAsia" w:ascii="仿宋_GB2312" w:eastAsia="仿宋_GB2312"/>
          <w:sz w:val="32"/>
          <w:szCs w:val="32"/>
          <w:lang w:val="en-US" w:eastAsia="zh-CN"/>
        </w:rPr>
        <w:t>三</w:t>
      </w:r>
      <w:r>
        <w:rPr>
          <w:rFonts w:hint="eastAsia" w:ascii="仿宋_GB2312" w:eastAsia="仿宋_GB2312"/>
          <w:sz w:val="32"/>
          <w:szCs w:val="32"/>
        </w:rPr>
        <w:t>是大力开展研学旅行。主动与朝天镇、中子镇、曾家镇等周边乡镇的中小学校进行</w:t>
      </w:r>
      <w:r>
        <w:rPr>
          <w:rFonts w:hint="eastAsia" w:ascii="仿宋_GB2312" w:eastAsia="仿宋_GB2312"/>
          <w:sz w:val="32"/>
          <w:szCs w:val="32"/>
          <w:lang w:val="en-US" w:eastAsia="zh-CN"/>
        </w:rPr>
        <w:t>了交流</w:t>
      </w:r>
      <w:r>
        <w:rPr>
          <w:rFonts w:hint="eastAsia" w:ascii="仿宋_GB2312" w:eastAsia="仿宋_GB2312"/>
          <w:sz w:val="32"/>
          <w:szCs w:val="32"/>
        </w:rPr>
        <w:t>对接，洽谈研学旅行合作事宜，鼓励、引导周边中小学校，结合党史学习教育，大力推进研学旅行进景区活动。</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w:t>
      </w:r>
      <w:r>
        <w:rPr>
          <w:rFonts w:hint="eastAsia" w:ascii="楷体" w:hAnsi="楷体" w:eastAsia="楷体" w:cs="楷体"/>
          <w:sz w:val="32"/>
          <w:szCs w:val="32"/>
          <w:lang w:val="en-US" w:eastAsia="zh-CN"/>
        </w:rPr>
        <w:t>强化</w:t>
      </w:r>
      <w:r>
        <w:rPr>
          <w:rFonts w:hint="eastAsia" w:ascii="楷体" w:hAnsi="楷体" w:eastAsia="楷体" w:cs="楷体"/>
          <w:sz w:val="32"/>
          <w:szCs w:val="32"/>
        </w:rPr>
        <w:t>服务质量</w:t>
      </w:r>
      <w:r>
        <w:rPr>
          <w:rFonts w:hint="eastAsia" w:ascii="楷体" w:hAnsi="楷体" w:eastAsia="楷体" w:cs="楷体"/>
          <w:sz w:val="32"/>
          <w:szCs w:val="32"/>
          <w:lang w:val="en-US" w:eastAsia="zh-CN"/>
        </w:rPr>
        <w:t>提升</w:t>
      </w:r>
    </w:p>
    <w:p>
      <w:pPr>
        <w:ind w:firstLine="640" w:firstLineChars="200"/>
        <w:rPr>
          <w:rFonts w:ascii="仿宋_GB2312" w:eastAsia="仿宋_GB2312"/>
          <w:sz w:val="32"/>
          <w:szCs w:val="32"/>
        </w:rPr>
      </w:pPr>
      <w:r>
        <w:rPr>
          <w:rFonts w:hint="eastAsia" w:ascii="仿宋_GB2312" w:eastAsia="仿宋_GB2312"/>
          <w:sz w:val="32"/>
          <w:szCs w:val="32"/>
        </w:rPr>
        <w:t>1.加强营商环境整治。积极配合交警、市场监管等行政执法部门，加强对餐饮住宿、休闲娱乐等旅游业态的执法检查，严格查处</w:t>
      </w:r>
      <w:r>
        <w:rPr>
          <w:rFonts w:hint="eastAsia" w:ascii="仿宋_GB2312" w:eastAsia="仿宋_GB2312"/>
          <w:sz w:val="32"/>
          <w:szCs w:val="32"/>
          <w:lang w:val="en-US" w:eastAsia="zh-CN"/>
        </w:rPr>
        <w:t>乱停乱放、</w:t>
      </w:r>
      <w:r>
        <w:rPr>
          <w:rFonts w:hint="eastAsia" w:ascii="仿宋_GB2312" w:eastAsia="仿宋_GB2312"/>
          <w:sz w:val="32"/>
          <w:szCs w:val="32"/>
        </w:rPr>
        <w:t>无证经营、占道经营、捆绑消费、欺客宰客等旅游乱象，营造放心舒心的旅游环境。</w:t>
      </w:r>
    </w:p>
    <w:p>
      <w:pPr>
        <w:ind w:firstLine="640" w:firstLineChars="200"/>
        <w:rPr>
          <w:rFonts w:ascii="仿宋_GB2312" w:eastAsia="仿宋_GB2312"/>
          <w:sz w:val="32"/>
          <w:szCs w:val="32"/>
        </w:rPr>
      </w:pPr>
      <w:r>
        <w:rPr>
          <w:rFonts w:hint="eastAsia" w:ascii="仿宋_GB2312" w:eastAsia="仿宋_GB2312"/>
          <w:sz w:val="32"/>
          <w:szCs w:val="32"/>
        </w:rPr>
        <w:t>2.加强人员教育培训。常态化组织景区从业人员参与基本礼仪、讲解咨询、投诉处理、应急救援等业务知识培训，提高景区从业人员服务意识和服务技能。同时，通过强化制度管理，落实奖惩机制，大大提高了景区从业人员服务游客的主动性、积极性，逐步转变服务理念，提高服务质量，努力为广大游客提供优质化、精细化、标准化的服务。</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en-US" w:eastAsia="zh-CN"/>
        </w:rPr>
        <w:t>加强基础设施建设及</w:t>
      </w:r>
      <w:r>
        <w:rPr>
          <w:rFonts w:hint="eastAsia" w:ascii="楷体" w:hAnsi="楷体" w:eastAsia="楷体" w:cs="楷体"/>
          <w:sz w:val="32"/>
          <w:szCs w:val="32"/>
        </w:rPr>
        <w:t>资源</w:t>
      </w:r>
      <w:r>
        <w:rPr>
          <w:rFonts w:hint="eastAsia" w:ascii="楷体" w:hAnsi="楷体" w:eastAsia="楷体" w:cs="楷体"/>
          <w:sz w:val="32"/>
          <w:szCs w:val="32"/>
          <w:lang w:val="en-US" w:eastAsia="zh-CN"/>
        </w:rPr>
        <w:t>保护</w:t>
      </w:r>
    </w:p>
    <w:p>
      <w:pPr>
        <w:ind w:firstLine="640" w:firstLineChars="200"/>
        <w:rPr>
          <w:rFonts w:ascii="仿宋_GB2312" w:eastAsia="仿宋_GB2312"/>
          <w:sz w:val="32"/>
          <w:szCs w:val="32"/>
        </w:rPr>
      </w:pPr>
      <w:r>
        <w:rPr>
          <w:rFonts w:hint="eastAsia" w:ascii="仿宋_GB2312" w:eastAsia="仿宋_GB2312"/>
          <w:sz w:val="32"/>
          <w:szCs w:val="32"/>
        </w:rPr>
        <w:t>1.完善景区基础设施和景观建设。以创建天府旅游名县及全省旅游景区发展大会</w:t>
      </w:r>
      <w:r>
        <w:rPr>
          <w:rFonts w:hint="eastAsia" w:ascii="仿宋_GB2312" w:eastAsia="仿宋_GB2312"/>
          <w:sz w:val="32"/>
          <w:szCs w:val="32"/>
          <w:lang w:val="en-US" w:eastAsia="zh-CN"/>
        </w:rPr>
        <w:t>的</w:t>
      </w:r>
      <w:r>
        <w:rPr>
          <w:rFonts w:hint="eastAsia" w:ascii="仿宋_GB2312" w:eastAsia="仿宋_GB2312"/>
          <w:sz w:val="32"/>
          <w:szCs w:val="32"/>
        </w:rPr>
        <w:t>召开为契机，提升公共服务，实现景区品质进一步提档</w:t>
      </w:r>
      <w:r>
        <w:rPr>
          <w:rFonts w:hint="eastAsia" w:ascii="仿宋_GB2312" w:eastAsia="仿宋_GB2312"/>
          <w:sz w:val="32"/>
          <w:szCs w:val="32"/>
          <w:lang w:val="en-US" w:eastAsia="zh-CN"/>
        </w:rPr>
        <w:t>升级</w:t>
      </w:r>
      <w:r>
        <w:rPr>
          <w:rFonts w:hint="eastAsia" w:ascii="仿宋_GB2312" w:eastAsia="仿宋_GB2312"/>
          <w:sz w:val="32"/>
          <w:szCs w:val="32"/>
        </w:rPr>
        <w:t>，其中以游客和群众满意度为导向，完成了景区停车场</w:t>
      </w:r>
      <w:r>
        <w:rPr>
          <w:rFonts w:hint="eastAsia" w:ascii="仿宋_GB2312" w:eastAsia="仿宋_GB2312"/>
          <w:sz w:val="32"/>
          <w:szCs w:val="32"/>
          <w:lang w:val="en-US" w:eastAsia="zh-CN"/>
        </w:rPr>
        <w:t>提升建设</w:t>
      </w:r>
      <w:r>
        <w:rPr>
          <w:rFonts w:hint="eastAsia" w:ascii="仿宋_GB2312" w:eastAsia="仿宋_GB2312"/>
          <w:sz w:val="32"/>
          <w:szCs w:val="32"/>
        </w:rPr>
        <w:t>面积1300㎡</w:t>
      </w:r>
      <w:r>
        <w:rPr>
          <w:rFonts w:hint="eastAsia" w:ascii="仿宋_GB2312" w:hAnsi="仿宋_GB2312" w:eastAsia="仿宋_GB2312" w:cs="仿宋_GB2312"/>
          <w:sz w:val="32"/>
          <w:szCs w:val="32"/>
        </w:rPr>
        <w:t>，新增停车位</w:t>
      </w:r>
      <w:r>
        <w:rPr>
          <w:rFonts w:hint="eastAsia" w:ascii="仿宋_GB2312" w:eastAsia="仿宋_GB2312"/>
          <w:sz w:val="32"/>
          <w:szCs w:val="32"/>
        </w:rPr>
        <w:t>33个，</w:t>
      </w:r>
      <w:r>
        <w:rPr>
          <w:rFonts w:hint="eastAsia" w:ascii="仿宋_GB2312" w:eastAsia="仿宋_GB2312"/>
          <w:sz w:val="32"/>
          <w:szCs w:val="32"/>
          <w:lang w:val="en-US" w:eastAsia="zh-CN"/>
        </w:rPr>
        <w:t>川洞天坑、石笋坪景点分别</w:t>
      </w:r>
      <w:r>
        <w:rPr>
          <w:rFonts w:hint="eastAsia" w:ascii="仿宋_GB2312" w:eastAsia="仿宋_GB2312"/>
          <w:sz w:val="32"/>
          <w:szCs w:val="32"/>
        </w:rPr>
        <w:t>增设监控摄像头5个，改建游客中心票务室一间，景区花园及周边道路沿线种植各类花卉13亩，更换宣传专栏展示内容</w:t>
      </w:r>
      <w:r>
        <w:rPr>
          <w:rFonts w:hint="eastAsia" w:ascii="仿宋_GB2312" w:eastAsia="仿宋_GB2312"/>
          <w:sz w:val="32"/>
          <w:szCs w:val="32"/>
          <w:lang w:val="en-US" w:eastAsia="zh-CN"/>
        </w:rPr>
        <w:t>53</w:t>
      </w:r>
      <w:r>
        <w:rPr>
          <w:rFonts w:hint="eastAsia" w:ascii="仿宋_GB2312" w:eastAsia="仿宋_GB2312"/>
          <w:sz w:val="32"/>
          <w:szCs w:val="32"/>
        </w:rPr>
        <w:t>处；川洞天坑景点更换木质扶手1</w:t>
      </w:r>
      <w:r>
        <w:rPr>
          <w:rFonts w:hint="eastAsia" w:ascii="仿宋_GB2312" w:eastAsia="仿宋_GB2312"/>
          <w:sz w:val="32"/>
          <w:szCs w:val="32"/>
          <w:lang w:val="en-US" w:eastAsia="zh-CN"/>
        </w:rPr>
        <w:t>127</w:t>
      </w:r>
      <w:r>
        <w:rPr>
          <w:rFonts w:hint="eastAsia" w:ascii="仿宋_GB2312" w:eastAsia="仿宋_GB2312"/>
          <w:sz w:val="32"/>
          <w:szCs w:val="32"/>
        </w:rPr>
        <w:t>米、更换步游道木质踏板</w:t>
      </w:r>
      <w:r>
        <w:rPr>
          <w:rFonts w:hint="eastAsia" w:ascii="仿宋_GB2312" w:eastAsia="仿宋_GB2312"/>
          <w:sz w:val="32"/>
          <w:szCs w:val="32"/>
          <w:lang w:val="en-US" w:eastAsia="zh-CN"/>
        </w:rPr>
        <w:t>9</w:t>
      </w:r>
      <w:r>
        <w:rPr>
          <w:rFonts w:hint="eastAsia" w:ascii="仿宋_GB2312" w:eastAsia="仿宋_GB2312"/>
          <w:sz w:val="32"/>
          <w:szCs w:val="32"/>
        </w:rPr>
        <w:t>方；石笋坪景点更换扶手1</w:t>
      </w:r>
      <w:r>
        <w:rPr>
          <w:rFonts w:hint="eastAsia" w:ascii="仿宋_GB2312" w:eastAsia="仿宋_GB2312"/>
          <w:sz w:val="32"/>
          <w:szCs w:val="32"/>
          <w:lang w:val="en-US" w:eastAsia="zh-CN"/>
        </w:rPr>
        <w:t>978</w:t>
      </w:r>
      <w:r>
        <w:rPr>
          <w:rFonts w:hint="eastAsia" w:ascii="仿宋_GB2312" w:eastAsia="仿宋_GB2312"/>
          <w:sz w:val="32"/>
          <w:szCs w:val="32"/>
        </w:rPr>
        <w:t>米，更换步游道木质踏板</w:t>
      </w:r>
      <w:r>
        <w:rPr>
          <w:rFonts w:hint="eastAsia" w:ascii="仿宋_GB2312" w:eastAsia="仿宋_GB2312"/>
          <w:sz w:val="32"/>
          <w:szCs w:val="32"/>
          <w:lang w:val="en-US" w:eastAsia="zh-CN"/>
        </w:rPr>
        <w:t>20</w:t>
      </w:r>
      <w:r>
        <w:rPr>
          <w:rFonts w:hint="eastAsia" w:ascii="仿宋_GB2312" w:eastAsia="仿宋_GB2312"/>
          <w:sz w:val="32"/>
          <w:szCs w:val="32"/>
        </w:rPr>
        <w:t>方，维修旅游厕所1座，观景亭3座；清理景区道路塌方泥土</w:t>
      </w:r>
      <w:r>
        <w:rPr>
          <w:rFonts w:hint="eastAsia" w:ascii="仿宋_GB2312" w:eastAsia="仿宋_GB2312"/>
          <w:sz w:val="32"/>
          <w:szCs w:val="32"/>
          <w:lang w:val="en-US" w:eastAsia="zh-CN"/>
        </w:rPr>
        <w:t>71</w:t>
      </w:r>
      <w:r>
        <w:rPr>
          <w:rFonts w:hint="eastAsia" w:ascii="仿宋_GB2312" w:eastAsia="仿宋_GB2312"/>
          <w:sz w:val="32"/>
          <w:szCs w:val="32"/>
        </w:rPr>
        <w:t>方</w:t>
      </w:r>
      <w:r>
        <w:rPr>
          <w:rFonts w:hint="eastAsia" w:ascii="仿宋_GB2312" w:eastAsia="仿宋_GB2312"/>
          <w:sz w:val="32"/>
          <w:szCs w:val="32"/>
          <w:lang w:eastAsia="zh-CN"/>
        </w:rPr>
        <w:t>，</w:t>
      </w:r>
      <w:r>
        <w:rPr>
          <w:rFonts w:hint="eastAsia" w:ascii="仿宋_GB2312" w:eastAsia="仿宋_GB2312"/>
          <w:sz w:val="32"/>
          <w:szCs w:val="32"/>
          <w:lang w:val="en-US" w:eastAsia="zh-CN"/>
        </w:rPr>
        <w:t>步游道铺设防水砖120方、新建150方蓄水池一座</w:t>
      </w:r>
      <w:r>
        <w:rPr>
          <w:rFonts w:hint="eastAsia" w:ascii="仿宋_GB2312" w:eastAsia="仿宋_GB2312"/>
          <w:sz w:val="32"/>
          <w:szCs w:val="32"/>
        </w:rPr>
        <w:t>等项目。</w:t>
      </w:r>
      <w:r>
        <w:rPr>
          <w:rFonts w:hint="eastAsia" w:ascii="仿宋_GB2312" w:eastAsia="仿宋_GB2312"/>
          <w:sz w:val="32"/>
          <w:szCs w:val="32"/>
          <w:lang w:val="en-US" w:eastAsia="zh-CN"/>
        </w:rPr>
        <w:t>并</w:t>
      </w:r>
      <w:r>
        <w:rPr>
          <w:rFonts w:hint="eastAsia" w:ascii="仿宋_GB2312" w:eastAsia="仿宋_GB2312"/>
          <w:sz w:val="32"/>
          <w:szCs w:val="32"/>
        </w:rPr>
        <w:t>对景区内的</w:t>
      </w:r>
      <w:r>
        <w:rPr>
          <w:rFonts w:hint="eastAsia" w:ascii="仿宋_GB2312" w:eastAsia="仿宋_GB2312"/>
          <w:sz w:val="32"/>
          <w:szCs w:val="32"/>
          <w:lang w:val="en-US" w:eastAsia="zh-CN"/>
        </w:rPr>
        <w:t>休息</w:t>
      </w:r>
      <w:r>
        <w:rPr>
          <w:rFonts w:hint="eastAsia" w:ascii="仿宋_GB2312" w:eastAsia="仿宋_GB2312"/>
          <w:sz w:val="32"/>
          <w:szCs w:val="32"/>
        </w:rPr>
        <w:t>座椅进行了加固和景观美化，达到了景观建设和安全生产的双目的。</w:t>
      </w:r>
    </w:p>
    <w:p>
      <w:pPr>
        <w:ind w:firstLine="640" w:firstLineChars="200"/>
        <w:rPr>
          <w:rFonts w:ascii="仿宋_GB2312" w:eastAsia="仿宋_GB2312"/>
          <w:sz w:val="32"/>
          <w:szCs w:val="32"/>
        </w:rPr>
      </w:pPr>
      <w:r>
        <w:rPr>
          <w:rFonts w:hint="eastAsia" w:ascii="仿宋_GB2312" w:eastAsia="仿宋_GB2312"/>
          <w:sz w:val="32"/>
          <w:szCs w:val="32"/>
        </w:rPr>
        <w:t>2.提高景区旅游环境质量。今年增加卫生保洁人员，切实增强旅游环境保洁力量，专职对景区公厕</w:t>
      </w:r>
      <w:r>
        <w:rPr>
          <w:rFonts w:hint="eastAsia" w:ascii="仿宋_GB2312" w:eastAsia="仿宋_GB2312"/>
          <w:sz w:val="32"/>
          <w:szCs w:val="32"/>
          <w:lang w:eastAsia="zh-CN"/>
        </w:rPr>
        <w:t>、</w:t>
      </w:r>
      <w:r>
        <w:rPr>
          <w:rFonts w:hint="eastAsia" w:ascii="仿宋_GB2312" w:eastAsia="仿宋_GB2312"/>
          <w:sz w:val="32"/>
          <w:szCs w:val="32"/>
        </w:rPr>
        <w:t>步游道进行清扫</w:t>
      </w:r>
      <w:r>
        <w:rPr>
          <w:rFonts w:hint="eastAsia" w:ascii="仿宋_GB2312" w:eastAsia="仿宋_GB2312"/>
          <w:sz w:val="32"/>
          <w:szCs w:val="32"/>
          <w:lang w:val="en-US" w:eastAsia="zh-CN"/>
        </w:rPr>
        <w:t>保洁</w:t>
      </w:r>
      <w:r>
        <w:rPr>
          <w:rFonts w:hint="eastAsia" w:ascii="仿宋_GB2312" w:eastAsia="仿宋_GB2312"/>
          <w:sz w:val="32"/>
          <w:szCs w:val="32"/>
        </w:rPr>
        <w:t>；对景区的环境卫生实行全天候保洁，洗手间、垃圾桶日产日清，无恶臭、无蝇蛆、无污垢。</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（六）高质量完成</w:t>
      </w:r>
      <w:r>
        <w:rPr>
          <w:rFonts w:hint="eastAsia" w:ascii="楷体" w:hAnsi="楷体" w:eastAsia="楷体" w:cs="楷体"/>
          <w:sz w:val="32"/>
          <w:szCs w:val="32"/>
        </w:rPr>
        <w:t>A级景区复核</w:t>
      </w:r>
    </w:p>
    <w:p>
      <w:pPr>
        <w:ind w:firstLine="640" w:firstLineChars="200"/>
        <w:rPr>
          <w:rFonts w:hint="eastAsia" w:ascii="仿宋_GB2312" w:eastAsia="仿宋_GB2312"/>
          <w:sz w:val="32"/>
          <w:szCs w:val="32"/>
        </w:rPr>
      </w:pPr>
      <w:r>
        <w:rPr>
          <w:rFonts w:hint="eastAsia" w:ascii="仿宋_GB2312" w:eastAsia="仿宋_GB2312"/>
          <w:sz w:val="32"/>
          <w:szCs w:val="32"/>
        </w:rPr>
        <w:t>严格按照《旅游景区质量等级的划分与评定》《四川省旅游景区质量等级提升要求》《景区游客高峰时段应对规范》《四川省旅游景区精细化管理服务质量提升规范》标准要求，系统完善了曾家山A级景区复核配套软件资料，</w:t>
      </w:r>
      <w:r>
        <w:rPr>
          <w:rFonts w:hint="eastAsia" w:ascii="仿宋_GB2312" w:eastAsia="仿宋_GB2312"/>
          <w:sz w:val="32"/>
          <w:szCs w:val="32"/>
          <w:lang w:val="en-US" w:eastAsia="zh-CN"/>
        </w:rPr>
        <w:t>高质量</w:t>
      </w:r>
      <w:r>
        <w:rPr>
          <w:rFonts w:hint="eastAsia" w:ascii="仿宋_GB2312" w:eastAsia="仿宋_GB2312"/>
          <w:sz w:val="32"/>
          <w:szCs w:val="32"/>
        </w:rPr>
        <w:t>完成曾家山A级景区复核工作。</w:t>
      </w:r>
    </w:p>
    <w:p>
      <w:pPr>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（七）从严</w:t>
      </w:r>
      <w:r>
        <w:rPr>
          <w:rFonts w:hint="eastAsia" w:ascii="楷体" w:hAnsi="楷体" w:eastAsia="楷体" w:cs="楷体"/>
          <w:b w:val="0"/>
          <w:bCs w:val="0"/>
          <w:sz w:val="32"/>
          <w:szCs w:val="32"/>
        </w:rPr>
        <w:t>落实意识形态工作责任制</w:t>
      </w:r>
    </w:p>
    <w:p>
      <w:pPr>
        <w:ind w:firstLine="640" w:firstLineChars="200"/>
        <w:rPr>
          <w:rFonts w:hint="eastAsia" w:ascii="仿宋" w:hAnsi="仿宋" w:eastAsia="仿宋" w:cs="仿宋"/>
          <w:sz w:val="32"/>
          <w:szCs w:val="32"/>
        </w:rPr>
      </w:pPr>
      <w:r>
        <w:rPr>
          <w:rFonts w:hint="eastAsia" w:ascii="仿宋_GB2312" w:eastAsia="仿宋_GB2312"/>
          <w:sz w:val="32"/>
          <w:szCs w:val="32"/>
        </w:rPr>
        <w:t>成立了以</w:t>
      </w:r>
      <w:r>
        <w:rPr>
          <w:rFonts w:hint="eastAsia" w:ascii="仿宋_GB2312" w:eastAsia="仿宋_GB2312"/>
          <w:sz w:val="32"/>
          <w:szCs w:val="32"/>
          <w:lang w:val="en-US" w:eastAsia="zh-CN"/>
        </w:rPr>
        <w:t>景区服务中心主任</w:t>
      </w:r>
      <w:r>
        <w:rPr>
          <w:rFonts w:hint="eastAsia" w:ascii="仿宋_GB2312" w:eastAsia="仿宋_GB2312"/>
          <w:sz w:val="32"/>
          <w:szCs w:val="32"/>
        </w:rPr>
        <w:t>任组长的意识形态工作领导小组，认真落实“一岗双责”责任，把意识形态工作纳入党建工作重要内容、民主生活会和目标考核管理，与业务工作同部署、同落实、同检查、同考核。认真学习领会各级党委</w:t>
      </w:r>
      <w:r>
        <w:rPr>
          <w:rFonts w:hint="eastAsia" w:ascii="仿宋_GB2312" w:eastAsia="仿宋_GB2312"/>
          <w:sz w:val="32"/>
          <w:szCs w:val="32"/>
          <w:lang w:eastAsia="zh-CN"/>
        </w:rPr>
        <w:t>（</w:t>
      </w:r>
      <w:r>
        <w:rPr>
          <w:rFonts w:hint="eastAsia" w:ascii="仿宋_GB2312" w:eastAsia="仿宋_GB2312"/>
          <w:sz w:val="32"/>
          <w:szCs w:val="32"/>
          <w:lang w:val="en-US" w:eastAsia="zh-CN"/>
        </w:rPr>
        <w:t>党工委</w:t>
      </w:r>
      <w:r>
        <w:rPr>
          <w:rFonts w:hint="eastAsia" w:ascii="仿宋_GB2312" w:eastAsia="仿宋_GB2312"/>
          <w:sz w:val="32"/>
          <w:szCs w:val="32"/>
          <w:lang w:eastAsia="zh-CN"/>
        </w:rPr>
        <w:t>）</w:t>
      </w:r>
      <w:r>
        <w:rPr>
          <w:rFonts w:hint="eastAsia" w:ascii="仿宋_GB2312" w:eastAsia="仿宋_GB2312"/>
          <w:sz w:val="32"/>
          <w:szCs w:val="32"/>
        </w:rPr>
        <w:t>关于意识形态重要讲话精神和相关文件精神</w:t>
      </w:r>
      <w:r>
        <w:rPr>
          <w:rFonts w:hint="eastAsia" w:ascii="仿宋_GB2312" w:eastAsia="仿宋_GB2312"/>
          <w:sz w:val="32"/>
          <w:szCs w:val="32"/>
          <w:lang w:eastAsia="zh-CN"/>
        </w:rPr>
        <w:t>，</w:t>
      </w:r>
      <w:r>
        <w:rPr>
          <w:rFonts w:hint="eastAsia" w:ascii="仿宋_GB2312" w:eastAsia="仿宋_GB2312"/>
          <w:sz w:val="32"/>
          <w:szCs w:val="32"/>
        </w:rPr>
        <w:t>大力宣传先进典型和</w:t>
      </w:r>
      <w:r>
        <w:rPr>
          <w:rFonts w:hint="eastAsia" w:ascii="仿宋_GB2312" w:eastAsia="仿宋_GB2312"/>
          <w:sz w:val="32"/>
          <w:szCs w:val="32"/>
          <w:lang w:val="en-US" w:eastAsia="zh-CN"/>
        </w:rPr>
        <w:t>行业</w:t>
      </w:r>
      <w:r>
        <w:rPr>
          <w:rFonts w:hint="eastAsia" w:ascii="仿宋_GB2312" w:eastAsia="仿宋_GB2312"/>
          <w:sz w:val="32"/>
          <w:szCs w:val="32"/>
        </w:rPr>
        <w:t>模范人物，弘扬正气，树立榜样，传递正能量。</w:t>
      </w:r>
      <w:r>
        <w:rPr>
          <w:rFonts w:hint="eastAsia" w:ascii="仿宋_GB2312" w:eastAsia="仿宋_GB2312"/>
          <w:sz w:val="32"/>
          <w:szCs w:val="32"/>
          <w:lang w:val="en-US" w:eastAsia="zh-CN"/>
        </w:rPr>
        <w:t>牢牢把握意识形态工作主动权，从严落实意识形态管理，加强网络环境整治，以风清气正的良好政治生态为中国共产党建党100周年献礼</w:t>
      </w:r>
      <w:r>
        <w:rPr>
          <w:rFonts w:hint="eastAsia" w:ascii="仿宋_GB2312" w:eastAsia="仿宋_GB2312"/>
          <w:sz w:val="32"/>
          <w:szCs w:val="32"/>
        </w:rPr>
        <w:t>。</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八</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顺利完成旅游接待工作</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严格按照上级部门文件精神及电话指示，从严抓好考察团队、观光游客、参赛（会）嘉宾的政务接待工作，认真开展环境卫生整治，扎实做好展览馆、民俗风情馆、旅游大数据中心、川洞天坑、石笋坪景点的现场讲解及服务工作，主动为嘉宾、游客提供现场咨询、志愿服务，顺利完成了上级部门交办的各类接待任务。</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4"/>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111.05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58.53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111.44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单位人员以及项目增加。</w:t>
      </w:r>
    </w:p>
    <w:p>
      <w:pPr>
        <w:pStyle w:val="2"/>
        <w:rPr>
          <w:rFonts w:hint="default"/>
          <w:lang w:val="en-US" w:eastAsia="zh-CN"/>
        </w:rPr>
      </w:pPr>
      <w:r>
        <w:rPr>
          <w:rFonts w:hint="eastAsia"/>
          <w:lang w:val="en-US" w:eastAsia="zh-CN"/>
        </w:rPr>
        <w:t xml:space="preserve">          </w:t>
      </w:r>
      <w:r>
        <w:drawing>
          <wp:inline distT="0" distB="0" distL="114300" distR="114300">
            <wp:extent cx="3942715" cy="2933700"/>
            <wp:effectExtent l="5080" t="5080" r="14605" b="13970"/>
            <wp:docPr id="10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2240" w:firstLineChars="7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111.05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111.05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2"/>
        <w:rPr>
          <w:rFonts w:hint="eastAsia"/>
          <w:lang w:eastAsia="zh-CN"/>
        </w:rPr>
      </w:pPr>
      <w:r>
        <w:rPr>
          <w:rFonts w:hint="eastAsia"/>
          <w:lang w:val="en-US" w:eastAsia="zh-CN"/>
        </w:rPr>
        <w:t xml:space="preserve">        </w:t>
      </w:r>
      <w:r>
        <w:drawing>
          <wp:inline distT="0" distB="0" distL="114300" distR="114300">
            <wp:extent cx="4087495" cy="2896870"/>
            <wp:effectExtent l="4445" t="4445" r="22860" b="51435"/>
            <wp:docPr id="1036" name="图表 1"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2880" w:firstLineChars="9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111.05</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91.05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81.99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18.01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p>
    <w:p>
      <w:pPr>
        <w:pStyle w:val="2"/>
        <w:spacing w:beforeLines="0"/>
        <w:ind w:firstLine="1280" w:firstLineChars="400"/>
        <w:rPr>
          <w:rFonts w:ascii="仿宋" w:hAnsi="仿宋" w:eastAsia="仿宋"/>
          <w:color w:val="auto"/>
          <w:sz w:val="32"/>
          <w:szCs w:val="32"/>
          <w:highlight w:val="none"/>
          <w:shd w:val="pct10" w:color="auto" w:fill="FFFFFF"/>
        </w:rPr>
      </w:pPr>
      <w:r>
        <w:rPr>
          <w:rFonts w:hint="eastAsia" w:ascii="仿宋" w:hAnsi="仿宋" w:eastAsia="仿宋"/>
          <w:sz w:val="32"/>
          <w:szCs w:val="32"/>
          <w:shd w:val="pct10" w:color="auto" w:fill="FFFFFF"/>
          <w:lang w:eastAsia="zh-CN"/>
        </w:rPr>
        <w:object>
          <v:shape id="_x0000_i1025" o:spt="75" type="#_x0000_t75" style="height:237.75pt;width:326.95pt;" o:ole="t" filled="f" o:preferrelative="t" stroked="f" coordsize="21600,21600">
            <v:path/>
            <v:fill on="f" focussize="0,0"/>
            <v:stroke on="f"/>
            <v:imagedata r:id="rId15" o:title=""/>
            <o:lock v:ext="edit" aspectratio="t"/>
            <w10:wrap type="none"/>
            <w10:anchorlock/>
          </v:shape>
          <o:OLEObject Type="Embed" ProgID="Excel.Chart.8" ShapeID="_x0000_i1025" DrawAspect="Content" ObjectID="_1468075725" r:id="rId14">
            <o:LockedField>false</o:LockedField>
          </o:OLEObject>
        </w:object>
      </w:r>
    </w:p>
    <w:p>
      <w:pPr>
        <w:spacing w:line="600" w:lineRule="exact"/>
        <w:ind w:firstLine="2880" w:firstLineChars="9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图3：</w:t>
      </w:r>
      <w:r>
        <w:rPr>
          <w:rFonts w:hint="eastAsia" w:ascii="仿宋" w:hAnsi="仿宋" w:eastAsia="仿宋"/>
          <w:color w:val="auto"/>
          <w:sz w:val="32"/>
          <w:szCs w:val="32"/>
          <w:highlight w:val="none"/>
        </w:rPr>
        <w:t>支出决算结构图</w:t>
      </w:r>
      <w:r>
        <w:rPr>
          <w:rFonts w:hint="eastAsia" w:ascii="仿宋" w:hAnsi="仿宋" w:eastAsia="仿宋"/>
          <w:color w:val="auto"/>
          <w:sz w:val="32"/>
          <w:szCs w:val="32"/>
          <w:highlight w:val="none"/>
          <w:lang w:val="en-US" w:eastAsia="zh-CN"/>
        </w:rPr>
        <w:t xml:space="preserve"> </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bookmarkStart w:id="24" w:name="_Toc15396606"/>
      <w:bookmarkStart w:id="25" w:name="_Toc15377208"/>
    </w:p>
    <w:p>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111.05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58.53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111.44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单位人员和项目增加。</w:t>
      </w:r>
    </w:p>
    <w:p>
      <w:pPr>
        <w:pStyle w:val="2"/>
        <w:rPr>
          <w:rFonts w:ascii="仿宋" w:hAnsi="仿宋" w:eastAsia="仿宋"/>
          <w:color w:val="auto"/>
          <w:sz w:val="32"/>
          <w:szCs w:val="32"/>
          <w:highlight w:val="none"/>
        </w:rPr>
      </w:pPr>
      <w:r>
        <w:rPr>
          <w:rFonts w:hint="eastAsia"/>
          <w:lang w:val="en-US" w:eastAsia="zh-CN"/>
        </w:rPr>
        <w:t xml:space="preserve">       </w:t>
      </w:r>
      <w:r>
        <w:drawing>
          <wp:inline distT="0" distB="0" distL="114300" distR="114300">
            <wp:extent cx="4027170" cy="3000375"/>
            <wp:effectExtent l="4445" t="4445" r="6985" b="5080"/>
            <wp:docPr id="10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600" w:lineRule="exact"/>
        <w:ind w:firstLine="1280" w:firstLineChars="4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111.05</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58.53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111.44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单位人员和项目增加。</w:t>
      </w:r>
    </w:p>
    <w:p>
      <w:pPr>
        <w:pStyle w:val="2"/>
        <w:rPr>
          <w:rFonts w:hint="eastAsia"/>
          <w:lang w:val="en-US" w:eastAsia="zh-CN"/>
        </w:rPr>
      </w:pPr>
      <w:r>
        <w:rPr>
          <w:rFonts w:hint="eastAsia" w:ascii="仿宋" w:hAnsi="仿宋" w:eastAsia="仿宋"/>
          <w:color w:val="auto"/>
          <w:sz w:val="32"/>
          <w:szCs w:val="32"/>
          <w:highlight w:val="none"/>
          <w:lang w:val="en-US" w:eastAsia="zh-CN"/>
        </w:rPr>
        <w:t xml:space="preserve">         </w:t>
      </w:r>
      <w:r>
        <w:drawing>
          <wp:inline distT="0" distB="0" distL="114300" distR="114300">
            <wp:extent cx="3599815" cy="2828290"/>
            <wp:effectExtent l="4445" t="4445" r="15240" b="5715"/>
            <wp:docPr id="10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960" w:firstLineChars="3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111.05</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90.80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81.76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color w:val="auto"/>
          <w:sz w:val="32"/>
          <w:szCs w:val="32"/>
          <w:highlight w:val="none"/>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5.67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5.11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住房保障（类）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6.06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rPr>
      </w:pPr>
      <w:r>
        <w:rPr>
          <w:rFonts w:hint="eastAsia" w:ascii="仿宋" w:hAnsi="仿宋" w:eastAsia="仿宋"/>
          <w:color w:val="auto"/>
          <w:sz w:val="32"/>
          <w:szCs w:val="32"/>
          <w:highlight w:val="none"/>
          <w:lang w:val="en-US" w:eastAsia="zh-CN"/>
        </w:rPr>
        <w:t xml:space="preserve">         </w:t>
      </w:r>
      <w:r>
        <w:drawing>
          <wp:inline distT="0" distB="0" distL="114300" distR="114300">
            <wp:extent cx="3722370" cy="2999105"/>
            <wp:effectExtent l="4445" t="5080" r="6985" b="62865"/>
            <wp:docPr id="1"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213"/>
      <w:bookmarkStart w:id="32" w:name="_Toc15377444"/>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111.05</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numPr>
          <w:ilvl w:val="0"/>
          <w:numId w:val="3"/>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rPr>
        <w:t>一般公共服务（类）政府办公厅（室）及相关机构事务（款）事业运行（项）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70.8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hint="eastAsia" w:ascii="仿宋" w:hAnsi="仿宋" w:eastAsia="仿宋"/>
          <w:bCs/>
          <w:color w:val="auto"/>
          <w:sz w:val="32"/>
          <w:szCs w:val="32"/>
          <w:highlight w:val="none"/>
        </w:rPr>
        <w:t>一般公共服务（类）其他一般公共服务支出（款）其他一般公共服务支出</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Cs/>
          <w:color w:val="auto"/>
          <w:sz w:val="32"/>
          <w:szCs w:val="32"/>
          <w:highlight w:val="none"/>
          <w:lang w:val="en-US" w:eastAsia="zh-CN"/>
        </w:rPr>
        <w:t>项</w:t>
      </w:r>
      <w:r>
        <w:rPr>
          <w:rStyle w:val="14"/>
          <w:rFonts w:hint="eastAsia" w:ascii="仿宋" w:hAnsi="仿宋" w:eastAsia="仿宋"/>
          <w:bCs/>
          <w:color w:val="auto"/>
          <w:sz w:val="32"/>
          <w:szCs w:val="32"/>
          <w:highlight w:val="none"/>
          <w:lang w:eastAsia="zh-CN"/>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0" w:firstLineChars="200"/>
        <w:rPr>
          <w:rFonts w:ascii="仿宋" w:hAnsi="仿宋" w:eastAsia="仿宋"/>
          <w:b/>
          <w:color w:val="auto"/>
          <w:sz w:val="32"/>
          <w:szCs w:val="32"/>
          <w:highlight w:val="none"/>
        </w:rPr>
      </w:pPr>
      <w:r>
        <w:rPr>
          <w:rFonts w:hint="eastAsia" w:ascii="仿宋_GB2312" w:hAnsi="宋体" w:eastAsia="仿宋_GB2312" w:cs="Times New Roman"/>
          <w:color w:val="auto"/>
          <w:sz w:val="32"/>
          <w:szCs w:val="32"/>
          <w:highlight w:val="none"/>
          <w:lang w:val="en-US" w:eastAsia="zh-CN"/>
        </w:rPr>
        <w:t>3</w:t>
      </w:r>
      <w:r>
        <w:rPr>
          <w:rFonts w:hint="eastAsia" w:ascii="仿宋_GB2312" w:hAnsi="宋体" w:eastAsia="仿宋_GB2312" w:cs="Times New Roman"/>
          <w:color w:val="auto"/>
          <w:sz w:val="32"/>
          <w:szCs w:val="32"/>
          <w:highlight w:val="none"/>
          <w:lang w:val="zh-CN"/>
        </w:rPr>
        <w:t>．</w:t>
      </w:r>
      <w:r>
        <w:rPr>
          <w:rStyle w:val="14"/>
          <w:rFonts w:hint="eastAsia" w:ascii="仿宋" w:hAnsi="仿宋" w:eastAsia="仿宋"/>
          <w:bCs/>
          <w:color w:val="auto"/>
          <w:sz w:val="32"/>
          <w:szCs w:val="32"/>
          <w:highlight w:val="none"/>
        </w:rPr>
        <w:t>社会保障和就业（类）行政事业单位养老支出（款） 机关事业单位基本养老保险缴费支出（项）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8.52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4</w:t>
      </w:r>
      <w:r>
        <w:rPr>
          <w:rFonts w:hint="eastAsia" w:ascii="仿宋_GB2312" w:hAnsi="宋体" w:eastAsia="仿宋_GB2312" w:cs="Times New Roman"/>
          <w:color w:val="auto"/>
          <w:sz w:val="32"/>
          <w:szCs w:val="32"/>
          <w:highlight w:val="none"/>
          <w:lang w:val="zh-CN"/>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（类）行政事业单位医疗（款） 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5.67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p>
    <w:p>
      <w:pPr>
        <w:numPr>
          <w:ilvl w:val="0"/>
          <w:numId w:val="0"/>
        </w:numPr>
        <w:spacing w:line="600" w:lineRule="exact"/>
        <w:ind w:firstLine="643" w:firstLineChars="200"/>
        <w:rPr>
          <w:rFonts w:ascii="仿宋" w:hAnsi="仿宋" w:eastAsia="仿宋"/>
          <w:b/>
          <w:color w:val="auto"/>
          <w:sz w:val="32"/>
          <w:szCs w:val="32"/>
          <w:highlight w:val="none"/>
        </w:rPr>
      </w:pPr>
      <w:r>
        <w:rPr>
          <w:rStyle w:val="14"/>
          <w:rFonts w:hint="eastAsia" w:ascii="仿宋_GB2312" w:eastAsia="仿宋_GB2312"/>
          <w:b/>
          <w:bCs/>
          <w:color w:val="000000"/>
          <w:sz w:val="32"/>
          <w:szCs w:val="32"/>
          <w:lang w:val="en-US" w:eastAsia="zh-CN"/>
        </w:rPr>
        <w:t>5.住房保障支出</w:t>
      </w:r>
      <w:r>
        <w:rPr>
          <w:rStyle w:val="14"/>
          <w:rFonts w:hint="eastAsia" w:ascii="仿宋_GB2312" w:eastAsia="仿宋_GB2312"/>
          <w:color w:val="000000"/>
          <w:sz w:val="32"/>
          <w:szCs w:val="32"/>
        </w:rPr>
        <w:t>（类）</w:t>
      </w:r>
      <w:r>
        <w:rPr>
          <w:rStyle w:val="14"/>
          <w:rFonts w:hint="eastAsia" w:ascii="仿宋_GB2312" w:eastAsia="仿宋_GB2312"/>
          <w:color w:val="000000"/>
          <w:sz w:val="32"/>
          <w:szCs w:val="32"/>
          <w:lang w:val="en-US" w:eastAsia="zh-CN"/>
        </w:rPr>
        <w:t>住房改革支出</w:t>
      </w:r>
      <w:r>
        <w:rPr>
          <w:rStyle w:val="14"/>
          <w:rFonts w:hint="eastAsia" w:ascii="仿宋_GB2312" w:eastAsia="仿宋_GB2312"/>
          <w:color w:val="000000"/>
          <w:sz w:val="32"/>
          <w:szCs w:val="32"/>
        </w:rPr>
        <w:t>（款）</w:t>
      </w:r>
      <w:r>
        <w:rPr>
          <w:rStyle w:val="14"/>
          <w:rFonts w:hint="eastAsia" w:ascii="仿宋_GB2312" w:eastAsia="仿宋_GB2312"/>
          <w:color w:val="000000"/>
          <w:sz w:val="32"/>
          <w:szCs w:val="32"/>
          <w:lang w:val="en-US" w:eastAsia="zh-CN"/>
        </w:rPr>
        <w:t>住房公积金</w:t>
      </w:r>
      <w:r>
        <w:rPr>
          <w:rStyle w:val="14"/>
          <w:rFonts w:hint="eastAsia" w:ascii="仿宋_GB2312" w:eastAsia="仿宋_GB2312"/>
          <w:color w:val="000000"/>
          <w:sz w:val="32"/>
          <w:szCs w:val="32"/>
        </w:rPr>
        <w:t>（项）</w:t>
      </w:r>
      <w:r>
        <w:rPr>
          <w:rStyle w:val="14"/>
          <w:rFonts w:hint="eastAsia" w:ascii="仿宋_GB2312" w:eastAsia="仿宋_GB2312"/>
          <w:color w:val="000000"/>
          <w:sz w:val="32"/>
          <w:szCs w:val="32"/>
          <w:lang w:val="en-US" w:eastAsia="zh-CN"/>
        </w:rPr>
        <w:t>:</w:t>
      </w:r>
      <w:r>
        <w:rPr>
          <w:rStyle w:val="14"/>
          <w:rFonts w:hint="eastAsia" w:ascii="仿宋_GB2312" w:eastAsia="仿宋_GB2312"/>
          <w:b w:val="0"/>
          <w:color w:val="000000"/>
          <w:sz w:val="32"/>
          <w:szCs w:val="32"/>
        </w:rPr>
        <w:t>支出决算为</w:t>
      </w:r>
      <w:r>
        <w:rPr>
          <w:rStyle w:val="14"/>
          <w:rFonts w:hint="eastAsia" w:ascii="仿宋_GB2312" w:eastAsia="仿宋_GB2312"/>
          <w:b w:val="0"/>
          <w:color w:val="000000"/>
          <w:sz w:val="32"/>
          <w:szCs w:val="32"/>
          <w:lang w:val="en-US" w:eastAsia="zh-CN"/>
        </w:rPr>
        <w:t>6.06</w:t>
      </w:r>
      <w:r>
        <w:rPr>
          <w:rStyle w:val="14"/>
          <w:rFonts w:hint="eastAsia" w:ascii="仿宋_GB2312" w:eastAsia="仿宋_GB2312"/>
          <w:b w:val="0"/>
          <w:color w:val="000000"/>
          <w:sz w:val="32"/>
          <w:szCs w:val="32"/>
        </w:rPr>
        <w:t>万元</w:t>
      </w:r>
      <w:r>
        <w:rPr>
          <w:rStyle w:val="14"/>
          <w:rFonts w:hint="eastAsia" w:ascii="仿宋_GB2312" w:eastAsia="仿宋_GB2312"/>
          <w:b w:val="0"/>
          <w:color w:val="000000"/>
          <w:sz w:val="32"/>
          <w:szCs w:val="32"/>
          <w:lang w:eastAsia="zh-CN"/>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lang w:eastAsia="zh-CN"/>
        </w:rPr>
        <w:t>，</w:t>
      </w:r>
      <w:r>
        <w:rPr>
          <w:rStyle w:val="14"/>
          <w:rFonts w:hint="eastAsia" w:ascii="仿宋" w:hAnsi="仿宋" w:eastAsia="仿宋"/>
          <w:b w:val="0"/>
          <w:bCs/>
          <w:color w:val="000000"/>
          <w:sz w:val="32"/>
          <w:szCs w:val="32"/>
          <w:lang w:val="en-US" w:eastAsia="zh-CN"/>
        </w:rPr>
        <w:t>决算数等于预算数。</w:t>
      </w: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111.05</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82.57</w:t>
      </w:r>
      <w:r>
        <w:rPr>
          <w:rFonts w:hint="eastAsia" w:ascii="仿宋" w:hAnsi="仿宋" w:eastAsia="仿宋"/>
          <w:color w:val="auto"/>
          <w:sz w:val="32"/>
          <w:szCs w:val="32"/>
          <w:highlight w:val="none"/>
        </w:rPr>
        <w:t>万元，主要包括：基本工资、津贴补贴、绩效工资、机关事业单位基本养老保险缴费、职工基本医疗保险缴费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其他工资福利支出、生活补助、奖励金。</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8.47</w:t>
      </w:r>
      <w:r>
        <w:rPr>
          <w:rFonts w:hint="eastAsia" w:ascii="仿宋" w:hAnsi="仿宋" w:eastAsia="仿宋"/>
          <w:color w:val="auto"/>
          <w:sz w:val="32"/>
          <w:szCs w:val="32"/>
          <w:highlight w:val="none"/>
        </w:rPr>
        <w:t>万元，主要包括：办公费、水费、电费、差旅费、公务接待费、公务用车运行维护费</w:t>
      </w:r>
      <w:r>
        <w:rPr>
          <w:rFonts w:hint="eastAsia" w:ascii="仿宋" w:hAnsi="仿宋" w:eastAsia="仿宋"/>
          <w:color w:val="auto"/>
          <w:sz w:val="32"/>
          <w:szCs w:val="32"/>
          <w:highlight w:val="none"/>
          <w:lang w:eastAsia="zh-CN"/>
        </w:rPr>
        <w:t>。</w:t>
      </w:r>
    </w:p>
    <w:p>
      <w:pPr>
        <w:spacing w:line="600" w:lineRule="exact"/>
        <w:ind w:firstLine="640"/>
        <w:outlineLvl w:val="1"/>
        <w:rPr>
          <w:rStyle w:val="25"/>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1.27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56.69</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43.31</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ind w:firstLine="1200" w:firstLineChars="400"/>
        <w:rPr>
          <w:rFonts w:hint="eastAsia"/>
        </w:rPr>
      </w:pPr>
      <w:r>
        <w:rPr>
          <w:rFonts w:hint="eastAsia" w:eastAsia="仿宋"/>
          <w:lang w:eastAsia="zh-CN"/>
        </w:rPr>
        <w:object>
          <v:shape id="_x0000_i1026" o:spt="75" type="#_x0000_t75" style="height:264.75pt;width:315pt;" o:ole="t" filled="f" o:preferrelative="t" stroked="f" coordsize="21600,21600">
            <v:path/>
            <v:fill on="f" focussize="0,0"/>
            <v:stroke on="f"/>
            <v:imagedata r:id="rId20" o:title=""/>
            <o:lock v:ext="edit" aspectratio="t"/>
            <w10:wrap type="none"/>
            <w10:anchorlock/>
          </v:shape>
          <o:OLEObject Type="Embed" ProgID="Excel.Chart.8" ShapeID="_x0000_i1026" DrawAspect="Content" ObjectID="_1468075726" r:id="rId19">
            <o:LockedField>false</o:LockedField>
          </o:OLEObject>
        </w:object>
      </w:r>
    </w:p>
    <w:p>
      <w:pPr>
        <w:spacing w:line="600" w:lineRule="exact"/>
        <w:ind w:firstLine="1920" w:firstLineChars="60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w:t>
      </w:r>
      <w:r>
        <w:rPr>
          <w:rStyle w:val="14"/>
          <w:rFonts w:hint="eastAsia" w:ascii="仿宋" w:hAnsi="仿宋" w:eastAsia="仿宋"/>
          <w:b w:val="0"/>
          <w:bCs/>
          <w:color w:val="auto"/>
          <w:sz w:val="32"/>
          <w:szCs w:val="32"/>
          <w:highlight w:val="none"/>
          <w:lang w:val="en-US" w:eastAsia="zh-CN"/>
        </w:rPr>
        <w:t>年初未安排</w:t>
      </w:r>
      <w:r>
        <w:rPr>
          <w:rStyle w:val="14"/>
          <w:rFonts w:hint="eastAsia" w:ascii="仿宋" w:hAnsi="仿宋" w:eastAsia="仿宋"/>
          <w:b w:val="0"/>
          <w:bCs/>
          <w:color w:val="auto"/>
          <w:sz w:val="32"/>
          <w:szCs w:val="32"/>
          <w:highlight w:val="none"/>
        </w:rPr>
        <w:t>预算。</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0.72</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000000"/>
          <w:sz w:val="32"/>
          <w:szCs w:val="32"/>
          <w:lang w:eastAsia="zh-CN"/>
        </w:rPr>
        <w:t>商务车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0.72</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景区工作、朝天开会</w:t>
      </w:r>
      <w:r>
        <w:rPr>
          <w:rFonts w:hint="eastAsia" w:ascii="仿宋_GB2312" w:eastAsia="仿宋_GB2312"/>
          <w:color w:val="000000"/>
          <w:sz w:val="32"/>
          <w:szCs w:val="32"/>
        </w:rPr>
        <w:t>等所需的公务用车燃料费、维修费、过路过桥费、保险费等支出。</w:t>
      </w:r>
    </w:p>
    <w:p>
      <w:pPr>
        <w:spacing w:line="600" w:lineRule="exact"/>
        <w:ind w:firstLine="643" w:firstLineChars="20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hAnsi="宋体" w:eastAsia="仿宋_GB2312" w:cs="Times New Roman"/>
          <w:color w:val="auto"/>
          <w:sz w:val="32"/>
          <w:szCs w:val="32"/>
          <w:highlight w:val="none"/>
          <w:lang w:val="zh-CN"/>
        </w:rPr>
        <w:t>．</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0.55</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3.51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接待减少</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0.55</w:t>
      </w:r>
      <w:r>
        <w:rPr>
          <w:rFonts w:hint="eastAsia" w:ascii="仿宋_GB2312" w:eastAsia="仿宋_GB2312"/>
          <w:color w:val="auto"/>
          <w:sz w:val="32"/>
          <w:szCs w:val="32"/>
          <w:highlight w:val="none"/>
        </w:rPr>
        <w:t>万元，</w:t>
      </w:r>
      <w:r>
        <w:rPr>
          <w:rFonts w:hint="eastAsia" w:ascii="仿宋_GB2312" w:eastAsia="仿宋_GB2312"/>
          <w:color w:val="000000"/>
          <w:sz w:val="32"/>
          <w:szCs w:val="32"/>
        </w:rPr>
        <w:t>主要用于主要用于执行公务、开展业务活动开支的交通费、住宿费、用餐费等。</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90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0.55</w:t>
      </w:r>
      <w:r>
        <w:rPr>
          <w:rFonts w:hint="eastAsia" w:ascii="仿宋_GB2312" w:eastAsia="仿宋_GB2312"/>
          <w:color w:val="auto"/>
          <w:sz w:val="32"/>
          <w:szCs w:val="32"/>
          <w:highlight w:val="none"/>
        </w:rPr>
        <w:t>万元。</w:t>
      </w:r>
    </w:p>
    <w:p>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firstLineChars="200"/>
        <w:outlineLvl w:val="1"/>
        <w:rPr>
          <w:rStyle w:val="25"/>
          <w:rFonts w:ascii="黑体" w:hAnsi="黑体" w:eastAsia="黑体"/>
          <w:color w:val="auto"/>
          <w:highlight w:val="none"/>
        </w:rPr>
      </w:pPr>
      <w:bookmarkStart w:id="40" w:name="_Toc15396610"/>
      <w:bookmarkStart w:id="41" w:name="_Toc1537721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5"/>
          <w:rFonts w:ascii="黑体" w:hAnsi="黑体" w:eastAsia="黑体"/>
          <w:b w:val="0"/>
          <w:color w:val="auto"/>
          <w:highlight w:val="none"/>
        </w:rPr>
      </w:pPr>
      <w:bookmarkStart w:id="42" w:name="_Toc15377219"/>
      <w:bookmarkStart w:id="43" w:name="_Toc15396611"/>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4"/>
        </w:numPr>
        <w:spacing w:line="600" w:lineRule="exact"/>
        <w:ind w:firstLine="640"/>
        <w:outlineLvl w:val="1"/>
        <w:rPr>
          <w:rStyle w:val="25"/>
          <w:rFonts w:hint="eastAsia" w:ascii="黑体" w:hAnsi="黑体" w:eastAsia="黑体"/>
          <w:b w:val="0"/>
          <w:color w:val="auto"/>
          <w:highlight w:val="none"/>
        </w:rPr>
      </w:pPr>
      <w:r>
        <w:rPr>
          <w:rStyle w:val="25"/>
          <w:rFonts w:hint="eastAsia" w:ascii="黑体" w:hAnsi="黑体" w:eastAsia="黑体"/>
          <w:b w:val="0"/>
          <w:color w:val="auto"/>
          <w:highlight w:val="none"/>
          <w:lang w:val="en-US" w:eastAsia="zh-CN"/>
        </w:rPr>
        <w:t>预算绩效管理情况</w:t>
      </w:r>
    </w:p>
    <w:p>
      <w:pPr>
        <w:spacing w:line="580" w:lineRule="exact"/>
        <w:ind w:firstLine="640" w:firstLineChars="200"/>
        <w:rPr>
          <w:rFonts w:hint="eastAsia"/>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lang w:val="en-US" w:eastAsia="zh-CN"/>
        </w:rPr>
        <w:t>新单位开办经费</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1个项目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numPr>
          <w:ilvl w:val="0"/>
          <w:numId w:val="4"/>
        </w:numPr>
        <w:spacing w:line="240" w:lineRule="auto"/>
        <w:ind w:left="0" w:leftChars="0" w:firstLine="640" w:firstLineChars="0"/>
        <w:outlineLvl w:val="1"/>
        <w:rPr>
          <w:rStyle w:val="25"/>
          <w:rFonts w:hint="eastAsia" w:ascii="黑体" w:hAnsi="黑体" w:eastAsia="黑体"/>
          <w:b w:val="0"/>
          <w:color w:val="auto"/>
          <w:highlight w:val="none"/>
        </w:rPr>
      </w:pPr>
      <w:r>
        <w:rPr>
          <w:rStyle w:val="25"/>
          <w:rFonts w:hint="eastAsia" w:ascii="黑体" w:hAnsi="黑体" w:eastAsia="黑体"/>
          <w:b w:val="0"/>
          <w:color w:val="auto"/>
          <w:highlight w:val="none"/>
        </w:rPr>
        <w:t>其他重要事项的情况说明</w:t>
      </w:r>
    </w:p>
    <w:p>
      <w:pPr>
        <w:spacing w:line="600" w:lineRule="exact"/>
        <w:ind w:firstLine="643" w:firstLineChars="200"/>
        <w:outlineLvl w:val="2"/>
        <w:rPr>
          <w:rFonts w:ascii="仿宋" w:hAnsi="仿宋" w:eastAsia="仿宋"/>
          <w:color w:val="auto"/>
          <w:sz w:val="32"/>
          <w:szCs w:val="32"/>
          <w:highlight w:val="none"/>
        </w:rPr>
      </w:pPr>
      <w:bookmarkStart w:id="44" w:name="_Toc15377222"/>
      <w:r>
        <w:rPr>
          <w:rFonts w:hint="eastAsia" w:ascii="仿宋" w:hAnsi="仿宋" w:eastAsia="仿宋"/>
          <w:b/>
          <w:color w:val="auto"/>
          <w:sz w:val="32"/>
          <w:szCs w:val="32"/>
          <w:highlight w:val="none"/>
        </w:rPr>
        <w:t>（一）机关运行经费支出情况</w:t>
      </w:r>
      <w:bookmarkEnd w:id="44"/>
    </w:p>
    <w:p>
      <w:pPr>
        <w:spacing w:line="600" w:lineRule="exact"/>
        <w:ind w:firstLine="640" w:firstLineChars="200"/>
        <w:rPr>
          <w:rFonts w:ascii="仿宋" w:hAnsi="仿宋" w:eastAsia="仿宋"/>
          <w:b w:val="0"/>
          <w:bCs/>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广元市曾家山景区服务中心</w:t>
      </w:r>
      <w:r>
        <w:rPr>
          <w:rFonts w:hint="eastAsia" w:ascii="仿宋" w:hAnsi="仿宋" w:eastAsia="仿宋" w:cs="仿宋"/>
          <w:b w:val="0"/>
          <w:bCs/>
          <w:color w:val="auto"/>
          <w:sz w:val="32"/>
          <w:szCs w:val="32"/>
          <w:highlight w:val="none"/>
          <w:lang w:val="en-US" w:eastAsia="zh-CN"/>
        </w:rPr>
        <w:t>2021年</w:t>
      </w:r>
      <w:r>
        <w:rPr>
          <w:rFonts w:hint="eastAsia" w:ascii="仿宋" w:hAnsi="仿宋" w:eastAsia="仿宋" w:cs="仿宋"/>
          <w:b w:val="0"/>
          <w:bCs/>
          <w:i w:val="0"/>
          <w:iCs w:val="0"/>
          <w:caps w:val="0"/>
          <w:color w:val="000000"/>
          <w:spacing w:val="0"/>
          <w:sz w:val="32"/>
          <w:szCs w:val="32"/>
          <w:highlight w:val="none"/>
        </w:rPr>
        <w:t>未发生机关运行经费支出</w:t>
      </w:r>
      <w:r>
        <w:rPr>
          <w:rFonts w:hint="eastAsia" w:ascii="仿宋" w:hAnsi="仿宋" w:eastAsia="仿宋" w:cs="仿宋"/>
          <w:b w:val="0"/>
          <w:bCs/>
          <w:i w:val="0"/>
          <w:iCs w:val="0"/>
          <w:caps w:val="0"/>
          <w:color w:val="000000"/>
          <w:spacing w:val="0"/>
          <w:sz w:val="32"/>
          <w:szCs w:val="32"/>
          <w:highlight w:val="none"/>
          <w:lang w:eastAsia="zh-CN"/>
        </w:rPr>
        <w:t>，</w:t>
      </w:r>
      <w:r>
        <w:rPr>
          <w:rFonts w:hint="eastAsia" w:ascii="仿宋" w:hAnsi="仿宋" w:eastAsia="仿宋" w:cs="仿宋"/>
          <w:b w:val="0"/>
          <w:bCs/>
          <w:i w:val="0"/>
          <w:iCs w:val="0"/>
          <w:caps w:val="0"/>
          <w:color w:val="000000"/>
          <w:spacing w:val="0"/>
          <w:sz w:val="32"/>
          <w:szCs w:val="32"/>
          <w:highlight w:val="none"/>
          <w:lang w:val="en-US" w:eastAsia="zh-CN"/>
        </w:rPr>
        <w:t>与2020年决算数持平。</w:t>
      </w:r>
    </w:p>
    <w:p>
      <w:pPr>
        <w:spacing w:line="600" w:lineRule="exact"/>
        <w:ind w:firstLine="640" w:firstLineChars="200"/>
        <w:rPr>
          <w:rFonts w:ascii="仿宋_GB2312" w:eastAsia="仿宋_GB2312"/>
          <w:color w:val="auto"/>
          <w:sz w:val="32"/>
          <w:szCs w:val="32"/>
          <w:highlight w:val="none"/>
        </w:rPr>
      </w:pPr>
    </w:p>
    <w:p>
      <w:pPr>
        <w:pStyle w:val="2"/>
        <w:numPr>
          <w:ilvl w:val="0"/>
          <w:numId w:val="0"/>
        </w:numPr>
        <w:ind w:left="640" w:leftChars="0"/>
        <w:rPr>
          <w:rFonts w:hint="eastAsia"/>
        </w:rPr>
      </w:pPr>
    </w:p>
    <w:p>
      <w:pPr>
        <w:spacing w:line="600" w:lineRule="exact"/>
        <w:ind w:firstLine="643" w:firstLineChars="200"/>
        <w:rPr>
          <w:rFonts w:ascii="仿宋" w:hAnsi="仿宋" w:eastAsia="仿宋"/>
          <w:b/>
          <w:color w:val="auto"/>
          <w:sz w:val="32"/>
          <w:szCs w:val="32"/>
          <w:highlight w:val="none"/>
        </w:rPr>
      </w:pPr>
      <w:bookmarkStart w:id="45" w:name="_Toc15377223"/>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二</w:t>
      </w:r>
      <w:r>
        <w:rPr>
          <w:rFonts w:hint="eastAsia" w:ascii="仿宋" w:hAnsi="仿宋" w:eastAsia="仿宋"/>
          <w:b/>
          <w:color w:val="auto"/>
          <w:sz w:val="32"/>
          <w:szCs w:val="32"/>
          <w:highlight w:val="none"/>
        </w:rPr>
        <w:t>）政府采购支出情况</w:t>
      </w:r>
      <w:bookmarkEnd w:id="45"/>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w:t>
      </w:r>
      <w:bookmarkStart w:id="65" w:name="_GoBack"/>
      <w:bookmarkEnd w:id="65"/>
      <w:r>
        <w:rPr>
          <w:rFonts w:hint="eastAsia" w:ascii="仿宋_GB2312" w:eastAsia="仿宋_GB2312"/>
          <w:color w:val="auto"/>
          <w:sz w:val="32"/>
          <w:szCs w:val="32"/>
          <w:highlight w:val="none"/>
          <w:lang w:val="en-US" w:eastAsia="zh-CN"/>
        </w:rPr>
        <w:t>曾家山景区服务中心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6" w:name="_Toc15377224"/>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val="en-US" w:eastAsia="zh-CN"/>
        </w:rPr>
        <w:t>三</w:t>
      </w:r>
      <w:r>
        <w:rPr>
          <w:rFonts w:hint="eastAsia" w:ascii="仿宋" w:hAnsi="仿宋" w:eastAsia="仿宋"/>
          <w:b/>
          <w:color w:val="auto"/>
          <w:sz w:val="32"/>
          <w:szCs w:val="32"/>
          <w:highlight w:val="none"/>
        </w:rPr>
        <w:t>）国有资产占有使用情况</w:t>
      </w:r>
      <w:bookmarkEnd w:id="46"/>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广元市曾家山景区服务中心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000000"/>
          <w:sz w:val="32"/>
          <w:szCs w:val="32"/>
          <w:lang w:eastAsia="zh-CN"/>
        </w:rPr>
        <w:t>景区职工上下班。</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4"/>
          <w:rFonts w:ascii="黑体" w:hAnsi="黑体" w:eastAsia="黑体"/>
          <w:b w:val="0"/>
          <w:color w:val="auto"/>
          <w:highlight w:val="none"/>
        </w:rPr>
      </w:pPr>
      <w:bookmarkStart w:id="47" w:name="_Toc15377225"/>
      <w:bookmarkStart w:id="48"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7"/>
      <w:bookmarkEnd w:id="48"/>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hAnsi="宋体" w:eastAsia="仿宋_GB2312" w:cs="Times New Roman"/>
          <w:color w:val="auto"/>
          <w:sz w:val="32"/>
          <w:szCs w:val="32"/>
          <w:highlight w:val="none"/>
          <w:lang w:val="en-US" w:eastAsia="zh-CN"/>
        </w:rPr>
        <w:t>2</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一般公共服务（类）政府办公厅（室）及相关机构事务（款）事业运行</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项）：指</w:t>
      </w:r>
      <w:r>
        <w:rPr>
          <w:rFonts w:hint="eastAsia" w:ascii="仿宋_GB2312" w:eastAsia="仿宋_GB2312"/>
          <w:color w:val="auto"/>
          <w:sz w:val="32"/>
          <w:szCs w:val="32"/>
          <w:lang w:val="en-US" w:eastAsia="zh-CN"/>
        </w:rPr>
        <w:t>事业单位的基本支出，不包括行政单位（包括实行公务员管理的事业单位）后勤服务中心、医务室等附属事业单位。</w:t>
      </w:r>
    </w:p>
    <w:p>
      <w:pPr>
        <w:pStyle w:val="22"/>
        <w:spacing w:line="560" w:lineRule="exact"/>
        <w:ind w:firstLine="640" w:firstLineChars="200"/>
        <w:outlineLvl w:val="1"/>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highlight w:val="none"/>
        </w:rPr>
        <w:t>一般公共服务（类）其他一般公共服务支出（款）其他一般公共服务支出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除上述项目以外的其他一般公共服务支出。</w:t>
      </w:r>
    </w:p>
    <w:p>
      <w:pPr>
        <w:pStyle w:val="22"/>
        <w:spacing w:line="560" w:lineRule="exact"/>
        <w:ind w:firstLine="640" w:firstLineChars="200"/>
        <w:outlineLvl w:val="1"/>
        <w:rPr>
          <w:rFonts w:ascii="仿宋_GB2312" w:eastAsia="仿宋_GB2312"/>
          <w:color w:val="auto"/>
          <w:sz w:val="32"/>
          <w:szCs w:val="32"/>
          <w:highlight w:val="none"/>
        </w:rPr>
      </w:pPr>
      <w:r>
        <w:rPr>
          <w:rFonts w:hint="eastAsia" w:ascii="仿宋_GB2312" w:hAnsi="宋体" w:eastAsia="仿宋_GB2312" w:cs="Times New Roman"/>
          <w:color w:val="auto"/>
          <w:sz w:val="32"/>
          <w:szCs w:val="32"/>
          <w:highlight w:val="none"/>
          <w:lang w:val="en-US" w:eastAsia="zh-CN"/>
        </w:rPr>
        <w:t>4</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社会保障和就业（类）行政事业单位养老支出（款） 机关事业单位基本养老保险缴费支出（项）：指</w:t>
      </w:r>
      <w:r>
        <w:rPr>
          <w:rFonts w:hint="eastAsia" w:ascii="仿宋_GB2312" w:eastAsia="仿宋_GB2312"/>
          <w:color w:val="auto"/>
          <w:sz w:val="32"/>
          <w:szCs w:val="32"/>
          <w:lang w:val="en-US" w:eastAsia="zh-CN"/>
        </w:rPr>
        <w:t>机关事业</w:t>
      </w:r>
      <w:r>
        <w:rPr>
          <w:rFonts w:hint="eastAsia" w:ascii="仿宋_GB2312" w:eastAsia="仿宋_GB2312"/>
          <w:color w:val="auto"/>
          <w:sz w:val="32"/>
          <w:szCs w:val="32"/>
          <w:lang w:eastAsia="zh-CN"/>
        </w:rPr>
        <w:t>单位</w:t>
      </w:r>
      <w:r>
        <w:rPr>
          <w:rFonts w:hint="eastAsia" w:ascii="仿宋_GB2312" w:eastAsia="仿宋_GB2312"/>
          <w:color w:val="auto"/>
          <w:sz w:val="32"/>
          <w:szCs w:val="32"/>
          <w:lang w:val="en-US" w:eastAsia="zh-CN"/>
        </w:rPr>
        <w:t>实施</w:t>
      </w:r>
      <w:r>
        <w:rPr>
          <w:rFonts w:hint="eastAsia" w:ascii="仿宋_GB2312" w:eastAsia="仿宋_GB2312"/>
          <w:color w:val="auto"/>
          <w:sz w:val="32"/>
          <w:szCs w:val="32"/>
          <w:lang w:eastAsia="zh-CN"/>
        </w:rPr>
        <w:t>养老</w:t>
      </w:r>
      <w:r>
        <w:rPr>
          <w:rFonts w:hint="eastAsia" w:ascii="仿宋_GB2312" w:eastAsia="仿宋_GB2312"/>
          <w:color w:val="auto"/>
          <w:sz w:val="32"/>
          <w:szCs w:val="32"/>
          <w:lang w:val="en-US" w:eastAsia="zh-CN"/>
        </w:rPr>
        <w:t>保险制度由单位缴纳的基本养老保险费</w:t>
      </w:r>
      <w:r>
        <w:rPr>
          <w:rFonts w:hint="eastAsia" w:ascii="仿宋_GB2312" w:eastAsia="仿宋_GB2312"/>
          <w:color w:val="auto"/>
          <w:sz w:val="32"/>
          <w:szCs w:val="32"/>
          <w:lang w:eastAsia="zh-CN"/>
        </w:rPr>
        <w:t>支出</w:t>
      </w:r>
      <w:r>
        <w:rPr>
          <w:rFonts w:hint="eastAsia" w:ascii="仿宋_GB2312" w:eastAsia="仿宋_GB2312"/>
          <w:color w:val="auto"/>
          <w:sz w:val="32"/>
          <w:szCs w:val="32"/>
        </w:rPr>
        <w:t>。</w:t>
      </w:r>
    </w:p>
    <w:p>
      <w:pPr>
        <w:pStyle w:val="22"/>
        <w:spacing w:line="560" w:lineRule="exact"/>
        <w:ind w:firstLine="640" w:firstLineChars="200"/>
        <w:outlineLvl w:val="1"/>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卫生健康支出（类）行政事业单位医疗（款）事业单位医疗（项）：</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财政部门安排的事业单位基本医疗保险缴费经费。</w:t>
      </w:r>
    </w:p>
    <w:p>
      <w:pPr>
        <w:pStyle w:val="22"/>
        <w:spacing w:line="560" w:lineRule="exact"/>
        <w:ind w:firstLine="640" w:firstLineChars="200"/>
        <w:outlineLvl w:val="1"/>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住房保障（类）住房改革支出（款）住房公积金（项）：</w:t>
      </w:r>
      <w:r>
        <w:rPr>
          <w:rFonts w:hint="eastAsia" w:ascii="仿宋_GB2312" w:eastAsia="仿宋_GB2312"/>
          <w:color w:val="auto"/>
          <w:sz w:val="32"/>
          <w:szCs w:val="32"/>
        </w:rPr>
        <w:t>指</w:t>
      </w:r>
      <w:r>
        <w:rPr>
          <w:rFonts w:hint="eastAsia" w:ascii="仿宋_GB2312" w:eastAsia="仿宋_GB2312"/>
          <w:color w:val="auto"/>
          <w:sz w:val="32"/>
          <w:szCs w:val="32"/>
          <w:lang w:val="en-US" w:eastAsia="zh-CN"/>
        </w:rPr>
        <w:t>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240" w:lineRule="auto"/>
        <w:ind w:firstLine="0" w:firstLineChars="0"/>
        <w:jc w:val="left"/>
        <w:rPr>
          <w:rFonts w:ascii="宋体"/>
          <w:b/>
          <w:color w:val="auto"/>
          <w:sz w:val="44"/>
          <w:szCs w:val="44"/>
          <w:highlight w:val="none"/>
        </w:rPr>
      </w:pPr>
      <w:r>
        <w:rPr>
          <w:rFonts w:hint="eastAsia" w:ascii="仿宋_GB2312" w:eastAsia="仿宋_GB2312"/>
          <w:color w:val="auto"/>
          <w:sz w:val="32"/>
          <w:szCs w:val="32"/>
          <w:highlight w:val="none"/>
          <w:lang w:val="en-US" w:eastAsia="zh-CN"/>
        </w:rPr>
        <w:t>10</w:t>
      </w:r>
      <w:r>
        <w:rPr>
          <w:rFonts w:hint="eastAsia" w:ascii="仿宋_GB2312" w:hAnsi="宋体" w:eastAsia="仿宋_GB2312" w:cs="Times New Roman"/>
          <w:color w:val="auto"/>
          <w:sz w:val="32"/>
          <w:szCs w:val="32"/>
          <w:highlight w:val="none"/>
          <w:lang w:val="zh-CN"/>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bookmarkStart w:id="49" w:name="_Toc15377226"/>
      <w:r>
        <w:rPr>
          <w:rFonts w:hint="eastAsia" w:ascii="仿宋_GB2312" w:eastAsia="仿宋_GB2312"/>
          <w:color w:val="auto"/>
          <w:sz w:val="32"/>
          <w:szCs w:val="32"/>
          <w:highlight w:val="none"/>
          <w:lang w:val="en-US" w:eastAsia="zh-CN"/>
        </w:rPr>
        <w:t>以及其他费用。</w:t>
      </w:r>
      <w:r>
        <w:rPr>
          <w:rFonts w:ascii="宋体"/>
          <w:b/>
          <w:color w:val="auto"/>
          <w:sz w:val="44"/>
          <w:szCs w:val="44"/>
          <w:highlight w:val="none"/>
        </w:rPr>
        <w:br w:type="page"/>
      </w:r>
      <w:bookmarkStart w:id="50" w:name="_Toc15396614"/>
    </w:p>
    <w:p>
      <w:pPr>
        <w:pStyle w:val="22"/>
        <w:spacing w:line="240" w:lineRule="auto"/>
        <w:ind w:firstLine="0" w:firstLineChars="0"/>
        <w:jc w:val="left"/>
        <w:rPr>
          <w:rFonts w:ascii="宋体"/>
          <w:b/>
          <w:color w:val="auto"/>
          <w:sz w:val="44"/>
          <w:szCs w:val="44"/>
          <w:highlight w:val="none"/>
        </w:rPr>
      </w:pPr>
    </w:p>
    <w:p>
      <w:pPr>
        <w:pStyle w:val="22"/>
        <w:spacing w:line="240" w:lineRule="auto"/>
        <w:ind w:firstLine="0" w:firstLineChars="0"/>
        <w:jc w:val="center"/>
        <w:rPr>
          <w:rStyle w:val="24"/>
          <w:rFonts w:ascii="黑体" w:hAnsi="黑体" w:eastAsia="黑体"/>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0"/>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51" w:name="_Toc15396618"/>
            <w:r>
              <w:rPr>
                <w:rFonts w:hint="eastAsia" w:ascii="宋体" w:hAnsi="宋体" w:eastAsia="宋体" w:cs="宋体"/>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广元市曾家山景区服务中心405402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广元市曾家山景区服务中心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保障</w:t>
            </w:r>
            <w:r>
              <w:rPr>
                <w:rFonts w:hint="eastAsia" w:ascii="宋体" w:hAnsi="宋体" w:cs="宋体"/>
                <w:i w:val="0"/>
                <w:color w:val="auto"/>
                <w:sz w:val="24"/>
                <w:szCs w:val="24"/>
                <w:u w:val="none"/>
                <w:lang w:val="en-US" w:eastAsia="zh-CN"/>
              </w:rPr>
              <w:t>广元市曾家山旅游度假区管理委员会</w:t>
            </w:r>
            <w:r>
              <w:rPr>
                <w:rFonts w:hint="eastAsia" w:ascii="宋体" w:hAnsi="宋体" w:cs="宋体"/>
                <w:i w:val="0"/>
                <w:color w:val="auto"/>
                <w:sz w:val="24"/>
                <w:szCs w:val="24"/>
                <w:u w:val="none"/>
                <w:lang w:eastAsia="zh-CN"/>
              </w:rPr>
              <w:t>新单位正常开办运行</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val="en-US" w:eastAsia="zh-CN"/>
              </w:rPr>
              <w:t>实现了广元市曾家山旅游度假区管理委员会</w:t>
            </w:r>
            <w:r>
              <w:rPr>
                <w:rFonts w:hint="eastAsia" w:ascii="宋体" w:hAnsi="宋体" w:cs="宋体"/>
                <w:i w:val="0"/>
                <w:color w:val="auto"/>
                <w:sz w:val="24"/>
                <w:szCs w:val="24"/>
                <w:u w:val="none"/>
                <w:lang w:eastAsia="zh-CN"/>
              </w:rPr>
              <w:t>新单位正常开办运行。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1个新单位的成立开办</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1个新单位的成立开办</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1个新单位的成立开办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新机构的正常运行及开办</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新机构的正常运行及开办</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新机构的正常运行及开办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2021年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2021年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2021年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本着节约，搞好开办相关事宜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加快景区发展，使景区产生更高效益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加快景区发展，使景区产生更高效益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加快景区发展，使景区产生更高效益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加快景区发展，使景区产生更高效益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加快景区发展，使景区产生更高效益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加快景区发展，使景区产生更高效益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对生态产生良好影响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对生态产生良好影响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对生态产生良好影响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auto"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加快曾家山景区规范管理和发展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加快曾家山景区规范管理和发展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sz w:val="28"/>
                <w:szCs w:val="28"/>
                <w:u w:val="none"/>
              </w:rPr>
              <w:t>加快曾家山景区规范管理和发展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98%</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98%</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8"/>
                <w:szCs w:val="28"/>
                <w:u w:val="none"/>
                <w:lang w:val="en-US" w:eastAsia="zh-CN"/>
              </w:rPr>
            </w:pPr>
            <w:r>
              <w:rPr>
                <w:rFonts w:hint="eastAsia" w:ascii="仿宋_GB2312" w:hAnsi="仿宋_GB2312" w:eastAsia="仿宋_GB2312" w:cs="仿宋_GB2312"/>
                <w:i w:val="0"/>
                <w:color w:val="auto"/>
                <w:sz w:val="28"/>
                <w:szCs w:val="28"/>
                <w:u w:val="none"/>
                <w:lang w:val="en-US" w:eastAsia="zh-CN"/>
              </w:rPr>
              <w:t>98%</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49"/>
      <w:bookmarkEnd w:id="51"/>
      <w:bookmarkStart w:id="52"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2"/>
    </w:p>
    <w:p>
      <w:pPr>
        <w:pStyle w:val="4"/>
        <w:rPr>
          <w:rFonts w:ascii="仿宋" w:hAnsi="仿宋" w:eastAsia="仿宋"/>
          <w:color w:val="auto"/>
          <w:highlight w:val="none"/>
        </w:rPr>
      </w:pPr>
      <w:bookmarkStart w:id="53"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3"/>
    </w:p>
    <w:p>
      <w:pPr>
        <w:pStyle w:val="4"/>
        <w:rPr>
          <w:rFonts w:ascii="仿宋" w:hAnsi="仿宋" w:eastAsia="仿宋"/>
          <w:color w:val="auto"/>
          <w:highlight w:val="none"/>
        </w:rPr>
      </w:pPr>
      <w:bookmarkStart w:id="54"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4"/>
    </w:p>
    <w:p>
      <w:pPr>
        <w:pStyle w:val="4"/>
        <w:rPr>
          <w:rFonts w:ascii="仿宋" w:hAnsi="仿宋" w:eastAsia="仿宋"/>
          <w:b w:val="0"/>
          <w:color w:val="auto"/>
          <w:highlight w:val="none"/>
        </w:rPr>
      </w:pPr>
      <w:bookmarkStart w:id="55"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5"/>
    </w:p>
    <w:p>
      <w:pPr>
        <w:pStyle w:val="4"/>
        <w:rPr>
          <w:rStyle w:val="25"/>
          <w:rFonts w:ascii="仿宋" w:hAnsi="仿宋" w:eastAsia="仿宋"/>
          <w:b w:val="0"/>
          <w:bCs w:val="0"/>
          <w:color w:val="auto"/>
          <w:highlight w:val="none"/>
        </w:rPr>
      </w:pPr>
      <w:bookmarkStart w:id="56"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6"/>
      <w:bookmarkStart w:id="57"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7"/>
    </w:p>
    <w:p>
      <w:pPr>
        <w:pStyle w:val="4"/>
        <w:rPr>
          <w:rFonts w:ascii="仿宋" w:hAnsi="仿宋" w:eastAsia="仿宋"/>
          <w:color w:val="auto"/>
          <w:highlight w:val="none"/>
        </w:rPr>
      </w:pPr>
      <w:bookmarkStart w:id="58"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58"/>
    </w:p>
    <w:p>
      <w:pPr>
        <w:pStyle w:val="4"/>
        <w:rPr>
          <w:rFonts w:ascii="仿宋" w:hAnsi="仿宋" w:eastAsia="仿宋"/>
          <w:color w:val="auto"/>
          <w:highlight w:val="none"/>
        </w:rPr>
      </w:pPr>
      <w:bookmarkStart w:id="59"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59"/>
    </w:p>
    <w:p>
      <w:pPr>
        <w:pStyle w:val="4"/>
        <w:rPr>
          <w:rFonts w:ascii="仿宋" w:hAnsi="仿宋" w:eastAsia="仿宋"/>
          <w:color w:val="auto"/>
          <w:highlight w:val="none"/>
        </w:rPr>
      </w:pPr>
      <w:bookmarkStart w:id="60"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0"/>
    </w:p>
    <w:p>
      <w:pPr>
        <w:pStyle w:val="4"/>
        <w:rPr>
          <w:rFonts w:ascii="仿宋" w:hAnsi="仿宋" w:eastAsia="仿宋"/>
          <w:color w:val="auto"/>
          <w:highlight w:val="none"/>
        </w:rPr>
      </w:pPr>
      <w:bookmarkStart w:id="61"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1"/>
    </w:p>
    <w:p>
      <w:pPr>
        <w:pStyle w:val="4"/>
        <w:rPr>
          <w:rFonts w:ascii="仿宋" w:hAnsi="仿宋" w:eastAsia="仿宋"/>
          <w:color w:val="auto"/>
          <w:highlight w:val="none"/>
        </w:rPr>
      </w:pPr>
      <w:bookmarkStart w:id="62"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62"/>
    </w:p>
    <w:p>
      <w:pPr>
        <w:pStyle w:val="4"/>
        <w:rPr>
          <w:rFonts w:ascii="仿宋" w:hAnsi="仿宋" w:eastAsia="仿宋"/>
          <w:color w:val="auto"/>
          <w:highlight w:val="none"/>
        </w:rPr>
      </w:pPr>
      <w:bookmarkStart w:id="63"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63"/>
    </w:p>
    <w:p>
      <w:pPr>
        <w:pStyle w:val="4"/>
        <w:rPr>
          <w:rStyle w:val="25"/>
          <w:rFonts w:hint="eastAsia" w:ascii="仿宋" w:hAnsi="仿宋" w:eastAsia="仿宋"/>
          <w:b w:val="0"/>
          <w:bCs w:val="0"/>
          <w:color w:val="auto"/>
          <w:highlight w:val="none"/>
        </w:rPr>
      </w:pPr>
      <w:bookmarkStart w:id="64"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64"/>
    </w:p>
    <w:p>
      <w:pPr>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footerReference r:id="rId10" w:type="first"/>
      <w:footerReference r:id="rId9"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E73DB"/>
    <w:multiLevelType w:val="singleLevel"/>
    <w:tmpl w:val="B15E73D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ascii="黑体" w:hAnsi="黑体" w:eastAsia="黑体" w:cs="黑体"/>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F2A2A09"/>
    <w:multiLevelType w:val="singleLevel"/>
    <w:tmpl w:val="7F2A2A09"/>
    <w:lvl w:ilvl="0" w:tentative="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ZWU5MmNlZWI4MTY1MWNhN2NlNmE3MTAyOTY0Yz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944999"/>
    <w:rsid w:val="05F3010D"/>
    <w:rsid w:val="07FB4D1B"/>
    <w:rsid w:val="082F2D28"/>
    <w:rsid w:val="083168C6"/>
    <w:rsid w:val="0A2032A3"/>
    <w:rsid w:val="0A442BC9"/>
    <w:rsid w:val="0B516A85"/>
    <w:rsid w:val="0B8A37D8"/>
    <w:rsid w:val="0DC01DD9"/>
    <w:rsid w:val="0DE77D4E"/>
    <w:rsid w:val="0E156494"/>
    <w:rsid w:val="10C055FF"/>
    <w:rsid w:val="118107EC"/>
    <w:rsid w:val="11DD6519"/>
    <w:rsid w:val="12211934"/>
    <w:rsid w:val="13821AE7"/>
    <w:rsid w:val="13BF1404"/>
    <w:rsid w:val="14302783"/>
    <w:rsid w:val="16BB723D"/>
    <w:rsid w:val="18015F3F"/>
    <w:rsid w:val="18FB35F1"/>
    <w:rsid w:val="1A396F50"/>
    <w:rsid w:val="1A8E45F8"/>
    <w:rsid w:val="1ADC289C"/>
    <w:rsid w:val="1BE8440E"/>
    <w:rsid w:val="1D155CEE"/>
    <w:rsid w:val="20F57F95"/>
    <w:rsid w:val="213056EF"/>
    <w:rsid w:val="23130E25"/>
    <w:rsid w:val="240371BF"/>
    <w:rsid w:val="25C741E6"/>
    <w:rsid w:val="27840543"/>
    <w:rsid w:val="27842671"/>
    <w:rsid w:val="27AE1408"/>
    <w:rsid w:val="29707AE1"/>
    <w:rsid w:val="29FD04D3"/>
    <w:rsid w:val="2ABE7A3E"/>
    <w:rsid w:val="2E50117F"/>
    <w:rsid w:val="2EFA178C"/>
    <w:rsid w:val="2F4D3910"/>
    <w:rsid w:val="2F7E7F6E"/>
    <w:rsid w:val="30B46D73"/>
    <w:rsid w:val="31743FC4"/>
    <w:rsid w:val="319F7F4E"/>
    <w:rsid w:val="31B41A25"/>
    <w:rsid w:val="33E97065"/>
    <w:rsid w:val="35243365"/>
    <w:rsid w:val="35F66AB0"/>
    <w:rsid w:val="37103BA1"/>
    <w:rsid w:val="37CE7C29"/>
    <w:rsid w:val="38097019"/>
    <w:rsid w:val="388F6D48"/>
    <w:rsid w:val="38E269C1"/>
    <w:rsid w:val="39AE70AB"/>
    <w:rsid w:val="3C0C0783"/>
    <w:rsid w:val="3D3C1EBF"/>
    <w:rsid w:val="3F9F3A96"/>
    <w:rsid w:val="44AB4F09"/>
    <w:rsid w:val="450D2FF8"/>
    <w:rsid w:val="47B16C82"/>
    <w:rsid w:val="48091990"/>
    <w:rsid w:val="493C27E9"/>
    <w:rsid w:val="496F39ED"/>
    <w:rsid w:val="49FF41D3"/>
    <w:rsid w:val="4B0233A9"/>
    <w:rsid w:val="4BE068DB"/>
    <w:rsid w:val="4BF6002B"/>
    <w:rsid w:val="4C6175A3"/>
    <w:rsid w:val="4C866E6D"/>
    <w:rsid w:val="4ECE2238"/>
    <w:rsid w:val="4FB8497E"/>
    <w:rsid w:val="4FF67351"/>
    <w:rsid w:val="51DB4B86"/>
    <w:rsid w:val="51FF4AE6"/>
    <w:rsid w:val="55333C3E"/>
    <w:rsid w:val="56C97471"/>
    <w:rsid w:val="5E323B4E"/>
    <w:rsid w:val="600E6645"/>
    <w:rsid w:val="6088514E"/>
    <w:rsid w:val="64A74F5C"/>
    <w:rsid w:val="64CA39A1"/>
    <w:rsid w:val="665972F4"/>
    <w:rsid w:val="6A315DF7"/>
    <w:rsid w:val="6BE060EC"/>
    <w:rsid w:val="6C4A05C8"/>
    <w:rsid w:val="6C787517"/>
    <w:rsid w:val="70613998"/>
    <w:rsid w:val="71096990"/>
    <w:rsid w:val="71777B18"/>
    <w:rsid w:val="719C5A56"/>
    <w:rsid w:val="724F69B6"/>
    <w:rsid w:val="72734D90"/>
    <w:rsid w:val="75900235"/>
    <w:rsid w:val="77005F25"/>
    <w:rsid w:val="77566C62"/>
    <w:rsid w:val="79BF22E2"/>
    <w:rsid w:val="79E7B28D"/>
    <w:rsid w:val="7D02359A"/>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chart" Target="charts/chart5.xml"/><Relationship Id="rId17" Type="http://schemas.openxmlformats.org/officeDocument/2006/relationships/chart" Target="charts/chart4.xml"/><Relationship Id="rId16" Type="http://schemas.openxmlformats.org/officeDocument/2006/relationships/chart" Target="charts/chart3.xml"/><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22270;&#34920;%20&#22312;%202021&#24180;&#37096;&#38376;&#20915;&#31639;&#20844;&#24320;&#32534;&#21046;&#35828;&#26126;.doc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2270;&#34920;%20&#22312;%202021&#24180;&#37096;&#38376;&#20915;&#31639;&#20844;&#24320;&#32534;&#21046;&#35828;&#26126;.doc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2270;&#34920;%20&#22312;%202021&#24180;&#37096;&#38376;&#20915;&#31639;&#20844;&#24320;&#32534;&#21046;&#35828;&#26126;.doc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2270;&#34920;%20&#22312;%202021&#24180;&#37096;&#38376;&#20915;&#31639;&#20844;&#24320;&#32534;&#21046;&#35828;&#26126;.docx1"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22270;&#34920;%20&#22312;%202021&#24180;&#37096;&#38376;&#20915;&#31639;&#20844;&#24320;&#32534;&#21046;&#35828;&#26126;&#65288;&#24066;&#26366;&#23478;&#23665;&#31649;&#22996;&#20250;&#65289;(1).doc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kern="1200" spc="0" baseline="0">
                <a:solidFill>
                  <a:srgbClr val="333333"/>
                </a:solidFill>
                <a:latin typeface="宋体" panose="02010600030101010101" charset="-122"/>
                <a:ea typeface="宋体" panose="02010600030101010101" charset="-122"/>
                <a:cs typeface="宋体" panose="02010600030101010101" charset="-122"/>
              </a:rPr>
              <a:t>收、支决算总计变动情况图</a:t>
            </a:r>
            <a:endParaRPr sz="1400" b="0" i="0" u="none" strike="noStrike" kern="1200" spc="0"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000" b="0" i="0" u="none" strike="noStrike" kern="1200" spc="0" baseline="0">
                <a:solidFill>
                  <a:srgbClr val="333333"/>
                </a:solidFill>
                <a:latin typeface="宋体" panose="02010600030101010101" charset="-122"/>
                <a:ea typeface="宋体" panose="02010600030101010101" charset="-122"/>
                <a:cs typeface="宋体" panose="02010600030101010101" charset="-122"/>
              </a:rPr>
              <a:t>单位：万元</a:t>
            </a:r>
            <a:endParaRPr sz="1200" b="0" i="0" u="none" strike="noStrike" kern="1200" spc="0"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'[图表 在 2021年部门决算公开编制说明.docx]Sheet1'!$B$3</c:f>
              <c:strCache>
                <c:ptCount val="1"/>
                <c:pt idx="0">
                  <c:v>收入</c:v>
                </c:pt>
              </c:strCache>
            </c:strRef>
          </c:tx>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2021年部门决算公开编制说明.docx]Sheet1'!$C$2:$D$2</c:f>
              <c:strCache>
                <c:ptCount val="2"/>
                <c:pt idx="0">
                  <c:v>2020年</c:v>
                </c:pt>
                <c:pt idx="1">
                  <c:v>2021年</c:v>
                </c:pt>
              </c:strCache>
            </c:strRef>
          </c:cat>
          <c:val>
            <c:numRef>
              <c:f>'[图表 在 2021年部门决算公开编制说明.docx]Sheet1'!$C$3:$D$3</c:f>
              <c:numCache>
                <c:formatCode>General</c:formatCode>
                <c:ptCount val="2"/>
                <c:pt idx="0">
                  <c:v>52.52</c:v>
                </c:pt>
                <c:pt idx="1">
                  <c:v>111.05</c:v>
                </c:pt>
              </c:numCache>
            </c:numRef>
          </c:val>
        </c:ser>
        <c:ser>
          <c:idx val="1"/>
          <c:order val="1"/>
          <c:tx>
            <c:strRef>
              <c:f>'[图表 在 2021年部门决算公开编制说明.docx]Sheet1'!$B$4</c:f>
              <c:strCache>
                <c:ptCount val="1"/>
                <c:pt idx="0">
                  <c:v>支出</c:v>
                </c:pt>
              </c:strCache>
            </c:strRef>
          </c:tx>
          <c:spPr>
            <a:solidFill>
              <a:srgbClr val="ED7D31">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2021年部门决算公开编制说明.docx]Sheet1'!$C$2:$D$2</c:f>
              <c:strCache>
                <c:ptCount val="2"/>
                <c:pt idx="0">
                  <c:v>2020年</c:v>
                </c:pt>
                <c:pt idx="1">
                  <c:v>2021年</c:v>
                </c:pt>
              </c:strCache>
            </c:strRef>
          </c:cat>
          <c:val>
            <c:numRef>
              <c:f>'[图表 在 2021年部门决算公开编制说明.docx]Sheet1'!$C$4:$D$4</c:f>
              <c:numCache>
                <c:formatCode>General</c:formatCode>
                <c:ptCount val="2"/>
                <c:pt idx="0">
                  <c:v>52.52</c:v>
                </c:pt>
                <c:pt idx="1">
                  <c:v>111.05</c:v>
                </c:pt>
              </c:numCache>
            </c:numRef>
          </c:val>
        </c:ser>
        <c:ser>
          <c:idx val="2"/>
          <c:order val="2"/>
          <c:tx>
            <c:strRef>
              <c:f>'[图表 在 2021年部门决算公开编制说明.docx]Sheet1'!$B$5</c:f>
              <c:strCache>
                <c:ptCount val="1"/>
                <c:pt idx="0">
                  <c:v/>
                </c:pt>
              </c:strCache>
            </c:strRef>
          </c:tx>
          <c:spPr>
            <a:solidFill>
              <a:srgbClr val="A5A5A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 在 2021年部门决算公开编制说明.docx]Sheet1'!$C$2:$D$2</c:f>
              <c:strCache>
                <c:ptCount val="2"/>
                <c:pt idx="0">
                  <c:v>2020年</c:v>
                </c:pt>
                <c:pt idx="1">
                  <c:v>2021年</c:v>
                </c:pt>
              </c:strCache>
            </c:strRef>
          </c:cat>
          <c:val>
            <c:numRef>
              <c:f>[d7433a701]Sheet1!$C$5:$D$5</c:f>
              <c:numCache>
                <c:formatCode>General</c:formatCode>
                <c:ptCount val="2"/>
              </c:numCache>
            </c:numRef>
          </c:val>
        </c:ser>
        <c:dLbls>
          <c:showLegendKey val="0"/>
          <c:showVal val="0"/>
          <c:showCatName val="0"/>
          <c:showSerName val="0"/>
          <c:showPercent val="0"/>
          <c:showBubbleSize val="0"/>
        </c:dLbls>
        <c:gapWidth val="75"/>
        <c:overlap val="0"/>
        <c:axId val="178166146"/>
        <c:axId val="472474321"/>
      </c:barChart>
      <c:catAx>
        <c:axId val="17816614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2474321"/>
        <c:crosses val="autoZero"/>
        <c:auto val="1"/>
        <c:lblAlgn val="ctr"/>
        <c:lblOffset val="100"/>
        <c:noMultiLvlLbl val="0"/>
      </c:catAx>
      <c:valAx>
        <c:axId val="472474321"/>
        <c:scaling>
          <c:orientation val="minMax"/>
        </c:scaling>
        <c:delete val="0"/>
        <c:axPos val="l"/>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166146"/>
        <c:crosses val="autoZero"/>
        <c:crossBetween val="between"/>
      </c:valAx>
      <c:spPr>
        <a:noFill/>
        <a:ln w="3175">
          <a:noFill/>
        </a:ln>
      </c:spPr>
    </c:plotArea>
    <c:legend>
      <c:legendPos val="b"/>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收入决算结构图</a:t>
            </a:r>
            <a:endParaRPr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endParaRPr>
          </a:p>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2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单位：万元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298067413404152"/>
          <c:y val="0.199134199134199"/>
          <c:w val="0.411575273422998"/>
          <c:h val="0.693263804713804"/>
        </c:manualLayout>
      </c:layout>
      <c:pieChart>
        <c:varyColors val="1"/>
        <c:ser>
          <c:idx val="0"/>
          <c:order val="0"/>
          <c:tx>
            <c:strRef>
              <c:f>'[图表 在 2021年部门决算公开编制说明.docx]Sheet1'!$B$3</c:f>
              <c:strCache>
                <c:ptCount val="1"/>
                <c:pt idx="0">
                  <c:v/>
                </c:pt>
              </c:strCache>
            </c:strRef>
          </c:tx>
          <c:spPr>
            <a:solidFill>
              <a:srgbClr val="63B1EF">
                <a:alpha val="67000"/>
              </a:srgbClr>
            </a:solidFill>
            <a:ln w="19050" cap="rnd">
              <a:noFill/>
              <a:round/>
            </a:ln>
            <a:effectLst/>
          </c:spPr>
          <c:explosion val="0"/>
          <c:dPt>
            <c:idx val="0"/>
            <c:bubble3D val="0"/>
            <c:explosion val="0"/>
            <c:spPr>
              <a:solidFill>
                <a:srgbClr val="63B1EF">
                  <a:alpha val="67000"/>
                </a:srgbClr>
              </a:solidFill>
              <a:ln w="19050" cap="rnd">
                <a:noFill/>
                <a:round/>
              </a:ln>
              <a:effectLst/>
            </c:spPr>
          </c:dPt>
          <c:dPt>
            <c:idx val="1"/>
            <c:bubble3D val="0"/>
            <c:explosion val="0"/>
            <c:spPr>
              <a:solidFill>
                <a:srgbClr val="75D890">
                  <a:alpha val="67000"/>
                </a:srgbClr>
              </a:solidFill>
              <a:ln w="19050" cap="rnd">
                <a:noFill/>
                <a:round/>
              </a:ln>
              <a:effectLst/>
            </c:spPr>
          </c:dPt>
          <c:dPt>
            <c:idx val="2"/>
            <c:bubble3D val="0"/>
            <c:explosion val="0"/>
            <c:spPr>
              <a:solidFill>
                <a:srgbClr val="FB7E72">
                  <a:alpha val="67000"/>
                </a:srgbClr>
              </a:solidFill>
              <a:ln w="19050" cap="rnd">
                <a:noFill/>
                <a:round/>
              </a:ln>
              <a:effectLst/>
            </c:spPr>
          </c:dPt>
          <c:dPt>
            <c:idx val="3"/>
            <c:bubble3D val="0"/>
            <c:explosion val="0"/>
            <c:spPr>
              <a:solidFill>
                <a:srgbClr val="F8AC41">
                  <a:alpha val="67000"/>
                </a:srgbClr>
              </a:solidFill>
              <a:ln w="19050" cap="rnd">
                <a:noFill/>
                <a:round/>
              </a:ln>
              <a:effectLst/>
            </c:spPr>
          </c:dPt>
          <c:dPt>
            <c:idx val="4"/>
            <c:bubble3D val="0"/>
            <c:explosion val="0"/>
            <c:spPr>
              <a:solidFill>
                <a:srgbClr val="63B1EF">
                  <a:alpha val="67000"/>
                </a:srgbClr>
              </a:solidFill>
              <a:ln w="19050" cap="rnd">
                <a:noFill/>
                <a:round/>
              </a:ln>
              <a:effectLst/>
            </c:spPr>
          </c:dPt>
          <c:dPt>
            <c:idx val="5"/>
            <c:bubble3D val="0"/>
            <c:explosion val="0"/>
            <c:spPr>
              <a:solidFill>
                <a:srgbClr val="63B1EF">
                  <a:alpha val="67000"/>
                </a:srgbClr>
              </a:solidFill>
              <a:ln w="19050" cap="rnd">
                <a:noFill/>
                <a:round/>
              </a:ln>
              <a:effectLst/>
            </c:spPr>
          </c:dPt>
          <c:dPt>
            <c:idx val="6"/>
            <c:bubble3D val="0"/>
            <c:explosion val="0"/>
            <c:spPr>
              <a:solidFill>
                <a:srgbClr val="63B1EF">
                  <a:alpha val="67000"/>
                </a:srgbClr>
              </a:solidFill>
              <a:ln w="19050" cap="rnd">
                <a:noFill/>
                <a:round/>
              </a:ln>
              <a:effectLst/>
            </c:spPr>
          </c:dPt>
          <c:dPt>
            <c:idx val="7"/>
            <c:bubble3D val="0"/>
            <c:explosion val="0"/>
            <c:spPr>
              <a:solidFill>
                <a:srgbClr val="63B1EF">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[d76073c31]Sheet1!$C$2:$J$2</c:f>
              <c:strCache>
                <c:ptCount val="8"/>
                <c:pt idx="0">
                  <c:v>一般公共预算财政拨款项目</c:v>
                </c:pt>
              </c:strCache>
            </c:strRef>
          </c:cat>
          <c:val>
            <c:numRef>
              <c:f>[d76073c31]Sheet1!$C$3:$J$3</c:f>
              <c:numCache>
                <c:formatCode>General</c:formatCode>
                <c:ptCount val="8"/>
                <c:pt idx="0">
                  <c:v>111.05</c:v>
                </c:pt>
              </c:numCache>
            </c:numRef>
          </c:val>
        </c:ser>
        <c:ser>
          <c:idx val="1"/>
          <c:order val="1"/>
          <c:tx>
            <c:strRef>
              <c:f>'[图表 在 2021年部门决算公开编制说明.docx]Sheet1'!$B$4</c:f>
              <c:strCache>
                <c:ptCount val="1"/>
                <c:pt idx="0">
                  <c:v/>
                </c:pt>
              </c:strCache>
            </c:strRef>
          </c:tx>
          <c:spPr>
            <a:solidFill>
              <a:srgbClr val="63B1EF">
                <a:alpha val="67000"/>
              </a:srgbClr>
            </a:solidFill>
            <a:ln w="19050" cap="rnd">
              <a:noFill/>
              <a:round/>
            </a:ln>
            <a:effectLst/>
          </c:spPr>
          <c:explosion val="0"/>
          <c:dPt>
            <c:idx val="0"/>
            <c:bubble3D val="0"/>
            <c:explosion val="0"/>
            <c:spPr>
              <a:solidFill>
                <a:srgbClr val="63B1EF">
                  <a:alpha val="67000"/>
                </a:srgbClr>
              </a:solidFill>
              <a:ln w="19050" cap="rnd">
                <a:noFill/>
                <a:round/>
              </a:ln>
              <a:effectLst/>
            </c:spPr>
          </c:dPt>
          <c:dPt>
            <c:idx val="1"/>
            <c:bubble3D val="0"/>
            <c:explosion val="0"/>
            <c:spPr>
              <a:solidFill>
                <a:srgbClr val="75D890">
                  <a:alpha val="67000"/>
                </a:srgbClr>
              </a:solidFill>
              <a:ln w="19050" cap="rnd">
                <a:noFill/>
                <a:round/>
              </a:ln>
              <a:effectLst/>
            </c:spPr>
          </c:dPt>
          <c:dPt>
            <c:idx val="2"/>
            <c:bubble3D val="0"/>
            <c:explosion val="0"/>
            <c:spPr>
              <a:solidFill>
                <a:srgbClr val="FB7E72">
                  <a:alpha val="67000"/>
                </a:srgbClr>
              </a:solidFill>
              <a:ln w="19050" cap="rnd">
                <a:noFill/>
                <a:round/>
              </a:ln>
              <a:effectLst/>
            </c:spPr>
          </c:dPt>
          <c:dPt>
            <c:idx val="3"/>
            <c:bubble3D val="0"/>
            <c:explosion val="0"/>
            <c:spPr>
              <a:solidFill>
                <a:srgbClr val="F8AC41">
                  <a:alpha val="67000"/>
                </a:srgbClr>
              </a:solidFill>
              <a:ln w="19050" cap="rnd">
                <a:noFill/>
                <a:round/>
              </a:ln>
              <a:effectLst/>
            </c:spPr>
          </c:dPt>
          <c:dPt>
            <c:idx val="4"/>
            <c:bubble3D val="0"/>
            <c:explosion val="0"/>
            <c:spPr>
              <a:solidFill>
                <a:srgbClr val="63B1EF">
                  <a:alpha val="67000"/>
                </a:srgbClr>
              </a:solidFill>
              <a:ln w="19050" cap="rnd">
                <a:noFill/>
                <a:round/>
              </a:ln>
              <a:effectLst/>
            </c:spPr>
          </c:dPt>
          <c:dPt>
            <c:idx val="5"/>
            <c:bubble3D val="0"/>
            <c:explosion val="0"/>
            <c:spPr>
              <a:solidFill>
                <a:srgbClr val="63B1EF">
                  <a:alpha val="67000"/>
                </a:srgbClr>
              </a:solidFill>
              <a:ln w="19050" cap="rnd">
                <a:noFill/>
                <a:round/>
              </a:ln>
              <a:effectLst/>
            </c:spPr>
          </c:dPt>
          <c:dPt>
            <c:idx val="6"/>
            <c:bubble3D val="0"/>
            <c:explosion val="0"/>
            <c:spPr>
              <a:solidFill>
                <a:srgbClr val="63B1EF">
                  <a:alpha val="67000"/>
                </a:srgbClr>
              </a:solidFill>
              <a:ln w="19050" cap="rnd">
                <a:noFill/>
                <a:round/>
              </a:ln>
              <a:effectLst/>
            </c:spPr>
          </c:dPt>
          <c:dPt>
            <c:idx val="7"/>
            <c:bubble3D val="0"/>
            <c:explosion val="0"/>
            <c:spPr>
              <a:solidFill>
                <a:srgbClr val="63B1EF">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[d76073c31]Sheet1!$C$2:$J$2</c:f>
              <c:strCache>
                <c:ptCount val="8"/>
                <c:pt idx="0">
                  <c:v>一般公共预算财政拨款项目</c:v>
                </c:pt>
              </c:strCache>
            </c:strRef>
          </c:cat>
          <c:val>
            <c:numRef>
              <c:f>[d76073c31]Sheet1!$C$4:$J$4</c:f>
              <c:numCache>
                <c:formatCode>General</c:formatCode>
                <c:ptCount val="8"/>
              </c:numCache>
            </c:numRef>
          </c:val>
        </c:ser>
        <c:ser>
          <c:idx val="2"/>
          <c:order val="2"/>
          <c:tx>
            <c:strRef>
              <c:f>'[图表 在 2021年部门决算公开编制说明.docx]Sheet1'!$B$5</c:f>
              <c:strCache>
                <c:ptCount val="1"/>
                <c:pt idx="0">
                  <c:v/>
                </c:pt>
              </c:strCache>
            </c:strRef>
          </c:tx>
          <c:spPr>
            <a:solidFill>
              <a:srgbClr val="63B1EF">
                <a:alpha val="67000"/>
              </a:srgbClr>
            </a:solidFill>
            <a:ln w="19050" cap="rnd">
              <a:noFill/>
              <a:round/>
            </a:ln>
            <a:effectLst/>
          </c:spPr>
          <c:explosion val="0"/>
          <c:dPt>
            <c:idx val="0"/>
            <c:bubble3D val="0"/>
            <c:explosion val="0"/>
            <c:spPr>
              <a:solidFill>
                <a:srgbClr val="63B1EF">
                  <a:alpha val="67000"/>
                </a:srgbClr>
              </a:solidFill>
              <a:ln w="19050" cap="rnd">
                <a:noFill/>
                <a:round/>
              </a:ln>
              <a:effectLst/>
            </c:spPr>
          </c:dPt>
          <c:dPt>
            <c:idx val="1"/>
            <c:bubble3D val="0"/>
            <c:explosion val="0"/>
            <c:spPr>
              <a:solidFill>
                <a:srgbClr val="75D890">
                  <a:alpha val="67000"/>
                </a:srgbClr>
              </a:solidFill>
              <a:ln w="19050" cap="rnd">
                <a:noFill/>
                <a:round/>
              </a:ln>
              <a:effectLst/>
            </c:spPr>
          </c:dPt>
          <c:dPt>
            <c:idx val="2"/>
            <c:bubble3D val="0"/>
            <c:explosion val="0"/>
            <c:spPr>
              <a:solidFill>
                <a:srgbClr val="FB7E72">
                  <a:alpha val="67000"/>
                </a:srgbClr>
              </a:solidFill>
              <a:ln w="19050" cap="rnd">
                <a:noFill/>
                <a:round/>
              </a:ln>
              <a:effectLst/>
            </c:spPr>
          </c:dPt>
          <c:dPt>
            <c:idx val="3"/>
            <c:bubble3D val="0"/>
            <c:explosion val="0"/>
            <c:spPr>
              <a:solidFill>
                <a:srgbClr val="F8AC41">
                  <a:alpha val="67000"/>
                </a:srgbClr>
              </a:solidFill>
              <a:ln w="19050" cap="rnd">
                <a:noFill/>
                <a:round/>
              </a:ln>
              <a:effectLst/>
            </c:spPr>
          </c:dPt>
          <c:dPt>
            <c:idx val="4"/>
            <c:bubble3D val="0"/>
            <c:explosion val="0"/>
            <c:spPr>
              <a:solidFill>
                <a:srgbClr val="63B1EF">
                  <a:alpha val="67000"/>
                </a:srgbClr>
              </a:solidFill>
              <a:ln w="19050" cap="rnd">
                <a:noFill/>
                <a:round/>
              </a:ln>
              <a:effectLst/>
            </c:spPr>
          </c:dPt>
          <c:dPt>
            <c:idx val="5"/>
            <c:bubble3D val="0"/>
            <c:explosion val="0"/>
            <c:spPr>
              <a:solidFill>
                <a:srgbClr val="63B1EF">
                  <a:alpha val="67000"/>
                </a:srgbClr>
              </a:solidFill>
              <a:ln w="19050" cap="rnd">
                <a:noFill/>
                <a:round/>
              </a:ln>
              <a:effectLst/>
            </c:spPr>
          </c:dPt>
          <c:dPt>
            <c:idx val="6"/>
            <c:bubble3D val="0"/>
            <c:explosion val="0"/>
            <c:spPr>
              <a:solidFill>
                <a:srgbClr val="63B1EF">
                  <a:alpha val="67000"/>
                </a:srgbClr>
              </a:solidFill>
              <a:ln w="19050" cap="rnd">
                <a:noFill/>
                <a:round/>
              </a:ln>
              <a:effectLst/>
            </c:spPr>
          </c:dPt>
          <c:dPt>
            <c:idx val="7"/>
            <c:bubble3D val="0"/>
            <c:explosion val="0"/>
            <c:spPr>
              <a:solidFill>
                <a:srgbClr val="63B1EF">
                  <a:alpha val="67000"/>
                </a:srgbClr>
              </a:solidFill>
              <a:ln w="19050" cap="rnd">
                <a:no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[d76073c31]Sheet1!$C$2:$J$2</c:f>
              <c:strCache>
                <c:ptCount val="8"/>
                <c:pt idx="0">
                  <c:v>一般公共预算财政拨款项目</c:v>
                </c:pt>
              </c:strCache>
            </c:strRef>
          </c:cat>
          <c:val>
            <c:numRef>
              <c:f>[d76073c31]Sheet1!$C$5:$J$5</c:f>
              <c:numCache>
                <c:formatCode>General</c:formatCode>
                <c:ptCount val="8"/>
              </c:numCache>
            </c:numRef>
          </c:val>
        </c:ser>
        <c:dLbls>
          <c:showLegendKey val="0"/>
          <c:showVal val="0"/>
          <c:showCatName val="0"/>
          <c:showSerName val="0"/>
          <c:showPercent val="0"/>
          <c:showBubbleSize val="0"/>
          <c:showLeaderLines val="1"/>
        </c:dLbls>
        <c:firstSliceAng val="0"/>
      </c:pieChart>
      <c:spPr>
        <a:pattFill prst="lgGrid">
          <a:fgClr>
            <a:srgbClr val="F8F8F8"/>
          </a:fgClr>
          <a:bgClr>
            <a:schemeClr val="bg1"/>
          </a:bgClr>
        </a:pattFill>
        <a:ln>
          <a:solidFill>
            <a:schemeClr val="bg1">
              <a:lumMod val="95000"/>
            </a:schemeClr>
          </a:solidFill>
        </a:ln>
        <a:effectLst/>
      </c:spPr>
    </c:plotArea>
    <c:legend>
      <c:legendPos val="b"/>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ayout>
        <c:manualLayout>
          <c:xMode val="edge"/>
          <c:yMode val="edge"/>
          <c:x val="0.260416666666667"/>
          <c:y val="0.89622641509434"/>
          <c:w val="0.464583333333333"/>
          <c:h val="0.093920335429769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kern="1200" spc="0" baseline="0">
                <a:solidFill>
                  <a:srgbClr val="333333"/>
                </a:solidFill>
                <a:latin typeface="宋体" panose="02010600030101010101" charset="-122"/>
                <a:ea typeface="宋体" panose="02010600030101010101" charset="-122"/>
                <a:cs typeface="宋体" panose="02010600030101010101" charset="-122"/>
              </a:rPr>
              <a:t>财政拨款收入收、支总计变动情况表</a:t>
            </a:r>
            <a:endParaRPr sz="1400" b="0" i="0" u="none" strike="noStrike" kern="1200" spc="0"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000" b="0" i="0" u="none" strike="noStrike" kern="1200" spc="0" baseline="0">
                <a:solidFill>
                  <a:srgbClr val="333333"/>
                </a:solidFill>
                <a:latin typeface="宋体" panose="02010600030101010101" charset="-122"/>
                <a:ea typeface="宋体" panose="02010600030101010101" charset="-122"/>
                <a:cs typeface="宋体" panose="02010600030101010101" charset="-122"/>
              </a:rPr>
              <a:t>单位：万元</a:t>
            </a:r>
            <a:endParaRPr sz="1200" b="0" i="0" u="none" strike="noStrike" kern="1200" spc="0"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manualLayout>
          <c:layoutTarget val="inner"/>
          <c:xMode val="edge"/>
          <c:yMode val="edge"/>
          <c:x val="0.103888888888889"/>
          <c:y val="0.220833333333333"/>
          <c:w val="0.849484126984127"/>
          <c:h val="0.553564814814815"/>
        </c:manualLayout>
      </c:layout>
      <c:barChart>
        <c:barDir val="col"/>
        <c:grouping val="clustered"/>
        <c:varyColors val="0"/>
        <c:ser>
          <c:idx val="0"/>
          <c:order val="0"/>
          <c:tx>
            <c:strRef>
              <c:f>'[图表 在 2021年部门决算公开编制说明.docx]Sheet1'!$B$3</c:f>
              <c:strCache>
                <c:ptCount val="1"/>
                <c:pt idx="0">
                  <c:v>收入</c:v>
                </c:pt>
              </c:strCache>
            </c:strRef>
          </c:tx>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[d77b97071]Sheet1!$C$2:$D$2</c:f>
              <c:strCache>
                <c:ptCount val="2"/>
                <c:pt idx="0">
                  <c:v>2020年</c:v>
                </c:pt>
                <c:pt idx="1">
                  <c:v>2021年</c:v>
                </c:pt>
              </c:strCache>
            </c:strRef>
          </c:cat>
          <c:val>
            <c:numRef>
              <c:f>[d77b97071]Sheet1!$C$3:$D$3</c:f>
              <c:numCache>
                <c:formatCode>General</c:formatCode>
                <c:ptCount val="2"/>
                <c:pt idx="0">
                  <c:v>52.52</c:v>
                </c:pt>
                <c:pt idx="1">
                  <c:v>111.05</c:v>
                </c:pt>
              </c:numCache>
            </c:numRef>
          </c:val>
        </c:ser>
        <c:ser>
          <c:idx val="1"/>
          <c:order val="1"/>
          <c:tx>
            <c:strRef>
              <c:f>'[图表 在 2021年部门决算公开编制说明.docx]Sheet1'!$B$4</c:f>
              <c:strCache>
                <c:ptCount val="1"/>
                <c:pt idx="0">
                  <c:v>支出</c:v>
                </c:pt>
              </c:strCache>
            </c:strRef>
          </c:tx>
          <c:spPr>
            <a:solidFill>
              <a:srgbClr val="ED7D31">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[d77b97071]Sheet1!$C$2:$D$2</c:f>
              <c:strCache>
                <c:ptCount val="2"/>
                <c:pt idx="0">
                  <c:v>2020年</c:v>
                </c:pt>
                <c:pt idx="1">
                  <c:v>2021年</c:v>
                </c:pt>
              </c:strCache>
            </c:strRef>
          </c:cat>
          <c:val>
            <c:numRef>
              <c:f>[d77b97071]Sheet1!$C$4:$D$4</c:f>
              <c:numCache>
                <c:formatCode>General</c:formatCode>
                <c:ptCount val="2"/>
                <c:pt idx="0">
                  <c:v>52.52</c:v>
                </c:pt>
                <c:pt idx="1">
                  <c:v>111.05</c:v>
                </c:pt>
              </c:numCache>
            </c:numRef>
          </c:val>
        </c:ser>
        <c:ser>
          <c:idx val="2"/>
          <c:order val="2"/>
          <c:tx>
            <c:strRef>
              <c:f>'[图表 在 2021年部门决算公开编制说明.docx]Sheet1'!$B$5</c:f>
              <c:strCache>
                <c:ptCount val="1"/>
                <c:pt idx="0">
                  <c:v/>
                </c:pt>
              </c:strCache>
            </c:strRef>
          </c:tx>
          <c:spPr>
            <a:solidFill>
              <a:srgbClr val="A5A5A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[d77b97071]Sheet1!$C$2:$D$2</c:f>
              <c:strCache>
                <c:ptCount val="2"/>
                <c:pt idx="0">
                  <c:v>2020年</c:v>
                </c:pt>
                <c:pt idx="1">
                  <c:v>2021年</c:v>
                </c:pt>
              </c:strCache>
            </c:strRef>
          </c:cat>
          <c:val>
            <c:numRef>
              <c:f>[d77b97071]Sheet1!$C$5:$D$5</c:f>
              <c:numCache>
                <c:formatCode>General</c:formatCode>
                <c:ptCount val="2"/>
              </c:numCache>
            </c:numRef>
          </c:val>
        </c:ser>
        <c:dLbls>
          <c:showLegendKey val="0"/>
          <c:showVal val="0"/>
          <c:showCatName val="0"/>
          <c:showSerName val="0"/>
          <c:showPercent val="0"/>
          <c:showBubbleSize val="0"/>
        </c:dLbls>
        <c:gapWidth val="75"/>
        <c:overlap val="0"/>
        <c:axId val="13971916"/>
        <c:axId val="980667751"/>
      </c:barChart>
      <c:catAx>
        <c:axId val="1397191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0667751"/>
        <c:crosses val="autoZero"/>
        <c:auto val="1"/>
        <c:lblAlgn val="ctr"/>
        <c:lblOffset val="100"/>
        <c:noMultiLvlLbl val="0"/>
      </c:catAx>
      <c:valAx>
        <c:axId val="980667751"/>
        <c:scaling>
          <c:orientation val="minMax"/>
        </c:scaling>
        <c:delete val="0"/>
        <c:axPos val="l"/>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971916"/>
        <c:crosses val="autoZero"/>
        <c:crossBetween val="between"/>
      </c:valAx>
      <c:spPr>
        <a:noFill/>
        <a:ln w="3175">
          <a:noFill/>
        </a:ln>
      </c:spPr>
    </c:plotArea>
    <c:legend>
      <c:legendPos val="b"/>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b="0" i="0" u="none" strike="noStrike" kern="1200" spc="0" baseline="0">
                <a:solidFill>
                  <a:srgbClr val="333333"/>
                </a:solidFill>
                <a:latin typeface="宋体" panose="02010600030101010101" charset="-122"/>
                <a:ea typeface="宋体" panose="02010600030101010101" charset="-122"/>
                <a:cs typeface="宋体" panose="02010600030101010101" charset="-122"/>
              </a:rPr>
              <a:t>一般公共预算财政拨款支出决算变动情况</a:t>
            </a:r>
            <a:endParaRPr sz="1200" b="0" i="0" u="none" strike="noStrike" kern="1200" spc="0" baseline="0">
              <a:solidFill>
                <a:srgbClr val="333333"/>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altLang="en-US" sz="1000" b="0" i="0" u="none" strike="noStrike" kern="1200" spc="0" baseline="0">
                <a:solidFill>
                  <a:srgbClr val="333333"/>
                </a:solidFill>
                <a:latin typeface="宋体" panose="02010600030101010101" charset="-122"/>
                <a:ea typeface="宋体" panose="02010600030101010101" charset="-122"/>
                <a:cs typeface="宋体" panose="02010600030101010101" charset="-122"/>
              </a:rPr>
              <a:t>（单位：万元）</a:t>
            </a:r>
            <a:endParaRPr lang="en-US" altLang="zh-CN" sz="1200" b="0" i="0" u="none" strike="noStrike" kern="1200" spc="0"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'[图表 在 2021年部门决算公开编制说明.docx1]Sheet1'!$B$3</c:f>
              <c:strCache>
                <c:ptCount val="1"/>
                <c:pt idx="0">
                  <c:v/>
                </c:pt>
              </c:strCache>
            </c:strRef>
          </c:tx>
          <c:spPr>
            <a:solidFill>
              <a:srgbClr val="5B9BD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'[图表 在 2021年部门决算公开编制说明.docx1]Sheet1'!$C$2:$D$2</c:f>
              <c:numCache>
                <c:formatCode>General</c:formatCode>
                <c:ptCount val="2"/>
                <c:pt idx="0">
                  <c:v>2020</c:v>
                </c:pt>
                <c:pt idx="1">
                  <c:v>2021</c:v>
                </c:pt>
              </c:numCache>
            </c:numRef>
          </c:cat>
          <c:val>
            <c:numRef>
              <c:f>[d782b9711]Sheet1!$C$3:$D$3</c:f>
              <c:numCache>
                <c:formatCode>General</c:formatCode>
                <c:ptCount val="2"/>
              </c:numCache>
            </c:numRef>
          </c:val>
        </c:ser>
        <c:ser>
          <c:idx val="1"/>
          <c:order val="1"/>
          <c:tx>
            <c:strRef>
              <c:f>'[图表 在 2021年部门决算公开编制说明.docx1]Sheet1'!$B$4</c:f>
              <c:strCache>
                <c:ptCount val="1"/>
                <c:pt idx="0">
                  <c:v/>
                </c:pt>
              </c:strCache>
            </c:strRef>
          </c:tx>
          <c:spPr>
            <a:solidFill>
              <a:srgbClr val="ED7D31">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'[图表 在 2021年部门决算公开编制说明.docx1]Sheet1'!$C$2:$D$2</c:f>
              <c:numCache>
                <c:formatCode>General</c:formatCode>
                <c:ptCount val="2"/>
                <c:pt idx="0">
                  <c:v>2020</c:v>
                </c:pt>
                <c:pt idx="1">
                  <c:v>2021</c:v>
                </c:pt>
              </c:numCache>
            </c:numRef>
          </c:cat>
          <c:val>
            <c:numRef>
              <c:f>'[图表 在 2021年部门决算公开编制说明.docx1]Sheet1'!$C$4:$D$4</c:f>
              <c:numCache>
                <c:formatCode>General</c:formatCode>
                <c:ptCount val="2"/>
                <c:pt idx="0">
                  <c:v>52.52</c:v>
                </c:pt>
                <c:pt idx="1">
                  <c:v>111.05</c:v>
                </c:pt>
              </c:numCache>
            </c:numRef>
          </c:val>
        </c:ser>
        <c:ser>
          <c:idx val="2"/>
          <c:order val="2"/>
          <c:tx>
            <c:strRef>
              <c:f>'[图表 在 2021年部门决算公开编制说明.docx1]Sheet1'!$B$5</c:f>
              <c:strCache>
                <c:ptCount val="1"/>
                <c:pt idx="0">
                  <c:v/>
                </c:pt>
              </c:strCache>
            </c:strRef>
          </c:tx>
          <c:spPr>
            <a:solidFill>
              <a:srgbClr val="A5A5A5">
                <a:alpha val="100000"/>
              </a:srgbClr>
            </a:solidFill>
            <a:ln w="3175">
              <a:noFill/>
            </a:ln>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'[图表 在 2021年部门决算公开编制说明.docx1]Sheet1'!$C$2:$D$2</c:f>
              <c:numCache>
                <c:formatCode>General</c:formatCode>
                <c:ptCount val="2"/>
                <c:pt idx="0">
                  <c:v>2020</c:v>
                </c:pt>
                <c:pt idx="1">
                  <c:v>2021</c:v>
                </c:pt>
              </c:numCache>
            </c:numRef>
          </c:cat>
          <c:val>
            <c:numRef>
              <c:f>[d782b9711]Sheet1!$C$5:$D$5</c:f>
              <c:numCache>
                <c:formatCode>General</c:formatCode>
                <c:ptCount val="2"/>
              </c:numCache>
            </c:numRef>
          </c:val>
        </c:ser>
        <c:dLbls>
          <c:showLegendKey val="0"/>
          <c:showVal val="0"/>
          <c:showCatName val="0"/>
          <c:showSerName val="0"/>
          <c:showPercent val="0"/>
          <c:showBubbleSize val="0"/>
        </c:dLbls>
        <c:gapWidth val="75"/>
        <c:overlap val="0"/>
        <c:axId val="469443798"/>
        <c:axId val="329297980"/>
      </c:barChart>
      <c:catAx>
        <c:axId val="46944379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9297980"/>
        <c:crosses val="autoZero"/>
        <c:auto val="1"/>
        <c:lblAlgn val="ctr"/>
        <c:lblOffset val="100"/>
        <c:noMultiLvlLbl val="0"/>
      </c:catAx>
      <c:valAx>
        <c:axId val="329297980"/>
        <c:scaling>
          <c:orientation val="minMax"/>
        </c:scaling>
        <c:delete val="0"/>
        <c:axPos val="l"/>
        <c:numFmt formatCode="General" sourceLinked="1"/>
        <c:majorTickMark val="none"/>
        <c:minorTickMark val="none"/>
        <c:tickLblPos val="nextTo"/>
        <c:spPr>
          <a:ln w="3175" cap="flat" cmpd="sng" algn="ctr">
            <a:noFill/>
            <a:prstDash val="solid"/>
            <a:round/>
          </a:ln>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9443798"/>
        <c:crosses val="autoZero"/>
        <c:crossBetween val="between"/>
      </c:valAx>
      <c:spPr>
        <a:noFill/>
        <a:ln w="3175">
          <a:noFill/>
        </a:ln>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2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一般公共预算财政拨款支出决算结构</a:t>
            </a:r>
            <a:endParaRPr sz="14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endParaRPr>
          </a:p>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sz="1000" b="0" i="0" u="none" strike="noStrike" baseline="0">
                <a:solidFill>
                  <a:srgbClr val="333333"/>
                </a:solidFill>
                <a:latin typeface="微软雅黑" panose="020B0503020204020204" pitchFamily="34" charset="-122"/>
                <a:ea typeface="微软雅黑" panose="020B0503020204020204" pitchFamily="34" charset="-122"/>
                <a:cs typeface="微软雅黑" panose="020B0503020204020204" pitchFamily="34" charset="-122"/>
              </a:rPr>
              <a:t>单位：万元</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85277777777778"/>
          <c:y val="0.0277777777777778"/>
        </c:manualLayout>
      </c:layout>
      <c:overlay val="0"/>
      <c:spPr>
        <a:noFill/>
        <a:ln>
          <a:noFill/>
        </a:ln>
        <a:effectLst/>
      </c:spPr>
    </c:title>
    <c:autoTitleDeleted val="0"/>
    <c:plotArea>
      <c:layout/>
      <c:pieChart>
        <c:varyColors val="1"/>
        <c:ser>
          <c:idx val="0"/>
          <c:order val="0"/>
          <c:tx>
            <c:strRef>
              <c:f>'[图表 在 2021年部门决算公开编制说明（市曾家山管委会）(1).docx]Sheet1'!$B$3</c:f>
              <c:strCache>
                <c:ptCount val="1"/>
                <c:pt idx="0">
                  <c:v/>
                </c:pt>
              </c:strCache>
            </c:strRef>
          </c:tx>
          <c:spPr>
            <a:solidFill>
              <a:srgbClr val="859949"/>
            </a:solidFill>
            <a:ln w="31750">
              <a:solidFill>
                <a:schemeClr val="bg1">
                  <a:alpha val="42000"/>
                </a:schemeClr>
              </a:solidFill>
            </a:ln>
          </c:spPr>
          <c:explosion val="0"/>
          <c:dPt>
            <c:idx val="0"/>
            <c:bubble3D val="0"/>
            <c:explosion val="0"/>
            <c:spPr>
              <a:solidFill>
                <a:srgbClr val="365B7C"/>
              </a:solidFill>
              <a:ln w="31750">
                <a:solidFill>
                  <a:schemeClr val="bg1">
                    <a:alpha val="42000"/>
                  </a:schemeClr>
                </a:solidFill>
              </a:ln>
              <a:effectLst/>
            </c:spPr>
          </c:dPt>
          <c:dPt>
            <c:idx val="1"/>
            <c:bubble3D val="0"/>
            <c:explosion val="0"/>
            <c:spPr>
              <a:solidFill>
                <a:srgbClr val="966480"/>
              </a:solidFill>
              <a:ln w="31750">
                <a:solidFill>
                  <a:schemeClr val="bg1">
                    <a:alpha val="42000"/>
                  </a:schemeClr>
                </a:solidFill>
              </a:ln>
              <a:effectLst/>
            </c:spPr>
          </c:dPt>
          <c:dPt>
            <c:idx val="2"/>
            <c:bubble3D val="0"/>
            <c:explosion val="0"/>
            <c:spPr>
              <a:solidFill>
                <a:srgbClr val="D06F83"/>
              </a:solidFill>
              <a:ln w="31750">
                <a:solidFill>
                  <a:schemeClr val="bg1">
                    <a:alpha val="42000"/>
                  </a:schemeClr>
                </a:solidFill>
              </a:ln>
              <a:effectLst/>
            </c:spPr>
          </c:dPt>
          <c:dPt>
            <c:idx val="3"/>
            <c:bubble3D val="0"/>
            <c:explosion val="0"/>
            <c:spPr>
              <a:solidFill>
                <a:srgbClr val="DD5F71"/>
              </a:solidFill>
              <a:ln w="31750">
                <a:solidFill>
                  <a:schemeClr val="bg1">
                    <a:alpha val="42000"/>
                  </a:schemeClr>
                </a:solidFill>
              </a:ln>
              <a:effectLst/>
            </c:spPr>
          </c:dPt>
          <c:dLbls>
            <c:delete val="1"/>
          </c:dLbls>
          <c:cat>
            <c:strRef>
              <c:f>'[图表 在 2021年部门决算公开编制说明（市曾家山管委会）(1).docx]Sheet1'!$C$2:$F$2</c:f>
              <c:strCache>
                <c:ptCount val="4"/>
                <c:pt idx="0">
                  <c:v>一般公共服务支出</c:v>
                </c:pt>
                <c:pt idx="1">
                  <c:v>社会保障和就业支出</c:v>
                </c:pt>
                <c:pt idx="2">
                  <c:v>卫生健康支出</c:v>
                </c:pt>
                <c:pt idx="3">
                  <c:v>住房保障支出</c:v>
                </c:pt>
              </c:strCache>
            </c:strRef>
          </c:cat>
          <c:val>
            <c:numRef>
              <c:f>'[图表 在 2021年部门决算公开编制说明（市曾家山管委会）(1).docx]Sheet1'!$C$3:$F$3</c:f>
              <c:numCache>
                <c:formatCode>General</c:formatCode>
                <c:ptCount val="4"/>
                <c:pt idx="0">
                  <c:v>90.8</c:v>
                </c:pt>
                <c:pt idx="1">
                  <c:v>8.52</c:v>
                </c:pt>
                <c:pt idx="2">
                  <c:v>5.67</c:v>
                </c:pt>
                <c:pt idx="3" c:formatCode="0.00_ ">
                  <c:v>6.06</c:v>
                </c:pt>
              </c:numCache>
            </c:numRef>
          </c:val>
        </c:ser>
        <c:ser>
          <c:idx val="1"/>
          <c:order val="1"/>
          <c:tx>
            <c:strRef>
              <c:f>'[图表 在 2021年部门决算公开编制说明（市曾家山管委会）(1).docx]Sheet1'!$B$4</c:f>
              <c:strCache>
                <c:ptCount val="1"/>
                <c:pt idx="0">
                  <c:v/>
                </c:pt>
              </c:strCache>
            </c:strRef>
          </c:tx>
          <c:spPr>
            <a:solidFill>
              <a:srgbClr val="859949"/>
            </a:solidFill>
            <a:ln w="31750">
              <a:solidFill>
                <a:schemeClr val="bg1">
                  <a:alpha val="42000"/>
                </a:schemeClr>
              </a:solidFill>
            </a:ln>
          </c:spPr>
          <c:explosion val="0"/>
          <c:dPt>
            <c:idx val="0"/>
            <c:bubble3D val="0"/>
            <c:explosion val="0"/>
            <c:spPr>
              <a:solidFill>
                <a:srgbClr val="365B7C"/>
              </a:solidFill>
              <a:ln w="31750">
                <a:solidFill>
                  <a:schemeClr val="bg1">
                    <a:alpha val="42000"/>
                  </a:schemeClr>
                </a:solidFill>
              </a:ln>
              <a:effectLst/>
            </c:spPr>
          </c:dPt>
          <c:dPt>
            <c:idx val="1"/>
            <c:bubble3D val="0"/>
            <c:explosion val="0"/>
            <c:spPr>
              <a:solidFill>
                <a:srgbClr val="966480"/>
              </a:solidFill>
              <a:ln w="31750">
                <a:solidFill>
                  <a:schemeClr val="bg1">
                    <a:alpha val="42000"/>
                  </a:schemeClr>
                </a:solidFill>
              </a:ln>
              <a:effectLst/>
            </c:spPr>
          </c:dPt>
          <c:dPt>
            <c:idx val="2"/>
            <c:bubble3D val="0"/>
            <c:explosion val="0"/>
            <c:spPr>
              <a:solidFill>
                <a:srgbClr val="D06F83"/>
              </a:solidFill>
              <a:ln w="31750">
                <a:solidFill>
                  <a:schemeClr val="bg1">
                    <a:alpha val="42000"/>
                  </a:schemeClr>
                </a:solidFill>
              </a:ln>
              <a:effectLst/>
            </c:spPr>
          </c:dPt>
          <c:dPt>
            <c:idx val="3"/>
            <c:bubble3D val="0"/>
            <c:explosion val="0"/>
            <c:spPr>
              <a:solidFill>
                <a:srgbClr val="DD5F71"/>
              </a:solidFill>
              <a:ln w="31750">
                <a:solidFill>
                  <a:schemeClr val="bg1">
                    <a:alpha val="42000"/>
                  </a:schemeClr>
                </a:solidFill>
              </a:ln>
              <a:effectLst/>
            </c:spPr>
          </c:dPt>
          <c:dLbls>
            <c:delete val="1"/>
          </c:dLbls>
          <c:cat>
            <c:strRef>
              <c:f>'[图表 在 2021年部门决算公开编制说明（市曾家山管委会）(1).docx]Sheet1'!$C$2:$F$2</c:f>
              <c:strCache>
                <c:ptCount val="4"/>
                <c:pt idx="0">
                  <c:v>一般公共服务支出</c:v>
                </c:pt>
                <c:pt idx="1">
                  <c:v>社会保障和就业支出</c:v>
                </c:pt>
                <c:pt idx="2">
                  <c:v>卫生健康支出</c:v>
                </c:pt>
                <c:pt idx="3">
                  <c:v>住房保障支出</c:v>
                </c:pt>
              </c:strCache>
            </c:strRef>
          </c:cat>
          <c:val>
            <c:numRef>
              <c:f>'[图表 在 2021年部门决算公开编制说明（市曾家山管委会）(1).docx]Sheet1'!$C$4:$F$4</c:f>
              <c:numCache>
                <c:formatCode>General</c:formatCode>
                <c:ptCount val="4"/>
              </c:numCache>
            </c:numRef>
          </c:val>
        </c:ser>
        <c:ser>
          <c:idx val="2"/>
          <c:order val="2"/>
          <c:tx>
            <c:strRef>
              <c:f>'[图表 在 2021年部门决算公开编制说明（市曾家山管委会）(1).docx]Sheet1'!$B$5</c:f>
              <c:strCache>
                <c:ptCount val="1"/>
                <c:pt idx="0">
                  <c:v/>
                </c:pt>
              </c:strCache>
            </c:strRef>
          </c:tx>
          <c:spPr>
            <a:solidFill>
              <a:srgbClr val="859949"/>
            </a:solidFill>
            <a:ln w="31750">
              <a:solidFill>
                <a:schemeClr val="bg1">
                  <a:alpha val="42000"/>
                </a:schemeClr>
              </a:solidFill>
            </a:ln>
          </c:spPr>
          <c:explosion val="0"/>
          <c:dPt>
            <c:idx val="0"/>
            <c:bubble3D val="0"/>
            <c:explosion val="0"/>
            <c:spPr>
              <a:solidFill>
                <a:srgbClr val="365B7C"/>
              </a:solidFill>
              <a:ln w="31750">
                <a:solidFill>
                  <a:schemeClr val="bg1">
                    <a:alpha val="42000"/>
                  </a:schemeClr>
                </a:solidFill>
              </a:ln>
              <a:effectLst/>
            </c:spPr>
          </c:dPt>
          <c:dPt>
            <c:idx val="1"/>
            <c:bubble3D val="0"/>
            <c:explosion val="0"/>
            <c:spPr>
              <a:solidFill>
                <a:srgbClr val="966480"/>
              </a:solidFill>
              <a:ln w="31750">
                <a:solidFill>
                  <a:schemeClr val="bg1">
                    <a:alpha val="42000"/>
                  </a:schemeClr>
                </a:solidFill>
              </a:ln>
              <a:effectLst/>
            </c:spPr>
          </c:dPt>
          <c:dPt>
            <c:idx val="2"/>
            <c:bubble3D val="0"/>
            <c:explosion val="0"/>
            <c:spPr>
              <a:solidFill>
                <a:srgbClr val="D06F83"/>
              </a:solidFill>
              <a:ln w="31750">
                <a:solidFill>
                  <a:schemeClr val="bg1">
                    <a:alpha val="42000"/>
                  </a:schemeClr>
                </a:solidFill>
              </a:ln>
              <a:effectLst/>
            </c:spPr>
          </c:dPt>
          <c:dPt>
            <c:idx val="3"/>
            <c:bubble3D val="0"/>
            <c:explosion val="0"/>
            <c:spPr>
              <a:solidFill>
                <a:srgbClr val="DD5F71"/>
              </a:solidFill>
              <a:ln w="31750">
                <a:solidFill>
                  <a:schemeClr val="bg1">
                    <a:alpha val="42000"/>
                  </a:schemeClr>
                </a:solidFill>
              </a:ln>
              <a:effectLst/>
            </c:spPr>
          </c:dPt>
          <c:dLbls>
            <c:delete val="1"/>
          </c:dLbls>
          <c:cat>
            <c:strRef>
              <c:f>'[图表 在 2021年部门决算公开编制说明（市曾家山管委会）(1).docx]Sheet1'!$C$2:$F$2</c:f>
              <c:strCache>
                <c:ptCount val="4"/>
                <c:pt idx="0">
                  <c:v>一般公共服务支出</c:v>
                </c:pt>
                <c:pt idx="1">
                  <c:v>社会保障和就业支出</c:v>
                </c:pt>
                <c:pt idx="2">
                  <c:v>卫生健康支出</c:v>
                </c:pt>
                <c:pt idx="3">
                  <c:v>住房保障支出</c:v>
                </c:pt>
              </c:strCache>
            </c:strRef>
          </c:cat>
          <c:val>
            <c:numRef>
              <c:f>'[图表 在 2021年部门决算公开编制说明（市曾家山管委会）(1).docx]Sheet1'!$C$5:$F$5</c:f>
              <c:numCache>
                <c:formatCode>General</c:formatCode>
                <c:ptCount val="4"/>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7618</Words>
  <Characters>9213</Characters>
  <Lines>61</Lines>
  <Paragraphs>17</Paragraphs>
  <TotalTime>9</TotalTime>
  <ScaleCrop>false</ScaleCrop>
  <LinksUpToDate>false</LinksUpToDate>
  <CharactersWithSpaces>9283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扛姐</cp:lastModifiedBy>
  <cp:lastPrinted>2022-08-06T02:23:00Z</cp:lastPrinted>
  <dcterms:modified xsi:type="dcterms:W3CDTF">2022-10-12T02:14:39Z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52AECDE6DEC2431CAD7815875778D88E</vt:lpwstr>
  </property>
</Properties>
</file>