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96475"/>
      <w:bookmarkStart w:id="2" w:name="_Toc15377193"/>
      <w:bookmarkStart w:id="3" w:name="_Toc15378441"/>
      <w:bookmarkStart w:id="4" w:name="_Toc15377425"/>
      <w:bookmarkStart w:id="5" w:name="_Toc15396597"/>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21</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bookmarkEnd w:id="0"/>
    <w:p>
      <w:pPr>
        <w:adjustRightInd w:val="0"/>
        <w:snapToGrid w:val="0"/>
        <w:spacing w:line="360" w:lineRule="auto"/>
        <w:jc w:val="center"/>
        <w:outlineLvl w:val="0"/>
        <w:rPr>
          <w:rFonts w:hint="eastAsia" w:ascii="方正小标宋简体" w:hAnsi="宋体" w:eastAsia="方正小标宋简体" w:cs="Times New Roman"/>
          <w:color w:val="000000"/>
          <w:sz w:val="72"/>
          <w:szCs w:val="72"/>
        </w:rPr>
      </w:pPr>
      <w:r>
        <w:rPr>
          <w:rFonts w:hint="eastAsia" w:ascii="方正小标宋简体" w:hAnsi="宋体" w:eastAsia="方正小标宋简体" w:cs="Times New Roman"/>
          <w:color w:val="000000"/>
          <w:sz w:val="72"/>
          <w:szCs w:val="72"/>
        </w:rPr>
        <w:t>四川省广元市朝天区</w:t>
      </w:r>
    </w:p>
    <w:p>
      <w:pPr>
        <w:adjustRightInd w:val="0"/>
        <w:snapToGrid w:val="0"/>
        <w:spacing w:line="360" w:lineRule="auto"/>
        <w:jc w:val="center"/>
        <w:outlineLvl w:val="0"/>
        <w:rPr>
          <w:rFonts w:ascii="方正小标宋简体" w:hAnsi="宋体" w:eastAsia="方正小标宋简体" w:cs="Times New Roman"/>
          <w:color w:val="000000"/>
          <w:sz w:val="72"/>
          <w:szCs w:val="72"/>
        </w:rPr>
      </w:pPr>
      <w:r>
        <w:rPr>
          <w:rFonts w:hint="eastAsia" w:ascii="方正小标宋简体" w:hAnsi="宋体" w:eastAsia="方正小标宋简体" w:cs="Times New Roman"/>
          <w:color w:val="000000"/>
          <w:sz w:val="72"/>
          <w:szCs w:val="72"/>
          <w:lang w:eastAsia="zh-CN"/>
        </w:rPr>
        <w:t>水库</w:t>
      </w:r>
      <w:r>
        <w:rPr>
          <w:rFonts w:hint="eastAsia" w:ascii="方正小标宋简体" w:hAnsi="宋体" w:eastAsia="方正小标宋简体" w:cs="Times New Roman"/>
          <w:color w:val="000000"/>
          <w:sz w:val="72"/>
          <w:szCs w:val="72"/>
        </w:rPr>
        <w:t>事务中心</w:t>
      </w:r>
      <w:r>
        <w:rPr>
          <w:rFonts w:hint="eastAsia" w:ascii="方正小标宋简体" w:hAnsi="宋体" w:eastAsia="方正小标宋简体" w:cs="Times New Roman"/>
          <w:color w:val="000000"/>
          <w:sz w:val="72"/>
          <w:szCs w:val="72"/>
          <w:lang w:eastAsia="zh-CN"/>
        </w:rPr>
        <w:t>单位</w:t>
      </w:r>
      <w:r>
        <w:rPr>
          <w:rFonts w:hint="eastAsia" w:ascii="方正小标宋简体" w:hAnsi="宋体" w:eastAsia="方正小标宋简体" w:cs="Times New Roman"/>
          <w:color w:val="000000"/>
          <w:sz w:val="72"/>
          <w:szCs w:val="72"/>
        </w:rPr>
        <w:t>决算</w:t>
      </w:r>
    </w:p>
    <w:p>
      <w:pPr>
        <w:adjustRightInd w:val="0"/>
        <w:snapToGrid w:val="0"/>
        <w:spacing w:line="360" w:lineRule="auto"/>
        <w:jc w:val="center"/>
        <w:outlineLvl w:val="0"/>
        <w:rPr>
          <w:rFonts w:ascii="方正小标宋简体" w:hAnsi="宋体" w:eastAsia="方正小标宋简体"/>
          <w:color w:val="auto"/>
          <w:sz w:val="52"/>
          <w:szCs w:val="52"/>
          <w:highlight w:val="none"/>
        </w:rPr>
      </w:pPr>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1"/>
        <w:rPr>
          <w:color w:val="auto"/>
          <w:highlight w:val="none"/>
        </w:rPr>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10</w:t>
      </w:r>
      <w:r>
        <w:rPr>
          <w:rFonts w:hint="eastAsia"/>
          <w:color w:val="auto"/>
          <w:highlight w:val="none"/>
        </w:rPr>
        <w:t>日</w:t>
      </w:r>
    </w:p>
    <w:p>
      <w:pPr>
        <w:rPr>
          <w:color w:val="auto"/>
          <w:highlight w:val="none"/>
        </w:rPr>
      </w:pPr>
    </w:p>
    <w:p>
      <w:pPr>
        <w:pStyle w:val="11"/>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p>
    <w:p>
      <w:pPr>
        <w:pStyle w:val="12"/>
        <w:adjustRightInd w:val="0"/>
        <w:snapToGrid w:val="0"/>
        <w:spacing w:line="440" w:lineRule="exact"/>
        <w:jc w:val="left"/>
        <w:rPr>
          <w:rFonts w:hint="eastAsia" w:eastAsia="宋体"/>
          <w:color w:val="auto"/>
          <w:sz w:val="24"/>
          <w:highlight w:val="none"/>
          <w:lang w:eastAsia="zh-CN"/>
        </w:rPr>
      </w:pPr>
      <w:r>
        <w:rPr>
          <w:rFonts w:hint="eastAsia"/>
          <w:color w:val="auto"/>
          <w:sz w:val="24"/>
          <w:highlight w:val="none"/>
        </w:rPr>
        <w:t>一、职能</w:t>
      </w:r>
      <w:r>
        <w:rPr>
          <w:rFonts w:hint="eastAsia"/>
          <w:color w:val="auto"/>
          <w:sz w:val="24"/>
          <w:highlight w:val="none"/>
          <w:lang w:eastAsia="zh-CN"/>
        </w:rPr>
        <w:t>简介</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二、</w:t>
      </w:r>
      <w:r>
        <w:rPr>
          <w:rFonts w:hint="eastAsia" w:asciiTheme="minorEastAsia" w:hAnsiTheme="minorEastAsia" w:eastAsiaTheme="minorEastAsia" w:cstheme="minorEastAsia"/>
          <w:color w:val="auto"/>
          <w:sz w:val="24"/>
          <w:highlight w:val="none"/>
          <w:lang w:val="en-US" w:eastAsia="zh-CN"/>
        </w:rPr>
        <w:t>2021年重点</w:t>
      </w:r>
      <w:r>
        <w:rPr>
          <w:rFonts w:hint="eastAsia" w:asciiTheme="minorEastAsia" w:hAnsiTheme="minorEastAsia" w:eastAsiaTheme="minorEastAsia" w:cstheme="minorEastAsia"/>
          <w:color w:val="auto"/>
          <w:sz w:val="24"/>
          <w:highlight w:val="none"/>
        </w:rPr>
        <w:t>工作</w:t>
      </w:r>
      <w:r>
        <w:rPr>
          <w:rFonts w:hint="eastAsia" w:asciiTheme="minorEastAsia" w:hAnsiTheme="minorEastAsia" w:eastAsiaTheme="minorEastAsia" w:cstheme="minorEastAsia"/>
          <w:color w:val="auto"/>
          <w:sz w:val="24"/>
          <w:highlight w:val="none"/>
          <w:lang w:eastAsia="zh-CN"/>
        </w:rPr>
        <w:t>完成情况</w:t>
      </w:r>
    </w:p>
    <w:p>
      <w:pPr>
        <w:pStyle w:val="11"/>
        <w:adjustRightInd w:val="0"/>
        <w:snapToGrid w:val="0"/>
        <w:spacing w:before="0" w:line="440" w:lineRule="exact"/>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2021年度</w:t>
      </w:r>
      <w:r>
        <w:rPr>
          <w:rFonts w:hint="eastAsia"/>
          <w:color w:val="auto"/>
          <w:sz w:val="24"/>
          <w:highlight w:val="none"/>
          <w:lang w:eastAsia="zh-CN"/>
        </w:rPr>
        <w:t>单位</w:t>
      </w:r>
      <w:r>
        <w:rPr>
          <w:rFonts w:hint="eastAsia"/>
          <w:color w:val="auto"/>
          <w:sz w:val="24"/>
          <w:highlight w:val="none"/>
        </w:rPr>
        <w:t>决算情况说明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一、收入支出决算总体情况说明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二、收入决算情况说明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三、支出决算情况说明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四、财政拨款收入支出决算总体情况说明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五、一般公共预算财政拨款支出决算情况说明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六、一般公共预算财政拨款基本支出决算情况说明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七、</w:t>
      </w:r>
      <w:r>
        <w:rPr>
          <w:rFonts w:hint="eastAsia"/>
          <w:color w:val="auto"/>
          <w:sz w:val="24"/>
          <w:highlight w:val="none"/>
          <w:lang w:eastAsia="zh-CN"/>
        </w:rPr>
        <w:t>“</w:t>
      </w:r>
      <w:r>
        <w:rPr>
          <w:rFonts w:hint="eastAsia"/>
          <w:color w:val="auto"/>
          <w:sz w:val="24"/>
          <w:highlight w:val="none"/>
        </w:rPr>
        <w:t>三公”经费财政拨款支出决算情况说明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八、政府性基金预算支出决算情况说明</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九、国有资本经营预算支出决算情况说明</w:t>
      </w:r>
    </w:p>
    <w:p>
      <w:pPr>
        <w:pStyle w:val="12"/>
        <w:adjustRightInd w:val="0"/>
        <w:snapToGrid w:val="0"/>
        <w:spacing w:line="440" w:lineRule="exact"/>
        <w:jc w:val="left"/>
        <w:rPr>
          <w:rFonts w:hint="eastAsia"/>
          <w:color w:val="auto"/>
          <w:sz w:val="24"/>
          <w:highlight w:val="none"/>
          <w:lang w:eastAsia="zh-CN"/>
        </w:rPr>
      </w:pPr>
      <w:r>
        <w:rPr>
          <w:rFonts w:hint="eastAsia"/>
          <w:color w:val="auto"/>
          <w:sz w:val="24"/>
          <w:highlight w:val="none"/>
        </w:rPr>
        <w:t>十、其他重要事项的情况说明</w:t>
      </w:r>
    </w:p>
    <w:p>
      <w:pPr>
        <w:pStyle w:val="11"/>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p>
    <w:p>
      <w:pPr>
        <w:pStyle w:val="11"/>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p>
    <w:p>
      <w:pPr>
        <w:pStyle w:val="11"/>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十、一般公共预算财政拨款“三公”经费支出决算表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十一、政府性基金预算财政拨款收入支出决算表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十二、政府性基金预算财政拨款“三公”经费支出决算表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十三、国有资本经营预算</w:t>
      </w:r>
      <w:r>
        <w:rPr>
          <w:rFonts w:hint="eastAsia"/>
          <w:color w:val="auto"/>
          <w:sz w:val="24"/>
          <w:highlight w:val="none"/>
          <w:lang w:eastAsia="zh-CN"/>
        </w:rPr>
        <w:t>财政拨款收入</w:t>
      </w:r>
      <w:r>
        <w:rPr>
          <w:rFonts w:hint="eastAsia"/>
          <w:color w:val="auto"/>
          <w:sz w:val="24"/>
          <w:highlight w:val="none"/>
        </w:rPr>
        <w:t>支出决算表</w:t>
      </w:r>
    </w:p>
    <w:p>
      <w:pPr>
        <w:pStyle w:val="12"/>
        <w:adjustRightInd w:val="0"/>
        <w:snapToGrid w:val="0"/>
        <w:spacing w:line="440" w:lineRule="exact"/>
        <w:jc w:val="left"/>
        <w:rPr>
          <w:rFonts w:hint="default"/>
          <w:color w:val="auto"/>
          <w:sz w:val="24"/>
          <w:highlight w:val="none"/>
          <w:lang w:val="en-US" w:eastAsia="zh-CN"/>
        </w:rPr>
      </w:pPr>
      <w:r>
        <w:rPr>
          <w:rFonts w:hint="eastAsia"/>
          <w:color w:val="auto"/>
          <w:sz w:val="24"/>
          <w:highlight w:val="none"/>
          <w:lang w:val="en-US" w:eastAsia="zh-CN"/>
        </w:rPr>
        <w:t>十四、国有资本经营预算财政拨款支出决算表</w:t>
      </w:r>
    </w:p>
    <w:p>
      <w:pPr>
        <w:widowControl/>
        <w:spacing w:line="440" w:lineRule="exact"/>
        <w:jc w:val="left"/>
        <w:rPr>
          <w:rFonts w:ascii="仿宋" w:hAnsi="仿宋" w:eastAsia="仿宋"/>
          <w:bCs/>
          <w:color w:val="auto"/>
          <w:kern w:val="44"/>
          <w:sz w:val="24"/>
          <w:highlight w:val="none"/>
        </w:rPr>
      </w:pPr>
      <w:bookmarkStart w:id="6" w:name="_Toc15396599"/>
      <w:bookmarkStart w:id="7" w:name="_Toc15377196"/>
      <w:r>
        <w:rPr>
          <w:rFonts w:ascii="仿宋" w:hAnsi="仿宋" w:eastAsia="仿宋"/>
          <w:b/>
          <w:color w:val="auto"/>
          <w:sz w:val="24"/>
          <w:highlight w:val="none"/>
        </w:rPr>
        <w:br w:type="page"/>
      </w:r>
    </w:p>
    <w:p>
      <w:pPr>
        <w:pStyle w:val="3"/>
        <w:jc w:val="center"/>
        <w:rPr>
          <w:rStyle w:val="26"/>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6"/>
          <w:rFonts w:hint="eastAsia" w:ascii="黑体" w:hAnsi="黑体" w:eastAsia="黑体"/>
          <w:b w:val="0"/>
          <w:bCs w:val="0"/>
          <w:color w:val="auto"/>
          <w:highlight w:val="none"/>
        </w:rPr>
        <w:t>概况</w:t>
      </w:r>
      <w:bookmarkEnd w:id="6"/>
      <w:bookmarkEnd w:id="7"/>
    </w:p>
    <w:p>
      <w:pPr>
        <w:widowControl/>
        <w:jc w:val="left"/>
        <w:rPr>
          <w:rFonts w:ascii="黑体" w:eastAsia="黑体"/>
          <w:color w:val="auto"/>
          <w:sz w:val="32"/>
          <w:szCs w:val="32"/>
          <w:highlight w:val="none"/>
        </w:rPr>
      </w:pPr>
    </w:p>
    <w:p>
      <w:pPr>
        <w:pStyle w:val="4"/>
        <w:numPr>
          <w:ilvl w:val="0"/>
          <w:numId w:val="1"/>
        </w:numPr>
        <w:rPr>
          <w:rStyle w:val="27"/>
          <w:rFonts w:hint="eastAsia" w:ascii="黑体" w:hAnsi="黑体" w:eastAsia="黑体"/>
          <w:b w:val="0"/>
          <w:bCs w:val="0"/>
          <w:color w:val="auto"/>
          <w:highlight w:val="none"/>
          <w:lang w:eastAsia="zh-CN"/>
        </w:rPr>
      </w:pPr>
      <w:bookmarkStart w:id="8" w:name="_Toc15377197"/>
      <w:bookmarkStart w:id="9" w:name="_Toc15396600"/>
      <w:r>
        <w:rPr>
          <w:rStyle w:val="27"/>
          <w:rFonts w:hint="eastAsia" w:ascii="黑体" w:hAnsi="黑体" w:eastAsia="黑体"/>
          <w:b w:val="0"/>
          <w:bCs w:val="0"/>
          <w:color w:val="auto"/>
          <w:highlight w:val="none"/>
        </w:rPr>
        <w:t>职能</w:t>
      </w:r>
      <w:r>
        <w:rPr>
          <w:rStyle w:val="27"/>
          <w:rFonts w:hint="eastAsia" w:ascii="黑体" w:hAnsi="黑体" w:eastAsia="黑体"/>
          <w:b w:val="0"/>
          <w:bCs w:val="0"/>
          <w:color w:val="auto"/>
          <w:highlight w:val="none"/>
          <w:lang w:eastAsia="zh-CN"/>
        </w:rPr>
        <w:t>简介</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1：负</w:t>
      </w:r>
      <w:r>
        <w:rPr>
          <w:rFonts w:hint="eastAsia" w:ascii="仿宋" w:hAnsi="仿宋" w:eastAsia="仿宋" w:cs="仿宋"/>
          <w:sz w:val="32"/>
          <w:szCs w:val="32"/>
        </w:rPr>
        <w:t xml:space="preserve">责宣传有关法律、法规和方针政策。 </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负责全区水库建设管理工作和制定水库工程日常管，管理制度、建立健全工程技术档案。 </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负责维修养护工程以及设施设备。 </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负责编制工程调度运用计划、防汛抗旱预案和年度用水计划。 </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 xml:space="preserve">负责全区水库防汛抗旱及水上安全工作。 </w:t>
      </w:r>
    </w:p>
    <w:p>
      <w:pPr>
        <w:adjustRightInd w:val="0"/>
        <w:snapToGrid w:val="0"/>
        <w:spacing w:before="93" w:beforeLines="30" w:after="100" w:afterAutospacing="1" w:line="600" w:lineRule="exact"/>
        <w:ind w:firstLine="672" w:firstLineChars="210"/>
        <w:outlineLvl w:val="2"/>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负责水资源保护和水生态建设及其其他相关事务性工作。</w:t>
      </w:r>
    </w:p>
    <w:p>
      <w:pPr>
        <w:numPr>
          <w:ilvl w:val="0"/>
          <w:numId w:val="0"/>
        </w:numPr>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lang w:val="en-US" w:eastAsia="zh-CN"/>
        </w:rPr>
        <w:t>7：</w:t>
      </w:r>
      <w:r>
        <w:rPr>
          <w:rFonts w:hint="eastAsia" w:ascii="仿宋_GB2312" w:hAnsi="仿宋" w:eastAsia="仿宋_GB2312" w:cs="Times New Roman"/>
          <w:sz w:val="32"/>
          <w:szCs w:val="32"/>
        </w:rPr>
        <w:t>完成区委、区政府交办的其他任务。</w:t>
      </w:r>
    </w:p>
    <w:p>
      <w:pPr>
        <w:bidi w:val="0"/>
        <w:rPr>
          <w:rFonts w:hint="eastAsia" w:ascii="Times New Roman" w:hAnsi="Times New Roman" w:eastAsia="宋体" w:cs="Times New Roman"/>
          <w:kern w:val="2"/>
          <w:sz w:val="21"/>
          <w:szCs w:val="24"/>
          <w:lang w:val="en-US" w:eastAsia="zh-CN" w:bidi="ar-SA"/>
        </w:rPr>
      </w:pPr>
    </w:p>
    <w:p>
      <w:pPr>
        <w:pStyle w:val="4"/>
        <w:numPr>
          <w:ilvl w:val="0"/>
          <w:numId w:val="0"/>
        </w:numPr>
        <w:rPr>
          <w:rFonts w:hint="eastAsia" w:ascii="黑体" w:hAnsi="黑体" w:eastAsia="黑体"/>
          <w:b w:val="0"/>
          <w:color w:val="auto"/>
          <w:highlight w:val="none"/>
          <w:lang w:eastAsia="zh-CN"/>
        </w:rPr>
      </w:pPr>
      <w:r>
        <w:rPr>
          <w:rFonts w:hint="eastAsia" w:ascii="黑体" w:hAnsi="黑体" w:eastAsia="黑体"/>
          <w:b w:val="0"/>
          <w:color w:val="auto"/>
          <w:highlight w:val="none"/>
          <w:lang w:val="en-US" w:eastAsia="zh-CN"/>
        </w:rPr>
        <w:t>二、2021年重点</w:t>
      </w:r>
      <w:r>
        <w:rPr>
          <w:rFonts w:hint="eastAsia" w:ascii="黑体" w:hAnsi="黑体" w:eastAsia="黑体"/>
          <w:b w:val="0"/>
          <w:color w:val="auto"/>
          <w:highlight w:val="none"/>
        </w:rPr>
        <w:t>工作</w:t>
      </w:r>
      <w:bookmarkEnd w:id="8"/>
      <w:bookmarkEnd w:id="9"/>
      <w:r>
        <w:rPr>
          <w:rFonts w:hint="eastAsia" w:ascii="黑体" w:hAnsi="黑体" w:eastAsia="黑体"/>
          <w:b w:val="0"/>
          <w:color w:val="auto"/>
          <w:highlight w:val="none"/>
          <w:lang w:eastAsia="zh-CN"/>
        </w:rPr>
        <w:t>完成情况</w:t>
      </w:r>
    </w:p>
    <w:p>
      <w:pPr>
        <w:keepNext/>
        <w:keepLines/>
        <w:pageBreakBefore w:val="0"/>
        <w:widowControl w:val="0"/>
        <w:kinsoku/>
        <w:wordWrap/>
        <w:overflowPunct/>
        <w:topLinePunct w:val="0"/>
        <w:autoSpaceDE/>
        <w:autoSpaceDN/>
        <w:bidi w:val="0"/>
        <w:adjustRightInd/>
        <w:snapToGrid/>
        <w:spacing w:before="0" w:after="0" w:line="240" w:lineRule="auto"/>
        <w:ind w:firstLine="640" w:firstLineChars="200"/>
        <w:textAlignment w:val="auto"/>
        <w:outlineLvl w:val="9"/>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000000" w:themeColor="text1"/>
          <w:kern w:val="2"/>
          <w:sz w:val="32"/>
          <w:szCs w:val="32"/>
          <w:lang w:val="zh-CN" w:eastAsia="zh-CN" w:bidi="ar-SA"/>
          <w14:textFill>
            <w14:solidFill>
              <w14:schemeClr w14:val="tx1"/>
            </w14:solidFill>
          </w14:textFill>
        </w:rPr>
        <w:t>一年来，我中心坚持贯彻水利发展总基调，在区委区政府的坚强领导下，在行业主管部门的指导与监督下，夯实工作举措，着力破解工作瓶颈，强化质量管理为核心，抓实安全生产，全力加快双峡湖水库工程及其他工程建设，工程建设有序推进。</w:t>
      </w:r>
      <w:r>
        <w:rPr>
          <w:rFonts w:hint="eastAsia" w:ascii="仿宋_GB2312" w:hAnsi="仿宋_GB2312" w:eastAsia="仿宋_GB2312" w:cs="仿宋_GB2312"/>
          <w:b w:val="0"/>
          <w:color w:val="auto"/>
          <w:kern w:val="2"/>
          <w:sz w:val="32"/>
          <w:szCs w:val="32"/>
          <w:lang w:val="zh-CN" w:eastAsia="zh-CN" w:bidi="ar-SA"/>
        </w:rPr>
        <w:t>年内实现双峡湖水库枢纽</w:t>
      </w:r>
      <w:r>
        <w:rPr>
          <w:rFonts w:hint="eastAsia" w:ascii="仿宋_GB2312" w:hAnsi="仿宋_GB2312" w:eastAsia="仿宋_GB2312" w:cs="仿宋_GB2312"/>
          <w:b w:val="0"/>
          <w:color w:val="auto"/>
          <w:kern w:val="2"/>
          <w:sz w:val="32"/>
          <w:szCs w:val="32"/>
          <w:lang w:val="en-US" w:eastAsia="zh-CN" w:bidi="ar-SA"/>
        </w:rPr>
        <w:t>3个单位工程验收；灌区实现主体工程开工建设，新（改）建进场道路3000米，小地坡隧洞全面贯通，小沟里隧洞完成开挖300米，启动龙洞背隧洞开挖，</w:t>
      </w: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干渠主管河道开展围堰施工，计划完成管道开挖1000米</w:t>
      </w:r>
      <w:r>
        <w:rPr>
          <w:rFonts w:hint="eastAsia" w:ascii="仿宋_GB2312" w:hAnsi="仿宋_GB2312" w:eastAsia="仿宋_GB2312" w:cs="仿宋_GB2312"/>
          <w:b w:val="0"/>
          <w:color w:val="auto"/>
          <w:kern w:val="2"/>
          <w:sz w:val="32"/>
          <w:szCs w:val="32"/>
          <w:lang w:val="en-US" w:eastAsia="zh-CN" w:bidi="ar-SA"/>
        </w:rPr>
        <w:t>；完成双峡湖水库库区便民桥主体建设，预计春节前可通车。双峡湖水库年度完成投资5000万元，工程建设累计完成投资3.45亿元。</w:t>
      </w:r>
      <w:r>
        <w:rPr>
          <w:rFonts w:hint="default" w:ascii="仿宋_GB2312" w:hAnsi="仿宋_GB2312" w:eastAsia="仿宋_GB2312" w:cs="仿宋_GB2312"/>
          <w:b w:val="0"/>
          <w:color w:val="auto"/>
          <w:kern w:val="2"/>
          <w:sz w:val="32"/>
          <w:szCs w:val="32"/>
          <w:lang w:val="en-US" w:eastAsia="zh-CN" w:bidi="ar-SA"/>
        </w:rPr>
        <w:t>现将</w:t>
      </w:r>
      <w:r>
        <w:rPr>
          <w:rFonts w:hint="eastAsia" w:ascii="仿宋_GB2312" w:hAnsi="仿宋_GB2312" w:eastAsia="仿宋_GB2312" w:cs="仿宋_GB2312"/>
          <w:b w:val="0"/>
          <w:color w:val="auto"/>
          <w:kern w:val="2"/>
          <w:sz w:val="32"/>
          <w:szCs w:val="32"/>
          <w:lang w:val="en-US" w:eastAsia="zh-CN" w:bidi="ar-SA"/>
        </w:rPr>
        <w:t>2020</w:t>
      </w:r>
      <w:r>
        <w:rPr>
          <w:rFonts w:hint="default" w:ascii="仿宋_GB2312" w:hAnsi="仿宋_GB2312" w:eastAsia="仿宋_GB2312" w:cs="仿宋_GB2312"/>
          <w:b w:val="0"/>
          <w:color w:val="auto"/>
          <w:kern w:val="2"/>
          <w:sz w:val="32"/>
          <w:szCs w:val="32"/>
          <w:lang w:val="en-US" w:eastAsia="zh-CN" w:bidi="ar-SA"/>
        </w:rPr>
        <w:t>年</w:t>
      </w:r>
      <w:r>
        <w:rPr>
          <w:rFonts w:hint="eastAsia" w:ascii="仿宋_GB2312" w:hAnsi="仿宋_GB2312" w:eastAsia="仿宋_GB2312" w:cs="仿宋_GB2312"/>
          <w:b w:val="0"/>
          <w:color w:val="auto"/>
          <w:kern w:val="2"/>
          <w:sz w:val="32"/>
          <w:szCs w:val="32"/>
          <w:lang w:val="en-US" w:eastAsia="zh-CN" w:bidi="ar-SA"/>
        </w:rPr>
        <w:t>各项</w:t>
      </w:r>
      <w:r>
        <w:rPr>
          <w:rFonts w:hint="default" w:ascii="仿宋_GB2312" w:hAnsi="仿宋_GB2312" w:eastAsia="仿宋_GB2312" w:cs="仿宋_GB2312"/>
          <w:b w:val="0"/>
          <w:color w:val="auto"/>
          <w:kern w:val="2"/>
          <w:sz w:val="32"/>
          <w:szCs w:val="32"/>
          <w:lang w:val="en-US" w:eastAsia="zh-CN" w:bidi="ar-SA"/>
        </w:rPr>
        <w:t>工作开展情况汇报如下</w:t>
      </w:r>
      <w:r>
        <w:rPr>
          <w:rFonts w:hint="eastAsia" w:ascii="仿宋_GB2312" w:hAnsi="仿宋_GB2312" w:eastAsia="仿宋_GB2312" w:cs="仿宋_GB2312"/>
          <w:b w:val="0"/>
          <w:color w:val="auto"/>
          <w:kern w:val="2"/>
          <w:sz w:val="32"/>
          <w:szCs w:val="32"/>
          <w:lang w:val="en-US" w:eastAsia="zh-CN" w:bidi="ar-SA"/>
        </w:rPr>
        <w:t>：</w:t>
      </w:r>
    </w:p>
    <w:p>
      <w:pPr>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1"/>
        <w:rPr>
          <w:rFonts w:hint="default" w:ascii="楷体_GB2312" w:hAnsi="楷体_GB2312" w:eastAsia="楷体_GB2312" w:cs="楷体_GB2312"/>
          <w:b w:val="0"/>
          <w:bCs w:val="0"/>
          <w:color w:val="auto"/>
          <w:kern w:val="0"/>
          <w:sz w:val="32"/>
          <w:szCs w:val="32"/>
          <w:lang w:val="en-US" w:eastAsia="zh-CN" w:bidi="ar-SA"/>
        </w:rPr>
      </w:pPr>
      <w:r>
        <w:rPr>
          <w:rFonts w:hint="eastAsia" w:ascii="楷体_GB2312" w:hAnsi="楷体_GB2312" w:eastAsia="楷体_GB2312" w:cs="楷体_GB2312"/>
          <w:b w:val="0"/>
          <w:bCs w:val="0"/>
          <w:color w:val="auto"/>
          <w:kern w:val="0"/>
          <w:sz w:val="32"/>
          <w:szCs w:val="32"/>
          <w:lang w:val="en-US" w:eastAsia="zh-CN" w:bidi="ar-SA"/>
        </w:rPr>
        <w:t>（一）压实责任，加快枢纽扫尾及验收工作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kern w:val="0"/>
          <w:sz w:val="32"/>
          <w:szCs w:val="32"/>
          <w:lang w:val="zh-CN" w:eastAsia="zh-CN"/>
        </w:rPr>
      </w:pPr>
      <w:r>
        <w:rPr>
          <w:rFonts w:hint="eastAsia" w:ascii="仿宋_GB2312" w:hAnsi="仿宋_GB2312" w:eastAsia="仿宋_GB2312" w:cs="仿宋_GB2312"/>
          <w:color w:val="auto"/>
          <w:kern w:val="2"/>
          <w:sz w:val="32"/>
          <w:szCs w:val="32"/>
          <w:lang w:val="zh-CN" w:eastAsia="zh-CN" w:bidi="ar-SA"/>
        </w:rPr>
        <w:t>一</w:t>
      </w:r>
      <w:r>
        <w:rPr>
          <w:rFonts w:hint="eastAsia" w:ascii="仿宋_GB2312" w:hAnsi="仿宋_GB2312" w:eastAsia="仿宋_GB2312" w:cs="仿宋_GB2312"/>
          <w:b/>
          <w:bCs/>
          <w:color w:val="auto"/>
          <w:kern w:val="2"/>
          <w:sz w:val="32"/>
          <w:szCs w:val="32"/>
          <w:lang w:val="zh-CN" w:eastAsia="zh-CN" w:bidi="ar-SA"/>
        </w:rPr>
        <w:t>是</w:t>
      </w:r>
      <w:r>
        <w:rPr>
          <w:rFonts w:hint="eastAsia" w:ascii="仿宋_GB2312" w:hAnsi="仿宋_GB2312" w:eastAsia="仿宋_GB2312" w:cs="仿宋_GB2312"/>
          <w:b w:val="0"/>
          <w:bCs w:val="0"/>
          <w:color w:val="auto"/>
          <w:kern w:val="2"/>
          <w:sz w:val="32"/>
          <w:szCs w:val="32"/>
          <w:lang w:val="zh-CN" w:eastAsia="zh-CN" w:bidi="ar-SA"/>
        </w:rPr>
        <w:t>聚焦目标，全面完成管理房、库区绿化、进场道路改建、渣场复垦等扫尾工作；二</w:t>
      </w:r>
      <w:r>
        <w:rPr>
          <w:rFonts w:hint="eastAsia" w:ascii="仿宋_GB2312" w:hAnsi="仿宋_GB2312" w:eastAsia="仿宋_GB2312" w:cs="仿宋_GB2312"/>
          <w:b/>
          <w:bCs/>
          <w:color w:val="auto"/>
          <w:kern w:val="0"/>
          <w:sz w:val="32"/>
          <w:szCs w:val="32"/>
          <w:lang w:val="zh-CN"/>
        </w:rPr>
        <w:t>是</w:t>
      </w:r>
      <w:r>
        <w:rPr>
          <w:rFonts w:hint="eastAsia" w:ascii="仿宋_GB2312" w:hAnsi="仿宋_GB2312" w:eastAsia="仿宋_GB2312" w:cs="仿宋_GB2312"/>
          <w:color w:val="auto"/>
          <w:kern w:val="0"/>
          <w:sz w:val="32"/>
          <w:szCs w:val="32"/>
          <w:lang w:val="zh-CN"/>
        </w:rPr>
        <w:t>着力推进验收工作，年内完成沥青混凝土心墙石渣坝、溢洪道、取水建筑物单位工程验收，验收结论及资料已报市质量监督部门备案；三</w:t>
      </w:r>
      <w:r>
        <w:rPr>
          <w:rFonts w:hint="eastAsia" w:ascii="仿宋_GB2312" w:hAnsi="仿宋_GB2312" w:eastAsia="仿宋_GB2312" w:cs="仿宋_GB2312"/>
          <w:b/>
          <w:bCs/>
          <w:color w:val="auto"/>
          <w:kern w:val="0"/>
          <w:sz w:val="32"/>
          <w:szCs w:val="32"/>
          <w:lang w:val="zh-CN"/>
        </w:rPr>
        <w:t>是</w:t>
      </w:r>
      <w:r>
        <w:rPr>
          <w:rFonts w:hint="eastAsia" w:ascii="仿宋_GB2312" w:hAnsi="仿宋_GB2312" w:eastAsia="仿宋_GB2312" w:cs="仿宋_GB2312"/>
          <w:color w:val="auto"/>
          <w:kern w:val="0"/>
          <w:sz w:val="32"/>
          <w:szCs w:val="32"/>
          <w:lang w:val="zh-CN"/>
        </w:rPr>
        <w:t>严格操作，顺利完成蓄水目标</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按照下闸蓄水计划实现三级蓄水，最高水位达</w:t>
      </w:r>
      <w:r>
        <w:rPr>
          <w:rFonts w:hint="eastAsia" w:ascii="仿宋_GB2312" w:hAnsi="仿宋_GB2312" w:eastAsia="仿宋_GB2312" w:cs="仿宋_GB2312"/>
          <w:color w:val="auto"/>
          <w:kern w:val="0"/>
          <w:sz w:val="32"/>
          <w:szCs w:val="32"/>
          <w:lang w:val="zh-CN"/>
        </w:rPr>
        <w:t>743.50m（溢洪道堰顶高程），蓄水期间，各类监测数据稳定，水库运行</w:t>
      </w:r>
      <w:r>
        <w:rPr>
          <w:rFonts w:hint="eastAsia" w:ascii="仿宋_GB2312" w:hAnsi="仿宋_GB2312" w:eastAsia="仿宋_GB2312" w:cs="仿宋_GB2312"/>
          <w:color w:val="auto"/>
          <w:kern w:val="0"/>
          <w:sz w:val="32"/>
          <w:szCs w:val="32"/>
          <w:lang w:val="en-US" w:eastAsia="zh-CN"/>
        </w:rPr>
        <w:t>正常</w:t>
      </w:r>
      <w:r>
        <w:rPr>
          <w:rFonts w:hint="eastAsia" w:ascii="仿宋_GB2312" w:hAnsi="仿宋_GB2312" w:eastAsia="仿宋_GB2312" w:cs="仿宋_GB2312"/>
          <w:color w:val="auto"/>
          <w:kern w:val="0"/>
          <w:sz w:val="32"/>
          <w:szCs w:val="32"/>
          <w:lang w:val="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1"/>
        <w:rPr>
          <w:rFonts w:hint="default" w:ascii="楷体_GB2312" w:hAnsi="楷体_GB2312" w:eastAsia="楷体_GB2312" w:cs="楷体_GB2312"/>
          <w:b w:val="0"/>
          <w:bCs w:val="0"/>
          <w:color w:val="auto"/>
          <w:kern w:val="0"/>
          <w:sz w:val="32"/>
          <w:szCs w:val="32"/>
          <w:lang w:val="en-US" w:eastAsia="zh-CN" w:bidi="ar-SA"/>
        </w:rPr>
      </w:pPr>
      <w:r>
        <w:rPr>
          <w:rFonts w:hint="eastAsia" w:ascii="楷体_GB2312" w:hAnsi="楷体_GB2312" w:eastAsia="楷体_GB2312" w:cs="楷体_GB2312"/>
          <w:b w:val="0"/>
          <w:bCs w:val="0"/>
          <w:color w:val="auto"/>
          <w:kern w:val="0"/>
          <w:sz w:val="32"/>
          <w:szCs w:val="32"/>
          <w:lang w:val="en-US" w:eastAsia="zh-CN" w:bidi="ar-SA"/>
        </w:rPr>
        <w:t>（二）精准施策，加快灌区专题审批及建设</w:t>
      </w:r>
    </w:p>
    <w:p>
      <w:pPr>
        <w:keepNext w:val="0"/>
        <w:keepLines w:val="0"/>
        <w:pageBreakBefore w:val="0"/>
        <w:widowControl w:val="0"/>
        <w:kinsoku/>
        <w:wordWrap/>
        <w:overflowPunct/>
        <w:topLinePunct w:val="0"/>
        <w:autoSpaceDE/>
        <w:autoSpaceDN/>
        <w:bidi w:val="0"/>
        <w:adjustRightInd w:val="0"/>
        <w:snapToGrid/>
        <w:spacing w:beforeAutospacing="0" w:afterAutospacing="0" w:line="240" w:lineRule="auto"/>
        <w:ind w:firstLine="640" w:firstLineChars="200"/>
        <w:textAlignment w:val="auto"/>
        <w:outlineLvl w:val="9"/>
        <w:rPr>
          <w:rFonts w:hint="default" w:ascii="Times New Roman" w:hAnsi="Times New Roman" w:eastAsia="方正小标宋简体" w:cs="Times New Roman"/>
          <w:b w:val="0"/>
          <w:bCs w:val="0"/>
          <w:color w:val="auto"/>
          <w:kern w:val="2"/>
          <w:sz w:val="32"/>
          <w:szCs w:val="32"/>
          <w:lang w:val="en-US" w:eastAsia="zh-CN" w:bidi="ar-SA"/>
        </w:rPr>
      </w:pPr>
      <w:r>
        <w:rPr>
          <w:rFonts w:hint="eastAsia" w:ascii="仿宋_GB2312" w:hAnsi="仿宋_GB2312" w:eastAsia="仿宋_GB2312" w:cs="仿宋_GB2312"/>
          <w:color w:val="auto"/>
          <w:kern w:val="0"/>
          <w:sz w:val="32"/>
          <w:szCs w:val="32"/>
          <w:lang w:val="en-US" w:eastAsia="zh-CN"/>
        </w:rPr>
        <w:t>一</w:t>
      </w:r>
      <w:r>
        <w:rPr>
          <w:rFonts w:hint="eastAsia" w:ascii="仿宋_GB2312" w:hAnsi="仿宋_GB2312" w:eastAsia="仿宋_GB2312" w:cs="仿宋_GB2312"/>
          <w:b/>
          <w:bCs/>
          <w:color w:val="auto"/>
          <w:kern w:val="0"/>
          <w:sz w:val="32"/>
          <w:szCs w:val="32"/>
          <w:lang w:val="en-US" w:eastAsia="zh-CN"/>
        </w:rPr>
        <w:t>是</w:t>
      </w:r>
      <w:r>
        <w:rPr>
          <w:rFonts w:hint="eastAsia" w:ascii="仿宋_GB2312" w:hAnsi="仿宋_GB2312" w:eastAsia="仿宋_GB2312" w:cs="仿宋_GB2312"/>
          <w:b w:val="0"/>
          <w:bCs w:val="0"/>
          <w:color w:val="auto"/>
          <w:kern w:val="0"/>
          <w:sz w:val="32"/>
          <w:szCs w:val="32"/>
          <w:lang w:val="en-US" w:eastAsia="zh-CN"/>
        </w:rPr>
        <w:t>落实责任，</w:t>
      </w:r>
      <w:r>
        <w:rPr>
          <w:rFonts w:hint="eastAsia" w:ascii="仿宋_GB2312" w:hAnsi="仿宋_GB2312" w:eastAsia="仿宋_GB2312" w:cs="仿宋_GB2312"/>
          <w:color w:val="auto"/>
          <w:kern w:val="0"/>
          <w:sz w:val="32"/>
          <w:szCs w:val="32"/>
          <w:lang w:val="en-US" w:eastAsia="zh-CN"/>
        </w:rPr>
        <w:t>强化沟通协调，深入推进各类专题审批，顺利取得土地预审、文物、林业、社会稳定风险评估、风景名胜区、环保。二</w:t>
      </w:r>
      <w:r>
        <w:rPr>
          <w:rFonts w:hint="eastAsia" w:ascii="仿宋_GB2312" w:hAnsi="仿宋_GB2312" w:eastAsia="仿宋_GB2312" w:cs="仿宋_GB2312"/>
          <w:b/>
          <w:bCs/>
          <w:color w:val="auto"/>
          <w:kern w:val="0"/>
          <w:sz w:val="32"/>
          <w:szCs w:val="32"/>
          <w:lang w:val="en-US" w:eastAsia="zh-CN"/>
        </w:rPr>
        <w:t>是</w:t>
      </w:r>
      <w:r>
        <w:rPr>
          <w:rFonts w:hint="eastAsia" w:ascii="仿宋_GB2312" w:hAnsi="仿宋_GB2312" w:eastAsia="仿宋_GB2312" w:cs="仿宋_GB2312"/>
          <w:b w:val="0"/>
          <w:bCs w:val="0"/>
          <w:color w:val="auto"/>
          <w:kern w:val="0"/>
          <w:sz w:val="32"/>
          <w:szCs w:val="32"/>
          <w:lang w:val="en-US" w:eastAsia="zh-CN"/>
        </w:rPr>
        <w:t>健全体系，规范招投标活动</w:t>
      </w:r>
      <w:r>
        <w:rPr>
          <w:rFonts w:hint="eastAsia" w:ascii="仿宋_GB2312" w:hAnsi="仿宋_GB2312" w:eastAsia="仿宋_GB2312" w:cs="仿宋_GB2312"/>
          <w:color w:val="auto"/>
          <w:kern w:val="0"/>
          <w:sz w:val="32"/>
          <w:szCs w:val="32"/>
          <w:lang w:val="en-US" w:eastAsia="zh-CN"/>
        </w:rPr>
        <w:t>。积极对接概算、代理及财评机构，高效完成招标控制价、技术条款及招标文件编制及财评，顺利完成监理、施工、设备等6个标段的招标工作</w:t>
      </w:r>
      <w:r>
        <w:rPr>
          <w:rFonts w:hint="eastAsia" w:ascii="仿宋_GB2312" w:hAnsi="仿宋_GB2312" w:eastAsia="仿宋_GB2312" w:cs="仿宋_GB2312"/>
          <w:color w:val="auto"/>
          <w:kern w:val="0"/>
          <w:sz w:val="32"/>
          <w:szCs w:val="32"/>
          <w:lang w:val="en-US" w:eastAsia="zh-CN" w:bidi="ar-SA"/>
        </w:rPr>
        <w:t>。三</w:t>
      </w:r>
      <w:r>
        <w:rPr>
          <w:rFonts w:hint="eastAsia" w:ascii="仿宋_GB2312" w:hAnsi="仿宋_GB2312" w:eastAsia="仿宋_GB2312" w:cs="仿宋_GB2312"/>
          <w:b/>
          <w:bCs/>
          <w:color w:val="auto"/>
          <w:kern w:val="0"/>
          <w:sz w:val="32"/>
          <w:szCs w:val="32"/>
          <w:lang w:val="en-US" w:eastAsia="zh-CN" w:bidi="ar-SA"/>
        </w:rPr>
        <w:t>是</w:t>
      </w:r>
      <w:r>
        <w:rPr>
          <w:rFonts w:hint="eastAsia" w:ascii="仿宋_GB2312" w:hAnsi="仿宋_GB2312" w:eastAsia="仿宋_GB2312" w:cs="仿宋_GB2312"/>
          <w:color w:val="auto"/>
          <w:kern w:val="0"/>
          <w:sz w:val="32"/>
          <w:szCs w:val="32"/>
          <w:lang w:val="en-US" w:eastAsia="zh-CN" w:bidi="ar-SA"/>
        </w:rPr>
        <w:t>围绕重点，持续推进征地补偿工作，加快灌区工程施工，新（改）建进场道路3000米，年内小沟里隧洞开挖完成300米，实现小地坡隧洞（414米）贯通及支护，龙洞背隧洞完成开挖300余米，隧洞开挖累计实现1公里以上。</w:t>
      </w:r>
    </w:p>
    <w:p>
      <w:pPr>
        <w:rPr>
          <w:rFonts w:hint="eastAsia"/>
        </w:rPr>
      </w:pPr>
    </w:p>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numPr>
          <w:ilvl w:val="0"/>
          <w:numId w:val="2"/>
        </w:numPr>
        <w:ind w:right="440"/>
        <w:jc w:val="center"/>
        <w:rPr>
          <w:rStyle w:val="26"/>
          <w:rFonts w:hint="eastAsia" w:ascii="黑体" w:hAnsi="黑体" w:eastAsia="黑体"/>
          <w:b w:val="0"/>
          <w:bCs/>
          <w:color w:val="auto"/>
          <w:highlight w:val="none"/>
        </w:rPr>
      </w:pPr>
      <w:bookmarkStart w:id="10" w:name="_Toc15396602"/>
      <w:bookmarkStart w:id="11" w:name="_Toc15377204"/>
      <w:r>
        <w:rPr>
          <w:rFonts w:hint="eastAsia" w:ascii="黑体" w:hAnsi="黑体" w:eastAsia="黑体"/>
          <w:b w:val="0"/>
          <w:bCs/>
          <w:color w:val="auto"/>
          <w:highlight w:val="none"/>
          <w:lang w:val="en-US" w:eastAsia="zh-CN"/>
        </w:rPr>
        <w:t>2021年度</w:t>
      </w:r>
      <w:r>
        <w:rPr>
          <w:rStyle w:val="26"/>
          <w:rFonts w:hint="eastAsia" w:ascii="黑体" w:hAnsi="黑体" w:eastAsia="黑体"/>
          <w:b w:val="0"/>
          <w:bCs/>
          <w:color w:val="auto"/>
          <w:highlight w:val="none"/>
          <w:lang w:eastAsia="zh-CN"/>
        </w:rPr>
        <w:t>单位</w:t>
      </w:r>
      <w:r>
        <w:rPr>
          <w:rStyle w:val="26"/>
          <w:rFonts w:hint="eastAsia" w:ascii="黑体" w:hAnsi="黑体" w:eastAsia="黑体"/>
          <w:b w:val="0"/>
          <w:bCs/>
          <w:color w:val="auto"/>
          <w:highlight w:val="none"/>
        </w:rPr>
        <w:t>决算情况说明</w:t>
      </w:r>
      <w:bookmarkEnd w:id="10"/>
      <w:bookmarkEnd w:id="11"/>
      <w:bookmarkStart w:id="12" w:name="_Toc15377205"/>
      <w:bookmarkStart w:id="13" w:name="_Toc15396603"/>
    </w:p>
    <w:p>
      <w:pPr>
        <w:pStyle w:val="3"/>
        <w:numPr>
          <w:ilvl w:val="0"/>
          <w:numId w:val="3"/>
        </w:numPr>
        <w:ind w:right="440" w:rightChars="0" w:firstLine="643" w:firstLineChars="200"/>
        <w:jc w:val="both"/>
        <w:rPr>
          <w:rFonts w:hint="eastAsia" w:ascii="仿宋" w:hAnsi="仿宋" w:eastAsia="仿宋"/>
          <w:color w:val="auto"/>
          <w:sz w:val="32"/>
          <w:szCs w:val="32"/>
          <w:highlight w:val="none"/>
        </w:rPr>
      </w:pPr>
      <w:r>
        <w:rPr>
          <w:rFonts w:hint="eastAsia" w:ascii="黑体" w:hAnsi="黑体" w:eastAsia="黑体"/>
          <w:color w:val="auto"/>
          <w:sz w:val="32"/>
          <w:szCs w:val="32"/>
          <w:highlight w:val="none"/>
        </w:rPr>
        <w:t>收</w:t>
      </w:r>
      <w:r>
        <w:rPr>
          <w:rStyle w:val="27"/>
          <w:rFonts w:hint="eastAsia" w:ascii="黑体" w:hAnsi="黑体" w:eastAsia="黑体"/>
          <w:b w:val="0"/>
          <w:bCs/>
          <w:color w:val="auto"/>
          <w:highlight w:val="none"/>
        </w:rPr>
        <w:t>入支出决算总体情况说明</w:t>
      </w:r>
      <w:bookmarkEnd w:id="12"/>
      <w:bookmarkEnd w:id="13"/>
    </w:p>
    <w:p>
      <w:pPr>
        <w:pStyle w:val="3"/>
        <w:numPr>
          <w:ilvl w:val="0"/>
          <w:numId w:val="0"/>
        </w:numPr>
        <w:ind w:right="440" w:rightChars="0" w:firstLine="640" w:firstLineChars="200"/>
        <w:jc w:val="both"/>
        <w:rPr>
          <w:rFonts w:hint="eastAsia" w:ascii="仿宋" w:hAnsi="仿宋" w:eastAsia="仿宋" w:cs="Times New Roman"/>
          <w:b w:val="0"/>
          <w:bCs w:val="0"/>
          <w:color w:val="auto"/>
          <w:kern w:val="2"/>
          <w:sz w:val="32"/>
          <w:szCs w:val="32"/>
          <w:highlight w:val="none"/>
          <w:lang w:val="en-US" w:eastAsia="zh-CN" w:bidi="ar-SA"/>
        </w:rPr>
      </w:pPr>
      <w:r>
        <w:rPr>
          <w:rFonts w:hint="eastAsia" w:ascii="仿宋" w:hAnsi="仿宋" w:eastAsia="仿宋" w:cs="Times New Roman"/>
          <w:b w:val="0"/>
          <w:bCs w:val="0"/>
          <w:color w:val="auto"/>
          <w:kern w:val="2"/>
          <w:sz w:val="32"/>
          <w:szCs w:val="32"/>
          <w:highlight w:val="none"/>
          <w:lang w:val="en-US" w:eastAsia="zh-CN" w:bidi="ar-SA"/>
        </w:rPr>
        <w:t>2021年度收61.68万元、支2880.72万元。与2020年相比，收6060.1万元、支2100.8万元，收下降9725%；支增长27.07%，主要变动原因2021年度收入减少。</w:t>
      </w:r>
    </w:p>
    <w:p>
      <w:pPr>
        <w:pStyle w:val="3"/>
        <w:numPr>
          <w:ilvl w:val="0"/>
          <w:numId w:val="0"/>
        </w:numPr>
        <w:ind w:right="440" w:rightChars="0" w:firstLine="640" w:firstLineChars="200"/>
        <w:jc w:val="both"/>
        <w:rPr>
          <w:rFonts w:hint="eastAsia" w:ascii="仿宋" w:hAnsi="仿宋" w:eastAsia="仿宋" w:cs="Times New Roman"/>
          <w:b w:val="0"/>
          <w:bCs w:val="0"/>
          <w:color w:val="auto"/>
          <w:kern w:val="2"/>
          <w:sz w:val="32"/>
          <w:szCs w:val="32"/>
          <w:highlight w:val="none"/>
          <w:lang w:val="en-US" w:eastAsia="zh-CN" w:bidi="ar-SA"/>
        </w:rPr>
      </w:pPr>
      <w:r>
        <w:rPr>
          <w:rFonts w:hint="eastAsia" w:ascii="仿宋" w:hAnsi="仿宋" w:eastAsia="仿宋" w:cs="Times New Roman"/>
          <w:b w:val="0"/>
          <w:bCs w:val="0"/>
          <w:color w:val="auto"/>
          <w:kern w:val="2"/>
          <w:sz w:val="32"/>
          <w:szCs w:val="32"/>
          <w:highlight w:val="none"/>
          <w:lang w:val="en-US" w:eastAsia="zh-CN" w:bidi="ar-SA"/>
        </w:rPr>
        <w:t>（图1：收、支决算总计变动情况图）（柱状图）</w:t>
      </w:r>
    </w:p>
    <w:p>
      <w:pPr>
        <w:rPr>
          <w:rFonts w:hint="eastAsia"/>
          <w:lang w:val="en-US" w:eastAsia="zh-CN"/>
        </w:rPr>
      </w:pPr>
    </w:p>
    <w:p>
      <w:pPr>
        <w:pStyle w:val="13"/>
        <w:rPr>
          <w:rFonts w:hint="eastAsia" w:eastAsia="宋体"/>
          <w:lang w:eastAsia="zh-CN"/>
        </w:rPr>
      </w:pPr>
      <w:r>
        <w:rPr>
          <w:rFonts w:hint="eastAsia" w:eastAsia="宋体"/>
          <w:lang w:eastAsia="zh-CN"/>
        </w:rPr>
        <w:drawing>
          <wp:inline distT="0" distB="0" distL="114300" distR="114300">
            <wp:extent cx="5383530" cy="3513455"/>
            <wp:effectExtent l="4445" t="4445" r="22225" b="635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5"/>
        <w:numPr>
          <w:ilvl w:val="0"/>
          <w:numId w:val="0"/>
        </w:numPr>
        <w:spacing w:line="600" w:lineRule="exact"/>
        <w:ind w:firstLine="640" w:firstLineChars="200"/>
        <w:outlineLvl w:val="1"/>
        <w:rPr>
          <w:rStyle w:val="27"/>
          <w:rFonts w:ascii="黑体" w:hAnsi="黑体" w:eastAsia="黑体"/>
          <w:b w:val="0"/>
          <w:color w:val="auto"/>
          <w:highlight w:val="none"/>
        </w:rPr>
      </w:pPr>
      <w:bookmarkStart w:id="14" w:name="_Toc15396604"/>
      <w:bookmarkStart w:id="15" w:name="_Toc15377206"/>
      <w:r>
        <w:rPr>
          <w:rFonts w:hint="eastAsia" w:ascii="黑体" w:hAnsi="黑体" w:eastAsia="黑体"/>
          <w:color w:val="auto"/>
          <w:sz w:val="32"/>
          <w:szCs w:val="32"/>
          <w:highlight w:val="none"/>
          <w:lang w:eastAsia="zh-CN"/>
        </w:rPr>
        <w:t>二、</w:t>
      </w:r>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入决算情况说明</w:t>
      </w:r>
      <w:bookmarkEnd w:id="14"/>
      <w:bookmarkEnd w:id="15"/>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61.68</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61.68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3" w:firstLineChars="200"/>
        <w:outlineLvl w:val="1"/>
        <w:rPr>
          <w:rFonts w:ascii="仿宋" w:hAnsi="仿宋" w:eastAsia="仿宋"/>
          <w:b/>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（图2：收入决算结构图）（饼状图）</w:t>
      </w:r>
    </w:p>
    <w:p>
      <w:pPr>
        <w:pStyle w:val="13"/>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drawing>
          <wp:inline distT="0" distB="0" distL="114300" distR="114300">
            <wp:extent cx="4068445" cy="2600960"/>
            <wp:effectExtent l="4445" t="4445" r="22860" b="2349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5"/>
        <w:numPr>
          <w:ilvl w:val="0"/>
          <w:numId w:val="0"/>
        </w:numPr>
        <w:spacing w:line="600" w:lineRule="exact"/>
        <w:ind w:left="640" w:leftChars="0"/>
        <w:outlineLvl w:val="1"/>
        <w:rPr>
          <w:rStyle w:val="27"/>
          <w:rFonts w:ascii="黑体" w:hAnsi="黑体" w:eastAsia="黑体"/>
          <w:b w:val="0"/>
          <w:color w:val="auto"/>
          <w:highlight w:val="none"/>
        </w:rPr>
      </w:pPr>
      <w:bookmarkStart w:id="16" w:name="_Toc15396605"/>
      <w:bookmarkStart w:id="17" w:name="_Toc15377207"/>
      <w:r>
        <w:rPr>
          <w:rFonts w:hint="eastAsia" w:ascii="黑体" w:hAnsi="黑体" w:eastAsia="黑体"/>
          <w:color w:val="auto"/>
          <w:sz w:val="32"/>
          <w:szCs w:val="32"/>
          <w:highlight w:val="none"/>
          <w:lang w:eastAsia="zh-CN"/>
        </w:rPr>
        <w:t>三、</w:t>
      </w:r>
      <w:r>
        <w:rPr>
          <w:rFonts w:hint="eastAsia" w:ascii="黑体" w:hAnsi="黑体" w:eastAsia="黑体"/>
          <w:color w:val="auto"/>
          <w:sz w:val="32"/>
          <w:szCs w:val="32"/>
          <w:highlight w:val="none"/>
        </w:rPr>
        <w:t>支</w:t>
      </w:r>
      <w:r>
        <w:rPr>
          <w:rStyle w:val="27"/>
          <w:rFonts w:hint="eastAsia" w:ascii="黑体" w:hAnsi="黑体" w:eastAsia="黑体"/>
          <w:b w:val="0"/>
          <w:color w:val="auto"/>
          <w:highlight w:val="none"/>
        </w:rPr>
        <w:t>出决算情况说明</w:t>
      </w:r>
      <w:bookmarkEnd w:id="16"/>
      <w:bookmarkEnd w:id="17"/>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2880.72</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56.28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2824.44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rPr>
          <w:rFonts w:hint="eastAsia" w:ascii="黑体" w:hAnsi="黑体" w:eastAsia="黑体"/>
          <w:color w:val="auto"/>
          <w:sz w:val="32"/>
          <w:szCs w:val="32"/>
          <w:highlight w:val="none"/>
        </w:rPr>
      </w:pPr>
      <w:r>
        <w:rPr>
          <w:rFonts w:hint="eastAsia" w:ascii="仿宋" w:hAnsi="仿宋" w:eastAsia="仿宋"/>
          <w:color w:val="auto"/>
          <w:sz w:val="32"/>
          <w:szCs w:val="32"/>
          <w:highlight w:val="none"/>
        </w:rPr>
        <w:t>（图3：支出决算结构图）（饼状图）</w:t>
      </w:r>
      <w:bookmarkStart w:id="18" w:name="_Toc15396606"/>
      <w:bookmarkStart w:id="19" w:name="_Toc15377208"/>
    </w:p>
    <w:p>
      <w:pPr>
        <w:pStyle w:val="13"/>
        <w:ind w:left="0" w:leftChars="0" w:firstLine="0" w:firstLineChars="0"/>
        <w:jc w:val="both"/>
        <w:rPr>
          <w:rFonts w:hint="eastAsia" w:ascii="黑体" w:hAnsi="黑体" w:eastAsia="黑体"/>
          <w:color w:val="auto"/>
          <w:sz w:val="32"/>
          <w:szCs w:val="32"/>
          <w:highlight w:val="none"/>
        </w:rPr>
      </w:pPr>
      <w:r>
        <w:rPr>
          <w:rFonts w:hint="eastAsia" w:ascii="黑体" w:hAnsi="黑体" w:eastAsia="黑体"/>
          <w:color w:val="auto"/>
          <w:sz w:val="32"/>
          <w:szCs w:val="32"/>
          <w:highlight w:val="none"/>
          <w:lang w:eastAsia="zh-CN"/>
        </w:rPr>
        <w:drawing>
          <wp:inline distT="0" distB="0" distL="114300" distR="114300">
            <wp:extent cx="5175250" cy="1933575"/>
            <wp:effectExtent l="4445" t="4445" r="20955" b="508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Style w:val="27"/>
          <w:rFonts w:ascii="黑体" w:hAnsi="黑体" w:eastAsia="黑体"/>
          <w:b w:val="0"/>
          <w:color w:val="auto"/>
          <w:highlight w:val="none"/>
        </w:rPr>
      </w:pPr>
      <w:r>
        <w:rPr>
          <w:rFonts w:hint="eastAsia" w:ascii="黑体" w:hAnsi="黑体" w:eastAsia="黑体"/>
          <w:color w:val="auto"/>
          <w:sz w:val="32"/>
          <w:szCs w:val="32"/>
          <w:highlight w:val="none"/>
        </w:rPr>
        <w:t>四、财</w:t>
      </w:r>
      <w:r>
        <w:rPr>
          <w:rStyle w:val="27"/>
          <w:rFonts w:hint="eastAsia" w:ascii="黑体" w:hAnsi="黑体" w:eastAsia="黑体"/>
          <w:b w:val="0"/>
          <w:color w:val="auto"/>
          <w:highlight w:val="none"/>
        </w:rPr>
        <w:t>政拨款收入支出决算总体情况说明</w:t>
      </w:r>
      <w:bookmarkEnd w:id="18"/>
      <w:bookmarkEnd w:id="19"/>
    </w:p>
    <w:p>
      <w:pPr>
        <w:spacing w:line="600" w:lineRule="exact"/>
        <w:ind w:firstLine="640" w:firstLineChars="200"/>
        <w:rPr>
          <w:rFonts w:ascii="仿宋" w:hAnsi="仿宋" w:eastAsia="仿宋"/>
          <w:b/>
          <w:color w:val="auto"/>
          <w:sz w:val="32"/>
          <w:szCs w:val="32"/>
          <w:highlight w:val="none"/>
        </w:rPr>
      </w:pPr>
      <w:r>
        <w:rPr>
          <w:rFonts w:hint="eastAsia" w:ascii="仿宋" w:hAnsi="仿宋" w:eastAsia="仿宋" w:cs="Times New Roman"/>
          <w:sz w:val="32"/>
          <w:szCs w:val="32"/>
        </w:rPr>
        <w:t>202</w:t>
      </w:r>
      <w:r>
        <w:rPr>
          <w:rFonts w:hint="eastAsia" w:ascii="仿宋" w:hAnsi="仿宋" w:eastAsia="仿宋" w:cs="Times New Roman"/>
          <w:sz w:val="32"/>
          <w:szCs w:val="32"/>
          <w:lang w:val="en-US" w:eastAsia="zh-CN"/>
        </w:rPr>
        <w:t>1</w:t>
      </w:r>
      <w:r>
        <w:rPr>
          <w:rFonts w:hint="eastAsia" w:ascii="仿宋" w:hAnsi="仿宋" w:eastAsia="仿宋" w:cs="Times New Roman"/>
          <w:sz w:val="32"/>
          <w:szCs w:val="32"/>
        </w:rPr>
        <w:t>年度收</w:t>
      </w:r>
      <w:r>
        <w:rPr>
          <w:rFonts w:hint="eastAsia" w:ascii="仿宋" w:hAnsi="仿宋" w:eastAsia="仿宋" w:cs="Times New Roman"/>
          <w:sz w:val="32"/>
          <w:szCs w:val="32"/>
          <w:lang w:val="en-US" w:eastAsia="zh-CN"/>
        </w:rPr>
        <w:t>61.68万元</w:t>
      </w:r>
      <w:r>
        <w:rPr>
          <w:rFonts w:hint="eastAsia" w:ascii="仿宋" w:hAnsi="仿宋" w:eastAsia="仿宋" w:cs="Times New Roman"/>
          <w:sz w:val="32"/>
          <w:szCs w:val="32"/>
        </w:rPr>
        <w:t>、支</w:t>
      </w:r>
      <w:r>
        <w:rPr>
          <w:rFonts w:hint="eastAsia" w:ascii="仿宋" w:hAnsi="仿宋" w:eastAsia="仿宋" w:cs="Times New Roman"/>
          <w:sz w:val="32"/>
          <w:szCs w:val="32"/>
          <w:lang w:val="en-US" w:eastAsia="zh-CN"/>
        </w:rPr>
        <w:t>2880.72</w:t>
      </w:r>
      <w:r>
        <w:rPr>
          <w:rFonts w:hint="eastAsia" w:ascii="仿宋" w:hAnsi="仿宋" w:eastAsia="仿宋" w:cs="Times New Roman"/>
          <w:sz w:val="32"/>
          <w:szCs w:val="32"/>
        </w:rPr>
        <w:t>万元。与20</w:t>
      </w:r>
      <w:r>
        <w:rPr>
          <w:rFonts w:hint="eastAsia" w:ascii="仿宋" w:hAnsi="仿宋" w:eastAsia="仿宋" w:cs="Times New Roman"/>
          <w:sz w:val="32"/>
          <w:szCs w:val="32"/>
          <w:lang w:val="en-US" w:eastAsia="zh-CN"/>
        </w:rPr>
        <w:t>20</w:t>
      </w:r>
      <w:r>
        <w:rPr>
          <w:rFonts w:hint="eastAsia" w:ascii="仿宋" w:hAnsi="仿宋" w:eastAsia="仿宋" w:cs="Times New Roman"/>
          <w:sz w:val="32"/>
          <w:szCs w:val="32"/>
        </w:rPr>
        <w:t>年相比，收</w:t>
      </w:r>
      <w:r>
        <w:rPr>
          <w:rFonts w:hint="eastAsia" w:ascii="仿宋" w:hAnsi="仿宋" w:eastAsia="仿宋" w:cs="Times New Roman"/>
          <w:sz w:val="32"/>
          <w:szCs w:val="32"/>
          <w:lang w:val="en-US" w:eastAsia="zh-CN"/>
        </w:rPr>
        <w:t>6060.1万元</w:t>
      </w:r>
      <w:r>
        <w:rPr>
          <w:rFonts w:hint="eastAsia" w:ascii="仿宋" w:hAnsi="仿宋" w:eastAsia="仿宋" w:cs="Times New Roman"/>
          <w:sz w:val="32"/>
          <w:szCs w:val="32"/>
        </w:rPr>
        <w:t>、支</w:t>
      </w:r>
      <w:r>
        <w:rPr>
          <w:rFonts w:hint="eastAsia" w:ascii="仿宋" w:hAnsi="仿宋" w:eastAsia="仿宋" w:cs="Times New Roman"/>
          <w:sz w:val="32"/>
          <w:szCs w:val="32"/>
          <w:lang w:val="en-US" w:eastAsia="zh-CN"/>
        </w:rPr>
        <w:t>2100.8</w:t>
      </w:r>
      <w:r>
        <w:rPr>
          <w:rFonts w:hint="eastAsia" w:ascii="仿宋" w:hAnsi="仿宋" w:eastAsia="仿宋" w:cs="Times New Roman"/>
          <w:sz w:val="32"/>
          <w:szCs w:val="32"/>
        </w:rPr>
        <w:t>万元，</w:t>
      </w:r>
      <w:r>
        <w:rPr>
          <w:rFonts w:hint="eastAsia" w:ascii="仿宋" w:hAnsi="仿宋" w:eastAsia="仿宋" w:cs="Times New Roman"/>
          <w:sz w:val="32"/>
          <w:szCs w:val="32"/>
          <w:lang w:eastAsia="zh-CN"/>
        </w:rPr>
        <w:t>收</w:t>
      </w:r>
      <w:r>
        <w:rPr>
          <w:rFonts w:hint="eastAsia" w:ascii="仿宋" w:hAnsi="仿宋" w:eastAsia="仿宋" w:cs="Times New Roman"/>
          <w:sz w:val="32"/>
          <w:szCs w:val="32"/>
        </w:rPr>
        <w:t>下降</w:t>
      </w:r>
      <w:r>
        <w:rPr>
          <w:rFonts w:hint="eastAsia" w:ascii="仿宋" w:hAnsi="仿宋" w:eastAsia="仿宋" w:cs="Times New Roman"/>
          <w:sz w:val="32"/>
          <w:szCs w:val="32"/>
          <w:lang w:val="en-US" w:eastAsia="zh-CN"/>
        </w:rPr>
        <w:t>9725</w:t>
      </w:r>
      <w:r>
        <w:rPr>
          <w:rFonts w:hint="eastAsia" w:ascii="仿宋" w:hAnsi="仿宋" w:eastAsia="仿宋" w:cs="Times New Roman"/>
          <w:sz w:val="32"/>
          <w:szCs w:val="32"/>
        </w:rPr>
        <w:t>%</w:t>
      </w:r>
      <w:r>
        <w:rPr>
          <w:rFonts w:hint="eastAsia" w:ascii="仿宋" w:hAnsi="仿宋" w:eastAsia="仿宋" w:cs="Times New Roman"/>
          <w:sz w:val="32"/>
          <w:szCs w:val="32"/>
          <w:lang w:eastAsia="zh-CN"/>
        </w:rPr>
        <w:t>；支增长</w:t>
      </w:r>
      <w:r>
        <w:rPr>
          <w:rFonts w:hint="eastAsia" w:ascii="仿宋" w:hAnsi="仿宋" w:eastAsia="仿宋" w:cs="Times New Roman"/>
          <w:sz w:val="32"/>
          <w:szCs w:val="32"/>
          <w:lang w:val="en-US" w:eastAsia="zh-CN"/>
        </w:rPr>
        <w:t>27.07%，</w:t>
      </w:r>
      <w:r>
        <w:rPr>
          <w:rFonts w:hint="eastAsia" w:ascii="仿宋" w:hAnsi="仿宋" w:eastAsia="仿宋" w:cs="Times New Roman"/>
          <w:sz w:val="32"/>
          <w:szCs w:val="32"/>
        </w:rPr>
        <w:t>主要变动原因</w:t>
      </w:r>
      <w:r>
        <w:rPr>
          <w:rFonts w:hint="eastAsia" w:ascii="仿宋" w:hAnsi="仿宋" w:eastAsia="仿宋" w:cs="Times New Roman"/>
          <w:sz w:val="32"/>
          <w:szCs w:val="32"/>
          <w:lang w:val="en-US" w:eastAsia="zh-CN"/>
        </w:rPr>
        <w:t>2021年度收入减少。</w:t>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pStyle w:val="13"/>
      </w:pPr>
      <w:r>
        <w:rPr>
          <w:rFonts w:hint="eastAsia" w:eastAsia="宋体"/>
          <w:lang w:eastAsia="zh-CN"/>
        </w:rPr>
        <w:drawing>
          <wp:inline distT="0" distB="0" distL="114300" distR="114300">
            <wp:extent cx="5080000" cy="3810000"/>
            <wp:effectExtent l="4445" t="4445" r="20955" b="1460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27"/>
          <w:rFonts w:ascii="黑体" w:hAnsi="黑体" w:eastAsia="黑体"/>
          <w:b w:val="0"/>
          <w:color w:val="auto"/>
          <w:highlight w:val="none"/>
        </w:rPr>
      </w:pPr>
      <w:bookmarkStart w:id="20" w:name="_Toc15377209"/>
      <w:bookmarkStart w:id="21"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般公共预算财政拨款支出决算情况说明</w:t>
      </w:r>
      <w:bookmarkEnd w:id="20"/>
      <w:bookmarkEnd w:id="21"/>
    </w:p>
    <w:p>
      <w:pPr>
        <w:spacing w:line="600" w:lineRule="exact"/>
        <w:ind w:firstLine="643" w:firstLineChars="200"/>
        <w:outlineLvl w:val="2"/>
        <w:rPr>
          <w:rFonts w:ascii="仿宋" w:hAnsi="仿宋" w:eastAsia="仿宋"/>
          <w:b/>
          <w:color w:val="auto"/>
          <w:sz w:val="32"/>
          <w:szCs w:val="32"/>
          <w:highlight w:val="none"/>
        </w:rPr>
      </w:pPr>
      <w:bookmarkStart w:id="22" w:name="_Toc15377210"/>
      <w:r>
        <w:rPr>
          <w:rFonts w:hint="eastAsia" w:ascii="仿宋" w:hAnsi="仿宋" w:eastAsia="仿宋"/>
          <w:b/>
          <w:color w:val="auto"/>
          <w:sz w:val="32"/>
          <w:szCs w:val="32"/>
          <w:highlight w:val="none"/>
        </w:rPr>
        <w:t>（一）一般公共预算财政拨款支出决算总体情况</w:t>
      </w:r>
      <w:bookmarkEnd w:id="22"/>
    </w:p>
    <w:p>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2880.72</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支出增加</w:t>
      </w:r>
      <w:r>
        <w:rPr>
          <w:rFonts w:hint="eastAsia" w:ascii="仿宋" w:hAnsi="仿宋" w:eastAsia="仿宋"/>
          <w:color w:val="auto"/>
          <w:sz w:val="32"/>
          <w:szCs w:val="32"/>
          <w:highlight w:val="none"/>
          <w:lang w:val="en-US" w:eastAsia="zh-CN"/>
        </w:rPr>
        <w:t>1320.88</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上升</w:t>
      </w:r>
      <w:r>
        <w:rPr>
          <w:rFonts w:hint="eastAsia" w:ascii="仿宋" w:hAnsi="仿宋" w:eastAsia="仿宋"/>
          <w:color w:val="auto"/>
          <w:sz w:val="32"/>
          <w:szCs w:val="32"/>
          <w:highlight w:val="none"/>
          <w:lang w:val="en-US" w:eastAsia="zh-CN"/>
        </w:rPr>
        <w:t>27</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w:t>
      </w:r>
      <w:r>
        <w:rPr>
          <w:rFonts w:hint="eastAsia" w:ascii="仿宋" w:hAnsi="仿宋" w:eastAsia="仿宋" w:cs="Times New Roman"/>
          <w:sz w:val="32"/>
          <w:szCs w:val="32"/>
          <w:lang w:eastAsia="zh-CN"/>
        </w:rPr>
        <w:t>水利工程建设资金支出增加、</w:t>
      </w:r>
    </w:p>
    <w:p>
      <w:pPr>
        <w:spacing w:line="600" w:lineRule="exac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pPr>
        <w:pStyle w:val="13"/>
      </w:pPr>
      <w:r>
        <w:rPr>
          <w:rFonts w:hint="eastAsia" w:ascii="仿宋" w:hAnsi="仿宋" w:eastAsia="仿宋" w:cs="Times New Roman"/>
          <w:color w:val="000000"/>
          <w:sz w:val="32"/>
          <w:szCs w:val="32"/>
        </w:rPr>
        <w:drawing>
          <wp:anchor distT="0" distB="0" distL="114300" distR="114300" simplePos="0" relativeHeight="251659264" behindDoc="0" locked="0" layoutInCell="1" allowOverlap="1">
            <wp:simplePos x="0" y="0"/>
            <wp:positionH relativeFrom="margin">
              <wp:posOffset>323850</wp:posOffset>
            </wp:positionH>
            <wp:positionV relativeFrom="paragraph">
              <wp:posOffset>47625</wp:posOffset>
            </wp:positionV>
            <wp:extent cx="4991100" cy="2276475"/>
            <wp:effectExtent l="4445" t="4445" r="14605" b="5080"/>
            <wp:wrapNone/>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ascii="仿宋" w:hAnsi="仿宋" w:eastAsia="仿宋"/>
          <w:color w:val="auto"/>
          <w:sz w:val="32"/>
          <w:szCs w:val="32"/>
          <w:highlight w:val="none"/>
        </w:rPr>
      </w:pPr>
    </w:p>
    <w:p>
      <w:pPr>
        <w:spacing w:line="600" w:lineRule="exact"/>
        <w:ind w:firstLine="643" w:firstLineChars="200"/>
        <w:outlineLvl w:val="2"/>
        <w:rPr>
          <w:rFonts w:hint="eastAsia" w:ascii="仿宋" w:hAnsi="仿宋" w:eastAsia="仿宋"/>
          <w:b/>
          <w:color w:val="auto"/>
          <w:sz w:val="32"/>
          <w:szCs w:val="32"/>
          <w:highlight w:val="none"/>
        </w:rPr>
      </w:pPr>
      <w:bookmarkStart w:id="23" w:name="_Toc15377211"/>
    </w:p>
    <w:p>
      <w:pPr>
        <w:spacing w:line="600" w:lineRule="exact"/>
        <w:ind w:firstLine="643" w:firstLineChars="20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（二）一般公共预算财政拨款支出决算结构情况</w:t>
      </w:r>
      <w:bookmarkEnd w:id="23"/>
    </w:p>
    <w:p>
      <w:pPr>
        <w:spacing w:line="600" w:lineRule="exact"/>
        <w:ind w:firstLine="640"/>
        <w:rPr>
          <w:rFonts w:ascii="仿宋" w:hAnsi="仿宋" w:eastAsia="仿宋" w:cs="Times New Roman"/>
          <w:b/>
          <w:color w:val="000000"/>
          <w:sz w:val="32"/>
          <w:szCs w:val="32"/>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2880.72</w:t>
      </w:r>
      <w:r>
        <w:rPr>
          <w:rFonts w:hint="eastAsia" w:ascii="仿宋" w:hAnsi="仿宋" w:eastAsia="仿宋"/>
          <w:color w:val="auto"/>
          <w:sz w:val="32"/>
          <w:szCs w:val="32"/>
          <w:highlight w:val="none"/>
        </w:rPr>
        <w:t>万元</w:t>
      </w:r>
      <w:r>
        <w:rPr>
          <w:rFonts w:hint="eastAsia" w:ascii="仿宋" w:hAnsi="仿宋" w:eastAsia="仿宋" w:cs="Times New Roman"/>
          <w:color w:val="000000"/>
          <w:sz w:val="32"/>
          <w:szCs w:val="32"/>
        </w:rPr>
        <w:t>，主要用于以下方面:</w:t>
      </w:r>
      <w:r>
        <w:rPr>
          <w:rFonts w:hint="eastAsia"/>
        </w:rPr>
        <w:t xml:space="preserve"> </w:t>
      </w:r>
      <w:r>
        <w:rPr>
          <w:rFonts w:hint="eastAsia" w:ascii="仿宋" w:hAnsi="仿宋" w:eastAsia="仿宋" w:cs="Times New Roman"/>
          <w:b/>
          <w:color w:val="000000"/>
          <w:sz w:val="32"/>
          <w:szCs w:val="32"/>
        </w:rPr>
        <w:t>社会保障和就业支出（类）</w:t>
      </w:r>
      <w:r>
        <w:rPr>
          <w:rFonts w:hint="eastAsia" w:ascii="仿宋" w:hAnsi="仿宋" w:eastAsia="仿宋" w:cs="Times New Roman"/>
          <w:color w:val="000000"/>
          <w:sz w:val="32"/>
          <w:szCs w:val="32"/>
        </w:rPr>
        <w:t>支出</w:t>
      </w:r>
      <w:r>
        <w:rPr>
          <w:rFonts w:hint="eastAsia" w:ascii="仿宋" w:hAnsi="仿宋" w:eastAsia="仿宋" w:cs="Times New Roman"/>
          <w:color w:val="000000"/>
          <w:sz w:val="32"/>
          <w:szCs w:val="32"/>
          <w:lang w:val="en-US" w:eastAsia="zh-CN"/>
        </w:rPr>
        <w:t>4.98</w:t>
      </w:r>
      <w:r>
        <w:rPr>
          <w:rFonts w:hint="eastAsia" w:ascii="仿宋" w:hAnsi="仿宋" w:eastAsia="仿宋" w:cs="Times New Roman"/>
          <w:color w:val="000000"/>
          <w:sz w:val="32"/>
          <w:szCs w:val="32"/>
        </w:rPr>
        <w:t>万元，占</w:t>
      </w:r>
      <w:r>
        <w:rPr>
          <w:rFonts w:hint="eastAsia" w:ascii="仿宋" w:hAnsi="仿宋" w:eastAsia="仿宋" w:cs="Times New Roman"/>
          <w:color w:val="000000"/>
          <w:sz w:val="32"/>
          <w:szCs w:val="32"/>
          <w:lang w:val="en-US" w:eastAsia="zh-CN"/>
        </w:rPr>
        <w:t>0.27</w:t>
      </w:r>
      <w:r>
        <w:rPr>
          <w:rFonts w:hint="eastAsia" w:ascii="仿宋" w:hAnsi="仿宋" w:eastAsia="仿宋" w:cs="Times New Roman"/>
          <w:color w:val="000000"/>
          <w:sz w:val="32"/>
          <w:szCs w:val="32"/>
        </w:rPr>
        <w:t>%；</w:t>
      </w:r>
      <w:r>
        <w:rPr>
          <w:rFonts w:hint="eastAsia" w:ascii="仿宋" w:hAnsi="仿宋" w:eastAsia="仿宋" w:cs="Times New Roman"/>
          <w:b/>
          <w:color w:val="000000"/>
          <w:sz w:val="32"/>
          <w:szCs w:val="32"/>
        </w:rPr>
        <w:t>卫生健康支出（类）</w:t>
      </w:r>
      <w:r>
        <w:rPr>
          <w:rFonts w:hint="eastAsia" w:ascii="仿宋" w:hAnsi="仿宋" w:eastAsia="仿宋" w:cs="Times New Roman"/>
          <w:color w:val="000000"/>
          <w:sz w:val="32"/>
          <w:szCs w:val="32"/>
          <w:lang w:val="en-US" w:eastAsia="zh-CN"/>
        </w:rPr>
        <w:t>2.33</w:t>
      </w:r>
      <w:r>
        <w:rPr>
          <w:rFonts w:hint="eastAsia" w:ascii="仿宋" w:hAnsi="仿宋" w:eastAsia="仿宋" w:cs="Times New Roman"/>
          <w:color w:val="000000"/>
          <w:sz w:val="32"/>
          <w:szCs w:val="32"/>
        </w:rPr>
        <w:t>万元，占</w:t>
      </w:r>
      <w:r>
        <w:rPr>
          <w:rFonts w:hint="eastAsia" w:ascii="仿宋" w:hAnsi="仿宋" w:eastAsia="仿宋" w:cs="Times New Roman"/>
          <w:color w:val="000000"/>
          <w:sz w:val="32"/>
          <w:szCs w:val="32"/>
          <w:lang w:val="en-US" w:eastAsia="zh-CN"/>
        </w:rPr>
        <w:t>0.13</w:t>
      </w:r>
      <w:r>
        <w:rPr>
          <w:rFonts w:hint="eastAsia" w:ascii="仿宋" w:hAnsi="仿宋" w:eastAsia="仿宋" w:cs="Times New Roman"/>
          <w:color w:val="000000"/>
          <w:sz w:val="32"/>
          <w:szCs w:val="32"/>
        </w:rPr>
        <w:t>%；</w:t>
      </w:r>
      <w:r>
        <w:rPr>
          <w:rFonts w:hint="eastAsia" w:ascii="仿宋" w:hAnsi="仿宋" w:eastAsia="仿宋" w:cs="Times New Roman"/>
          <w:b/>
          <w:color w:val="000000"/>
          <w:sz w:val="32"/>
          <w:szCs w:val="32"/>
        </w:rPr>
        <w:t>农林水支出</w:t>
      </w:r>
      <w:r>
        <w:rPr>
          <w:rFonts w:hint="eastAsia" w:ascii="仿宋" w:hAnsi="仿宋" w:eastAsia="仿宋" w:cs="Times New Roman"/>
          <w:color w:val="000000"/>
          <w:sz w:val="32"/>
          <w:szCs w:val="32"/>
        </w:rPr>
        <w:t>支出</w:t>
      </w:r>
      <w:r>
        <w:rPr>
          <w:rFonts w:hint="eastAsia" w:ascii="仿宋" w:hAnsi="仿宋" w:eastAsia="仿宋" w:cs="Times New Roman"/>
          <w:color w:val="000000"/>
          <w:sz w:val="32"/>
          <w:szCs w:val="32"/>
          <w:lang w:val="en-US" w:eastAsia="zh-CN"/>
        </w:rPr>
        <w:t>2869.51</w:t>
      </w:r>
      <w:r>
        <w:rPr>
          <w:rFonts w:hint="eastAsia" w:ascii="仿宋" w:hAnsi="仿宋" w:eastAsia="仿宋" w:cs="Times New Roman"/>
          <w:color w:val="000000"/>
          <w:sz w:val="32"/>
          <w:szCs w:val="32"/>
        </w:rPr>
        <w:t>万元，占</w:t>
      </w:r>
      <w:r>
        <w:rPr>
          <w:rFonts w:hint="eastAsia" w:ascii="仿宋" w:hAnsi="仿宋" w:eastAsia="仿宋" w:cs="Times New Roman"/>
          <w:color w:val="000000"/>
          <w:sz w:val="32"/>
          <w:szCs w:val="32"/>
          <w:lang w:val="en-US" w:eastAsia="zh-CN"/>
        </w:rPr>
        <w:t>99.4</w:t>
      </w:r>
      <w:r>
        <w:rPr>
          <w:rFonts w:hint="eastAsia" w:ascii="仿宋" w:hAnsi="仿宋" w:eastAsia="仿宋" w:cs="Times New Roman"/>
          <w:color w:val="000000"/>
          <w:sz w:val="32"/>
          <w:szCs w:val="32"/>
        </w:rPr>
        <w:t>%；</w:t>
      </w:r>
      <w:r>
        <w:rPr>
          <w:rFonts w:hint="eastAsia" w:ascii="仿宋" w:hAnsi="仿宋" w:eastAsia="仿宋" w:cs="Times New Roman"/>
          <w:b/>
          <w:bCs/>
          <w:color w:val="000000"/>
          <w:sz w:val="32"/>
          <w:szCs w:val="32"/>
        </w:rPr>
        <w:t>住房保障支出（类）</w:t>
      </w:r>
      <w:r>
        <w:rPr>
          <w:rFonts w:hint="eastAsia" w:ascii="仿宋" w:hAnsi="仿宋" w:eastAsia="仿宋" w:cs="Times New Roman"/>
          <w:color w:val="000000"/>
          <w:sz w:val="32"/>
          <w:szCs w:val="32"/>
        </w:rPr>
        <w:t>支出</w:t>
      </w:r>
      <w:r>
        <w:rPr>
          <w:rFonts w:hint="eastAsia" w:ascii="仿宋" w:hAnsi="仿宋" w:eastAsia="仿宋" w:cs="Times New Roman"/>
          <w:color w:val="000000"/>
          <w:sz w:val="32"/>
          <w:szCs w:val="32"/>
          <w:lang w:val="en-US" w:eastAsia="zh-CN"/>
        </w:rPr>
        <w:t>3.5</w:t>
      </w:r>
      <w:r>
        <w:rPr>
          <w:rFonts w:hint="eastAsia" w:ascii="仿宋" w:hAnsi="仿宋" w:eastAsia="仿宋" w:cs="Times New Roman"/>
          <w:color w:val="000000"/>
          <w:sz w:val="32"/>
          <w:szCs w:val="32"/>
        </w:rPr>
        <w:t>万元，占</w:t>
      </w:r>
      <w:r>
        <w:rPr>
          <w:rFonts w:hint="eastAsia" w:ascii="仿宋" w:hAnsi="仿宋" w:eastAsia="仿宋" w:cs="Times New Roman"/>
          <w:color w:val="000000"/>
          <w:sz w:val="32"/>
          <w:szCs w:val="32"/>
          <w:lang w:val="en-US" w:eastAsia="zh-CN"/>
        </w:rPr>
        <w:t>0.19</w:t>
      </w:r>
      <w:r>
        <w:rPr>
          <w:rFonts w:hint="eastAsia" w:ascii="仿宋" w:hAnsi="仿宋" w:eastAsia="仿宋" w:cs="Times New Roman"/>
          <w:color w:val="000000"/>
          <w:sz w:val="32"/>
          <w:szCs w:val="32"/>
        </w:rPr>
        <w:t>%；</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pPr>
        <w:spacing w:line="600" w:lineRule="exact"/>
        <w:ind w:firstLine="640" w:firstLineChars="200"/>
        <w:rPr>
          <w:rFonts w:ascii="仿宋" w:hAnsi="仿宋" w:eastAsia="仿宋"/>
          <w:color w:val="auto"/>
          <w:sz w:val="32"/>
          <w:szCs w:val="32"/>
          <w:highlight w:val="none"/>
        </w:rPr>
      </w:pPr>
      <w:r>
        <w:rPr>
          <w:rFonts w:ascii="仿宋" w:hAnsi="仿宋" w:eastAsia="仿宋" w:cs="Times New Roman"/>
          <w:color w:val="000000"/>
          <w:sz w:val="32"/>
          <w:szCs w:val="32"/>
        </w:rPr>
        <w:drawing>
          <wp:anchor distT="0" distB="0" distL="114300" distR="114300" simplePos="0" relativeHeight="251660288" behindDoc="0" locked="0" layoutInCell="1" allowOverlap="1">
            <wp:simplePos x="0" y="0"/>
            <wp:positionH relativeFrom="margin">
              <wp:posOffset>266700</wp:posOffset>
            </wp:positionH>
            <wp:positionV relativeFrom="paragraph">
              <wp:posOffset>219075</wp:posOffset>
            </wp:positionV>
            <wp:extent cx="5153025" cy="2809875"/>
            <wp:effectExtent l="4445" t="4445" r="5080" b="508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13"/>
        <w:rPr>
          <w:rFonts w:ascii="仿宋" w:hAnsi="仿宋" w:eastAsia="仿宋"/>
          <w:color w:val="auto"/>
          <w:sz w:val="32"/>
          <w:szCs w:val="32"/>
          <w:highlight w:val="none"/>
        </w:rPr>
      </w:pPr>
    </w:p>
    <w:p>
      <w:pPr>
        <w:pStyle w:val="13"/>
        <w:rPr>
          <w:rFonts w:ascii="仿宋" w:hAnsi="仿宋" w:eastAsia="仿宋"/>
          <w:color w:val="auto"/>
          <w:sz w:val="32"/>
          <w:szCs w:val="32"/>
          <w:highlight w:val="none"/>
        </w:rPr>
      </w:pPr>
    </w:p>
    <w:p>
      <w:pPr>
        <w:pStyle w:val="13"/>
        <w:rPr>
          <w:rFonts w:ascii="仿宋" w:hAnsi="仿宋" w:eastAsia="仿宋"/>
          <w:color w:val="auto"/>
          <w:sz w:val="32"/>
          <w:szCs w:val="32"/>
          <w:highlight w:val="none"/>
        </w:rPr>
      </w:pPr>
    </w:p>
    <w:p>
      <w:pPr>
        <w:pStyle w:val="13"/>
        <w:rPr>
          <w:rFonts w:ascii="仿宋" w:hAnsi="仿宋" w:eastAsia="仿宋"/>
          <w:color w:val="auto"/>
          <w:sz w:val="32"/>
          <w:szCs w:val="32"/>
          <w:highlight w:val="none"/>
        </w:rPr>
      </w:pPr>
    </w:p>
    <w:p>
      <w:pPr>
        <w:pStyle w:val="13"/>
        <w:rPr>
          <w:rFonts w:ascii="仿宋" w:hAnsi="仿宋" w:eastAsia="仿宋"/>
          <w:color w:val="auto"/>
          <w:sz w:val="32"/>
          <w:szCs w:val="32"/>
          <w:highlight w:val="none"/>
        </w:rPr>
      </w:pPr>
    </w:p>
    <w:p>
      <w:pPr>
        <w:pStyle w:val="13"/>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24" w:name="_Toc15377212"/>
      <w:r>
        <w:rPr>
          <w:rFonts w:hint="eastAsia" w:ascii="仿宋" w:hAnsi="仿宋" w:eastAsia="仿宋"/>
          <w:b/>
          <w:color w:val="auto"/>
          <w:sz w:val="32"/>
          <w:szCs w:val="32"/>
          <w:highlight w:val="none"/>
        </w:rPr>
        <w:t>（三）一般公共预算财政拨款支出决算具体情况</w:t>
      </w:r>
      <w:bookmarkEnd w:id="24"/>
    </w:p>
    <w:p>
      <w:pPr>
        <w:spacing w:line="600" w:lineRule="exact"/>
        <w:ind w:firstLine="643" w:firstLineChars="200"/>
        <w:outlineLvl w:val="2"/>
        <w:rPr>
          <w:rFonts w:ascii="仿宋" w:hAnsi="仿宋" w:eastAsia="仿宋"/>
          <w:color w:val="auto"/>
          <w:sz w:val="32"/>
          <w:szCs w:val="32"/>
          <w:highlight w:val="none"/>
        </w:rPr>
      </w:pPr>
      <w:bookmarkStart w:id="25" w:name="_Toc15377444"/>
      <w:bookmarkStart w:id="26" w:name="_Toc15377213"/>
      <w:bookmarkStart w:id="27" w:name="_Toc15378460"/>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2880.72</w:t>
      </w:r>
      <w:r>
        <w:rPr>
          <w:rFonts w:hint="eastAsia" w:ascii="仿宋" w:hAnsi="仿宋" w:eastAsia="仿宋"/>
          <w:color w:val="auto"/>
          <w:sz w:val="32"/>
          <w:szCs w:val="32"/>
          <w:highlight w:val="none"/>
        </w:rPr>
        <w:t>，</w:t>
      </w:r>
      <w:r>
        <w:rPr>
          <w:rStyle w:val="16"/>
          <w:rFonts w:hint="eastAsia" w:ascii="仿宋" w:hAnsi="仿宋" w:eastAsia="仿宋"/>
          <w:bCs/>
          <w:color w:val="auto"/>
          <w:sz w:val="32"/>
          <w:szCs w:val="32"/>
          <w:highlight w:val="none"/>
        </w:rPr>
        <w:t>完成预算</w:t>
      </w:r>
    </w:p>
    <w:p>
      <w:pPr>
        <w:spacing w:line="600" w:lineRule="exact"/>
        <w:outlineLvl w:val="2"/>
        <w:rPr>
          <w:rFonts w:ascii="仿宋" w:hAnsi="仿宋" w:eastAsia="仿宋"/>
          <w:color w:val="auto"/>
          <w:sz w:val="32"/>
          <w:szCs w:val="32"/>
          <w:highlight w:val="none"/>
        </w:rPr>
      </w:pPr>
      <w:r>
        <w:rPr>
          <w:rStyle w:val="16"/>
          <w:rFonts w:hint="eastAsia" w:ascii="仿宋" w:hAnsi="仿宋" w:eastAsia="仿宋"/>
          <w:bCs/>
          <w:color w:val="auto"/>
          <w:sz w:val="32"/>
          <w:szCs w:val="32"/>
          <w:highlight w:val="none"/>
          <w:lang w:val="en-US" w:eastAsia="zh-CN"/>
        </w:rPr>
        <w:t>100</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。其中：</w:t>
      </w:r>
      <w:bookmarkEnd w:id="25"/>
      <w:bookmarkEnd w:id="26"/>
      <w:bookmarkEnd w:id="27"/>
    </w:p>
    <w:p>
      <w:pPr>
        <w:spacing w:line="600" w:lineRule="exact"/>
        <w:ind w:firstLine="640" w:firstLineChars="200"/>
        <w:rPr>
          <w:rFonts w:ascii="仿宋" w:hAnsi="仿宋" w:eastAsia="仿宋" w:cs="Times New Roman"/>
          <w:bCs/>
          <w:color w:val="000000"/>
          <w:sz w:val="32"/>
          <w:szCs w:val="32"/>
        </w:rPr>
      </w:pPr>
      <w:r>
        <w:rPr>
          <w:rFonts w:hint="eastAsia" w:ascii="仿宋" w:hAnsi="仿宋" w:eastAsia="仿宋" w:cs="Times New Roman"/>
          <w:bCs/>
          <w:color w:val="000000"/>
          <w:sz w:val="32"/>
          <w:szCs w:val="32"/>
        </w:rPr>
        <w:t>1.</w:t>
      </w:r>
      <w:r>
        <w:rPr>
          <w:rFonts w:hint="eastAsia"/>
          <w:bCs/>
        </w:rPr>
        <w:t xml:space="preserve"> </w:t>
      </w:r>
      <w:r>
        <w:rPr>
          <w:rFonts w:hint="eastAsia" w:ascii="仿宋" w:hAnsi="仿宋" w:eastAsia="仿宋" w:cs="Times New Roman"/>
          <w:bCs/>
          <w:color w:val="000000"/>
          <w:sz w:val="32"/>
          <w:szCs w:val="32"/>
        </w:rPr>
        <w:t>社会保障和就业支出（类）行政事业单位养老支出（款）机关事业单位基本养老保险缴费支出（项）: 支出决算为</w:t>
      </w:r>
      <w:r>
        <w:rPr>
          <w:rFonts w:hint="eastAsia" w:ascii="仿宋" w:hAnsi="仿宋" w:eastAsia="仿宋" w:cs="Times New Roman"/>
          <w:bCs/>
          <w:color w:val="000000"/>
          <w:sz w:val="32"/>
          <w:szCs w:val="32"/>
          <w:lang w:val="en-US" w:eastAsia="zh-CN"/>
        </w:rPr>
        <w:t>4.98</w:t>
      </w:r>
      <w:r>
        <w:rPr>
          <w:rFonts w:hint="eastAsia" w:ascii="仿宋" w:hAnsi="仿宋" w:eastAsia="仿宋" w:cs="Times New Roman"/>
          <w:bCs/>
          <w:color w:val="000000"/>
          <w:sz w:val="32"/>
          <w:szCs w:val="32"/>
        </w:rPr>
        <w:t>万元，完成预算</w:t>
      </w:r>
      <w:r>
        <w:rPr>
          <w:rFonts w:ascii="仿宋" w:hAnsi="仿宋" w:eastAsia="仿宋" w:cs="Times New Roman"/>
          <w:bCs/>
          <w:color w:val="000000"/>
          <w:sz w:val="32"/>
          <w:szCs w:val="32"/>
        </w:rPr>
        <w:t>100</w:t>
      </w:r>
      <w:r>
        <w:rPr>
          <w:rFonts w:hint="eastAsia" w:ascii="仿宋" w:hAnsi="仿宋" w:eastAsia="仿宋" w:cs="Times New Roman"/>
          <w:bCs/>
          <w:color w:val="000000"/>
          <w:sz w:val="32"/>
          <w:szCs w:val="32"/>
        </w:rPr>
        <w:t>%，决算数与预算数持平。</w:t>
      </w:r>
    </w:p>
    <w:p>
      <w:pPr>
        <w:spacing w:line="600" w:lineRule="exact"/>
        <w:ind w:firstLine="640" w:firstLineChars="200"/>
        <w:rPr>
          <w:rFonts w:ascii="仿宋" w:hAnsi="仿宋" w:eastAsia="仿宋" w:cs="Times New Roman"/>
          <w:bCs/>
          <w:color w:val="000000"/>
          <w:sz w:val="32"/>
          <w:szCs w:val="32"/>
        </w:rPr>
      </w:pPr>
      <w:r>
        <w:rPr>
          <w:rFonts w:hint="eastAsia" w:ascii="仿宋" w:hAnsi="仿宋" w:eastAsia="仿宋" w:cs="Times New Roman"/>
          <w:bCs/>
          <w:color w:val="000000"/>
          <w:sz w:val="32"/>
          <w:szCs w:val="32"/>
          <w:lang w:val="en-US" w:eastAsia="zh-CN"/>
        </w:rPr>
        <w:t>2</w:t>
      </w:r>
      <w:r>
        <w:rPr>
          <w:rFonts w:ascii="仿宋" w:hAnsi="仿宋" w:eastAsia="仿宋" w:cs="Times New Roman"/>
          <w:bCs/>
          <w:color w:val="000000"/>
          <w:sz w:val="32"/>
          <w:szCs w:val="32"/>
        </w:rPr>
        <w:t>.</w:t>
      </w:r>
      <w:r>
        <w:rPr>
          <w:rFonts w:hint="eastAsia"/>
        </w:rPr>
        <w:t xml:space="preserve"> </w:t>
      </w:r>
      <w:bookmarkStart w:id="28" w:name="_Hlk82853567"/>
      <w:r>
        <w:rPr>
          <w:rFonts w:hint="eastAsia" w:ascii="仿宋" w:hAnsi="仿宋" w:eastAsia="仿宋" w:cs="Times New Roman"/>
          <w:bCs/>
          <w:color w:val="000000"/>
          <w:sz w:val="32"/>
          <w:szCs w:val="32"/>
        </w:rPr>
        <w:t>卫生健康支出（类）行政事业单位医疗（款）事业单位医疗（项）</w:t>
      </w:r>
      <w:r>
        <w:rPr>
          <w:rFonts w:ascii="仿宋" w:hAnsi="仿宋" w:eastAsia="仿宋" w:cs="Times New Roman"/>
          <w:bCs/>
          <w:color w:val="000000"/>
          <w:sz w:val="32"/>
          <w:szCs w:val="32"/>
        </w:rPr>
        <w:t>: 支出决算为</w:t>
      </w:r>
      <w:r>
        <w:rPr>
          <w:rFonts w:hint="eastAsia" w:ascii="仿宋" w:hAnsi="仿宋" w:eastAsia="仿宋" w:cs="Times New Roman"/>
          <w:bCs/>
          <w:color w:val="000000"/>
          <w:sz w:val="32"/>
          <w:szCs w:val="32"/>
          <w:lang w:val="en-US" w:eastAsia="zh-CN"/>
        </w:rPr>
        <w:t>2.33</w:t>
      </w:r>
      <w:r>
        <w:rPr>
          <w:rFonts w:ascii="仿宋" w:hAnsi="仿宋" w:eastAsia="仿宋" w:cs="Times New Roman"/>
          <w:bCs/>
          <w:color w:val="000000"/>
          <w:sz w:val="32"/>
          <w:szCs w:val="32"/>
        </w:rPr>
        <w:t>万元，完成预算100%，决算数与预算数持平。</w:t>
      </w:r>
      <w:bookmarkEnd w:id="28"/>
    </w:p>
    <w:p>
      <w:pPr>
        <w:spacing w:line="600" w:lineRule="exact"/>
        <w:ind w:firstLine="640" w:firstLineChars="200"/>
        <w:rPr>
          <w:rFonts w:hint="default" w:ascii="仿宋" w:hAnsi="仿宋" w:eastAsia="仿宋" w:cs="Times New Roman"/>
          <w:bCs/>
          <w:color w:val="auto"/>
          <w:sz w:val="32"/>
          <w:szCs w:val="32"/>
          <w:lang w:val="en-US" w:eastAsia="zh-CN"/>
        </w:rPr>
      </w:pPr>
      <w:r>
        <w:rPr>
          <w:rFonts w:hint="eastAsia" w:ascii="仿宋" w:hAnsi="仿宋" w:eastAsia="仿宋" w:cs="Times New Roman"/>
          <w:bCs/>
          <w:color w:val="auto"/>
          <w:sz w:val="32"/>
          <w:szCs w:val="32"/>
          <w:lang w:val="en-US" w:eastAsia="zh-CN"/>
        </w:rPr>
        <w:t>4</w:t>
      </w:r>
      <w:r>
        <w:rPr>
          <w:rFonts w:ascii="仿宋" w:hAnsi="仿宋" w:eastAsia="仿宋" w:cs="Times New Roman"/>
          <w:bCs/>
          <w:color w:val="auto"/>
          <w:sz w:val="32"/>
          <w:szCs w:val="32"/>
        </w:rPr>
        <w:t>.</w:t>
      </w:r>
      <w:r>
        <w:rPr>
          <w:rFonts w:hint="eastAsia"/>
          <w:color w:val="auto"/>
        </w:rPr>
        <w:t xml:space="preserve"> </w:t>
      </w:r>
      <w:bookmarkStart w:id="29" w:name="_Hlk82853619"/>
      <w:r>
        <w:rPr>
          <w:rFonts w:hint="eastAsia" w:ascii="仿宋" w:hAnsi="仿宋" w:eastAsia="仿宋" w:cs="Times New Roman"/>
          <w:bCs/>
          <w:color w:val="auto"/>
          <w:sz w:val="32"/>
          <w:szCs w:val="32"/>
        </w:rPr>
        <w:t>农林水支出（类）</w:t>
      </w:r>
      <w:r>
        <w:rPr>
          <w:rFonts w:ascii="仿宋" w:hAnsi="仿宋" w:eastAsia="仿宋" w:cs="Times New Roman"/>
          <w:bCs/>
          <w:color w:val="auto"/>
          <w:sz w:val="32"/>
          <w:szCs w:val="32"/>
        </w:rPr>
        <w:t>: 支出决算为</w:t>
      </w:r>
      <w:r>
        <w:rPr>
          <w:rFonts w:hint="eastAsia" w:ascii="仿宋" w:hAnsi="仿宋" w:eastAsia="仿宋" w:cs="Times New Roman"/>
          <w:bCs/>
          <w:color w:val="auto"/>
          <w:sz w:val="32"/>
          <w:szCs w:val="32"/>
          <w:lang w:val="en-US" w:eastAsia="zh-CN"/>
        </w:rPr>
        <w:t>2869.91</w:t>
      </w:r>
      <w:r>
        <w:rPr>
          <w:rFonts w:ascii="仿宋" w:hAnsi="仿宋" w:eastAsia="仿宋" w:cs="Times New Roman"/>
          <w:bCs/>
          <w:color w:val="auto"/>
          <w:sz w:val="32"/>
          <w:szCs w:val="32"/>
        </w:rPr>
        <w:t>万元，完成预算</w:t>
      </w:r>
      <w:r>
        <w:rPr>
          <w:rFonts w:hint="eastAsia" w:ascii="仿宋" w:hAnsi="仿宋" w:eastAsia="仿宋" w:cs="Times New Roman"/>
          <w:bCs/>
          <w:color w:val="auto"/>
          <w:sz w:val="32"/>
          <w:szCs w:val="32"/>
          <w:lang w:val="en-US" w:eastAsia="zh-CN"/>
        </w:rPr>
        <w:t>5541</w:t>
      </w:r>
      <w:r>
        <w:rPr>
          <w:rFonts w:ascii="仿宋" w:hAnsi="仿宋" w:eastAsia="仿宋" w:cs="Times New Roman"/>
          <w:bCs/>
          <w:color w:val="auto"/>
          <w:sz w:val="32"/>
          <w:szCs w:val="32"/>
        </w:rPr>
        <w:t>%，决算数</w:t>
      </w:r>
      <w:r>
        <w:rPr>
          <w:rFonts w:hint="eastAsia" w:ascii="仿宋" w:hAnsi="仿宋" w:eastAsia="仿宋" w:cs="Times New Roman"/>
          <w:bCs/>
          <w:color w:val="auto"/>
          <w:sz w:val="32"/>
          <w:szCs w:val="32"/>
          <w:lang w:eastAsia="zh-CN"/>
        </w:rPr>
        <w:t>大于</w:t>
      </w:r>
      <w:r>
        <w:rPr>
          <w:rFonts w:ascii="仿宋" w:hAnsi="仿宋" w:eastAsia="仿宋" w:cs="Times New Roman"/>
          <w:bCs/>
          <w:color w:val="auto"/>
          <w:sz w:val="32"/>
          <w:szCs w:val="32"/>
        </w:rPr>
        <w:t>预算数。</w:t>
      </w:r>
      <w:bookmarkEnd w:id="29"/>
      <w:r>
        <w:rPr>
          <w:rFonts w:hint="eastAsia" w:ascii="仿宋" w:hAnsi="仿宋" w:eastAsia="仿宋" w:cs="Times New Roman"/>
          <w:bCs/>
          <w:color w:val="auto"/>
          <w:sz w:val="32"/>
          <w:szCs w:val="32"/>
          <w:lang w:eastAsia="zh-CN"/>
        </w:rPr>
        <w:t>原因是水利工程建设支出</w:t>
      </w:r>
      <w:r>
        <w:rPr>
          <w:rFonts w:hint="eastAsia" w:ascii="仿宋" w:hAnsi="仿宋" w:eastAsia="仿宋" w:cs="Times New Roman"/>
          <w:bCs/>
          <w:color w:val="auto"/>
          <w:sz w:val="32"/>
          <w:szCs w:val="32"/>
          <w:lang w:val="en-US" w:eastAsia="zh-CN"/>
        </w:rPr>
        <w:t>2819.04万元，资金为上年项目结转资金。</w:t>
      </w:r>
    </w:p>
    <w:p>
      <w:pPr>
        <w:spacing w:line="600" w:lineRule="exact"/>
        <w:ind w:firstLine="640" w:firstLineChars="200"/>
        <w:rPr>
          <w:rFonts w:ascii="仿宋" w:hAnsi="仿宋" w:eastAsia="仿宋"/>
          <w:b/>
          <w:color w:val="auto"/>
          <w:sz w:val="32"/>
          <w:szCs w:val="32"/>
          <w:highlight w:val="none"/>
        </w:rPr>
      </w:pPr>
      <w:r>
        <w:rPr>
          <w:rFonts w:hint="eastAsia" w:ascii="仿宋" w:hAnsi="仿宋" w:eastAsia="仿宋" w:cs="Times New Roman"/>
          <w:bCs/>
          <w:color w:val="000000"/>
          <w:sz w:val="32"/>
          <w:szCs w:val="32"/>
          <w:lang w:val="en-US" w:eastAsia="zh-CN"/>
        </w:rPr>
        <w:t>5</w:t>
      </w:r>
      <w:r>
        <w:rPr>
          <w:rFonts w:ascii="仿宋" w:hAnsi="仿宋" w:eastAsia="仿宋" w:cs="Times New Roman"/>
          <w:bCs/>
          <w:color w:val="000000"/>
          <w:sz w:val="32"/>
          <w:szCs w:val="32"/>
        </w:rPr>
        <w:t>.</w:t>
      </w:r>
      <w:r>
        <w:rPr>
          <w:rFonts w:hint="eastAsia" w:ascii="仿宋" w:hAnsi="仿宋" w:eastAsia="仿宋" w:cs="Times New Roman"/>
          <w:bCs/>
          <w:color w:val="000000"/>
          <w:sz w:val="32"/>
          <w:szCs w:val="32"/>
        </w:rPr>
        <w:t xml:space="preserve"> 住房保障支出（类）住房改革支出（款）住房公积金（项）: 支出决算为</w:t>
      </w:r>
      <w:r>
        <w:rPr>
          <w:rFonts w:hint="eastAsia" w:ascii="仿宋" w:hAnsi="仿宋" w:eastAsia="仿宋" w:cs="Times New Roman"/>
          <w:bCs/>
          <w:color w:val="000000"/>
          <w:sz w:val="32"/>
          <w:szCs w:val="32"/>
          <w:lang w:val="en-US" w:eastAsia="zh-CN"/>
        </w:rPr>
        <w:t>3.5</w:t>
      </w:r>
      <w:r>
        <w:rPr>
          <w:rFonts w:hint="eastAsia" w:ascii="仿宋" w:hAnsi="仿宋" w:eastAsia="仿宋" w:cs="Times New Roman"/>
          <w:bCs/>
          <w:color w:val="000000"/>
          <w:sz w:val="32"/>
          <w:szCs w:val="32"/>
        </w:rPr>
        <w:t>万元，完成预算</w:t>
      </w:r>
      <w:r>
        <w:rPr>
          <w:rFonts w:ascii="仿宋" w:hAnsi="仿宋" w:eastAsia="仿宋" w:cs="Times New Roman"/>
          <w:bCs/>
          <w:color w:val="000000"/>
          <w:sz w:val="32"/>
          <w:szCs w:val="32"/>
        </w:rPr>
        <w:t>100</w:t>
      </w:r>
      <w:r>
        <w:rPr>
          <w:rFonts w:hint="eastAsia" w:ascii="仿宋" w:hAnsi="仿宋" w:eastAsia="仿宋" w:cs="Times New Roman"/>
          <w:bCs/>
          <w:color w:val="000000"/>
          <w:sz w:val="32"/>
          <w:szCs w:val="32"/>
        </w:rPr>
        <w:t>%，</w:t>
      </w:r>
      <w:bookmarkStart w:id="30" w:name="_Hlk82853819"/>
      <w:r>
        <w:rPr>
          <w:rFonts w:hint="eastAsia" w:ascii="仿宋" w:hAnsi="仿宋" w:eastAsia="仿宋" w:cs="Times New Roman"/>
          <w:bCs/>
          <w:color w:val="000000"/>
          <w:sz w:val="32"/>
          <w:szCs w:val="32"/>
        </w:rPr>
        <w:t>决算数与预算数持平。</w:t>
      </w:r>
      <w:bookmarkEnd w:id="30"/>
    </w:p>
    <w:p>
      <w:pPr>
        <w:tabs>
          <w:tab w:val="right" w:pos="8306"/>
        </w:tabs>
        <w:spacing w:line="600" w:lineRule="exact"/>
        <w:ind w:firstLine="640"/>
        <w:outlineLvl w:val="1"/>
        <w:rPr>
          <w:rStyle w:val="27"/>
          <w:color w:val="auto"/>
          <w:highlight w:val="none"/>
        </w:rPr>
      </w:pPr>
      <w:bookmarkStart w:id="31" w:name="_Toc15396608"/>
      <w:bookmarkStart w:id="32"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般公共预算财政拨款基本支出决算情况说明</w:t>
      </w:r>
      <w:bookmarkEnd w:id="31"/>
      <w:bookmarkEnd w:id="32"/>
      <w:r>
        <w:rPr>
          <w:rStyle w:val="27"/>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56.28</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56.28</w:t>
      </w:r>
      <w:r>
        <w:rPr>
          <w:rFonts w:hint="eastAsia" w:ascii="仿宋" w:hAnsi="仿宋" w:eastAsia="仿宋"/>
          <w:color w:val="auto"/>
          <w:sz w:val="32"/>
          <w:szCs w:val="32"/>
          <w:highlight w:val="none"/>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0" w:firstLineChars="200"/>
        <w:outlineLvl w:val="1"/>
        <w:rPr>
          <w:rStyle w:val="27"/>
          <w:rFonts w:ascii="黑体" w:hAnsi="黑体" w:eastAsia="黑体"/>
          <w:b w:val="0"/>
          <w:color w:val="auto"/>
          <w:highlight w:val="none"/>
        </w:rPr>
      </w:pPr>
      <w:bookmarkStart w:id="33" w:name="_Toc15377215"/>
      <w:bookmarkStart w:id="34" w:name="_Toc15396609"/>
      <w:r>
        <w:rPr>
          <w:rFonts w:hint="eastAsia" w:ascii="黑体" w:eastAsia="黑体"/>
          <w:color w:val="auto"/>
          <w:sz w:val="32"/>
          <w:szCs w:val="32"/>
          <w:highlight w:val="none"/>
        </w:rPr>
        <w:t>七、</w:t>
      </w:r>
      <w:r>
        <w:rPr>
          <w:rStyle w:val="27"/>
          <w:rFonts w:hint="eastAsia" w:ascii="黑体" w:hAnsi="黑体" w:eastAsia="黑体"/>
          <w:color w:val="auto"/>
          <w:highlight w:val="none"/>
        </w:rPr>
        <w:t>“</w:t>
      </w:r>
      <w:r>
        <w:rPr>
          <w:rStyle w:val="27"/>
          <w:rFonts w:hint="eastAsia" w:ascii="黑体" w:hAnsi="黑体" w:eastAsia="黑体"/>
          <w:b w:val="0"/>
          <w:color w:val="auto"/>
          <w:highlight w:val="none"/>
        </w:rPr>
        <w:t>三公”经费财政拨款支出决算情况说明</w:t>
      </w:r>
      <w:bookmarkEnd w:id="33"/>
      <w:bookmarkEnd w:id="34"/>
    </w:p>
    <w:p>
      <w:pPr>
        <w:spacing w:line="600" w:lineRule="exact"/>
        <w:ind w:firstLine="640"/>
        <w:outlineLvl w:val="2"/>
        <w:rPr>
          <w:rFonts w:ascii="仿宋" w:hAnsi="仿宋" w:eastAsia="仿宋"/>
          <w:b/>
          <w:color w:val="auto"/>
          <w:sz w:val="32"/>
          <w:szCs w:val="32"/>
          <w:highlight w:val="none"/>
        </w:rPr>
      </w:pPr>
      <w:bookmarkStart w:id="35" w:name="_Toc15377216"/>
      <w:r>
        <w:rPr>
          <w:rFonts w:hint="eastAsia" w:ascii="仿宋" w:hAnsi="仿宋" w:eastAsia="仿宋"/>
          <w:b/>
          <w:color w:val="auto"/>
          <w:sz w:val="32"/>
          <w:szCs w:val="32"/>
          <w:highlight w:val="none"/>
        </w:rPr>
        <w:t>（一）“三公”经费财政拨款支出决算总体情况说明</w:t>
      </w:r>
      <w:bookmarkEnd w:id="35"/>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1.7</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，决算数与预算数持平。</w:t>
      </w:r>
    </w:p>
    <w:p>
      <w:pPr>
        <w:spacing w:line="600" w:lineRule="exact"/>
        <w:ind w:firstLine="640"/>
        <w:outlineLvl w:val="2"/>
        <w:rPr>
          <w:rFonts w:ascii="仿宋" w:hAnsi="仿宋" w:eastAsia="仿宋"/>
          <w:b/>
          <w:color w:val="auto"/>
          <w:sz w:val="32"/>
          <w:szCs w:val="32"/>
          <w:highlight w:val="none"/>
        </w:rPr>
      </w:pPr>
      <w:bookmarkStart w:id="36" w:name="_Toc15377217"/>
      <w:r>
        <w:rPr>
          <w:rFonts w:hint="eastAsia" w:ascii="仿宋" w:hAnsi="仿宋" w:eastAsia="仿宋"/>
          <w:b/>
          <w:color w:val="auto"/>
          <w:sz w:val="32"/>
          <w:szCs w:val="32"/>
          <w:highlight w:val="none"/>
        </w:rPr>
        <w:t>（二）“三公”经费财政拨款支出决算具体情况说明</w:t>
      </w:r>
      <w:bookmarkEnd w:id="36"/>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w:t>
      </w:r>
    </w:p>
    <w:p>
      <w:pPr>
        <w:spacing w:line="600" w:lineRule="exact"/>
        <w:ind w:firstLine="64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1.7</w:t>
      </w:r>
      <w:r>
        <w:rPr>
          <w:rFonts w:hint="eastAsia" w:ascii="仿宋" w:hAnsi="仿宋" w:eastAsia="仿宋"/>
          <w:color w:val="auto"/>
          <w:sz w:val="32"/>
          <w:szCs w:val="32"/>
          <w:highlight w:val="none"/>
        </w:rPr>
        <w:t>万元，占</w:t>
      </w:r>
    </w:p>
    <w:p>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600" w:lineRule="exact"/>
        <w:ind w:firstLine="640"/>
        <w:rPr>
          <w:rFonts w:hint="eastAsia" w:ascii="仿宋" w:hAnsi="仿宋" w:eastAsia="仿宋"/>
          <w:color w:val="auto"/>
          <w:sz w:val="32"/>
          <w:szCs w:val="32"/>
          <w:highlight w:val="none"/>
        </w:rPr>
      </w:pPr>
      <w:r>
        <w:rPr>
          <w:rFonts w:ascii="仿宋" w:hAnsi="仿宋" w:eastAsia="仿宋" w:cs="Times New Roman"/>
          <w:color w:val="000000"/>
          <w:sz w:val="32"/>
          <w:szCs w:val="32"/>
        </w:rPr>
        <w:drawing>
          <wp:anchor distT="0" distB="0" distL="114300" distR="114300" simplePos="0" relativeHeight="251661312" behindDoc="0" locked="0" layoutInCell="1" allowOverlap="1">
            <wp:simplePos x="0" y="0"/>
            <wp:positionH relativeFrom="margin">
              <wp:posOffset>342900</wp:posOffset>
            </wp:positionH>
            <wp:positionV relativeFrom="paragraph">
              <wp:posOffset>367665</wp:posOffset>
            </wp:positionV>
            <wp:extent cx="4667250" cy="2724150"/>
            <wp:effectExtent l="4445" t="5080" r="14605" b="13970"/>
            <wp:wrapNone/>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color w:val="auto"/>
          <w:sz w:val="32"/>
          <w:szCs w:val="32"/>
          <w:highlight w:val="none"/>
        </w:rPr>
        <w:t>（图7：“三公”经费财政拨款支出结构）（饼状图）</w:t>
      </w:r>
    </w:p>
    <w:p>
      <w:pPr>
        <w:pStyle w:val="13"/>
        <w:rPr>
          <w:rFonts w:hint="eastAsia" w:ascii="仿宋" w:hAnsi="仿宋" w:eastAsia="仿宋"/>
          <w:color w:val="auto"/>
          <w:sz w:val="32"/>
          <w:szCs w:val="32"/>
          <w:highlight w:val="none"/>
        </w:rPr>
      </w:pPr>
    </w:p>
    <w:p>
      <w:pPr>
        <w:pStyle w:val="13"/>
        <w:rPr>
          <w:rFonts w:hint="eastAsia" w:ascii="仿宋" w:hAnsi="仿宋" w:eastAsia="仿宋"/>
          <w:color w:val="auto"/>
          <w:sz w:val="32"/>
          <w:szCs w:val="32"/>
          <w:highlight w:val="none"/>
        </w:rPr>
      </w:pPr>
    </w:p>
    <w:p>
      <w:pPr>
        <w:pStyle w:val="13"/>
        <w:rPr>
          <w:rFonts w:hint="eastAsia" w:ascii="仿宋" w:hAnsi="仿宋" w:eastAsia="仿宋"/>
          <w:color w:val="auto"/>
          <w:sz w:val="32"/>
          <w:szCs w:val="32"/>
          <w:highlight w:val="none"/>
        </w:rPr>
      </w:pPr>
    </w:p>
    <w:p>
      <w:pPr>
        <w:pStyle w:val="13"/>
        <w:rPr>
          <w:rFonts w:hint="eastAsia" w:ascii="仿宋" w:hAnsi="仿宋" w:eastAsia="仿宋"/>
          <w:color w:val="auto"/>
          <w:sz w:val="32"/>
          <w:szCs w:val="32"/>
          <w:highlight w:val="none"/>
        </w:rPr>
      </w:pPr>
    </w:p>
    <w:p>
      <w:pPr>
        <w:pStyle w:val="13"/>
        <w:rPr>
          <w:rFonts w:hint="eastAsia" w:ascii="仿宋" w:hAnsi="仿宋" w:eastAsia="仿宋"/>
          <w:color w:val="auto"/>
          <w:sz w:val="32"/>
          <w:szCs w:val="32"/>
          <w:highlight w:val="none"/>
        </w:rPr>
      </w:pPr>
    </w:p>
    <w:p>
      <w:pPr>
        <w:spacing w:line="600" w:lineRule="exact"/>
        <w:rPr>
          <w:rFonts w:hint="eastAsia" w:ascii="仿宋_GB2312" w:eastAsia="仿宋_GB2312"/>
          <w:b/>
          <w:color w:val="auto"/>
          <w:sz w:val="32"/>
          <w:szCs w:val="32"/>
          <w:highlight w:val="none"/>
        </w:rPr>
      </w:pPr>
    </w:p>
    <w:p>
      <w:pPr>
        <w:spacing w:line="600" w:lineRule="exact"/>
        <w:ind w:firstLine="643" w:firstLineChars="200"/>
        <w:rPr>
          <w:rFonts w:ascii="仿宋_GB2312" w:eastAsia="仿宋_GB2312"/>
          <w:color w:val="auto"/>
          <w:sz w:val="32"/>
          <w:szCs w:val="32"/>
          <w:highlight w:val="none"/>
        </w:rPr>
      </w:pPr>
      <w:r>
        <w:rPr>
          <w:rFonts w:hint="eastAsia" w:ascii="仿宋_GB2312" w:eastAsia="仿宋_GB2312"/>
          <w:b/>
          <w:color w:val="auto"/>
          <w:sz w:val="32"/>
          <w:szCs w:val="32"/>
          <w:highlight w:val="none"/>
        </w:rPr>
        <w:t>公务接待费支出</w:t>
      </w:r>
      <w:r>
        <w:rPr>
          <w:rFonts w:hint="eastAsia" w:ascii="仿宋_GB2312" w:eastAsia="仿宋_GB2312"/>
          <w:b/>
          <w:color w:val="auto"/>
          <w:sz w:val="32"/>
          <w:szCs w:val="32"/>
          <w:highlight w:val="none"/>
          <w:lang w:val="en-US" w:eastAsia="zh-CN"/>
        </w:rPr>
        <w:t>1.7</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0.05</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2.94</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r>
        <w:rPr>
          <w:rFonts w:hint="eastAsia" w:ascii="仿宋_GB2312" w:hAnsi="Times New Roman" w:eastAsia="仿宋_GB2312" w:cs="Times New Roman"/>
          <w:color w:val="000000"/>
          <w:sz w:val="32"/>
          <w:szCs w:val="32"/>
        </w:rPr>
        <w:t>主要原因是厉行节约</w:t>
      </w:r>
      <w:r>
        <w:rPr>
          <w:rFonts w:hint="eastAsia" w:ascii="仿宋_GB2312" w:eastAsia="仿宋_GB2312"/>
          <w:color w:val="auto"/>
          <w:sz w:val="32"/>
          <w:szCs w:val="32"/>
          <w:highlight w:val="none"/>
        </w:rPr>
        <w:t>。其中：</w:t>
      </w:r>
    </w:p>
    <w:p>
      <w:pPr>
        <w:spacing w:line="600" w:lineRule="exact"/>
        <w:ind w:firstLine="643" w:firstLineChars="200"/>
        <w:rPr>
          <w:rFonts w:hint="default" w:ascii="黑体" w:eastAsia="仿宋_GB2312"/>
          <w:color w:val="auto"/>
          <w:sz w:val="32"/>
          <w:szCs w:val="32"/>
          <w:highlight w:val="none"/>
          <w:lang w:val="en-US" w:eastAsia="zh-CN"/>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1.7</w:t>
      </w:r>
      <w:r>
        <w:rPr>
          <w:rFonts w:hint="eastAsia" w:ascii="仿宋_GB2312" w:eastAsia="仿宋_GB2312"/>
          <w:color w:val="auto"/>
          <w:sz w:val="32"/>
          <w:szCs w:val="32"/>
          <w:highlight w:val="none"/>
        </w:rPr>
        <w:t>万元，</w:t>
      </w:r>
      <w:r>
        <w:rPr>
          <w:rFonts w:hint="eastAsia" w:ascii="仿宋_GB2312" w:hAnsi="Times New Roman" w:eastAsia="仿宋_GB2312" w:cs="Times New Roman"/>
          <w:color w:val="auto"/>
          <w:sz w:val="32"/>
          <w:szCs w:val="32"/>
        </w:rPr>
        <w:t>主要</w:t>
      </w:r>
      <w:r>
        <w:rPr>
          <w:rFonts w:hint="eastAsia" w:ascii="仿宋_GB2312" w:eastAsia="仿宋_GB2312" w:cs="Times New Roman"/>
          <w:color w:val="auto"/>
          <w:sz w:val="32"/>
          <w:szCs w:val="32"/>
          <w:lang w:eastAsia="zh-CN"/>
        </w:rPr>
        <w:t>双峡湖水库枢纽工程水库调度规程和溃坝分析报告审查会</w:t>
      </w:r>
      <w:r>
        <w:rPr>
          <w:rFonts w:hint="eastAsia" w:ascii="仿宋_GB2312" w:eastAsia="仿宋_GB2312" w:cs="Times New Roman"/>
          <w:color w:val="0000FF"/>
          <w:sz w:val="32"/>
          <w:szCs w:val="32"/>
          <w:lang w:eastAsia="zh-CN"/>
        </w:rPr>
        <w:t>、</w:t>
      </w:r>
      <w:r>
        <w:rPr>
          <w:rFonts w:hint="eastAsia" w:ascii="仿宋_GB2312" w:eastAsia="仿宋_GB2312" w:cs="Times New Roman"/>
          <w:color w:val="auto"/>
          <w:sz w:val="32"/>
          <w:szCs w:val="32"/>
          <w:lang w:val="en-US" w:eastAsia="zh-CN"/>
        </w:rPr>
        <w:t>双峡湖水库下闸蓄水阶段验收、双峡湖水库建设管理问题专项整顿监督检查工作会、</w:t>
      </w:r>
      <w:r>
        <w:rPr>
          <w:rFonts w:hint="eastAsia" w:ascii="仿宋_GB2312" w:eastAsia="仿宋_GB2312" w:cs="Times New Roman"/>
          <w:color w:val="auto"/>
          <w:sz w:val="32"/>
          <w:szCs w:val="32"/>
          <w:lang w:eastAsia="zh-CN"/>
        </w:rPr>
        <w:t>水利局勘察学习双峡湖水库工程建设管理经验等</w:t>
      </w:r>
      <w:r>
        <w:rPr>
          <w:rFonts w:hint="eastAsia" w:ascii="仿宋_GB2312" w:hAnsi="Times New Roman" w:eastAsia="仿宋_GB2312" w:cs="Times New Roman"/>
          <w:color w:val="auto"/>
          <w:sz w:val="32"/>
          <w:szCs w:val="32"/>
        </w:rPr>
        <w:t>。国内公务接待</w:t>
      </w:r>
      <w:r>
        <w:rPr>
          <w:rFonts w:hint="eastAsia" w:ascii="仿宋_GB2312" w:eastAsia="仿宋_GB2312" w:cs="Times New Roman"/>
          <w:color w:val="auto"/>
          <w:sz w:val="32"/>
          <w:szCs w:val="32"/>
          <w:lang w:val="en-US" w:eastAsia="zh-CN"/>
        </w:rPr>
        <w:t>4</w:t>
      </w:r>
      <w:r>
        <w:rPr>
          <w:rFonts w:ascii="仿宋_GB2312" w:hAnsi="Times New Roman" w:eastAsia="仿宋_GB2312" w:cs="Times New Roman"/>
          <w:color w:val="auto"/>
          <w:sz w:val="32"/>
          <w:szCs w:val="32"/>
        </w:rPr>
        <w:t>批次，</w:t>
      </w:r>
      <w:r>
        <w:rPr>
          <w:rFonts w:hint="eastAsia" w:ascii="仿宋_GB2312" w:eastAsia="仿宋_GB2312" w:cs="Times New Roman"/>
          <w:color w:val="auto"/>
          <w:sz w:val="32"/>
          <w:szCs w:val="32"/>
          <w:lang w:val="en-US" w:eastAsia="zh-CN"/>
        </w:rPr>
        <w:t>109</w:t>
      </w:r>
      <w:r>
        <w:rPr>
          <w:rFonts w:ascii="仿宋_GB2312" w:hAnsi="Times New Roman" w:eastAsia="仿宋_GB2312" w:cs="Times New Roman"/>
          <w:color w:val="auto"/>
          <w:sz w:val="32"/>
          <w:szCs w:val="32"/>
        </w:rPr>
        <w:t>人次共计支出</w:t>
      </w:r>
      <w:r>
        <w:rPr>
          <w:rFonts w:hint="eastAsia" w:ascii="仿宋_GB2312" w:hAnsi="Times New Roman" w:eastAsia="仿宋_GB2312" w:cs="Times New Roman"/>
          <w:color w:val="auto"/>
          <w:sz w:val="32"/>
          <w:szCs w:val="32"/>
          <w:lang w:val="en-US" w:eastAsia="zh-CN"/>
        </w:rPr>
        <w:t>1.7</w:t>
      </w:r>
      <w:r>
        <w:rPr>
          <w:rFonts w:ascii="仿宋_GB2312" w:hAnsi="Times New Roman" w:eastAsia="仿宋_GB2312" w:cs="Times New Roman"/>
          <w:color w:val="auto"/>
          <w:sz w:val="32"/>
          <w:szCs w:val="32"/>
        </w:rPr>
        <w:t>万元。</w:t>
      </w:r>
      <w:bookmarkStart w:id="37" w:name="_Toc15396610"/>
      <w:bookmarkStart w:id="38" w:name="_Toc15377218"/>
      <w:r>
        <w:rPr>
          <w:rFonts w:hint="eastAsia" w:ascii="仿宋_GB2312" w:eastAsia="仿宋_GB2312" w:cs="Times New Roman"/>
          <w:color w:val="auto"/>
          <w:sz w:val="32"/>
          <w:szCs w:val="32"/>
          <w:lang w:eastAsia="zh-CN"/>
        </w:rPr>
        <w:t>具体内容包括：双峡湖水库枢纽工程水库调度规程和溃坝分析报告审查会</w:t>
      </w:r>
      <w:r>
        <w:rPr>
          <w:rFonts w:hint="eastAsia" w:ascii="仿宋_GB2312" w:eastAsia="仿宋_GB2312" w:cs="Times New Roman"/>
          <w:color w:val="auto"/>
          <w:sz w:val="32"/>
          <w:szCs w:val="32"/>
          <w:lang w:val="en-US" w:eastAsia="zh-CN"/>
        </w:rPr>
        <w:t>用餐支出1326元，双峡湖水库下闸蓄水阶段验收用餐支出4280元，双峡湖水库建设管理问题专项整顿监督检查工作会用餐支出</w:t>
      </w:r>
      <w:r>
        <w:rPr>
          <w:rFonts w:hint="eastAsia" w:cs="Times New Roman"/>
          <w:color w:val="auto"/>
          <w:sz w:val="32"/>
          <w:szCs w:val="32"/>
          <w:lang w:val="en-US" w:eastAsia="zh-CN"/>
        </w:rPr>
        <w:t>9746元，</w:t>
      </w:r>
      <w:r>
        <w:rPr>
          <w:rFonts w:hint="eastAsia" w:ascii="仿宋_GB2312" w:eastAsia="仿宋_GB2312" w:cs="Times New Roman"/>
          <w:color w:val="auto"/>
          <w:sz w:val="32"/>
          <w:szCs w:val="32"/>
          <w:lang w:eastAsia="zh-CN"/>
        </w:rPr>
        <w:t>水利局勘察学习双峡湖水库工程建设管理经验</w:t>
      </w:r>
      <w:r>
        <w:rPr>
          <w:rFonts w:hint="eastAsia" w:ascii="仿宋_GB2312" w:eastAsia="仿宋_GB2312" w:cs="Times New Roman"/>
          <w:color w:val="auto"/>
          <w:sz w:val="32"/>
          <w:szCs w:val="32"/>
          <w:lang w:val="en-US" w:eastAsia="zh-CN"/>
        </w:rPr>
        <w:t>用餐支出1648元。</w:t>
      </w:r>
    </w:p>
    <w:p>
      <w:pPr>
        <w:spacing w:line="600" w:lineRule="exact"/>
        <w:ind w:firstLine="640"/>
        <w:outlineLvl w:val="1"/>
        <w:rPr>
          <w:rStyle w:val="27"/>
          <w:rFonts w:ascii="黑体" w:hAnsi="黑体" w:eastAsia="黑体"/>
          <w:color w:val="auto"/>
          <w:highlight w:val="none"/>
        </w:rPr>
      </w:pPr>
      <w:r>
        <w:rPr>
          <w:rFonts w:hint="eastAsia" w:ascii="黑体" w:eastAsia="黑体"/>
          <w:color w:val="auto"/>
          <w:sz w:val="32"/>
          <w:szCs w:val="32"/>
          <w:highlight w:val="none"/>
        </w:rPr>
        <w:t>八、</w:t>
      </w:r>
      <w:r>
        <w:rPr>
          <w:rStyle w:val="27"/>
          <w:rFonts w:hint="eastAsia" w:ascii="黑体" w:hAnsi="黑体" w:eastAsia="黑体"/>
          <w:b w:val="0"/>
          <w:color w:val="auto"/>
          <w:highlight w:val="none"/>
        </w:rPr>
        <w:t>政府性基金预算支出决算情况说明</w:t>
      </w:r>
      <w:bookmarkEnd w:id="37"/>
      <w:bookmarkEnd w:id="38"/>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0"/>
        </w:numPr>
        <w:spacing w:line="600" w:lineRule="exact"/>
        <w:ind w:firstLine="640" w:firstLineChars="200"/>
        <w:outlineLvl w:val="1"/>
        <w:rPr>
          <w:rStyle w:val="27"/>
          <w:rFonts w:ascii="黑体" w:hAnsi="黑体" w:eastAsia="黑体"/>
          <w:b w:val="0"/>
          <w:color w:val="auto"/>
          <w:highlight w:val="none"/>
        </w:rPr>
      </w:pPr>
      <w:bookmarkStart w:id="39" w:name="_Toc15396611"/>
      <w:bookmarkStart w:id="40" w:name="_Toc15377219"/>
      <w:r>
        <w:rPr>
          <w:rStyle w:val="27"/>
          <w:rFonts w:hint="eastAsia" w:ascii="黑体" w:hAnsi="黑体" w:eastAsia="黑体"/>
          <w:b w:val="0"/>
          <w:color w:val="auto"/>
          <w:highlight w:val="none"/>
          <w:lang w:eastAsia="zh-CN"/>
        </w:rPr>
        <w:t>九、</w:t>
      </w:r>
      <w:r>
        <w:rPr>
          <w:rStyle w:val="27"/>
          <w:rFonts w:hint="eastAsia" w:ascii="黑体" w:hAnsi="黑体" w:eastAsia="黑体"/>
          <w:b w:val="0"/>
          <w:color w:val="auto"/>
          <w:highlight w:val="none"/>
        </w:rPr>
        <w:t>国有资本经营预算支出决算情况说明</w:t>
      </w:r>
      <w:bookmarkEnd w:id="39"/>
      <w:bookmarkEnd w:id="40"/>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0"/>
        </w:numPr>
        <w:spacing w:line="600" w:lineRule="exact"/>
        <w:ind w:firstLine="640" w:firstLineChars="200"/>
        <w:outlineLvl w:val="1"/>
        <w:rPr>
          <w:rStyle w:val="27"/>
          <w:rFonts w:hint="eastAsia" w:ascii="黑体" w:hAnsi="黑体" w:eastAsia="黑体"/>
          <w:b w:val="0"/>
          <w:color w:val="auto"/>
          <w:highlight w:val="none"/>
        </w:rPr>
      </w:pPr>
      <w:bookmarkStart w:id="41" w:name="_Toc15396612"/>
      <w:bookmarkStart w:id="42" w:name="_Toc15377221"/>
      <w:r>
        <w:rPr>
          <w:rStyle w:val="27"/>
          <w:rFonts w:hint="eastAsia" w:ascii="黑体" w:hAnsi="黑体" w:eastAsia="黑体"/>
          <w:b w:val="0"/>
          <w:color w:val="auto"/>
          <w:highlight w:val="none"/>
          <w:lang w:val="en-US" w:eastAsia="zh-CN"/>
        </w:rPr>
        <w:t>十、预算绩效管理情况</w:t>
      </w:r>
    </w:p>
    <w:p>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根据预算绩效管理要求，本单位在</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预算编制阶段，组织对非贫困村第一书记工作经费项目</w:t>
      </w:r>
      <w:r>
        <w:rPr>
          <w:rFonts w:hint="eastAsia" w:ascii="仿宋_GB2312" w:hAnsi="仿宋_GB2312" w:eastAsia="仿宋_GB2312" w:cs="仿宋_GB2312"/>
          <w:color w:val="auto"/>
          <w:sz w:val="32"/>
          <w:szCs w:val="32"/>
          <w:highlight w:val="none"/>
          <w:lang w:val="en-US" w:eastAsia="zh-CN"/>
        </w:rPr>
        <w:t>1个项目</w:t>
      </w:r>
      <w:r>
        <w:rPr>
          <w:rFonts w:hint="eastAsia" w:ascii="仿宋_GB2312" w:hAnsi="仿宋_GB2312" w:eastAsia="仿宋_GB2312" w:cs="仿宋_GB2312"/>
          <w:color w:val="auto"/>
          <w:sz w:val="32"/>
          <w:szCs w:val="32"/>
          <w:highlight w:val="none"/>
        </w:rPr>
        <w:t>开展了预算事前绩效评估，对</w:t>
      </w:r>
      <w:r>
        <w:rPr>
          <w:rFonts w:hint="eastAsia" w:ascii="仿宋_GB2312" w:hAnsi="仿宋_GB2312" w:eastAsia="仿宋_GB2312" w:cs="仿宋_GB2312"/>
          <w:color w:val="auto"/>
          <w:sz w:val="32"/>
          <w:szCs w:val="32"/>
          <w:highlight w:val="none"/>
          <w:lang w:val="en-US" w:eastAsia="zh-CN"/>
        </w:rPr>
        <w:t>次</w:t>
      </w:r>
      <w:r>
        <w:rPr>
          <w:rFonts w:hint="eastAsia" w:ascii="仿宋_GB2312" w:hAnsi="仿宋_GB2312" w:eastAsia="仿宋_GB2312" w:cs="仿宋_GB2312"/>
          <w:color w:val="auto"/>
          <w:sz w:val="32"/>
          <w:szCs w:val="32"/>
          <w:highlight w:val="none"/>
        </w:rPr>
        <w:t>项目编制了绩效目标，预算执行过程中，选取</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个项目开展绩效监控，年终执行完毕后，对</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个项目开展了绩效自评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2021年部门预算项目绩效目标自评表见附件（第四部分）</w:t>
      </w:r>
      <w:r>
        <w:rPr>
          <w:rFonts w:hint="eastAsia" w:ascii="仿宋_GB2312" w:hAnsi="仿宋_GB2312" w:eastAsia="仿宋_GB2312" w:cs="仿宋_GB2312"/>
          <w:color w:val="auto"/>
          <w:sz w:val="32"/>
          <w:szCs w:val="32"/>
          <w:highlight w:val="none"/>
        </w:rPr>
        <w:t>。</w:t>
      </w:r>
    </w:p>
    <w:p>
      <w:pPr>
        <w:numPr>
          <w:ilvl w:val="0"/>
          <w:numId w:val="0"/>
        </w:numPr>
        <w:spacing w:line="600" w:lineRule="exact"/>
        <w:ind w:firstLine="640" w:firstLineChars="200"/>
        <w:outlineLvl w:val="1"/>
        <w:rPr>
          <w:rStyle w:val="27"/>
          <w:rFonts w:hint="eastAsia" w:ascii="黑体" w:hAnsi="黑体" w:eastAsia="黑体"/>
          <w:b w:val="0"/>
          <w:color w:val="auto"/>
          <w:highlight w:val="none"/>
        </w:rPr>
      </w:pPr>
      <w:r>
        <w:rPr>
          <w:rStyle w:val="27"/>
          <w:rFonts w:hint="eastAsia" w:ascii="黑体" w:hAnsi="黑体" w:eastAsia="黑体"/>
          <w:b w:val="0"/>
          <w:color w:val="auto"/>
          <w:highlight w:val="none"/>
          <w:lang w:eastAsia="zh-CN"/>
        </w:rPr>
        <w:t>十一、</w:t>
      </w:r>
      <w:r>
        <w:rPr>
          <w:rStyle w:val="27"/>
          <w:rFonts w:hint="eastAsia" w:ascii="黑体" w:hAnsi="黑体" w:eastAsia="黑体"/>
          <w:b w:val="0"/>
          <w:color w:val="auto"/>
          <w:highlight w:val="none"/>
        </w:rPr>
        <w:t>其他重要事项的情况说明</w:t>
      </w:r>
      <w:bookmarkEnd w:id="41"/>
      <w:bookmarkEnd w:id="42"/>
    </w:p>
    <w:p>
      <w:pPr>
        <w:numPr>
          <w:ilvl w:val="0"/>
          <w:numId w:val="4"/>
        </w:numPr>
        <w:spacing w:line="600" w:lineRule="exact"/>
        <w:ind w:firstLine="643" w:firstLineChars="200"/>
        <w:outlineLvl w:val="2"/>
        <w:rPr>
          <w:rFonts w:hint="eastAsia" w:ascii="仿宋" w:hAnsi="仿宋" w:eastAsia="仿宋"/>
          <w:b/>
          <w:color w:val="auto"/>
          <w:sz w:val="32"/>
          <w:szCs w:val="32"/>
          <w:highlight w:val="none"/>
        </w:rPr>
      </w:pPr>
      <w:bookmarkStart w:id="43" w:name="_Toc15377222"/>
      <w:r>
        <w:rPr>
          <w:rFonts w:hint="eastAsia" w:ascii="仿宋" w:hAnsi="仿宋" w:eastAsia="仿宋"/>
          <w:b/>
          <w:color w:val="auto"/>
          <w:sz w:val="32"/>
          <w:szCs w:val="32"/>
          <w:highlight w:val="none"/>
        </w:rPr>
        <w:t>机关运行经费支出情况</w:t>
      </w:r>
      <w:bookmarkEnd w:id="43"/>
    </w:p>
    <w:p>
      <w:pPr>
        <w:spacing w:line="600" w:lineRule="exact"/>
        <w:ind w:firstLine="640" w:firstLineChars="200"/>
        <w:rPr>
          <w:rFonts w:ascii="仿宋_GB2312" w:hAnsi="Times New Roman" w:eastAsia="仿宋_GB2312" w:cs="Times New Roman"/>
          <w:color w:val="000000"/>
          <w:sz w:val="32"/>
          <w:szCs w:val="32"/>
        </w:rPr>
      </w:pPr>
      <w:bookmarkStart w:id="44" w:name="_Toc15377223"/>
      <w:r>
        <w:rPr>
          <w:rFonts w:hint="eastAsia" w:ascii="仿宋_GB2312" w:hAnsi="Times New Roman" w:eastAsia="仿宋_GB2312" w:cs="Times New Roman"/>
          <w:color w:val="000000"/>
          <w:sz w:val="32"/>
          <w:szCs w:val="32"/>
        </w:rPr>
        <w:t>202</w:t>
      </w:r>
      <w:r>
        <w:rPr>
          <w:rFonts w:hint="eastAsia" w:ascii="仿宋_GB2312" w:hAnsi="Times New Roman" w:eastAsia="仿宋_GB2312" w:cs="Times New Roman"/>
          <w:color w:val="000000"/>
          <w:sz w:val="32"/>
          <w:szCs w:val="32"/>
          <w:lang w:val="en-US" w:eastAsia="zh-CN"/>
        </w:rPr>
        <w:t>1</w:t>
      </w:r>
      <w:r>
        <w:rPr>
          <w:rFonts w:hint="eastAsia" w:ascii="仿宋_GB2312" w:hAnsi="Times New Roman" w:eastAsia="仿宋_GB2312" w:cs="Times New Roman"/>
          <w:color w:val="000000"/>
          <w:sz w:val="32"/>
          <w:szCs w:val="32"/>
        </w:rPr>
        <w:t>年，广元市朝天区</w:t>
      </w:r>
      <w:r>
        <w:rPr>
          <w:rFonts w:hint="eastAsia" w:ascii="仿宋_GB2312" w:hAnsi="Times New Roman" w:eastAsia="仿宋_GB2312" w:cs="Times New Roman"/>
          <w:color w:val="000000"/>
          <w:sz w:val="32"/>
          <w:szCs w:val="32"/>
          <w:lang w:eastAsia="zh-CN"/>
        </w:rPr>
        <w:t>水库</w:t>
      </w:r>
      <w:r>
        <w:rPr>
          <w:rFonts w:hint="eastAsia" w:ascii="仿宋_GB2312" w:hAnsi="Times New Roman" w:eastAsia="仿宋_GB2312" w:cs="Times New Roman"/>
          <w:color w:val="000000"/>
          <w:sz w:val="32"/>
          <w:szCs w:val="32"/>
        </w:rPr>
        <w:t>事务中心机关运行经费支出</w:t>
      </w:r>
      <w:r>
        <w:rPr>
          <w:rFonts w:hint="eastAsia" w:ascii="仿宋_GB2312" w:hAnsi="Times New Roman" w:eastAsia="仿宋_GB2312" w:cs="Times New Roman"/>
          <w:color w:val="000000"/>
          <w:sz w:val="32"/>
          <w:szCs w:val="32"/>
          <w:lang w:val="en-US" w:eastAsia="zh-CN"/>
        </w:rPr>
        <w:t>5</w:t>
      </w:r>
      <w:r>
        <w:rPr>
          <w:rFonts w:hint="eastAsia" w:ascii="仿宋_GB2312" w:hAnsi="Times New Roman" w:eastAsia="仿宋_GB2312" w:cs="Times New Roman"/>
          <w:color w:val="000000"/>
          <w:sz w:val="32"/>
          <w:szCs w:val="32"/>
        </w:rPr>
        <w:t>万元，</w:t>
      </w:r>
      <w:r>
        <w:rPr>
          <w:rFonts w:hint="eastAsia" w:ascii="仿宋_GB2312" w:hAnsi="Times New Roman" w:eastAsia="仿宋_GB2312" w:cs="Times New Roman"/>
          <w:color w:val="000000"/>
          <w:sz w:val="32"/>
          <w:szCs w:val="32"/>
          <w:lang w:eastAsia="zh-CN"/>
        </w:rPr>
        <w:t>与</w:t>
      </w:r>
      <w:r>
        <w:rPr>
          <w:rFonts w:hint="eastAsia" w:ascii="仿宋_GB2312" w:hAnsi="Times New Roman" w:eastAsia="仿宋_GB2312" w:cs="Times New Roman"/>
          <w:color w:val="000000"/>
          <w:sz w:val="32"/>
          <w:szCs w:val="32"/>
          <w:lang w:val="en-US" w:eastAsia="zh-CN"/>
        </w:rPr>
        <w:t>2020年相同</w:t>
      </w:r>
      <w:r>
        <w:rPr>
          <w:rFonts w:hint="eastAsia" w:ascii="仿宋_GB2312" w:hAnsi="Times New Roman" w:eastAsia="仿宋_GB2312" w:cs="Times New Roman"/>
          <w:color w:val="000000"/>
          <w:sz w:val="32"/>
          <w:szCs w:val="32"/>
        </w:rPr>
        <w:t>，主要原因是</w:t>
      </w:r>
      <w:r>
        <w:rPr>
          <w:rFonts w:hint="eastAsia" w:ascii="仿宋_GB2312" w:hAnsi="Times New Roman" w:eastAsia="仿宋_GB2312" w:cs="Times New Roman"/>
          <w:color w:val="000000"/>
          <w:sz w:val="32"/>
          <w:szCs w:val="32"/>
          <w:lang w:eastAsia="zh-CN"/>
        </w:rPr>
        <w:t>人员相同</w:t>
      </w:r>
      <w:r>
        <w:rPr>
          <w:rFonts w:hint="eastAsia" w:ascii="仿宋_GB2312" w:hAnsi="Times New Roman" w:eastAsia="仿宋_GB2312" w:cs="Times New Roman"/>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w:t>
      </w:r>
      <w:bookmarkEnd w:id="44"/>
      <w:r>
        <w:rPr>
          <w:rFonts w:hint="eastAsia" w:ascii="仿宋" w:hAnsi="仿宋" w:eastAsia="仿宋"/>
          <w:b/>
          <w:color w:val="auto"/>
          <w:sz w:val="32"/>
          <w:szCs w:val="32"/>
          <w:highlight w:val="none"/>
          <w:lang w:eastAsia="zh-CN"/>
        </w:rPr>
        <w:t>）</w:t>
      </w:r>
      <w:r>
        <w:rPr>
          <w:rFonts w:hint="eastAsia" w:ascii="仿宋" w:hAnsi="仿宋" w:eastAsia="仿宋"/>
          <w:b/>
          <w:color w:val="auto"/>
          <w:sz w:val="32"/>
          <w:szCs w:val="32"/>
          <w:highlight w:val="none"/>
        </w:rPr>
        <w:t>政府采购支出情况</w:t>
      </w:r>
    </w:p>
    <w:p>
      <w:pPr>
        <w:spacing w:line="60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年，政府采购支出总额</w:t>
      </w:r>
      <w:r>
        <w:rPr>
          <w:rFonts w:hint="eastAsia" w:ascii="仿宋_GB2312" w:eastAsia="仿宋_GB2312"/>
          <w:color w:val="000000"/>
          <w:sz w:val="32"/>
          <w:szCs w:val="32"/>
          <w:lang w:val="en-US" w:eastAsia="zh-CN"/>
        </w:rPr>
        <w:t>21.585</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其中：政府采购工程</w:t>
      </w:r>
      <w:r>
        <w:rPr>
          <w:rFonts w:hint="eastAsia" w:ascii="仿宋_GB2312" w:eastAsia="仿宋_GB2312"/>
          <w:color w:val="000000"/>
          <w:sz w:val="32"/>
          <w:szCs w:val="32"/>
          <w:lang w:val="en-US" w:eastAsia="zh-CN"/>
        </w:rPr>
        <w:t>21.585万元，主要用于双峡湖水库</w:t>
      </w:r>
      <w:r>
        <w:rPr>
          <w:rFonts w:hint="eastAsia" w:ascii="仿宋_GB2312" w:eastAsia="仿宋_GB2312"/>
          <w:color w:val="000000"/>
          <w:sz w:val="32"/>
          <w:szCs w:val="32"/>
        </w:rPr>
        <w:t>水库建设项目环境影响评价</w:t>
      </w:r>
      <w:r>
        <w:rPr>
          <w:rFonts w:hint="eastAsia" w:ascii="仿宋_GB2312" w:eastAsia="仿宋_GB2312"/>
          <w:color w:val="000000"/>
          <w:sz w:val="32"/>
          <w:szCs w:val="32"/>
          <w:lang w:eastAsia="zh-CN"/>
        </w:rPr>
        <w:t>技术咨询，双峡湖水库</w:t>
      </w:r>
      <w:r>
        <w:rPr>
          <w:rFonts w:hint="eastAsia" w:ascii="仿宋_GB2312" w:eastAsia="仿宋_GB2312"/>
          <w:color w:val="000000"/>
          <w:sz w:val="32"/>
          <w:szCs w:val="32"/>
        </w:rPr>
        <w:t>灌区第三方质量抽检</w:t>
      </w:r>
      <w:r>
        <w:rPr>
          <w:rFonts w:hint="eastAsia" w:ascii="仿宋_GB2312" w:eastAsia="仿宋_GB2312"/>
          <w:color w:val="000000"/>
          <w:sz w:val="32"/>
          <w:szCs w:val="32"/>
          <w:lang w:eastAsia="zh-CN"/>
        </w:rPr>
        <w:t>等。</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5" w:name="_Toc15377224"/>
      <w:r>
        <w:rPr>
          <w:rFonts w:hint="eastAsia" w:ascii="仿宋" w:hAnsi="仿宋" w:eastAsia="仿宋"/>
          <w:b/>
          <w:color w:val="auto"/>
          <w:sz w:val="32"/>
          <w:szCs w:val="32"/>
          <w:highlight w:val="none"/>
        </w:rPr>
        <w:t>（三）国有资产占有使用情况</w:t>
      </w:r>
      <w:bookmarkEnd w:id="45"/>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截至2020年12月31日，共有车辆0辆。单价50万元以上通用设备0台（套），单价100万元以上专用设备0台（套）</w:t>
      </w:r>
    </w:p>
    <w:p>
      <w:pPr>
        <w:numPr>
          <w:ilvl w:val="0"/>
          <w:numId w:val="5"/>
        </w:numPr>
        <w:spacing w:line="600" w:lineRule="exact"/>
        <w:ind w:firstLine="660" w:firstLineChars="150"/>
        <w:jc w:val="center"/>
        <w:outlineLvl w:val="0"/>
        <w:rPr>
          <w:rStyle w:val="26"/>
          <w:rFonts w:ascii="黑体" w:hAnsi="黑体" w:eastAsia="黑体"/>
          <w:b w:val="0"/>
          <w:color w:val="auto"/>
          <w:highlight w:val="none"/>
        </w:rPr>
      </w:pPr>
      <w:r>
        <w:rPr>
          <w:rFonts w:hint="eastAsia" w:ascii="黑体" w:hAnsi="黑体" w:eastAsia="黑体"/>
          <w:color w:val="auto"/>
          <w:sz w:val="44"/>
          <w:szCs w:val="44"/>
          <w:highlight w:val="none"/>
        </w:rPr>
        <w:t>名</w:t>
      </w:r>
      <w:r>
        <w:rPr>
          <w:rStyle w:val="26"/>
          <w:rFonts w:hint="eastAsia" w:ascii="黑体" w:hAnsi="黑体" w:eastAsia="黑体"/>
          <w:b w:val="0"/>
          <w:color w:val="auto"/>
          <w:highlight w:val="none"/>
        </w:rPr>
        <w:t>词解释</w:t>
      </w:r>
    </w:p>
    <w:p>
      <w:pPr>
        <w:spacing w:line="600" w:lineRule="exact"/>
        <w:jc w:val="left"/>
        <w:rPr>
          <w:rFonts w:ascii="宋体"/>
          <w:b/>
          <w:color w:val="auto"/>
          <w:sz w:val="44"/>
          <w:szCs w:val="44"/>
          <w:highlight w:val="none"/>
        </w:rPr>
      </w:pP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事业收入：指事业单位开展专业业务活动及辅助活动取得的收入。如…（二级预算单位事业收入情况）等。</w:t>
      </w:r>
    </w:p>
    <w:p>
      <w:pPr>
        <w:pStyle w:val="24"/>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4"/>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w:t>
      </w:r>
      <w:r>
        <w:rPr>
          <w:rFonts w:ascii="仿宋_GB2312" w:eastAsia="仿宋_GB2312"/>
          <w:color w:val="auto"/>
          <w:sz w:val="32"/>
          <w:szCs w:val="32"/>
          <w:highlight w:val="none"/>
        </w:rPr>
        <w:t>.</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4"/>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5</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4"/>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、年末结转和结余：指单位按有关规定结转到下年或以后年度继续使用的资金。</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7</w:t>
      </w:r>
      <w:r>
        <w:rPr>
          <w:rFonts w:ascii="仿宋_GB2312" w:eastAsia="仿宋_GB2312"/>
          <w:color w:val="auto"/>
          <w:sz w:val="32"/>
          <w:szCs w:val="32"/>
          <w:highlight w:val="none"/>
        </w:rPr>
        <w:t>.</w:t>
      </w:r>
      <w:r>
        <w:rPr>
          <w:rStyle w:val="16"/>
          <w:rFonts w:hint="eastAsia" w:ascii="仿宋" w:hAnsi="仿宋" w:eastAsia="仿宋"/>
          <w:b w:val="0"/>
          <w:bCs w:val="0"/>
          <w:color w:val="000000"/>
          <w:sz w:val="32"/>
          <w:szCs w:val="32"/>
        </w:rPr>
        <w:t>社会保障和就业支出（类）行政事业单位离退休（款） 机关事业单位基本养老保险缴费支出（项）</w:t>
      </w:r>
      <w:r>
        <w:rPr>
          <w:rFonts w:hint="eastAsia" w:ascii="仿宋_GB2312" w:eastAsia="仿宋_GB2312"/>
          <w:b w:val="0"/>
          <w:bCs w:val="0"/>
          <w:color w:val="000000"/>
          <w:sz w:val="32"/>
          <w:szCs w:val="32"/>
        </w:rPr>
        <w:t>：指</w:t>
      </w:r>
      <w:r>
        <w:rPr>
          <w:rFonts w:hint="eastAsia" w:ascii="仿宋_GB2312" w:eastAsia="仿宋_GB2312"/>
          <w:b w:val="0"/>
          <w:bCs w:val="0"/>
          <w:color w:val="000000"/>
          <w:sz w:val="32"/>
          <w:szCs w:val="32"/>
          <w:lang w:eastAsia="zh-CN"/>
        </w:rPr>
        <w:t>本单位对机关事业基本养老保险的支出</w:t>
      </w:r>
      <w:r>
        <w:rPr>
          <w:rFonts w:hint="eastAsia" w:ascii="仿宋_GB2312" w:eastAsia="仿宋_GB2312"/>
          <w:b w:val="0"/>
          <w:bCs w:val="0"/>
          <w:color w:val="000000"/>
          <w:sz w:val="32"/>
          <w:szCs w:val="32"/>
        </w:rPr>
        <w:t>。</w:t>
      </w:r>
    </w:p>
    <w:p>
      <w:pPr>
        <w:ind w:firstLine="640" w:firstLineChars="200"/>
        <w:rPr>
          <w:rFonts w:hint="eastAsia" w:ascii="仿宋_GB2312" w:eastAsia="仿宋_GB2312"/>
          <w:b w:val="0"/>
          <w:bCs w:val="0"/>
          <w:color w:val="000000"/>
          <w:sz w:val="32"/>
          <w:szCs w:val="32"/>
        </w:rPr>
      </w:pPr>
      <w:r>
        <w:rPr>
          <w:rFonts w:hint="eastAsia" w:ascii="仿宋_GB2312" w:eastAsia="仿宋_GB2312"/>
          <w:color w:val="auto"/>
          <w:sz w:val="32"/>
          <w:szCs w:val="32"/>
          <w:highlight w:val="none"/>
          <w:lang w:val="en-US" w:eastAsia="zh-CN"/>
        </w:rPr>
        <w:t>8</w:t>
      </w:r>
      <w:r>
        <w:rPr>
          <w:rFonts w:ascii="仿宋_GB2312" w:eastAsia="仿宋_GB2312"/>
          <w:color w:val="auto"/>
          <w:sz w:val="32"/>
          <w:szCs w:val="32"/>
          <w:highlight w:val="none"/>
        </w:rPr>
        <w:t>.</w:t>
      </w:r>
      <w:r>
        <w:rPr>
          <w:rStyle w:val="16"/>
          <w:rFonts w:hint="eastAsia" w:ascii="仿宋" w:hAnsi="仿宋" w:eastAsia="仿宋"/>
          <w:b w:val="0"/>
          <w:bCs w:val="0"/>
          <w:color w:val="000000"/>
          <w:sz w:val="32"/>
          <w:szCs w:val="32"/>
        </w:rPr>
        <w:t>农林水支出（类）水利（款）行政运行（项）</w:t>
      </w:r>
      <w:r>
        <w:rPr>
          <w:rStyle w:val="16"/>
          <w:rFonts w:ascii="仿宋" w:hAnsi="仿宋" w:eastAsia="仿宋"/>
          <w:b w:val="0"/>
          <w:bCs w:val="0"/>
          <w:color w:val="000000"/>
          <w:sz w:val="32"/>
          <w:szCs w:val="32"/>
        </w:rPr>
        <w:t>:</w:t>
      </w:r>
      <w:r>
        <w:rPr>
          <w:rFonts w:hint="eastAsia" w:ascii="仿宋_GB2312" w:eastAsia="仿宋_GB2312"/>
          <w:b w:val="0"/>
          <w:bCs w:val="0"/>
          <w:color w:val="000000"/>
          <w:sz w:val="32"/>
          <w:szCs w:val="32"/>
          <w:lang w:eastAsia="zh-CN"/>
        </w:rPr>
        <w:t>反映行政单位的基本支出</w:t>
      </w:r>
      <w:r>
        <w:rPr>
          <w:rFonts w:hint="eastAsia" w:ascii="仿宋_GB2312" w:eastAsia="仿宋_GB2312"/>
          <w:color w:val="auto"/>
          <w:sz w:val="32"/>
          <w:szCs w:val="32"/>
          <w:highlight w:val="none"/>
        </w:rPr>
        <w:t>。</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9.</w:t>
      </w:r>
      <w:r>
        <w:rPr>
          <w:rStyle w:val="16"/>
          <w:rFonts w:hint="eastAsia" w:ascii="仿宋" w:hAnsi="仿宋" w:eastAsia="仿宋"/>
          <w:b w:val="0"/>
          <w:bCs w:val="0"/>
          <w:color w:val="000000"/>
          <w:sz w:val="32"/>
          <w:szCs w:val="32"/>
        </w:rPr>
        <w:t>卫生健康支出（类）行政事业单位医疗（款）行政单位医疗（项）</w:t>
      </w:r>
      <w:r>
        <w:rPr>
          <w:rFonts w:hint="eastAsia" w:ascii="仿宋_GB2312" w:eastAsia="仿宋_GB2312"/>
          <w:b w:val="0"/>
          <w:bCs w:val="0"/>
          <w:color w:val="000000"/>
          <w:sz w:val="32"/>
          <w:szCs w:val="32"/>
        </w:rPr>
        <w:t>：</w:t>
      </w:r>
      <w:r>
        <w:rPr>
          <w:rFonts w:hint="eastAsia" w:ascii="仿宋_GB2312" w:eastAsia="仿宋_GB2312"/>
          <w:b w:val="0"/>
          <w:bCs w:val="0"/>
          <w:color w:val="000000"/>
          <w:sz w:val="32"/>
          <w:szCs w:val="32"/>
          <w:lang w:eastAsia="zh-CN"/>
        </w:rPr>
        <w:t>反映财政部门安排的行政单位基本医疗保险缴费经费。</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11</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pStyle w:val="24"/>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12</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hint="eastAsia" w:ascii="黑体" w:hAnsi="黑体" w:eastAsia="黑体"/>
          <w:color w:val="auto"/>
          <w:sz w:val="44"/>
          <w:szCs w:val="44"/>
          <w:highlight w:val="none"/>
        </w:rPr>
      </w:pPr>
      <w:r>
        <w:rPr>
          <w:rFonts w:hint="eastAsia" w:ascii="仿宋_GB2312" w:eastAsia="仿宋_GB2312"/>
          <w:color w:val="auto"/>
          <w:sz w:val="32"/>
          <w:szCs w:val="32"/>
          <w:highlight w:val="none"/>
          <w:lang w:val="en-US" w:eastAsia="zh-CN"/>
        </w:rPr>
        <w:t>13</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eastAsia" w:ascii="黑体" w:hAnsi="黑体" w:eastAsia="黑体"/>
          <w:color w:val="auto"/>
          <w:sz w:val="44"/>
          <w:szCs w:val="44"/>
          <w:highlight w:val="none"/>
        </w:rPr>
      </w:pPr>
    </w:p>
    <w:p>
      <w:pPr>
        <w:spacing w:line="600" w:lineRule="exact"/>
        <w:ind w:firstLine="2640" w:firstLineChars="600"/>
        <w:jc w:val="both"/>
        <w:outlineLvl w:val="0"/>
        <w:rPr>
          <w:rFonts w:hint="eastAsia" w:ascii="黑体" w:hAnsi="黑体" w:eastAsia="黑体"/>
          <w:color w:val="auto"/>
          <w:sz w:val="44"/>
          <w:szCs w:val="44"/>
          <w:highlight w:val="none"/>
        </w:rPr>
      </w:pPr>
    </w:p>
    <w:p>
      <w:pPr>
        <w:spacing w:line="600" w:lineRule="exact"/>
        <w:ind w:firstLine="2640" w:firstLineChars="600"/>
        <w:jc w:val="both"/>
        <w:outlineLvl w:val="0"/>
        <w:rPr>
          <w:rFonts w:hint="eastAsia" w:ascii="黑体" w:hAnsi="黑体" w:eastAsia="黑体"/>
          <w:color w:val="auto"/>
          <w:sz w:val="44"/>
          <w:szCs w:val="44"/>
          <w:highlight w:val="none"/>
        </w:rPr>
      </w:pPr>
    </w:p>
    <w:p>
      <w:pPr>
        <w:spacing w:line="600" w:lineRule="exact"/>
        <w:ind w:firstLine="2640" w:firstLineChars="600"/>
        <w:jc w:val="both"/>
        <w:outlineLvl w:val="0"/>
        <w:rPr>
          <w:rFonts w:hint="eastAsia" w:ascii="黑体" w:hAnsi="黑体" w:eastAsia="黑体"/>
          <w:color w:val="auto"/>
          <w:sz w:val="44"/>
          <w:szCs w:val="44"/>
          <w:highlight w:val="none"/>
        </w:rPr>
      </w:pPr>
    </w:p>
    <w:p>
      <w:pPr>
        <w:spacing w:line="600" w:lineRule="exact"/>
        <w:ind w:firstLine="2640" w:firstLineChars="600"/>
        <w:jc w:val="both"/>
        <w:outlineLvl w:val="0"/>
        <w:rPr>
          <w:rFonts w:hint="eastAsia" w:ascii="黑体" w:hAnsi="黑体" w:eastAsia="黑体"/>
          <w:color w:val="auto"/>
          <w:sz w:val="44"/>
          <w:szCs w:val="44"/>
          <w:highlight w:val="none"/>
        </w:rPr>
      </w:pPr>
    </w:p>
    <w:p>
      <w:pPr>
        <w:spacing w:line="600" w:lineRule="exact"/>
        <w:ind w:firstLine="2640" w:firstLineChars="600"/>
        <w:jc w:val="both"/>
        <w:outlineLvl w:val="0"/>
        <w:rPr>
          <w:rFonts w:hint="eastAsia" w:ascii="黑体" w:hAnsi="黑体" w:eastAsia="黑体"/>
          <w:color w:val="auto"/>
          <w:sz w:val="44"/>
          <w:szCs w:val="44"/>
          <w:highlight w:val="none"/>
        </w:rPr>
      </w:pPr>
    </w:p>
    <w:p>
      <w:pPr>
        <w:spacing w:line="600" w:lineRule="exact"/>
        <w:ind w:firstLine="2640" w:firstLineChars="600"/>
        <w:jc w:val="both"/>
        <w:outlineLvl w:val="0"/>
        <w:rPr>
          <w:rStyle w:val="26"/>
          <w:rFonts w:ascii="黑体" w:hAnsi="黑体" w:eastAsia="黑体"/>
          <w:b w:val="0"/>
          <w:color w:val="auto"/>
          <w:highlight w:val="none"/>
        </w:rPr>
      </w:pPr>
      <w:r>
        <w:rPr>
          <w:rFonts w:hint="eastAsia" w:ascii="黑体" w:hAnsi="黑体" w:eastAsia="黑体"/>
          <w:color w:val="auto"/>
          <w:sz w:val="44"/>
          <w:szCs w:val="44"/>
          <w:highlight w:val="none"/>
        </w:rPr>
        <w:t>第</w:t>
      </w:r>
      <w:r>
        <w:rPr>
          <w:rStyle w:val="26"/>
          <w:rFonts w:hint="eastAsia" w:ascii="黑体" w:hAnsi="黑体" w:eastAsia="黑体"/>
          <w:b w:val="0"/>
          <w:color w:val="auto"/>
          <w:highlight w:val="none"/>
        </w:rPr>
        <w:t>四部分 附件</w:t>
      </w:r>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仿宋" w:hAnsi="仿宋" w:eastAsia="仿宋"/>
          <w:b/>
          <w:color w:val="auto"/>
          <w:sz w:val="32"/>
          <w:szCs w:val="32"/>
          <w:highlight w:val="none"/>
        </w:rPr>
      </w:pPr>
      <w:r>
        <w:rPr>
          <w:rFonts w:hint="eastAsia" w:ascii="黑体" w:hAnsi="黑体" w:eastAsia="黑体" w:cs="黑体"/>
          <w:color w:val="auto"/>
          <w:sz w:val="32"/>
          <w:szCs w:val="32"/>
          <w:highlight w:val="none"/>
        </w:rPr>
        <w:t>附件</w:t>
      </w:r>
    </w:p>
    <w:tbl>
      <w:tblPr>
        <w:tblStyle w:val="14"/>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val="0"/>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36"/>
                <w:szCs w:val="36"/>
                <w:lang w:eastAsia="zh-CN" w:bidi="ar"/>
              </w:rPr>
            </w:pPr>
            <w:r>
              <w:rPr>
                <w:rFonts w:hint="eastAsia" w:ascii="宋体" w:hAnsi="宋体" w:cs="宋体"/>
                <w:b/>
                <w:bCs/>
                <w:color w:val="000000"/>
                <w:kern w:val="0"/>
                <w:sz w:val="36"/>
                <w:szCs w:val="36"/>
                <w:lang w:bidi="ar"/>
              </w:rPr>
              <w:t>项目绩效目标完成情况表</w:t>
            </w:r>
          </w:p>
          <w:p>
            <w:pPr>
              <w:widowControl/>
              <w:jc w:val="center"/>
              <w:textAlignment w:val="center"/>
              <w:rPr>
                <w:rFonts w:ascii="宋体" w:cs="宋体"/>
                <w:color w:val="000000"/>
                <w:sz w:val="36"/>
                <w:szCs w:val="36"/>
              </w:rPr>
            </w:pPr>
            <w:r>
              <w:rPr>
                <w:rFonts w:ascii="宋体" w:hAnsi="宋体" w:cs="宋体"/>
                <w:color w:val="000000"/>
                <w:kern w:val="0"/>
                <w:sz w:val="36"/>
                <w:szCs w:val="36"/>
                <w:lang w:bidi="ar"/>
              </w:rPr>
              <w:t>(20</w:t>
            </w:r>
            <w:r>
              <w:rPr>
                <w:rFonts w:hint="eastAsia" w:ascii="宋体" w:hAnsi="宋体" w:cs="宋体"/>
                <w:color w:val="000000"/>
                <w:kern w:val="0"/>
                <w:sz w:val="36"/>
                <w:szCs w:val="36"/>
                <w:lang w:val="en-US" w:eastAsia="zh-CN" w:bidi="ar"/>
              </w:rPr>
              <w:t>21</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非贫困村第一书记工作经费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区水库事务中心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预算执行情况</w:t>
            </w:r>
            <w:r>
              <w:rPr>
                <w:rFonts w:ascii="宋体" w:hAnsi="宋体" w:cs="宋体"/>
                <w:color w:val="000000"/>
                <w:kern w:val="0"/>
                <w:sz w:val="24"/>
                <w:lang w:bidi="ar"/>
              </w:rPr>
              <w:t>(</w:t>
            </w:r>
            <w:r>
              <w:rPr>
                <w:rFonts w:hint="eastAsia" w:ascii="宋体" w:hAnsi="宋体" w:cs="宋体"/>
                <w:color w:val="000000"/>
                <w:kern w:val="0"/>
                <w:sz w:val="24"/>
                <w:lang w:bidi="ar"/>
              </w:rPr>
              <w:t>万元</w:t>
            </w:r>
            <w:r>
              <w:rPr>
                <w:rFonts w:ascii="宋体" w:hAnsi="宋体" w:cs="宋体"/>
                <w:color w:val="000000"/>
                <w:kern w:val="0"/>
                <w:sz w:val="24"/>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cs="宋体" w:eastAsiaTheme="minorEastAsia"/>
                <w:color w:val="000000"/>
                <w:sz w:val="24"/>
                <w:lang w:val="en-US" w:eastAsia="zh-CN"/>
              </w:rPr>
            </w:pPr>
            <w:r>
              <w:rPr>
                <w:rFonts w:hint="eastAsia" w:ascii="宋体" w:cs="宋体"/>
                <w:color w:val="000000"/>
                <w:sz w:val="24"/>
                <w:lang w:val="en-US" w:eastAsia="zh-CN"/>
              </w:rPr>
              <w:t>0.4万元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执行数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cs="宋体" w:eastAsiaTheme="minorEastAsia"/>
                <w:color w:val="000000"/>
                <w:sz w:val="24"/>
                <w:lang w:val="en-US" w:eastAsia="zh-CN"/>
              </w:rPr>
            </w:pPr>
            <w:r>
              <w:rPr>
                <w:rFonts w:hint="eastAsia" w:ascii="宋体" w:cs="宋体"/>
                <w:color w:val="000000"/>
                <w:sz w:val="24"/>
                <w:lang w:val="en-US" w:eastAsia="zh-CN"/>
              </w:rPr>
              <w:t>0.4万元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cs="宋体" w:eastAsiaTheme="minorEastAsia"/>
                <w:color w:val="000000"/>
                <w:sz w:val="24"/>
                <w:lang w:val="en-US" w:eastAsia="zh-CN"/>
              </w:rPr>
            </w:pPr>
            <w:r>
              <w:rPr>
                <w:rFonts w:hint="eastAsia" w:ascii="宋体" w:cs="宋体"/>
                <w:color w:val="000000"/>
                <w:sz w:val="24"/>
                <w:lang w:val="en-US" w:eastAsia="zh-CN"/>
              </w:rPr>
              <w:t>0.4万元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cs="宋体" w:eastAsiaTheme="minorEastAsia"/>
                <w:color w:val="000000"/>
                <w:sz w:val="24"/>
                <w:lang w:val="en-US" w:eastAsia="zh-CN"/>
              </w:rPr>
            </w:pPr>
            <w:r>
              <w:rPr>
                <w:rFonts w:hint="eastAsia" w:ascii="宋体" w:cs="宋体"/>
                <w:color w:val="000000"/>
                <w:sz w:val="24"/>
                <w:lang w:val="en-US" w:eastAsia="zh-CN"/>
              </w:rPr>
              <w:t>0.4万元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eastAsiaTheme="minorEastAsia"/>
                <w:color w:val="000000"/>
                <w:sz w:val="24"/>
                <w:lang w:val="en-US" w:eastAsia="zh-CN"/>
              </w:rPr>
            </w:pPr>
            <w:r>
              <w:rPr>
                <w:rFonts w:hint="eastAsia" w:asci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cs="宋体" w:eastAsiaTheme="minorEastAsia"/>
                <w:color w:val="000000"/>
                <w:sz w:val="24"/>
                <w:lang w:val="en-US" w:eastAsia="zh-CN"/>
              </w:rPr>
            </w:pPr>
            <w:r>
              <w:rPr>
                <w:rFonts w:hint="eastAsia" w:ascii="宋体" w:cs="宋体"/>
                <w:color w:val="000000"/>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000000"/>
                <w:sz w:val="24"/>
              </w:rPr>
            </w:pPr>
            <w:r>
              <w:rPr>
                <w:rFonts w:hint="eastAsia" w:ascii="宋体" w:cs="宋体"/>
                <w:color w:val="000000"/>
                <w:sz w:val="24"/>
              </w:rPr>
              <w:t>目标1：保障水库事务中心第一书记工作经费，有效的促进扶贫工作的开展。</w:t>
            </w:r>
          </w:p>
          <w:p>
            <w:pPr>
              <w:widowControl/>
              <w:jc w:val="center"/>
              <w:textAlignment w:val="center"/>
              <w:rPr>
                <w:rFonts w:hint="eastAsia" w:ascii="宋体" w:cs="宋体"/>
                <w:color w:val="000000"/>
                <w:sz w:val="24"/>
              </w:rPr>
            </w:pPr>
            <w:r>
              <w:rPr>
                <w:rFonts w:hint="eastAsia" w:ascii="宋体" w:cs="宋体"/>
                <w:color w:val="000000"/>
                <w:sz w:val="24"/>
              </w:rPr>
              <w:t>目标2：在工作中提高干部工作积极性与意识。</w:t>
            </w:r>
          </w:p>
          <w:p>
            <w:pPr>
              <w:widowControl/>
              <w:jc w:val="center"/>
              <w:textAlignment w:val="center"/>
              <w:rPr>
                <w:rFonts w:ascii="宋体" w:cs="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rPr>
            </w:pPr>
            <w:r>
              <w:rPr>
                <w:rFonts w:hint="eastAsia"/>
              </w:rPr>
              <w:t>目标1：保障水库事务中心第一书记工作经费，有效的促进扶贫工作的开展。</w:t>
            </w:r>
          </w:p>
          <w:p>
            <w:pPr>
              <w:widowControl/>
              <w:jc w:val="center"/>
              <w:textAlignment w:val="center"/>
              <w:rPr>
                <w:rFonts w:hint="eastAsia"/>
              </w:rPr>
            </w:pPr>
            <w:r>
              <w:rPr>
                <w:rFonts w:hint="eastAsia"/>
              </w:rPr>
              <w:t>目标2：在工作中提高干部工作积极性与意识。</w:t>
            </w:r>
          </w:p>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r>
      <w:tr>
        <w:tblPrEx>
          <w:tblCellMar>
            <w:top w:w="0" w:type="dxa"/>
            <w:left w:w="0" w:type="dxa"/>
            <w:bottom w:w="0" w:type="dxa"/>
            <w:right w:w="0" w:type="dxa"/>
          </w:tblCellMar>
        </w:tblPrEx>
        <w:trPr>
          <w:trHeight w:val="993"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年度工作经费</w:t>
            </w:r>
            <w:r>
              <w:rPr>
                <w:rFonts w:hint="eastAsia" w:ascii="宋体" w:cs="宋体"/>
                <w:color w:val="000000"/>
                <w:sz w:val="24"/>
                <w:lang w:val="en-US" w:eastAsia="zh-CN"/>
              </w:rPr>
              <w:t>0.4万元</w:t>
            </w:r>
            <w:r>
              <w:rPr>
                <w:rFonts w:hint="eastAsia" w:ascii="宋体" w:cs="宋体"/>
                <w:color w:val="000000"/>
                <w:sz w:val="24"/>
              </w:rPr>
              <w:t>元</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第一书记一人</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保障扶贫工作的有效完成</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rPr>
              <w:t>保障扶贫工作的有效完成</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全区脱贫攻坚工作结束以前保障经费支出</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全区脱贫攻坚工作结束以前保障经费支出</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节约成本，避免浪费</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rPr>
              <w:t>节约成本，避免浪费</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为全区脱贫攻坚工作作出贡献</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为全区脱贫攻坚工作作出贡献</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有效促进扶贫工作开展，提高干部意识。</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有效促进扶贫工作开展，提高干部意识。</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Times New Roman" w:eastAsia="宋体" w:cs="Times New Roman"/>
                <w:kern w:val="2"/>
                <w:sz w:val="24"/>
                <w:szCs w:val="24"/>
                <w:lang w:val="en-US" w:eastAsia="zh-CN" w:bidi="ar-SA"/>
              </w:rPr>
            </w:pPr>
            <w:r>
              <w:rPr>
                <w:rFonts w:hint="eastAsia" w:ascii="宋体" w:hAnsi="Times New Roman" w:eastAsia="宋体" w:cs="Times New Roman"/>
                <w:sz w:val="24"/>
                <w:szCs w:val="24"/>
              </w:rPr>
              <w:t>满意度指标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ascii="宋体" w:hAnsi="Times New Roman" w:eastAsia="宋体" w:cs="Times New Roman"/>
                <w:kern w:val="2"/>
                <w:sz w:val="24"/>
                <w:szCs w:val="24"/>
                <w:lang w:val="en-US" w:eastAsia="zh-CN" w:bidi="ar-SA"/>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Times New Roman" w:eastAsia="宋体" w:cs="Times New Roman"/>
                <w:kern w:val="2"/>
                <w:sz w:val="24"/>
                <w:szCs w:val="24"/>
                <w:lang w:val="en-US" w:eastAsia="zh-CN" w:bidi="ar-SA"/>
              </w:rPr>
            </w:pPr>
            <w:r>
              <w:rPr>
                <w:rFonts w:hint="eastAsia" w:ascii="宋体" w:hAnsi="Times New Roman" w:eastAsia="宋体" w:cs="Times New Roman"/>
                <w:sz w:val="24"/>
                <w:szCs w:val="24"/>
              </w:rPr>
              <w:t>满意度不低于</w:t>
            </w:r>
            <w:r>
              <w:rPr>
                <w:rFonts w:ascii="宋体" w:hAnsi="Times New Roman" w:eastAsia="宋体" w:cs="Times New Roman"/>
                <w:sz w:val="24"/>
                <w:szCs w:val="24"/>
              </w:rPr>
              <w:t>98%。</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Times New Roman" w:eastAsia="宋体" w:cs="Times New Roman"/>
                <w:kern w:val="2"/>
                <w:sz w:val="24"/>
                <w:szCs w:val="24"/>
                <w:lang w:val="en-US" w:eastAsia="zh-CN" w:bidi="ar-SA"/>
              </w:rPr>
            </w:pPr>
            <w:r>
              <w:rPr>
                <w:rFonts w:ascii="宋体" w:hAnsi="Times New Roman" w:eastAsia="宋体" w:cs="Times New Roman"/>
                <w:sz w:val="24"/>
                <w:szCs w:val="24"/>
              </w:rPr>
              <w:t>99%</w:t>
            </w:r>
          </w:p>
        </w:tc>
      </w:tr>
    </w:tbl>
    <w:p>
      <w:pPr>
        <w:spacing w:line="600" w:lineRule="exact"/>
        <w:jc w:val="both"/>
        <w:outlineLvl w:val="0"/>
        <w:rPr>
          <w:rFonts w:hint="eastAsia" w:ascii="黑体" w:hAnsi="黑体" w:eastAsia="黑体"/>
          <w:color w:val="auto"/>
          <w:sz w:val="44"/>
          <w:szCs w:val="44"/>
          <w:highlight w:val="none"/>
        </w:rPr>
      </w:pPr>
      <w:bookmarkStart w:id="46" w:name="_Toc15396618"/>
      <w:bookmarkStart w:id="47" w:name="_Toc15377226"/>
    </w:p>
    <w:p>
      <w:pPr>
        <w:spacing w:line="600" w:lineRule="exact"/>
        <w:jc w:val="center"/>
        <w:outlineLvl w:val="0"/>
        <w:rPr>
          <w:rFonts w:hint="eastAsia" w:ascii="黑体" w:hAnsi="黑体" w:eastAsia="黑体"/>
          <w:color w:val="auto"/>
          <w:sz w:val="44"/>
          <w:szCs w:val="44"/>
          <w:highlight w:val="none"/>
        </w:rPr>
      </w:pPr>
    </w:p>
    <w:p>
      <w:pPr>
        <w:spacing w:line="600" w:lineRule="exact"/>
        <w:ind w:firstLine="2200" w:firstLineChars="500"/>
        <w:jc w:val="both"/>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ind w:firstLine="2640" w:firstLineChars="600"/>
        <w:jc w:val="both"/>
        <w:outlineLvl w:val="0"/>
        <w:rPr>
          <w:rFonts w:hint="eastAsia" w:ascii="黑体" w:hAnsi="黑体" w:eastAsia="黑体"/>
          <w:color w:val="auto"/>
          <w:sz w:val="44"/>
          <w:szCs w:val="44"/>
          <w:highlight w:val="none"/>
        </w:rPr>
      </w:pPr>
    </w:p>
    <w:p>
      <w:pPr>
        <w:spacing w:line="600" w:lineRule="exact"/>
        <w:ind w:firstLine="2640" w:firstLineChars="600"/>
        <w:jc w:val="both"/>
        <w:outlineLvl w:val="0"/>
        <w:rPr>
          <w:rFonts w:hint="eastAsia" w:ascii="黑体" w:hAnsi="黑体" w:eastAsia="黑体"/>
          <w:color w:val="auto"/>
          <w:sz w:val="44"/>
          <w:szCs w:val="44"/>
          <w:highlight w:val="none"/>
        </w:rPr>
      </w:pPr>
    </w:p>
    <w:p>
      <w:pPr>
        <w:spacing w:line="600" w:lineRule="exact"/>
        <w:ind w:firstLine="2640" w:firstLineChars="600"/>
        <w:jc w:val="both"/>
        <w:outlineLvl w:val="0"/>
        <w:rPr>
          <w:rFonts w:hint="eastAsia" w:ascii="黑体" w:hAnsi="黑体" w:eastAsia="黑体"/>
          <w:color w:val="auto"/>
          <w:sz w:val="44"/>
          <w:szCs w:val="44"/>
          <w:highlight w:val="none"/>
        </w:rPr>
      </w:pPr>
    </w:p>
    <w:p>
      <w:pPr>
        <w:spacing w:line="600" w:lineRule="exact"/>
        <w:ind w:firstLine="2640" w:firstLineChars="600"/>
        <w:jc w:val="both"/>
        <w:outlineLvl w:val="0"/>
        <w:rPr>
          <w:rFonts w:hint="eastAsia" w:ascii="黑体" w:hAnsi="黑体" w:eastAsia="黑体"/>
          <w:color w:val="auto"/>
          <w:sz w:val="44"/>
          <w:szCs w:val="44"/>
          <w:highlight w:val="none"/>
        </w:rPr>
      </w:pPr>
    </w:p>
    <w:p>
      <w:pPr>
        <w:spacing w:line="600" w:lineRule="exact"/>
        <w:ind w:firstLine="2640" w:firstLineChars="600"/>
        <w:jc w:val="both"/>
        <w:outlineLvl w:val="0"/>
        <w:rPr>
          <w:rFonts w:hint="eastAsia" w:ascii="黑体" w:hAnsi="黑体" w:eastAsia="黑体"/>
          <w:color w:val="auto"/>
          <w:sz w:val="44"/>
          <w:szCs w:val="44"/>
          <w:highlight w:val="none"/>
        </w:rPr>
      </w:pPr>
    </w:p>
    <w:p>
      <w:pPr>
        <w:spacing w:line="600" w:lineRule="exact"/>
        <w:ind w:firstLine="2640" w:firstLineChars="600"/>
        <w:jc w:val="both"/>
        <w:outlineLvl w:val="0"/>
        <w:rPr>
          <w:rFonts w:hint="eastAsia" w:ascii="黑体" w:hAnsi="黑体" w:eastAsia="黑体"/>
          <w:color w:val="auto"/>
          <w:sz w:val="44"/>
          <w:szCs w:val="44"/>
          <w:highlight w:val="none"/>
        </w:rPr>
      </w:pPr>
    </w:p>
    <w:p>
      <w:pPr>
        <w:spacing w:line="600" w:lineRule="exact"/>
        <w:ind w:firstLine="2640" w:firstLineChars="600"/>
        <w:jc w:val="both"/>
        <w:outlineLvl w:val="0"/>
        <w:rPr>
          <w:rFonts w:hint="eastAsia" w:ascii="黑体" w:hAnsi="黑体" w:eastAsia="黑体"/>
          <w:color w:val="auto"/>
          <w:sz w:val="44"/>
          <w:szCs w:val="44"/>
          <w:highlight w:val="none"/>
        </w:rPr>
      </w:pPr>
    </w:p>
    <w:p>
      <w:pPr>
        <w:spacing w:line="600" w:lineRule="exact"/>
        <w:ind w:firstLine="2640" w:firstLineChars="600"/>
        <w:jc w:val="both"/>
        <w:outlineLvl w:val="0"/>
        <w:rPr>
          <w:rFonts w:hint="eastAsia" w:ascii="黑体" w:hAnsi="黑体" w:eastAsia="黑体"/>
          <w:color w:val="auto"/>
          <w:sz w:val="44"/>
          <w:szCs w:val="44"/>
          <w:highlight w:val="none"/>
        </w:rPr>
      </w:pPr>
    </w:p>
    <w:p>
      <w:pPr>
        <w:spacing w:line="600" w:lineRule="exact"/>
        <w:ind w:firstLine="2640" w:firstLineChars="600"/>
        <w:jc w:val="both"/>
        <w:outlineLvl w:val="0"/>
        <w:rPr>
          <w:rFonts w:hint="eastAsia" w:ascii="黑体" w:hAnsi="黑体" w:eastAsia="黑体"/>
          <w:color w:val="auto"/>
          <w:sz w:val="44"/>
          <w:szCs w:val="44"/>
          <w:highlight w:val="none"/>
        </w:rPr>
      </w:pPr>
    </w:p>
    <w:p>
      <w:pPr>
        <w:spacing w:line="600" w:lineRule="exact"/>
        <w:ind w:firstLine="2640" w:firstLineChars="600"/>
        <w:jc w:val="both"/>
        <w:outlineLvl w:val="0"/>
        <w:rPr>
          <w:rFonts w:hint="eastAsia" w:ascii="黑体" w:hAnsi="黑体" w:eastAsia="黑体"/>
          <w:color w:val="auto"/>
          <w:sz w:val="44"/>
          <w:szCs w:val="44"/>
          <w:highlight w:val="none"/>
        </w:rPr>
      </w:pPr>
    </w:p>
    <w:p>
      <w:pPr>
        <w:spacing w:line="600" w:lineRule="exact"/>
        <w:ind w:firstLine="2640" w:firstLineChars="600"/>
        <w:jc w:val="both"/>
        <w:outlineLvl w:val="0"/>
        <w:rPr>
          <w:rFonts w:hint="eastAsia" w:ascii="黑体" w:hAnsi="黑体" w:eastAsia="黑体"/>
          <w:color w:val="auto"/>
          <w:sz w:val="44"/>
          <w:szCs w:val="44"/>
          <w:highlight w:val="none"/>
        </w:rPr>
      </w:pPr>
    </w:p>
    <w:p>
      <w:pPr>
        <w:spacing w:line="600" w:lineRule="exact"/>
        <w:ind w:firstLine="2640" w:firstLineChars="600"/>
        <w:jc w:val="both"/>
        <w:outlineLvl w:val="0"/>
        <w:rPr>
          <w:rFonts w:hint="eastAsia" w:eastAsia="宋体"/>
          <w:lang w:eastAsia="zh-CN"/>
        </w:rPr>
      </w:pPr>
      <w:bookmarkStart w:id="61" w:name="_GoBack"/>
      <w:bookmarkEnd w:id="61"/>
      <w:r>
        <w:rPr>
          <w:rFonts w:hint="eastAsia" w:ascii="黑体" w:hAnsi="黑体" w:eastAsia="黑体"/>
          <w:color w:val="auto"/>
          <w:sz w:val="44"/>
          <w:szCs w:val="44"/>
          <w:highlight w:val="none"/>
        </w:rPr>
        <w:t>第</w:t>
      </w:r>
      <w:r>
        <w:rPr>
          <w:rStyle w:val="26"/>
          <w:rFonts w:hint="eastAsia" w:ascii="黑体" w:hAnsi="黑体" w:eastAsia="黑体"/>
          <w:b w:val="0"/>
          <w:color w:val="auto"/>
          <w:highlight w:val="none"/>
        </w:rPr>
        <w:t>五部分 附表</w:t>
      </w:r>
      <w:bookmarkEnd w:id="46"/>
      <w:bookmarkEnd w:id="47"/>
      <w:bookmarkStart w:id="48"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7"/>
          <w:rFonts w:hint="eastAsia" w:ascii="仿宋" w:hAnsi="仿宋" w:eastAsia="仿宋"/>
          <w:b w:val="0"/>
          <w:bCs w:val="0"/>
          <w:color w:val="auto"/>
          <w:highlight w:val="none"/>
        </w:rPr>
        <w:t>入支出决算总表</w:t>
      </w:r>
      <w:bookmarkEnd w:id="48"/>
    </w:p>
    <w:p>
      <w:pPr>
        <w:pStyle w:val="4"/>
        <w:rPr>
          <w:rFonts w:ascii="仿宋" w:hAnsi="仿宋" w:eastAsia="仿宋"/>
          <w:color w:val="auto"/>
          <w:highlight w:val="none"/>
        </w:rPr>
      </w:pPr>
      <w:bookmarkStart w:id="49" w:name="_Toc15396620"/>
      <w:r>
        <w:rPr>
          <w:rFonts w:hint="eastAsia" w:ascii="仿宋" w:hAnsi="仿宋" w:eastAsia="仿宋"/>
          <w:b w:val="0"/>
          <w:color w:val="auto"/>
          <w:highlight w:val="none"/>
        </w:rPr>
        <w:t>二、收</w:t>
      </w:r>
      <w:r>
        <w:rPr>
          <w:rStyle w:val="27"/>
          <w:rFonts w:hint="eastAsia" w:ascii="仿宋" w:hAnsi="仿宋" w:eastAsia="仿宋"/>
          <w:b w:val="0"/>
          <w:bCs w:val="0"/>
          <w:color w:val="auto"/>
          <w:highlight w:val="none"/>
        </w:rPr>
        <w:t>入决算表</w:t>
      </w:r>
      <w:bookmarkEnd w:id="49"/>
    </w:p>
    <w:p>
      <w:pPr>
        <w:pStyle w:val="4"/>
        <w:rPr>
          <w:rFonts w:ascii="仿宋" w:hAnsi="仿宋" w:eastAsia="仿宋"/>
          <w:color w:val="auto"/>
          <w:highlight w:val="none"/>
        </w:rPr>
      </w:pPr>
      <w:bookmarkStart w:id="50" w:name="_Toc15396621"/>
      <w:r>
        <w:rPr>
          <w:rStyle w:val="27"/>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7"/>
          <w:rFonts w:hint="eastAsia" w:ascii="仿宋" w:hAnsi="仿宋" w:eastAsia="仿宋"/>
          <w:b w:val="0"/>
          <w:bCs w:val="0"/>
          <w:color w:val="auto"/>
          <w:highlight w:val="none"/>
        </w:rPr>
        <w:t>出决算表</w:t>
      </w:r>
      <w:bookmarkEnd w:id="50"/>
    </w:p>
    <w:p>
      <w:pPr>
        <w:pStyle w:val="4"/>
        <w:rPr>
          <w:rFonts w:ascii="仿宋" w:hAnsi="仿宋" w:eastAsia="仿宋"/>
          <w:b w:val="0"/>
          <w:color w:val="auto"/>
          <w:highlight w:val="none"/>
        </w:rPr>
      </w:pPr>
      <w:bookmarkStart w:id="51" w:name="_Toc15396622"/>
      <w:r>
        <w:rPr>
          <w:rStyle w:val="27"/>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政拨款收入支出决算总表</w:t>
      </w:r>
      <w:bookmarkEnd w:id="51"/>
    </w:p>
    <w:p>
      <w:pPr>
        <w:pStyle w:val="4"/>
        <w:rPr>
          <w:rStyle w:val="27"/>
          <w:rFonts w:ascii="仿宋" w:hAnsi="仿宋" w:eastAsia="仿宋"/>
          <w:b w:val="0"/>
          <w:bCs w:val="0"/>
          <w:color w:val="auto"/>
          <w:highlight w:val="none"/>
        </w:rPr>
      </w:pPr>
      <w:bookmarkStart w:id="52" w:name="_Toc15396623"/>
      <w:r>
        <w:rPr>
          <w:rStyle w:val="27"/>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政拨款支出决算明细表</w:t>
      </w:r>
      <w:bookmarkEnd w:id="52"/>
      <w:bookmarkStart w:id="53" w:name="_Toc15396624"/>
    </w:p>
    <w:p>
      <w:pPr>
        <w:pStyle w:val="4"/>
        <w:rPr>
          <w:rFonts w:ascii="仿宋" w:hAnsi="仿宋" w:eastAsia="仿宋"/>
          <w:color w:val="auto"/>
          <w:highlight w:val="none"/>
        </w:rPr>
      </w:pPr>
      <w:r>
        <w:rPr>
          <w:rStyle w:val="27"/>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般公共预算财政拨款支出决算表</w:t>
      </w:r>
      <w:bookmarkEnd w:id="53"/>
    </w:p>
    <w:p>
      <w:pPr>
        <w:pStyle w:val="4"/>
        <w:rPr>
          <w:rFonts w:ascii="仿宋" w:hAnsi="仿宋" w:eastAsia="仿宋"/>
          <w:color w:val="auto"/>
          <w:highlight w:val="none"/>
        </w:rPr>
      </w:pPr>
      <w:bookmarkStart w:id="54" w:name="_Toc15396625"/>
      <w:r>
        <w:rPr>
          <w:rStyle w:val="27"/>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般公共预算财政拨款支出决算明细表</w:t>
      </w:r>
      <w:bookmarkEnd w:id="54"/>
    </w:p>
    <w:p>
      <w:pPr>
        <w:pStyle w:val="4"/>
        <w:rPr>
          <w:rFonts w:ascii="仿宋" w:hAnsi="仿宋" w:eastAsia="仿宋"/>
          <w:color w:val="auto"/>
          <w:highlight w:val="none"/>
        </w:rPr>
      </w:pPr>
      <w:bookmarkStart w:id="55" w:name="_Toc15396626"/>
      <w:r>
        <w:rPr>
          <w:rStyle w:val="27"/>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般公共预算财政拨款基本支出决算表</w:t>
      </w:r>
      <w:bookmarkEnd w:id="55"/>
    </w:p>
    <w:p>
      <w:pPr>
        <w:pStyle w:val="4"/>
        <w:rPr>
          <w:rFonts w:ascii="仿宋" w:hAnsi="仿宋" w:eastAsia="仿宋"/>
          <w:color w:val="auto"/>
          <w:highlight w:val="none"/>
        </w:rPr>
      </w:pPr>
      <w:bookmarkStart w:id="56" w:name="_Toc15396627"/>
      <w:r>
        <w:rPr>
          <w:rStyle w:val="27"/>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般公共预算财政拨款项目支出决算表</w:t>
      </w:r>
      <w:bookmarkEnd w:id="56"/>
    </w:p>
    <w:p>
      <w:pPr>
        <w:pStyle w:val="4"/>
        <w:rPr>
          <w:rFonts w:ascii="仿宋" w:hAnsi="仿宋" w:eastAsia="仿宋"/>
          <w:color w:val="auto"/>
          <w:highlight w:val="none"/>
        </w:rPr>
      </w:pPr>
      <w:bookmarkStart w:id="57" w:name="_Toc15396628"/>
      <w:r>
        <w:rPr>
          <w:rStyle w:val="27"/>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般公共预算财政拨款“三公”经费支出决算表</w:t>
      </w:r>
      <w:bookmarkEnd w:id="57"/>
    </w:p>
    <w:p>
      <w:pPr>
        <w:pStyle w:val="4"/>
        <w:rPr>
          <w:rFonts w:ascii="仿宋" w:hAnsi="仿宋" w:eastAsia="仿宋"/>
          <w:color w:val="auto"/>
          <w:highlight w:val="none"/>
        </w:rPr>
      </w:pPr>
      <w:bookmarkStart w:id="58" w:name="_Toc15396629"/>
      <w:r>
        <w:rPr>
          <w:rStyle w:val="27"/>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7"/>
          <w:rFonts w:hint="eastAsia" w:ascii="仿宋" w:hAnsi="仿宋" w:eastAsia="仿宋"/>
          <w:b w:val="0"/>
          <w:bCs w:val="0"/>
          <w:color w:val="auto"/>
          <w:highlight w:val="none"/>
        </w:rPr>
        <w:t>府性基金预算财政拨款收入支出决算表</w:t>
      </w:r>
      <w:bookmarkEnd w:id="58"/>
    </w:p>
    <w:p>
      <w:pPr>
        <w:pStyle w:val="4"/>
        <w:rPr>
          <w:rFonts w:ascii="仿宋" w:hAnsi="仿宋" w:eastAsia="仿宋"/>
          <w:color w:val="auto"/>
          <w:highlight w:val="none"/>
        </w:rPr>
      </w:pPr>
      <w:bookmarkStart w:id="59" w:name="_Toc15396630"/>
      <w:r>
        <w:rPr>
          <w:rStyle w:val="27"/>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7"/>
          <w:rFonts w:hint="eastAsia" w:ascii="仿宋" w:hAnsi="仿宋" w:eastAsia="仿宋"/>
          <w:b w:val="0"/>
          <w:bCs w:val="0"/>
          <w:color w:val="auto"/>
          <w:highlight w:val="none"/>
        </w:rPr>
        <w:t>府性基金预算财政拨款“三公”经费支出决算表</w:t>
      </w:r>
      <w:bookmarkEnd w:id="59"/>
    </w:p>
    <w:p>
      <w:pPr>
        <w:pStyle w:val="4"/>
        <w:rPr>
          <w:rStyle w:val="27"/>
          <w:rFonts w:hint="eastAsia" w:ascii="仿宋" w:hAnsi="仿宋" w:eastAsia="仿宋"/>
          <w:b w:val="0"/>
          <w:bCs w:val="0"/>
          <w:color w:val="auto"/>
          <w:highlight w:val="none"/>
        </w:rPr>
      </w:pPr>
      <w:bookmarkStart w:id="60" w:name="_Toc15396631"/>
      <w:r>
        <w:rPr>
          <w:rStyle w:val="27"/>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7"/>
          <w:rFonts w:hint="eastAsia" w:ascii="仿宋" w:hAnsi="仿宋" w:eastAsia="仿宋"/>
          <w:b w:val="0"/>
          <w:bCs w:val="0"/>
          <w:color w:val="auto"/>
          <w:highlight w:val="none"/>
        </w:rPr>
        <w:t>有资本经营预算</w:t>
      </w:r>
      <w:r>
        <w:rPr>
          <w:rStyle w:val="27"/>
          <w:rFonts w:hint="eastAsia" w:ascii="仿宋" w:hAnsi="仿宋" w:eastAsia="仿宋"/>
          <w:b w:val="0"/>
          <w:bCs w:val="0"/>
          <w:color w:val="auto"/>
          <w:highlight w:val="none"/>
          <w:lang w:eastAsia="zh-CN"/>
        </w:rPr>
        <w:t>财政拨款收入</w:t>
      </w:r>
      <w:r>
        <w:rPr>
          <w:rStyle w:val="27"/>
          <w:rFonts w:hint="eastAsia" w:ascii="仿宋" w:hAnsi="仿宋" w:eastAsia="仿宋"/>
          <w:b w:val="0"/>
          <w:bCs w:val="0"/>
          <w:color w:val="auto"/>
          <w:highlight w:val="none"/>
        </w:rPr>
        <w:t>支出决算表</w:t>
      </w:r>
      <w:bookmarkEnd w:id="60"/>
    </w:p>
    <w:p>
      <w:pPr>
        <w:rPr>
          <w:rFonts w:hint="eastAsia" w:eastAsia="仿宋"/>
          <w:color w:val="auto"/>
          <w:highlight w:val="none"/>
          <w:lang w:eastAsia="zh-CN"/>
        </w:rPr>
      </w:pPr>
      <w:r>
        <w:rPr>
          <w:rStyle w:val="27"/>
          <w:rFonts w:hint="eastAsia" w:ascii="仿宋" w:hAnsi="仿宋" w:eastAsia="仿宋"/>
          <w:b w:val="0"/>
          <w:bCs w:val="0"/>
          <w:color w:val="auto"/>
          <w:highlight w:val="none"/>
          <w:lang w:eastAsia="zh-CN"/>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AC8340"/>
    <w:multiLevelType w:val="singleLevel"/>
    <w:tmpl w:val="DCAC8340"/>
    <w:lvl w:ilvl="0" w:tentative="0">
      <w:start w:val="1"/>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F2B78EF3"/>
    <w:multiLevelType w:val="singleLevel"/>
    <w:tmpl w:val="F2B78EF3"/>
    <w:lvl w:ilvl="0" w:tentative="0">
      <w:start w:val="2"/>
      <w:numFmt w:val="chineseCounting"/>
      <w:suff w:val="space"/>
      <w:lvlText w:val="第%1部分"/>
      <w:lvlJc w:val="left"/>
      <w:rPr>
        <w:rFonts w:hint="eastAsia"/>
      </w:rPr>
    </w:lvl>
  </w:abstractNum>
  <w:abstractNum w:abstractNumId="3">
    <w:nsid w:val="155913F9"/>
    <w:multiLevelType w:val="singleLevel"/>
    <w:tmpl w:val="155913F9"/>
    <w:lvl w:ilvl="0" w:tentative="0">
      <w:start w:val="1"/>
      <w:numFmt w:val="chineseCounting"/>
      <w:suff w:val="nothing"/>
      <w:lvlText w:val="（%1）"/>
      <w:lvlJc w:val="left"/>
      <w:rPr>
        <w:rFonts w:hint="eastAsia"/>
      </w:rPr>
    </w:lvl>
  </w:abstractNum>
  <w:abstractNum w:abstractNumId="4">
    <w:nsid w:val="434E85EB"/>
    <w:multiLevelType w:val="singleLevel"/>
    <w:tmpl w:val="434E85EB"/>
    <w:lvl w:ilvl="0" w:tentative="0">
      <w:start w:val="1"/>
      <w:numFmt w:val="chineseCounting"/>
      <w:suff w:val="nothing"/>
      <w:lvlText w:val="%1、"/>
      <w:lvlJc w:val="left"/>
      <w:rPr>
        <w:rFonts w:hint="eastAsia"/>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5ZjIxZTUxYzY1Mjc2ZWVhMzA2ZWM3NmIxODczM2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5F3010D"/>
    <w:rsid w:val="09A111A4"/>
    <w:rsid w:val="0A2032A3"/>
    <w:rsid w:val="0B8A37D8"/>
    <w:rsid w:val="0D7003CD"/>
    <w:rsid w:val="0DC01DD9"/>
    <w:rsid w:val="10C055FF"/>
    <w:rsid w:val="118107EC"/>
    <w:rsid w:val="11DD6519"/>
    <w:rsid w:val="14770348"/>
    <w:rsid w:val="16BB723D"/>
    <w:rsid w:val="18015F3F"/>
    <w:rsid w:val="18FB35F1"/>
    <w:rsid w:val="1A396F50"/>
    <w:rsid w:val="1BE8440E"/>
    <w:rsid w:val="1D155CEE"/>
    <w:rsid w:val="20422391"/>
    <w:rsid w:val="20F57F95"/>
    <w:rsid w:val="240371BF"/>
    <w:rsid w:val="25C741E6"/>
    <w:rsid w:val="25FC31CC"/>
    <w:rsid w:val="26326E28"/>
    <w:rsid w:val="27842671"/>
    <w:rsid w:val="284F6AE1"/>
    <w:rsid w:val="29FD04D3"/>
    <w:rsid w:val="2ABE7A3E"/>
    <w:rsid w:val="2DF351B0"/>
    <w:rsid w:val="2EFA178C"/>
    <w:rsid w:val="30B46D73"/>
    <w:rsid w:val="319F7F4E"/>
    <w:rsid w:val="31E64DE2"/>
    <w:rsid w:val="33E97065"/>
    <w:rsid w:val="35472BB0"/>
    <w:rsid w:val="39AE70AB"/>
    <w:rsid w:val="3C0C0783"/>
    <w:rsid w:val="3F9F3A96"/>
    <w:rsid w:val="40694322"/>
    <w:rsid w:val="44D42EA6"/>
    <w:rsid w:val="493C27E9"/>
    <w:rsid w:val="496F39ED"/>
    <w:rsid w:val="49FF41D3"/>
    <w:rsid w:val="4BE068DB"/>
    <w:rsid w:val="4BF6002B"/>
    <w:rsid w:val="4ECE2238"/>
    <w:rsid w:val="51DB4B86"/>
    <w:rsid w:val="52187892"/>
    <w:rsid w:val="54AD6920"/>
    <w:rsid w:val="55333C3E"/>
    <w:rsid w:val="56BE6BDA"/>
    <w:rsid w:val="5A4E2302"/>
    <w:rsid w:val="5AD04C69"/>
    <w:rsid w:val="5BA10670"/>
    <w:rsid w:val="64CA39A1"/>
    <w:rsid w:val="67793DF9"/>
    <w:rsid w:val="69AD796E"/>
    <w:rsid w:val="6C4A05C8"/>
    <w:rsid w:val="722E5911"/>
    <w:rsid w:val="72734D90"/>
    <w:rsid w:val="73423733"/>
    <w:rsid w:val="79E7B28D"/>
    <w:rsid w:val="7AE67AFB"/>
    <w:rsid w:val="7B986DD3"/>
    <w:rsid w:val="7DB95287"/>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6">
    <w:name w:val="Body Text"/>
    <w:basedOn w:val="1"/>
    <w:link w:val="23"/>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2"/>
    <w:basedOn w:val="1"/>
    <w:qFormat/>
    <w:uiPriority w:val="0"/>
    <w:pPr>
      <w:spacing w:before="120" w:after="120"/>
      <w:ind w:firstLine="640"/>
      <w:jc w:val="center"/>
    </w:pPr>
    <w:rPr>
      <w:rFonts w:ascii="宋体" w:hAnsi="宋体"/>
      <w:szCs w:val="20"/>
    </w:r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6"/>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b/>
      <w:bCs/>
      <w:kern w:val="44"/>
      <w:sz w:val="44"/>
      <w:szCs w:val="44"/>
    </w:rPr>
  </w:style>
  <w:style w:type="character" w:customStyle="1" w:styleId="27">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8"/>
    <w:semiHidden/>
    <w:qFormat/>
    <w:uiPriority w:val="99"/>
    <w:rPr>
      <w:rFonts w:ascii="Times New Roman" w:hAnsi="Times New Roman"/>
      <w:kern w:val="2"/>
      <w:sz w:val="18"/>
      <w:szCs w:val="18"/>
    </w:rPr>
  </w:style>
  <w:style w:type="character" w:customStyle="1" w:styleId="30">
    <w:name w:val="标题 3 Char"/>
    <w:basedOn w:val="15"/>
    <w:link w:val="5"/>
    <w:qFormat/>
    <w:uiPriority w:val="9"/>
    <w:rPr>
      <w:rFonts w:ascii="Times New Roman" w:hAnsi="Times New Roman"/>
      <w:b/>
      <w:bCs/>
      <w:kern w:val="2"/>
      <w:sz w:val="32"/>
      <w:szCs w:val="32"/>
    </w:rPr>
  </w:style>
  <w:style w:type="paragraph" w:customStyle="1" w:styleId="31">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Sheet1!$B$2:$C$2</c:f>
              <c:numCache>
                <c:formatCode>General</c:formatCode>
                <c:ptCount val="2"/>
                <c:pt idx="0">
                  <c:v>6060.1</c:v>
                </c:pt>
                <c:pt idx="1">
                  <c:v>61.68</c:v>
                </c:pt>
              </c:numCache>
            </c:numRef>
          </c:val>
        </c:ser>
        <c:ser>
          <c:idx val="1"/>
          <c:order val="1"/>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Sheet1!$B$3:$C$3</c:f>
              <c:numCache>
                <c:formatCode>General</c:formatCode>
                <c:ptCount val="2"/>
                <c:pt idx="0">
                  <c:v>2100.8</c:v>
                </c:pt>
                <c:pt idx="1">
                  <c:v>2880.72</c:v>
                </c:pt>
              </c:numCache>
            </c:numRef>
          </c:val>
        </c:ser>
        <c:dLbls>
          <c:showLegendKey val="0"/>
          <c:showVal val="1"/>
          <c:showCatName val="0"/>
          <c:showSerName val="0"/>
          <c:showPercent val="0"/>
          <c:showBubbleSize val="0"/>
        </c:dLbls>
        <c:gapWidth val="219"/>
        <c:overlap val="-27"/>
        <c:axId val="731467005"/>
        <c:axId val="66682384"/>
      </c:barChart>
      <c:catAx>
        <c:axId val="73146700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682384"/>
        <c:crosses val="autoZero"/>
        <c:auto val="1"/>
        <c:lblAlgn val="ctr"/>
        <c:lblOffset val="100"/>
        <c:noMultiLvlLbl val="0"/>
      </c:catAx>
      <c:valAx>
        <c:axId val="66682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146700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一般公共预算财政拨款收入</c:v>
                </c:pt>
                <c:pt idx="1">
                  <c:v>政府性基金预算财政拨款收入</c:v>
                </c:pt>
                <c:pt idx="2">
                  <c:v>国有资本经营预算财政拨款收入</c:v>
                </c:pt>
                <c:pt idx="3">
                  <c:v>上级补助收入</c:v>
                </c:pt>
              </c:strCache>
            </c:strRef>
          </c:cat>
          <c:val>
            <c:numRef>
              <c:f>Sheet1!$B$2:$B$5</c:f>
              <c:numCache>
                <c:formatCode>General</c:formatCode>
                <c:ptCount val="4"/>
                <c:pt idx="0">
                  <c:v>61.68</c:v>
                </c:pt>
                <c:pt idx="1">
                  <c:v>0</c:v>
                </c:pt>
                <c:pt idx="2">
                  <c:v>0</c:v>
                </c:pt>
                <c:pt idx="3">
                  <c:v>0</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a:t>
            </a:r>
          </a:p>
        </c:rich>
      </c:tx>
      <c:layout/>
      <c:overlay val="0"/>
      <c:spPr>
        <a:noFill/>
        <a:ln>
          <a:noFill/>
        </a:ln>
        <a:effectLst/>
      </c:spPr>
    </c:title>
    <c:autoTitleDeleted val="0"/>
    <c:plotArea>
      <c:layout/>
      <c:pieChart>
        <c:varyColors val="1"/>
        <c:ser>
          <c:idx val="0"/>
          <c:order val="0"/>
          <c:tx>
            <c:strRef>
              <c:f>Sheet1!$B$1</c:f>
              <c:strCache>
                <c:ptCount val="1"/>
                <c:pt idx="0">
                  <c:v>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56.28</c:v>
                </c:pt>
                <c:pt idx="1">
                  <c:v>2824.44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Sheet1!$B$2:$C$2</c:f>
              <c:numCache>
                <c:formatCode>General</c:formatCode>
                <c:ptCount val="2"/>
                <c:pt idx="0">
                  <c:v>6060.1</c:v>
                </c:pt>
                <c:pt idx="1">
                  <c:v>61.68</c:v>
                </c:pt>
              </c:numCache>
            </c:numRef>
          </c:val>
        </c:ser>
        <c:ser>
          <c:idx val="1"/>
          <c:order val="1"/>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Sheet1!$B$3:$C$3</c:f>
              <c:numCache>
                <c:formatCode>General</c:formatCode>
                <c:ptCount val="2"/>
                <c:pt idx="0">
                  <c:v>2100.8</c:v>
                </c:pt>
                <c:pt idx="1">
                  <c:v>2880.72</c:v>
                </c:pt>
              </c:numCache>
            </c:numRef>
          </c:val>
        </c:ser>
        <c:dLbls>
          <c:showLegendKey val="0"/>
          <c:showVal val="1"/>
          <c:showCatName val="0"/>
          <c:showSerName val="0"/>
          <c:showPercent val="0"/>
          <c:showBubbleSize val="0"/>
        </c:dLbls>
        <c:gapWidth val="219"/>
        <c:overlap val="-27"/>
        <c:axId val="731467005"/>
        <c:axId val="66682384"/>
      </c:barChart>
      <c:catAx>
        <c:axId val="73146700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682384"/>
        <c:crosses val="autoZero"/>
        <c:auto val="1"/>
        <c:lblAlgn val="ctr"/>
        <c:lblOffset val="100"/>
        <c:noMultiLvlLbl val="0"/>
      </c:catAx>
      <c:valAx>
        <c:axId val="66682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146700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129376753336"/>
          <c:y val="0.131718256529409"/>
          <c:w val="0.799290987288157"/>
          <c:h val="0.682889720752119"/>
        </c:manualLayout>
      </c:layout>
      <c:barChart>
        <c:barDir val="col"/>
        <c:grouping val="clustered"/>
        <c:varyColors val="0"/>
        <c:ser>
          <c:idx val="0"/>
          <c:order val="0"/>
          <c:tx>
            <c:strRef>
              <c:f>Sheet1!$B$1</c:f>
              <c:strCache>
                <c:ptCount val="1"/>
                <c:pt idx="0">
                  <c:v>2020年</c:v>
                </c:pt>
              </c:strCache>
            </c:strRef>
          </c:tx>
          <c:spPr>
            <a:solidFill>
              <a:schemeClr val="accent1"/>
            </a:solidFill>
            <a:ln>
              <a:noFill/>
            </a:ln>
            <a:effectLst/>
          </c:spPr>
          <c:invertIfNegative val="0"/>
          <c:dLbls>
            <c:dLbl>
              <c:idx val="0"/>
              <c:layout>
                <c:manualLayout>
                  <c:x val="-0.107074569789675"/>
                  <c:y val="-0.0655737704918033"/>
                </c:manualLayout>
              </c:layout>
              <c:dLblPos val="outEnd"/>
              <c:showLegendKey val="0"/>
              <c:showVal val="1"/>
              <c:showCatName val="1"/>
              <c:showSerName val="0"/>
              <c:showPercent val="0"/>
              <c:showBubbleSize val="0"/>
              <c:extLst>
                <c:ext xmlns:c15="http://schemas.microsoft.com/office/drawing/2012/chart" uri="{CE6537A1-D6FC-4f65-9D91-7224C49458BB}">
                  <c15:layout/>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zh-CN" sz="900" b="0" i="0" u="none" strike="noStrike" kern="1200" baseline="0">
                    <a:solidFill>
                      <a:schemeClr val="dk1">
                        <a:lumMod val="65000"/>
                        <a:lumOff val="35000"/>
                      </a:schemeClr>
                    </a:solidFill>
                    <a:latin typeface="+mn-lt"/>
                    <a:ea typeface="+mn-ea"/>
                    <a:cs typeface="+mn-cs"/>
                  </a:defRPr>
                </a:pPr>
              </a:p>
            </c:txPr>
            <c:dLblPos val="outEnd"/>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15:showLeaderLines val="0"/>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Sheet1!$B$2</c:f>
              <c:numCache>
                <c:formatCode>General</c:formatCode>
                <c:ptCount val="1"/>
                <c:pt idx="0">
                  <c:v>2100.8</c:v>
                </c:pt>
              </c:numCache>
            </c:numRef>
          </c:val>
        </c:ser>
        <c:ser>
          <c:idx val="1"/>
          <c:order val="1"/>
          <c:tx>
            <c:strRef>
              <c:f>Sheet1!$C$1</c:f>
              <c:strCache>
                <c:ptCount val="1"/>
                <c:pt idx="0">
                  <c:v>2021年</c:v>
                </c:pt>
              </c:strCache>
            </c:strRef>
          </c:tx>
          <c:spPr>
            <a:solidFill>
              <a:schemeClr val="accent2"/>
            </a:solidFill>
            <a:ln>
              <a:noFill/>
            </a:ln>
            <a:effectLst/>
          </c:spPr>
          <c:invertIfNegative val="0"/>
          <c:dLbls>
            <c:dLbl>
              <c:idx val="0"/>
              <c:layout>
                <c:manualLayout>
                  <c:x val="0.209050350541746"/>
                  <c:y val="0.0743169398907104"/>
                </c:manualLayout>
              </c:layout>
              <c:dLblPos val="outEnd"/>
              <c:showLegendKey val="0"/>
              <c:showVal val="1"/>
              <c:showCatName val="1"/>
              <c:showSerName val="0"/>
              <c:showPercent val="0"/>
              <c:showBubbleSize val="0"/>
              <c:extLst>
                <c:ext xmlns:c15="http://schemas.microsoft.com/office/drawing/2012/chart" uri="{CE6537A1-D6FC-4f65-9D91-7224C49458BB}">
                  <c15:layout/>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zh-CN" sz="900" b="0" i="0" u="none" strike="noStrike" kern="1200" baseline="0">
                    <a:solidFill>
                      <a:schemeClr val="dk1">
                        <a:lumMod val="65000"/>
                        <a:lumOff val="35000"/>
                      </a:schemeClr>
                    </a:solidFill>
                    <a:latin typeface="+mn-lt"/>
                    <a:ea typeface="+mn-ea"/>
                    <a:cs typeface="+mn-cs"/>
                  </a:defRPr>
                </a:pPr>
              </a:p>
            </c:txPr>
            <c:dLblPos val="outEnd"/>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15:showLeaderLines val="0"/>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2880.72</c:v>
                </c:pt>
              </c:numCache>
            </c:numRef>
          </c:val>
        </c:ser>
        <c:dLbls>
          <c:showLegendKey val="0"/>
          <c:showVal val="0"/>
          <c:showCatName val="0"/>
          <c:showSerName val="0"/>
          <c:showPercent val="0"/>
          <c:showBubbleSize val="0"/>
        </c:dLbls>
        <c:gapWidth val="219"/>
        <c:overlap val="-27"/>
        <c:axId val="896250168"/>
        <c:axId val="896256728"/>
      </c:barChart>
      <c:catAx>
        <c:axId val="896250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6256728"/>
        <c:crosses val="autoZero"/>
        <c:auto val="1"/>
        <c:lblAlgn val="ctr"/>
        <c:lblOffset val="100"/>
        <c:noMultiLvlLbl val="0"/>
      </c:catAx>
      <c:valAx>
        <c:axId val="896256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62501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支出结构情况</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330252618607517"/>
                  <c:y val="0.216949152542373"/>
                </c:manualLayout>
              </c:layout>
              <c:tx>
                <c:rich>
                  <a:bodyPr rot="0" spcFirstLastPara="1" vertOverflow="clip" vert="horz" wrap="square" lIns="38100" tIns="19050" rIns="38100" bIns="19050" anchor="ctr" anchorCtr="1"/>
                  <a:lstStyle/>
                  <a:p>
                    <a:pPr defTabSz="914400">
                      <a:defRPr lang="zh-CN" sz="900" b="0" i="0" u="none" strike="noStrike" kern="1200" baseline="0">
                        <a:solidFill>
                          <a:schemeClr val="dk1">
                            <a:lumMod val="65000"/>
                            <a:lumOff val="35000"/>
                          </a:schemeClr>
                        </a:solidFill>
                        <a:latin typeface="+mn-lt"/>
                        <a:ea typeface="+mn-ea"/>
                        <a:cs typeface="+mn-cs"/>
                      </a:defRPr>
                    </a:pPr>
                    <a:r>
                      <a:t>社会保障和就业类</a:t>
                    </a:r>
                  </a:p>
                  <a:p>
                    <a:pPr defTabSz="914400">
                      <a:defRPr lang="zh-CN" sz="900" b="0" i="0" u="none" strike="noStrike" kern="1200" baseline="0">
                        <a:solidFill>
                          <a:schemeClr val="dk1">
                            <a:lumMod val="65000"/>
                            <a:lumOff val="35000"/>
                          </a:schemeClr>
                        </a:solidFill>
                        <a:latin typeface="+mn-lt"/>
                        <a:ea typeface="+mn-ea"/>
                        <a:cs typeface="+mn-cs"/>
                      </a:defRPr>
                    </a:pPr>
                    <a:r>
                      <a:rPr lang="en-US" altLang="zh-CN"/>
                      <a:t>0.27</a:t>
                    </a:r>
                    <a:r>
                      <a:t>%</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229205175600739"/>
                  <c:y val="0.00903954802259887"/>
                </c:manualLayout>
              </c:layout>
              <c:tx>
                <c:rich>
                  <a:bodyPr rot="0" spcFirstLastPara="1" vertOverflow="clip" vert="horz" wrap="square" lIns="38100" tIns="19050" rIns="38100" bIns="19050" anchor="ctr" anchorCtr="1"/>
                  <a:lstStyle/>
                  <a:p>
                    <a:pPr defTabSz="914400">
                      <a:defRPr lang="zh-CN" sz="900" b="0" i="0" u="none" strike="noStrike" kern="1200" baseline="0">
                        <a:solidFill>
                          <a:schemeClr val="dk1">
                            <a:lumMod val="65000"/>
                            <a:lumOff val="35000"/>
                          </a:schemeClr>
                        </a:solidFill>
                        <a:latin typeface="+mn-lt"/>
                        <a:ea typeface="+mn-ea"/>
                        <a:cs typeface="+mn-cs"/>
                      </a:defRPr>
                    </a:pPr>
                    <a:r>
                      <a:t>卫生健康支出类</a:t>
                    </a:r>
                  </a:p>
                  <a:p>
                    <a:pPr defTabSz="914400">
                      <a:defRPr lang="zh-CN" sz="900" b="0" i="0" u="none" strike="noStrike" kern="1200" baseline="0">
                        <a:solidFill>
                          <a:schemeClr val="dk1">
                            <a:lumMod val="65000"/>
                            <a:lumOff val="35000"/>
                          </a:schemeClr>
                        </a:solidFill>
                        <a:latin typeface="+mn-lt"/>
                        <a:ea typeface="+mn-ea"/>
                        <a:cs typeface="+mn-cs"/>
                      </a:defRPr>
                    </a:pPr>
                    <a:r>
                      <a:rPr lang="en-US" altLang="zh-CN"/>
                      <a:t>0.13</a:t>
                    </a:r>
                    <a:r>
                      <a:t>%</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214417744916821"/>
                  <c:y val="0.036158192090395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162661737523105"/>
                  <c:y val="0.262146892655367"/>
                </c:manualLayout>
              </c:layout>
              <c:tx>
                <c:rich>
                  <a:bodyPr rot="0" spcFirstLastPara="1" vertOverflow="clip" vert="horz" wrap="square" lIns="38100" tIns="19050" rIns="38100" bIns="19050" anchor="ctr" anchorCtr="1"/>
                  <a:lstStyle/>
                  <a:p>
                    <a:pPr defTabSz="914400">
                      <a:defRPr lang="zh-CN" sz="900" b="0" i="0" u="none" strike="noStrike" kern="1200" baseline="0">
                        <a:solidFill>
                          <a:schemeClr val="dk1">
                            <a:lumMod val="65000"/>
                            <a:lumOff val="35000"/>
                          </a:schemeClr>
                        </a:solidFill>
                        <a:latin typeface="+mn-lt"/>
                        <a:ea typeface="+mn-ea"/>
                        <a:cs typeface="+mn-cs"/>
                      </a:defRPr>
                    </a:pPr>
                    <a:r>
                      <a:t>住房保障支出类</a:t>
                    </a:r>
                  </a:p>
                  <a:p>
                    <a:pPr defTabSz="914400">
                      <a:defRPr lang="zh-CN" sz="900" b="0" i="0" u="none" strike="noStrike" kern="1200" baseline="0">
                        <a:solidFill>
                          <a:schemeClr val="dk1">
                            <a:lumMod val="65000"/>
                            <a:lumOff val="35000"/>
                          </a:schemeClr>
                        </a:solidFill>
                        <a:latin typeface="+mn-lt"/>
                        <a:ea typeface="+mn-ea"/>
                        <a:cs typeface="+mn-cs"/>
                      </a:defRPr>
                    </a:pPr>
                    <a:r>
                      <a:rPr lang="en-US" altLang="zh-CN"/>
                      <a:t>0.19</a:t>
                    </a:r>
                    <a:r>
                      <a:t>%</a:t>
                    </a:r>
                    <a:endParaRPr lang="zh-CN" altLang="en-US"/>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zh-CN" sz="900" b="0" i="0" u="none" strike="noStrike" kern="1200" baseline="0">
                    <a:solidFill>
                      <a:schemeClr val="dk1">
                        <a:lumMod val="65000"/>
                        <a:lumOff val="35000"/>
                      </a:schemeClr>
                    </a:solidFill>
                    <a:latin typeface="+mn-lt"/>
                    <a:ea typeface="+mn-ea"/>
                    <a:cs typeface="+mn-cs"/>
                  </a:defRPr>
                </a:pP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15:showLeaderLines val="0"/>
                <c15:leaderLines>
                  <c:spPr>
                    <a:ln w="9525" cap="flat" cmpd="sng" algn="ctr">
                      <a:solidFill>
                        <a:schemeClr val="tx1">
                          <a:lumMod val="35000"/>
                          <a:lumOff val="65000"/>
                        </a:schemeClr>
                      </a:solidFill>
                      <a:round/>
                    </a:ln>
                    <a:effectLst/>
                  </c:spPr>
                </c15:leaderLines>
              </c:ext>
            </c:extLst>
          </c:dLbls>
          <c:cat>
            <c:strRef>
              <c:f>Sheet1!$A$2:$A$5</c:f>
              <c:strCache>
                <c:ptCount val="4"/>
                <c:pt idx="0">
                  <c:v>社会保障和就业类</c:v>
                </c:pt>
                <c:pt idx="1">
                  <c:v>卫生健康支出类</c:v>
                </c:pt>
                <c:pt idx="2">
                  <c:v>农林水支出类</c:v>
                </c:pt>
                <c:pt idx="3">
                  <c:v>住房保障支出类</c:v>
                </c:pt>
              </c:strCache>
            </c:strRef>
          </c:cat>
          <c:val>
            <c:numRef>
              <c:f>Sheet1!$B$2:$B$5</c:f>
              <c:numCache>
                <c:formatCode>0.00_ </c:formatCode>
                <c:ptCount val="4"/>
                <c:pt idx="0">
                  <c:v>4.98</c:v>
                </c:pt>
                <c:pt idx="1">
                  <c:v>2.33</c:v>
                </c:pt>
                <c:pt idx="2">
                  <c:v>2869.91</c:v>
                </c:pt>
                <c:pt idx="3">
                  <c:v>3.5</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b"/>
      <c:layout>
        <c:manualLayout>
          <c:xMode val="edge"/>
          <c:yMode val="edge"/>
          <c:x val="0.129759704251386"/>
          <c:y val="0.890847457627119"/>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6"/>
          <c:dPt>
            <c:idx val="0"/>
            <c:bubble3D val="0"/>
            <c:explosion val="0"/>
            <c:spPr>
              <a:solidFill>
                <a:schemeClr val="accent1"/>
              </a:solidFill>
              <a:ln w="19050">
                <a:solidFill>
                  <a:schemeClr val="lt1"/>
                </a:solidFill>
              </a:ln>
              <a:effectLst/>
            </c:spPr>
          </c:dPt>
          <c:dPt>
            <c:idx val="1"/>
            <c:bubble3D val="0"/>
            <c:explosion val="0"/>
            <c:spPr>
              <a:solidFill>
                <a:schemeClr val="accent3"/>
              </a:solidFill>
              <a:ln w="19050">
                <a:solidFill>
                  <a:schemeClr val="lt1"/>
                </a:solidFill>
              </a:ln>
              <a:effectLst/>
            </c:spPr>
          </c:dPt>
          <c:dPt>
            <c:idx val="2"/>
            <c:bubble3D val="0"/>
            <c:explosion val="0"/>
            <c:spPr>
              <a:solidFill>
                <a:schemeClr val="accent5"/>
              </a:solidFill>
              <a:ln w="19050">
                <a:solidFill>
                  <a:schemeClr val="lt1"/>
                </a:solidFill>
              </a:ln>
              <a:effectLst/>
            </c:spPr>
          </c:dPt>
          <c:dLbls>
            <c:dLbl>
              <c:idx val="0"/>
              <c:layout>
                <c:manualLayout>
                  <c:x val="0.293877551020408"/>
                  <c:y val="0.0512820512820513"/>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326530612244898"/>
                  <c:y val="0.12121212121212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193197278911565"/>
                  <c:y val="-0.027972027972028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zh-CN" sz="900" b="0" i="0" u="none" strike="noStrike" kern="1200" baseline="0">
                    <a:solidFill>
                      <a:schemeClr val="dk1">
                        <a:lumMod val="65000"/>
                        <a:lumOff val="35000"/>
                      </a:schemeClr>
                    </a:solidFill>
                    <a:latin typeface="+mn-lt"/>
                    <a:ea typeface="+mn-ea"/>
                    <a:cs typeface="+mn-cs"/>
                  </a:defRPr>
                </a:pP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15:showLeaderLines val="0"/>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Sheet1!$B$2:$B$4</c:f>
              <c:numCache>
                <c:formatCode>General</c:formatCode>
                <c:ptCount val="3"/>
                <c:pt idx="0">
                  <c:v>0</c:v>
                </c:pt>
                <c:pt idx="1">
                  <c:v>0</c:v>
                </c:pt>
                <c:pt idx="2">
                  <c:v>100</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18</Pages>
  <Words>4963</Words>
  <Characters>5373</Characters>
  <Lines>61</Lines>
  <Paragraphs>17</Paragraphs>
  <TotalTime>1</TotalTime>
  <ScaleCrop>false</ScaleCrop>
  <LinksUpToDate>false</LinksUpToDate>
  <CharactersWithSpaces>5406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2022-08-06T02:23:00Z</cp:lastPrinted>
  <dcterms:modified xsi:type="dcterms:W3CDTF">2022-09-26T02:35:03Z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6C0CEEEB508A4AF9A57359F6076CDD84</vt:lpwstr>
  </property>
</Properties>
</file>