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7194"/>
      <w:bookmarkStart w:id="8" w:name="_Toc15396476"/>
      <w:bookmarkStart w:id="9" w:name="_Toc15396598"/>
      <w:bookmarkStart w:id="10" w:name="_Toc15378442"/>
      <w:bookmarkStart w:id="11" w:name="_Toc1783"/>
      <w:r>
        <w:rPr>
          <w:rFonts w:hint="eastAsia" w:ascii="方正小标宋简体" w:hAnsi="方正小标宋简体" w:eastAsia="方正小标宋简体" w:cs="方正小标宋简体"/>
          <w:color w:val="auto"/>
          <w:sz w:val="72"/>
          <w:szCs w:val="72"/>
          <w:highlight w:val="none"/>
        </w:rPr>
        <w:t>四川省</w:t>
      </w:r>
      <w:bookmarkEnd w:id="0"/>
      <w:bookmarkStart w:id="12" w:name="_Toc15306268"/>
      <w:r>
        <w:rPr>
          <w:rFonts w:hint="eastAsia" w:ascii="方正小标宋简体" w:hAnsi="方正小标宋简体" w:eastAsia="方正小标宋简体" w:cs="方正小标宋简体"/>
          <w:color w:val="auto"/>
          <w:sz w:val="72"/>
          <w:szCs w:val="72"/>
          <w:highlight w:val="none"/>
          <w:lang w:eastAsia="zh-CN"/>
        </w:rPr>
        <w:t>广元市朝天区应急管理局单位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bookmarkEnd w:id="12"/>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102" w:name="_GoBack"/>
      <w:bookmarkEnd w:id="102"/>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6185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pPr>
            <w:pStyle w:val="31"/>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_Toc28562 </w:instrText>
          </w:r>
          <w:r>
            <w:rPr>
              <w:b/>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_Toc28562 \h </w:instrText>
          </w:r>
          <w:r>
            <w:rPr>
              <w:b/>
            </w:rPr>
            <w:fldChar w:fldCharType="separate"/>
          </w:r>
          <w:r>
            <w:rPr>
              <w:b/>
            </w:rPr>
            <w:t>3</w:t>
          </w:r>
          <w:r>
            <w:rPr>
              <w:b/>
            </w:rPr>
            <w:fldChar w:fldCharType="end"/>
          </w:r>
          <w:r>
            <w:rPr>
              <w:b/>
            </w:rPr>
            <w:fldChar w:fldCharType="end"/>
          </w:r>
        </w:p>
        <w:p>
          <w:pPr>
            <w:pStyle w:val="32"/>
            <w:tabs>
              <w:tab w:val="right" w:leader="dot" w:pos="8306"/>
            </w:tabs>
          </w:pPr>
          <w:r>
            <w:fldChar w:fldCharType="begin"/>
          </w:r>
          <w:r>
            <w:instrText xml:space="preserve"> HYPERLINK \l _Toc15517 </w:instrText>
          </w:r>
          <w:r>
            <w:fldChar w:fldCharType="separate"/>
          </w:r>
          <w:r>
            <w:rPr>
              <w:rFonts w:hint="eastAsia" w:ascii="黑体" w:hAnsi="黑体" w:eastAsia="黑体"/>
              <w:bCs w:val="0"/>
              <w:highlight w:val="none"/>
              <w:lang w:eastAsia="zh-CN"/>
            </w:rPr>
            <w:t>一、</w:t>
          </w:r>
          <w:r>
            <w:rPr>
              <w:rFonts w:hint="eastAsia" w:ascii="黑体" w:hAnsi="黑体" w:eastAsia="黑体"/>
              <w:bCs w:val="0"/>
              <w:highlight w:val="none"/>
            </w:rPr>
            <w:t>职能</w:t>
          </w:r>
          <w:r>
            <w:rPr>
              <w:rFonts w:hint="eastAsia" w:ascii="黑体" w:hAnsi="黑体" w:eastAsia="黑体"/>
              <w:bCs w:val="0"/>
              <w:highlight w:val="none"/>
              <w:lang w:eastAsia="zh-CN"/>
            </w:rPr>
            <w:t>简介</w:t>
          </w:r>
          <w:r>
            <w:tab/>
          </w:r>
          <w:r>
            <w:fldChar w:fldCharType="begin"/>
          </w:r>
          <w:r>
            <w:instrText xml:space="preserve"> PAGEREF _Toc15517 \h </w:instrText>
          </w:r>
          <w:r>
            <w:fldChar w:fldCharType="separate"/>
          </w:r>
          <w:r>
            <w:t>3</w:t>
          </w:r>
          <w:r>
            <w:fldChar w:fldCharType="end"/>
          </w:r>
          <w:r>
            <w:fldChar w:fldCharType="end"/>
          </w:r>
        </w:p>
        <w:p>
          <w:pPr>
            <w:pStyle w:val="32"/>
            <w:tabs>
              <w:tab w:val="right" w:leader="dot" w:pos="8306"/>
            </w:tabs>
          </w:pPr>
          <w:r>
            <w:fldChar w:fldCharType="begin"/>
          </w:r>
          <w:r>
            <w:instrText xml:space="preserve"> HYPERLINK \l _Toc1117 </w:instrText>
          </w:r>
          <w:r>
            <w:fldChar w:fldCharType="separate"/>
          </w:r>
          <w:r>
            <w:rPr>
              <w:rFonts w:hint="eastAsia" w:ascii="黑体" w:hAnsi="黑体" w:eastAsia="黑体"/>
              <w:highlight w:val="none"/>
              <w:lang w:val="en-US" w:eastAsia="zh-CN"/>
            </w:rPr>
            <w:t>二、2021年重点</w:t>
          </w:r>
          <w:r>
            <w:rPr>
              <w:rFonts w:hint="eastAsia" w:ascii="黑体" w:hAnsi="黑体" w:eastAsia="黑体"/>
              <w:highlight w:val="none"/>
            </w:rPr>
            <w:t>工作</w:t>
          </w:r>
          <w:r>
            <w:rPr>
              <w:rFonts w:hint="eastAsia" w:ascii="黑体" w:hAnsi="黑体" w:eastAsia="黑体"/>
              <w:highlight w:val="none"/>
              <w:lang w:eastAsia="zh-CN"/>
            </w:rPr>
            <w:t>完成情况</w:t>
          </w:r>
          <w:r>
            <w:tab/>
          </w:r>
          <w:r>
            <w:fldChar w:fldCharType="begin"/>
          </w:r>
          <w:r>
            <w:instrText xml:space="preserve"> PAGEREF _Toc1117 \h </w:instrText>
          </w:r>
          <w:r>
            <w:fldChar w:fldCharType="separate"/>
          </w:r>
          <w:r>
            <w:t>6</w:t>
          </w:r>
          <w:r>
            <w:fldChar w:fldCharType="end"/>
          </w:r>
          <w:r>
            <w:fldChar w:fldCharType="end"/>
          </w:r>
        </w:p>
        <w:p>
          <w:pPr>
            <w:pStyle w:val="31"/>
            <w:tabs>
              <w:tab w:val="right" w:leader="dot" w:pos="8306"/>
            </w:tabs>
            <w:rPr>
              <w:b/>
            </w:rPr>
          </w:pPr>
          <w:r>
            <w:rPr>
              <w:b/>
            </w:rPr>
            <w:fldChar w:fldCharType="begin"/>
          </w:r>
          <w:r>
            <w:rPr>
              <w:b/>
            </w:rPr>
            <w:instrText xml:space="preserve"> HYPERLINK \l _Toc5671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2021年度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_Toc5671 \h </w:instrText>
          </w:r>
          <w:r>
            <w:rPr>
              <w:b/>
            </w:rPr>
            <w:fldChar w:fldCharType="separate"/>
          </w:r>
          <w:r>
            <w:rPr>
              <w:b/>
            </w:rPr>
            <w:t>10</w:t>
          </w:r>
          <w:r>
            <w:rPr>
              <w:b/>
            </w:rPr>
            <w:fldChar w:fldCharType="end"/>
          </w:r>
          <w:r>
            <w:rPr>
              <w:b/>
            </w:rPr>
            <w:fldChar w:fldCharType="end"/>
          </w:r>
        </w:p>
        <w:p>
          <w:pPr>
            <w:pStyle w:val="32"/>
            <w:tabs>
              <w:tab w:val="right" w:leader="dot" w:pos="8306"/>
            </w:tabs>
          </w:pPr>
          <w:r>
            <w:fldChar w:fldCharType="begin"/>
          </w:r>
          <w:r>
            <w:instrText xml:space="preserve"> HYPERLINK \l _Toc1177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_Toc1177 \h </w:instrText>
          </w:r>
          <w:r>
            <w:fldChar w:fldCharType="separate"/>
          </w:r>
          <w:r>
            <w:t>10</w:t>
          </w:r>
          <w:r>
            <w:fldChar w:fldCharType="end"/>
          </w:r>
          <w:r>
            <w:fldChar w:fldCharType="end"/>
          </w:r>
        </w:p>
        <w:p>
          <w:pPr>
            <w:pStyle w:val="32"/>
            <w:tabs>
              <w:tab w:val="right" w:leader="dot" w:pos="8306"/>
            </w:tabs>
          </w:pPr>
          <w:r>
            <w:fldChar w:fldCharType="begin"/>
          </w:r>
          <w:r>
            <w:instrText xml:space="preserve"> HYPERLINK \l _Toc28934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_Toc28934 \h </w:instrText>
          </w:r>
          <w:r>
            <w:fldChar w:fldCharType="separate"/>
          </w:r>
          <w:r>
            <w:t>10</w:t>
          </w:r>
          <w:r>
            <w:fldChar w:fldCharType="end"/>
          </w:r>
          <w:r>
            <w:fldChar w:fldCharType="end"/>
          </w:r>
        </w:p>
        <w:p>
          <w:pPr>
            <w:pStyle w:val="32"/>
            <w:tabs>
              <w:tab w:val="right" w:leader="dot" w:pos="8306"/>
            </w:tabs>
          </w:pPr>
          <w:r>
            <w:fldChar w:fldCharType="begin"/>
          </w:r>
          <w:r>
            <w:instrText xml:space="preserve"> HYPERLINK \l _Toc23270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_Toc23270 \h </w:instrText>
          </w:r>
          <w:r>
            <w:fldChar w:fldCharType="separate"/>
          </w:r>
          <w:r>
            <w:t>11</w:t>
          </w:r>
          <w:r>
            <w:fldChar w:fldCharType="end"/>
          </w:r>
          <w:r>
            <w:fldChar w:fldCharType="end"/>
          </w:r>
        </w:p>
        <w:p>
          <w:pPr>
            <w:pStyle w:val="32"/>
            <w:tabs>
              <w:tab w:val="right" w:leader="dot" w:pos="8306"/>
            </w:tabs>
          </w:pPr>
          <w:r>
            <w:fldChar w:fldCharType="begin"/>
          </w:r>
          <w:r>
            <w:instrText xml:space="preserve"> HYPERLINK \l _Toc29690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_Toc29690 \h </w:instrText>
          </w:r>
          <w:r>
            <w:fldChar w:fldCharType="separate"/>
          </w:r>
          <w:r>
            <w:t>11</w:t>
          </w:r>
          <w:r>
            <w:fldChar w:fldCharType="end"/>
          </w:r>
          <w:r>
            <w:fldChar w:fldCharType="end"/>
          </w:r>
        </w:p>
        <w:p>
          <w:pPr>
            <w:pStyle w:val="32"/>
            <w:tabs>
              <w:tab w:val="right" w:leader="dot" w:pos="8306"/>
            </w:tabs>
          </w:pPr>
          <w:r>
            <w:fldChar w:fldCharType="begin"/>
          </w:r>
          <w:r>
            <w:instrText xml:space="preserve"> HYPERLINK \l _Toc10990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_Toc10990 \h </w:instrText>
          </w:r>
          <w:r>
            <w:fldChar w:fldCharType="separate"/>
          </w:r>
          <w:r>
            <w:t>12</w:t>
          </w:r>
          <w:r>
            <w:fldChar w:fldCharType="end"/>
          </w:r>
          <w:r>
            <w:fldChar w:fldCharType="end"/>
          </w:r>
        </w:p>
        <w:p>
          <w:pPr>
            <w:pStyle w:val="32"/>
            <w:tabs>
              <w:tab w:val="right" w:leader="dot" w:pos="8306"/>
            </w:tabs>
          </w:pPr>
          <w:r>
            <w:fldChar w:fldCharType="begin"/>
          </w:r>
          <w:r>
            <w:instrText xml:space="preserve"> HYPERLINK \l _Toc22345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_Toc22345 \h </w:instrText>
          </w:r>
          <w:r>
            <w:fldChar w:fldCharType="separate"/>
          </w:r>
          <w:r>
            <w:t>15</w:t>
          </w:r>
          <w:r>
            <w:fldChar w:fldCharType="end"/>
          </w:r>
          <w:r>
            <w:fldChar w:fldCharType="end"/>
          </w:r>
        </w:p>
        <w:p>
          <w:pPr>
            <w:pStyle w:val="32"/>
            <w:tabs>
              <w:tab w:val="right" w:leader="dot" w:pos="8306"/>
            </w:tabs>
          </w:pPr>
          <w:r>
            <w:fldChar w:fldCharType="begin"/>
          </w:r>
          <w:r>
            <w:instrText xml:space="preserve"> HYPERLINK \l _Toc4669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_Toc4669 \h </w:instrText>
          </w:r>
          <w:r>
            <w:fldChar w:fldCharType="separate"/>
          </w:r>
          <w:r>
            <w:t>16</w:t>
          </w:r>
          <w:r>
            <w:fldChar w:fldCharType="end"/>
          </w:r>
          <w:r>
            <w:fldChar w:fldCharType="end"/>
          </w:r>
        </w:p>
        <w:p>
          <w:pPr>
            <w:pStyle w:val="32"/>
            <w:tabs>
              <w:tab w:val="right" w:leader="dot" w:pos="8306"/>
            </w:tabs>
          </w:pPr>
          <w:r>
            <w:fldChar w:fldCharType="begin"/>
          </w:r>
          <w:r>
            <w:instrText xml:space="preserve"> HYPERLINK \l _Toc17988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_Toc17988 \h </w:instrText>
          </w:r>
          <w:r>
            <w:fldChar w:fldCharType="separate"/>
          </w:r>
          <w:r>
            <w:t>18</w:t>
          </w:r>
          <w:r>
            <w:fldChar w:fldCharType="end"/>
          </w:r>
          <w:r>
            <w:fldChar w:fldCharType="end"/>
          </w:r>
        </w:p>
        <w:p>
          <w:pPr>
            <w:pStyle w:val="32"/>
            <w:tabs>
              <w:tab w:val="right" w:leader="dot" w:pos="8306"/>
            </w:tabs>
          </w:pPr>
          <w:r>
            <w:fldChar w:fldCharType="begin"/>
          </w:r>
          <w:r>
            <w:instrText xml:space="preserve"> HYPERLINK \l _Toc19640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_Toc19640 \h </w:instrText>
          </w:r>
          <w:r>
            <w:fldChar w:fldCharType="separate"/>
          </w:r>
          <w:r>
            <w:t>18</w:t>
          </w:r>
          <w:r>
            <w:fldChar w:fldCharType="end"/>
          </w:r>
          <w:r>
            <w:fldChar w:fldCharType="end"/>
          </w:r>
        </w:p>
        <w:p>
          <w:pPr>
            <w:pStyle w:val="32"/>
            <w:tabs>
              <w:tab w:val="right" w:leader="dot" w:pos="8306"/>
            </w:tabs>
          </w:pPr>
          <w:r>
            <w:fldChar w:fldCharType="begin"/>
          </w:r>
          <w:r>
            <w:instrText xml:space="preserve"> HYPERLINK \l _Toc7732 </w:instrText>
          </w:r>
          <w:r>
            <w:fldChar w:fldCharType="separate"/>
          </w:r>
          <w:r>
            <w:rPr>
              <w:rFonts w:hint="eastAsia" w:ascii="黑体" w:hAnsi="黑体" w:eastAsia="黑体"/>
            </w:rPr>
            <w:t xml:space="preserve">十、 </w:t>
          </w:r>
          <w:r>
            <w:rPr>
              <w:rFonts w:hint="eastAsia" w:ascii="黑体" w:hAnsi="黑体" w:eastAsia="黑体"/>
              <w:highlight w:val="none"/>
              <w:lang w:val="en-US" w:eastAsia="zh-CN"/>
            </w:rPr>
            <w:t>预算绩效管理情况</w:t>
          </w:r>
          <w:r>
            <w:tab/>
          </w:r>
          <w:r>
            <w:fldChar w:fldCharType="begin"/>
          </w:r>
          <w:r>
            <w:instrText xml:space="preserve"> PAGEREF _Toc7732 \h </w:instrText>
          </w:r>
          <w:r>
            <w:fldChar w:fldCharType="separate"/>
          </w:r>
          <w:r>
            <w:t>18</w:t>
          </w:r>
          <w:r>
            <w:fldChar w:fldCharType="end"/>
          </w:r>
          <w:r>
            <w:fldChar w:fldCharType="end"/>
          </w:r>
        </w:p>
        <w:p>
          <w:pPr>
            <w:pStyle w:val="32"/>
            <w:tabs>
              <w:tab w:val="right" w:leader="dot" w:pos="8306"/>
            </w:tabs>
          </w:pPr>
          <w:r>
            <w:fldChar w:fldCharType="begin"/>
          </w:r>
          <w:r>
            <w:instrText xml:space="preserve"> HYPERLINK \l _Toc21994 </w:instrText>
          </w:r>
          <w:r>
            <w:fldChar w:fldCharType="separate"/>
          </w:r>
          <w:r>
            <w:rPr>
              <w:rFonts w:hint="eastAsia" w:ascii="黑体" w:hAnsi="黑体" w:eastAsia="黑体"/>
            </w:rPr>
            <w:t xml:space="preserve">十一、 </w:t>
          </w:r>
          <w:r>
            <w:rPr>
              <w:rFonts w:hint="eastAsia" w:ascii="黑体" w:hAnsi="黑体" w:eastAsia="黑体"/>
              <w:highlight w:val="none"/>
            </w:rPr>
            <w:t>其他重要事项的情况说明</w:t>
          </w:r>
          <w:r>
            <w:tab/>
          </w:r>
          <w:r>
            <w:fldChar w:fldCharType="begin"/>
          </w:r>
          <w:r>
            <w:instrText xml:space="preserve"> PAGEREF _Toc21994 \h </w:instrText>
          </w:r>
          <w:r>
            <w:fldChar w:fldCharType="separate"/>
          </w:r>
          <w:r>
            <w:t>18</w:t>
          </w:r>
          <w:r>
            <w:fldChar w:fldCharType="end"/>
          </w:r>
          <w:r>
            <w:fldChar w:fldCharType="end"/>
          </w:r>
        </w:p>
        <w:p>
          <w:pPr>
            <w:pStyle w:val="31"/>
            <w:tabs>
              <w:tab w:val="right" w:leader="dot" w:pos="8306"/>
            </w:tabs>
            <w:rPr>
              <w:b/>
            </w:rPr>
          </w:pPr>
          <w:r>
            <w:rPr>
              <w:b/>
            </w:rPr>
            <w:fldChar w:fldCharType="begin"/>
          </w:r>
          <w:r>
            <w:rPr>
              <w:b/>
            </w:rPr>
            <w:instrText xml:space="preserve"> HYPERLINK \l _Toc23093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_Toc23093 \h </w:instrText>
          </w:r>
          <w:r>
            <w:rPr>
              <w:b/>
            </w:rPr>
            <w:fldChar w:fldCharType="separate"/>
          </w:r>
          <w:r>
            <w:rPr>
              <w:b/>
            </w:rPr>
            <w:t>20</w:t>
          </w:r>
          <w:r>
            <w:rPr>
              <w:b/>
            </w:rPr>
            <w:fldChar w:fldCharType="end"/>
          </w:r>
          <w:r>
            <w:rPr>
              <w:b/>
            </w:rPr>
            <w:fldChar w:fldCharType="end"/>
          </w:r>
        </w:p>
        <w:p>
          <w:pPr>
            <w:pStyle w:val="31"/>
            <w:tabs>
              <w:tab w:val="right" w:leader="dot" w:pos="8306"/>
            </w:tabs>
            <w:rPr>
              <w:b/>
            </w:rPr>
          </w:pPr>
          <w:r>
            <w:rPr>
              <w:b/>
            </w:rPr>
            <w:fldChar w:fldCharType="begin"/>
          </w:r>
          <w:r>
            <w:rPr>
              <w:b/>
            </w:rPr>
            <w:instrText xml:space="preserve"> HYPERLINK \l _Toc31546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_Toc31546 \h </w:instrText>
          </w:r>
          <w:r>
            <w:rPr>
              <w:b/>
            </w:rPr>
            <w:fldChar w:fldCharType="separate"/>
          </w:r>
          <w:r>
            <w:rPr>
              <w:b/>
            </w:rPr>
            <w:t>25</w:t>
          </w:r>
          <w:r>
            <w:rPr>
              <w:b/>
            </w:rPr>
            <w:fldChar w:fldCharType="end"/>
          </w:r>
          <w:r>
            <w:rPr>
              <w:b/>
            </w:rPr>
            <w:fldChar w:fldCharType="end"/>
          </w:r>
        </w:p>
        <w:p>
          <w:pPr>
            <w:pStyle w:val="32"/>
            <w:tabs>
              <w:tab w:val="right" w:leader="dot" w:pos="8306"/>
            </w:tabs>
          </w:pPr>
          <w:r>
            <w:fldChar w:fldCharType="begin"/>
          </w:r>
          <w:r>
            <w:instrText xml:space="preserve"> HYPERLINK \l _Toc15851 </w:instrText>
          </w:r>
          <w:r>
            <w:fldChar w:fldCharType="separate"/>
          </w:r>
          <w:r>
            <w:rPr>
              <w:rFonts w:hint="eastAsia" w:ascii="黑体" w:hAnsi="黑体" w:eastAsia="黑体" w:cs="黑体"/>
              <w:szCs w:val="32"/>
              <w:highlight w:val="none"/>
            </w:rPr>
            <w:t>附件</w:t>
          </w:r>
          <w:r>
            <w:tab/>
          </w:r>
          <w:r>
            <w:fldChar w:fldCharType="begin"/>
          </w:r>
          <w:r>
            <w:instrText xml:space="preserve"> PAGEREF _Toc15851 \h </w:instrText>
          </w:r>
          <w:r>
            <w:fldChar w:fldCharType="separate"/>
          </w:r>
          <w:r>
            <w:t>25</w:t>
          </w:r>
          <w:r>
            <w:fldChar w:fldCharType="end"/>
          </w:r>
          <w:r>
            <w:fldChar w:fldCharType="end"/>
          </w:r>
        </w:p>
        <w:p>
          <w:pPr>
            <w:pStyle w:val="31"/>
            <w:tabs>
              <w:tab w:val="right" w:leader="dot" w:pos="8306"/>
            </w:tabs>
            <w:rPr>
              <w:b/>
            </w:rPr>
          </w:pPr>
          <w:r>
            <w:rPr>
              <w:b/>
            </w:rPr>
            <w:fldChar w:fldCharType="begin"/>
          </w:r>
          <w:r>
            <w:rPr>
              <w:b/>
            </w:rPr>
            <w:instrText xml:space="preserve"> HYPERLINK \l _Toc13894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_Toc13894 \h </w:instrText>
          </w:r>
          <w:r>
            <w:rPr>
              <w:b/>
            </w:rPr>
            <w:fldChar w:fldCharType="separate"/>
          </w:r>
          <w:r>
            <w:rPr>
              <w:b/>
            </w:rPr>
            <w:t>31</w:t>
          </w:r>
          <w:r>
            <w:rPr>
              <w:b/>
            </w:rPr>
            <w:fldChar w:fldCharType="end"/>
          </w:r>
          <w:r>
            <w:rPr>
              <w:b/>
            </w:rPr>
            <w:fldChar w:fldCharType="end"/>
          </w:r>
        </w:p>
        <w:p>
          <w:pPr>
            <w:pStyle w:val="32"/>
            <w:tabs>
              <w:tab w:val="right" w:leader="dot" w:pos="8306"/>
            </w:tabs>
          </w:pPr>
          <w:r>
            <w:fldChar w:fldCharType="begin"/>
          </w:r>
          <w:r>
            <w:instrText xml:space="preserve"> HYPERLINK \l _Toc14043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_Toc14043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_Toc14172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_Toc14172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_Toc12688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_Toc12688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_Toc2176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_Toc2176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_Toc18681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_Toc18681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_Toc13793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_Toc13793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_Toc10657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_Toc10657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_Toc3752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_Toc3752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_Toc4012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_Toc4012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_Toc27012 </w:instrText>
          </w:r>
          <w:r>
            <w:fldChar w:fldCharType="separate"/>
          </w:r>
          <w:r>
            <w:rPr>
              <w:rFonts w:hint="eastAsia" w:ascii="仿宋" w:hAnsi="仿宋" w:eastAsia="仿宋"/>
              <w:bCs w:val="0"/>
              <w:highlight w:val="none"/>
            </w:rPr>
            <w:t>十、</w:t>
          </w:r>
          <w:r>
            <w:rPr>
              <w:rFonts w:hint="eastAsia" w:ascii="仿宋" w:hAnsi="仿宋" w:eastAsia="仿宋"/>
              <w:highlight w:val="none"/>
            </w:rPr>
            <w:t>一</w:t>
          </w:r>
          <w:r>
            <w:rPr>
              <w:rFonts w:hint="eastAsia" w:ascii="仿宋" w:hAnsi="仿宋" w:eastAsia="仿宋"/>
              <w:bCs w:val="0"/>
              <w:highlight w:val="none"/>
            </w:rPr>
            <w:t>般公共预算财政拨款“三公”经费支出决算表</w:t>
          </w:r>
          <w:r>
            <w:tab/>
          </w:r>
          <w:r>
            <w:fldChar w:fldCharType="begin"/>
          </w:r>
          <w:r>
            <w:instrText xml:space="preserve"> PAGEREF _Toc27012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_Toc15810 </w:instrText>
          </w:r>
          <w:r>
            <w:fldChar w:fldCharType="separate"/>
          </w:r>
          <w:r>
            <w:rPr>
              <w:rFonts w:hint="eastAsia" w:ascii="仿宋" w:hAnsi="仿宋" w:eastAsia="仿宋"/>
              <w:bCs w:val="0"/>
              <w:highlight w:val="none"/>
            </w:rPr>
            <w:t>十一、</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_Toc15810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_Toc29286 </w:instrText>
          </w:r>
          <w:r>
            <w:fldChar w:fldCharType="separate"/>
          </w:r>
          <w:r>
            <w:rPr>
              <w:rFonts w:hint="eastAsia" w:ascii="仿宋" w:hAnsi="仿宋" w:eastAsia="仿宋"/>
              <w:bCs w:val="0"/>
              <w:highlight w:val="none"/>
            </w:rPr>
            <w:t>十二、</w:t>
          </w:r>
          <w:r>
            <w:rPr>
              <w:rFonts w:hint="eastAsia" w:ascii="仿宋" w:hAnsi="仿宋" w:eastAsia="仿宋"/>
              <w:highlight w:val="none"/>
            </w:rPr>
            <w:t>政</w:t>
          </w:r>
          <w:r>
            <w:rPr>
              <w:rFonts w:hint="eastAsia" w:ascii="仿宋" w:hAnsi="仿宋" w:eastAsia="仿宋"/>
              <w:bCs w:val="0"/>
              <w:highlight w:val="none"/>
            </w:rPr>
            <w:t>府性基金预算财政拨款“三公”经费支出决算表</w:t>
          </w:r>
          <w:r>
            <w:tab/>
          </w:r>
          <w:r>
            <w:fldChar w:fldCharType="begin"/>
          </w:r>
          <w:r>
            <w:instrText xml:space="preserve"> PAGEREF _Toc29286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_Toc31822 </w:instrText>
          </w:r>
          <w:r>
            <w:fldChar w:fldCharType="separate"/>
          </w:r>
          <w:r>
            <w:rPr>
              <w:rFonts w:hint="eastAsia" w:ascii="仿宋" w:hAnsi="仿宋" w:eastAsia="仿宋"/>
              <w:bCs w:val="0"/>
              <w:highlight w:val="none"/>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_Toc31822 \h </w:instrText>
          </w:r>
          <w:r>
            <w:fldChar w:fldCharType="separate"/>
          </w:r>
          <w:r>
            <w:t>31</w:t>
          </w:r>
          <w:r>
            <w:fldChar w:fldCharType="end"/>
          </w:r>
          <w:r>
            <w:fldChar w:fldCharType="end"/>
          </w:r>
        </w:p>
        <w:p>
          <w:pPr>
            <w:pStyle w:val="32"/>
            <w:tabs>
              <w:tab w:val="right" w:leader="dot" w:pos="8306"/>
            </w:tabs>
          </w:pPr>
          <w:r>
            <w:fldChar w:fldCharType="begin"/>
          </w:r>
          <w:r>
            <w:instrText xml:space="preserve"> HYPERLINK \l _Toc29511 </w:instrText>
          </w:r>
          <w:r>
            <w:fldChar w:fldCharType="separate"/>
          </w:r>
          <w:r>
            <w:rPr>
              <w:rFonts w:hint="eastAsia" w:ascii="仿宋" w:hAnsi="仿宋" w:eastAsia="仿宋"/>
              <w:bCs w:val="0"/>
              <w:highlight w:val="none"/>
              <w:lang w:eastAsia="zh-CN"/>
            </w:rPr>
            <w:t>十四、国有资本经营预算财政拨款支出决算表</w:t>
          </w:r>
          <w:r>
            <w:tab/>
          </w:r>
          <w:r>
            <w:fldChar w:fldCharType="begin"/>
          </w:r>
          <w:r>
            <w:instrText xml:space="preserve"> PAGEREF _Toc29511 \h </w:instrText>
          </w:r>
          <w:r>
            <w:fldChar w:fldCharType="separate"/>
          </w:r>
          <w:r>
            <w:t>31</w:t>
          </w:r>
          <w:r>
            <w:fldChar w:fldCharType="end"/>
          </w:r>
          <w:r>
            <w:fldChar w:fldCharType="end"/>
          </w:r>
        </w:p>
        <w:p>
          <w:r>
            <w:rPr>
              <w:b/>
            </w:rPr>
            <w:fldChar w:fldCharType="end"/>
          </w:r>
        </w:p>
      </w:sdtContent>
    </w:sdt>
    <w:p>
      <w:pPr>
        <w:widowControl/>
        <w:spacing w:line="440" w:lineRule="exact"/>
        <w:jc w:val="left"/>
        <w:rPr>
          <w:rFonts w:ascii="仿宋" w:hAnsi="仿宋" w:eastAsia="仿宋"/>
          <w:bCs/>
          <w:color w:val="auto"/>
          <w:kern w:val="44"/>
          <w:sz w:val="24"/>
          <w:highlight w:val="none"/>
        </w:rPr>
      </w:pPr>
      <w:bookmarkStart w:id="13" w:name="_Toc15377196"/>
      <w:bookmarkStart w:id="14"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bookmarkStart w:id="15" w:name="_Toc2856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3"/>
      <w:bookmarkEnd w:id="14"/>
      <w:bookmarkEnd w:id="15"/>
    </w:p>
    <w:p>
      <w:pPr>
        <w:widowControl/>
        <w:jc w:val="left"/>
        <w:rPr>
          <w:rFonts w:ascii="黑体" w:eastAsia="黑体"/>
          <w:color w:val="auto"/>
          <w:sz w:val="32"/>
          <w:szCs w:val="32"/>
          <w:highlight w:val="none"/>
        </w:rPr>
      </w:pPr>
    </w:p>
    <w:p>
      <w:pPr>
        <w:pStyle w:val="4"/>
        <w:numPr>
          <w:ilvl w:val="0"/>
          <w:numId w:val="0"/>
        </w:numPr>
        <w:rPr>
          <w:rFonts w:hint="eastAsia"/>
          <w:color w:val="auto"/>
          <w:highlight w:val="none"/>
        </w:rPr>
      </w:pPr>
      <w:bookmarkStart w:id="16" w:name="_Toc15517"/>
      <w:bookmarkStart w:id="17" w:name="_Toc15396600"/>
      <w:bookmarkStart w:id="18" w:name="_Toc15377197"/>
      <w:r>
        <w:rPr>
          <w:rStyle w:val="26"/>
          <w:rFonts w:hint="eastAsia" w:ascii="黑体" w:hAnsi="黑体" w:eastAsia="黑体"/>
          <w:b w:val="0"/>
          <w:bCs w:val="0"/>
          <w:color w:val="auto"/>
          <w:highlight w:val="none"/>
          <w:lang w:eastAsia="zh-CN"/>
        </w:rPr>
        <w:t>一、</w:t>
      </w:r>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bookmarkEnd w:id="16"/>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负责应急管理工作，组织和指导朝天区境内各乡镇、区级各部门应对安全生产类、自然灾害类等突发事件和综合防灾减灾救灾工作。负责安全生产综合监督管理和工矿商贸、煤炭行业安全生产监督管理工作。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拟订全区应急管理、安全生产等政策措施，组织编制应急体系建设、安全生产和综合防灾减灾规划，组织起草全区安全生产规范性文件。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负责组织、指导全区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（四）牵头建立统一的应急管理信息系统，负责信息传输渠道的规划和布局，建立监测预警和灾情报告制度，健全自然灾害信息资源获取和共享机制，依法统一发布灾情。</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（五）负责组织、指导、协调安全生产类、自然灾害类等突发事件应急救援，承担全区应对较大及以上灾害指挥部工作，综合研判突发事件发展态势并提出应对建议，负责组织较大及以上灾害应急处置工作。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（六）统一协调指挥各类应急专业队伍，建立应急协调联动机制，推进指挥平台对接，提请衔接解放军和武警部队参与应急救援工作。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按照国家、省、市相关政策和规定负责消防、森林火灾扑救、抗洪抢险、地震和地质灾害救援、生产安全事故救援等专业应急救援力量建设，依法依规统筹指导各乡镇、朝天经济开发区及社会应急救援力量和保障能力建设。</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 xml:space="preserve"> （八）</w:t>
      </w:r>
      <w:r>
        <w:rPr>
          <w:rFonts w:hint="eastAsia" w:ascii="仿宋" w:hAnsi="仿宋" w:eastAsia="仿宋" w:cs="仿宋"/>
          <w:sz w:val="32"/>
          <w:szCs w:val="32"/>
        </w:rPr>
        <w:t>按照国家、省、市相关政策和规定负责消防、森按照国家相关政策和省、市、区相关规定负责消防工作，组织和指导消防监督、火灾预防、火灾扑救等工作。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（九）负责自然灾害综合监测预警工作，承担自然灾害综合风险评估工作。指导协调森林火灾、水旱灾害、地质灾害等防治工作。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（十）负责组织、协调灾害救助工作，组织和指导灾情核查、损失评估、救灾捐赠工作，管理、分配中央、省级、市级下拨及区级救灾款物并监督使用。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（十一）依法承担区政府安全生产综合监督管理责任，指导协调、监督检查各乡镇政府和区级有关部门安全生产工作，组织开展安全生产巡查、考核工作。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二）按照分级、属地原则，依法监督检查工矿商贸生产经营单位贯彻执行安全生产法律法规情况及其安全生产条件和有关设备（特种设备除外）、材料、劳动防护用品的安全生产管理工作。协助市应急局做好区的中央、省属、市属重点工矿商贸企业的安全生产监督管理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三）承担煤矿、非煤矿山、危险化学品、烟花爆竹等生产经营单位安全生产准入及非药品类易制毒化学品备案管理责任，依法组织实施安全生产准入制度。负责危险化学品安全监督管理综合工作和煤矿、非煤矿山、烟花爆竹安全生产监督管理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四）拟订煤炭产业发展计划并组织实施，按权限审核、上报煤炭建设项目并负责监督管理。负责煤炭生产协调和监督管理，煤炭行业结构调整和产业升级，煤矿瓦斯等级鉴定、瓦斯治理和利用。推进煤炭体制改革。</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五）承担煤矿安全生产监督管理责任，依法监督检查煤矿企业贯彻执行安全生产法律法规情况及其安全生产条件和有关设备（特种设备除外）、材料、劳动防护用品的安全生产监督管理工作。负责组织、指导煤矿企业安全专项整治、安全标准化、瓦斯和水害防治及相关安全科技发展工作。参与煤矿事故调查处理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（十六）承担防震减灾工作职责。负责地震监测设施和观测环境保护工作，负责全区工程建设场地地震安全性评价的监督管理工作，承担全区重大工程的抗震设防监督工作。接受上级相关部门的业务指导。</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（十七）依法组织、指导生产安全事故调查处理，监督事故查处和责任追究落实情况。组织开展自然灾害类突发事件的调查评估工作。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（十八）开展应急管理和安全生产方面的交流与合作，按照上级部门的安排参与安全生产类、自然灾害类等突发事件的跨区域救援工作。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（十九）制定应急物资储备和应急救援装备规划并组织实施，会同区发改局等部门建立健全应急物资信息平台和调拨制度，在救灾时统一调度。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（二十）负责应急管理、安全生产宣传教育和培训工作，组织和指导应急管理、安全生产的科学技术研究、推广应用和信息化建设工作。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（二十一）负责职责范围内的职业健康、生态环境保护、审批服务便民化等工作。</w:t>
      </w:r>
    </w:p>
    <w:p>
      <w:pPr>
        <w:ind w:firstLine="640" w:firstLineChars="200"/>
        <w:rPr>
          <w:rFonts w:ascii="仿宋" w:hAnsi="仿宋" w:eastAsia="仿宋" w:cs="仿宋"/>
          <w:sz w:val="32"/>
          <w:szCs w:val="32"/>
        </w:rPr>
      </w:pPr>
      <w:r>
        <w:rPr>
          <w:rFonts w:hint="eastAsia" w:ascii="仿宋" w:hAnsi="仿宋" w:eastAsia="仿宋" w:cs="仿宋"/>
          <w:sz w:val="32"/>
          <w:szCs w:val="32"/>
        </w:rPr>
        <w:t>（二十二）完成区委、区政府交办的其他任务。</w:t>
      </w:r>
    </w:p>
    <w:p>
      <w:pPr>
        <w:pStyle w:val="4"/>
        <w:numPr>
          <w:ilvl w:val="0"/>
          <w:numId w:val="0"/>
        </w:numPr>
        <w:rPr>
          <w:rFonts w:hint="eastAsia" w:ascii="黑体" w:hAnsi="黑体" w:eastAsia="黑体"/>
          <w:b w:val="0"/>
          <w:color w:val="auto"/>
          <w:highlight w:val="none"/>
        </w:rPr>
      </w:pPr>
      <w:bookmarkStart w:id="19" w:name="_Toc1117"/>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7"/>
      <w:bookmarkEnd w:id="18"/>
      <w:r>
        <w:rPr>
          <w:rFonts w:hint="eastAsia" w:ascii="黑体" w:hAnsi="黑体" w:eastAsia="黑体"/>
          <w:b w:val="0"/>
          <w:color w:val="auto"/>
          <w:highlight w:val="none"/>
          <w:lang w:eastAsia="zh-CN"/>
        </w:rPr>
        <w:t>完成情况</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Cs/>
          <w:color w:val="auto"/>
          <w:kern w:val="0"/>
          <w:sz w:val="32"/>
          <w:szCs w:val="32"/>
          <w:highlight w:val="none"/>
          <w:lang w:val="en-US" w:eastAsia="zh-CN" w:bidi="ar-SA"/>
        </w:rPr>
      </w:pPr>
      <w:r>
        <w:rPr>
          <w:rFonts w:hint="eastAsia" w:ascii="楷体_GB2312" w:hAnsi="楷体_GB2312" w:eastAsia="楷体_GB2312" w:cs="楷体_GB2312"/>
          <w:sz w:val="32"/>
          <w:szCs w:val="32"/>
          <w:lang w:val="en-US" w:eastAsia="zh-CN"/>
        </w:rPr>
        <w:t>（一）聚焦事故风险防范，构建严实责任体系。</w:t>
      </w:r>
      <w:r>
        <w:rPr>
          <w:rFonts w:hint="eastAsia" w:ascii="仿宋" w:hAnsi="仿宋" w:eastAsia="仿宋" w:cs="Times New Roman"/>
          <w:bCs/>
          <w:color w:val="auto"/>
          <w:kern w:val="0"/>
          <w:sz w:val="32"/>
          <w:szCs w:val="32"/>
          <w:highlight w:val="none"/>
          <w:lang w:val="en-US" w:eastAsia="zh-CN" w:bidi="ar-SA"/>
        </w:rPr>
        <w:t>一是织密安全生产责任网。推动全区安全生产清单制管理工作提档升级和安全生产双重预防机制应用见效，分行业推进“清单制+信息化”建设，有效压实了各级各部门、各企业各环节安全生产责任。指导海螺水泥、中子镇通过省级安全社区复评检查，引导龙翔塑编、圆通矿业完成安全生产标准化企业创建，企业安全生产本质水平大幅提高。二是夯实防灾减灾责任堤。及时完成区防汛抗旱指挥部调整转隶，进一步完善自然灾害风险形势会商机制，按照“县包乡镇、镇包村（社）、村（社）包组、干部包户”原则，建立防汛减灾和地灾防治责任体系，将责任压实到最小单元。三是筑牢森林防火责任墙。进一步健全完善森林防灭火末端发力终端见效工作长效机制和“十包”责任体系（县级领导包乡镇、单位一把手包职工、乡镇干部包村、村干部包组、组干部包户、生态护林员包山头、教师包学生、户主包成员、监护人包低智人员、网格员包坟包地头），明确“一对一”包保责任，建立区、镇、村三级责任清单1154条，签订承诺书1154份，落实了1000名生态护林员、3310名网格员和500余名特殊人群监管责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Cs/>
          <w:color w:val="auto"/>
          <w:kern w:val="0"/>
          <w:sz w:val="32"/>
          <w:szCs w:val="32"/>
          <w:highlight w:val="none"/>
          <w:lang w:val="en-US" w:eastAsia="zh-CN" w:bidi="ar-SA"/>
        </w:rPr>
      </w:pPr>
      <w:r>
        <w:rPr>
          <w:rFonts w:hint="eastAsia" w:ascii="楷体_GB2312" w:hAnsi="楷体_GB2312" w:eastAsia="楷体_GB2312" w:cs="楷体_GB2312"/>
          <w:sz w:val="32"/>
          <w:szCs w:val="32"/>
          <w:lang w:val="en-US" w:eastAsia="zh-CN"/>
        </w:rPr>
        <w:t>（二）聚焦隐患排查治理，从严抓实专项整治。</w:t>
      </w:r>
      <w:r>
        <w:rPr>
          <w:rFonts w:hint="eastAsia" w:ascii="仿宋" w:hAnsi="仿宋" w:eastAsia="仿宋" w:cs="Times New Roman"/>
          <w:bCs/>
          <w:color w:val="auto"/>
          <w:kern w:val="0"/>
          <w:sz w:val="32"/>
          <w:szCs w:val="32"/>
          <w:highlight w:val="none"/>
          <w:lang w:val="en-US" w:eastAsia="zh-CN" w:bidi="ar-SA"/>
        </w:rPr>
        <w:t>一是开展“1+5”安全生产专项整治。以推进安全生产专项整治三年行动集中攻坚为主线，结合“创安2021”专项执法行动，统筹开展建设工程领域安全生产集中整顿、安全生产集中整治专项行动、预防高处坠落事故专项整治、安全生产大排查大整治、食品加工企业和小作坊安全生产专项整治等5个专项行动，累计排查整改安全生产隐患2698条，行政处罚企业11家，罚款33.35万元。二是抓实自然灾害风险排查。对137个山洪危险区，99个地灾隐患点进行全覆盖排查，实施地灾治理项目2个。对汛期“6.14”“7.10”等9次洪涝灾害受灾情况进行核查，上报损失29918.29万元。牵头推进全国第一次自然灾害综合风险普查，率先完成应急系统26类调查任务，采集相关数据2201条。扎实抓好防震减灾工作，推进开展临断裂带乡镇农房安全普查，上报监测异常2次，开展在建工程抗震设防执法检查2次，区应急管理局、区防震减灾中心被四川省地震局评为2021年度防震减灾工作先进单位。三是圆满完成森林防灭火专项整治。对照森林防灭火专项整治7个方面31项问题，扎实开展火源管理、林区可燃物、群众生活用火、电力安全等方面隐患排查整治并建立隐患台账，截至目前已排查整治森林火灾隐患1615处，设森林防火卡口4个，建成集中祭祀焚烧池165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Times New Roman"/>
          <w:bCs/>
          <w:color w:val="auto"/>
          <w:kern w:val="0"/>
          <w:sz w:val="32"/>
          <w:szCs w:val="32"/>
          <w:highlight w:val="none"/>
          <w:lang w:val="en-US" w:eastAsia="zh-CN" w:bidi="ar-SA"/>
        </w:rPr>
      </w:pPr>
      <w:r>
        <w:rPr>
          <w:rFonts w:hint="eastAsia" w:ascii="楷体_GB2312" w:hAnsi="楷体_GB2312" w:eastAsia="楷体_GB2312" w:cs="楷体_GB2312"/>
          <w:sz w:val="32"/>
          <w:szCs w:val="32"/>
          <w:lang w:val="en-US" w:eastAsia="zh-CN"/>
        </w:rPr>
        <w:t>（三）聚焦应急处突保障，扎实提升救援能力。</w:t>
      </w:r>
      <w:r>
        <w:rPr>
          <w:rFonts w:hint="eastAsia" w:ascii="仿宋" w:hAnsi="仿宋" w:eastAsia="仿宋" w:cs="Times New Roman"/>
          <w:bCs/>
          <w:color w:val="auto"/>
          <w:kern w:val="0"/>
          <w:sz w:val="32"/>
          <w:szCs w:val="32"/>
          <w:highlight w:val="none"/>
          <w:lang w:val="en-US" w:eastAsia="zh-CN" w:bidi="ar-SA"/>
        </w:rPr>
        <w:t>一是强化队伍建设。结合两项改革“后半篇”文章工作，建立“一主两辅”基层应急力量体系，完成朝天、羊木2个中心消防救援站整合重组，新建曾家中心消防救援站，新建专（兼）职应急救援队伍209支4452人（其中专业队伍2支84人，乡镇应急队伍12支426人，村社应急分队139支2586人，党员、民兵、企业突击队伍56支1356人）。二是强化科技建设。扎实推进应急管理综合信息平台应用，推进应急指挥、森林防火、雪亮工程、水位监测、地灾防治等平台资源整合，依托“天通一号”卫星电话，组建朝天区应急通讯保障分队，充分发挥“村村响”应急广播、护林员定位系统等多种信息化手段作用，提升应急管理科技化水平。三是强化处置准备。进一步深化与宁强县的区域应急联动合作，签订备忘录。进一步推动乡镇应急物资装备集中储存、统一管理，规范14个乡镇物储备资库建设，全区现储备各类应急物资设备46221件。进一步抓实应急演练，组织开展“保卫青山·2021”、防汛减灾、地灾防治等各类应急演练100余场次。今年汛期，因准备充分，全区紧急避险转移5913人，紧急转移安置10490人，未出现因灾亡人情况。四是强化宣传教育。聚焦“5.12防灾减灾日”“安全生产月”、新《安法》宣传、安全生产宣传“五进”等一系列活动，扎实抓好安全生产、防灾减灾、应急救援等方面知识宣传，提升干部群众避险自救能力。全年在局机关组织开展2021应急法律法规微课堂学习活动25期，应急干部网络学习5期。在全区范围内组织开展集中宣传293场次，累计发放各类资料80000余份，受教育群众50000余人次。2021年，我局被市安办评为“安全生产月”先进单位，在全国第三届应急普法知识竞赛中，我区排名全市第一。</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20" w:name="_Toc15377204"/>
      <w:bookmarkStart w:id="21" w:name="_Toc5671"/>
      <w:bookmarkStart w:id="22"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0"/>
      <w:bookmarkEnd w:id="21"/>
      <w:bookmarkEnd w:id="22"/>
    </w:p>
    <w:p>
      <w:pPr>
        <w:rPr>
          <w:color w:val="auto"/>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3" w:name="_Toc15396603"/>
      <w:bookmarkStart w:id="24" w:name="_Toc15377205"/>
      <w:bookmarkStart w:id="25" w:name="_Toc1177"/>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3"/>
      <w:bookmarkEnd w:id="24"/>
      <w:bookmarkEnd w:id="25"/>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1273.04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982.98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43.57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项目收支减少导致预算收支减少。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color w:val="auto"/>
          <w:sz w:val="32"/>
          <w:szCs w:val="32"/>
          <w:highlight w:val="none"/>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6" w:name="_Toc15377206"/>
      <w:bookmarkStart w:id="27" w:name="_Toc15396604"/>
      <w:bookmarkStart w:id="28" w:name="_Toc2893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6"/>
      <w:bookmarkEnd w:id="27"/>
      <w:bookmarkEnd w:id="28"/>
    </w:p>
    <w:p>
      <w:pPr>
        <w:spacing w:line="600" w:lineRule="exact"/>
        <w:ind w:firstLine="640" w:firstLineChars="200"/>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1238.7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1238.7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9"/>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auto"/>
          <w:sz w:val="32"/>
          <w:szCs w:val="32"/>
          <w:highlight w:val="none"/>
        </w:rPr>
      </w:pPr>
      <w:r>
        <w:drawing>
          <wp:inline distT="0" distB="0" distL="114300" distR="114300">
            <wp:extent cx="4838700" cy="2743200"/>
            <wp:effectExtent l="4445" t="4445" r="18415" b="107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9" w:name="_Toc23270"/>
      <w:bookmarkStart w:id="30" w:name="_Toc15396605"/>
      <w:bookmarkStart w:id="31"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9"/>
      <w:bookmarkEnd w:id="30"/>
      <w:bookmarkEnd w:id="31"/>
    </w:p>
    <w:p>
      <w:pPr>
        <w:spacing w:line="600" w:lineRule="exact"/>
        <w:ind w:firstLine="640" w:firstLineChars="200"/>
        <w:outlineLvl w:val="9"/>
        <w:rPr>
          <w:rFonts w:ascii="仿宋" w:hAnsi="仿宋" w:eastAsia="仿宋"/>
          <w:color w:val="auto"/>
          <w:sz w:val="32"/>
          <w:szCs w:val="32"/>
          <w:highlight w:val="none"/>
        </w:rPr>
      </w:pPr>
      <w:bookmarkStart w:id="32" w:name="_Toc1958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1273.04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615.96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48.38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657.09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pPr>
        <w:spacing w:line="600" w:lineRule="exact"/>
        <w:ind w:firstLine="640"/>
        <w:rPr>
          <w:rFonts w:ascii="仿宋" w:hAnsi="仿宋" w:eastAsia="仿宋"/>
          <w:color w:val="auto"/>
          <w:sz w:val="32"/>
          <w:szCs w:val="32"/>
          <w:highlight w:val="none"/>
          <w:shd w:val="pct10"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b/>
          <w:bCs/>
          <w:color w:val="auto"/>
          <w:sz w:val="32"/>
          <w:szCs w:val="32"/>
          <w:highlight w:val="none"/>
        </w:rPr>
      </w:pPr>
      <w:r>
        <w:drawing>
          <wp:inline distT="0" distB="0" distL="114300" distR="114300">
            <wp:extent cx="4572000" cy="2743200"/>
            <wp:effectExtent l="4445" t="4445" r="10795" b="107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33" w:name="_Toc29690"/>
      <w:bookmarkStart w:id="34" w:name="_Toc15396606"/>
      <w:bookmarkStart w:id="3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3"/>
      <w:bookmarkEnd w:id="34"/>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1273.04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982.98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43.57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项目收支减少导致财政拨款收支减少。</w:t>
      </w:r>
    </w:p>
    <w:p>
      <w:pPr>
        <w:spacing w:line="600" w:lineRule="exact"/>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 w:hAnsi="仿宋" w:eastAsia="仿宋"/>
          <w:b/>
          <w:color w:val="auto"/>
          <w:sz w:val="32"/>
          <w:szCs w:val="32"/>
          <w:highlight w:val="none"/>
        </w:rPr>
      </w:pPr>
      <w:r>
        <w:drawing>
          <wp:inline distT="0" distB="0" distL="114300" distR="114300">
            <wp:extent cx="4572000" cy="2743200"/>
            <wp:effectExtent l="4445" t="4445" r="1079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36" w:name="_Toc10990"/>
      <w:bookmarkStart w:id="37" w:name="_Toc15377209"/>
      <w:bookmarkStart w:id="38"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6"/>
      <w:bookmarkEnd w:id="37"/>
      <w:bookmarkEnd w:id="38"/>
    </w:p>
    <w:p>
      <w:pPr>
        <w:spacing w:line="600" w:lineRule="exact"/>
        <w:ind w:firstLine="643" w:firstLineChars="200"/>
        <w:outlineLvl w:val="2"/>
        <w:rPr>
          <w:rFonts w:ascii="仿宋" w:hAnsi="仿宋" w:eastAsia="仿宋"/>
          <w:b/>
          <w:color w:val="auto"/>
          <w:sz w:val="32"/>
          <w:szCs w:val="32"/>
          <w:highlight w:val="none"/>
        </w:rPr>
      </w:pPr>
      <w:bookmarkStart w:id="39" w:name="_Toc15377210"/>
      <w:r>
        <w:rPr>
          <w:rFonts w:hint="eastAsia" w:ascii="仿宋" w:hAnsi="仿宋" w:eastAsia="仿宋"/>
          <w:b/>
          <w:color w:val="auto"/>
          <w:sz w:val="32"/>
          <w:szCs w:val="32"/>
          <w:highlight w:val="none"/>
        </w:rPr>
        <w:t>（一）一般公共预算财政拨款支出决算总体情况</w:t>
      </w:r>
      <w:bookmarkEnd w:id="39"/>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年一般公共预算财政拨款支出1273.04万元，占本年支出合计的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982.98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43.57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项目支出减少导</w:t>
      </w:r>
      <w:r>
        <w:rPr>
          <w:rFonts w:hint="eastAsia" w:ascii="仿宋" w:hAnsi="仿宋" w:eastAsia="仿宋" w:cs="Times New Roman"/>
          <w:color w:val="auto"/>
          <w:sz w:val="32"/>
          <w:szCs w:val="32"/>
          <w:highlight w:val="none"/>
          <w:lang w:val="en-US" w:eastAsia="zh-CN"/>
        </w:rPr>
        <w:t>致一般公共预算财政拨款支出减</w:t>
      </w:r>
      <w:r>
        <w:rPr>
          <w:rFonts w:hint="eastAsia" w:ascii="仿宋" w:hAnsi="仿宋" w:eastAsia="仿宋"/>
          <w:color w:val="auto"/>
          <w:sz w:val="32"/>
          <w:szCs w:val="32"/>
          <w:highlight w:val="none"/>
          <w:lang w:eastAsia="zh-CN"/>
        </w:rPr>
        <w:t>少。</w:t>
      </w:r>
    </w:p>
    <w:p>
      <w:pPr>
        <w:spacing w:line="600" w:lineRule="exact"/>
        <w:ind w:firstLine="640" w:firstLineChars="20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sz w:val="32"/>
          <w:szCs w:val="32"/>
          <w:highlight w:val="none"/>
        </w:rPr>
      </w:pPr>
      <w:r>
        <w:drawing>
          <wp:inline distT="0" distB="0" distL="114300" distR="114300">
            <wp:extent cx="4572000" cy="2743200"/>
            <wp:effectExtent l="4445" t="4445" r="10795" b="107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0" w:name="_Toc15377211"/>
      <w:r>
        <w:rPr>
          <w:rFonts w:hint="eastAsia" w:ascii="仿宋" w:hAnsi="仿宋" w:eastAsia="仿宋"/>
          <w:b/>
          <w:color w:val="auto"/>
          <w:sz w:val="32"/>
          <w:szCs w:val="32"/>
          <w:highlight w:val="none"/>
        </w:rPr>
        <w:t>（二）一般公共预算财政拨款支出决算结构情况</w:t>
      </w:r>
      <w:bookmarkEnd w:id="40"/>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1273.04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22.99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1.81</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34.48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农林水支（类）</w:t>
      </w:r>
      <w:r>
        <w:rPr>
          <w:rFonts w:hint="eastAsia" w:ascii="仿宋" w:hAnsi="仿宋" w:eastAsia="仿宋"/>
          <w:color w:val="auto"/>
          <w:sz w:val="32"/>
          <w:szCs w:val="32"/>
          <w:highlight w:val="none"/>
          <w:lang w:eastAsia="zh-CN"/>
        </w:rPr>
        <w:t>支</w:t>
      </w:r>
      <w:r>
        <w:rPr>
          <w:rFonts w:hint="eastAsia" w:ascii="仿宋" w:hAnsi="仿宋" w:eastAsia="仿宋"/>
          <w:color w:val="auto"/>
          <w:sz w:val="32"/>
          <w:szCs w:val="32"/>
          <w:highlight w:val="none"/>
        </w:rPr>
        <w:t>出3</w:t>
      </w:r>
      <w:r>
        <w:rPr>
          <w:rFonts w:hint="eastAsia" w:ascii="仿宋" w:hAnsi="仿宋" w:eastAsia="仿宋"/>
          <w:color w:val="auto"/>
          <w:sz w:val="32"/>
          <w:szCs w:val="32"/>
          <w:highlight w:val="none"/>
          <w:lang w:eastAsia="zh-CN"/>
        </w:rPr>
        <w:t>万元，</w:t>
      </w:r>
      <w:r>
        <w:rPr>
          <w:rFonts w:hint="eastAsia" w:ascii="仿宋" w:hAnsi="仿宋" w:eastAsia="仿宋"/>
          <w:b w:val="0"/>
          <w:bCs w:val="0"/>
          <w:color w:val="auto"/>
          <w:sz w:val="32"/>
          <w:szCs w:val="32"/>
          <w:highlight w:val="none"/>
        </w:rPr>
        <w:t>占</w:t>
      </w:r>
      <w:r>
        <w:rPr>
          <w:rFonts w:hint="eastAsia" w:ascii="仿宋" w:hAnsi="仿宋" w:eastAsia="仿宋"/>
          <w:b w:val="0"/>
          <w:bCs w:val="0"/>
          <w:color w:val="auto"/>
          <w:sz w:val="32"/>
          <w:szCs w:val="32"/>
          <w:highlight w:val="none"/>
          <w:lang w:val="en-US" w:eastAsia="zh-CN"/>
        </w:rPr>
        <w:t>0.24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color w:val="auto"/>
          <w:sz w:val="32"/>
          <w:szCs w:val="32"/>
          <w:highlight w:val="none"/>
        </w:rPr>
        <w:t>灾害防治及应急管理（类）</w:t>
      </w:r>
      <w:r>
        <w:rPr>
          <w:rFonts w:hint="eastAsia" w:ascii="仿宋" w:hAnsi="仿宋" w:eastAsia="仿宋"/>
          <w:color w:val="auto"/>
          <w:sz w:val="32"/>
          <w:szCs w:val="32"/>
          <w:highlight w:val="none"/>
        </w:rPr>
        <w:t>支出1162.88</w:t>
      </w:r>
      <w:r>
        <w:rPr>
          <w:rFonts w:hint="eastAsia" w:ascii="仿宋" w:hAnsi="仿宋" w:eastAsia="仿宋"/>
          <w:color w:val="auto"/>
          <w:sz w:val="32"/>
          <w:szCs w:val="32"/>
          <w:highlight w:val="none"/>
          <w:lang w:eastAsia="zh-CN"/>
        </w:rPr>
        <w:t>万元，</w:t>
      </w:r>
      <w:r>
        <w:rPr>
          <w:rFonts w:hint="eastAsia" w:ascii="仿宋" w:hAnsi="仿宋" w:eastAsia="仿宋"/>
          <w:b w:val="0"/>
          <w:bCs w:val="0"/>
          <w:color w:val="auto"/>
          <w:sz w:val="32"/>
          <w:szCs w:val="32"/>
          <w:highlight w:val="none"/>
        </w:rPr>
        <w:t>占</w:t>
      </w:r>
      <w:r>
        <w:rPr>
          <w:rFonts w:hint="eastAsia" w:ascii="仿宋" w:hAnsi="仿宋" w:eastAsia="仿宋"/>
          <w:b w:val="0"/>
          <w:bCs w:val="0"/>
          <w:color w:val="auto"/>
          <w:sz w:val="32"/>
          <w:szCs w:val="32"/>
          <w:highlight w:val="none"/>
          <w:lang w:val="en-US" w:eastAsia="zh-CN"/>
        </w:rPr>
        <w:t>91.35</w:t>
      </w:r>
      <w:r>
        <w:rPr>
          <w:rFonts w:ascii="仿宋" w:hAnsi="仿宋" w:eastAsia="仿宋"/>
          <w:b w:val="0"/>
          <w:bCs w:val="0"/>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sz w:val="32"/>
          <w:szCs w:val="32"/>
          <w:highlight w:val="none"/>
        </w:rPr>
      </w:pPr>
      <w:r>
        <w:drawing>
          <wp:inline distT="0" distB="0" distL="114300" distR="114300">
            <wp:extent cx="4572000" cy="2743200"/>
            <wp:effectExtent l="4445" t="4445" r="10795" b="1079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1" w:name="_Toc15377212"/>
      <w:r>
        <w:rPr>
          <w:rFonts w:hint="eastAsia" w:ascii="仿宋" w:hAnsi="仿宋" w:eastAsia="仿宋"/>
          <w:b/>
          <w:color w:val="auto"/>
          <w:sz w:val="32"/>
          <w:szCs w:val="32"/>
          <w:highlight w:val="none"/>
        </w:rPr>
        <w:t>（三）一般公共预算财政拨款支出决算具体情况</w:t>
      </w:r>
      <w:bookmarkEnd w:id="41"/>
    </w:p>
    <w:p>
      <w:pPr>
        <w:spacing w:line="600" w:lineRule="exact"/>
        <w:ind w:firstLine="643" w:firstLineChars="200"/>
        <w:outlineLvl w:val="9"/>
        <w:rPr>
          <w:rFonts w:ascii="仿宋" w:hAnsi="仿宋" w:eastAsia="仿宋"/>
          <w:color w:val="auto"/>
          <w:sz w:val="32"/>
          <w:szCs w:val="32"/>
          <w:highlight w:val="none"/>
        </w:rPr>
      </w:pPr>
      <w:bookmarkStart w:id="42" w:name="_Toc15377444"/>
      <w:bookmarkStart w:id="43" w:name="_Toc15377213"/>
      <w:bookmarkStart w:id="44"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1273.04万元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42"/>
      <w:bookmarkEnd w:id="43"/>
      <w:bookmarkEnd w:id="44"/>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社会保障和就业（类）行政事业单位养老（款） 机关事业单位基本养老保险缴费（项）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支出决算为47.13万元，完成预算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社会保障和就业（类）其他社会保障和就业（款） 其他社会保障和就业（项）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支出决算为2.57万元，完成预算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（类）行政事业单位医疗（款）行政单位医疗（项）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支出决算为22.99万元，完成预算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w:t>
      </w:r>
      <w:r>
        <w:rPr>
          <w:rStyle w:val="15"/>
          <w:rFonts w:hint="eastAsia" w:ascii="仿宋" w:hAnsi="仿宋" w:eastAsia="仿宋"/>
          <w:bCs/>
          <w:color w:val="auto"/>
          <w:sz w:val="32"/>
          <w:szCs w:val="32"/>
          <w:highlight w:val="none"/>
        </w:rPr>
        <w:t>（类）扶贫（款）其他扶贫支出（项）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w:t>
      </w:r>
      <w:r>
        <w:rPr>
          <w:rStyle w:val="15"/>
          <w:rFonts w:hint="eastAsia" w:ascii="仿宋" w:hAnsi="仿宋" w:eastAsia="仿宋"/>
          <w:bCs/>
          <w:color w:val="auto"/>
          <w:sz w:val="32"/>
          <w:szCs w:val="32"/>
          <w:highlight w:val="none"/>
        </w:rPr>
        <w:t>（类）住房改革（款） 住房公积金（项）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支出决算为34.48万元，完成预算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（类）应急管理事务（款）行政运行（项）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支出决算为234.28万元，完成预算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7</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  一般行政管理事务（项）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支出决算为21.95万元，完成预算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8</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（类）应急管理事务（款）灾害风险防治（项）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9</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（类）应急管理事务（款）安全监管（项）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10</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（类）应急管理事务（款）应急救援（项）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11</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（类）应急管理事务（款）应急管理（项）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12</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（类）应急管理事务（款）事业运行（项）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274.51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13</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（类）应急管理事务（款）其他应急管理支出（项）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14</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（类）自然灾害救灾及恢复重建（款）其他自然灾害救灾及恢复重建（项）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185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灾害防治及应急管理</w:t>
      </w:r>
      <w:r>
        <w:rPr>
          <w:rStyle w:val="15"/>
          <w:rFonts w:hint="eastAsia" w:ascii="仿宋" w:hAnsi="仿宋" w:eastAsia="仿宋"/>
          <w:bCs/>
          <w:color w:val="auto"/>
          <w:sz w:val="32"/>
          <w:szCs w:val="32"/>
          <w:highlight w:val="none"/>
        </w:rPr>
        <w:t>（类）其他灾害防治及应急管理（款）其他灾害防治及应急管理（项）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399.14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6"/>
          <w:color w:val="auto"/>
          <w:highlight w:val="none"/>
        </w:rPr>
      </w:pPr>
      <w:bookmarkStart w:id="45" w:name="_Toc15396608"/>
      <w:bookmarkStart w:id="46" w:name="_Toc15377214"/>
      <w:bookmarkStart w:id="47" w:name="_Toc2234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5"/>
      <w:bookmarkEnd w:id="46"/>
      <w:bookmarkEnd w:id="47"/>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年一般公共预算财政拨款基本支出615.96万元，其中：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568.46万元，主要包括：基本工资、津贴补贴、奖金、绩效工资、机关事业单位基本养老保险缴费、职业年金缴费、其他社会保障缴费、其他工资福利支出、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47.5万元，主要包括：办公费、印刷费、咨询费、手续费、水费、电费、邮电费、物业管理费、差旅费、维修（护）费、租赁费、会议费、培训费、公务接待费、劳务费、工会经费、公务用车运行维护费、其他交通费、其他商品和服务支出、办公设备购置、信息网络及软件购置更新、其他资本性支出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6"/>
          <w:rFonts w:ascii="黑体" w:hAnsi="黑体" w:eastAsia="黑体"/>
          <w:b w:val="0"/>
          <w:color w:val="auto"/>
          <w:highlight w:val="none"/>
        </w:rPr>
      </w:pPr>
      <w:bookmarkStart w:id="48" w:name="_Toc15396609"/>
      <w:bookmarkStart w:id="49" w:name="_Toc15377215"/>
      <w:bookmarkStart w:id="50" w:name="_Toc466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8"/>
      <w:bookmarkEnd w:id="49"/>
      <w:bookmarkEnd w:id="50"/>
    </w:p>
    <w:p>
      <w:pPr>
        <w:spacing w:line="600" w:lineRule="exact"/>
        <w:ind w:firstLine="640"/>
        <w:outlineLvl w:val="2"/>
        <w:rPr>
          <w:rFonts w:ascii="仿宋" w:hAnsi="仿宋" w:eastAsia="仿宋"/>
          <w:b/>
          <w:color w:val="auto"/>
          <w:sz w:val="32"/>
          <w:szCs w:val="32"/>
          <w:highlight w:val="none"/>
        </w:rPr>
      </w:pPr>
      <w:bookmarkStart w:id="51" w:name="_Toc15377216"/>
      <w:r>
        <w:rPr>
          <w:rFonts w:hint="eastAsia" w:ascii="仿宋" w:hAnsi="仿宋" w:eastAsia="仿宋"/>
          <w:b/>
          <w:color w:val="auto"/>
          <w:sz w:val="32"/>
          <w:szCs w:val="32"/>
          <w:highlight w:val="none"/>
        </w:rPr>
        <w:t>（一）“三公”经费财政拨款支出决算总体情况说明</w:t>
      </w:r>
      <w:bookmarkEnd w:id="5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年“三公”经费财政拨款支出决算为7.05万元，完成预算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52" w:name="_Toc15377217"/>
      <w:r>
        <w:rPr>
          <w:rFonts w:hint="eastAsia" w:ascii="仿宋" w:hAnsi="仿宋" w:eastAsia="仿宋"/>
          <w:b/>
          <w:color w:val="auto"/>
          <w:sz w:val="32"/>
          <w:szCs w:val="32"/>
          <w:highlight w:val="none"/>
        </w:rPr>
        <w:t>（二）“三公”经费财政拨款支出决算具体情况说明</w:t>
      </w:r>
      <w:bookmarkEnd w:id="5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28.37</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5.05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71.63</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4572000" cy="2743200"/>
            <wp:effectExtent l="4445" t="4445" r="10795" b="1079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5"/>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highlight w:val="none"/>
          <w:lang w:val="en-US" w:eastAsia="zh-CN"/>
        </w:rPr>
        <w:t>年初未安排预算</w:t>
      </w:r>
      <w:r>
        <w:rPr>
          <w:rFonts w:hint="eastAsia" w:ascii="仿宋_GB2312" w:hAnsi="Times New Roman" w:eastAsia="仿宋_GB2312" w:cs="Times New Roman"/>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2.46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55.16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践行节约办公要求，进一步压缩三公经费开支</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皮卡</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执法检查、应急处置、防灾减灾</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5.05</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2.88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践行节约办公要求，进一步压缩三公经费开支</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5.05</w:t>
      </w:r>
      <w:r>
        <w:rPr>
          <w:rFonts w:hint="eastAsia" w:ascii="仿宋_GB2312" w:eastAsia="仿宋_GB2312"/>
          <w:color w:val="auto"/>
          <w:sz w:val="32"/>
          <w:szCs w:val="32"/>
          <w:highlight w:val="none"/>
        </w:rPr>
        <w:t>万元，主要用于执行公务、开展业务活动开支的住宿费、用餐费等。国内公务接待</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426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5.05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迎接国家、省、市、区检查、督查、调研等</w:t>
      </w:r>
      <w:r>
        <w:rPr>
          <w:rFonts w:hint="eastAsia" w:ascii="仿宋_GB2312" w:eastAsia="仿宋_GB2312"/>
          <w:color w:val="auto"/>
          <w:sz w:val="32"/>
          <w:szCs w:val="32"/>
          <w:highlight w:val="none"/>
        </w:rPr>
        <w:t>。</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3" w:name="_Toc15377218"/>
      <w:bookmarkStart w:id="54" w:name="_Toc15396610"/>
    </w:p>
    <w:p>
      <w:pPr>
        <w:spacing w:line="600" w:lineRule="exact"/>
        <w:ind w:firstLine="640"/>
        <w:outlineLvl w:val="9"/>
        <w:rPr>
          <w:rFonts w:ascii="黑体" w:eastAsia="黑体"/>
          <w:color w:val="auto"/>
          <w:sz w:val="32"/>
          <w:szCs w:val="32"/>
          <w:highlight w:val="none"/>
        </w:rPr>
      </w:pPr>
    </w:p>
    <w:p>
      <w:pPr>
        <w:spacing w:line="600" w:lineRule="exact"/>
        <w:ind w:firstLine="640"/>
        <w:outlineLvl w:val="1"/>
        <w:rPr>
          <w:rStyle w:val="26"/>
          <w:rFonts w:ascii="黑体" w:hAnsi="黑体" w:eastAsia="黑体"/>
          <w:color w:val="auto"/>
          <w:highlight w:val="none"/>
        </w:rPr>
      </w:pPr>
      <w:bookmarkStart w:id="55" w:name="_Toc17988"/>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53"/>
      <w:bookmarkEnd w:id="54"/>
      <w:bookmarkEnd w:id="5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6"/>
          <w:rFonts w:ascii="黑体" w:hAnsi="黑体" w:eastAsia="黑体"/>
          <w:b w:val="0"/>
          <w:color w:val="auto"/>
          <w:highlight w:val="none"/>
        </w:rPr>
      </w:pPr>
      <w:bookmarkStart w:id="56" w:name="_Toc19640"/>
      <w:bookmarkStart w:id="57" w:name="_Toc15377219"/>
      <w:bookmarkStart w:id="58" w:name="_Toc15396611"/>
      <w:r>
        <w:rPr>
          <w:rStyle w:val="26"/>
          <w:rFonts w:hint="eastAsia" w:ascii="黑体" w:hAnsi="黑体" w:eastAsia="黑体"/>
          <w:b w:val="0"/>
          <w:color w:val="auto"/>
          <w:highlight w:val="none"/>
        </w:rPr>
        <w:t>国有资本经营预算支出决算情况说明</w:t>
      </w:r>
      <w:bookmarkEnd w:id="56"/>
      <w:bookmarkEnd w:id="57"/>
      <w:bookmarkEnd w:id="5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6"/>
          <w:rFonts w:hint="eastAsia" w:ascii="黑体" w:hAnsi="黑体" w:eastAsia="黑体"/>
          <w:b w:val="0"/>
          <w:color w:val="auto"/>
          <w:highlight w:val="none"/>
        </w:rPr>
      </w:pPr>
      <w:bookmarkStart w:id="59" w:name="_Toc7732"/>
      <w:bookmarkStart w:id="60" w:name="_Toc15377221"/>
      <w:bookmarkStart w:id="61" w:name="_Toc15396612"/>
      <w:r>
        <w:rPr>
          <w:rStyle w:val="26"/>
          <w:rFonts w:hint="eastAsia" w:ascii="黑体" w:hAnsi="黑体" w:eastAsia="黑体"/>
          <w:b w:val="0"/>
          <w:color w:val="auto"/>
          <w:highlight w:val="none"/>
          <w:lang w:val="en-US" w:eastAsia="zh-CN"/>
        </w:rPr>
        <w:t>预算绩效管理情况</w:t>
      </w:r>
      <w:bookmarkEnd w:id="59"/>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预算编制阶段，组织对森林防灭火专项整治经费项目（项目名称）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0个项目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Style w:val="6"/>
        <w:rPr>
          <w:rFonts w:hint="eastAsia"/>
        </w:rPr>
      </w:pPr>
    </w:p>
    <w:p>
      <w:pPr>
        <w:numPr>
          <w:ilvl w:val="0"/>
          <w:numId w:val="2"/>
        </w:numPr>
        <w:spacing w:line="600" w:lineRule="exact"/>
        <w:ind w:firstLine="640"/>
        <w:outlineLvl w:val="1"/>
        <w:rPr>
          <w:rStyle w:val="26"/>
          <w:rFonts w:hint="eastAsia" w:ascii="黑体" w:hAnsi="黑体" w:eastAsia="黑体"/>
          <w:b w:val="0"/>
          <w:color w:val="auto"/>
          <w:highlight w:val="none"/>
        </w:rPr>
      </w:pPr>
      <w:bookmarkStart w:id="62" w:name="_Toc21994"/>
      <w:r>
        <w:rPr>
          <w:rStyle w:val="26"/>
          <w:rFonts w:hint="eastAsia" w:ascii="黑体" w:hAnsi="黑体" w:eastAsia="黑体"/>
          <w:b w:val="0"/>
          <w:color w:val="auto"/>
          <w:highlight w:val="none"/>
        </w:rPr>
        <w:t>其他重要事项的情况说明</w:t>
      </w:r>
      <w:bookmarkEnd w:id="60"/>
      <w:bookmarkEnd w:id="61"/>
      <w:bookmarkEnd w:id="62"/>
    </w:p>
    <w:p>
      <w:pPr>
        <w:spacing w:line="600" w:lineRule="exact"/>
        <w:ind w:firstLine="643" w:firstLineChars="200"/>
        <w:outlineLvl w:val="2"/>
        <w:rPr>
          <w:rFonts w:ascii="仿宋" w:hAnsi="仿宋" w:eastAsia="仿宋"/>
          <w:color w:val="auto"/>
          <w:sz w:val="32"/>
          <w:szCs w:val="32"/>
          <w:highlight w:val="none"/>
        </w:rPr>
      </w:pPr>
      <w:bookmarkStart w:id="63" w:name="_Toc15377222"/>
      <w:r>
        <w:rPr>
          <w:rFonts w:hint="eastAsia" w:ascii="仿宋" w:hAnsi="仿宋" w:eastAsia="仿宋"/>
          <w:b/>
          <w:color w:val="auto"/>
          <w:sz w:val="32"/>
          <w:szCs w:val="32"/>
          <w:highlight w:val="none"/>
        </w:rPr>
        <w:t>（一）机关运行经费支出情况</w:t>
      </w:r>
      <w:bookmarkEnd w:id="63"/>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广元市朝天区应急管理局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47.5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2.77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机构职能扩张，日常业务增加。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4" w:name="_Toc15377223"/>
      <w:r>
        <w:rPr>
          <w:rFonts w:hint="eastAsia" w:ascii="仿宋" w:hAnsi="仿宋" w:eastAsia="仿宋"/>
          <w:b/>
          <w:color w:val="auto"/>
          <w:sz w:val="32"/>
          <w:szCs w:val="32"/>
          <w:highlight w:val="none"/>
        </w:rPr>
        <w:t>（二）政府采购支出情况</w:t>
      </w:r>
      <w:bookmarkEnd w:id="6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广元市朝天区应急管理局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5" w:name="_Toc15377224"/>
      <w:r>
        <w:rPr>
          <w:rFonts w:hint="eastAsia" w:ascii="仿宋" w:hAnsi="仿宋" w:eastAsia="仿宋"/>
          <w:b/>
          <w:color w:val="auto"/>
          <w:sz w:val="32"/>
          <w:szCs w:val="32"/>
          <w:highlight w:val="none"/>
        </w:rPr>
        <w:t>（三）国有资产占有使用情况</w:t>
      </w:r>
      <w:bookmarkEnd w:id="6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广元市朝天区应急管理局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特种专业技术用车。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p>
    <w:p>
      <w:pPr>
        <w:pStyle w:val="6"/>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5"/>
          <w:rFonts w:ascii="黑体" w:hAnsi="黑体" w:eastAsia="黑体"/>
          <w:b w:val="0"/>
          <w:color w:val="auto"/>
          <w:highlight w:val="none"/>
        </w:rPr>
      </w:pPr>
      <w:bookmarkStart w:id="66" w:name="_Toc15396613"/>
      <w:bookmarkStart w:id="67" w:name="_Toc15377225"/>
      <w:bookmarkStart w:id="68" w:name="_Toc2309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66"/>
      <w:bookmarkEnd w:id="67"/>
      <w:bookmarkEnd w:id="68"/>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bookmarkStart w:id="69"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9.社会保障和就业支出类第五款第五项机关事业单位基本养老保险缴费支出：指机关事业单位实施养老保险制度由单位缴纳的基本养老保险支出。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10.社会保障和就业支出类第九十九款第九十九项其他社会保险和就业支出：指其他用于社会保障和就业方面的支出。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卫生健康支出类第十一款第一项行政单位医疗：指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eastAsia"/>
          <w:lang w:val="en-US" w:eastAsia="zh-CN"/>
        </w:rPr>
      </w:pPr>
      <w:r>
        <w:rPr>
          <w:rFonts w:hint="eastAsia" w:ascii="仿宋_GB2312" w:eastAsia="仿宋_GB2312"/>
          <w:color w:val="000000"/>
          <w:sz w:val="32"/>
          <w:szCs w:val="32"/>
          <w:lang w:val="en-US" w:eastAsia="zh-CN"/>
        </w:rPr>
        <w:t>12.卫生健康支出类第十一款第二项事业单位医疗：指财政部门安排的事业单位基本医疗保险缴费经费，未参加医疗保险的事业单位公费医疗经费，按国家规定享受离休人员待遇的医疗经费。</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w:t>
      </w:r>
      <w:r>
        <w:rPr>
          <w:rFonts w:hint="default" w:ascii="仿宋_GB2312" w:eastAsia="仿宋_GB2312"/>
          <w:color w:val="000000"/>
          <w:sz w:val="32"/>
          <w:szCs w:val="32"/>
          <w:lang w:val="en-US" w:eastAsia="zh-CN"/>
        </w:rPr>
        <w:t>农林水支出</w:t>
      </w:r>
      <w:r>
        <w:rPr>
          <w:rFonts w:hint="eastAsia" w:ascii="仿宋_GB2312" w:eastAsia="仿宋_GB2312"/>
          <w:color w:val="000000"/>
          <w:sz w:val="32"/>
          <w:szCs w:val="32"/>
          <w:lang w:val="en-US" w:eastAsia="zh-CN"/>
        </w:rPr>
        <w:t>类第五款第九十九项其他扶贫支出：指其他用于扶贫方面的支出。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14.住房保障支出类第二款第一项住房公积金：指行政事业单位按人力资源和社会保障部、财政部规定的基本工资和津贴补贴以及规定比例为职工缴纳的住房公积金。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15.灾害防治及应急管理支出类第一款第一项行政运行：指行政单位（包括实行公务员管理的事业单位）的基本支出。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16.灾害防治及应急管理支出类第一款第二项一般行政管理事务：指行政单位（包括实行公务员管理的事业单位）未单独设置项级科目的其他项目支出。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17.灾害防治及应急管理支出类第一款第四项灾害风险防治：指组织、指导、协调各类风险灾害防范治理方面的支出。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18.灾害防治及应急管理支出类第一款第六项安全监管：指安全生产监管方面的支出。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19.灾害防治及应急管理支出类第一款第八项应急救援：指安全生产、自然灾害应急救援方面的支出。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20.灾害防治及应急管理支出类第一款第九项应急管理：指用于应急管理的法律法规制定修订，应急预案演练、协调保障等方面的支出。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21.灾害防治及应急管理支出类第一款第五十项事业运行：指事业单位的基本支出，不包括行政单位（包括实行公务员管理的事业单位）后勤服务中心、医务室等附属事业单位。</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22.灾害防治及应急管理支出类第一款第九十九项其他应急管理支出：指其他应急管理方面的支出。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23.灾害防治及应急管理支出类第七款第九十九项 其他自然灾害救灾及恢复重建支出：指其他用于自然灾害救灾、灾后恢复重建等方面的支出。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24.灾害防治及应急管理支出类第九十九款第九十九项其他灾害防治及应急管理支出：指其他用于灾害防治及应急管理的支出。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工资福利支出：指单位开支的在职职工和编制外长期聘用人员的各类劳动报酬，以及为上述人员缴纳的各项社会保险费等</w:t>
      </w:r>
      <w:r>
        <w:rPr>
          <w:rFonts w:hint="eastAsia" w:ascii="仿宋_GB2312" w:eastAsia="仿宋_GB2312"/>
          <w:color w:val="auto"/>
          <w:sz w:val="32"/>
          <w:szCs w:val="32"/>
          <w:highlight w:val="none"/>
        </w:rPr>
        <w:t>。</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31.商品和服务支出：指单位购买商品和服务的支出，不包括用于购置固定资产、战略性和应急性物资储备等资本性支出。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32.对个人和家庭的补助：指政府用于对个人和家庭的补助支出。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33.债务利息及费用支出：指单位的债务利息及费用支出。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34.资本性支出：指单位安排的资本性支出。切块由发展改革部门安排的基本建设支出不在此科目反映。</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35.对企业补助：指政府对各类企业的补助支出。切块由发展改革部门安排的基本建设支出中对企业补助支出不在此科目中反映。</w:t>
      </w:r>
    </w:p>
    <w:p>
      <w:pPr>
        <w:spacing w:line="600" w:lineRule="exact"/>
        <w:jc w:val="center"/>
        <w:outlineLvl w:val="0"/>
        <w:rPr>
          <w:rStyle w:val="25"/>
          <w:rFonts w:ascii="黑体" w:hAnsi="黑体" w:eastAsia="黑体"/>
          <w:b w:val="0"/>
          <w:color w:val="auto"/>
          <w:highlight w:val="none"/>
        </w:rPr>
      </w:pPr>
      <w:r>
        <w:rPr>
          <w:rFonts w:ascii="宋体"/>
          <w:b/>
          <w:color w:val="auto"/>
          <w:sz w:val="44"/>
          <w:szCs w:val="44"/>
          <w:highlight w:val="none"/>
        </w:rPr>
        <w:br w:type="page"/>
      </w:r>
      <w:bookmarkStart w:id="70" w:name="_Toc15396614"/>
      <w:bookmarkStart w:id="71" w:name="_Toc31546"/>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70"/>
      <w:bookmarkEnd w:id="71"/>
    </w:p>
    <w:p>
      <w:pPr>
        <w:keepNext w:val="0"/>
        <w:keepLines w:val="0"/>
        <w:pageBreakBefore w:val="0"/>
        <w:kinsoku/>
        <w:wordWrap/>
        <w:overflowPunct/>
        <w:topLinePunct w:val="0"/>
        <w:autoSpaceDE/>
        <w:autoSpaceDN/>
        <w:bidi w:val="0"/>
        <w:spacing w:line="572" w:lineRule="exact"/>
        <w:jc w:val="left"/>
        <w:textAlignment w:val="auto"/>
        <w:outlineLvl w:val="1"/>
        <w:rPr>
          <w:rFonts w:ascii="仿宋_GB2312" w:hAnsi="仿宋_GB2312" w:eastAsia="仿宋_GB2312" w:cs="仿宋_GB2312"/>
          <w:color w:val="auto"/>
          <w:sz w:val="32"/>
          <w:szCs w:val="32"/>
          <w:highlight w:val="none"/>
        </w:rPr>
      </w:pPr>
      <w:bookmarkStart w:id="72" w:name="_Toc15851"/>
      <w:r>
        <w:rPr>
          <w:rFonts w:hint="eastAsia" w:ascii="黑体" w:hAnsi="黑体" w:eastAsia="黑体" w:cs="黑体"/>
          <w:color w:val="auto"/>
          <w:sz w:val="32"/>
          <w:szCs w:val="32"/>
          <w:highlight w:val="none"/>
        </w:rPr>
        <w:t>附件</w:t>
      </w:r>
      <w:bookmarkEnd w:id="72"/>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bookmarkStart w:id="73" w:name="_Toc15396618"/>
            <w:r>
              <w:rPr>
                <w:rFonts w:hint="eastAsia" w:ascii="宋体" w:hAnsi="宋体" w:eastAsia="宋体" w:cs="宋体"/>
                <w:b/>
                <w:i w:val="0"/>
                <w:color w:val="auto"/>
                <w:sz w:val="32"/>
                <w:szCs w:val="32"/>
                <w:highlight w:val="none"/>
                <w:u w:val="none"/>
                <w:lang w:val="en-US" w:eastAsia="zh-CN"/>
              </w:rPr>
              <w:t>2021年安全生产监察执法专项经费部门预算项目绩效目标自评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广元市朝天区应急管理局</w:t>
            </w:r>
            <w:r>
              <w:rPr>
                <w:rFonts w:hint="eastAsia" w:ascii="宋体" w:hAnsi="宋体" w:cs="宋体"/>
                <w:i w:val="0"/>
                <w:color w:val="auto"/>
                <w:sz w:val="24"/>
                <w:szCs w:val="24"/>
                <w:highlight w:val="none"/>
                <w:u w:val="none"/>
                <w:lang w:eastAsia="zh-CN"/>
              </w:rPr>
              <w:t>（</w:t>
            </w:r>
            <w:r>
              <w:rPr>
                <w:rFonts w:hint="eastAsia" w:ascii="宋体" w:hAnsi="宋体" w:cs="宋体"/>
                <w:i w:val="0"/>
                <w:color w:val="auto"/>
                <w:sz w:val="24"/>
                <w:szCs w:val="24"/>
                <w:highlight w:val="none"/>
                <w:u w:val="none"/>
                <w:lang w:val="en-US" w:eastAsia="zh-CN"/>
              </w:rPr>
              <w:t>332001</w:t>
            </w:r>
            <w:r>
              <w:rPr>
                <w:rFonts w:hint="eastAsia" w:ascii="宋体" w:hAnsi="宋体" w:cs="宋体"/>
                <w:i w:val="0"/>
                <w:color w:val="auto"/>
                <w:sz w:val="24"/>
                <w:szCs w:val="24"/>
                <w:highlight w:val="none"/>
                <w:u w:val="none"/>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强化安全监管，加强监察执法工作，打击非法、违法生产经营建设行为，强化对一般生产安全事故的调查、处罚。</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强化安全监管，加强监察执法工作，打击非法、违法生产经营建设行为，强化对一般生产安全事故的调查、处罚。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监管企业数量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158家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158家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监管计划完成度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保障性经费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安全形势良好促进经济效益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明显提升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安全生产环境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持续好转</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持续好转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有效促进企业节能减排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有效促进</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项目持续影响时间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r>
    </w:tbl>
    <w:p>
      <w:pPr>
        <w:spacing w:line="600" w:lineRule="exact"/>
        <w:jc w:val="center"/>
        <w:outlineLvl w:val="9"/>
        <w:rPr>
          <w:rFonts w:hint="eastAsia" w:ascii="黑体" w:hAnsi="黑体" w:eastAsia="黑体"/>
          <w:color w:val="auto"/>
          <w:sz w:val="44"/>
          <w:szCs w:val="44"/>
          <w:highlight w:val="none"/>
        </w:rPr>
      </w:pPr>
    </w:p>
    <w:p>
      <w:pPr>
        <w:pStyle w:val="2"/>
        <w:rPr>
          <w:rFonts w:hint="eastAsia"/>
        </w:rPr>
      </w:pPr>
    </w:p>
    <w:p>
      <w:pPr>
        <w:rPr>
          <w:rFonts w:hint="eastAsia"/>
        </w:rPr>
      </w:pPr>
    </w:p>
    <w:tbl>
      <w:tblPr>
        <w:tblStyle w:val="13"/>
        <w:tblpPr w:leftFromText="180" w:rightFromText="180" w:vertAnchor="text" w:horzAnchor="page" w:tblpX="1244" w:tblpY="786"/>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2021年安全生产专项经费部门预算项目绩效目标自评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广元市朝天区应急管理局</w:t>
            </w:r>
            <w:r>
              <w:rPr>
                <w:rFonts w:hint="eastAsia" w:ascii="宋体" w:hAnsi="宋体" w:cs="宋体"/>
                <w:i w:val="0"/>
                <w:color w:val="auto"/>
                <w:sz w:val="24"/>
                <w:szCs w:val="24"/>
                <w:highlight w:val="none"/>
                <w:u w:val="none"/>
                <w:lang w:eastAsia="zh-CN"/>
              </w:rPr>
              <w:t>（</w:t>
            </w:r>
            <w:r>
              <w:rPr>
                <w:rFonts w:hint="eastAsia" w:ascii="宋体" w:hAnsi="宋体" w:cs="宋体"/>
                <w:i w:val="0"/>
                <w:color w:val="auto"/>
                <w:sz w:val="24"/>
                <w:szCs w:val="24"/>
                <w:highlight w:val="none"/>
                <w:u w:val="none"/>
                <w:lang w:val="en-US" w:eastAsia="zh-CN"/>
              </w:rPr>
              <w:t>332001</w:t>
            </w:r>
            <w:r>
              <w:rPr>
                <w:rFonts w:hint="eastAsia" w:ascii="宋体" w:hAnsi="宋体" w:cs="宋体"/>
                <w:i w:val="0"/>
                <w:color w:val="auto"/>
                <w:sz w:val="24"/>
                <w:szCs w:val="24"/>
                <w:highlight w:val="none"/>
                <w:u w:val="none"/>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确保我区的事故起数和死亡人数“双下降”、较大事故和较大影响事故数量“双控制”、重特大事故“一杜绝”工作目标，维护安全生产环境的总体稳定大局。</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已完成全年预期目标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安全生产专项整治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1次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安全生产工作形势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保障性经费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2</w:t>
            </w:r>
            <w:r>
              <w:rPr>
                <w:rFonts w:hint="eastAsia" w:ascii="仿宋_GB2312" w:hAnsi="仿宋_GB2312" w:eastAsia="仿宋_GB2312" w:cs="仿宋_GB2312"/>
                <w:i w:val="0"/>
                <w:color w:val="auto"/>
                <w:sz w:val="28"/>
                <w:szCs w:val="28"/>
                <w:highlight w:val="none"/>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2</w:t>
            </w:r>
            <w:r>
              <w:rPr>
                <w:rFonts w:hint="eastAsia" w:ascii="仿宋_GB2312" w:hAnsi="仿宋_GB2312" w:eastAsia="仿宋_GB2312" w:cs="仿宋_GB2312"/>
                <w:i w:val="0"/>
                <w:color w:val="auto"/>
                <w:sz w:val="28"/>
                <w:szCs w:val="28"/>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群众生命财产安全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社会秩序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项目持续影响时间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r>
    </w:tbl>
    <w:p>
      <w:pPr>
        <w:pStyle w:val="2"/>
        <w:rPr>
          <w:rFonts w:hint="eastAsia"/>
        </w:rPr>
      </w:pPr>
    </w:p>
    <w:p>
      <w:pPr>
        <w:rPr>
          <w:rFonts w:hint="eastAsia"/>
        </w:rPr>
      </w:pPr>
    </w:p>
    <w:p>
      <w:pPr>
        <w:pStyle w:val="2"/>
        <w:rPr>
          <w:rFonts w:hint="eastAsia"/>
        </w:rPr>
      </w:pPr>
    </w:p>
    <w:tbl>
      <w:tblPr>
        <w:tblStyle w:val="13"/>
        <w:tblpPr w:leftFromText="180" w:rightFromText="180" w:vertAnchor="text" w:horzAnchor="page" w:tblpX="1286" w:tblpY="795"/>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2021年区政府安办工作专项经费部门预算项目绩效目标自评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广元市朝天区应急管理局</w:t>
            </w:r>
            <w:r>
              <w:rPr>
                <w:rFonts w:hint="eastAsia" w:ascii="宋体" w:hAnsi="宋体" w:cs="宋体"/>
                <w:i w:val="0"/>
                <w:color w:val="auto"/>
                <w:sz w:val="24"/>
                <w:szCs w:val="24"/>
                <w:highlight w:val="none"/>
                <w:u w:val="none"/>
                <w:lang w:eastAsia="zh-CN"/>
              </w:rPr>
              <w:t>（</w:t>
            </w:r>
            <w:r>
              <w:rPr>
                <w:rFonts w:hint="eastAsia" w:ascii="宋体" w:hAnsi="宋体" w:cs="宋体"/>
                <w:i w:val="0"/>
                <w:color w:val="auto"/>
                <w:sz w:val="24"/>
                <w:szCs w:val="24"/>
                <w:highlight w:val="none"/>
                <w:u w:val="none"/>
                <w:lang w:val="en-US" w:eastAsia="zh-CN"/>
              </w:rPr>
              <w:t>332001</w:t>
            </w:r>
            <w:r>
              <w:rPr>
                <w:rFonts w:hint="eastAsia" w:ascii="宋体" w:hAnsi="宋体" w:cs="宋体"/>
                <w:i w:val="0"/>
                <w:color w:val="auto"/>
                <w:sz w:val="24"/>
                <w:szCs w:val="24"/>
                <w:highlight w:val="none"/>
                <w:u w:val="none"/>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每年至少召开4次全区防范重特大安全生产事故会议，</w:t>
            </w:r>
            <w:r>
              <w:rPr>
                <w:rFonts w:hint="eastAsia" w:ascii="宋体" w:hAnsi="宋体" w:cs="宋体"/>
                <w:i w:val="0"/>
                <w:color w:val="auto"/>
                <w:sz w:val="24"/>
                <w:szCs w:val="24"/>
                <w:highlight w:val="none"/>
                <w:u w:val="none"/>
                <w:lang w:eastAsia="zh-CN"/>
              </w:rPr>
              <w:t>迎接</w:t>
            </w:r>
            <w:r>
              <w:rPr>
                <w:rFonts w:hint="eastAsia" w:ascii="宋体" w:hAnsi="宋体" w:eastAsia="宋体" w:cs="宋体"/>
                <w:i w:val="0"/>
                <w:color w:val="auto"/>
                <w:sz w:val="24"/>
                <w:szCs w:val="24"/>
                <w:highlight w:val="none"/>
                <w:u w:val="none"/>
              </w:rPr>
              <w:t>国家、省、市安委会、安办，市应急局工作督查、交叉执法检查和安全生产年度目标考核。</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已完成全年预期目标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召开安委会次数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4次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安全生产工作形势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保障性经费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2</w:t>
            </w:r>
            <w:r>
              <w:rPr>
                <w:rFonts w:hint="eastAsia" w:ascii="仿宋_GB2312" w:hAnsi="仿宋_GB2312" w:eastAsia="仿宋_GB2312" w:cs="仿宋_GB2312"/>
                <w:i w:val="0"/>
                <w:color w:val="auto"/>
                <w:sz w:val="28"/>
                <w:szCs w:val="28"/>
                <w:highlight w:val="none"/>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2</w:t>
            </w:r>
            <w:r>
              <w:rPr>
                <w:rFonts w:hint="eastAsia" w:ascii="仿宋_GB2312" w:hAnsi="仿宋_GB2312" w:eastAsia="仿宋_GB2312" w:cs="仿宋_GB2312"/>
                <w:i w:val="0"/>
                <w:color w:val="auto"/>
                <w:sz w:val="28"/>
                <w:szCs w:val="28"/>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经济社会发展环境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安全稳定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社会生产生活秩序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平安稳定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平安稳定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项目持续影响时间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r>
    </w:tbl>
    <w:p>
      <w:pPr>
        <w:rPr>
          <w:rFonts w:hint="eastAsia"/>
        </w:rPr>
      </w:pPr>
    </w:p>
    <w:p>
      <w:pPr>
        <w:pStyle w:val="2"/>
        <w:rPr>
          <w:rFonts w:hint="eastAsia"/>
        </w:rPr>
      </w:pPr>
    </w:p>
    <w:p>
      <w:pPr>
        <w:rPr>
          <w:rFonts w:hint="eastAsia"/>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2021年森林防火专项整治经费部门预算项目绩效目标自评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广元市朝天区应急管理局</w:t>
            </w:r>
            <w:r>
              <w:rPr>
                <w:rFonts w:hint="eastAsia" w:ascii="宋体" w:hAnsi="宋体" w:cs="宋体"/>
                <w:i w:val="0"/>
                <w:color w:val="auto"/>
                <w:sz w:val="24"/>
                <w:szCs w:val="24"/>
                <w:highlight w:val="none"/>
                <w:u w:val="none"/>
                <w:lang w:eastAsia="zh-CN"/>
              </w:rPr>
              <w:t>（</w:t>
            </w:r>
            <w:r>
              <w:rPr>
                <w:rFonts w:hint="eastAsia" w:ascii="宋体" w:hAnsi="宋体" w:cs="宋体"/>
                <w:i w:val="0"/>
                <w:color w:val="auto"/>
                <w:sz w:val="24"/>
                <w:szCs w:val="24"/>
                <w:highlight w:val="none"/>
                <w:u w:val="none"/>
                <w:lang w:val="en-US" w:eastAsia="zh-CN"/>
              </w:rPr>
              <w:t>332001</w:t>
            </w:r>
            <w:r>
              <w:rPr>
                <w:rFonts w:hint="eastAsia" w:ascii="宋体" w:hAnsi="宋体" w:cs="宋体"/>
                <w:i w:val="0"/>
                <w:color w:val="auto"/>
                <w:sz w:val="24"/>
                <w:szCs w:val="24"/>
                <w:highlight w:val="none"/>
                <w:u w:val="none"/>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在全区开展森林防灭火大学习、大检查、大排查、大整治，促进全区森林防灭火形势稳定向好，全面提升森林火灾综合防控能力和扑救水平。</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已完成全年预期目标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统筹指导乡镇数量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12个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森林防灭火工作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rPr>
              <w:t>规范有序</w:t>
            </w:r>
            <w:r>
              <w:rPr>
                <w:rFonts w:hint="eastAsia" w:ascii="仿宋_GB2312" w:hAnsi="仿宋_GB2312" w:eastAsia="仿宋_GB2312" w:cs="仿宋_GB2312"/>
                <w:i w:val="0"/>
                <w:color w:val="auto"/>
                <w:sz w:val="28"/>
                <w:szCs w:val="28"/>
                <w:highlight w:val="none"/>
                <w:u w:val="none"/>
                <w:lang w:eastAsia="zh-CN"/>
              </w:rPr>
              <w:t>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规范有序</w:t>
            </w:r>
            <w:r>
              <w:rPr>
                <w:rFonts w:hint="eastAsia" w:ascii="仿宋_GB2312" w:hAnsi="仿宋_GB2312" w:eastAsia="仿宋_GB2312" w:cs="仿宋_GB2312"/>
                <w:i w:val="0"/>
                <w:color w:val="auto"/>
                <w:sz w:val="28"/>
                <w:szCs w:val="28"/>
                <w:highlight w:val="none"/>
                <w:u w:val="none"/>
                <w:lang w:eastAsia="zh-CN"/>
              </w:rPr>
              <w:t>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保障性经费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3</w:t>
            </w:r>
            <w:r>
              <w:rPr>
                <w:rFonts w:hint="eastAsia" w:ascii="仿宋_GB2312" w:hAnsi="仿宋_GB2312" w:eastAsia="仿宋_GB2312" w:cs="仿宋_GB2312"/>
                <w:i w:val="0"/>
                <w:color w:val="auto"/>
                <w:sz w:val="28"/>
                <w:szCs w:val="28"/>
                <w:highlight w:val="none"/>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3</w:t>
            </w:r>
            <w:r>
              <w:rPr>
                <w:rFonts w:hint="eastAsia" w:ascii="仿宋_GB2312" w:hAnsi="仿宋_GB2312" w:eastAsia="仿宋_GB2312" w:cs="仿宋_GB2312"/>
                <w:i w:val="0"/>
                <w:color w:val="auto"/>
                <w:sz w:val="28"/>
                <w:szCs w:val="28"/>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人民生命财产安全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安全生产环境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持续好转</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持续好转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项目持续影响时间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r>
    </w:tbl>
    <w:p>
      <w:pPr>
        <w:pStyle w:val="2"/>
        <w:rPr>
          <w:rFonts w:hint="eastAsia"/>
        </w:rPr>
      </w:pPr>
    </w:p>
    <w:p>
      <w:pPr>
        <w:rPr>
          <w:rFonts w:hint="eastAsia"/>
        </w:rPr>
      </w:pPr>
    </w:p>
    <w:p>
      <w:pPr>
        <w:pStyle w:val="2"/>
        <w:rPr>
          <w:rFonts w:hint="eastAsia"/>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2021年应急救援经费部门预算项目绩效目标自评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广元市朝天区应急管理局</w:t>
            </w:r>
            <w:r>
              <w:rPr>
                <w:rFonts w:hint="eastAsia" w:ascii="宋体" w:hAnsi="宋体" w:cs="宋体"/>
                <w:i w:val="0"/>
                <w:color w:val="auto"/>
                <w:sz w:val="24"/>
                <w:szCs w:val="24"/>
                <w:highlight w:val="none"/>
                <w:u w:val="none"/>
                <w:lang w:eastAsia="zh-CN"/>
              </w:rPr>
              <w:t>（</w:t>
            </w:r>
            <w:r>
              <w:rPr>
                <w:rFonts w:hint="eastAsia" w:ascii="宋体" w:hAnsi="宋体" w:cs="宋体"/>
                <w:i w:val="0"/>
                <w:color w:val="auto"/>
                <w:sz w:val="24"/>
                <w:szCs w:val="24"/>
                <w:highlight w:val="none"/>
                <w:u w:val="none"/>
                <w:lang w:val="en-US" w:eastAsia="zh-CN"/>
              </w:rPr>
              <w:t>332001</w:t>
            </w:r>
            <w:r>
              <w:rPr>
                <w:rFonts w:hint="eastAsia" w:ascii="宋体" w:hAnsi="宋体" w:cs="宋体"/>
                <w:i w:val="0"/>
                <w:color w:val="auto"/>
                <w:sz w:val="24"/>
                <w:szCs w:val="24"/>
                <w:highlight w:val="none"/>
                <w:u w:val="none"/>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组织、指导、协调</w:t>
            </w:r>
            <w:r>
              <w:rPr>
                <w:rFonts w:hint="eastAsia" w:ascii="宋体" w:hAnsi="宋体" w:cs="宋体"/>
                <w:i w:val="0"/>
                <w:color w:val="auto"/>
                <w:sz w:val="24"/>
                <w:szCs w:val="24"/>
                <w:highlight w:val="none"/>
                <w:u w:val="none"/>
                <w:lang w:eastAsia="zh-CN"/>
              </w:rPr>
              <w:t>各类应急</w:t>
            </w:r>
            <w:r>
              <w:rPr>
                <w:rFonts w:hint="eastAsia" w:ascii="宋体" w:hAnsi="宋体" w:eastAsia="宋体" w:cs="宋体"/>
                <w:i w:val="0"/>
                <w:color w:val="auto"/>
                <w:sz w:val="24"/>
                <w:szCs w:val="24"/>
                <w:highlight w:val="none"/>
                <w:u w:val="none"/>
              </w:rPr>
              <w:t>救援</w:t>
            </w:r>
            <w:r>
              <w:rPr>
                <w:rFonts w:hint="eastAsia" w:ascii="宋体" w:hAnsi="宋体" w:cs="宋体"/>
                <w:i w:val="0"/>
                <w:color w:val="auto"/>
                <w:sz w:val="24"/>
                <w:szCs w:val="24"/>
                <w:highlight w:val="none"/>
                <w:u w:val="none"/>
                <w:lang w:eastAsia="zh-CN"/>
              </w:rPr>
              <w:t>，</w:t>
            </w:r>
            <w:r>
              <w:rPr>
                <w:rFonts w:hint="eastAsia" w:ascii="宋体" w:hAnsi="宋体" w:eastAsia="宋体" w:cs="宋体"/>
                <w:i w:val="0"/>
                <w:color w:val="auto"/>
                <w:sz w:val="24"/>
                <w:szCs w:val="24"/>
                <w:highlight w:val="none"/>
                <w:u w:val="none"/>
              </w:rPr>
              <w:t>依法依规统筹指导各乡镇、朝天经济开发区及社会应急救援力量和保障能力建设。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已完成全年预期目标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值班值守天数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365天</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应急处置能力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逐步提升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应急救援工作经费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10</w:t>
            </w:r>
            <w:r>
              <w:rPr>
                <w:rFonts w:hint="eastAsia" w:ascii="仿宋_GB2312" w:hAnsi="仿宋_GB2312" w:eastAsia="仿宋_GB2312" w:cs="仿宋_GB2312"/>
                <w:i w:val="0"/>
                <w:color w:val="auto"/>
                <w:sz w:val="28"/>
                <w:szCs w:val="28"/>
                <w:highlight w:val="none"/>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10</w:t>
            </w:r>
            <w:r>
              <w:rPr>
                <w:rFonts w:hint="eastAsia" w:ascii="仿宋_GB2312" w:hAnsi="仿宋_GB2312" w:eastAsia="仿宋_GB2312" w:cs="仿宋_GB2312"/>
                <w:i w:val="0"/>
                <w:color w:val="auto"/>
                <w:sz w:val="28"/>
                <w:szCs w:val="28"/>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事故所造成的损失</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有效降低</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有效降低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社会生产生活秩序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稳定有序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项目持续影响时间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≥90%</w:t>
            </w:r>
          </w:p>
        </w:tc>
      </w:tr>
    </w:tbl>
    <w:p>
      <w:pPr>
        <w:rPr>
          <w:rFonts w:hint="eastAsia"/>
        </w:rPr>
      </w:pPr>
      <w:r>
        <w:rPr>
          <w:rFonts w:hint="eastAsia"/>
        </w:rPr>
        <w:br w:type="page"/>
      </w:r>
    </w:p>
    <w:p>
      <w:pPr>
        <w:pStyle w:val="2"/>
        <w:rPr>
          <w:rFonts w:hint="eastAsia"/>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74" w:name="_Toc1389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69"/>
      <w:bookmarkEnd w:id="73"/>
      <w:bookmarkEnd w:id="74"/>
      <w:bookmarkStart w:id="75" w:name="_Toc15396619"/>
    </w:p>
    <w:p>
      <w:pPr>
        <w:pStyle w:val="4"/>
        <w:rPr>
          <w:rFonts w:ascii="仿宋" w:hAnsi="仿宋" w:eastAsia="仿宋"/>
          <w:color w:val="auto"/>
          <w:highlight w:val="none"/>
        </w:rPr>
      </w:pPr>
      <w:bookmarkStart w:id="76" w:name="_Toc14043"/>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75"/>
      <w:bookmarkEnd w:id="76"/>
    </w:p>
    <w:p>
      <w:pPr>
        <w:pStyle w:val="4"/>
        <w:rPr>
          <w:rFonts w:ascii="仿宋" w:hAnsi="仿宋" w:eastAsia="仿宋"/>
          <w:color w:val="auto"/>
          <w:highlight w:val="none"/>
        </w:rPr>
      </w:pPr>
      <w:bookmarkStart w:id="77" w:name="_Toc14172"/>
      <w:bookmarkStart w:id="78"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77"/>
      <w:bookmarkEnd w:id="78"/>
    </w:p>
    <w:p>
      <w:pPr>
        <w:pStyle w:val="4"/>
        <w:rPr>
          <w:rFonts w:ascii="仿宋" w:hAnsi="仿宋" w:eastAsia="仿宋"/>
          <w:color w:val="auto"/>
          <w:highlight w:val="none"/>
        </w:rPr>
      </w:pPr>
      <w:bookmarkStart w:id="79" w:name="_Toc12688"/>
      <w:bookmarkStart w:id="80"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79"/>
      <w:bookmarkEnd w:id="80"/>
    </w:p>
    <w:p>
      <w:pPr>
        <w:pStyle w:val="4"/>
        <w:rPr>
          <w:rFonts w:ascii="仿宋" w:hAnsi="仿宋" w:eastAsia="仿宋"/>
          <w:b w:val="0"/>
          <w:color w:val="auto"/>
          <w:highlight w:val="none"/>
        </w:rPr>
      </w:pPr>
      <w:bookmarkStart w:id="81" w:name="_Toc2176"/>
      <w:bookmarkStart w:id="82"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81"/>
      <w:bookmarkEnd w:id="82"/>
    </w:p>
    <w:p>
      <w:pPr>
        <w:pStyle w:val="4"/>
        <w:rPr>
          <w:rStyle w:val="26"/>
          <w:rFonts w:ascii="仿宋" w:hAnsi="仿宋" w:eastAsia="仿宋"/>
          <w:b w:val="0"/>
          <w:bCs w:val="0"/>
          <w:color w:val="auto"/>
          <w:highlight w:val="none"/>
        </w:rPr>
      </w:pPr>
      <w:bookmarkStart w:id="83" w:name="_Toc18681"/>
      <w:bookmarkStart w:id="84"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83"/>
      <w:bookmarkEnd w:id="84"/>
      <w:bookmarkStart w:id="85" w:name="_Toc15396624"/>
    </w:p>
    <w:p>
      <w:pPr>
        <w:pStyle w:val="4"/>
        <w:rPr>
          <w:rFonts w:ascii="仿宋" w:hAnsi="仿宋" w:eastAsia="仿宋"/>
          <w:color w:val="auto"/>
          <w:highlight w:val="none"/>
        </w:rPr>
      </w:pPr>
      <w:bookmarkStart w:id="86" w:name="_Toc13793"/>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85"/>
      <w:bookmarkEnd w:id="86"/>
    </w:p>
    <w:p>
      <w:pPr>
        <w:pStyle w:val="4"/>
        <w:rPr>
          <w:rFonts w:ascii="仿宋" w:hAnsi="仿宋" w:eastAsia="仿宋"/>
          <w:color w:val="auto"/>
          <w:highlight w:val="none"/>
        </w:rPr>
      </w:pPr>
      <w:bookmarkStart w:id="87" w:name="_Toc10657"/>
      <w:bookmarkStart w:id="88"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87"/>
      <w:bookmarkEnd w:id="88"/>
    </w:p>
    <w:p>
      <w:pPr>
        <w:pStyle w:val="4"/>
        <w:rPr>
          <w:rFonts w:ascii="仿宋" w:hAnsi="仿宋" w:eastAsia="仿宋"/>
          <w:color w:val="auto"/>
          <w:highlight w:val="none"/>
        </w:rPr>
      </w:pPr>
      <w:bookmarkStart w:id="89" w:name="_Toc3752"/>
      <w:bookmarkStart w:id="90"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89"/>
      <w:bookmarkEnd w:id="90"/>
    </w:p>
    <w:p>
      <w:pPr>
        <w:pStyle w:val="4"/>
        <w:rPr>
          <w:rFonts w:ascii="仿宋" w:hAnsi="仿宋" w:eastAsia="仿宋"/>
          <w:color w:val="auto"/>
          <w:highlight w:val="none"/>
        </w:rPr>
      </w:pPr>
      <w:bookmarkStart w:id="91" w:name="_Toc15396627"/>
      <w:bookmarkStart w:id="92" w:name="_Toc4012"/>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91"/>
      <w:bookmarkEnd w:id="92"/>
    </w:p>
    <w:p>
      <w:pPr>
        <w:pStyle w:val="4"/>
        <w:rPr>
          <w:rFonts w:ascii="仿宋" w:hAnsi="仿宋" w:eastAsia="仿宋"/>
          <w:color w:val="auto"/>
          <w:highlight w:val="none"/>
        </w:rPr>
      </w:pPr>
      <w:bookmarkStart w:id="93" w:name="_Toc15396628"/>
      <w:bookmarkStart w:id="94" w:name="_Toc27012"/>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93"/>
      <w:bookmarkEnd w:id="94"/>
    </w:p>
    <w:p>
      <w:pPr>
        <w:pStyle w:val="4"/>
        <w:rPr>
          <w:rFonts w:ascii="仿宋" w:hAnsi="仿宋" w:eastAsia="仿宋"/>
          <w:color w:val="auto"/>
          <w:highlight w:val="none"/>
        </w:rPr>
      </w:pPr>
      <w:bookmarkStart w:id="95" w:name="_Toc15810"/>
      <w:bookmarkStart w:id="96"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95"/>
      <w:bookmarkEnd w:id="96"/>
    </w:p>
    <w:p>
      <w:pPr>
        <w:pStyle w:val="4"/>
        <w:rPr>
          <w:rFonts w:ascii="仿宋" w:hAnsi="仿宋" w:eastAsia="仿宋"/>
          <w:color w:val="auto"/>
          <w:highlight w:val="none"/>
        </w:rPr>
      </w:pPr>
      <w:bookmarkStart w:id="97" w:name="_Toc15396630"/>
      <w:bookmarkStart w:id="98" w:name="_Toc29286"/>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97"/>
      <w:bookmarkEnd w:id="98"/>
    </w:p>
    <w:p>
      <w:pPr>
        <w:pStyle w:val="4"/>
        <w:rPr>
          <w:rStyle w:val="26"/>
          <w:rFonts w:hint="eastAsia" w:ascii="仿宋" w:hAnsi="仿宋" w:eastAsia="仿宋"/>
          <w:b w:val="0"/>
          <w:bCs w:val="0"/>
          <w:color w:val="auto"/>
          <w:highlight w:val="none"/>
        </w:rPr>
      </w:pPr>
      <w:bookmarkStart w:id="99" w:name="_Toc15396631"/>
      <w:bookmarkStart w:id="100" w:name="_Toc31822"/>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99"/>
      <w:bookmarkEnd w:id="100"/>
    </w:p>
    <w:p>
      <w:pPr>
        <w:rPr>
          <w:rFonts w:hint="eastAsia" w:eastAsia="仿宋"/>
          <w:color w:val="auto"/>
          <w:highlight w:val="none"/>
          <w:lang w:eastAsia="zh-CN"/>
        </w:rPr>
      </w:pPr>
      <w:bookmarkStart w:id="101" w:name="_Toc29511"/>
      <w:r>
        <w:rPr>
          <w:rStyle w:val="26"/>
          <w:rFonts w:hint="eastAsia" w:ascii="仿宋" w:hAnsi="仿宋" w:eastAsia="仿宋"/>
          <w:b w:val="0"/>
          <w:bCs w:val="0"/>
          <w:color w:val="auto"/>
          <w:highlight w:val="none"/>
          <w:lang w:eastAsia="zh-CN"/>
        </w:rPr>
        <w:t>十四、国有资本经营预算财政拨款支出决算表</w:t>
      </w:r>
      <w:bookmarkEnd w:id="10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TYyNzdmMDhiMzBlYjA2YWExOTljZTM4MzU3M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8B250B3"/>
    <w:rsid w:val="1BE8440E"/>
    <w:rsid w:val="1D155CEE"/>
    <w:rsid w:val="1DCE21EF"/>
    <w:rsid w:val="20F57F95"/>
    <w:rsid w:val="21826735"/>
    <w:rsid w:val="240371BF"/>
    <w:rsid w:val="25C741E6"/>
    <w:rsid w:val="27687CE9"/>
    <w:rsid w:val="27842671"/>
    <w:rsid w:val="29FD04D3"/>
    <w:rsid w:val="2ABE7A3E"/>
    <w:rsid w:val="2EFA178C"/>
    <w:rsid w:val="30B46D73"/>
    <w:rsid w:val="319F7F4E"/>
    <w:rsid w:val="39AE70AB"/>
    <w:rsid w:val="3C0C0783"/>
    <w:rsid w:val="3F795B0E"/>
    <w:rsid w:val="3F9F3A96"/>
    <w:rsid w:val="443F2A99"/>
    <w:rsid w:val="493C27E9"/>
    <w:rsid w:val="496F39ED"/>
    <w:rsid w:val="49B20AE8"/>
    <w:rsid w:val="49FF41D3"/>
    <w:rsid w:val="4A185DC8"/>
    <w:rsid w:val="4BE068DB"/>
    <w:rsid w:val="4BF6002B"/>
    <w:rsid w:val="4D9C7AE5"/>
    <w:rsid w:val="4ECE2238"/>
    <w:rsid w:val="51DB4B86"/>
    <w:rsid w:val="542C1FE7"/>
    <w:rsid w:val="55333C3E"/>
    <w:rsid w:val="584D20C4"/>
    <w:rsid w:val="5FB76A00"/>
    <w:rsid w:val="64CA39A1"/>
    <w:rsid w:val="65587D6E"/>
    <w:rsid w:val="6C4A05C8"/>
    <w:rsid w:val="6D8C016C"/>
    <w:rsid w:val="72734D90"/>
    <w:rsid w:val="76A30ED3"/>
    <w:rsid w:val="786E2B58"/>
    <w:rsid w:val="79E7B28D"/>
    <w:rsid w:val="7B81081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uiPriority w:val="0"/>
    <w:pPr>
      <w:ind w:leftChars="0"/>
    </w:pPr>
    <w:rPr>
      <w:rFonts w:asciiTheme="minorHAnsi" w:hAnsiTheme="minorHAnsi" w:eastAsiaTheme="minorEastAsia" w:cstheme="minorBidi"/>
      <w:sz w:val="20"/>
      <w:szCs w:val="20"/>
    </w:rPr>
  </w:style>
  <w:style w:type="paragraph" w:customStyle="1" w:styleId="3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2599;&#27491;&#31077;\2022\2021&#24180;&#20915;&#31639;&#20844;&#24320;\&#25968;&#25454;&#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2599;&#27491;&#31077;\2022\2021&#24180;&#20915;&#31639;&#20844;&#24320;\&#25968;&#25454;&#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2599;&#27491;&#31077;\2022\2021&#24180;&#20915;&#31639;&#20844;&#24320;\&#25968;&#25454;&#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2599;&#27491;&#31077;\2022\2021&#24180;&#20915;&#31639;&#20844;&#24320;\&#25968;&#25454;&#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2599;&#27491;&#31077;\2022\2021&#24180;&#20915;&#31639;&#20844;&#24320;\&#25968;&#25454;&#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2599;&#27491;&#31077;\2022\2021&#24180;&#20915;&#31639;&#20844;&#24320;\&#25968;&#25454;&#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2599;&#27491;&#31077;\2022\2021&#24180;&#20915;&#31639;&#20844;&#24320;\&#25968;&#2545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收支总额变化图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[数据图表.xlsx]Sheet1!$B$7:$B$8</c:f>
              <c:strCache>
                <c:ptCount val="2"/>
                <c:pt idx="0">
                  <c:v>2020年</c:v>
                </c:pt>
                <c:pt idx="1">
                  <c:v>2021年</c:v>
                </c:pt>
              </c:strCache>
            </c:strRef>
          </c:cat>
          <c:val>
            <c:numRef>
              <c:f>[数据图表.xlsx]Sheet1!$C$7:$C$8</c:f>
              <c:numCache>
                <c:formatCode>General</c:formatCode>
                <c:ptCount val="2"/>
                <c:pt idx="0">
                  <c:v>2256.02</c:v>
                </c:pt>
                <c:pt idx="1">
                  <c:v>1273.04</c:v>
                </c:pt>
              </c:numCache>
            </c:numRef>
          </c:val>
        </c:ser>
        <c:dLbls>
          <c:showLegendKey val="0"/>
          <c:showVal val="1"/>
          <c:showCatName val="0"/>
          <c:showSerName val="0"/>
          <c:showPercent val="0"/>
          <c:showBubbleSize val="0"/>
        </c:dLbls>
        <c:gapWidth val="219"/>
        <c:overlap val="-27"/>
        <c:axId val="70453386"/>
        <c:axId val="67451653"/>
      </c:barChart>
      <c:catAx>
        <c:axId val="7045338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51653"/>
        <c:crosses val="autoZero"/>
        <c:auto val="1"/>
        <c:lblAlgn val="ctr"/>
        <c:lblOffset val="100"/>
        <c:noMultiLvlLbl val="0"/>
      </c:catAx>
      <c:valAx>
        <c:axId val="6745165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收支决算总额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533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[数据图表.xlsx]Sheet1!$B$32:$B$33</c:f>
              <c:strCache>
                <c:ptCount val="2"/>
                <c:pt idx="0">
                  <c:v>一般公共预算财政拨款收入</c:v>
                </c:pt>
              </c:strCache>
            </c:strRef>
          </c:cat>
          <c:val>
            <c:numRef>
              <c:f>[数据图表.xlsx]Sheet1!$C$32:$C$33</c:f>
              <c:numCache>
                <c:formatCode>0%</c:formatCode>
                <c:ptCount val="2"/>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[数据图表.xlsx]Sheet1!$B$47:$B$48</c:f>
              <c:strCache>
                <c:ptCount val="2"/>
                <c:pt idx="0">
                  <c:v>基本支出</c:v>
                </c:pt>
                <c:pt idx="1">
                  <c:v>项目支出</c:v>
                </c:pt>
              </c:strCache>
            </c:strRef>
          </c:cat>
          <c:val>
            <c:numRef>
              <c:f>[数据图表.xlsx]Sheet1!$C$47:$C$48</c:f>
              <c:numCache>
                <c:formatCode>0.00%</c:formatCode>
                <c:ptCount val="2"/>
                <c:pt idx="0">
                  <c:v>0.48384588193708</c:v>
                </c:pt>
                <c:pt idx="1">
                  <c:v>0.51615411806292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[数据图表.xlsx]Sheet1!$B$7:$B$8</c:f>
              <c:strCache>
                <c:ptCount val="2"/>
                <c:pt idx="0">
                  <c:v>2020年</c:v>
                </c:pt>
                <c:pt idx="1">
                  <c:v>2021年</c:v>
                </c:pt>
              </c:strCache>
            </c:strRef>
          </c:cat>
          <c:val>
            <c:numRef>
              <c:f>[数据图表.xlsx]Sheet1!$C$7:$C$8</c:f>
              <c:numCache>
                <c:formatCode>General</c:formatCode>
                <c:ptCount val="2"/>
                <c:pt idx="0">
                  <c:v>2256.02</c:v>
                </c:pt>
                <c:pt idx="1">
                  <c:v>1273.04</c:v>
                </c:pt>
              </c:numCache>
            </c:numRef>
          </c:val>
        </c:ser>
        <c:dLbls>
          <c:showLegendKey val="0"/>
          <c:showVal val="1"/>
          <c:showCatName val="0"/>
          <c:showSerName val="0"/>
          <c:showPercent val="0"/>
          <c:showBubbleSize val="0"/>
        </c:dLbls>
        <c:gapWidth val="219"/>
        <c:overlap val="-27"/>
        <c:axId val="70453386"/>
        <c:axId val="67451653"/>
      </c:barChart>
      <c:catAx>
        <c:axId val="7045338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a:t>
                </a:r>
                <a:r>
                  <a:rPr lang="en-US" altLang="zh-CN"/>
                  <a:t>       </a:t>
                </a:r>
                <a:r>
                  <a:t>度</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51653"/>
        <c:crosses val="autoZero"/>
        <c:auto val="1"/>
        <c:lblAlgn val="ctr"/>
        <c:lblOffset val="100"/>
        <c:noMultiLvlLbl val="0"/>
      </c:catAx>
      <c:valAx>
        <c:axId val="6745165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财政拨款收支决算总额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533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[数据图表.xlsx]Sheet1!$B$7:$B$8</c:f>
              <c:strCache>
                <c:ptCount val="2"/>
                <c:pt idx="0">
                  <c:v>2020年</c:v>
                </c:pt>
                <c:pt idx="1">
                  <c:v>2021年</c:v>
                </c:pt>
              </c:strCache>
            </c:strRef>
          </c:cat>
          <c:val>
            <c:numRef>
              <c:f>[数据图表.xlsx]Sheet1!$C$7:$C$8</c:f>
              <c:numCache>
                <c:formatCode>General</c:formatCode>
                <c:ptCount val="2"/>
                <c:pt idx="0">
                  <c:v>2256.02</c:v>
                </c:pt>
                <c:pt idx="1">
                  <c:v>1273.04</c:v>
                </c:pt>
              </c:numCache>
            </c:numRef>
          </c:val>
        </c:ser>
        <c:dLbls>
          <c:showLegendKey val="0"/>
          <c:showVal val="1"/>
          <c:showCatName val="0"/>
          <c:showSerName val="0"/>
          <c:showPercent val="0"/>
          <c:showBubbleSize val="0"/>
        </c:dLbls>
        <c:gapWidth val="219"/>
        <c:overlap val="-27"/>
        <c:axId val="70453386"/>
        <c:axId val="67451653"/>
      </c:barChart>
      <c:catAx>
        <c:axId val="7045338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a:t>
                </a:r>
                <a:r>
                  <a:rPr lang="en-US" altLang="zh-CN"/>
                  <a:t>       </a:t>
                </a:r>
                <a:r>
                  <a:t>度</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51653"/>
        <c:crosses val="autoZero"/>
        <c:auto val="1"/>
        <c:lblAlgn val="ctr"/>
        <c:lblOffset val="100"/>
        <c:noMultiLvlLbl val="0"/>
      </c:catAx>
      <c:valAx>
        <c:axId val="6745165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一般公共预算财政拨款支出总额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533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[数据图表.xlsx]Sheet1!$B$64:$B$68</c:f>
              <c:strCache>
                <c:ptCount val="5"/>
                <c:pt idx="0">
                  <c:v>社会保障和就业支出</c:v>
                </c:pt>
                <c:pt idx="1">
                  <c:v>卫生健康支出</c:v>
                </c:pt>
                <c:pt idx="2">
                  <c:v>农林水支出</c:v>
                </c:pt>
                <c:pt idx="3">
                  <c:v>住房保障支出</c:v>
                </c:pt>
                <c:pt idx="4">
                  <c:v>灾害防治及应急管理支出</c:v>
                </c:pt>
              </c:strCache>
            </c:strRef>
          </c:cat>
          <c:val>
            <c:numRef>
              <c:f>[数据图表.xlsx]Sheet1!$C$64:$C$68</c:f>
              <c:numCache>
                <c:formatCode>0.00%</c:formatCode>
                <c:ptCount val="5"/>
                <c:pt idx="0">
                  <c:v>0.039040100545933</c:v>
                </c:pt>
                <c:pt idx="1">
                  <c:v>0.0180589921841247</c:v>
                </c:pt>
                <c:pt idx="2">
                  <c:v>0.00235654530458348</c:v>
                </c:pt>
                <c:pt idx="3">
                  <c:v>0.0270845607006795</c:v>
                </c:pt>
                <c:pt idx="4">
                  <c:v>0.913459801264679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[数据图表.xlsx]Sheet1!$B$84:$B$85</c:f>
              <c:strCache>
                <c:ptCount val="2"/>
                <c:pt idx="0">
                  <c:v>公务用车购置及运行维护费支出</c:v>
                </c:pt>
                <c:pt idx="1">
                  <c:v>公务接待费支出</c:v>
                </c:pt>
              </c:strCache>
            </c:strRef>
          </c:cat>
          <c:val>
            <c:numRef>
              <c:f>[数据图表.xlsx]Sheet1!$C$84:$C$85</c:f>
              <c:numCache>
                <c:formatCode>0.00%</c:formatCode>
                <c:ptCount val="2"/>
                <c:pt idx="0">
                  <c:v>0.2837</c:v>
                </c:pt>
                <c:pt idx="1">
                  <c:v>0.7163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11061</Words>
  <Characters>11802</Characters>
  <Lines>61</Lines>
  <Paragraphs>17</Paragraphs>
  <TotalTime>22</TotalTime>
  <ScaleCrop>false</ScaleCrop>
  <LinksUpToDate>false</LinksUpToDate>
  <CharactersWithSpaces>11997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WPS_1614913101</cp:lastModifiedBy>
  <cp:lastPrinted>2022-08-06T02:23:00Z</cp:lastPrinted>
  <dcterms:modified xsi:type="dcterms:W3CDTF">2022-10-13T09:04:03Z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18C4299B72334D3095585539B3212D20</vt:lpwstr>
  </property>
</Properties>
</file>