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193"/>
      <w:bookmarkStart w:id="3" w:name="_Toc15378441"/>
      <w:bookmarkStart w:id="4" w:name="_Toc15396597"/>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06268"/>
      <w:bookmarkStart w:id="7" w:name="_Toc15378442"/>
      <w:bookmarkStart w:id="8" w:name="_Toc15377194"/>
      <w:bookmarkStart w:id="9" w:name="_Toc15396598"/>
      <w:bookmarkStart w:id="10" w:name="_Toc15396476"/>
      <w:bookmarkStart w:id="11" w:name="_Toc15377426"/>
      <w:r>
        <w:rPr>
          <w:rFonts w:hint="eastAsia" w:ascii="方正小标宋简体" w:hAnsi="方正小标宋简体" w:eastAsia="方正小标宋简体" w:cs="方正小标宋简体"/>
          <w:color w:val="auto"/>
          <w:sz w:val="72"/>
          <w:szCs w:val="72"/>
          <w:highlight w:val="none"/>
          <w:lang w:eastAsia="zh-CN"/>
        </w:rPr>
        <w:t>广元市朝天区卫生健康局单位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2"/>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2"/>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rPr>
      </w:pPr>
      <w:bookmarkStart w:id="14" w:name="_Toc15377197"/>
      <w:bookmarkStart w:id="15" w:name="_Toc15396600"/>
      <w:r>
        <w:rPr>
          <w:rStyle w:val="27"/>
          <w:rFonts w:hint="eastAsia" w:ascii="黑体" w:hAnsi="黑体" w:eastAsia="黑体"/>
          <w:b w:val="0"/>
          <w:bCs w:val="0"/>
          <w:color w:val="auto"/>
          <w:highlight w:val="none"/>
          <w:lang w:eastAsia="zh-CN"/>
        </w:rPr>
        <w:t>一、</w:t>
      </w:r>
      <w:r>
        <w:rPr>
          <w:rStyle w:val="27"/>
          <w:rFonts w:hint="eastAsia" w:ascii="黑体" w:hAnsi="黑体" w:eastAsia="黑体"/>
          <w:b w:val="0"/>
          <w:bCs w:val="0"/>
          <w:color w:val="auto"/>
          <w:highlight w:val="none"/>
        </w:rPr>
        <w:t>职能</w:t>
      </w:r>
      <w:r>
        <w:rPr>
          <w:rStyle w:val="27"/>
          <w:rFonts w:hint="eastAsia" w:ascii="黑体" w:hAnsi="黑体" w:eastAsia="黑体"/>
          <w:b w:val="0"/>
          <w:bCs w:val="0"/>
          <w:color w:val="auto"/>
          <w:highlight w:val="none"/>
          <w:lang w:eastAsia="zh-CN"/>
        </w:rPr>
        <w:t>简介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组织拟订全区卫生健康政策。负责起草卫生健康事业发展政策、措施、规划，组织实施卫生健康政策标准与技术规范。统筹规划全区卫生健康资源配置。制定并组织实施推进卫生健康基本公共服务均等化、普惠化、便捷化和公共资源向基层延伸等政策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牵头推进全区深化医药卫生体制改革。研究提出深化改革重大政策、措施的建议。牵头组织全区分级诊疗、现代医院管理、全民医保、药品供应保障、综合监管5项基本医疗卫生制度建设制定并组织实施推动卫生健康公共服务提供主体多元化、方式多样化的政策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制定并组织落实全区疾病预防控制规划、免疫规划以及严重危害人民健康的艾滋病等重大传染病、寄生虫病、地方病等公共卫生问题的于预措施。负责全区卫生应急工作，组织和指导全区突发公共卫生事件预防控制和各类突发公共事件的医疗卫生救援。发布法定报告传染病疫情信息、突发公共卫生事件应急处置信息。依照国家检疫传染病和监测传染病目录，参与开展检疫监测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（四）贯彻落实国家应对人口老龄化政策措施。负责推进老年健康服务体系建设和医养结合工作。承担区老龄工作委员会日常工作。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贯彻落实国家药物政策和国家基本药物制度。开展药械使用监测、临床综合评价和短缺药品预警，组织执行国家药典、国家基本药物目录、省药品增补目录和基本药物使用的政策措施。组织实施食品安全风险监测。开展食品安全企业标准备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负责职责范围内的职业卫生、放射卫生、环境卫生、学校卫生、公共场所卫生、饮用水卫生等公共卫生的监督管理。负责传染病防治监督，健全卫生健康综合监管体系，规范卫生健康行政执法行为，监督检查有关法律法规和政策措施的落实，组织查处重大违法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（八）负责全区计划生育管理和服务工作。开展人口监测预警，研究提出人口与家庭发展相关政策建议，依法实施计划生育政策。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（九）负责全区卫生健康工作。负责医疗卫生、妇幼健康服务体系和卫生队伍建设。推进卫生健康科技创新发展。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贯彻执行国家、省、市促进中医药（含中西医结合和民族医药）事业发展的法律法规，拟订全区中医药中长期发展规划并组织实施，促进中药资源的保护、开发和合理利用，拟订全区中药产业发展规划、产业政策和中药的扶持政策并组织实施，监督指导全区中医药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（十一）负责区确定的保健对象的医疗保健工作。负责区本级离休于部医疗管理工作。负责重要会议与重大活动的医疗卫生保障工作。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（十二）指导区计划生育协会的业务工作。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（十三）依法依规履行卫生健康行业安全生产监管职责。负责职责范围内的生态环境保护、审批服务便民化等工作。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（十四）完成区委、区政府交办的其他任务。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五）职能转变。牢固树立大卫生、大健康理念，推动实施健康中国、健康四川、健康广元和健康朝天战略，助推中国生态康养旅游名市建设，以改革创新为动力，以促健康、转模式、强基层、重保障为着力点，把以治病为中心转变到以人民健康为中心，为人民群众提供全方位全周期卫生健康服务。一是更加注重预防为主和健康促进，提高健康意识，加强预防控制重大疾病工作，积极应对人口老龄化，健全卫生健康服务体系。二是更加注重卫生健康服务公平性和可及性，推动工作重心下移和资源下沉，推进卫生健康公共资源向基层延伸、向农村覆盖、向边远地区和生活困难群众倾斜。三是更加注重提高服务质量和水平，推动建设高质量健康服务基地和中医药强区。四是更加注重深化医药卫生体制改革的科学性和持续性，加快分级诊疗制度建设，加强医疗、医保、医药的联动改革，加大公立医院改革力度。</w:t>
      </w:r>
    </w:p>
    <w:p>
      <w:pPr>
        <w:pageBreakBefore w:val="0"/>
        <w:widowControl w:val="0"/>
        <w:kinsoku/>
        <w:wordWrap/>
        <w:overflowPunct/>
        <w:topLinePunct w:val="0"/>
        <w:autoSpaceDE/>
        <w:autoSpaceDN/>
        <w:bidi w:val="0"/>
        <w:adjustRightInd/>
        <w:snapToGrid/>
        <w:textAlignment w:val="auto"/>
        <w:rPr>
          <w:rFonts w:hint="eastAsia"/>
        </w:rPr>
      </w:pPr>
    </w:p>
    <w:p>
      <w:pPr>
        <w:pStyle w:val="4"/>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hint="eastAsia" w:ascii="仿宋_GB2312" w:hAnsi="Times New Roman" w:eastAsia="仿宋_GB2312" w:cs="Times New Roman"/>
          <w:sz w:val="32"/>
          <w:szCs w:val="32"/>
          <w:lang w:eastAsia="zh-CN"/>
        </w:rPr>
        <w:t>以高度的政治责任感</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织密织牢疫情防控网</w:t>
      </w:r>
      <w:r>
        <w:rPr>
          <w:rFonts w:hint="eastAsia" w:ascii="仿宋_GB2312" w:hAnsi="Times New Roman" w:eastAsia="仿宋_GB2312" w:cs="Times New Roman"/>
          <w:sz w:val="32"/>
          <w:szCs w:val="32"/>
        </w:rPr>
        <w:t>。一是坚持“外防输入、内防反弹、人物环境同防”策略，加强重点人群排查和重点环境（场所）、物品的监测，落实“四早”机制</w:t>
      </w:r>
      <w:r>
        <w:rPr>
          <w:rFonts w:hint="eastAsia" w:ascii="仿宋_GB2312" w:hAnsi="Times New Roman" w:eastAsia="仿宋_GB2312" w:cs="Times New Roman"/>
          <w:sz w:val="32"/>
          <w:szCs w:val="32"/>
          <w:lang w:eastAsia="zh-CN"/>
        </w:rPr>
        <w:t>，严格落实集中隔离医学观察场所管理</w:t>
      </w:r>
      <w:r>
        <w:rPr>
          <w:rFonts w:hint="eastAsia" w:ascii="仿宋_GB2312" w:hAnsi="Times New Roman" w:eastAsia="仿宋_GB2312" w:cs="Times New Roman"/>
          <w:sz w:val="32"/>
          <w:szCs w:val="32"/>
        </w:rPr>
        <w:t>。二是</w:t>
      </w:r>
      <w:r>
        <w:rPr>
          <w:rFonts w:hint="eastAsia" w:ascii="仿宋_GB2312" w:hAnsi="Times New Roman" w:eastAsia="仿宋_GB2312" w:cs="Times New Roman"/>
          <w:sz w:val="32"/>
          <w:szCs w:val="32"/>
          <w:lang w:eastAsia="zh-CN"/>
        </w:rPr>
        <w:t>加强</w:t>
      </w:r>
      <w:r>
        <w:rPr>
          <w:rFonts w:hint="eastAsia" w:ascii="仿宋_GB2312" w:hAnsi="Times New Roman" w:eastAsia="仿宋_GB2312" w:cs="Times New Roman"/>
          <w:sz w:val="32"/>
          <w:szCs w:val="32"/>
        </w:rPr>
        <w:t>院感防控管理</w:t>
      </w:r>
      <w:r>
        <w:rPr>
          <w:rFonts w:hint="eastAsia" w:ascii="仿宋_GB2312" w:hAnsi="Times New Roman" w:eastAsia="仿宋_GB2312" w:cs="Times New Roman"/>
          <w:sz w:val="32"/>
          <w:szCs w:val="32"/>
          <w:lang w:eastAsia="zh-CN"/>
        </w:rPr>
        <w:t>，严格实行预检分诊制度，严格落实医务人员定期核酸检测制度，强化医务人员离（返）广审批管理</w:t>
      </w:r>
      <w:r>
        <w:rPr>
          <w:rFonts w:hint="eastAsia" w:ascii="仿宋_GB2312" w:hAnsi="Times New Roman" w:eastAsia="仿宋_GB2312" w:cs="Times New Roman"/>
          <w:sz w:val="32"/>
          <w:szCs w:val="32"/>
        </w:rPr>
        <w:t>。三是调整充实了溯源流调队伍和医疗救治专家组</w:t>
      </w:r>
      <w:r>
        <w:rPr>
          <w:rFonts w:hint="eastAsia" w:ascii="仿宋_GB2312" w:hAnsi="Times New Roman" w:eastAsia="仿宋_GB2312" w:cs="Times New Roman"/>
          <w:sz w:val="32"/>
          <w:szCs w:val="32"/>
          <w:lang w:eastAsia="zh-CN"/>
        </w:rPr>
        <w:t>，组建了集中隔离点工作专班，建立了疫情防控物资常备制度</w:t>
      </w:r>
      <w:r>
        <w:rPr>
          <w:rFonts w:hint="eastAsia" w:ascii="仿宋_GB2312" w:hAnsi="Times New Roman" w:eastAsia="仿宋_GB2312" w:cs="Times New Roman"/>
          <w:sz w:val="32"/>
          <w:szCs w:val="32"/>
        </w:rPr>
        <w:t>。四是抓好新冠疫苗接种，截至12月21日，累计接种新冠疫苗111056人，累计接种疫苗224549剂次。五是积极做好大规模人群核酸检测准备工作，已建成的3个核酸检测实验室日混检测量可达2.2万人份。</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（二）医共体建设和两项改革医疗卫生“后半篇”文章深度融合。</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我区作为全市唯一1家被纳入全国567家，全省37家的医共体建设试点，在继去年成立医疗健康集团的基础上，全力克服新冠疫情带来的不利影响，创造性地与</w:t>
      </w:r>
      <w:r>
        <w:rPr>
          <w:rFonts w:hint="eastAsia" w:ascii="仿宋_GB2312" w:hAnsi="Times New Roman" w:eastAsia="仿宋_GB2312" w:cs="Times New Roman"/>
          <w:sz w:val="32"/>
          <w:szCs w:val="32"/>
        </w:rPr>
        <w:t>两项改革</w:t>
      </w:r>
      <w:r>
        <w:rPr>
          <w:rFonts w:hint="eastAsia" w:ascii="仿宋_GB2312" w:hAnsi="Times New Roman" w:eastAsia="仿宋_GB2312" w:cs="Times New Roman"/>
          <w:sz w:val="32"/>
          <w:szCs w:val="32"/>
          <w:lang w:eastAsia="zh-CN"/>
        </w:rPr>
        <w:t>医疗卫生</w:t>
      </w:r>
      <w:r>
        <w:rPr>
          <w:rFonts w:hint="eastAsia" w:ascii="仿宋_GB2312" w:hAnsi="Times New Roman" w:eastAsia="仿宋_GB2312" w:cs="Times New Roman"/>
          <w:sz w:val="32"/>
          <w:szCs w:val="32"/>
        </w:rPr>
        <w:t>“后半篇”文章</w:t>
      </w:r>
      <w:r>
        <w:rPr>
          <w:rFonts w:hint="eastAsia" w:ascii="仿宋_GB2312" w:hAnsi="Times New Roman" w:eastAsia="仿宋_GB2312" w:cs="Times New Roman"/>
          <w:sz w:val="32"/>
          <w:szCs w:val="32"/>
          <w:lang w:eastAsia="zh-CN"/>
        </w:rPr>
        <w:t>改革工作有机结合</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协同推进，着力做优做强整体功能布局，调优盘活全区医疗卫生资源，深入实施固本强基工程，初步形成了在全省、全市可复制可推广的改革经验。</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一是优化医疗卫生资源</w:t>
      </w:r>
      <w:r>
        <w:rPr>
          <w:rFonts w:hint="eastAsia" w:ascii="仿宋_GB2312" w:hAnsi="Times New Roman" w:eastAsia="仿宋_GB2312" w:cs="Times New Roman"/>
          <w:sz w:val="32"/>
          <w:szCs w:val="32"/>
        </w:rPr>
        <w:t>布局。结合两项改革</w:t>
      </w:r>
      <w:r>
        <w:rPr>
          <w:rFonts w:hint="eastAsia" w:ascii="仿宋_GB2312" w:hAnsi="Times New Roman" w:eastAsia="仿宋_GB2312" w:cs="Times New Roman"/>
          <w:sz w:val="32"/>
          <w:szCs w:val="32"/>
          <w:lang w:eastAsia="zh-CN"/>
        </w:rPr>
        <w:t>医疗卫生</w:t>
      </w:r>
      <w:r>
        <w:rPr>
          <w:rFonts w:hint="eastAsia" w:ascii="仿宋_GB2312" w:hAnsi="Times New Roman" w:eastAsia="仿宋_GB2312" w:cs="Times New Roman"/>
          <w:sz w:val="32"/>
          <w:szCs w:val="32"/>
        </w:rPr>
        <w:t>“后半篇”文章要求，</w:t>
      </w:r>
      <w:r>
        <w:rPr>
          <w:rFonts w:hint="eastAsia" w:ascii="仿宋_GB2312" w:hAnsi="Times New Roman" w:eastAsia="仿宋_GB2312" w:cs="Times New Roman"/>
          <w:sz w:val="32"/>
          <w:szCs w:val="32"/>
          <w:lang w:eastAsia="zh-CN"/>
        </w:rPr>
        <w:t>将</w:t>
      </w:r>
      <w:r>
        <w:rPr>
          <w:rFonts w:hint="eastAsia" w:ascii="仿宋_GB2312" w:hAnsi="Times New Roman" w:eastAsia="仿宋_GB2312" w:cs="Times New Roman"/>
          <w:sz w:val="32"/>
          <w:szCs w:val="32"/>
        </w:rPr>
        <w:t>25个乡镇卫生院优化调整为12个建制乡镇卫生院、13个分院，优化设置126个卫生室、55个过渡医疗点</w:t>
      </w:r>
      <w:r>
        <w:rPr>
          <w:rFonts w:hint="eastAsia" w:ascii="仿宋_GB2312" w:hAnsi="Times New Roman" w:eastAsia="仿宋_GB2312" w:cs="Times New Roman"/>
          <w:sz w:val="32"/>
          <w:szCs w:val="32"/>
          <w:lang w:eastAsia="zh-CN"/>
        </w:rPr>
        <w:t>，并</w:t>
      </w:r>
      <w:r>
        <w:rPr>
          <w:rFonts w:hint="eastAsia" w:ascii="仿宋_GB2312" w:hAnsi="Times New Roman" w:eastAsia="仿宋_GB2312" w:cs="Times New Roman"/>
          <w:sz w:val="32"/>
          <w:szCs w:val="32"/>
        </w:rPr>
        <w:t>全部纳入医共体建设。</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二是建立完备医疗卫生体系</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我</w:t>
      </w:r>
      <w:r>
        <w:rPr>
          <w:rFonts w:hint="eastAsia" w:ascii="仿宋_GB2312" w:hAnsi="Times New Roman" w:eastAsia="仿宋_GB2312" w:cs="Times New Roman"/>
          <w:sz w:val="32"/>
          <w:szCs w:val="32"/>
        </w:rPr>
        <w:t>区整合全区医疗卫生机构，构建了“1+2+5+N”医疗健康服务体系</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形成全区上下一盘棋，全专结合、点面结合、防治结合、平战结合的</w:t>
      </w:r>
      <w:r>
        <w:rPr>
          <w:rFonts w:hint="eastAsia" w:ascii="仿宋_GB2312" w:hAnsi="Times New Roman" w:eastAsia="仿宋_GB2312" w:cs="Times New Roman"/>
          <w:sz w:val="32"/>
          <w:szCs w:val="32"/>
          <w:lang w:eastAsia="zh-CN"/>
        </w:rPr>
        <w:t>完备</w:t>
      </w:r>
      <w:r>
        <w:rPr>
          <w:rFonts w:hint="eastAsia" w:ascii="仿宋_GB2312" w:hAnsi="Times New Roman" w:eastAsia="仿宋_GB2312" w:cs="Times New Roman"/>
          <w:sz w:val="32"/>
          <w:szCs w:val="32"/>
        </w:rPr>
        <w:t>区域医疗健康体系</w:t>
      </w:r>
      <w:r>
        <w:rPr>
          <w:rFonts w:hint="eastAsia" w:ascii="仿宋_GB2312" w:hAnsi="Times New Roman" w:eastAsia="仿宋_GB2312" w:cs="Times New Roman"/>
          <w:sz w:val="32"/>
          <w:szCs w:val="32"/>
          <w:lang w:eastAsia="zh-CN"/>
        </w:rPr>
        <w:t>，实行</w:t>
      </w:r>
      <w:r>
        <w:rPr>
          <w:rFonts w:hint="eastAsia" w:ascii="仿宋_GB2312" w:hAnsi="Times New Roman" w:eastAsia="仿宋_GB2312" w:cs="Times New Roman"/>
          <w:sz w:val="32"/>
          <w:szCs w:val="32"/>
        </w:rPr>
        <w:t>“一院一策”发展</w:t>
      </w:r>
      <w:r>
        <w:rPr>
          <w:rFonts w:hint="eastAsia" w:ascii="仿宋_GB2312" w:hAnsi="Times New Roman" w:eastAsia="仿宋_GB2312" w:cs="Times New Roman"/>
          <w:sz w:val="32"/>
          <w:szCs w:val="32"/>
          <w:lang w:eastAsia="zh-CN"/>
        </w:rPr>
        <w:t>，一张蓝图绘到底</w:t>
      </w:r>
      <w:r>
        <w:rPr>
          <w:rFonts w:hint="eastAsia" w:ascii="仿宋_GB2312" w:hAnsi="Times New Roman" w:eastAsia="仿宋_GB2312" w:cs="Times New Roman"/>
          <w:sz w:val="32"/>
          <w:szCs w:val="32"/>
        </w:rPr>
        <w:t>。</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三是建立了强有力的章程制度。修订完善了</w:t>
      </w:r>
      <w:r>
        <w:rPr>
          <w:rFonts w:hint="eastAsia" w:ascii="仿宋_GB2312" w:hAnsi="Times New Roman" w:eastAsia="仿宋_GB2312" w:cs="Times New Roman"/>
          <w:sz w:val="32"/>
          <w:szCs w:val="32"/>
        </w:rPr>
        <w:t>《广元市朝天区医疗健康集团章程（试行）》《广元市朝天区医疗健康集团财务管理办法（试行）》《朝天区医共体医保管理改革考核办法（试行）》等9个方案及办法，解决了</w:t>
      </w:r>
      <w:r>
        <w:rPr>
          <w:rFonts w:hint="eastAsia" w:ascii="仿宋_GB2312" w:hAnsi="Times New Roman" w:eastAsia="仿宋_GB2312" w:cs="Times New Roman"/>
          <w:sz w:val="32"/>
          <w:szCs w:val="32"/>
          <w:lang w:eastAsia="zh-CN"/>
        </w:rPr>
        <w:t>改革</w:t>
      </w:r>
      <w:r>
        <w:rPr>
          <w:rFonts w:hint="eastAsia" w:ascii="仿宋_GB2312" w:hAnsi="Times New Roman" w:eastAsia="仿宋_GB2312" w:cs="Times New Roman"/>
          <w:sz w:val="32"/>
          <w:szCs w:val="32"/>
        </w:rPr>
        <w:t>推进中的21个具体问题。</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四是创新</w:t>
      </w:r>
      <w:r>
        <w:rPr>
          <w:rFonts w:hint="eastAsia" w:ascii="仿宋_GB2312" w:hAnsi="Times New Roman" w:eastAsia="仿宋_GB2312" w:cs="Times New Roman"/>
          <w:sz w:val="32"/>
          <w:szCs w:val="32"/>
        </w:rPr>
        <w:t>推出“三个打包”</w:t>
      </w:r>
      <w:r>
        <w:rPr>
          <w:rFonts w:hint="eastAsia" w:ascii="仿宋_GB2312" w:hAnsi="Times New Roman" w:eastAsia="仿宋_GB2312" w:cs="Times New Roman"/>
          <w:sz w:val="32"/>
          <w:szCs w:val="32"/>
          <w:lang w:eastAsia="zh-CN"/>
        </w:rPr>
        <w:t>和“五个下沉”。根据医共体建设和两项改革需要有的放矢</w:t>
      </w:r>
      <w:r>
        <w:rPr>
          <w:rFonts w:hint="eastAsia" w:ascii="仿宋_GB2312" w:hAnsi="Times New Roman" w:eastAsia="仿宋_GB2312" w:cs="Times New Roman"/>
          <w:sz w:val="32"/>
          <w:szCs w:val="32"/>
        </w:rPr>
        <w:t>出台</w:t>
      </w:r>
      <w:r>
        <w:rPr>
          <w:rFonts w:hint="eastAsia" w:ascii="仿宋_GB2312" w:hAnsi="Times New Roman" w:eastAsia="仿宋_GB2312" w:cs="Times New Roman"/>
          <w:sz w:val="32"/>
          <w:szCs w:val="32"/>
          <w:lang w:eastAsia="zh-CN"/>
        </w:rPr>
        <w:t>了</w:t>
      </w:r>
      <w:r>
        <w:rPr>
          <w:rFonts w:hint="eastAsia" w:ascii="仿宋_GB2312" w:hAnsi="Times New Roman" w:eastAsia="仿宋_GB2312" w:cs="Times New Roman"/>
          <w:sz w:val="32"/>
          <w:szCs w:val="32"/>
        </w:rPr>
        <w:t>《朝天区紧密型县域医疗卫生共同体医保医药改革实施方案》《基本公共卫生服务项目补助资金打包付费实施办法》等规范性文件，</w:t>
      </w:r>
      <w:r>
        <w:rPr>
          <w:rFonts w:hint="eastAsia" w:ascii="仿宋_GB2312" w:hAnsi="Times New Roman" w:eastAsia="仿宋_GB2312" w:cs="Times New Roman"/>
          <w:sz w:val="32"/>
          <w:szCs w:val="32"/>
          <w:lang w:eastAsia="zh-CN"/>
        </w:rPr>
        <w:t>在</w:t>
      </w:r>
      <w:r>
        <w:rPr>
          <w:rFonts w:hint="eastAsia" w:ascii="仿宋_GB2312" w:hAnsi="Times New Roman" w:eastAsia="仿宋_GB2312" w:cs="Times New Roman"/>
          <w:sz w:val="32"/>
          <w:szCs w:val="32"/>
        </w:rPr>
        <w:t>集团</w:t>
      </w:r>
      <w:r>
        <w:rPr>
          <w:rFonts w:hint="eastAsia" w:ascii="仿宋_GB2312" w:hAnsi="Times New Roman" w:eastAsia="仿宋_GB2312" w:cs="Times New Roman"/>
          <w:sz w:val="32"/>
          <w:szCs w:val="32"/>
          <w:lang w:eastAsia="zh-CN"/>
        </w:rPr>
        <w:t>内</w:t>
      </w:r>
      <w:r>
        <w:rPr>
          <w:rFonts w:hint="eastAsia" w:ascii="仿宋_GB2312" w:hAnsi="Times New Roman" w:eastAsia="仿宋_GB2312" w:cs="Times New Roman"/>
          <w:sz w:val="32"/>
          <w:szCs w:val="32"/>
        </w:rPr>
        <w:t>实行药械打包集中采购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提高了资金使用率，</w:t>
      </w:r>
      <w:r>
        <w:rPr>
          <w:rFonts w:hint="eastAsia" w:ascii="仿宋_GB2312" w:hAnsi="Times New Roman" w:eastAsia="仿宋_GB2312" w:cs="Times New Roman"/>
          <w:sz w:val="32"/>
          <w:szCs w:val="32"/>
          <w:lang w:eastAsia="zh-CN"/>
        </w:rPr>
        <w:t>促进了</w:t>
      </w:r>
      <w:r>
        <w:rPr>
          <w:rFonts w:hint="eastAsia" w:ascii="仿宋_GB2312" w:hAnsi="Times New Roman" w:eastAsia="仿宋_GB2312" w:cs="Times New Roman"/>
          <w:sz w:val="32"/>
          <w:szCs w:val="32"/>
        </w:rPr>
        <w:t>基层医疗卫生机构</w:t>
      </w:r>
      <w:r>
        <w:rPr>
          <w:rFonts w:hint="eastAsia" w:ascii="仿宋_GB2312" w:hAnsi="Times New Roman" w:eastAsia="仿宋_GB2312" w:cs="Times New Roman"/>
          <w:sz w:val="32"/>
          <w:szCs w:val="32"/>
          <w:lang w:eastAsia="zh-CN"/>
        </w:rPr>
        <w:t>良性</w:t>
      </w:r>
      <w:r>
        <w:rPr>
          <w:rFonts w:hint="eastAsia" w:ascii="仿宋_GB2312" w:hAnsi="Times New Roman" w:eastAsia="仿宋_GB2312" w:cs="Times New Roman"/>
          <w:sz w:val="32"/>
          <w:szCs w:val="32"/>
        </w:rPr>
        <w:t>发展，切实</w:t>
      </w:r>
      <w:r>
        <w:rPr>
          <w:rFonts w:hint="eastAsia" w:ascii="仿宋_GB2312" w:hAnsi="Times New Roman" w:eastAsia="仿宋_GB2312" w:cs="Times New Roman"/>
          <w:sz w:val="32"/>
          <w:szCs w:val="32"/>
          <w:lang w:eastAsia="zh-CN"/>
        </w:rPr>
        <w:t>减轻了居民就医用药负担</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实施了“</w:t>
      </w:r>
      <w:r>
        <w:rPr>
          <w:rFonts w:hint="eastAsia" w:ascii="仿宋_GB2312" w:hAnsi="Times New Roman" w:eastAsia="仿宋_GB2312" w:cs="Times New Roman"/>
          <w:sz w:val="32"/>
          <w:szCs w:val="32"/>
        </w:rPr>
        <w:t>项目资源</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人才资源</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收入分配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技术服务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用人导向</w:t>
      </w:r>
      <w:r>
        <w:rPr>
          <w:rFonts w:hint="eastAsia" w:ascii="仿宋_GB2312" w:hAnsi="Times New Roman" w:eastAsia="仿宋_GB2312" w:cs="Times New Roman"/>
          <w:sz w:val="32"/>
          <w:szCs w:val="32"/>
          <w:lang w:eastAsia="zh-CN"/>
        </w:rPr>
        <w:t>”“五个</w:t>
      </w:r>
      <w:r>
        <w:rPr>
          <w:rFonts w:hint="eastAsia" w:ascii="仿宋_GB2312" w:hAnsi="Times New Roman" w:eastAsia="仿宋_GB2312" w:cs="Times New Roman"/>
          <w:sz w:val="32"/>
          <w:szCs w:val="32"/>
        </w:rPr>
        <w:t>下沉</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激发了基层医疗卫生机构活力</w:t>
      </w:r>
      <w:r>
        <w:rPr>
          <w:rFonts w:hint="eastAsia" w:ascii="仿宋_GB2312" w:hAnsi="Times New Roman" w:eastAsia="仿宋_GB2312" w:cs="Times New Roman"/>
          <w:sz w:val="32"/>
          <w:szCs w:val="32"/>
          <w:lang w:eastAsia="zh-CN"/>
        </w:rPr>
        <w:t>，进一步</w:t>
      </w:r>
      <w:r>
        <w:rPr>
          <w:rFonts w:hint="eastAsia" w:ascii="仿宋_GB2312" w:hAnsi="Times New Roman" w:eastAsia="仿宋_GB2312" w:cs="Times New Roman"/>
          <w:sz w:val="32"/>
          <w:szCs w:val="32"/>
        </w:rPr>
        <w:t>提升了基层健康服务水平</w:t>
      </w:r>
      <w:r>
        <w:rPr>
          <w:rFonts w:hint="eastAsia" w:ascii="仿宋_GB2312" w:hAnsi="Times New Roman" w:eastAsia="仿宋_GB2312" w:cs="Times New Roman"/>
          <w:sz w:val="32"/>
          <w:szCs w:val="32"/>
          <w:lang w:eastAsia="zh-CN"/>
        </w:rPr>
        <w:t>和</w:t>
      </w:r>
      <w:r>
        <w:rPr>
          <w:rFonts w:hint="eastAsia" w:ascii="仿宋_GB2312" w:hAnsi="Times New Roman" w:eastAsia="仿宋_GB2312" w:cs="Times New Roman"/>
          <w:sz w:val="32"/>
          <w:szCs w:val="32"/>
        </w:rPr>
        <w:t>服务能力。</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据统计，我区</w:t>
      </w:r>
      <w:r>
        <w:rPr>
          <w:rFonts w:hint="eastAsia" w:ascii="仿宋_GB2312" w:hAnsi="Times New Roman" w:eastAsia="仿宋_GB2312" w:cs="Times New Roman"/>
          <w:sz w:val="32"/>
          <w:szCs w:val="32"/>
        </w:rPr>
        <w:t>2021年基层医疗卫生机构诊疗人数占医疗卫生机构诊疗总人次的60.48%，较同期增长5%</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基层首诊、双向转诊、急慢分诊的就医格局基本形成，基层医疗机构从“以治病为中心”向“以健康为中心”转变。</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我区改革试点经验在《四川日报》《广元日报》《川观新闻》等省市主流媒体头版头条和专刊刊载，在省内行业系统引发强烈反响，起到了良好的示范效应。</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卫生人才队伍充实，对口支援帮扶深化。一是公开招聘各类卫技人员31名，充实了卫生人才队伍。二是完成了69名卫技人员的进修培训，卫技人员继续医学教育参与率达100%。三是持续推进城乡医院对口支援和东西部卫生健康协作工作，完成了全年医院结对和对口帮扶等工作任务。</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科学谋划“十四五”发展规划，项目建设稳步推进。一是规划编制了公共卫生中心建设等“十四五”项目14个，规划建设规模24.8万㎡，规划总投资14.32亿元，并积极与省、市对接，争取纳入省、市“十四五”规划项目之列。二是完成固定资产投资7380万元。三是争取到位项目资金</w:t>
      </w:r>
      <w:r>
        <w:rPr>
          <w:rFonts w:hint="eastAsia" w:ascii="仿宋_GB2312" w:hAnsi="Times New Roman" w:eastAsia="仿宋_GB2312" w:cs="Times New Roman"/>
          <w:sz w:val="32"/>
          <w:szCs w:val="32"/>
          <w:lang w:val="en-US" w:eastAsia="zh-CN"/>
        </w:rPr>
        <w:t>5500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完成</w:t>
      </w:r>
      <w:r>
        <w:rPr>
          <w:rFonts w:hint="eastAsia" w:ascii="仿宋_GB2312" w:hAnsi="Times New Roman" w:eastAsia="仿宋_GB2312" w:cs="Times New Roman"/>
          <w:sz w:val="32"/>
          <w:szCs w:val="32"/>
        </w:rPr>
        <w:t>全年目标任务的</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。四是区人民医院内科住院大楼和公共卫生救治能力提升项目已完工。</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重大疾病防治有力，卫生应急能力显著增强。全区传染病报告率为399.98/10万,较去年同期上升11.73%。国家免疫规划疫苗报告接种率99.74%。肺结核患者治疗成功率98.98%，高血压、Ⅱ型糖尿病患者规范化管理率为72.46%、65.61%，严重精神障碍患者规范管理率98.51%。艾滋病抗病毒治疗覆盖率95.83%、治疗成功率95.83%，无艾滋病感染儿童。消除麻风病危害</w:t>
      </w:r>
      <w:r>
        <w:rPr>
          <w:rFonts w:hint="eastAsia" w:ascii="仿宋_GB2312" w:hAnsi="Times New Roman" w:eastAsia="仿宋_GB2312" w:cs="Times New Roman"/>
          <w:sz w:val="32"/>
          <w:szCs w:val="32"/>
          <w:lang w:eastAsia="zh-CN"/>
        </w:rPr>
        <w:t>工作以全省</w:t>
      </w:r>
      <w:r>
        <w:rPr>
          <w:rFonts w:hint="eastAsia" w:ascii="仿宋_GB2312" w:hAnsi="Times New Roman" w:eastAsia="仿宋_GB2312" w:cs="Times New Roman"/>
          <w:sz w:val="32"/>
          <w:szCs w:val="32"/>
        </w:rPr>
        <w:t>最</w:t>
      </w:r>
      <w:r>
        <w:rPr>
          <w:rFonts w:hint="eastAsia" w:ascii="仿宋_GB2312" w:hAnsi="Times New Roman" w:eastAsia="仿宋_GB2312" w:cs="Times New Roman"/>
          <w:sz w:val="32"/>
          <w:szCs w:val="32"/>
          <w:lang w:eastAsia="zh-CN"/>
        </w:rPr>
        <w:t>高成绩通过考核验收</w:t>
      </w:r>
      <w:r>
        <w:rPr>
          <w:rFonts w:hint="eastAsia" w:ascii="仿宋_GB2312" w:hAnsi="Times New Roman" w:eastAsia="仿宋_GB2312" w:cs="Times New Roman"/>
          <w:sz w:val="32"/>
          <w:szCs w:val="32"/>
        </w:rPr>
        <w:t>。全区无较大及以上责任突发公共卫生事件发生。</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妇幼健康服务优质，人口家庭发展均衡。全区孕产妇系统管理率为96.68%，住院分娩率为99.83%，高危孕产妇住院分娩率为100%，无孕产妇死亡。7岁以下儿童系统管理率为96.20%，5岁以下儿童死亡率为3.40‰，婴儿死亡率为2.55‰。全区人口出生率5.25‰，增长率1.94‰，人口性别比100:106，人口家庭发展均衡。1家婴幼儿照护服务中心投用。积极推动全面三孩政策落实。</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抓好健康管理服务，着力办好民生实事。一是以儿童、老年人、孕产妇、慢性病患者为重点人群，面向全区18.9万人城乡居民免费提供健康档案管理、健康教育、慢性病管理等12类基本公共卫生服务,城乡居民健康档案电子建档率达97.85%。二是出台《朝天区高血压、糖尿病患者有偿签约服务工作实施方案（试行）》，按照签约服务费100元/人由医保基金、公卫经费和签约居民按比例分担，目前共签约高血压和糖尿病患者5601人。三是2021年全区累计落实计划生育奖励扶助政策5751人，兑现资金689.6万元，全部通过“一卡通”发放。</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（八）中医药康养和老龄健康事业融合发展。一是将中医药事业发展列入全区“十四五”总体规划，今年实施了6家中医馆“填平补齐”项目</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二是常态化开展中医药疫情防控工作。三是启动了省级医养结合示范单位创建工作，在5家医疗卫生机构开展了四川省老年友善医疗机构试点建设。四是立足曾家山“中国长寿养生基地”，全力推动“小养圣地、大道朝天”生态康养产业发展，促进健康养生与养老、旅游有机融合。</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九）健康救助政策与乡村振兴有效衔接。一是将健康扶贫与乡村振兴有机结合，大力实施因病致贫返贫动态监测救助工作，今年截止目前累计救助患者4435人次，救助金额210万元。二是贫困人口100%参加了城乡居民基本医疗保险，建档立卡贫困人口在区域内医疗机构住院实行“一站式”结算，做到医疗救助100%全覆盖。</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依法治区持续深入，重大风险防范有力。一是强化医疗“三监管”工作，及时对反馈的问题线索进行核查处理。二是抓严抓实“双随机一公开”工作，查处卫生健康领域违法案件73件，罚款3.5万元。三是统筹抓好安全生产、信访稳定等工作，未发生生产安全事故和群体性事件。</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（十一）党的建设全面加强，</w:t>
      </w:r>
      <w:r>
        <w:rPr>
          <w:rFonts w:hint="eastAsia" w:ascii="仿宋_GB2312" w:hAnsi="Times New Roman" w:eastAsia="仿宋_GB2312" w:cs="Times New Roman"/>
          <w:sz w:val="32"/>
          <w:szCs w:val="32"/>
          <w:lang w:eastAsia="zh-CN"/>
        </w:rPr>
        <w:t>行业作风持续向好</w:t>
      </w:r>
      <w:r>
        <w:rPr>
          <w:rFonts w:hint="eastAsia" w:ascii="仿宋_GB2312" w:hAnsi="Times New Roman" w:eastAsia="仿宋_GB2312" w:cs="Times New Roman"/>
          <w:sz w:val="32"/>
          <w:szCs w:val="32"/>
        </w:rPr>
        <w:t>。一是深入开展党史学习教育，以疫情防控、巡回诊疗等为切入点，</w:t>
      </w:r>
      <w:r>
        <w:rPr>
          <w:rFonts w:hint="eastAsia" w:ascii="仿宋_GB2312" w:hAnsi="Times New Roman" w:eastAsia="仿宋_GB2312" w:cs="Times New Roman"/>
          <w:sz w:val="32"/>
          <w:szCs w:val="32"/>
          <w:lang w:eastAsia="zh-CN"/>
        </w:rPr>
        <w:t>深化</w:t>
      </w:r>
      <w:r>
        <w:rPr>
          <w:rFonts w:hint="eastAsia" w:ascii="仿宋_GB2312" w:hAnsi="Times New Roman" w:eastAsia="仿宋_GB2312" w:cs="Times New Roman"/>
          <w:sz w:val="32"/>
          <w:szCs w:val="32"/>
        </w:rPr>
        <w:t>“我为群众办实事”活动。二是压实全面从严治党主体责任，扎实开展</w:t>
      </w:r>
      <w:r>
        <w:rPr>
          <w:rFonts w:hint="eastAsia" w:ascii="仿宋_GB2312" w:hAnsi="Times New Roman" w:eastAsia="仿宋_GB2312" w:cs="Times New Roman"/>
          <w:sz w:val="32"/>
          <w:szCs w:val="32"/>
          <w:lang w:eastAsia="zh-CN"/>
        </w:rPr>
        <w:t>了</w:t>
      </w:r>
      <w:r>
        <w:rPr>
          <w:rFonts w:hint="eastAsia" w:ascii="仿宋_GB2312" w:hAnsi="Times New Roman" w:eastAsia="仿宋_GB2312" w:cs="Times New Roman"/>
          <w:sz w:val="32"/>
          <w:szCs w:val="32"/>
        </w:rPr>
        <w:t>典型案件警示教育深化“以案促改”、系统治理及干部纪律作风整顿等工作</w:t>
      </w:r>
      <w:r>
        <w:rPr>
          <w:rFonts w:hint="eastAsia" w:ascii="仿宋_GB2312" w:hAnsi="Times New Roman" w:eastAsia="仿宋_GB2312" w:cs="Times New Roman"/>
          <w:sz w:val="32"/>
          <w:szCs w:val="32"/>
          <w:lang w:eastAsia="zh-CN"/>
        </w:rPr>
        <w:t>。三是持续加强干部党风廉政教育和管理，</w:t>
      </w:r>
      <w:r>
        <w:rPr>
          <w:rFonts w:hint="eastAsia" w:ascii="仿宋_GB2312" w:hAnsi="Times New Roman" w:eastAsia="仿宋_GB2312" w:cs="Times New Roman"/>
          <w:sz w:val="32"/>
          <w:szCs w:val="32"/>
        </w:rPr>
        <w:t>强化监督执纪问责，查处违规违纪案件4起，纪律处分5人，警示震慑作用明显。</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3"/>
        <w:ind w:right="440"/>
        <w:jc w:val="center"/>
        <w:rPr>
          <w:rStyle w:val="26"/>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pPr>
        <w:rPr>
          <w:color w:val="auto"/>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26035</wp:posOffset>
            </wp:positionH>
            <wp:positionV relativeFrom="paragraph">
              <wp:posOffset>2087880</wp:posOffset>
            </wp:positionV>
            <wp:extent cx="5080000" cy="3181350"/>
            <wp:effectExtent l="5080" t="4445" r="20320"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年度收、支总计1952.77</w:t>
      </w:r>
      <w:r>
        <w:rPr>
          <w:rFonts w:hint="eastAsia" w:ascii="仿宋" w:hAnsi="仿宋" w:eastAsia="仿宋"/>
          <w:color w:val="auto"/>
          <w:sz w:val="32"/>
          <w:szCs w:val="32"/>
          <w:highlight w:val="none"/>
          <w:lang w:eastAsia="zh-CN"/>
        </w:rPr>
        <w:t>、1946.94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271.93、53.32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16.17</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2.82%</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人员工资、津补贴、各类保险、公积金、目标考核绩效等经费及乡村振兴医疗救助项目收入支出增加。</w:t>
      </w: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年本年收入合计1952.77万元，其中：一般公共预算财政拨款收入1952.09万元，占</w:t>
      </w:r>
      <w:r>
        <w:rPr>
          <w:rFonts w:hint="eastAsia" w:ascii="仿宋" w:hAnsi="仿宋" w:eastAsia="仿宋"/>
          <w:color w:val="auto"/>
          <w:sz w:val="32"/>
          <w:szCs w:val="32"/>
          <w:highlight w:val="none"/>
          <w:lang w:val="en-US" w:eastAsia="zh-CN"/>
        </w:rPr>
        <w:t>99.97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hint="eastAsia" w:ascii="仿宋" w:hAnsi="仿宋" w:eastAsia="仿宋"/>
          <w:color w:val="auto"/>
          <w:sz w:val="32"/>
          <w:szCs w:val="32"/>
          <w:highlight w:val="none"/>
          <w:lang w:eastAsia="zh-CN"/>
        </w:rPr>
      </w:pP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79375</wp:posOffset>
            </wp:positionH>
            <wp:positionV relativeFrom="paragraph">
              <wp:posOffset>106045</wp:posOffset>
            </wp:positionV>
            <wp:extent cx="5080000" cy="2538095"/>
            <wp:effectExtent l="4445" t="4445" r="20955" b="101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（图2：收入决算结构图）（饼状图）</w:t>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年本年支出合计1946.94万元，其中：基本支出637.77万元，占</w:t>
      </w:r>
      <w:r>
        <w:rPr>
          <w:rFonts w:hint="eastAsia" w:ascii="仿宋" w:hAnsi="仿宋" w:eastAsia="仿宋"/>
          <w:color w:val="auto"/>
          <w:sz w:val="32"/>
          <w:szCs w:val="32"/>
          <w:highlight w:val="none"/>
          <w:lang w:val="en-US" w:eastAsia="zh-CN"/>
        </w:rPr>
        <w:t>32.76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；项目支出1309.17万元，占</w:t>
      </w:r>
      <w:r>
        <w:rPr>
          <w:rFonts w:hint="eastAsia" w:ascii="仿宋" w:hAnsi="仿宋" w:eastAsia="仿宋"/>
          <w:color w:val="auto"/>
          <w:sz w:val="32"/>
          <w:szCs w:val="32"/>
          <w:highlight w:val="none"/>
          <w:lang w:val="en-US" w:eastAsia="zh-CN"/>
        </w:rPr>
        <w:t>67.24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jc w:val="center"/>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88900</wp:posOffset>
            </wp:positionH>
            <wp:positionV relativeFrom="paragraph">
              <wp:posOffset>181610</wp:posOffset>
            </wp:positionV>
            <wp:extent cx="5080000" cy="2538095"/>
            <wp:effectExtent l="4445" t="4445" r="20955"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7"/>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1952.09、1946.26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317.43、98.82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19.42、5.35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人员工资、津补贴、各类保险、公积金、目标考核绩效等经费及乡村振兴医疗救助项目收入支出增加。</w:t>
      </w:r>
    </w:p>
    <w:p>
      <w:pPr>
        <w:spacing w:line="600" w:lineRule="exact"/>
        <w:jc w:val="center"/>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114935</wp:posOffset>
            </wp:positionH>
            <wp:positionV relativeFrom="paragraph">
              <wp:posOffset>146685</wp:posOffset>
            </wp:positionV>
            <wp:extent cx="5080000" cy="2889885"/>
            <wp:effectExtent l="4445" t="4445" r="20955" b="2032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7"/>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-75565</wp:posOffset>
            </wp:positionH>
            <wp:positionV relativeFrom="paragraph">
              <wp:posOffset>1965325</wp:posOffset>
            </wp:positionV>
            <wp:extent cx="5080000" cy="1819275"/>
            <wp:effectExtent l="5080" t="4445" r="20320" b="50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1946.26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98.82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人员工资、津补贴、各类保险、公积金、目标考核绩效等经费支出增加。</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1946.26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65.22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1730.65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农林水</w:t>
      </w:r>
      <w:r>
        <w:rPr>
          <w:rFonts w:hint="eastAsia" w:ascii="仿宋" w:hAnsi="仿宋" w:eastAsia="仿宋"/>
          <w:b/>
          <w:bCs/>
          <w:color w:val="auto"/>
          <w:sz w:val="32"/>
          <w:szCs w:val="32"/>
          <w:highlight w:val="none"/>
          <w:lang w:eastAsia="zh-CN"/>
        </w:rPr>
        <w:t>（类）</w:t>
      </w:r>
      <w:r>
        <w:rPr>
          <w:rFonts w:hint="eastAsia" w:ascii="仿宋" w:hAnsi="仿宋" w:eastAsia="仿宋"/>
          <w:b w:val="0"/>
          <w:bCs w:val="0"/>
          <w:color w:val="auto"/>
          <w:sz w:val="32"/>
          <w:szCs w:val="32"/>
          <w:highlight w:val="none"/>
          <w:lang w:eastAsia="zh-CN"/>
        </w:rPr>
        <w:t>支出</w:t>
      </w:r>
      <w:r>
        <w:rPr>
          <w:rFonts w:hint="eastAsia" w:ascii="仿宋" w:hAnsi="仿宋" w:eastAsia="仿宋"/>
          <w:b w:val="0"/>
          <w:bCs w:val="0"/>
          <w:color w:val="auto"/>
          <w:sz w:val="32"/>
          <w:szCs w:val="32"/>
          <w:highlight w:val="none"/>
          <w:lang w:val="en-US" w:eastAsia="zh-CN"/>
        </w:rPr>
        <w:t>100.8万元，占5.18%；</w:t>
      </w:r>
      <w:r>
        <w:rPr>
          <w:rFonts w:hint="eastAsia" w:ascii="仿宋" w:hAnsi="仿宋" w:eastAsia="仿宋"/>
          <w:b/>
          <w:color w:val="auto"/>
          <w:sz w:val="32"/>
          <w:szCs w:val="32"/>
          <w:highlight w:val="none"/>
        </w:rPr>
        <w:t>住房保障（类）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49.59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114300</wp:posOffset>
            </wp:positionH>
            <wp:positionV relativeFrom="paragraph">
              <wp:posOffset>149225</wp:posOffset>
            </wp:positionV>
            <wp:extent cx="5080000" cy="3334385"/>
            <wp:effectExtent l="4445" t="4445" r="20955" b="1397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1946.26万元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99.70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1"/>
      <w:bookmarkEnd w:id="32"/>
      <w:bookmarkEnd w:id="33"/>
    </w:p>
    <w:p>
      <w:pPr>
        <w:numPr>
          <w:ilvl w:val="0"/>
          <w:numId w:val="2"/>
        </w:numPr>
        <w:spacing w:line="600" w:lineRule="exact"/>
        <w:ind w:firstLine="643"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Cs/>
          <w:color w:val="000000"/>
          <w:sz w:val="32"/>
          <w:szCs w:val="32"/>
        </w:rPr>
        <w:t>社会保障和就业（类）行政事业单位养老支出（款）  机关事业单位基本养老保险缴费支出（项）</w:t>
      </w:r>
      <w:r>
        <w:rPr>
          <w:rStyle w:val="16"/>
          <w:rFonts w:hint="eastAsia" w:ascii="仿宋" w:hAnsi="仿宋" w:eastAsia="仿宋"/>
          <w:b w:val="0"/>
          <w:bCs w:val="0"/>
          <w:color w:val="000000"/>
          <w:sz w:val="32"/>
          <w:szCs w:val="32"/>
          <w:lang w:eastAsia="zh-CN"/>
        </w:rPr>
        <w:t>支出</w:t>
      </w:r>
      <w:r>
        <w:rPr>
          <w:rStyle w:val="16"/>
          <w:rFonts w:hint="eastAsia" w:ascii="仿宋" w:hAnsi="仿宋" w:eastAsia="仿宋"/>
          <w:b w:val="0"/>
          <w:bCs/>
          <w:color w:val="000000"/>
          <w:sz w:val="32"/>
          <w:szCs w:val="32"/>
        </w:rPr>
        <w:t>决算为</w:t>
      </w:r>
      <w:r>
        <w:rPr>
          <w:rStyle w:val="16"/>
          <w:rFonts w:hint="eastAsia" w:ascii="仿宋" w:hAnsi="仿宋" w:eastAsia="仿宋"/>
          <w:b w:val="0"/>
          <w:bCs/>
          <w:color w:val="000000"/>
          <w:sz w:val="32"/>
          <w:szCs w:val="32"/>
          <w:lang w:val="en-US" w:eastAsia="zh-CN"/>
        </w:rPr>
        <w:t>48.21</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val="en-US"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w:t>
      </w:r>
      <w:r>
        <w:rPr>
          <w:rStyle w:val="16"/>
          <w:rFonts w:hint="eastAsia" w:ascii="仿宋" w:hAnsi="仿宋" w:eastAsia="仿宋"/>
          <w:b/>
          <w:bCs w:val="0"/>
          <w:color w:val="000000"/>
          <w:sz w:val="32"/>
          <w:szCs w:val="32"/>
          <w:lang w:val="en-US" w:eastAsia="zh-CN"/>
        </w:rPr>
        <w:t>抚恤（款）死亡抚恤（项）</w:t>
      </w:r>
      <w:r>
        <w:rPr>
          <w:rStyle w:val="16"/>
          <w:rFonts w:hint="eastAsia" w:ascii="仿宋" w:hAnsi="仿宋" w:eastAsia="仿宋"/>
          <w:b w:val="0"/>
          <w:bCs/>
          <w:color w:val="000000"/>
          <w:sz w:val="32"/>
          <w:szCs w:val="32"/>
          <w:lang w:val="en-US" w:eastAsia="zh-CN"/>
        </w:rPr>
        <w:t>支出决算数17.02万元，完成预算100%。</w:t>
      </w:r>
    </w:p>
    <w:p>
      <w:pPr>
        <w:spacing w:line="600" w:lineRule="exact"/>
        <w:ind w:firstLine="640" w:firstLineChars="200"/>
        <w:rPr>
          <w:rFonts w:ascii="仿宋" w:hAnsi="仿宋" w:eastAsia="仿宋"/>
          <w:b/>
          <w:color w:val="000000"/>
          <w:sz w:val="32"/>
          <w:szCs w:val="32"/>
        </w:rPr>
      </w:pP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（类）卫生健康管理事务（款）行政运行</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420.91</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bCs w:val="0"/>
          <w:color w:val="000000"/>
          <w:sz w:val="32"/>
          <w:szCs w:val="32"/>
          <w:lang w:eastAsia="zh-CN"/>
        </w:rPr>
        <w:t>机关服务（项）</w:t>
      </w:r>
      <w:r>
        <w:rPr>
          <w:rStyle w:val="16"/>
          <w:rFonts w:hint="eastAsia" w:ascii="仿宋" w:hAnsi="仿宋" w:eastAsia="仿宋"/>
          <w:b w:val="0"/>
          <w:bCs/>
          <w:color w:val="000000"/>
          <w:sz w:val="32"/>
          <w:szCs w:val="32"/>
          <w:lang w:eastAsia="zh-CN"/>
        </w:rPr>
        <w:t>支出决算为</w:t>
      </w:r>
      <w:r>
        <w:rPr>
          <w:rStyle w:val="16"/>
          <w:rFonts w:hint="eastAsia" w:ascii="仿宋" w:hAnsi="仿宋" w:eastAsia="仿宋"/>
          <w:b w:val="0"/>
          <w:bCs/>
          <w:color w:val="000000"/>
          <w:sz w:val="32"/>
          <w:szCs w:val="32"/>
          <w:lang w:val="en-US" w:eastAsia="zh-CN"/>
        </w:rPr>
        <w:t>79.24万元，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bCs w:val="0"/>
          <w:color w:val="000000"/>
          <w:sz w:val="32"/>
          <w:szCs w:val="32"/>
          <w:lang w:eastAsia="zh-CN"/>
        </w:rPr>
        <w:t>公共卫生（款）</w:t>
      </w:r>
      <w:r>
        <w:rPr>
          <w:rStyle w:val="16"/>
          <w:rFonts w:hint="eastAsia" w:ascii="仿宋" w:hAnsi="仿宋" w:eastAsia="仿宋"/>
          <w:bCs/>
          <w:color w:val="000000"/>
          <w:sz w:val="32"/>
          <w:szCs w:val="32"/>
        </w:rPr>
        <w:t>重大公共卫生服务</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325.52</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94.38</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，决算数小于预算数原因为新冠疫情集中隔离点运行经费按实际发生的费用支出；</w:t>
      </w:r>
      <w:r>
        <w:rPr>
          <w:rStyle w:val="16"/>
          <w:rFonts w:hint="eastAsia" w:ascii="仿宋" w:hAnsi="仿宋" w:eastAsia="仿宋"/>
          <w:bCs/>
          <w:color w:val="000000"/>
          <w:sz w:val="32"/>
          <w:szCs w:val="32"/>
        </w:rPr>
        <w:t>计划生育事务（款）其他计划生育事务支出</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677.97</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102.04</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Cs/>
          <w:color w:val="000000"/>
          <w:sz w:val="32"/>
          <w:szCs w:val="32"/>
        </w:rPr>
        <w:t>行政事业单位医疗（款）行政单位医疗</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22.13</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bCs w:val="0"/>
          <w:color w:val="000000"/>
          <w:sz w:val="32"/>
          <w:szCs w:val="32"/>
          <w:lang w:eastAsia="zh-CN"/>
        </w:rPr>
        <w:t>其他卫生健康支出（款）其他卫生健康支出（项</w:t>
      </w:r>
      <w:r>
        <w:rPr>
          <w:rStyle w:val="16"/>
          <w:rFonts w:hint="eastAsia" w:ascii="仿宋" w:hAnsi="仿宋" w:eastAsia="仿宋"/>
          <w:b w:val="0"/>
          <w:bCs/>
          <w:color w:val="000000"/>
          <w:sz w:val="32"/>
          <w:szCs w:val="32"/>
          <w:lang w:eastAsia="zh-CN"/>
        </w:rPr>
        <w:t>）支出决算为</w:t>
      </w:r>
      <w:r>
        <w:rPr>
          <w:rStyle w:val="16"/>
          <w:rFonts w:hint="eastAsia" w:ascii="仿宋" w:hAnsi="仿宋" w:eastAsia="仿宋"/>
          <w:b w:val="0"/>
          <w:bCs/>
          <w:color w:val="000000"/>
          <w:sz w:val="32"/>
          <w:szCs w:val="32"/>
          <w:lang w:val="en-US" w:eastAsia="zh-CN"/>
        </w:rPr>
        <w:t>204.88万元，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3.</w:t>
      </w:r>
      <w:r>
        <w:rPr>
          <w:rFonts w:hint="eastAsia" w:ascii="仿宋" w:hAnsi="仿宋" w:eastAsia="仿宋"/>
          <w:b/>
          <w:bCs/>
          <w:color w:val="000000"/>
          <w:sz w:val="32"/>
          <w:szCs w:val="32"/>
        </w:rPr>
        <w:t>农林水支出</w:t>
      </w:r>
      <w:r>
        <w:rPr>
          <w:rStyle w:val="16"/>
          <w:rFonts w:hint="eastAsia" w:ascii="仿宋" w:hAnsi="仿宋" w:eastAsia="仿宋"/>
          <w:bCs/>
          <w:color w:val="000000"/>
          <w:sz w:val="32"/>
          <w:szCs w:val="32"/>
        </w:rPr>
        <w:t>（类）扶贫（款）</w:t>
      </w:r>
      <w:r>
        <w:rPr>
          <w:rStyle w:val="16"/>
          <w:rFonts w:hint="eastAsia" w:ascii="仿宋" w:hAnsi="仿宋" w:eastAsia="仿宋"/>
          <w:bCs/>
          <w:color w:val="000000"/>
          <w:sz w:val="32"/>
          <w:szCs w:val="32"/>
          <w:lang w:eastAsia="zh-CN"/>
        </w:rPr>
        <w:t>社会发展（项）</w:t>
      </w:r>
      <w:r>
        <w:rPr>
          <w:rStyle w:val="16"/>
          <w:rFonts w:hint="eastAsia" w:ascii="仿宋" w:hAnsi="仿宋" w:eastAsia="仿宋"/>
          <w:b w:val="0"/>
          <w:bCs w:val="0"/>
          <w:color w:val="000000"/>
          <w:sz w:val="32"/>
          <w:szCs w:val="32"/>
          <w:lang w:eastAsia="zh-CN"/>
        </w:rPr>
        <w:t>支出决算为</w:t>
      </w:r>
      <w:r>
        <w:rPr>
          <w:rStyle w:val="16"/>
          <w:rFonts w:hint="eastAsia" w:ascii="仿宋" w:hAnsi="仿宋" w:eastAsia="仿宋"/>
          <w:b w:val="0"/>
          <w:bCs w:val="0"/>
          <w:color w:val="000000"/>
          <w:sz w:val="32"/>
          <w:szCs w:val="32"/>
          <w:lang w:val="en-US" w:eastAsia="zh-CN"/>
        </w:rPr>
        <w:t>100万元，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Cs/>
          <w:color w:val="000000"/>
          <w:sz w:val="32"/>
          <w:szCs w:val="32"/>
        </w:rPr>
        <w:t>其他扶贫支出</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0.8</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6"/>
        <w:rPr>
          <w:rFonts w:ascii="仿宋" w:hAnsi="仿宋" w:eastAsia="仿宋"/>
          <w:b/>
          <w:color w:val="000000"/>
          <w:sz w:val="32"/>
          <w:szCs w:val="32"/>
        </w:rPr>
      </w:pPr>
      <w:r>
        <w:rPr>
          <w:rStyle w:val="16"/>
          <w:rFonts w:hint="eastAsia" w:ascii="仿宋" w:hAnsi="仿宋" w:eastAsia="仿宋"/>
          <w:b w:val="0"/>
          <w:bCs/>
          <w:color w:val="000000"/>
          <w:sz w:val="32"/>
          <w:szCs w:val="32"/>
          <w:lang w:val="en-US" w:eastAsia="zh-CN"/>
        </w:rPr>
        <w:t xml:space="preserve">    </w:t>
      </w:r>
      <w:r>
        <w:rPr>
          <w:rStyle w:val="16"/>
          <w:rFonts w:hint="eastAsia" w:ascii="仿宋" w:hAnsi="仿宋" w:eastAsia="仿宋"/>
          <w:b/>
          <w:bCs w:val="0"/>
          <w:color w:val="000000"/>
          <w:sz w:val="32"/>
          <w:szCs w:val="32"/>
          <w:lang w:val="en-US" w:eastAsia="zh-CN"/>
        </w:rPr>
        <w:t>4.</w:t>
      </w:r>
      <w:r>
        <w:rPr>
          <w:rFonts w:hint="eastAsia" w:ascii="仿宋" w:hAnsi="仿宋" w:eastAsia="仿宋"/>
          <w:b/>
          <w:bCs/>
          <w:color w:val="000000"/>
          <w:sz w:val="32"/>
          <w:szCs w:val="32"/>
        </w:rPr>
        <w:t>住房保障支出</w:t>
      </w:r>
      <w:r>
        <w:rPr>
          <w:rStyle w:val="16"/>
          <w:rFonts w:hint="eastAsia" w:ascii="仿宋" w:hAnsi="仿宋" w:eastAsia="仿宋"/>
          <w:bCs/>
          <w:color w:val="000000"/>
          <w:sz w:val="32"/>
          <w:szCs w:val="32"/>
        </w:rPr>
        <w:t>（类）住房改革支出（款）住房公积金</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49.59</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7"/>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637.09</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570.46</w:t>
      </w:r>
      <w:r>
        <w:rPr>
          <w:rFonts w:hint="eastAsia" w:ascii="仿宋" w:hAnsi="仿宋" w:eastAsia="仿宋"/>
          <w:color w:val="auto"/>
          <w:sz w:val="32"/>
          <w:szCs w:val="32"/>
          <w:highlight w:val="none"/>
        </w:rPr>
        <w:t>万元，主要包括：基本工资、津贴补贴、奖金、绩效工资、机关事业单位基本养老保险缴费、其他社会保障缴费、其他工资福利支出、抚恤金、生活补助、奖励金、住房公积金、其他对个人和家庭的补助支出等。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66.63</w:t>
      </w:r>
      <w:r>
        <w:rPr>
          <w:rFonts w:hint="eastAsia" w:ascii="仿宋" w:hAnsi="仿宋" w:eastAsia="仿宋"/>
          <w:color w:val="auto"/>
          <w:sz w:val="32"/>
          <w:szCs w:val="32"/>
          <w:highlight w:val="none"/>
        </w:rPr>
        <w:t>万元，主要包括：办公费、印刷费、手续费、水费、电费、邮电费、差旅费、维修（护）费、公务接待费、其他交通费。</w:t>
      </w:r>
    </w:p>
    <w:p>
      <w:pPr>
        <w:spacing w:line="600" w:lineRule="exact"/>
        <w:ind w:firstLine="640"/>
        <w:outlineLvl w:val="1"/>
        <w:rPr>
          <w:rStyle w:val="27"/>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b/>
          <w:color w:val="FF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1.87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93.03</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000000"/>
          <w:sz w:val="32"/>
          <w:szCs w:val="32"/>
          <w:lang w:eastAsia="zh-CN"/>
        </w:rPr>
        <w:t>严格执行中央八项规定，厉行节约，控制公务接待费用</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年“三公”经费财政拨款支出决算中，公务接待费支出决算</w:t>
      </w:r>
      <w:r>
        <w:rPr>
          <w:rFonts w:hint="eastAsia" w:ascii="仿宋" w:hAnsi="仿宋" w:eastAsia="仿宋"/>
          <w:color w:val="auto"/>
          <w:sz w:val="32"/>
          <w:szCs w:val="32"/>
          <w:highlight w:val="none"/>
          <w:lang w:val="en-US" w:eastAsia="zh-CN"/>
        </w:rPr>
        <w:t>1.87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355340"/>
            <wp:effectExtent l="5080" t="4445" r="20320" b="1206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rPr>
          <w:rFonts w:hint="eastAsia" w:ascii="仿宋" w:hAnsi="仿宋" w:eastAsia="仿宋"/>
          <w:color w:val="auto"/>
          <w:sz w:val="32"/>
          <w:szCs w:val="32"/>
          <w:highlight w:val="none"/>
        </w:rPr>
      </w:pP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1</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1.87</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93.03</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2.60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lang w:eastAsia="zh-CN"/>
        </w:rPr>
        <w:t>严格执行中央八项规定，厉行节约，控制公务接待费用</w:t>
      </w:r>
      <w:r>
        <w:rPr>
          <w:rFonts w:hint="eastAsia" w:ascii="仿宋_GB2312" w:eastAsia="仿宋_GB2312"/>
          <w:color w:val="auto"/>
          <w:sz w:val="32"/>
          <w:szCs w:val="32"/>
          <w:highlight w:val="none"/>
        </w:rPr>
        <w:t>。其中：</w:t>
      </w:r>
    </w:p>
    <w:p>
      <w:pPr>
        <w:spacing w:line="600" w:lineRule="exact"/>
        <w:ind w:firstLine="640"/>
        <w:rPr>
          <w:rFonts w:ascii="黑体" w:eastAsia="黑体"/>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1.87</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36</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268</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1.87</w:t>
      </w:r>
      <w:r>
        <w:rPr>
          <w:rFonts w:hint="eastAsia" w:ascii="仿宋_GB2312" w:eastAsia="仿宋_GB2312"/>
          <w:color w:val="auto"/>
          <w:sz w:val="32"/>
          <w:szCs w:val="32"/>
          <w:highlight w:val="none"/>
        </w:rPr>
        <w:t>万元，具体内容</w:t>
      </w:r>
      <w:r>
        <w:rPr>
          <w:rFonts w:hint="eastAsia" w:ascii="仿宋_GB2312" w:eastAsia="仿宋_GB2312"/>
          <w:color w:val="000000"/>
          <w:sz w:val="32"/>
          <w:szCs w:val="32"/>
        </w:rPr>
        <w:t>上级部门来人检查和指导工作接待所发生餐费支出</w:t>
      </w:r>
      <w:r>
        <w:rPr>
          <w:rFonts w:hint="eastAsia" w:ascii="仿宋_GB2312" w:eastAsia="仿宋_GB2312"/>
          <w:color w:val="auto"/>
          <w:sz w:val="32"/>
          <w:szCs w:val="32"/>
          <w:highlight w:val="none"/>
        </w:rPr>
        <w:t>。</w:t>
      </w:r>
      <w:bookmarkStart w:id="40" w:name="_Toc15377218"/>
      <w:bookmarkStart w:id="41" w:name="_Toc15396610"/>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ascii="黑体" w:hAnsi="黑体" w:eastAsia="黑体"/>
          <w:b w:val="0"/>
          <w:color w:val="auto"/>
          <w:highlight w:val="none"/>
        </w:rPr>
      </w:pPr>
      <w:bookmarkStart w:id="42" w:name="_Toc15377219"/>
      <w:bookmarkStart w:id="43" w:name="_Toc15396611"/>
      <w:r>
        <w:rPr>
          <w:rStyle w:val="27"/>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44" w:name="_Toc15377221"/>
      <w:bookmarkStart w:id="45" w:name="_Toc15396612"/>
      <w:r>
        <w:rPr>
          <w:rStyle w:val="27"/>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卫生健康局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66.63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2.79</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4.37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发放公务交通补贴支出增加了</w:t>
      </w:r>
      <w:r>
        <w:rPr>
          <w:rFonts w:hint="eastAsia" w:ascii="仿宋_GB2312" w:eastAsia="仿宋_GB2312"/>
          <w:color w:val="auto"/>
          <w:sz w:val="32"/>
          <w:szCs w:val="32"/>
          <w:highlight w:val="none"/>
          <w:lang w:val="en-US" w:eastAsia="zh-CN"/>
        </w:rPr>
        <w:t>2.79万元。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无政府采购</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960" w:firstLineChars="3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2021年，无国有资产占有使用。</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b w:val="0"/>
          <w:bCs w:val="0"/>
          <w:kern w:val="0"/>
          <w:sz w:val="32"/>
          <w:szCs w:val="32"/>
          <w:lang w:val="en-US" w:eastAsia="zh-CN" w:bidi="ar-SA"/>
        </w:rPr>
        <w:t>曾家养生苑（集中隔离观察点）运行经费项目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2个项目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6"/>
        <w:rPr>
          <w:highlight w:val="yellow"/>
        </w:rPr>
      </w:pPr>
      <w:bookmarkStart w:id="67" w:name="_GoBack"/>
      <w:bookmarkEnd w:id="67"/>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银行存款利息</w:t>
      </w:r>
      <w:r>
        <w:rPr>
          <w:rFonts w:hint="eastAsia" w:ascii="仿宋_GB2312" w:eastAsia="仿宋_GB2312"/>
          <w:sz w:val="32"/>
          <w:szCs w:val="32"/>
        </w:rPr>
        <w:t>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w:t>
      </w:r>
      <w:r>
        <w:rPr>
          <w:rFonts w:hint="eastAsia" w:ascii="仿宋_GB2312" w:eastAsia="仿宋_GB2312"/>
          <w:color w:val="000000"/>
          <w:sz w:val="32"/>
          <w:szCs w:val="32"/>
          <w:lang w:eastAsia="zh-CN"/>
        </w:rPr>
        <w:t>反映机关事业单位实施养老保险制度由单位缴纳的基本养老保险费支出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社会保障和就业（类）行政事业单位养老支出（款）机关事业单位职业年金缴费支出（项）：指反映机关事业单位实施养老保险制度由单位实际缴纳的职业年金支出。</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hAnsi="Times New Roman" w:eastAsia="仿宋_GB2312" w:cs="Times New Roman"/>
          <w:color w:val="000000"/>
          <w:kern w:val="2"/>
          <w:sz w:val="32"/>
          <w:szCs w:val="32"/>
          <w:lang w:val="en-US" w:eastAsia="zh-CN" w:bidi="ar-SA"/>
        </w:rPr>
        <w:t>.社会保障和就业（类）抚恤（款）死亡抚恤支出（项）：指反映按规定用于烈士和牺牲、病故人员家属的一次性和定期抚恤金以及丧葬补助费。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卫生健康（类）卫生健康管理事务（款）行政运行（项）：指反映行政单位（包括实行公务员管理的事业单位）的基本支出。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卫生健康（类）卫生健康管理事务（款）其他卫生健康管理事务支出（项）：反映除上述项目以外其他用于卫生健康管理事务方面的支出</w:t>
      </w:r>
      <w:r>
        <w:rPr>
          <w:rFonts w:hint="eastAsia" w:ascii="仿宋_GB2312" w:eastAsia="仿宋_GB2312" w:cs="Times New Roman"/>
          <w:color w:val="000000"/>
          <w:kern w:val="2"/>
          <w:sz w:val="32"/>
          <w:szCs w:val="32"/>
          <w:lang w:val="en-US" w:eastAsia="zh-CN" w:bidi="ar-SA"/>
        </w:rPr>
        <w:t>。</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卫生健康（类）公共卫生（款）基本公共卫生服务（项）：指反映基本公共卫生服务支出。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卫生健康（类）公共卫生（款）重大公共卫生服务（项）：指反映重大疾病、重大传染病预防控制等重大公共卫生服务项目支出。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卫生健康（类）计划生育事务（款）其他计划生育事务支出（项）：指反映除上述项目以外其他用于计划生育管理事务方面的支出。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卫生健康（类）行政事业单位医疗（款）行政单位医疗（项）：指反映财政部门安排的行政单位基本医疗保险缴费经费。</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农林水（类）</w:t>
      </w:r>
      <w:r>
        <w:rPr>
          <w:rFonts w:hint="eastAsia" w:ascii="仿宋_GB2312" w:hAnsi="Times New Roman" w:eastAsia="仿宋_GB2312" w:cs="Times New Roman"/>
          <w:color w:val="000000"/>
          <w:kern w:val="2"/>
          <w:sz w:val="32"/>
          <w:szCs w:val="32"/>
          <w:lang w:val="en-US" w:eastAsia="zh-CN" w:bidi="ar-SA"/>
        </w:rPr>
        <w:t>扶贫（款）其他扶贫支出（项）：指反映除上述项目以外其他用于扶贫方面的支出。</w:t>
      </w:r>
    </w:p>
    <w:p>
      <w:pPr>
        <w:ind w:firstLine="640" w:firstLineChars="200"/>
        <w:rPr>
          <w:rFonts w:ascii="仿宋_GB2312" w:eastAsia="仿宋_GB2312"/>
          <w:color w:val="000000"/>
          <w:sz w:val="32"/>
          <w:szCs w:val="32"/>
        </w:rPr>
      </w:pPr>
      <w:r>
        <w:rPr>
          <w:rFonts w:hint="eastAsia" w:ascii="仿宋_GB2312" w:hAnsi="Times New Roman" w:eastAsia="仿宋_GB2312" w:cs="Times New Roman"/>
          <w:color w:val="000000"/>
          <w:kern w:val="2"/>
          <w:sz w:val="32"/>
          <w:szCs w:val="32"/>
          <w:lang w:val="en-US" w:eastAsia="zh-CN" w:bidi="ar-SA"/>
        </w:rPr>
        <w:t>17.住房保障（类）住房改革支出（款）住房公积金（项）：</w:t>
      </w:r>
      <w:r>
        <w:rPr>
          <w:rFonts w:hint="eastAsia" w:ascii="仿宋_GB2312" w:eastAsia="仿宋_GB2312"/>
          <w:color w:val="000000"/>
          <w:sz w:val="32"/>
          <w:szCs w:val="32"/>
          <w:lang w:eastAsia="zh-CN"/>
        </w:rPr>
        <w:t>指反映行政事业单位按人力资源和社会保障部、财政部规定的基本工资和津贴补贴以及规定比例为职工缴纳的住房公积金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tbl>
      <w:tblPr>
        <w:tblStyle w:val="14"/>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948"/>
        <w:gridCol w:w="1232"/>
        <w:gridCol w:w="1862"/>
        <w:gridCol w:w="1535"/>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83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2021年100万元以上（含）特定目标类部门预算项目绩效目标自评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广元市朝天区卫生健康局 338301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6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6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6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0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4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1：实施农村计划生育家庭奖励扶助制度，解决农村独生子女和双女家庭的养老问题，提高家庭发展能力。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3：实施西部地区“少生快富”工程，改善计划生育家庭生产、生活状况，引导和帮助计划生育家庭发展生产，促进西部地区进一步降低生育水平。</w:t>
            </w:r>
          </w:p>
        </w:tc>
        <w:tc>
          <w:tcPr>
            <w:tcW w:w="35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1：实施农村计划生育家庭奖励扶助制度，解决农村独生子女和双女家庭的养老问题，提高家庭发展能力。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3：实施西部地区“少生快富”工程，改善计划生育家庭生产、生活状况，引导和帮助计划生育家庭发展生产，促进西部地区进一步降低生育水平。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农村部分计划生育家庭奖励人数</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5589人</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计划生育特别扶助人数</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128人</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独生子女父母奖励补助户数</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1141户</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计划生育特困人数</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5人</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计划生育手术并发症人数</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34人</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计划生育免费手术费人次数</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107651人次</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107651人次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计划生育专项补助资金到位率</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计划生育专项补助资金支付率</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新申报人员审核合格率</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计划生育项目补助资金</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664.4万元</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家庭发展能力</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提高 </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保障和改善民生</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spacing w:line="600" w:lineRule="exact"/>
        <w:jc w:val="both"/>
        <w:outlineLvl w:val="0"/>
        <w:rPr>
          <w:rFonts w:hint="eastAsia" w:ascii="黑体" w:hAnsi="黑体" w:eastAsia="黑体"/>
          <w:color w:val="auto"/>
          <w:sz w:val="44"/>
          <w:szCs w:val="44"/>
          <w:highlight w:val="none"/>
        </w:rPr>
      </w:pPr>
      <w:bookmarkStart w:id="53" w:name="_Toc15396618"/>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tbl>
      <w:tblPr>
        <w:tblStyle w:val="14"/>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662"/>
        <w:gridCol w:w="1389"/>
        <w:gridCol w:w="1745"/>
        <w:gridCol w:w="1638"/>
        <w:gridCol w:w="2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82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2021年100万元以上（含）特定目标类部门预算项目绩效目标自评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广元市朝天区卫生健康局 338301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4" w:hRule="atLeast"/>
        </w:trPr>
        <w:tc>
          <w:tcPr>
            <w:tcW w:w="11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1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37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9"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为了确保我区新冠疫情得到有效的防控，防止疫情的暴发和蔓延，保障全区人民的生命安全。</w:t>
            </w:r>
          </w:p>
        </w:tc>
        <w:tc>
          <w:tcPr>
            <w:tcW w:w="38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为了确保我区新冠疫情得到有效的防控，防止疫情的暴发和蔓延，保障全区人民的生命安全。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集中隔离医学观察点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集中隔离医学观察人次数 </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600人</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集中隔离医学观察医疗保障队伍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3支</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中高风险人员集中隔离医学观察率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集中隔离医学观察点新冠疫情可控率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符合隔离措施人员实施集中隔离的及时率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集中隔离人员核酸采集检测及时率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集中隔离点运行经费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240万元</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保障全区人民生命安全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疫情得到有效的防控，防止疫情的暴发和蔓延</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集中隔离对象满意度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spacing w:line="600" w:lineRule="exact"/>
        <w:jc w:val="left"/>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7"/>
    </w:p>
    <w:p>
      <w:pPr>
        <w:pStyle w:val="4"/>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65"/>
    </w:p>
    <w:p>
      <w:pPr>
        <w:pStyle w:val="4"/>
        <w:rPr>
          <w:rStyle w:val="27"/>
          <w:rFonts w:hint="eastAsia" w:ascii="仿宋" w:hAnsi="仿宋" w:eastAsia="仿宋"/>
          <w:b w:val="0"/>
          <w:bCs w:val="0"/>
          <w:color w:val="auto"/>
          <w:highlight w:val="none"/>
        </w:rPr>
      </w:pPr>
      <w:bookmarkStart w:id="66"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B42FDE8"/>
    <w:multiLevelType w:val="singleLevel"/>
    <w:tmpl w:val="6B42FDE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NTllMDI1MjcxZDY1MDM2NTAzMmFlOTlkNmEyM2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863"/>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6543"/>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6352C"/>
    <w:rsid w:val="02300221"/>
    <w:rsid w:val="023A2E4D"/>
    <w:rsid w:val="05F3010D"/>
    <w:rsid w:val="064D0138"/>
    <w:rsid w:val="08F24482"/>
    <w:rsid w:val="09840E52"/>
    <w:rsid w:val="09D27E0F"/>
    <w:rsid w:val="0A2032A3"/>
    <w:rsid w:val="0B8A37D8"/>
    <w:rsid w:val="0D5D3E94"/>
    <w:rsid w:val="0DC01DD9"/>
    <w:rsid w:val="10525806"/>
    <w:rsid w:val="10C055FF"/>
    <w:rsid w:val="11252F1A"/>
    <w:rsid w:val="113B44EC"/>
    <w:rsid w:val="118107EC"/>
    <w:rsid w:val="11BB73DB"/>
    <w:rsid w:val="11DD6519"/>
    <w:rsid w:val="125515DD"/>
    <w:rsid w:val="129E2F84"/>
    <w:rsid w:val="12D61687"/>
    <w:rsid w:val="14F670A8"/>
    <w:rsid w:val="15A975EE"/>
    <w:rsid w:val="16213887"/>
    <w:rsid w:val="16BB723D"/>
    <w:rsid w:val="16CD3E38"/>
    <w:rsid w:val="16E318AE"/>
    <w:rsid w:val="17374AF4"/>
    <w:rsid w:val="18015F3F"/>
    <w:rsid w:val="18FB35F1"/>
    <w:rsid w:val="1A077661"/>
    <w:rsid w:val="1A396F50"/>
    <w:rsid w:val="1B3C333B"/>
    <w:rsid w:val="1BE8440E"/>
    <w:rsid w:val="1D155CEE"/>
    <w:rsid w:val="1F8D23B7"/>
    <w:rsid w:val="1FDA1374"/>
    <w:rsid w:val="20065D2D"/>
    <w:rsid w:val="20A15638"/>
    <w:rsid w:val="20C1476D"/>
    <w:rsid w:val="20D116DE"/>
    <w:rsid w:val="20D364EF"/>
    <w:rsid w:val="20DD55C0"/>
    <w:rsid w:val="20F57F95"/>
    <w:rsid w:val="21E93DDF"/>
    <w:rsid w:val="227B299A"/>
    <w:rsid w:val="22FE5379"/>
    <w:rsid w:val="23DA7B95"/>
    <w:rsid w:val="240371BF"/>
    <w:rsid w:val="24DB1936"/>
    <w:rsid w:val="25C741E6"/>
    <w:rsid w:val="26E74AA2"/>
    <w:rsid w:val="27842671"/>
    <w:rsid w:val="28FE4325"/>
    <w:rsid w:val="299B0A2F"/>
    <w:rsid w:val="29FD04D3"/>
    <w:rsid w:val="2A614B6C"/>
    <w:rsid w:val="2ABE7A3E"/>
    <w:rsid w:val="2ED973C6"/>
    <w:rsid w:val="2EFA178C"/>
    <w:rsid w:val="2F5C1DA5"/>
    <w:rsid w:val="2FDE757F"/>
    <w:rsid w:val="30B46D73"/>
    <w:rsid w:val="319F7F4E"/>
    <w:rsid w:val="31B55E35"/>
    <w:rsid w:val="32E4633A"/>
    <w:rsid w:val="33E97065"/>
    <w:rsid w:val="34472436"/>
    <w:rsid w:val="344A6670"/>
    <w:rsid w:val="36EF34FF"/>
    <w:rsid w:val="37A421C0"/>
    <w:rsid w:val="39627FB8"/>
    <w:rsid w:val="39AE70AB"/>
    <w:rsid w:val="3AE07A50"/>
    <w:rsid w:val="3C0C0783"/>
    <w:rsid w:val="3C8F7316"/>
    <w:rsid w:val="3E9712E1"/>
    <w:rsid w:val="3EC00E65"/>
    <w:rsid w:val="3F9F3A96"/>
    <w:rsid w:val="405A7C3B"/>
    <w:rsid w:val="42ED2FE9"/>
    <w:rsid w:val="455E1F7C"/>
    <w:rsid w:val="470A192F"/>
    <w:rsid w:val="47E250E6"/>
    <w:rsid w:val="493C27E9"/>
    <w:rsid w:val="496F39ED"/>
    <w:rsid w:val="49A10689"/>
    <w:rsid w:val="49FF41D3"/>
    <w:rsid w:val="4B8E10E1"/>
    <w:rsid w:val="4BE068DB"/>
    <w:rsid w:val="4BF6002B"/>
    <w:rsid w:val="4C5424D5"/>
    <w:rsid w:val="4CEF5BAF"/>
    <w:rsid w:val="4D677E3B"/>
    <w:rsid w:val="4DDA23BB"/>
    <w:rsid w:val="4ECE2238"/>
    <w:rsid w:val="4F7C5E20"/>
    <w:rsid w:val="4F9667B6"/>
    <w:rsid w:val="51DB4B86"/>
    <w:rsid w:val="53051C89"/>
    <w:rsid w:val="53365F09"/>
    <w:rsid w:val="55333C3E"/>
    <w:rsid w:val="55F90372"/>
    <w:rsid w:val="56983897"/>
    <w:rsid w:val="581110D0"/>
    <w:rsid w:val="597E3006"/>
    <w:rsid w:val="5A4F5EDF"/>
    <w:rsid w:val="5D9C6EE0"/>
    <w:rsid w:val="5F047298"/>
    <w:rsid w:val="60566219"/>
    <w:rsid w:val="60F51963"/>
    <w:rsid w:val="615E35D8"/>
    <w:rsid w:val="61AB60F1"/>
    <w:rsid w:val="61B34FA6"/>
    <w:rsid w:val="61D54F1C"/>
    <w:rsid w:val="631B1054"/>
    <w:rsid w:val="64CA39A1"/>
    <w:rsid w:val="6618187B"/>
    <w:rsid w:val="67AC4ACF"/>
    <w:rsid w:val="6A9242F2"/>
    <w:rsid w:val="6BC009EB"/>
    <w:rsid w:val="6C4A05C8"/>
    <w:rsid w:val="72734D90"/>
    <w:rsid w:val="729D1A86"/>
    <w:rsid w:val="74F433A1"/>
    <w:rsid w:val="7564688B"/>
    <w:rsid w:val="772E7150"/>
    <w:rsid w:val="77505319"/>
    <w:rsid w:val="79E7B28D"/>
    <w:rsid w:val="7A6F5AB6"/>
    <w:rsid w:val="7CBA49E9"/>
    <w:rsid w:val="7F9F20EE"/>
    <w:rsid w:val="7FCB5E84"/>
    <w:rsid w:val="7FD03C93"/>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cs="Courier New"/>
      <w:szCs w:val="21"/>
    </w:rPr>
  </w:style>
  <w:style w:type="paragraph" w:styleId="9">
    <w:name w:val="Balloon Text"/>
    <w:basedOn w:val="1"/>
    <w:link w:val="29"/>
    <w:semiHidden/>
    <w:unhideWhenUsed/>
    <w:qFormat/>
    <w:uiPriority w:val="99"/>
    <w:rPr>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2"/>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95"/>
          <c:y val="0.0317460317460317"/>
          <c:w val="0.9263"/>
          <c:h val="0.798002496878901"/>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收入</c:v>
                </c:pt>
                <c:pt idx="1">
                  <c:v>支出</c:v>
                </c:pt>
              </c:strCache>
            </c:strRef>
          </c:cat>
          <c:val>
            <c:numRef>
              <c:extLst>
                <c:ext xmlns:c15="http://schemas.microsoft.com/office/drawing/2012/chart" uri="{02D57815-91ED-43cb-92C2-25804820EDAC}">
                  <c15:fullRef>
                    <c15:sqref>Sheet1!$B$2:$B$5</c15:sqref>
                  </c15:fullRef>
                </c:ext>
              </c:extLst>
              <c:f>(Sheet1!$B$2,Sheet1!$B$4)</c:f>
              <c:numCache>
                <c:formatCode>General</c:formatCode>
                <c:ptCount val="2"/>
                <c:pt idx="0">
                  <c:v>1680.84</c:v>
                </c:pt>
                <c:pt idx="1">
                  <c:v>1893.62</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收入</c:v>
                </c:pt>
                <c:pt idx="1">
                  <c:v>支出</c:v>
                </c:pt>
              </c:strCache>
            </c:strRef>
          </c:cat>
          <c:val>
            <c:numRef>
              <c:extLst>
                <c:ext xmlns:c15="http://schemas.microsoft.com/office/drawing/2012/chart" uri="{02D57815-91ED-43cb-92C2-25804820EDAC}">
                  <c15:fullRef>
                    <c15:sqref>Sheet1!$C$2:$C$5</c15:sqref>
                  </c15:fullRef>
                </c:ext>
              </c:extLst>
              <c:f>(Sheet1!$C$2,Sheet1!$C$4)</c:f>
              <c:numCache>
                <c:formatCode>#,##0.00</c:formatCode>
                <c:ptCount val="2"/>
                <c:pt idx="0">
                  <c:v>1952.77</c:v>
                </c:pt>
                <c:pt idx="1">
                  <c:v>1946.94</c:v>
                </c:pt>
              </c:numCache>
            </c:numRef>
          </c:val>
        </c:ser>
        <c:dLbls>
          <c:showLegendKey val="0"/>
          <c:showVal val="1"/>
          <c:showCatName val="0"/>
          <c:showSerName val="0"/>
          <c:showPercent val="0"/>
          <c:showBubbleSize val="0"/>
        </c:dLbls>
        <c:gapWidth val="219"/>
        <c:overlap val="-27"/>
        <c:axId val="439330186"/>
        <c:axId val="5754917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(Sheet1!$A$2,Sheet1!$A$4)</c15:sqref>
                        </c15:formulaRef>
                      </c:ext>
                    </c:extLst>
                    <c:strCache>
                      <c:ptCount val="2"/>
                      <c:pt idx="0">
                        <c:v>收入</c:v>
                      </c:pt>
                      <c:pt idx="1">
                        <c:v>支出</c:v>
                      </c:pt>
                    </c:strCache>
                  </c:strRef>
                </c:cat>
              </c15:ser>
            </c15:filteredBarSeries>
          </c:ext>
        </c:extLst>
      </c:barChart>
      <c:catAx>
        <c:axId val="43933018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49172"/>
        <c:crosses val="autoZero"/>
        <c:auto val="1"/>
        <c:lblAlgn val="ctr"/>
        <c:lblOffset val="100"/>
        <c:noMultiLvlLbl val="0"/>
      </c:catAx>
      <c:valAx>
        <c:axId val="57549172"/>
        <c:scaling>
          <c:orientation val="minMax"/>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33018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Sheet1!$A$2:$A$4</c15:sqref>
                  </c15:fullRef>
                </c:ext>
              </c:extLst>
              <c:f>(Sheet1!$A$2,Sheet1!$A$4)</c:f>
              <c:strCache>
                <c:ptCount val="2"/>
                <c:pt idx="0">
                  <c:v>一般公共预算财政拨款收入</c:v>
                </c:pt>
                <c:pt idx="1">
                  <c:v>其他收入</c:v>
                </c:pt>
              </c:strCache>
            </c:strRef>
          </c:cat>
          <c:val>
            <c:numRef>
              <c:extLst>
                <c:ext xmlns:c15="http://schemas.microsoft.com/office/drawing/2012/chart" uri="{02D57815-91ED-43cb-92C2-25804820EDAC}">
                  <c15:fullRef>
                    <c15:sqref>Sheet1!$B$2:$B$4</c15:sqref>
                  </c15:fullRef>
                </c:ext>
              </c:extLst>
              <c:f>(Sheet1!$B$2,Sheet1!$B$4)</c:f>
              <c:numCache>
                <c:formatCode>General</c:formatCode>
                <c:ptCount val="2"/>
                <c:pt idx="0">
                  <c:v>195.09</c:v>
                </c:pt>
                <c:pt idx="1">
                  <c:v>0.68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Sheet1!$A$2:$A$4</c15:sqref>
                  </c15:fullRef>
                </c:ext>
              </c:extLst>
              <c:f>(Sheet1!$A$2,Sheet1!$A$4)</c:f>
              <c:strCache>
                <c:ptCount val="2"/>
                <c:pt idx="0">
                  <c:v>基本支出</c:v>
                </c:pt>
                <c:pt idx="1">
                  <c:v>项目支出</c:v>
                </c:pt>
              </c:strCache>
            </c:strRef>
          </c:cat>
          <c:val>
            <c:numRef>
              <c:extLst>
                <c:ext xmlns:c15="http://schemas.microsoft.com/office/drawing/2012/chart" uri="{02D57815-91ED-43cb-92C2-25804820EDAC}">
                  <c15:fullRef>
                    <c15:sqref>Sheet1!$B$2:$B$4</c15:sqref>
                  </c15:fullRef>
                </c:ext>
              </c:extLst>
              <c:f>(Sheet1!$B$2,Sheet1!$B$4)</c:f>
              <c:numCache>
                <c:formatCode>General</c:formatCode>
                <c:ptCount val="2"/>
                <c:pt idx="0">
                  <c:v>637.77</c:v>
                </c:pt>
                <c:pt idx="1">
                  <c:v>1309.17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Sheet1!$A$2:$A$3</c:f>
              <c:strCache>
                <c:ptCount val="2"/>
                <c:pt idx="0">
                  <c:v>财政拨款收入</c:v>
                </c:pt>
                <c:pt idx="1">
                  <c:v>财政拨款支出</c:v>
                </c:pt>
              </c:strCache>
            </c:strRef>
          </c:cat>
          <c:val>
            <c:numRef>
              <c:extLst>
                <c:ext xmlns:c15="http://schemas.microsoft.com/office/drawing/2012/chart" uri="{02D57815-91ED-43cb-92C2-25804820EDAC}">
                  <c15:fullRef>
                    <c15:sqref>Sheet1!$B$2:$B$3</c15:sqref>
                  </c15:fullRef>
                </c:ext>
              </c:extLst>
              <c:f>Sheet1!$B$2:$B$3</c:f>
              <c:numCache>
                <c:formatCode>#,##0.00</c:formatCode>
                <c:ptCount val="2"/>
                <c:pt idx="0">
                  <c:v>1634.66</c:v>
                </c:pt>
                <c:pt idx="1">
                  <c:v>1847.44</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Sheet1!$A$2:$A$3</c:f>
              <c:strCache>
                <c:ptCount val="2"/>
                <c:pt idx="0">
                  <c:v>财政拨款收入</c:v>
                </c:pt>
                <c:pt idx="1">
                  <c:v>财政拨款支出</c:v>
                </c:pt>
              </c:strCache>
            </c:strRef>
          </c:cat>
          <c:val>
            <c:numRef>
              <c:extLst>
                <c:ext xmlns:c15="http://schemas.microsoft.com/office/drawing/2012/chart" uri="{02D57815-91ED-43cb-92C2-25804820EDAC}">
                  <c15:fullRef>
                    <c15:sqref>Sheet1!$C$2:$C$3</c15:sqref>
                  </c15:fullRef>
                </c:ext>
              </c:extLst>
              <c:f>Sheet1!$C$2:$C$3</c:f>
              <c:numCache>
                <c:formatCode>#,##0.00</c:formatCode>
                <c:ptCount val="2"/>
                <c:pt idx="0">
                  <c:v>1952.09</c:v>
                </c:pt>
                <c:pt idx="1">
                  <c:v>1946.26</c:v>
                </c:pt>
              </c:numCache>
            </c:numRef>
          </c:val>
        </c:ser>
        <c:dLbls>
          <c:showLegendKey val="0"/>
          <c:showVal val="1"/>
          <c:showCatName val="0"/>
          <c:showSerName val="0"/>
          <c:showPercent val="0"/>
          <c:showBubbleSize val="0"/>
        </c:dLbls>
        <c:gapWidth val="219"/>
        <c:overlap val="-27"/>
        <c:axId val="95580585"/>
        <c:axId val="962857395"/>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Sheet1!$A$2:$A$3</c15:sqref>
                        </c15:fullRef>
                        <c15:formulaRef>
                          <c15:sqref>Sheet1!$A$2:$A$3</c15:sqref>
                        </c15:formulaRef>
                      </c:ext>
                    </c:extLst>
                    <c:strCache>
                      <c:ptCount val="2"/>
                      <c:pt idx="0">
                        <c:v>财政拨款收入</c:v>
                      </c:pt>
                      <c:pt idx="1">
                        <c:v>财政拨款支出</c:v>
                      </c:pt>
                    </c:strCache>
                  </c:strRef>
                </c:cat>
              </c15:ser>
            </c15:filteredBarSeries>
          </c:ext>
        </c:extLst>
      </c:barChart>
      <c:catAx>
        <c:axId val="955805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857395"/>
        <c:crosses val="autoZero"/>
        <c:auto val="1"/>
        <c:lblAlgn val="ctr"/>
        <c:lblOffset val="100"/>
        <c:noMultiLvlLbl val="0"/>
      </c:catAx>
      <c:valAx>
        <c:axId val="9628573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805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1847.44</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1946.26</c:v>
                </c:pt>
              </c:numCache>
            </c:numRef>
          </c:val>
        </c:ser>
        <c:dLbls>
          <c:showLegendKey val="0"/>
          <c:showVal val="1"/>
          <c:showCatName val="0"/>
          <c:showSerName val="0"/>
          <c:showPercent val="0"/>
          <c:showBubbleSize val="0"/>
        </c:dLbls>
        <c:gapWidth val="219"/>
        <c:overlap val="-27"/>
        <c:axId val="468263975"/>
        <c:axId val="452737617"/>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682639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737617"/>
        <c:crosses val="autoZero"/>
        <c:auto val="1"/>
        <c:lblAlgn val="ctr"/>
        <c:lblOffset val="100"/>
        <c:noMultiLvlLbl val="0"/>
      </c:catAx>
      <c:valAx>
        <c:axId val="4527376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2639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社会保障和就业（类）支出</c:v>
                </c:pt>
                <c:pt idx="1">
                  <c:v>卫生健康（类）支出</c:v>
                </c:pt>
                <c:pt idx="2">
                  <c:v>农林水（类）支出</c:v>
                </c:pt>
                <c:pt idx="3">
                  <c:v>住房保障（类）支出</c:v>
                </c:pt>
              </c:strCache>
            </c:strRef>
          </c:cat>
          <c:val>
            <c:numRef>
              <c:f>Sheet1!$B$2:$B$5</c:f>
              <c:numCache>
                <c:formatCode>General</c:formatCode>
                <c:ptCount val="4"/>
                <c:pt idx="0">
                  <c:v>65.22</c:v>
                </c:pt>
                <c:pt idx="1">
                  <c:v>1730.65</c:v>
                </c:pt>
                <c:pt idx="2">
                  <c:v>100.8</c:v>
                </c:pt>
                <c:pt idx="3">
                  <c:v>49.59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48925"/>
          <c:y val="0.17815"/>
          <c:w val="0.50215"/>
          <c:h val="0.669533333333333"/>
        </c:manualLayout>
      </c:layout>
      <c:pieChart>
        <c:varyColors val="1"/>
        <c:ser>
          <c:idx val="0"/>
          <c:order val="0"/>
          <c:tx>
            <c:strRef>
              <c:f>Sheet1!$A$2</c:f>
              <c:strCache>
                <c:ptCount val="1"/>
                <c:pt idx="0">
                  <c:v>三公经费</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公务接待费</c:v>
                </c:pt>
              </c:strCache>
            </c:strRef>
          </c:cat>
          <c:val>
            <c:numRef>
              <c:f>Sheet1!$B$2</c:f>
              <c:numCache>
                <c:formatCode>General</c:formatCode>
                <c:ptCount val="1"/>
                <c:pt idx="0">
                  <c:v>1.87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9777</Words>
  <Characters>10563</Characters>
  <Lines>61</Lines>
  <Paragraphs>17</Paragraphs>
  <TotalTime>33</TotalTime>
  <ScaleCrop>false</ScaleCrop>
  <LinksUpToDate>false</LinksUpToDate>
  <CharactersWithSpaces>10604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2022-09-26T07:45:23Z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6C0CEEEB508A4AF9A57359F6076CDD84</vt:lpwstr>
  </property>
</Properties>
</file>