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cs="方正小标宋简体" w:asciiTheme="majorEastAsia" w:hAnsiTheme="majorEastAsia" w:eastAsiaTheme="majorEastAsia"/>
          <w:b/>
          <w:sz w:val="52"/>
          <w:szCs w:val="52"/>
        </w:rPr>
      </w:pPr>
      <w:bookmarkStart w:id="1" w:name="_Toc15396475"/>
      <w:bookmarkStart w:id="2" w:name="_Toc15377193"/>
      <w:bookmarkStart w:id="3" w:name="_Toc15396597"/>
      <w:bookmarkStart w:id="4" w:name="_Toc15378441"/>
      <w:bookmarkStart w:id="5" w:name="_Toc9067"/>
      <w:bookmarkStart w:id="6" w:name="_Toc11770"/>
      <w:bookmarkStart w:id="7" w:name="_Toc4857"/>
      <w:bookmarkStart w:id="8" w:name="_Toc19882"/>
      <w:bookmarkStart w:id="9" w:name="_Toc14062"/>
      <w:bookmarkStart w:id="10" w:name="_Toc12691"/>
      <w:bookmarkStart w:id="11" w:name="_Toc15377425"/>
      <w:bookmarkStart w:id="12" w:name="_Toc14965"/>
      <w:r>
        <w:rPr>
          <w:rFonts w:hint="eastAsia" w:cs="方正小标宋简体" w:asciiTheme="majorEastAsia" w:hAnsiTheme="majorEastAsia" w:eastAsiaTheme="majorEastAsia"/>
          <w:b/>
          <w:sz w:val="52"/>
          <w:szCs w:val="52"/>
        </w:rPr>
        <w:t>20</w:t>
      </w:r>
      <w:r>
        <w:rPr>
          <w:rFonts w:hint="eastAsia" w:cs="方正小标宋简体" w:asciiTheme="majorEastAsia" w:hAnsiTheme="majorEastAsia" w:eastAsiaTheme="majorEastAsia"/>
          <w:b/>
          <w:sz w:val="52"/>
          <w:szCs w:val="52"/>
          <w:lang w:val="en-US" w:eastAsia="zh-CN"/>
        </w:rPr>
        <w:t>22</w:t>
      </w:r>
      <w:r>
        <w:rPr>
          <w:rFonts w:hint="eastAsia" w:cs="方正小标宋简体" w:asciiTheme="majorEastAsia" w:hAnsiTheme="majorEastAsia" w:eastAsiaTheme="majorEastAsia"/>
          <w:b/>
          <w:sz w:val="52"/>
          <w:szCs w:val="52"/>
        </w:rPr>
        <w:t>年度</w:t>
      </w:r>
      <w:bookmarkEnd w:id="1"/>
      <w:bookmarkEnd w:id="2"/>
      <w:bookmarkEnd w:id="3"/>
      <w:bookmarkEnd w:id="4"/>
      <w:bookmarkEnd w:id="5"/>
      <w:bookmarkEnd w:id="6"/>
      <w:bookmarkEnd w:id="7"/>
      <w:bookmarkEnd w:id="8"/>
      <w:bookmarkEnd w:id="9"/>
      <w:bookmarkEnd w:id="10"/>
      <w:bookmarkEnd w:id="11"/>
      <w:bookmarkEnd w:id="12"/>
    </w:p>
    <w:bookmarkEnd w:id="0"/>
    <w:p>
      <w:pPr>
        <w:adjustRightInd w:val="0"/>
        <w:snapToGrid w:val="0"/>
        <w:spacing w:line="360" w:lineRule="auto"/>
        <w:jc w:val="center"/>
        <w:outlineLvl w:val="0"/>
        <w:rPr>
          <w:rFonts w:hint="eastAsia" w:cs="方正小标宋简体" w:asciiTheme="majorEastAsia" w:hAnsiTheme="majorEastAsia" w:eastAsiaTheme="majorEastAsia"/>
          <w:b/>
          <w:sz w:val="52"/>
          <w:szCs w:val="52"/>
        </w:rPr>
      </w:pPr>
      <w:bookmarkStart w:id="13" w:name="_Toc11265"/>
      <w:bookmarkStart w:id="14" w:name="_Toc19801"/>
      <w:bookmarkStart w:id="15" w:name="_Toc28443"/>
      <w:bookmarkStart w:id="16" w:name="_Toc5080"/>
      <w:bookmarkStart w:id="17" w:name="_Toc30034"/>
      <w:r>
        <w:rPr>
          <w:rFonts w:hint="eastAsia" w:cs="方正小标宋简体" w:asciiTheme="majorEastAsia" w:hAnsiTheme="majorEastAsia" w:eastAsiaTheme="majorEastAsia"/>
          <w:b/>
          <w:sz w:val="52"/>
          <w:szCs w:val="52"/>
        </w:rPr>
        <w:t>广元市朝</w:t>
      </w:r>
      <w:r>
        <w:rPr>
          <w:rFonts w:hint="eastAsia" w:cs="方正小标宋简体" w:asciiTheme="majorEastAsia" w:hAnsiTheme="majorEastAsia" w:eastAsiaTheme="majorEastAsia"/>
          <w:b/>
          <w:sz w:val="52"/>
          <w:szCs w:val="52"/>
        </w:rPr>
        <w:tab/>
      </w:r>
      <w:r>
        <w:rPr>
          <w:rFonts w:hint="eastAsia" w:cs="方正小标宋简体" w:asciiTheme="majorEastAsia" w:hAnsiTheme="majorEastAsia" w:eastAsiaTheme="majorEastAsia"/>
          <w:b/>
          <w:sz w:val="52"/>
          <w:szCs w:val="52"/>
        </w:rPr>
        <w:t>天区交通运输综合</w:t>
      </w:r>
      <w:r>
        <w:rPr>
          <w:rFonts w:hint="eastAsia" w:cs="方正小标宋简体" w:asciiTheme="majorEastAsia" w:hAnsiTheme="majorEastAsia" w:eastAsiaTheme="majorEastAsia"/>
          <w:b/>
          <w:sz w:val="52"/>
          <w:szCs w:val="52"/>
          <w:lang w:eastAsia="zh-CN"/>
        </w:rPr>
        <w:t>服务中心单位决算</w:t>
      </w:r>
      <w:bookmarkEnd w:id="13"/>
      <w:bookmarkEnd w:id="14"/>
      <w:bookmarkEnd w:id="15"/>
      <w:bookmarkEnd w:id="16"/>
      <w:bookmarkEnd w:id="17"/>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widowControl/>
        <w:spacing w:line="440" w:lineRule="exact"/>
        <w:jc w:val="distribute"/>
        <w:rPr>
          <w:rFonts w:ascii="方正小标宋简体" w:hAnsi="宋体" w:eastAsia="方正小标宋简体"/>
          <w:color w:val="auto"/>
          <w:sz w:val="36"/>
          <w:szCs w:val="36"/>
          <w:highlight w:val="none"/>
        </w:rPr>
      </w:pPr>
    </w:p>
    <w:p>
      <w:pPr>
        <w:pStyle w:val="5"/>
        <w:rPr>
          <w:rFonts w:ascii="方正小标宋简体" w:hAnsi="宋体" w:eastAsia="方正小标宋简体"/>
          <w:color w:val="auto"/>
          <w:sz w:val="36"/>
          <w:szCs w:val="36"/>
          <w:highlight w:val="none"/>
        </w:rPr>
      </w:pPr>
    </w:p>
    <w:p>
      <w:pPr>
        <w:pStyle w:val="5"/>
        <w:rPr>
          <w:rFonts w:ascii="方正小标宋简体" w:hAnsi="宋体" w:eastAsia="方正小标宋简体"/>
          <w:color w:val="auto"/>
          <w:sz w:val="36"/>
          <w:szCs w:val="36"/>
          <w:highlight w:val="none"/>
        </w:rPr>
      </w:pPr>
    </w:p>
    <w:p>
      <w:pPr>
        <w:pStyle w:val="11"/>
        <w:rPr>
          <w:rFonts w:ascii="方正小标宋简体" w:hAnsi="宋体" w:eastAsia="方正小标宋简体"/>
          <w:color w:val="auto"/>
          <w:sz w:val="36"/>
          <w:szCs w:val="36"/>
          <w:highlight w:val="none"/>
        </w:rPr>
      </w:pPr>
      <w:bookmarkStart w:id="109" w:name="_GoBack"/>
      <w:bookmarkEnd w:id="109"/>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widowControl/>
        <w:spacing w:line="440" w:lineRule="exact"/>
        <w:jc w:val="distribute"/>
        <w:rPr>
          <w:rFonts w:ascii="方正小标宋简体" w:hAnsi="宋体" w:eastAsia="方正小标宋简体"/>
          <w:b/>
          <w:bCs/>
          <w:color w:val="auto"/>
          <w:sz w:val="44"/>
          <w:szCs w:val="44"/>
          <w:highlight w:val="none"/>
        </w:rPr>
      </w:pPr>
    </w:p>
    <w:sdt>
      <w:sdtPr>
        <w:rPr>
          <w:rFonts w:ascii="宋体" w:hAnsi="宋体" w:eastAsia="宋体" w:cs="Times New Roman"/>
          <w:b/>
          <w:bCs/>
          <w:kern w:val="2"/>
          <w:sz w:val="44"/>
          <w:szCs w:val="44"/>
          <w:lang w:val="en-US" w:eastAsia="zh-CN" w:bidi="ar-SA"/>
        </w:rPr>
        <w:id w:val="147468798"/>
        <w15:color w:val="DBDBDB"/>
        <w:docPartObj>
          <w:docPartGallery w:val="Table of Contents"/>
          <w:docPartUnique/>
        </w:docPartObj>
      </w:sdtPr>
      <w:sdtEndPr>
        <w:rPr>
          <w:rFonts w:ascii="Times New Roman" w:hAnsi="Times New Roman" w:eastAsia="宋体" w:cs="Times New Roman"/>
          <w:b/>
          <w:bCs/>
          <w:kern w:val="2"/>
          <w:sz w:val="30"/>
          <w:szCs w:val="24"/>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35"/>
            <w:tabs>
              <w:tab w:val="right" w:leader="dot" w:pos="8306"/>
            </w:tabs>
          </w:pPr>
          <w:r>
            <w:rPr>
              <w:rFonts w:ascii="Times New Roman" w:hAnsi="Times New Roman" w:eastAsia="宋体" w:cs="Times New Roman"/>
              <w:b/>
              <w:kern w:val="2"/>
              <w:sz w:val="21"/>
              <w:szCs w:val="24"/>
              <w:lang w:val="en-US" w:eastAsia="zh-CN" w:bidi="ar-SA"/>
            </w:rPr>
            <w:fldChar w:fldCharType="begin"/>
          </w:r>
          <w:r>
            <w:rPr>
              <w:rFonts w:ascii="Times New Roman" w:hAnsi="Times New Roman" w:eastAsia="宋体" w:cs="Times New Roman"/>
              <w:b/>
              <w:kern w:val="2"/>
              <w:sz w:val="21"/>
              <w:szCs w:val="24"/>
              <w:lang w:val="en-US" w:eastAsia="zh-CN" w:bidi="ar-SA"/>
            </w:rPr>
            <w:instrText xml:space="preserve">TOC \o "1-3" \h \u </w:instrText>
          </w:r>
          <w:r>
            <w:rPr>
              <w:rFonts w:ascii="Times New Roman" w:hAnsi="Times New Roman" w:eastAsia="宋体" w:cs="Times New Roman"/>
              <w:b/>
              <w:kern w:val="2"/>
              <w:sz w:val="21"/>
              <w:szCs w:val="24"/>
              <w:lang w:val="en-US" w:eastAsia="zh-CN" w:bidi="ar-SA"/>
            </w:rPr>
            <w:fldChar w:fldCharType="separate"/>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_Toc11770 </w:instrText>
          </w:r>
          <w:r>
            <w:rPr>
              <w:rFonts w:ascii="Times New Roman" w:hAnsi="Times New Roman" w:eastAsia="宋体" w:cs="Times New Roman"/>
              <w:kern w:val="2"/>
              <w:szCs w:val="24"/>
              <w:lang w:val="en-US" w:eastAsia="zh-CN" w:bidi="ar-SA"/>
            </w:rPr>
            <w:fldChar w:fldCharType="separate"/>
          </w:r>
          <w:r>
            <w:rPr>
              <w:rFonts w:hint="eastAsia" w:cs="方正小标宋简体" w:asciiTheme="majorEastAsia" w:hAnsiTheme="majorEastAsia" w:eastAsiaTheme="majorEastAsia"/>
              <w:szCs w:val="52"/>
            </w:rPr>
            <w:t>20</w:t>
          </w:r>
          <w:r>
            <w:rPr>
              <w:rFonts w:hint="eastAsia" w:cs="方正小标宋简体" w:asciiTheme="majorEastAsia" w:hAnsiTheme="majorEastAsia" w:eastAsiaTheme="majorEastAsia"/>
              <w:szCs w:val="52"/>
              <w:lang w:val="en-US" w:eastAsia="zh-CN"/>
            </w:rPr>
            <w:t>22</w:t>
          </w:r>
          <w:r>
            <w:rPr>
              <w:rFonts w:hint="eastAsia" w:cs="方正小标宋简体" w:asciiTheme="majorEastAsia" w:hAnsiTheme="majorEastAsia" w:eastAsiaTheme="majorEastAsia"/>
              <w:szCs w:val="52"/>
            </w:rPr>
            <w:t>年度广元市朝天区交通运输综合</w:t>
          </w:r>
          <w:r>
            <w:rPr>
              <w:rFonts w:hint="eastAsia" w:cs="方正小标宋简体" w:asciiTheme="majorEastAsia" w:hAnsiTheme="majorEastAsia" w:eastAsiaTheme="majorEastAsia"/>
              <w:szCs w:val="52"/>
              <w:lang w:eastAsia="zh-CN"/>
            </w:rPr>
            <w:t>服务中心单位决算</w:t>
          </w:r>
          <w:r>
            <w:tab/>
          </w:r>
          <w:r>
            <w:fldChar w:fldCharType="begin"/>
          </w:r>
          <w:r>
            <w:instrText xml:space="preserve"> PAGEREF _Toc11770 \h </w:instrText>
          </w:r>
          <w:r>
            <w:fldChar w:fldCharType="separate"/>
          </w:r>
          <w:r>
            <w:t>1</w:t>
          </w:r>
          <w:r>
            <w:fldChar w:fldCharType="end"/>
          </w:r>
          <w:r>
            <w:rPr>
              <w:rFonts w:ascii="Times New Roman" w:hAnsi="Times New Roman" w:eastAsia="宋体" w:cs="Times New Roman"/>
              <w:kern w:val="2"/>
              <w:szCs w:val="24"/>
              <w:lang w:val="en-US" w:eastAsia="zh-CN" w:bidi="ar-SA"/>
            </w:rPr>
            <w:fldChar w:fldCharType="end"/>
          </w:r>
        </w:p>
        <w:p>
          <w:pPr>
            <w:pStyle w:val="35"/>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_Toc26715 </w:instrText>
          </w:r>
          <w:r>
            <w:rPr>
              <w:rFonts w:ascii="Times New Roman" w:hAnsi="Times New Roman" w:eastAsia="宋体" w:cs="Times New Roman"/>
              <w:kern w:val="2"/>
              <w:szCs w:val="24"/>
              <w:lang w:val="en-US" w:eastAsia="zh-CN" w:bidi="ar-SA"/>
            </w:rPr>
            <w:fldChar w:fldCharType="separate"/>
          </w:r>
          <w:r>
            <w:rPr>
              <w:rFonts w:hint="eastAsia" w:ascii="黑体" w:hAnsi="黑体" w:eastAsia="黑体" w:cs="黑体"/>
              <w:bCs/>
              <w:szCs w:val="44"/>
            </w:rPr>
            <w:t xml:space="preserve">第一部分 </w:t>
          </w:r>
          <w:r>
            <w:rPr>
              <w:rFonts w:hint="eastAsia" w:ascii="黑体" w:hAnsi="黑体" w:eastAsia="黑体" w:cs="黑体"/>
              <w:bCs/>
              <w:szCs w:val="44"/>
              <w:lang w:eastAsia="zh-CN"/>
            </w:rPr>
            <w:t>单位</w:t>
          </w:r>
          <w:r>
            <w:rPr>
              <w:rFonts w:hint="eastAsia" w:ascii="黑体" w:hAnsi="黑体" w:eastAsia="黑体" w:cs="黑体"/>
              <w:bCs/>
              <w:szCs w:val="44"/>
            </w:rPr>
            <w:t>概况</w:t>
          </w:r>
          <w:r>
            <w:tab/>
          </w:r>
          <w:r>
            <w:fldChar w:fldCharType="begin"/>
          </w:r>
          <w:r>
            <w:instrText xml:space="preserve"> PAGEREF _Toc26715 \h </w:instrText>
          </w:r>
          <w:r>
            <w:fldChar w:fldCharType="separate"/>
          </w:r>
          <w:r>
            <w:t>3</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_Toc2538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szCs w:val="32"/>
            </w:rPr>
            <w:t>一、基本情况及职能简介：</w:t>
          </w:r>
          <w:r>
            <w:tab/>
          </w:r>
          <w:r>
            <w:fldChar w:fldCharType="begin"/>
          </w:r>
          <w:r>
            <w:instrText xml:space="preserve"> PAGEREF _Toc2538 \h </w:instrText>
          </w:r>
          <w:r>
            <w:fldChar w:fldCharType="separate"/>
          </w:r>
          <w:r>
            <w:t>3</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_Toc29607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szCs w:val="32"/>
              <w:lang w:eastAsia="zh-CN"/>
            </w:rPr>
            <w:t>二</w:t>
          </w:r>
          <w:r>
            <w:rPr>
              <w:rFonts w:hint="eastAsia" w:ascii="宋体" w:hAnsi="宋体" w:eastAsia="宋体" w:cs="宋体"/>
              <w:bCs/>
              <w:szCs w:val="32"/>
            </w:rPr>
            <w:t>、</w:t>
          </w:r>
          <w:r>
            <w:rPr>
              <w:rFonts w:hint="eastAsia" w:ascii="宋体" w:hAnsi="宋体" w:eastAsia="宋体" w:cs="宋体"/>
              <w:bCs/>
              <w:szCs w:val="32"/>
              <w:lang w:eastAsia="zh-CN"/>
            </w:rPr>
            <w:t>机构设置：</w:t>
          </w:r>
          <w:r>
            <w:tab/>
          </w:r>
          <w:r>
            <w:fldChar w:fldCharType="begin"/>
          </w:r>
          <w:r>
            <w:instrText xml:space="preserve"> PAGEREF _Toc29607 \h </w:instrText>
          </w:r>
          <w:r>
            <w:fldChar w:fldCharType="separate"/>
          </w:r>
          <w:r>
            <w:t>3</w:t>
          </w:r>
          <w:r>
            <w:fldChar w:fldCharType="end"/>
          </w:r>
          <w:r>
            <w:rPr>
              <w:rFonts w:ascii="Times New Roman" w:hAnsi="Times New Roman" w:eastAsia="宋体" w:cs="Times New Roman"/>
              <w:kern w:val="2"/>
              <w:szCs w:val="24"/>
              <w:lang w:val="en-US" w:eastAsia="zh-CN" w:bidi="ar-SA"/>
            </w:rPr>
            <w:fldChar w:fldCharType="end"/>
          </w:r>
        </w:p>
        <w:p>
          <w:pPr>
            <w:pStyle w:val="35"/>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_Toc2081 </w:instrText>
          </w:r>
          <w:r>
            <w:rPr>
              <w:rFonts w:ascii="Times New Roman" w:hAnsi="Times New Roman" w:eastAsia="宋体" w:cs="Times New Roman"/>
              <w:kern w:val="2"/>
              <w:szCs w:val="24"/>
              <w:lang w:val="en-US" w:eastAsia="zh-CN" w:bidi="ar-SA"/>
            </w:rPr>
            <w:fldChar w:fldCharType="separate"/>
          </w:r>
          <w:r>
            <w:rPr>
              <w:rFonts w:hint="eastAsia" w:ascii="黑体" w:hAnsi="黑体" w:eastAsia="黑体" w:cs="黑体"/>
              <w:bCs/>
              <w:szCs w:val="44"/>
              <w:lang w:eastAsia="zh-CN"/>
            </w:rPr>
            <w:t>第二部分 202</w:t>
          </w:r>
          <w:r>
            <w:rPr>
              <w:rFonts w:hint="eastAsia" w:ascii="黑体" w:hAnsi="黑体" w:eastAsia="黑体" w:cs="黑体"/>
              <w:bCs/>
              <w:szCs w:val="44"/>
              <w:lang w:val="en-US" w:eastAsia="zh-CN"/>
            </w:rPr>
            <w:t>2</w:t>
          </w:r>
          <w:r>
            <w:rPr>
              <w:rFonts w:hint="eastAsia" w:ascii="黑体" w:hAnsi="黑体" w:eastAsia="黑体" w:cs="黑体"/>
              <w:bCs/>
              <w:szCs w:val="44"/>
              <w:lang w:eastAsia="zh-CN"/>
            </w:rPr>
            <w:t>年度单位决算情况说明</w:t>
          </w:r>
          <w:r>
            <w:tab/>
          </w:r>
          <w:r>
            <w:fldChar w:fldCharType="begin"/>
          </w:r>
          <w:r>
            <w:instrText xml:space="preserve"> PAGEREF _Toc2081 \h </w:instrText>
          </w:r>
          <w:r>
            <w:fldChar w:fldCharType="separate"/>
          </w:r>
          <w:r>
            <w:t>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_Toc24273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kern w:val="2"/>
              <w:szCs w:val="32"/>
              <w:lang w:val="en-US" w:eastAsia="zh-CN" w:bidi="ar-SA"/>
            </w:rPr>
            <w:t>一、收入支出决算总体情况说明</w:t>
          </w:r>
          <w:r>
            <w:tab/>
          </w:r>
          <w:r>
            <w:fldChar w:fldCharType="begin"/>
          </w:r>
          <w:r>
            <w:instrText xml:space="preserve"> PAGEREF _Toc24273 \h </w:instrText>
          </w:r>
          <w:r>
            <w:fldChar w:fldCharType="separate"/>
          </w:r>
          <w:r>
            <w:t>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_Toc17112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kern w:val="2"/>
              <w:szCs w:val="32"/>
              <w:lang w:val="en-US" w:eastAsia="zh-CN" w:bidi="ar-SA"/>
            </w:rPr>
            <w:t>二、收入决算情况说明</w:t>
          </w:r>
          <w:r>
            <w:tab/>
          </w:r>
          <w:r>
            <w:fldChar w:fldCharType="begin"/>
          </w:r>
          <w:r>
            <w:instrText xml:space="preserve"> PAGEREF _Toc17112 \h </w:instrText>
          </w:r>
          <w:r>
            <w:fldChar w:fldCharType="separate"/>
          </w:r>
          <w:r>
            <w:t>6</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_Toc12596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kern w:val="2"/>
              <w:szCs w:val="32"/>
              <w:lang w:val="en-US" w:eastAsia="zh-CN" w:bidi="ar-SA"/>
            </w:rPr>
            <w:t>三、支出决算情况说明</w:t>
          </w:r>
          <w:r>
            <w:tab/>
          </w:r>
          <w:r>
            <w:fldChar w:fldCharType="begin"/>
          </w:r>
          <w:r>
            <w:instrText xml:space="preserve"> PAGEREF _Toc12596 \h </w:instrText>
          </w:r>
          <w:r>
            <w:fldChar w:fldCharType="separate"/>
          </w:r>
          <w:r>
            <w:t>6</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_Toc24252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kern w:val="2"/>
              <w:szCs w:val="32"/>
              <w:lang w:val="en-US" w:eastAsia="zh-CN" w:bidi="ar-SA"/>
            </w:rPr>
            <w:t>四、财政拨款收入支出决算总体情况说明</w:t>
          </w:r>
          <w:r>
            <w:tab/>
          </w:r>
          <w:r>
            <w:fldChar w:fldCharType="begin"/>
          </w:r>
          <w:r>
            <w:instrText xml:space="preserve"> PAGEREF _Toc24252 \h </w:instrText>
          </w:r>
          <w:r>
            <w:fldChar w:fldCharType="separate"/>
          </w:r>
          <w:r>
            <w:t>7</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_Toc21630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kern w:val="2"/>
              <w:szCs w:val="32"/>
              <w:lang w:val="en-US" w:eastAsia="zh-CN" w:bidi="ar-SA"/>
            </w:rPr>
            <w:t>五、一般公共预算财政拨款支出决算情况说明</w:t>
          </w:r>
          <w:r>
            <w:tab/>
          </w:r>
          <w:r>
            <w:fldChar w:fldCharType="begin"/>
          </w:r>
          <w:r>
            <w:instrText xml:space="preserve"> PAGEREF _Toc21630 \h </w:instrText>
          </w:r>
          <w:r>
            <w:fldChar w:fldCharType="separate"/>
          </w:r>
          <w:r>
            <w:t>8</w:t>
          </w:r>
          <w:r>
            <w:fldChar w:fldCharType="end"/>
          </w:r>
          <w:r>
            <w:rPr>
              <w:rFonts w:ascii="Times New Roman" w:hAnsi="Times New Roman" w:eastAsia="宋体" w:cs="Times New Roman"/>
              <w:kern w:val="2"/>
              <w:szCs w:val="24"/>
              <w:lang w:val="en-US" w:eastAsia="zh-CN" w:bidi="ar-SA"/>
            </w:rPr>
            <w:fldChar w:fldCharType="end"/>
          </w:r>
        </w:p>
        <w:p>
          <w:pPr>
            <w:pStyle w:val="37"/>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_Toc32662 </w:instrText>
          </w:r>
          <w:r>
            <w:rPr>
              <w:rFonts w:ascii="Times New Roman" w:hAnsi="Times New Roman" w:eastAsia="宋体" w:cs="Times New Roman"/>
              <w:kern w:val="2"/>
              <w:szCs w:val="24"/>
              <w:lang w:val="en-US" w:eastAsia="zh-CN" w:bidi="ar-SA"/>
            </w:rPr>
            <w:fldChar w:fldCharType="separate"/>
          </w:r>
          <w:r>
            <w:rPr>
              <w:rFonts w:hint="eastAsia" w:ascii="仿宋_GB2312" w:hAnsi="仿宋" w:eastAsia="仿宋_GB2312"/>
              <w:szCs w:val="30"/>
            </w:rPr>
            <w:t>（一）一般公共预算财政拨款支出决算总体情况</w:t>
          </w:r>
          <w:r>
            <w:tab/>
          </w:r>
          <w:r>
            <w:fldChar w:fldCharType="begin"/>
          </w:r>
          <w:r>
            <w:instrText xml:space="preserve"> PAGEREF _Toc32662 \h </w:instrText>
          </w:r>
          <w:r>
            <w:fldChar w:fldCharType="separate"/>
          </w:r>
          <w:r>
            <w:t>8</w:t>
          </w:r>
          <w:r>
            <w:fldChar w:fldCharType="end"/>
          </w:r>
          <w:r>
            <w:rPr>
              <w:rFonts w:ascii="Times New Roman" w:hAnsi="Times New Roman" w:eastAsia="宋体" w:cs="Times New Roman"/>
              <w:kern w:val="2"/>
              <w:szCs w:val="24"/>
              <w:lang w:val="en-US" w:eastAsia="zh-CN" w:bidi="ar-SA"/>
            </w:rPr>
            <w:fldChar w:fldCharType="end"/>
          </w:r>
        </w:p>
        <w:p>
          <w:pPr>
            <w:pStyle w:val="37"/>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_Toc739 </w:instrText>
          </w:r>
          <w:r>
            <w:rPr>
              <w:rFonts w:ascii="Times New Roman" w:hAnsi="Times New Roman" w:eastAsia="宋体" w:cs="Times New Roman"/>
              <w:kern w:val="2"/>
              <w:szCs w:val="24"/>
              <w:lang w:val="en-US" w:eastAsia="zh-CN" w:bidi="ar-SA"/>
            </w:rPr>
            <w:fldChar w:fldCharType="separate"/>
          </w:r>
          <w:r>
            <w:rPr>
              <w:rFonts w:hint="eastAsia" w:ascii="黑体" w:hAnsi="仿宋" w:eastAsia="黑体"/>
              <w:szCs w:val="30"/>
            </w:rPr>
            <w:t>（二）、</w:t>
          </w:r>
          <w:r>
            <w:rPr>
              <w:rFonts w:hint="eastAsia" w:ascii="仿宋_GB2312" w:hAnsi="仿宋" w:eastAsia="仿宋_GB2312"/>
              <w:szCs w:val="30"/>
            </w:rPr>
            <w:t>一般公共预算财政拨款支出决算结构情况</w:t>
          </w:r>
          <w:r>
            <w:tab/>
          </w:r>
          <w:r>
            <w:fldChar w:fldCharType="begin"/>
          </w:r>
          <w:r>
            <w:instrText xml:space="preserve"> PAGEREF _Toc739 \h </w:instrText>
          </w:r>
          <w:r>
            <w:fldChar w:fldCharType="separate"/>
          </w:r>
          <w:r>
            <w:t>9</w:t>
          </w:r>
          <w:r>
            <w:fldChar w:fldCharType="end"/>
          </w:r>
          <w:r>
            <w:rPr>
              <w:rFonts w:ascii="Times New Roman" w:hAnsi="Times New Roman" w:eastAsia="宋体" w:cs="Times New Roman"/>
              <w:kern w:val="2"/>
              <w:szCs w:val="24"/>
              <w:lang w:val="en-US" w:eastAsia="zh-CN" w:bidi="ar-SA"/>
            </w:rPr>
            <w:fldChar w:fldCharType="end"/>
          </w:r>
        </w:p>
        <w:p>
          <w:pPr>
            <w:pStyle w:val="37"/>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_Toc11825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szCs w:val="32"/>
            </w:rPr>
            <w:t>（三）一般公共预算财政拨款支出决算具体情况</w:t>
          </w:r>
          <w:r>
            <w:tab/>
          </w:r>
          <w:r>
            <w:fldChar w:fldCharType="begin"/>
          </w:r>
          <w:r>
            <w:instrText xml:space="preserve"> PAGEREF _Toc11825 \h </w:instrText>
          </w:r>
          <w:r>
            <w:fldChar w:fldCharType="separate"/>
          </w:r>
          <w:r>
            <w:t>10</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_Toc987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szCs w:val="32"/>
            </w:rPr>
            <w:t>六、一般公共预算财政拨款基本支出决算情况说明</w:t>
          </w:r>
          <w:r>
            <w:tab/>
          </w:r>
          <w:r>
            <w:fldChar w:fldCharType="begin"/>
          </w:r>
          <w:r>
            <w:instrText xml:space="preserve"> PAGEREF _Toc987 \h </w:instrText>
          </w:r>
          <w:r>
            <w:fldChar w:fldCharType="separate"/>
          </w:r>
          <w:r>
            <w:t>11</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_Toc22160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szCs w:val="32"/>
            </w:rPr>
            <w:t>七、“三公”经费财政拨款支出决算情况说明</w:t>
          </w:r>
          <w:r>
            <w:tab/>
          </w:r>
          <w:r>
            <w:fldChar w:fldCharType="begin"/>
          </w:r>
          <w:r>
            <w:instrText xml:space="preserve"> PAGEREF _Toc22160 \h </w:instrText>
          </w:r>
          <w:r>
            <w:fldChar w:fldCharType="separate"/>
          </w:r>
          <w:r>
            <w:t>11</w:t>
          </w:r>
          <w:r>
            <w:fldChar w:fldCharType="end"/>
          </w:r>
          <w:r>
            <w:rPr>
              <w:rFonts w:ascii="Times New Roman" w:hAnsi="Times New Roman" w:eastAsia="宋体" w:cs="Times New Roman"/>
              <w:kern w:val="2"/>
              <w:szCs w:val="24"/>
              <w:lang w:val="en-US" w:eastAsia="zh-CN" w:bidi="ar-SA"/>
            </w:rPr>
            <w:fldChar w:fldCharType="end"/>
          </w:r>
        </w:p>
        <w:p>
          <w:pPr>
            <w:pStyle w:val="37"/>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_Toc5125 </w:instrText>
          </w:r>
          <w:r>
            <w:rPr>
              <w:rFonts w:ascii="Times New Roman" w:hAnsi="Times New Roman" w:eastAsia="宋体" w:cs="Times New Roman"/>
              <w:kern w:val="2"/>
              <w:szCs w:val="24"/>
              <w:lang w:val="en-US" w:eastAsia="zh-CN" w:bidi="ar-SA"/>
            </w:rPr>
            <w:fldChar w:fldCharType="separate"/>
          </w:r>
          <w:r>
            <w:rPr>
              <w:rFonts w:hint="eastAsia" w:ascii="仿宋_GB2312" w:hAnsi="仿宋" w:eastAsia="仿宋_GB2312"/>
              <w:szCs w:val="30"/>
            </w:rPr>
            <w:t>（一）“三公”经费财政拨款支出决算总体情况说明</w:t>
          </w:r>
          <w:r>
            <w:tab/>
          </w:r>
          <w:r>
            <w:fldChar w:fldCharType="begin"/>
          </w:r>
          <w:r>
            <w:instrText xml:space="preserve"> PAGEREF _Toc5125 \h </w:instrText>
          </w:r>
          <w:r>
            <w:fldChar w:fldCharType="separate"/>
          </w:r>
          <w:r>
            <w:t>11</w:t>
          </w:r>
          <w:r>
            <w:fldChar w:fldCharType="end"/>
          </w:r>
          <w:r>
            <w:rPr>
              <w:rFonts w:ascii="Times New Roman" w:hAnsi="Times New Roman" w:eastAsia="宋体" w:cs="Times New Roman"/>
              <w:kern w:val="2"/>
              <w:szCs w:val="24"/>
              <w:lang w:val="en-US" w:eastAsia="zh-CN" w:bidi="ar-SA"/>
            </w:rPr>
            <w:fldChar w:fldCharType="end"/>
          </w:r>
        </w:p>
        <w:p>
          <w:pPr>
            <w:pStyle w:val="37"/>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_Toc26844 </w:instrText>
          </w:r>
          <w:r>
            <w:rPr>
              <w:rFonts w:ascii="Times New Roman" w:hAnsi="Times New Roman" w:eastAsia="宋体" w:cs="Times New Roman"/>
              <w:kern w:val="2"/>
              <w:szCs w:val="24"/>
              <w:lang w:val="en-US" w:eastAsia="zh-CN" w:bidi="ar-SA"/>
            </w:rPr>
            <w:fldChar w:fldCharType="separate"/>
          </w:r>
          <w:r>
            <w:rPr>
              <w:rFonts w:hint="eastAsia" w:ascii="仿宋_GB2312" w:hAnsi="仿宋" w:eastAsia="仿宋_GB2312"/>
              <w:szCs w:val="30"/>
            </w:rPr>
            <w:t>（二） “三公”经费财政拨款支出决算具体情况说明</w:t>
          </w:r>
          <w:r>
            <w:tab/>
          </w:r>
          <w:r>
            <w:fldChar w:fldCharType="begin"/>
          </w:r>
          <w:r>
            <w:instrText xml:space="preserve"> PAGEREF _Toc26844 \h </w:instrText>
          </w:r>
          <w:r>
            <w:fldChar w:fldCharType="separate"/>
          </w:r>
          <w:r>
            <w:t>11</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_Toc30943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szCs w:val="32"/>
            </w:rPr>
            <w:t>八、政府性基金预算支出决算情况说明</w:t>
          </w:r>
          <w:r>
            <w:tab/>
          </w:r>
          <w:r>
            <w:fldChar w:fldCharType="begin"/>
          </w:r>
          <w:r>
            <w:instrText xml:space="preserve"> PAGEREF _Toc30943 \h </w:instrText>
          </w:r>
          <w:r>
            <w:fldChar w:fldCharType="separate"/>
          </w:r>
          <w:r>
            <w:t>12</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_Toc15022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szCs w:val="32"/>
            </w:rPr>
            <w:t>九、国有资本经营预算支出决算情况说明</w:t>
          </w:r>
          <w:r>
            <w:tab/>
          </w:r>
          <w:r>
            <w:fldChar w:fldCharType="begin"/>
          </w:r>
          <w:r>
            <w:instrText xml:space="preserve"> PAGEREF _Toc15022 \h </w:instrText>
          </w:r>
          <w:r>
            <w:fldChar w:fldCharType="separate"/>
          </w:r>
          <w:r>
            <w:t>13</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_Toc1902 </w:instrText>
          </w:r>
          <w:r>
            <w:rPr>
              <w:rFonts w:ascii="Times New Roman" w:hAnsi="Times New Roman" w:eastAsia="宋体" w:cs="Times New Roman"/>
              <w:kern w:val="2"/>
              <w:szCs w:val="24"/>
              <w:lang w:val="en-US" w:eastAsia="zh-CN" w:bidi="ar-SA"/>
            </w:rPr>
            <w:fldChar w:fldCharType="separate"/>
          </w:r>
          <w:r>
            <w:rPr>
              <w:rFonts w:hint="eastAsia" w:ascii="宋体" w:hAnsi="宋体" w:eastAsia="宋体" w:cs="宋体"/>
              <w:bCs/>
              <w:szCs w:val="32"/>
              <w:lang w:val="en-US" w:eastAsia="zh-CN"/>
            </w:rPr>
            <w:t>十、其他重要事项的情况说明</w:t>
          </w:r>
          <w:r>
            <w:tab/>
          </w:r>
          <w:r>
            <w:fldChar w:fldCharType="begin"/>
          </w:r>
          <w:r>
            <w:instrText xml:space="preserve"> PAGEREF _Toc1902 \h </w:instrText>
          </w:r>
          <w:r>
            <w:fldChar w:fldCharType="separate"/>
          </w:r>
          <w:r>
            <w:t>13</w:t>
          </w:r>
          <w:r>
            <w:fldChar w:fldCharType="end"/>
          </w:r>
          <w:r>
            <w:rPr>
              <w:rFonts w:ascii="Times New Roman" w:hAnsi="Times New Roman" w:eastAsia="宋体" w:cs="Times New Roman"/>
              <w:kern w:val="2"/>
              <w:szCs w:val="24"/>
              <w:lang w:val="en-US" w:eastAsia="zh-CN" w:bidi="ar-SA"/>
            </w:rPr>
            <w:fldChar w:fldCharType="end"/>
          </w:r>
        </w:p>
        <w:p>
          <w:pPr>
            <w:pStyle w:val="35"/>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_Toc29591 </w:instrText>
          </w:r>
          <w:r>
            <w:rPr>
              <w:rFonts w:ascii="Times New Roman" w:hAnsi="Times New Roman" w:eastAsia="宋体" w:cs="Times New Roman"/>
              <w:kern w:val="2"/>
              <w:szCs w:val="24"/>
              <w:lang w:val="en-US" w:eastAsia="zh-CN" w:bidi="ar-SA"/>
            </w:rPr>
            <w:fldChar w:fldCharType="separate"/>
          </w:r>
          <w:r>
            <w:rPr>
              <w:rFonts w:hint="eastAsia" w:ascii="黑体" w:hAnsi="黑体" w:eastAsia="黑体" w:cs="黑体"/>
              <w:bCs/>
              <w:szCs w:val="44"/>
              <w:lang w:val="en-US" w:eastAsia="zh-CN"/>
            </w:rPr>
            <w:t>第三部分 名词解释</w:t>
          </w:r>
          <w:r>
            <w:tab/>
          </w:r>
          <w:r>
            <w:fldChar w:fldCharType="begin"/>
          </w:r>
          <w:r>
            <w:instrText xml:space="preserve"> PAGEREF _Toc29591 \h </w:instrText>
          </w:r>
          <w:r>
            <w:fldChar w:fldCharType="separate"/>
          </w:r>
          <w:r>
            <w:t>14</w:t>
          </w:r>
          <w:r>
            <w:fldChar w:fldCharType="end"/>
          </w:r>
          <w:r>
            <w:rPr>
              <w:rFonts w:ascii="Times New Roman" w:hAnsi="Times New Roman" w:eastAsia="宋体" w:cs="Times New Roman"/>
              <w:kern w:val="2"/>
              <w:szCs w:val="24"/>
              <w:lang w:val="en-US" w:eastAsia="zh-CN" w:bidi="ar-SA"/>
            </w:rPr>
            <w:fldChar w:fldCharType="end"/>
          </w:r>
        </w:p>
        <w:p>
          <w:pPr>
            <w:pStyle w:val="35"/>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_Toc23829 </w:instrText>
          </w:r>
          <w:r>
            <w:rPr>
              <w:rFonts w:ascii="Times New Roman" w:hAnsi="Times New Roman" w:eastAsia="宋体" w:cs="Times New Roman"/>
              <w:kern w:val="2"/>
              <w:szCs w:val="24"/>
              <w:lang w:val="en-US" w:eastAsia="zh-CN" w:bidi="ar-SA"/>
            </w:rPr>
            <w:fldChar w:fldCharType="separate"/>
          </w:r>
          <w:r>
            <w:rPr>
              <w:rFonts w:hint="eastAsia" w:ascii="黑体" w:hAnsi="黑体" w:eastAsia="黑体" w:cs="黑体"/>
              <w:bCs/>
              <w:szCs w:val="44"/>
              <w:lang w:eastAsia="zh-CN"/>
            </w:rPr>
            <w:t>第四部分 附件</w:t>
          </w:r>
          <w:r>
            <w:tab/>
          </w:r>
          <w:r>
            <w:fldChar w:fldCharType="begin"/>
          </w:r>
          <w:r>
            <w:instrText xml:space="preserve"> PAGEREF _Toc23829 \h </w:instrText>
          </w:r>
          <w:r>
            <w:fldChar w:fldCharType="separate"/>
          </w:r>
          <w:r>
            <w:t>17</w:t>
          </w:r>
          <w:r>
            <w:fldChar w:fldCharType="end"/>
          </w:r>
          <w:r>
            <w:rPr>
              <w:rFonts w:ascii="Times New Roman" w:hAnsi="Times New Roman" w:eastAsia="宋体" w:cs="Times New Roman"/>
              <w:kern w:val="2"/>
              <w:szCs w:val="24"/>
              <w:lang w:val="en-US" w:eastAsia="zh-CN" w:bidi="ar-SA"/>
            </w:rPr>
            <w:fldChar w:fldCharType="end"/>
          </w:r>
        </w:p>
        <w:p>
          <w:pPr>
            <w:pStyle w:val="35"/>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_Toc26398 </w:instrText>
          </w:r>
          <w:r>
            <w:rPr>
              <w:rFonts w:ascii="Times New Roman" w:hAnsi="Times New Roman" w:eastAsia="宋体" w:cs="Times New Roman"/>
              <w:kern w:val="2"/>
              <w:szCs w:val="24"/>
              <w:lang w:val="en-US" w:eastAsia="zh-CN" w:bidi="ar-SA"/>
            </w:rPr>
            <w:fldChar w:fldCharType="separate"/>
          </w:r>
          <w:r>
            <w:rPr>
              <w:rFonts w:hint="eastAsia" w:ascii="黑体" w:hAnsi="黑体" w:eastAsia="黑体" w:cs="黑体"/>
              <w:bCs/>
              <w:szCs w:val="44"/>
              <w:lang w:eastAsia="zh-CN"/>
            </w:rPr>
            <w:t>第五部分 附表</w:t>
          </w:r>
          <w:r>
            <w:tab/>
          </w:r>
          <w:r>
            <w:fldChar w:fldCharType="begin"/>
          </w:r>
          <w:r>
            <w:instrText xml:space="preserve"> PAGEREF _Toc26398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_Toc17446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_Toc17446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_Toc3987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二、收入决算表</w:t>
          </w:r>
          <w:r>
            <w:tab/>
          </w:r>
          <w:r>
            <w:fldChar w:fldCharType="begin"/>
          </w:r>
          <w:r>
            <w:instrText xml:space="preserve"> PAGEREF _Toc3987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_Toc18929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三、支出决算表</w:t>
          </w:r>
          <w:r>
            <w:tab/>
          </w:r>
          <w:r>
            <w:fldChar w:fldCharType="begin"/>
          </w:r>
          <w:r>
            <w:instrText xml:space="preserve"> PAGEREF _Toc18929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_Toc14421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四、财政拨款收入支出决算总表</w:t>
          </w:r>
          <w:r>
            <w:tab/>
          </w:r>
          <w:r>
            <w:fldChar w:fldCharType="begin"/>
          </w:r>
          <w:r>
            <w:instrText xml:space="preserve"> PAGEREF _Toc14421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_Toc31329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五、财政拨款支出决算明细表</w:t>
          </w:r>
          <w:r>
            <w:tab/>
          </w:r>
          <w:r>
            <w:fldChar w:fldCharType="begin"/>
          </w:r>
          <w:r>
            <w:instrText xml:space="preserve"> PAGEREF _Toc31329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_Toc7047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六、一般公共预算财政拨款支出决算表</w:t>
          </w:r>
          <w:r>
            <w:tab/>
          </w:r>
          <w:r>
            <w:fldChar w:fldCharType="begin"/>
          </w:r>
          <w:r>
            <w:instrText xml:space="preserve"> PAGEREF _Toc7047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_Toc5476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七、一般公共预算财政拨款支出决算明细表</w:t>
          </w:r>
          <w:r>
            <w:tab/>
          </w:r>
          <w:r>
            <w:fldChar w:fldCharType="begin"/>
          </w:r>
          <w:r>
            <w:instrText xml:space="preserve"> PAGEREF _Toc5476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_Toc5712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八、一般公共预算财政拨款基本支出决算明细表</w:t>
          </w:r>
          <w:r>
            <w:tab/>
          </w:r>
          <w:r>
            <w:fldChar w:fldCharType="begin"/>
          </w:r>
          <w:r>
            <w:instrText xml:space="preserve"> PAGEREF _Toc5712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_Toc29873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九、一般公共预算财政拨款项目支出决算表</w:t>
          </w:r>
          <w:r>
            <w:tab/>
          </w:r>
          <w:r>
            <w:fldChar w:fldCharType="begin"/>
          </w:r>
          <w:r>
            <w:instrText xml:space="preserve"> PAGEREF _Toc29873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_Toc28685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十、政府性基金预算财政拨款收入支出决算表</w:t>
          </w:r>
          <w:r>
            <w:tab/>
          </w:r>
          <w:r>
            <w:fldChar w:fldCharType="begin"/>
          </w:r>
          <w:r>
            <w:instrText xml:space="preserve"> PAGEREF _Toc28685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_Toc19630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十一、国有资本经营预算财政拨款收入支出决算表</w:t>
          </w:r>
          <w:r>
            <w:tab/>
          </w:r>
          <w:r>
            <w:fldChar w:fldCharType="begin"/>
          </w:r>
          <w:r>
            <w:instrText xml:space="preserve"> PAGEREF _Toc19630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_Toc21536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十二、国有资本经营预算财政拨款支出决算表</w:t>
          </w:r>
          <w:r>
            <w:tab/>
          </w:r>
          <w:r>
            <w:fldChar w:fldCharType="begin"/>
          </w:r>
          <w:r>
            <w:instrText xml:space="preserve"> PAGEREF _Toc21536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36"/>
            <w:tabs>
              <w:tab w:val="right" w:leader="dot" w:pos="8306"/>
            </w:tabs>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_Toc2427 </w:instrText>
          </w:r>
          <w:r>
            <w:rPr>
              <w:rFonts w:ascii="Times New Roman" w:hAnsi="Times New Roman" w:eastAsia="宋体" w:cs="Times New Roman"/>
              <w:kern w:val="2"/>
              <w:szCs w:val="24"/>
              <w:lang w:val="en-US" w:eastAsia="zh-CN" w:bidi="ar-SA"/>
            </w:rPr>
            <w:fldChar w:fldCharType="separate"/>
          </w:r>
          <w:r>
            <w:rPr>
              <w:rFonts w:hint="eastAsia" w:ascii="仿宋" w:hAnsi="仿宋" w:eastAsia="仿宋"/>
              <w:bCs w:val="0"/>
              <w:lang w:val="en-US" w:eastAsia="zh-CN"/>
            </w:rPr>
            <w:t>十三、财政拨款“三公”经费支出决算表</w:t>
          </w:r>
          <w:r>
            <w:tab/>
          </w:r>
          <w:r>
            <w:fldChar w:fldCharType="begin"/>
          </w:r>
          <w:r>
            <w:instrText xml:space="preserve"> PAGEREF _Toc2427 \h </w:instrText>
          </w:r>
          <w:r>
            <w:fldChar w:fldCharType="separate"/>
          </w:r>
          <w:r>
            <w:t>35</w:t>
          </w:r>
          <w:r>
            <w:fldChar w:fldCharType="end"/>
          </w:r>
          <w:r>
            <w:rPr>
              <w:rFonts w:ascii="Times New Roman" w:hAnsi="Times New Roman" w:eastAsia="宋体" w:cs="Times New Roman"/>
              <w:kern w:val="2"/>
              <w:szCs w:val="24"/>
              <w:lang w:val="en-US" w:eastAsia="zh-CN" w:bidi="ar-SA"/>
            </w:rPr>
            <w:fldChar w:fldCharType="end"/>
          </w:r>
        </w:p>
        <w:p>
          <w:pPr>
            <w:pStyle w:val="5"/>
            <w:rPr>
              <w:rFonts w:ascii="Times New Roman" w:hAnsi="Times New Roman" w:eastAsia="宋体" w:cs="Times New Roman"/>
              <w:b/>
              <w:kern w:val="2"/>
              <w:sz w:val="21"/>
              <w:szCs w:val="24"/>
              <w:lang w:val="en-US" w:eastAsia="zh-CN" w:bidi="ar-SA"/>
            </w:rPr>
          </w:pPr>
          <w:r>
            <w:rPr>
              <w:rFonts w:ascii="Times New Roman" w:hAnsi="Times New Roman" w:eastAsia="宋体" w:cs="Times New Roman"/>
              <w:kern w:val="2"/>
              <w:szCs w:val="24"/>
              <w:lang w:val="en-US" w:eastAsia="zh-CN" w:bidi="ar-SA"/>
            </w:rPr>
            <w:fldChar w:fldCharType="end"/>
          </w:r>
        </w:p>
      </w:sdtContent>
    </w:sdt>
    <w:p>
      <w:pPr>
        <w:pStyle w:val="5"/>
        <w:rPr>
          <w:rFonts w:ascii="Times New Roman" w:hAnsi="Times New Roman" w:eastAsia="宋体" w:cs="Times New Roman"/>
          <w:b/>
          <w:kern w:val="2"/>
          <w:sz w:val="21"/>
          <w:szCs w:val="24"/>
          <w:lang w:val="en-US" w:eastAsia="zh-CN" w:bidi="ar-SA"/>
        </w:rPr>
      </w:pPr>
    </w:p>
    <w:p>
      <w:pPr>
        <w:pStyle w:val="5"/>
        <w:rPr>
          <w:rFonts w:ascii="Times New Roman" w:hAnsi="Times New Roman" w:eastAsia="宋体" w:cs="Times New Roman"/>
          <w:b/>
          <w:kern w:val="2"/>
          <w:sz w:val="21"/>
          <w:szCs w:val="24"/>
          <w:lang w:val="en-US" w:eastAsia="zh-CN" w:bidi="ar-SA"/>
        </w:rPr>
      </w:pPr>
    </w:p>
    <w:p>
      <w:pPr>
        <w:pStyle w:val="5"/>
        <w:rPr>
          <w:rFonts w:ascii="Times New Roman" w:hAnsi="Times New Roman" w:eastAsia="宋体" w:cs="Times New Roman"/>
          <w:b/>
          <w:kern w:val="2"/>
          <w:sz w:val="21"/>
          <w:szCs w:val="24"/>
          <w:lang w:val="en-US" w:eastAsia="zh-CN" w:bidi="ar-SA"/>
        </w:rPr>
      </w:pPr>
    </w:p>
    <w:p>
      <w:pPr>
        <w:pStyle w:val="5"/>
        <w:rPr>
          <w:rFonts w:ascii="Times New Roman" w:hAnsi="Times New Roman" w:eastAsia="宋体" w:cs="Times New Roman"/>
          <w:b/>
          <w:kern w:val="2"/>
          <w:sz w:val="21"/>
          <w:szCs w:val="24"/>
          <w:lang w:val="en-US" w:eastAsia="zh-CN" w:bidi="ar-SA"/>
        </w:rPr>
      </w:pPr>
    </w:p>
    <w:p>
      <w:pPr>
        <w:pStyle w:val="11"/>
        <w:numPr>
          <w:ilvl w:val="0"/>
          <w:numId w:val="1"/>
        </w:numPr>
        <w:bidi w:val="0"/>
        <w:outlineLvl w:val="0"/>
        <w:rPr>
          <w:rFonts w:hint="eastAsia" w:ascii="黑体" w:hAnsi="黑体" w:eastAsia="黑体" w:cs="黑体"/>
          <w:b/>
          <w:bCs/>
          <w:sz w:val="44"/>
          <w:szCs w:val="44"/>
        </w:rPr>
      </w:pPr>
      <w:bookmarkStart w:id="18" w:name="_Toc18823"/>
      <w:bookmarkStart w:id="19" w:name="_Toc26715"/>
      <w:bookmarkStart w:id="20" w:name="_Toc25684"/>
      <w:r>
        <w:rPr>
          <w:rFonts w:hint="eastAsia" w:ascii="黑体" w:hAnsi="黑体" w:eastAsia="黑体" w:cs="黑体"/>
          <w:b/>
          <w:bCs/>
          <w:sz w:val="44"/>
          <w:szCs w:val="44"/>
          <w:lang w:eastAsia="zh-CN"/>
        </w:rPr>
        <w:t>单位</w:t>
      </w:r>
      <w:r>
        <w:rPr>
          <w:rFonts w:hint="eastAsia" w:ascii="黑体" w:hAnsi="黑体" w:eastAsia="黑体" w:cs="黑体"/>
          <w:b/>
          <w:bCs/>
          <w:sz w:val="44"/>
          <w:szCs w:val="44"/>
        </w:rPr>
        <w:t>概况</w:t>
      </w:r>
      <w:bookmarkEnd w:id="18"/>
      <w:bookmarkEnd w:id="19"/>
      <w:bookmarkEnd w:id="20"/>
    </w:p>
    <w:p>
      <w:pPr>
        <w:numPr>
          <w:ilvl w:val="0"/>
          <w:numId w:val="0"/>
        </w:numPr>
      </w:pPr>
    </w:p>
    <w:p>
      <w:pPr>
        <w:pStyle w:val="13"/>
        <w:bidi w:val="0"/>
        <w:outlineLvl w:val="1"/>
        <w:rPr>
          <w:rFonts w:hint="eastAsia" w:ascii="宋体" w:hAnsi="宋体" w:eastAsia="宋体" w:cs="宋体"/>
          <w:b/>
          <w:bCs/>
          <w:sz w:val="32"/>
          <w:szCs w:val="32"/>
        </w:rPr>
      </w:pPr>
      <w:bookmarkStart w:id="21" w:name="_Toc2538"/>
      <w:bookmarkStart w:id="22" w:name="_Toc27880"/>
      <w:bookmarkStart w:id="23" w:name="_Toc16400"/>
      <w:r>
        <w:rPr>
          <w:rFonts w:hint="eastAsia" w:ascii="宋体" w:hAnsi="宋体" w:eastAsia="宋体" w:cs="宋体"/>
          <w:b/>
          <w:bCs/>
          <w:sz w:val="32"/>
          <w:szCs w:val="32"/>
        </w:rPr>
        <w:t>一、基本情况及职能简介：</w:t>
      </w:r>
      <w:bookmarkEnd w:id="21"/>
      <w:bookmarkEnd w:id="22"/>
      <w:bookmarkEnd w:id="23"/>
    </w:p>
    <w:p>
      <w:pPr>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广元市朝天区交通运输综合服务中心属参照公务员法管理的事业单位法人，是区交通运输局下属二级财政预算单位。总编制5名，其中参照公务员法管理行政编制</w:t>
      </w:r>
      <w:r>
        <w:rPr>
          <w:rFonts w:hint="eastAsia" w:ascii="仿宋_GB2312" w:hAnsi="仿宋" w:eastAsia="仿宋_GB2312" w:cs="仿宋"/>
          <w:color w:val="000000" w:themeColor="text1"/>
          <w:sz w:val="32"/>
          <w:szCs w:val="32"/>
          <w:lang w:val="en-US" w:eastAsia="zh-CN"/>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名。在职人员总数</w:t>
      </w:r>
      <w:r>
        <w:rPr>
          <w:rFonts w:hint="eastAsia" w:ascii="仿宋_GB2312" w:hAnsi="仿宋" w:eastAsia="仿宋_GB2312" w:cs="仿宋"/>
          <w:color w:val="000000" w:themeColor="text1"/>
          <w:sz w:val="32"/>
          <w:szCs w:val="32"/>
          <w:lang w:val="en-US" w:eastAsia="zh-CN"/>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人，其中参照公务员法管理行政编制人员</w:t>
      </w:r>
      <w:r>
        <w:rPr>
          <w:rFonts w:hint="eastAsia" w:ascii="仿宋_GB2312" w:hAnsi="仿宋" w:eastAsia="仿宋_GB2312" w:cs="仿宋"/>
          <w:color w:val="000000" w:themeColor="text1"/>
          <w:sz w:val="32"/>
          <w:szCs w:val="32"/>
          <w:lang w:val="en-US" w:eastAsia="zh-CN"/>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人，财政定额补助人员2人。</w:t>
      </w:r>
      <w:r>
        <w:rPr>
          <w:rFonts w:hint="eastAsia" w:ascii="仿宋_GB2312" w:hAnsi="仿宋" w:eastAsia="仿宋_GB2312" w:cs="仿宋"/>
          <w:sz w:val="32"/>
          <w:szCs w:val="32"/>
        </w:rPr>
        <w:t>固定资产总额</w:t>
      </w:r>
      <w:r>
        <w:rPr>
          <w:rFonts w:hint="eastAsia" w:ascii="仿宋_GB2312" w:hAnsi="仿宋" w:eastAsia="仿宋_GB2312" w:cs="仿宋"/>
          <w:sz w:val="32"/>
          <w:szCs w:val="32"/>
          <w:lang w:val="en-US" w:eastAsia="zh-CN"/>
        </w:rPr>
        <w:t>35.66</w:t>
      </w:r>
      <w:r>
        <w:rPr>
          <w:rFonts w:hint="eastAsia" w:ascii="仿宋_GB2312" w:hAnsi="仿宋" w:eastAsia="仿宋_GB2312" w:cs="仿宋"/>
          <w:sz w:val="32"/>
          <w:szCs w:val="32"/>
        </w:rPr>
        <w:t>万元。</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 xml:space="preserve">主要职能职责如下： </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负责全区路网信息收集、处置的相关事务性工作</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协助做好运输场（站）建设管理及站级核定</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承担公路运输从业人员的教育、培训和资格考试等相关事务性工作</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负责交通运输行业标准执行、信息化建设、相关信息技术推广、公路运输企业服务质量信誉的评定</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负责公路水路行业客货运周转量、邮政业务量的综合统计、经济运行分析和信息发布</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承担公路运输行业转型升级工作，配合做好全区公路运输、城市客运及农村客运等补助资金管理和使用的日常监管</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承担车辆维修、寄递物流、客运、货运企业技术指导和服务工作</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负责所管辖的航运基础设施建设和维护管理</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负责船舶检验、船舶建造企业业务指导；参与水上交通事故调查和船舶技术鉴定。</w:t>
      </w:r>
    </w:p>
    <w:p>
      <w:pPr>
        <w:pStyle w:val="13"/>
        <w:bidi w:val="0"/>
        <w:outlineLvl w:val="1"/>
        <w:rPr>
          <w:rFonts w:hint="eastAsia" w:ascii="宋体" w:hAnsi="宋体" w:eastAsia="宋体" w:cs="宋体"/>
          <w:b/>
          <w:bCs/>
          <w:sz w:val="32"/>
          <w:szCs w:val="32"/>
          <w:lang w:eastAsia="zh-CN"/>
        </w:rPr>
      </w:pPr>
      <w:bookmarkStart w:id="24" w:name="_Toc29607"/>
      <w:bookmarkStart w:id="25" w:name="_Toc17645"/>
      <w:bookmarkStart w:id="26" w:name="_Toc1378"/>
      <w:r>
        <w:rPr>
          <w:rFonts w:hint="eastAsia" w:ascii="宋体" w:hAnsi="宋体" w:eastAsia="宋体" w:cs="宋体"/>
          <w:b/>
          <w:bCs/>
          <w:sz w:val="32"/>
          <w:szCs w:val="32"/>
          <w:lang w:eastAsia="zh-CN"/>
        </w:rPr>
        <w:t>二</w:t>
      </w:r>
      <w:r>
        <w:rPr>
          <w:rFonts w:hint="eastAsia" w:ascii="宋体" w:hAnsi="宋体" w:eastAsia="宋体" w:cs="宋体"/>
          <w:b/>
          <w:bCs/>
          <w:sz w:val="32"/>
          <w:szCs w:val="32"/>
        </w:rPr>
        <w:t>、</w:t>
      </w:r>
      <w:r>
        <w:rPr>
          <w:rFonts w:hint="eastAsia" w:ascii="宋体" w:hAnsi="宋体" w:eastAsia="宋体" w:cs="宋体"/>
          <w:b/>
          <w:bCs/>
          <w:sz w:val="32"/>
          <w:szCs w:val="32"/>
          <w:lang w:eastAsia="zh-CN"/>
        </w:rPr>
        <w:t>机构设置：</w:t>
      </w:r>
      <w:bookmarkEnd w:id="24"/>
      <w:bookmarkEnd w:id="25"/>
      <w:bookmarkEnd w:id="26"/>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b/>
          <w:bCs/>
          <w:sz w:val="32"/>
          <w:szCs w:val="32"/>
          <w:lang w:val="en-US" w:eastAsia="zh-CN"/>
        </w:rPr>
        <w:t>综合办：</w:t>
      </w:r>
      <w:r>
        <w:rPr>
          <w:rFonts w:hint="eastAsia" w:ascii="仿宋_GB2312" w:eastAsia="仿宋_GB2312" w:hAnsiTheme="minorHAnsi" w:cstheme="minorBidi"/>
          <w:kern w:val="2"/>
          <w:sz w:val="32"/>
          <w:szCs w:val="32"/>
          <w:lang w:val="en-US" w:eastAsia="zh-CN" w:bidi="ar-SA"/>
        </w:rPr>
        <w:t>负责中心的综合协调、文电、新闻宣传、信息、会务、接待、维稳、机要、保密、档案、人事、机构编制、史志年鉴、党务、精神文明建设、目标绩效管理、信访件的办理、车辆调度管理；负责工会、共青团、妇联等群团组织等工作；负责中心相关规章制度办法的制定和解释工作；负责辖区道路路产登记管理，承担公路安防设施维护相关事务性工作。</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b/>
          <w:bCs/>
          <w:sz w:val="32"/>
          <w:szCs w:val="32"/>
          <w:lang w:val="en-US" w:eastAsia="zh-CN"/>
        </w:rPr>
        <w:t>财务股：</w:t>
      </w:r>
      <w:r>
        <w:rPr>
          <w:rFonts w:hint="eastAsia" w:ascii="仿宋_GB2312" w:eastAsia="仿宋_GB2312" w:hAnsiTheme="minorHAnsi" w:cstheme="minorBidi"/>
          <w:kern w:val="2"/>
          <w:sz w:val="32"/>
          <w:szCs w:val="32"/>
          <w:lang w:val="en-US" w:eastAsia="zh-CN" w:bidi="ar-SA"/>
        </w:rPr>
        <w:t>负责年度财政预算编制、上报、调整、决算及执行工作；负责中心财务管理、会计核算管理工作；负责内部审计、政府采购、固定资产管理工作，建立健全票证管理制度，落实财务管理制度和内审制度，做好各种票证使用管理工作；负责客运车辆营运补贴专项经费管理；负责项目管理、劳动工资、社会保险、离退休人员服务等工作；负责后勤保障服务等工作。</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运输股：</w:t>
      </w:r>
      <w:r>
        <w:rPr>
          <w:rFonts w:hint="eastAsia" w:ascii="仿宋_GB2312" w:eastAsia="仿宋_GB2312" w:hAnsiTheme="minorHAnsi" w:cstheme="minorBidi"/>
          <w:kern w:val="2"/>
          <w:sz w:val="32"/>
          <w:szCs w:val="32"/>
          <w:lang w:val="en-US" w:eastAsia="zh-CN" w:bidi="ar-SA"/>
        </w:rPr>
        <w:t>负责贯彻执行国家和上级有关道路客（货）运场站的法规、政策和规定，拟定贯彻意见并组织实施；负责道路运输的客货运周转量及邮政业务量的统计上报和实施等日常事务工作；负责驾驶员培训和资格考试等相关事务性工作；协助做好运输场（站）建设管理及站级核定；承担道路运输经营市场运行监测、评估、统计和企业安全管理标准化建设咨询服务；负责驾培市场管理和道路运输车辆维修企业污染防治的技术指导；负责行业信息化建设和管理；负责全区道路交通运输发展服务和交通战备事务性工作；负责督促指导客（货）运运输企业做好道路客（货）运输企业质量信誉考核工作</w:t>
      </w:r>
      <w:r>
        <w:rPr>
          <w:rFonts w:hint="eastAsia" w:ascii="仿宋_GB2312" w:eastAsia="仿宋_GB2312" w:cstheme="minorBidi"/>
          <w:kern w:val="2"/>
          <w:sz w:val="32"/>
          <w:szCs w:val="32"/>
          <w:lang w:val="en-US" w:eastAsia="zh-CN" w:bidi="ar-SA"/>
        </w:rPr>
        <w:t>；负责交通基本名录库管理系统信息更新</w:t>
      </w:r>
      <w:r>
        <w:rPr>
          <w:rFonts w:hint="eastAsia" w:ascii="仿宋_GB2312" w:eastAsia="仿宋_GB2312" w:hAnsiTheme="minorHAnsi" w:cstheme="minorBidi"/>
          <w:kern w:val="2"/>
          <w:sz w:val="32"/>
          <w:szCs w:val="32"/>
          <w:lang w:val="en-US" w:eastAsia="zh-CN" w:bidi="ar-SA"/>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航道事务及安全管理股</w:t>
      </w:r>
      <w:r>
        <w:rPr>
          <w:rFonts w:hint="eastAsia" w:ascii="仿宋_GB2312" w:eastAsia="仿宋_GB2312" w:hAnsiTheme="minorHAnsi" w:cstheme="minorBidi"/>
          <w:kern w:val="2"/>
          <w:sz w:val="32"/>
          <w:szCs w:val="32"/>
          <w:lang w:val="en-US" w:eastAsia="zh-CN" w:bidi="ar-SA"/>
        </w:rPr>
        <w:t>贯彻执行公路、水路的方针政策、法律、法规和规章，承担全区公路、水路行业发展规划、计划编制等事务性工作；负责拟定公路、水路安全生产制度、安全生产工作方案、应急预案等工作；负责组织安全生产教育培训和安全生产应急演练；负责本辖区航道基础设施建设和维护，承担船舶检验，参与水上交通事故调查和船舶技术鉴定；负责对船舶管理人员的业务技术培训；承担职责范围内的安全生产、环境保护和应急处突基础性指导工作。</w:t>
      </w:r>
    </w:p>
    <w:p>
      <w:pPr>
        <w:rPr>
          <w:rFonts w:hint="eastAsia"/>
          <w:lang w:eastAsia="zh-CN"/>
        </w:rPr>
      </w:pPr>
    </w:p>
    <w:p>
      <w:pPr>
        <w:pStyle w:val="11"/>
        <w:numPr>
          <w:ilvl w:val="0"/>
          <w:numId w:val="0"/>
        </w:numPr>
        <w:bidi w:val="0"/>
        <w:jc w:val="both"/>
        <w:rPr>
          <w:rFonts w:hint="eastAsia" w:ascii="黑体" w:hAnsi="黑体" w:eastAsia="黑体" w:cs="黑体"/>
          <w:b/>
          <w:bCs/>
          <w:sz w:val="44"/>
          <w:szCs w:val="44"/>
          <w:lang w:eastAsia="zh-CN"/>
        </w:rPr>
      </w:pPr>
    </w:p>
    <w:p>
      <w:pPr>
        <w:pStyle w:val="11"/>
        <w:numPr>
          <w:ilvl w:val="0"/>
          <w:numId w:val="1"/>
        </w:numPr>
        <w:bidi w:val="0"/>
        <w:ind w:left="0" w:leftChars="0" w:firstLine="0" w:firstLineChars="0"/>
        <w:jc w:val="center"/>
        <w:outlineLvl w:val="0"/>
        <w:rPr>
          <w:rFonts w:hint="eastAsia" w:ascii="黑体" w:hAnsi="黑体" w:eastAsia="黑体" w:cs="黑体"/>
          <w:b/>
          <w:bCs/>
          <w:sz w:val="44"/>
          <w:szCs w:val="44"/>
          <w:lang w:eastAsia="zh-CN"/>
        </w:rPr>
      </w:pPr>
      <w:bookmarkStart w:id="27" w:name="_Toc30492"/>
      <w:bookmarkStart w:id="28" w:name="_Toc9347"/>
      <w:bookmarkStart w:id="29" w:name="_Toc2081"/>
      <w:r>
        <w:rPr>
          <w:rFonts w:hint="eastAsia" w:ascii="黑体" w:hAnsi="黑体" w:eastAsia="黑体" w:cs="黑体"/>
          <w:b/>
          <w:bCs/>
          <w:sz w:val="44"/>
          <w:szCs w:val="44"/>
          <w:lang w:eastAsia="zh-CN"/>
        </w:rPr>
        <w:t>202</w:t>
      </w:r>
      <w:r>
        <w:rPr>
          <w:rFonts w:hint="eastAsia" w:ascii="黑体" w:hAnsi="黑体" w:eastAsia="黑体" w:cs="黑体"/>
          <w:b/>
          <w:bCs/>
          <w:sz w:val="44"/>
          <w:szCs w:val="44"/>
          <w:lang w:val="en-US" w:eastAsia="zh-CN"/>
        </w:rPr>
        <w:t>2</w:t>
      </w:r>
      <w:r>
        <w:rPr>
          <w:rFonts w:hint="eastAsia" w:ascii="黑体" w:hAnsi="黑体" w:eastAsia="黑体" w:cs="黑体"/>
          <w:b/>
          <w:bCs/>
          <w:sz w:val="44"/>
          <w:szCs w:val="44"/>
          <w:lang w:eastAsia="zh-CN"/>
        </w:rPr>
        <w:t>年度单位决算情况说明</w:t>
      </w:r>
      <w:bookmarkEnd w:id="27"/>
      <w:bookmarkEnd w:id="28"/>
      <w:bookmarkEnd w:id="29"/>
    </w:p>
    <w:p>
      <w:pPr>
        <w:numPr>
          <w:ilvl w:val="0"/>
          <w:numId w:val="0"/>
        </w:numPr>
        <w:ind w:leftChars="0"/>
        <w:rPr>
          <w:rFonts w:hint="eastAsia" w:ascii="仿宋_GB2312" w:hAnsi="仿宋_GB2312" w:eastAsia="仿宋_GB2312" w:cs="仿宋_GB2312"/>
          <w:b/>
          <w:bCs/>
          <w:kern w:val="2"/>
          <w:sz w:val="32"/>
          <w:szCs w:val="32"/>
          <w:lang w:val="en-US" w:eastAsia="zh-CN" w:bidi="ar-SA"/>
        </w:rPr>
      </w:pPr>
    </w:p>
    <w:p>
      <w:pPr>
        <w:pStyle w:val="13"/>
        <w:adjustRightInd w:val="0"/>
        <w:snapToGrid w:val="0"/>
        <w:spacing w:line="440" w:lineRule="exact"/>
        <w:jc w:val="left"/>
        <w:outlineLvl w:val="1"/>
        <w:rPr>
          <w:rFonts w:hint="eastAsia" w:ascii="宋体" w:hAnsi="宋体" w:eastAsia="宋体" w:cs="宋体"/>
          <w:b/>
          <w:bCs/>
          <w:kern w:val="2"/>
          <w:sz w:val="32"/>
          <w:szCs w:val="32"/>
          <w:lang w:val="en-US" w:eastAsia="zh-CN" w:bidi="ar-SA"/>
        </w:rPr>
      </w:pPr>
      <w:bookmarkStart w:id="30" w:name="_Toc24273"/>
      <w:bookmarkStart w:id="31" w:name="_Toc28590"/>
      <w:bookmarkStart w:id="32" w:name="_Toc20455"/>
      <w:r>
        <w:rPr>
          <w:rFonts w:hint="eastAsia" w:ascii="宋体" w:hAnsi="宋体" w:eastAsia="宋体" w:cs="宋体"/>
          <w:b/>
          <w:bCs/>
          <w:kern w:val="2"/>
          <w:sz w:val="32"/>
          <w:szCs w:val="32"/>
          <w:lang w:val="en-US" w:eastAsia="zh-CN" w:bidi="ar-SA"/>
        </w:rPr>
        <w:t>一、收入支出决算总体情况说明</w:t>
      </w:r>
      <w:bookmarkEnd w:id="30"/>
      <w:bookmarkEnd w:id="31"/>
      <w:bookmarkEnd w:id="32"/>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202</w:t>
      </w: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年度收、支总计为</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万元,本年收入</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w:t>
      </w:r>
      <w:r>
        <w:rPr>
          <w:rFonts w:hint="eastAsia" w:ascii="仿宋_GB2312" w:hAnsi="仿宋" w:eastAsia="仿宋_GB2312"/>
          <w:color w:val="auto"/>
          <w:sz w:val="30"/>
          <w:szCs w:val="30"/>
          <w:lang w:eastAsia="zh-CN"/>
        </w:rPr>
        <w:t>其中年初结转和结余</w:t>
      </w:r>
      <w:r>
        <w:rPr>
          <w:rFonts w:hint="eastAsia" w:ascii="仿宋_GB2312" w:hAnsi="仿宋" w:eastAsia="仿宋_GB2312"/>
          <w:color w:val="auto"/>
          <w:sz w:val="30"/>
          <w:szCs w:val="30"/>
          <w:lang w:val="en-US" w:eastAsia="zh-CN"/>
        </w:rPr>
        <w:t>20.04万元，</w:t>
      </w:r>
      <w:r>
        <w:rPr>
          <w:rFonts w:hint="eastAsia" w:ascii="仿宋_GB2312" w:hAnsi="仿宋" w:eastAsia="仿宋_GB2312"/>
          <w:color w:val="auto"/>
          <w:sz w:val="30"/>
          <w:szCs w:val="30"/>
        </w:rPr>
        <w:t>本年支出</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w:t>
      </w:r>
      <w:r>
        <w:rPr>
          <w:rFonts w:hint="eastAsia" w:ascii="仿宋_GB2312" w:eastAsia="仿宋_GB2312"/>
          <w:color w:val="auto"/>
          <w:sz w:val="30"/>
          <w:szCs w:val="30"/>
        </w:rPr>
        <w:t>年末结转0万元</w:t>
      </w:r>
      <w:r>
        <w:rPr>
          <w:rFonts w:hint="eastAsia" w:ascii="仿宋_GB2312" w:eastAsia="仿宋_GB2312"/>
          <w:color w:val="auto"/>
          <w:sz w:val="30"/>
          <w:szCs w:val="30"/>
          <w:lang w:eastAsia="zh-CN"/>
        </w:rPr>
        <w:t>，</w:t>
      </w:r>
      <w:r>
        <w:rPr>
          <w:rFonts w:hint="eastAsia" w:ascii="仿宋_GB2312" w:hAnsi="仿宋" w:eastAsia="仿宋_GB2312"/>
          <w:color w:val="auto"/>
          <w:sz w:val="30"/>
          <w:szCs w:val="30"/>
        </w:rPr>
        <w:t>与2021年相比，收、支总计各</w:t>
      </w:r>
      <w:r>
        <w:rPr>
          <w:rFonts w:hint="eastAsia" w:ascii="仿宋_GB2312" w:hAnsi="仿宋" w:eastAsia="仿宋_GB2312"/>
          <w:color w:val="auto"/>
          <w:sz w:val="30"/>
          <w:szCs w:val="30"/>
          <w:lang w:eastAsia="zh-CN"/>
        </w:rPr>
        <w:t>增加</w:t>
      </w:r>
      <w:r>
        <w:rPr>
          <w:rFonts w:hint="eastAsia" w:ascii="仿宋_GB2312" w:hAnsi="仿宋" w:eastAsia="仿宋_GB2312"/>
          <w:color w:val="auto"/>
          <w:sz w:val="30"/>
          <w:szCs w:val="30"/>
          <w:lang w:val="en-US" w:eastAsia="zh-CN"/>
        </w:rPr>
        <w:t>405</w:t>
      </w:r>
      <w:r>
        <w:rPr>
          <w:rFonts w:hint="eastAsia" w:ascii="仿宋_GB2312" w:hAnsi="仿宋" w:eastAsia="仿宋_GB2312"/>
          <w:color w:val="auto"/>
          <w:sz w:val="30"/>
          <w:szCs w:val="30"/>
        </w:rPr>
        <w:t>.99万元，</w:t>
      </w:r>
      <w:r>
        <w:rPr>
          <w:rFonts w:hint="eastAsia" w:ascii="仿宋_GB2312" w:hAnsi="仿宋" w:eastAsia="仿宋_GB2312"/>
          <w:color w:val="auto"/>
          <w:sz w:val="30"/>
          <w:szCs w:val="30"/>
          <w:lang w:eastAsia="zh-CN"/>
        </w:rPr>
        <w:t>增加了</w:t>
      </w:r>
      <w:r>
        <w:rPr>
          <w:rFonts w:hint="eastAsia" w:ascii="仿宋_GB2312" w:hAnsi="仿宋" w:eastAsia="仿宋_GB2312"/>
          <w:color w:val="auto"/>
          <w:sz w:val="30"/>
          <w:szCs w:val="30"/>
          <w:lang w:val="en-US" w:eastAsia="zh-CN"/>
        </w:rPr>
        <w:t>397.3</w:t>
      </w:r>
      <w:r>
        <w:rPr>
          <w:rFonts w:hint="eastAsia" w:ascii="仿宋_GB2312" w:hAnsi="仿宋" w:eastAsia="仿宋_GB2312"/>
          <w:color w:val="auto"/>
          <w:sz w:val="30"/>
          <w:szCs w:val="30"/>
        </w:rPr>
        <w:t>%，主要变动原因：一是交通系统机构改革部分人员变动调整，二是随着机改的完成单位职能、职责的变化，项目资金的预算安排支出有</w:t>
      </w:r>
      <w:r>
        <w:rPr>
          <w:rFonts w:hint="eastAsia" w:ascii="仿宋_GB2312" w:hAnsi="仿宋" w:eastAsia="仿宋_GB2312"/>
          <w:color w:val="auto"/>
          <w:sz w:val="30"/>
          <w:szCs w:val="30"/>
          <w:lang w:eastAsia="zh-CN"/>
        </w:rPr>
        <w:t>增加</w:t>
      </w:r>
      <w:r>
        <w:rPr>
          <w:rFonts w:hint="eastAsia" w:ascii="仿宋_GB2312" w:hAnsi="仿宋" w:eastAsia="仿宋_GB2312"/>
          <w:color w:val="auto"/>
          <w:sz w:val="30"/>
          <w:szCs w:val="30"/>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（图1：收、支决算总计变动情况图）（柱状图）</w:t>
      </w:r>
    </w:p>
    <w:p>
      <w:pPr>
        <w:numPr>
          <w:ilvl w:val="0"/>
          <w:numId w:val="0"/>
        </w:numPr>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3"/>
        <w:adjustRightInd w:val="0"/>
        <w:snapToGrid w:val="0"/>
        <w:spacing w:line="440" w:lineRule="exact"/>
        <w:jc w:val="left"/>
        <w:outlineLvl w:val="1"/>
        <w:rPr>
          <w:rFonts w:hint="eastAsia" w:ascii="宋体" w:hAnsi="宋体" w:eastAsia="宋体" w:cs="宋体"/>
          <w:b/>
          <w:bCs/>
          <w:kern w:val="2"/>
          <w:sz w:val="32"/>
          <w:szCs w:val="32"/>
          <w:lang w:val="en-US" w:eastAsia="zh-CN" w:bidi="ar-SA"/>
        </w:rPr>
      </w:pPr>
      <w:bookmarkStart w:id="33" w:name="_Toc17112"/>
      <w:bookmarkStart w:id="34" w:name="_Toc9290"/>
      <w:r>
        <w:rPr>
          <w:rFonts w:hint="eastAsia" w:ascii="宋体" w:hAnsi="宋体" w:eastAsia="宋体" w:cs="宋体"/>
          <w:b/>
          <w:bCs/>
          <w:kern w:val="2"/>
          <w:sz w:val="32"/>
          <w:szCs w:val="32"/>
          <w:lang w:val="en-US" w:eastAsia="zh-CN" w:bidi="ar-SA"/>
        </w:rPr>
        <w:t>二、收入决算情况说明</w:t>
      </w:r>
      <w:bookmarkEnd w:id="33"/>
      <w:bookmarkEnd w:id="34"/>
    </w:p>
    <w:p>
      <w:pPr>
        <w:pStyle w:val="5"/>
        <w:spacing w:before="93"/>
        <w:ind w:firstLine="600" w:firstLineChars="200"/>
        <w:jc w:val="left"/>
        <w:rPr>
          <w:rFonts w:hint="eastAsia" w:eastAsia="仿宋_GB2312"/>
          <w:lang w:eastAsia="zh-CN"/>
        </w:rPr>
      </w:pPr>
      <w:r>
        <w:rPr>
          <w:rFonts w:hint="eastAsia" w:ascii="仿宋_GB2312" w:eastAsia="仿宋_GB2312"/>
          <w:sz w:val="30"/>
          <w:szCs w:val="30"/>
        </w:rPr>
        <w:t>202</w:t>
      </w:r>
      <w:r>
        <w:rPr>
          <w:rFonts w:hint="eastAsia" w:ascii="仿宋_GB2312" w:eastAsia="仿宋_GB2312"/>
          <w:sz w:val="30"/>
          <w:szCs w:val="30"/>
          <w:lang w:val="en-US" w:eastAsia="zh-CN"/>
        </w:rPr>
        <w:t>2</w:t>
      </w:r>
      <w:r>
        <w:rPr>
          <w:rFonts w:hint="eastAsia" w:ascii="仿宋_GB2312" w:eastAsia="仿宋_GB2312"/>
          <w:sz w:val="30"/>
          <w:szCs w:val="30"/>
        </w:rPr>
        <w:t>年本年收入合计</w:t>
      </w:r>
      <w:r>
        <w:rPr>
          <w:rFonts w:hint="eastAsia" w:ascii="仿宋_GB2312" w:eastAsia="仿宋_GB2312"/>
          <w:sz w:val="30"/>
          <w:szCs w:val="30"/>
          <w:lang w:val="en-US" w:eastAsia="zh-CN"/>
        </w:rPr>
        <w:t>508.18</w:t>
      </w:r>
      <w:r>
        <w:rPr>
          <w:rFonts w:hint="eastAsia" w:ascii="仿宋_GB2312" w:eastAsia="仿宋_GB2312"/>
          <w:sz w:val="30"/>
          <w:szCs w:val="30"/>
        </w:rPr>
        <w:t>万元，其中：一般公共预算财政拨款收入</w:t>
      </w:r>
      <w:r>
        <w:rPr>
          <w:rFonts w:hint="eastAsia" w:ascii="仿宋_GB2312" w:eastAsia="仿宋_GB2312"/>
          <w:sz w:val="30"/>
          <w:szCs w:val="30"/>
          <w:lang w:val="en-US" w:eastAsia="zh-CN"/>
        </w:rPr>
        <w:t>488.14</w:t>
      </w:r>
      <w:r>
        <w:rPr>
          <w:rFonts w:hint="eastAsia" w:ascii="仿宋_GB2312" w:eastAsia="仿宋_GB2312"/>
          <w:sz w:val="30"/>
          <w:szCs w:val="30"/>
        </w:rPr>
        <w:t>万元，占</w:t>
      </w:r>
      <w:r>
        <w:rPr>
          <w:rFonts w:hint="eastAsia" w:ascii="仿宋_GB2312" w:eastAsia="仿宋_GB2312"/>
          <w:sz w:val="30"/>
          <w:szCs w:val="30"/>
          <w:lang w:val="en-US" w:eastAsia="zh-CN"/>
        </w:rPr>
        <w:t>96.06</w:t>
      </w:r>
      <w:r>
        <w:rPr>
          <w:rFonts w:hint="eastAsia" w:ascii="仿宋_GB2312" w:eastAsia="仿宋_GB2312"/>
          <w:sz w:val="30"/>
          <w:szCs w:val="30"/>
        </w:rPr>
        <w:t>%</w:t>
      </w:r>
      <w:r>
        <w:rPr>
          <w:rFonts w:hint="eastAsia" w:ascii="仿宋_GB2312" w:eastAsia="仿宋_GB2312"/>
          <w:sz w:val="30"/>
          <w:szCs w:val="30"/>
          <w:lang w:val="en-US" w:eastAsia="zh-CN"/>
        </w:rPr>
        <w:t>,年初结转和结余20.04万元，占3.94%</w:t>
      </w:r>
      <w:r>
        <w:rPr>
          <w:rFonts w:hint="eastAsia" w:ascii="仿宋_GB2312" w:eastAsia="仿宋_GB2312"/>
          <w:sz w:val="30"/>
          <w:szCs w:val="30"/>
        </w:rPr>
        <w:t>。</w:t>
      </w:r>
      <w:r>
        <w:rPr>
          <w:rFonts w:hint="eastAsia" w:eastAsia="仿宋_GB2312"/>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3"/>
        <w:adjustRightInd w:val="0"/>
        <w:snapToGrid w:val="0"/>
        <w:spacing w:line="440" w:lineRule="exact"/>
        <w:jc w:val="left"/>
        <w:outlineLvl w:val="1"/>
        <w:rPr>
          <w:rFonts w:hint="eastAsia" w:ascii="宋体" w:hAnsi="宋体" w:eastAsia="宋体" w:cs="宋体"/>
          <w:b/>
          <w:bCs/>
          <w:kern w:val="2"/>
          <w:sz w:val="32"/>
          <w:szCs w:val="32"/>
          <w:lang w:val="en-US" w:eastAsia="zh-CN" w:bidi="ar-SA"/>
        </w:rPr>
      </w:pPr>
      <w:bookmarkStart w:id="35" w:name="_Toc12596"/>
      <w:bookmarkStart w:id="36" w:name="_Toc2158"/>
      <w:r>
        <w:rPr>
          <w:rFonts w:hint="eastAsia" w:ascii="宋体" w:hAnsi="宋体" w:eastAsia="宋体" w:cs="宋体"/>
          <w:b/>
          <w:bCs/>
          <w:kern w:val="2"/>
          <w:sz w:val="32"/>
          <w:szCs w:val="32"/>
          <w:lang w:val="en-US" w:eastAsia="zh-CN" w:bidi="ar-SA"/>
        </w:rPr>
        <w:t>三、支出决算情况说明</w:t>
      </w:r>
      <w:bookmarkEnd w:id="35"/>
      <w:bookmarkEnd w:id="36"/>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年本年支出合计</w:t>
      </w:r>
      <w:r>
        <w:rPr>
          <w:rFonts w:hint="eastAsia" w:ascii="仿宋_GB2312" w:eastAsia="仿宋_GB2312"/>
          <w:sz w:val="30"/>
          <w:szCs w:val="30"/>
          <w:lang w:val="en-US" w:eastAsia="zh-CN"/>
        </w:rPr>
        <w:t>508.18</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82.57</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16.25</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425.61</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83.75</w:t>
      </w:r>
      <w:r>
        <w:rPr>
          <w:rFonts w:hint="eastAsia" w:ascii="仿宋_GB2312" w:hAnsi="仿宋" w:eastAsia="仿宋_GB2312"/>
          <w:color w:val="000000"/>
          <w:sz w:val="32"/>
          <w:szCs w:val="32"/>
        </w:rPr>
        <w:t>%。</w:t>
      </w:r>
    </w:p>
    <w:p>
      <w:pPr>
        <w:spacing w:line="6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（图3：支出决算结构图）（饼状图）</w:t>
      </w:r>
    </w:p>
    <w:p>
      <w:pPr>
        <w:pStyle w:val="5"/>
        <w:spacing w:before="93"/>
        <w:rPr>
          <w:rFonts w:hint="eastAsia" w:eastAsia="仿宋_GB2312"/>
          <w:lang w:eastAsia="zh-CN"/>
        </w:rPr>
      </w:pPr>
      <w:r>
        <w:rPr>
          <w:rFonts w:hint="eastAsia" w:eastAsia="仿宋_GB2312"/>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3"/>
        <w:adjustRightInd w:val="0"/>
        <w:snapToGrid w:val="0"/>
        <w:spacing w:line="440" w:lineRule="exact"/>
        <w:jc w:val="left"/>
        <w:outlineLvl w:val="1"/>
        <w:rPr>
          <w:rFonts w:hint="eastAsia" w:ascii="宋体" w:hAnsi="宋体" w:eastAsia="宋体" w:cs="宋体"/>
          <w:b/>
          <w:bCs/>
          <w:kern w:val="2"/>
          <w:sz w:val="32"/>
          <w:szCs w:val="32"/>
          <w:lang w:val="en-US" w:eastAsia="zh-CN" w:bidi="ar-SA"/>
        </w:rPr>
      </w:pPr>
      <w:bookmarkStart w:id="37" w:name="_Toc32584"/>
      <w:bookmarkStart w:id="38" w:name="_Toc24252"/>
      <w:bookmarkStart w:id="39" w:name="_Toc11287"/>
      <w:r>
        <w:rPr>
          <w:rFonts w:hint="eastAsia" w:ascii="宋体" w:hAnsi="宋体" w:eastAsia="宋体" w:cs="宋体"/>
          <w:b/>
          <w:bCs/>
          <w:kern w:val="2"/>
          <w:sz w:val="32"/>
          <w:szCs w:val="32"/>
          <w:lang w:val="en-US" w:eastAsia="zh-CN" w:bidi="ar-SA"/>
        </w:rPr>
        <w:t>四、财政拨款收入支出决算总体情况说明</w:t>
      </w:r>
      <w:bookmarkEnd w:id="37"/>
      <w:bookmarkEnd w:id="38"/>
      <w:bookmarkEnd w:id="39"/>
    </w:p>
    <w:p>
      <w:pPr>
        <w:spacing w:line="600" w:lineRule="exact"/>
        <w:ind w:firstLine="600" w:firstLineChars="200"/>
        <w:rPr>
          <w:rFonts w:ascii="仿宋_GB2312" w:hAnsi="仿宋" w:eastAsia="仿宋_GB2312"/>
          <w:color w:val="FF0000"/>
          <w:sz w:val="30"/>
          <w:szCs w:val="30"/>
        </w:rPr>
      </w:pPr>
      <w:r>
        <w:rPr>
          <w:rFonts w:hint="eastAsia" w:ascii="仿宋_GB2312" w:hAnsi="仿宋" w:eastAsia="仿宋_GB2312"/>
          <w:color w:val="auto"/>
          <w:sz w:val="30"/>
          <w:szCs w:val="30"/>
        </w:rPr>
        <w:t>202</w:t>
      </w: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年度收、支总计为</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万元,本年收入</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w:t>
      </w:r>
      <w:r>
        <w:rPr>
          <w:rFonts w:hint="eastAsia" w:ascii="仿宋_GB2312" w:hAnsi="仿宋" w:eastAsia="仿宋_GB2312"/>
          <w:color w:val="auto"/>
          <w:sz w:val="30"/>
          <w:szCs w:val="30"/>
          <w:lang w:eastAsia="zh-CN"/>
        </w:rPr>
        <w:t>其中年初结转和结余</w:t>
      </w:r>
      <w:r>
        <w:rPr>
          <w:rFonts w:hint="eastAsia" w:ascii="仿宋_GB2312" w:hAnsi="仿宋" w:eastAsia="仿宋_GB2312"/>
          <w:color w:val="auto"/>
          <w:sz w:val="30"/>
          <w:szCs w:val="30"/>
          <w:lang w:val="en-US" w:eastAsia="zh-CN"/>
        </w:rPr>
        <w:t>20.04万元，</w:t>
      </w:r>
      <w:r>
        <w:rPr>
          <w:rFonts w:hint="eastAsia" w:ascii="仿宋_GB2312" w:hAnsi="仿宋" w:eastAsia="仿宋_GB2312"/>
          <w:color w:val="auto"/>
          <w:sz w:val="30"/>
          <w:szCs w:val="30"/>
        </w:rPr>
        <w:t>本年支出</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w:t>
      </w:r>
      <w:r>
        <w:rPr>
          <w:rFonts w:hint="eastAsia" w:ascii="仿宋_GB2312" w:eastAsia="仿宋_GB2312"/>
          <w:color w:val="auto"/>
          <w:sz w:val="30"/>
          <w:szCs w:val="30"/>
        </w:rPr>
        <w:t>年末结转0万元</w:t>
      </w:r>
      <w:r>
        <w:rPr>
          <w:rFonts w:hint="eastAsia" w:ascii="仿宋_GB2312" w:eastAsia="仿宋_GB2312"/>
          <w:color w:val="auto"/>
          <w:sz w:val="30"/>
          <w:szCs w:val="30"/>
          <w:lang w:eastAsia="zh-CN"/>
        </w:rPr>
        <w:t>，</w:t>
      </w:r>
      <w:r>
        <w:rPr>
          <w:rFonts w:hint="eastAsia" w:ascii="仿宋_GB2312" w:hAnsi="仿宋" w:eastAsia="仿宋_GB2312"/>
          <w:color w:val="auto"/>
          <w:sz w:val="30"/>
          <w:szCs w:val="30"/>
        </w:rPr>
        <w:t>与2021年相比，收、支总计各</w:t>
      </w:r>
      <w:r>
        <w:rPr>
          <w:rFonts w:hint="eastAsia" w:ascii="仿宋_GB2312" w:hAnsi="仿宋" w:eastAsia="仿宋_GB2312"/>
          <w:color w:val="auto"/>
          <w:sz w:val="30"/>
          <w:szCs w:val="30"/>
          <w:lang w:eastAsia="zh-CN"/>
        </w:rPr>
        <w:t>增加</w:t>
      </w:r>
      <w:r>
        <w:rPr>
          <w:rFonts w:hint="eastAsia" w:ascii="仿宋_GB2312" w:hAnsi="仿宋" w:eastAsia="仿宋_GB2312"/>
          <w:color w:val="auto"/>
          <w:sz w:val="30"/>
          <w:szCs w:val="30"/>
          <w:lang w:val="en-US" w:eastAsia="zh-CN"/>
        </w:rPr>
        <w:t>405</w:t>
      </w:r>
      <w:r>
        <w:rPr>
          <w:rFonts w:hint="eastAsia" w:ascii="仿宋_GB2312" w:hAnsi="仿宋" w:eastAsia="仿宋_GB2312"/>
          <w:color w:val="auto"/>
          <w:sz w:val="30"/>
          <w:szCs w:val="30"/>
        </w:rPr>
        <w:t>.99万元，</w:t>
      </w:r>
      <w:r>
        <w:rPr>
          <w:rFonts w:hint="eastAsia" w:ascii="仿宋_GB2312" w:hAnsi="仿宋" w:eastAsia="仿宋_GB2312"/>
          <w:color w:val="auto"/>
          <w:sz w:val="30"/>
          <w:szCs w:val="30"/>
          <w:lang w:eastAsia="zh-CN"/>
        </w:rPr>
        <w:t>增加了</w:t>
      </w:r>
      <w:r>
        <w:rPr>
          <w:rFonts w:hint="eastAsia" w:ascii="仿宋_GB2312" w:hAnsi="仿宋" w:eastAsia="仿宋_GB2312"/>
          <w:color w:val="auto"/>
          <w:sz w:val="30"/>
          <w:szCs w:val="30"/>
          <w:lang w:val="en-US" w:eastAsia="zh-CN"/>
        </w:rPr>
        <w:t>397.3</w:t>
      </w:r>
      <w:r>
        <w:rPr>
          <w:rFonts w:hint="eastAsia" w:ascii="仿宋_GB2312" w:hAnsi="仿宋" w:eastAsia="仿宋_GB2312"/>
          <w:color w:val="auto"/>
          <w:sz w:val="30"/>
          <w:szCs w:val="30"/>
        </w:rPr>
        <w:t>%。（图4：财政拨款收、支决算总计变动情况）（柱状图）</w:t>
      </w:r>
    </w:p>
    <w:p>
      <w:pPr>
        <w:pStyle w:val="5"/>
        <w:spacing w:before="93"/>
        <w:rPr>
          <w:rFonts w:hint="eastAsia" w:eastAsia="仿宋_GB2312"/>
          <w:lang w:eastAsia="zh-CN"/>
        </w:rPr>
      </w:pPr>
      <w:r>
        <w:rPr>
          <w:rFonts w:hint="eastAsia" w:eastAsia="仿宋_GB2312"/>
          <w:lang w:eastAsia="zh-CN"/>
        </w:rPr>
        <w:drawing>
          <wp:inline distT="0" distB="0" distL="114300" distR="114300">
            <wp:extent cx="5256530" cy="2988310"/>
            <wp:effectExtent l="5080" t="4445" r="1524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3"/>
        <w:adjustRightInd w:val="0"/>
        <w:snapToGrid w:val="0"/>
        <w:spacing w:line="440" w:lineRule="exact"/>
        <w:jc w:val="left"/>
        <w:outlineLvl w:val="1"/>
        <w:rPr>
          <w:rFonts w:hint="eastAsia" w:ascii="宋体" w:hAnsi="宋体" w:eastAsia="宋体" w:cs="宋体"/>
          <w:b/>
          <w:bCs/>
          <w:kern w:val="2"/>
          <w:sz w:val="32"/>
          <w:szCs w:val="32"/>
          <w:lang w:val="en-US" w:eastAsia="zh-CN" w:bidi="ar-SA"/>
        </w:rPr>
      </w:pPr>
      <w:bookmarkStart w:id="40" w:name="_Toc21630"/>
      <w:bookmarkStart w:id="41" w:name="_Toc21088"/>
      <w:bookmarkStart w:id="42" w:name="_Toc30038"/>
      <w:r>
        <w:rPr>
          <w:rFonts w:hint="eastAsia" w:ascii="宋体" w:hAnsi="宋体" w:eastAsia="宋体" w:cs="宋体"/>
          <w:b/>
          <w:bCs/>
          <w:kern w:val="2"/>
          <w:sz w:val="32"/>
          <w:szCs w:val="32"/>
          <w:lang w:val="en-US" w:eastAsia="zh-CN" w:bidi="ar-SA"/>
        </w:rPr>
        <w:t>五、一般公共预算财政拨款支出决算情况说明</w:t>
      </w:r>
      <w:bookmarkEnd w:id="40"/>
      <w:bookmarkEnd w:id="41"/>
      <w:bookmarkEnd w:id="42"/>
    </w:p>
    <w:p>
      <w:pPr>
        <w:spacing w:line="600" w:lineRule="exact"/>
        <w:ind w:firstLine="602" w:firstLineChars="200"/>
        <w:outlineLvl w:val="2"/>
        <w:rPr>
          <w:rFonts w:ascii="仿宋_GB2312" w:hAnsi="仿宋" w:eastAsia="仿宋_GB2312"/>
          <w:b/>
          <w:sz w:val="30"/>
          <w:szCs w:val="30"/>
        </w:rPr>
      </w:pPr>
      <w:bookmarkStart w:id="43" w:name="_Toc32662"/>
      <w:bookmarkStart w:id="44" w:name="_Toc22593"/>
      <w:r>
        <w:rPr>
          <w:rFonts w:hint="eastAsia" w:ascii="仿宋_GB2312" w:hAnsi="仿宋" w:eastAsia="仿宋_GB2312"/>
          <w:b/>
          <w:sz w:val="30"/>
          <w:szCs w:val="30"/>
        </w:rPr>
        <w:t>（一）一般公共预算财政拨款支出决算总体情况</w:t>
      </w:r>
      <w:bookmarkEnd w:id="43"/>
      <w:bookmarkEnd w:id="44"/>
    </w:p>
    <w:p>
      <w:pPr>
        <w:spacing w:line="6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202</w:t>
      </w: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年度收、支总计为</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万元,本年收入</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w:t>
      </w:r>
      <w:r>
        <w:rPr>
          <w:rFonts w:hint="eastAsia" w:ascii="仿宋_GB2312" w:hAnsi="仿宋" w:eastAsia="仿宋_GB2312"/>
          <w:color w:val="auto"/>
          <w:sz w:val="30"/>
          <w:szCs w:val="30"/>
          <w:lang w:eastAsia="zh-CN"/>
        </w:rPr>
        <w:t>其中年初结转和结余</w:t>
      </w:r>
      <w:r>
        <w:rPr>
          <w:rFonts w:hint="eastAsia" w:ascii="仿宋_GB2312" w:hAnsi="仿宋" w:eastAsia="仿宋_GB2312"/>
          <w:color w:val="auto"/>
          <w:sz w:val="30"/>
          <w:szCs w:val="30"/>
          <w:lang w:val="en-US" w:eastAsia="zh-CN"/>
        </w:rPr>
        <w:t>20.04万元，</w:t>
      </w:r>
      <w:r>
        <w:rPr>
          <w:rFonts w:hint="eastAsia" w:ascii="仿宋_GB2312" w:hAnsi="仿宋" w:eastAsia="仿宋_GB2312"/>
          <w:color w:val="auto"/>
          <w:sz w:val="30"/>
          <w:szCs w:val="30"/>
        </w:rPr>
        <w:t>本年支出</w:t>
      </w:r>
      <w:r>
        <w:rPr>
          <w:rFonts w:hint="eastAsia" w:ascii="仿宋_GB2312" w:hAnsi="仿宋" w:eastAsia="仿宋_GB2312"/>
          <w:color w:val="auto"/>
          <w:sz w:val="30"/>
          <w:szCs w:val="30"/>
          <w:lang w:val="en-US" w:eastAsia="zh-CN"/>
        </w:rPr>
        <w:t>508.18</w:t>
      </w:r>
      <w:r>
        <w:rPr>
          <w:rFonts w:hint="eastAsia" w:ascii="仿宋_GB2312" w:hAnsi="仿宋" w:eastAsia="仿宋_GB2312"/>
          <w:color w:val="auto"/>
          <w:sz w:val="30"/>
          <w:szCs w:val="30"/>
        </w:rPr>
        <w:t>万元,</w:t>
      </w:r>
      <w:r>
        <w:rPr>
          <w:rFonts w:hint="eastAsia" w:ascii="仿宋_GB2312" w:eastAsia="仿宋_GB2312"/>
          <w:color w:val="auto"/>
          <w:sz w:val="30"/>
          <w:szCs w:val="30"/>
        </w:rPr>
        <w:t>年末结转0万元</w:t>
      </w:r>
      <w:r>
        <w:rPr>
          <w:rFonts w:hint="eastAsia" w:ascii="仿宋_GB2312" w:eastAsia="仿宋_GB2312"/>
          <w:color w:val="auto"/>
          <w:sz w:val="30"/>
          <w:szCs w:val="30"/>
          <w:lang w:eastAsia="zh-CN"/>
        </w:rPr>
        <w:t>，</w:t>
      </w:r>
      <w:r>
        <w:rPr>
          <w:rFonts w:hint="eastAsia" w:ascii="仿宋_GB2312" w:hAnsi="仿宋" w:eastAsia="仿宋_GB2312"/>
          <w:color w:val="auto"/>
          <w:sz w:val="30"/>
          <w:szCs w:val="30"/>
        </w:rPr>
        <w:t>与2021年相比，收、支总计各</w:t>
      </w:r>
      <w:r>
        <w:rPr>
          <w:rFonts w:hint="eastAsia" w:ascii="仿宋_GB2312" w:hAnsi="仿宋" w:eastAsia="仿宋_GB2312"/>
          <w:color w:val="auto"/>
          <w:sz w:val="30"/>
          <w:szCs w:val="30"/>
          <w:lang w:eastAsia="zh-CN"/>
        </w:rPr>
        <w:t>增加</w:t>
      </w:r>
      <w:r>
        <w:rPr>
          <w:rFonts w:hint="eastAsia" w:ascii="仿宋_GB2312" w:hAnsi="仿宋" w:eastAsia="仿宋_GB2312"/>
          <w:color w:val="auto"/>
          <w:sz w:val="30"/>
          <w:szCs w:val="30"/>
          <w:lang w:val="en-US" w:eastAsia="zh-CN"/>
        </w:rPr>
        <w:t>405</w:t>
      </w:r>
      <w:r>
        <w:rPr>
          <w:rFonts w:hint="eastAsia" w:ascii="仿宋_GB2312" w:hAnsi="仿宋" w:eastAsia="仿宋_GB2312"/>
          <w:color w:val="auto"/>
          <w:sz w:val="30"/>
          <w:szCs w:val="30"/>
        </w:rPr>
        <w:t>.99万元，</w:t>
      </w:r>
      <w:r>
        <w:rPr>
          <w:rFonts w:hint="eastAsia" w:ascii="仿宋_GB2312" w:hAnsi="仿宋" w:eastAsia="仿宋_GB2312"/>
          <w:color w:val="auto"/>
          <w:sz w:val="30"/>
          <w:szCs w:val="30"/>
          <w:lang w:eastAsia="zh-CN"/>
        </w:rPr>
        <w:t>增加了</w:t>
      </w:r>
      <w:r>
        <w:rPr>
          <w:rFonts w:hint="eastAsia" w:ascii="仿宋_GB2312" w:hAnsi="仿宋" w:eastAsia="仿宋_GB2312"/>
          <w:color w:val="auto"/>
          <w:sz w:val="30"/>
          <w:szCs w:val="30"/>
          <w:lang w:val="en-US" w:eastAsia="zh-CN"/>
        </w:rPr>
        <w:t>397.3</w:t>
      </w:r>
      <w:r>
        <w:rPr>
          <w:rFonts w:hint="eastAsia" w:ascii="仿宋_GB2312" w:hAnsi="仿宋" w:eastAsia="仿宋_GB2312"/>
          <w:color w:val="auto"/>
          <w:sz w:val="30"/>
          <w:szCs w:val="30"/>
        </w:rPr>
        <w:t>%。</w:t>
      </w:r>
    </w:p>
    <w:p>
      <w:pPr>
        <w:spacing w:line="600" w:lineRule="exact"/>
        <w:rPr>
          <w:rFonts w:ascii="仿宋_GB2312" w:hAnsi="仿宋" w:eastAsia="仿宋_GB2312"/>
          <w:sz w:val="30"/>
          <w:szCs w:val="30"/>
        </w:rPr>
      </w:pPr>
      <w:r>
        <w:rPr>
          <w:rFonts w:hint="eastAsia" w:ascii="仿宋_GB2312" w:hAnsi="仿宋" w:eastAsia="仿宋_GB2312"/>
          <w:b/>
          <w:sz w:val="28"/>
          <w:szCs w:val="28"/>
        </w:rPr>
        <w:t>（图5：一般公共预算财政拨款支出决算变动情况）（柱状图</w:t>
      </w:r>
      <w:r>
        <w:rPr>
          <w:rFonts w:hint="eastAsia" w:ascii="仿宋_GB2312" w:hAnsi="仿宋" w:eastAsia="仿宋_GB2312"/>
          <w:sz w:val="30"/>
          <w:szCs w:val="30"/>
        </w:rPr>
        <w:t>）</w:t>
      </w:r>
    </w:p>
    <w:p>
      <w:pPr>
        <w:pStyle w:val="5"/>
        <w:spacing w:before="93"/>
        <w:rPr>
          <w:rFonts w:hint="eastAsia" w:ascii="黑体" w:hAnsi="仿宋" w:eastAsia="黑体"/>
          <w:b/>
          <w:color w:val="000000"/>
          <w:szCs w:val="30"/>
          <w:lang w:eastAsia="zh-CN"/>
        </w:rPr>
      </w:pPr>
      <w:r>
        <w:rPr>
          <w:rFonts w:hint="eastAsia" w:ascii="黑体" w:hAnsi="仿宋" w:eastAsia="黑体"/>
          <w:b/>
          <w:color w:val="000000"/>
          <w:szCs w:val="30"/>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02" w:firstLineChars="200"/>
        <w:outlineLvl w:val="2"/>
        <w:rPr>
          <w:rFonts w:ascii="仿宋_GB2312" w:hAnsi="仿宋" w:eastAsia="仿宋_GB2312"/>
          <w:b/>
          <w:color w:val="000000"/>
          <w:sz w:val="30"/>
          <w:szCs w:val="30"/>
        </w:rPr>
      </w:pPr>
      <w:bookmarkStart w:id="45" w:name="_Toc23754"/>
      <w:bookmarkStart w:id="46" w:name="_Toc739"/>
      <w:r>
        <w:rPr>
          <w:rFonts w:hint="eastAsia" w:ascii="黑体" w:hAnsi="仿宋" w:eastAsia="黑体"/>
          <w:b/>
          <w:color w:val="000000"/>
          <w:sz w:val="30"/>
          <w:szCs w:val="30"/>
        </w:rPr>
        <w:t>（二）、</w:t>
      </w:r>
      <w:r>
        <w:rPr>
          <w:rFonts w:hint="eastAsia" w:ascii="仿宋_GB2312" w:hAnsi="仿宋" w:eastAsia="仿宋_GB2312"/>
          <w:b/>
          <w:color w:val="000000"/>
          <w:sz w:val="30"/>
          <w:szCs w:val="30"/>
        </w:rPr>
        <w:t>一般公共预算财政拨款支出决算结构情况</w:t>
      </w:r>
      <w:bookmarkEnd w:id="45"/>
      <w:bookmarkEnd w:id="46"/>
    </w:p>
    <w:p>
      <w:pPr>
        <w:spacing w:line="600" w:lineRule="exact"/>
        <w:ind w:firstLine="640"/>
        <w:rPr>
          <w:rFonts w:ascii="仿宋_GB2312" w:hAnsi="仿宋" w:eastAsia="仿宋_GB2312"/>
          <w:sz w:val="30"/>
          <w:szCs w:val="30"/>
        </w:rPr>
      </w:pPr>
      <w:r>
        <w:rPr>
          <w:rFonts w:hint="eastAsia" w:ascii="仿宋_GB2312" w:hAnsi="仿宋" w:eastAsia="仿宋_GB2312"/>
          <w:sz w:val="30"/>
          <w:szCs w:val="30"/>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年一般公共预算财政拨款支出</w:t>
      </w:r>
      <w:r>
        <w:rPr>
          <w:rFonts w:hint="eastAsia" w:ascii="仿宋_GB2312" w:hAnsi="仿宋" w:eastAsia="仿宋_GB2312"/>
          <w:sz w:val="30"/>
          <w:szCs w:val="30"/>
          <w:lang w:val="en-US" w:eastAsia="zh-CN"/>
        </w:rPr>
        <w:t>508.18</w:t>
      </w:r>
      <w:r>
        <w:rPr>
          <w:rFonts w:hint="eastAsia" w:ascii="仿宋_GB2312" w:hAnsi="仿宋" w:eastAsia="仿宋_GB2312"/>
          <w:sz w:val="30"/>
          <w:szCs w:val="30"/>
        </w:rPr>
        <w:t>万元，主要用于以下方面:</w:t>
      </w:r>
      <w:r>
        <w:rPr>
          <w:rFonts w:hint="eastAsia" w:ascii="仿宋_GB2312" w:eastAsia="仿宋_GB2312"/>
          <w:sz w:val="30"/>
          <w:szCs w:val="30"/>
        </w:rPr>
        <w:t xml:space="preserve"> １、</w:t>
      </w:r>
      <w:r>
        <w:rPr>
          <w:rFonts w:hint="eastAsia" w:ascii="仿宋_GB2312" w:hAnsi="仿宋" w:eastAsia="仿宋_GB2312"/>
          <w:sz w:val="30"/>
          <w:szCs w:val="30"/>
        </w:rPr>
        <w:t>社会保障和就业支出</w:t>
      </w:r>
      <w:r>
        <w:rPr>
          <w:rFonts w:ascii="仿宋_GB2312" w:hAnsi="仿宋" w:eastAsia="仿宋_GB2312"/>
          <w:sz w:val="30"/>
          <w:szCs w:val="30"/>
        </w:rPr>
        <w:t>5.3</w:t>
      </w:r>
      <w:r>
        <w:rPr>
          <w:rFonts w:hint="eastAsia" w:ascii="仿宋_GB2312" w:hAnsi="仿宋" w:eastAsia="仿宋_GB2312"/>
          <w:sz w:val="30"/>
          <w:szCs w:val="30"/>
          <w:lang w:val="en-US" w:eastAsia="zh-CN"/>
        </w:rPr>
        <w:t>6</w:t>
      </w:r>
      <w:r>
        <w:rPr>
          <w:rFonts w:hint="eastAsia" w:ascii="仿宋_GB2312" w:hAnsi="仿宋" w:eastAsia="仿宋_GB2312"/>
          <w:sz w:val="30"/>
          <w:szCs w:val="30"/>
        </w:rPr>
        <w:t>万元，占比</w:t>
      </w:r>
      <w:r>
        <w:rPr>
          <w:rFonts w:hint="eastAsia" w:ascii="仿宋_GB2312" w:hAnsi="仿宋" w:eastAsia="仿宋_GB2312"/>
          <w:sz w:val="30"/>
          <w:szCs w:val="30"/>
          <w:lang w:val="en-US" w:eastAsia="zh-CN"/>
        </w:rPr>
        <w:t>1.05</w:t>
      </w:r>
      <w:r>
        <w:rPr>
          <w:rFonts w:hint="eastAsia" w:ascii="仿宋_GB2312" w:hAnsi="仿宋" w:eastAsia="仿宋_GB2312"/>
          <w:sz w:val="30"/>
          <w:szCs w:val="30"/>
        </w:rPr>
        <w:t>％;</w:t>
      </w:r>
      <w:r>
        <w:rPr>
          <w:rFonts w:hint="eastAsia" w:ascii="仿宋_GB2312" w:eastAsia="仿宋_GB2312"/>
          <w:sz w:val="30"/>
          <w:szCs w:val="30"/>
        </w:rPr>
        <w:t xml:space="preserve"> 2、</w:t>
      </w:r>
      <w:r>
        <w:rPr>
          <w:rFonts w:hint="eastAsia" w:ascii="仿宋_GB2312" w:hAnsi="仿宋" w:eastAsia="仿宋_GB2312"/>
          <w:sz w:val="30"/>
          <w:szCs w:val="30"/>
        </w:rPr>
        <w:t>卫生健康支出</w:t>
      </w:r>
      <w:r>
        <w:rPr>
          <w:rFonts w:hint="eastAsia" w:ascii="仿宋_GB2312" w:hAnsi="仿宋" w:eastAsia="仿宋_GB2312"/>
          <w:sz w:val="30"/>
          <w:szCs w:val="30"/>
          <w:lang w:val="en-US" w:eastAsia="zh-CN"/>
        </w:rPr>
        <w:t>2.56</w:t>
      </w:r>
      <w:r>
        <w:rPr>
          <w:rFonts w:hint="eastAsia" w:ascii="仿宋_GB2312" w:hAnsi="仿宋" w:eastAsia="仿宋_GB2312"/>
          <w:sz w:val="30"/>
          <w:szCs w:val="30"/>
        </w:rPr>
        <w:t>万元，占比</w:t>
      </w:r>
      <w:r>
        <w:rPr>
          <w:rFonts w:hint="eastAsia" w:ascii="仿宋_GB2312" w:hAnsi="仿宋" w:eastAsia="仿宋_GB2312"/>
          <w:sz w:val="30"/>
          <w:szCs w:val="30"/>
          <w:lang w:val="en-US" w:eastAsia="zh-CN"/>
        </w:rPr>
        <w:t>0.5</w:t>
      </w:r>
      <w:r>
        <w:rPr>
          <w:rFonts w:hint="eastAsia" w:ascii="仿宋_GB2312" w:hAnsi="仿宋" w:eastAsia="仿宋_GB2312"/>
          <w:sz w:val="30"/>
          <w:szCs w:val="30"/>
        </w:rPr>
        <w:t>％；3、交通运输支出</w:t>
      </w:r>
      <w:r>
        <w:rPr>
          <w:rFonts w:hint="eastAsia" w:ascii="仿宋_GB2312" w:hAnsi="仿宋" w:eastAsia="仿宋_GB2312"/>
          <w:sz w:val="30"/>
          <w:szCs w:val="30"/>
          <w:lang w:val="en-US" w:eastAsia="zh-CN"/>
        </w:rPr>
        <w:t>494.38</w:t>
      </w:r>
      <w:r>
        <w:rPr>
          <w:rFonts w:hint="eastAsia" w:ascii="仿宋_GB2312" w:hAnsi="仿宋" w:eastAsia="仿宋_GB2312"/>
          <w:sz w:val="30"/>
          <w:szCs w:val="30"/>
        </w:rPr>
        <w:t>万元，占比</w:t>
      </w:r>
      <w:r>
        <w:rPr>
          <w:rFonts w:hint="eastAsia" w:ascii="仿宋_GB2312" w:hAnsi="仿宋" w:eastAsia="仿宋_GB2312"/>
          <w:sz w:val="30"/>
          <w:szCs w:val="30"/>
          <w:lang w:val="en-US" w:eastAsia="zh-CN"/>
        </w:rPr>
        <w:t>97.28</w:t>
      </w:r>
      <w:r>
        <w:rPr>
          <w:rFonts w:hint="eastAsia" w:ascii="仿宋_GB2312" w:hAnsi="仿宋" w:eastAsia="仿宋_GB2312"/>
          <w:sz w:val="30"/>
          <w:szCs w:val="30"/>
        </w:rPr>
        <w:t>％；4、住房保障支出</w:t>
      </w:r>
      <w:r>
        <w:rPr>
          <w:rFonts w:hint="eastAsia" w:ascii="仿宋_GB2312" w:hAnsi="仿宋" w:eastAsia="仿宋_GB2312"/>
          <w:sz w:val="30"/>
          <w:szCs w:val="30"/>
          <w:lang w:val="en-US" w:eastAsia="zh-CN"/>
        </w:rPr>
        <w:t>5.87</w:t>
      </w:r>
      <w:r>
        <w:rPr>
          <w:rFonts w:hint="eastAsia" w:ascii="仿宋_GB2312" w:hAnsi="仿宋" w:eastAsia="仿宋_GB2312"/>
          <w:sz w:val="30"/>
          <w:szCs w:val="30"/>
        </w:rPr>
        <w:t>万元，占比</w:t>
      </w:r>
      <w:r>
        <w:rPr>
          <w:rFonts w:hint="eastAsia" w:ascii="仿宋_GB2312" w:hAnsi="仿宋" w:eastAsia="仿宋_GB2312"/>
          <w:sz w:val="30"/>
          <w:szCs w:val="30"/>
          <w:lang w:val="en-US" w:eastAsia="zh-CN"/>
        </w:rPr>
        <w:t>1.17</w:t>
      </w:r>
      <w:r>
        <w:rPr>
          <w:rFonts w:hint="eastAsia" w:ascii="仿宋_GB2312" w:hAnsi="仿宋" w:eastAsia="仿宋_GB2312"/>
          <w:sz w:val="30"/>
          <w:szCs w:val="30"/>
        </w:rPr>
        <w:t>％</w:t>
      </w:r>
      <w:r>
        <w:rPr>
          <w:rFonts w:hint="eastAsia" w:ascii="仿宋_GB2312" w:hAnsi="仿宋" w:eastAsia="仿宋_GB2312"/>
          <w:bCs/>
          <w:color w:val="000000"/>
          <w:sz w:val="30"/>
          <w:szCs w:val="30"/>
        </w:rPr>
        <w:t>。</w:t>
      </w:r>
    </w:p>
    <w:p>
      <w:pPr>
        <w:spacing w:line="600" w:lineRule="exact"/>
        <w:ind w:firstLine="562" w:firstLineChars="200"/>
        <w:outlineLvl w:val="3"/>
        <w:rPr>
          <w:rFonts w:ascii="仿宋_GB2312" w:hAnsi="仿宋" w:eastAsia="仿宋_GB2312"/>
          <w:b/>
          <w:sz w:val="28"/>
          <w:szCs w:val="28"/>
        </w:rPr>
      </w:pPr>
      <w:r>
        <w:rPr>
          <w:rFonts w:hint="eastAsia" w:ascii="仿宋_GB2312" w:hAnsi="仿宋" w:eastAsia="仿宋_GB2312"/>
          <w:b/>
          <w:sz w:val="28"/>
          <w:szCs w:val="28"/>
        </w:rPr>
        <w:t>（图6：一般公共预算财政拨款支出决算结构）</w:t>
      </w:r>
    </w:p>
    <w:p>
      <w:pPr>
        <w:spacing w:line="600" w:lineRule="exact"/>
        <w:ind w:firstLine="562" w:firstLineChars="200"/>
        <w:rPr>
          <w:rFonts w:ascii="仿宋_GB2312" w:hAnsi="仿宋" w:eastAsia="仿宋_GB2312"/>
          <w:b/>
          <w:sz w:val="28"/>
          <w:szCs w:val="28"/>
        </w:rPr>
      </w:pPr>
    </w:p>
    <w:p>
      <w:pPr>
        <w:pStyle w:val="12"/>
        <w:ind w:left="1060" w:hanging="640"/>
        <w:rPr>
          <w:rFonts w:hint="eastAsia" w:eastAsia="宋体"/>
          <w:lang w:eastAsia="zh-CN"/>
        </w:rPr>
      </w:pPr>
      <w:r>
        <w:rPr>
          <w:rFonts w:hint="eastAsia" w:eastAsia="宋体"/>
          <w:lang w:eastAsia="zh-CN"/>
        </w:rPr>
        <w:drawing>
          <wp:inline distT="0" distB="0" distL="114300" distR="114300">
            <wp:extent cx="5256530" cy="2854960"/>
            <wp:effectExtent l="4445" t="4445" r="15875"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7" w:name="_Toc28736"/>
      <w:bookmarkStart w:id="48" w:name="_Toc11825"/>
      <w:r>
        <w:rPr>
          <w:rFonts w:hint="eastAsia" w:ascii="仿宋" w:hAnsi="仿宋" w:eastAsia="仿宋"/>
          <w:b/>
          <w:sz w:val="32"/>
          <w:szCs w:val="32"/>
        </w:rPr>
        <w:t>（三）一般公共预算财政拨款支出决算具体情况</w:t>
      </w:r>
      <w:bookmarkEnd w:id="47"/>
      <w:bookmarkEnd w:id="48"/>
    </w:p>
    <w:p>
      <w:pPr>
        <w:spacing w:line="600" w:lineRule="exact"/>
        <w:ind w:firstLine="602" w:firstLineChars="200"/>
        <w:rPr>
          <w:rStyle w:val="18"/>
          <w:rFonts w:hint="eastAsia" w:ascii="仿宋_GB2312" w:hAnsi="仿宋" w:eastAsia="仿宋_GB2312"/>
          <w:bCs/>
          <w:sz w:val="30"/>
          <w:szCs w:val="30"/>
        </w:rPr>
      </w:pPr>
      <w:bookmarkStart w:id="49" w:name="_Toc23518"/>
      <w:bookmarkStart w:id="50" w:name="_Toc27945"/>
      <w:bookmarkStart w:id="51" w:name="_Toc23370"/>
      <w:bookmarkStart w:id="52" w:name="_Toc23352"/>
      <w:r>
        <w:rPr>
          <w:rStyle w:val="18"/>
          <w:rFonts w:hint="eastAsia" w:ascii="仿宋_GB2312" w:hAnsi="仿宋" w:eastAsia="仿宋_GB2312"/>
          <w:bCs/>
          <w:sz w:val="30"/>
          <w:szCs w:val="30"/>
        </w:rPr>
        <w:t>202</w:t>
      </w:r>
      <w:r>
        <w:rPr>
          <w:rStyle w:val="18"/>
          <w:rFonts w:hint="eastAsia" w:ascii="仿宋_GB2312" w:hAnsi="仿宋" w:eastAsia="仿宋_GB2312"/>
          <w:bCs/>
          <w:sz w:val="30"/>
          <w:szCs w:val="30"/>
          <w:lang w:val="en-US" w:eastAsia="zh-CN"/>
        </w:rPr>
        <w:t>2</w:t>
      </w:r>
      <w:r>
        <w:rPr>
          <w:rStyle w:val="18"/>
          <w:rFonts w:hint="eastAsia" w:ascii="仿宋_GB2312" w:hAnsi="仿宋" w:eastAsia="仿宋_GB2312"/>
          <w:bCs/>
          <w:sz w:val="30"/>
          <w:szCs w:val="30"/>
        </w:rPr>
        <w:t>年一般公共预算支出决算数为</w:t>
      </w:r>
      <w:r>
        <w:rPr>
          <w:rStyle w:val="18"/>
          <w:rFonts w:hint="eastAsia" w:ascii="仿宋_GB2312" w:hAnsi="仿宋" w:eastAsia="仿宋_GB2312"/>
          <w:bCs/>
          <w:sz w:val="30"/>
          <w:szCs w:val="30"/>
          <w:lang w:val="en-US" w:eastAsia="zh-CN"/>
        </w:rPr>
        <w:t>508.18</w:t>
      </w:r>
      <w:r>
        <w:rPr>
          <w:rStyle w:val="18"/>
          <w:rFonts w:hint="eastAsia" w:ascii="仿宋_GB2312" w:hAnsi="仿宋" w:eastAsia="仿宋_GB2312"/>
          <w:bCs/>
          <w:sz w:val="30"/>
          <w:szCs w:val="30"/>
        </w:rPr>
        <w:t>万元，完成预算100%。其中：</w:t>
      </w:r>
      <w:bookmarkEnd w:id="49"/>
      <w:bookmarkEnd w:id="50"/>
      <w:bookmarkEnd w:id="51"/>
      <w:bookmarkEnd w:id="52"/>
    </w:p>
    <w:p>
      <w:pPr>
        <w:spacing w:line="600" w:lineRule="exact"/>
        <w:ind w:firstLine="602" w:firstLineChars="200"/>
        <w:rPr>
          <w:rFonts w:ascii="仿宋_GB2312" w:hAnsi="仿宋" w:eastAsia="仿宋_GB2312"/>
          <w:b/>
          <w:sz w:val="30"/>
          <w:szCs w:val="30"/>
        </w:rPr>
      </w:pPr>
      <w:r>
        <w:rPr>
          <w:rStyle w:val="18"/>
          <w:rFonts w:hint="eastAsia" w:ascii="仿宋_GB2312" w:hAnsi="仿宋" w:eastAsia="仿宋_GB2312"/>
          <w:bCs/>
          <w:sz w:val="30"/>
          <w:szCs w:val="30"/>
        </w:rPr>
        <w:t>1.社会保障和就业（类）行政事业单位养老（款）机关事业单位基本养老保险缴费支出（项）（2080505）、 机关事业单位职业年金缴费（项）（2080506）:支出决算为5.</w:t>
      </w:r>
      <w:r>
        <w:rPr>
          <w:rStyle w:val="18"/>
          <w:rFonts w:hint="eastAsia" w:ascii="仿宋_GB2312" w:hAnsi="仿宋" w:eastAsia="仿宋_GB2312"/>
          <w:bCs/>
          <w:sz w:val="30"/>
          <w:szCs w:val="30"/>
          <w:lang w:val="en-US" w:eastAsia="zh-CN"/>
        </w:rPr>
        <w:t>36</w:t>
      </w:r>
      <w:r>
        <w:rPr>
          <w:rStyle w:val="18"/>
          <w:rFonts w:hint="eastAsia" w:ascii="仿宋_GB2312" w:hAnsi="仿宋" w:eastAsia="仿宋_GB2312"/>
          <w:bCs/>
          <w:sz w:val="30"/>
          <w:szCs w:val="30"/>
        </w:rPr>
        <w:t>万元，完成预算100%，决算数等于预算数其主要用于机关事业单位基本养老保险缴费支出和机关事业单位职业年金缴费支出。</w:t>
      </w:r>
    </w:p>
    <w:p>
      <w:pPr>
        <w:spacing w:line="600" w:lineRule="exact"/>
        <w:ind w:firstLine="602" w:firstLineChars="200"/>
        <w:rPr>
          <w:rStyle w:val="18"/>
          <w:rFonts w:ascii="仿宋_GB2312" w:hAnsi="仿宋" w:eastAsia="仿宋_GB2312"/>
          <w:bCs/>
          <w:sz w:val="30"/>
          <w:szCs w:val="30"/>
        </w:rPr>
      </w:pPr>
      <w:r>
        <w:rPr>
          <w:rStyle w:val="18"/>
          <w:rFonts w:hint="eastAsia" w:ascii="仿宋_GB2312" w:hAnsi="仿宋" w:eastAsia="仿宋_GB2312"/>
          <w:bCs/>
          <w:sz w:val="30"/>
          <w:szCs w:val="30"/>
        </w:rPr>
        <w:t>2.卫生健康（类）行政事业单位医疗（款）（2101101）:支出决算为</w:t>
      </w:r>
      <w:r>
        <w:rPr>
          <w:rStyle w:val="18"/>
          <w:rFonts w:hint="eastAsia" w:ascii="仿宋_GB2312" w:hAnsi="仿宋" w:eastAsia="仿宋_GB2312"/>
          <w:bCs/>
          <w:sz w:val="30"/>
          <w:szCs w:val="30"/>
          <w:lang w:val="en-US" w:eastAsia="zh-CN"/>
        </w:rPr>
        <w:t>2.56</w:t>
      </w:r>
      <w:r>
        <w:rPr>
          <w:rStyle w:val="18"/>
          <w:rFonts w:hint="eastAsia" w:ascii="仿宋_GB2312" w:hAnsi="仿宋" w:eastAsia="仿宋_GB2312"/>
          <w:bCs/>
          <w:sz w:val="30"/>
          <w:szCs w:val="30"/>
        </w:rPr>
        <w:t>万元，完成预算100%，决算数等于预算数其主要用于参公事业单位医疗支出。</w:t>
      </w:r>
    </w:p>
    <w:p>
      <w:pPr>
        <w:spacing w:line="600" w:lineRule="exact"/>
        <w:ind w:firstLine="602" w:firstLineChars="200"/>
        <w:rPr>
          <w:rStyle w:val="18"/>
          <w:rFonts w:ascii="仿宋_GB2312" w:hAnsi="仿宋" w:eastAsia="仿宋_GB2312"/>
          <w:bCs/>
          <w:sz w:val="30"/>
          <w:szCs w:val="30"/>
        </w:rPr>
      </w:pPr>
      <w:r>
        <w:rPr>
          <w:rStyle w:val="18"/>
          <w:rFonts w:hint="eastAsia" w:ascii="仿宋_GB2312" w:hAnsi="仿宋" w:eastAsia="仿宋_GB2312"/>
          <w:bCs/>
          <w:sz w:val="30"/>
          <w:szCs w:val="30"/>
        </w:rPr>
        <w:t>3.交通系统行业支出</w:t>
      </w:r>
      <w:r>
        <w:rPr>
          <w:rFonts w:hint="eastAsia" w:ascii="仿宋_GB2312" w:hAnsi="仿宋" w:eastAsia="仿宋_GB2312"/>
          <w:b/>
          <w:sz w:val="32"/>
          <w:szCs w:val="32"/>
        </w:rPr>
        <w:t>具体</w:t>
      </w:r>
      <w:r>
        <w:rPr>
          <w:rStyle w:val="18"/>
          <w:rFonts w:hint="eastAsia" w:ascii="仿宋_GB2312" w:hAnsi="仿宋" w:eastAsia="仿宋_GB2312"/>
          <w:bCs/>
          <w:sz w:val="30"/>
          <w:szCs w:val="30"/>
        </w:rPr>
        <w:t>情况如下：</w:t>
      </w:r>
    </w:p>
    <w:p>
      <w:pPr>
        <w:spacing w:line="600" w:lineRule="exact"/>
        <w:ind w:firstLine="602" w:firstLineChars="200"/>
        <w:rPr>
          <w:rStyle w:val="18"/>
          <w:rFonts w:hint="eastAsia" w:ascii="仿宋_GB2312" w:hAnsi="仿宋" w:eastAsia="仿宋_GB2312"/>
          <w:bCs/>
          <w:sz w:val="30"/>
          <w:szCs w:val="30"/>
        </w:rPr>
      </w:pPr>
      <w:r>
        <w:rPr>
          <w:rStyle w:val="18"/>
          <w:rFonts w:hint="eastAsia" w:ascii="仿宋_GB2312" w:hAnsi="仿宋" w:eastAsia="仿宋_GB2312"/>
          <w:bCs/>
          <w:sz w:val="30"/>
          <w:szCs w:val="30"/>
        </w:rPr>
        <w:t>（1）、交通运输（类）公路水路运输（款）行政运行（项）（2140101）:支出决算为</w:t>
      </w:r>
      <w:r>
        <w:rPr>
          <w:rStyle w:val="18"/>
          <w:rFonts w:hint="eastAsia" w:ascii="仿宋_GB2312" w:hAnsi="仿宋" w:eastAsia="仿宋_GB2312"/>
          <w:bCs/>
          <w:sz w:val="30"/>
          <w:szCs w:val="30"/>
          <w:lang w:val="en-US" w:eastAsia="zh-CN"/>
        </w:rPr>
        <w:t>68.77</w:t>
      </w:r>
      <w:r>
        <w:rPr>
          <w:rStyle w:val="18"/>
          <w:rFonts w:hint="eastAsia" w:ascii="仿宋_GB2312" w:hAnsi="仿宋" w:eastAsia="仿宋_GB2312"/>
          <w:bCs/>
          <w:sz w:val="30"/>
          <w:szCs w:val="30"/>
        </w:rPr>
        <w:t>万元，完成预算100%，决算数等于预算数其主要用于保障</w:t>
      </w:r>
      <w:r>
        <w:rPr>
          <w:rStyle w:val="18"/>
          <w:rFonts w:hint="eastAsia" w:ascii="仿宋_GB2312" w:hAnsi="仿宋" w:eastAsia="仿宋_GB2312"/>
          <w:bCs/>
          <w:sz w:val="30"/>
          <w:szCs w:val="30"/>
          <w:lang w:eastAsia="zh-CN"/>
        </w:rPr>
        <w:t>交通运输综合服务中心行业管理安全稳定</w:t>
      </w:r>
      <w:r>
        <w:rPr>
          <w:rStyle w:val="18"/>
          <w:rFonts w:hint="eastAsia" w:ascii="仿宋_GB2312" w:hAnsi="仿宋" w:eastAsia="仿宋_GB2312"/>
          <w:bCs/>
          <w:sz w:val="30"/>
          <w:szCs w:val="30"/>
        </w:rPr>
        <w:t>。</w:t>
      </w:r>
    </w:p>
    <w:p>
      <w:pPr>
        <w:spacing w:line="600" w:lineRule="exact"/>
        <w:ind w:firstLine="602" w:firstLineChars="200"/>
        <w:rPr>
          <w:rStyle w:val="18"/>
          <w:rFonts w:hint="eastAsia" w:ascii="仿宋_GB2312" w:hAnsi="仿宋" w:eastAsia="仿宋_GB2312"/>
          <w:bCs/>
          <w:sz w:val="30"/>
          <w:szCs w:val="30"/>
        </w:rPr>
      </w:pPr>
      <w:r>
        <w:rPr>
          <w:rStyle w:val="18"/>
          <w:rFonts w:hint="eastAsia" w:ascii="仿宋_GB2312" w:hAnsi="仿宋" w:eastAsia="仿宋_GB2312"/>
          <w:bCs/>
          <w:sz w:val="30"/>
          <w:szCs w:val="30"/>
          <w:lang w:eastAsia="zh-CN"/>
        </w:rPr>
        <w:t>（</w:t>
      </w:r>
      <w:r>
        <w:rPr>
          <w:rStyle w:val="18"/>
          <w:rFonts w:hint="eastAsia" w:ascii="仿宋_GB2312" w:hAnsi="仿宋" w:eastAsia="仿宋_GB2312"/>
          <w:bCs/>
          <w:sz w:val="30"/>
          <w:szCs w:val="30"/>
          <w:lang w:val="en-US" w:eastAsia="zh-CN"/>
        </w:rPr>
        <w:t>2）</w:t>
      </w:r>
      <w:r>
        <w:rPr>
          <w:rStyle w:val="18"/>
          <w:rFonts w:hint="eastAsia" w:ascii="仿宋_GB2312" w:hAnsi="仿宋" w:eastAsia="仿宋_GB2312"/>
          <w:bCs/>
          <w:sz w:val="30"/>
          <w:szCs w:val="30"/>
        </w:rPr>
        <w:t>交通运输（类）公路水路运输（款）</w:t>
      </w:r>
      <w:r>
        <w:rPr>
          <w:rStyle w:val="18"/>
          <w:rFonts w:hint="eastAsia" w:ascii="仿宋_GB2312" w:hAnsi="仿宋" w:eastAsia="仿宋_GB2312" w:cstheme="minorBidi"/>
          <w:bCs/>
          <w:kern w:val="2"/>
          <w:sz w:val="30"/>
          <w:szCs w:val="30"/>
          <w:lang w:val="en-US" w:eastAsia="zh-CN" w:bidi="ar-SA"/>
        </w:rPr>
        <w:t>其他公路水路运行支出（2140199）：</w:t>
      </w:r>
      <w:r>
        <w:rPr>
          <w:rStyle w:val="18"/>
          <w:rFonts w:hint="eastAsia" w:ascii="仿宋_GB2312" w:hAnsi="仿宋" w:eastAsia="仿宋_GB2312"/>
          <w:bCs/>
          <w:sz w:val="30"/>
          <w:szCs w:val="30"/>
        </w:rPr>
        <w:t>支出决算</w:t>
      </w:r>
      <w:r>
        <w:rPr>
          <w:rStyle w:val="18"/>
          <w:rFonts w:hint="eastAsia" w:ascii="仿宋_GB2312" w:hAnsi="仿宋" w:eastAsia="仿宋_GB2312"/>
          <w:bCs/>
          <w:sz w:val="30"/>
          <w:szCs w:val="30"/>
          <w:lang w:val="en-US" w:eastAsia="zh-CN"/>
        </w:rPr>
        <w:t>4.5</w:t>
      </w:r>
      <w:r>
        <w:rPr>
          <w:rStyle w:val="18"/>
          <w:rFonts w:hint="eastAsia" w:ascii="仿宋_GB2312" w:hAnsi="仿宋" w:eastAsia="仿宋_GB2312"/>
          <w:bCs/>
          <w:sz w:val="30"/>
          <w:szCs w:val="30"/>
        </w:rPr>
        <w:t>万元，完成预算100%，决算数等于预算数其主要用于保障</w:t>
      </w:r>
      <w:r>
        <w:rPr>
          <w:rStyle w:val="18"/>
          <w:rFonts w:hint="eastAsia" w:ascii="仿宋_GB2312" w:hAnsi="仿宋" w:eastAsia="仿宋_GB2312"/>
          <w:bCs/>
          <w:sz w:val="30"/>
          <w:szCs w:val="30"/>
          <w:lang w:eastAsia="zh-CN"/>
        </w:rPr>
        <w:t>交通运输综合服务中心</w:t>
      </w:r>
      <w:r>
        <w:rPr>
          <w:rStyle w:val="18"/>
          <w:rFonts w:hint="eastAsia" w:ascii="仿宋_GB2312" w:hAnsi="仿宋" w:eastAsia="仿宋_GB2312"/>
          <w:bCs/>
          <w:sz w:val="30"/>
          <w:szCs w:val="30"/>
        </w:rPr>
        <w:t>各</w:t>
      </w:r>
      <w:r>
        <w:rPr>
          <w:rStyle w:val="18"/>
          <w:rFonts w:hint="eastAsia" w:ascii="仿宋_GB2312" w:hAnsi="仿宋" w:eastAsia="仿宋_GB2312"/>
          <w:bCs/>
          <w:sz w:val="30"/>
          <w:szCs w:val="30"/>
          <w:lang w:eastAsia="zh-CN"/>
        </w:rPr>
        <w:t>股室</w:t>
      </w:r>
      <w:r>
        <w:rPr>
          <w:rStyle w:val="18"/>
          <w:rFonts w:hint="eastAsia" w:ascii="仿宋_GB2312" w:hAnsi="仿宋" w:eastAsia="仿宋_GB2312"/>
          <w:bCs/>
          <w:sz w:val="30"/>
          <w:szCs w:val="30"/>
        </w:rPr>
        <w:t>正常运转。</w:t>
      </w:r>
    </w:p>
    <w:p>
      <w:pPr>
        <w:spacing w:line="600" w:lineRule="exact"/>
        <w:ind w:firstLine="602" w:firstLineChars="200"/>
        <w:rPr>
          <w:rStyle w:val="18"/>
          <w:rFonts w:ascii="仿宋_GB2312" w:hAnsi="仿宋" w:eastAsia="仿宋_GB2312"/>
          <w:bCs/>
          <w:sz w:val="30"/>
          <w:szCs w:val="30"/>
        </w:rPr>
      </w:pPr>
      <w:r>
        <w:rPr>
          <w:rStyle w:val="18"/>
          <w:rFonts w:hint="eastAsia" w:ascii="仿宋_GB2312" w:hAnsi="仿宋" w:eastAsia="仿宋_GB2312"/>
          <w:bCs/>
          <w:sz w:val="30"/>
          <w:szCs w:val="30"/>
        </w:rPr>
        <w:t>（</w:t>
      </w:r>
      <w:r>
        <w:rPr>
          <w:rStyle w:val="18"/>
          <w:rFonts w:hint="eastAsia" w:ascii="仿宋_GB2312" w:hAnsi="仿宋" w:eastAsia="仿宋_GB2312"/>
          <w:bCs/>
          <w:sz w:val="30"/>
          <w:szCs w:val="30"/>
          <w:lang w:val="en-US" w:eastAsia="zh-CN"/>
        </w:rPr>
        <w:t>3</w:t>
      </w:r>
      <w:r>
        <w:rPr>
          <w:rStyle w:val="18"/>
          <w:rFonts w:hint="eastAsia" w:ascii="仿宋_GB2312" w:hAnsi="仿宋" w:eastAsia="仿宋_GB2312"/>
          <w:bCs/>
          <w:sz w:val="30"/>
          <w:szCs w:val="30"/>
        </w:rPr>
        <w:t>）交通运输（类）公共交通运营补助</w:t>
      </w:r>
      <w:r>
        <w:rPr>
          <w:rStyle w:val="18"/>
          <w:rFonts w:hint="eastAsia" w:ascii="仿宋_GB2312" w:hAnsi="仿宋" w:eastAsia="仿宋_GB2312"/>
          <w:bCs/>
          <w:sz w:val="30"/>
          <w:szCs w:val="30"/>
          <w:lang w:eastAsia="zh-CN"/>
        </w:rPr>
        <w:t>（2149901）</w:t>
      </w:r>
      <w:r>
        <w:rPr>
          <w:rStyle w:val="18"/>
          <w:rFonts w:hint="eastAsia" w:ascii="仿宋_GB2312" w:hAnsi="仿宋" w:eastAsia="仿宋_GB2312"/>
          <w:bCs/>
          <w:sz w:val="30"/>
          <w:szCs w:val="30"/>
        </w:rPr>
        <w:t>:支出决算为</w:t>
      </w:r>
      <w:r>
        <w:rPr>
          <w:rStyle w:val="18"/>
          <w:rFonts w:hint="eastAsia" w:ascii="仿宋_GB2312" w:hAnsi="仿宋" w:eastAsia="仿宋_GB2312"/>
          <w:bCs/>
          <w:sz w:val="30"/>
          <w:szCs w:val="30"/>
          <w:lang w:val="en-US" w:eastAsia="zh-CN"/>
        </w:rPr>
        <w:t>421.11</w:t>
      </w:r>
      <w:r>
        <w:rPr>
          <w:rStyle w:val="18"/>
          <w:rFonts w:hint="eastAsia" w:ascii="仿宋_GB2312" w:hAnsi="仿宋" w:eastAsia="仿宋_GB2312"/>
          <w:bCs/>
          <w:sz w:val="30"/>
          <w:szCs w:val="30"/>
        </w:rPr>
        <w:t>万元，完成预算100%，决算数等于预算数其主要用于公共交通运营补助</w:t>
      </w:r>
      <w:r>
        <w:rPr>
          <w:rStyle w:val="18"/>
          <w:rFonts w:hint="eastAsia" w:ascii="仿宋_GB2312" w:hAnsi="仿宋" w:eastAsia="仿宋_GB2312"/>
          <w:bCs/>
          <w:sz w:val="30"/>
          <w:szCs w:val="30"/>
          <w:lang w:eastAsia="zh-CN"/>
        </w:rPr>
        <w:t>的</w:t>
      </w:r>
      <w:r>
        <w:rPr>
          <w:rStyle w:val="18"/>
          <w:rFonts w:hint="eastAsia" w:ascii="仿宋_GB2312" w:hAnsi="仿宋" w:eastAsia="仿宋_GB2312"/>
          <w:bCs/>
          <w:sz w:val="30"/>
          <w:szCs w:val="30"/>
        </w:rPr>
        <w:t>项目支出。</w:t>
      </w:r>
    </w:p>
    <w:p>
      <w:pPr>
        <w:spacing w:line="600" w:lineRule="exact"/>
        <w:ind w:firstLine="602" w:firstLineChars="200"/>
        <w:rPr>
          <w:rStyle w:val="18"/>
          <w:rFonts w:hint="eastAsia" w:ascii="仿宋_GB2312" w:hAnsi="仿宋" w:eastAsia="仿宋_GB2312"/>
          <w:bCs/>
          <w:sz w:val="30"/>
          <w:szCs w:val="30"/>
        </w:rPr>
      </w:pPr>
      <w:r>
        <w:rPr>
          <w:rStyle w:val="18"/>
          <w:rFonts w:hint="eastAsia" w:ascii="仿宋_GB2312" w:hAnsi="仿宋" w:eastAsia="仿宋_GB2312"/>
          <w:bCs/>
          <w:sz w:val="30"/>
          <w:szCs w:val="30"/>
        </w:rPr>
        <w:t>4.住房保障（类）住房改革（款）住房公积金（项）（2210201）:支出决算为</w:t>
      </w:r>
      <w:r>
        <w:rPr>
          <w:rStyle w:val="18"/>
          <w:rFonts w:hint="eastAsia" w:ascii="仿宋_GB2312" w:hAnsi="仿宋" w:eastAsia="仿宋_GB2312"/>
          <w:bCs/>
          <w:sz w:val="30"/>
          <w:szCs w:val="30"/>
          <w:lang w:val="en-US" w:eastAsia="zh-CN"/>
        </w:rPr>
        <w:t>5.87</w:t>
      </w:r>
      <w:r>
        <w:rPr>
          <w:rStyle w:val="18"/>
          <w:rFonts w:hint="eastAsia" w:ascii="仿宋_GB2312" w:hAnsi="仿宋" w:eastAsia="仿宋_GB2312"/>
          <w:bCs/>
          <w:sz w:val="30"/>
          <w:szCs w:val="30"/>
        </w:rPr>
        <w:t>万元，完成预算100%，决算数等于预算数其主要用于干部职工住房公积金。</w:t>
      </w:r>
    </w:p>
    <w:p>
      <w:pPr>
        <w:tabs>
          <w:tab w:val="right" w:pos="8306"/>
        </w:tabs>
        <w:spacing w:line="600" w:lineRule="exact"/>
        <w:ind w:firstLine="640"/>
        <w:outlineLvl w:val="1"/>
        <w:rPr>
          <w:rStyle w:val="29"/>
          <w:rFonts w:ascii="黑体" w:eastAsia="黑体"/>
          <w:sz w:val="30"/>
          <w:szCs w:val="30"/>
        </w:rPr>
      </w:pPr>
      <w:bookmarkStart w:id="53" w:name="_Toc19320"/>
      <w:bookmarkStart w:id="54" w:name="_Toc987"/>
      <w:bookmarkStart w:id="55" w:name="_Toc30213"/>
      <w:bookmarkStart w:id="56" w:name="_Toc31061"/>
      <w:r>
        <w:rPr>
          <w:rStyle w:val="34"/>
          <w:rFonts w:hint="eastAsia" w:ascii="宋体" w:hAnsi="宋体" w:eastAsia="宋体" w:cs="宋体"/>
          <w:b/>
          <w:bCs/>
          <w:sz w:val="32"/>
          <w:szCs w:val="32"/>
        </w:rPr>
        <w:t>六、一般公共预算财政拨款基本支出决算情况说明</w:t>
      </w:r>
      <w:bookmarkEnd w:id="53"/>
      <w:bookmarkEnd w:id="54"/>
      <w:bookmarkEnd w:id="55"/>
      <w:bookmarkEnd w:id="56"/>
      <w:r>
        <w:rPr>
          <w:rStyle w:val="29"/>
          <w:rFonts w:hint="eastAsia" w:ascii="黑体" w:hAnsi="黑体" w:eastAsia="黑体"/>
          <w:sz w:val="30"/>
          <w:szCs w:val="30"/>
        </w:rPr>
        <w:tab/>
      </w:r>
    </w:p>
    <w:p>
      <w:pPr>
        <w:spacing w:line="600" w:lineRule="exact"/>
        <w:ind w:firstLine="645"/>
        <w:rPr>
          <w:rFonts w:ascii="仿宋_GB2312" w:hAnsi="仿宋" w:eastAsia="仿宋_GB2312"/>
          <w:color w:val="000000"/>
          <w:sz w:val="30"/>
          <w:szCs w:val="30"/>
        </w:rPr>
      </w:pPr>
      <w:r>
        <w:rPr>
          <w:rFonts w:hint="eastAsia" w:ascii="仿宋_GB2312" w:hAnsi="仿宋" w:eastAsia="仿宋_GB2312"/>
          <w:color w:val="000000"/>
          <w:sz w:val="30"/>
          <w:szCs w:val="30"/>
        </w:rPr>
        <w:t>202</w:t>
      </w: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年一般公共预算财政拨款基本支</w:t>
      </w:r>
      <w:r>
        <w:rPr>
          <w:rFonts w:hint="eastAsia" w:ascii="仿宋_GB2312" w:hAnsi="仿宋" w:eastAsia="仿宋_GB2312"/>
          <w:color w:val="000000"/>
          <w:sz w:val="30"/>
          <w:szCs w:val="30"/>
          <w:lang w:val="en-US" w:eastAsia="zh-CN"/>
        </w:rPr>
        <w:t>82.57</w:t>
      </w:r>
      <w:r>
        <w:rPr>
          <w:rFonts w:hint="eastAsia" w:ascii="仿宋_GB2312" w:hAnsi="仿宋" w:eastAsia="仿宋_GB2312"/>
          <w:color w:val="000000"/>
          <w:sz w:val="30"/>
          <w:szCs w:val="30"/>
        </w:rPr>
        <w:t>万元，其中：</w:t>
      </w:r>
    </w:p>
    <w:p>
      <w:pPr>
        <w:spacing w:line="600" w:lineRule="exact"/>
        <w:rPr>
          <w:rFonts w:ascii="仿宋_GB2312" w:hAnsi="仿宋" w:eastAsia="仿宋_GB2312"/>
          <w:color w:val="000000"/>
          <w:sz w:val="30"/>
          <w:szCs w:val="30"/>
        </w:rPr>
      </w:pPr>
      <w:r>
        <w:rPr>
          <w:rFonts w:hint="eastAsia" w:ascii="仿宋_GB2312" w:hAnsi="仿宋" w:eastAsia="仿宋_GB2312"/>
          <w:color w:val="000000"/>
          <w:sz w:val="30"/>
          <w:szCs w:val="30"/>
        </w:rPr>
        <w:t>人员经费</w:t>
      </w:r>
      <w:r>
        <w:rPr>
          <w:rFonts w:hint="eastAsia" w:ascii="仿宋_GB2312" w:hAnsi="仿宋" w:eastAsia="仿宋_GB2312"/>
          <w:color w:val="000000"/>
          <w:sz w:val="30"/>
          <w:szCs w:val="30"/>
          <w:lang w:val="en-US" w:eastAsia="zh-CN"/>
        </w:rPr>
        <w:t>73.29</w:t>
      </w:r>
      <w:r>
        <w:rPr>
          <w:rFonts w:hint="eastAsia" w:ascii="仿宋_GB2312" w:hAnsi="仿宋" w:eastAsia="仿宋_GB2312"/>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rPr>
          <w:rFonts w:ascii="仿宋_GB2312" w:hAnsi="仿宋" w:eastAsia="仿宋_GB2312"/>
          <w:color w:val="000000"/>
          <w:sz w:val="30"/>
          <w:szCs w:val="30"/>
        </w:rPr>
      </w:pPr>
      <w:r>
        <w:rPr>
          <w:rFonts w:hint="eastAsia" w:ascii="仿宋_GB2312" w:hAnsi="仿宋" w:eastAsia="仿宋_GB2312"/>
          <w:color w:val="000000"/>
          <w:sz w:val="30"/>
          <w:szCs w:val="30"/>
        </w:rPr>
        <w:t>　　公用经费9.</w:t>
      </w:r>
      <w:r>
        <w:rPr>
          <w:rFonts w:hint="eastAsia" w:ascii="仿宋_GB2312" w:hAnsi="仿宋" w:eastAsia="仿宋_GB2312"/>
          <w:color w:val="000000"/>
          <w:sz w:val="30"/>
          <w:szCs w:val="30"/>
          <w:lang w:val="en-US" w:eastAsia="zh-CN"/>
        </w:rPr>
        <w:t>28</w:t>
      </w:r>
      <w:r>
        <w:rPr>
          <w:rFonts w:hint="eastAsia" w:ascii="仿宋_GB2312" w:hAnsi="仿宋" w:eastAsia="仿宋_GB2312"/>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13"/>
        <w:bidi w:val="0"/>
        <w:outlineLvl w:val="1"/>
        <w:rPr>
          <w:rFonts w:hint="eastAsia" w:ascii="宋体" w:hAnsi="宋体" w:eastAsia="宋体" w:cs="宋体"/>
          <w:b/>
          <w:bCs/>
          <w:sz w:val="32"/>
          <w:szCs w:val="32"/>
        </w:rPr>
      </w:pPr>
      <w:bookmarkStart w:id="57" w:name="_Toc22160"/>
      <w:bookmarkStart w:id="58" w:name="_Toc28392"/>
      <w:bookmarkStart w:id="59" w:name="_Toc13149"/>
      <w:r>
        <w:rPr>
          <w:rFonts w:hint="eastAsia" w:ascii="宋体" w:hAnsi="宋体" w:eastAsia="宋体" w:cs="宋体"/>
          <w:b/>
          <w:bCs/>
          <w:sz w:val="32"/>
          <w:szCs w:val="32"/>
        </w:rPr>
        <w:t>七、“三公”经费财政拨款支出决算情况说明</w:t>
      </w:r>
      <w:bookmarkEnd w:id="57"/>
      <w:bookmarkEnd w:id="58"/>
      <w:bookmarkEnd w:id="59"/>
    </w:p>
    <w:p>
      <w:pPr>
        <w:spacing w:line="600" w:lineRule="exact"/>
        <w:ind w:firstLine="640"/>
        <w:outlineLvl w:val="2"/>
        <w:rPr>
          <w:rFonts w:ascii="仿宋_GB2312" w:hAnsi="仿宋" w:eastAsia="仿宋_GB2312"/>
          <w:b/>
          <w:color w:val="000000"/>
          <w:sz w:val="30"/>
          <w:szCs w:val="30"/>
        </w:rPr>
      </w:pPr>
      <w:bookmarkStart w:id="60" w:name="_Toc14332"/>
      <w:bookmarkStart w:id="61" w:name="_Toc5125"/>
      <w:r>
        <w:rPr>
          <w:rFonts w:hint="eastAsia" w:ascii="仿宋_GB2312" w:hAnsi="仿宋" w:eastAsia="仿宋_GB2312"/>
          <w:b/>
          <w:color w:val="000000"/>
          <w:sz w:val="30"/>
          <w:szCs w:val="30"/>
        </w:rPr>
        <w:t>（一）“三公”经费财政拨款支出决算总体情况说明</w:t>
      </w:r>
      <w:bookmarkEnd w:id="60"/>
      <w:bookmarkEnd w:id="61"/>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w:t>
      </w: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年“三公”经费财政拨款支出决算为0.</w:t>
      </w:r>
      <w:r>
        <w:rPr>
          <w:rFonts w:hint="eastAsia" w:ascii="仿宋_GB2312" w:hAnsi="仿宋" w:eastAsia="仿宋_GB2312"/>
          <w:color w:val="000000"/>
          <w:sz w:val="30"/>
          <w:szCs w:val="30"/>
          <w:lang w:val="en-US" w:eastAsia="zh-CN"/>
        </w:rPr>
        <w:t>59</w:t>
      </w:r>
      <w:r>
        <w:rPr>
          <w:rFonts w:hint="eastAsia" w:ascii="仿宋_GB2312" w:hAnsi="仿宋" w:eastAsia="仿宋_GB2312"/>
          <w:color w:val="000000"/>
          <w:sz w:val="30"/>
          <w:szCs w:val="30"/>
        </w:rPr>
        <w:t>万元，完成预算100%，决算数与预算数持平。</w:t>
      </w:r>
    </w:p>
    <w:p>
      <w:pPr>
        <w:spacing w:line="600" w:lineRule="exact"/>
        <w:ind w:firstLine="640"/>
        <w:outlineLvl w:val="2"/>
        <w:rPr>
          <w:rFonts w:ascii="仿宋_GB2312" w:hAnsi="仿宋" w:eastAsia="仿宋_GB2312"/>
          <w:b/>
          <w:color w:val="000000"/>
          <w:sz w:val="30"/>
          <w:szCs w:val="30"/>
        </w:rPr>
      </w:pPr>
      <w:bookmarkStart w:id="62" w:name="_Toc2156"/>
      <w:bookmarkStart w:id="63" w:name="_Toc26844"/>
      <w:r>
        <w:rPr>
          <w:rFonts w:hint="eastAsia" w:ascii="仿宋_GB2312" w:hAnsi="仿宋" w:eastAsia="仿宋_GB2312"/>
          <w:b/>
          <w:color w:val="000000"/>
          <w:sz w:val="30"/>
          <w:szCs w:val="30"/>
        </w:rPr>
        <w:t>（二） “三公”经费财政拨款支出决算具体情况说明</w:t>
      </w:r>
      <w:bookmarkEnd w:id="62"/>
      <w:bookmarkEnd w:id="63"/>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w:t>
      </w: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年“三公”经费财政拨款支出决算中，因公出国（境）经费年初预算未作安排，实际支出0万元；公务用车购置及运行维护费年初预算0万元，实际支出0万元；公务接待费年初预算安排0.</w:t>
      </w:r>
      <w:r>
        <w:rPr>
          <w:rFonts w:hint="eastAsia" w:ascii="仿宋_GB2312" w:hAnsi="仿宋" w:eastAsia="仿宋_GB2312"/>
          <w:color w:val="000000"/>
          <w:sz w:val="30"/>
          <w:szCs w:val="30"/>
          <w:lang w:val="en-US" w:eastAsia="zh-CN"/>
        </w:rPr>
        <w:t>59</w:t>
      </w:r>
      <w:r>
        <w:rPr>
          <w:rFonts w:hint="eastAsia" w:ascii="仿宋_GB2312" w:hAnsi="仿宋" w:eastAsia="仿宋_GB2312"/>
          <w:color w:val="000000"/>
          <w:sz w:val="30"/>
          <w:szCs w:val="30"/>
        </w:rPr>
        <w:t>万元，实际支出决算0.</w:t>
      </w:r>
      <w:r>
        <w:rPr>
          <w:rFonts w:hint="eastAsia" w:ascii="仿宋_GB2312" w:hAnsi="仿宋" w:eastAsia="仿宋_GB2312"/>
          <w:color w:val="000000"/>
          <w:sz w:val="30"/>
          <w:szCs w:val="30"/>
          <w:lang w:val="en-US" w:eastAsia="zh-CN"/>
        </w:rPr>
        <w:t>59</w:t>
      </w:r>
      <w:r>
        <w:rPr>
          <w:rFonts w:hint="eastAsia" w:ascii="仿宋_GB2312" w:hAnsi="仿宋" w:eastAsia="仿宋_GB2312"/>
          <w:color w:val="000000"/>
          <w:sz w:val="30"/>
          <w:szCs w:val="30"/>
        </w:rPr>
        <w:t>万元，占100%。具体情况如下：</w:t>
      </w:r>
    </w:p>
    <w:p>
      <w:pPr>
        <w:spacing w:line="600" w:lineRule="exact"/>
        <w:ind w:firstLine="640"/>
        <w:rPr>
          <w:rFonts w:ascii="仿宋_GB2312" w:hAnsi="仿宋" w:eastAsia="仿宋_GB2312"/>
          <w:b/>
          <w:sz w:val="28"/>
          <w:szCs w:val="28"/>
        </w:rPr>
      </w:pPr>
      <w:r>
        <w:rPr>
          <w:rFonts w:hint="eastAsia" w:ascii="仿宋_GB2312" w:hAnsi="仿宋" w:eastAsia="仿宋_GB2312"/>
          <w:b/>
          <w:sz w:val="28"/>
          <w:szCs w:val="28"/>
        </w:rPr>
        <w:t>（图7：“三公”经费财政拨款支出结构）（饼状图）</w:t>
      </w:r>
    </w:p>
    <w:p>
      <w:pPr>
        <w:pStyle w:val="5"/>
        <w:spacing w:before="93"/>
      </w:pPr>
      <w:r>
        <w:rPr>
          <w:rFonts w:hint="eastAsia" w:ascii="仿宋" w:hAnsi="仿宋" w:eastAsia="仿宋"/>
          <w:color w:val="000000"/>
          <w:sz w:val="32"/>
          <w:szCs w:val="32"/>
        </w:rPr>
        <w:object>
          <v:shape id="_x0000_i1025" o:spt="75" alt="olechartimg_1631779302259233_344778752" type="#_x0000_t75" style="height:249.75pt;width:408.75pt;" o:ole="t" filled="f" o:preferrelative="t" stroked="f" coordsize="21600,21600">
            <v:path/>
            <v:fill on="f" focussize="0,0"/>
            <v:stroke on="f" joinstyle="miter"/>
            <v:imagedata r:id="rId12" o:title="olechartimg_1665643654889509_186968064"/>
            <o:lock v:ext="edit" aspectratio="t"/>
            <w10:wrap type="none"/>
            <w10:anchorlock/>
          </v:shape>
          <o:OLEObject Type="Embed" ProgID="Office12.wks.Sheet.8" ShapeID="_x0000_i1025" DrawAspect="Content" ObjectID="_1468075725">
            <o:LockedField>false</o:LockedField>
          </o:OLEObject>
        </w:object>
      </w:r>
    </w:p>
    <w:p>
      <w:pPr>
        <w:pStyle w:val="27"/>
        <w:numPr>
          <w:ilvl w:val="0"/>
          <w:numId w:val="0"/>
        </w:numPr>
        <w:spacing w:line="600" w:lineRule="exact"/>
        <w:ind w:left="640" w:leftChars="0"/>
        <w:rPr>
          <w:rFonts w:ascii="仿宋_GB2312" w:eastAsia="仿宋_GB2312"/>
          <w:color w:val="000000"/>
          <w:sz w:val="30"/>
          <w:szCs w:val="30"/>
        </w:rPr>
      </w:pPr>
      <w:r>
        <w:rPr>
          <w:rFonts w:hint="eastAsia" w:ascii="仿宋_GB2312" w:eastAsia="仿宋_GB2312"/>
          <w:b/>
          <w:color w:val="000000"/>
          <w:sz w:val="30"/>
          <w:szCs w:val="30"/>
          <w:lang w:val="en-US" w:eastAsia="zh-CN"/>
        </w:rPr>
        <w:t>1.</w:t>
      </w:r>
      <w:r>
        <w:rPr>
          <w:rFonts w:hint="eastAsia" w:ascii="仿宋_GB2312" w:eastAsia="仿宋_GB2312"/>
          <w:b/>
          <w:color w:val="000000"/>
          <w:sz w:val="30"/>
          <w:szCs w:val="30"/>
        </w:rPr>
        <w:t>因公出国（境）经费支出</w:t>
      </w:r>
      <w:r>
        <w:rPr>
          <w:rFonts w:hint="eastAsia" w:ascii="仿宋_GB2312" w:eastAsia="仿宋_GB2312"/>
          <w:color w:val="000000"/>
          <w:sz w:val="30"/>
          <w:szCs w:val="30"/>
        </w:rPr>
        <w:t>0万元，年初未作安排。</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2.公务用车购置及运行维护费年初预算安排</w:t>
      </w:r>
      <w:r>
        <w:rPr>
          <w:rFonts w:hint="eastAsia" w:ascii="仿宋_GB2312" w:eastAsia="仿宋_GB2312"/>
          <w:color w:val="000000"/>
          <w:sz w:val="30"/>
          <w:szCs w:val="30"/>
        </w:rPr>
        <w:t>0万元, 年度决算支出0万元，与年初预算安排相符。</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3.公务接待费支出0.</w:t>
      </w:r>
      <w:r>
        <w:rPr>
          <w:rFonts w:hint="eastAsia" w:ascii="仿宋_GB2312" w:eastAsia="仿宋_GB2312"/>
          <w:b/>
          <w:color w:val="000000"/>
          <w:sz w:val="30"/>
          <w:szCs w:val="30"/>
          <w:lang w:val="en-US" w:eastAsia="zh-CN"/>
        </w:rPr>
        <w:t>59</w:t>
      </w:r>
      <w:r>
        <w:rPr>
          <w:rFonts w:hint="eastAsia" w:ascii="仿宋_GB2312" w:eastAsia="仿宋_GB2312"/>
          <w:color w:val="000000"/>
          <w:sz w:val="30"/>
          <w:szCs w:val="30"/>
        </w:rPr>
        <w:t>万元，</w:t>
      </w:r>
      <w:r>
        <w:rPr>
          <w:rStyle w:val="18"/>
          <w:rFonts w:hint="eastAsia" w:ascii="仿宋_GB2312" w:hAnsi="仿宋" w:eastAsia="仿宋_GB2312"/>
          <w:bCs/>
          <w:color w:val="000000"/>
          <w:sz w:val="30"/>
          <w:szCs w:val="30"/>
        </w:rPr>
        <w:t>完成预算100%。</w:t>
      </w:r>
      <w:r>
        <w:rPr>
          <w:rFonts w:hint="eastAsia" w:ascii="仿宋_GB2312" w:eastAsia="仿宋_GB2312"/>
          <w:color w:val="000000"/>
          <w:sz w:val="30"/>
          <w:szCs w:val="30"/>
        </w:rPr>
        <w:t>主要用于执行公务、开展业务活动必须支出公务接待费等。国内公务接待</w:t>
      </w:r>
      <w:r>
        <w:rPr>
          <w:rFonts w:hint="eastAsia" w:ascii="仿宋_GB2312" w:eastAsia="仿宋_GB2312"/>
          <w:color w:val="000000"/>
          <w:sz w:val="30"/>
          <w:szCs w:val="30"/>
          <w:lang w:val="en-US" w:eastAsia="zh-CN"/>
        </w:rPr>
        <w:t>8</w:t>
      </w:r>
      <w:r>
        <w:rPr>
          <w:rFonts w:hint="eastAsia" w:ascii="仿宋_GB2312" w:eastAsia="仿宋_GB2312"/>
          <w:color w:val="000000"/>
          <w:sz w:val="30"/>
          <w:szCs w:val="30"/>
        </w:rPr>
        <w:t>批次，</w:t>
      </w:r>
      <w:r>
        <w:rPr>
          <w:rFonts w:hint="eastAsia" w:ascii="仿宋_GB2312" w:eastAsia="仿宋_GB2312"/>
          <w:color w:val="000000"/>
          <w:sz w:val="30"/>
          <w:szCs w:val="30"/>
          <w:lang w:val="en-US" w:eastAsia="zh-CN"/>
        </w:rPr>
        <w:t>30</w:t>
      </w:r>
      <w:r>
        <w:rPr>
          <w:rFonts w:hint="eastAsia" w:ascii="仿宋_GB2312" w:eastAsia="仿宋_GB2312"/>
          <w:color w:val="000000"/>
          <w:sz w:val="30"/>
          <w:szCs w:val="30"/>
        </w:rPr>
        <w:t>人次（不包括陪同人员），共计支出0.</w:t>
      </w:r>
      <w:r>
        <w:rPr>
          <w:rFonts w:hint="eastAsia" w:ascii="仿宋_GB2312" w:eastAsia="仿宋_GB2312"/>
          <w:color w:val="000000"/>
          <w:sz w:val="30"/>
          <w:szCs w:val="30"/>
          <w:lang w:val="en-US" w:eastAsia="zh-CN"/>
        </w:rPr>
        <w:t>59</w:t>
      </w:r>
      <w:r>
        <w:rPr>
          <w:rFonts w:hint="eastAsia" w:ascii="仿宋_GB2312" w:eastAsia="仿宋_GB2312"/>
          <w:color w:val="000000"/>
          <w:sz w:val="30"/>
          <w:szCs w:val="30"/>
        </w:rPr>
        <w:t>万元，没有外事接待活动费用发生。</w:t>
      </w:r>
    </w:p>
    <w:p>
      <w:pPr>
        <w:pStyle w:val="13"/>
        <w:bidi w:val="0"/>
        <w:outlineLvl w:val="1"/>
        <w:rPr>
          <w:rFonts w:hint="eastAsia" w:ascii="宋体" w:hAnsi="宋体" w:eastAsia="宋体" w:cs="宋体"/>
          <w:b/>
          <w:bCs/>
          <w:sz w:val="32"/>
          <w:szCs w:val="32"/>
        </w:rPr>
      </w:pPr>
      <w:bookmarkStart w:id="64" w:name="_Toc30943"/>
      <w:bookmarkStart w:id="65" w:name="_Toc17754"/>
      <w:bookmarkStart w:id="66" w:name="_Toc28889"/>
      <w:r>
        <w:rPr>
          <w:rFonts w:hint="eastAsia" w:ascii="宋体" w:hAnsi="宋体" w:eastAsia="宋体" w:cs="宋体"/>
          <w:b/>
          <w:bCs/>
          <w:sz w:val="32"/>
          <w:szCs w:val="32"/>
        </w:rPr>
        <w:t>八、政府性基金预算支出决算情况说明</w:t>
      </w:r>
      <w:bookmarkEnd w:id="64"/>
      <w:bookmarkEnd w:id="65"/>
      <w:bookmarkEnd w:id="66"/>
    </w:p>
    <w:p>
      <w:pPr>
        <w:spacing w:line="600" w:lineRule="exact"/>
        <w:ind w:firstLine="64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rPr>
        <w:t>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年政府性基金年初安排或结转0万元，当年支出0万元，年末结转结余0万元。</w:t>
      </w:r>
    </w:p>
    <w:p>
      <w:pPr>
        <w:pStyle w:val="13"/>
        <w:bidi w:val="0"/>
        <w:outlineLvl w:val="1"/>
        <w:rPr>
          <w:rFonts w:hint="eastAsia" w:ascii="宋体" w:hAnsi="宋体" w:eastAsia="宋体" w:cs="宋体"/>
          <w:b/>
          <w:bCs/>
          <w:sz w:val="32"/>
          <w:szCs w:val="32"/>
        </w:rPr>
      </w:pPr>
      <w:bookmarkStart w:id="67" w:name="_Toc15022"/>
      <w:bookmarkStart w:id="68" w:name="_Toc28728"/>
      <w:bookmarkStart w:id="69" w:name="_Toc22727"/>
      <w:r>
        <w:rPr>
          <w:rFonts w:hint="eastAsia" w:ascii="宋体" w:hAnsi="宋体" w:eastAsia="宋体" w:cs="宋体"/>
          <w:b/>
          <w:bCs/>
          <w:sz w:val="32"/>
          <w:szCs w:val="32"/>
        </w:rPr>
        <w:t>九、国有资本经营预算支出决算情况说明</w:t>
      </w:r>
      <w:bookmarkEnd w:id="67"/>
      <w:bookmarkEnd w:id="68"/>
      <w:bookmarkEnd w:id="6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年国有资本经营预算拨款支出0万元。</w:t>
      </w:r>
    </w:p>
    <w:p>
      <w:pPr>
        <w:pStyle w:val="13"/>
        <w:bidi w:val="0"/>
        <w:outlineLvl w:val="1"/>
        <w:rPr>
          <w:rFonts w:hint="eastAsia" w:ascii="宋体" w:hAnsi="宋体" w:eastAsia="宋体" w:cs="宋体"/>
          <w:b/>
          <w:bCs/>
          <w:sz w:val="32"/>
          <w:szCs w:val="32"/>
          <w:lang w:val="en-US" w:eastAsia="zh-CN"/>
        </w:rPr>
      </w:pPr>
      <w:bookmarkStart w:id="70" w:name="_Toc3069"/>
      <w:bookmarkStart w:id="71" w:name="_Toc6898"/>
      <w:bookmarkStart w:id="72" w:name="_Toc1902"/>
      <w:r>
        <w:rPr>
          <w:rFonts w:hint="eastAsia" w:ascii="宋体" w:hAnsi="宋体" w:eastAsia="宋体" w:cs="宋体"/>
          <w:b/>
          <w:bCs/>
          <w:sz w:val="32"/>
          <w:szCs w:val="32"/>
          <w:lang w:val="en-US" w:eastAsia="zh-CN"/>
        </w:rPr>
        <w:t>十、其他重要事项的情况说明</w:t>
      </w:r>
      <w:bookmarkEnd w:id="70"/>
      <w:bookmarkEnd w:id="71"/>
      <w:bookmarkEnd w:id="72"/>
    </w:p>
    <w:p>
      <w:pPr>
        <w:spacing w:line="600" w:lineRule="exact"/>
        <w:ind w:firstLine="600" w:firstLineChars="200"/>
        <w:rPr>
          <w:rFonts w:hint="eastAsia" w:ascii="仿宋_GB2312" w:hAnsi="Times New Roman" w:eastAsia="仿宋_GB2312" w:cs="Times New Roman"/>
          <w:color w:val="000000"/>
          <w:sz w:val="30"/>
          <w:szCs w:val="30"/>
          <w:lang w:eastAsia="zh-CN"/>
        </w:rPr>
      </w:pPr>
      <w:r>
        <w:rPr>
          <w:rFonts w:hint="eastAsia" w:ascii="仿宋_GB2312" w:hAnsi="Times New Roman" w:eastAsia="仿宋_GB2312" w:cs="Times New Roman"/>
          <w:color w:val="000000"/>
          <w:sz w:val="30"/>
          <w:szCs w:val="30"/>
          <w:lang w:val="en-US" w:eastAsia="zh-CN"/>
        </w:rPr>
        <w:t>2022年度决算支出增加了</w:t>
      </w:r>
      <w:r>
        <w:rPr>
          <w:rFonts w:hint="eastAsia" w:ascii="仿宋_GB2312" w:hAnsi="Times New Roman" w:eastAsia="仿宋_GB2312" w:cs="Times New Roman"/>
          <w:color w:val="000000"/>
          <w:sz w:val="30"/>
          <w:szCs w:val="30"/>
        </w:rPr>
        <w:t>公共交通运营补助</w:t>
      </w:r>
      <w:r>
        <w:rPr>
          <w:rFonts w:hint="eastAsia" w:ascii="仿宋_GB2312" w:hAnsi="Times New Roman" w:eastAsia="仿宋_GB2312" w:cs="Times New Roman"/>
          <w:color w:val="000000"/>
          <w:sz w:val="30"/>
          <w:szCs w:val="30"/>
          <w:lang w:eastAsia="zh-CN"/>
        </w:rPr>
        <w:t>的</w:t>
      </w:r>
      <w:r>
        <w:rPr>
          <w:rFonts w:hint="eastAsia" w:ascii="仿宋_GB2312" w:hAnsi="Times New Roman" w:eastAsia="仿宋_GB2312" w:cs="Times New Roman"/>
          <w:color w:val="000000"/>
          <w:sz w:val="30"/>
          <w:szCs w:val="30"/>
        </w:rPr>
        <w:t>项目支出。</w:t>
      </w:r>
      <w:r>
        <w:rPr>
          <w:rFonts w:hint="eastAsia" w:ascii="仿宋_GB2312" w:hAnsi="Times New Roman" w:eastAsia="仿宋_GB2312" w:cs="Times New Roman"/>
          <w:color w:val="000000"/>
          <w:sz w:val="30"/>
          <w:szCs w:val="30"/>
          <w:lang w:eastAsia="zh-CN"/>
        </w:rPr>
        <w:t>主要是中央、省、市对农村客运发展补贴。</w:t>
      </w:r>
    </w:p>
    <w:p>
      <w:pPr>
        <w:pStyle w:val="5"/>
        <w:spacing w:before="93"/>
        <w:ind w:firstLine="600" w:firstLineChars="200"/>
        <w:rPr>
          <w:rFonts w:hint="eastAsia" w:ascii="仿宋_GB2312" w:hAnsi="Times New Roman" w:eastAsia="仿宋_GB2312" w:cs="Times New Roman"/>
          <w:color w:val="000000"/>
          <w:kern w:val="2"/>
          <w:sz w:val="30"/>
          <w:szCs w:val="30"/>
          <w:lang w:val="en-US" w:eastAsia="zh-CN" w:bidi="ar-SA"/>
        </w:rPr>
      </w:pPr>
      <w:r>
        <w:rPr>
          <w:rFonts w:hint="eastAsia" w:ascii="仿宋_GB2312" w:hAnsi="Times New Roman" w:eastAsia="仿宋_GB2312" w:cs="Times New Roman"/>
          <w:color w:val="000000"/>
          <w:kern w:val="2"/>
          <w:sz w:val="30"/>
          <w:szCs w:val="30"/>
          <w:lang w:val="en-US" w:eastAsia="zh-CN" w:bidi="ar-SA"/>
        </w:rPr>
        <w:t>根据预算绩效管理要求，本单位在2022年度预算编制阶段，组织对2022年度城市公交</w:t>
      </w:r>
      <w:r>
        <w:rPr>
          <w:rFonts w:hint="eastAsia" w:hAnsi="Times New Roman" w:cs="Times New Roman"/>
          <w:color w:val="000000"/>
          <w:kern w:val="2"/>
          <w:sz w:val="30"/>
          <w:szCs w:val="30"/>
          <w:lang w:val="en-US" w:eastAsia="zh-CN" w:bidi="ar-SA"/>
        </w:rPr>
        <w:t>专项财政补贴</w:t>
      </w:r>
      <w:r>
        <w:rPr>
          <w:rFonts w:hint="eastAsia" w:ascii="仿宋_GB2312" w:hAnsi="Times New Roman" w:eastAsia="仿宋_GB2312" w:cs="Times New Roman"/>
          <w:color w:val="000000"/>
          <w:kern w:val="2"/>
          <w:sz w:val="30"/>
          <w:szCs w:val="30"/>
          <w:lang w:val="en-US" w:eastAsia="zh-CN" w:bidi="ar-SA"/>
        </w:rPr>
        <w:t>、2020年度农村客运出租车成品油价格补助、2022年市级农村客运补助、2022年度水上交通应急保障、2022年度农村客运发展等</w:t>
      </w:r>
      <w:r>
        <w:rPr>
          <w:rFonts w:hint="eastAsia" w:hAnsi="Times New Roman" w:cs="Times New Roman"/>
          <w:color w:val="000000"/>
          <w:kern w:val="2"/>
          <w:sz w:val="30"/>
          <w:szCs w:val="30"/>
          <w:lang w:val="en-US" w:eastAsia="zh-CN" w:bidi="ar-SA"/>
        </w:rPr>
        <w:t>5</w:t>
      </w:r>
      <w:r>
        <w:rPr>
          <w:rFonts w:hint="eastAsia" w:ascii="仿宋_GB2312" w:hAnsi="Times New Roman" w:eastAsia="仿宋_GB2312" w:cs="Times New Roman"/>
          <w:color w:val="000000"/>
          <w:kern w:val="2"/>
          <w:sz w:val="30"/>
          <w:szCs w:val="30"/>
          <w:lang w:val="en-US" w:eastAsia="zh-CN" w:bidi="ar-SA"/>
        </w:rPr>
        <w:t>个项目开展了预算事前绩效评估，对</w:t>
      </w:r>
      <w:r>
        <w:rPr>
          <w:rFonts w:hint="eastAsia" w:hAnsi="Times New Roman" w:cs="Times New Roman"/>
          <w:color w:val="000000"/>
          <w:kern w:val="2"/>
          <w:sz w:val="30"/>
          <w:szCs w:val="30"/>
          <w:lang w:val="en-US" w:eastAsia="zh-CN" w:bidi="ar-SA"/>
        </w:rPr>
        <w:t>5</w:t>
      </w:r>
      <w:r>
        <w:rPr>
          <w:rFonts w:hint="eastAsia" w:ascii="仿宋_GB2312" w:hAnsi="Times New Roman" w:eastAsia="仿宋_GB2312" w:cs="Times New Roman"/>
          <w:color w:val="000000"/>
          <w:kern w:val="2"/>
          <w:sz w:val="30"/>
          <w:szCs w:val="30"/>
          <w:lang w:val="en-US" w:eastAsia="zh-CN" w:bidi="ar-SA"/>
        </w:rPr>
        <w:t>个项目编制了绩效目标，在预算执行过程中，选取</w:t>
      </w:r>
      <w:r>
        <w:rPr>
          <w:rFonts w:hint="eastAsia" w:hAnsi="Times New Roman" w:cs="Times New Roman"/>
          <w:color w:val="000000"/>
          <w:kern w:val="2"/>
          <w:sz w:val="30"/>
          <w:szCs w:val="30"/>
          <w:lang w:val="en-US" w:eastAsia="zh-CN" w:bidi="ar-SA"/>
        </w:rPr>
        <w:t>5</w:t>
      </w:r>
      <w:r>
        <w:rPr>
          <w:rFonts w:hint="eastAsia" w:ascii="仿宋_GB2312" w:hAnsi="Times New Roman" w:eastAsia="仿宋_GB2312" w:cs="Times New Roman"/>
          <w:color w:val="000000"/>
          <w:kern w:val="2"/>
          <w:sz w:val="30"/>
          <w:szCs w:val="30"/>
          <w:lang w:val="en-US" w:eastAsia="zh-CN" w:bidi="ar-SA"/>
        </w:rPr>
        <w:t>个项目开展绩效监控，并对</w:t>
      </w:r>
      <w:r>
        <w:rPr>
          <w:rFonts w:hint="eastAsia" w:hAnsi="Times New Roman" w:cs="Times New Roman"/>
          <w:color w:val="000000"/>
          <w:kern w:val="2"/>
          <w:sz w:val="30"/>
          <w:szCs w:val="30"/>
          <w:lang w:val="en-US" w:eastAsia="zh-CN" w:bidi="ar-SA"/>
        </w:rPr>
        <w:t>5</w:t>
      </w:r>
      <w:r>
        <w:rPr>
          <w:rFonts w:hint="eastAsia" w:ascii="仿宋_GB2312" w:hAnsi="Times New Roman" w:eastAsia="仿宋_GB2312" w:cs="Times New Roman"/>
          <w:color w:val="000000"/>
          <w:kern w:val="2"/>
          <w:sz w:val="30"/>
          <w:szCs w:val="30"/>
          <w:lang w:val="en-US" w:eastAsia="zh-CN" w:bidi="ar-SA"/>
        </w:rPr>
        <w:t>个项目全部开展绩效自评，绩效自评表详见第四部分附件。</w:t>
      </w:r>
    </w:p>
    <w:p>
      <w:pPr>
        <w:pStyle w:val="12"/>
        <w:rPr>
          <w:rFonts w:hint="eastAsia"/>
          <w:lang w:eastAsia="zh-CN"/>
        </w:rPr>
      </w:pPr>
    </w:p>
    <w:p>
      <w:pPr>
        <w:numPr>
          <w:ilvl w:val="0"/>
          <w:numId w:val="0"/>
        </w:numPr>
        <w:rPr>
          <w:rFonts w:hint="eastAsia"/>
          <w:lang w:val="en-US" w:eastAsia="zh-CN"/>
        </w:rPr>
      </w:pPr>
    </w:p>
    <w:p>
      <w:pPr>
        <w:pStyle w:val="12"/>
        <w:rPr>
          <w:rFonts w:hint="eastAsia"/>
          <w:lang w:val="en-US" w:eastAsia="zh-CN"/>
        </w:rPr>
      </w:pPr>
    </w:p>
    <w:p>
      <w:pPr>
        <w:rPr>
          <w:rFonts w:hint="default"/>
          <w:lang w:val="en-US" w:eastAsia="zh-CN"/>
        </w:rPr>
      </w:pPr>
    </w:p>
    <w:p>
      <w:pPr>
        <w:numPr>
          <w:ilvl w:val="0"/>
          <w:numId w:val="0"/>
        </w:numPr>
        <w:spacing w:line="600" w:lineRule="exact"/>
        <w:jc w:val="center"/>
        <w:outlineLvl w:val="9"/>
        <w:rPr>
          <w:rFonts w:hint="eastAsia" w:ascii="黑体" w:hAnsi="黑体" w:eastAsia="黑体"/>
          <w:b/>
          <w:color w:val="000000"/>
          <w:sz w:val="44"/>
          <w:szCs w:val="44"/>
          <w:lang w:eastAsia="zh-CN"/>
        </w:rPr>
      </w:pPr>
    </w:p>
    <w:p>
      <w:pPr>
        <w:numPr>
          <w:ilvl w:val="0"/>
          <w:numId w:val="0"/>
        </w:numPr>
        <w:spacing w:line="600" w:lineRule="exact"/>
        <w:jc w:val="center"/>
        <w:outlineLvl w:val="9"/>
        <w:rPr>
          <w:rFonts w:hint="eastAsia" w:ascii="黑体" w:hAnsi="黑体" w:eastAsia="黑体"/>
          <w:b/>
          <w:color w:val="000000"/>
          <w:sz w:val="44"/>
          <w:szCs w:val="44"/>
          <w:lang w:eastAsia="zh-CN"/>
        </w:rPr>
      </w:pPr>
    </w:p>
    <w:p>
      <w:pPr>
        <w:numPr>
          <w:ilvl w:val="0"/>
          <w:numId w:val="0"/>
        </w:numPr>
        <w:spacing w:line="600" w:lineRule="exact"/>
        <w:jc w:val="center"/>
        <w:outlineLvl w:val="9"/>
        <w:rPr>
          <w:rFonts w:hint="eastAsia" w:ascii="黑体" w:hAnsi="黑体" w:eastAsia="黑体"/>
          <w:b/>
          <w:color w:val="000000"/>
          <w:sz w:val="44"/>
          <w:szCs w:val="44"/>
          <w:lang w:eastAsia="zh-CN"/>
        </w:rPr>
      </w:pPr>
    </w:p>
    <w:p>
      <w:pPr>
        <w:numPr>
          <w:ilvl w:val="0"/>
          <w:numId w:val="0"/>
        </w:numPr>
        <w:spacing w:line="600" w:lineRule="exact"/>
        <w:jc w:val="center"/>
        <w:outlineLvl w:val="9"/>
        <w:rPr>
          <w:rFonts w:hint="eastAsia" w:ascii="黑体" w:hAnsi="黑体" w:eastAsia="黑体"/>
          <w:b/>
          <w:color w:val="000000"/>
          <w:sz w:val="44"/>
          <w:szCs w:val="44"/>
          <w:lang w:eastAsia="zh-CN"/>
        </w:rPr>
      </w:pPr>
    </w:p>
    <w:p>
      <w:pPr>
        <w:numPr>
          <w:ilvl w:val="0"/>
          <w:numId w:val="0"/>
        </w:numPr>
        <w:spacing w:line="600" w:lineRule="exact"/>
        <w:jc w:val="center"/>
        <w:outlineLvl w:val="9"/>
        <w:rPr>
          <w:rFonts w:hint="eastAsia" w:ascii="黑体" w:hAnsi="黑体" w:eastAsia="黑体"/>
          <w:b/>
          <w:color w:val="000000"/>
          <w:sz w:val="44"/>
          <w:szCs w:val="44"/>
          <w:lang w:eastAsia="zh-CN"/>
        </w:rPr>
      </w:pPr>
    </w:p>
    <w:p>
      <w:pPr>
        <w:numPr>
          <w:ilvl w:val="0"/>
          <w:numId w:val="0"/>
        </w:numPr>
        <w:spacing w:line="600" w:lineRule="exact"/>
        <w:jc w:val="center"/>
        <w:outlineLvl w:val="9"/>
        <w:rPr>
          <w:rFonts w:hint="eastAsia" w:ascii="黑体" w:hAnsi="黑体" w:eastAsia="黑体"/>
          <w:b/>
          <w:color w:val="000000"/>
          <w:sz w:val="44"/>
          <w:szCs w:val="44"/>
          <w:lang w:eastAsia="zh-CN"/>
        </w:rPr>
      </w:pPr>
    </w:p>
    <w:p>
      <w:pPr>
        <w:numPr>
          <w:ilvl w:val="0"/>
          <w:numId w:val="0"/>
        </w:numPr>
        <w:spacing w:line="600" w:lineRule="exact"/>
        <w:jc w:val="center"/>
        <w:outlineLvl w:val="9"/>
        <w:rPr>
          <w:rFonts w:hint="eastAsia" w:ascii="黑体" w:hAnsi="黑体" w:eastAsia="黑体"/>
          <w:b/>
          <w:color w:val="000000"/>
          <w:sz w:val="44"/>
          <w:szCs w:val="44"/>
          <w:lang w:eastAsia="zh-CN"/>
        </w:rPr>
      </w:pPr>
    </w:p>
    <w:p>
      <w:pPr>
        <w:pStyle w:val="11"/>
        <w:numPr>
          <w:ilvl w:val="0"/>
          <w:numId w:val="0"/>
        </w:numPr>
        <w:bidi w:val="0"/>
        <w:ind w:leftChars="0"/>
        <w:jc w:val="center"/>
        <w:outlineLvl w:val="0"/>
        <w:rPr>
          <w:rFonts w:hint="eastAsia" w:ascii="黑体" w:hAnsi="黑体" w:eastAsia="黑体" w:cs="黑体"/>
          <w:b/>
          <w:bCs/>
          <w:sz w:val="44"/>
          <w:szCs w:val="44"/>
          <w:lang w:val="en-US" w:eastAsia="zh-CN"/>
        </w:rPr>
      </w:pPr>
      <w:bookmarkStart w:id="73" w:name="_Toc3288"/>
      <w:bookmarkStart w:id="74" w:name="_Toc29591"/>
      <w:bookmarkStart w:id="75" w:name="_Toc14065"/>
      <w:r>
        <w:rPr>
          <w:rFonts w:hint="eastAsia" w:ascii="黑体" w:hAnsi="黑体" w:eastAsia="黑体" w:cs="黑体"/>
          <w:b/>
          <w:bCs/>
          <w:sz w:val="44"/>
          <w:szCs w:val="44"/>
          <w:lang w:val="en-US" w:eastAsia="zh-CN"/>
        </w:rPr>
        <w:t>第三部分 名词解释</w:t>
      </w:r>
      <w:bookmarkEnd w:id="73"/>
      <w:bookmarkEnd w:id="74"/>
      <w:bookmarkEnd w:id="75"/>
    </w:p>
    <w:p>
      <w:pPr>
        <w:spacing w:line="600" w:lineRule="exact"/>
        <w:jc w:val="left"/>
        <w:rPr>
          <w:rFonts w:ascii="宋体"/>
          <w:b/>
          <w:color w:val="000000"/>
          <w:sz w:val="44"/>
          <w:szCs w:val="44"/>
        </w:rPr>
      </w:pPr>
    </w:p>
    <w:p>
      <w:pPr>
        <w:pStyle w:val="26"/>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财政拨款收入：指单位从同级财政部门取得的财政预算资金。</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事业收入：指事业单位开展专业业务活动及辅助活动取得的收入。</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经营收入：指事业单位在专业业务活动及其辅助活动之外开展非独立核算经营活动取得的收入。</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其他收入：指单位取得的除上述收入以外的各项收入。</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0"/>
          <w:szCs w:val="30"/>
        </w:rPr>
        <w:t xml:space="preserve"> </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年初结转和结余：指以前年度尚未完成、结转到本年按有关规定继续使用的资金。</w:t>
      </w:r>
      <w:r>
        <w:rPr>
          <w:rFonts w:ascii="仿宋_GB2312" w:eastAsia="仿宋_GB2312"/>
          <w:sz w:val="30"/>
          <w:szCs w:val="30"/>
        </w:rPr>
        <w:t xml:space="preserve"> </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结余分配：指事业单位按照事业单位会计制度的规定从非财政补助结余中分配的事业基金和职工福利基金等。</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、年末结转和结余：指单位按有关规定结转到下年或以后年度继续使用的资金。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9</w:t>
      </w:r>
      <w:r>
        <w:rPr>
          <w:rFonts w:ascii="仿宋_GB2312" w:eastAsia="仿宋_GB2312"/>
          <w:color w:val="000000"/>
          <w:sz w:val="30"/>
          <w:szCs w:val="30"/>
        </w:rPr>
        <w:t>.</w:t>
      </w:r>
      <w:r>
        <w:rPr>
          <w:rFonts w:hint="eastAsia" w:ascii="仿宋_GB2312" w:eastAsia="仿宋_GB2312"/>
          <w:color w:val="000000"/>
          <w:sz w:val="30"/>
          <w:szCs w:val="30"/>
        </w:rPr>
        <w:t xml:space="preserve"> 公路运输与安全（2140109）：指反映交通运输信息化建设支出。</w:t>
      </w:r>
    </w:p>
    <w:p>
      <w:pPr>
        <w:ind w:firstLine="600" w:firstLineChars="200"/>
        <w:rPr>
          <w:rFonts w:ascii="仿宋_GB2312" w:eastAsia="仿宋_GB2312"/>
          <w:color w:val="000000"/>
          <w:sz w:val="30"/>
          <w:szCs w:val="30"/>
        </w:rPr>
      </w:pPr>
      <w:r>
        <w:rPr>
          <w:rStyle w:val="18"/>
          <w:rFonts w:hint="eastAsia" w:ascii="仿宋_GB2312" w:hAnsi="仿宋" w:eastAsia="仿宋_GB2312"/>
          <w:b w:val="0"/>
          <w:bCs/>
          <w:color w:val="000000"/>
          <w:sz w:val="30"/>
          <w:szCs w:val="30"/>
        </w:rPr>
        <w:t>1</w:t>
      </w:r>
      <w:r>
        <w:rPr>
          <w:rStyle w:val="18"/>
          <w:rFonts w:hint="eastAsia" w:ascii="仿宋_GB2312" w:hAnsi="仿宋" w:eastAsia="仿宋_GB2312"/>
          <w:b w:val="0"/>
          <w:bCs/>
          <w:color w:val="000000"/>
          <w:sz w:val="30"/>
          <w:szCs w:val="30"/>
          <w:lang w:val="en-US" w:eastAsia="zh-CN"/>
        </w:rPr>
        <w:t>0</w:t>
      </w:r>
      <w:r>
        <w:rPr>
          <w:rStyle w:val="18"/>
          <w:rFonts w:hint="eastAsia" w:ascii="仿宋_GB2312" w:hAnsi="仿宋" w:eastAsia="仿宋_GB2312"/>
          <w:b w:val="0"/>
          <w:bCs/>
          <w:color w:val="000000"/>
          <w:sz w:val="30"/>
          <w:szCs w:val="30"/>
        </w:rPr>
        <w:t>.海事管理（2140131）：</w:t>
      </w:r>
      <w:r>
        <w:rPr>
          <w:rFonts w:hint="eastAsia" w:ascii="仿宋_GB2312" w:eastAsia="仿宋_GB2312"/>
          <w:color w:val="000000"/>
          <w:sz w:val="30"/>
          <w:szCs w:val="30"/>
        </w:rPr>
        <w:t>指反映海管理方面的支出。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w:t>
      </w:r>
      <w:r>
        <w:rPr>
          <w:rFonts w:hint="eastAsia" w:ascii="仿宋_GB2312" w:eastAsia="仿宋_GB2312"/>
          <w:color w:val="000000"/>
          <w:sz w:val="30"/>
          <w:szCs w:val="30"/>
        </w:rPr>
        <w:t>. 其他公路水路运输支出（2140199）：指反映除上述项目以外其他用于公路水路运输方面的支出。</w:t>
      </w:r>
    </w:p>
    <w:p>
      <w:pPr>
        <w:ind w:firstLine="600" w:firstLineChars="200"/>
        <w:rPr>
          <w:rStyle w:val="18"/>
          <w:rFonts w:ascii="仿宋_GB2312" w:hAnsi="仿宋" w:eastAsia="仿宋_GB2312"/>
          <w:bCs/>
          <w:color w:val="000000"/>
          <w:sz w:val="30"/>
          <w:szCs w:val="30"/>
        </w:rPr>
      </w:pPr>
      <w:r>
        <w:rPr>
          <w:rFonts w:hint="eastAsia" w:ascii="仿宋_GB2312" w:hAnsi="仿宋" w:eastAsia="仿宋_GB2312"/>
          <w:color w:val="000000" w:themeColor="text1"/>
          <w:sz w:val="30"/>
          <w:szCs w:val="30"/>
          <w14:textFill>
            <w14:solidFill>
              <w14:schemeClr w14:val="tx1"/>
            </w14:solidFill>
          </w14:textFill>
        </w:rPr>
        <w:t>1</w:t>
      </w:r>
      <w:r>
        <w:rPr>
          <w:rFonts w:hint="eastAsia" w:ascii="仿宋_GB2312" w:hAnsi="仿宋" w:eastAsia="仿宋_GB2312"/>
          <w:color w:val="000000" w:themeColor="text1"/>
          <w:sz w:val="30"/>
          <w:szCs w:val="30"/>
          <w:lang w:val="en-US" w:eastAsia="zh-CN"/>
          <w14:textFill>
            <w14:solidFill>
              <w14:schemeClr w14:val="tx1"/>
            </w14:solidFill>
          </w14:textFill>
        </w:rPr>
        <w:t>2</w:t>
      </w:r>
      <w:r>
        <w:rPr>
          <w:rFonts w:hint="eastAsia" w:ascii="仿宋_GB2312" w:hAnsi="仿宋" w:eastAsia="仿宋_GB2312"/>
          <w:color w:val="000000" w:themeColor="text1"/>
          <w:sz w:val="30"/>
          <w:szCs w:val="30"/>
          <w14:textFill>
            <w14:solidFill>
              <w14:schemeClr w14:val="tx1"/>
            </w14:solidFill>
          </w14:textFill>
        </w:rPr>
        <w:t>.医疗卫生支出</w:t>
      </w:r>
      <w:r>
        <w:rPr>
          <w:rStyle w:val="18"/>
          <w:rFonts w:hint="eastAsia" w:ascii="仿宋_GB2312" w:hAnsi="仿宋" w:eastAsia="仿宋_GB2312"/>
          <w:b w:val="0"/>
          <w:bCs/>
          <w:color w:val="000000"/>
          <w:sz w:val="30"/>
          <w:szCs w:val="30"/>
        </w:rPr>
        <w:t>（2101101；2101102）</w:t>
      </w:r>
      <w:r>
        <w:rPr>
          <w:rStyle w:val="18"/>
          <w:rFonts w:hint="eastAsia" w:ascii="仿宋_GB2312" w:hAnsi="仿宋" w:eastAsia="仿宋_GB2312"/>
          <w:bCs/>
          <w:color w:val="000000"/>
          <w:sz w:val="30"/>
          <w:szCs w:val="30"/>
        </w:rPr>
        <w:t>:</w:t>
      </w:r>
      <w:r>
        <w:rPr>
          <w:rFonts w:hint="eastAsia" w:ascii="仿宋_GB2312" w:eastAsia="仿宋_GB2312"/>
          <w:color w:val="000000"/>
          <w:sz w:val="30"/>
          <w:szCs w:val="30"/>
        </w:rPr>
        <w:t xml:space="preserve"> 指反映行政、事业单位安排单位基本医疗保险缴费经费。</w:t>
      </w:r>
    </w:p>
    <w:p>
      <w:pPr>
        <w:ind w:firstLine="600" w:firstLineChars="200"/>
        <w:rPr>
          <w:rFonts w:ascii="仿宋_GB2312" w:eastAsia="仿宋_GB2312"/>
          <w:color w:val="000000"/>
          <w:sz w:val="30"/>
          <w:szCs w:val="30"/>
        </w:rPr>
      </w:pPr>
      <w:r>
        <w:rPr>
          <w:rFonts w:hint="eastAsia" w:ascii="仿宋_GB2312" w:hAnsi="仿宋" w:eastAsia="仿宋_GB2312"/>
          <w:color w:val="000000" w:themeColor="text1"/>
          <w:sz w:val="30"/>
          <w:szCs w:val="30"/>
          <w14:textFill>
            <w14:solidFill>
              <w14:schemeClr w14:val="tx1"/>
            </w14:solidFill>
          </w14:textFill>
        </w:rPr>
        <w:t>1</w:t>
      </w:r>
      <w:r>
        <w:rPr>
          <w:rFonts w:hint="eastAsia" w:ascii="仿宋_GB2312" w:hAnsi="仿宋" w:eastAsia="仿宋_GB2312"/>
          <w:color w:val="000000" w:themeColor="text1"/>
          <w:sz w:val="30"/>
          <w:szCs w:val="30"/>
          <w:lang w:val="en-US" w:eastAsia="zh-CN"/>
          <w14:textFill>
            <w14:solidFill>
              <w14:schemeClr w14:val="tx1"/>
            </w14:solidFill>
          </w14:textFill>
        </w:rPr>
        <w:t>3</w:t>
      </w:r>
      <w:r>
        <w:rPr>
          <w:rFonts w:hint="eastAsia" w:ascii="仿宋_GB2312" w:hAnsi="仿宋" w:eastAsia="仿宋_GB2312"/>
          <w:color w:val="000000" w:themeColor="text1"/>
          <w:sz w:val="30"/>
          <w:szCs w:val="30"/>
          <w14:textFill>
            <w14:solidFill>
              <w14:schemeClr w14:val="tx1"/>
            </w14:solidFill>
          </w14:textFill>
        </w:rPr>
        <w:t>.社会保障和就业</w:t>
      </w:r>
      <w:r>
        <w:rPr>
          <w:rStyle w:val="18"/>
          <w:rFonts w:hint="eastAsia" w:ascii="仿宋_GB2312" w:hAnsi="仿宋" w:eastAsia="仿宋_GB2312"/>
          <w:b w:val="0"/>
          <w:bCs/>
          <w:color w:val="000000"/>
          <w:sz w:val="30"/>
          <w:szCs w:val="30"/>
        </w:rPr>
        <w:t>类支出（2080505；2080506）：</w:t>
      </w:r>
      <w:r>
        <w:rPr>
          <w:rFonts w:hint="eastAsia" w:ascii="仿宋_GB2312" w:eastAsia="仿宋_GB2312"/>
          <w:color w:val="000000"/>
          <w:sz w:val="30"/>
          <w:szCs w:val="30"/>
        </w:rPr>
        <w:t>指反映行政、事业单位基本养老保险缴费肢出。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eastAsia="仿宋_GB2312"/>
          <w:color w:val="000000"/>
          <w:sz w:val="30"/>
          <w:szCs w:val="30"/>
          <w:lang w:val="en-US" w:eastAsia="zh-CN"/>
        </w:rPr>
        <w:t>4</w:t>
      </w:r>
      <w:r>
        <w:rPr>
          <w:rFonts w:ascii="仿宋_GB2312" w:eastAsia="仿宋_GB2312"/>
          <w:color w:val="000000"/>
          <w:sz w:val="30"/>
          <w:szCs w:val="30"/>
        </w:rPr>
        <w:t>.</w:t>
      </w:r>
      <w:r>
        <w:rPr>
          <w:rFonts w:hint="eastAsia" w:ascii="仿宋_GB2312" w:eastAsia="仿宋_GB2312"/>
          <w:color w:val="000000"/>
          <w:sz w:val="30"/>
          <w:szCs w:val="30"/>
        </w:rPr>
        <w:t>住房公积金（2210201）：指反映行政事业单位按人力资源和社会保障部、财政部规定的基本工资和津贴补贴以及比例为职工缴纳的住房公积金。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eastAsia="仿宋_GB2312"/>
          <w:color w:val="000000"/>
          <w:sz w:val="30"/>
          <w:szCs w:val="30"/>
          <w:lang w:val="en-US" w:eastAsia="zh-CN"/>
        </w:rPr>
        <w:t>5</w:t>
      </w:r>
      <w:r>
        <w:rPr>
          <w:rFonts w:ascii="仿宋_GB2312" w:eastAsia="仿宋_GB2312"/>
          <w:color w:val="000000"/>
          <w:sz w:val="30"/>
          <w:szCs w:val="30"/>
        </w:rPr>
        <w:t>.</w:t>
      </w:r>
      <w:r>
        <w:rPr>
          <w:rFonts w:hint="eastAsia" w:ascii="仿宋_GB2312" w:eastAsia="仿宋_GB2312"/>
          <w:color w:val="000000"/>
          <w:sz w:val="30"/>
          <w:szCs w:val="30"/>
        </w:rPr>
        <w:t>基本支出：指为保障机构正常运转、完成日常工作任务而发生的人员支出和公用支出。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eastAsia="仿宋_GB2312"/>
          <w:color w:val="000000"/>
          <w:sz w:val="30"/>
          <w:szCs w:val="30"/>
          <w:lang w:val="en-US" w:eastAsia="zh-CN"/>
        </w:rPr>
        <w:t>6</w:t>
      </w:r>
      <w:r>
        <w:rPr>
          <w:rFonts w:ascii="仿宋_GB2312" w:eastAsia="仿宋_GB2312"/>
          <w:color w:val="000000"/>
          <w:sz w:val="30"/>
          <w:szCs w:val="30"/>
        </w:rPr>
        <w:t>.</w:t>
      </w:r>
      <w:r>
        <w:rPr>
          <w:rFonts w:hint="eastAsia" w:ascii="仿宋_GB2312" w:eastAsia="仿宋_GB2312"/>
          <w:color w:val="000000"/>
          <w:sz w:val="30"/>
          <w:szCs w:val="30"/>
        </w:rPr>
        <w:t>项目支出：指在基本支出之外为完成特定行政任务和事业发展目标所发生的支出。</w:t>
      </w:r>
      <w:r>
        <w:rPr>
          <w:rFonts w:ascii="仿宋_GB2312" w:eastAsia="仿宋_GB2312"/>
          <w:color w:val="000000"/>
          <w:sz w:val="30"/>
          <w:szCs w:val="30"/>
        </w:rPr>
        <w:t xml:space="preserve"> </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17</w:t>
      </w:r>
      <w:r>
        <w:rPr>
          <w:rFonts w:ascii="仿宋_GB2312" w:eastAsia="仿宋_GB2312"/>
          <w:color w:val="000000"/>
          <w:sz w:val="30"/>
          <w:szCs w:val="30"/>
        </w:rPr>
        <w:t>.</w:t>
      </w:r>
      <w:r>
        <w:rPr>
          <w:rFonts w:hint="eastAsia" w:ascii="仿宋_GB2312" w:eastAsia="仿宋_GB2312"/>
          <w:color w:val="000000"/>
          <w:sz w:val="30"/>
          <w:szCs w:val="30"/>
        </w:rPr>
        <w:t>经营支出：指事业单位在专业业务活动及其辅助活动之外开展非独立核算经营活动发生的支出。</w:t>
      </w:r>
    </w:p>
    <w:p>
      <w:pPr>
        <w:pStyle w:val="26"/>
        <w:spacing w:line="560" w:lineRule="exact"/>
        <w:ind w:firstLine="600" w:firstLineChars="200"/>
        <w:rPr>
          <w:rFonts w:ascii="仿宋_GB2312" w:eastAsia="仿宋_GB2312"/>
          <w:sz w:val="30"/>
          <w:szCs w:val="30"/>
        </w:rPr>
      </w:pPr>
      <w:r>
        <w:rPr>
          <w:rFonts w:hint="eastAsia" w:ascii="仿宋_GB2312" w:eastAsia="仿宋_GB2312"/>
          <w:sz w:val="30"/>
          <w:szCs w:val="30"/>
          <w:lang w:val="en-US" w:eastAsia="zh-CN"/>
        </w:rPr>
        <w:t>18</w:t>
      </w:r>
      <w:r>
        <w:rPr>
          <w:rFonts w:ascii="仿宋_GB2312" w:eastAsia="仿宋_GB2312"/>
          <w:sz w:val="30"/>
          <w:szCs w:val="30"/>
        </w:rPr>
        <w:t>.</w:t>
      </w:r>
      <w:r>
        <w:rPr>
          <w:rFonts w:hint="eastAsia" w:ascii="仿宋_GB2312" w:eastAsia="仿宋_GB2312"/>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19</w:t>
      </w:r>
      <w:r>
        <w:rPr>
          <w:rFonts w:ascii="仿宋_GB2312" w:eastAsia="仿宋_GB2312"/>
          <w:sz w:val="30"/>
          <w:szCs w:val="30"/>
        </w:rPr>
        <w:t>.</w:t>
      </w:r>
      <w:r>
        <w:rPr>
          <w:rFonts w:hint="eastAsia" w:ascii="仿宋_GB2312" w:eastAsia="仿宋_GB2312"/>
          <w:sz w:val="30"/>
          <w:szCs w:val="30"/>
        </w:rPr>
        <w:t>机关运行经费：为保障行政单位（含参照公务员法管理的事业单位）运行用于购买货物和服务的各项资金，包括办公及印刷费、邮电费、差旅费、会议费、福利费、日常维修费办公用房水电费、办公用房取暖费、办公用房物业管理费以及其他费用。</w:t>
      </w:r>
    </w:p>
    <w:p>
      <w:pPr>
        <w:pStyle w:val="26"/>
        <w:spacing w:line="560" w:lineRule="exact"/>
        <w:ind w:firstLine="600" w:firstLineChars="200"/>
        <w:rPr>
          <w:rFonts w:hint="eastAsia" w:ascii="仿宋_GB2312" w:eastAsia="仿宋_GB2312"/>
          <w:sz w:val="30"/>
          <w:szCs w:val="30"/>
        </w:rPr>
      </w:pPr>
    </w:p>
    <w:p>
      <w:pPr>
        <w:pStyle w:val="26"/>
        <w:spacing w:line="560" w:lineRule="exact"/>
        <w:ind w:firstLine="600" w:firstLineChars="200"/>
        <w:rPr>
          <w:rFonts w:hint="eastAsia" w:ascii="仿宋_GB2312" w:eastAsia="仿宋_GB2312"/>
          <w:sz w:val="30"/>
          <w:szCs w:val="30"/>
        </w:rPr>
      </w:pPr>
    </w:p>
    <w:p>
      <w:pPr>
        <w:pStyle w:val="26"/>
        <w:spacing w:line="560" w:lineRule="exact"/>
        <w:ind w:firstLine="600" w:firstLineChars="200"/>
        <w:rPr>
          <w:rFonts w:hint="eastAsia" w:ascii="仿宋_GB2312" w:eastAsia="仿宋_GB2312"/>
          <w:sz w:val="30"/>
          <w:szCs w:val="30"/>
        </w:rPr>
      </w:pPr>
    </w:p>
    <w:p>
      <w:pPr>
        <w:pStyle w:val="26"/>
        <w:spacing w:line="560" w:lineRule="exact"/>
        <w:ind w:firstLine="600" w:firstLineChars="200"/>
        <w:rPr>
          <w:rFonts w:hint="eastAsia" w:ascii="仿宋_GB2312" w:eastAsia="仿宋_GB2312"/>
          <w:sz w:val="30"/>
          <w:szCs w:val="30"/>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pStyle w:val="11"/>
        <w:bidi w:val="0"/>
        <w:rPr>
          <w:rFonts w:hint="eastAsia" w:ascii="宋体" w:hAnsi="宋体" w:eastAsia="宋体" w:cs="宋体"/>
          <w:b/>
          <w:bCs/>
          <w:sz w:val="44"/>
          <w:szCs w:val="44"/>
        </w:rPr>
      </w:pPr>
    </w:p>
    <w:p>
      <w:pPr>
        <w:pStyle w:val="11"/>
        <w:numPr>
          <w:ilvl w:val="0"/>
          <w:numId w:val="0"/>
        </w:numPr>
        <w:bidi w:val="0"/>
        <w:jc w:val="center"/>
        <w:outlineLvl w:val="0"/>
        <w:rPr>
          <w:rFonts w:hint="eastAsia" w:ascii="黑体" w:hAnsi="黑体" w:eastAsia="黑体" w:cs="黑体"/>
          <w:b/>
          <w:bCs/>
          <w:sz w:val="44"/>
          <w:szCs w:val="44"/>
          <w:lang w:eastAsia="zh-CN"/>
        </w:rPr>
      </w:pPr>
      <w:bookmarkStart w:id="76" w:name="_Toc23829"/>
      <w:r>
        <w:rPr>
          <w:rFonts w:hint="eastAsia" w:ascii="黑体" w:hAnsi="黑体" w:eastAsia="黑体" w:cs="黑体"/>
          <w:b/>
          <w:bCs/>
          <w:sz w:val="44"/>
          <w:szCs w:val="44"/>
          <w:lang w:eastAsia="zh-CN"/>
        </w:rPr>
        <w:t>第四部分 附件</w:t>
      </w:r>
      <w:bookmarkEnd w:id="76"/>
    </w:p>
    <w:tbl>
      <w:tblPr>
        <w:tblStyle w:val="16"/>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85"/>
        <w:gridCol w:w="1148"/>
        <w:gridCol w:w="1386"/>
        <w:gridCol w:w="458"/>
        <w:gridCol w:w="1058"/>
        <w:gridCol w:w="458"/>
        <w:gridCol w:w="965"/>
        <w:gridCol w:w="576"/>
        <w:gridCol w:w="577"/>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02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w:t>
            </w:r>
            <w:r>
              <w:rPr>
                <w:rFonts w:ascii="宋体" w:hAnsi="宋体" w:eastAsia="宋体" w:cs="宋体"/>
                <w:i w:val="0"/>
                <w:iCs w:val="0"/>
                <w:color w:val="000000"/>
                <w:kern w:val="0"/>
                <w:sz w:val="18"/>
                <w:szCs w:val="18"/>
                <w:u w:val="none"/>
                <w:lang w:val="en-US" w:eastAsia="zh-CN" w:bidi="ar"/>
              </w:rPr>
              <w:t>执行相关政策</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及时发放聘用人员工资，</w:t>
            </w:r>
            <w:r>
              <w:rPr>
                <w:rFonts w:hint="eastAsia" w:ascii="宋体" w:hAnsi="宋体" w:cs="宋体"/>
                <w:i w:val="0"/>
                <w:iCs w:val="0"/>
                <w:color w:val="000000"/>
                <w:kern w:val="0"/>
                <w:sz w:val="18"/>
                <w:szCs w:val="18"/>
                <w:u w:val="none"/>
                <w:lang w:val="en-US" w:eastAsia="zh-CN" w:bidi="ar"/>
              </w:rPr>
              <w:t>提高工作积极性</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强化预算，继续提高自身工作效率。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52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314"/>
        <w:gridCol w:w="1172"/>
        <w:gridCol w:w="1419"/>
        <w:gridCol w:w="460"/>
        <w:gridCol w:w="1082"/>
        <w:gridCol w:w="460"/>
        <w:gridCol w:w="970"/>
        <w:gridCol w:w="576"/>
        <w:gridCol w:w="423"/>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w:t>
            </w:r>
            <w:r>
              <w:rPr>
                <w:rFonts w:ascii="宋体" w:hAnsi="宋体" w:eastAsia="宋体" w:cs="宋体"/>
                <w:i w:val="0"/>
                <w:iCs w:val="0"/>
                <w:color w:val="000000"/>
                <w:kern w:val="0"/>
                <w:sz w:val="18"/>
                <w:szCs w:val="18"/>
                <w:u w:val="none"/>
                <w:lang w:val="en-US" w:eastAsia="zh-CN" w:bidi="ar"/>
              </w:rPr>
              <w:t>执行相关政策</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按月</w:t>
            </w:r>
            <w:r>
              <w:rPr>
                <w:rFonts w:ascii="宋体" w:hAnsi="宋体" w:eastAsia="宋体" w:cs="宋体"/>
                <w:i w:val="0"/>
                <w:iCs w:val="0"/>
                <w:color w:val="000000"/>
                <w:kern w:val="0"/>
                <w:sz w:val="18"/>
                <w:szCs w:val="18"/>
                <w:u w:val="none"/>
                <w:lang w:val="en-US" w:eastAsia="zh-CN" w:bidi="ar"/>
              </w:rPr>
              <w:t>及时发放独子费，</w:t>
            </w:r>
            <w:r>
              <w:rPr>
                <w:rFonts w:hint="eastAsia" w:ascii="宋体" w:hAnsi="宋体" w:cs="宋体"/>
                <w:i w:val="0"/>
                <w:iCs w:val="0"/>
                <w:color w:val="000000"/>
                <w:kern w:val="0"/>
                <w:sz w:val="18"/>
                <w:szCs w:val="18"/>
                <w:u w:val="none"/>
                <w:lang w:val="en-US" w:eastAsia="zh-CN" w:bidi="ar"/>
              </w:rPr>
              <w:t>提高工作积极性</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强化预算，继续提高自身工作效率。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1276"/>
        <w:gridCol w:w="1189"/>
        <w:gridCol w:w="1423"/>
        <w:gridCol w:w="457"/>
        <w:gridCol w:w="1051"/>
        <w:gridCol w:w="457"/>
        <w:gridCol w:w="916"/>
        <w:gridCol w:w="576"/>
        <w:gridCol w:w="577"/>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w:t>
            </w:r>
            <w:r>
              <w:rPr>
                <w:rFonts w:ascii="宋体" w:hAnsi="宋体" w:eastAsia="宋体" w:cs="宋体"/>
                <w:i w:val="0"/>
                <w:iCs w:val="0"/>
                <w:color w:val="000000"/>
                <w:kern w:val="0"/>
                <w:sz w:val="18"/>
                <w:szCs w:val="18"/>
                <w:u w:val="none"/>
                <w:lang w:val="en-US" w:eastAsia="zh-CN" w:bidi="ar"/>
              </w:rPr>
              <w:t>执行相关政策</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及时发放</w:t>
            </w:r>
            <w:r>
              <w:rPr>
                <w:rFonts w:ascii="宋体" w:hAnsi="宋体" w:eastAsia="宋体" w:cs="宋体"/>
                <w:i w:val="0"/>
                <w:iCs w:val="0"/>
                <w:color w:val="000000"/>
                <w:kern w:val="0"/>
                <w:sz w:val="18"/>
                <w:szCs w:val="18"/>
                <w:u w:val="none"/>
                <w:lang w:val="en-US" w:eastAsia="zh-CN" w:bidi="ar"/>
              </w:rPr>
              <w:t>目标绩效奖(公务员及参公人员)</w:t>
            </w:r>
            <w:r>
              <w:rPr>
                <w:rFonts w:hint="eastAsia" w:ascii="宋体" w:hAnsi="宋体" w:cs="宋体"/>
                <w:i w:val="0"/>
                <w:iCs w:val="0"/>
                <w:color w:val="000000"/>
                <w:kern w:val="0"/>
                <w:sz w:val="18"/>
                <w:szCs w:val="18"/>
                <w:u w:val="none"/>
                <w:lang w:val="en-US" w:eastAsia="zh-CN" w:bidi="ar"/>
              </w:rPr>
              <w:t>，提高工作积极性。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85"/>
        <w:gridCol w:w="1149"/>
        <w:gridCol w:w="1386"/>
        <w:gridCol w:w="458"/>
        <w:gridCol w:w="1059"/>
        <w:gridCol w:w="458"/>
        <w:gridCol w:w="965"/>
        <w:gridCol w:w="576"/>
        <w:gridCol w:w="576"/>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w:t>
            </w:r>
            <w:r>
              <w:rPr>
                <w:rFonts w:ascii="宋体" w:hAnsi="宋体" w:eastAsia="宋体" w:cs="宋体"/>
                <w:i w:val="0"/>
                <w:iCs w:val="0"/>
                <w:color w:val="000000"/>
                <w:kern w:val="0"/>
                <w:sz w:val="18"/>
                <w:szCs w:val="18"/>
                <w:u w:val="none"/>
                <w:lang w:val="en-US" w:eastAsia="zh-CN" w:bidi="ar"/>
              </w:rPr>
              <w:t>执行相关政策</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及时发放交通费用（公务用车改革补贴）</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减少结余资金</w:t>
            </w:r>
            <w:r>
              <w:rPr>
                <w:rFonts w:hint="eastAsia" w:ascii="宋体" w:hAnsi="宋体" w:cs="宋体"/>
                <w:i w:val="0"/>
                <w:iCs w:val="0"/>
                <w:color w:val="000000"/>
                <w:kern w:val="0"/>
                <w:sz w:val="18"/>
                <w:szCs w:val="18"/>
                <w:u w:val="none"/>
                <w:lang w:val="en-US" w:eastAsia="zh-CN" w:bidi="ar"/>
              </w:rPr>
              <w:t>，确保单位正常运行</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219"/>
        <w:gridCol w:w="1094"/>
        <w:gridCol w:w="1666"/>
        <w:gridCol w:w="452"/>
        <w:gridCol w:w="1004"/>
        <w:gridCol w:w="452"/>
        <w:gridCol w:w="954"/>
        <w:gridCol w:w="576"/>
        <w:gridCol w:w="576"/>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2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3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95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3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5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308"/>
        <w:gridCol w:w="1213"/>
        <w:gridCol w:w="1458"/>
        <w:gridCol w:w="460"/>
        <w:gridCol w:w="1077"/>
        <w:gridCol w:w="460"/>
        <w:gridCol w:w="924"/>
        <w:gridCol w:w="498"/>
        <w:gridCol w:w="486"/>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严格按照相关政策，</w:t>
            </w:r>
            <w:r>
              <w:rPr>
                <w:rFonts w:hint="eastAsia" w:ascii="宋体" w:hAnsi="宋体" w:cs="宋体"/>
                <w:i w:val="0"/>
                <w:iCs w:val="0"/>
                <w:color w:val="000000"/>
                <w:kern w:val="0"/>
                <w:sz w:val="18"/>
                <w:szCs w:val="18"/>
                <w:u w:val="none"/>
                <w:lang w:val="en-US" w:eastAsia="zh-CN" w:bidi="ar"/>
              </w:rPr>
              <w:t>及时发放资金，</w:t>
            </w:r>
            <w:r>
              <w:rPr>
                <w:rFonts w:ascii="宋体" w:hAnsi="宋体" w:eastAsia="宋体" w:cs="宋体"/>
                <w:i w:val="0"/>
                <w:iCs w:val="0"/>
                <w:color w:val="000000"/>
                <w:kern w:val="0"/>
                <w:sz w:val="18"/>
                <w:szCs w:val="18"/>
                <w:u w:val="none"/>
                <w:lang w:val="en-US" w:eastAsia="zh-CN" w:bidi="ar"/>
              </w:rPr>
              <w:t>保障</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单位日常运转，提高</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预算编制质量</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1333"/>
        <w:gridCol w:w="1187"/>
        <w:gridCol w:w="1441"/>
        <w:gridCol w:w="462"/>
        <w:gridCol w:w="1053"/>
        <w:gridCol w:w="462"/>
        <w:gridCol w:w="930"/>
        <w:gridCol w:w="498"/>
        <w:gridCol w:w="486"/>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严格按照相关政策，</w:t>
            </w:r>
            <w:r>
              <w:rPr>
                <w:rFonts w:hint="eastAsia" w:ascii="宋体" w:hAnsi="宋体" w:cs="宋体"/>
                <w:i w:val="0"/>
                <w:iCs w:val="0"/>
                <w:color w:val="000000"/>
                <w:kern w:val="0"/>
                <w:sz w:val="18"/>
                <w:szCs w:val="18"/>
                <w:u w:val="none"/>
                <w:lang w:val="en-US" w:eastAsia="zh-CN" w:bidi="ar"/>
              </w:rPr>
              <w:t>及时缴纳各类保险，</w:t>
            </w:r>
            <w:r>
              <w:rPr>
                <w:rFonts w:ascii="宋体" w:hAnsi="宋体" w:eastAsia="宋体" w:cs="宋体"/>
                <w:i w:val="0"/>
                <w:iCs w:val="0"/>
                <w:color w:val="000000"/>
                <w:kern w:val="0"/>
                <w:sz w:val="18"/>
                <w:szCs w:val="18"/>
                <w:u w:val="none"/>
                <w:lang w:val="en-US" w:eastAsia="zh-CN" w:bidi="ar"/>
              </w:rPr>
              <w:t>保障</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单位日常运转，提高</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预算编制质量</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1333"/>
        <w:gridCol w:w="1187"/>
        <w:gridCol w:w="1441"/>
        <w:gridCol w:w="462"/>
        <w:gridCol w:w="1053"/>
        <w:gridCol w:w="462"/>
        <w:gridCol w:w="930"/>
        <w:gridCol w:w="498"/>
        <w:gridCol w:w="486"/>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严格按照相关政策，</w:t>
            </w:r>
            <w:r>
              <w:rPr>
                <w:rFonts w:hint="eastAsia" w:ascii="宋体" w:hAnsi="宋体" w:cs="宋体"/>
                <w:i w:val="0"/>
                <w:iCs w:val="0"/>
                <w:color w:val="000000"/>
                <w:kern w:val="0"/>
                <w:sz w:val="18"/>
                <w:szCs w:val="18"/>
                <w:u w:val="none"/>
                <w:lang w:val="en-US" w:eastAsia="zh-CN" w:bidi="ar"/>
              </w:rPr>
              <w:t>及时缴纳各类保险，</w:t>
            </w:r>
            <w:r>
              <w:rPr>
                <w:rFonts w:ascii="宋体" w:hAnsi="宋体" w:eastAsia="宋体" w:cs="宋体"/>
                <w:i w:val="0"/>
                <w:iCs w:val="0"/>
                <w:color w:val="000000"/>
                <w:kern w:val="0"/>
                <w:sz w:val="18"/>
                <w:szCs w:val="18"/>
                <w:u w:val="none"/>
                <w:lang w:val="en-US" w:eastAsia="zh-CN" w:bidi="ar"/>
              </w:rPr>
              <w:t>保障</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单位日常运转，提高</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预算编制质量</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1325"/>
        <w:gridCol w:w="1181"/>
        <w:gridCol w:w="1431"/>
        <w:gridCol w:w="461"/>
        <w:gridCol w:w="1091"/>
        <w:gridCol w:w="461"/>
        <w:gridCol w:w="928"/>
        <w:gridCol w:w="498"/>
        <w:gridCol w:w="486"/>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严格按照相关政策，</w:t>
            </w:r>
            <w:r>
              <w:rPr>
                <w:rFonts w:hint="eastAsia" w:ascii="宋体" w:hAnsi="宋体" w:cs="宋体"/>
                <w:i w:val="0"/>
                <w:iCs w:val="0"/>
                <w:color w:val="000000"/>
                <w:kern w:val="0"/>
                <w:sz w:val="18"/>
                <w:szCs w:val="18"/>
                <w:u w:val="none"/>
                <w:lang w:val="en-US" w:eastAsia="zh-CN" w:bidi="ar"/>
              </w:rPr>
              <w:t>及时缴纳公积金，</w:t>
            </w:r>
            <w:r>
              <w:rPr>
                <w:rFonts w:ascii="宋体" w:hAnsi="宋体" w:eastAsia="宋体" w:cs="宋体"/>
                <w:i w:val="0"/>
                <w:iCs w:val="0"/>
                <w:color w:val="000000"/>
                <w:kern w:val="0"/>
                <w:sz w:val="18"/>
                <w:szCs w:val="18"/>
                <w:u w:val="none"/>
                <w:lang w:val="en-US" w:eastAsia="zh-CN" w:bidi="ar"/>
              </w:rPr>
              <w:t>保障</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单位日常运转，提高</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预算编制质量</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horzAnchor="page" w:tblpXSpec="center" w:tblpY="788"/>
        <w:tblOverlap w:val="never"/>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291"/>
        <w:gridCol w:w="1199"/>
        <w:gridCol w:w="1439"/>
        <w:gridCol w:w="458"/>
        <w:gridCol w:w="1109"/>
        <w:gridCol w:w="458"/>
        <w:gridCol w:w="966"/>
        <w:gridCol w:w="498"/>
        <w:gridCol w:w="486"/>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51081222T000005932348-2022年度农村客运发展专项财政补贴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目标1：按期完成2022年度农村客运发展专项财政补贴项 目,通过通村客运营运补助、通村客运车辆保险 补助、通村客运车辆新能源车购置补助,目标1：提高客运企业服务冷线行政村的积极性,目标2：确保农村客运开得通、留得住,保障农民群众"行有所乘",目标3：推进农村客运低碳、绿色、高质量发展。  </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保险保费补助车辆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新能源车辆补助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营运补助车辆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新能源车辆补助金额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保险保费补助车辆金额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营运补助车辆金额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提高客运企业服务积极性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促进绿色低碳发展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持续运营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按期完成</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2022年度农村客运发展专项财政补贴项目,通过通村客运营运补助、通村客运车辆保险补助、通村客运车辆新能源车购置补助</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提高</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客运企业服务冷线行政村的积极性</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确保</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农村客运开得通、留得住,保障</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农民群众"行有所乘"</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推进</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 xml:space="preserve">农村客运低碳、绿色、高质量发展。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horzAnchor="page" w:tblpXSpec="center" w:tblpY="307"/>
        <w:tblOverlap w:val="never"/>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308"/>
        <w:gridCol w:w="1167"/>
        <w:gridCol w:w="1412"/>
        <w:gridCol w:w="460"/>
        <w:gridCol w:w="1123"/>
        <w:gridCol w:w="460"/>
        <w:gridCol w:w="969"/>
        <w:gridCol w:w="498"/>
        <w:gridCol w:w="486"/>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51081222T000005933193-2022年度城市公交专项财政补贴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按期完成2022年度城市公交专项财政补贴项目,通过城市公交专项财政补助,提高客运企业服务积极性,,保障人民群众出行，做到"行有所乘" 以及推进交通行业客运低碳、绿色、高质量发展。</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城市公交车辆专项财政补贴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城市公交车辆专项财政补贴金额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提高客运企业服务的积极性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促进绿色低碳发展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持续运营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按期完成</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2022年度农村客运发展专项财政补贴项目,通过通村客运营运补助、通村客运车辆保险补助、通村客运车辆新能源车购置补助</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提高</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客运企业服务冷线行政村的积极性</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确保农村客运开得通、留得住,保障</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农民群众"行有所乘"</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推进</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 xml:space="preserve">农村客运低碳、绿色、高质量发展。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317"/>
        <w:gridCol w:w="1174"/>
        <w:gridCol w:w="1422"/>
        <w:gridCol w:w="461"/>
        <w:gridCol w:w="1129"/>
        <w:gridCol w:w="461"/>
        <w:gridCol w:w="926"/>
        <w:gridCol w:w="498"/>
        <w:gridCol w:w="486"/>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51081222T000005936019-2022年度水上交通应急保障经费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按期完成22022年度水上交通应急保障,通过购买船舶、船员各类保险，提高船舶渡人的积极性，促进水上交通低碳、绿色、高质量发展，确保水上交通生产安全。 </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船员保险费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船舶保险费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船员保险费金额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船舶保险费金额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提高客运企业服务积极性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促进绿色低碳发展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持续运营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按期完成</w:t>
            </w:r>
            <w:r>
              <w:rPr>
                <w:rFonts w:hint="eastAsia" w:ascii="宋体" w:hAnsi="宋体" w:eastAsia="宋体" w:cs="宋体"/>
                <w:i w:val="0"/>
                <w:iCs w:val="0"/>
                <w:color w:val="000000"/>
                <w:kern w:val="0"/>
                <w:sz w:val="18"/>
                <w:szCs w:val="18"/>
                <w:u w:val="none"/>
                <w:lang w:val="en-US" w:eastAsia="zh-CN" w:bidi="ar"/>
              </w:rPr>
              <w:t>了20</w:t>
            </w:r>
            <w:r>
              <w:rPr>
                <w:rFonts w:ascii="宋体" w:hAnsi="宋体" w:eastAsia="宋体" w:cs="宋体"/>
                <w:i w:val="0"/>
                <w:iCs w:val="0"/>
                <w:color w:val="000000"/>
                <w:kern w:val="0"/>
                <w:sz w:val="18"/>
                <w:szCs w:val="18"/>
                <w:u w:val="none"/>
                <w:lang w:val="en-US" w:eastAsia="zh-CN" w:bidi="ar"/>
              </w:rPr>
              <w:t>22年度水上交通应急保障,通过购买船舶、船员各类保险，提高</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船舶渡人的积极性，促进</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水上交通低碳、绿色、高质量发展，确保</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水上交通生产安全。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317"/>
        <w:gridCol w:w="1174"/>
        <w:gridCol w:w="1467"/>
        <w:gridCol w:w="461"/>
        <w:gridCol w:w="1039"/>
        <w:gridCol w:w="461"/>
        <w:gridCol w:w="971"/>
        <w:gridCol w:w="498"/>
        <w:gridCol w:w="486"/>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51081222T000007355359-2022年市级农村客运补助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按期完成2022年市级农村客运补助项目,通过农村客运补助,提高</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客运企业服务积极性,保障</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人民群众出行，做到"行有所乘" 以及推进交通行业客运低碳、绿色、高质量发展。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308"/>
        <w:gridCol w:w="1167"/>
        <w:gridCol w:w="1503"/>
        <w:gridCol w:w="460"/>
        <w:gridCol w:w="1032"/>
        <w:gridCol w:w="460"/>
        <w:gridCol w:w="969"/>
        <w:gridCol w:w="498"/>
        <w:gridCol w:w="486"/>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51081222T000007355422-2020年度农村客运出租车成品油价格补助资金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316.11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316.11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按期完成</w:t>
            </w:r>
            <w:r>
              <w:rPr>
                <w:rFonts w:hint="eastAsia" w:ascii="宋体" w:hAnsi="宋体" w:eastAsia="宋体" w:cs="宋体"/>
                <w:i w:val="0"/>
                <w:iCs w:val="0"/>
                <w:color w:val="000000"/>
                <w:kern w:val="0"/>
                <w:sz w:val="18"/>
                <w:szCs w:val="18"/>
                <w:u w:val="none"/>
                <w:lang w:val="en-US" w:eastAsia="zh-CN" w:bidi="ar"/>
              </w:rPr>
              <w:t>2020年</w:t>
            </w:r>
            <w:r>
              <w:rPr>
                <w:rFonts w:ascii="宋体" w:hAnsi="宋体" w:eastAsia="宋体" w:cs="宋体"/>
                <w:i w:val="0"/>
                <w:iCs w:val="0"/>
                <w:color w:val="000000"/>
                <w:kern w:val="0"/>
                <w:sz w:val="18"/>
                <w:szCs w:val="18"/>
                <w:u w:val="none"/>
                <w:lang w:val="en-US" w:eastAsia="zh-CN" w:bidi="ar"/>
              </w:rPr>
              <w:t>农村客运出租车成品油价格补助项目,通过</w:t>
            </w:r>
            <w:r>
              <w:rPr>
                <w:rFonts w:hint="eastAsia" w:ascii="宋体" w:hAnsi="宋体" w:eastAsia="宋体" w:cs="宋体"/>
                <w:i w:val="0"/>
                <w:iCs w:val="0"/>
                <w:color w:val="000000"/>
                <w:kern w:val="0"/>
                <w:sz w:val="18"/>
                <w:szCs w:val="18"/>
                <w:u w:val="none"/>
                <w:lang w:val="en-US" w:eastAsia="zh-CN" w:bidi="ar"/>
              </w:rPr>
              <w:t>2020年</w:t>
            </w:r>
            <w:r>
              <w:rPr>
                <w:rFonts w:ascii="宋体" w:hAnsi="宋体" w:eastAsia="宋体" w:cs="宋体"/>
                <w:i w:val="0"/>
                <w:iCs w:val="0"/>
                <w:color w:val="000000"/>
                <w:kern w:val="0"/>
                <w:sz w:val="18"/>
                <w:szCs w:val="18"/>
                <w:u w:val="none"/>
                <w:lang w:val="en-US" w:eastAsia="zh-CN" w:bidi="ar"/>
              </w:rPr>
              <w:t>农村客运出租车成品油价格补助,提高</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客运企业服务积极性,保障</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人民群众出行，做到"行有所乘" 以及推进交通行业客运低碳、绿色、高质量发展。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财务负责人：岳阳生</w:t>
            </w:r>
          </w:p>
        </w:tc>
      </w:tr>
    </w:tbl>
    <w:p>
      <w:pPr>
        <w:rPr>
          <w:rFonts w:hint="eastAsia" w:ascii="宋体" w:hAnsi="宋体" w:eastAsia="宋体" w:cs="宋体"/>
          <w:i w:val="0"/>
          <w:iCs w:val="0"/>
          <w:color w:val="000000"/>
          <w:sz w:val="18"/>
          <w:szCs w:val="18"/>
          <w:u w:val="none"/>
        </w:rPr>
      </w:pPr>
    </w:p>
    <w:tbl>
      <w:tblPr>
        <w:tblStyle w:val="16"/>
        <w:tblpPr w:leftFromText="180" w:rightFromText="180" w:vertAnchor="text" w:tblpXSpec="center" w:tblpY="1"/>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1325"/>
        <w:gridCol w:w="1181"/>
        <w:gridCol w:w="1431"/>
        <w:gridCol w:w="461"/>
        <w:gridCol w:w="1046"/>
        <w:gridCol w:w="461"/>
        <w:gridCol w:w="972"/>
        <w:gridCol w:w="498"/>
        <w:gridCol w:w="486"/>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51081222T000007471527-2022年度城市公交专项财政补贴（二）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按期完成2022年度城市公交专项财政补贴（二）项目,通过2022年度城市公交专项财政补贴（二）,提高</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客运企业服务积极性,保障</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人民群众出行，做到"行有所乘" 以及推进交通行业客运低碳、绿色、高质量发展。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财务负责人：岳阳生</w:t>
            </w:r>
          </w:p>
        </w:tc>
      </w:tr>
    </w:tbl>
    <w:p>
      <w:pPr>
        <w:pStyle w:val="5"/>
        <w:rPr>
          <w:rFonts w:hint="eastAsia"/>
        </w:rPr>
      </w:pPr>
    </w:p>
    <w:tbl>
      <w:tblPr>
        <w:tblStyle w:val="16"/>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228"/>
        <w:gridCol w:w="1103"/>
        <w:gridCol w:w="1674"/>
        <w:gridCol w:w="453"/>
        <w:gridCol w:w="1013"/>
        <w:gridCol w:w="453"/>
        <w:gridCol w:w="906"/>
        <w:gridCol w:w="576"/>
        <w:gridCol w:w="576"/>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02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广元市朝天区交通运输局部门</w:t>
            </w:r>
          </w:p>
        </w:tc>
        <w:tc>
          <w:tcPr>
            <w:tcW w:w="91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3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9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ascii="宋体" w:hAnsi="宋体" w:eastAsia="宋体" w:cs="宋体"/>
                <w:i w:val="0"/>
                <w:iCs w:val="0"/>
                <w:color w:val="000000"/>
                <w:kern w:val="0"/>
                <w:sz w:val="18"/>
                <w:szCs w:val="18"/>
                <w:u w:val="none"/>
                <w:lang w:val="en-US" w:eastAsia="zh-CN" w:bidi="ar"/>
              </w:rPr>
              <w:t>严格</w:t>
            </w:r>
            <w:r>
              <w:rPr>
                <w:rFonts w:hint="eastAsia" w:ascii="宋体" w:hAnsi="宋体" w:cs="宋体"/>
                <w:i w:val="0"/>
                <w:iCs w:val="0"/>
                <w:color w:val="000000"/>
                <w:kern w:val="0"/>
                <w:sz w:val="18"/>
                <w:szCs w:val="18"/>
                <w:u w:val="none"/>
                <w:lang w:val="en-US" w:eastAsia="zh-CN" w:bidi="ar"/>
              </w:rPr>
              <w:t>按照预算</w:t>
            </w:r>
            <w:r>
              <w:rPr>
                <w:rFonts w:ascii="宋体" w:hAnsi="宋体" w:eastAsia="宋体" w:cs="宋体"/>
                <w:i w:val="0"/>
                <w:iCs w:val="0"/>
                <w:color w:val="000000"/>
                <w:kern w:val="0"/>
                <w:sz w:val="18"/>
                <w:szCs w:val="18"/>
                <w:u w:val="none"/>
                <w:lang w:val="en-US" w:eastAsia="zh-CN" w:bidi="ar"/>
              </w:rPr>
              <w:t>执行</w:t>
            </w:r>
            <w:r>
              <w:rPr>
                <w:rFonts w:hint="eastAsia" w:ascii="宋体" w:hAnsi="宋体" w:cs="宋体"/>
                <w:i w:val="0"/>
                <w:iCs w:val="0"/>
                <w:color w:val="000000"/>
                <w:kern w:val="0"/>
                <w:sz w:val="18"/>
                <w:szCs w:val="18"/>
                <w:u w:val="none"/>
                <w:lang w:val="en-US" w:eastAsia="zh-CN" w:bidi="ar"/>
              </w:rPr>
              <w:t>，及时发放资金，</w:t>
            </w:r>
            <w:r>
              <w:rPr>
                <w:rFonts w:ascii="宋体" w:hAnsi="宋体" w:eastAsia="宋体" w:cs="宋体"/>
                <w:i w:val="0"/>
                <w:iCs w:val="0"/>
                <w:color w:val="000000"/>
                <w:kern w:val="0"/>
                <w:sz w:val="18"/>
                <w:szCs w:val="18"/>
                <w:u w:val="none"/>
                <w:lang w:val="en-US" w:eastAsia="zh-CN" w:bidi="ar"/>
              </w:rPr>
              <w:t>保障</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单位日常运转，提高</w:t>
            </w:r>
            <w:r>
              <w:rPr>
                <w:rFonts w:hint="eastAsia" w:ascii="宋体" w:hAnsi="宋体" w:eastAsia="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预算编制质量，</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9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9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继续加强。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1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项目负责人：廖植</w:t>
            </w:r>
          </w:p>
        </w:tc>
        <w:tc>
          <w:tcPr>
            <w:tcW w:w="50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财务负责人：岳阳生</w:t>
            </w:r>
          </w:p>
        </w:tc>
      </w:tr>
    </w:tbl>
    <w:p>
      <w:pPr>
        <w:pStyle w:val="5"/>
        <w:rPr>
          <w:rFonts w:hint="eastAsia"/>
        </w:rPr>
      </w:pPr>
    </w:p>
    <w:p>
      <w:pPr>
        <w:pStyle w:val="26"/>
        <w:spacing w:line="560" w:lineRule="exact"/>
        <w:ind w:firstLine="600" w:firstLineChars="200"/>
        <w:rPr>
          <w:rFonts w:hint="eastAsia" w:ascii="仿宋_GB2312" w:eastAsia="仿宋_GB2312"/>
          <w:sz w:val="30"/>
          <w:szCs w:val="30"/>
        </w:rPr>
      </w:pPr>
    </w:p>
    <w:p>
      <w:pPr>
        <w:pStyle w:val="26"/>
        <w:spacing w:line="560" w:lineRule="exact"/>
        <w:ind w:firstLine="600" w:firstLineChars="200"/>
        <w:rPr>
          <w:rFonts w:hint="eastAsia" w:ascii="仿宋_GB2312" w:eastAsia="仿宋_GB2312"/>
          <w:sz w:val="30"/>
          <w:szCs w:val="30"/>
        </w:rPr>
      </w:pPr>
    </w:p>
    <w:p>
      <w:pPr>
        <w:pStyle w:val="26"/>
        <w:spacing w:line="560" w:lineRule="exact"/>
        <w:ind w:firstLine="600" w:firstLineChars="200"/>
        <w:rPr>
          <w:rFonts w:hint="eastAsia" w:ascii="仿宋_GB2312" w:eastAsia="仿宋_GB2312"/>
          <w:sz w:val="30"/>
          <w:szCs w:val="30"/>
        </w:rPr>
      </w:pPr>
    </w:p>
    <w:p>
      <w:pPr>
        <w:spacing w:line="600" w:lineRule="exact"/>
        <w:jc w:val="both"/>
        <w:outlineLvl w:val="9"/>
        <w:rPr>
          <w:rFonts w:hint="eastAsia" w:ascii="黑体" w:hAnsi="黑体" w:eastAsia="黑体"/>
          <w:sz w:val="44"/>
          <w:szCs w:val="44"/>
        </w:rPr>
      </w:pPr>
      <w:bookmarkStart w:id="77" w:name="_Toc15396602"/>
      <w:bookmarkStart w:id="78" w:name="_Toc15377204"/>
    </w:p>
    <w:bookmarkEnd w:id="77"/>
    <w:bookmarkEnd w:id="78"/>
    <w:p>
      <w:pPr>
        <w:pStyle w:val="11"/>
        <w:bidi w:val="0"/>
        <w:rPr>
          <w:rFonts w:hint="eastAsia" w:ascii="宋体" w:hAnsi="宋体" w:eastAsia="宋体" w:cs="宋体"/>
          <w:b/>
          <w:bCs/>
          <w:sz w:val="44"/>
          <w:szCs w:val="44"/>
        </w:rPr>
      </w:pPr>
    </w:p>
    <w:p>
      <w:pPr>
        <w:pStyle w:val="11"/>
        <w:bidi w:val="0"/>
        <w:rPr>
          <w:rFonts w:hint="eastAsia" w:ascii="宋体" w:hAnsi="宋体" w:eastAsia="宋体" w:cs="宋体"/>
          <w:b/>
          <w:bCs/>
          <w:sz w:val="44"/>
          <w:szCs w:val="44"/>
        </w:rPr>
      </w:pPr>
    </w:p>
    <w:p>
      <w:pPr>
        <w:pStyle w:val="11"/>
        <w:bidi w:val="0"/>
        <w:rPr>
          <w:rFonts w:hint="eastAsia" w:ascii="宋体" w:hAnsi="宋体" w:eastAsia="宋体" w:cs="宋体"/>
          <w:b/>
          <w:bCs/>
          <w:sz w:val="44"/>
          <w:szCs w:val="44"/>
        </w:rPr>
      </w:pPr>
    </w:p>
    <w:p>
      <w:pPr>
        <w:pStyle w:val="11"/>
        <w:bidi w:val="0"/>
        <w:rPr>
          <w:rFonts w:hint="eastAsia" w:ascii="宋体" w:hAnsi="宋体" w:eastAsia="宋体" w:cs="宋体"/>
          <w:b/>
          <w:bCs/>
          <w:sz w:val="44"/>
          <w:szCs w:val="44"/>
        </w:rPr>
      </w:pPr>
    </w:p>
    <w:p>
      <w:pPr>
        <w:pStyle w:val="11"/>
        <w:bidi w:val="0"/>
        <w:rPr>
          <w:rFonts w:hint="eastAsia" w:ascii="宋体" w:hAnsi="宋体" w:eastAsia="宋体" w:cs="宋体"/>
          <w:b/>
          <w:bCs/>
          <w:sz w:val="44"/>
          <w:szCs w:val="44"/>
        </w:rPr>
      </w:pPr>
    </w:p>
    <w:p>
      <w:pPr>
        <w:pStyle w:val="11"/>
        <w:bidi w:val="0"/>
        <w:rPr>
          <w:rFonts w:hint="eastAsia" w:ascii="宋体" w:hAnsi="宋体" w:eastAsia="宋体" w:cs="宋体"/>
          <w:b/>
          <w:bCs/>
          <w:sz w:val="44"/>
          <w:szCs w:val="44"/>
        </w:rPr>
      </w:pPr>
    </w:p>
    <w:p>
      <w:pPr>
        <w:pStyle w:val="11"/>
        <w:bidi w:val="0"/>
        <w:rPr>
          <w:rFonts w:hint="eastAsia" w:ascii="宋体" w:hAnsi="宋体" w:eastAsia="宋体" w:cs="宋体"/>
          <w:b/>
          <w:bCs/>
          <w:sz w:val="44"/>
          <w:szCs w:val="44"/>
        </w:rPr>
      </w:pPr>
    </w:p>
    <w:p>
      <w:pPr>
        <w:pStyle w:val="11"/>
        <w:bidi w:val="0"/>
        <w:rPr>
          <w:rFonts w:hint="eastAsia" w:ascii="宋体" w:hAnsi="宋体" w:eastAsia="宋体" w:cs="宋体"/>
          <w:b/>
          <w:bCs/>
          <w:sz w:val="44"/>
          <w:szCs w:val="44"/>
        </w:rPr>
      </w:pPr>
    </w:p>
    <w:p>
      <w:pPr>
        <w:pStyle w:val="11"/>
        <w:bidi w:val="0"/>
        <w:jc w:val="both"/>
        <w:rPr>
          <w:rFonts w:hint="eastAsia" w:ascii="宋体" w:hAnsi="宋体" w:eastAsia="宋体" w:cs="宋体"/>
          <w:b/>
          <w:bCs/>
          <w:sz w:val="44"/>
          <w:szCs w:val="44"/>
        </w:rPr>
      </w:pPr>
    </w:p>
    <w:p>
      <w:pPr>
        <w:pStyle w:val="11"/>
        <w:numPr>
          <w:ilvl w:val="0"/>
          <w:numId w:val="0"/>
        </w:numPr>
        <w:bidi w:val="0"/>
        <w:jc w:val="center"/>
        <w:outlineLvl w:val="0"/>
        <w:rPr>
          <w:rFonts w:hint="eastAsia" w:ascii="黑体" w:hAnsi="黑体" w:eastAsia="黑体" w:cs="黑体"/>
          <w:b/>
          <w:bCs/>
          <w:sz w:val="44"/>
          <w:szCs w:val="44"/>
          <w:lang w:eastAsia="zh-CN"/>
        </w:rPr>
      </w:pPr>
      <w:bookmarkStart w:id="79" w:name="_Toc26398"/>
      <w:r>
        <w:rPr>
          <w:rFonts w:hint="eastAsia" w:ascii="黑体" w:hAnsi="黑体" w:eastAsia="黑体" w:cs="黑体"/>
          <w:b/>
          <w:bCs/>
          <w:sz w:val="44"/>
          <w:szCs w:val="44"/>
          <w:lang w:eastAsia="zh-CN"/>
        </w:rPr>
        <w:t>第五部分 附表</w:t>
      </w:r>
      <w:bookmarkEnd w:id="79"/>
      <w:bookmarkStart w:id="80" w:name="_Toc15396619"/>
    </w:p>
    <w:p>
      <w:pPr>
        <w:pStyle w:val="3"/>
        <w:rPr>
          <w:rFonts w:ascii="仿宋" w:hAnsi="仿宋" w:eastAsia="仿宋"/>
        </w:rPr>
      </w:pPr>
      <w:bookmarkStart w:id="81" w:name="_Toc15701"/>
      <w:bookmarkStart w:id="82" w:name="_Toc17446"/>
      <w:bookmarkStart w:id="83" w:name="_Toc2649"/>
      <w:bookmarkStart w:id="84" w:name="_Toc20993"/>
      <w:r>
        <w:rPr>
          <w:rFonts w:hint="eastAsia" w:ascii="仿宋" w:hAnsi="仿宋" w:eastAsia="仿宋"/>
          <w:b w:val="0"/>
        </w:rPr>
        <w:t>一、收</w:t>
      </w:r>
      <w:r>
        <w:rPr>
          <w:rStyle w:val="29"/>
          <w:rFonts w:hint="eastAsia" w:ascii="仿宋" w:hAnsi="仿宋" w:eastAsia="仿宋"/>
          <w:b w:val="0"/>
          <w:bCs w:val="0"/>
        </w:rPr>
        <w:t>入支出决算总表</w:t>
      </w:r>
      <w:bookmarkEnd w:id="80"/>
      <w:bookmarkEnd w:id="81"/>
      <w:bookmarkEnd w:id="82"/>
      <w:bookmarkEnd w:id="83"/>
      <w:bookmarkEnd w:id="84"/>
    </w:p>
    <w:p>
      <w:pPr>
        <w:pStyle w:val="3"/>
        <w:rPr>
          <w:rStyle w:val="29"/>
          <w:rFonts w:hint="eastAsia" w:ascii="仿宋" w:hAnsi="仿宋" w:eastAsia="仿宋"/>
          <w:b w:val="0"/>
          <w:bCs w:val="0"/>
          <w:lang w:val="en-US" w:eastAsia="zh-CN"/>
        </w:rPr>
      </w:pPr>
      <w:bookmarkStart w:id="85" w:name="_Toc9667"/>
      <w:bookmarkStart w:id="86" w:name="_Toc3987"/>
      <w:r>
        <w:rPr>
          <w:rStyle w:val="29"/>
          <w:rFonts w:hint="eastAsia" w:ascii="仿宋" w:hAnsi="仿宋" w:eastAsia="仿宋"/>
          <w:b w:val="0"/>
          <w:bCs w:val="0"/>
          <w:lang w:val="en-US" w:eastAsia="zh-CN"/>
        </w:rPr>
        <w:t>二、收入决算表</w:t>
      </w:r>
      <w:bookmarkEnd w:id="85"/>
      <w:bookmarkEnd w:id="86"/>
    </w:p>
    <w:p>
      <w:pPr>
        <w:pStyle w:val="3"/>
        <w:rPr>
          <w:rStyle w:val="29"/>
          <w:rFonts w:hint="eastAsia" w:ascii="仿宋" w:hAnsi="仿宋" w:eastAsia="仿宋"/>
          <w:b w:val="0"/>
          <w:bCs w:val="0"/>
          <w:lang w:val="en-US" w:eastAsia="zh-CN"/>
        </w:rPr>
      </w:pPr>
      <w:bookmarkStart w:id="87" w:name="_Toc4473"/>
      <w:bookmarkStart w:id="88" w:name="_Toc18929"/>
      <w:r>
        <w:rPr>
          <w:rStyle w:val="29"/>
          <w:rFonts w:hint="eastAsia" w:ascii="仿宋" w:hAnsi="仿宋" w:eastAsia="仿宋"/>
          <w:b w:val="0"/>
          <w:bCs w:val="0"/>
          <w:lang w:val="en-US" w:eastAsia="zh-CN"/>
        </w:rPr>
        <w:t>三、支出决算表</w:t>
      </w:r>
      <w:bookmarkEnd w:id="87"/>
      <w:bookmarkEnd w:id="88"/>
    </w:p>
    <w:p>
      <w:pPr>
        <w:pStyle w:val="3"/>
        <w:rPr>
          <w:rStyle w:val="29"/>
          <w:rFonts w:hint="eastAsia" w:ascii="仿宋" w:hAnsi="仿宋" w:eastAsia="仿宋"/>
          <w:b w:val="0"/>
          <w:bCs w:val="0"/>
          <w:lang w:val="en-US" w:eastAsia="zh-CN"/>
        </w:rPr>
      </w:pPr>
      <w:bookmarkStart w:id="89" w:name="_Toc14421"/>
      <w:bookmarkStart w:id="90" w:name="_Toc26455"/>
      <w:r>
        <w:rPr>
          <w:rStyle w:val="29"/>
          <w:rFonts w:hint="eastAsia" w:ascii="仿宋" w:hAnsi="仿宋" w:eastAsia="仿宋"/>
          <w:b w:val="0"/>
          <w:bCs w:val="0"/>
          <w:lang w:val="en-US" w:eastAsia="zh-CN"/>
        </w:rPr>
        <w:t>四、财政拨款收入支出决算总表</w:t>
      </w:r>
      <w:bookmarkEnd w:id="89"/>
      <w:bookmarkEnd w:id="90"/>
    </w:p>
    <w:p>
      <w:pPr>
        <w:pStyle w:val="3"/>
        <w:rPr>
          <w:rStyle w:val="29"/>
          <w:rFonts w:hint="eastAsia" w:ascii="仿宋" w:hAnsi="仿宋" w:eastAsia="仿宋"/>
          <w:b w:val="0"/>
          <w:bCs w:val="0"/>
          <w:lang w:val="en-US" w:eastAsia="zh-CN"/>
        </w:rPr>
      </w:pPr>
      <w:bookmarkStart w:id="91" w:name="_Toc28908"/>
      <w:bookmarkStart w:id="92" w:name="_Toc31329"/>
      <w:r>
        <w:rPr>
          <w:rStyle w:val="29"/>
          <w:rFonts w:hint="eastAsia" w:ascii="仿宋" w:hAnsi="仿宋" w:eastAsia="仿宋"/>
          <w:b w:val="0"/>
          <w:bCs w:val="0"/>
          <w:lang w:val="en-US" w:eastAsia="zh-CN"/>
        </w:rPr>
        <w:t>五、财政拨款支出决算明细表</w:t>
      </w:r>
      <w:bookmarkEnd w:id="91"/>
      <w:bookmarkEnd w:id="92"/>
    </w:p>
    <w:p>
      <w:pPr>
        <w:pStyle w:val="3"/>
        <w:rPr>
          <w:rStyle w:val="29"/>
          <w:rFonts w:hint="eastAsia" w:ascii="仿宋" w:hAnsi="仿宋" w:eastAsia="仿宋"/>
          <w:b w:val="0"/>
          <w:bCs w:val="0"/>
          <w:lang w:val="en-US" w:eastAsia="zh-CN"/>
        </w:rPr>
      </w:pPr>
      <w:bookmarkStart w:id="93" w:name="_Toc7047"/>
      <w:bookmarkStart w:id="94" w:name="_Toc28683"/>
      <w:r>
        <w:rPr>
          <w:rStyle w:val="29"/>
          <w:rFonts w:hint="eastAsia" w:ascii="仿宋" w:hAnsi="仿宋" w:eastAsia="仿宋"/>
          <w:b w:val="0"/>
          <w:bCs w:val="0"/>
          <w:lang w:val="en-US" w:eastAsia="zh-CN"/>
        </w:rPr>
        <w:t>六、一般公共预算财政拨款支出决算表</w:t>
      </w:r>
      <w:bookmarkEnd w:id="93"/>
      <w:bookmarkEnd w:id="94"/>
    </w:p>
    <w:p>
      <w:pPr>
        <w:pStyle w:val="3"/>
        <w:rPr>
          <w:rStyle w:val="29"/>
          <w:rFonts w:hint="eastAsia" w:ascii="仿宋" w:hAnsi="仿宋" w:eastAsia="仿宋"/>
          <w:b w:val="0"/>
          <w:bCs w:val="0"/>
          <w:lang w:val="en-US" w:eastAsia="zh-CN"/>
        </w:rPr>
      </w:pPr>
      <w:bookmarkStart w:id="95" w:name="_Toc9925"/>
      <w:bookmarkStart w:id="96" w:name="_Toc5476"/>
      <w:r>
        <w:rPr>
          <w:rStyle w:val="29"/>
          <w:rFonts w:hint="eastAsia" w:ascii="仿宋" w:hAnsi="仿宋" w:eastAsia="仿宋"/>
          <w:b w:val="0"/>
          <w:bCs w:val="0"/>
          <w:lang w:val="en-US" w:eastAsia="zh-CN"/>
        </w:rPr>
        <w:t>七、一般公共预算财政拨款支出决算明细表</w:t>
      </w:r>
      <w:bookmarkEnd w:id="95"/>
      <w:bookmarkEnd w:id="96"/>
    </w:p>
    <w:p>
      <w:pPr>
        <w:pStyle w:val="3"/>
        <w:rPr>
          <w:rStyle w:val="29"/>
          <w:rFonts w:hint="eastAsia" w:ascii="仿宋" w:hAnsi="仿宋" w:eastAsia="仿宋"/>
          <w:b w:val="0"/>
          <w:bCs w:val="0"/>
          <w:lang w:val="en-US" w:eastAsia="zh-CN"/>
        </w:rPr>
      </w:pPr>
      <w:bookmarkStart w:id="97" w:name="_Toc3912"/>
      <w:bookmarkStart w:id="98" w:name="_Toc5712"/>
      <w:r>
        <w:rPr>
          <w:rStyle w:val="29"/>
          <w:rFonts w:hint="eastAsia" w:ascii="仿宋" w:hAnsi="仿宋" w:eastAsia="仿宋"/>
          <w:b w:val="0"/>
          <w:bCs w:val="0"/>
          <w:lang w:val="en-US" w:eastAsia="zh-CN"/>
        </w:rPr>
        <w:t>八、一般公共预算财政拨款基本支出决算明细表</w:t>
      </w:r>
      <w:bookmarkEnd w:id="97"/>
      <w:bookmarkEnd w:id="98"/>
    </w:p>
    <w:p>
      <w:pPr>
        <w:pStyle w:val="3"/>
        <w:rPr>
          <w:rStyle w:val="29"/>
          <w:rFonts w:hint="eastAsia" w:ascii="仿宋" w:hAnsi="仿宋" w:eastAsia="仿宋"/>
          <w:b w:val="0"/>
          <w:bCs w:val="0"/>
          <w:lang w:val="en-US" w:eastAsia="zh-CN"/>
        </w:rPr>
      </w:pPr>
      <w:bookmarkStart w:id="99" w:name="_Toc29919"/>
      <w:bookmarkStart w:id="100" w:name="_Toc29873"/>
      <w:r>
        <w:rPr>
          <w:rStyle w:val="29"/>
          <w:rFonts w:hint="eastAsia" w:ascii="仿宋" w:hAnsi="仿宋" w:eastAsia="仿宋"/>
          <w:b w:val="0"/>
          <w:bCs w:val="0"/>
          <w:lang w:val="en-US" w:eastAsia="zh-CN"/>
        </w:rPr>
        <w:t>九、一般公共预算财政拨款项目支出决算表</w:t>
      </w:r>
      <w:bookmarkEnd w:id="99"/>
      <w:bookmarkEnd w:id="100"/>
    </w:p>
    <w:p>
      <w:pPr>
        <w:pStyle w:val="3"/>
        <w:rPr>
          <w:rStyle w:val="29"/>
          <w:rFonts w:hint="eastAsia" w:ascii="仿宋" w:hAnsi="仿宋" w:eastAsia="仿宋"/>
          <w:b w:val="0"/>
          <w:bCs w:val="0"/>
          <w:lang w:val="en-US" w:eastAsia="zh-CN"/>
        </w:rPr>
      </w:pPr>
      <w:bookmarkStart w:id="101" w:name="_Toc22309"/>
      <w:bookmarkStart w:id="102" w:name="_Toc28685"/>
      <w:r>
        <w:rPr>
          <w:rStyle w:val="29"/>
          <w:rFonts w:hint="eastAsia" w:ascii="仿宋" w:hAnsi="仿宋" w:eastAsia="仿宋"/>
          <w:b w:val="0"/>
          <w:bCs w:val="0"/>
          <w:lang w:val="en-US" w:eastAsia="zh-CN"/>
        </w:rPr>
        <w:t>十、政府性基金预算财政拨款收入支出决算表</w:t>
      </w:r>
      <w:bookmarkEnd w:id="101"/>
      <w:bookmarkEnd w:id="102"/>
    </w:p>
    <w:p>
      <w:pPr>
        <w:pStyle w:val="3"/>
        <w:rPr>
          <w:rStyle w:val="29"/>
          <w:rFonts w:hint="eastAsia" w:ascii="仿宋" w:hAnsi="仿宋" w:eastAsia="仿宋"/>
          <w:b w:val="0"/>
          <w:bCs w:val="0"/>
          <w:lang w:val="en-US" w:eastAsia="zh-CN"/>
        </w:rPr>
      </w:pPr>
      <w:bookmarkStart w:id="103" w:name="_Toc26081"/>
      <w:bookmarkStart w:id="104" w:name="_Toc19630"/>
      <w:r>
        <w:rPr>
          <w:rStyle w:val="29"/>
          <w:rFonts w:hint="eastAsia" w:ascii="仿宋" w:hAnsi="仿宋" w:eastAsia="仿宋"/>
          <w:b w:val="0"/>
          <w:bCs w:val="0"/>
          <w:lang w:val="en-US" w:eastAsia="zh-CN"/>
        </w:rPr>
        <w:t>十一、国有资本经营预算财政拨款收入支出决算表</w:t>
      </w:r>
      <w:bookmarkEnd w:id="103"/>
      <w:bookmarkEnd w:id="104"/>
    </w:p>
    <w:p>
      <w:pPr>
        <w:pStyle w:val="3"/>
        <w:rPr>
          <w:rStyle w:val="29"/>
          <w:rFonts w:hint="eastAsia" w:ascii="仿宋" w:hAnsi="仿宋" w:eastAsia="仿宋"/>
          <w:b w:val="0"/>
          <w:bCs w:val="0"/>
          <w:lang w:val="en-US" w:eastAsia="zh-CN"/>
        </w:rPr>
      </w:pPr>
      <w:bookmarkStart w:id="105" w:name="_Toc3318"/>
      <w:bookmarkStart w:id="106" w:name="_Toc21536"/>
      <w:r>
        <w:rPr>
          <w:rStyle w:val="29"/>
          <w:rFonts w:hint="eastAsia" w:ascii="仿宋" w:hAnsi="仿宋" w:eastAsia="仿宋"/>
          <w:b w:val="0"/>
          <w:bCs w:val="0"/>
          <w:lang w:val="en-US" w:eastAsia="zh-CN"/>
        </w:rPr>
        <w:t>十二、国有资本经营预算财政拨款支出决算表</w:t>
      </w:r>
      <w:bookmarkEnd w:id="105"/>
      <w:bookmarkEnd w:id="106"/>
    </w:p>
    <w:p>
      <w:pPr>
        <w:pStyle w:val="3"/>
        <w:rPr>
          <w:rStyle w:val="29"/>
          <w:rFonts w:hint="eastAsia" w:ascii="仿宋" w:hAnsi="仿宋" w:eastAsia="仿宋"/>
          <w:b w:val="0"/>
          <w:bCs w:val="0"/>
          <w:lang w:val="en-US" w:eastAsia="zh-CN"/>
        </w:rPr>
      </w:pPr>
      <w:bookmarkStart w:id="107" w:name="_Toc2427"/>
      <w:bookmarkStart w:id="108" w:name="_Toc518"/>
      <w:r>
        <w:rPr>
          <w:rStyle w:val="29"/>
          <w:rFonts w:hint="eastAsia" w:ascii="仿宋" w:hAnsi="仿宋" w:eastAsia="仿宋"/>
          <w:b w:val="0"/>
          <w:bCs w:val="0"/>
          <w:lang w:val="en-US" w:eastAsia="zh-CN"/>
        </w:rPr>
        <w:t>十三、财政拨款“三公”经费支出决算表</w:t>
      </w:r>
      <w:bookmarkEnd w:id="107"/>
      <w:bookmarkEnd w:id="108"/>
    </w:p>
    <w:p>
      <w:pPr>
        <w:pStyle w:val="3"/>
        <w:outlineLvl w:val="9"/>
        <w:rPr>
          <w:rStyle w:val="29"/>
          <w:rFonts w:hint="eastAsia" w:ascii="仿宋" w:hAnsi="仿宋" w:eastAsia="仿宋"/>
          <w:b w:val="0"/>
          <w:bCs w:val="0"/>
          <w:lang w:val="en-US" w:eastAsia="zh-CN" w:bidi="ar-SA"/>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E8700"/>
    <w:multiLevelType w:val="singleLevel"/>
    <w:tmpl w:val="4B3E870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zE3NGMxOWIyMDYxMGZjZDg5YTc5YmI5MTcwM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533E7"/>
    <w:rsid w:val="053A62B5"/>
    <w:rsid w:val="07F92E63"/>
    <w:rsid w:val="08402E76"/>
    <w:rsid w:val="0A2032A3"/>
    <w:rsid w:val="0B8A37D8"/>
    <w:rsid w:val="0BDE1E1F"/>
    <w:rsid w:val="10120F66"/>
    <w:rsid w:val="10C055FF"/>
    <w:rsid w:val="118107EC"/>
    <w:rsid w:val="11DD6519"/>
    <w:rsid w:val="127E0B34"/>
    <w:rsid w:val="143040B0"/>
    <w:rsid w:val="14AD5701"/>
    <w:rsid w:val="1594066F"/>
    <w:rsid w:val="16BB723D"/>
    <w:rsid w:val="174F484D"/>
    <w:rsid w:val="17E23913"/>
    <w:rsid w:val="18015F3F"/>
    <w:rsid w:val="19980A61"/>
    <w:rsid w:val="19F16090"/>
    <w:rsid w:val="1BE8440E"/>
    <w:rsid w:val="1D155CEE"/>
    <w:rsid w:val="20F57F95"/>
    <w:rsid w:val="240371BF"/>
    <w:rsid w:val="25494FD2"/>
    <w:rsid w:val="25711CC6"/>
    <w:rsid w:val="25C741E6"/>
    <w:rsid w:val="27842671"/>
    <w:rsid w:val="29FD04D3"/>
    <w:rsid w:val="2ABE7A3E"/>
    <w:rsid w:val="2B15163B"/>
    <w:rsid w:val="2BBB344E"/>
    <w:rsid w:val="2CA234A8"/>
    <w:rsid w:val="2E3B3926"/>
    <w:rsid w:val="2EFA178C"/>
    <w:rsid w:val="30B46D73"/>
    <w:rsid w:val="31020220"/>
    <w:rsid w:val="319F7F4E"/>
    <w:rsid w:val="334523D0"/>
    <w:rsid w:val="36DF6BB7"/>
    <w:rsid w:val="383D272C"/>
    <w:rsid w:val="39AE70AB"/>
    <w:rsid w:val="3BD22C37"/>
    <w:rsid w:val="3C0C0783"/>
    <w:rsid w:val="3C920BB5"/>
    <w:rsid w:val="3CB25C19"/>
    <w:rsid w:val="3E420932"/>
    <w:rsid w:val="3F310B59"/>
    <w:rsid w:val="3F3C2365"/>
    <w:rsid w:val="3F9F3A96"/>
    <w:rsid w:val="3FDA4D4C"/>
    <w:rsid w:val="429F2E1F"/>
    <w:rsid w:val="48BF60AB"/>
    <w:rsid w:val="493C27E9"/>
    <w:rsid w:val="496F39ED"/>
    <w:rsid w:val="49960261"/>
    <w:rsid w:val="49FF41D3"/>
    <w:rsid w:val="4BE068DB"/>
    <w:rsid w:val="4BF6002B"/>
    <w:rsid w:val="4CEE460D"/>
    <w:rsid w:val="4DEC4452"/>
    <w:rsid w:val="4DFA2A5E"/>
    <w:rsid w:val="4E126244"/>
    <w:rsid w:val="4ECE2238"/>
    <w:rsid w:val="50A46900"/>
    <w:rsid w:val="51DB4B86"/>
    <w:rsid w:val="531B14AC"/>
    <w:rsid w:val="55333C3E"/>
    <w:rsid w:val="563566D9"/>
    <w:rsid w:val="5B5419FF"/>
    <w:rsid w:val="5CBB785C"/>
    <w:rsid w:val="5D8365CC"/>
    <w:rsid w:val="5E1436C8"/>
    <w:rsid w:val="5EF81ADD"/>
    <w:rsid w:val="5F702B80"/>
    <w:rsid w:val="5FF76DFD"/>
    <w:rsid w:val="64C51278"/>
    <w:rsid w:val="64CA39A1"/>
    <w:rsid w:val="69630ADE"/>
    <w:rsid w:val="69765236"/>
    <w:rsid w:val="6A5C1298"/>
    <w:rsid w:val="6AC344AB"/>
    <w:rsid w:val="6C4A05C8"/>
    <w:rsid w:val="6D3B1A89"/>
    <w:rsid w:val="71BF4EC2"/>
    <w:rsid w:val="71C56D5B"/>
    <w:rsid w:val="723676A8"/>
    <w:rsid w:val="72734D90"/>
    <w:rsid w:val="734061EE"/>
    <w:rsid w:val="7412278C"/>
    <w:rsid w:val="7521074C"/>
    <w:rsid w:val="763C5112"/>
    <w:rsid w:val="76A72F09"/>
    <w:rsid w:val="79E7B28D"/>
    <w:rsid w:val="7BDE37FC"/>
    <w:rsid w:val="7C5E2BDE"/>
    <w:rsid w:val="7C777B20"/>
    <w:rsid w:val="7F6B6430"/>
    <w:rsid w:val="7F9F20EE"/>
    <w:rsid w:val="8FF7764C"/>
    <w:rsid w:val="9E3A10E2"/>
    <w:rsid w:val="E37F2D5C"/>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1"/>
    <w:qFormat/>
    <w:uiPriority w:val="99"/>
    <w:pPr>
      <w:ind w:firstLine="570"/>
    </w:pPr>
    <w:rPr>
      <w:rFonts w:eastAsia="仿宋_GB2312"/>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semiHidden/>
    <w:qFormat/>
    <w:uiPriority w:val="99"/>
    <w:pPr>
      <w:ind w:left="200" w:leftChars="200" w:hanging="200" w:hangingChars="200"/>
    </w:pPr>
  </w:style>
  <w:style w:type="paragraph" w:styleId="13">
    <w:name w:val="toc 2"/>
    <w:basedOn w:val="1"/>
    <w:next w:val="1"/>
    <w:link w:val="34"/>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next w:val="1"/>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2"/>
    <w:qFormat/>
    <w:uiPriority w:val="9"/>
    <w:rPr>
      <w:rFonts w:ascii="Times New Roman" w:hAnsi="Times New Roman"/>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8"/>
    <w:semiHidden/>
    <w:qFormat/>
    <w:uiPriority w:val="99"/>
    <w:rPr>
      <w:rFonts w:ascii="Times New Roman" w:hAnsi="Times New Roman"/>
      <w:kern w:val="2"/>
      <w:sz w:val="18"/>
      <w:szCs w:val="18"/>
    </w:rPr>
  </w:style>
  <w:style w:type="character" w:customStyle="1" w:styleId="32">
    <w:name w:val="标题 3 Char"/>
    <w:basedOn w:val="17"/>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目录 2 Char"/>
    <w:link w:val="13"/>
    <w:qFormat/>
    <w:uiPriority w:val="39"/>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delete val="1"/>
          </c:dLbls>
          <c:cat>
            <c:strRef>
              <c:f>Sheet1!$A$2:$A$3</c:f>
              <c:strCache>
                <c:ptCount val="2"/>
                <c:pt idx="0">
                  <c:v>2021年度</c:v>
                </c:pt>
                <c:pt idx="1">
                  <c:v>2022年度</c:v>
                </c:pt>
              </c:strCache>
            </c:strRef>
          </c:cat>
          <c:val>
            <c:numRef>
              <c:f>Sheet1!$B$2:$B$3</c:f>
              <c:numCache>
                <c:formatCode>General</c:formatCode>
                <c:ptCount val="2"/>
                <c:pt idx="0">
                  <c:v>102.19</c:v>
                </c:pt>
                <c:pt idx="1">
                  <c:v>508.19</c:v>
                </c:pt>
              </c:numCache>
            </c:numRef>
          </c:val>
        </c:ser>
        <c:ser>
          <c:idx val="1"/>
          <c:order val="1"/>
          <c:tx>
            <c:strRef>
              <c:f>Sheet1!$C$1</c:f>
              <c:strCache>
                <c:ptCount val="1"/>
                <c:pt idx="0">
                  <c:v>总支出</c:v>
                </c:pt>
              </c:strCache>
            </c:strRef>
          </c:tx>
          <c:spPr>
            <a:solidFill>
              <a:schemeClr val="accent2"/>
            </a:solidFill>
            <a:ln>
              <a:noFill/>
            </a:ln>
            <a:effectLst/>
          </c:spPr>
          <c:invertIfNegative val="0"/>
          <c:dLbls>
            <c:delete val="1"/>
          </c:dLbls>
          <c:cat>
            <c:strRef>
              <c:f>Sheet1!$A$2:$A$3</c:f>
              <c:strCache>
                <c:ptCount val="2"/>
                <c:pt idx="0">
                  <c:v>2021年度</c:v>
                </c:pt>
                <c:pt idx="1">
                  <c:v>2022年度</c:v>
                </c:pt>
              </c:strCache>
            </c:strRef>
          </c:cat>
          <c:val>
            <c:numRef>
              <c:f>Sheet1!$C$2:$C$3</c:f>
              <c:numCache>
                <c:formatCode>General</c:formatCode>
                <c:ptCount val="2"/>
                <c:pt idx="0">
                  <c:v>102.19</c:v>
                </c:pt>
                <c:pt idx="1">
                  <c:v>508.19</c:v>
                </c:pt>
              </c:numCache>
            </c:numRef>
          </c:val>
        </c:ser>
        <c:dLbls>
          <c:showLegendKey val="0"/>
          <c:showVal val="0"/>
          <c:showCatName val="0"/>
          <c:showSerName val="0"/>
          <c:showPercent val="0"/>
          <c:showBubbleSize val="0"/>
        </c:dLbls>
        <c:gapWidth val="246"/>
        <c:overlap val="-28"/>
        <c:axId val="830580682"/>
        <c:axId val="498572918"/>
      </c:barChart>
      <c:catAx>
        <c:axId val="8305806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572918"/>
        <c:crosses val="autoZero"/>
        <c:auto val="1"/>
        <c:lblAlgn val="ctr"/>
        <c:lblOffset val="100"/>
        <c:noMultiLvlLbl val="0"/>
      </c:catAx>
      <c:valAx>
        <c:axId val="49857291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5806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本年收入（万元）</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般公共预算财政拨款收入</c:v>
                </c:pt>
                <c:pt idx="1">
                  <c:v>年初结转和结余</c:v>
                </c:pt>
              </c:strCache>
            </c:strRef>
          </c:cat>
          <c:val>
            <c:numRef>
              <c:f>Sheet1!$B$2:$B$3</c:f>
              <c:numCache>
                <c:formatCode>General</c:formatCode>
                <c:ptCount val="2"/>
                <c:pt idx="0">
                  <c:v>488.14</c:v>
                </c:pt>
                <c:pt idx="1">
                  <c:v>20.04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支出决算结构图（万元）</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82.57</c:v>
                </c:pt>
                <c:pt idx="1">
                  <c:v>425.61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delete val="1"/>
          </c:dLbls>
          <c:cat>
            <c:strRef>
              <c:f>Sheet1!$A$2:$A$3</c:f>
              <c:strCache>
                <c:ptCount val="2"/>
                <c:pt idx="0">
                  <c:v>2021年度</c:v>
                </c:pt>
                <c:pt idx="1">
                  <c:v>2022年度</c:v>
                </c:pt>
              </c:strCache>
            </c:strRef>
          </c:cat>
          <c:val>
            <c:numRef>
              <c:f>Sheet1!$B$2:$B$3</c:f>
              <c:numCache>
                <c:formatCode>General</c:formatCode>
                <c:ptCount val="2"/>
                <c:pt idx="0">
                  <c:v>102.19</c:v>
                </c:pt>
                <c:pt idx="1">
                  <c:v>508.18</c:v>
                </c:pt>
              </c:numCache>
            </c:numRef>
          </c:val>
        </c:ser>
        <c:ser>
          <c:idx val="1"/>
          <c:order val="1"/>
          <c:tx>
            <c:strRef>
              <c:f>Sheet1!$C$1</c:f>
              <c:strCache>
                <c:ptCount val="1"/>
                <c:pt idx="0">
                  <c:v>总支出</c:v>
                </c:pt>
              </c:strCache>
            </c:strRef>
          </c:tx>
          <c:spPr>
            <a:solidFill>
              <a:schemeClr val="accent2"/>
            </a:solidFill>
            <a:ln>
              <a:noFill/>
            </a:ln>
            <a:effectLst/>
          </c:spPr>
          <c:invertIfNegative val="0"/>
          <c:dLbls>
            <c:delete val="1"/>
          </c:dLbls>
          <c:cat>
            <c:strRef>
              <c:f>Sheet1!$A$2:$A$3</c:f>
              <c:strCache>
                <c:ptCount val="2"/>
                <c:pt idx="0">
                  <c:v>2021年度</c:v>
                </c:pt>
                <c:pt idx="1">
                  <c:v>2022年度</c:v>
                </c:pt>
              </c:strCache>
            </c:strRef>
          </c:cat>
          <c:val>
            <c:numRef>
              <c:f>Sheet1!$C$2:$C$3</c:f>
              <c:numCache>
                <c:formatCode>General</c:formatCode>
                <c:ptCount val="2"/>
                <c:pt idx="0">
                  <c:v>102.19</c:v>
                </c:pt>
                <c:pt idx="1">
                  <c:v>508.18</c:v>
                </c:pt>
              </c:numCache>
            </c:numRef>
          </c:val>
        </c:ser>
        <c:dLbls>
          <c:showLegendKey val="0"/>
          <c:showVal val="0"/>
          <c:showCatName val="0"/>
          <c:showSerName val="0"/>
          <c:showPercent val="0"/>
          <c:showBubbleSize val="0"/>
        </c:dLbls>
        <c:gapWidth val="246"/>
        <c:overlap val="-28"/>
        <c:axId val="886748309"/>
        <c:axId val="971628343"/>
      </c:barChart>
      <c:catAx>
        <c:axId val="8867483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628343"/>
        <c:crosses val="autoZero"/>
        <c:auto val="1"/>
        <c:lblAlgn val="ctr"/>
        <c:lblOffset val="100"/>
        <c:noMultiLvlLbl val="0"/>
      </c:catAx>
      <c:valAx>
        <c:axId val="97162834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7483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一般公共预算财政拨款支出决算变动情况（万元）</a:t>
            </a:r>
          </a:p>
        </c:rich>
      </c:tx>
      <c:layout/>
      <c:overlay val="0"/>
      <c:spPr>
        <a:noFill/>
        <a:ln>
          <a:noFill/>
        </a:ln>
        <a:effectLst/>
      </c:spPr>
    </c:title>
    <c:autoTitleDeleted val="0"/>
    <c:plotArea>
      <c:layout>
        <c:manualLayout>
          <c:layoutTarget val="inner"/>
          <c:xMode val="edge"/>
          <c:yMode val="edge"/>
          <c:x val="0.0686880889103648"/>
          <c:y val="0.155546111347216"/>
          <c:w val="0.908359507127325"/>
          <c:h val="0.735316617084573"/>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102.19</c:v>
                </c:pt>
                <c:pt idx="1">
                  <c:v>508.18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58052083"/>
        <c:axId val="693303668"/>
      </c:barChart>
      <c:catAx>
        <c:axId val="5580520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303668"/>
        <c:crosses val="autoZero"/>
        <c:auto val="1"/>
        <c:lblAlgn val="ctr"/>
        <c:lblOffset val="100"/>
        <c:noMultiLvlLbl val="0"/>
      </c:catAx>
      <c:valAx>
        <c:axId val="69330366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0520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一般公共预算财政拨款支出决算结构（万元）</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交通运输支出</c:v>
                </c:pt>
                <c:pt idx="3">
                  <c:v>交通运输支出</c:v>
                </c:pt>
              </c:strCache>
            </c:strRef>
          </c:cat>
          <c:val>
            <c:numRef>
              <c:f>Sheet1!$B$2:$B$5</c:f>
              <c:numCache>
                <c:formatCode>General</c:formatCode>
                <c:ptCount val="4"/>
                <c:pt idx="0">
                  <c:v>5.36</c:v>
                </c:pt>
                <c:pt idx="1">
                  <c:v>2.56</c:v>
                </c:pt>
                <c:pt idx="2">
                  <c:v>494.38</c:v>
                </c:pt>
                <c:pt idx="3">
                  <c:v>5.87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cp:lastModifiedBy>
  <cp:lastPrinted>2023-07-31T10:35:00Z</cp:lastPrinted>
  <dcterms:modified xsi:type="dcterms:W3CDTF">2023-10-27T03:20:55Z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651ABB7E76D14C53907AECAFFBE14EE6_13</vt:lpwstr>
  </property>
</Properties>
</file>