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597"/>
      <w:bookmarkStart w:id="3" w:name="_Toc15378441"/>
      <w:bookmarkStart w:id="4" w:name="_Toc1539647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77194"/>
      <w:bookmarkStart w:id="7" w:name="_Toc15378442"/>
      <w:bookmarkStart w:id="8" w:name="_Toc15377426"/>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广元市朝天区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气象服务中心单位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8"/>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rPr>
          <w:rFonts w:hint="eastAsia"/>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sz w:val="32"/>
          <w:szCs w:val="32"/>
          <w:lang w:val="en-US" w:eastAsia="zh-CN"/>
        </w:rPr>
      </w:pPr>
      <w:r>
        <w:rPr>
          <w:rFonts w:hint="eastAsia"/>
          <w:sz w:val="32"/>
          <w:szCs w:val="32"/>
          <w:lang w:eastAsia="zh-CN"/>
        </w:rPr>
        <w:t>单位</w:t>
      </w:r>
      <w:r>
        <w:rPr>
          <w:rFonts w:hint="eastAsia"/>
          <w:sz w:val="32"/>
          <w:szCs w:val="32"/>
        </w:rPr>
        <w:t>概况</w:t>
      </w:r>
      <w:r>
        <w:rPr>
          <w:rFonts w:hint="eastAsia"/>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sz w:val="32"/>
          <w:szCs w:val="32"/>
        </w:rPr>
        <w:t>一、</w:t>
      </w:r>
      <w:r>
        <w:rPr>
          <w:rFonts w:hint="eastAsia"/>
          <w:sz w:val="32"/>
          <w:szCs w:val="32"/>
          <w:lang w:eastAsia="zh-CN"/>
        </w:rPr>
        <w:t>主要职责</w:t>
      </w:r>
      <w:r>
        <w:rPr>
          <w:rFonts w:hint="eastAsia"/>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sz w:val="32"/>
          <w:szCs w:val="32"/>
          <w:lang w:eastAsia="zh-CN"/>
        </w:rPr>
        <w:t>二</w:t>
      </w:r>
      <w:r>
        <w:rPr>
          <w:rFonts w:hint="eastAsia"/>
          <w:sz w:val="32"/>
          <w:szCs w:val="32"/>
        </w:rPr>
        <w:t>、</w:t>
      </w:r>
      <w:r>
        <w:rPr>
          <w:rFonts w:hint="eastAsia"/>
          <w:sz w:val="32"/>
          <w:szCs w:val="32"/>
          <w:lang w:eastAsia="zh-CN"/>
        </w:rPr>
        <w:t>机构设置</w:t>
      </w:r>
      <w:r>
        <w:rPr>
          <w:rFonts w:hint="eastAsia"/>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32"/>
          <w:szCs w:val="32"/>
          <w:lang w:val="en-US" w:eastAsia="zh-CN"/>
        </w:rPr>
      </w:pPr>
      <w:r>
        <w:rPr>
          <w:rFonts w:hint="eastAsia"/>
          <w:sz w:val="32"/>
          <w:szCs w:val="32"/>
        </w:rPr>
        <w:t>第二部分</w:t>
      </w:r>
      <w:r>
        <w:rPr>
          <w:rFonts w:hint="eastAsia"/>
          <w:sz w:val="32"/>
          <w:szCs w:val="32"/>
          <w:lang w:val="en-US" w:eastAsia="zh-CN"/>
        </w:rPr>
        <w:t xml:space="preserve"> 2022年度</w:t>
      </w:r>
      <w:r>
        <w:rPr>
          <w:rFonts w:hint="eastAsia"/>
          <w:sz w:val="32"/>
          <w:szCs w:val="32"/>
          <w:lang w:eastAsia="zh-CN"/>
        </w:rPr>
        <w:t>单位</w:t>
      </w:r>
      <w:r>
        <w:rPr>
          <w:rFonts w:hint="eastAsia"/>
          <w:sz w:val="32"/>
          <w:szCs w:val="32"/>
        </w:rPr>
        <w:t>决算情况说明</w:t>
      </w:r>
      <w:r>
        <w:rPr>
          <w:rFonts w:hint="eastAsia"/>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sz w:val="32"/>
          <w:szCs w:val="32"/>
          <w:lang w:val="en-US" w:eastAsia="zh-CN"/>
        </w:rPr>
      </w:pPr>
      <w:r>
        <w:rPr>
          <w:rFonts w:hint="eastAsia"/>
          <w:sz w:val="32"/>
          <w:szCs w:val="32"/>
        </w:rPr>
        <w:t>一、收入支出决算总体情况说明</w:t>
      </w:r>
      <w:r>
        <w:rPr>
          <w:rFonts w:hint="eastAsia"/>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二、收入决算情况说明</w:t>
      </w:r>
      <w:r>
        <w:rPr>
          <w:rFonts w:hint="eastAsia"/>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三、支出决算情况说明</w:t>
      </w:r>
      <w:r>
        <w:rPr>
          <w:rFonts w:hint="eastAsia"/>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sz w:val="32"/>
          <w:szCs w:val="32"/>
        </w:rPr>
        <w:t>四、财政拨款收入支出决算总体情况说明</w:t>
      </w:r>
      <w:r>
        <w:rPr>
          <w:rFonts w:hint="eastAsia"/>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五、一般公共预算财政拨款支出决算情况说明</w:t>
      </w:r>
      <w:r>
        <w:rPr>
          <w:rFonts w:hint="eastAsia"/>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sz w:val="32"/>
          <w:szCs w:val="32"/>
          <w:lang w:val="en-US"/>
        </w:rPr>
      </w:pPr>
      <w:r>
        <w:rPr>
          <w:rFonts w:hint="eastAsia"/>
          <w:sz w:val="32"/>
          <w:szCs w:val="32"/>
        </w:rPr>
        <w:t>六、一般公共预算财政拨款基本支出决算情况说明</w:t>
      </w:r>
      <w:r>
        <w:rPr>
          <w:rFonts w:hint="eastAsia"/>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sz w:val="32"/>
          <w:szCs w:val="32"/>
        </w:rPr>
        <w:t>七、财政拨款</w:t>
      </w:r>
      <w:r>
        <w:rPr>
          <w:rFonts w:hint="eastAsia"/>
          <w:sz w:val="32"/>
          <w:szCs w:val="32"/>
          <w:lang w:eastAsia="zh-CN"/>
        </w:rPr>
        <w:t>“</w:t>
      </w:r>
      <w:r>
        <w:rPr>
          <w:rFonts w:hint="eastAsia"/>
          <w:sz w:val="32"/>
          <w:szCs w:val="32"/>
        </w:rPr>
        <w:t>三公”经费支出决算情况说明</w:t>
      </w:r>
      <w:r>
        <w:rPr>
          <w:rFonts w:hint="eastAsia"/>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sz w:val="32"/>
          <w:szCs w:val="32"/>
          <w:lang w:val="en-US" w:eastAsia="zh-CN"/>
        </w:rPr>
      </w:pPr>
      <w:r>
        <w:rPr>
          <w:rFonts w:hint="eastAsia"/>
          <w:sz w:val="32"/>
          <w:szCs w:val="32"/>
        </w:rPr>
        <w:t>八、政府性基金预算支出决算情况说明</w:t>
      </w:r>
      <w:r>
        <w:rPr>
          <w:rFonts w:hint="eastAsia"/>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九、国有资本经营预算支出决算情况说明</w:t>
      </w:r>
      <w:r>
        <w:rPr>
          <w:rFonts w:hint="eastAsia"/>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sz w:val="32"/>
          <w:szCs w:val="32"/>
          <w:lang w:val="en-US" w:eastAsia="zh-CN"/>
        </w:rPr>
      </w:pPr>
      <w:r>
        <w:rPr>
          <w:rFonts w:hint="eastAsia"/>
          <w:sz w:val="32"/>
          <w:szCs w:val="32"/>
        </w:rPr>
        <w:t>十、其他重要事项的情况说明</w:t>
      </w:r>
      <w:r>
        <w:rPr>
          <w:rFonts w:hint="eastAsia"/>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32"/>
          <w:szCs w:val="32"/>
          <w:lang w:val="en-US" w:eastAsia="zh-CN"/>
        </w:rPr>
      </w:pPr>
      <w:r>
        <w:rPr>
          <w:rFonts w:hint="eastAsia"/>
          <w:sz w:val="32"/>
          <w:szCs w:val="32"/>
        </w:rPr>
        <w:t>第三部分 名词解释</w:t>
      </w:r>
      <w:r>
        <w:rPr>
          <w:rFonts w:hint="eastAsia"/>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32"/>
          <w:szCs w:val="32"/>
          <w:lang w:val="en-US" w:eastAsia="zh-CN"/>
        </w:rPr>
      </w:pPr>
      <w:r>
        <w:rPr>
          <w:rFonts w:hint="eastAsia"/>
          <w:sz w:val="32"/>
          <w:szCs w:val="32"/>
        </w:rPr>
        <w:t>第四部分 附件</w:t>
      </w:r>
      <w:r>
        <w:rPr>
          <w:rFonts w:hint="eastAsia"/>
          <w:sz w:val="32"/>
          <w:szCs w:val="32"/>
          <w:lang w:val="en-US" w:eastAsia="zh-CN"/>
        </w:rPr>
        <w:t>.........................................................................15</w:t>
      </w:r>
      <w:r>
        <w:rPr>
          <w:rFonts w:hint="eastAsia"/>
          <w:sz w:val="32"/>
          <w:szCs w:val="32"/>
        </w:rPr>
        <w:t>第五部分 附表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一、收入支出决算总表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二、收入决算表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三、支出决算表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四、财政拨款收入支出决算总表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五、财政拨款支出决算明细表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六、一般公共预算财政拨款支出决算表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七、一般公共预算财政拨款支出决算明细表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八、一般公共预算财政拨款基本支出决算</w:t>
      </w:r>
      <w:r>
        <w:rPr>
          <w:rFonts w:hint="eastAsia"/>
          <w:sz w:val="32"/>
          <w:szCs w:val="32"/>
          <w:lang w:eastAsia="zh-CN"/>
        </w:rPr>
        <w:t>明细</w:t>
      </w:r>
      <w:r>
        <w:rPr>
          <w:rFonts w:hint="eastAsia"/>
          <w:sz w:val="32"/>
          <w:szCs w:val="32"/>
        </w:rPr>
        <w:t>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sz w:val="32"/>
          <w:szCs w:val="32"/>
        </w:rPr>
        <w:t>九、一般公共预算财政拨款项目支出决算表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十、政府性基金预算财政拨款收入支出决算表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十一、国有资本经营预算财政拨款收入支出决算表</w:t>
      </w:r>
      <w:r>
        <w:rPr>
          <w:rFonts w:hint="eastAsia"/>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十二、</w:t>
      </w:r>
      <w:r>
        <w:rPr>
          <w:rFonts w:hint="eastAsia"/>
          <w:sz w:val="32"/>
          <w:szCs w:val="32"/>
          <w:lang w:val="en-US" w:eastAsia="zh-CN"/>
        </w:rPr>
        <w:t>国有资本经营预算财政拨款支出决算表............30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十三、财政拨款“三公”经费支出决算表</w:t>
      </w:r>
      <w:r>
        <w:rPr>
          <w:rFonts w:hint="eastAsia"/>
          <w:sz w:val="32"/>
          <w:szCs w:val="32"/>
          <w:lang w:val="en-US" w:eastAsia="zh-CN"/>
        </w:rPr>
        <w:t>.....................30</w:t>
      </w:r>
    </w:p>
    <w:p>
      <w:pPr>
        <w:rPr>
          <w:rFonts w:hint="eastAsia"/>
          <w:sz w:val="32"/>
          <w:szCs w:val="32"/>
        </w:rPr>
        <w:sectPr>
          <w:footerReference r:id="rId6" w:type="first"/>
          <w:footerReference r:id="rId5" w:type="default"/>
          <w:pgSz w:w="11906" w:h="16838"/>
          <w:pgMar w:top="1440" w:right="1800" w:bottom="1440" w:left="1800" w:header="851" w:footer="992" w:gutter="0"/>
          <w:pgNumType w:fmt="decimal" w:start="0"/>
          <w:cols w:space="425" w:num="1"/>
          <w:titlePg/>
          <w:docGrid w:type="lines" w:linePitch="312" w:charSpace="0"/>
        </w:sectPr>
      </w:pPr>
    </w:p>
    <w:p>
      <w:pPr>
        <w:pStyle w:val="2"/>
        <w:rPr>
          <w:rFonts w:hint="eastAsia"/>
          <w:lang w:val="en-US" w:eastAsia="zh-CN"/>
        </w:rPr>
      </w:pPr>
    </w:p>
    <w:p>
      <w:pPr>
        <w:pStyle w:val="3"/>
        <w:jc w:val="center"/>
        <w:rPr>
          <w:rStyle w:val="13"/>
          <w:rFonts w:ascii="黑体" w:hAnsi="黑体" w:eastAsia="黑体"/>
          <w:b/>
          <w:bCs w:val="0"/>
          <w:color w:val="auto"/>
          <w:highlight w:val="none"/>
        </w:rPr>
      </w:pPr>
      <w:bookmarkStart w:id="12" w:name="_Toc15377196"/>
      <w:bookmarkStart w:id="13" w:name="_Toc1539659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3"/>
          <w:rFonts w:hint="eastAsia" w:ascii="黑体" w:hAnsi="黑体" w:eastAsia="黑体"/>
          <w:b w:val="0"/>
          <w:bCs w:val="0"/>
          <w:color w:val="auto"/>
          <w:highlight w:val="none"/>
        </w:rPr>
        <w:t>概况</w:t>
      </w:r>
      <w:bookmarkEnd w:id="12"/>
      <w:bookmarkEnd w:id="13"/>
    </w:p>
    <w:p>
      <w:pPr>
        <w:pStyle w:val="4"/>
        <w:numPr>
          <w:ilvl w:val="0"/>
          <w:numId w:val="0"/>
        </w:numPr>
        <w:ind w:firstLine="640" w:firstLineChars="200"/>
        <w:rPr>
          <w:rStyle w:val="14"/>
          <w:rFonts w:hint="eastAsia" w:ascii="黑体" w:hAnsi="黑体" w:eastAsia="黑体"/>
          <w:b w:val="0"/>
          <w:bCs w:val="0"/>
          <w:color w:val="auto"/>
          <w:highlight w:val="none"/>
          <w:lang w:eastAsia="zh-CN"/>
        </w:rPr>
      </w:pPr>
      <w:bookmarkStart w:id="14" w:name="_Toc15396600"/>
      <w:bookmarkStart w:id="15" w:name="_Toc15377197"/>
      <w:r>
        <w:rPr>
          <w:rStyle w:val="14"/>
          <w:rFonts w:hint="eastAsia" w:ascii="黑体" w:hAnsi="黑体" w:eastAsia="黑体"/>
          <w:b w:val="0"/>
          <w:bCs w:val="0"/>
          <w:color w:val="auto"/>
          <w:highlight w:val="none"/>
          <w:lang w:eastAsia="zh-CN"/>
        </w:rPr>
        <w:t>一、主要职责</w:t>
      </w:r>
    </w:p>
    <w:p>
      <w:pPr>
        <w:pStyle w:val="4"/>
        <w:numPr>
          <w:ilvl w:val="0"/>
          <w:numId w:val="0"/>
        </w:numPr>
        <w:ind w:firstLine="640" w:firstLineChars="200"/>
        <w:rPr>
          <w:rFonts w:hint="eastAsia" w:ascii="华文仿宋" w:hAnsi="华文仿宋" w:eastAsia="华文仿宋" w:cs="华文仿宋"/>
          <w:b w:val="0"/>
          <w:bCs/>
          <w:sz w:val="32"/>
          <w:szCs w:val="32"/>
          <w:shd w:val="clear" w:color="auto" w:fill="FFFFFF"/>
        </w:rPr>
      </w:pPr>
      <w:r>
        <w:rPr>
          <w:rFonts w:hint="eastAsia" w:ascii="华文仿宋" w:hAnsi="华文仿宋" w:eastAsia="华文仿宋" w:cs="华文仿宋"/>
          <w:b w:val="0"/>
          <w:bCs/>
          <w:sz w:val="32"/>
          <w:szCs w:val="32"/>
          <w:shd w:val="clear" w:color="auto" w:fill="FFFFFF"/>
        </w:rPr>
        <w:t>朝天区气象服务中心属财政二级预算单位，本预算包括人员类项目支出预算、运转类项目支出预算、特定目标类项目支出预算等相关预算。</w:t>
      </w:r>
    </w:p>
    <w:p>
      <w:pPr>
        <w:pStyle w:val="4"/>
        <w:numPr>
          <w:ilvl w:val="0"/>
          <w:numId w:val="0"/>
        </w:numPr>
        <w:ind w:firstLine="640" w:firstLineChars="200"/>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朝天区气象服务中心负责贯彻落实中央，省、市、区关于气象工作的方针政策和省委、市委、区委的决策部署，在履行职责过程中坚持和加强党对气象工作的集中统一领导。</w:t>
      </w:r>
      <w:r>
        <w:rPr>
          <w:rFonts w:hint="eastAsia" w:ascii="华文仿宋" w:hAnsi="华文仿宋" w:eastAsia="华文仿宋" w:cs="华文仿宋"/>
          <w:b w:val="0"/>
          <w:bCs/>
          <w:kern w:val="0"/>
          <w:sz w:val="32"/>
          <w:szCs w:val="32"/>
          <w:shd w:val="clear" w:color="auto" w:fill="FFFFFF"/>
          <w:lang w:val="en-US" w:eastAsia="zh-CN" w:bidi="ar"/>
        </w:rPr>
        <w:t xml:space="preserve">    </w:t>
      </w:r>
      <w:r>
        <w:rPr>
          <w:rFonts w:hint="eastAsia" w:ascii="华文仿宋" w:hAnsi="华文仿宋" w:eastAsia="华文仿宋" w:cs="华文仿宋"/>
          <w:b w:val="0"/>
          <w:bCs/>
          <w:kern w:val="0"/>
          <w:sz w:val="32"/>
          <w:szCs w:val="32"/>
          <w:shd w:val="clear" w:color="auto" w:fill="FFFFFF"/>
          <w:lang w:bidi="ar"/>
        </w:rPr>
        <w:t>主要职能职责是：</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1.贯彻执行党和国家对气象针政策和法律法规，落实省委、省政府，市委、市政府和区委区政府有关气象工作的指示和决定。</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 xml:space="preserve">2.负责气象灾害的预报、预测、提升和增强灾害预防能力，气象天气预报播报和视频天气预报、气象教育宣传以及其他气象方面工作。  </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3.负责全区范围内气象区域自动监测站等预警服务终端的建设、维护和管理。</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4.负责全力做好气象综合防灾减灾等安全工作服务。加强与其他部门的联系合作，共享信息资料，深化地质灾害预警、森林防火、汛期防汛和为农服务等各项工作。</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方正仿宋_GB2312" w:hAnsi="方正仿宋_GB2312" w:eastAsia="方正仿宋_GB2312" w:cs="方正仿宋_GB2312"/>
          <w:b w:val="0"/>
          <w:bCs/>
          <w:kern w:val="0"/>
          <w:sz w:val="32"/>
          <w:szCs w:val="32"/>
          <w:shd w:val="clear" w:color="auto" w:fill="FFFFFF"/>
          <w:lang w:bidi="ar"/>
        </w:rPr>
      </w:pPr>
      <w:r>
        <w:rPr>
          <w:rFonts w:hint="eastAsia" w:ascii="方正仿宋_GB2312" w:hAnsi="方正仿宋_GB2312" w:eastAsia="方正仿宋_GB2312" w:cs="方正仿宋_GB2312"/>
          <w:b w:val="0"/>
          <w:bCs/>
          <w:kern w:val="0"/>
          <w:sz w:val="32"/>
          <w:szCs w:val="32"/>
          <w:shd w:val="clear" w:color="auto" w:fill="FFFFFF"/>
          <w:lang w:bidi="ar"/>
        </w:rPr>
        <w:t>5.加强深化朝天区关于“中国气候品牌”的气象品牌创建工作，利用气象品牌的创建工作，让更多的优质气候产品普惠大众,扎实推进乡村振兴战略助农增收，切实做好“三农”工作保障服务。</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方正仿宋_GB2312" w:hAnsi="方正仿宋_GB2312" w:eastAsia="方正仿宋_GB2312" w:cs="方正仿宋_GB2312"/>
          <w:b w:val="0"/>
          <w:bCs/>
          <w:kern w:val="0"/>
          <w:sz w:val="32"/>
          <w:szCs w:val="32"/>
          <w:shd w:val="clear" w:color="auto" w:fill="FFFFFF"/>
          <w:lang w:bidi="ar"/>
        </w:rPr>
      </w:pPr>
      <w:r>
        <w:rPr>
          <w:rFonts w:hint="eastAsia" w:ascii="方正仿宋_GB2312" w:hAnsi="方正仿宋_GB2312" w:eastAsia="方正仿宋_GB2312" w:cs="方正仿宋_GB2312"/>
          <w:b w:val="0"/>
          <w:bCs/>
          <w:kern w:val="0"/>
          <w:sz w:val="32"/>
          <w:szCs w:val="32"/>
          <w:shd w:val="clear" w:color="auto" w:fill="FFFFFF"/>
          <w:lang w:bidi="ar"/>
        </w:rPr>
        <w:t>6.要持续不断地积极开展生态环境改善等方面的人工影响天气作业，配合上级部门、市气象局等相关单位做好关于人工影响天气的各项工作。</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方正仿宋_GB2312" w:hAnsi="方正仿宋_GB2312" w:eastAsia="方正仿宋_GB2312" w:cs="方正仿宋_GB2312"/>
          <w:b w:val="0"/>
          <w:bCs/>
          <w:kern w:val="0"/>
          <w:sz w:val="32"/>
          <w:szCs w:val="32"/>
          <w:shd w:val="clear" w:color="auto" w:fill="FFFFFF"/>
          <w:lang w:bidi="ar"/>
        </w:rPr>
      </w:pPr>
      <w:r>
        <w:rPr>
          <w:rFonts w:hint="eastAsia" w:ascii="方正仿宋_GB2312" w:hAnsi="方正仿宋_GB2312" w:eastAsia="方正仿宋_GB2312" w:cs="方正仿宋_GB2312"/>
          <w:b w:val="0"/>
          <w:bCs/>
          <w:kern w:val="0"/>
          <w:sz w:val="32"/>
          <w:szCs w:val="32"/>
          <w:shd w:val="clear" w:color="auto" w:fill="FFFFFF"/>
          <w:lang w:bidi="ar"/>
        </w:rPr>
        <w:t>7.加强气象科技教育，不断完善和提升气象教育科普基地内涵，增强社会公众的气象科学意识，让气象科技走入社会，让社会了解和掌握更多气象科技应用知识。</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方正仿宋_GB2312" w:hAnsi="方正仿宋_GB2312" w:eastAsia="方正仿宋_GB2312" w:cs="方正仿宋_GB2312"/>
          <w:b w:val="0"/>
          <w:bCs/>
          <w:kern w:val="0"/>
          <w:sz w:val="32"/>
          <w:szCs w:val="32"/>
          <w:shd w:val="clear" w:color="auto" w:fill="FFFFFF"/>
          <w:lang w:bidi="ar"/>
        </w:rPr>
      </w:pPr>
      <w:r>
        <w:rPr>
          <w:rFonts w:hint="eastAsia" w:ascii="方正仿宋_GB2312" w:hAnsi="方正仿宋_GB2312" w:eastAsia="方正仿宋_GB2312" w:cs="方正仿宋_GB2312"/>
          <w:b w:val="0"/>
          <w:bCs/>
          <w:kern w:val="0"/>
          <w:sz w:val="32"/>
          <w:szCs w:val="32"/>
          <w:shd w:val="clear" w:color="auto" w:fill="FFFFFF"/>
          <w:lang w:bidi="ar"/>
        </w:rPr>
        <w:t>8.完成区委区政府以及上级交办的其他任务。</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二、机构设置</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eastAsia="华文仿宋"/>
          <w:lang w:val="en-US" w:eastAsia="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r>
        <w:rPr>
          <w:rFonts w:hint="eastAsia" w:ascii="华文仿宋" w:hAnsi="华文仿宋" w:eastAsia="华文仿宋" w:cs="华文仿宋"/>
          <w:b w:val="0"/>
          <w:bCs/>
          <w:kern w:val="0"/>
          <w:sz w:val="32"/>
          <w:szCs w:val="32"/>
          <w:shd w:val="clear" w:color="auto" w:fill="FFFFFF"/>
          <w:lang w:eastAsia="zh-CN" w:bidi="ar"/>
        </w:rPr>
        <w:t>广元市朝天区气象服务中心隶属于广元市朝天区应急管理局，是部门二级预算单位。年终，</w:t>
      </w:r>
      <w:r>
        <w:rPr>
          <w:rFonts w:hint="eastAsia" w:ascii="华文仿宋" w:hAnsi="华文仿宋" w:eastAsia="华文仿宋" w:cs="华文仿宋"/>
          <w:b w:val="0"/>
          <w:bCs/>
          <w:kern w:val="0"/>
          <w:sz w:val="32"/>
          <w:szCs w:val="32"/>
          <w:shd w:val="clear" w:color="auto" w:fill="FFFFFF"/>
          <w:lang w:bidi="ar"/>
        </w:rPr>
        <w:t>气象服务中心总人数</w:t>
      </w:r>
      <w:r>
        <w:rPr>
          <w:rFonts w:hint="eastAsia" w:ascii="华文仿宋" w:hAnsi="华文仿宋" w:eastAsia="华文仿宋" w:cs="华文仿宋"/>
          <w:b w:val="0"/>
          <w:bCs/>
          <w:kern w:val="0"/>
          <w:sz w:val="32"/>
          <w:szCs w:val="32"/>
          <w:shd w:val="clear" w:color="auto" w:fill="FFFFFF"/>
          <w:lang w:val="en-US" w:eastAsia="zh-CN" w:bidi="ar"/>
        </w:rPr>
        <w:t>6</w:t>
      </w:r>
      <w:r>
        <w:rPr>
          <w:rFonts w:hint="eastAsia" w:ascii="华文仿宋" w:hAnsi="华文仿宋" w:eastAsia="华文仿宋" w:cs="华文仿宋"/>
          <w:b w:val="0"/>
          <w:bCs/>
          <w:kern w:val="0"/>
          <w:sz w:val="32"/>
          <w:szCs w:val="32"/>
          <w:shd w:val="clear" w:color="auto" w:fill="FFFFFF"/>
          <w:lang w:bidi="ar"/>
        </w:rPr>
        <w:t>名，其中公务员人数</w:t>
      </w:r>
      <w:r>
        <w:rPr>
          <w:rFonts w:hint="eastAsia" w:ascii="华文仿宋" w:hAnsi="华文仿宋" w:eastAsia="华文仿宋" w:cs="华文仿宋"/>
          <w:b w:val="0"/>
          <w:bCs/>
          <w:kern w:val="0"/>
          <w:sz w:val="32"/>
          <w:szCs w:val="32"/>
          <w:shd w:val="clear" w:color="auto" w:fill="FFFFFF"/>
          <w:lang w:val="en-US" w:eastAsia="zh-CN" w:bidi="ar"/>
        </w:rPr>
        <w:t>1</w:t>
      </w:r>
      <w:r>
        <w:rPr>
          <w:rFonts w:hint="eastAsia" w:ascii="华文仿宋" w:hAnsi="华文仿宋" w:eastAsia="华文仿宋" w:cs="华文仿宋"/>
          <w:b w:val="0"/>
          <w:bCs/>
          <w:kern w:val="0"/>
          <w:sz w:val="32"/>
          <w:szCs w:val="32"/>
          <w:shd w:val="clear" w:color="auto" w:fill="FFFFFF"/>
          <w:lang w:bidi="ar"/>
        </w:rPr>
        <w:t>名，事业编制5名。在职人员总数</w:t>
      </w:r>
      <w:r>
        <w:rPr>
          <w:rFonts w:hint="eastAsia" w:ascii="华文仿宋" w:hAnsi="华文仿宋" w:eastAsia="华文仿宋" w:cs="华文仿宋"/>
          <w:b w:val="0"/>
          <w:bCs/>
          <w:kern w:val="0"/>
          <w:sz w:val="32"/>
          <w:szCs w:val="32"/>
          <w:shd w:val="clear" w:color="auto" w:fill="FFFFFF"/>
          <w:lang w:val="en-US" w:eastAsia="zh-CN" w:bidi="ar"/>
        </w:rPr>
        <w:t>6</w:t>
      </w:r>
      <w:r>
        <w:rPr>
          <w:rFonts w:hint="eastAsia" w:ascii="华文仿宋" w:hAnsi="华文仿宋" w:eastAsia="华文仿宋" w:cs="华文仿宋"/>
          <w:b w:val="0"/>
          <w:bCs/>
          <w:kern w:val="0"/>
          <w:sz w:val="32"/>
          <w:szCs w:val="32"/>
          <w:shd w:val="clear" w:color="auto" w:fill="FFFFFF"/>
          <w:lang w:bidi="ar"/>
        </w:rPr>
        <w:t>人，其中公务员编制</w:t>
      </w:r>
      <w:r>
        <w:rPr>
          <w:rFonts w:hint="eastAsia" w:ascii="华文仿宋" w:hAnsi="华文仿宋" w:eastAsia="华文仿宋" w:cs="华文仿宋"/>
          <w:b w:val="0"/>
          <w:bCs/>
          <w:kern w:val="0"/>
          <w:sz w:val="32"/>
          <w:szCs w:val="32"/>
          <w:shd w:val="clear" w:color="auto" w:fill="FFFFFF"/>
          <w:lang w:val="en-US" w:eastAsia="zh-CN" w:bidi="ar"/>
        </w:rPr>
        <w:t>1</w:t>
      </w:r>
      <w:r>
        <w:rPr>
          <w:rFonts w:hint="eastAsia" w:ascii="华文仿宋" w:hAnsi="华文仿宋" w:eastAsia="华文仿宋" w:cs="华文仿宋"/>
          <w:b w:val="0"/>
          <w:bCs/>
          <w:kern w:val="0"/>
          <w:sz w:val="32"/>
          <w:szCs w:val="32"/>
          <w:shd w:val="clear" w:color="auto" w:fill="FFFFFF"/>
          <w:lang w:bidi="ar"/>
        </w:rPr>
        <w:t>名由区应急管理局管理，事业人员5人编制由中心管理</w:t>
      </w:r>
      <w:r>
        <w:rPr>
          <w:rFonts w:hint="eastAsia" w:ascii="华文仿宋" w:hAnsi="华文仿宋" w:eastAsia="华文仿宋" w:cs="华文仿宋"/>
          <w:b w:val="0"/>
          <w:bCs/>
          <w:kern w:val="0"/>
          <w:sz w:val="32"/>
          <w:szCs w:val="32"/>
          <w:shd w:val="clear" w:color="auto" w:fill="FFFFFF"/>
          <w:lang w:eastAsia="zh-CN" w:bidi="ar"/>
        </w:rPr>
        <w:t>。单位内部没有内设机构。</w:t>
      </w:r>
    </w:p>
    <w:bookmarkEnd w:id="14"/>
    <w:bookmarkEnd w:id="15"/>
    <w:p>
      <w:pPr>
        <w:pStyle w:val="3"/>
        <w:ind w:right="440"/>
        <w:jc w:val="center"/>
        <w:rPr>
          <w:rStyle w:val="13"/>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lang w:val="en-US" w:eastAsia="zh-CN"/>
        </w:rPr>
        <w:t xml:space="preserve"> </w:t>
      </w: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3"/>
          <w:rFonts w:hint="eastAsia" w:ascii="黑体" w:hAnsi="黑体" w:eastAsia="黑体"/>
          <w:b w:val="0"/>
          <w:bCs/>
          <w:color w:val="auto"/>
          <w:highlight w:val="none"/>
          <w:lang w:eastAsia="zh-CN"/>
        </w:rPr>
        <w:t>单位</w:t>
      </w:r>
      <w:r>
        <w:rPr>
          <w:rStyle w:val="13"/>
          <w:rFonts w:hint="eastAsia" w:ascii="黑体" w:hAnsi="黑体" w:eastAsia="黑体"/>
          <w:b w:val="0"/>
          <w:bCs/>
          <w:color w:val="auto"/>
          <w:highlight w:val="none"/>
        </w:rPr>
        <w:t>决算情况说明</w:t>
      </w:r>
      <w:bookmarkEnd w:id="16"/>
      <w:bookmarkEnd w:id="17"/>
    </w:p>
    <w:p>
      <w:pPr>
        <w:rPr>
          <w:color w:val="auto"/>
          <w:highlight w:val="none"/>
        </w:rPr>
      </w:pPr>
    </w:p>
    <w:p>
      <w:pPr>
        <w:pStyle w:val="15"/>
        <w:numPr>
          <w:ilvl w:val="0"/>
          <w:numId w:val="2"/>
        </w:numPr>
        <w:spacing w:line="600" w:lineRule="exact"/>
        <w:ind w:firstLineChars="0"/>
        <w:outlineLvl w:val="1"/>
        <w:rPr>
          <w:rStyle w:val="14"/>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14"/>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143</w:t>
      </w:r>
      <w:r>
        <w:rPr>
          <w:rFonts w:hint="eastAsia" w:ascii="仿宋" w:hAnsi="仿宋" w:eastAsia="仿宋"/>
          <w:color w:val="auto"/>
          <w:sz w:val="32"/>
          <w:szCs w:val="32"/>
          <w:highlight w:val="none"/>
        </w:rPr>
        <w:t>.36万元</w:t>
      </w:r>
      <w:r>
        <w:rPr>
          <w:rFonts w:hint="eastAsia" w:ascii="仿宋" w:hAnsi="仿宋" w:eastAsia="仿宋"/>
          <w:color w:val="auto"/>
          <w:sz w:val="32"/>
          <w:szCs w:val="32"/>
          <w:highlight w:val="none"/>
          <w:lang w:eastAsia="zh-CN"/>
        </w:rPr>
        <w:t>，主要来源是当年财政一般预算收入</w:t>
      </w:r>
      <w:r>
        <w:rPr>
          <w:rFonts w:hint="eastAsia" w:ascii="仿宋" w:hAnsi="仿宋" w:eastAsia="仿宋"/>
          <w:color w:val="auto"/>
          <w:sz w:val="32"/>
          <w:szCs w:val="32"/>
          <w:highlight w:val="none"/>
          <w:lang w:val="en-US" w:eastAsia="zh-CN"/>
        </w:rPr>
        <w:t>133.36万元和年初结转结余收入10万元。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ascii="华文仿宋" w:hAnsi="华文仿宋" w:eastAsia="华文仿宋"/>
          <w:b w:val="0"/>
          <w:bCs/>
          <w:sz w:val="32"/>
          <w:szCs w:val="32"/>
        </w:rPr>
        <w:t>121.97</w:t>
      </w:r>
      <w:r>
        <w:rPr>
          <w:rFonts w:hint="eastAsia" w:ascii="华文仿宋" w:hAnsi="华文仿宋" w:eastAsia="华文仿宋"/>
          <w:b w:val="0"/>
          <w:bCs/>
          <w:sz w:val="32"/>
          <w:szCs w:val="32"/>
          <w:lang w:eastAsia="zh-CN"/>
        </w:rPr>
        <w:t>万元</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21.39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人员基本支出每年正常上涨、项目支出增加以及上年度结转结余资金在本年度拨付。</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rPr>
          <w:rFonts w:ascii="仿宋_GB2312" w:eastAsia="仿宋_GB2312"/>
          <w:color w:val="auto"/>
          <w:sz w:val="32"/>
          <w:szCs w:val="32"/>
          <w:highlight w:val="none"/>
        </w:rPr>
      </w:pPr>
      <w:r>
        <w:rPr>
          <w:rFonts w:hint="eastAsia" w:ascii="仿宋" w:hAnsi="仿宋" w:eastAsia="仿宋"/>
          <w:color w:val="auto"/>
          <w:sz w:val="32"/>
          <w:szCs w:val="32"/>
          <w:highlight w:val="none"/>
          <w:lang w:val="en-US" w:eastAsia="zh-CN"/>
        </w:rPr>
        <w:drawing>
          <wp:inline distT="0" distB="0" distL="114300" distR="114300">
            <wp:extent cx="5480050" cy="394335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5"/>
        <w:numPr>
          <w:ilvl w:val="0"/>
          <w:numId w:val="2"/>
        </w:numPr>
        <w:spacing w:line="600" w:lineRule="exact"/>
        <w:ind w:firstLineChars="0"/>
        <w:outlineLvl w:val="1"/>
        <w:rPr>
          <w:rStyle w:val="14"/>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14"/>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133.36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133.36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r>
        <w:rPr>
          <w:sz w:val="21"/>
        </w:rPr>
        <mc:AlternateContent>
          <mc:Choice Requires="wps">
            <w:drawing>
              <wp:anchor distT="0" distB="0" distL="114300" distR="114300" simplePos="0" relativeHeight="251660288" behindDoc="0" locked="0" layoutInCell="1" allowOverlap="1">
                <wp:simplePos x="0" y="0"/>
                <wp:positionH relativeFrom="column">
                  <wp:posOffset>2160905</wp:posOffset>
                </wp:positionH>
                <wp:positionV relativeFrom="paragraph">
                  <wp:posOffset>3075940</wp:posOffset>
                </wp:positionV>
                <wp:extent cx="2324100" cy="285115"/>
                <wp:effectExtent l="85725" t="15875" r="85725" b="137160"/>
                <wp:wrapNone/>
                <wp:docPr id="7" name="文本框 7"/>
                <wp:cNvGraphicFramePr/>
                <a:graphic xmlns:a="http://schemas.openxmlformats.org/drawingml/2006/main">
                  <a:graphicData uri="http://schemas.microsoft.com/office/word/2010/wordprocessingShape">
                    <wps:wsp>
                      <wps:cNvSpPr txBox="1"/>
                      <wps:spPr>
                        <a:xfrm>
                          <a:off x="1846580" y="5885815"/>
                          <a:ext cx="2324100" cy="285115"/>
                        </a:xfrm>
                        <a:prstGeom prst="rect">
                          <a:avLst/>
                        </a:prstGeom>
                      </wps:spPr>
                      <wps:style>
                        <a:lnRef idx="0">
                          <a:srgbClr val="FFFFFF"/>
                        </a:lnRef>
                        <a:fillRef idx="2">
                          <a:schemeClr val="accent1"/>
                        </a:fillRef>
                        <a:effectRef idx="1">
                          <a:schemeClr val="accent1"/>
                        </a:effectRef>
                        <a:fontRef idx="minor">
                          <a:schemeClr val="lt1"/>
                        </a:fontRef>
                      </wps:style>
                      <wps:txbx>
                        <w:txbxContent>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2023年一般公共预算财政拨款收</w:t>
                            </w:r>
                            <w:r>
                              <w:rPr>
                                <w:rFonts w:hint="eastAsia"/>
                                <w:color w:val="000000" w:themeColor="text1"/>
                                <w:lang w:eastAsia="zh-CN"/>
                                <w14:textFill>
                                  <w14:solidFill>
                                    <w14:schemeClr w14:val="tx1"/>
                                  </w14:solidFill>
                                </w14:textFill>
                              </w:rPr>
                              <w:t>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15pt;margin-top:242.2pt;height:22.45pt;width:183pt;z-index:251660288;mso-width-relative:page;mso-height-relative:page;" fillcolor="#8EA9DF [3216]" filled="t" stroked="f" coordsize="21600,21600" o:gfxdata="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v1wHY2wAAAAsBAAAPAAAAAAAAAAEAIAAAACIAAABkcnMvZG93bnJl&#10;di54bWxQSwECFAAUAAAACACHTuJAWoL/WN4CAADVBQAADgAAAAAAAAABACAAAAAqAQAAZHJzL2Uy&#10;b0RvYy54bWxQSwUGAAAAAAYABgBZAQAAegYAAAAA&#10;">
                <v:fill type="gradient" on="t" color2="#4874CB [3216]" angle="45" focus="100%" focussize="0,0" rotate="t">
                  <o:fill type="gradientUnscaled" v:ext="backwardCompatible"/>
                </v:fill>
                <v:stroke on="f"/>
                <v:imagedata o:title=""/>
                <o:lock v:ext="edit" aspectratio="f"/>
                <v:shadow on="t" color="#FFFFFF [3216]" opacity="39321f" offset="0pt,4pt" origin="0f,0f" matrix="65536f,0f,0f,65536f"/>
                <v:textbox>
                  <w:txbxContent>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2023年一般公共预算财政拨款收</w:t>
                      </w:r>
                      <w:r>
                        <w:rPr>
                          <w:rFonts w:hint="eastAsia"/>
                          <w:color w:val="000000" w:themeColor="text1"/>
                          <w:lang w:eastAsia="zh-CN"/>
                          <w14:textFill>
                            <w14:solidFill>
                              <w14:schemeClr w14:val="tx1"/>
                            </w14:solidFill>
                          </w14:textFill>
                        </w:rPr>
                        <w:t>入</w:t>
                      </w:r>
                    </w:p>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2570480</wp:posOffset>
                </wp:positionH>
                <wp:positionV relativeFrom="paragraph">
                  <wp:posOffset>2407285</wp:posOffset>
                </wp:positionV>
                <wp:extent cx="47625" cy="628650"/>
                <wp:effectExtent l="4445" t="635" r="5080" b="18415"/>
                <wp:wrapNone/>
                <wp:docPr id="1" name="直接连接符 1"/>
                <wp:cNvGraphicFramePr/>
                <a:graphic xmlns:a="http://schemas.openxmlformats.org/drawingml/2006/main">
                  <a:graphicData uri="http://schemas.microsoft.com/office/word/2010/wordprocessingShape">
                    <wps:wsp>
                      <wps:cNvCnPr/>
                      <wps:spPr>
                        <a:xfrm>
                          <a:off x="3599180" y="5302885"/>
                          <a:ext cx="47625" cy="628650"/>
                        </a:xfrm>
                        <a:prstGeom prst="line">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2.4pt;margin-top:189.55pt;height:49.5pt;width:3.75pt;z-index:251661312;mso-width-relative:page;mso-height-relative:page;" filled="f" stroked="t" coordsize="21600,21600" o:gfxdata="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y94z2AAAAAsBAAAPAAAAAAAAAAEAIAAAACIAAABkcnMvZG93bnJldi54bWxQSwECFAAUAAAA&#10;CACHTuJAH4NMxu4BAACoAwAADgAAAAAAAAABACAAAAAnAQAAZHJzL2Uyb0RvYy54bWxQSwUGAAAA&#10;AAYABgBZAQAAhwUAAAAA&#10;">
                <v:fill on="f" focussize="0,0"/>
                <v:stroke color="#4874CB [3204]" joinstyle="round" dashstyle="dash"/>
                <v:imagedata o:title=""/>
                <o:lock v:ext="edit" aspectratio="f"/>
              </v:line>
            </w:pict>
          </mc:Fallback>
        </mc:AlternateContent>
      </w:r>
      <w:r>
        <w:drawing>
          <wp:inline distT="0" distB="0" distL="114300" distR="114300">
            <wp:extent cx="5538470" cy="3629025"/>
            <wp:effectExtent l="4445" t="4445" r="19685" b="508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_GB2312" w:eastAsia="仿宋_GB2312"/>
          <w:color w:val="auto"/>
          <w:sz w:val="32"/>
          <w:szCs w:val="32"/>
          <w:highlight w:val="none"/>
        </w:rPr>
      </w:pPr>
    </w:p>
    <w:p>
      <w:pPr>
        <w:pStyle w:val="15"/>
        <w:numPr>
          <w:ilvl w:val="0"/>
          <w:numId w:val="2"/>
        </w:numPr>
        <w:spacing w:line="600" w:lineRule="exact"/>
        <w:ind w:firstLineChars="0"/>
        <w:outlineLvl w:val="1"/>
        <w:rPr>
          <w:rStyle w:val="14"/>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14"/>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143.36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73.36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51.17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ind w:left="0" w:leftChars="0" w:firstLine="0" w:firstLineChars="0"/>
        <w:rPr>
          <w:rFonts w:hint="eastAsia" w:ascii="黑体" w:hAnsi="黑体" w:eastAsia="黑体"/>
          <w:color w:val="auto"/>
          <w:sz w:val="32"/>
          <w:szCs w:val="32"/>
          <w:highlight w:val="none"/>
        </w:rPr>
      </w:pPr>
      <w:r>
        <w:drawing>
          <wp:anchor distT="0" distB="0" distL="114300" distR="114300" simplePos="0" relativeHeight="251659264" behindDoc="0" locked="0" layoutInCell="1" allowOverlap="1">
            <wp:simplePos x="0" y="0"/>
            <wp:positionH relativeFrom="column">
              <wp:posOffset>268605</wp:posOffset>
            </wp:positionH>
            <wp:positionV relativeFrom="paragraph">
              <wp:posOffset>25400</wp:posOffset>
            </wp:positionV>
            <wp:extent cx="5283200" cy="5010785"/>
            <wp:effectExtent l="4445" t="4445" r="8255" b="1397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24" w:name="_Toc15377208"/>
      <w:bookmarkStart w:id="25" w:name="_Toc15396606"/>
    </w:p>
    <w:p>
      <w:pPr>
        <w:spacing w:line="600" w:lineRule="exact"/>
        <w:outlineLvl w:val="1"/>
        <w:rPr>
          <w:rFonts w:hint="eastAsia" w:ascii="黑体" w:hAnsi="黑体" w:eastAsia="黑体"/>
          <w:color w:val="auto"/>
          <w:sz w:val="32"/>
          <w:szCs w:val="32"/>
          <w:highlight w:val="none"/>
        </w:rPr>
      </w:pPr>
    </w:p>
    <w:p>
      <w:pPr>
        <w:spacing w:line="600" w:lineRule="exact"/>
        <w:ind w:firstLine="640" w:firstLineChars="200"/>
        <w:outlineLvl w:val="1"/>
        <w:rPr>
          <w:rStyle w:val="14"/>
          <w:rFonts w:ascii="黑体" w:hAnsi="黑体" w:eastAsia="黑体"/>
          <w:b w:val="0"/>
          <w:color w:val="auto"/>
          <w:highlight w:val="none"/>
        </w:rPr>
      </w:pPr>
      <w:r>
        <w:rPr>
          <w:rFonts w:hint="eastAsia" w:ascii="黑体" w:hAnsi="黑体" w:eastAsia="黑体"/>
          <w:color w:val="auto"/>
          <w:sz w:val="32"/>
          <w:szCs w:val="32"/>
          <w:highlight w:val="none"/>
        </w:rPr>
        <w:t>四、财</w:t>
      </w:r>
      <w:r>
        <w:rPr>
          <w:rStyle w:val="14"/>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143.36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21.39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人员基本支出每年正常上涨以及项目支出增加和</w:t>
      </w:r>
      <w:r>
        <w:rPr>
          <w:rFonts w:hint="eastAsia" w:ascii="仿宋" w:hAnsi="仿宋" w:eastAsia="仿宋"/>
          <w:color w:val="auto"/>
          <w:sz w:val="32"/>
          <w:szCs w:val="32"/>
          <w:highlight w:val="none"/>
          <w:lang w:val="en-US" w:eastAsia="zh-CN"/>
        </w:rPr>
        <w:t>统计在本年决算数据之内的</w:t>
      </w:r>
      <w:r>
        <w:rPr>
          <w:rFonts w:hint="eastAsia" w:ascii="仿宋" w:hAnsi="仿宋" w:eastAsia="仿宋"/>
          <w:color w:val="auto"/>
          <w:sz w:val="32"/>
          <w:szCs w:val="32"/>
          <w:highlight w:val="none"/>
          <w:lang w:eastAsia="zh-CN"/>
        </w:rPr>
        <w:t>上年结转结余</w:t>
      </w:r>
      <w:r>
        <w:rPr>
          <w:rFonts w:hint="eastAsia" w:ascii="仿宋" w:hAnsi="仿宋" w:eastAsia="仿宋"/>
          <w:color w:val="auto"/>
          <w:sz w:val="32"/>
          <w:szCs w:val="32"/>
          <w:highlight w:val="none"/>
          <w:lang w:val="en-US" w:eastAsia="zh-CN"/>
        </w:rPr>
        <w:t>10万元</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rPr>
          <w:rFonts w:hint="eastAsia"/>
        </w:rPr>
      </w:pPr>
      <w:r>
        <w:drawing>
          <wp:inline distT="0" distB="0" distL="114300" distR="114300">
            <wp:extent cx="5330825" cy="5200015"/>
            <wp:effectExtent l="4445" t="4445" r="17780" b="1524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rPr>
          <w:rFonts w:hint="eastAsia" w:ascii="仿宋" w:hAnsi="仿宋" w:eastAsia="仿宋"/>
          <w:color w:val="auto"/>
          <w:sz w:val="32"/>
          <w:szCs w:val="32"/>
          <w:highlight w:val="none"/>
        </w:rPr>
      </w:pPr>
    </w:p>
    <w:p>
      <w:pPr>
        <w:spacing w:line="600" w:lineRule="exact"/>
        <w:ind w:firstLine="640" w:firstLineChars="200"/>
        <w:outlineLvl w:val="1"/>
        <w:rPr>
          <w:rStyle w:val="14"/>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4"/>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143.36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21.39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华文仿宋" w:hAnsi="华文仿宋" w:eastAsia="华文仿宋"/>
          <w:b w:val="0"/>
          <w:bCs/>
          <w:sz w:val="32"/>
          <w:szCs w:val="32"/>
          <w:highlight w:val="none"/>
        </w:rPr>
        <w:t>主要变动原因是根据实际工作开展情况，中心</w:t>
      </w:r>
      <w:r>
        <w:rPr>
          <w:rFonts w:hint="eastAsia" w:ascii="华文仿宋" w:hAnsi="华文仿宋" w:eastAsia="华文仿宋"/>
          <w:b w:val="0"/>
          <w:bCs/>
          <w:sz w:val="32"/>
          <w:szCs w:val="32"/>
          <w:highlight w:val="none"/>
          <w:lang w:val="en-US" w:eastAsia="zh-CN"/>
        </w:rPr>
        <w:t>2022</w:t>
      </w:r>
      <w:r>
        <w:rPr>
          <w:rFonts w:hint="eastAsia" w:ascii="华文仿宋" w:hAnsi="华文仿宋" w:eastAsia="华文仿宋"/>
          <w:b w:val="0"/>
          <w:bCs/>
          <w:sz w:val="32"/>
          <w:szCs w:val="32"/>
          <w:highlight w:val="none"/>
        </w:rPr>
        <w:t>年的一般公共预算财政拨款有所增加</w:t>
      </w:r>
      <w:r>
        <w:rPr>
          <w:rFonts w:hint="eastAsia" w:ascii="华文仿宋" w:hAnsi="华文仿宋" w:eastAsia="华文仿宋"/>
          <w:b w:val="0"/>
          <w:bCs/>
          <w:sz w:val="32"/>
          <w:szCs w:val="32"/>
          <w:highlight w:val="none"/>
          <w:lang w:eastAsia="zh-CN"/>
        </w:rPr>
        <w:t>以及上一年度结转结余资金在本年度拨款使用</w:t>
      </w:r>
      <w:r>
        <w:rPr>
          <w:rFonts w:hint="eastAsia" w:ascii="华文仿宋" w:hAnsi="华文仿宋" w:eastAsia="华文仿宋"/>
          <w:b w:val="0"/>
          <w:bCs/>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rPr>
          <w:rFonts w:ascii="仿宋" w:hAnsi="仿宋" w:eastAsia="仿宋"/>
          <w:color w:val="auto"/>
          <w:sz w:val="32"/>
          <w:szCs w:val="32"/>
          <w:highlight w:val="none"/>
        </w:rPr>
      </w:pPr>
      <w:r>
        <w:drawing>
          <wp:inline distT="0" distB="0" distL="114300" distR="114300">
            <wp:extent cx="5336540" cy="4935855"/>
            <wp:effectExtent l="4445" t="4445" r="12065" b="12700"/>
            <wp:docPr id="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143.36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s="Times New Roman"/>
          <w:b/>
          <w:color w:val="auto"/>
          <w:sz w:val="32"/>
          <w:szCs w:val="32"/>
          <w:highlight w:val="none"/>
        </w:rPr>
        <w:t>自然资源海洋气象等支出</w:t>
      </w:r>
      <w:r>
        <w:rPr>
          <w:rFonts w:hint="eastAsia" w:ascii="仿宋" w:hAnsi="仿宋" w:eastAsia="仿宋"/>
          <w:color w:val="auto"/>
          <w:sz w:val="32"/>
          <w:szCs w:val="32"/>
          <w:highlight w:val="none"/>
          <w:lang w:val="en-US" w:eastAsia="zh-CN"/>
        </w:rPr>
        <w:t>118.98万元</w:t>
      </w:r>
      <w:r>
        <w:rPr>
          <w:rFonts w:hint="eastAsia" w:ascii="仿宋" w:hAnsi="仿宋" w:eastAsia="仿宋"/>
          <w:color w:val="auto"/>
          <w:sz w:val="32"/>
          <w:szCs w:val="32"/>
          <w:highlight w:val="none"/>
          <w:lang w:eastAsia="zh-CN"/>
        </w:rPr>
        <w:t>，</w:t>
      </w:r>
      <w:r>
        <w:rPr>
          <w:rFonts w:hint="eastAsia" w:ascii="仿宋" w:hAnsi="仿宋" w:eastAsia="仿宋"/>
          <w:b/>
          <w:bCs/>
          <w:color w:val="auto"/>
          <w:sz w:val="32"/>
          <w:szCs w:val="32"/>
          <w:highlight w:val="none"/>
        </w:rPr>
        <w:t>占</w:t>
      </w:r>
      <w:r>
        <w:rPr>
          <w:rFonts w:hint="eastAsia" w:ascii="仿宋" w:hAnsi="仿宋" w:eastAsia="仿宋"/>
          <w:b/>
          <w:bCs/>
          <w:color w:val="auto"/>
          <w:sz w:val="32"/>
          <w:szCs w:val="32"/>
          <w:highlight w:val="none"/>
          <w:lang w:val="en-US" w:eastAsia="zh-CN"/>
        </w:rPr>
        <w:t>89.22</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s="Times New Roman"/>
          <w:b/>
          <w:color w:val="auto"/>
          <w:sz w:val="32"/>
          <w:szCs w:val="32"/>
          <w:highlight w:val="none"/>
          <w:lang w:eastAsia="zh-CN"/>
        </w:rPr>
        <w:t>灾害防治及应急管理支出</w:t>
      </w:r>
      <w:r>
        <w:rPr>
          <w:rFonts w:hint="eastAsia" w:ascii="仿宋" w:hAnsi="仿宋" w:eastAsia="仿宋" w:cs="Times New Roman"/>
          <w:b/>
          <w:color w:val="auto"/>
          <w:sz w:val="32"/>
          <w:szCs w:val="32"/>
          <w:highlight w:val="none"/>
          <w:lang w:val="en-US" w:eastAsia="zh-CN"/>
        </w:rPr>
        <w:t>10万元，</w:t>
      </w:r>
      <w:r>
        <w:rPr>
          <w:rFonts w:hint="eastAsia" w:ascii="仿宋" w:hAnsi="仿宋" w:eastAsia="仿宋"/>
          <w:color w:val="auto"/>
          <w:sz w:val="32"/>
          <w:szCs w:val="32"/>
          <w:highlight w:val="none"/>
          <w:lang w:val="en-US" w:eastAsia="zh-CN"/>
        </w:rPr>
        <w:t>占6.98%</w:t>
      </w:r>
      <w:r>
        <w:rPr>
          <w:rFonts w:hint="eastAsia" w:ascii="仿宋" w:hAnsi="仿宋" w:eastAsia="仿宋"/>
          <w:color w:val="auto"/>
          <w:sz w:val="32"/>
          <w:szCs w:val="32"/>
          <w:highlight w:val="none"/>
        </w:rPr>
        <w:t>。</w:t>
      </w:r>
    </w:p>
    <w:p>
      <w:pPr>
        <w:spacing w:line="600" w:lineRule="exact"/>
        <w:ind w:firstLine="640" w:firstLineChars="200"/>
        <w:rPr>
          <w:rFonts w:hint="eastAsia"/>
        </w:rPr>
      </w:pPr>
      <w:r>
        <w:rPr>
          <w:rFonts w:hint="eastAsia" w:ascii="仿宋" w:hAnsi="仿宋" w:eastAsia="仿宋"/>
          <w:color w:val="auto"/>
          <w:sz w:val="32"/>
          <w:szCs w:val="32"/>
          <w:highlight w:val="none"/>
        </w:rPr>
        <w:t>（图6：一般公共预算财政拨款支出决算结构）（饼状图）</w:t>
      </w:r>
    </w:p>
    <w:p>
      <w:pPr>
        <w:rPr>
          <w:rFonts w:hint="eastAsia"/>
        </w:rPr>
      </w:pPr>
    </w:p>
    <w:p>
      <w:pPr>
        <w:pStyle w:val="2"/>
        <w:rPr>
          <w:rFonts w:hint="eastAsia"/>
        </w:rPr>
      </w:pPr>
      <w:r>
        <w:drawing>
          <wp:inline distT="0" distB="0" distL="114300" distR="114300">
            <wp:extent cx="5299710" cy="4086860"/>
            <wp:effectExtent l="5080" t="4445" r="10160" b="2349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143.36万元</w:t>
      </w:r>
      <w:r>
        <w:rPr>
          <w:rFonts w:hint="eastAsia" w:ascii="仿宋" w:hAnsi="仿宋" w:eastAsia="仿宋"/>
          <w:color w:val="auto"/>
          <w:sz w:val="32"/>
          <w:szCs w:val="32"/>
          <w:highlight w:val="none"/>
        </w:rPr>
        <w:t>，</w:t>
      </w:r>
      <w:r>
        <w:rPr>
          <w:rStyle w:val="12"/>
          <w:rFonts w:hint="eastAsia" w:ascii="仿宋" w:hAnsi="仿宋" w:eastAsia="仿宋"/>
          <w:bCs/>
          <w:color w:val="auto"/>
          <w:sz w:val="32"/>
          <w:szCs w:val="32"/>
          <w:highlight w:val="none"/>
        </w:rPr>
        <w:t>完成</w:t>
      </w:r>
      <w:r>
        <w:rPr>
          <w:rStyle w:val="12"/>
          <w:rFonts w:hint="eastAsia" w:ascii="仿宋" w:hAnsi="仿宋" w:eastAsia="仿宋"/>
          <w:bCs/>
          <w:color w:val="auto"/>
          <w:sz w:val="32"/>
          <w:szCs w:val="32"/>
          <w:highlight w:val="none"/>
          <w:lang w:val="en-US" w:eastAsia="zh-CN"/>
        </w:rPr>
        <w:t>100</w:t>
      </w:r>
      <w:r>
        <w:rPr>
          <w:rStyle w:val="12"/>
          <w:rFonts w:ascii="仿宋" w:hAnsi="仿宋" w:eastAsia="仿宋"/>
          <w:bCs/>
          <w:color w:val="auto"/>
          <w:sz w:val="32"/>
          <w:szCs w:val="32"/>
          <w:highlight w:val="none"/>
        </w:rPr>
        <w:t>%</w:t>
      </w:r>
      <w:r>
        <w:rPr>
          <w:rStyle w:val="12"/>
          <w:rFonts w:hint="eastAsia" w:ascii="仿宋" w:hAnsi="仿宋" w:eastAsia="仿宋"/>
          <w:bCs/>
          <w:color w:val="auto"/>
          <w:sz w:val="32"/>
          <w:szCs w:val="32"/>
          <w:highlight w:val="none"/>
        </w:rPr>
        <w:t>。其中：</w:t>
      </w:r>
      <w:bookmarkEnd w:id="31"/>
      <w:bookmarkEnd w:id="32"/>
      <w:bookmarkEnd w:id="33"/>
    </w:p>
    <w:p>
      <w:pPr>
        <w:pageBreakBefore w:val="0"/>
        <w:kinsoku/>
        <w:wordWrap/>
        <w:overflowPunct/>
        <w:topLinePunct w:val="0"/>
        <w:bidi w:val="0"/>
        <w:spacing w:line="640" w:lineRule="exact"/>
        <w:ind w:firstLine="643" w:firstLineChars="200"/>
        <w:textAlignment w:val="auto"/>
        <w:rPr>
          <w:rFonts w:hint="eastAsia" w:ascii="华文仿宋" w:hAnsi="华文仿宋" w:eastAsia="华文仿宋"/>
          <w:b w:val="0"/>
          <w:bCs/>
          <w:sz w:val="32"/>
          <w:szCs w:val="32"/>
        </w:rPr>
      </w:pPr>
      <w:r>
        <w:rPr>
          <w:rStyle w:val="12"/>
          <w:rFonts w:hint="eastAsia" w:ascii="仿宋" w:hAnsi="仿宋" w:eastAsia="仿宋"/>
          <w:bCs/>
          <w:color w:val="auto"/>
          <w:sz w:val="32"/>
          <w:szCs w:val="32"/>
          <w:highlight w:val="none"/>
          <w:lang w:val="en-US" w:eastAsia="zh-CN"/>
        </w:rPr>
        <w:t>1</w:t>
      </w:r>
      <w:r>
        <w:rPr>
          <w:rStyle w:val="12"/>
          <w:rFonts w:ascii="仿宋" w:hAnsi="仿宋" w:eastAsia="仿宋"/>
          <w:bCs/>
          <w:color w:val="auto"/>
          <w:sz w:val="32"/>
          <w:szCs w:val="32"/>
          <w:highlight w:val="none"/>
        </w:rPr>
        <w:t>.</w:t>
      </w:r>
      <w:r>
        <w:rPr>
          <w:rStyle w:val="12"/>
          <w:rFonts w:hint="eastAsia" w:ascii="仿宋" w:hAnsi="仿宋" w:eastAsia="仿宋"/>
          <w:bCs/>
          <w:color w:val="auto"/>
          <w:sz w:val="32"/>
          <w:szCs w:val="32"/>
          <w:highlight w:val="none"/>
        </w:rPr>
        <w:t>社会保障和就业</w:t>
      </w:r>
      <w:r>
        <w:rPr>
          <w:rStyle w:val="12"/>
          <w:rFonts w:hint="eastAsia" w:ascii="仿宋" w:hAnsi="仿宋" w:eastAsia="仿宋"/>
          <w:bCs/>
          <w:color w:val="auto"/>
          <w:sz w:val="32"/>
          <w:szCs w:val="32"/>
          <w:highlight w:val="none"/>
          <w:lang w:eastAsia="zh-CN"/>
        </w:rPr>
        <w:t>（类）</w:t>
      </w:r>
      <w:r>
        <w:rPr>
          <w:rStyle w:val="12"/>
          <w:rFonts w:hint="eastAsia" w:ascii="仿宋" w:hAnsi="仿宋" w:eastAsia="仿宋"/>
          <w:bCs/>
          <w:color w:val="auto"/>
          <w:sz w:val="32"/>
          <w:szCs w:val="32"/>
          <w:highlight w:val="none"/>
          <w:lang w:val="en-US" w:eastAsia="zh-CN"/>
        </w:rPr>
        <w:t>05</w:t>
      </w:r>
      <w:r>
        <w:rPr>
          <w:rStyle w:val="12"/>
          <w:rFonts w:hint="eastAsia" w:ascii="仿宋" w:hAnsi="仿宋" w:eastAsia="仿宋"/>
          <w:bCs/>
          <w:color w:val="auto"/>
          <w:sz w:val="32"/>
          <w:szCs w:val="32"/>
          <w:highlight w:val="none"/>
          <w:lang w:eastAsia="zh-CN"/>
        </w:rPr>
        <w:t>（款）</w:t>
      </w:r>
      <w:r>
        <w:rPr>
          <w:rStyle w:val="12"/>
          <w:rFonts w:hint="eastAsia" w:ascii="仿宋" w:hAnsi="仿宋" w:eastAsia="仿宋"/>
          <w:bCs/>
          <w:color w:val="auto"/>
          <w:sz w:val="32"/>
          <w:szCs w:val="32"/>
          <w:highlight w:val="none"/>
          <w:lang w:val="en-US" w:eastAsia="zh-CN"/>
        </w:rPr>
        <w:t>05</w:t>
      </w:r>
      <w:r>
        <w:rPr>
          <w:rStyle w:val="12"/>
          <w:rFonts w:hint="eastAsia" w:ascii="仿宋" w:hAnsi="仿宋" w:eastAsia="仿宋"/>
          <w:bCs/>
          <w:color w:val="auto"/>
          <w:sz w:val="32"/>
          <w:szCs w:val="32"/>
          <w:highlight w:val="none"/>
          <w:lang w:eastAsia="zh-CN"/>
        </w:rPr>
        <w:t>（项）：</w:t>
      </w:r>
      <w:r>
        <w:rPr>
          <w:rStyle w:val="12"/>
          <w:rFonts w:hint="eastAsia" w:ascii="仿宋" w:hAnsi="仿宋" w:eastAsia="仿宋" w:cstheme="minorBidi"/>
          <w:b w:val="0"/>
          <w:bCs/>
          <w:color w:val="auto"/>
          <w:sz w:val="32"/>
          <w:szCs w:val="32"/>
          <w:highlight w:val="none"/>
          <w:lang w:eastAsia="zh-CN"/>
        </w:rPr>
        <w:t>机关事业单位基本养老保险缴费支出</w:t>
      </w:r>
      <w:r>
        <w:rPr>
          <w:rStyle w:val="12"/>
          <w:rFonts w:hint="eastAsia" w:ascii="仿宋" w:hAnsi="仿宋" w:eastAsia="仿宋"/>
          <w:b w:val="0"/>
          <w:bCs/>
          <w:color w:val="auto"/>
          <w:sz w:val="32"/>
          <w:szCs w:val="32"/>
          <w:highlight w:val="none"/>
        </w:rPr>
        <w:t>决算为</w:t>
      </w:r>
      <w:r>
        <w:rPr>
          <w:rStyle w:val="12"/>
          <w:rFonts w:hint="eastAsia" w:ascii="仿宋" w:hAnsi="仿宋" w:eastAsia="仿宋"/>
          <w:b w:val="0"/>
          <w:bCs/>
          <w:color w:val="auto"/>
          <w:sz w:val="32"/>
          <w:szCs w:val="32"/>
          <w:highlight w:val="none"/>
          <w:lang w:val="en-US" w:eastAsia="zh-CN"/>
        </w:rPr>
        <w:t>5.66</w:t>
      </w:r>
      <w:r>
        <w:rPr>
          <w:rStyle w:val="12"/>
          <w:rFonts w:hint="eastAsia" w:ascii="仿宋" w:hAnsi="仿宋" w:eastAsia="仿宋"/>
          <w:b w:val="0"/>
          <w:bCs/>
          <w:color w:val="auto"/>
          <w:sz w:val="32"/>
          <w:szCs w:val="32"/>
          <w:highlight w:val="none"/>
        </w:rPr>
        <w:t>万元，完成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3" w:firstLineChars="200"/>
        <w:textAlignment w:val="auto"/>
        <w:rPr>
          <w:rFonts w:hint="eastAsia" w:ascii="华文仿宋" w:hAnsi="华文仿宋" w:eastAsia="华文仿宋"/>
          <w:b w:val="0"/>
          <w:bCs/>
          <w:sz w:val="32"/>
          <w:szCs w:val="32"/>
        </w:rPr>
      </w:pPr>
      <w:r>
        <w:rPr>
          <w:rStyle w:val="12"/>
          <w:rFonts w:hint="eastAsia" w:ascii="仿宋" w:hAnsi="仿宋" w:eastAsia="仿宋"/>
          <w:bCs/>
          <w:color w:val="auto"/>
          <w:sz w:val="32"/>
          <w:szCs w:val="32"/>
          <w:highlight w:val="none"/>
          <w:lang w:val="en-US" w:eastAsia="zh-CN"/>
        </w:rPr>
        <w:t>2</w:t>
      </w:r>
      <w:r>
        <w:rPr>
          <w:rStyle w:val="12"/>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（类）</w:t>
      </w:r>
      <w:r>
        <w:rPr>
          <w:rFonts w:hint="eastAsia" w:ascii="仿宋" w:hAnsi="仿宋" w:eastAsia="仿宋"/>
          <w:b/>
          <w:bCs/>
          <w:color w:val="auto"/>
          <w:sz w:val="32"/>
          <w:szCs w:val="32"/>
          <w:highlight w:val="none"/>
          <w:lang w:val="en-US" w:eastAsia="zh-CN"/>
        </w:rPr>
        <w:t>11</w:t>
      </w:r>
      <w:r>
        <w:rPr>
          <w:rFonts w:hint="eastAsia" w:ascii="仿宋" w:hAnsi="仿宋" w:eastAsia="仿宋"/>
          <w:b/>
          <w:bCs/>
          <w:color w:val="auto"/>
          <w:sz w:val="32"/>
          <w:szCs w:val="32"/>
          <w:highlight w:val="none"/>
          <w:lang w:eastAsia="zh-CN"/>
        </w:rPr>
        <w:t>（款）</w:t>
      </w:r>
      <w:r>
        <w:rPr>
          <w:rFonts w:hint="eastAsia" w:ascii="仿宋" w:hAnsi="仿宋" w:eastAsia="仿宋"/>
          <w:b/>
          <w:bCs/>
          <w:color w:val="auto"/>
          <w:sz w:val="32"/>
          <w:szCs w:val="32"/>
          <w:highlight w:val="none"/>
          <w:lang w:val="en-US" w:eastAsia="zh-CN"/>
        </w:rPr>
        <w:t>02</w:t>
      </w:r>
      <w:r>
        <w:rPr>
          <w:rFonts w:hint="eastAsia" w:ascii="仿宋" w:hAnsi="仿宋" w:eastAsia="仿宋"/>
          <w:b/>
          <w:bCs/>
          <w:color w:val="auto"/>
          <w:sz w:val="32"/>
          <w:szCs w:val="32"/>
          <w:highlight w:val="none"/>
          <w:lang w:eastAsia="zh-CN"/>
        </w:rPr>
        <w:t>（项）：</w:t>
      </w:r>
      <w:r>
        <w:rPr>
          <w:rStyle w:val="12"/>
          <w:rFonts w:hint="eastAsia" w:ascii="仿宋" w:hAnsi="仿宋" w:eastAsia="仿宋" w:cstheme="minorBidi"/>
          <w:b w:val="0"/>
          <w:bCs/>
          <w:color w:val="auto"/>
          <w:sz w:val="32"/>
          <w:szCs w:val="32"/>
          <w:highlight w:val="none"/>
        </w:rPr>
        <w:t>行政事业单位医疗</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2.83</w:t>
      </w:r>
      <w:r>
        <w:rPr>
          <w:rStyle w:val="12"/>
          <w:rFonts w:hint="eastAsia" w:ascii="仿宋" w:hAnsi="仿宋" w:eastAsia="仿宋"/>
          <w:b w:val="0"/>
          <w:bCs/>
          <w:color w:val="auto"/>
          <w:sz w:val="32"/>
          <w:szCs w:val="32"/>
          <w:highlight w:val="none"/>
        </w:rPr>
        <w:t>万元，完成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3" w:firstLineChars="200"/>
        <w:textAlignment w:val="auto"/>
        <w:rPr>
          <w:rFonts w:hint="eastAsia" w:ascii="华文仿宋" w:hAnsi="华文仿宋" w:eastAsia="华文仿宋"/>
          <w:b w:val="0"/>
          <w:bCs/>
          <w:sz w:val="32"/>
          <w:szCs w:val="32"/>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（类）</w:t>
      </w:r>
      <w:r>
        <w:rPr>
          <w:rFonts w:hint="eastAsia" w:ascii="仿宋" w:hAnsi="仿宋" w:eastAsia="仿宋"/>
          <w:b/>
          <w:bCs/>
          <w:color w:val="auto"/>
          <w:sz w:val="32"/>
          <w:szCs w:val="32"/>
          <w:highlight w:val="none"/>
          <w:lang w:val="en-US" w:eastAsia="zh-CN"/>
        </w:rPr>
        <w:t>02</w:t>
      </w:r>
      <w:r>
        <w:rPr>
          <w:rFonts w:hint="eastAsia" w:ascii="仿宋" w:hAnsi="仿宋" w:eastAsia="仿宋"/>
          <w:b/>
          <w:bCs/>
          <w:color w:val="auto"/>
          <w:sz w:val="32"/>
          <w:szCs w:val="32"/>
          <w:highlight w:val="none"/>
          <w:lang w:eastAsia="zh-CN"/>
        </w:rPr>
        <w:t>（款）</w:t>
      </w:r>
      <w:r>
        <w:rPr>
          <w:rFonts w:hint="eastAsia" w:ascii="仿宋" w:hAnsi="仿宋" w:eastAsia="仿宋"/>
          <w:b/>
          <w:bCs/>
          <w:color w:val="auto"/>
          <w:sz w:val="32"/>
          <w:szCs w:val="32"/>
          <w:highlight w:val="none"/>
          <w:lang w:val="en-US" w:eastAsia="zh-CN"/>
        </w:rPr>
        <w:t>01</w:t>
      </w:r>
      <w:r>
        <w:rPr>
          <w:rFonts w:hint="eastAsia" w:ascii="仿宋" w:hAnsi="仿宋" w:eastAsia="仿宋"/>
          <w:b/>
          <w:bCs/>
          <w:color w:val="auto"/>
          <w:sz w:val="32"/>
          <w:szCs w:val="32"/>
          <w:highlight w:val="none"/>
          <w:lang w:eastAsia="zh-CN"/>
        </w:rPr>
        <w:t>（项）：</w:t>
      </w:r>
      <w:r>
        <w:rPr>
          <w:rStyle w:val="12"/>
          <w:rFonts w:hint="eastAsia" w:ascii="仿宋" w:hAnsi="仿宋" w:eastAsia="仿宋" w:cstheme="minorBidi"/>
          <w:b w:val="0"/>
          <w:bCs/>
          <w:color w:val="auto"/>
          <w:sz w:val="32"/>
          <w:szCs w:val="32"/>
          <w:highlight w:val="none"/>
          <w:lang w:eastAsia="zh-CN"/>
        </w:rPr>
        <w:t>住房保障支出决算数为</w:t>
      </w:r>
      <w:r>
        <w:rPr>
          <w:rStyle w:val="12"/>
          <w:rFonts w:hint="eastAsia" w:ascii="仿宋" w:hAnsi="仿宋" w:eastAsia="仿宋" w:cstheme="minorBidi"/>
          <w:b w:val="0"/>
          <w:bCs/>
          <w:color w:val="auto"/>
          <w:sz w:val="32"/>
          <w:szCs w:val="32"/>
          <w:highlight w:val="none"/>
          <w:lang w:val="en-US" w:eastAsia="zh-CN"/>
        </w:rPr>
        <w:t>5.89万元，</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Fonts w:hint="eastAsia" w:ascii="华文仿宋" w:hAnsi="华文仿宋" w:eastAsia="华文仿宋"/>
          <w:b w:val="0"/>
          <w:bCs/>
          <w:sz w:val="32"/>
          <w:szCs w:val="32"/>
        </w:rPr>
        <w:t>。</w:t>
      </w:r>
    </w:p>
    <w:p>
      <w:pPr>
        <w:pStyle w:val="2"/>
        <w:ind w:left="0" w:leftChars="0" w:firstLine="736" w:firstLineChars="230"/>
        <w:rPr>
          <w:rStyle w:val="12"/>
          <w:rFonts w:hint="eastAsia" w:ascii="仿宋" w:hAnsi="仿宋" w:eastAsia="仿宋"/>
          <w:b w:val="0"/>
          <w:bCs/>
          <w:color w:val="auto"/>
          <w:sz w:val="32"/>
          <w:szCs w:val="32"/>
          <w:highlight w:val="none"/>
          <w:lang w:eastAsia="zh-CN"/>
        </w:rPr>
      </w:pPr>
      <w:r>
        <w:rPr>
          <w:rFonts w:hint="eastAsia" w:ascii="华文仿宋" w:hAnsi="华文仿宋" w:eastAsia="华文仿宋"/>
          <w:b w:val="0"/>
          <w:bCs/>
          <w:sz w:val="32"/>
          <w:szCs w:val="32"/>
          <w:lang w:val="en-US" w:eastAsia="zh-CN"/>
        </w:rPr>
        <w:t>4.</w:t>
      </w:r>
      <w:r>
        <w:rPr>
          <w:rFonts w:hint="eastAsia" w:ascii="仿宋" w:hAnsi="仿宋" w:eastAsia="仿宋" w:cs="Times New Roman"/>
          <w:b/>
          <w:bCs/>
          <w:color w:val="auto"/>
          <w:kern w:val="2"/>
          <w:sz w:val="32"/>
          <w:szCs w:val="32"/>
          <w:highlight w:val="none"/>
          <w:lang w:val="en-US" w:eastAsia="zh-CN" w:bidi="ar-SA"/>
        </w:rPr>
        <w:t>自然资源海洋气象等支出（类）05（款）09（项）：</w:t>
      </w:r>
      <w:r>
        <w:rPr>
          <w:rStyle w:val="12"/>
          <w:rFonts w:hint="eastAsia" w:ascii="仿宋" w:hAnsi="仿宋" w:eastAsia="仿宋" w:cstheme="minorBidi"/>
          <w:b w:val="0"/>
          <w:bCs/>
          <w:color w:val="auto"/>
          <w:kern w:val="2"/>
          <w:sz w:val="32"/>
          <w:szCs w:val="32"/>
          <w:highlight w:val="none"/>
          <w:lang w:val="en-US" w:eastAsia="zh-CN" w:bidi="ar-SA"/>
        </w:rPr>
        <w:t>气象服务决算支出58.98万元</w:t>
      </w:r>
      <w:r>
        <w:rPr>
          <w:rFonts w:hint="eastAsia" w:ascii="仿宋" w:hAnsi="仿宋" w:eastAsia="仿宋" w:cs="Times New Roman"/>
          <w:b/>
          <w:bCs/>
          <w:color w:val="auto"/>
          <w:kern w:val="2"/>
          <w:sz w:val="32"/>
          <w:szCs w:val="32"/>
          <w:highlight w:val="none"/>
          <w:lang w:val="en-US" w:eastAsia="zh-CN" w:bidi="ar-SA"/>
        </w:rPr>
        <w:t>，</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lang w:eastAsia="zh-CN"/>
        </w:rPr>
        <w:t>。</w:t>
      </w:r>
    </w:p>
    <w:p>
      <w:pPr>
        <w:pStyle w:val="2"/>
        <w:ind w:left="0" w:leftChars="0" w:firstLine="739" w:firstLineChars="230"/>
        <w:rPr>
          <w:rStyle w:val="12"/>
          <w:rFonts w:hint="eastAsia" w:ascii="仿宋" w:hAnsi="仿宋" w:eastAsia="仿宋"/>
          <w:b w:val="0"/>
          <w:bCs/>
          <w:color w:val="auto"/>
          <w:sz w:val="32"/>
          <w:szCs w:val="32"/>
          <w:highlight w:val="none"/>
          <w:lang w:eastAsia="zh-CN"/>
        </w:rPr>
      </w:pPr>
      <w:r>
        <w:rPr>
          <w:rFonts w:hint="eastAsia" w:ascii="仿宋" w:hAnsi="仿宋" w:eastAsia="仿宋" w:cs="Times New Roman"/>
          <w:b/>
          <w:bCs/>
          <w:color w:val="auto"/>
          <w:kern w:val="2"/>
          <w:sz w:val="32"/>
          <w:szCs w:val="32"/>
          <w:highlight w:val="none"/>
          <w:lang w:val="en-US" w:eastAsia="zh-CN" w:bidi="ar-SA"/>
        </w:rPr>
        <w:t>5.自然资源海洋气象等支出（类）05（款）11（项）：</w:t>
      </w:r>
      <w:r>
        <w:rPr>
          <w:rStyle w:val="12"/>
          <w:rFonts w:hint="eastAsia" w:ascii="仿宋" w:hAnsi="仿宋" w:eastAsia="仿宋" w:cstheme="minorBidi"/>
          <w:b w:val="0"/>
          <w:bCs/>
          <w:color w:val="auto"/>
          <w:kern w:val="2"/>
          <w:sz w:val="32"/>
          <w:szCs w:val="32"/>
          <w:highlight w:val="none"/>
          <w:lang w:val="en-US" w:eastAsia="zh-CN" w:bidi="ar-SA"/>
        </w:rPr>
        <w:t>气象基础设施建设与维修决算支出8万元，</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lang w:eastAsia="zh-CN"/>
        </w:rPr>
        <w:t>。</w:t>
      </w:r>
    </w:p>
    <w:p>
      <w:pPr>
        <w:pStyle w:val="2"/>
        <w:ind w:left="0" w:leftChars="0" w:firstLine="739" w:firstLineChars="230"/>
        <w:rPr>
          <w:rStyle w:val="12"/>
          <w:rFonts w:hint="eastAsia" w:ascii="仿宋" w:hAnsi="仿宋" w:eastAsia="仿宋"/>
          <w:b w:val="0"/>
          <w:bCs/>
          <w:color w:val="auto"/>
          <w:sz w:val="32"/>
          <w:szCs w:val="32"/>
          <w:highlight w:val="none"/>
          <w:lang w:eastAsia="zh-CN"/>
        </w:rPr>
      </w:pPr>
      <w:r>
        <w:rPr>
          <w:rFonts w:hint="eastAsia" w:ascii="仿宋" w:hAnsi="仿宋" w:eastAsia="仿宋" w:cs="Times New Roman"/>
          <w:b/>
          <w:bCs/>
          <w:color w:val="auto"/>
          <w:kern w:val="2"/>
          <w:sz w:val="32"/>
          <w:szCs w:val="32"/>
          <w:highlight w:val="none"/>
          <w:lang w:val="en-US" w:eastAsia="zh-CN" w:bidi="ar-SA"/>
        </w:rPr>
        <w:t>6.自然资源海洋气象等支出（类）05（款）99（项）：</w:t>
      </w:r>
      <w:r>
        <w:rPr>
          <w:rStyle w:val="12"/>
          <w:rFonts w:hint="eastAsia" w:ascii="仿宋" w:hAnsi="仿宋" w:eastAsia="仿宋" w:cstheme="minorBidi"/>
          <w:b w:val="0"/>
          <w:bCs/>
          <w:color w:val="auto"/>
          <w:kern w:val="2"/>
          <w:sz w:val="32"/>
          <w:szCs w:val="32"/>
          <w:highlight w:val="none"/>
          <w:lang w:val="en-US" w:eastAsia="zh-CN" w:bidi="ar-SA"/>
        </w:rPr>
        <w:t>其他气象事务支出52万元，</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lang w:eastAsia="zh-CN"/>
        </w:rPr>
        <w:t>。</w:t>
      </w:r>
    </w:p>
    <w:p>
      <w:pPr>
        <w:pStyle w:val="2"/>
        <w:ind w:left="0" w:leftChars="0" w:firstLine="739" w:firstLineChars="230"/>
        <w:rPr>
          <w:rFonts w:ascii="仿宋" w:hAnsi="仿宋" w:eastAsia="仿宋"/>
          <w:b/>
          <w:color w:val="auto"/>
          <w:sz w:val="32"/>
          <w:szCs w:val="32"/>
          <w:highlight w:val="none"/>
        </w:rPr>
      </w:pPr>
      <w:r>
        <w:rPr>
          <w:rFonts w:hint="eastAsia" w:ascii="仿宋" w:hAnsi="仿宋" w:eastAsia="仿宋" w:cs="Times New Roman"/>
          <w:b/>
          <w:bCs/>
          <w:color w:val="auto"/>
          <w:kern w:val="2"/>
          <w:sz w:val="32"/>
          <w:szCs w:val="32"/>
          <w:highlight w:val="none"/>
          <w:lang w:val="en-US" w:eastAsia="zh-CN" w:bidi="ar-SA"/>
        </w:rPr>
        <w:t>7.灾害防治及应急管理支出（类）01（款）99（项）：</w:t>
      </w:r>
      <w:r>
        <w:rPr>
          <w:rStyle w:val="12"/>
          <w:rFonts w:hint="eastAsia" w:ascii="仿宋" w:hAnsi="仿宋" w:eastAsia="仿宋"/>
          <w:b w:val="0"/>
          <w:bCs/>
          <w:color w:val="auto"/>
          <w:sz w:val="32"/>
          <w:szCs w:val="32"/>
          <w:highlight w:val="none"/>
          <w:lang w:val="en-US" w:eastAsia="zh-CN"/>
        </w:rPr>
        <w:t>应急管理事务决算支出10万元，</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bookmarkStart w:id="67" w:name="_GoBack"/>
      <w:bookmarkEnd w:id="67"/>
      <w:r>
        <w:rPr>
          <w:rStyle w:val="12"/>
          <w:rFonts w:hint="eastAsia" w:ascii="仿宋" w:hAnsi="仿宋" w:eastAsia="仿宋"/>
          <w:b w:val="0"/>
          <w:bCs/>
          <w:color w:val="auto"/>
          <w:sz w:val="32"/>
          <w:szCs w:val="32"/>
          <w:highlight w:val="none"/>
          <w:lang w:eastAsia="zh-CN"/>
        </w:rPr>
        <w:t>。</w:t>
      </w:r>
    </w:p>
    <w:p>
      <w:pPr>
        <w:tabs>
          <w:tab w:val="right" w:pos="8306"/>
        </w:tabs>
        <w:spacing w:line="600" w:lineRule="exact"/>
        <w:ind w:firstLine="640"/>
        <w:outlineLvl w:val="1"/>
        <w:rPr>
          <w:rStyle w:val="14"/>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4"/>
          <w:rFonts w:hint="eastAsia" w:ascii="黑体" w:hAnsi="黑体" w:eastAsia="黑体"/>
          <w:b w:val="0"/>
          <w:color w:val="auto"/>
          <w:highlight w:val="none"/>
        </w:rPr>
        <w:t>般公共预算财政拨款基本支出决算情况说明</w:t>
      </w:r>
      <w:bookmarkEnd w:id="34"/>
      <w:bookmarkEnd w:id="35"/>
      <w:r>
        <w:rPr>
          <w:rStyle w:val="14"/>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73.36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68.12</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5.24</w:t>
      </w:r>
      <w:r>
        <w:rPr>
          <w:rFonts w:hint="eastAsia" w:ascii="仿宋" w:hAnsi="仿宋" w:eastAsia="仿宋"/>
          <w:color w:val="auto"/>
          <w:sz w:val="32"/>
          <w:szCs w:val="32"/>
          <w:highlight w:val="none"/>
        </w:rPr>
        <w:t>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4"/>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14"/>
          <w:rFonts w:hint="eastAsia" w:ascii="黑体" w:hAnsi="黑体" w:eastAsia="黑体"/>
          <w:b w:val="0"/>
          <w:color w:val="auto"/>
          <w:highlight w:val="none"/>
        </w:rPr>
        <w:t>财政拨款</w:t>
      </w:r>
      <w:r>
        <w:rPr>
          <w:rStyle w:val="14"/>
          <w:rFonts w:hint="eastAsia" w:ascii="黑体" w:hAnsi="黑体" w:eastAsia="黑体"/>
          <w:color w:val="auto"/>
          <w:highlight w:val="none"/>
        </w:rPr>
        <w:t>“</w:t>
      </w:r>
      <w:r>
        <w:rPr>
          <w:rStyle w:val="14"/>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1.43</w:t>
      </w:r>
      <w:r>
        <w:rPr>
          <w:rFonts w:hint="eastAsia" w:ascii="仿宋" w:hAnsi="仿宋" w:eastAsia="仿宋"/>
          <w:color w:val="auto"/>
          <w:sz w:val="32"/>
          <w:szCs w:val="32"/>
          <w:highlight w:val="none"/>
        </w:rPr>
        <w:t>万元，完成</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0.2万元，增长1.3%。</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eastAsia="zh-CN"/>
        </w:rPr>
        <w:t>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41.96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58.04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rPr>
          <w:rFonts w:hint="eastAsia"/>
        </w:rPr>
      </w:pPr>
    </w:p>
    <w:p>
      <w:pPr>
        <w:pStyle w:val="2"/>
      </w:pPr>
      <w:r>
        <w:drawing>
          <wp:inline distT="0" distB="0" distL="114300" distR="114300">
            <wp:extent cx="5339080" cy="3465830"/>
            <wp:effectExtent l="4445" t="4445" r="9525" b="1587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2"/>
          <w:rFonts w:hint="eastAsia" w:ascii="仿宋" w:hAnsi="仿宋" w:eastAsia="仿宋"/>
          <w:b w:val="0"/>
          <w:bCs/>
          <w:color w:val="auto"/>
          <w:sz w:val="32"/>
          <w:szCs w:val="32"/>
          <w:highlight w:val="none"/>
        </w:rPr>
        <w:t>完成预算</w:t>
      </w:r>
      <w:r>
        <w:rPr>
          <w:rStyle w:val="12"/>
          <w:rFonts w:hint="eastAsia" w:ascii="仿宋" w:hAnsi="仿宋" w:eastAsia="仿宋"/>
          <w:b w:val="0"/>
          <w:bCs/>
          <w:color w:val="auto"/>
          <w:sz w:val="32"/>
          <w:szCs w:val="32"/>
          <w:highlight w:val="none"/>
          <w:lang w:val="en-US" w:eastAsia="zh-CN"/>
        </w:rPr>
        <w:t>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w:t>
      </w:r>
      <w:r>
        <w:rPr>
          <w:rFonts w:hint="eastAsia" w:ascii="仿宋_GB2312" w:eastAsia="仿宋_GB2312"/>
          <w:color w:val="auto"/>
          <w:sz w:val="32"/>
          <w:szCs w:val="32"/>
          <w:highlight w:val="none"/>
          <w:lang w:eastAsia="zh-CN"/>
        </w:rPr>
        <w:t>无因公出境人员</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0.60</w:t>
      </w:r>
      <w:r>
        <w:rPr>
          <w:rFonts w:hint="eastAsia" w:ascii="仿宋_GB2312" w:eastAsia="仿宋_GB2312"/>
          <w:color w:val="auto"/>
          <w:sz w:val="32"/>
          <w:szCs w:val="32"/>
          <w:highlight w:val="none"/>
        </w:rPr>
        <w:t>万元,</w:t>
      </w:r>
      <w:r>
        <w:rPr>
          <w:rStyle w:val="12"/>
          <w:rFonts w:hint="eastAsia" w:ascii="仿宋" w:hAnsi="仿宋" w:eastAsia="仿宋"/>
          <w:b w:val="0"/>
          <w:bCs/>
          <w:color w:val="auto"/>
          <w:sz w:val="32"/>
          <w:szCs w:val="32"/>
          <w:highlight w:val="none"/>
        </w:rPr>
        <w:t>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车辆购置年限长，日常保养以及维修维护费用有所增加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w:t>
      </w:r>
      <w:r>
        <w:rPr>
          <w:rFonts w:hint="eastAsia" w:ascii="仿宋_GB2312" w:eastAsia="仿宋_GB2312"/>
          <w:color w:val="auto"/>
          <w:sz w:val="32"/>
          <w:szCs w:val="32"/>
          <w:highlight w:val="none"/>
          <w:lang w:eastAsia="zh-CN"/>
        </w:rPr>
        <w:t>没有</w:t>
      </w:r>
      <w:r>
        <w:rPr>
          <w:rFonts w:hint="eastAsia" w:ascii="仿宋_GB2312" w:eastAsia="仿宋_GB2312"/>
          <w:color w:val="auto"/>
          <w:sz w:val="32"/>
          <w:szCs w:val="32"/>
          <w:highlight w:val="none"/>
        </w:rPr>
        <w:t>更新购置公务用车</w:t>
      </w:r>
      <w:r>
        <w:rPr>
          <w:rFonts w:hint="eastAsia" w:ascii="仿宋_GB2312" w:eastAsia="仿宋_GB2312"/>
          <w:color w:val="auto"/>
          <w:sz w:val="32"/>
          <w:szCs w:val="32"/>
          <w:highlight w:val="none"/>
          <w:lang w:eastAsia="zh-CN"/>
        </w:rPr>
        <w:t>。</w:t>
      </w: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万元。主要</w:t>
      </w:r>
      <w:r>
        <w:rPr>
          <w:rFonts w:hint="eastAsia" w:ascii="仿宋_GB2312" w:eastAsia="仿宋_GB2312"/>
          <w:color w:val="auto"/>
          <w:sz w:val="32"/>
          <w:szCs w:val="32"/>
          <w:highlight w:val="none"/>
          <w:lang w:eastAsia="zh-CN"/>
        </w:rPr>
        <w:t>用于单位日常出差以及人影作业</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0.83</w:t>
      </w:r>
      <w:r>
        <w:rPr>
          <w:rFonts w:hint="eastAsia" w:ascii="仿宋_GB2312" w:eastAsia="仿宋_GB2312"/>
          <w:color w:val="auto"/>
          <w:sz w:val="32"/>
          <w:szCs w:val="32"/>
          <w:highlight w:val="none"/>
        </w:rPr>
        <w:t>万元，</w:t>
      </w:r>
      <w:r>
        <w:rPr>
          <w:rStyle w:val="12"/>
          <w:rFonts w:hint="eastAsia" w:ascii="仿宋" w:hAnsi="仿宋" w:eastAsia="仿宋"/>
          <w:b w:val="0"/>
          <w:bCs/>
          <w:color w:val="auto"/>
          <w:sz w:val="32"/>
          <w:szCs w:val="32"/>
          <w:highlight w:val="none"/>
        </w:rPr>
        <w:t>完成</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。其中：</w:t>
      </w:r>
    </w:p>
    <w:p>
      <w:pPr>
        <w:spacing w:line="600" w:lineRule="exact"/>
        <w:ind w:firstLine="640"/>
        <w:rPr>
          <w:rFonts w:hint="eastAsia"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0.83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日常业务中</w:t>
      </w:r>
      <w:r>
        <w:rPr>
          <w:rFonts w:hint="eastAsia" w:ascii="仿宋_GB2312" w:eastAsia="仿宋_GB2312"/>
          <w:color w:val="auto"/>
          <w:sz w:val="32"/>
          <w:szCs w:val="32"/>
          <w:highlight w:val="none"/>
        </w:rPr>
        <w:t>执行公务、开展业务活动开支的交通费、住宿费、用餐费等。</w:t>
      </w:r>
      <w:bookmarkStart w:id="40" w:name="_Toc15396610"/>
      <w:bookmarkStart w:id="41" w:name="_Toc15377218"/>
      <w:r>
        <w:rPr>
          <w:rFonts w:hint="eastAsia" w:ascii="仿宋_GB2312" w:eastAsia="仿宋_GB2312"/>
          <w:color w:val="auto"/>
          <w:sz w:val="32"/>
          <w:szCs w:val="32"/>
          <w:highlight w:val="none"/>
          <w:lang w:val="en-US" w:eastAsia="zh-CN"/>
        </w:rPr>
        <w:t>2022年气象业务活动开展接待支出8300元，共计接待14批次97人。</w:t>
      </w:r>
    </w:p>
    <w:p>
      <w:pPr>
        <w:spacing w:line="600" w:lineRule="exact"/>
        <w:ind w:firstLine="640"/>
        <w:outlineLvl w:val="1"/>
        <w:rPr>
          <w:rStyle w:val="14"/>
          <w:rFonts w:ascii="黑体" w:hAnsi="黑体" w:eastAsia="黑体"/>
          <w:color w:val="auto"/>
          <w:highlight w:val="none"/>
        </w:rPr>
      </w:pPr>
      <w:r>
        <w:rPr>
          <w:rFonts w:hint="eastAsia" w:ascii="黑体" w:eastAsia="黑体"/>
          <w:color w:val="auto"/>
          <w:sz w:val="32"/>
          <w:szCs w:val="32"/>
          <w:highlight w:val="none"/>
        </w:rPr>
        <w:t>八、</w:t>
      </w:r>
      <w:r>
        <w:rPr>
          <w:rStyle w:val="14"/>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4"/>
          <w:rFonts w:ascii="黑体" w:hAnsi="黑体" w:eastAsia="黑体"/>
          <w:b w:val="0"/>
          <w:color w:val="auto"/>
          <w:highlight w:val="none"/>
        </w:rPr>
      </w:pPr>
      <w:bookmarkStart w:id="42" w:name="_Toc15377219"/>
      <w:bookmarkStart w:id="43" w:name="_Toc15396611"/>
      <w:r>
        <w:rPr>
          <w:rStyle w:val="14"/>
          <w:rFonts w:hint="eastAsia" w:ascii="黑体" w:hAnsi="黑体" w:eastAsia="黑体"/>
          <w:b w:val="0"/>
          <w:color w:val="auto"/>
          <w:highlight w:val="none"/>
        </w:rPr>
        <w:t>国有资本经营预算支出决算情况说明</w:t>
      </w:r>
      <w:bookmarkEnd w:id="42"/>
      <w:bookmarkEnd w:id="43"/>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4"/>
          <w:rFonts w:hint="eastAsia" w:ascii="黑体" w:hAnsi="黑体" w:eastAsia="黑体"/>
          <w:b w:val="0"/>
          <w:color w:val="auto"/>
          <w:highlight w:val="none"/>
        </w:rPr>
      </w:pPr>
      <w:bookmarkStart w:id="44" w:name="_Toc15377221"/>
      <w:bookmarkStart w:id="45" w:name="_Toc15396612"/>
      <w:r>
        <w:rPr>
          <w:rStyle w:val="14"/>
          <w:rFonts w:hint="eastAsia" w:ascii="黑体" w:hAnsi="黑体" w:eastAsia="黑体"/>
          <w:b w:val="0"/>
          <w:color w:val="auto"/>
          <w:highlight w:val="none"/>
        </w:rPr>
        <w:t>其他重要事项的情况说明</w:t>
      </w:r>
      <w:bookmarkEnd w:id="44"/>
      <w:bookmarkEnd w:id="45"/>
    </w:p>
    <w:p>
      <w:pPr>
        <w:numPr>
          <w:ilvl w:val="0"/>
          <w:numId w:val="4"/>
        </w:numPr>
        <w:spacing w:line="600" w:lineRule="exact"/>
        <w:ind w:firstLine="643" w:firstLineChars="200"/>
        <w:outlineLvl w:val="2"/>
        <w:rPr>
          <w:rFonts w:hint="eastAsia" w:ascii="仿宋" w:hAnsi="仿宋" w:eastAsia="仿宋"/>
          <w:b/>
          <w:color w:val="auto"/>
          <w:sz w:val="32"/>
          <w:szCs w:val="32"/>
          <w:highlight w:val="none"/>
        </w:rPr>
      </w:pPr>
      <w:bookmarkStart w:id="46" w:name="_Toc15377222"/>
      <w:r>
        <w:rPr>
          <w:rFonts w:hint="eastAsia" w:ascii="仿宋" w:hAnsi="仿宋" w:eastAsia="仿宋"/>
          <w:b/>
          <w:color w:val="auto"/>
          <w:sz w:val="32"/>
          <w:szCs w:val="32"/>
          <w:highlight w:val="none"/>
        </w:rPr>
        <w:t>机关运行经费支出情况</w:t>
      </w:r>
      <w:bookmarkEnd w:id="46"/>
    </w:p>
    <w:p>
      <w:pPr>
        <w:numPr>
          <w:ilvl w:val="0"/>
          <w:numId w:val="0"/>
        </w:numPr>
        <w:spacing w:line="600" w:lineRule="exact"/>
        <w:ind w:firstLine="640" w:firstLineChars="200"/>
        <w:outlineLvl w:val="2"/>
        <w:rPr>
          <w:rFonts w:ascii="仿宋" w:hAnsi="仿宋" w:eastAsia="仿宋"/>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机关运行经费</w:t>
      </w:r>
      <w:r>
        <w:rPr>
          <w:rFonts w:hint="eastAsia" w:ascii="仿宋_GB2312" w:eastAsia="仿宋_GB2312"/>
          <w:color w:val="auto"/>
          <w:sz w:val="32"/>
          <w:szCs w:val="32"/>
          <w:highlight w:val="none"/>
          <w:lang w:val="en-US" w:eastAsia="zh-CN"/>
        </w:rPr>
        <w:t>5.24万元</w:t>
      </w:r>
      <w:r>
        <w:rPr>
          <w:rFonts w:hint="eastAsia" w:ascii="仿宋" w:hAnsi="仿宋" w:eastAsia="仿宋"/>
          <w:color w:val="auto"/>
          <w:sz w:val="32"/>
          <w:szCs w:val="32"/>
          <w:highlight w:val="none"/>
        </w:rPr>
        <w:t>，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本单位无</w:t>
      </w:r>
      <w:r>
        <w:rPr>
          <w:rFonts w:hint="eastAsia" w:ascii="仿宋_GB2312" w:eastAsia="仿宋_GB2312"/>
          <w:color w:val="auto"/>
          <w:sz w:val="32"/>
          <w:szCs w:val="32"/>
          <w:highlight w:val="none"/>
        </w:rPr>
        <w:t>政府采购</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单位内部</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华文仿宋" w:hAnsi="华文仿宋" w:eastAsia="华文仿宋"/>
          <w:b w:val="0"/>
          <w:bCs/>
          <w:sz w:val="32"/>
          <w:szCs w:val="32"/>
          <w:lang w:val="en-US" w:eastAsia="zh-CN"/>
        </w:rPr>
        <w:t>设备专用车辆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主要是用于</w:t>
      </w:r>
      <w:r>
        <w:rPr>
          <w:rFonts w:hint="eastAsia" w:ascii="仿宋_GB2312" w:eastAsia="仿宋_GB2312"/>
          <w:color w:val="auto"/>
          <w:sz w:val="32"/>
          <w:szCs w:val="32"/>
          <w:highlight w:val="none"/>
          <w:lang w:eastAsia="zh-CN"/>
        </w:rPr>
        <w:t>人工影响天气作业。</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w:t>
      </w:r>
      <w:r>
        <w:rPr>
          <w:rFonts w:hint="eastAsia" w:hAnsi="仿宋_GB2312" w:cs="仿宋_GB2312"/>
          <w:color w:val="auto"/>
          <w:sz w:val="32"/>
          <w:szCs w:val="32"/>
          <w:highlight w:val="none"/>
          <w:lang w:eastAsia="zh-CN"/>
        </w:rPr>
        <w:t>天气预报播报、人工影响天气、中国气象科普教育示范基地建设、全国综合防灾减灾示范社区创建、防灾减灾专项经费、区域自动站维修维护</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w:t>
      </w:r>
      <w:r>
        <w:rPr>
          <w:rFonts w:hint="eastAsia" w:hAnsi="仿宋_GB2312" w:cs="仿宋_GB2312"/>
          <w:color w:val="auto"/>
          <w:sz w:val="32"/>
          <w:szCs w:val="32"/>
          <w:highlight w:val="none"/>
          <w:lang w:eastAsia="zh-CN"/>
        </w:rPr>
        <w:t>对上述</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13"/>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13"/>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16"/>
        <w:keepNext w:val="0"/>
        <w:keepLines w:val="0"/>
        <w:pageBreakBefore w:val="0"/>
        <w:widowControl w:val="0"/>
        <w:kinsoku/>
        <w:wordWrap/>
        <w:overflowPunct/>
        <w:topLinePunct w:val="0"/>
        <w:bidi w:val="0"/>
        <w:snapToGrid/>
        <w:spacing w:line="560" w:lineRule="exact"/>
        <w:ind w:left="638" w:leftChars="304" w:firstLine="0" w:firstLineChars="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w:t>
      </w:r>
      <w:r>
        <w:rPr>
          <w:rFonts w:hint="eastAsia" w:ascii="仿宋_GB2312" w:eastAsia="仿宋_GB2312"/>
          <w:color w:val="auto"/>
          <w:sz w:val="32"/>
          <w:szCs w:val="32"/>
          <w:highlight w:val="none"/>
          <w:lang w:eastAsia="zh-CN"/>
        </w:rPr>
        <w:t>收入。</w:t>
      </w:r>
    </w:p>
    <w:p>
      <w:pPr>
        <w:pStyle w:val="16"/>
        <w:keepNext w:val="0"/>
        <w:keepLines w:val="0"/>
        <w:pageBreakBefore w:val="0"/>
        <w:widowControl w:val="0"/>
        <w:kinsoku/>
        <w:wordWrap/>
        <w:overflowPunct/>
        <w:topLinePunct w:val="0"/>
        <w:bidi w:val="0"/>
        <w:snapToGrid/>
        <w:spacing w:line="560" w:lineRule="exact"/>
        <w:ind w:left="17" w:leftChars="8" w:firstLine="617" w:firstLineChars="193"/>
        <w:textAlignment w:val="auto"/>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lang w:eastAsia="zh-CN"/>
        </w:rPr>
        <w:t>（款）机关事业单位基本养老保险缴费支出（项）：指职工缴纳的养老保险。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lang w:eastAsia="zh-CN"/>
        </w:rPr>
        <w:t>（项）：指职工缴纳的医疗、工伤等保险。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自然资源海洋气象等支出（类）05（款）09（项）：气象事务支出：</w:t>
      </w:r>
      <w:r>
        <w:rPr>
          <w:rFonts w:hint="eastAsia" w:ascii="仿宋_GB2312" w:eastAsia="仿宋_GB2312"/>
          <w:color w:val="auto"/>
          <w:sz w:val="32"/>
          <w:szCs w:val="32"/>
          <w:highlight w:val="none"/>
          <w:lang w:eastAsia="zh-CN"/>
        </w:rPr>
        <w:t>指根据气象工作相关的开展的气象业务活动。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12.自然资源海洋气象等支出（类）05（款）11（项）：气象基础设施建设与维修，</w:t>
      </w:r>
      <w:r>
        <w:rPr>
          <w:rFonts w:hint="eastAsia" w:ascii="仿宋_GB2312" w:eastAsia="仿宋_GB2312"/>
          <w:color w:val="auto"/>
          <w:sz w:val="32"/>
          <w:szCs w:val="32"/>
          <w:highlight w:val="none"/>
          <w:lang w:eastAsia="zh-CN"/>
        </w:rPr>
        <w:t>指根据气象工作相关的开展的气象维修维护业务。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13.自然资源海洋气象等支出（类）05（款） 99（项）：  其他气象事务支出，</w:t>
      </w:r>
      <w:r>
        <w:rPr>
          <w:rFonts w:hint="eastAsia" w:ascii="仿宋_GB2312" w:eastAsia="仿宋_GB2312"/>
          <w:color w:val="auto"/>
          <w:sz w:val="32"/>
          <w:szCs w:val="32"/>
          <w:highlight w:val="none"/>
          <w:lang w:eastAsia="zh-CN"/>
        </w:rPr>
        <w:t>指根据气象工作相关的气象业务活动。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lang w:eastAsia="zh-CN"/>
        </w:rPr>
        <w:t>.住房保障支出（类）</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lang w:eastAsia="zh-CN"/>
        </w:rPr>
        <w:t>（项）：指职工住房公积金。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val="en-US" w:eastAsia="zh-CN"/>
        </w:rPr>
        <w:t>1</w:t>
      </w:r>
      <w:r>
        <w:rPr>
          <w:rFonts w:hint="eastAsia" w:ascii="仿宋_GB2312" w:hAnsi="Times New Roman" w:eastAsia="仿宋_GB2312" w:cs="Times New Roman"/>
          <w:color w:val="auto"/>
          <w:kern w:val="2"/>
          <w:sz w:val="32"/>
          <w:szCs w:val="32"/>
          <w:highlight w:val="none"/>
          <w:lang w:val="en-US" w:eastAsia="zh-CN" w:bidi="ar-SA"/>
        </w:rPr>
        <w:t>5.灾害防治及应急管理支出（类）01（款）99（项</w:t>
      </w:r>
      <w:r>
        <w:rPr>
          <w:rFonts w:hint="eastAsia" w:ascii="仿宋_GB2312" w:eastAsia="仿宋_GB2312" w:cs="Times New Roman"/>
          <w:color w:val="auto"/>
          <w:kern w:val="2"/>
          <w:sz w:val="32"/>
          <w:szCs w:val="32"/>
          <w:highlight w:val="none"/>
          <w:lang w:val="en-US" w:eastAsia="zh-CN" w:bidi="ar-SA"/>
        </w:rPr>
        <w:t>）：指在气象业务活动开展中需要处理的气象事务。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s="Times New Roman"/>
          <w:color w:val="auto"/>
          <w:kern w:val="2"/>
          <w:sz w:val="32"/>
          <w:szCs w:val="32"/>
          <w:highlight w:val="none"/>
          <w:lang w:val="en-US" w:eastAsia="zh-CN" w:bidi="ar-SA"/>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line="560" w:lineRule="exact"/>
        <w:jc w:val="center"/>
        <w:rPr>
          <w:rStyle w:val="13"/>
          <w:rFonts w:ascii="黑体" w:hAnsi="黑体" w:eastAsia="黑体"/>
          <w:b w:val="0"/>
          <w:color w:val="auto"/>
          <w:highlight w:val="none"/>
        </w:rPr>
      </w:pPr>
      <w:bookmarkStart w:id="51" w:name="_Toc15396614"/>
      <w:bookmarkStart w:id="52" w:name="_Toc15377226"/>
      <w:r>
        <w:rPr>
          <w:rFonts w:hint="eastAsia" w:ascii="宋体"/>
          <w:b/>
          <w:color w:val="auto"/>
          <w:sz w:val="44"/>
          <w:szCs w:val="44"/>
          <w:highlight w:val="none"/>
          <w:lang w:val="en-US" w:eastAsia="zh-CN"/>
        </w:rPr>
        <w:t xml:space="preserve">    </w:t>
      </w:r>
      <w:r>
        <w:rPr>
          <w:rFonts w:hint="eastAsia" w:ascii="黑体" w:hAnsi="黑体" w:eastAsia="黑体"/>
          <w:color w:val="auto"/>
          <w:sz w:val="44"/>
          <w:szCs w:val="44"/>
          <w:highlight w:val="none"/>
        </w:rPr>
        <w:t>第</w:t>
      </w:r>
      <w:r>
        <w:rPr>
          <w:rStyle w:val="13"/>
          <w:rFonts w:hint="eastAsia" w:ascii="黑体" w:hAnsi="黑体" w:eastAsia="黑体"/>
          <w:b w:val="0"/>
          <w:color w:val="auto"/>
          <w:highlight w:val="none"/>
        </w:rPr>
        <w:t>四部分 附件</w:t>
      </w:r>
      <w:bookmarkEnd w:id="51"/>
    </w:p>
    <w:p>
      <w:pPr>
        <w:spacing w:line="600" w:lineRule="exact"/>
        <w:jc w:val="center"/>
        <w:outlineLvl w:val="0"/>
        <w:rPr>
          <w:rFonts w:hint="eastAsia" w:ascii="黑体" w:hAnsi="黑体" w:eastAsia="黑体" w:cs="黑体"/>
          <w:color w:val="auto"/>
          <w:kern w:val="0"/>
          <w:sz w:val="44"/>
          <w:szCs w:val="44"/>
          <w:highlight w:val="none"/>
          <w:lang w:val="en-US" w:eastAsia="zh-CN" w:bidi="ar-SA"/>
        </w:rPr>
      </w:pPr>
      <w:r>
        <w:rPr>
          <w:rFonts w:hint="eastAsia" w:ascii="黑体" w:hAnsi="黑体" w:eastAsia="黑体" w:cs="黑体"/>
          <w:color w:val="auto"/>
          <w:kern w:val="0"/>
          <w:sz w:val="44"/>
          <w:szCs w:val="44"/>
          <w:highlight w:val="none"/>
          <w:lang w:val="en-US" w:eastAsia="zh-CN" w:bidi="ar-SA"/>
        </w:rPr>
        <w:t>部门预算项目支出绩效自评表（2022年度）</w:t>
      </w:r>
    </w:p>
    <w:p>
      <w:pPr>
        <w:pStyle w:val="2"/>
        <w:rPr>
          <w:rFonts w:hint="eastAsia"/>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96"/>
        <w:gridCol w:w="853"/>
        <w:gridCol w:w="1187"/>
        <w:gridCol w:w="408"/>
        <w:gridCol w:w="845"/>
        <w:gridCol w:w="756"/>
        <w:gridCol w:w="936"/>
        <w:gridCol w:w="525"/>
        <w:gridCol w:w="525"/>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51081222T000005932875-人工影响天气作业(2022年起)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目标1：人工影响天气日常作业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目标2：人工影响天气炮弹储存</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目标3：人工影响天气日常维修维护检查</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目标4：人工影响天气人员经费</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目标5：人工影响天气车辆维修维护</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目标1：人工影响天气日常作业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目标2：人工影响天气炮弹储存</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目标3：人工影响天气日常维修维护检查</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目标4：人工影响天气人员经费</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目标5：人工影响天气车辆维修维护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人工影响天气作业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维修维护检查</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炮弹储存</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人工影响天气车辆维修维护</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完成2022年人工影响天气工作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人影作业影响率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维修维护检查</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人工影响天气车辆维修维护</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炮弹储存</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完成2022年人工影响天气工作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保障全区日常生产生活需要</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改善了天气不受控制，影响经济发展的现象，推动了社会的进步和发展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51081222T000005932889-区域自动站维修维护、改造（2022年起）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目标1：完成2022年全区30座区域自动站维护管理</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目标2：完成改造区域自动站2座</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目标3：完成全区自动站的日常维修维护</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目标1：完成2022年全区30座区域自动站维护管理</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目标2：完成改造区域自动站2座</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目标3：完成全区自动站的日常维修维护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自动站日常维修维护、建设改造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新建、改造区域自动站</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自动站的日常维修维护</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自动站维护管理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座（处）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区域自动站质量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区域自动站维护管理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新建、改造区域自动站2座</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全区自动站的日常维修维护</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确保全区经济作物不受自然灾害影响</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规范整理案卷归档，有效保存工作资料，方便档案查询</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确保生态环境的可持续发展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51081222T000005933389-防灾减灾保障专项经费（2022年起）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目标1：手机天气预报短信费（根据每年和移动公司签订的合同而定）</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目标2：三农服务及宣传经费</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目标3：气象业务办理笔记本电脑经费</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目标1：手机天气预报短信费（根据每年和移动公司签订的合同而定）</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目标2：三农服务及宣传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防灾减灾保障</w:t>
            </w:r>
            <w:r>
              <w:rPr>
                <w:rFonts w:hint="eastAsia" w:ascii="宋体" w:hAnsi="宋体" w:eastAsia="宋体" w:cs="宋体"/>
                <w:i w:val="0"/>
                <w:iCs w:val="0"/>
                <w:color w:val="000000"/>
                <w:kern w:val="0"/>
                <w:sz w:val="18"/>
                <w:szCs w:val="18"/>
                <w:u w:val="none"/>
                <w:lang w:val="en-US" w:eastAsia="zh-CN" w:bidi="ar"/>
              </w:rPr>
              <w:t>：与移动公司签订短信发送合同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全区12个乡镇三农服务及宣传经费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与移动公司签订手机天气预报短信服务协议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项（7.9496万元）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气象业务办理笔记本电脑经费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经费不够没有购买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三农服务及宣传经费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手机天气预报短信费的具体信息资金费用由单位与移动公司签订的合同而定</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气象业务办理笔记本电脑经费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经费不够没有购买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保障全区日常生产生活需要</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影响经济发展，推动了社会的进步和发展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进一步改善群众经济，持续影响年份</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项目经费不够，没有够买笔记本，但完成了预报发送项目，为全区安全生产提供了保障。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后期预算经费时详细预算。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51081222T000005933408-全国综合防灾减灾示范社区(2022年起)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完成2022年的全区《全国综合防灾减灾示范社区创建》建设、挂牌2处</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全国综合防灾减灾示范社区</w:t>
            </w:r>
            <w:r>
              <w:rPr>
                <w:rFonts w:hint="eastAsia" w:ascii="宋体" w:hAnsi="宋体" w:eastAsia="宋体" w:cs="宋体"/>
                <w:i w:val="0"/>
                <w:iCs w:val="0"/>
                <w:color w:val="000000"/>
                <w:kern w:val="0"/>
                <w:sz w:val="18"/>
                <w:szCs w:val="18"/>
                <w:u w:val="none"/>
                <w:lang w:val="en-US" w:eastAsia="zh-CN" w:bidi="ar"/>
              </w:rPr>
              <w:t>内容打造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全国综合防灾减灾示范社区挂牌2处</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社区基础设施</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申报示范社区创建前期准备工作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保障社区日常生产生活需要</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提升全民防灾减灾安全意识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提升生态环境可持续发展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进一步改善群众经济，提升全民防灾减灾安全意识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朝天区大坝口社区获得全国防灾减灾示范社区称号。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51081222T000005933421-天气预报播报费(2022年起)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目标1：国家级天气预报播报费34万元</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目标2：地方级天气预报播报费3万元</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目标1：国家级天气预报播报费34万元</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目标2：地方级天气预报播报费3万元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播放天气预报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地方级天气预报播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国家级天气预报播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天气预报影响率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地方级天气预报播报费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国家级天气预报播报费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确保全区经济作物不受自然灾害影响</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日常天气预报播报，确保日常出行工作掌握天气情况</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确保生态环境的可持续发展有依据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持续提升全民防灾减灾安全意识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项目按规定完成。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51081222T000005933475-中国气象科普教育示范基地建设（2022年起）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建设气象科普教育示范基地，宣传气象科普知识。</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完善了</w:t>
            </w:r>
            <w:r>
              <w:rPr>
                <w:rFonts w:ascii="宋体" w:hAnsi="宋体" w:eastAsia="宋体" w:cs="宋体"/>
                <w:i w:val="0"/>
                <w:iCs w:val="0"/>
                <w:color w:val="000000"/>
                <w:kern w:val="0"/>
                <w:sz w:val="18"/>
                <w:szCs w:val="18"/>
                <w:u w:val="none"/>
                <w:lang w:val="en-US" w:eastAsia="zh-CN" w:bidi="ar"/>
              </w:rPr>
              <w:t>气象科普教育示范基地，宣传气象科普知识。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完善科普示范教育基地内容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创建气象教育基地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12个乡镇气象科普基地宣传</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工作完成影响率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气象宣传资料费用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提高朝天知名度，为朝天旅游经济发展做贡献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51081222T000005933500-国家气候标志品牌建设(2022年起)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广元市朝天区应急管理局部门</w:t>
            </w:r>
          </w:p>
        </w:tc>
        <w:tc>
          <w:tcPr>
            <w:tcW w:w="4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目标1：关于2022年由中国气象局和四川省气象局主导，评价旅游气候及生态环境质量，发掘高质量的旅游憩息资源，倡导绿色、生态的生活理念，发展生态旅游、健康旅游的“中国气候康养地”创建活动活动。</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关于2022年由中国气象局和四川省气象局主导，评价旅游气候及生态环境质量，发掘高质量的旅游憩息资源，倡导绿色、生态的生活理念，发展生态旅游、健康旅游的“中国气候康养地”创建活动活动。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气候调查研究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全区12个乡镇的“中国气候康养地”创建氛围活动宣传</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“中国气候康养地”创建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创建工作完成后达到影响率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2022年基本气候要素分析费用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提升朝天区知名度，带动朝天区旅游业发展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提升朝天区知名度，带动朝天区旅游业发展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生态环境可持续发展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不断提升朝天区知名度，带动朝天区旅游业发展</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当地受益群众满意度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气象管理部门满意度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项目负责人：赵文同</w:t>
            </w:r>
          </w:p>
        </w:tc>
        <w:tc>
          <w:tcPr>
            <w:tcW w:w="27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60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3"/>
          <w:rFonts w:hint="eastAsia" w:ascii="黑体" w:hAnsi="黑体" w:eastAsia="黑体"/>
          <w:b w:val="0"/>
          <w:color w:val="auto"/>
          <w:highlight w:val="none"/>
        </w:rPr>
        <w:t>五部分 附表</w:t>
      </w:r>
      <w:bookmarkEnd w:id="52"/>
      <w:bookmarkEnd w:id="53"/>
      <w:bookmarkStart w:id="54" w:name="_Toc15396619"/>
    </w:p>
    <w:p>
      <w:pPr>
        <w:pStyle w:val="4"/>
        <w:ind w:firstLine="320" w:firstLineChars="100"/>
        <w:rPr>
          <w:rFonts w:ascii="仿宋" w:hAnsi="仿宋" w:eastAsia="仿宋"/>
          <w:color w:val="auto"/>
          <w:highlight w:val="none"/>
        </w:rPr>
      </w:pPr>
      <w:r>
        <w:rPr>
          <w:rFonts w:hint="eastAsia" w:ascii="仿宋" w:hAnsi="仿宋" w:eastAsia="仿宋"/>
          <w:b w:val="0"/>
          <w:color w:val="auto"/>
          <w:highlight w:val="none"/>
        </w:rPr>
        <w:t>一、收</w:t>
      </w:r>
      <w:r>
        <w:rPr>
          <w:rStyle w:val="14"/>
          <w:rFonts w:hint="eastAsia" w:ascii="仿宋" w:hAnsi="仿宋" w:eastAsia="仿宋"/>
          <w:b w:val="0"/>
          <w:bCs w:val="0"/>
          <w:color w:val="auto"/>
          <w:highlight w:val="none"/>
        </w:rPr>
        <w:t>入支出决算总表</w:t>
      </w:r>
      <w:bookmarkEnd w:id="54"/>
    </w:p>
    <w:p>
      <w:pPr>
        <w:pStyle w:val="4"/>
        <w:ind w:firstLine="320" w:firstLineChars="100"/>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14"/>
          <w:rFonts w:hint="eastAsia" w:ascii="仿宋" w:hAnsi="仿宋" w:eastAsia="仿宋"/>
          <w:b w:val="0"/>
          <w:bCs w:val="0"/>
          <w:color w:val="auto"/>
          <w:highlight w:val="none"/>
        </w:rPr>
        <w:t>入决算表</w:t>
      </w:r>
      <w:bookmarkEnd w:id="55"/>
    </w:p>
    <w:p>
      <w:pPr>
        <w:pStyle w:val="4"/>
        <w:ind w:firstLine="320" w:firstLineChars="100"/>
        <w:rPr>
          <w:rFonts w:ascii="仿宋" w:hAnsi="仿宋" w:eastAsia="仿宋"/>
          <w:color w:val="auto"/>
          <w:highlight w:val="none"/>
        </w:rPr>
      </w:pPr>
      <w:bookmarkStart w:id="56" w:name="_Toc15396621"/>
      <w:r>
        <w:rPr>
          <w:rStyle w:val="14"/>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4"/>
          <w:rFonts w:hint="eastAsia" w:ascii="仿宋" w:hAnsi="仿宋" w:eastAsia="仿宋"/>
          <w:b w:val="0"/>
          <w:bCs w:val="0"/>
          <w:color w:val="auto"/>
          <w:highlight w:val="none"/>
        </w:rPr>
        <w:t>出决算表</w:t>
      </w:r>
      <w:bookmarkEnd w:id="56"/>
    </w:p>
    <w:p>
      <w:pPr>
        <w:pStyle w:val="4"/>
        <w:ind w:firstLine="320" w:firstLineChars="100"/>
        <w:rPr>
          <w:rFonts w:ascii="仿宋" w:hAnsi="仿宋" w:eastAsia="仿宋"/>
          <w:b w:val="0"/>
          <w:color w:val="auto"/>
          <w:highlight w:val="none"/>
        </w:rPr>
      </w:pPr>
      <w:bookmarkStart w:id="57" w:name="_Toc15396622"/>
      <w:r>
        <w:rPr>
          <w:rStyle w:val="14"/>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4"/>
          <w:rFonts w:hint="eastAsia" w:ascii="仿宋" w:hAnsi="仿宋" w:eastAsia="仿宋"/>
          <w:b w:val="0"/>
          <w:bCs w:val="0"/>
          <w:color w:val="auto"/>
          <w:highlight w:val="none"/>
        </w:rPr>
        <w:t>政拨款收入支出决算总表</w:t>
      </w:r>
      <w:bookmarkEnd w:id="57"/>
    </w:p>
    <w:p>
      <w:pPr>
        <w:pStyle w:val="4"/>
        <w:ind w:firstLine="320" w:firstLineChars="100"/>
        <w:rPr>
          <w:rStyle w:val="14"/>
          <w:rFonts w:ascii="仿宋" w:hAnsi="仿宋" w:eastAsia="仿宋"/>
          <w:b w:val="0"/>
          <w:bCs w:val="0"/>
          <w:color w:val="auto"/>
          <w:highlight w:val="none"/>
        </w:rPr>
      </w:pPr>
      <w:bookmarkStart w:id="58" w:name="_Toc15396623"/>
      <w:r>
        <w:rPr>
          <w:rStyle w:val="14"/>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4"/>
          <w:rFonts w:hint="eastAsia" w:ascii="仿宋" w:hAnsi="仿宋" w:eastAsia="仿宋"/>
          <w:b w:val="0"/>
          <w:bCs w:val="0"/>
          <w:color w:val="auto"/>
          <w:highlight w:val="none"/>
        </w:rPr>
        <w:t>政拨款支出决算明细表</w:t>
      </w:r>
      <w:bookmarkEnd w:id="58"/>
      <w:bookmarkStart w:id="59" w:name="_Toc15396624"/>
    </w:p>
    <w:p>
      <w:pPr>
        <w:pStyle w:val="4"/>
        <w:ind w:firstLine="320" w:firstLineChars="100"/>
        <w:rPr>
          <w:rFonts w:ascii="仿宋" w:hAnsi="仿宋" w:eastAsia="仿宋"/>
          <w:color w:val="auto"/>
          <w:highlight w:val="none"/>
        </w:rPr>
      </w:pPr>
      <w:r>
        <w:rPr>
          <w:rStyle w:val="14"/>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般公共预算财政拨款支出决算表</w:t>
      </w:r>
      <w:bookmarkEnd w:id="59"/>
    </w:p>
    <w:p>
      <w:pPr>
        <w:pStyle w:val="4"/>
        <w:ind w:firstLine="320" w:firstLineChars="100"/>
        <w:rPr>
          <w:rFonts w:ascii="仿宋" w:hAnsi="仿宋" w:eastAsia="仿宋"/>
          <w:color w:val="auto"/>
          <w:highlight w:val="none"/>
        </w:rPr>
      </w:pPr>
      <w:bookmarkStart w:id="60" w:name="_Toc15396625"/>
      <w:r>
        <w:rPr>
          <w:rStyle w:val="14"/>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般公共预算财政拨款支出决算明细表</w:t>
      </w:r>
      <w:bookmarkEnd w:id="60"/>
    </w:p>
    <w:p>
      <w:pPr>
        <w:pStyle w:val="4"/>
        <w:ind w:firstLine="320" w:firstLineChars="100"/>
        <w:rPr>
          <w:rFonts w:ascii="仿宋" w:hAnsi="仿宋" w:eastAsia="仿宋"/>
          <w:color w:val="auto"/>
          <w:highlight w:val="none"/>
        </w:rPr>
      </w:pPr>
      <w:bookmarkStart w:id="61" w:name="_Toc15396626"/>
      <w:r>
        <w:rPr>
          <w:rStyle w:val="14"/>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般公共预算财政拨款基本支出决算表</w:t>
      </w:r>
      <w:bookmarkEnd w:id="61"/>
    </w:p>
    <w:p>
      <w:pPr>
        <w:pStyle w:val="4"/>
        <w:ind w:firstLine="320" w:firstLineChars="100"/>
        <w:rPr>
          <w:rFonts w:ascii="仿宋" w:hAnsi="仿宋" w:eastAsia="仿宋"/>
          <w:color w:val="auto"/>
          <w:highlight w:val="none"/>
        </w:rPr>
      </w:pPr>
      <w:bookmarkStart w:id="62" w:name="_Toc15396627"/>
      <w:r>
        <w:rPr>
          <w:rStyle w:val="14"/>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般公共预算财政拨款项目支出决算表</w:t>
      </w:r>
      <w:bookmarkEnd w:id="62"/>
    </w:p>
    <w:p>
      <w:pPr>
        <w:pStyle w:val="4"/>
        <w:ind w:firstLine="320" w:firstLineChars="100"/>
        <w:rPr>
          <w:rFonts w:ascii="仿宋" w:hAnsi="仿宋" w:eastAsia="仿宋"/>
          <w:color w:val="auto"/>
          <w:highlight w:val="none"/>
        </w:rPr>
      </w:pPr>
      <w:bookmarkStart w:id="63" w:name="_Toc15396628"/>
      <w:r>
        <w:rPr>
          <w:rStyle w:val="14"/>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14"/>
          <w:rFonts w:hint="eastAsia" w:ascii="仿宋" w:hAnsi="仿宋" w:eastAsia="仿宋"/>
          <w:b w:val="0"/>
          <w:bCs w:val="0"/>
          <w:color w:val="auto"/>
          <w:highlight w:val="none"/>
        </w:rPr>
        <w:t>府性基金预算财政拨款收入支出决算表</w:t>
      </w:r>
    </w:p>
    <w:p>
      <w:pPr>
        <w:pStyle w:val="4"/>
        <w:ind w:firstLine="320" w:firstLineChars="100"/>
        <w:rPr>
          <w:rFonts w:ascii="仿宋" w:hAnsi="仿宋" w:eastAsia="仿宋"/>
          <w:color w:val="auto"/>
          <w:highlight w:val="none"/>
        </w:rPr>
      </w:pPr>
      <w:bookmarkStart w:id="64" w:name="_Toc15396629"/>
      <w:r>
        <w:rPr>
          <w:rStyle w:val="14"/>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14"/>
          <w:rFonts w:hint="eastAsia" w:ascii="仿宋" w:hAnsi="仿宋" w:eastAsia="仿宋"/>
          <w:b w:val="0"/>
          <w:bCs w:val="0"/>
          <w:color w:val="auto"/>
          <w:highlight w:val="none"/>
        </w:rPr>
        <w:t>有资本经营预算</w:t>
      </w:r>
      <w:r>
        <w:rPr>
          <w:rStyle w:val="14"/>
          <w:rFonts w:hint="eastAsia" w:ascii="仿宋" w:hAnsi="仿宋" w:eastAsia="仿宋"/>
          <w:b w:val="0"/>
          <w:bCs w:val="0"/>
          <w:color w:val="auto"/>
          <w:highlight w:val="none"/>
          <w:lang w:eastAsia="zh-CN"/>
        </w:rPr>
        <w:t>财政拨款收入</w:t>
      </w:r>
      <w:r>
        <w:rPr>
          <w:rStyle w:val="14"/>
          <w:rFonts w:hint="eastAsia" w:ascii="仿宋" w:hAnsi="仿宋" w:eastAsia="仿宋"/>
          <w:b w:val="0"/>
          <w:bCs w:val="0"/>
          <w:color w:val="auto"/>
          <w:highlight w:val="none"/>
        </w:rPr>
        <w:t>支出决算表</w:t>
      </w:r>
    </w:p>
    <w:p>
      <w:pPr>
        <w:pStyle w:val="4"/>
        <w:ind w:firstLine="320" w:firstLineChars="100"/>
        <w:rPr>
          <w:rFonts w:ascii="仿宋" w:hAnsi="仿宋" w:eastAsia="仿宋"/>
          <w:color w:val="auto"/>
          <w:highlight w:val="none"/>
        </w:rPr>
      </w:pPr>
      <w:bookmarkStart w:id="65" w:name="_Toc15396630"/>
      <w:r>
        <w:rPr>
          <w:rStyle w:val="14"/>
          <w:rFonts w:hint="eastAsia" w:ascii="仿宋" w:hAnsi="仿宋" w:eastAsia="仿宋"/>
          <w:b w:val="0"/>
          <w:bCs w:val="0"/>
          <w:color w:val="auto"/>
          <w:highlight w:val="none"/>
        </w:rPr>
        <w:t>十二、</w:t>
      </w:r>
      <w:bookmarkEnd w:id="65"/>
      <w:r>
        <w:rPr>
          <w:rStyle w:val="14"/>
          <w:rFonts w:hint="eastAsia" w:ascii="仿宋" w:hAnsi="仿宋" w:eastAsia="仿宋"/>
          <w:b w:val="0"/>
          <w:bCs w:val="0"/>
          <w:color w:val="auto"/>
          <w:highlight w:val="none"/>
          <w:lang w:eastAsia="zh-CN"/>
        </w:rPr>
        <w:t>国有资本经营预算财政拨款支出决算表</w:t>
      </w:r>
    </w:p>
    <w:p>
      <w:pPr>
        <w:pStyle w:val="4"/>
        <w:ind w:firstLine="320" w:firstLineChars="100"/>
        <w:rPr>
          <w:rFonts w:hint="eastAsia" w:eastAsia="仿宋"/>
          <w:color w:val="auto"/>
          <w:highlight w:val="none"/>
          <w:lang w:eastAsia="zh-CN"/>
        </w:rPr>
      </w:pPr>
      <w:bookmarkStart w:id="66" w:name="_Toc15396631"/>
      <w:r>
        <w:rPr>
          <w:rStyle w:val="14"/>
          <w:rFonts w:hint="eastAsia" w:ascii="仿宋" w:hAnsi="仿宋" w:eastAsia="仿宋"/>
          <w:b w:val="0"/>
          <w:bCs w:val="0"/>
          <w:color w:val="auto"/>
          <w:highlight w:val="none"/>
        </w:rPr>
        <w:t>十三、</w:t>
      </w:r>
      <w:bookmarkEnd w:id="66"/>
      <w:r>
        <w:rPr>
          <w:rStyle w:val="14"/>
          <w:rFonts w:hint="eastAsia" w:ascii="仿宋" w:hAnsi="仿宋" w:eastAsia="仿宋"/>
          <w:b w:val="0"/>
          <w:bCs w:val="0"/>
          <w:color w:val="auto"/>
          <w:highlight w:val="none"/>
          <w:lang w:eastAsia="zh-CN"/>
        </w:rPr>
        <w:t>财政拨款“三公”经费支出决算表</w:t>
      </w:r>
    </w:p>
    <w:p/>
    <w:sectPr>
      <w:footerReference r:id="rId10" w:type="first"/>
      <w:footerReference r:id="rId9" w:type="default"/>
      <w:pgSz w:w="11906" w:h="16838"/>
      <w:pgMar w:top="1440" w:right="1800" w:bottom="1440" w:left="118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tabs>
        <w:tab w:val="clear" w:pos="4153"/>
      </w:tabs>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p>
    <w:pPr>
      <w:pStyle w:val="6"/>
      <w:tabs>
        <w:tab w:val="clear" w:pos="4153"/>
      </w:tabs>
      <w:jc w:val="center"/>
      <w:rPr>
        <w:rFonts w:hint="default"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r>
      <w:rPr>
        <w:rFonts w:hint="default"/>
        <w:sz w:val="18"/>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p>
    <w:pPr>
      <w:pStyle w:val="6"/>
      <w:tabs>
        <w:tab w:val="clear" w:pos="4153"/>
      </w:tabs>
      <w:jc w:val="center"/>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85AFD83"/>
    <w:multiLevelType w:val="singleLevel"/>
    <w:tmpl w:val="F85AFD83"/>
    <w:lvl w:ilvl="0" w:tentative="0">
      <w:start w:val="1"/>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9F903E5"/>
    <w:multiLevelType w:val="singleLevel"/>
    <w:tmpl w:val="29F903E5"/>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TUyMTE4NWZmZDI1MWNmZTMwNDZlZTU2MDcwNzQifQ=="/>
  </w:docVars>
  <w:rsids>
    <w:rsidRoot w:val="61DA56C6"/>
    <w:rsid w:val="027D7D2C"/>
    <w:rsid w:val="1D393C82"/>
    <w:rsid w:val="24B96F3E"/>
    <w:rsid w:val="32EA2502"/>
    <w:rsid w:val="3F565079"/>
    <w:rsid w:val="5E65011E"/>
    <w:rsid w:val="61DA56C6"/>
    <w:rsid w:val="6B903E85"/>
    <w:rsid w:val="71A7733F"/>
    <w:rsid w:val="790F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customStyle="1" w:styleId="13">
    <w:name w:val="标题 1 Char"/>
    <w:basedOn w:val="11"/>
    <w:link w:val="3"/>
    <w:qFormat/>
    <w:uiPriority w:val="9"/>
    <w:rPr>
      <w:b/>
      <w:bCs/>
      <w:kern w:val="44"/>
      <w:sz w:val="44"/>
      <w:szCs w:val="44"/>
    </w:rPr>
  </w:style>
  <w:style w:type="character" w:customStyle="1" w:styleId="14">
    <w:name w:val="标题 2 Char"/>
    <w:basedOn w:val="11"/>
    <w:link w:val="4"/>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7">
    <w:name w:val="font61"/>
    <w:basedOn w:val="11"/>
    <w:qFormat/>
    <w:uiPriority w:val="0"/>
    <w:rPr>
      <w:rFonts w:hint="eastAsia" w:ascii="宋体" w:hAnsi="宋体" w:eastAsia="宋体" w:cs="宋体"/>
      <w:color w:val="000000"/>
      <w:sz w:val="16"/>
      <w:szCs w:val="16"/>
      <w:u w:val="none"/>
    </w:rPr>
  </w:style>
  <w:style w:type="character" w:customStyle="1" w:styleId="18">
    <w:name w:val="font71"/>
    <w:basedOn w:val="11"/>
    <w:qFormat/>
    <w:uiPriority w:val="0"/>
    <w:rPr>
      <w:rFonts w:ascii="Arial" w:hAnsi="Arial" w:cs="Arial"/>
      <w:color w:val="000000"/>
      <w:sz w:val="16"/>
      <w:szCs w:val="16"/>
      <w:u w:val="none"/>
    </w:rPr>
  </w:style>
  <w:style w:type="character" w:customStyle="1" w:styleId="19">
    <w:name w:val="font8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eastAsia" w:ascii="宋体" w:hAnsi="宋体" w:eastAsia="宋体" w:cs="宋体"/>
      <w:color w:val="000000"/>
      <w:sz w:val="20"/>
      <w:szCs w:val="20"/>
      <w:u w:val="none"/>
    </w:rPr>
  </w:style>
  <w:style w:type="character" w:customStyle="1" w:styleId="21">
    <w:name w:val="font131"/>
    <w:basedOn w:val="11"/>
    <w:qFormat/>
    <w:uiPriority w:val="0"/>
    <w:rPr>
      <w:rFonts w:hint="eastAsia" w:ascii="宋体" w:hAnsi="宋体" w:eastAsia="宋体" w:cs="宋体"/>
      <w:color w:val="000000"/>
      <w:sz w:val="20"/>
      <w:szCs w:val="20"/>
      <w:u w:val="none"/>
    </w:rPr>
  </w:style>
  <w:style w:type="character" w:customStyle="1" w:styleId="22">
    <w:name w:val="font121"/>
    <w:basedOn w:val="11"/>
    <w:qFormat/>
    <w:uiPriority w:val="0"/>
    <w:rPr>
      <w:rFonts w:hint="eastAsia" w:ascii="宋体" w:hAnsi="宋体" w:eastAsia="宋体" w:cs="宋体"/>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4"/>
      <w:szCs w:val="24"/>
      <w:u w:val="none"/>
    </w:rPr>
  </w:style>
  <w:style w:type="character" w:customStyle="1" w:styleId="24">
    <w:name w:val="font112"/>
    <w:basedOn w:val="11"/>
    <w:qFormat/>
    <w:uiPriority w:val="0"/>
    <w:rPr>
      <w:rFonts w:hint="default" w:ascii="Times New Roman" w:hAnsi="Times New Roman" w:cs="Times New Roman"/>
      <w:color w:val="000000"/>
      <w:sz w:val="24"/>
      <w:szCs w:val="24"/>
      <w:u w:val="none"/>
    </w:rPr>
  </w:style>
  <w:style w:type="character" w:customStyle="1" w:styleId="25">
    <w:name w:val="font5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27668;&#35937;&#23616;&#24037;&#20316;&#25991;&#20214;&#22841;\2023&#24180;\2023%20%20%20&#36130;&#21153;\2023%20%202022&#20915;&#31639;&#20844;&#24320;\&#22270;&#34920;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zzz\Desktop\&#24037;&#20316;&#31807;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TMP\wps.iTfIgK\Workbook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1&#27668;&#35937;&#23616;&#24037;&#20316;&#25991;&#20214;&#22841;\2023&#24180;\2023%20%20%20&#36130;&#21153;\2023%20%202022&#20915;&#31639;&#20844;&#24320;\&#22270;&#34920;3.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1&#27668;&#35937;&#23616;&#24037;&#20316;&#25991;&#20214;&#22841;\2023&#24180;\2023%20%20%20&#36130;&#21153;\2023%20%202022&#20915;&#31639;&#20844;&#24320;\&#22270;&#34920;3.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83"/>
          <c:y val="0.02"/>
        </c:manualLayout>
      </c:layout>
      <c:overlay val="0"/>
      <c:spPr>
        <a:noFill/>
        <a:ln>
          <a:noFill/>
        </a:ln>
        <a:effectLst/>
      </c:spPr>
    </c:title>
    <c:autoTitleDeleted val="0"/>
    <c:plotArea>
      <c:layout>
        <c:manualLayout>
          <c:layoutTarget val="inner"/>
          <c:xMode val="edge"/>
          <c:yMode val="edge"/>
          <c:x val="0.067325"/>
          <c:y val="0.181333333333333"/>
          <c:w val="0.905175"/>
          <c:h val="0.660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c:v>
                </c:pt>
              </c:strCache>
            </c:strRef>
          </c:cat>
          <c:val>
            <c:numRef>
              <c:f>Sheet1!$B$2</c:f>
              <c:numCache>
                <c:formatCode>General</c:formatCode>
                <c:ptCount val="1"/>
                <c:pt idx="0">
                  <c:v>121.97</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4</a:t>
                    </a:r>
                    <a:r>
                      <a:t>3.36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c:v>
                </c:pt>
              </c:strCache>
            </c:strRef>
          </c:cat>
          <c:val>
            <c:numRef>
              <c:f>Sheet1!$C$2</c:f>
              <c:numCache>
                <c:formatCode>General</c:formatCode>
                <c:ptCount val="1"/>
                <c:pt idx="0">
                  <c:v>143.36</c:v>
                </c:pt>
              </c:numCache>
            </c:numRef>
          </c:val>
        </c:ser>
        <c:dLbls>
          <c:showLegendKey val="0"/>
          <c:showVal val="0"/>
          <c:showCatName val="0"/>
          <c:showSerName val="0"/>
          <c:showPercent val="0"/>
          <c:showBubbleSize val="0"/>
        </c:dLbls>
        <c:gapWidth val="219"/>
        <c:overlap val="-27"/>
        <c:axId val="376079200"/>
        <c:axId val="271776706"/>
      </c:barChart>
      <c:catAx>
        <c:axId val="37607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776706"/>
        <c:crosses val="autoZero"/>
        <c:auto val="1"/>
        <c:lblAlgn val="ctr"/>
        <c:lblOffset val="100"/>
        <c:noMultiLvlLbl val="0"/>
      </c:catAx>
      <c:valAx>
        <c:axId val="2717767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079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1"/>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9667063020214"/>
          <c:y val="0.163874345549738"/>
          <c:w val="0.763244814374422"/>
          <c:h val="0.641012216404887"/>
        </c:manualLayout>
      </c:layout>
      <c:pie3DChart>
        <c:varyColors val="1"/>
        <c:ser>
          <c:idx val="0"/>
          <c:order val="0"/>
          <c:spPr>
            <a:scene3d>
              <a:camera prst="orthographicFront"/>
              <a:lightRig rig="threePt" dir="t"/>
            </a:scene3d>
            <a:sp3d contourW="9525"/>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rgbClr val="000000">
                    <a:lumMod val="50000"/>
                    <a:alpha val="30000"/>
                  </a:srgbClr>
                </a:outerShdw>
              </a:effectLst>
            </c:spPr>
          </c:dPt>
          <c:dLbls>
            <c:dLbl>
              <c:idx val="0"/>
              <c:layout>
                <c:manualLayout>
                  <c:x val="-1.92836358801204e-6"/>
                  <c:y val="-0.3302830544423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0085876601929"/>
                      <c:h val="0.082373472949389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val>
            <c:numRef>
              <c:f>[图表3.xlsx]Sheet1!$D$70</c:f>
              <c:numCache>
                <c:formatCode>General</c:formatCode>
                <c:ptCount val="1"/>
                <c:pt idx="0">
                  <c:v>133.36</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51</a:t>
                    </a:r>
                    <a:r>
                      <a:rPr lang="en-US" altLang="zh-CN"/>
                      <a:t>.17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48.83%</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[工作簿2.xlsx]Sheet1!$C$45:$C$46</c:f>
              <c:strCache>
                <c:ptCount val="2"/>
                <c:pt idx="0">
                  <c:v>基本支出</c:v>
                </c:pt>
                <c:pt idx="1">
                  <c:v>项目支出</c:v>
                </c:pt>
              </c:strCache>
            </c:strRef>
          </c:cat>
          <c:val>
            <c:numRef>
              <c:f>[工作簿2.xlsx]Sheet1!$D$45:$D$46</c:f>
              <c:numCache>
                <c:formatCode>0.00%</c:formatCode>
                <c:ptCount val="2"/>
                <c:pt idx="0">
                  <c:v>0.5117</c:v>
                </c:pt>
                <c:pt idx="1">
                  <c:v>0.4883</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a:p>
            <a:pPr defTabSz="914400">
              <a:defRPr lang="zh-CN" sz="1400" b="1" i="0" u="none" strike="noStrike" kern="1200" baseline="0">
                <a:solidFill>
                  <a:schemeClr val="dk1">
                    <a:lumMod val="75000"/>
                    <a:lumOff val="25000"/>
                  </a:schemeClr>
                </a:solidFill>
                <a:latin typeface="+mn-lt"/>
                <a:ea typeface="+mn-ea"/>
                <a:cs typeface="+mn-cs"/>
              </a:defRPr>
            </a:pPr>
            <a:r>
              <a:rPr altLang="zh-CN"/>
              <a:t>单位：万元</a:t>
            </a:r>
            <a:endParaRPr altLang="zh-CN"/>
          </a:p>
        </c:rich>
      </c:tx>
      <c:layout/>
      <c:overlay val="0"/>
      <c:spPr>
        <a:noFill/>
        <a:ln>
          <a:noFill/>
        </a:ln>
        <a:effectLst/>
      </c:spPr>
    </c:title>
    <c:autoTitleDeleted val="0"/>
    <c:plotArea>
      <c:layout/>
      <c:barChart>
        <c:barDir val="col"/>
        <c:grouping val="stacked"/>
        <c:varyColors val="0"/>
        <c:ser>
          <c:idx val="0"/>
          <c:order val="0"/>
          <c:tx>
            <c:strRef>
              <c:f>[Workbook1.xlsx]Sheet1!$A$16</c:f>
              <c:strCache>
                <c:ptCount val="1"/>
                <c:pt idx="0">
                  <c:v>财政拨款收、支决算总计变动情况
</c:v>
                </c:pt>
              </c:strCache>
            </c:strRef>
          </c:tx>
          <c:spPr>
            <a:solidFill>
              <a:schemeClr val="accent2"/>
            </a:solidFill>
            <a:ln>
              <a:solidFill>
                <a:schemeClr val="bg1"/>
              </a:solidFill>
            </a:ln>
            <a:effectLst/>
          </c:spPr>
          <c:invertIfNegative val="0"/>
          <c:dPt>
            <c:idx val="0"/>
            <c:invertIfNegative val="0"/>
            <c:bubble3D val="0"/>
            <c:spPr>
              <a:solidFill>
                <a:schemeClr val="accent1">
                  <a:lumMod val="40000"/>
                  <a:lumOff val="60000"/>
                </a:schemeClr>
              </a:solidFill>
              <a:ln>
                <a:solidFill>
                  <a:schemeClr val="bg1"/>
                </a:solidFill>
              </a:ln>
              <a:effectLst/>
            </c:spPr>
          </c:dPt>
          <c:dLbls>
            <c:dLbl>
              <c:idx val="0"/>
              <c:layout>
                <c:manualLayout>
                  <c:x val="0.00357355568790947"/>
                  <c:y val="-0.1292929292929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4343434343434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[Workbook1.xlsx]Sheet1!$B$15:$C$15</c:f>
              <c:strCache>
                <c:ptCount val="2"/>
                <c:pt idx="0">
                  <c:v>2021年</c:v>
                </c:pt>
                <c:pt idx="1">
                  <c:v>2022年</c:v>
                </c:pt>
              </c:strCache>
            </c:strRef>
          </c:cat>
          <c:val>
            <c:numRef>
              <c:f>[Workbook1.xlsx]Sheet1!$B$16:$C$16</c:f>
              <c:numCache>
                <c:formatCode>General</c:formatCode>
                <c:ptCount val="2"/>
                <c:pt idx="0">
                  <c:v>121.97</c:v>
                </c:pt>
                <c:pt idx="1">
                  <c:v>143.36</c:v>
                </c:pt>
              </c:numCache>
            </c:numRef>
          </c:val>
        </c:ser>
        <c:dLbls>
          <c:showLegendKey val="0"/>
          <c:showVal val="1"/>
          <c:showCatName val="0"/>
          <c:showSerName val="0"/>
          <c:showPercent val="0"/>
          <c:showBubbleSize val="0"/>
        </c:dLbls>
        <c:gapWidth val="246"/>
        <c:overlap val="100"/>
        <c:axId val="800247292"/>
        <c:axId val="964797491"/>
      </c:barChart>
      <c:catAx>
        <c:axId val="8002472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797491"/>
        <c:crosses val="autoZero"/>
        <c:auto val="1"/>
        <c:lblAlgn val="ctr"/>
        <c:lblOffset val="100"/>
        <c:noMultiLvlLbl val="0"/>
      </c:catAx>
      <c:valAx>
        <c:axId val="96479749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2472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176125"/>
          <c:y val="0.0216606498194946"/>
        </c:manualLayout>
      </c:layout>
      <c:overlay val="0"/>
      <c:spPr>
        <a:noFill/>
        <a:ln>
          <a:noFill/>
        </a:ln>
        <a:effectLst/>
      </c:spPr>
    </c:title>
    <c:autoTitleDeleted val="0"/>
    <c:plotArea>
      <c:layout>
        <c:manualLayout>
          <c:layoutTarget val="inner"/>
          <c:xMode val="edge"/>
          <c:yMode val="edge"/>
          <c:x val="0.0717"/>
          <c:y val="0.175992779783394"/>
          <c:w val="0.905175"/>
          <c:h val="0.692851985559567"/>
        </c:manualLayout>
      </c:layout>
      <c:barChart>
        <c:barDir val="col"/>
        <c:grouping val="clustered"/>
        <c:varyColors val="0"/>
        <c:ser>
          <c:idx val="0"/>
          <c:order val="0"/>
          <c:tx>
            <c:strRef>
              <c:f>[图表3.xlsx]Sheet1!$B$1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[图表3.xlsx]Sheet1!$A$2:$A$3</c:f>
              <c:strCache>
                <c:ptCount val="1"/>
                <c:pt idx="0">
                  <c:v>支出</c:v>
                </c:pt>
              </c:strCache>
            </c:strRef>
          </c:cat>
          <c:val>
            <c:numRef>
              <c:f>[图表3.xlsx]Sheet1!$B$2:$B$3</c:f>
              <c:numCache>
                <c:formatCode>General</c:formatCode>
                <c:ptCount val="1"/>
                <c:pt idx="0">
                  <c:v>121.97</c:v>
                </c:pt>
              </c:numCache>
            </c:numRef>
          </c:val>
        </c:ser>
        <c:ser>
          <c:idx val="1"/>
          <c:order val="1"/>
          <c:tx>
            <c:strRef>
              <c:f>[图表3.xlsx]Sheet1!$C$1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a:t>
                    </a:r>
                    <a:r>
                      <a:t>3.36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[图表3.xlsx]Sheet1!$A$2:$A$3</c:f>
              <c:strCache>
                <c:ptCount val="1"/>
                <c:pt idx="0">
                  <c:v>支出</c:v>
                </c:pt>
              </c:strCache>
            </c:strRef>
          </c:cat>
          <c:val>
            <c:numRef>
              <c:f>[图表3.xlsx]Sheet1!$C$2:$C$3</c:f>
              <c:numCache>
                <c:formatCode>General</c:formatCode>
                <c:ptCount val="1"/>
                <c:pt idx="0">
                  <c:v>133.36</c:v>
                </c:pt>
              </c:numCache>
            </c:numRef>
          </c:val>
        </c:ser>
        <c:dLbls>
          <c:showLegendKey val="0"/>
          <c:showVal val="0"/>
          <c:showCatName val="0"/>
          <c:showSerName val="0"/>
          <c:showPercent val="0"/>
          <c:showBubbleSize val="0"/>
        </c:dLbls>
        <c:gapWidth val="219"/>
        <c:overlap val="-27"/>
        <c:axId val="376079200"/>
        <c:axId val="271776706"/>
      </c:barChart>
      <c:catAx>
        <c:axId val="37607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776706"/>
        <c:crosses val="autoZero"/>
        <c:auto val="1"/>
        <c:lblAlgn val="ctr"/>
        <c:lblOffset val="100"/>
        <c:noMultiLvlLbl val="0"/>
      </c:catAx>
      <c:valAx>
        <c:axId val="2717767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079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[图表3.xlsx]Sheet1!$H$120:$H$124</c:f>
              <c:strCache>
                <c:ptCount val="5"/>
                <c:pt idx="0">
                  <c:v>自然资源海洋气象等支出</c:v>
                </c:pt>
                <c:pt idx="1">
                  <c:v>社会保障和就业支出</c:v>
                </c:pt>
                <c:pt idx="2">
                  <c:v>卫生健康支出</c:v>
                </c:pt>
                <c:pt idx="3">
                  <c:v>住房保障支出</c:v>
                </c:pt>
                <c:pt idx="4">
                  <c:v>灾害防治及应急管理支出</c:v>
                </c:pt>
              </c:strCache>
            </c:strRef>
          </c:cat>
          <c:val>
            <c:numRef>
              <c:f>[图表3.xlsx]Sheet1!$I$120:$I$124</c:f>
              <c:numCache>
                <c:formatCode>0.00%</c:formatCode>
                <c:ptCount val="5"/>
                <c:pt idx="0">
                  <c:v>0.8922</c:v>
                </c:pt>
                <c:pt idx="1">
                  <c:v>0.0395</c:v>
                </c:pt>
                <c:pt idx="2">
                  <c:v>0.0197</c:v>
                </c:pt>
                <c:pt idx="3">
                  <c:v>0.0411</c:v>
                </c:pt>
                <c:pt idx="4">
                  <c:v>0.0698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manualLayout>
          <c:xMode val="edge"/>
          <c:yMode val="edge"/>
          <c:x val="0.236842105263158"/>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541516245487365"/>
                  <c:y val="0.0089312295325989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41.96%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04960556224094"/>
                      <c:h val="0.169894853348091"/>
                    </c:manualLayout>
                  </c15:layout>
                </c:ext>
              </c:extLst>
            </c:dLbl>
            <c:dLbl>
              <c:idx val="1"/>
              <c:layout>
                <c:manualLayout>
                  <c:x val="0.0722021660649823"/>
                  <c:y val="-0.07087402649845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58.04%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09640326246824"/>
                      <c:h val="0.185666851134477"/>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[工作簿3]Sheet1!$B$54:$B$55</c:f>
              <c:strCache>
                <c:ptCount val="2"/>
                <c:pt idx="0">
                  <c:v>公务用车购置及运行维护费支出决算</c:v>
                </c:pt>
                <c:pt idx="1">
                  <c:v>公务接待费支出决算</c:v>
                </c:pt>
              </c:strCache>
            </c:strRef>
          </c:cat>
          <c:val>
            <c:numRef>
              <c:f>[工作簿3]Sheet1!$C$54:$C$55</c:f>
              <c:numCache>
                <c:formatCode>General</c:formatCode>
                <c:ptCount val="2"/>
                <c:pt idx="0">
                  <c:v>0.6</c:v>
                </c:pt>
                <c:pt idx="1">
                  <c:v>0.83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styleClr val="auto"/>
    </cs:effectRef>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10891</Words>
  <Characters>13354</Characters>
  <Lines>0</Lines>
  <Paragraphs>0</Paragraphs>
  <TotalTime>7</TotalTime>
  <ScaleCrop>false</ScaleCrop>
  <LinksUpToDate>false</LinksUpToDate>
  <CharactersWithSpaces>13387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2023-10-20T02:02:00Z</dcterms:created>
  <dc:creator>TongTong</dc:creator>
  <cp:lastModifiedBy>Administrator</cp:lastModifiedBy>
  <dcterms:modified xsi:type="dcterms:W3CDTF">2023-10-26T04:52:36Z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2EC030BD82CD4FD2BB6453FBBA5C1401_13</vt:lpwstr>
  </property>
</Properties>
</file>