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outlineLvl w:val="9"/>
        <w:rPr>
          <w:rFonts w:ascii="方正小标宋简体" w:hAnsi="宋体" w:eastAsia="方正小标宋简体"/>
          <w:color w:val="auto"/>
          <w:sz w:val="21"/>
          <w:szCs w:val="21"/>
          <w:highlight w:val="none"/>
        </w:rPr>
      </w:pPr>
      <w:bookmarkStart w:id="0" w:name="_Toc15306267"/>
    </w:p>
    <w:p>
      <w:pPr>
        <w:spacing w:line="600" w:lineRule="exact"/>
        <w:jc w:val="center"/>
        <w:outlineLvl w:val="9"/>
        <w:rPr>
          <w:rFonts w:ascii="方正小标宋简体" w:hAnsi="宋体" w:eastAsia="方正小标宋简体"/>
          <w:color w:val="auto"/>
          <w:sz w:val="72"/>
          <w:szCs w:val="72"/>
          <w:highlight w:val="none"/>
        </w:rPr>
      </w:pPr>
    </w:p>
    <w:p>
      <w:pPr>
        <w:spacing w:line="600" w:lineRule="exact"/>
        <w:jc w:val="center"/>
        <w:outlineLvl w:val="9"/>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1" w:name="_Toc15377193"/>
      <w:bookmarkStart w:id="2" w:name="_Toc15396597"/>
      <w:bookmarkStart w:id="3" w:name="_Toc15396475"/>
      <w:bookmarkStart w:id="4" w:name="_Toc15377425"/>
      <w:bookmarkStart w:id="5" w:name="_Toc19165"/>
      <w:bookmarkStart w:id="6" w:name="_Toc15378441"/>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22</w:t>
      </w:r>
      <w:r>
        <w:rPr>
          <w:rFonts w:hint="eastAsia" w:ascii="方正小标宋简体" w:hAnsi="方正小标宋简体" w:eastAsia="方正小标宋简体" w:cs="方正小标宋简体"/>
          <w:color w:val="auto"/>
          <w:sz w:val="72"/>
          <w:szCs w:val="72"/>
          <w:highlight w:val="none"/>
        </w:rPr>
        <w:t>年度</w:t>
      </w:r>
      <w:bookmarkEnd w:id="1"/>
      <w:bookmarkEnd w:id="2"/>
      <w:bookmarkEnd w:id="3"/>
      <w:bookmarkEnd w:id="4"/>
      <w:bookmarkEnd w:id="5"/>
      <w:bookmarkEnd w:id="6"/>
    </w:p>
    <w:bookmarkEnd w:id="0"/>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7" w:name="_Toc15396598"/>
      <w:bookmarkStart w:id="8" w:name="_Toc15377194"/>
      <w:bookmarkStart w:id="9" w:name="_Toc15378442"/>
      <w:bookmarkStart w:id="10" w:name="_Toc25105"/>
      <w:bookmarkStart w:id="11" w:name="_Toc15396476"/>
      <w:bookmarkStart w:id="12" w:name="_Toc15377426"/>
      <w:bookmarkStart w:id="13" w:name="_Toc15306268"/>
      <w:r>
        <w:rPr>
          <w:rFonts w:hint="eastAsia" w:ascii="方正小标宋简体" w:hAnsi="方正小标宋简体" w:eastAsia="方正小标宋简体" w:cs="方正小标宋简体"/>
          <w:color w:val="auto"/>
          <w:sz w:val="72"/>
          <w:szCs w:val="72"/>
          <w:highlight w:val="none"/>
          <w:lang w:eastAsia="zh-CN"/>
        </w:rPr>
        <w:t>广元市朝天区应急管理局单位</w:t>
      </w:r>
      <w:r>
        <w:rPr>
          <w:rFonts w:hint="eastAsia" w:ascii="方正小标宋简体" w:hAnsi="方正小标宋简体" w:eastAsia="方正小标宋简体" w:cs="方正小标宋简体"/>
          <w:color w:val="auto"/>
          <w:sz w:val="72"/>
          <w:szCs w:val="72"/>
          <w:highlight w:val="none"/>
        </w:rPr>
        <w:t>决算</w:t>
      </w:r>
      <w:bookmarkEnd w:id="7"/>
      <w:bookmarkEnd w:id="8"/>
      <w:bookmarkEnd w:id="9"/>
      <w:bookmarkEnd w:id="10"/>
      <w:bookmarkEnd w:id="11"/>
      <w:bookmarkEnd w:id="12"/>
      <w:bookmarkEnd w:id="13"/>
    </w:p>
    <w:p>
      <w:pPr>
        <w:adjustRightInd w:val="0"/>
        <w:snapToGrid w:val="0"/>
        <w:spacing w:line="360" w:lineRule="auto"/>
        <w:jc w:val="center"/>
        <w:outlineLvl w:val="0"/>
        <w:rPr>
          <w:rFonts w:ascii="方正小标宋简体" w:hAnsi="宋体" w:eastAsia="方正小标宋简体"/>
          <w:color w:val="auto"/>
          <w:sz w:val="52"/>
          <w:szCs w:val="52"/>
          <w:highlight w:val="none"/>
        </w:rPr>
      </w:pPr>
      <w:bookmarkStart w:id="14" w:name="_Toc31294"/>
      <w:r>
        <w:rPr>
          <w:rFonts w:hint="eastAsia" w:ascii="方正小标宋简体" w:hAnsi="宋体" w:eastAsia="方正小标宋简体"/>
          <w:color w:val="auto"/>
          <w:sz w:val="52"/>
          <w:szCs w:val="52"/>
          <w:highlight w:val="none"/>
        </w:rPr>
        <w:t>(</w:t>
      </w:r>
      <w:r>
        <w:rPr>
          <w:rFonts w:hint="eastAsia" w:ascii="方正小标宋简体" w:hAnsi="宋体" w:eastAsia="方正小标宋简体"/>
          <w:color w:val="auto"/>
          <w:sz w:val="52"/>
          <w:szCs w:val="52"/>
          <w:highlight w:val="none"/>
          <w:lang w:eastAsia="zh-CN"/>
        </w:rPr>
        <w:t>单位公开</w:t>
      </w:r>
      <w:r>
        <w:rPr>
          <w:rFonts w:hint="eastAsia" w:ascii="方正小标宋简体" w:hAnsi="宋体" w:eastAsia="方正小标宋简体"/>
          <w:color w:val="auto"/>
          <w:sz w:val="52"/>
          <w:szCs w:val="52"/>
          <w:highlight w:val="none"/>
        </w:rPr>
        <w:t>)</w:t>
      </w:r>
      <w:bookmarkEnd w:id="14"/>
    </w:p>
    <w:p>
      <w:pPr>
        <w:widowControl/>
        <w:jc w:val="center"/>
        <w:rPr>
          <w:rFonts w:ascii="黑体" w:hAnsi="黑体" w:eastAsia="黑体"/>
          <w:color w:val="auto"/>
          <w:sz w:val="48"/>
          <w:szCs w:val="48"/>
          <w:highlight w:val="none"/>
        </w:rPr>
      </w:pPr>
      <w:r>
        <w:rPr>
          <w:rFonts w:ascii="方正小标宋简体" w:hAnsi="宋体" w:eastAsia="方正小标宋简体"/>
          <w:color w:val="auto"/>
          <w:sz w:val="36"/>
          <w:szCs w:val="36"/>
          <w:highlight w:val="none"/>
        </w:rPr>
        <w:br w:type="page"/>
      </w:r>
      <w:r>
        <w:rPr>
          <w:rFonts w:hint="eastAsia" w:ascii="黑体" w:hAnsi="黑体" w:eastAsia="黑体"/>
          <w:color w:val="auto"/>
          <w:sz w:val="48"/>
          <w:szCs w:val="48"/>
          <w:highlight w:val="none"/>
        </w:rPr>
        <w:t>目录</w:t>
      </w:r>
    </w:p>
    <w:p>
      <w:pPr>
        <w:widowControl/>
        <w:jc w:val="center"/>
        <w:rPr>
          <w:rFonts w:ascii="黑体" w:hAnsi="黑体" w:eastAsia="黑体" w:cstheme="minorBidi"/>
          <w:color w:val="auto"/>
          <w:sz w:val="28"/>
          <w:szCs w:val="28"/>
          <w:highlight w:val="none"/>
        </w:rPr>
      </w:pPr>
    </w:p>
    <w:p>
      <w:pPr>
        <w:pStyle w:val="11"/>
        <w:rPr>
          <w:color w:val="auto"/>
          <w:highlight w:val="none"/>
        </w:rPr>
      </w:pPr>
      <w:r>
        <w:rPr>
          <w:rFonts w:hint="eastAsia"/>
          <w:color w:val="auto"/>
          <w:highlight w:val="none"/>
        </w:rPr>
        <w:t>公开时间：20</w:t>
      </w:r>
      <w:r>
        <w:rPr>
          <w:rFonts w:hint="eastAsia"/>
          <w:color w:val="auto"/>
          <w:highlight w:val="none"/>
          <w:lang w:val="en-US" w:eastAsia="zh-CN"/>
        </w:rPr>
        <w:t>23</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15</w:t>
      </w:r>
      <w:r>
        <w:rPr>
          <w:rFonts w:hint="eastAsia"/>
          <w:color w:val="auto"/>
          <w:highlight w:val="none"/>
        </w:rPr>
        <w:t>日</w:t>
      </w:r>
    </w:p>
    <w:p>
      <w:pPr>
        <w:rPr>
          <w:color w:val="auto"/>
          <w:highlight w:val="none"/>
        </w:rPr>
      </w:pPr>
    </w:p>
    <w:sdt>
      <w:sdtPr>
        <w:rPr>
          <w:rFonts w:ascii="宋体" w:hAnsi="宋体" w:eastAsia="宋体" w:cs="Times New Roman"/>
          <w:kern w:val="2"/>
          <w:sz w:val="21"/>
          <w:szCs w:val="24"/>
          <w:lang w:val="en-US" w:eastAsia="zh-CN" w:bidi="ar-SA"/>
        </w:rPr>
        <w:id w:val="147476415"/>
        <w15:color w:val="DBDBDB"/>
        <w:docPartObj>
          <w:docPartGallery w:val="Table of Contents"/>
          <w:docPartUnique/>
        </w:docPartObj>
      </w:sdtPr>
      <w:sdtEndPr>
        <w:rPr>
          <w:rFonts w:hint="eastAsia" w:ascii="仿宋_GB2312" w:hAnsi="仿宋_GB2312" w:eastAsia="仿宋_GB2312" w:cs="仿宋_GB2312"/>
          <w:b/>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bookmarkStart w:id="15" w:name="_Toc15396599"/>
          <w:bookmarkStart w:id="16" w:name="_Toc15377196"/>
        </w:p>
        <w:p>
          <w:pPr>
            <w:pStyle w:val="38"/>
            <w:tabs>
              <w:tab w:val="right" w:leader="dot" w:pos="8306"/>
            </w:tabs>
            <w:rPr>
              <w:rFonts w:hint="eastAsia" w:ascii="仿宋_GB2312" w:hAnsi="仿宋_GB2312" w:eastAsia="仿宋_GB2312" w:cs="仿宋_GB2312"/>
              <w:b/>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TOC \o "1-2" \h \u </w:instrText>
          </w:r>
          <w:r>
            <w:rPr>
              <w:rFonts w:hint="eastAsia" w:ascii="仿宋_GB2312" w:hAnsi="仿宋_GB2312" w:eastAsia="仿宋_GB2312" w:cs="仿宋_GB2312"/>
            </w:rPr>
            <w:fldChar w:fldCharType="separate"/>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HYPERLINK \l _Toc23819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highlight w:val="none"/>
            </w:rPr>
            <w:t xml:space="preserve">第一部分 </w:t>
          </w:r>
          <w:r>
            <w:rPr>
              <w:rFonts w:hint="eastAsia" w:ascii="仿宋_GB2312" w:hAnsi="仿宋_GB2312" w:eastAsia="仿宋_GB2312" w:cs="仿宋_GB2312"/>
              <w:b/>
              <w:highlight w:val="none"/>
              <w:lang w:eastAsia="zh-CN"/>
            </w:rPr>
            <w:t>单位</w:t>
          </w:r>
          <w:r>
            <w:rPr>
              <w:rFonts w:hint="eastAsia" w:ascii="仿宋_GB2312" w:hAnsi="仿宋_GB2312" w:eastAsia="仿宋_GB2312" w:cs="仿宋_GB2312"/>
              <w:b/>
              <w:bCs w:val="0"/>
              <w:highlight w:val="none"/>
            </w:rPr>
            <w:t>概况</w:t>
          </w:r>
          <w:r>
            <w:rPr>
              <w:rFonts w:hint="eastAsia" w:ascii="仿宋_GB2312" w:hAnsi="仿宋_GB2312" w:eastAsia="仿宋_GB2312" w:cs="仿宋_GB2312"/>
              <w:b/>
            </w:rPr>
            <w:tab/>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PAGEREF _Toc23819 \h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rPr>
            <w:t>1</w:t>
          </w:r>
          <w:r>
            <w:rPr>
              <w:rFonts w:hint="eastAsia" w:ascii="仿宋_GB2312" w:hAnsi="仿宋_GB2312" w:eastAsia="仿宋_GB2312" w:cs="仿宋_GB2312"/>
              <w:b/>
            </w:rPr>
            <w:fldChar w:fldCharType="end"/>
          </w:r>
          <w:r>
            <w:rPr>
              <w:rFonts w:hint="eastAsia" w:ascii="仿宋_GB2312" w:hAnsi="仿宋_GB2312" w:eastAsia="仿宋_GB2312" w:cs="仿宋_GB2312"/>
              <w:b/>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_Toc9369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lang w:eastAsia="zh-CN"/>
            </w:rPr>
            <w:t xml:space="preserve">一、 </w:t>
          </w:r>
          <w:r>
            <w:rPr>
              <w:rFonts w:hint="eastAsia" w:ascii="仿宋_GB2312" w:hAnsi="仿宋_GB2312" w:eastAsia="仿宋_GB2312" w:cs="仿宋_GB2312"/>
              <w:bCs w:val="0"/>
              <w:highlight w:val="none"/>
              <w:lang w:eastAsia="zh-CN"/>
            </w:rPr>
            <w:t>主要职责</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_Toc9369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_Toc26689 </w:instrText>
          </w:r>
          <w:r>
            <w:rPr>
              <w:rFonts w:hint="eastAsia" w:ascii="仿宋_GB2312" w:hAnsi="仿宋_GB2312" w:eastAsia="仿宋_GB2312" w:cs="仿宋_GB2312"/>
            </w:rPr>
            <w:fldChar w:fldCharType="separate"/>
          </w:r>
          <w:r>
            <w:rPr>
              <w:rFonts w:hint="eastAsia" w:ascii="仿宋_GB2312" w:hAnsi="仿宋_GB2312" w:eastAsia="仿宋_GB2312" w:cs="仿宋_GB2312"/>
              <w:highlight w:val="none"/>
              <w:lang w:val="en-US" w:eastAsia="zh-CN"/>
            </w:rPr>
            <w:t>二、机构设置</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_Toc26689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4</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8"/>
            <w:tabs>
              <w:tab w:val="right" w:leader="dot" w:pos="8306"/>
            </w:tabs>
            <w:rPr>
              <w:rFonts w:hint="eastAsia" w:ascii="仿宋_GB2312" w:hAnsi="仿宋_GB2312" w:eastAsia="仿宋_GB2312" w:cs="仿宋_GB2312"/>
              <w:b/>
            </w:rPr>
          </w:pP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HYPERLINK \l _Toc20420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bCs/>
              <w:highlight w:val="none"/>
            </w:rPr>
            <w:t xml:space="preserve">第二部分 </w:t>
          </w:r>
          <w:r>
            <w:rPr>
              <w:rFonts w:hint="eastAsia" w:ascii="仿宋_GB2312" w:hAnsi="仿宋_GB2312" w:eastAsia="仿宋_GB2312" w:cs="仿宋_GB2312"/>
              <w:b/>
              <w:bCs/>
              <w:highlight w:val="none"/>
              <w:lang w:val="en-US" w:eastAsia="zh-CN"/>
            </w:rPr>
            <w:t>2022年度</w:t>
          </w:r>
          <w:r>
            <w:rPr>
              <w:rFonts w:hint="eastAsia" w:ascii="仿宋_GB2312" w:hAnsi="仿宋_GB2312" w:eastAsia="仿宋_GB2312" w:cs="仿宋_GB2312"/>
              <w:b/>
              <w:bCs/>
              <w:highlight w:val="none"/>
              <w:lang w:eastAsia="zh-CN"/>
            </w:rPr>
            <w:t>单位</w:t>
          </w:r>
          <w:r>
            <w:rPr>
              <w:rFonts w:hint="eastAsia" w:ascii="仿宋_GB2312" w:hAnsi="仿宋_GB2312" w:eastAsia="仿宋_GB2312" w:cs="仿宋_GB2312"/>
              <w:b/>
              <w:bCs/>
              <w:highlight w:val="none"/>
            </w:rPr>
            <w:t>决算情况说明</w:t>
          </w:r>
          <w:r>
            <w:rPr>
              <w:rFonts w:hint="eastAsia" w:ascii="仿宋_GB2312" w:hAnsi="仿宋_GB2312" w:eastAsia="仿宋_GB2312" w:cs="仿宋_GB2312"/>
              <w:b/>
            </w:rPr>
            <w:tab/>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PAGEREF _Toc20420 \h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rPr>
            <w:t>5</w:t>
          </w:r>
          <w:r>
            <w:rPr>
              <w:rFonts w:hint="eastAsia" w:ascii="仿宋_GB2312" w:hAnsi="仿宋_GB2312" w:eastAsia="仿宋_GB2312" w:cs="仿宋_GB2312"/>
              <w:b/>
            </w:rPr>
            <w:fldChar w:fldCharType="end"/>
          </w:r>
          <w:r>
            <w:rPr>
              <w:rFonts w:hint="eastAsia" w:ascii="仿宋_GB2312" w:hAnsi="仿宋_GB2312" w:eastAsia="仿宋_GB2312" w:cs="仿宋_GB2312"/>
              <w:b/>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_Toc15738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 xml:space="preserve">一、 </w:t>
          </w:r>
          <w:r>
            <w:rPr>
              <w:rFonts w:hint="eastAsia" w:ascii="仿宋_GB2312" w:hAnsi="仿宋_GB2312" w:eastAsia="仿宋_GB2312" w:cs="仿宋_GB2312"/>
              <w:szCs w:val="32"/>
              <w:highlight w:val="none"/>
            </w:rPr>
            <w:t>收</w:t>
          </w:r>
          <w:r>
            <w:rPr>
              <w:rFonts w:hint="eastAsia" w:ascii="仿宋_GB2312" w:hAnsi="仿宋_GB2312" w:eastAsia="仿宋_GB2312" w:cs="仿宋_GB2312"/>
              <w:highlight w:val="none"/>
            </w:rPr>
            <w:t>入支出决算总体情况说明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_Toc15738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_Toc5259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 xml:space="preserve">二、 </w:t>
          </w:r>
          <w:r>
            <w:rPr>
              <w:rFonts w:hint="eastAsia" w:ascii="仿宋_GB2312" w:hAnsi="仿宋_GB2312" w:eastAsia="仿宋_GB2312" w:cs="仿宋_GB2312"/>
              <w:szCs w:val="32"/>
              <w:highlight w:val="none"/>
            </w:rPr>
            <w:t>收</w:t>
          </w:r>
          <w:r>
            <w:rPr>
              <w:rFonts w:hint="eastAsia" w:ascii="仿宋_GB2312" w:hAnsi="仿宋_GB2312" w:eastAsia="仿宋_GB2312" w:cs="仿宋_GB2312"/>
              <w:highlight w:val="none"/>
            </w:rPr>
            <w:t>入决算情况说明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_Toc5259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_Toc30853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 xml:space="preserve">三、 </w:t>
          </w:r>
          <w:r>
            <w:rPr>
              <w:rFonts w:hint="eastAsia" w:ascii="仿宋_GB2312" w:hAnsi="仿宋_GB2312" w:eastAsia="仿宋_GB2312" w:cs="仿宋_GB2312"/>
              <w:szCs w:val="32"/>
              <w:highlight w:val="none"/>
            </w:rPr>
            <w:t>支</w:t>
          </w:r>
          <w:r>
            <w:rPr>
              <w:rFonts w:hint="eastAsia" w:ascii="仿宋_GB2312" w:hAnsi="仿宋_GB2312" w:eastAsia="仿宋_GB2312" w:cs="仿宋_GB2312"/>
              <w:highlight w:val="none"/>
            </w:rPr>
            <w:t>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_Toc30853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_Toc10103 </w:instrText>
          </w:r>
          <w:r>
            <w:rPr>
              <w:rFonts w:hint="eastAsia" w:ascii="仿宋_GB2312" w:hAnsi="仿宋_GB2312" w:eastAsia="仿宋_GB2312" w:cs="仿宋_GB2312"/>
            </w:rPr>
            <w:fldChar w:fldCharType="separate"/>
          </w:r>
          <w:r>
            <w:rPr>
              <w:rFonts w:hint="eastAsia" w:ascii="仿宋_GB2312" w:hAnsi="仿宋_GB2312" w:eastAsia="仿宋_GB2312" w:cs="仿宋_GB2312"/>
              <w:szCs w:val="32"/>
              <w:highlight w:val="none"/>
            </w:rPr>
            <w:t>四、财</w:t>
          </w:r>
          <w:r>
            <w:rPr>
              <w:rFonts w:hint="eastAsia" w:ascii="仿宋_GB2312" w:hAnsi="仿宋_GB2312" w:eastAsia="仿宋_GB2312" w:cs="仿宋_GB2312"/>
              <w:highlight w:val="none"/>
            </w:rPr>
            <w:t>政拨款收入支出决算总体情况说明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_Toc10103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_Toc13269 </w:instrText>
          </w:r>
          <w:r>
            <w:rPr>
              <w:rFonts w:hint="eastAsia" w:ascii="仿宋_GB2312" w:hAnsi="仿宋_GB2312" w:eastAsia="仿宋_GB2312" w:cs="仿宋_GB2312"/>
            </w:rPr>
            <w:fldChar w:fldCharType="separate"/>
          </w:r>
          <w:r>
            <w:rPr>
              <w:rFonts w:hint="eastAsia" w:ascii="仿宋_GB2312" w:hAnsi="仿宋_GB2312" w:eastAsia="仿宋_GB2312" w:cs="仿宋_GB2312"/>
              <w:szCs w:val="32"/>
              <w:highlight w:val="none"/>
            </w:rPr>
            <w:t>五、一</w:t>
          </w:r>
          <w:r>
            <w:rPr>
              <w:rFonts w:hint="eastAsia" w:ascii="仿宋_GB2312" w:hAnsi="仿宋_GB2312" w:eastAsia="仿宋_GB2312" w:cs="仿宋_GB2312"/>
              <w:highlight w:val="none"/>
            </w:rPr>
            <w:t>般公共预算财政拨款支出决算情况说明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_Toc13269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7</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_Toc11375 </w:instrText>
          </w:r>
          <w:r>
            <w:rPr>
              <w:rFonts w:hint="eastAsia" w:ascii="仿宋_GB2312" w:hAnsi="仿宋_GB2312" w:eastAsia="仿宋_GB2312" w:cs="仿宋_GB2312"/>
            </w:rPr>
            <w:fldChar w:fldCharType="separate"/>
          </w:r>
          <w:r>
            <w:rPr>
              <w:rFonts w:hint="eastAsia" w:ascii="仿宋_GB2312" w:hAnsi="仿宋_GB2312" w:eastAsia="仿宋_GB2312" w:cs="仿宋_GB2312"/>
              <w:szCs w:val="32"/>
              <w:highlight w:val="none"/>
            </w:rPr>
            <w:t>六、一</w:t>
          </w:r>
          <w:r>
            <w:rPr>
              <w:rFonts w:hint="eastAsia" w:ascii="仿宋_GB2312" w:hAnsi="仿宋_GB2312" w:eastAsia="仿宋_GB2312" w:cs="仿宋_GB2312"/>
              <w:highlight w:val="none"/>
            </w:rPr>
            <w:t>般公共预算财政拨款基本支出决算情况说明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_Toc11375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11</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_Toc21584 </w:instrText>
          </w:r>
          <w:r>
            <w:rPr>
              <w:rFonts w:hint="eastAsia" w:ascii="仿宋_GB2312" w:hAnsi="仿宋_GB2312" w:eastAsia="仿宋_GB2312" w:cs="仿宋_GB2312"/>
            </w:rPr>
            <w:fldChar w:fldCharType="separate"/>
          </w:r>
          <w:r>
            <w:rPr>
              <w:rFonts w:hint="eastAsia" w:ascii="仿宋_GB2312" w:hAnsi="仿宋_GB2312" w:eastAsia="仿宋_GB2312" w:cs="仿宋_GB2312"/>
              <w:szCs w:val="32"/>
              <w:highlight w:val="none"/>
            </w:rPr>
            <w:t>七、</w:t>
          </w:r>
          <w:r>
            <w:rPr>
              <w:rFonts w:hint="eastAsia" w:ascii="仿宋_GB2312" w:hAnsi="仿宋_GB2312" w:eastAsia="仿宋_GB2312" w:cs="仿宋_GB2312"/>
              <w:highlight w:val="none"/>
            </w:rPr>
            <w:t>财政拨款“三公”经费支出决算情况说明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_Toc21584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11</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_Toc30004 </w:instrText>
          </w:r>
          <w:r>
            <w:rPr>
              <w:rFonts w:hint="eastAsia" w:ascii="仿宋_GB2312" w:hAnsi="仿宋_GB2312" w:eastAsia="仿宋_GB2312" w:cs="仿宋_GB2312"/>
            </w:rPr>
            <w:fldChar w:fldCharType="separate"/>
          </w:r>
          <w:r>
            <w:rPr>
              <w:rFonts w:hint="eastAsia" w:ascii="仿宋_GB2312" w:hAnsi="仿宋_GB2312" w:eastAsia="仿宋_GB2312" w:cs="仿宋_GB2312"/>
              <w:szCs w:val="32"/>
              <w:highlight w:val="none"/>
            </w:rPr>
            <w:t>八、</w:t>
          </w:r>
          <w:r>
            <w:rPr>
              <w:rFonts w:hint="eastAsia" w:ascii="仿宋_GB2312" w:hAnsi="仿宋_GB2312" w:eastAsia="仿宋_GB2312" w:cs="仿宋_GB2312"/>
              <w:highlight w:val="none"/>
            </w:rPr>
            <w:t>政府性基金预算支出决算情况说明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_Toc30004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13</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_Toc29537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 xml:space="preserve">九、 </w:t>
          </w:r>
          <w:r>
            <w:rPr>
              <w:rFonts w:hint="eastAsia" w:ascii="仿宋_GB2312" w:hAnsi="仿宋_GB2312" w:eastAsia="仿宋_GB2312" w:cs="仿宋_GB2312"/>
              <w:highlight w:val="none"/>
            </w:rPr>
            <w:t>国有资本经营预算支出决算情况说明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_Toc29537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13</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_Toc5887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 xml:space="preserve">十、 </w:t>
          </w:r>
          <w:r>
            <w:rPr>
              <w:rFonts w:hint="eastAsia" w:ascii="仿宋_GB2312" w:hAnsi="仿宋_GB2312" w:eastAsia="仿宋_GB2312" w:cs="仿宋_GB2312"/>
              <w:highlight w:val="none"/>
            </w:rPr>
            <w:t>其他重要事项的情况说明</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_Toc5887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13</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8"/>
            <w:tabs>
              <w:tab w:val="right" w:leader="dot" w:pos="8306"/>
            </w:tabs>
            <w:rPr>
              <w:rFonts w:hint="eastAsia" w:ascii="仿宋_GB2312" w:hAnsi="仿宋_GB2312" w:eastAsia="仿宋_GB2312" w:cs="仿宋_GB2312"/>
              <w:b/>
            </w:rPr>
          </w:pP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HYPERLINK \l _Toc20385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szCs w:val="44"/>
            </w:rPr>
            <w:t xml:space="preserve">第三部分 </w:t>
          </w:r>
          <w:r>
            <w:rPr>
              <w:rFonts w:hint="eastAsia" w:ascii="仿宋_GB2312" w:hAnsi="仿宋_GB2312" w:eastAsia="仿宋_GB2312" w:cs="仿宋_GB2312"/>
              <w:b/>
              <w:szCs w:val="44"/>
              <w:highlight w:val="none"/>
            </w:rPr>
            <w:t>名</w:t>
          </w:r>
          <w:r>
            <w:rPr>
              <w:rFonts w:hint="eastAsia" w:ascii="仿宋_GB2312" w:hAnsi="仿宋_GB2312" w:eastAsia="仿宋_GB2312" w:cs="仿宋_GB2312"/>
              <w:b/>
              <w:highlight w:val="none"/>
            </w:rPr>
            <w:t>词解释</w:t>
          </w:r>
          <w:r>
            <w:rPr>
              <w:rFonts w:hint="eastAsia" w:ascii="仿宋_GB2312" w:hAnsi="仿宋_GB2312" w:eastAsia="仿宋_GB2312" w:cs="仿宋_GB2312"/>
              <w:b/>
            </w:rPr>
            <w:tab/>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PAGEREF _Toc20385 \h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rPr>
            <w:t>15</w:t>
          </w:r>
          <w:r>
            <w:rPr>
              <w:rFonts w:hint="eastAsia" w:ascii="仿宋_GB2312" w:hAnsi="仿宋_GB2312" w:eastAsia="仿宋_GB2312" w:cs="仿宋_GB2312"/>
              <w:b/>
            </w:rPr>
            <w:fldChar w:fldCharType="end"/>
          </w:r>
          <w:r>
            <w:rPr>
              <w:rFonts w:hint="eastAsia" w:ascii="仿宋_GB2312" w:hAnsi="仿宋_GB2312" w:eastAsia="仿宋_GB2312" w:cs="仿宋_GB2312"/>
              <w:b/>
            </w:rPr>
            <w:fldChar w:fldCharType="end"/>
          </w:r>
        </w:p>
        <w:p>
          <w:pPr>
            <w:pStyle w:val="38"/>
            <w:tabs>
              <w:tab w:val="right" w:leader="dot" w:pos="8306"/>
            </w:tabs>
            <w:rPr>
              <w:rFonts w:hint="eastAsia" w:ascii="仿宋_GB2312" w:hAnsi="仿宋_GB2312" w:eastAsia="仿宋_GB2312" w:cs="仿宋_GB2312"/>
              <w:b/>
            </w:rPr>
          </w:pP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HYPERLINK \l _Toc378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szCs w:val="44"/>
              <w:highlight w:val="none"/>
            </w:rPr>
            <w:t>第</w:t>
          </w:r>
          <w:r>
            <w:rPr>
              <w:rFonts w:hint="eastAsia" w:ascii="仿宋_GB2312" w:hAnsi="仿宋_GB2312" w:eastAsia="仿宋_GB2312" w:cs="仿宋_GB2312"/>
              <w:b/>
              <w:highlight w:val="none"/>
            </w:rPr>
            <w:t>四部分 附件</w:t>
          </w:r>
          <w:r>
            <w:rPr>
              <w:rFonts w:hint="eastAsia" w:ascii="仿宋_GB2312" w:hAnsi="仿宋_GB2312" w:eastAsia="仿宋_GB2312" w:cs="仿宋_GB2312"/>
              <w:b/>
            </w:rPr>
            <w:tab/>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PAGEREF _Toc378 \h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rPr>
            <w:t>20</w:t>
          </w:r>
          <w:r>
            <w:rPr>
              <w:rFonts w:hint="eastAsia" w:ascii="仿宋_GB2312" w:hAnsi="仿宋_GB2312" w:eastAsia="仿宋_GB2312" w:cs="仿宋_GB2312"/>
              <w:b/>
            </w:rPr>
            <w:fldChar w:fldCharType="end"/>
          </w:r>
          <w:r>
            <w:rPr>
              <w:rFonts w:hint="eastAsia" w:ascii="仿宋_GB2312" w:hAnsi="仿宋_GB2312" w:eastAsia="仿宋_GB2312" w:cs="仿宋_GB2312"/>
              <w:b/>
            </w:rPr>
            <w:fldChar w:fldCharType="end"/>
          </w:r>
        </w:p>
        <w:p>
          <w:pPr>
            <w:pStyle w:val="39"/>
            <w:tabs>
              <w:tab w:val="right" w:leader="dot" w:pos="8306"/>
            </w:tabs>
            <w:rPr>
              <w:rFonts w:hint="eastAsia" w:ascii="仿宋_GB2312" w:hAnsi="仿宋_GB2312" w:eastAsia="仿宋_GB2312" w:cs="仿宋_GB2312"/>
              <w:sz w:val="28"/>
              <w:szCs w:val="28"/>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_Toc17961 </w:instrText>
          </w:r>
          <w:r>
            <w:rPr>
              <w:rFonts w:hint="eastAsia" w:ascii="仿宋_GB2312" w:hAnsi="仿宋_GB2312" w:eastAsia="仿宋_GB2312" w:cs="仿宋_GB2312"/>
            </w:rPr>
            <w:fldChar w:fldCharType="separate"/>
          </w:r>
          <w:r>
            <w:rPr>
              <w:rFonts w:hint="eastAsia" w:ascii="仿宋_GB2312" w:hAnsi="仿宋_GB2312" w:eastAsia="仿宋_GB2312" w:cs="仿宋_GB2312"/>
              <w:kern w:val="0"/>
              <w:szCs w:val="32"/>
              <w:highlight w:val="none"/>
              <w:lang w:val="en-US" w:eastAsia="zh-CN" w:bidi="ar-SA"/>
            </w:rPr>
            <w:t>部门预算项目支出绩效自评表（2022年度）</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_Toc17961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20</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8"/>
            <w:tabs>
              <w:tab w:val="right" w:leader="dot" w:pos="8306"/>
            </w:tabs>
            <w:rPr>
              <w:rFonts w:hint="eastAsia" w:ascii="仿宋_GB2312" w:hAnsi="仿宋_GB2312" w:eastAsia="仿宋_GB2312" w:cs="仿宋_GB2312"/>
              <w:b/>
            </w:rPr>
          </w:pP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HYPERLINK \l _Toc24861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szCs w:val="44"/>
              <w:highlight w:val="none"/>
            </w:rPr>
            <w:t>第</w:t>
          </w:r>
          <w:r>
            <w:rPr>
              <w:rFonts w:hint="eastAsia" w:ascii="仿宋_GB2312" w:hAnsi="仿宋_GB2312" w:eastAsia="仿宋_GB2312" w:cs="仿宋_GB2312"/>
              <w:b/>
              <w:highlight w:val="none"/>
            </w:rPr>
            <w:t>五部分 附表</w:t>
          </w:r>
          <w:r>
            <w:rPr>
              <w:rFonts w:hint="eastAsia" w:ascii="仿宋_GB2312" w:hAnsi="仿宋_GB2312" w:eastAsia="仿宋_GB2312" w:cs="仿宋_GB2312"/>
              <w:b/>
            </w:rPr>
            <w:tab/>
          </w:r>
          <w:r>
            <w:rPr>
              <w:rFonts w:hint="eastAsia" w:ascii="仿宋_GB2312" w:hAnsi="仿宋_GB2312" w:eastAsia="仿宋_GB2312" w:cs="仿宋_GB2312"/>
              <w:b/>
            </w:rPr>
            <w:fldChar w:fldCharType="begin"/>
          </w:r>
          <w:r>
            <w:rPr>
              <w:rFonts w:hint="eastAsia" w:ascii="仿宋_GB2312" w:hAnsi="仿宋_GB2312" w:eastAsia="仿宋_GB2312" w:cs="仿宋_GB2312"/>
              <w:b/>
            </w:rPr>
            <w:instrText xml:space="preserve"> PAGEREF _Toc24861 \h </w:instrText>
          </w:r>
          <w:r>
            <w:rPr>
              <w:rFonts w:hint="eastAsia" w:ascii="仿宋_GB2312" w:hAnsi="仿宋_GB2312" w:eastAsia="仿宋_GB2312" w:cs="仿宋_GB2312"/>
              <w:b/>
            </w:rPr>
            <w:fldChar w:fldCharType="separate"/>
          </w:r>
          <w:r>
            <w:rPr>
              <w:rFonts w:hint="eastAsia" w:ascii="仿宋_GB2312" w:hAnsi="仿宋_GB2312" w:eastAsia="仿宋_GB2312" w:cs="仿宋_GB2312"/>
              <w:b/>
            </w:rPr>
            <w:t>56</w:t>
          </w:r>
          <w:r>
            <w:rPr>
              <w:rFonts w:hint="eastAsia" w:ascii="仿宋_GB2312" w:hAnsi="仿宋_GB2312" w:eastAsia="仿宋_GB2312" w:cs="仿宋_GB2312"/>
              <w:b/>
            </w:rPr>
            <w:fldChar w:fldCharType="end"/>
          </w:r>
          <w:r>
            <w:rPr>
              <w:rFonts w:hint="eastAsia" w:ascii="仿宋_GB2312" w:hAnsi="仿宋_GB2312" w:eastAsia="仿宋_GB2312" w:cs="仿宋_GB2312"/>
              <w:b/>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_Toc11819 </w:instrText>
          </w:r>
          <w:r>
            <w:rPr>
              <w:rFonts w:hint="eastAsia" w:ascii="仿宋_GB2312" w:hAnsi="仿宋_GB2312" w:eastAsia="仿宋_GB2312" w:cs="仿宋_GB2312"/>
            </w:rPr>
            <w:fldChar w:fldCharType="separate"/>
          </w:r>
          <w:r>
            <w:rPr>
              <w:rFonts w:hint="eastAsia" w:ascii="仿宋_GB2312" w:hAnsi="仿宋_GB2312" w:eastAsia="仿宋_GB2312" w:cs="仿宋_GB2312"/>
              <w:highlight w:val="none"/>
            </w:rPr>
            <w:t>一、收</w:t>
          </w:r>
          <w:r>
            <w:rPr>
              <w:rFonts w:hint="eastAsia" w:ascii="仿宋_GB2312" w:hAnsi="仿宋_GB2312" w:eastAsia="仿宋_GB2312" w:cs="仿宋_GB2312"/>
              <w:bCs w:val="0"/>
              <w:highlight w:val="none"/>
            </w:rPr>
            <w:t>入支出决算总表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_Toc11819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_Toc8815 </w:instrText>
          </w:r>
          <w:r>
            <w:rPr>
              <w:rFonts w:hint="eastAsia" w:ascii="仿宋_GB2312" w:hAnsi="仿宋_GB2312" w:eastAsia="仿宋_GB2312" w:cs="仿宋_GB2312"/>
            </w:rPr>
            <w:fldChar w:fldCharType="separate"/>
          </w:r>
          <w:r>
            <w:rPr>
              <w:rFonts w:hint="eastAsia" w:ascii="仿宋_GB2312" w:hAnsi="仿宋_GB2312" w:eastAsia="仿宋_GB2312" w:cs="仿宋_GB2312"/>
              <w:highlight w:val="none"/>
            </w:rPr>
            <w:t>二、收</w:t>
          </w:r>
          <w:r>
            <w:rPr>
              <w:rFonts w:hint="eastAsia" w:ascii="仿宋_GB2312" w:hAnsi="仿宋_GB2312" w:eastAsia="仿宋_GB2312" w:cs="仿宋_GB2312"/>
              <w:bCs w:val="0"/>
              <w:highlight w:val="none"/>
            </w:rPr>
            <w:t>入决算表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_Toc8815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_Toc21452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三、</w:t>
          </w:r>
          <w:r>
            <w:rPr>
              <w:rFonts w:hint="eastAsia" w:ascii="仿宋_GB2312" w:hAnsi="仿宋_GB2312" w:eastAsia="仿宋_GB2312" w:cs="仿宋_GB2312"/>
              <w:highlight w:val="none"/>
            </w:rPr>
            <w:t>支</w:t>
          </w:r>
          <w:r>
            <w:rPr>
              <w:rFonts w:hint="eastAsia" w:ascii="仿宋_GB2312" w:hAnsi="仿宋_GB2312" w:eastAsia="仿宋_GB2312" w:cs="仿宋_GB2312"/>
              <w:bCs w:val="0"/>
              <w:highlight w:val="none"/>
            </w:rPr>
            <w:t>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_Toc21452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_Toc29677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四、</w:t>
          </w:r>
          <w:r>
            <w:rPr>
              <w:rFonts w:hint="eastAsia" w:ascii="仿宋_GB2312" w:hAnsi="仿宋_GB2312" w:eastAsia="仿宋_GB2312" w:cs="仿宋_GB2312"/>
              <w:highlight w:val="none"/>
            </w:rPr>
            <w:t>财</w:t>
          </w:r>
          <w:r>
            <w:rPr>
              <w:rFonts w:hint="eastAsia" w:ascii="仿宋_GB2312" w:hAnsi="仿宋_GB2312" w:eastAsia="仿宋_GB2312" w:cs="仿宋_GB2312"/>
              <w:bCs w:val="0"/>
              <w:highlight w:val="none"/>
            </w:rPr>
            <w:t>政拨款收入支出决算总表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_Toc29677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_Toc6863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五、</w:t>
          </w:r>
          <w:r>
            <w:rPr>
              <w:rFonts w:hint="eastAsia" w:ascii="仿宋_GB2312" w:hAnsi="仿宋_GB2312" w:eastAsia="仿宋_GB2312" w:cs="仿宋_GB2312"/>
              <w:highlight w:val="none"/>
            </w:rPr>
            <w:t>财</w:t>
          </w:r>
          <w:r>
            <w:rPr>
              <w:rFonts w:hint="eastAsia" w:ascii="仿宋_GB2312" w:hAnsi="仿宋_GB2312" w:eastAsia="仿宋_GB2312" w:cs="仿宋_GB2312"/>
              <w:bCs w:val="0"/>
              <w:highlight w:val="none"/>
            </w:rPr>
            <w:t>政拨款支出决算明细表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_Toc6863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_Toc25731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六、</w:t>
          </w:r>
          <w:r>
            <w:rPr>
              <w:rFonts w:hint="eastAsia" w:ascii="仿宋_GB2312" w:hAnsi="仿宋_GB2312" w:eastAsia="仿宋_GB2312" w:cs="仿宋_GB2312"/>
              <w:highlight w:val="none"/>
            </w:rPr>
            <w:t>一</w:t>
          </w:r>
          <w:r>
            <w:rPr>
              <w:rFonts w:hint="eastAsia" w:ascii="仿宋_GB2312" w:hAnsi="仿宋_GB2312" w:eastAsia="仿宋_GB2312" w:cs="仿宋_GB2312"/>
              <w:bCs w:val="0"/>
              <w:highlight w:val="none"/>
            </w:rPr>
            <w:t>般公共预算财政拨款支出决算表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_Toc25731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_Toc4042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七、</w:t>
          </w:r>
          <w:r>
            <w:rPr>
              <w:rFonts w:hint="eastAsia" w:ascii="仿宋_GB2312" w:hAnsi="仿宋_GB2312" w:eastAsia="仿宋_GB2312" w:cs="仿宋_GB2312"/>
              <w:highlight w:val="none"/>
            </w:rPr>
            <w:t>一</w:t>
          </w:r>
          <w:r>
            <w:rPr>
              <w:rFonts w:hint="eastAsia" w:ascii="仿宋_GB2312" w:hAnsi="仿宋_GB2312" w:eastAsia="仿宋_GB2312" w:cs="仿宋_GB2312"/>
              <w:bCs w:val="0"/>
              <w:highlight w:val="none"/>
            </w:rPr>
            <w:t>般公共预算财政拨款支出决算明细表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_Toc4042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_Toc27263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八、</w:t>
          </w:r>
          <w:r>
            <w:rPr>
              <w:rFonts w:hint="eastAsia" w:ascii="仿宋_GB2312" w:hAnsi="仿宋_GB2312" w:eastAsia="仿宋_GB2312" w:cs="仿宋_GB2312"/>
              <w:highlight w:val="none"/>
            </w:rPr>
            <w:t>一</w:t>
          </w:r>
          <w:r>
            <w:rPr>
              <w:rFonts w:hint="eastAsia" w:ascii="仿宋_GB2312" w:hAnsi="仿宋_GB2312" w:eastAsia="仿宋_GB2312" w:cs="仿宋_GB2312"/>
              <w:bCs w:val="0"/>
              <w:highlight w:val="none"/>
            </w:rPr>
            <w:t>般公共预算财政拨款基本支出决算表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_Toc27263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_Toc9135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九、</w:t>
          </w:r>
          <w:r>
            <w:rPr>
              <w:rFonts w:hint="eastAsia" w:ascii="仿宋_GB2312" w:hAnsi="仿宋_GB2312" w:eastAsia="仿宋_GB2312" w:cs="仿宋_GB2312"/>
              <w:highlight w:val="none"/>
            </w:rPr>
            <w:t>一</w:t>
          </w:r>
          <w:r>
            <w:rPr>
              <w:rFonts w:hint="eastAsia" w:ascii="仿宋_GB2312" w:hAnsi="仿宋_GB2312" w:eastAsia="仿宋_GB2312" w:cs="仿宋_GB2312"/>
              <w:bCs w:val="0"/>
              <w:highlight w:val="none"/>
            </w:rPr>
            <w:t>般公共预算财政拨款项目支出决算表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_Toc9135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_Toc16226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十、</w:t>
          </w:r>
          <w:r>
            <w:rPr>
              <w:rFonts w:hint="eastAsia" w:ascii="仿宋_GB2312" w:hAnsi="仿宋_GB2312" w:eastAsia="仿宋_GB2312" w:cs="仿宋_GB2312"/>
              <w:highlight w:val="none"/>
            </w:rPr>
            <w:t>政</w:t>
          </w:r>
          <w:r>
            <w:rPr>
              <w:rFonts w:hint="eastAsia" w:ascii="仿宋_GB2312" w:hAnsi="仿宋_GB2312" w:eastAsia="仿宋_GB2312" w:cs="仿宋_GB2312"/>
              <w:bCs w:val="0"/>
              <w:highlight w:val="none"/>
            </w:rPr>
            <w:t>府性基金预算财政拨款收入支出决算表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_Toc16226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_Toc27888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十一、</w:t>
          </w:r>
          <w:r>
            <w:rPr>
              <w:rFonts w:hint="eastAsia" w:ascii="仿宋_GB2312" w:hAnsi="仿宋_GB2312" w:eastAsia="仿宋_GB2312" w:cs="仿宋_GB2312"/>
              <w:highlight w:val="none"/>
            </w:rPr>
            <w:t>国</w:t>
          </w:r>
          <w:r>
            <w:rPr>
              <w:rFonts w:hint="eastAsia" w:ascii="仿宋_GB2312" w:hAnsi="仿宋_GB2312" w:eastAsia="仿宋_GB2312" w:cs="仿宋_GB2312"/>
              <w:bCs w:val="0"/>
              <w:highlight w:val="none"/>
            </w:rPr>
            <w:t>有资本经营预算</w:t>
          </w:r>
          <w:r>
            <w:rPr>
              <w:rFonts w:hint="eastAsia" w:ascii="仿宋_GB2312" w:hAnsi="仿宋_GB2312" w:eastAsia="仿宋_GB2312" w:cs="仿宋_GB2312"/>
              <w:bCs w:val="0"/>
              <w:highlight w:val="none"/>
              <w:lang w:eastAsia="zh-CN"/>
            </w:rPr>
            <w:t>财政拨款收入</w:t>
          </w:r>
          <w:r>
            <w:rPr>
              <w:rFonts w:hint="eastAsia" w:ascii="仿宋_GB2312" w:hAnsi="仿宋_GB2312" w:eastAsia="仿宋_GB2312" w:cs="仿宋_GB2312"/>
              <w:bCs w:val="0"/>
              <w:highlight w:val="none"/>
            </w:rPr>
            <w:t>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_Toc27888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_Toc7937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十二、</w:t>
          </w:r>
          <w:r>
            <w:rPr>
              <w:rFonts w:hint="eastAsia" w:ascii="仿宋_GB2312" w:hAnsi="仿宋_GB2312" w:eastAsia="仿宋_GB2312" w:cs="仿宋_GB2312"/>
              <w:bCs w:val="0"/>
              <w:highlight w:val="none"/>
              <w:lang w:eastAsia="zh-CN"/>
            </w:rPr>
            <w:t>国有资本经营预算财政拨款支出决算表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_Toc7937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pStyle w:val="39"/>
            <w:tabs>
              <w:tab w:val="right" w:leader="dot" w:pos="8306"/>
            </w:tabs>
            <w:rPr>
              <w:rFonts w:hint="eastAsia" w:ascii="仿宋_GB2312" w:hAnsi="仿宋_GB2312" w:eastAsia="仿宋_GB2312" w:cs="仿宋_GB2312"/>
            </w:rP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_Toc25233 </w:instrText>
          </w:r>
          <w:r>
            <w:rPr>
              <w:rFonts w:hint="eastAsia" w:ascii="仿宋_GB2312" w:hAnsi="仿宋_GB2312" w:eastAsia="仿宋_GB2312" w:cs="仿宋_GB2312"/>
            </w:rPr>
            <w:fldChar w:fldCharType="separate"/>
          </w:r>
          <w:r>
            <w:rPr>
              <w:rFonts w:hint="eastAsia" w:ascii="仿宋_GB2312" w:hAnsi="仿宋_GB2312" w:eastAsia="仿宋_GB2312" w:cs="仿宋_GB2312"/>
              <w:bCs w:val="0"/>
              <w:highlight w:val="none"/>
            </w:rPr>
            <w:t>十三、</w:t>
          </w:r>
          <w:r>
            <w:rPr>
              <w:rFonts w:hint="eastAsia" w:ascii="仿宋_GB2312" w:hAnsi="仿宋_GB2312" w:eastAsia="仿宋_GB2312" w:cs="仿宋_GB2312"/>
              <w:bCs w:val="0"/>
              <w:highlight w:val="none"/>
              <w:lang w:eastAsia="zh-CN"/>
            </w:rPr>
            <w:t>财政拨款“三公”经费支出决算表</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_Toc25233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56</w:t>
          </w:r>
          <w:r>
            <w:rPr>
              <w:rFonts w:hint="eastAsia" w:ascii="仿宋_GB2312" w:hAnsi="仿宋_GB2312" w:eastAsia="仿宋_GB2312" w:cs="仿宋_GB2312"/>
            </w:rPr>
            <w:fldChar w:fldCharType="end"/>
          </w:r>
          <w:r>
            <w:rPr>
              <w:rFonts w:hint="eastAsia" w:ascii="仿宋_GB2312" w:hAnsi="仿宋_GB2312" w:eastAsia="仿宋_GB2312" w:cs="仿宋_GB2312"/>
            </w:rPr>
            <w:fldChar w:fldCharType="end"/>
          </w:r>
        </w:p>
        <w:p>
          <w:pPr>
            <w:rPr>
              <w:rFonts w:hint="eastAsia" w:ascii="仿宋_GB2312" w:hAnsi="仿宋_GB2312" w:eastAsia="仿宋_GB2312" w:cs="仿宋_GB2312"/>
            </w:rPr>
          </w:pPr>
          <w:r>
            <w:rPr>
              <w:rFonts w:hint="eastAsia" w:ascii="仿宋_GB2312" w:hAnsi="仿宋_GB2312" w:eastAsia="仿宋_GB2312" w:cs="仿宋_GB2312"/>
              <w:b/>
            </w:rPr>
            <w:fldChar w:fldCharType="end"/>
          </w:r>
        </w:p>
      </w:sdtContent>
    </w:sdt>
    <w:p>
      <w:pPr>
        <w:pStyle w:val="3"/>
        <w:jc w:val="center"/>
        <w:rPr>
          <w:rFonts w:hint="eastAsia" w:ascii="仿宋_GB2312" w:hAnsi="仿宋_GB2312" w:eastAsia="仿宋_GB2312" w:cs="仿宋_GB2312"/>
          <w:b w:val="0"/>
          <w:color w:val="auto"/>
          <w:highlight w:val="none"/>
        </w:rPr>
        <w:sectPr>
          <w:headerReference r:id="rId4" w:type="first"/>
          <w:footerReference r:id="rId6" w:type="first"/>
          <w:headerReference r:id="rId3" w:type="default"/>
          <w:footerReference r:id="rId5" w:type="default"/>
          <w:pgSz w:w="11906" w:h="16838"/>
          <w:pgMar w:top="1440" w:right="1800" w:bottom="1440" w:left="1800" w:header="851" w:footer="992" w:gutter="0"/>
          <w:pgNumType w:start="1"/>
          <w:cols w:space="425" w:num="1"/>
          <w:titlePg/>
          <w:docGrid w:type="lines" w:linePitch="312" w:charSpace="0"/>
        </w:sectPr>
      </w:pPr>
      <w:bookmarkStart w:id="17" w:name="_Toc23819"/>
    </w:p>
    <w:p>
      <w:pPr>
        <w:pStyle w:val="3"/>
        <w:jc w:val="center"/>
        <w:rPr>
          <w:rStyle w:val="25"/>
          <w:rFonts w:ascii="黑体" w:hAnsi="黑体" w:eastAsia="黑体"/>
          <w:b/>
          <w:bCs w:val="0"/>
          <w:color w:val="auto"/>
          <w:highlight w:val="none"/>
        </w:rPr>
      </w:pPr>
      <w:r>
        <w:rPr>
          <w:rFonts w:hint="eastAsia" w:ascii="黑体" w:hAnsi="黑体" w:eastAsia="黑体"/>
          <w:b w:val="0"/>
          <w:color w:val="auto"/>
          <w:highlight w:val="none"/>
        </w:rPr>
        <w:t xml:space="preserve">第一部分 </w:t>
      </w:r>
      <w:r>
        <w:rPr>
          <w:rFonts w:hint="eastAsia" w:ascii="黑体" w:hAnsi="黑体" w:eastAsia="黑体"/>
          <w:b w:val="0"/>
          <w:color w:val="auto"/>
          <w:highlight w:val="none"/>
          <w:lang w:eastAsia="zh-CN"/>
        </w:rPr>
        <w:t>单位</w:t>
      </w:r>
      <w:r>
        <w:rPr>
          <w:rStyle w:val="25"/>
          <w:rFonts w:hint="eastAsia" w:ascii="黑体" w:hAnsi="黑体" w:eastAsia="黑体"/>
          <w:b w:val="0"/>
          <w:bCs w:val="0"/>
          <w:color w:val="auto"/>
          <w:highlight w:val="none"/>
        </w:rPr>
        <w:t>概况</w:t>
      </w:r>
      <w:bookmarkEnd w:id="15"/>
      <w:bookmarkEnd w:id="16"/>
      <w:bookmarkEnd w:id="17"/>
    </w:p>
    <w:p>
      <w:pPr>
        <w:widowControl/>
        <w:jc w:val="left"/>
        <w:rPr>
          <w:rFonts w:ascii="黑体" w:eastAsia="黑体"/>
          <w:color w:val="auto"/>
          <w:sz w:val="32"/>
          <w:szCs w:val="32"/>
          <w:highlight w:val="none"/>
        </w:rPr>
      </w:pPr>
    </w:p>
    <w:p>
      <w:pPr>
        <w:pStyle w:val="4"/>
        <w:numPr>
          <w:ilvl w:val="0"/>
          <w:numId w:val="1"/>
        </w:numPr>
        <w:rPr>
          <w:rStyle w:val="26"/>
          <w:rFonts w:hint="eastAsia" w:ascii="黑体" w:hAnsi="黑体" w:eastAsia="黑体"/>
          <w:b w:val="0"/>
          <w:bCs w:val="0"/>
          <w:color w:val="auto"/>
          <w:highlight w:val="none"/>
          <w:lang w:eastAsia="zh-CN"/>
        </w:rPr>
      </w:pPr>
      <w:bookmarkStart w:id="18" w:name="_Toc9369"/>
      <w:bookmarkStart w:id="19" w:name="_Toc15377197"/>
      <w:bookmarkStart w:id="20" w:name="_Toc15396600"/>
      <w:r>
        <w:rPr>
          <w:rStyle w:val="26"/>
          <w:rFonts w:hint="eastAsia" w:ascii="黑体" w:hAnsi="黑体" w:eastAsia="黑体"/>
          <w:b w:val="0"/>
          <w:bCs w:val="0"/>
          <w:color w:val="auto"/>
          <w:highlight w:val="none"/>
          <w:lang w:eastAsia="zh-CN"/>
        </w:rPr>
        <w:t>主要职责</w:t>
      </w:r>
      <w:bookmarkEnd w:id="18"/>
    </w:p>
    <w:p>
      <w:pPr>
        <w:pStyle w:val="31"/>
        <w:spacing w:line="576" w:lineRule="exact"/>
        <w:ind w:firstLine="640"/>
        <w:rPr>
          <w:rFonts w:ascii="仿宋_GB2312"/>
          <w:kern w:val="2"/>
          <w:szCs w:val="32"/>
        </w:rPr>
      </w:pPr>
      <w:r>
        <w:rPr>
          <w:rFonts w:hint="eastAsia" w:ascii="仿宋_GB2312" w:hAnsi="仿宋_GB2312"/>
          <w:kern w:val="2"/>
          <w:szCs w:val="32"/>
        </w:rPr>
        <w:t>（一）负责应急管理工作，组织和指导朝天区境内各乡镇、区级各部门应对安全生产类、自然灾害类等突发事件和综合防灾减灾救灾工作。负责安全生产综合监督管理和工矿商贸、煤炭行业安全生产监督管理工作。</w:t>
      </w:r>
    </w:p>
    <w:p>
      <w:pPr>
        <w:pStyle w:val="31"/>
        <w:spacing w:line="576" w:lineRule="exact"/>
        <w:ind w:firstLine="640"/>
        <w:rPr>
          <w:rFonts w:ascii="仿宋_GB2312"/>
          <w:kern w:val="2"/>
          <w:szCs w:val="32"/>
        </w:rPr>
      </w:pPr>
      <w:r>
        <w:rPr>
          <w:rFonts w:hint="eastAsia" w:ascii="仿宋_GB2312" w:hAnsi="仿宋_GB2312"/>
          <w:kern w:val="2"/>
          <w:szCs w:val="32"/>
        </w:rPr>
        <w:t>（二）拟订全区应急管理、安全生产等政策措施，组织编制应急体系建设、安全生产和综合防灾减灾规划，组织起草全区安全生产规范性文件。</w:t>
      </w:r>
    </w:p>
    <w:p>
      <w:pPr>
        <w:pStyle w:val="31"/>
        <w:spacing w:line="576" w:lineRule="exact"/>
        <w:ind w:firstLine="640"/>
        <w:rPr>
          <w:rFonts w:ascii="仿宋_GB2312"/>
          <w:kern w:val="2"/>
          <w:szCs w:val="32"/>
        </w:rPr>
      </w:pPr>
      <w:r>
        <w:rPr>
          <w:rFonts w:hint="eastAsia" w:ascii="仿宋_GB2312" w:hAnsi="仿宋_GB2312"/>
          <w:kern w:val="2"/>
          <w:szCs w:val="32"/>
        </w:rPr>
        <w:t>（三）负责组织、指导全区应急预案体系建设，建立完善事故灾难和自然灾害分级应对制度，牵头组织编制综合应急防灾减灾预案和安全生产类、自然灾害类专项预案，负责应急预案衔接工作，组织开展预案演练并落实，推动应急避难设施建设。</w:t>
      </w:r>
    </w:p>
    <w:p>
      <w:pPr>
        <w:pStyle w:val="31"/>
        <w:spacing w:line="576" w:lineRule="exact"/>
        <w:ind w:firstLine="640"/>
        <w:rPr>
          <w:rFonts w:ascii="仿宋_GB2312"/>
          <w:kern w:val="2"/>
          <w:szCs w:val="32"/>
        </w:rPr>
      </w:pPr>
      <w:r>
        <w:rPr>
          <w:rFonts w:hint="eastAsia" w:ascii="仿宋_GB2312" w:hAnsi="仿宋_GB2312"/>
          <w:kern w:val="2"/>
          <w:szCs w:val="32"/>
        </w:rPr>
        <w:t>（四）牵头建立统一的应急管理信息系统，负责信息传输渠道的规划和布局，建立监测预警和灾情报告制度，健全自然灾害信息资源获取和共享机制，依法统一发布灾情。</w:t>
      </w:r>
    </w:p>
    <w:p>
      <w:pPr>
        <w:pStyle w:val="31"/>
        <w:spacing w:line="576" w:lineRule="exact"/>
        <w:ind w:firstLine="640"/>
        <w:rPr>
          <w:rFonts w:ascii="仿宋_GB2312"/>
          <w:kern w:val="2"/>
          <w:szCs w:val="32"/>
        </w:rPr>
      </w:pPr>
      <w:r>
        <w:rPr>
          <w:rFonts w:hint="eastAsia" w:ascii="仿宋_GB2312" w:hAnsi="仿宋_GB2312"/>
          <w:kern w:val="2"/>
          <w:szCs w:val="32"/>
        </w:rPr>
        <w:t>（五）负责组织、指导、协调安全生产类、自然灾害类等突发事件应急救援，承担全区应对较大及以上灾害指挥部工作，综合研判突发事件发展态势并提出应对建议，负责组织</w:t>
      </w:r>
      <w:r>
        <w:rPr>
          <w:rFonts w:hint="eastAsia" w:ascii="仿宋_GB2312" w:hAnsi="仿宋_GB2312"/>
          <w:kern w:val="2"/>
          <w:szCs w:val="32"/>
          <w:lang w:eastAsia="zh-CN"/>
        </w:rPr>
        <w:t>较大</w:t>
      </w:r>
      <w:r>
        <w:rPr>
          <w:rFonts w:hint="eastAsia" w:ascii="仿宋_GB2312" w:hAnsi="仿宋_GB2312"/>
          <w:kern w:val="2"/>
          <w:szCs w:val="32"/>
        </w:rPr>
        <w:t>及以上灾害应急处置工作。</w:t>
      </w:r>
    </w:p>
    <w:p>
      <w:pPr>
        <w:pStyle w:val="31"/>
        <w:spacing w:line="576" w:lineRule="exact"/>
        <w:ind w:firstLine="640"/>
        <w:rPr>
          <w:rFonts w:ascii="仿宋_GB2312"/>
          <w:kern w:val="2"/>
          <w:szCs w:val="32"/>
        </w:rPr>
      </w:pPr>
      <w:r>
        <w:rPr>
          <w:rFonts w:hint="eastAsia" w:ascii="仿宋_GB2312" w:hAnsi="仿宋_GB2312"/>
          <w:kern w:val="2"/>
          <w:szCs w:val="32"/>
        </w:rPr>
        <w:t>（六）统一协调指挥各类应急专业队伍，建立应急协调联动机制，推进指挥平台对接，提请衔接解放军和武警部队参与应急救援工作。</w:t>
      </w:r>
    </w:p>
    <w:p>
      <w:pPr>
        <w:pStyle w:val="31"/>
        <w:spacing w:line="576" w:lineRule="exact"/>
        <w:ind w:firstLine="640"/>
        <w:rPr>
          <w:rFonts w:ascii="仿宋_GB2312"/>
          <w:kern w:val="2"/>
          <w:szCs w:val="32"/>
        </w:rPr>
      </w:pPr>
      <w:r>
        <w:rPr>
          <w:rFonts w:hint="eastAsia" w:ascii="仿宋_GB2312" w:hAnsi="仿宋_GB2312"/>
          <w:kern w:val="2"/>
          <w:szCs w:val="32"/>
        </w:rPr>
        <w:t>（七）按照国家、省、市相关政策和规定负责消防、森林火灾扑救、抗洪抢险、地震和地质灾害救援、生产安全事故救援等专业应急救援力量建设，依法依规统筹指导各乡镇、朝天经济开发区及社会应急救援力量和保障能力建设。</w:t>
      </w:r>
    </w:p>
    <w:p>
      <w:pPr>
        <w:pStyle w:val="31"/>
        <w:spacing w:line="576" w:lineRule="exact"/>
        <w:ind w:firstLine="640"/>
        <w:rPr>
          <w:rFonts w:ascii="仿宋_GB2312"/>
          <w:kern w:val="2"/>
          <w:szCs w:val="32"/>
        </w:rPr>
      </w:pPr>
      <w:r>
        <w:rPr>
          <w:rFonts w:hint="eastAsia" w:ascii="仿宋_GB2312" w:hAnsi="仿宋_GB2312"/>
          <w:kern w:val="2"/>
          <w:szCs w:val="32"/>
        </w:rPr>
        <w:t>（八）按照国家相关政策和省、市、区相关规定负责消防工作，组织和指导消防监督、火灾预防、火灾扑救等工作。</w:t>
      </w:r>
    </w:p>
    <w:p>
      <w:pPr>
        <w:pStyle w:val="31"/>
        <w:spacing w:line="576" w:lineRule="exact"/>
        <w:ind w:firstLine="640"/>
        <w:rPr>
          <w:rFonts w:ascii="仿宋_GB2312"/>
          <w:kern w:val="2"/>
          <w:szCs w:val="32"/>
        </w:rPr>
      </w:pPr>
      <w:r>
        <w:rPr>
          <w:rFonts w:hint="eastAsia" w:ascii="仿宋_GB2312" w:hAnsi="仿宋_GB2312"/>
          <w:kern w:val="2"/>
          <w:szCs w:val="32"/>
        </w:rPr>
        <w:t>（九）负责自然灾害综合监测预警工作，承担自然灾害综合风险评估工作。指导协调森林火灾、水旱灾害、地质灾害等防治工作。</w:t>
      </w:r>
    </w:p>
    <w:p>
      <w:pPr>
        <w:pStyle w:val="31"/>
        <w:spacing w:line="576" w:lineRule="exact"/>
        <w:ind w:firstLine="640"/>
        <w:rPr>
          <w:rFonts w:ascii="仿宋_GB2312"/>
          <w:kern w:val="2"/>
          <w:szCs w:val="32"/>
        </w:rPr>
      </w:pPr>
      <w:r>
        <w:rPr>
          <w:rFonts w:hint="eastAsia" w:ascii="仿宋_GB2312" w:hAnsi="仿宋_GB2312"/>
          <w:kern w:val="2"/>
          <w:szCs w:val="32"/>
        </w:rPr>
        <w:t>（十）负责组织、协调灾害救助工作，组织和指导灾情核查、损失评估、救灾捐赠工作，管理、分配中央、省级、市级下拨及区级救灾款物并监督使用。</w:t>
      </w:r>
    </w:p>
    <w:p>
      <w:pPr>
        <w:pStyle w:val="31"/>
        <w:spacing w:line="576" w:lineRule="exact"/>
        <w:ind w:firstLine="640"/>
        <w:rPr>
          <w:rFonts w:ascii="仿宋_GB2312"/>
          <w:kern w:val="2"/>
          <w:szCs w:val="32"/>
        </w:rPr>
      </w:pPr>
      <w:r>
        <w:rPr>
          <w:rFonts w:hint="eastAsia" w:ascii="仿宋_GB2312" w:hAnsi="仿宋_GB2312"/>
          <w:kern w:val="2"/>
          <w:szCs w:val="32"/>
        </w:rPr>
        <w:t>（十一）依法承担区政府安全生产综合监督管理责任，指导协调、监督检查各乡镇政府和区级有关部门安全生产工作，组织开展安全生产巡查、考核工作。</w:t>
      </w:r>
    </w:p>
    <w:p>
      <w:pPr>
        <w:pStyle w:val="31"/>
        <w:spacing w:line="576" w:lineRule="exact"/>
        <w:ind w:firstLine="640"/>
        <w:rPr>
          <w:rFonts w:ascii="仿宋_GB2312"/>
          <w:kern w:val="2"/>
          <w:szCs w:val="32"/>
        </w:rPr>
      </w:pPr>
      <w:r>
        <w:rPr>
          <w:rFonts w:hint="eastAsia" w:ascii="仿宋_GB2312" w:hAnsi="仿宋_GB2312"/>
          <w:kern w:val="2"/>
          <w:szCs w:val="32"/>
        </w:rPr>
        <w:t>（十二）按照分级、属地原则，依法监督检查工矿商贸生产经营单位贯彻执行安全生产法律法规情况及其安全生产条件和有关设备（特种设备除外）、材料、劳动防护用品的安全生产管理工作。协助市应急局做好区的中央、省属、市属重点工矿商贸企业的安全生产监督管理工作。</w:t>
      </w:r>
    </w:p>
    <w:p>
      <w:pPr>
        <w:pStyle w:val="31"/>
        <w:spacing w:line="576" w:lineRule="exact"/>
        <w:ind w:firstLine="640"/>
        <w:rPr>
          <w:rFonts w:ascii="仿宋_GB2312"/>
          <w:spacing w:val="-6"/>
          <w:kern w:val="2"/>
          <w:szCs w:val="32"/>
        </w:rPr>
      </w:pPr>
      <w:r>
        <w:rPr>
          <w:rFonts w:hint="eastAsia" w:ascii="仿宋_GB2312" w:hAnsi="仿宋_GB2312"/>
          <w:kern w:val="2"/>
          <w:szCs w:val="32"/>
        </w:rPr>
        <w:t>（十三）承担煤矿、非煤矿山、危险化学品、烟花爆竹等生产经营单位安全生产准入及非药品类易制毒化学品备案管理责任，依法组织实施安全生产准入制度。负责危险化学品安全监督</w:t>
      </w:r>
      <w:r>
        <w:rPr>
          <w:rFonts w:hint="eastAsia" w:ascii="仿宋_GB2312" w:hAnsi="仿宋_GB2312"/>
          <w:spacing w:val="-6"/>
          <w:kern w:val="2"/>
          <w:szCs w:val="32"/>
        </w:rPr>
        <w:t>管理综合工作和煤矿、非煤矿山、烟花爆竹安全生产监督管理工作。</w:t>
      </w:r>
    </w:p>
    <w:p>
      <w:pPr>
        <w:pStyle w:val="31"/>
        <w:spacing w:line="576" w:lineRule="exact"/>
        <w:ind w:firstLine="640"/>
        <w:rPr>
          <w:rFonts w:ascii="仿宋_GB2312"/>
          <w:kern w:val="2"/>
          <w:szCs w:val="32"/>
        </w:rPr>
      </w:pPr>
      <w:r>
        <w:rPr>
          <w:rFonts w:hint="eastAsia" w:ascii="仿宋_GB2312" w:hAnsi="仿宋_GB2312"/>
          <w:kern w:val="2"/>
          <w:szCs w:val="32"/>
        </w:rPr>
        <w:t>（十四）拟订煤炭产业发展计划并组织实施，按权限审核、上报煤炭建设项目并负责监督管理。负责煤炭生产协调和监督管理，煤炭行业结构调整和产业升级，煤矿瓦斯等级鉴定、瓦斯治理和利用。推进煤炭体制改革。</w:t>
      </w:r>
    </w:p>
    <w:p>
      <w:pPr>
        <w:pStyle w:val="31"/>
        <w:spacing w:line="576" w:lineRule="exact"/>
        <w:ind w:firstLine="640"/>
        <w:rPr>
          <w:rFonts w:ascii="仿宋_GB2312"/>
          <w:kern w:val="2"/>
          <w:szCs w:val="32"/>
        </w:rPr>
      </w:pPr>
      <w:r>
        <w:rPr>
          <w:rFonts w:hint="eastAsia" w:ascii="仿宋_GB2312" w:hAnsi="仿宋_GB2312"/>
          <w:kern w:val="2"/>
          <w:szCs w:val="32"/>
        </w:rPr>
        <w:t>（十五）承担煤矿安全生产监督管理责任，依法监督检查煤矿企业贯彻执行安全生产法律法规情况及其安全生产条件和有关设备（特种设备除外）、材料、劳动防护用品的安全生产监督管理工作。负责组织、指导煤矿企业安全专项整治、安全标准化、瓦斯和水害防治及相关安全科技发展工作。参与煤矿事故调查处理工作。</w:t>
      </w:r>
    </w:p>
    <w:p>
      <w:pPr>
        <w:pStyle w:val="31"/>
        <w:spacing w:line="576" w:lineRule="exact"/>
        <w:ind w:firstLine="640"/>
        <w:rPr>
          <w:rFonts w:ascii="仿宋_GB2312"/>
          <w:kern w:val="2"/>
          <w:szCs w:val="32"/>
        </w:rPr>
      </w:pPr>
      <w:r>
        <w:rPr>
          <w:rFonts w:hint="eastAsia" w:ascii="仿宋_GB2312" w:hAnsi="仿宋_GB2312"/>
          <w:kern w:val="2"/>
          <w:szCs w:val="32"/>
        </w:rPr>
        <w:t>（十六）承担防震减灾工作职责。负责地震监测设施和观测环境保护工作，负责全区工程建设场地地震安全性评价的监督管理工作，承担全区重大工程的抗震设防监督工作。接受上级相关部门的业务指导。</w:t>
      </w:r>
    </w:p>
    <w:p>
      <w:pPr>
        <w:pStyle w:val="31"/>
        <w:spacing w:line="576" w:lineRule="exact"/>
        <w:ind w:firstLine="640"/>
        <w:rPr>
          <w:rFonts w:ascii="仿宋_GB2312"/>
          <w:kern w:val="2"/>
          <w:szCs w:val="32"/>
        </w:rPr>
      </w:pPr>
      <w:r>
        <w:rPr>
          <w:rFonts w:hint="eastAsia" w:ascii="仿宋_GB2312" w:hAnsi="仿宋_GB2312"/>
          <w:kern w:val="2"/>
          <w:szCs w:val="32"/>
        </w:rPr>
        <w:t>（十七）依法组织、指导生产安全事故调查处理，监督事故查处和责任追究落实情况。组织开展自然灾害类突发事件的调查评估工作。</w:t>
      </w:r>
    </w:p>
    <w:p>
      <w:pPr>
        <w:pStyle w:val="31"/>
        <w:spacing w:line="576" w:lineRule="exact"/>
        <w:ind w:firstLine="640"/>
        <w:rPr>
          <w:rFonts w:ascii="仿宋_GB2312"/>
          <w:kern w:val="2"/>
          <w:szCs w:val="32"/>
        </w:rPr>
      </w:pPr>
      <w:r>
        <w:rPr>
          <w:rFonts w:hint="eastAsia" w:ascii="仿宋_GB2312" w:hAnsi="仿宋_GB2312"/>
          <w:kern w:val="2"/>
          <w:szCs w:val="32"/>
        </w:rPr>
        <w:t>（十八）开展应急管理和安全生产方面的交流与合作，按照上级部门的安排参与安全生产类、自然灾害类等突发事件的跨区域救援工作。</w:t>
      </w:r>
    </w:p>
    <w:p>
      <w:pPr>
        <w:pStyle w:val="31"/>
        <w:spacing w:line="576" w:lineRule="exact"/>
        <w:ind w:firstLine="640"/>
        <w:rPr>
          <w:rFonts w:ascii="仿宋_GB2312"/>
          <w:kern w:val="2"/>
          <w:szCs w:val="32"/>
        </w:rPr>
      </w:pPr>
      <w:r>
        <w:rPr>
          <w:rFonts w:hint="eastAsia" w:ascii="仿宋_GB2312" w:hAnsi="仿宋_GB2312"/>
          <w:kern w:val="2"/>
          <w:szCs w:val="32"/>
        </w:rPr>
        <w:t>（十九）制定应急物资储备和应急救援装备规划并组织实施，会同区发改局等部门建立健全应急物资信息平台和调拨制度，在救灾时统一调度。</w:t>
      </w:r>
    </w:p>
    <w:p>
      <w:pPr>
        <w:pStyle w:val="31"/>
        <w:spacing w:line="576" w:lineRule="exact"/>
        <w:ind w:firstLine="640"/>
        <w:rPr>
          <w:rFonts w:ascii="仿宋_GB2312"/>
          <w:kern w:val="2"/>
          <w:szCs w:val="32"/>
        </w:rPr>
      </w:pPr>
      <w:r>
        <w:rPr>
          <w:rFonts w:hint="eastAsia" w:ascii="仿宋_GB2312" w:hAnsi="仿宋_GB2312"/>
          <w:kern w:val="2"/>
          <w:szCs w:val="32"/>
        </w:rPr>
        <w:t>（二十）负责应急管理、安全生产宣传教育和培训工作，组织和指导应急管理、安全生产的科学技术研究、推广应用和信息化建设工作。</w:t>
      </w:r>
    </w:p>
    <w:p>
      <w:pPr>
        <w:pStyle w:val="31"/>
        <w:spacing w:line="576" w:lineRule="exact"/>
        <w:ind w:firstLine="640"/>
        <w:rPr>
          <w:rFonts w:ascii="仿宋_GB2312"/>
          <w:kern w:val="2"/>
          <w:szCs w:val="32"/>
        </w:rPr>
      </w:pPr>
      <w:r>
        <w:rPr>
          <w:rFonts w:hint="eastAsia" w:ascii="仿宋_GB2312" w:hAnsi="仿宋_GB2312"/>
          <w:kern w:val="2"/>
          <w:szCs w:val="32"/>
        </w:rPr>
        <w:t>（二十一）负责职责范围内的职业健康、生态环境保护、审批服务便民化等工作。</w:t>
      </w:r>
    </w:p>
    <w:p>
      <w:pPr>
        <w:pStyle w:val="31"/>
        <w:spacing w:line="576" w:lineRule="exact"/>
        <w:ind w:firstLine="640"/>
        <w:rPr>
          <w:rFonts w:ascii="仿宋_GB2312"/>
          <w:kern w:val="2"/>
          <w:szCs w:val="32"/>
        </w:rPr>
      </w:pPr>
      <w:r>
        <w:rPr>
          <w:rFonts w:hint="eastAsia" w:ascii="仿宋_GB2312" w:hAnsi="仿宋_GB2312"/>
          <w:kern w:val="2"/>
          <w:szCs w:val="32"/>
        </w:rPr>
        <w:t>（二十二）完成区委、区政府交办的其他任务。</w:t>
      </w:r>
    </w:p>
    <w:p>
      <w:pPr>
        <w:pStyle w:val="4"/>
        <w:numPr>
          <w:ilvl w:val="0"/>
          <w:numId w:val="0"/>
        </w:numPr>
        <w:rPr>
          <w:rFonts w:hint="eastAsia" w:ascii="黑体" w:hAnsi="黑体" w:eastAsia="黑体"/>
          <w:b w:val="0"/>
          <w:color w:val="auto"/>
          <w:highlight w:val="none"/>
          <w:lang w:val="en-US" w:eastAsia="zh-CN"/>
        </w:rPr>
      </w:pPr>
      <w:bookmarkStart w:id="21" w:name="_Toc26689"/>
      <w:r>
        <w:rPr>
          <w:rFonts w:hint="eastAsia" w:ascii="黑体" w:hAnsi="黑体" w:eastAsia="黑体"/>
          <w:b w:val="0"/>
          <w:color w:val="auto"/>
          <w:highlight w:val="none"/>
          <w:lang w:val="en-US" w:eastAsia="zh-CN"/>
        </w:rPr>
        <w:t>二、机构设置</w:t>
      </w:r>
      <w:bookmarkEnd w:id="21"/>
    </w:p>
    <w:bookmarkEnd w:id="19"/>
    <w:bookmarkEnd w:id="20"/>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广元市朝天区应急管理局</w:t>
      </w:r>
      <w:r>
        <w:rPr>
          <w:rFonts w:hint="eastAsia" w:ascii="仿宋_GB2312" w:hAnsi="仿宋_GB2312" w:eastAsia="仿宋_GB2312" w:cs="仿宋_GB2312"/>
          <w:sz w:val="32"/>
          <w:szCs w:val="32"/>
          <w:lang w:eastAsia="zh-CN"/>
        </w:rPr>
        <w:t>（本级）</w:t>
      </w:r>
      <w:r>
        <w:rPr>
          <w:rFonts w:hint="eastAsia" w:ascii="仿宋_GB2312" w:hAnsi="仿宋_GB2312" w:eastAsia="仿宋_GB2312" w:cs="仿宋_GB2312"/>
          <w:sz w:val="32"/>
          <w:szCs w:val="32"/>
        </w:rPr>
        <w:t>内设机构八个：办公室、基础管理股、综合协调股、防灾减灾救灾股、应急救援与预案管理股、安全生产技术服务中心、执法大队、</w:t>
      </w:r>
      <w:r>
        <w:rPr>
          <w:rFonts w:hint="eastAsia" w:ascii="仿宋_GB2312" w:hAnsi="仿宋_GB2312" w:eastAsia="仿宋_GB2312" w:cs="仿宋_GB2312"/>
          <w:sz w:val="32"/>
          <w:szCs w:val="32"/>
          <w:lang w:eastAsia="zh-CN"/>
        </w:rPr>
        <w:t>应急保障中心</w:t>
      </w:r>
      <w:r>
        <w:rPr>
          <w:rFonts w:hint="eastAsia" w:ascii="仿宋_GB2312" w:hAnsi="仿宋_GB2312" w:eastAsia="仿宋_GB2312" w:cs="仿宋_GB2312"/>
          <w:sz w:val="32"/>
          <w:szCs w:val="32"/>
        </w:rPr>
        <w:t>。</w:t>
      </w:r>
    </w:p>
    <w:p>
      <w:pPr>
        <w:pStyle w:val="6"/>
        <w:adjustRightInd w:val="0"/>
        <w:snapToGrid w:val="0"/>
        <w:spacing w:before="93" w:line="600" w:lineRule="exact"/>
        <w:ind w:firstLine="672" w:firstLineChars="21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纳入</w:t>
      </w:r>
      <w:r>
        <w:rPr>
          <w:rFonts w:hint="eastAsia" w:hAnsi="仿宋_GB2312" w:cs="仿宋_GB2312"/>
          <w:sz w:val="32"/>
          <w:szCs w:val="32"/>
          <w:lang w:eastAsia="zh-CN"/>
        </w:rPr>
        <w:t>本次</w:t>
      </w:r>
      <w:r>
        <w:rPr>
          <w:rFonts w:hint="eastAsia" w:ascii="仿宋_GB2312" w:hAnsi="仿宋_GB2312" w:eastAsia="仿宋_GB2312" w:cs="仿宋_GB2312"/>
          <w:sz w:val="32"/>
          <w:szCs w:val="32"/>
        </w:rPr>
        <w:t>决算编制范围</w:t>
      </w:r>
      <w:r>
        <w:rPr>
          <w:rFonts w:hint="eastAsia" w:ascii="仿宋_GB2312" w:hAnsi="仿宋_GB2312" w:eastAsia="仿宋_GB2312" w:cs="仿宋_GB2312"/>
          <w:sz w:val="32"/>
          <w:szCs w:val="32"/>
          <w:lang w:eastAsia="zh-CN"/>
        </w:rPr>
        <w:t>为</w:t>
      </w:r>
      <w:r>
        <w:rPr>
          <w:rFonts w:hint="eastAsia" w:ascii="仿宋_GB2312" w:hAnsi="仿宋_GB2312" w:eastAsia="仿宋_GB2312" w:cs="仿宋_GB2312"/>
          <w:sz w:val="32"/>
          <w:szCs w:val="32"/>
          <w:lang w:val="en-US" w:eastAsia="zh-CN"/>
        </w:rPr>
        <w:t>广元市朝天区应急管理局（本级）</w:t>
      </w:r>
    </w:p>
    <w:p>
      <w:pPr>
        <w:widowControl/>
        <w:jc w:val="left"/>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3"/>
        <w:ind w:right="440"/>
        <w:jc w:val="center"/>
        <w:rPr>
          <w:rStyle w:val="25"/>
          <w:rFonts w:ascii="黑体" w:hAnsi="黑体" w:eastAsia="黑体"/>
          <w:b w:val="0"/>
          <w:bCs/>
          <w:color w:val="auto"/>
          <w:highlight w:val="none"/>
        </w:rPr>
      </w:pPr>
      <w:bookmarkStart w:id="22" w:name="_Toc15396602"/>
      <w:bookmarkStart w:id="23" w:name="_Toc20420"/>
      <w:bookmarkStart w:id="24" w:name="_Toc15377204"/>
      <w:r>
        <w:rPr>
          <w:rFonts w:hint="eastAsia" w:ascii="黑体" w:hAnsi="黑体" w:eastAsia="黑体"/>
          <w:b w:val="0"/>
          <w:bCs/>
          <w:color w:val="auto"/>
          <w:highlight w:val="none"/>
        </w:rPr>
        <w:t xml:space="preserve">第二部分 </w:t>
      </w:r>
      <w:r>
        <w:rPr>
          <w:rFonts w:hint="eastAsia" w:ascii="黑体" w:hAnsi="黑体" w:eastAsia="黑体"/>
          <w:b w:val="0"/>
          <w:bCs/>
          <w:color w:val="auto"/>
          <w:highlight w:val="none"/>
          <w:lang w:val="en-US" w:eastAsia="zh-CN"/>
        </w:rPr>
        <w:t>2022年度</w:t>
      </w:r>
      <w:r>
        <w:rPr>
          <w:rStyle w:val="25"/>
          <w:rFonts w:hint="eastAsia" w:ascii="黑体" w:hAnsi="黑体" w:eastAsia="黑体"/>
          <w:b w:val="0"/>
          <w:bCs/>
          <w:color w:val="auto"/>
          <w:highlight w:val="none"/>
          <w:lang w:eastAsia="zh-CN"/>
        </w:rPr>
        <w:t>单位</w:t>
      </w:r>
      <w:r>
        <w:rPr>
          <w:rStyle w:val="25"/>
          <w:rFonts w:hint="eastAsia" w:ascii="黑体" w:hAnsi="黑体" w:eastAsia="黑体"/>
          <w:b w:val="0"/>
          <w:bCs/>
          <w:color w:val="auto"/>
          <w:highlight w:val="none"/>
        </w:rPr>
        <w:t>决算情况说明</w:t>
      </w:r>
      <w:bookmarkEnd w:id="22"/>
      <w:bookmarkEnd w:id="23"/>
      <w:bookmarkEnd w:id="24"/>
    </w:p>
    <w:p>
      <w:pPr>
        <w:rPr>
          <w:color w:val="auto"/>
          <w:highlight w:val="none"/>
        </w:rPr>
      </w:pPr>
    </w:p>
    <w:p>
      <w:pPr>
        <w:pStyle w:val="24"/>
        <w:numPr>
          <w:ilvl w:val="0"/>
          <w:numId w:val="2"/>
        </w:numPr>
        <w:spacing w:line="600" w:lineRule="exact"/>
        <w:ind w:firstLineChars="0"/>
        <w:outlineLvl w:val="1"/>
        <w:rPr>
          <w:rStyle w:val="26"/>
          <w:rFonts w:ascii="黑体" w:hAnsi="黑体" w:eastAsia="黑体"/>
          <w:b w:val="0"/>
          <w:color w:val="auto"/>
          <w:highlight w:val="none"/>
        </w:rPr>
      </w:pPr>
      <w:bookmarkStart w:id="25" w:name="_Toc15396603"/>
      <w:bookmarkStart w:id="26" w:name="_Toc15738"/>
      <w:bookmarkStart w:id="27" w:name="_Toc15377205"/>
      <w:r>
        <w:rPr>
          <w:rFonts w:hint="eastAsia" w:ascii="黑体" w:hAnsi="黑体" w:eastAsia="黑体"/>
          <w:color w:val="auto"/>
          <w:sz w:val="32"/>
          <w:szCs w:val="32"/>
          <w:highlight w:val="none"/>
        </w:rPr>
        <w:t>收</w:t>
      </w:r>
      <w:r>
        <w:rPr>
          <w:rStyle w:val="26"/>
          <w:rFonts w:hint="eastAsia" w:ascii="黑体" w:hAnsi="黑体" w:eastAsia="黑体"/>
          <w:b w:val="0"/>
          <w:color w:val="auto"/>
          <w:highlight w:val="none"/>
        </w:rPr>
        <w:t>入支出决算总体情况说明</w:t>
      </w:r>
      <w:bookmarkEnd w:id="25"/>
      <w:bookmarkEnd w:id="26"/>
      <w:bookmarkEnd w:id="27"/>
    </w:p>
    <w:p>
      <w:pPr>
        <w:spacing w:line="600" w:lineRule="exact"/>
        <w:ind w:firstLine="640" w:firstLineChars="200"/>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年度收、支总计</w:t>
      </w:r>
      <w:r>
        <w:rPr>
          <w:rFonts w:hint="eastAsia" w:ascii="仿宋_GB2312" w:hAnsi="仿宋_GB2312" w:eastAsia="仿宋_GB2312" w:cs="仿宋_GB2312"/>
          <w:color w:val="auto"/>
          <w:sz w:val="32"/>
          <w:szCs w:val="32"/>
          <w:highlight w:val="none"/>
          <w:lang w:val="en-US" w:eastAsia="zh-CN"/>
        </w:rPr>
        <w:t>3801.98</w:t>
      </w:r>
      <w:r>
        <w:rPr>
          <w:rFonts w:hint="eastAsia" w:ascii="仿宋_GB2312" w:hAnsi="仿宋_GB2312" w:eastAsia="仿宋_GB2312" w:cs="仿宋_GB2312"/>
          <w:color w:val="auto"/>
          <w:sz w:val="32"/>
          <w:szCs w:val="32"/>
          <w:highlight w:val="none"/>
        </w:rPr>
        <w:t>万元。</w:t>
      </w:r>
      <w:r>
        <w:rPr>
          <w:rFonts w:hint="eastAsia" w:ascii="仿宋_GB2312" w:hAnsi="仿宋_GB2312" w:eastAsia="仿宋_GB2312" w:cs="仿宋_GB2312"/>
          <w:bCs/>
          <w:color w:val="auto"/>
          <w:sz w:val="32"/>
          <w:szCs w:val="32"/>
          <w:lang w:val="en-US" w:eastAsia="zh-CN"/>
        </w:rPr>
        <w:t>与2021年相比增加2528.94万元，增加198.65%。增加原因主要为项目支出增加导致</w:t>
      </w:r>
      <w:r>
        <w:rPr>
          <w:rFonts w:hint="eastAsia" w:ascii="仿宋_GB2312" w:hAnsi="仿宋_GB2312" w:eastAsia="仿宋_GB2312" w:cs="仿宋_GB2312"/>
          <w:bCs/>
          <w:color w:val="auto"/>
          <w:sz w:val="32"/>
          <w:szCs w:val="32"/>
          <w:lang w:eastAsia="zh-CN"/>
        </w:rPr>
        <w:t>收入支出决算金额增加</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（图1：收、支决算总计变动情况图）（柱状图）</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hint="eastAsia" w:ascii="仿宋_GB2312" w:hAnsi="仿宋_GB2312" w:eastAsia="仿宋_GB2312" w:cs="仿宋_GB2312"/>
        </w:rPr>
      </w:pPr>
      <w:r>
        <w:rPr>
          <w:rFonts w:hint="eastAsia" w:ascii="仿宋_GB2312" w:hAnsi="仿宋_GB2312" w:eastAsia="仿宋_GB2312" w:cs="仿宋_GB2312"/>
        </w:rPr>
        <w:drawing>
          <wp:inline distT="0" distB="0" distL="114300" distR="114300">
            <wp:extent cx="3794760" cy="2327275"/>
            <wp:effectExtent l="4445" t="4445" r="10795" b="15240"/>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pStyle w:val="2"/>
        <w:rPr>
          <w:sz w:val="32"/>
          <w:szCs w:val="32"/>
        </w:rPr>
      </w:pPr>
    </w:p>
    <w:p>
      <w:pPr>
        <w:pStyle w:val="24"/>
        <w:numPr>
          <w:ilvl w:val="0"/>
          <w:numId w:val="2"/>
        </w:numPr>
        <w:spacing w:line="600" w:lineRule="exact"/>
        <w:ind w:firstLineChars="0"/>
        <w:outlineLvl w:val="1"/>
        <w:rPr>
          <w:rStyle w:val="26"/>
          <w:rFonts w:ascii="黑体" w:hAnsi="黑体" w:eastAsia="黑体"/>
          <w:b w:val="0"/>
          <w:color w:val="auto"/>
          <w:highlight w:val="none"/>
        </w:rPr>
      </w:pPr>
      <w:bookmarkStart w:id="28" w:name="_Toc15396604"/>
      <w:bookmarkStart w:id="29" w:name="_Toc15377206"/>
      <w:bookmarkStart w:id="30" w:name="_Toc5259"/>
      <w:r>
        <w:rPr>
          <w:rFonts w:hint="eastAsia" w:ascii="黑体" w:hAnsi="黑体" w:eastAsia="黑体"/>
          <w:color w:val="auto"/>
          <w:sz w:val="32"/>
          <w:szCs w:val="32"/>
          <w:highlight w:val="none"/>
        </w:rPr>
        <w:t>收</w:t>
      </w:r>
      <w:r>
        <w:rPr>
          <w:rStyle w:val="26"/>
          <w:rFonts w:hint="eastAsia" w:ascii="黑体" w:hAnsi="黑体" w:eastAsia="黑体"/>
          <w:b w:val="0"/>
          <w:color w:val="auto"/>
          <w:highlight w:val="none"/>
        </w:rPr>
        <w:t>入决算情况说明</w:t>
      </w:r>
      <w:bookmarkEnd w:id="28"/>
      <w:bookmarkEnd w:id="29"/>
      <w:bookmarkEnd w:id="30"/>
    </w:p>
    <w:p>
      <w:pPr>
        <w:spacing w:line="600" w:lineRule="exact"/>
        <w:ind w:firstLine="640" w:firstLineChars="200"/>
        <w:outlineLvl w:val="1"/>
        <w:rPr>
          <w:rFonts w:hint="eastAsia" w:ascii="仿宋_GB2312" w:hAnsi="仿宋_GB2312" w:eastAsia="仿宋_GB2312" w:cs="仿宋_GB2312"/>
          <w:color w:val="auto"/>
          <w:sz w:val="32"/>
          <w:szCs w:val="32"/>
          <w:highlight w:val="none"/>
        </w:rPr>
      </w:pPr>
      <w:bookmarkStart w:id="31" w:name="_Toc18411"/>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年本年收入合计2925.68万元，其中：一般公共预算财政拨款收入2925.68万元，占</w:t>
      </w:r>
      <w:r>
        <w:rPr>
          <w:rFonts w:hint="eastAsia" w:ascii="仿宋_GB2312" w:hAnsi="仿宋_GB2312" w:eastAsia="仿宋_GB2312" w:cs="仿宋_GB2312"/>
          <w:color w:val="auto"/>
          <w:sz w:val="32"/>
          <w:szCs w:val="32"/>
          <w:highlight w:val="none"/>
          <w:lang w:val="en-US" w:eastAsia="zh-CN"/>
        </w:rPr>
        <w:t>100</w:t>
      </w:r>
      <w:r>
        <w:rPr>
          <w:rFonts w:hint="eastAsia" w:ascii="仿宋_GB2312" w:hAnsi="仿宋_GB2312" w:eastAsia="仿宋_GB2312" w:cs="仿宋_GB2312"/>
          <w:color w:val="auto"/>
          <w:sz w:val="32"/>
          <w:szCs w:val="32"/>
          <w:highlight w:val="none"/>
        </w:rPr>
        <w:t>%。</w:t>
      </w:r>
      <w:bookmarkEnd w:id="31"/>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（图2：收入决算结构图）（饼状图）</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pPr>
      <w:r>
        <w:drawing>
          <wp:inline distT="0" distB="0" distL="114300" distR="114300">
            <wp:extent cx="3712845" cy="2141855"/>
            <wp:effectExtent l="4445" t="4445" r="16510" b="17780"/>
            <wp:docPr id="7"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pStyle w:val="2"/>
        <w:rPr>
          <w:sz w:val="32"/>
          <w:szCs w:val="32"/>
        </w:rPr>
      </w:pPr>
    </w:p>
    <w:p>
      <w:pPr>
        <w:pStyle w:val="24"/>
        <w:numPr>
          <w:ilvl w:val="0"/>
          <w:numId w:val="2"/>
        </w:numPr>
        <w:spacing w:line="600" w:lineRule="exact"/>
        <w:ind w:firstLineChars="0"/>
        <w:outlineLvl w:val="1"/>
        <w:rPr>
          <w:rStyle w:val="26"/>
          <w:rFonts w:ascii="黑体" w:hAnsi="黑体" w:eastAsia="黑体"/>
          <w:b w:val="0"/>
          <w:color w:val="auto"/>
          <w:highlight w:val="none"/>
        </w:rPr>
      </w:pPr>
      <w:bookmarkStart w:id="32" w:name="_Toc15377207"/>
      <w:bookmarkStart w:id="33" w:name="_Toc30853"/>
      <w:bookmarkStart w:id="34" w:name="_Toc15396605"/>
      <w:r>
        <w:rPr>
          <w:rFonts w:hint="eastAsia" w:ascii="黑体" w:hAnsi="黑体" w:eastAsia="黑体"/>
          <w:color w:val="auto"/>
          <w:sz w:val="32"/>
          <w:szCs w:val="32"/>
          <w:highlight w:val="none"/>
        </w:rPr>
        <w:t>支</w:t>
      </w:r>
      <w:r>
        <w:rPr>
          <w:rStyle w:val="26"/>
          <w:rFonts w:hint="eastAsia" w:ascii="黑体" w:hAnsi="黑体" w:eastAsia="黑体"/>
          <w:b w:val="0"/>
          <w:color w:val="auto"/>
          <w:highlight w:val="none"/>
        </w:rPr>
        <w:t>出决算情况说明</w:t>
      </w:r>
      <w:bookmarkEnd w:id="32"/>
      <w:bookmarkEnd w:id="33"/>
      <w:bookmarkEnd w:id="34"/>
    </w:p>
    <w:p>
      <w:pPr>
        <w:spacing w:line="600" w:lineRule="exact"/>
        <w:ind w:firstLine="640" w:firstLineChars="200"/>
        <w:outlineLvl w:val="1"/>
        <w:rPr>
          <w:rFonts w:hint="eastAsia" w:ascii="仿宋_GB2312" w:hAnsi="仿宋_GB2312" w:eastAsia="仿宋_GB2312" w:cs="仿宋_GB2312"/>
          <w:color w:val="auto"/>
          <w:sz w:val="32"/>
          <w:szCs w:val="32"/>
          <w:highlight w:val="none"/>
        </w:rPr>
      </w:pPr>
      <w:bookmarkStart w:id="35" w:name="_Toc26940"/>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年本年支出合计3801.98万元，其中：基本支出673.65万元，占</w:t>
      </w:r>
      <w:r>
        <w:rPr>
          <w:rFonts w:hint="eastAsia" w:ascii="仿宋_GB2312" w:hAnsi="仿宋_GB2312" w:eastAsia="仿宋_GB2312" w:cs="仿宋_GB2312"/>
          <w:color w:val="auto"/>
          <w:sz w:val="32"/>
          <w:szCs w:val="32"/>
          <w:highlight w:val="none"/>
          <w:lang w:val="en-US" w:eastAsia="zh-CN"/>
        </w:rPr>
        <w:t>17.72</w:t>
      </w:r>
      <w:r>
        <w:rPr>
          <w:rFonts w:hint="eastAsia" w:ascii="仿宋_GB2312" w:hAnsi="仿宋_GB2312" w:eastAsia="仿宋_GB2312" w:cs="仿宋_GB2312"/>
          <w:color w:val="auto"/>
          <w:sz w:val="32"/>
          <w:szCs w:val="32"/>
          <w:highlight w:val="none"/>
        </w:rPr>
        <w:t>%；项目支出3128.34万元，占</w:t>
      </w:r>
      <w:r>
        <w:rPr>
          <w:rFonts w:hint="eastAsia" w:ascii="仿宋_GB2312" w:hAnsi="仿宋_GB2312" w:eastAsia="仿宋_GB2312" w:cs="仿宋_GB2312"/>
          <w:color w:val="auto"/>
          <w:sz w:val="32"/>
          <w:szCs w:val="32"/>
          <w:highlight w:val="none"/>
          <w:lang w:val="en-US" w:eastAsia="zh-CN"/>
        </w:rPr>
        <w:t>82.28</w:t>
      </w:r>
      <w:r>
        <w:rPr>
          <w:rFonts w:hint="eastAsia" w:ascii="仿宋_GB2312" w:hAnsi="仿宋_GB2312" w:eastAsia="仿宋_GB2312" w:cs="仿宋_GB2312"/>
          <w:color w:val="auto"/>
          <w:sz w:val="32"/>
          <w:szCs w:val="32"/>
          <w:highlight w:val="none"/>
        </w:rPr>
        <w:t>%。</w:t>
      </w:r>
      <w:bookmarkEnd w:id="35"/>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（图3：支出决算结构图）（饼状图）</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pPr>
      <w:r>
        <w:drawing>
          <wp:inline distT="0" distB="0" distL="114300" distR="114300">
            <wp:extent cx="4826000" cy="2743200"/>
            <wp:effectExtent l="4445" t="4445" r="15875" b="10795"/>
            <wp:docPr id="3"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pStyle w:val="2"/>
        <w:rPr>
          <w:sz w:val="32"/>
          <w:szCs w:val="32"/>
        </w:rPr>
      </w:pPr>
    </w:p>
    <w:p>
      <w:pPr>
        <w:spacing w:line="600" w:lineRule="exact"/>
        <w:ind w:firstLine="640" w:firstLineChars="200"/>
        <w:outlineLvl w:val="1"/>
        <w:rPr>
          <w:rStyle w:val="26"/>
          <w:rFonts w:ascii="黑体" w:hAnsi="黑体" w:eastAsia="黑体"/>
          <w:b w:val="0"/>
          <w:color w:val="auto"/>
          <w:highlight w:val="none"/>
        </w:rPr>
      </w:pPr>
      <w:bookmarkStart w:id="36" w:name="_Toc15377208"/>
      <w:bookmarkStart w:id="37" w:name="_Toc15396606"/>
      <w:bookmarkStart w:id="38" w:name="_Toc10103"/>
      <w:r>
        <w:rPr>
          <w:rFonts w:hint="eastAsia" w:ascii="黑体" w:hAnsi="黑体" w:eastAsia="黑体"/>
          <w:color w:val="auto"/>
          <w:sz w:val="32"/>
          <w:szCs w:val="32"/>
          <w:highlight w:val="none"/>
        </w:rPr>
        <w:t>四、财</w:t>
      </w:r>
      <w:r>
        <w:rPr>
          <w:rStyle w:val="26"/>
          <w:rFonts w:hint="eastAsia" w:ascii="黑体" w:hAnsi="黑体" w:eastAsia="黑体"/>
          <w:b w:val="0"/>
          <w:color w:val="auto"/>
          <w:highlight w:val="none"/>
        </w:rPr>
        <w:t>政拨款收入支出决算总体情况说明</w:t>
      </w:r>
      <w:bookmarkEnd w:id="36"/>
      <w:bookmarkEnd w:id="37"/>
      <w:bookmarkEnd w:id="38"/>
    </w:p>
    <w:p>
      <w:pPr>
        <w:spacing w:line="600" w:lineRule="exact"/>
        <w:ind w:firstLine="640" w:firstLineChars="200"/>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年财政拨款收、支总计</w:t>
      </w:r>
      <w:r>
        <w:rPr>
          <w:rFonts w:hint="eastAsia" w:ascii="仿宋_GB2312" w:hAnsi="仿宋_GB2312" w:eastAsia="仿宋_GB2312" w:cs="仿宋_GB2312"/>
          <w:color w:val="auto"/>
          <w:sz w:val="32"/>
          <w:szCs w:val="32"/>
          <w:highlight w:val="none"/>
          <w:lang w:val="en-US" w:eastAsia="zh-CN"/>
        </w:rPr>
        <w:t>3801.98</w:t>
      </w:r>
      <w:r>
        <w:rPr>
          <w:rFonts w:hint="eastAsia" w:ascii="仿宋_GB2312" w:hAnsi="仿宋_GB2312" w:eastAsia="仿宋_GB2312" w:cs="仿宋_GB2312"/>
          <w:color w:val="auto"/>
          <w:sz w:val="32"/>
          <w:szCs w:val="32"/>
          <w:highlight w:val="none"/>
        </w:rPr>
        <w:t>万元。</w:t>
      </w:r>
      <w:r>
        <w:rPr>
          <w:rFonts w:hint="eastAsia" w:ascii="仿宋_GB2312" w:hAnsi="仿宋_GB2312" w:eastAsia="仿宋_GB2312" w:cs="仿宋_GB2312"/>
          <w:bCs/>
          <w:color w:val="auto"/>
          <w:sz w:val="32"/>
          <w:szCs w:val="32"/>
          <w:lang w:val="en-US" w:eastAsia="zh-CN"/>
        </w:rPr>
        <w:t>与2021年相比增加2528.94万元，增加198.65%。增加原因主要为项目支出增加导致财政拨款</w:t>
      </w:r>
      <w:r>
        <w:rPr>
          <w:rFonts w:hint="eastAsia" w:ascii="仿宋_GB2312" w:hAnsi="仿宋_GB2312" w:eastAsia="仿宋_GB2312" w:cs="仿宋_GB2312"/>
          <w:bCs/>
          <w:color w:val="auto"/>
          <w:sz w:val="32"/>
          <w:szCs w:val="32"/>
          <w:lang w:eastAsia="zh-CN"/>
        </w:rPr>
        <w:t>收入支出决算金额增加</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（图4：财政拨款收、支决算总计变动情况）（柱状图）</w:t>
      </w:r>
    </w:p>
    <w:p>
      <w:pPr>
        <w:keepNext w:val="0"/>
        <w:keepLines w:val="0"/>
        <w:pageBreakBefore w:val="0"/>
        <w:widowControl w:val="0"/>
        <w:kinsoku/>
        <w:wordWrap/>
        <w:overflowPunct/>
        <w:topLinePunct w:val="0"/>
        <w:autoSpaceDE/>
        <w:autoSpaceDN/>
        <w:bidi w:val="0"/>
        <w:adjustRightInd/>
        <w:snapToGrid/>
        <w:spacing w:line="240" w:lineRule="auto"/>
        <w:ind w:firstLine="640"/>
        <w:jc w:val="center"/>
        <w:textAlignment w:val="auto"/>
      </w:pPr>
      <w:r>
        <w:drawing>
          <wp:inline distT="0" distB="0" distL="114300" distR="114300">
            <wp:extent cx="3794760" cy="2327275"/>
            <wp:effectExtent l="4445" t="4445" r="10795" b="15240"/>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pPr>
        <w:pStyle w:val="2"/>
        <w:rPr>
          <w:sz w:val="32"/>
          <w:szCs w:val="32"/>
        </w:rPr>
      </w:pPr>
    </w:p>
    <w:p>
      <w:pPr>
        <w:spacing w:line="600" w:lineRule="exact"/>
        <w:ind w:firstLine="640" w:firstLineChars="200"/>
        <w:outlineLvl w:val="1"/>
        <w:rPr>
          <w:rStyle w:val="26"/>
          <w:rFonts w:ascii="黑体" w:hAnsi="黑体" w:eastAsia="黑体"/>
          <w:b w:val="0"/>
          <w:color w:val="auto"/>
          <w:highlight w:val="none"/>
        </w:rPr>
      </w:pPr>
      <w:bookmarkStart w:id="39" w:name="_Toc15396607"/>
      <w:bookmarkStart w:id="40" w:name="_Toc13269"/>
      <w:bookmarkStart w:id="41" w:name="_Toc15377209"/>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6"/>
          <w:rFonts w:hint="eastAsia" w:ascii="黑体" w:hAnsi="黑体" w:eastAsia="黑体"/>
          <w:b w:val="0"/>
          <w:color w:val="auto"/>
          <w:highlight w:val="none"/>
        </w:rPr>
        <w:t>般公共预算财政拨款支出决算情况说明</w:t>
      </w:r>
      <w:bookmarkEnd w:id="39"/>
      <w:bookmarkEnd w:id="40"/>
      <w:bookmarkEnd w:id="41"/>
    </w:p>
    <w:p>
      <w:pPr>
        <w:spacing w:line="600" w:lineRule="exact"/>
        <w:ind w:firstLine="643" w:firstLineChars="200"/>
        <w:outlineLvl w:val="2"/>
        <w:rPr>
          <w:rFonts w:ascii="仿宋" w:hAnsi="仿宋" w:eastAsia="仿宋"/>
          <w:b/>
          <w:color w:val="auto"/>
          <w:sz w:val="32"/>
          <w:szCs w:val="32"/>
          <w:highlight w:val="none"/>
        </w:rPr>
      </w:pPr>
      <w:bookmarkStart w:id="42" w:name="_Toc15377210"/>
      <w:r>
        <w:rPr>
          <w:rFonts w:hint="eastAsia" w:ascii="仿宋" w:hAnsi="仿宋" w:eastAsia="仿宋"/>
          <w:b/>
          <w:color w:val="auto"/>
          <w:sz w:val="32"/>
          <w:szCs w:val="32"/>
          <w:highlight w:val="none"/>
        </w:rPr>
        <w:t>（一）一般公共预算财政拨款支出决算总体情况</w:t>
      </w:r>
      <w:bookmarkEnd w:id="42"/>
    </w:p>
    <w:p>
      <w:pPr>
        <w:spacing w:line="6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年一般公共预算财政拨款支出</w:t>
      </w:r>
      <w:r>
        <w:rPr>
          <w:rFonts w:hint="eastAsia" w:ascii="仿宋_GB2312" w:hAnsi="仿宋_GB2312" w:eastAsia="仿宋_GB2312" w:cs="仿宋_GB2312"/>
          <w:color w:val="auto"/>
          <w:sz w:val="32"/>
          <w:szCs w:val="32"/>
          <w:highlight w:val="none"/>
          <w:lang w:val="en-US" w:eastAsia="zh-CN"/>
        </w:rPr>
        <w:t>3801.98</w:t>
      </w:r>
      <w:r>
        <w:rPr>
          <w:rFonts w:hint="eastAsia" w:ascii="仿宋_GB2312" w:hAnsi="仿宋_GB2312" w:eastAsia="仿宋_GB2312" w:cs="仿宋_GB2312"/>
          <w:color w:val="auto"/>
          <w:sz w:val="32"/>
          <w:szCs w:val="32"/>
          <w:highlight w:val="none"/>
        </w:rPr>
        <w:t>万元，占本年支出合计的</w:t>
      </w:r>
      <w:r>
        <w:rPr>
          <w:rFonts w:hint="eastAsia" w:ascii="仿宋_GB2312" w:hAnsi="仿宋_GB2312" w:eastAsia="仿宋_GB2312" w:cs="仿宋_GB2312"/>
          <w:color w:val="auto"/>
          <w:sz w:val="32"/>
          <w:szCs w:val="32"/>
          <w:highlight w:val="none"/>
          <w:lang w:val="en-US" w:eastAsia="zh-CN"/>
        </w:rPr>
        <w:t>100</w:t>
      </w:r>
      <w:r>
        <w:rPr>
          <w:rFonts w:hint="eastAsia" w:ascii="仿宋_GB2312" w:hAnsi="仿宋_GB2312" w:eastAsia="仿宋_GB2312" w:cs="仿宋_GB2312"/>
          <w:color w:val="auto"/>
          <w:sz w:val="32"/>
          <w:szCs w:val="32"/>
          <w:highlight w:val="none"/>
        </w:rPr>
        <w:t>%。与20</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年相比，一般公共预算财政拨款</w:t>
      </w:r>
      <w:r>
        <w:rPr>
          <w:rFonts w:hint="eastAsia" w:ascii="仿宋_GB2312" w:hAnsi="仿宋_GB2312" w:eastAsia="仿宋_GB2312" w:cs="仿宋_GB2312"/>
          <w:color w:val="auto"/>
          <w:sz w:val="32"/>
          <w:szCs w:val="32"/>
          <w:highlight w:val="none"/>
          <w:lang w:eastAsia="zh-CN"/>
        </w:rPr>
        <w:t>支出</w:t>
      </w:r>
      <w:r>
        <w:rPr>
          <w:rFonts w:hint="eastAsia" w:ascii="仿宋_GB2312" w:hAnsi="仿宋_GB2312" w:eastAsia="仿宋_GB2312" w:cs="仿宋_GB2312"/>
          <w:bCs/>
          <w:color w:val="auto"/>
          <w:sz w:val="32"/>
          <w:szCs w:val="32"/>
          <w:lang w:val="en-US" w:eastAsia="zh-CN"/>
        </w:rPr>
        <w:t>增加2528.94万元，增加198.65%。增加原因主要为项目支出增加导致一般公共预算财政拨款</w:t>
      </w:r>
      <w:r>
        <w:rPr>
          <w:rFonts w:hint="eastAsia" w:ascii="仿宋_GB2312" w:hAnsi="仿宋_GB2312" w:eastAsia="仿宋_GB2312" w:cs="仿宋_GB2312"/>
          <w:bCs/>
          <w:color w:val="auto"/>
          <w:sz w:val="32"/>
          <w:szCs w:val="32"/>
          <w:lang w:eastAsia="zh-CN"/>
        </w:rPr>
        <w:t>支出决算金额增加</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（图5：一般公共预算财政拨款支出决算变动情况）（柱状图）</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ascii="仿宋" w:hAnsi="仿宋" w:eastAsia="仿宋"/>
          <w:color w:val="auto"/>
          <w:sz w:val="32"/>
          <w:szCs w:val="32"/>
          <w:highlight w:val="none"/>
        </w:rPr>
      </w:pPr>
      <w:r>
        <w:drawing>
          <wp:inline distT="0" distB="0" distL="114300" distR="114300">
            <wp:extent cx="3794760" cy="2327275"/>
            <wp:effectExtent l="4445" t="4445" r="10795" b="15240"/>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spacing w:line="600" w:lineRule="exact"/>
        <w:ind w:firstLine="643" w:firstLineChars="200"/>
        <w:outlineLvl w:val="2"/>
        <w:rPr>
          <w:rFonts w:ascii="仿宋" w:hAnsi="仿宋" w:eastAsia="仿宋"/>
          <w:b/>
          <w:color w:val="auto"/>
          <w:sz w:val="32"/>
          <w:szCs w:val="32"/>
          <w:highlight w:val="none"/>
        </w:rPr>
      </w:pPr>
      <w:bookmarkStart w:id="43" w:name="_Toc15377211"/>
      <w:r>
        <w:rPr>
          <w:rFonts w:hint="eastAsia" w:ascii="仿宋" w:hAnsi="仿宋" w:eastAsia="仿宋"/>
          <w:b/>
          <w:color w:val="auto"/>
          <w:sz w:val="32"/>
          <w:szCs w:val="32"/>
          <w:highlight w:val="none"/>
        </w:rPr>
        <w:t>（二）一般公共预算财政拨款支出决算结构情况</w:t>
      </w:r>
      <w:bookmarkEnd w:id="43"/>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年一般公共预算财政拨款支出</w:t>
      </w:r>
      <w:r>
        <w:rPr>
          <w:rFonts w:hint="eastAsia" w:ascii="仿宋_GB2312" w:hAnsi="仿宋_GB2312" w:eastAsia="仿宋_GB2312" w:cs="仿宋_GB2312"/>
          <w:color w:val="auto"/>
          <w:sz w:val="32"/>
          <w:szCs w:val="32"/>
          <w:highlight w:val="none"/>
          <w:lang w:val="en-US" w:eastAsia="zh-CN"/>
        </w:rPr>
        <w:t>3801.98</w:t>
      </w:r>
      <w:r>
        <w:rPr>
          <w:rFonts w:hint="eastAsia" w:ascii="仿宋_GB2312" w:hAnsi="仿宋_GB2312" w:eastAsia="仿宋_GB2312" w:cs="仿宋_GB2312"/>
          <w:color w:val="auto"/>
          <w:sz w:val="32"/>
          <w:szCs w:val="32"/>
          <w:highlight w:val="none"/>
        </w:rPr>
        <w:t>万元，主要用于以下方面:</w:t>
      </w:r>
      <w:r>
        <w:rPr>
          <w:rFonts w:hint="eastAsia" w:ascii="仿宋_GB2312" w:hAnsi="仿宋_GB2312" w:eastAsia="仿宋_GB2312" w:cs="仿宋_GB2312"/>
          <w:b/>
          <w:color w:val="auto"/>
          <w:sz w:val="32"/>
          <w:szCs w:val="32"/>
          <w:highlight w:val="none"/>
        </w:rPr>
        <w:t>社会保障和就业</w:t>
      </w:r>
      <w:r>
        <w:rPr>
          <w:rFonts w:hint="eastAsia" w:ascii="仿宋_GB2312" w:hAnsi="仿宋_GB2312" w:eastAsia="仿宋_GB2312" w:cs="仿宋_GB2312"/>
          <w:b/>
          <w:bCs/>
          <w:color w:val="auto"/>
          <w:sz w:val="32"/>
          <w:szCs w:val="32"/>
          <w:highlight w:val="none"/>
        </w:rPr>
        <w:t>支出</w:t>
      </w:r>
      <w:r>
        <w:rPr>
          <w:rFonts w:hint="eastAsia" w:ascii="仿宋_GB2312" w:hAnsi="仿宋_GB2312" w:eastAsia="仿宋_GB2312" w:cs="仿宋_GB2312"/>
          <w:i w:val="0"/>
          <w:iCs w:val="0"/>
          <w:color w:val="000000"/>
          <w:kern w:val="0"/>
          <w:sz w:val="32"/>
          <w:szCs w:val="32"/>
          <w:u w:val="none"/>
          <w:lang w:val="en-US" w:eastAsia="zh-CN" w:bidi="ar"/>
        </w:rPr>
        <w:t>54.37</w:t>
      </w:r>
      <w:r>
        <w:rPr>
          <w:rFonts w:hint="eastAsia" w:ascii="仿宋_GB2312" w:hAnsi="仿宋_GB2312" w:eastAsia="仿宋_GB2312" w:cs="仿宋_GB2312"/>
          <w:color w:val="auto"/>
          <w:sz w:val="32"/>
          <w:szCs w:val="32"/>
          <w:highlight w:val="none"/>
        </w:rPr>
        <w:t>万元，占1.</w:t>
      </w:r>
      <w:r>
        <w:rPr>
          <w:rFonts w:hint="eastAsia" w:ascii="仿宋_GB2312" w:hAnsi="仿宋_GB2312" w:eastAsia="仿宋_GB2312" w:cs="仿宋_GB2312"/>
          <w:color w:val="auto"/>
          <w:sz w:val="32"/>
          <w:szCs w:val="32"/>
          <w:highlight w:val="none"/>
          <w:lang w:val="en-US" w:eastAsia="zh-CN"/>
        </w:rPr>
        <w:t>43</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b/>
          <w:bCs/>
          <w:color w:val="auto"/>
          <w:sz w:val="32"/>
          <w:szCs w:val="32"/>
          <w:highlight w:val="none"/>
        </w:rPr>
        <w:t>卫生健康支出</w:t>
      </w:r>
      <w:r>
        <w:rPr>
          <w:rFonts w:hint="eastAsia" w:ascii="仿宋_GB2312" w:hAnsi="仿宋_GB2312" w:eastAsia="仿宋_GB2312" w:cs="仿宋_GB2312"/>
          <w:i w:val="0"/>
          <w:iCs w:val="0"/>
          <w:color w:val="000000"/>
          <w:kern w:val="0"/>
          <w:sz w:val="32"/>
          <w:szCs w:val="32"/>
          <w:u w:val="none"/>
          <w:lang w:val="en-US" w:eastAsia="zh-CN" w:bidi="ar"/>
        </w:rPr>
        <w:t>52.64</w:t>
      </w:r>
      <w:r>
        <w:rPr>
          <w:rFonts w:hint="eastAsia" w:ascii="仿宋_GB2312" w:hAnsi="仿宋_GB2312" w:eastAsia="仿宋_GB2312" w:cs="仿宋_GB2312"/>
          <w:color w:val="auto"/>
          <w:sz w:val="32"/>
          <w:szCs w:val="32"/>
          <w:highlight w:val="none"/>
        </w:rPr>
        <w:t>万元，占</w:t>
      </w:r>
      <w:r>
        <w:rPr>
          <w:rFonts w:hint="eastAsia" w:ascii="仿宋_GB2312" w:hAnsi="仿宋_GB2312" w:eastAsia="仿宋_GB2312" w:cs="仿宋_GB2312"/>
          <w:color w:val="auto"/>
          <w:sz w:val="32"/>
          <w:szCs w:val="32"/>
          <w:highlight w:val="none"/>
          <w:lang w:val="en-US" w:eastAsia="zh-CN"/>
        </w:rPr>
        <w:t>1.38%</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b/>
          <w:bCs/>
          <w:color w:val="auto"/>
          <w:sz w:val="32"/>
          <w:szCs w:val="32"/>
          <w:highlight w:val="none"/>
          <w:lang w:eastAsia="zh-CN"/>
        </w:rPr>
        <w:t>节能环保支出</w:t>
      </w:r>
      <w:r>
        <w:rPr>
          <w:rFonts w:hint="eastAsia" w:ascii="仿宋_GB2312" w:hAnsi="仿宋_GB2312" w:eastAsia="仿宋_GB2312" w:cs="仿宋_GB2312"/>
          <w:i w:val="0"/>
          <w:iCs w:val="0"/>
          <w:color w:val="000000"/>
          <w:kern w:val="0"/>
          <w:sz w:val="32"/>
          <w:szCs w:val="32"/>
          <w:u w:val="none"/>
          <w:lang w:val="en-US" w:eastAsia="zh-CN" w:bidi="ar"/>
        </w:rPr>
        <w:t>447.00万元，占11.76%；</w:t>
      </w:r>
      <w:r>
        <w:rPr>
          <w:rFonts w:hint="eastAsia" w:ascii="仿宋_GB2312" w:hAnsi="仿宋_GB2312" w:eastAsia="仿宋_GB2312" w:cs="仿宋_GB2312"/>
          <w:b/>
          <w:bCs/>
          <w:i w:val="0"/>
          <w:iCs w:val="0"/>
          <w:color w:val="000000"/>
          <w:kern w:val="0"/>
          <w:sz w:val="32"/>
          <w:szCs w:val="32"/>
          <w:u w:val="none"/>
          <w:lang w:val="en-US" w:eastAsia="zh-CN" w:bidi="ar"/>
        </w:rPr>
        <w:t>农林水支出</w:t>
      </w:r>
      <w:r>
        <w:rPr>
          <w:rFonts w:hint="eastAsia" w:ascii="仿宋_GB2312" w:hAnsi="仿宋_GB2312" w:eastAsia="仿宋_GB2312" w:cs="仿宋_GB2312"/>
          <w:i w:val="0"/>
          <w:iCs w:val="0"/>
          <w:color w:val="000000"/>
          <w:kern w:val="0"/>
          <w:sz w:val="32"/>
          <w:szCs w:val="32"/>
          <w:u w:val="none"/>
          <w:lang w:val="en-US" w:eastAsia="zh-CN" w:bidi="ar"/>
        </w:rPr>
        <w:t>1.5万元，占比0.04%；</w:t>
      </w:r>
      <w:r>
        <w:rPr>
          <w:rFonts w:hint="eastAsia" w:ascii="仿宋_GB2312" w:hAnsi="仿宋_GB2312" w:eastAsia="仿宋_GB2312" w:cs="仿宋_GB2312"/>
          <w:b/>
          <w:bCs/>
          <w:color w:val="auto"/>
          <w:sz w:val="32"/>
          <w:szCs w:val="32"/>
          <w:highlight w:val="none"/>
        </w:rPr>
        <w:t>住房保障支出</w:t>
      </w:r>
      <w:r>
        <w:rPr>
          <w:rFonts w:hint="eastAsia" w:ascii="仿宋_GB2312" w:hAnsi="仿宋_GB2312" w:eastAsia="仿宋_GB2312" w:cs="仿宋_GB2312"/>
          <w:i w:val="0"/>
          <w:iCs w:val="0"/>
          <w:color w:val="000000"/>
          <w:kern w:val="0"/>
          <w:sz w:val="32"/>
          <w:szCs w:val="32"/>
          <w:u w:val="none"/>
          <w:lang w:val="en-US" w:eastAsia="zh-CN" w:bidi="ar"/>
        </w:rPr>
        <w:t>50.66</w:t>
      </w:r>
      <w:r>
        <w:rPr>
          <w:rFonts w:hint="eastAsia" w:ascii="仿宋_GB2312" w:hAnsi="仿宋_GB2312" w:eastAsia="仿宋_GB2312" w:cs="仿宋_GB2312"/>
          <w:color w:val="auto"/>
          <w:sz w:val="32"/>
          <w:szCs w:val="32"/>
          <w:highlight w:val="none"/>
        </w:rPr>
        <w:t>万元，占</w:t>
      </w:r>
      <w:r>
        <w:rPr>
          <w:rFonts w:hint="eastAsia" w:ascii="仿宋_GB2312" w:hAnsi="仿宋_GB2312" w:eastAsia="仿宋_GB2312" w:cs="仿宋_GB2312"/>
          <w:color w:val="auto"/>
          <w:sz w:val="32"/>
          <w:szCs w:val="32"/>
          <w:highlight w:val="none"/>
          <w:lang w:val="en-US" w:eastAsia="zh-CN"/>
        </w:rPr>
        <w:t>1.33%</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b/>
          <w:bCs/>
          <w:i w:val="0"/>
          <w:iCs w:val="0"/>
          <w:color w:val="000000"/>
          <w:kern w:val="0"/>
          <w:sz w:val="32"/>
          <w:szCs w:val="32"/>
          <w:u w:val="none"/>
          <w:lang w:val="en-US" w:eastAsia="zh-CN" w:bidi="ar"/>
        </w:rPr>
        <w:t>灾害防治及应急管理支出</w:t>
      </w:r>
      <w:r>
        <w:rPr>
          <w:rFonts w:hint="eastAsia" w:ascii="仿宋_GB2312" w:hAnsi="仿宋_GB2312" w:eastAsia="仿宋_GB2312" w:cs="仿宋_GB2312"/>
          <w:i w:val="0"/>
          <w:iCs w:val="0"/>
          <w:color w:val="000000"/>
          <w:kern w:val="0"/>
          <w:sz w:val="32"/>
          <w:szCs w:val="32"/>
          <w:u w:val="none"/>
          <w:lang w:val="en-US" w:eastAsia="zh-CN" w:bidi="ar"/>
        </w:rPr>
        <w:t>3195.81万元，占比84.06%</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（图6：一般公共预算财政拨款支出决算结构）（饼状图）</w:t>
      </w:r>
    </w:p>
    <w:p>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center"/>
        <w:textAlignment w:val="auto"/>
        <w:rPr>
          <w:rFonts w:ascii="仿宋" w:hAnsi="仿宋" w:eastAsia="仿宋"/>
          <w:color w:val="auto"/>
          <w:sz w:val="32"/>
          <w:szCs w:val="32"/>
          <w:highlight w:val="none"/>
        </w:rPr>
      </w:pPr>
      <w:r>
        <w:drawing>
          <wp:inline distT="0" distB="0" distL="114300" distR="114300">
            <wp:extent cx="4572000" cy="2743200"/>
            <wp:effectExtent l="4445" t="4445" r="10795" b="10795"/>
            <wp:docPr id="9"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pPr>
        <w:spacing w:line="600" w:lineRule="exact"/>
        <w:ind w:firstLine="643" w:firstLineChars="200"/>
        <w:outlineLvl w:val="2"/>
        <w:rPr>
          <w:rFonts w:ascii="仿宋" w:hAnsi="仿宋" w:eastAsia="仿宋"/>
          <w:b/>
          <w:color w:val="auto"/>
          <w:sz w:val="32"/>
          <w:szCs w:val="32"/>
          <w:highlight w:val="none"/>
        </w:rPr>
      </w:pPr>
      <w:bookmarkStart w:id="44" w:name="_Toc15377212"/>
      <w:r>
        <w:rPr>
          <w:rFonts w:hint="eastAsia" w:ascii="仿宋" w:hAnsi="仿宋" w:eastAsia="仿宋"/>
          <w:b/>
          <w:color w:val="auto"/>
          <w:sz w:val="32"/>
          <w:szCs w:val="32"/>
          <w:highlight w:val="none"/>
        </w:rPr>
        <w:t>（三）一般公共预算财政拨款支出决算具体情况</w:t>
      </w:r>
      <w:bookmarkEnd w:id="44"/>
    </w:p>
    <w:p>
      <w:pPr>
        <w:spacing w:line="600" w:lineRule="exact"/>
        <w:ind w:firstLine="643" w:firstLineChars="200"/>
        <w:outlineLvl w:val="1"/>
        <w:rPr>
          <w:rFonts w:hint="eastAsia" w:ascii="仿宋_GB2312" w:hAnsi="仿宋_GB2312" w:eastAsia="仿宋_GB2312" w:cs="仿宋_GB2312"/>
          <w:color w:val="auto"/>
          <w:sz w:val="32"/>
          <w:szCs w:val="32"/>
          <w:highlight w:val="none"/>
        </w:rPr>
      </w:pPr>
      <w:bookmarkStart w:id="45" w:name="_Toc4348"/>
      <w:bookmarkStart w:id="46" w:name="_Toc15378460"/>
      <w:bookmarkStart w:id="47" w:name="_Toc15377444"/>
      <w:bookmarkStart w:id="48" w:name="_Toc15377213"/>
      <w:r>
        <w:rPr>
          <w:rFonts w:hint="eastAsia" w:ascii="仿宋_GB2312" w:hAnsi="仿宋_GB2312" w:eastAsia="仿宋_GB2312" w:cs="仿宋_GB2312"/>
          <w:b/>
          <w:color w:val="auto"/>
          <w:sz w:val="32"/>
          <w:szCs w:val="32"/>
          <w:highlight w:val="none"/>
        </w:rPr>
        <w:t>20</w:t>
      </w:r>
      <w:r>
        <w:rPr>
          <w:rFonts w:hint="eastAsia" w:ascii="仿宋_GB2312" w:hAnsi="仿宋_GB2312" w:eastAsia="仿宋_GB2312" w:cs="仿宋_GB2312"/>
          <w:b/>
          <w:color w:val="auto"/>
          <w:sz w:val="32"/>
          <w:szCs w:val="32"/>
          <w:highlight w:val="none"/>
          <w:lang w:val="en-US" w:eastAsia="zh-CN"/>
        </w:rPr>
        <w:t>22</w:t>
      </w:r>
      <w:r>
        <w:rPr>
          <w:rFonts w:hint="eastAsia" w:ascii="仿宋_GB2312" w:hAnsi="仿宋_GB2312" w:eastAsia="仿宋_GB2312" w:cs="仿宋_GB2312"/>
          <w:b/>
          <w:color w:val="auto"/>
          <w:sz w:val="32"/>
          <w:szCs w:val="32"/>
          <w:highlight w:val="none"/>
        </w:rPr>
        <w:t>年</w:t>
      </w:r>
      <w:r>
        <w:rPr>
          <w:rFonts w:hint="eastAsia" w:ascii="仿宋_GB2312" w:hAnsi="仿宋_GB2312" w:eastAsia="仿宋_GB2312" w:cs="仿宋_GB2312"/>
          <w:b/>
          <w:color w:val="auto"/>
          <w:sz w:val="32"/>
          <w:szCs w:val="32"/>
          <w:highlight w:val="none"/>
          <w:lang w:eastAsia="zh-CN"/>
        </w:rPr>
        <w:t>一</w:t>
      </w:r>
      <w:r>
        <w:rPr>
          <w:rFonts w:hint="eastAsia" w:ascii="仿宋_GB2312" w:hAnsi="仿宋_GB2312" w:eastAsia="仿宋_GB2312" w:cs="仿宋_GB2312"/>
          <w:b/>
          <w:color w:val="auto"/>
          <w:sz w:val="32"/>
          <w:szCs w:val="32"/>
          <w:highlight w:val="none"/>
        </w:rPr>
        <w:t>般公共预算支出决算数为</w:t>
      </w:r>
      <w:r>
        <w:rPr>
          <w:rFonts w:hint="eastAsia" w:ascii="仿宋_GB2312" w:hAnsi="仿宋_GB2312" w:eastAsia="仿宋_GB2312" w:cs="仿宋_GB2312"/>
          <w:color w:val="auto"/>
          <w:sz w:val="32"/>
          <w:szCs w:val="32"/>
          <w:highlight w:val="none"/>
          <w:lang w:val="en-US" w:eastAsia="zh-CN"/>
        </w:rPr>
        <w:t>3801.98</w:t>
      </w:r>
      <w:r>
        <w:rPr>
          <w:rFonts w:hint="eastAsia" w:ascii="仿宋_GB2312" w:hAnsi="仿宋_GB2312" w:eastAsia="仿宋_GB2312" w:cs="仿宋_GB2312"/>
          <w:color w:val="auto"/>
          <w:sz w:val="32"/>
          <w:szCs w:val="32"/>
          <w:highlight w:val="none"/>
        </w:rPr>
        <w:t>，</w:t>
      </w:r>
      <w:r>
        <w:rPr>
          <w:rStyle w:val="15"/>
          <w:rFonts w:hint="eastAsia" w:ascii="仿宋_GB2312" w:hAnsi="仿宋_GB2312" w:eastAsia="仿宋_GB2312" w:cs="仿宋_GB2312"/>
          <w:bCs/>
          <w:color w:val="auto"/>
          <w:sz w:val="32"/>
          <w:szCs w:val="32"/>
          <w:highlight w:val="none"/>
        </w:rPr>
        <w:t>完成预算</w:t>
      </w:r>
      <w:r>
        <w:rPr>
          <w:rStyle w:val="15"/>
          <w:rFonts w:hint="eastAsia" w:ascii="仿宋_GB2312" w:hAnsi="仿宋_GB2312" w:eastAsia="仿宋_GB2312" w:cs="仿宋_GB2312"/>
          <w:bCs/>
          <w:color w:val="auto"/>
          <w:sz w:val="32"/>
          <w:szCs w:val="32"/>
          <w:highlight w:val="none"/>
          <w:lang w:val="en-US" w:eastAsia="zh-CN"/>
        </w:rPr>
        <w:t>100</w:t>
      </w:r>
      <w:r>
        <w:rPr>
          <w:rStyle w:val="15"/>
          <w:rFonts w:hint="eastAsia" w:ascii="仿宋_GB2312" w:hAnsi="仿宋_GB2312" w:eastAsia="仿宋_GB2312" w:cs="仿宋_GB2312"/>
          <w:bCs/>
          <w:color w:val="auto"/>
          <w:sz w:val="32"/>
          <w:szCs w:val="32"/>
          <w:highlight w:val="none"/>
        </w:rPr>
        <w:t>%。其中：</w:t>
      </w:r>
      <w:bookmarkEnd w:id="45"/>
      <w:bookmarkEnd w:id="46"/>
      <w:bookmarkEnd w:id="47"/>
      <w:bookmarkEnd w:id="48"/>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rPr>
        <w:t>1.社会保障和就业（类）行政事业单位养老（款） 机关事业单位基本养老保险缴费（项）:</w:t>
      </w:r>
      <w:r>
        <w:rPr>
          <w:rStyle w:val="15"/>
          <w:rFonts w:hint="eastAsia" w:ascii="仿宋_GB2312" w:hAnsi="仿宋_GB2312" w:eastAsia="仿宋_GB2312" w:cs="仿宋_GB2312"/>
          <w:b w:val="0"/>
          <w:bCs/>
          <w:color w:val="auto"/>
          <w:sz w:val="32"/>
          <w:szCs w:val="32"/>
          <w:highlight w:val="none"/>
        </w:rPr>
        <w:t xml:space="preserve"> 支出决算为5</w:t>
      </w:r>
      <w:r>
        <w:rPr>
          <w:rStyle w:val="15"/>
          <w:rFonts w:hint="eastAsia" w:ascii="仿宋_GB2312" w:hAnsi="仿宋_GB2312" w:eastAsia="仿宋_GB2312" w:cs="仿宋_GB2312"/>
          <w:b w:val="0"/>
          <w:bCs/>
          <w:color w:val="auto"/>
          <w:sz w:val="32"/>
          <w:szCs w:val="32"/>
          <w:highlight w:val="none"/>
          <w:lang w:val="en-US" w:eastAsia="zh-CN"/>
        </w:rPr>
        <w:t>1.46</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2</w:t>
      </w:r>
      <w:r>
        <w:rPr>
          <w:rStyle w:val="15"/>
          <w:rFonts w:hint="eastAsia" w:ascii="仿宋_GB2312" w:hAnsi="仿宋_GB2312" w:eastAsia="仿宋_GB2312" w:cs="仿宋_GB2312"/>
          <w:bCs/>
          <w:color w:val="auto"/>
          <w:sz w:val="32"/>
          <w:szCs w:val="32"/>
          <w:highlight w:val="none"/>
        </w:rPr>
        <w:t>.社会保障和就业（类）其他社会保障和就业（款） 其他社会保障和就业（项）:</w:t>
      </w:r>
      <w:r>
        <w:rPr>
          <w:rStyle w:val="15"/>
          <w:rFonts w:hint="eastAsia" w:ascii="仿宋_GB2312" w:hAnsi="仿宋_GB2312" w:eastAsia="仿宋_GB2312" w:cs="仿宋_GB2312"/>
          <w:b w:val="0"/>
          <w:bCs/>
          <w:color w:val="auto"/>
          <w:sz w:val="32"/>
          <w:szCs w:val="32"/>
          <w:highlight w:val="none"/>
        </w:rPr>
        <w:t xml:space="preserve"> 支出决算为2.91万元，完成预算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3</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卫生健康</w:t>
      </w:r>
      <w:r>
        <w:rPr>
          <w:rStyle w:val="15"/>
          <w:rFonts w:hint="eastAsia" w:ascii="仿宋_GB2312" w:hAnsi="仿宋_GB2312" w:eastAsia="仿宋_GB2312" w:cs="仿宋_GB2312"/>
          <w:bCs/>
          <w:color w:val="auto"/>
          <w:sz w:val="32"/>
          <w:szCs w:val="32"/>
          <w:highlight w:val="none"/>
        </w:rPr>
        <w:t>（类）公共卫生（款）突发公共卫生事件应急处理（项）:</w:t>
      </w:r>
      <w:r>
        <w:rPr>
          <w:rStyle w:val="15"/>
          <w:rFonts w:hint="eastAsia" w:ascii="仿宋_GB2312" w:hAnsi="仿宋_GB2312" w:eastAsia="仿宋_GB2312" w:cs="仿宋_GB2312"/>
          <w:b w:val="0"/>
          <w:bCs/>
          <w:color w:val="auto"/>
          <w:sz w:val="32"/>
          <w:szCs w:val="32"/>
          <w:highlight w:val="none"/>
        </w:rPr>
        <w:t>支出决算为28万元，完成预算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4.</w:t>
      </w:r>
      <w:r>
        <w:rPr>
          <w:rFonts w:hint="eastAsia" w:ascii="仿宋_GB2312" w:hAnsi="仿宋_GB2312" w:eastAsia="仿宋_GB2312" w:cs="仿宋_GB2312"/>
          <w:b/>
          <w:bCs/>
          <w:color w:val="auto"/>
          <w:sz w:val="32"/>
          <w:szCs w:val="32"/>
          <w:highlight w:val="none"/>
        </w:rPr>
        <w:t>卫生健康</w:t>
      </w:r>
      <w:r>
        <w:rPr>
          <w:rStyle w:val="15"/>
          <w:rFonts w:hint="eastAsia" w:ascii="仿宋_GB2312" w:hAnsi="仿宋_GB2312" w:eastAsia="仿宋_GB2312" w:cs="仿宋_GB2312"/>
          <w:bCs/>
          <w:color w:val="auto"/>
          <w:sz w:val="32"/>
          <w:szCs w:val="32"/>
          <w:highlight w:val="none"/>
        </w:rPr>
        <w:t>（类）行政事业单位医疗（款）行政单位医疗（项）:</w:t>
      </w:r>
      <w:r>
        <w:rPr>
          <w:rStyle w:val="15"/>
          <w:rFonts w:hint="eastAsia" w:ascii="仿宋_GB2312" w:hAnsi="仿宋_GB2312" w:eastAsia="仿宋_GB2312" w:cs="仿宋_GB2312"/>
          <w:b w:val="0"/>
          <w:bCs/>
          <w:color w:val="auto"/>
          <w:sz w:val="32"/>
          <w:szCs w:val="32"/>
          <w:highlight w:val="none"/>
        </w:rPr>
        <w:t>支出决算为13.68万元，完成预算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5</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卫生健康</w:t>
      </w:r>
      <w:r>
        <w:rPr>
          <w:rStyle w:val="15"/>
          <w:rFonts w:hint="eastAsia" w:ascii="仿宋_GB2312" w:hAnsi="仿宋_GB2312" w:eastAsia="仿宋_GB2312" w:cs="仿宋_GB2312"/>
          <w:bCs/>
          <w:color w:val="auto"/>
          <w:sz w:val="32"/>
          <w:szCs w:val="32"/>
          <w:highlight w:val="none"/>
        </w:rPr>
        <w:t>（类）行政事业单位医疗（款）事业单位医疗（项）:</w:t>
      </w:r>
      <w:r>
        <w:rPr>
          <w:rStyle w:val="15"/>
          <w:rFonts w:hint="eastAsia" w:ascii="仿宋_GB2312" w:hAnsi="仿宋_GB2312" w:eastAsia="仿宋_GB2312" w:cs="仿宋_GB2312"/>
          <w:b w:val="0"/>
          <w:bCs/>
          <w:color w:val="auto"/>
          <w:sz w:val="32"/>
          <w:szCs w:val="32"/>
          <w:highlight w:val="none"/>
        </w:rPr>
        <w:t>支出决算为1</w:t>
      </w:r>
      <w:r>
        <w:rPr>
          <w:rStyle w:val="15"/>
          <w:rFonts w:hint="eastAsia" w:ascii="仿宋_GB2312" w:hAnsi="仿宋_GB2312" w:eastAsia="仿宋_GB2312" w:cs="仿宋_GB2312"/>
          <w:b w:val="0"/>
          <w:bCs/>
          <w:color w:val="auto"/>
          <w:sz w:val="32"/>
          <w:szCs w:val="32"/>
          <w:highlight w:val="none"/>
          <w:lang w:val="en-US" w:eastAsia="zh-CN"/>
        </w:rPr>
        <w:t>0.96</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6</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节能环保支出</w:t>
      </w:r>
      <w:r>
        <w:rPr>
          <w:rStyle w:val="15"/>
          <w:rFonts w:hint="eastAsia" w:ascii="仿宋_GB2312" w:hAnsi="仿宋_GB2312" w:eastAsia="仿宋_GB2312" w:cs="仿宋_GB2312"/>
          <w:bCs/>
          <w:color w:val="auto"/>
          <w:sz w:val="32"/>
          <w:szCs w:val="32"/>
          <w:highlight w:val="none"/>
        </w:rPr>
        <w:t>（类）污染防治（款）其他污染防治支出（项）: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447</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7.</w:t>
      </w:r>
      <w:r>
        <w:rPr>
          <w:rFonts w:hint="eastAsia" w:ascii="仿宋_GB2312" w:hAnsi="仿宋_GB2312" w:eastAsia="仿宋_GB2312" w:cs="仿宋_GB2312"/>
          <w:b/>
          <w:bCs/>
          <w:color w:val="auto"/>
          <w:sz w:val="32"/>
          <w:szCs w:val="32"/>
          <w:highlight w:val="none"/>
        </w:rPr>
        <w:t>农林水</w:t>
      </w:r>
      <w:r>
        <w:rPr>
          <w:rStyle w:val="15"/>
          <w:rFonts w:hint="eastAsia" w:ascii="仿宋_GB2312" w:hAnsi="仿宋_GB2312" w:eastAsia="仿宋_GB2312" w:cs="仿宋_GB2312"/>
          <w:bCs/>
          <w:color w:val="auto"/>
          <w:sz w:val="32"/>
          <w:szCs w:val="32"/>
          <w:highlight w:val="none"/>
        </w:rPr>
        <w:t>（类）扶贫（款）其他扶贫支出（项）: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1.5</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8</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住房保障</w:t>
      </w:r>
      <w:r>
        <w:rPr>
          <w:rStyle w:val="15"/>
          <w:rFonts w:hint="eastAsia" w:ascii="仿宋_GB2312" w:hAnsi="仿宋_GB2312" w:eastAsia="仿宋_GB2312" w:cs="仿宋_GB2312"/>
          <w:bCs/>
          <w:color w:val="auto"/>
          <w:sz w:val="32"/>
          <w:szCs w:val="32"/>
          <w:highlight w:val="none"/>
        </w:rPr>
        <w:t>（类）住房改革（款） 住房公积金（项）:</w:t>
      </w:r>
      <w:r>
        <w:rPr>
          <w:rStyle w:val="15"/>
          <w:rFonts w:hint="eastAsia" w:ascii="仿宋_GB2312" w:hAnsi="仿宋_GB2312" w:eastAsia="仿宋_GB2312" w:cs="仿宋_GB2312"/>
          <w:b w:val="0"/>
          <w:bCs/>
          <w:color w:val="auto"/>
          <w:sz w:val="32"/>
          <w:szCs w:val="32"/>
          <w:highlight w:val="none"/>
        </w:rPr>
        <w:t>支出决算为5</w:t>
      </w:r>
      <w:r>
        <w:rPr>
          <w:rStyle w:val="15"/>
          <w:rFonts w:hint="eastAsia" w:ascii="仿宋_GB2312" w:hAnsi="仿宋_GB2312" w:eastAsia="仿宋_GB2312" w:cs="仿宋_GB2312"/>
          <w:b w:val="0"/>
          <w:bCs/>
          <w:color w:val="auto"/>
          <w:sz w:val="32"/>
          <w:szCs w:val="32"/>
          <w:highlight w:val="none"/>
          <w:lang w:val="en-US" w:eastAsia="zh-CN"/>
        </w:rPr>
        <w:t>0.6</w:t>
      </w:r>
      <w:r>
        <w:rPr>
          <w:rStyle w:val="15"/>
          <w:rFonts w:hint="eastAsia" w:ascii="仿宋_GB2312" w:hAnsi="仿宋_GB2312" w:eastAsia="仿宋_GB2312" w:cs="仿宋_GB2312"/>
          <w:b w:val="0"/>
          <w:bCs/>
          <w:color w:val="auto"/>
          <w:sz w:val="32"/>
          <w:szCs w:val="32"/>
          <w:highlight w:val="none"/>
        </w:rPr>
        <w:t>6万元，完成预算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9</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（类）应急管理事务（款）行政运行（项）:</w:t>
      </w:r>
      <w:r>
        <w:rPr>
          <w:rStyle w:val="15"/>
          <w:rFonts w:hint="eastAsia" w:ascii="仿宋_GB2312" w:hAnsi="仿宋_GB2312" w:eastAsia="仿宋_GB2312" w:cs="仿宋_GB2312"/>
          <w:b w:val="0"/>
          <w:bCs/>
          <w:color w:val="auto"/>
          <w:sz w:val="32"/>
          <w:szCs w:val="32"/>
          <w:highlight w:val="none"/>
        </w:rPr>
        <w:t>支出决算为325.68万元，完成预算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10</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（类）应急管理事务（款）灾害风险防治（项）:</w:t>
      </w:r>
      <w:r>
        <w:rPr>
          <w:rStyle w:val="15"/>
          <w:rFonts w:hint="eastAsia" w:ascii="仿宋_GB2312" w:hAnsi="仿宋_GB2312" w:eastAsia="仿宋_GB2312" w:cs="仿宋_GB2312"/>
          <w:b w:val="0"/>
          <w:bCs/>
          <w:color w:val="auto"/>
          <w:sz w:val="32"/>
          <w:szCs w:val="32"/>
          <w:highlight w:val="none"/>
        </w:rPr>
        <w:t>支出决算为22万元，完成预算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11</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（类）应急管理事务（款）安全监管（项）: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20</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12</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（类）应急管理事务（款）应急救援（项）: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16</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（类）应急管理事务（款）应急管理（项）: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8</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13</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（类）应急管理事务（款）事业运行（项）: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218.29</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14</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（类）应急管理事务（款）其他应急管理支出（项）: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342.87</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15</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（类）矿山安全（款）矿山安全监察事务（项）: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3.2</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16</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（类）自然灾害防治（款）森林草原防灾减灾（项）: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22.47</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17</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（类）自然灾害救灾及恢复重建支出（款）自然灾害救灾补助（项）: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1820</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18</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（类）自然灾害救灾及恢复重建支出（款）其他自然灾害救灾及恢复重建支出（项）: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40</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3" w:firstLineChars="200"/>
        <w:rPr>
          <w:rStyle w:val="15"/>
          <w:rFonts w:hint="eastAsia" w:ascii="仿宋_GB2312" w:hAnsi="仿宋_GB2312" w:eastAsia="仿宋_GB2312" w:cs="仿宋_GB2312"/>
          <w:b w:val="0"/>
          <w:bCs/>
          <w:color w:val="auto"/>
          <w:sz w:val="32"/>
          <w:szCs w:val="32"/>
          <w:highlight w:val="none"/>
        </w:rPr>
      </w:pPr>
      <w:r>
        <w:rPr>
          <w:rStyle w:val="15"/>
          <w:rFonts w:hint="eastAsia" w:ascii="仿宋_GB2312" w:hAnsi="仿宋_GB2312" w:eastAsia="仿宋_GB2312" w:cs="仿宋_GB2312"/>
          <w:bCs/>
          <w:color w:val="auto"/>
          <w:sz w:val="32"/>
          <w:szCs w:val="32"/>
          <w:highlight w:val="none"/>
          <w:lang w:val="en-US" w:eastAsia="zh-CN"/>
        </w:rPr>
        <w:t>19</w:t>
      </w:r>
      <w:r>
        <w:rPr>
          <w:rStyle w:val="15"/>
          <w:rFonts w:hint="eastAsia" w:ascii="仿宋_GB2312" w:hAnsi="仿宋_GB2312" w:eastAsia="仿宋_GB2312" w:cs="仿宋_GB2312"/>
          <w:bCs/>
          <w:color w:val="auto"/>
          <w:sz w:val="32"/>
          <w:szCs w:val="32"/>
          <w:highlight w:val="none"/>
        </w:rPr>
        <w:t>.</w:t>
      </w:r>
      <w:r>
        <w:rPr>
          <w:rFonts w:hint="eastAsia" w:ascii="仿宋_GB2312" w:hAnsi="仿宋_GB2312" w:eastAsia="仿宋_GB2312" w:cs="仿宋_GB2312"/>
          <w:b/>
          <w:bCs/>
          <w:color w:val="auto"/>
          <w:sz w:val="32"/>
          <w:szCs w:val="32"/>
          <w:highlight w:val="none"/>
        </w:rPr>
        <w:t>灾害防治及应急管理</w:t>
      </w:r>
      <w:r>
        <w:rPr>
          <w:rStyle w:val="15"/>
          <w:rFonts w:hint="eastAsia" w:ascii="仿宋_GB2312" w:hAnsi="仿宋_GB2312" w:eastAsia="仿宋_GB2312" w:cs="仿宋_GB2312"/>
          <w:bCs/>
          <w:color w:val="auto"/>
          <w:sz w:val="32"/>
          <w:szCs w:val="32"/>
          <w:highlight w:val="none"/>
        </w:rPr>
        <w:t>（类）其他灾害防治及应急管理（款）其他灾害防治及应急管理（项）:</w:t>
      </w:r>
      <w:r>
        <w:rPr>
          <w:rStyle w:val="15"/>
          <w:rFonts w:hint="eastAsia" w:ascii="仿宋_GB2312" w:hAnsi="仿宋_GB2312" w:eastAsia="仿宋_GB2312" w:cs="仿宋_GB2312"/>
          <w:b w:val="0"/>
          <w:bCs/>
          <w:color w:val="auto"/>
          <w:sz w:val="32"/>
          <w:szCs w:val="32"/>
          <w:highlight w:val="none"/>
        </w:rPr>
        <w:t>支出决算为</w:t>
      </w:r>
      <w:r>
        <w:rPr>
          <w:rStyle w:val="15"/>
          <w:rFonts w:hint="eastAsia" w:ascii="仿宋_GB2312" w:hAnsi="仿宋_GB2312" w:eastAsia="仿宋_GB2312" w:cs="仿宋_GB2312"/>
          <w:b w:val="0"/>
          <w:bCs/>
          <w:color w:val="auto"/>
          <w:sz w:val="32"/>
          <w:szCs w:val="32"/>
          <w:highlight w:val="none"/>
          <w:lang w:val="en-US" w:eastAsia="zh-CN"/>
        </w:rPr>
        <w:t>273.3</w:t>
      </w:r>
      <w:r>
        <w:rPr>
          <w:rStyle w:val="15"/>
          <w:rFonts w:hint="eastAsia" w:ascii="仿宋_GB2312" w:hAnsi="仿宋_GB2312" w:eastAsia="仿宋_GB2312" w:cs="仿宋_GB2312"/>
          <w:b w:val="0"/>
          <w:bCs/>
          <w:color w:val="auto"/>
          <w:sz w:val="32"/>
          <w:szCs w:val="32"/>
          <w:highlight w:val="none"/>
        </w:rPr>
        <w:t>万元，完成预算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0"/>
        <w:rPr>
          <w:rFonts w:ascii="仿宋" w:hAnsi="仿宋" w:eastAsia="仿宋"/>
          <w:b/>
          <w:color w:val="auto"/>
          <w:sz w:val="32"/>
          <w:szCs w:val="32"/>
          <w:highlight w:val="none"/>
        </w:rPr>
      </w:pPr>
    </w:p>
    <w:p>
      <w:pPr>
        <w:tabs>
          <w:tab w:val="right" w:pos="8306"/>
        </w:tabs>
        <w:spacing w:line="600" w:lineRule="exact"/>
        <w:ind w:firstLine="640"/>
        <w:outlineLvl w:val="1"/>
        <w:rPr>
          <w:rStyle w:val="26"/>
          <w:color w:val="auto"/>
          <w:highlight w:val="none"/>
        </w:rPr>
      </w:pPr>
      <w:bookmarkStart w:id="49" w:name="_Toc15396608"/>
      <w:bookmarkStart w:id="50" w:name="_Toc15377214"/>
      <w:bookmarkStart w:id="51" w:name="_Toc11375"/>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6"/>
          <w:rFonts w:hint="eastAsia" w:ascii="黑体" w:hAnsi="黑体" w:eastAsia="黑体"/>
          <w:b w:val="0"/>
          <w:color w:val="auto"/>
          <w:highlight w:val="none"/>
        </w:rPr>
        <w:t>般公共预算财政拨款基本支出决算情况说明</w:t>
      </w:r>
      <w:bookmarkEnd w:id="49"/>
      <w:bookmarkEnd w:id="50"/>
      <w:bookmarkEnd w:id="51"/>
      <w:r>
        <w:rPr>
          <w:rStyle w:val="26"/>
          <w:rFonts w:ascii="黑体" w:hAnsi="黑体" w:eastAsia="黑体"/>
          <w:b w:val="0"/>
          <w:color w:val="auto"/>
          <w:highlight w:val="none"/>
        </w:rPr>
        <w:tab/>
      </w:r>
    </w:p>
    <w:p>
      <w:pPr>
        <w:spacing w:line="600" w:lineRule="exact"/>
        <w:ind w:firstLine="645"/>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年一般公共预算财政拨款基本支出673.65万元，其中：</w:t>
      </w:r>
    </w:p>
    <w:p>
      <w:pPr>
        <w:spacing w:line="600" w:lineRule="exact"/>
        <w:ind w:firstLine="645"/>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人员经费611.82万元，主要包括：基本工资、津贴补贴、奖金、绩效工资、机关事业单位基本养老保险缴费、其他社会保障缴费、其他工资福利支出、生活补助、奖励金、住房公积金等。</w:t>
      </w:r>
      <w:r>
        <w:rPr>
          <w:rFonts w:hint="eastAsia" w:ascii="仿宋_GB2312" w:hAnsi="仿宋_GB2312" w:eastAsia="仿宋_GB2312" w:cs="仿宋_GB2312"/>
          <w:color w:val="auto"/>
          <w:sz w:val="32"/>
          <w:szCs w:val="32"/>
          <w:highlight w:val="none"/>
        </w:rPr>
        <w:br w:type="textWrapping"/>
      </w:r>
      <w:r>
        <w:rPr>
          <w:rFonts w:hint="eastAsia" w:ascii="仿宋_GB2312" w:hAnsi="仿宋_GB2312" w:eastAsia="仿宋_GB2312" w:cs="仿宋_GB2312"/>
          <w:color w:val="auto"/>
          <w:sz w:val="32"/>
          <w:szCs w:val="32"/>
          <w:highlight w:val="none"/>
        </w:rPr>
        <w:t>　　公用经费61.82万元，主要包括：办公费、印刷费、水费、电费、邮电费、差旅费、维修（护）费、租赁费、会议费、培训费、公务接待费、公务用车运行维护费、其他交通费等。</w:t>
      </w:r>
    </w:p>
    <w:p>
      <w:pPr>
        <w:spacing w:line="600" w:lineRule="exact"/>
        <w:ind w:firstLine="640"/>
        <w:rPr>
          <w:rFonts w:hint="eastAsia" w:ascii="仿宋_GB2312" w:hAnsi="仿宋_GB2312" w:eastAsia="仿宋_GB2312" w:cs="仿宋_GB2312"/>
          <w:b/>
          <w:color w:val="auto"/>
          <w:sz w:val="32"/>
          <w:szCs w:val="32"/>
          <w:highlight w:val="none"/>
        </w:rPr>
      </w:pPr>
    </w:p>
    <w:p>
      <w:pPr>
        <w:spacing w:line="600" w:lineRule="exact"/>
        <w:ind w:firstLine="640"/>
        <w:outlineLvl w:val="1"/>
        <w:rPr>
          <w:rStyle w:val="26"/>
          <w:rFonts w:ascii="黑体" w:hAnsi="黑体" w:eastAsia="黑体"/>
          <w:b w:val="0"/>
          <w:color w:val="auto"/>
          <w:highlight w:val="none"/>
        </w:rPr>
      </w:pPr>
      <w:bookmarkStart w:id="52" w:name="_Toc15396609"/>
      <w:bookmarkStart w:id="53" w:name="_Toc15377215"/>
      <w:bookmarkStart w:id="54" w:name="_Toc21584"/>
      <w:r>
        <w:rPr>
          <w:rFonts w:hint="eastAsia" w:ascii="黑体" w:eastAsia="黑体"/>
          <w:color w:val="auto"/>
          <w:sz w:val="32"/>
          <w:szCs w:val="32"/>
          <w:highlight w:val="none"/>
        </w:rPr>
        <w:t>七、</w:t>
      </w:r>
      <w:r>
        <w:rPr>
          <w:rStyle w:val="26"/>
          <w:rFonts w:hint="eastAsia" w:ascii="黑体" w:hAnsi="黑体" w:eastAsia="黑体"/>
          <w:b w:val="0"/>
          <w:color w:val="auto"/>
          <w:highlight w:val="none"/>
        </w:rPr>
        <w:t>财政拨款</w:t>
      </w:r>
      <w:r>
        <w:rPr>
          <w:rStyle w:val="26"/>
          <w:rFonts w:hint="eastAsia" w:ascii="黑体" w:hAnsi="黑体" w:eastAsia="黑体"/>
          <w:color w:val="auto"/>
          <w:highlight w:val="none"/>
        </w:rPr>
        <w:t>“</w:t>
      </w:r>
      <w:r>
        <w:rPr>
          <w:rStyle w:val="26"/>
          <w:rFonts w:hint="eastAsia" w:ascii="黑体" w:hAnsi="黑体" w:eastAsia="黑体"/>
          <w:b w:val="0"/>
          <w:color w:val="auto"/>
          <w:highlight w:val="none"/>
        </w:rPr>
        <w:t>三公”经费支出决算情况说明</w:t>
      </w:r>
      <w:bookmarkEnd w:id="52"/>
      <w:bookmarkEnd w:id="53"/>
      <w:bookmarkEnd w:id="54"/>
    </w:p>
    <w:p>
      <w:pPr>
        <w:spacing w:line="600" w:lineRule="exact"/>
        <w:ind w:firstLine="640"/>
        <w:outlineLvl w:val="2"/>
        <w:rPr>
          <w:rFonts w:hint="eastAsia" w:ascii="仿宋_GB2312" w:hAnsi="仿宋_GB2312" w:eastAsia="仿宋_GB2312" w:cs="仿宋_GB2312"/>
          <w:b/>
          <w:color w:val="auto"/>
          <w:sz w:val="32"/>
          <w:szCs w:val="32"/>
          <w:highlight w:val="none"/>
        </w:rPr>
      </w:pPr>
      <w:bookmarkStart w:id="55" w:name="_Toc15377216"/>
      <w:r>
        <w:rPr>
          <w:rFonts w:hint="eastAsia" w:ascii="仿宋_GB2312" w:hAnsi="仿宋_GB2312" w:eastAsia="仿宋_GB2312" w:cs="仿宋_GB2312"/>
          <w:b/>
          <w:color w:val="auto"/>
          <w:sz w:val="32"/>
          <w:szCs w:val="32"/>
          <w:highlight w:val="none"/>
        </w:rPr>
        <w:t>（一）“三公”经费财政拨款支出决算总体情况说明</w:t>
      </w:r>
      <w:bookmarkEnd w:id="55"/>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年“三公”经费财政拨款支出决算为</w:t>
      </w:r>
      <w:r>
        <w:rPr>
          <w:rFonts w:hint="eastAsia" w:ascii="仿宋_GB2312" w:hAnsi="仿宋_GB2312" w:eastAsia="仿宋_GB2312" w:cs="仿宋_GB2312"/>
          <w:color w:val="auto"/>
          <w:sz w:val="32"/>
          <w:szCs w:val="32"/>
          <w:highlight w:val="none"/>
          <w:lang w:val="en-US" w:eastAsia="zh-CN"/>
        </w:rPr>
        <w:t>7.5</w:t>
      </w:r>
      <w:r>
        <w:rPr>
          <w:rFonts w:hint="eastAsia" w:ascii="仿宋_GB2312" w:hAnsi="仿宋_GB2312" w:eastAsia="仿宋_GB2312" w:cs="仿宋_GB2312"/>
          <w:color w:val="auto"/>
          <w:sz w:val="32"/>
          <w:szCs w:val="32"/>
          <w:highlight w:val="none"/>
        </w:rPr>
        <w:t>万元，完成预算</w:t>
      </w:r>
      <w:r>
        <w:rPr>
          <w:rFonts w:hint="eastAsia" w:ascii="仿宋_GB2312" w:hAnsi="仿宋_GB2312" w:eastAsia="仿宋_GB2312" w:cs="仿宋_GB2312"/>
          <w:color w:val="auto"/>
          <w:sz w:val="32"/>
          <w:szCs w:val="32"/>
          <w:highlight w:val="none"/>
          <w:lang w:val="en-US" w:eastAsia="zh-CN"/>
        </w:rPr>
        <w:t>100</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较上年增加</w:t>
      </w:r>
      <w:r>
        <w:rPr>
          <w:rFonts w:hint="eastAsia" w:ascii="仿宋_GB2312" w:hAnsi="仿宋_GB2312" w:eastAsia="仿宋_GB2312" w:cs="仿宋_GB2312"/>
          <w:bCs/>
          <w:color w:val="auto"/>
          <w:sz w:val="32"/>
          <w:szCs w:val="32"/>
          <w:lang w:val="en-US" w:eastAsia="zh-CN"/>
        </w:rPr>
        <w:t>增加0.45万元，增长6.33%。增长原因为单位业务增加导致公务用车频次增加，公车运行维护费增长</w:t>
      </w:r>
      <w:r>
        <w:rPr>
          <w:rFonts w:hint="eastAsia" w:ascii="仿宋_GB2312" w:hAnsi="仿宋_GB2312" w:eastAsia="仿宋_GB2312" w:cs="仿宋_GB2312"/>
          <w:color w:val="auto"/>
          <w:sz w:val="32"/>
          <w:szCs w:val="32"/>
          <w:highlight w:val="none"/>
        </w:rPr>
        <w:t>。</w:t>
      </w:r>
    </w:p>
    <w:p>
      <w:pPr>
        <w:spacing w:line="600" w:lineRule="exact"/>
        <w:ind w:firstLine="640"/>
        <w:outlineLvl w:val="2"/>
        <w:rPr>
          <w:rFonts w:hint="eastAsia" w:ascii="仿宋_GB2312" w:hAnsi="仿宋_GB2312" w:eastAsia="仿宋_GB2312" w:cs="仿宋_GB2312"/>
          <w:b/>
          <w:color w:val="auto"/>
          <w:sz w:val="32"/>
          <w:szCs w:val="32"/>
          <w:highlight w:val="none"/>
        </w:rPr>
      </w:pPr>
      <w:bookmarkStart w:id="56" w:name="_Toc15377217"/>
      <w:r>
        <w:rPr>
          <w:rFonts w:hint="eastAsia" w:ascii="仿宋_GB2312" w:hAnsi="仿宋_GB2312" w:eastAsia="仿宋_GB2312" w:cs="仿宋_GB2312"/>
          <w:b/>
          <w:color w:val="auto"/>
          <w:sz w:val="32"/>
          <w:szCs w:val="32"/>
          <w:highlight w:val="none"/>
        </w:rPr>
        <w:t>（二）“三公”经费财政拨款支出决算具体情况说明</w:t>
      </w:r>
      <w:bookmarkEnd w:id="56"/>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年“三公”经费财政拨款支出决算中，因公出国（境）费支出决算</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万元，占</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%；公务用车购置及运行维护费支出决算</w:t>
      </w:r>
      <w:r>
        <w:rPr>
          <w:rFonts w:hint="eastAsia" w:ascii="仿宋_GB2312" w:hAnsi="仿宋_GB2312" w:eastAsia="仿宋_GB2312" w:cs="仿宋_GB2312"/>
          <w:color w:val="auto"/>
          <w:sz w:val="32"/>
          <w:szCs w:val="32"/>
          <w:highlight w:val="none"/>
          <w:lang w:val="en-US" w:eastAsia="zh-CN"/>
        </w:rPr>
        <w:t>2.5</w:t>
      </w:r>
      <w:r>
        <w:rPr>
          <w:rFonts w:hint="eastAsia" w:ascii="仿宋_GB2312" w:hAnsi="仿宋_GB2312" w:eastAsia="仿宋_GB2312" w:cs="仿宋_GB2312"/>
          <w:color w:val="auto"/>
          <w:sz w:val="32"/>
          <w:szCs w:val="32"/>
          <w:highlight w:val="none"/>
        </w:rPr>
        <w:t>万元，占</w:t>
      </w:r>
      <w:r>
        <w:rPr>
          <w:rFonts w:hint="eastAsia" w:ascii="仿宋_GB2312" w:hAnsi="仿宋_GB2312" w:eastAsia="仿宋_GB2312" w:cs="仿宋_GB2312"/>
          <w:color w:val="auto"/>
          <w:sz w:val="32"/>
          <w:szCs w:val="32"/>
          <w:highlight w:val="none"/>
          <w:lang w:val="en-US" w:eastAsia="zh-CN"/>
        </w:rPr>
        <w:t>33.33</w:t>
      </w:r>
      <w:r>
        <w:rPr>
          <w:rFonts w:hint="eastAsia" w:ascii="仿宋_GB2312" w:hAnsi="仿宋_GB2312" w:eastAsia="仿宋_GB2312" w:cs="仿宋_GB2312"/>
          <w:color w:val="auto"/>
          <w:sz w:val="32"/>
          <w:szCs w:val="32"/>
          <w:highlight w:val="none"/>
        </w:rPr>
        <w:t>%；公务接待费支出决算</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万元，占</w:t>
      </w:r>
      <w:r>
        <w:rPr>
          <w:rFonts w:hint="eastAsia" w:ascii="仿宋_GB2312" w:hAnsi="仿宋_GB2312" w:eastAsia="仿宋_GB2312" w:cs="仿宋_GB2312"/>
          <w:color w:val="auto"/>
          <w:sz w:val="32"/>
          <w:szCs w:val="32"/>
          <w:highlight w:val="none"/>
          <w:lang w:val="en-US" w:eastAsia="zh-CN"/>
        </w:rPr>
        <w:t>66.67</w:t>
      </w:r>
      <w:r>
        <w:rPr>
          <w:rFonts w:hint="eastAsia" w:ascii="仿宋_GB2312" w:hAnsi="仿宋_GB2312" w:eastAsia="仿宋_GB2312" w:cs="仿宋_GB2312"/>
          <w:color w:val="auto"/>
          <w:sz w:val="32"/>
          <w:szCs w:val="32"/>
          <w:highlight w:val="none"/>
        </w:rPr>
        <w:t>%。具体情况如下：</w:t>
      </w:r>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（图7：“三公”经费财政拨款支出结构）（饼状图）</w:t>
      </w:r>
    </w:p>
    <w:p>
      <w:pPr>
        <w:pStyle w:val="2"/>
        <w:jc w:val="center"/>
        <w:rPr>
          <w:rFonts w:hint="eastAsia" w:ascii="仿宋_GB2312" w:hAnsi="仿宋_GB2312" w:eastAsia="仿宋_GB2312" w:cs="仿宋_GB2312"/>
        </w:rPr>
      </w:pPr>
      <w:r>
        <w:rPr>
          <w:rFonts w:hint="eastAsia" w:ascii="仿宋_GB2312" w:hAnsi="仿宋_GB2312" w:eastAsia="仿宋_GB2312" w:cs="仿宋_GB2312"/>
        </w:rPr>
        <w:drawing>
          <wp:inline distT="0" distB="0" distL="114300" distR="114300">
            <wp:extent cx="4826000" cy="2743200"/>
            <wp:effectExtent l="4445" t="4445" r="15875" b="10795"/>
            <wp:docPr id="1"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pPr>
        <w:spacing w:line="600" w:lineRule="exact"/>
        <w:ind w:firstLine="64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1.因公出国（境）经费支出</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w:t>
      </w:r>
      <w:r>
        <w:rPr>
          <w:rStyle w:val="15"/>
          <w:rFonts w:hint="eastAsia" w:ascii="仿宋_GB2312" w:hAnsi="仿宋_GB2312" w:eastAsia="仿宋_GB2312" w:cs="仿宋_GB2312"/>
          <w:b w:val="0"/>
          <w:bCs/>
          <w:color w:val="auto"/>
          <w:sz w:val="32"/>
          <w:szCs w:val="32"/>
          <w:highlight w:val="none"/>
        </w:rPr>
        <w:t>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p>
    <w:p>
      <w:pPr>
        <w:spacing w:line="600" w:lineRule="exact"/>
        <w:ind w:firstLine="64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2.公务用车购置及运行维护费支出</w:t>
      </w:r>
      <w:r>
        <w:rPr>
          <w:rFonts w:hint="eastAsia" w:ascii="仿宋_GB2312" w:hAnsi="仿宋_GB2312" w:eastAsia="仿宋_GB2312" w:cs="仿宋_GB2312"/>
          <w:color w:val="auto"/>
          <w:sz w:val="32"/>
          <w:szCs w:val="32"/>
          <w:highlight w:val="none"/>
          <w:lang w:val="en-US" w:eastAsia="zh-CN"/>
        </w:rPr>
        <w:t>2.5</w:t>
      </w:r>
      <w:r>
        <w:rPr>
          <w:rFonts w:hint="eastAsia" w:ascii="仿宋_GB2312" w:hAnsi="仿宋_GB2312" w:eastAsia="仿宋_GB2312" w:cs="仿宋_GB2312"/>
          <w:color w:val="auto"/>
          <w:sz w:val="32"/>
          <w:szCs w:val="32"/>
          <w:highlight w:val="none"/>
        </w:rPr>
        <w:t>万元,</w:t>
      </w:r>
      <w:r>
        <w:rPr>
          <w:rStyle w:val="15"/>
          <w:rFonts w:hint="eastAsia" w:ascii="仿宋_GB2312" w:hAnsi="仿宋_GB2312" w:eastAsia="仿宋_GB2312" w:cs="仿宋_GB2312"/>
          <w:b w:val="0"/>
          <w:bCs/>
          <w:color w:val="auto"/>
          <w:sz w:val="32"/>
          <w:szCs w:val="32"/>
          <w:highlight w:val="none"/>
        </w:rPr>
        <w:t>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r>
        <w:rPr>
          <w:rFonts w:hint="eastAsia" w:ascii="仿宋_GB2312" w:hAnsi="仿宋_GB2312" w:eastAsia="仿宋_GB2312" w:cs="仿宋_GB2312"/>
          <w:color w:val="auto"/>
          <w:sz w:val="32"/>
          <w:szCs w:val="32"/>
          <w:highlight w:val="none"/>
        </w:rPr>
        <w:t>公务用车购置及运行维护费支出决算比20</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年增加</w:t>
      </w:r>
      <w:r>
        <w:rPr>
          <w:rFonts w:hint="eastAsia" w:ascii="仿宋_GB2312" w:hAnsi="仿宋_GB2312" w:eastAsia="仿宋_GB2312" w:cs="仿宋_GB2312"/>
          <w:color w:val="auto"/>
          <w:sz w:val="32"/>
          <w:szCs w:val="32"/>
          <w:highlight w:val="none"/>
          <w:lang w:val="en-US" w:eastAsia="zh-CN"/>
        </w:rPr>
        <w:t>0.5</w:t>
      </w:r>
      <w:r>
        <w:rPr>
          <w:rFonts w:hint="eastAsia" w:ascii="仿宋_GB2312" w:hAnsi="仿宋_GB2312" w:eastAsia="仿宋_GB2312" w:cs="仿宋_GB2312"/>
          <w:color w:val="auto"/>
          <w:sz w:val="32"/>
          <w:szCs w:val="32"/>
          <w:highlight w:val="none"/>
        </w:rPr>
        <w:t>万元，增长</w:t>
      </w:r>
      <w:r>
        <w:rPr>
          <w:rFonts w:hint="eastAsia" w:ascii="仿宋_GB2312" w:hAnsi="仿宋_GB2312" w:eastAsia="仿宋_GB2312" w:cs="仿宋_GB2312"/>
          <w:color w:val="auto"/>
          <w:sz w:val="32"/>
          <w:szCs w:val="32"/>
          <w:highlight w:val="none"/>
          <w:lang w:val="en-US" w:eastAsia="zh-CN"/>
        </w:rPr>
        <w:t>25%</w:t>
      </w:r>
      <w:r>
        <w:rPr>
          <w:rFonts w:hint="eastAsia" w:ascii="仿宋_GB2312" w:hAnsi="仿宋_GB2312" w:eastAsia="仿宋_GB2312" w:cs="仿宋_GB2312"/>
          <w:color w:val="auto"/>
          <w:sz w:val="32"/>
          <w:szCs w:val="32"/>
          <w:highlight w:val="none"/>
        </w:rPr>
        <w:t>%。主要原因是</w:t>
      </w:r>
      <w:r>
        <w:rPr>
          <w:rFonts w:hint="eastAsia" w:ascii="仿宋_GB2312" w:hAnsi="仿宋_GB2312" w:eastAsia="仿宋_GB2312" w:cs="仿宋_GB2312"/>
          <w:bCs/>
          <w:color w:val="auto"/>
          <w:sz w:val="32"/>
          <w:szCs w:val="32"/>
          <w:lang w:val="en-US" w:eastAsia="zh-CN"/>
        </w:rPr>
        <w:t>单位业务增加导致公务用车频次增加，公车运行维护费增长</w:t>
      </w:r>
      <w:r>
        <w:rPr>
          <w:rFonts w:hint="eastAsia" w:ascii="仿宋_GB2312" w:hAnsi="仿宋_GB2312" w:eastAsia="仿宋_GB2312" w:cs="仿宋_GB2312"/>
          <w:color w:val="auto"/>
          <w:sz w:val="32"/>
          <w:szCs w:val="32"/>
          <w:highlight w:val="none"/>
        </w:rPr>
        <w:t>。</w:t>
      </w:r>
    </w:p>
    <w:p>
      <w:pPr>
        <w:spacing w:line="600" w:lineRule="exact"/>
        <w:ind w:firstLine="640" w:firstLineChars="200"/>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color w:val="auto"/>
          <w:sz w:val="32"/>
          <w:szCs w:val="32"/>
          <w:highlight w:val="none"/>
        </w:rPr>
        <w:t>其中：</w:t>
      </w:r>
      <w:r>
        <w:rPr>
          <w:rFonts w:hint="eastAsia" w:ascii="仿宋_GB2312" w:hAnsi="仿宋_GB2312" w:eastAsia="仿宋_GB2312" w:cs="仿宋_GB2312"/>
          <w:b/>
          <w:color w:val="auto"/>
          <w:sz w:val="32"/>
          <w:szCs w:val="32"/>
          <w:highlight w:val="none"/>
        </w:rPr>
        <w:t>公务用车购置支出</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万元。全年按规定更新购置公务用车</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辆。截至20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年12月底，单位共有公务用车</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辆，其中：</w:t>
      </w:r>
      <w:r>
        <w:rPr>
          <w:rFonts w:hint="eastAsia" w:ascii="仿宋_GB2312" w:hAnsi="仿宋_GB2312" w:eastAsia="仿宋_GB2312" w:cs="仿宋_GB2312"/>
          <w:color w:val="auto"/>
          <w:sz w:val="32"/>
          <w:szCs w:val="32"/>
          <w:highlight w:val="none"/>
          <w:lang w:eastAsia="zh-CN"/>
        </w:rPr>
        <w:t>皮卡车</w:t>
      </w:r>
      <w:r>
        <w:rPr>
          <w:rFonts w:hint="eastAsia" w:ascii="仿宋_GB2312" w:hAnsi="仿宋_GB2312" w:eastAsia="仿宋_GB2312" w:cs="仿宋_GB2312"/>
          <w:color w:val="auto"/>
          <w:sz w:val="32"/>
          <w:szCs w:val="32"/>
          <w:highlight w:val="none"/>
          <w:lang w:val="en-US" w:eastAsia="zh-CN"/>
        </w:rPr>
        <w:t>2辆</w:t>
      </w:r>
      <w:r>
        <w:rPr>
          <w:rFonts w:hint="eastAsia" w:ascii="仿宋_GB2312" w:hAnsi="仿宋_GB2312" w:eastAsia="仿宋_GB2312" w:cs="仿宋_GB2312"/>
          <w:color w:val="auto"/>
          <w:sz w:val="32"/>
          <w:szCs w:val="32"/>
          <w:highlight w:val="none"/>
        </w:rPr>
        <w:t>。</w:t>
      </w:r>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color w:val="auto"/>
          <w:sz w:val="32"/>
          <w:szCs w:val="32"/>
          <w:highlight w:val="none"/>
        </w:rPr>
        <w:t>公务用车运行维护费支出</w:t>
      </w:r>
      <w:r>
        <w:rPr>
          <w:rFonts w:hint="eastAsia" w:ascii="仿宋_GB2312" w:hAnsi="仿宋_GB2312" w:eastAsia="仿宋_GB2312" w:cs="仿宋_GB2312"/>
          <w:color w:val="auto"/>
          <w:sz w:val="32"/>
          <w:szCs w:val="32"/>
          <w:highlight w:val="none"/>
          <w:lang w:val="en-US" w:eastAsia="zh-CN"/>
        </w:rPr>
        <w:t>2.5</w:t>
      </w:r>
      <w:r>
        <w:rPr>
          <w:rFonts w:hint="eastAsia" w:ascii="仿宋_GB2312" w:hAnsi="仿宋_GB2312" w:eastAsia="仿宋_GB2312" w:cs="仿宋_GB2312"/>
          <w:color w:val="auto"/>
          <w:sz w:val="32"/>
          <w:szCs w:val="32"/>
          <w:highlight w:val="none"/>
        </w:rPr>
        <w:t>万元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主要用于</w:t>
      </w:r>
      <w:r>
        <w:rPr>
          <w:rFonts w:hint="eastAsia" w:ascii="仿宋_GB2312" w:hAnsi="仿宋_GB2312" w:eastAsia="仿宋_GB2312" w:cs="仿宋_GB2312"/>
          <w:color w:val="auto"/>
          <w:sz w:val="32"/>
          <w:szCs w:val="32"/>
          <w:highlight w:val="none"/>
          <w:lang w:eastAsia="zh-CN"/>
        </w:rPr>
        <w:t>安全监管执法以及突发事件应急处置</w:t>
      </w:r>
      <w:r>
        <w:rPr>
          <w:rFonts w:hint="eastAsia" w:ascii="仿宋_GB2312" w:hAnsi="仿宋_GB2312" w:eastAsia="仿宋_GB2312" w:cs="仿宋_GB2312"/>
          <w:color w:val="auto"/>
          <w:sz w:val="32"/>
          <w:szCs w:val="32"/>
          <w:highlight w:val="none"/>
        </w:rPr>
        <w:t>等所需的公务用车燃料费、维修费、过路过桥费、保险费等支出。</w:t>
      </w:r>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color w:val="auto"/>
          <w:sz w:val="32"/>
          <w:szCs w:val="32"/>
          <w:highlight w:val="none"/>
        </w:rPr>
        <w:t>3.公务接待费支出</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万元，</w:t>
      </w:r>
      <w:r>
        <w:rPr>
          <w:rStyle w:val="15"/>
          <w:rFonts w:hint="eastAsia" w:ascii="仿宋_GB2312" w:hAnsi="仿宋_GB2312" w:eastAsia="仿宋_GB2312" w:cs="仿宋_GB2312"/>
          <w:b w:val="0"/>
          <w:bCs/>
          <w:color w:val="auto"/>
          <w:sz w:val="32"/>
          <w:szCs w:val="32"/>
          <w:highlight w:val="none"/>
        </w:rPr>
        <w:t>完成预算</w:t>
      </w:r>
      <w:r>
        <w:rPr>
          <w:rStyle w:val="15"/>
          <w:rFonts w:hint="eastAsia" w:ascii="仿宋_GB2312" w:hAnsi="仿宋_GB2312" w:eastAsia="仿宋_GB2312" w:cs="仿宋_GB2312"/>
          <w:b w:val="0"/>
          <w:bCs/>
          <w:color w:val="auto"/>
          <w:sz w:val="32"/>
          <w:szCs w:val="32"/>
          <w:highlight w:val="none"/>
          <w:lang w:val="en-US" w:eastAsia="zh-CN"/>
        </w:rPr>
        <w:t>100</w:t>
      </w:r>
      <w:r>
        <w:rPr>
          <w:rStyle w:val="15"/>
          <w:rFonts w:hint="eastAsia" w:ascii="仿宋_GB2312" w:hAnsi="仿宋_GB2312" w:eastAsia="仿宋_GB2312" w:cs="仿宋_GB2312"/>
          <w:b w:val="0"/>
          <w:bCs/>
          <w:color w:val="auto"/>
          <w:sz w:val="32"/>
          <w:szCs w:val="32"/>
          <w:highlight w:val="none"/>
        </w:rPr>
        <w:t>%。</w:t>
      </w:r>
      <w:r>
        <w:rPr>
          <w:rFonts w:hint="eastAsia" w:ascii="仿宋_GB2312" w:hAnsi="仿宋_GB2312" w:eastAsia="仿宋_GB2312" w:cs="仿宋_GB2312"/>
          <w:color w:val="auto"/>
          <w:sz w:val="32"/>
          <w:szCs w:val="32"/>
          <w:highlight w:val="none"/>
        </w:rPr>
        <w:t>公务接待费支出决算比20</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年减少</w:t>
      </w:r>
      <w:r>
        <w:rPr>
          <w:rFonts w:hint="eastAsia" w:ascii="仿宋_GB2312" w:hAnsi="仿宋_GB2312" w:eastAsia="仿宋_GB2312" w:cs="仿宋_GB2312"/>
          <w:color w:val="auto"/>
          <w:sz w:val="32"/>
          <w:szCs w:val="32"/>
          <w:highlight w:val="none"/>
          <w:lang w:val="en-US" w:eastAsia="zh-CN"/>
        </w:rPr>
        <w:t>0.05</w:t>
      </w:r>
      <w:r>
        <w:rPr>
          <w:rFonts w:hint="eastAsia" w:ascii="仿宋_GB2312" w:hAnsi="仿宋_GB2312" w:eastAsia="仿宋_GB2312" w:cs="仿宋_GB2312"/>
          <w:color w:val="auto"/>
          <w:sz w:val="32"/>
          <w:szCs w:val="32"/>
          <w:highlight w:val="none"/>
        </w:rPr>
        <w:t>万元，下降</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%。要原因是</w:t>
      </w:r>
      <w:r>
        <w:rPr>
          <w:rFonts w:hint="eastAsia" w:ascii="仿宋_GB2312" w:hAnsi="仿宋_GB2312" w:eastAsia="仿宋_GB2312" w:cs="仿宋_GB2312"/>
          <w:color w:val="auto"/>
          <w:sz w:val="32"/>
          <w:szCs w:val="32"/>
          <w:highlight w:val="none"/>
          <w:lang w:eastAsia="zh-CN"/>
        </w:rPr>
        <w:t>响应国家号召节约公务开支</w:t>
      </w:r>
      <w:r>
        <w:rPr>
          <w:rFonts w:hint="eastAsia" w:ascii="仿宋_GB2312" w:hAnsi="仿宋_GB2312" w:eastAsia="仿宋_GB2312" w:cs="仿宋_GB2312"/>
          <w:color w:val="auto"/>
          <w:sz w:val="32"/>
          <w:szCs w:val="32"/>
          <w:highlight w:val="none"/>
        </w:rPr>
        <w:t>。其中：</w:t>
      </w:r>
    </w:p>
    <w:p>
      <w:pPr>
        <w:spacing w:line="600" w:lineRule="exact"/>
        <w:ind w:firstLine="64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color w:val="auto"/>
          <w:sz w:val="32"/>
          <w:szCs w:val="32"/>
          <w:highlight w:val="none"/>
        </w:rPr>
        <w:t>国内公务接待支出</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万元，主要用于</w:t>
      </w:r>
      <w:r>
        <w:rPr>
          <w:rFonts w:hint="eastAsia" w:ascii="仿宋_GB2312" w:hAnsi="仿宋_GB2312" w:eastAsia="仿宋_GB2312" w:cs="仿宋_GB2312"/>
          <w:color w:val="auto"/>
          <w:sz w:val="32"/>
          <w:szCs w:val="32"/>
          <w:highlight w:val="none"/>
          <w:lang w:eastAsia="zh-CN"/>
        </w:rPr>
        <w:t>迎接国家省市领导督导检查支出的招待费</w:t>
      </w:r>
      <w:r>
        <w:rPr>
          <w:rFonts w:hint="eastAsia" w:ascii="仿宋_GB2312" w:hAnsi="仿宋_GB2312" w:eastAsia="仿宋_GB2312" w:cs="仿宋_GB2312"/>
          <w:color w:val="auto"/>
          <w:sz w:val="32"/>
          <w:szCs w:val="32"/>
          <w:highlight w:val="none"/>
        </w:rPr>
        <w:t>。国内公务接待</w:t>
      </w:r>
      <w:r>
        <w:rPr>
          <w:rFonts w:hint="eastAsia" w:ascii="仿宋_GB2312" w:hAnsi="仿宋_GB2312" w:eastAsia="仿宋_GB2312" w:cs="仿宋_GB2312"/>
          <w:color w:val="auto"/>
          <w:sz w:val="32"/>
          <w:szCs w:val="32"/>
          <w:highlight w:val="none"/>
          <w:lang w:val="en-US" w:eastAsia="zh-CN"/>
        </w:rPr>
        <w:t>43</w:t>
      </w:r>
      <w:r>
        <w:rPr>
          <w:rFonts w:hint="eastAsia" w:ascii="仿宋_GB2312" w:hAnsi="仿宋_GB2312" w:eastAsia="仿宋_GB2312" w:cs="仿宋_GB2312"/>
          <w:color w:val="auto"/>
          <w:sz w:val="32"/>
          <w:szCs w:val="32"/>
          <w:highlight w:val="none"/>
        </w:rPr>
        <w:t>批次，</w:t>
      </w:r>
      <w:r>
        <w:rPr>
          <w:rFonts w:hint="eastAsia" w:ascii="仿宋_GB2312" w:hAnsi="仿宋_GB2312" w:eastAsia="仿宋_GB2312" w:cs="仿宋_GB2312"/>
          <w:color w:val="auto"/>
          <w:sz w:val="32"/>
          <w:szCs w:val="32"/>
          <w:highlight w:val="none"/>
          <w:lang w:val="en-US" w:eastAsia="zh-CN"/>
        </w:rPr>
        <w:t>509</w:t>
      </w:r>
      <w:r>
        <w:rPr>
          <w:rFonts w:hint="eastAsia" w:ascii="仿宋_GB2312" w:hAnsi="仿宋_GB2312" w:eastAsia="仿宋_GB2312" w:cs="仿宋_GB2312"/>
          <w:color w:val="auto"/>
          <w:sz w:val="32"/>
          <w:szCs w:val="32"/>
          <w:highlight w:val="none"/>
        </w:rPr>
        <w:t>人次，共计支出</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万元。</w:t>
      </w:r>
    </w:p>
    <w:p>
      <w:pPr>
        <w:spacing w:line="600" w:lineRule="exact"/>
        <w:ind w:firstLine="643"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color w:val="auto"/>
          <w:sz w:val="32"/>
          <w:szCs w:val="32"/>
          <w:highlight w:val="none"/>
        </w:rPr>
        <w:t>外事接待支出</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w:t>
      </w:r>
    </w:p>
    <w:p>
      <w:pPr>
        <w:spacing w:line="600" w:lineRule="exact"/>
        <w:ind w:firstLine="640"/>
        <w:outlineLvl w:val="9"/>
        <w:rPr>
          <w:rFonts w:ascii="黑体" w:eastAsia="黑体"/>
          <w:color w:val="auto"/>
          <w:sz w:val="32"/>
          <w:szCs w:val="32"/>
          <w:highlight w:val="none"/>
        </w:rPr>
      </w:pPr>
      <w:bookmarkStart w:id="57" w:name="_Toc15377218"/>
      <w:bookmarkStart w:id="58" w:name="_Toc15396610"/>
    </w:p>
    <w:p>
      <w:pPr>
        <w:spacing w:line="600" w:lineRule="exact"/>
        <w:ind w:firstLine="640"/>
        <w:outlineLvl w:val="1"/>
        <w:rPr>
          <w:rStyle w:val="26"/>
          <w:rFonts w:ascii="黑体" w:hAnsi="黑体" w:eastAsia="黑体"/>
          <w:color w:val="auto"/>
          <w:highlight w:val="none"/>
        </w:rPr>
      </w:pPr>
      <w:bookmarkStart w:id="59" w:name="_Toc30004"/>
      <w:r>
        <w:rPr>
          <w:rFonts w:hint="eastAsia" w:ascii="黑体" w:eastAsia="黑体"/>
          <w:color w:val="auto"/>
          <w:sz w:val="32"/>
          <w:szCs w:val="32"/>
          <w:highlight w:val="none"/>
        </w:rPr>
        <w:t>八、</w:t>
      </w:r>
      <w:r>
        <w:rPr>
          <w:rStyle w:val="26"/>
          <w:rFonts w:hint="eastAsia" w:ascii="黑体" w:hAnsi="黑体" w:eastAsia="黑体"/>
          <w:b w:val="0"/>
          <w:color w:val="auto"/>
          <w:highlight w:val="none"/>
        </w:rPr>
        <w:t>政府性基金预算支出决算情况说明</w:t>
      </w:r>
      <w:bookmarkEnd w:id="57"/>
      <w:bookmarkEnd w:id="58"/>
      <w:bookmarkEnd w:id="59"/>
    </w:p>
    <w:p>
      <w:pPr>
        <w:spacing w:line="600" w:lineRule="exact"/>
        <w:ind w:firstLine="64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spacing w:line="600" w:lineRule="exact"/>
        <w:ind w:firstLine="640"/>
        <w:rPr>
          <w:rFonts w:ascii="仿宋_GB2312" w:eastAsia="仿宋_GB2312"/>
          <w:color w:val="auto"/>
          <w:sz w:val="32"/>
          <w:szCs w:val="32"/>
          <w:highlight w:val="none"/>
        </w:rPr>
      </w:pPr>
    </w:p>
    <w:p>
      <w:pPr>
        <w:numPr>
          <w:ilvl w:val="0"/>
          <w:numId w:val="3"/>
        </w:numPr>
        <w:spacing w:line="600" w:lineRule="exact"/>
        <w:ind w:firstLine="640"/>
        <w:outlineLvl w:val="1"/>
        <w:rPr>
          <w:rStyle w:val="26"/>
          <w:rFonts w:ascii="黑体" w:hAnsi="黑体" w:eastAsia="黑体"/>
          <w:b w:val="0"/>
          <w:color w:val="auto"/>
          <w:highlight w:val="none"/>
        </w:rPr>
      </w:pPr>
      <w:bookmarkStart w:id="60" w:name="_Toc15396611"/>
      <w:bookmarkStart w:id="61" w:name="_Toc15377219"/>
      <w:bookmarkStart w:id="62" w:name="_Toc29537"/>
      <w:r>
        <w:rPr>
          <w:rStyle w:val="26"/>
          <w:rFonts w:hint="eastAsia" w:ascii="黑体" w:hAnsi="黑体" w:eastAsia="黑体"/>
          <w:b w:val="0"/>
          <w:color w:val="auto"/>
          <w:highlight w:val="none"/>
        </w:rPr>
        <w:t>国有资本经营预算支出决算情况说明</w:t>
      </w:r>
      <w:bookmarkEnd w:id="60"/>
      <w:bookmarkEnd w:id="61"/>
      <w:bookmarkEnd w:id="62"/>
    </w:p>
    <w:p>
      <w:pPr>
        <w:spacing w:line="600" w:lineRule="exact"/>
        <w:ind w:firstLine="64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spacing w:line="580" w:lineRule="exact"/>
        <w:jc w:val="center"/>
        <w:rPr>
          <w:rFonts w:ascii="方正小标宋简体" w:hAnsi="方正小标宋简体" w:eastAsia="方正小标宋简体" w:cs="方正小标宋简体"/>
          <w:color w:val="auto"/>
          <w:sz w:val="44"/>
          <w:szCs w:val="44"/>
          <w:highlight w:val="none"/>
        </w:rPr>
      </w:pPr>
    </w:p>
    <w:p>
      <w:pPr>
        <w:numPr>
          <w:ilvl w:val="0"/>
          <w:numId w:val="3"/>
        </w:numPr>
        <w:spacing w:line="600" w:lineRule="exact"/>
        <w:ind w:firstLine="640"/>
        <w:outlineLvl w:val="1"/>
        <w:rPr>
          <w:rStyle w:val="26"/>
          <w:rFonts w:hint="eastAsia" w:ascii="黑体" w:hAnsi="黑体" w:eastAsia="黑体"/>
          <w:b w:val="0"/>
          <w:color w:val="auto"/>
          <w:highlight w:val="none"/>
        </w:rPr>
      </w:pPr>
      <w:bookmarkStart w:id="63" w:name="_Toc15396612"/>
      <w:bookmarkStart w:id="64" w:name="_Toc5887"/>
      <w:bookmarkStart w:id="65" w:name="_Toc15377221"/>
      <w:r>
        <w:rPr>
          <w:rStyle w:val="26"/>
          <w:rFonts w:hint="eastAsia" w:ascii="黑体" w:hAnsi="黑体" w:eastAsia="黑体"/>
          <w:b w:val="0"/>
          <w:color w:val="auto"/>
          <w:highlight w:val="none"/>
        </w:rPr>
        <w:t>其他重要事项的情况说明</w:t>
      </w:r>
      <w:bookmarkEnd w:id="63"/>
      <w:bookmarkEnd w:id="64"/>
      <w:bookmarkEnd w:id="65"/>
    </w:p>
    <w:p>
      <w:pPr>
        <w:spacing w:line="600" w:lineRule="exact"/>
        <w:ind w:firstLine="643" w:firstLineChars="200"/>
        <w:outlineLvl w:val="2"/>
        <w:rPr>
          <w:rFonts w:ascii="仿宋" w:hAnsi="仿宋" w:eastAsia="仿宋"/>
          <w:color w:val="auto"/>
          <w:sz w:val="32"/>
          <w:szCs w:val="32"/>
          <w:highlight w:val="none"/>
        </w:rPr>
      </w:pPr>
      <w:bookmarkStart w:id="66" w:name="_Toc15377222"/>
      <w:r>
        <w:rPr>
          <w:rFonts w:hint="eastAsia" w:ascii="仿宋" w:hAnsi="仿宋" w:eastAsia="仿宋"/>
          <w:b/>
          <w:color w:val="auto"/>
          <w:sz w:val="32"/>
          <w:szCs w:val="32"/>
          <w:highlight w:val="none"/>
        </w:rPr>
        <w:t>（一）机关运行经费支出情况</w:t>
      </w:r>
      <w:bookmarkEnd w:id="66"/>
    </w:p>
    <w:p>
      <w:pPr>
        <w:spacing w:line="6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eastAsia="zh-CN"/>
        </w:rPr>
        <w:t>广元市朝天区应急管理局</w:t>
      </w:r>
      <w:r>
        <w:rPr>
          <w:rFonts w:hint="eastAsia" w:ascii="仿宋_GB2312" w:hAnsi="仿宋_GB2312" w:eastAsia="仿宋_GB2312" w:cs="仿宋_GB2312"/>
          <w:color w:val="auto"/>
          <w:sz w:val="32"/>
          <w:szCs w:val="32"/>
          <w:highlight w:val="none"/>
        </w:rPr>
        <w:t>机关运行经费支出</w:t>
      </w:r>
      <w:r>
        <w:rPr>
          <w:rFonts w:hint="eastAsia" w:ascii="仿宋_GB2312" w:hAnsi="仿宋_GB2312" w:eastAsia="仿宋_GB2312" w:cs="仿宋_GB2312"/>
          <w:color w:val="auto"/>
          <w:sz w:val="32"/>
          <w:szCs w:val="32"/>
          <w:highlight w:val="none"/>
          <w:lang w:val="en-US" w:eastAsia="zh-CN"/>
        </w:rPr>
        <w:t>61.82</w:t>
      </w:r>
      <w:r>
        <w:rPr>
          <w:rFonts w:hint="eastAsia" w:ascii="仿宋_GB2312" w:hAnsi="仿宋_GB2312" w:eastAsia="仿宋_GB2312" w:cs="仿宋_GB2312"/>
          <w:color w:val="auto"/>
          <w:sz w:val="32"/>
          <w:szCs w:val="32"/>
          <w:highlight w:val="none"/>
        </w:rPr>
        <w:t>万元，比20</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年增加</w:t>
      </w:r>
      <w:r>
        <w:rPr>
          <w:rFonts w:hint="eastAsia" w:ascii="仿宋_GB2312" w:hAnsi="仿宋_GB2312" w:eastAsia="仿宋_GB2312" w:cs="仿宋_GB2312"/>
          <w:color w:val="auto"/>
          <w:sz w:val="32"/>
          <w:szCs w:val="32"/>
          <w:highlight w:val="none"/>
          <w:lang w:val="en-US" w:eastAsia="zh-CN"/>
        </w:rPr>
        <w:t>14.32</w:t>
      </w:r>
      <w:r>
        <w:rPr>
          <w:rFonts w:hint="eastAsia" w:ascii="仿宋_GB2312" w:hAnsi="仿宋_GB2312" w:eastAsia="仿宋_GB2312" w:cs="仿宋_GB2312"/>
          <w:color w:val="auto"/>
          <w:sz w:val="32"/>
          <w:szCs w:val="32"/>
          <w:highlight w:val="none"/>
        </w:rPr>
        <w:t>万元，增长</w:t>
      </w:r>
      <w:r>
        <w:rPr>
          <w:rFonts w:hint="eastAsia" w:ascii="仿宋_GB2312" w:hAnsi="仿宋_GB2312" w:eastAsia="仿宋_GB2312" w:cs="仿宋_GB2312"/>
          <w:color w:val="auto"/>
          <w:sz w:val="32"/>
          <w:szCs w:val="32"/>
          <w:highlight w:val="none"/>
          <w:lang w:val="en-US" w:eastAsia="zh-CN"/>
        </w:rPr>
        <w:t>30.15</w:t>
      </w:r>
      <w:r>
        <w:rPr>
          <w:rFonts w:hint="eastAsia" w:ascii="仿宋_GB2312" w:hAnsi="仿宋_GB2312" w:eastAsia="仿宋_GB2312" w:cs="仿宋_GB2312"/>
          <w:color w:val="auto"/>
          <w:sz w:val="32"/>
          <w:szCs w:val="32"/>
          <w:highlight w:val="none"/>
        </w:rPr>
        <w:t>%。主要原因是</w:t>
      </w:r>
      <w:r>
        <w:rPr>
          <w:rFonts w:hint="eastAsia" w:ascii="仿宋_GB2312" w:hAnsi="仿宋_GB2312" w:eastAsia="仿宋_GB2312" w:cs="仿宋_GB2312"/>
          <w:color w:val="auto"/>
          <w:sz w:val="32"/>
          <w:szCs w:val="32"/>
          <w:highlight w:val="none"/>
          <w:lang w:eastAsia="zh-CN"/>
        </w:rPr>
        <w:t>部门职工人数增加导致机关运行经费支出增长。</w:t>
      </w:r>
    </w:p>
    <w:p>
      <w:pPr>
        <w:autoSpaceDE w:val="0"/>
        <w:autoSpaceDN w:val="0"/>
        <w:adjustRightInd w:val="0"/>
        <w:spacing w:line="600" w:lineRule="exact"/>
        <w:ind w:firstLine="643" w:firstLineChars="200"/>
        <w:jc w:val="left"/>
        <w:outlineLvl w:val="2"/>
        <w:rPr>
          <w:rFonts w:hint="eastAsia" w:ascii="仿宋_GB2312" w:hAnsi="仿宋_GB2312" w:eastAsia="仿宋_GB2312" w:cs="仿宋_GB2312"/>
          <w:b/>
          <w:color w:val="auto"/>
          <w:sz w:val="32"/>
          <w:szCs w:val="32"/>
          <w:highlight w:val="none"/>
        </w:rPr>
      </w:pPr>
      <w:bookmarkStart w:id="67" w:name="_Toc15377223"/>
      <w:r>
        <w:rPr>
          <w:rFonts w:hint="eastAsia" w:ascii="仿宋_GB2312" w:hAnsi="仿宋_GB2312" w:eastAsia="仿宋_GB2312" w:cs="仿宋_GB2312"/>
          <w:b/>
          <w:color w:val="auto"/>
          <w:sz w:val="32"/>
          <w:szCs w:val="32"/>
          <w:highlight w:val="none"/>
        </w:rPr>
        <w:t>（二）政府采购支出情况</w:t>
      </w:r>
      <w:bookmarkEnd w:id="67"/>
    </w:p>
    <w:p>
      <w:pPr>
        <w:spacing w:line="6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eastAsia="zh-CN"/>
        </w:rPr>
        <w:t>广元市朝天区应急管理局</w:t>
      </w:r>
      <w:r>
        <w:rPr>
          <w:rFonts w:hint="eastAsia" w:ascii="仿宋_GB2312" w:hAnsi="仿宋_GB2312" w:eastAsia="仿宋_GB2312" w:cs="仿宋_GB2312"/>
          <w:color w:val="auto"/>
          <w:sz w:val="32"/>
          <w:szCs w:val="32"/>
          <w:highlight w:val="none"/>
        </w:rPr>
        <w:t>政府采购支出总额</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万元。</w:t>
      </w:r>
    </w:p>
    <w:p>
      <w:pPr>
        <w:autoSpaceDE w:val="0"/>
        <w:autoSpaceDN w:val="0"/>
        <w:adjustRightInd w:val="0"/>
        <w:spacing w:line="600" w:lineRule="exact"/>
        <w:ind w:firstLine="643" w:firstLineChars="200"/>
        <w:jc w:val="left"/>
        <w:outlineLvl w:val="2"/>
        <w:rPr>
          <w:rFonts w:hint="eastAsia" w:ascii="仿宋_GB2312" w:hAnsi="仿宋_GB2312" w:eastAsia="仿宋_GB2312" w:cs="仿宋_GB2312"/>
          <w:b/>
          <w:color w:val="auto"/>
          <w:sz w:val="32"/>
          <w:szCs w:val="32"/>
          <w:highlight w:val="none"/>
        </w:rPr>
      </w:pPr>
      <w:bookmarkStart w:id="68" w:name="_Toc15377224"/>
      <w:r>
        <w:rPr>
          <w:rFonts w:hint="eastAsia" w:ascii="仿宋_GB2312" w:hAnsi="仿宋_GB2312" w:eastAsia="仿宋_GB2312" w:cs="仿宋_GB2312"/>
          <w:b/>
          <w:color w:val="auto"/>
          <w:sz w:val="32"/>
          <w:szCs w:val="32"/>
          <w:highlight w:val="none"/>
        </w:rPr>
        <w:t>（三）国有资产占有使用情况</w:t>
      </w:r>
      <w:bookmarkEnd w:id="68"/>
    </w:p>
    <w:p>
      <w:pPr>
        <w:autoSpaceDE w:val="0"/>
        <w:autoSpaceDN w:val="0"/>
        <w:adjustRightInd w:val="0"/>
        <w:spacing w:line="600" w:lineRule="exact"/>
        <w:ind w:firstLine="640" w:firstLineChars="200"/>
        <w:jc w:val="lef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截至20</w:t>
      </w:r>
      <w:r>
        <w:rPr>
          <w:rFonts w:hint="eastAsia" w:ascii="仿宋_GB2312" w:hAnsi="仿宋_GB2312" w:eastAsia="仿宋_GB2312" w:cs="仿宋_GB2312"/>
          <w:color w:val="auto"/>
          <w:sz w:val="32"/>
          <w:szCs w:val="32"/>
          <w:highlight w:val="none"/>
          <w:lang w:val="en-US" w:eastAsia="zh-CN"/>
        </w:rPr>
        <w:t>22</w:t>
      </w:r>
      <w:r>
        <w:rPr>
          <w:rFonts w:hint="eastAsia" w:ascii="仿宋_GB2312" w:hAnsi="仿宋_GB2312" w:eastAsia="仿宋_GB2312" w:cs="仿宋_GB2312"/>
          <w:color w:val="auto"/>
          <w:sz w:val="32"/>
          <w:szCs w:val="32"/>
          <w:highlight w:val="none"/>
        </w:rPr>
        <w:t>年12月31日，</w:t>
      </w:r>
      <w:r>
        <w:rPr>
          <w:rFonts w:hint="eastAsia" w:ascii="仿宋_GB2312" w:hAnsi="仿宋_GB2312" w:eastAsia="仿宋_GB2312" w:cs="仿宋_GB2312"/>
          <w:color w:val="auto"/>
          <w:sz w:val="32"/>
          <w:szCs w:val="32"/>
          <w:highlight w:val="none"/>
          <w:lang w:eastAsia="zh-CN"/>
        </w:rPr>
        <w:t>广元市朝天区应急管理局</w:t>
      </w:r>
      <w:r>
        <w:rPr>
          <w:rFonts w:hint="eastAsia" w:ascii="仿宋_GB2312" w:hAnsi="仿宋_GB2312" w:eastAsia="仿宋_GB2312" w:cs="仿宋_GB2312"/>
          <w:color w:val="auto"/>
          <w:sz w:val="32"/>
          <w:szCs w:val="32"/>
          <w:highlight w:val="none"/>
        </w:rPr>
        <w:t>共有车辆</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辆，其中：应急保障用车</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辆</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单价100万元以上专用设备</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台（套）。</w:t>
      </w:r>
    </w:p>
    <w:p>
      <w:pPr>
        <w:autoSpaceDE w:val="0"/>
        <w:autoSpaceDN w:val="0"/>
        <w:adjustRightInd w:val="0"/>
        <w:spacing w:line="600" w:lineRule="exact"/>
        <w:ind w:firstLine="643" w:firstLineChars="200"/>
        <w:jc w:val="left"/>
        <w:outlineLvl w:val="2"/>
        <w:rPr>
          <w:rFonts w:hint="eastAsia" w:ascii="仿宋_GB2312" w:hAnsi="仿宋_GB2312" w:eastAsia="仿宋_GB2312" w:cs="仿宋_GB2312"/>
          <w:b/>
          <w:color w:val="auto"/>
          <w:sz w:val="32"/>
          <w:szCs w:val="32"/>
          <w:highlight w:val="none"/>
          <w:lang w:eastAsia="zh-CN"/>
        </w:rPr>
      </w:pPr>
      <w:r>
        <w:rPr>
          <w:rFonts w:hint="eastAsia" w:ascii="仿宋_GB2312" w:hAnsi="仿宋_GB2312" w:eastAsia="仿宋_GB2312" w:cs="仿宋_GB2312"/>
          <w:b/>
          <w:color w:val="auto"/>
          <w:sz w:val="32"/>
          <w:szCs w:val="32"/>
          <w:highlight w:val="none"/>
        </w:rPr>
        <w:t>（四）预算绩效管理情况</w:t>
      </w:r>
    </w:p>
    <w:p>
      <w:pPr>
        <w:pStyle w:val="6"/>
        <w:ind w:firstLine="640" w:firstLineChars="200"/>
        <w:rPr>
          <w:rFonts w:hint="eastAsia" w:ascii="仿宋_GB2312" w:hAnsi="仿宋_GB2312" w:eastAsia="仿宋_GB2312" w:cs="仿宋_GB2312"/>
          <w:color w:val="auto"/>
          <w:highlight w:val="yellow"/>
        </w:rPr>
      </w:pPr>
      <w:r>
        <w:rPr>
          <w:rFonts w:hint="eastAsia" w:ascii="仿宋_GB2312" w:hAnsi="仿宋_GB2312" w:eastAsia="仿宋_GB2312" w:cs="仿宋_GB2312"/>
          <w:color w:val="auto"/>
          <w:sz w:val="32"/>
          <w:szCs w:val="32"/>
          <w:highlight w:val="none"/>
        </w:rPr>
        <w:t>根据预算绩效管理要求，本单位在202</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年度预算编制阶段，组织对</w:t>
      </w:r>
      <w:r>
        <w:rPr>
          <w:rFonts w:hint="eastAsia" w:ascii="仿宋_GB2312" w:hAnsi="仿宋_GB2312" w:eastAsia="仿宋_GB2312" w:cs="仿宋_GB2312"/>
          <w:color w:val="auto"/>
          <w:sz w:val="32"/>
          <w:szCs w:val="32"/>
          <w:highlight w:val="none"/>
          <w:lang w:val="en-US" w:eastAsia="zh-CN"/>
        </w:rPr>
        <w:t>0</w:t>
      </w:r>
      <w:r>
        <w:rPr>
          <w:rFonts w:hint="eastAsia" w:ascii="仿宋_GB2312" w:hAnsi="仿宋_GB2312" w:eastAsia="仿宋_GB2312" w:cs="仿宋_GB2312"/>
          <w:color w:val="auto"/>
          <w:sz w:val="32"/>
          <w:szCs w:val="32"/>
          <w:highlight w:val="none"/>
        </w:rPr>
        <w:t>个项目开展了预算事前绩效评估，对</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个项目编制了绩效目标，预算执行过程中，选取</w:t>
      </w:r>
      <w:r>
        <w:rPr>
          <w:rFonts w:hint="eastAsia" w:ascii="仿宋_GB2312" w:hAnsi="仿宋_GB2312" w:eastAsia="仿宋_GB2312" w:cs="仿宋_GB2312"/>
          <w:color w:val="auto"/>
          <w:sz w:val="32"/>
          <w:szCs w:val="32"/>
          <w:highlight w:val="none"/>
          <w:lang w:val="en-US" w:eastAsia="zh-CN"/>
        </w:rPr>
        <w:t>10</w:t>
      </w:r>
      <w:r>
        <w:rPr>
          <w:rFonts w:hint="eastAsia" w:ascii="仿宋_GB2312" w:hAnsi="仿宋_GB2312" w:eastAsia="仿宋_GB2312" w:cs="仿宋_GB2312"/>
          <w:color w:val="auto"/>
          <w:sz w:val="32"/>
          <w:szCs w:val="32"/>
          <w:highlight w:val="none"/>
        </w:rPr>
        <w:t>个项目开展绩效监控，组织对</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个项目开展绩效自评，绩效自评表详见</w:t>
      </w:r>
      <w:r>
        <w:rPr>
          <w:rFonts w:hint="eastAsia" w:ascii="仿宋_GB2312" w:hAnsi="仿宋_GB2312" w:eastAsia="仿宋_GB2312" w:cs="仿宋_GB2312"/>
          <w:color w:val="auto"/>
          <w:sz w:val="32"/>
          <w:szCs w:val="32"/>
          <w:highlight w:val="none"/>
          <w:lang w:eastAsia="zh-CN"/>
        </w:rPr>
        <w:t>第四部分</w:t>
      </w:r>
      <w:r>
        <w:rPr>
          <w:rFonts w:hint="eastAsia" w:ascii="仿宋_GB2312" w:hAnsi="仿宋_GB2312" w:eastAsia="仿宋_GB2312" w:cs="仿宋_GB2312"/>
          <w:color w:val="auto"/>
          <w:sz w:val="32"/>
          <w:szCs w:val="32"/>
          <w:highlight w:val="none"/>
        </w:rPr>
        <w:t>附件。</w:t>
      </w:r>
    </w:p>
    <w:p>
      <w:pPr>
        <w:widowControl/>
        <w:jc w:val="left"/>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br w:type="page"/>
      </w:r>
    </w:p>
    <w:p>
      <w:pPr>
        <w:numPr>
          <w:ilvl w:val="0"/>
          <w:numId w:val="4"/>
        </w:numPr>
        <w:spacing w:line="600" w:lineRule="exact"/>
        <w:ind w:firstLine="660" w:firstLineChars="150"/>
        <w:jc w:val="center"/>
        <w:outlineLvl w:val="0"/>
        <w:rPr>
          <w:rStyle w:val="25"/>
          <w:rFonts w:ascii="黑体" w:hAnsi="黑体" w:eastAsia="黑体"/>
          <w:b w:val="0"/>
          <w:color w:val="auto"/>
          <w:highlight w:val="none"/>
        </w:rPr>
      </w:pPr>
      <w:bookmarkStart w:id="69" w:name="_Toc20385"/>
      <w:bookmarkStart w:id="70" w:name="_Toc15396613"/>
      <w:bookmarkStart w:id="71" w:name="_Toc15377225"/>
      <w:r>
        <w:rPr>
          <w:rFonts w:hint="eastAsia" w:ascii="黑体" w:hAnsi="黑体" w:eastAsia="黑体"/>
          <w:color w:val="auto"/>
          <w:sz w:val="44"/>
          <w:szCs w:val="44"/>
          <w:highlight w:val="none"/>
        </w:rPr>
        <w:t>名</w:t>
      </w:r>
      <w:r>
        <w:rPr>
          <w:rStyle w:val="25"/>
          <w:rFonts w:hint="eastAsia" w:ascii="黑体" w:hAnsi="黑体" w:eastAsia="黑体"/>
          <w:b w:val="0"/>
          <w:color w:val="auto"/>
          <w:highlight w:val="none"/>
        </w:rPr>
        <w:t>词解释</w:t>
      </w:r>
      <w:bookmarkEnd w:id="69"/>
      <w:bookmarkEnd w:id="70"/>
      <w:bookmarkEnd w:id="71"/>
    </w:p>
    <w:p>
      <w:pPr>
        <w:spacing w:line="600" w:lineRule="exact"/>
        <w:jc w:val="left"/>
        <w:rPr>
          <w:rFonts w:ascii="宋体"/>
          <w:b/>
          <w:color w:val="auto"/>
          <w:sz w:val="44"/>
          <w:szCs w:val="44"/>
          <w:highlight w:val="none"/>
        </w:rPr>
      </w:pP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1.</w:t>
      </w:r>
      <w:r>
        <w:rPr>
          <w:rFonts w:hint="eastAsia" w:ascii="仿宋_GB2312" w:eastAsia="仿宋_GB2312"/>
          <w:color w:val="auto"/>
          <w:sz w:val="32"/>
          <w:szCs w:val="32"/>
          <w:highlight w:val="none"/>
        </w:rPr>
        <w:t>财政拨款收入：指单位从同级财政部门取得的财政预算资金。</w:t>
      </w:r>
    </w:p>
    <w:p>
      <w:pPr>
        <w:pStyle w:val="23"/>
        <w:spacing w:line="560" w:lineRule="exact"/>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2.</w:t>
      </w:r>
      <w:r>
        <w:rPr>
          <w:rFonts w:hint="eastAsia" w:ascii="仿宋_GB2312" w:eastAsia="仿宋_GB2312"/>
          <w:color w:val="auto"/>
          <w:sz w:val="32"/>
          <w:szCs w:val="32"/>
          <w:highlight w:val="none"/>
        </w:rPr>
        <w:t>事业收入：指事业单位开展专业业务活动及辅助活动取得的收入。</w:t>
      </w:r>
    </w:p>
    <w:p>
      <w:pPr>
        <w:pStyle w:val="23"/>
        <w:spacing w:line="560" w:lineRule="exact"/>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3.</w:t>
      </w:r>
      <w:r>
        <w:rPr>
          <w:rFonts w:hint="eastAsia" w:ascii="仿宋_GB2312" w:eastAsia="仿宋_GB2312"/>
          <w:color w:val="auto"/>
          <w:sz w:val="32"/>
          <w:szCs w:val="32"/>
          <w:highlight w:val="none"/>
        </w:rPr>
        <w:t>经营收入：指事业单位在专业业务活动及其辅助活动之外开展非独立核算经营活动取得的收入。</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4.</w:t>
      </w:r>
      <w:r>
        <w:rPr>
          <w:rFonts w:hint="eastAsia" w:ascii="仿宋_GB2312" w:eastAsia="仿宋_GB2312"/>
          <w:color w:val="auto"/>
          <w:sz w:val="32"/>
          <w:szCs w:val="32"/>
          <w:highlight w:val="none"/>
        </w:rPr>
        <w:t>其他收入：指单位取得的除上述收入以外的各项收入。</w:t>
      </w:r>
      <w:bookmarkStart w:id="104" w:name="_GoBack"/>
      <w:bookmarkEnd w:id="104"/>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5.</w:t>
      </w:r>
      <w:r>
        <w:rPr>
          <w:rFonts w:hint="eastAsia" w:ascii="仿宋_GB2312" w:eastAsia="仿宋_GB2312"/>
          <w:color w:val="auto"/>
          <w:sz w:val="32"/>
          <w:szCs w:val="32"/>
          <w:highlight w:val="none"/>
          <w:lang w:eastAsia="zh-CN"/>
        </w:rPr>
        <w:t>使用非财政拨款结余</w:t>
      </w:r>
      <w:r>
        <w:rPr>
          <w:rFonts w:hint="eastAsia" w:ascii="仿宋_GB2312" w:eastAsia="仿宋_GB2312"/>
          <w:color w:val="auto"/>
          <w:sz w:val="32"/>
          <w:szCs w:val="32"/>
          <w:highlight w:val="none"/>
        </w:rPr>
        <w:t>：指事业单位</w:t>
      </w:r>
      <w:r>
        <w:rPr>
          <w:rFonts w:hint="eastAsia" w:ascii="仿宋_GB2312" w:eastAsia="仿宋_GB2312"/>
          <w:color w:val="auto"/>
          <w:sz w:val="32"/>
          <w:szCs w:val="32"/>
          <w:highlight w:val="none"/>
          <w:lang w:eastAsia="zh-CN"/>
        </w:rPr>
        <w:t>使用以前年度积累的非财政拨款结余弥补当年收支差额的金额。</w:t>
      </w:r>
      <w:r>
        <w:rPr>
          <w:rFonts w:ascii="仿宋_GB2312" w:eastAsia="仿宋_GB2312"/>
          <w:color w:val="auto"/>
          <w:sz w:val="32"/>
          <w:szCs w:val="32"/>
          <w:highlight w:val="none"/>
        </w:rPr>
        <w:t xml:space="preserve"> </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6.</w:t>
      </w:r>
      <w:r>
        <w:rPr>
          <w:rFonts w:hint="eastAsia" w:ascii="仿宋_GB2312" w:eastAsia="仿宋_GB2312"/>
          <w:color w:val="auto"/>
          <w:sz w:val="32"/>
          <w:szCs w:val="32"/>
          <w:highlight w:val="none"/>
        </w:rPr>
        <w:t>年初结转和结余：指以前年度尚未完成、结转到本年按有关规定继续使用的资金。</w:t>
      </w:r>
      <w:r>
        <w:rPr>
          <w:rFonts w:ascii="仿宋_GB2312" w:eastAsia="仿宋_GB2312"/>
          <w:color w:val="auto"/>
          <w:sz w:val="32"/>
          <w:szCs w:val="32"/>
          <w:highlight w:val="none"/>
        </w:rPr>
        <w:t xml:space="preserve"> </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7.</w:t>
      </w:r>
      <w:r>
        <w:rPr>
          <w:rFonts w:hint="eastAsia" w:ascii="仿宋_GB2312" w:eastAsia="仿宋_GB2312"/>
          <w:color w:val="auto"/>
          <w:sz w:val="32"/>
          <w:szCs w:val="32"/>
          <w:highlight w:val="none"/>
        </w:rPr>
        <w:t>结余分配：指事业单位按照会计制度规定</w:t>
      </w:r>
      <w:r>
        <w:rPr>
          <w:rFonts w:hint="eastAsia" w:ascii="仿宋_GB2312" w:eastAsia="仿宋_GB2312"/>
          <w:color w:val="auto"/>
          <w:sz w:val="32"/>
          <w:szCs w:val="32"/>
          <w:highlight w:val="none"/>
          <w:lang w:eastAsia="zh-CN"/>
        </w:rPr>
        <w:t>缴纳的所得税、提取的专用结余以及转入非财政拨款结余的金额</w:t>
      </w:r>
      <w:r>
        <w:rPr>
          <w:rFonts w:hint="eastAsia" w:ascii="仿宋_GB2312" w:eastAsia="仿宋_GB2312"/>
          <w:color w:val="auto"/>
          <w:sz w:val="32"/>
          <w:szCs w:val="32"/>
          <w:highlight w:val="none"/>
        </w:rPr>
        <w:t>等。</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8</w:t>
      </w:r>
      <w:r>
        <w:rPr>
          <w:rFonts w:hint="eastAsia" w:ascii="仿宋_GB2312" w:eastAsia="仿宋_GB2312"/>
          <w:color w:val="auto"/>
          <w:sz w:val="32"/>
          <w:szCs w:val="32"/>
          <w:highlight w:val="none"/>
        </w:rPr>
        <w:t>、年末结转和结余：指单位按有关规定结转到下年或以后年度继续使用的资金。</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9.社会保障和就业（类）行政事业单位养老（款） 机关事业单位基本养老保险缴费（项）：指机关事业单位实施养老保险制度由单位缴纳的基本养老保险支出。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10.社会保障和就业（类）其他社会保障和就业（款） 其他社会保障和就业（项）：指其他用于社会保障和就业方面的支出。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11.卫生健康（类）公共卫生（款）突发公共卫生事件应急处理（项）:指用于突发公共卫生事件应急处理的支出。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12.卫生健康（类）行政事业单位医疗（款）行政单位医疗（项）：指财政部门安排的行政单位（包括实行公务员管理的事业单位，下同）基本医疗保险缴费经费，未参加医疗保险的行政单位的公费医疗经费，按国家规定享受离休人员、红军老战士待遇人员的医疗经费。</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13.卫生健康（类）行政事业单位医疗（款）事业单位医疗（项）：指财政部门安排的事业单位基本医疗保险缴费经费，未参加医疗保险的事业单位公费医疗经费，按国家规定享受离休人员待遇的医疗经费。</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14.节能环保支出（类）污染防治（款）其他污染防治支出（项）:指其他用于污染防治方面的支出。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15.农林水（类）扶贫（款）其他扶贫支出（项）：指其他用于扶贫方面的支出。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16.住房保障（类）住房改革（款） 住房公积金（项）：指行政事业单位按人力资源和社会保障部、财政部规定的基本工资和津贴补贴以及规定比例为职工缴纳的住房公积金。</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17.灾害防治及应急管理（类）应急管理事务（款）行政运行（项）：指行政单位（包括实行公务员管理的事业单位）的基本支出。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18.灾害防治及应急管理（类）应急管理事务（款）灾害风险防治（项）：指组织、指导、协调各类风险灾害防范治理方面的支出。</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19.灾害防治及应急管理（类）应急管理事务（款）安全监管（项）：指安全生产监管方面的支出。</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20.灾害防治及应急管理（类）应急管理事务（款）应急救援（项）：指安全生产、自然灾害应急救援方面的支出。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21.灾害防治及应急管理（类）应急管理事务（款）应急管理（项）：指用于应急管理的法律法规制定修订，应急预案演练、协调保障等方面的支出。</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22.灾害防治及应急管理（类）应急管理事务（款）事业运行（项）：指事业单位的基本支出，不包括行政单位（包括实行公务员管理的事业单位）后勤服务中心、医务室等附属事业单位。</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23.灾害防治及应急管理（类）应急管理事务（款）其他应急管理支出（项）：指其他应急管理方面的支出。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24.灾害防治及应急管理（类）矿山安全（款）矿山安全监察事务（项）：指矿山安全监察管理方面的项目支出。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25.灾害防治及应急管理（类）自然灾害防治（款）森林草原防灾减灾（项）：指防治森林草原火灾、自然水旱灾害等发生的支出。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26.灾害防治及应急管理（类）自然灾害救灾及恢复重建支出（款）自然灾害救灾补助（项）：指用于应对重大自然灾害应急救援和受灾群众救助的支出。</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27.灾害防治及应急管理（类）自然灾害救灾及恢复重建支出（款）其他自然灾害救灾及恢复重建支出（项）：指其他用于自然灾害救灾、灾后恢复重建等方面的支出。</w:t>
      </w:r>
    </w:p>
    <w:p>
      <w:pPr>
        <w:ind w:firstLine="640" w:firstLineChars="200"/>
        <w:rPr>
          <w:rFonts w:hint="default"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28.灾害防治及应急管理（类）其他灾害防治及应急管理（款）其他灾害防治及应急管理（项）：指其他用于灾害防治及应急管理的支出。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29.基本支出：指为保障机构正常运转、完成日常工作任务而发生的人员支出和公用支出。</w:t>
      </w:r>
    </w:p>
    <w:p>
      <w:pPr>
        <w:ind w:firstLine="640" w:firstLineChars="200"/>
        <w:rPr>
          <w:rFonts w:hint="eastAsia" w:ascii="仿宋_GB2312" w:hAnsi="Calibri" w:eastAsia="仿宋_GB2312" w:cs="仿宋"/>
          <w:color w:val="auto"/>
          <w:kern w:val="0"/>
          <w:sz w:val="32"/>
          <w:szCs w:val="32"/>
          <w:highlight w:val="none"/>
          <w:lang w:val="en-US" w:eastAsia="zh-CN" w:bidi="ar-SA"/>
        </w:rPr>
      </w:pPr>
      <w:r>
        <w:rPr>
          <w:rFonts w:hint="eastAsia" w:ascii="仿宋_GB2312" w:hAnsi="Calibri" w:eastAsia="仿宋_GB2312" w:cs="仿宋"/>
          <w:color w:val="auto"/>
          <w:kern w:val="0"/>
          <w:sz w:val="32"/>
          <w:szCs w:val="32"/>
          <w:highlight w:val="none"/>
          <w:lang w:val="en-US" w:eastAsia="zh-CN" w:bidi="ar-SA"/>
        </w:rPr>
        <w:t xml:space="preserve">30.项目支出：指在基本支出之外为完成特定行政任务和事业发展目标所发生的支出。 </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31</w:t>
      </w:r>
      <w:r>
        <w:rPr>
          <w:rFonts w:ascii="仿宋_GB2312" w:eastAsia="仿宋_GB2312"/>
          <w:color w:val="auto"/>
          <w:sz w:val="32"/>
          <w:szCs w:val="32"/>
          <w:highlight w:val="none"/>
        </w:rPr>
        <w:t>.</w:t>
      </w:r>
      <w:r>
        <w:rPr>
          <w:rFonts w:hint="eastAsia" w:ascii="仿宋_GB2312" w:eastAsia="仿宋_GB2312"/>
          <w:color w:val="auto"/>
          <w:sz w:val="32"/>
          <w:szCs w:val="32"/>
          <w:highlight w:val="none"/>
        </w:rPr>
        <w:t>经营支出：指事业单位在专业业务活动及其辅助活动之外开展非独立核算经营活动发生的支出。</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3</w:t>
      </w:r>
      <w:r>
        <w:rPr>
          <w:rFonts w:hint="eastAsia" w:ascii="仿宋_GB2312" w:eastAsia="仿宋_GB2312"/>
          <w:color w:val="auto"/>
          <w:sz w:val="32"/>
          <w:szCs w:val="32"/>
          <w:highlight w:val="none"/>
          <w:lang w:val="en-US" w:eastAsia="zh-CN"/>
        </w:rPr>
        <w:t>2</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3"/>
        <w:spacing w:line="56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3</w:t>
      </w:r>
      <w:r>
        <w:rPr>
          <w:rFonts w:hint="eastAsia" w:ascii="仿宋_GB2312" w:eastAsia="仿宋_GB2312"/>
          <w:color w:val="auto"/>
          <w:sz w:val="32"/>
          <w:szCs w:val="32"/>
          <w:highlight w:val="none"/>
          <w:lang w:val="en-US" w:eastAsia="zh-CN"/>
        </w:rPr>
        <w:t>3</w:t>
      </w:r>
      <w:r>
        <w:rPr>
          <w:rFonts w:ascii="仿宋_GB2312" w:eastAsia="仿宋_GB2312"/>
          <w:color w:val="auto"/>
          <w:sz w:val="32"/>
          <w:szCs w:val="32"/>
          <w:highlight w:val="none"/>
        </w:rPr>
        <w:t>.</w:t>
      </w:r>
      <w:r>
        <w:rPr>
          <w:rFonts w:hint="eastAsia" w:ascii="仿宋_GB2312" w:eastAsia="仿宋_GB2312"/>
          <w:color w:val="auto"/>
          <w:sz w:val="32"/>
          <w:szCs w:val="32"/>
          <w:highlight w:val="none"/>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3"/>
        <w:spacing w:line="560" w:lineRule="exact"/>
        <w:ind w:firstLine="640" w:firstLineChars="200"/>
        <w:rPr>
          <w:rFonts w:hint="eastAsia" w:ascii="仿宋_GB2312" w:eastAsia="仿宋_GB2312"/>
          <w:color w:val="auto"/>
          <w:sz w:val="32"/>
          <w:szCs w:val="32"/>
          <w:highlight w:val="none"/>
        </w:rPr>
      </w:pPr>
      <w:r>
        <w:rPr>
          <w:rFonts w:ascii="仿宋_GB2312" w:eastAsia="仿宋_GB2312"/>
          <w:color w:val="auto"/>
          <w:sz w:val="32"/>
          <w:szCs w:val="32"/>
          <w:highlight w:val="none"/>
        </w:rPr>
        <w:t>3</w:t>
      </w:r>
      <w:r>
        <w:rPr>
          <w:rFonts w:hint="eastAsia" w:ascii="仿宋_GB2312" w:eastAsia="仿宋_GB2312"/>
          <w:color w:val="auto"/>
          <w:sz w:val="32"/>
          <w:szCs w:val="32"/>
          <w:highlight w:val="none"/>
          <w:lang w:val="en-US" w:eastAsia="zh-CN"/>
        </w:rPr>
        <w:t>4</w:t>
      </w:r>
      <w:r>
        <w:rPr>
          <w:rFonts w:ascii="仿宋_GB2312" w:eastAsia="仿宋_GB2312"/>
          <w:color w:val="auto"/>
          <w:sz w:val="32"/>
          <w:szCs w:val="32"/>
          <w:highlight w:val="none"/>
        </w:rPr>
        <w:t>.</w:t>
      </w:r>
      <w:r>
        <w:rPr>
          <w:rFonts w:hint="eastAsia" w:ascii="仿宋_GB2312" w:eastAsia="仿宋_GB2312"/>
          <w:color w:val="auto"/>
          <w:sz w:val="32"/>
          <w:szCs w:val="32"/>
          <w:highlight w:val="none"/>
          <w:lang w:eastAsia="zh-CN"/>
        </w:rPr>
        <w:t>工资福利支出：指单位开支的在职职工和编制外长期聘用人员的各类劳动报酬，以及为上述人员缴纳的各项社会保险费等</w:t>
      </w:r>
      <w:r>
        <w:rPr>
          <w:rFonts w:hint="eastAsia" w:ascii="仿宋_GB2312" w:eastAsia="仿宋_GB2312"/>
          <w:color w:val="auto"/>
          <w:sz w:val="32"/>
          <w:szCs w:val="32"/>
          <w:highlight w:val="none"/>
        </w:rPr>
        <w:t>。</w:t>
      </w:r>
    </w:p>
    <w:p>
      <w:pPr>
        <w:pStyle w:val="23"/>
        <w:spacing w:line="560" w:lineRule="exact"/>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35.商品和服务支出：指单位购买商品和服务的支出，不包括用于购置固定资产、战略性和应急性物资储备等资本性支出。</w:t>
      </w:r>
    </w:p>
    <w:p>
      <w:pPr>
        <w:pStyle w:val="23"/>
        <w:spacing w:line="560" w:lineRule="exact"/>
        <w:ind w:firstLine="640" w:firstLineChars="200"/>
        <w:rPr>
          <w:rFonts w:hint="eastAsia"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36.对个人和家庭的补助：指政府用于对个人和家庭的补助支出。</w:t>
      </w:r>
    </w:p>
    <w:p>
      <w:pPr>
        <w:pStyle w:val="23"/>
        <w:spacing w:line="560" w:lineRule="exact"/>
        <w:ind w:firstLine="640" w:firstLineChars="200"/>
        <w:rPr>
          <w:rFonts w:ascii="仿宋_GB2312" w:eastAsia="仿宋_GB2312" w:cs="黑体"/>
          <w:color w:val="auto"/>
          <w:sz w:val="32"/>
          <w:szCs w:val="32"/>
          <w:highlight w:val="none"/>
        </w:rPr>
      </w:pPr>
    </w:p>
    <w:p>
      <w:pPr>
        <w:spacing w:line="600" w:lineRule="exact"/>
        <w:jc w:val="center"/>
        <w:outlineLvl w:val="0"/>
        <w:rPr>
          <w:rStyle w:val="25"/>
          <w:rFonts w:ascii="黑体" w:hAnsi="黑体" w:eastAsia="黑体"/>
          <w:b w:val="0"/>
          <w:color w:val="auto"/>
          <w:highlight w:val="none"/>
        </w:rPr>
      </w:pPr>
      <w:bookmarkStart w:id="72" w:name="_Toc15377226"/>
      <w:r>
        <w:rPr>
          <w:rFonts w:ascii="宋体"/>
          <w:b/>
          <w:color w:val="auto"/>
          <w:sz w:val="44"/>
          <w:szCs w:val="44"/>
          <w:highlight w:val="none"/>
        </w:rPr>
        <w:br w:type="page"/>
      </w:r>
      <w:bookmarkStart w:id="73" w:name="_Toc378"/>
      <w:bookmarkStart w:id="74" w:name="_Toc15396614"/>
      <w:r>
        <w:rPr>
          <w:rFonts w:hint="eastAsia" w:ascii="黑体" w:hAnsi="黑体" w:eastAsia="黑体"/>
          <w:color w:val="auto"/>
          <w:sz w:val="44"/>
          <w:szCs w:val="44"/>
          <w:highlight w:val="none"/>
        </w:rPr>
        <w:t>第</w:t>
      </w:r>
      <w:r>
        <w:rPr>
          <w:rStyle w:val="25"/>
          <w:rFonts w:hint="eastAsia" w:ascii="黑体" w:hAnsi="黑体" w:eastAsia="黑体"/>
          <w:b w:val="0"/>
          <w:color w:val="auto"/>
          <w:highlight w:val="none"/>
        </w:rPr>
        <w:t>四部分 附件</w:t>
      </w:r>
      <w:bookmarkEnd w:id="73"/>
      <w:bookmarkEnd w:id="74"/>
    </w:p>
    <w:tbl>
      <w:tblPr>
        <w:tblStyle w:val="13"/>
        <w:tblW w:w="1178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5"/>
        <w:gridCol w:w="1816"/>
        <w:gridCol w:w="1576"/>
        <w:gridCol w:w="2016"/>
        <w:gridCol w:w="467"/>
        <w:gridCol w:w="1484"/>
        <w:gridCol w:w="467"/>
        <w:gridCol w:w="979"/>
        <w:gridCol w:w="576"/>
        <w:gridCol w:w="410"/>
        <w:gridCol w:w="13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bookmarkStart w:id="75" w:name="_Toc17961"/>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51000021R000000019954-聘用人员经费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项目负责人：杜鹏程</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财务负责人：杜鹏程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51081221R000000033316-其他对个人和家庭补助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51081221R000000033747-独子费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0.23</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0.23</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51081221R000000033767-目标绩效奖(公务员及参公人员)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43.20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58.70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58.70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43.20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58.70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58.70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51081221R000000051755-其他交通费用（公务用车改革补贴）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15.91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17.58</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17.58</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15.91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17.58</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17.58</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51081221R000000052071-引进人才安家费及工作补助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4.06</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4.06</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9.06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51081221Y000000052199-金财网维护费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保障单位日常运转，提高预算编制质量，严格执行预算</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0.24</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质量指标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预算编制准确率（计算方法为：∣（执行数-预算数）/预算数∣）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“三公经费”控制率[计算方法为：（三公经费实际支出数/预算安排数]×100%）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运转保障率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51081222R000005136042-工资性支出（行政）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151.79</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163.13</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163.13</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151.79</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163.13</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163.13</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51081222R000005136246-工资性支出（事业）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121.30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138.40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138.40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121.30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138.40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138.40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51081222R000005136461-基本养老保险（行政）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24.13</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28.44</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28.44</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24.13</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28.44</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28.44</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51081222R000005136839-基本养老保险（事业）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19.22</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19.22</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23.02</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51081222R000005137025-基本医疗保险（行政）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11.55</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13.68</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13.68</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11.55</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13.68</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13.68</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51081222R000005137228-基本医疗保险（事业）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9.61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10.96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10.96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9.61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10.96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10.96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51081222R000005137604-住房公积金（行政）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17.32</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17.32</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25.36</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25.36</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51081222R000005137802-住房公积金（事业）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严格执行相关政策，保障工资及时、足额发放或社保及时、足额缴纳，预算编制科学合理，减少结余资金。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14.41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14.41</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25.30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发放（缴纳）覆盖率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足额保障率（参保率）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51081222R000005429042-目标绩效奖（事业人员）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68.40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9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2037"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50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69"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982"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5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410"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nil"/>
              <w:left w:val="nil"/>
              <w:bottom w:val="nil"/>
              <w:right w:val="nil"/>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4" w:hRule="atLeast"/>
          <w:jc w:val="center"/>
        </w:trPr>
        <w:tc>
          <w:tcPr>
            <w:tcW w:w="11794" w:type="dxa"/>
            <w:gridSpan w:val="11"/>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项目名称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51081222R000005430095-目标绩效奖（行政工人）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jc w:val="center"/>
        </w:trPr>
        <w:tc>
          <w:tcPr>
            <w:tcW w:w="246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广元市朝天区应急管理局部门</w:t>
            </w:r>
          </w:p>
        </w:tc>
        <w:tc>
          <w:tcPr>
            <w:tcW w:w="98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实施单位 （盖章）</w:t>
            </w:r>
          </w:p>
        </w:tc>
        <w:tc>
          <w:tcPr>
            <w:tcW w:w="22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项目基本情况</w:t>
            </w: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1.项目年度目标完成情况</w:t>
            </w: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项目年度目标</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08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严格执行相关政策，保障工资及时发放、足额发放，预算编制科学合理，减少结余资金</w:t>
            </w:r>
          </w:p>
        </w:tc>
        <w:tc>
          <w:tcPr>
            <w:tcW w:w="32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3"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2.项目实施内容及过程概述</w:t>
            </w:r>
          </w:p>
        </w:tc>
        <w:tc>
          <w:tcPr>
            <w:tcW w:w="9331"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预算执行情况（10分）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年度预算数（万元）</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年初预算</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调整后预算数</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预算执行数</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预算执行率</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总额</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其中：财政资金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28.80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其他资金</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244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4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绩效指标（90分）</w:t>
            </w: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一级指标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二级指标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三级指标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指标性质</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指标值</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度量单位</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完成值</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权重</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得分</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产出指标</w:t>
            </w:r>
          </w:p>
        </w:tc>
        <w:tc>
          <w:tcPr>
            <w:tcW w:w="15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数量指标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足额保障率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科目调整次数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次</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时效指标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按时发放率</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100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jc w:val="center"/>
        </w:trPr>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效益指标</w:t>
            </w:r>
          </w:p>
        </w:tc>
        <w:tc>
          <w:tcPr>
            <w:tcW w:w="1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经济效益指标</w:t>
            </w:r>
          </w:p>
        </w:tc>
        <w:tc>
          <w:tcPr>
            <w:tcW w:w="20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结余率（计算方法为：结余数/预算数）</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4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w:t>
            </w:r>
          </w:p>
        </w:tc>
        <w:tc>
          <w:tcPr>
            <w:tcW w:w="9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lang w:val="en-US" w:eastAsia="zh-CN" w:bidi="ar"/>
              </w:rPr>
              <w:t>0</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22.5</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jc w:val="center"/>
        </w:trPr>
        <w:tc>
          <w:tcPr>
            <w:tcW w:w="952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100</w:t>
            </w:r>
          </w:p>
        </w:tc>
        <w:tc>
          <w:tcPr>
            <w:tcW w:w="4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评价结论</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项目实施达到了预期的经济效益、社会效益，绩效目标完全实现，为我局在下一年工作推进和预算安排上提供了对比数据。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2"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存在问题</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jc w:val="center"/>
        </w:trPr>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改进措施</w:t>
            </w:r>
          </w:p>
        </w:tc>
        <w:tc>
          <w:tcPr>
            <w:tcW w:w="1117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jc w:val="center"/>
        </w:trPr>
        <w:tc>
          <w:tcPr>
            <w:tcW w:w="656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项目负责人：</w:t>
            </w:r>
          </w:p>
        </w:tc>
        <w:tc>
          <w:tcPr>
            <w:tcW w:w="52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财务负责人：</w:t>
            </w:r>
          </w:p>
        </w:tc>
      </w:tr>
      <w:bookmarkEnd w:id="75"/>
    </w:tbl>
    <w:tbl>
      <w:tblPr>
        <w:tblStyle w:val="13"/>
        <w:tblpPr w:leftFromText="180" w:rightFromText="180" w:vertAnchor="text" w:horzAnchor="page" w:tblpX="1016" w:tblpY="795"/>
        <w:tblOverlap w:val="never"/>
        <w:tblW w:w="101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0"/>
        <w:gridCol w:w="1271"/>
        <w:gridCol w:w="1417"/>
        <w:gridCol w:w="1417"/>
        <w:gridCol w:w="2278"/>
        <w:gridCol w:w="1044"/>
        <w:gridCol w:w="8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0165"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 xml:space="preserve">部门（单位）盖章：广元市朝天区应急管理局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31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2020年煤炭行业化解过剩产能省级奖补资金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5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31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206.95</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206.95</w:t>
            </w: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社会保险基金预算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8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206.95</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4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20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45"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严格按照《四川省钢铁、煤炭行业化解过剩产能专项奖补资金管理细则》有关规定，完成既定的煤炭行业去产能任务，妥善安置职工。</w:t>
            </w:r>
          </w:p>
        </w:tc>
        <w:tc>
          <w:tcPr>
            <w:tcW w:w="420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按照相关规定，完成了既定的煤炭行业去产能任务，妥善安置职工。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6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煤炭去产能量</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微软雅黑" w:hAnsi="微软雅黑" w:eastAsia="微软雅黑" w:cs="微软雅黑"/>
                <w:i w:val="0"/>
                <w:iCs w:val="0"/>
                <w:color w:val="000000"/>
                <w:sz w:val="18"/>
                <w:szCs w:val="18"/>
                <w:u w:val="none"/>
              </w:rPr>
            </w:pPr>
            <w:r>
              <w:rPr>
                <w:rStyle w:val="32"/>
                <w:lang w:val="en-US" w:eastAsia="zh-CN" w:bidi="ar"/>
              </w:rPr>
              <w:t>≥</w:t>
            </w:r>
            <w:r>
              <w:rPr>
                <w:rStyle w:val="33"/>
                <w:lang w:val="en-US" w:eastAsia="zh-CN" w:bidi="ar"/>
              </w:rPr>
              <w:t>认定的去产能数</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≥认定的去产能数</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过剩产能化解率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奖补资金发放时限</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企业补助资金</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乌木沱及屋基坪煤矿79.66万元、天赐煤矿127.29万元</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乌木沱及屋基坪煤矿79.66万元、天赐煤矿127.29万元</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煤炭行业盈利能力</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大幅提高</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大幅提高</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出现重大群体性事故次数</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补助持续发挥作用时间</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≥1年</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被分流安置职工满意度</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93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spacing w:line="600" w:lineRule="exact"/>
        <w:jc w:val="center"/>
        <w:outlineLvl w:val="1"/>
        <w:rPr>
          <w:rFonts w:hint="eastAsia" w:ascii="宋体" w:hAnsi="宋体" w:eastAsia="宋体" w:cs="宋体"/>
          <w:color w:val="auto"/>
          <w:kern w:val="0"/>
          <w:sz w:val="32"/>
          <w:szCs w:val="32"/>
          <w:highlight w:val="none"/>
          <w:lang w:val="en-US" w:eastAsia="zh-CN" w:bidi="ar-SA"/>
        </w:rPr>
      </w:pPr>
    </w:p>
    <w:p>
      <w:pPr>
        <w:pStyle w:val="6"/>
        <w:rPr>
          <w:rFonts w:hint="eastAsia"/>
          <w:lang w:val="en-US" w:eastAsia="zh-CN"/>
        </w:rPr>
      </w:pPr>
    </w:p>
    <w:tbl>
      <w:tblPr>
        <w:tblStyle w:val="13"/>
        <w:tblW w:w="98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7"/>
        <w:gridCol w:w="1241"/>
        <w:gridCol w:w="1269"/>
        <w:gridCol w:w="1418"/>
        <w:gridCol w:w="1418"/>
        <w:gridCol w:w="1824"/>
        <w:gridCol w:w="924"/>
        <w:gridCol w:w="11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805"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bookmarkStart w:id="76" w:name="_Toc15396618"/>
            <w:r>
              <w:rPr>
                <w:rFonts w:hint="eastAsia" w:ascii="黑体" w:hAnsi="宋体" w:eastAsia="黑体" w:cs="黑体"/>
                <w:i w:val="0"/>
                <w:iCs w:val="0"/>
                <w:color w:val="000000"/>
                <w:kern w:val="0"/>
                <w:sz w:val="22"/>
                <w:szCs w:val="22"/>
                <w:u w:val="none"/>
                <w:lang w:val="en-US" w:eastAsia="zh-CN" w:bidi="ar"/>
              </w:rPr>
              <w:t>部门（单位）盖章： 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795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2021年省级自然灾害救灾资金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795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18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18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293</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293</w:t>
            </w: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政府性基金预算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1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293</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4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385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46"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支持做好受灾群众紧急转移安置、因灾死亡失踪人员家属抚慰、过渡期生活救助等工作，保障受灾群众基本生活，维护灾区社会稳定。</w:t>
            </w:r>
          </w:p>
        </w:tc>
        <w:tc>
          <w:tcPr>
            <w:tcW w:w="3852"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完成受灾群众紧急转移安置、过渡期生活救助、地质灾害应急处置项目实施等工作，受灾群众基本生活得到保障，灾区社会持续稳定。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地质灾害隐患点排危除险（处）</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地质灾害隐患临时治理（处）</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924" w:type="dxa"/>
            <w:tcBorders>
              <w:top w:val="single" w:color="000000" w:sz="4" w:space="0"/>
              <w:left w:val="single" w:color="000000" w:sz="4"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04" w:type="dxa"/>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添置应急抢险设备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24" w:type="dxa"/>
            <w:tcBorders>
              <w:top w:val="single" w:color="000000" w:sz="4" w:space="0"/>
              <w:left w:val="single" w:color="000000" w:sz="4"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04" w:type="dxa"/>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农房重建户数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排危除险项目验收合格率（%）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临时治理项目验收合格率（%）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添置设备验收通过率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24" w:type="dxa"/>
            <w:tcBorders>
              <w:top w:val="single" w:color="000000" w:sz="4" w:space="0"/>
              <w:left w:val="single" w:color="000000" w:sz="4"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04" w:type="dxa"/>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应急处置项目完成时限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2022年6月30日前</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2022年6月30日前</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抗洪抢险</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50万元</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50万元</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地质灾害应急处置</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130万元</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130万元</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生活救助资金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113万元</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113万元</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保障受灾地区生产生活秩序</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182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通过自然灾害应急处置以及救助，减少了受灾群众生命财产损失，受灾地区生产生活秩序稳定有序</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重大负面舆情和事件次数（次）</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购置应急抢险设备持续发挥作用时间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≥3年</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≥3年</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受灾群众投诉率（%）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1%</w:t>
            </w:r>
          </w:p>
        </w:tc>
        <w:tc>
          <w:tcPr>
            <w:tcW w:w="18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20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pPr w:leftFromText="180" w:rightFromText="180" w:vertAnchor="text" w:horzAnchor="page" w:tblpX="956" w:tblpY="678"/>
        <w:tblOverlap w:val="never"/>
        <w:tblW w:w="101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7"/>
        <w:gridCol w:w="1241"/>
        <w:gridCol w:w="1269"/>
        <w:gridCol w:w="1418"/>
        <w:gridCol w:w="1418"/>
        <w:gridCol w:w="2315"/>
        <w:gridCol w:w="948"/>
        <w:gridCol w:w="9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0140"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 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9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2021年中省自然灾害救灾资金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9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4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46"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支持做好受灾群众冬春期间基本生活保障、因灾农房重建、维修加固工作，保障受灾群众基本生活，维护灾区社会稳定。</w:t>
            </w:r>
          </w:p>
        </w:tc>
        <w:tc>
          <w:tcPr>
            <w:tcW w:w="4187"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完成受灾群众冬春期间基本生活保障、因灾农房重建、维修加固工作，保障受灾群众基本生活，维护灾区社会稳定。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6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冬春期间受灾困难群众救助人数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≥50000人</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59822人</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农房重建户数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救助标准是否低于中省标准</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否</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补助发放时限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2022年5月30日前</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2022年5月30日前</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69"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冬春救助</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272.855万元</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272.855万元</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农房重建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47.145万元</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47.145万元</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帮助受灾困难群众克服冬春生活困难</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通过保障受灾困难群众基本生活，帮助受灾困难群众克服冬春生活困难</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灾区社会秩序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重大负面舆情和事件次数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补助资金持续发挥作用时间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受灾群众投诉率（%）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1%</w:t>
            </w:r>
          </w:p>
        </w:tc>
        <w:tc>
          <w:tcPr>
            <w:tcW w:w="2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W w:w="101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8"/>
        <w:gridCol w:w="1241"/>
        <w:gridCol w:w="1268"/>
        <w:gridCol w:w="1417"/>
        <w:gridCol w:w="1418"/>
        <w:gridCol w:w="2281"/>
        <w:gridCol w:w="900"/>
        <w:gridCol w:w="9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05"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4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5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2022年中央自然灾害救灾资金（干旱救助资金）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4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5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0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1527</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1523</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1527</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4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5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44"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支持做好受灾群众紧急转移安置、因灾死亡失踪人员家属抚慰、过渡期生活救助等工作，保障受灾群众基本生活，维护灾区社会稳定。</w:t>
            </w:r>
          </w:p>
        </w:tc>
        <w:tc>
          <w:tcPr>
            <w:tcW w:w="4153"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完成受灾群众紧急转移安置、因灾死亡失踪人员家属抚慰、过渡期生活救助等工作，受灾群众基本生活得到保障，灾区社会持续稳定。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因旱需生活救助总人次</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34"/>
                <w:lang w:val="en-US" w:eastAsia="zh-CN" w:bidi="ar"/>
              </w:rPr>
              <w:t>≥</w:t>
            </w:r>
            <w:r>
              <w:rPr>
                <w:rStyle w:val="35"/>
                <w:rFonts w:eastAsia="宋体"/>
                <w:lang w:val="en-US" w:eastAsia="zh-CN" w:bidi="ar"/>
              </w:rPr>
              <w:t>50000</w:t>
            </w:r>
            <w:r>
              <w:rPr>
                <w:rStyle w:val="34"/>
                <w:lang w:val="en-US" w:eastAsia="zh-CN" w:bidi="ar"/>
              </w:rPr>
              <w:t>人次</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50900人次</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过渡期生活救助总人次</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34"/>
                <w:lang w:val="en-US" w:eastAsia="zh-CN" w:bidi="ar"/>
              </w:rPr>
              <w:t>≥</w:t>
            </w:r>
            <w:r>
              <w:rPr>
                <w:rStyle w:val="35"/>
                <w:rFonts w:eastAsia="宋体"/>
                <w:lang w:val="en-US" w:eastAsia="zh-CN" w:bidi="ar"/>
              </w:rPr>
              <w:t>40000</w:t>
            </w:r>
            <w:r>
              <w:rPr>
                <w:rStyle w:val="34"/>
                <w:lang w:val="en-US" w:eastAsia="zh-CN" w:bidi="ar"/>
              </w:rPr>
              <w:t>人次</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50900人次</w:t>
            </w:r>
          </w:p>
        </w:tc>
        <w:tc>
          <w:tcPr>
            <w:tcW w:w="900" w:type="dxa"/>
            <w:tcBorders>
              <w:top w:val="single" w:color="000000" w:sz="4" w:space="0"/>
              <w:left w:val="single" w:color="000000" w:sz="4"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72" w:type="dxa"/>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救灾资金下拨率（%）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通过“一卡通”审批系统申报、审批、发放率（%）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救灾资金发放时限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2022年9月30日前</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2022年9月30日前</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6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救助标准</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300元/人</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300元/人</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灾区社会秩序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救灾资金持续发挥作用时间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受灾群众投诉率（%）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1%</w:t>
            </w:r>
          </w:p>
        </w:tc>
        <w:tc>
          <w:tcPr>
            <w:tcW w:w="228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pPr w:leftFromText="180" w:rightFromText="180" w:vertAnchor="text" w:horzAnchor="page" w:tblpX="908" w:tblpY="-10608"/>
        <w:tblOverlap w:val="never"/>
        <w:tblW w:w="987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2"/>
        <w:gridCol w:w="1241"/>
        <w:gridCol w:w="1271"/>
        <w:gridCol w:w="1417"/>
        <w:gridCol w:w="1247"/>
        <w:gridCol w:w="2278"/>
        <w:gridCol w:w="875"/>
        <w:gridCol w:w="9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7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 xml:space="preserve">部门（单位）盖章：广元市朝天区应急管理局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023"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2022年中央自然灾害救灾资金（干旱资金）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8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023"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6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8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6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17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08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76"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解决城乡居民用水困难，购买、租赁应急储水、净水、供水设备，组织人员保障城乡居民生活用水方面，减少旱灾造成的损失。</w:t>
            </w:r>
          </w:p>
        </w:tc>
        <w:tc>
          <w:tcPr>
            <w:tcW w:w="4088"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通过出动强年限救援力量，采购应急抢险物资，保证了城乡居民的生活用水，生产用水得到部分解决，减少旱灾造成的损失。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24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出动抢险救援力量人次</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≥2000</w:t>
            </w:r>
            <w:r>
              <w:rPr>
                <w:rStyle w:val="36"/>
                <w:lang w:val="en-US" w:eastAsia="zh-CN" w:bidi="ar"/>
              </w:rPr>
              <w:t>人次</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2000</w:t>
            </w:r>
            <w:r>
              <w:rPr>
                <w:rStyle w:val="36"/>
                <w:lang w:val="en-US" w:eastAsia="zh-CN" w:bidi="ar"/>
              </w:rPr>
              <w:t>人次</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采购应急抢险物资</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≥1000</w:t>
            </w:r>
            <w:r>
              <w:rPr>
                <w:rStyle w:val="36"/>
                <w:lang w:val="en-US" w:eastAsia="zh-CN" w:bidi="ar"/>
              </w:rPr>
              <w:t>件套</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1000</w:t>
            </w:r>
            <w:r>
              <w:rPr>
                <w:rStyle w:val="36"/>
                <w:lang w:val="en-US" w:eastAsia="zh-CN" w:bidi="ar"/>
              </w:rPr>
              <w:t>件套</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采购物资验收合格率</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应急救援时限</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灾害发生期内</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灾害发生期内</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抗旱救灾资金</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90万元</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90万元</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cs="宋体"/>
                <w:i w:val="0"/>
                <w:iCs w:val="0"/>
                <w:color w:val="000000"/>
                <w:sz w:val="18"/>
                <w:szCs w:val="18"/>
                <w:u w:val="none"/>
                <w:lang w:eastAsia="zh-CN"/>
              </w:rPr>
              <w:t>效益指标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cs="宋体"/>
                <w:i w:val="0"/>
                <w:iCs w:val="0"/>
                <w:color w:val="000000"/>
                <w:sz w:val="18"/>
                <w:szCs w:val="18"/>
                <w:u w:val="none"/>
                <w:lang w:eastAsia="zh-CN"/>
              </w:rPr>
              <w:t>社会效益</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保障受灾地区生产生活秩序</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通过抗旱救灾，保证了城乡居民的生活用水，生产用水得到部分解决，受灾地区生产生活秩序稳定有序</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救灾物资持续发挥作用时间</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受灾群众满意度</w:t>
            </w:r>
          </w:p>
        </w:tc>
        <w:tc>
          <w:tcPr>
            <w:tcW w:w="12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p>
        </w:tc>
        <w:tc>
          <w:tcPr>
            <w:tcW w:w="22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181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rPr>
          <w:rFonts w:hint="eastAsia"/>
        </w:rPr>
      </w:pPr>
    </w:p>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W w:w="99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182"/>
        <w:gridCol w:w="875"/>
        <w:gridCol w:w="9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982"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 xml:space="preserve">部门（单位）盖章：广元市朝天区应急管理局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1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2022年中央自然灾害救灾资金（洪涝灾害）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12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18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18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8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0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进行洪涝灾害应急抢险，转移安置受灾人员、棑危除险、开展次生灾害隐患排查、应急整治和倒损房屋修复，保护人民群众生命财产安全。</w:t>
            </w:r>
          </w:p>
        </w:tc>
        <w:tc>
          <w:tcPr>
            <w:tcW w:w="4020"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通过应急抢险救援力量和采购应急抢险物资进行洪涝灾害应急抢险，，保护了人民群众生命财产安全。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1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出动抢险救援力量人次</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≥150</w:t>
            </w:r>
            <w:r>
              <w:rPr>
                <w:rFonts w:hint="eastAsia" w:ascii="宋体" w:hAnsi="宋体" w:eastAsia="宋体" w:cs="宋体"/>
                <w:i w:val="0"/>
                <w:iCs w:val="0"/>
                <w:color w:val="000000"/>
                <w:kern w:val="0"/>
                <w:sz w:val="18"/>
                <w:szCs w:val="18"/>
                <w:u w:val="none"/>
                <w:lang w:val="en-US" w:eastAsia="zh-CN" w:bidi="ar"/>
              </w:rPr>
              <w:t>人次</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150</w:t>
            </w:r>
            <w:r>
              <w:rPr>
                <w:rFonts w:hint="eastAsia" w:ascii="宋体" w:hAnsi="宋体" w:eastAsia="宋体" w:cs="宋体"/>
                <w:i w:val="0"/>
                <w:iCs w:val="0"/>
                <w:color w:val="000000"/>
                <w:kern w:val="0"/>
                <w:sz w:val="18"/>
                <w:szCs w:val="18"/>
                <w:u w:val="none"/>
                <w:lang w:val="en-US" w:eastAsia="zh-CN" w:bidi="ar"/>
              </w:rPr>
              <w:t>人次</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采购防汛物资装备</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w:t>
            </w:r>
            <w:r>
              <w:rPr>
                <w:rFonts w:hint="eastAsia" w:ascii="宋体" w:hAnsi="宋体" w:eastAsia="宋体" w:cs="宋体"/>
                <w:i w:val="0"/>
                <w:iCs w:val="0"/>
                <w:color w:val="000000"/>
                <w:kern w:val="0"/>
                <w:sz w:val="18"/>
                <w:szCs w:val="18"/>
                <w:u w:val="none"/>
                <w:lang w:val="en-US" w:eastAsia="zh-CN" w:bidi="ar"/>
              </w:rPr>
              <w:t>件套</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w:t>
            </w:r>
            <w:r>
              <w:rPr>
                <w:rFonts w:hint="eastAsia" w:ascii="宋体" w:hAnsi="宋体" w:eastAsia="宋体" w:cs="宋体"/>
                <w:i w:val="0"/>
                <w:iCs w:val="0"/>
                <w:color w:val="000000"/>
                <w:kern w:val="0"/>
                <w:sz w:val="18"/>
                <w:szCs w:val="18"/>
                <w:u w:val="none"/>
                <w:lang w:val="en-US" w:eastAsia="zh-CN" w:bidi="ar"/>
              </w:rPr>
              <w:t>件套</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采购物资装备验收合格率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抢险救援时间</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防洪期内</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防洪期内</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洪涝灾害救灾资金</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10万元</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10万元</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保障受灾地区生产生活秩序</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稳定有序</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通过抗洪救灾，保障了灾区群众生命财产安全，受灾地区生产生活秩序稳定有序</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救灾物资持续发挥作用时间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≥95%</w:t>
            </w:r>
          </w:p>
        </w:tc>
        <w:tc>
          <w:tcPr>
            <w:tcW w:w="21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100%</w:t>
            </w:r>
          </w:p>
        </w:tc>
        <w:tc>
          <w:tcPr>
            <w:tcW w:w="1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W w:w="101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277"/>
        <w:gridCol w:w="923"/>
        <w:gridCol w:w="9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2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 xml:space="preserve">部门（单位）盖章：广元市朝天区应急管理局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2020年煤炭行业化解过剩产能省级奖补资金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照《重大区域发展战略建设（长江经济带绿色发展方向）中央预算内投资建设项目管理办法》对广元市宏术矿业尾矿库进行治理，新建库面截水沟400米，坝面排水沟300米，修建回水池防护设施，植被恢复6000平方米，配备库内应急抽水设备。</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宏术矿业尾矿库治理工程完成新建库面截水沟400米，坝面排水沟300米，修建回水池防护设施，植被恢复6000平方米，配备库内应急抽水设备。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支持项目数量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1个</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1个</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生态环境突出问题整改成效</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完成宏术矿业尾矿库治理，尾矿区域生态得到恢复，整改成效明显</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工程质量合格率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项目建设按期完工率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尾矿库治理费用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基本公共服务提升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通过对尾矿库治理，矿区生态环境得到改善，基本公共服务明显提升</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生态环境质量改善效果</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通过对尾矿库治理，对尾矿区域植被进行恢复，矿区生态环境明显得到改善</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项目持续发挥作用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明显</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治理项目持续对矿区生态环境改善发挥作用</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受益群众满意度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jc w:val="center"/>
        <w:rPr>
          <w:rFonts w:hint="eastAsia" w:ascii="黑体" w:hAnsi="黑体" w:eastAsia="黑体"/>
          <w:color w:val="auto"/>
          <w:sz w:val="44"/>
          <w:szCs w:val="44"/>
          <w:highlight w:val="none"/>
        </w:rPr>
      </w:pPr>
    </w:p>
    <w:tbl>
      <w:tblPr>
        <w:tblStyle w:val="13"/>
        <w:tblW w:w="1107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2"/>
        <w:gridCol w:w="1272"/>
        <w:gridCol w:w="1418"/>
        <w:gridCol w:w="1418"/>
        <w:gridCol w:w="2280"/>
        <w:gridCol w:w="1418"/>
        <w:gridCol w:w="14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1078"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922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安全监管经费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922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511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在区委、区政府的坚强领导下，切实保障安全监管经费投入，强化安全生产监管，加大隐患排查力度，坚决有效遏制重特大事故发生，确保年度绩效目标任务完成。</w:t>
            </w:r>
          </w:p>
        </w:tc>
        <w:tc>
          <w:tcPr>
            <w:tcW w:w="5116"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在区委、区政府的坚强领导下，应急管理局切实保障安全监管经费投入，强化安全生产监管，加大隐患排查力度，全年未发生重特大安全事故。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召开安委会、国家、省市会议</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≥15次</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全区安全生产工作形势</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未发生重特大安全事故</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安全监管时间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安全监管经费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降低生产安全事故风险、减少事故伤亡和经济损失</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通过项目实施，降低了生产安全事故风险、减少了事故伤亡和经济损失</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降低生产安全事故风险、维护社会稳定</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通过安全监管，降低了生产安全事故发生风险，维护了社会稳定</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制度可持续</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将安全监管制度化，持续发挥作用</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p>
      <w:pPr>
        <w:pStyle w:val="2"/>
        <w:rPr>
          <w:rFonts w:hint="eastAsia"/>
        </w:rPr>
      </w:pPr>
    </w:p>
    <w:tbl>
      <w:tblPr>
        <w:tblStyle w:val="13"/>
        <w:tblW w:w="101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2"/>
        <w:gridCol w:w="1241"/>
        <w:gridCol w:w="1271"/>
        <w:gridCol w:w="1417"/>
        <w:gridCol w:w="1319"/>
        <w:gridCol w:w="2278"/>
        <w:gridCol w:w="1055"/>
        <w:gridCol w:w="9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3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 xml:space="preserve">部门（单位）盖章：广元市朝天区应急管理局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8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安全生产基础经费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8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25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27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252"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全区现有非煤矿山企业14家、危化企业16家、烟花爆竹批发企业2家、零售经营户91家、油气管线5条进行监管检查。实现专业预防、专业处置、专业检查、强化重点领域安全管理水平，遏制较大以上生产安全事故的发生，全面提升安全管理水平。</w:t>
            </w:r>
          </w:p>
        </w:tc>
        <w:tc>
          <w:tcPr>
            <w:tcW w:w="4272"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通过项目实施，实现了专业预防、专业处置、专业检查、强化重点领域安全管理水平，安全管理水平得到全面提升，全区全年无较大以上生产安全事故的发生。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重点企业检查人次数</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≥120人次</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128人次</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监管重点企业数量</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109家</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109家</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安全监管工作规范程度</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全年安全监管工作程序规范，无违规监管行为发生</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监管工作完成及时限</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监管费用成本</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4万元</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保障全区生产生活秩序稳定有序</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好</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通过项目实施，全区全年无较大以上生产安全事故的发生，保障了生产生活秩序稳定有序。</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管理机制健全性</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好</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对重点企业监管机制健全</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w:t>
            </w:r>
          </w:p>
        </w:tc>
        <w:tc>
          <w:tcPr>
            <w:tcW w:w="1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9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jc w:val="center"/>
        <w:rPr>
          <w:rFonts w:hint="eastAsia" w:ascii="黑体" w:hAnsi="黑体" w:eastAsia="黑体"/>
          <w:color w:val="auto"/>
          <w:sz w:val="44"/>
          <w:szCs w:val="44"/>
          <w:highlight w:val="none"/>
        </w:rPr>
      </w:pPr>
    </w:p>
    <w:tbl>
      <w:tblPr>
        <w:tblStyle w:val="13"/>
        <w:tblW w:w="998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278"/>
        <w:gridCol w:w="887"/>
        <w:gridCol w:w="8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994"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14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安全生产执法经费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14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88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03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根据市人民政府和区人民政府签订的安全生产目标责任书的要求，强化安全监管，加强监察执法工作，打击非法、违法生产经营建设行为，强化对一般生产安全事故的调查、处罚。</w:t>
            </w:r>
          </w:p>
        </w:tc>
        <w:tc>
          <w:tcPr>
            <w:tcW w:w="4032"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通过项目实施，完成对155家企业的安全生产执法监察，全区安全生产工作持续好转。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监管企业数量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≥155家</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监管计划完成度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执法经费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企业安全生产工作持续好转</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通过项目实施，有效减少企业安全生产事故的发生，企业安全生产工作持续好转</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企业发展可持续</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通过项目实施，有效企业安全生产事故的发生，企业实现可持续发展</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企业员工满意度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w:t>
            </w:r>
          </w:p>
        </w:tc>
        <w:tc>
          <w:tcPr>
            <w:tcW w:w="17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jc w:val="center"/>
        <w:rPr>
          <w:rFonts w:hint="eastAsia"/>
        </w:rPr>
      </w:pPr>
    </w:p>
    <w:p>
      <w:pPr>
        <w:rPr>
          <w:rFonts w:hint="eastAsia"/>
        </w:rPr>
      </w:pPr>
      <w:r>
        <w:rPr>
          <w:rFonts w:hint="eastAsia"/>
        </w:rPr>
        <w:br w:type="page"/>
      </w:r>
    </w:p>
    <w:tbl>
      <w:tblPr>
        <w:tblStyle w:val="13"/>
        <w:tblW w:w="98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912"/>
        <w:gridCol w:w="2278"/>
        <w:gridCol w:w="1043"/>
        <w:gridCol w:w="10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824"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797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三办二委运行及执法服装经费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797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3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3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484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3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844"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1、完成每年区应急委、区减灾委、区森林防灭火指挥部办公室、区防汛抗旱指挥部办公室、区抗震救灾指挥部办公室以区委、区政府名义下发文件、召开的会议； 2、根据应急管理部《应急管理综合行政执法装备配备标准》及《四川省综合行政执法制式服装和标志管理实施办法》文件要求，完成服装配备。</w:t>
            </w:r>
          </w:p>
        </w:tc>
        <w:tc>
          <w:tcPr>
            <w:tcW w:w="4368"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通过项目实施，保障了三办两委正常运转，为26名执法人员配备了执法服装，提升了执法队伍形象，显著提升社会秩序维护能力。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召开会议次数</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≥15次</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18次</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服装配备人数</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26人</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26人</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采购服装验收合格率</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采购完成时限</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服装采购费</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办公费</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1万元</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维护社会秩序和谐稳定能力</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通过项目实施，提升了执法队伍形象，显著提升社会秩序维护能力</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执法服装持续发挥作用时间</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3年</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执法服装使用人满意度</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0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jc w:val="center"/>
        <w:rPr>
          <w:rFonts w:hint="eastAsia"/>
        </w:rPr>
      </w:pPr>
    </w:p>
    <w:tbl>
      <w:tblPr>
        <w:tblStyle w:val="13"/>
        <w:tblW w:w="100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277"/>
        <w:gridCol w:w="911"/>
        <w:gridCol w:w="9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090"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3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森林防火专项工作经费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3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2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指导开展隐患排查整治、森林防灭火、火灾普查工作，提升预警处置能力，保护人民群众生命财产和森林资源安全。</w:t>
            </w:r>
          </w:p>
        </w:tc>
        <w:tc>
          <w:tcPr>
            <w:tcW w:w="4128"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通过开展隐患排查整治、森林防灭火、火灾普查工作，有效提升了预警处置能力，全年排查整治隐患79处，保护了人民群众生命财产和森林资源安全。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排查隐患数量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≥50处</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79处</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发放森林防火海报、宣传手册</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≥20000份</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24000份</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排查隐患整改率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森林防火专项工作经费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维护森林资源安全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通过项目实施，有效减少了森林火灾发生率，维护了森林资源安全</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森林防灭火宣传持续发挥作用时间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1年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林区群众满意度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tbl>
      <w:tblPr>
        <w:tblStyle w:val="13"/>
        <w:tblW w:w="101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7"/>
        <w:gridCol w:w="1241"/>
        <w:gridCol w:w="1268"/>
        <w:gridCol w:w="1417"/>
        <w:gridCol w:w="1418"/>
        <w:gridCol w:w="2281"/>
        <w:gridCol w:w="960"/>
        <w:gridCol w:w="9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45"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9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森林防灭火演练经费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9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4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9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47"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开展区级森林火灾扑救演练，提升火灾扑救能力</w:t>
            </w:r>
          </w:p>
        </w:tc>
        <w:tc>
          <w:tcPr>
            <w:tcW w:w="4190"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开展区级森林火灾扑救演练，锻炼队伍、磨合机制、磨合机制，提升火灾扑救能力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开展演练次数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r>
              <w:rPr>
                <w:rStyle w:val="37"/>
                <w:lang w:val="en-US" w:eastAsia="zh-CN" w:bidi="ar"/>
              </w:rPr>
              <w:t>1（次）</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出动演练队伍</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≥100（人次）</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w:t>
            </w:r>
          </w:p>
        </w:tc>
        <w:tc>
          <w:tcPr>
            <w:tcW w:w="960" w:type="dxa"/>
            <w:tcBorders>
              <w:top w:val="single" w:color="000000" w:sz="4" w:space="0"/>
              <w:left w:val="single" w:color="000000" w:sz="4" w:space="0"/>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48" w:type="dxa"/>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演练完成度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演练完成时限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2022年1月底前</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2022年1月21日</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69"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应急演练经费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22.47万元</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22.47万元</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火灾扑救能力提升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有效提升</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有效提升</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演练成果持续发挥作用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通过演练，锻炼了森林火灾扑救队伍，理顺了火灾相应程序，发现了实际操作中的不足，演练成果持续发挥作用。</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6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指标1：群众投诉度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5%</w:t>
            </w:r>
          </w:p>
        </w:tc>
        <w:tc>
          <w:tcPr>
            <w:tcW w:w="2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w:t>
            </w:r>
          </w:p>
        </w:tc>
        <w:tc>
          <w:tcPr>
            <w:tcW w:w="19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jc w:val="center"/>
        <w:rPr>
          <w:rFonts w:hint="eastAsia"/>
        </w:rPr>
      </w:pPr>
    </w:p>
    <w:p>
      <w:pPr>
        <w:rPr>
          <w:rFonts w:hint="eastAsia"/>
        </w:rPr>
      </w:pPr>
      <w:r>
        <w:rPr>
          <w:rFonts w:hint="eastAsia"/>
        </w:rPr>
        <w:br w:type="page"/>
      </w:r>
    </w:p>
    <w:tbl>
      <w:tblPr>
        <w:tblStyle w:val="13"/>
        <w:tblW w:w="101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6"/>
        <w:gridCol w:w="1417"/>
        <w:gridCol w:w="2277"/>
        <w:gridCol w:w="923"/>
        <w:gridCol w:w="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2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疫情防控应急物资采购项目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34.35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34.35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采购疫情防控物资，提高新冠肺炎疫情防控能力，保障人民群众生命财产安全。</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采购单帐篷150顶，棉帐篷20顶，折叠床50架，提高了新冠疫情防控能力，保障了人民群众生命财产安全。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单帐篷采购数量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150顶</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150顶</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棉帐篷采购数量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20顶</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20顶</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折叠床采购数量</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50架</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50架</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采购物资验收合格率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2021年底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2021年底</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单帐篷成本</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25.64万元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25.64万元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棉帐篷成本</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5.05万元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5.05万元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折叠床成本</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3.66万元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3.66万元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有效维护社会和谐稳定</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有效维护</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通过疫情防控物资采购，助力疫情防控，有效维护了社会和谐稳定</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疫情防控物资持续发挥作用时间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1年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年</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rPr>
      </w:pPr>
      <w:r>
        <w:rPr>
          <w:rFonts w:hint="eastAsia"/>
        </w:rPr>
        <w:br w:type="page"/>
      </w:r>
    </w:p>
    <w:tbl>
      <w:tblPr>
        <w:tblStyle w:val="13"/>
        <w:tblW w:w="994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2"/>
        <w:gridCol w:w="1242"/>
        <w:gridCol w:w="1272"/>
        <w:gridCol w:w="1418"/>
        <w:gridCol w:w="1128"/>
        <w:gridCol w:w="96"/>
        <w:gridCol w:w="2184"/>
        <w:gridCol w:w="96"/>
        <w:gridCol w:w="828"/>
        <w:gridCol w:w="96"/>
        <w:gridCol w:w="840"/>
        <w:gridCol w:w="1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9812" w:type="dxa"/>
            <w:gridSpan w:val="11"/>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7958"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应急管理经费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7958"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5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5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0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4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11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6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行应急值守，并组织、指导、协调安全生产类、自然灾害类等突发事件应急救援，负责消防、森林火灾扑救、抗洪抢险、地震和地质灾害救援、生产安全事故救援等专业应急救援力量建设，依法依规统筹指导各乡镇、朝天经济开发区及社会应急救援力量和保障能力建设，对安全事故进行及时有效处置。</w:t>
            </w:r>
          </w:p>
        </w:tc>
        <w:tc>
          <w:tcPr>
            <w:tcW w:w="4140" w:type="dxa"/>
            <w:gridSpan w:val="6"/>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通过组织、指导、协调专业应急救援力量建设，提升了应急处置能力，实现了对安全事故及时有效的处置。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值班值守天数</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365天</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365天</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应急处置能力</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通过专业应急救援力量建设，我区应急处置能力显著提升。</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资金支付完成时限</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应急管理工作经费</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5万元</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安全事故所造成的损失</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有效减少</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通过项目实施，安全事故得到及时有效处置、减少了事故伤亡和经济损失</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维护社会和谐稳定</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通过安全事故得到及时有效处置，维护了社会和谐稳定</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应急处置能力可持续</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优</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通过专业应急救援力量建设，形成持续发挥作用的应急处置能力</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2" w:type="dxa"/>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944" w:type="dxa"/>
            <w:gridSpan w:val="12"/>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09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应急救灾物资购置经费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09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6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6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15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7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56" w:type="dxa"/>
            <w:gridSpan w:val="5"/>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根据上级要求，满足疫情防控和突发自然灾害需要，拟采购帐篷100顶，折叠床200架。</w:t>
            </w:r>
          </w:p>
        </w:tc>
        <w:tc>
          <w:tcPr>
            <w:tcW w:w="4176" w:type="dxa"/>
            <w:gridSpan w:val="6"/>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完成100顶帐篷及200架折叠床的采购，满足了疫情防控和突发自然灾害需要。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采购折叠床数量</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200架</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200架</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采购帐篷数量</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100顶</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100顶</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采购物资验收合格率</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采购完成时限</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救灾物资采购费用</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28万元</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28万元</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自然灾害救灾物资保障能力</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通过救灾物资采购，显著提升了自然灾害救灾物资保障能力</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救灾物资持续发挥作用时间</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1年</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2年</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受灾群众满意度</w:t>
            </w:r>
          </w:p>
        </w:tc>
        <w:tc>
          <w:tcPr>
            <w:tcW w:w="12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rPr>
      </w:pPr>
      <w:r>
        <w:rPr>
          <w:rFonts w:hint="eastAsia"/>
        </w:rPr>
        <w:br w:type="page"/>
      </w:r>
    </w:p>
    <w:tbl>
      <w:tblPr>
        <w:tblStyle w:val="13"/>
        <w:tblW w:w="99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2"/>
        <w:gridCol w:w="1241"/>
        <w:gridCol w:w="1271"/>
        <w:gridCol w:w="1417"/>
        <w:gridCol w:w="1175"/>
        <w:gridCol w:w="2278"/>
        <w:gridCol w:w="947"/>
        <w:gridCol w:w="9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920"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06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应急通讯保障设备采购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06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59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59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10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20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108"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根据市应急管理局《关于提升“三断”情况下通信保障能力的通知》和许国斌常务副市长的批示精神，购置2台卫星电话，车载终端1台，用于区委、区政府主要领导在“三断”情况下的通讯保障。</w:t>
            </w:r>
          </w:p>
        </w:tc>
        <w:tc>
          <w:tcPr>
            <w:tcW w:w="4200"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完成2台卫星电话及1台车载终端的购置，保障了区委、区政府主要领导在“三断”情况下的通讯。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4"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购置卫星电话数量</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2台</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购置车载终端数量</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1台</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采购设备验收合格率</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采购完成时限</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应急通讯保障设备采购</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7.64万元</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“三断”情况下通讯保障能力</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通过设备采购，显著提升了“三断”情况下通讯保障能力</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采购设备持续发挥作用时间</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设备使用人满意度</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rPr>
          <w:rFonts w:hint="eastAsia"/>
        </w:rPr>
      </w:pPr>
    </w:p>
    <w:p>
      <w:pPr>
        <w:rPr>
          <w:rFonts w:hint="eastAsia"/>
        </w:rPr>
      </w:pPr>
      <w:r>
        <w:rPr>
          <w:rFonts w:hint="eastAsia"/>
        </w:rPr>
        <w:br w:type="page"/>
      </w:r>
    </w:p>
    <w:tbl>
      <w:tblPr>
        <w:tblStyle w:val="13"/>
        <w:tblW w:w="101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278"/>
        <w:gridCol w:w="1019"/>
        <w:gridCol w:w="8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62"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30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应急指挥及灾害预警信息管理平台、专线及卫星电话运行维护费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30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20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保障区应急指挥及灾害预警信息管理平台、专线及卫星电话运行，定期进行维护，并结合实际对功能进行升级，提升应急指挥及处置效率。</w:t>
            </w:r>
          </w:p>
        </w:tc>
        <w:tc>
          <w:tcPr>
            <w:tcW w:w="4200"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通过保障区应急指挥及灾害预警信息管理平台、专线及卫星电话运行，定期进行维护，保障了我区在重大灾害情况下的通信能力，应急处置能力得到显著提升。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维护预警信息平台数、卫星电话台数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27台</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卫星电话在网率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预警信息平台数及卫星电话维护时限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维护费用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3万元</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重大灾害下应急处置能力</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通过卫星电话的配备，我区在重大灾害害情况下应急处置能力得到明显提升</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卫星电话持续发挥作用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通过维护，卫星电话持续发挥作用</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9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rPr>
      </w:pPr>
    </w:p>
    <w:p>
      <w:pPr>
        <w:rPr>
          <w:rFonts w:hint="eastAsia"/>
        </w:rPr>
      </w:pPr>
      <w:r>
        <w:rPr>
          <w:rFonts w:hint="eastAsia"/>
        </w:rPr>
        <w:br w:type="page"/>
      </w:r>
    </w:p>
    <w:tbl>
      <w:tblPr>
        <w:tblStyle w:val="13"/>
        <w:tblW w:w="973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2"/>
        <w:gridCol w:w="1241"/>
        <w:gridCol w:w="1271"/>
        <w:gridCol w:w="1417"/>
        <w:gridCol w:w="1127"/>
        <w:gridCol w:w="2278"/>
        <w:gridCol w:w="923"/>
        <w:gridCol w:w="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740"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78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灾害风险防治经费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78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5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6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5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0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06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06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组织、指导、协调各乡镇进行风险灾害防范治理，降低各类灾害风险，保护人民群众生命财产安全。</w:t>
            </w:r>
          </w:p>
        </w:tc>
        <w:tc>
          <w:tcPr>
            <w:tcW w:w="4068"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通过组织、指导、协调各乡镇进行风险灾害防范治理，有效降低了各类灾害风险，保护人民群众生命财产安全。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召开灾害风险防治会议次数</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≥10次</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12次</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宣传乡镇覆盖率</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防治时间</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灾害风险防治经费工作经费</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2万元</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进一步提升生产能力，增加企业效益</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通过项目实施，减少了灾害风险，提高了企业生产能力，增加了企业效益</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群众灾害隐患识别能力</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通过宣传，增加了群众灾害隐患识别能力</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从应对单一灾种向综合减灾转变，从减少灾害损失向减轻灾害风险转变。</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好</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灾害防治方法转变持续发挥作用</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78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rPr>
          <w:rFonts w:hint="eastAsia"/>
        </w:rPr>
      </w:pPr>
    </w:p>
    <w:p>
      <w:pPr>
        <w:rPr>
          <w:rFonts w:hint="eastAsia"/>
        </w:rPr>
      </w:pPr>
      <w:r>
        <w:rPr>
          <w:rFonts w:hint="eastAsia"/>
        </w:rPr>
        <w:br w:type="page"/>
      </w:r>
    </w:p>
    <w:tbl>
      <w:tblPr>
        <w:tblStyle w:val="13"/>
        <w:tblW w:w="99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6"/>
        <w:gridCol w:w="1417"/>
        <w:gridCol w:w="2277"/>
        <w:gridCol w:w="851"/>
        <w:gridCol w:w="8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994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09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执法服装采购经费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09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398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根据应急管理部《应急管理综合行政执法装备配备标准》及《四川省综合行政执法制式服装和标志管理实施办法》文件要求，为26名通过行政执法考试人员配备执法服装，提升执法行为规范程度。</w:t>
            </w:r>
          </w:p>
        </w:tc>
        <w:tc>
          <w:tcPr>
            <w:tcW w:w="3984"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通过项目实施，为26名执法人员配备了执法服装，提升了执法队伍形象，提升了执法行为规范程度，显著提升社会秩序维护能力。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全年预期指标值                        </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服装配备人数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26人</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26人</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采购服装验收合格率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采购完成时限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服装采购费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5.23万元</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rPr>
              <w:t>社会效益指标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维护社会秩序和谐稳定能力</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显著提升</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通过项目实施，提升了执法队伍形象，显著提升社会秩序维护能力</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执法服装持续发挥作用时间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3年</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执法服装使用人满意度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70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rPr>
          <w:rFonts w:hint="eastAsia"/>
        </w:rPr>
      </w:pPr>
    </w:p>
    <w:p>
      <w:pPr>
        <w:rPr>
          <w:rFonts w:hint="eastAsia"/>
        </w:rPr>
      </w:pPr>
      <w:r>
        <w:rPr>
          <w:rFonts w:hint="eastAsia"/>
        </w:rPr>
        <w:br w:type="page"/>
      </w:r>
    </w:p>
    <w:tbl>
      <w:tblPr>
        <w:tblStyle w:val="13"/>
        <w:tblW w:w="1011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1"/>
        <w:gridCol w:w="1241"/>
        <w:gridCol w:w="1271"/>
        <w:gridCol w:w="1417"/>
        <w:gridCol w:w="1417"/>
        <w:gridCol w:w="2277"/>
        <w:gridCol w:w="959"/>
        <w:gridCol w:w="9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0126"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ascii="黑体" w:hAnsi="宋体" w:eastAsia="黑体" w:cs="黑体"/>
                <w:i w:val="0"/>
                <w:iCs w:val="0"/>
                <w:color w:val="000000"/>
                <w:sz w:val="22"/>
                <w:szCs w:val="22"/>
                <w:u w:val="none"/>
              </w:rPr>
            </w:pPr>
            <w:r>
              <w:rPr>
                <w:rFonts w:hint="eastAsia" w:ascii="黑体" w:hAnsi="宋体" w:eastAsia="黑体" w:cs="黑体"/>
                <w:i w:val="0"/>
                <w:iCs w:val="0"/>
                <w:color w:val="000000"/>
                <w:kern w:val="0"/>
                <w:sz w:val="22"/>
                <w:szCs w:val="22"/>
                <w:u w:val="none"/>
                <w:lang w:val="en-US" w:eastAsia="zh-CN" w:bidi="ar"/>
              </w:rPr>
              <w:t>部门（单位）盖章：广元市朝天区应急管理局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政策（项目）支出名称</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驻矿安监员补助经费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185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预算单位</w:t>
            </w:r>
          </w:p>
        </w:tc>
        <w:tc>
          <w:tcPr>
            <w:tcW w:w="8272"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广元市朝天区应急管理局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预算执行情况</w:t>
            </w:r>
          </w:p>
        </w:tc>
        <w:tc>
          <w:tcPr>
            <w:tcW w:w="25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全年预算数（万元） </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 全年执行数（万元）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资金来源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上级资金</w:t>
            </w: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本级资金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其中：一般公共预算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政府性基金预算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国有资本经营预算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社会保险基金预算</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c>
          <w:tcPr>
            <w:tcW w:w="9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28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  计</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目标完成情况</w:t>
            </w: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全年预期目标</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5350" w:type="dxa"/>
            <w:gridSpan w:val="4"/>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根据上级文件精神，对我区非煤矿山专职驻矿安监员进行补助，保障驻矿安监人员驻矿期间的工作与生活。</w:t>
            </w:r>
          </w:p>
        </w:tc>
        <w:tc>
          <w:tcPr>
            <w:tcW w:w="4164"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完成对我区非煤矿山专职驻矿安监员的补助，保障了驻矿安监人员驻矿期间的工作与生活。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jc w:val="center"/>
        </w:trPr>
        <w:tc>
          <w:tcPr>
            <w:tcW w:w="6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年度绩效指标完成情况</w:t>
            </w: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全年预期指标值                        （包含数字及文字描述）</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全年实际完成指标值                           （包含数字及文字描述）</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未完成原因及改进措施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补助驻矿安监员人数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≥3人</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3人</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重大安全生产事故发生率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明显降低</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未发生重大安全生产事故</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补助发放时限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2022年底</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272"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驻矿安监员补助经费</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3.2万元</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3.2万元</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效益指标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lang w:eastAsia="zh-CN"/>
              </w:rPr>
            </w:pPr>
            <w:r>
              <w:rPr>
                <w:rFonts w:hint="eastAsia" w:ascii="宋体" w:hAnsi="宋体" w:eastAsia="宋体" w:cs="宋体"/>
                <w:i w:val="0"/>
                <w:iCs w:val="0"/>
                <w:color w:val="000000"/>
                <w:sz w:val="18"/>
                <w:szCs w:val="18"/>
                <w:u w:val="none"/>
                <w:lang w:eastAsia="zh-CN"/>
              </w:rPr>
              <w:t>社会效益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降低生产安全事故风险、维护社会稳定</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通过安全监管，降低了生产安全事故发生风险，维护了社会稳定</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补助持续发挥作用时间</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ascii="仿宋" w:hAnsi="仿宋" w:eastAsia="仿宋" w:cs="仿宋"/>
                <w:i w:val="0"/>
                <w:iCs w:val="0"/>
                <w:color w:val="000000"/>
                <w:sz w:val="18"/>
                <w:szCs w:val="18"/>
                <w:u w:val="none"/>
              </w:rPr>
            </w:pPr>
            <w:r>
              <w:rPr>
                <w:rFonts w:hint="eastAsia" w:ascii="仿宋" w:hAnsi="仿宋" w:eastAsia="仿宋" w:cs="仿宋"/>
                <w:i w:val="0"/>
                <w:iCs w:val="0"/>
                <w:color w:val="000000"/>
                <w:kern w:val="0"/>
                <w:sz w:val="18"/>
                <w:szCs w:val="18"/>
                <w:u w:val="none"/>
                <w:lang w:val="en-US" w:eastAsia="zh-CN" w:bidi="ar"/>
              </w:rPr>
              <w:t>1年</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1年</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2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驻矿安监员满意度</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2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pStyle w:val="2"/>
        <w:rPr>
          <w:rFonts w:hint="eastAsia"/>
        </w:rPr>
      </w:pPr>
    </w:p>
    <w:p>
      <w:pPr>
        <w:pStyle w:val="2"/>
        <w:rPr>
          <w:rFonts w:hint="eastAsia"/>
        </w:rPr>
      </w:pPr>
    </w:p>
    <w:p>
      <w:pPr>
        <w:pStyle w:val="2"/>
        <w:rPr>
          <w:rFonts w:hint="eastAsia"/>
        </w:rPr>
      </w:pPr>
    </w:p>
    <w:p>
      <w:pPr>
        <w:pStyle w:val="2"/>
        <w:rPr>
          <w:rFonts w:hint="eastAsia"/>
        </w:rPr>
      </w:pPr>
    </w:p>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p>
      <w:pPr>
        <w:spacing w:line="600" w:lineRule="exact"/>
        <w:jc w:val="center"/>
        <w:outlineLvl w:val="0"/>
        <w:rPr>
          <w:rFonts w:hint="eastAsia" w:ascii="仿宋" w:hAnsi="仿宋" w:eastAsia="仿宋"/>
          <w:b w:val="0"/>
          <w:color w:val="auto"/>
          <w:highlight w:val="none"/>
        </w:rPr>
      </w:pPr>
      <w:bookmarkStart w:id="77" w:name="_Toc24861"/>
      <w:r>
        <w:rPr>
          <w:rFonts w:hint="eastAsia" w:ascii="黑体" w:hAnsi="黑体" w:eastAsia="黑体"/>
          <w:color w:val="auto"/>
          <w:sz w:val="44"/>
          <w:szCs w:val="44"/>
          <w:highlight w:val="none"/>
        </w:rPr>
        <w:t>第</w:t>
      </w:r>
      <w:r>
        <w:rPr>
          <w:rStyle w:val="25"/>
          <w:rFonts w:hint="eastAsia" w:ascii="黑体" w:hAnsi="黑体" w:eastAsia="黑体"/>
          <w:b w:val="0"/>
          <w:color w:val="auto"/>
          <w:highlight w:val="none"/>
        </w:rPr>
        <w:t>五部分 附表</w:t>
      </w:r>
      <w:bookmarkEnd w:id="72"/>
      <w:bookmarkEnd w:id="76"/>
      <w:bookmarkEnd w:id="77"/>
      <w:bookmarkStart w:id="78" w:name="_Toc15396619"/>
    </w:p>
    <w:p>
      <w:pPr>
        <w:pStyle w:val="4"/>
        <w:rPr>
          <w:rFonts w:ascii="仿宋" w:hAnsi="仿宋" w:eastAsia="仿宋"/>
          <w:color w:val="auto"/>
          <w:highlight w:val="none"/>
        </w:rPr>
      </w:pPr>
      <w:bookmarkStart w:id="79" w:name="_Toc11819"/>
      <w:r>
        <w:rPr>
          <w:rFonts w:hint="eastAsia" w:ascii="仿宋" w:hAnsi="仿宋" w:eastAsia="仿宋"/>
          <w:b w:val="0"/>
          <w:color w:val="auto"/>
          <w:highlight w:val="none"/>
        </w:rPr>
        <w:t>一、收</w:t>
      </w:r>
      <w:r>
        <w:rPr>
          <w:rStyle w:val="26"/>
          <w:rFonts w:hint="eastAsia" w:ascii="仿宋" w:hAnsi="仿宋" w:eastAsia="仿宋"/>
          <w:b w:val="0"/>
          <w:bCs w:val="0"/>
          <w:color w:val="auto"/>
          <w:highlight w:val="none"/>
        </w:rPr>
        <w:t>入支出决算总表</w:t>
      </w:r>
      <w:bookmarkEnd w:id="78"/>
      <w:bookmarkEnd w:id="79"/>
    </w:p>
    <w:p>
      <w:pPr>
        <w:pStyle w:val="4"/>
        <w:rPr>
          <w:rFonts w:ascii="仿宋" w:hAnsi="仿宋" w:eastAsia="仿宋"/>
          <w:color w:val="auto"/>
          <w:highlight w:val="none"/>
        </w:rPr>
      </w:pPr>
      <w:bookmarkStart w:id="80" w:name="_Toc8815"/>
      <w:bookmarkStart w:id="81" w:name="_Toc15396620"/>
      <w:r>
        <w:rPr>
          <w:rFonts w:hint="eastAsia" w:ascii="仿宋" w:hAnsi="仿宋" w:eastAsia="仿宋"/>
          <w:b w:val="0"/>
          <w:color w:val="auto"/>
          <w:highlight w:val="none"/>
        </w:rPr>
        <w:t>二、收</w:t>
      </w:r>
      <w:r>
        <w:rPr>
          <w:rStyle w:val="26"/>
          <w:rFonts w:hint="eastAsia" w:ascii="仿宋" w:hAnsi="仿宋" w:eastAsia="仿宋"/>
          <w:b w:val="0"/>
          <w:bCs w:val="0"/>
          <w:color w:val="auto"/>
          <w:highlight w:val="none"/>
        </w:rPr>
        <w:t>入决算表</w:t>
      </w:r>
      <w:bookmarkEnd w:id="80"/>
      <w:bookmarkEnd w:id="81"/>
    </w:p>
    <w:p>
      <w:pPr>
        <w:pStyle w:val="4"/>
        <w:rPr>
          <w:rFonts w:ascii="仿宋" w:hAnsi="仿宋" w:eastAsia="仿宋"/>
          <w:color w:val="auto"/>
          <w:highlight w:val="none"/>
        </w:rPr>
      </w:pPr>
      <w:bookmarkStart w:id="82" w:name="_Toc15396621"/>
      <w:bookmarkStart w:id="83" w:name="_Toc21452"/>
      <w:r>
        <w:rPr>
          <w:rStyle w:val="26"/>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6"/>
          <w:rFonts w:hint="eastAsia" w:ascii="仿宋" w:hAnsi="仿宋" w:eastAsia="仿宋"/>
          <w:b w:val="0"/>
          <w:bCs w:val="0"/>
          <w:color w:val="auto"/>
          <w:highlight w:val="none"/>
        </w:rPr>
        <w:t>出决算表</w:t>
      </w:r>
      <w:bookmarkEnd w:id="82"/>
      <w:bookmarkEnd w:id="83"/>
    </w:p>
    <w:p>
      <w:pPr>
        <w:pStyle w:val="4"/>
        <w:rPr>
          <w:rFonts w:ascii="仿宋" w:hAnsi="仿宋" w:eastAsia="仿宋"/>
          <w:b w:val="0"/>
          <w:color w:val="auto"/>
          <w:highlight w:val="none"/>
        </w:rPr>
      </w:pPr>
      <w:bookmarkStart w:id="84" w:name="_Toc29677"/>
      <w:bookmarkStart w:id="85" w:name="_Toc15396622"/>
      <w:r>
        <w:rPr>
          <w:rStyle w:val="26"/>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6"/>
          <w:rFonts w:hint="eastAsia" w:ascii="仿宋" w:hAnsi="仿宋" w:eastAsia="仿宋"/>
          <w:b w:val="0"/>
          <w:bCs w:val="0"/>
          <w:color w:val="auto"/>
          <w:highlight w:val="none"/>
        </w:rPr>
        <w:t>政拨款收入支出决算总表</w:t>
      </w:r>
      <w:bookmarkEnd w:id="84"/>
      <w:bookmarkEnd w:id="85"/>
    </w:p>
    <w:p>
      <w:pPr>
        <w:pStyle w:val="4"/>
        <w:rPr>
          <w:rStyle w:val="26"/>
          <w:rFonts w:ascii="仿宋" w:hAnsi="仿宋" w:eastAsia="仿宋"/>
          <w:b w:val="0"/>
          <w:bCs w:val="0"/>
          <w:color w:val="auto"/>
          <w:highlight w:val="none"/>
        </w:rPr>
      </w:pPr>
      <w:bookmarkStart w:id="86" w:name="_Toc6863"/>
      <w:bookmarkStart w:id="87" w:name="_Toc15396623"/>
      <w:r>
        <w:rPr>
          <w:rStyle w:val="26"/>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6"/>
          <w:rFonts w:hint="eastAsia" w:ascii="仿宋" w:hAnsi="仿宋" w:eastAsia="仿宋"/>
          <w:b w:val="0"/>
          <w:bCs w:val="0"/>
          <w:color w:val="auto"/>
          <w:highlight w:val="none"/>
        </w:rPr>
        <w:t>政拨款支出决算明细表</w:t>
      </w:r>
      <w:bookmarkEnd w:id="86"/>
      <w:bookmarkEnd w:id="87"/>
      <w:bookmarkStart w:id="88" w:name="_Toc15396624"/>
    </w:p>
    <w:p>
      <w:pPr>
        <w:pStyle w:val="4"/>
        <w:rPr>
          <w:rFonts w:ascii="仿宋" w:hAnsi="仿宋" w:eastAsia="仿宋"/>
          <w:color w:val="auto"/>
          <w:highlight w:val="none"/>
        </w:rPr>
      </w:pPr>
      <w:bookmarkStart w:id="89" w:name="_Toc25731"/>
      <w:r>
        <w:rPr>
          <w:rStyle w:val="26"/>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般公共预算财政拨款支出决算表</w:t>
      </w:r>
      <w:bookmarkEnd w:id="88"/>
      <w:bookmarkEnd w:id="89"/>
    </w:p>
    <w:p>
      <w:pPr>
        <w:pStyle w:val="4"/>
        <w:rPr>
          <w:rFonts w:ascii="仿宋" w:hAnsi="仿宋" w:eastAsia="仿宋"/>
          <w:color w:val="auto"/>
          <w:highlight w:val="none"/>
        </w:rPr>
      </w:pPr>
      <w:bookmarkStart w:id="90" w:name="_Toc15396625"/>
      <w:bookmarkStart w:id="91" w:name="_Toc4042"/>
      <w:r>
        <w:rPr>
          <w:rStyle w:val="26"/>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般公共预算财政拨款支出决算明细表</w:t>
      </w:r>
      <w:bookmarkEnd w:id="90"/>
      <w:bookmarkEnd w:id="91"/>
    </w:p>
    <w:p>
      <w:pPr>
        <w:pStyle w:val="4"/>
        <w:rPr>
          <w:rFonts w:ascii="仿宋" w:hAnsi="仿宋" w:eastAsia="仿宋"/>
          <w:color w:val="auto"/>
          <w:highlight w:val="none"/>
        </w:rPr>
      </w:pPr>
      <w:bookmarkStart w:id="92" w:name="_Toc27263"/>
      <w:bookmarkStart w:id="93" w:name="_Toc15396626"/>
      <w:r>
        <w:rPr>
          <w:rStyle w:val="26"/>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般公共预算财政拨款基本支出决算表</w:t>
      </w:r>
      <w:bookmarkEnd w:id="92"/>
      <w:bookmarkEnd w:id="93"/>
    </w:p>
    <w:p>
      <w:pPr>
        <w:pStyle w:val="4"/>
        <w:rPr>
          <w:rFonts w:ascii="仿宋" w:hAnsi="仿宋" w:eastAsia="仿宋"/>
          <w:color w:val="auto"/>
          <w:highlight w:val="none"/>
        </w:rPr>
      </w:pPr>
      <w:bookmarkStart w:id="94" w:name="_Toc9135"/>
      <w:bookmarkStart w:id="95" w:name="_Toc15396627"/>
      <w:r>
        <w:rPr>
          <w:rStyle w:val="26"/>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般公共预算财政拨款项目支出决算表</w:t>
      </w:r>
      <w:bookmarkEnd w:id="94"/>
      <w:bookmarkEnd w:id="95"/>
    </w:p>
    <w:p>
      <w:pPr>
        <w:pStyle w:val="4"/>
        <w:rPr>
          <w:rFonts w:ascii="仿宋" w:hAnsi="仿宋" w:eastAsia="仿宋"/>
          <w:color w:val="auto"/>
          <w:highlight w:val="none"/>
        </w:rPr>
      </w:pPr>
      <w:bookmarkStart w:id="96" w:name="_Toc15396628"/>
      <w:bookmarkStart w:id="97" w:name="_Toc16226"/>
      <w:r>
        <w:rPr>
          <w:rStyle w:val="26"/>
          <w:rFonts w:hint="eastAsia" w:ascii="仿宋" w:hAnsi="仿宋" w:eastAsia="仿宋"/>
          <w:b w:val="0"/>
          <w:bCs w:val="0"/>
          <w:color w:val="auto"/>
          <w:highlight w:val="none"/>
        </w:rPr>
        <w:t>十、</w:t>
      </w:r>
      <w:bookmarkEnd w:id="96"/>
      <w:r>
        <w:rPr>
          <w:rFonts w:hint="eastAsia" w:ascii="仿宋" w:hAnsi="仿宋" w:eastAsia="仿宋"/>
          <w:b w:val="0"/>
          <w:color w:val="auto"/>
          <w:highlight w:val="none"/>
        </w:rPr>
        <w:t>政</w:t>
      </w:r>
      <w:r>
        <w:rPr>
          <w:rStyle w:val="26"/>
          <w:rFonts w:hint="eastAsia" w:ascii="仿宋" w:hAnsi="仿宋" w:eastAsia="仿宋"/>
          <w:b w:val="0"/>
          <w:bCs w:val="0"/>
          <w:color w:val="auto"/>
          <w:highlight w:val="none"/>
        </w:rPr>
        <w:t>府性基金预算财政拨款收入支出决算表</w:t>
      </w:r>
      <w:bookmarkEnd w:id="97"/>
    </w:p>
    <w:p>
      <w:pPr>
        <w:pStyle w:val="4"/>
        <w:rPr>
          <w:rFonts w:ascii="仿宋" w:hAnsi="仿宋" w:eastAsia="仿宋"/>
          <w:color w:val="auto"/>
          <w:highlight w:val="none"/>
        </w:rPr>
      </w:pPr>
      <w:bookmarkStart w:id="98" w:name="_Toc15396629"/>
      <w:bookmarkStart w:id="99" w:name="_Toc27888"/>
      <w:r>
        <w:rPr>
          <w:rStyle w:val="26"/>
          <w:rFonts w:hint="eastAsia" w:ascii="仿宋" w:hAnsi="仿宋" w:eastAsia="仿宋"/>
          <w:b w:val="0"/>
          <w:bCs w:val="0"/>
          <w:color w:val="auto"/>
          <w:highlight w:val="none"/>
        </w:rPr>
        <w:t>十一、</w:t>
      </w:r>
      <w:bookmarkEnd w:id="98"/>
      <w:r>
        <w:rPr>
          <w:rFonts w:hint="eastAsia" w:ascii="仿宋" w:hAnsi="仿宋" w:eastAsia="仿宋"/>
          <w:b w:val="0"/>
          <w:color w:val="auto"/>
          <w:highlight w:val="none"/>
        </w:rPr>
        <w:t>国</w:t>
      </w:r>
      <w:r>
        <w:rPr>
          <w:rStyle w:val="26"/>
          <w:rFonts w:hint="eastAsia" w:ascii="仿宋" w:hAnsi="仿宋" w:eastAsia="仿宋"/>
          <w:b w:val="0"/>
          <w:bCs w:val="0"/>
          <w:color w:val="auto"/>
          <w:highlight w:val="none"/>
        </w:rPr>
        <w:t>有资本经营预算</w:t>
      </w:r>
      <w:r>
        <w:rPr>
          <w:rStyle w:val="26"/>
          <w:rFonts w:hint="eastAsia" w:ascii="仿宋" w:hAnsi="仿宋" w:eastAsia="仿宋"/>
          <w:b w:val="0"/>
          <w:bCs w:val="0"/>
          <w:color w:val="auto"/>
          <w:highlight w:val="none"/>
          <w:lang w:eastAsia="zh-CN"/>
        </w:rPr>
        <w:t>财政拨款收入</w:t>
      </w:r>
      <w:r>
        <w:rPr>
          <w:rStyle w:val="26"/>
          <w:rFonts w:hint="eastAsia" w:ascii="仿宋" w:hAnsi="仿宋" w:eastAsia="仿宋"/>
          <w:b w:val="0"/>
          <w:bCs w:val="0"/>
          <w:color w:val="auto"/>
          <w:highlight w:val="none"/>
        </w:rPr>
        <w:t>支出决算表</w:t>
      </w:r>
      <w:bookmarkEnd w:id="99"/>
    </w:p>
    <w:p>
      <w:pPr>
        <w:pStyle w:val="4"/>
        <w:rPr>
          <w:rFonts w:ascii="仿宋" w:hAnsi="仿宋" w:eastAsia="仿宋"/>
          <w:color w:val="auto"/>
          <w:highlight w:val="none"/>
        </w:rPr>
      </w:pPr>
      <w:bookmarkStart w:id="100" w:name="_Toc15396630"/>
      <w:bookmarkStart w:id="101" w:name="_Toc7937"/>
      <w:r>
        <w:rPr>
          <w:rStyle w:val="26"/>
          <w:rFonts w:hint="eastAsia" w:ascii="仿宋" w:hAnsi="仿宋" w:eastAsia="仿宋"/>
          <w:b w:val="0"/>
          <w:bCs w:val="0"/>
          <w:color w:val="auto"/>
          <w:highlight w:val="none"/>
        </w:rPr>
        <w:t>十二、</w:t>
      </w:r>
      <w:bookmarkEnd w:id="100"/>
      <w:r>
        <w:rPr>
          <w:rStyle w:val="26"/>
          <w:rFonts w:hint="eastAsia" w:ascii="仿宋" w:hAnsi="仿宋" w:eastAsia="仿宋"/>
          <w:b w:val="0"/>
          <w:bCs w:val="0"/>
          <w:color w:val="auto"/>
          <w:highlight w:val="none"/>
          <w:lang w:eastAsia="zh-CN"/>
        </w:rPr>
        <w:t>国有资本经营预算财政拨款支出决算表</w:t>
      </w:r>
      <w:bookmarkEnd w:id="101"/>
    </w:p>
    <w:p>
      <w:pPr>
        <w:pStyle w:val="4"/>
        <w:rPr>
          <w:rFonts w:hint="eastAsia" w:eastAsia="仿宋"/>
          <w:color w:val="auto"/>
          <w:highlight w:val="none"/>
          <w:lang w:eastAsia="zh-CN"/>
        </w:rPr>
      </w:pPr>
      <w:bookmarkStart w:id="102" w:name="_Toc15396631"/>
      <w:bookmarkStart w:id="103" w:name="_Toc25233"/>
      <w:r>
        <w:rPr>
          <w:rStyle w:val="26"/>
          <w:rFonts w:hint="eastAsia" w:ascii="仿宋" w:hAnsi="仿宋" w:eastAsia="仿宋"/>
          <w:b w:val="0"/>
          <w:bCs w:val="0"/>
          <w:color w:val="auto"/>
          <w:highlight w:val="none"/>
        </w:rPr>
        <w:t>十三、</w:t>
      </w:r>
      <w:bookmarkEnd w:id="102"/>
      <w:r>
        <w:rPr>
          <w:rStyle w:val="26"/>
          <w:rFonts w:hint="eastAsia" w:ascii="仿宋" w:hAnsi="仿宋" w:eastAsia="仿宋"/>
          <w:b w:val="0"/>
          <w:bCs w:val="0"/>
          <w:color w:val="auto"/>
          <w:highlight w:val="none"/>
          <w:lang w:eastAsia="zh-CN"/>
        </w:rPr>
        <w:t>财政拨款“三公”经费支出决算表</w:t>
      </w:r>
      <w:bookmarkEnd w:id="103"/>
    </w:p>
    <w:sectPr>
      <w:footerReference r:id="rId8" w:type="first"/>
      <w:footerReference r:id="rId7"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2"/>
                    </w:pPr>
                  </w:p>
                </w:txbxContent>
              </v:textbox>
            </v:shape>
          </w:pict>
        </mc:Fallback>
      </mc:AlternateContent>
    </w:r>
  </w:p>
  <w:p>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3818A09A"/>
    <w:multiLevelType w:val="singleLevel"/>
    <w:tmpl w:val="3818A09A"/>
    <w:lvl w:ilvl="0" w:tentative="0">
      <w:start w:val="1"/>
      <w:numFmt w:val="chineseCounting"/>
      <w:suff w:val="nothing"/>
      <w:lvlText w:val="%1、"/>
      <w:lvlJc w:val="left"/>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iMTUyMTE4NWZmZDI1MWNmZTMwNDZlZTU2MDcwNzQ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0871D6"/>
    <w:rsid w:val="022C4BCE"/>
    <w:rsid w:val="053A62B5"/>
    <w:rsid w:val="0A2032A3"/>
    <w:rsid w:val="0B8A37D8"/>
    <w:rsid w:val="10C055FF"/>
    <w:rsid w:val="118107EC"/>
    <w:rsid w:val="11DD6519"/>
    <w:rsid w:val="12FC10BC"/>
    <w:rsid w:val="15526CFF"/>
    <w:rsid w:val="16BB723D"/>
    <w:rsid w:val="18015F3F"/>
    <w:rsid w:val="1BE8440E"/>
    <w:rsid w:val="1D155CEE"/>
    <w:rsid w:val="20F57F95"/>
    <w:rsid w:val="240371BF"/>
    <w:rsid w:val="25711CC6"/>
    <w:rsid w:val="25C741E6"/>
    <w:rsid w:val="27842671"/>
    <w:rsid w:val="29FD04D3"/>
    <w:rsid w:val="2ABE7A3E"/>
    <w:rsid w:val="2CA234A8"/>
    <w:rsid w:val="2CD9476B"/>
    <w:rsid w:val="2EFA178C"/>
    <w:rsid w:val="30B46D73"/>
    <w:rsid w:val="319F7F4E"/>
    <w:rsid w:val="383D272C"/>
    <w:rsid w:val="39AE70AB"/>
    <w:rsid w:val="3AB176CC"/>
    <w:rsid w:val="3C0C0783"/>
    <w:rsid w:val="3DED2989"/>
    <w:rsid w:val="3F627790"/>
    <w:rsid w:val="3F9F3A96"/>
    <w:rsid w:val="42E13347"/>
    <w:rsid w:val="46F8176F"/>
    <w:rsid w:val="48BF60AB"/>
    <w:rsid w:val="493C27E9"/>
    <w:rsid w:val="496F39ED"/>
    <w:rsid w:val="49FF41D3"/>
    <w:rsid w:val="4A386168"/>
    <w:rsid w:val="4B4D2F01"/>
    <w:rsid w:val="4BE068DB"/>
    <w:rsid w:val="4BF6002B"/>
    <w:rsid w:val="4ECE2238"/>
    <w:rsid w:val="51DB4B86"/>
    <w:rsid w:val="55333C3E"/>
    <w:rsid w:val="5C72548C"/>
    <w:rsid w:val="64CA39A1"/>
    <w:rsid w:val="69630ADE"/>
    <w:rsid w:val="6BA66029"/>
    <w:rsid w:val="6C4A05C8"/>
    <w:rsid w:val="6D3B1A89"/>
    <w:rsid w:val="6F2C3F6E"/>
    <w:rsid w:val="71BF4EC2"/>
    <w:rsid w:val="72734D90"/>
    <w:rsid w:val="729E7B6B"/>
    <w:rsid w:val="73982907"/>
    <w:rsid w:val="73D30022"/>
    <w:rsid w:val="7412278C"/>
    <w:rsid w:val="79E7B28D"/>
    <w:rsid w:val="7F9F20EE"/>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table of figures"/>
    <w:basedOn w:val="1"/>
    <w:next w:val="1"/>
    <w:qFormat/>
    <w:uiPriority w:val="0"/>
    <w:pPr>
      <w:ind w:leftChars="200" w:hanging="200" w:hangingChars="200"/>
    </w:pPr>
  </w:style>
  <w:style w:type="paragraph" w:styleId="6">
    <w:name w:val="Body Text"/>
    <w:basedOn w:val="1"/>
    <w:next w:val="1"/>
    <w:link w:val="22"/>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8"/>
    <w:semiHidden/>
    <w:unhideWhenUsed/>
    <w:qFormat/>
    <w:uiPriority w:val="99"/>
    <w:rPr>
      <w:sz w:val="18"/>
      <w:szCs w:val="18"/>
    </w:rPr>
  </w:style>
  <w:style w:type="paragraph" w:styleId="9">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14:textFill>
        <w14:solidFill>
          <w14:schemeClr w14:val="hlink"/>
        </w14:solidFill>
      </w14:textFill>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10"/>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9"/>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6"/>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3"/>
    <w:qFormat/>
    <w:uiPriority w:val="9"/>
    <w:rPr>
      <w:rFonts w:ascii="Times New Roman" w:hAnsi="Times New Roman"/>
      <w:b/>
      <w:bCs/>
      <w:kern w:val="44"/>
      <w:sz w:val="44"/>
      <w:szCs w:val="44"/>
    </w:rPr>
  </w:style>
  <w:style w:type="character" w:customStyle="1" w:styleId="26">
    <w:name w:val="标题 2 Char"/>
    <w:basedOn w:val="14"/>
    <w:link w:val="4"/>
    <w:qFormat/>
    <w:uiPriority w:val="9"/>
    <w:rPr>
      <w:rFonts w:asciiTheme="majorHAnsi" w:hAnsiTheme="majorHAnsi" w:eastAsiaTheme="majorEastAsia" w:cstheme="majorBidi"/>
      <w:b/>
      <w:bCs/>
      <w:kern w:val="2"/>
      <w:sz w:val="32"/>
      <w:szCs w:val="32"/>
    </w:rPr>
  </w:style>
  <w:style w:type="paragraph" w:customStyle="1" w:styleId="2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4"/>
    <w:link w:val="8"/>
    <w:semiHidden/>
    <w:qFormat/>
    <w:uiPriority w:val="99"/>
    <w:rPr>
      <w:rFonts w:ascii="Times New Roman" w:hAnsi="Times New Roman"/>
      <w:kern w:val="2"/>
      <w:sz w:val="18"/>
      <w:szCs w:val="18"/>
    </w:rPr>
  </w:style>
  <w:style w:type="character" w:customStyle="1" w:styleId="29">
    <w:name w:val="标题 3 Char"/>
    <w:basedOn w:val="14"/>
    <w:link w:val="5"/>
    <w:qFormat/>
    <w:uiPriority w:val="9"/>
    <w:rPr>
      <w:rFonts w:ascii="Times New Roman" w:hAnsi="Times New Roman"/>
      <w:b/>
      <w:bCs/>
      <w:kern w:val="2"/>
      <w:sz w:val="32"/>
      <w:szCs w:val="32"/>
    </w:rPr>
  </w:style>
  <w:style w:type="paragraph" w:customStyle="1" w:styleId="30">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1">
    <w:name w:val="公文主体"/>
    <w:basedOn w:val="1"/>
    <w:qFormat/>
    <w:uiPriority w:val="0"/>
    <w:pPr>
      <w:spacing w:line="580" w:lineRule="exact"/>
      <w:ind w:firstLine="200" w:firstLineChars="200"/>
    </w:pPr>
    <w:rPr>
      <w:rFonts w:eastAsia="仿宋_GB2312"/>
      <w:kern w:val="0"/>
      <w:sz w:val="32"/>
      <w:szCs w:val="20"/>
    </w:rPr>
  </w:style>
  <w:style w:type="character" w:customStyle="1" w:styleId="32">
    <w:name w:val="font51"/>
    <w:basedOn w:val="14"/>
    <w:qFormat/>
    <w:uiPriority w:val="0"/>
    <w:rPr>
      <w:rFonts w:hint="eastAsia" w:ascii="微软雅黑" w:hAnsi="微软雅黑" w:eastAsia="微软雅黑" w:cs="微软雅黑"/>
      <w:color w:val="000000"/>
      <w:sz w:val="18"/>
      <w:szCs w:val="18"/>
      <w:u w:val="none"/>
    </w:rPr>
  </w:style>
  <w:style w:type="character" w:customStyle="1" w:styleId="33">
    <w:name w:val="font31"/>
    <w:basedOn w:val="14"/>
    <w:qFormat/>
    <w:uiPriority w:val="0"/>
    <w:rPr>
      <w:rFonts w:hint="eastAsia" w:ascii="宋体" w:hAnsi="宋体" w:eastAsia="宋体" w:cs="宋体"/>
      <w:color w:val="000000"/>
      <w:sz w:val="18"/>
      <w:szCs w:val="18"/>
      <w:u w:val="none"/>
    </w:rPr>
  </w:style>
  <w:style w:type="character" w:customStyle="1" w:styleId="34">
    <w:name w:val="font41"/>
    <w:basedOn w:val="14"/>
    <w:qFormat/>
    <w:uiPriority w:val="0"/>
    <w:rPr>
      <w:rFonts w:hint="eastAsia" w:ascii="宋体" w:hAnsi="宋体" w:eastAsia="宋体" w:cs="宋体"/>
      <w:color w:val="000000"/>
      <w:sz w:val="20"/>
      <w:szCs w:val="20"/>
      <w:u w:val="none"/>
    </w:rPr>
  </w:style>
  <w:style w:type="character" w:customStyle="1" w:styleId="35">
    <w:name w:val="font61"/>
    <w:basedOn w:val="14"/>
    <w:qFormat/>
    <w:uiPriority w:val="0"/>
    <w:rPr>
      <w:rFonts w:hint="default" w:ascii="Times New Roman" w:hAnsi="Times New Roman" w:cs="Times New Roman"/>
      <w:color w:val="000000"/>
      <w:sz w:val="20"/>
      <w:szCs w:val="20"/>
      <w:u w:val="none"/>
    </w:rPr>
  </w:style>
  <w:style w:type="character" w:customStyle="1" w:styleId="36">
    <w:name w:val="font21"/>
    <w:basedOn w:val="14"/>
    <w:qFormat/>
    <w:uiPriority w:val="0"/>
    <w:rPr>
      <w:rFonts w:hint="eastAsia" w:ascii="宋体" w:hAnsi="宋体" w:eastAsia="宋体" w:cs="宋体"/>
      <w:color w:val="000000"/>
      <w:sz w:val="18"/>
      <w:szCs w:val="18"/>
      <w:u w:val="none"/>
    </w:rPr>
  </w:style>
  <w:style w:type="character" w:customStyle="1" w:styleId="37">
    <w:name w:val="font01"/>
    <w:basedOn w:val="14"/>
    <w:qFormat/>
    <w:uiPriority w:val="0"/>
    <w:rPr>
      <w:rFonts w:hint="eastAsia" w:ascii="宋体" w:hAnsi="宋体" w:eastAsia="宋体" w:cs="宋体"/>
      <w:color w:val="000000"/>
      <w:sz w:val="22"/>
      <w:szCs w:val="22"/>
      <w:u w:val="none"/>
    </w:rPr>
  </w:style>
  <w:style w:type="paragraph" w:customStyle="1" w:styleId="38">
    <w:name w:val="WPSOffice手动目录 1"/>
    <w:qFormat/>
    <w:uiPriority w:val="0"/>
    <w:pPr>
      <w:ind w:leftChars="0"/>
    </w:pPr>
    <w:rPr>
      <w:rFonts w:ascii="Times New Roman" w:hAnsi="Times New Roman" w:eastAsia="宋体" w:cs="Times New Roman"/>
      <w:sz w:val="20"/>
      <w:szCs w:val="20"/>
    </w:rPr>
  </w:style>
  <w:style w:type="paragraph" w:customStyle="1" w:styleId="39">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chart" Target="charts/chart7.xml"/><Relationship Id="rId15" Type="http://schemas.openxmlformats.org/officeDocument/2006/relationships/chart" Target="charts/chart6.xml"/><Relationship Id="rId14" Type="http://schemas.openxmlformats.org/officeDocument/2006/relationships/chart" Target="charts/chart5.xml"/><Relationship Id="rId13" Type="http://schemas.openxmlformats.org/officeDocument/2006/relationships/chart" Target="charts/chart4.xml"/><Relationship Id="rId12" Type="http://schemas.openxmlformats.org/officeDocument/2006/relationships/chart" Target="charts/chart3.xml"/><Relationship Id="rId11" Type="http://schemas.openxmlformats.org/officeDocument/2006/relationships/chart" Target="charts/chart2.xml"/><Relationship Id="rId10" Type="http://schemas.openxmlformats.org/officeDocument/2006/relationships/chart" Target="charts/chart1.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F:\&#32599;&#27491;&#31077;\2023\&#39044;&#20915;&#31639;&#20844;&#24320;&#21450;&#35828;&#26126;\2022&#37096;&#38376;&#20915;&#31639;&#20998;&#26512;&#25253;&#21578;&#21450;&#22635;&#34920;&#35828;&#26126;&#65288;&#21457;&#21333;&#20301;&#65289;\&#25968;&#25454;&#22270;&#34920;.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file:///F:\&#32599;&#27491;&#31077;\2022\2021&#24180;&#20915;&#31639;&#20844;&#24320;\&#37096;&#38376;&#20915;&#31639;\&#25968;&#25454;&#22270;&#34920;.xlsx"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file:///F:\&#32599;&#27491;&#31077;\2023\&#39044;&#20915;&#31639;&#20844;&#24320;&#21450;&#35828;&#26126;\2022&#37096;&#38376;&#20915;&#31639;&#20998;&#26512;&#25253;&#21578;&#21450;&#22635;&#34920;&#35828;&#26126;&#65288;&#21457;&#21333;&#20301;&#65289;\&#21333;&#20301;&#20915;&#31639;\&#25968;&#25454;&#22270;&#34920;.xlsx"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file:///F:\&#32599;&#27491;&#31077;\2023\&#39044;&#20915;&#31639;&#20844;&#24320;&#21450;&#35828;&#26126;\2022&#37096;&#38376;&#20915;&#31639;&#20998;&#26512;&#25253;&#21578;&#21450;&#22635;&#34920;&#35828;&#26126;&#65288;&#21457;&#21333;&#20301;&#65289;\&#25968;&#25454;&#22270;&#34920;.xlsx" TargetMode="External"/></Relationships>
</file>

<file path=word/charts/_rels/chart5.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file:///F:\&#32599;&#27491;&#31077;\2023\&#39044;&#20915;&#31639;&#20844;&#24320;&#21450;&#35828;&#26126;\2022&#37096;&#38376;&#20915;&#31639;&#20998;&#26512;&#25253;&#21578;&#21450;&#22635;&#34920;&#35828;&#26126;&#65288;&#21457;&#21333;&#20301;&#65289;\&#25968;&#25454;&#22270;&#34920;.xlsx" TargetMode="External"/></Relationships>
</file>

<file path=word/charts/_rels/chart6.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file:///F:\&#32599;&#27491;&#31077;\2023\&#39044;&#20915;&#31639;&#20844;&#24320;&#21450;&#35828;&#26126;\2022&#37096;&#38376;&#20915;&#31639;&#20998;&#26512;&#25253;&#21578;&#21450;&#22635;&#34920;&#35828;&#26126;&#65288;&#21457;&#21333;&#20301;&#65289;\&#21333;&#20301;&#20915;&#31639;\&#25968;&#25454;&#22270;&#34920;.xlsx" TargetMode="External"/></Relationships>
</file>

<file path=word/charts/_rels/chart7.xml.rels><?xml version="1.0" encoding="UTF-8" standalone="yes"?>
<Relationships xmlns="http://schemas.openxmlformats.org/package/2006/relationships"><Relationship Id="rId3" Type="http://schemas.microsoft.com/office/2011/relationships/chartColorStyle" Target="colors7.xml"/><Relationship Id="rId2" Type="http://schemas.microsoft.com/office/2011/relationships/chartStyle" Target="style7.xml"/><Relationship Id="rId1" Type="http://schemas.openxmlformats.org/officeDocument/2006/relationships/oleObject" Target="file:///F:\&#32599;&#27491;&#31077;\2023\&#39044;&#20915;&#31639;&#20844;&#24320;&#21450;&#35828;&#26126;\2022&#37096;&#38376;&#20915;&#31639;&#20998;&#26512;&#25253;&#21578;&#21450;&#22635;&#34920;&#35828;&#26126;&#65288;&#21457;&#21333;&#20301;&#65289;\&#21333;&#20301;&#20915;&#31639;\&#25968;&#25454;&#22270;&#3492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4F81BD"/>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404040">
                        <a:lumMod val="75000"/>
                        <a:lumOff val="25000"/>
                      </a:srgb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rgbClr val="A6A6A6">
                          <a:lumMod val="35000"/>
                          <a:lumOff val="65000"/>
                        </a:srgbClr>
                      </a:solidFill>
                      <a:round/>
                    </a:ln>
                    <a:effectLst/>
                  </c:spPr>
                </c15:leaderLines>
              </c:ext>
            </c:extLst>
          </c:dLbls>
          <c:cat>
            <c:strRef>
              <c:f>[数据图表.xlsx]Sheet1!$B$32:$B$33</c:f>
              <c:strCache>
                <c:ptCount val="2"/>
                <c:pt idx="0">
                  <c:v>2021年</c:v>
                </c:pt>
                <c:pt idx="1">
                  <c:v>2022年</c:v>
                </c:pt>
              </c:strCache>
            </c:strRef>
          </c:cat>
          <c:val>
            <c:numRef>
              <c:f>[数据图表.xlsx]Sheet1!$C$32:$C$33</c:f>
              <c:numCache>
                <c:formatCode>General</c:formatCode>
                <c:ptCount val="2"/>
                <c:pt idx="0">
                  <c:v>1273.04</c:v>
                </c:pt>
                <c:pt idx="1">
                  <c:v>3801.98</c:v>
                </c:pt>
              </c:numCache>
            </c:numRef>
          </c:val>
        </c:ser>
        <c:dLbls>
          <c:showLegendKey val="0"/>
          <c:showVal val="1"/>
          <c:showCatName val="0"/>
          <c:showSerName val="0"/>
          <c:showPercent val="0"/>
          <c:showBubbleSize val="0"/>
        </c:dLbls>
        <c:gapWidth val="219"/>
        <c:overlap val="-27"/>
        <c:axId val="360246272"/>
        <c:axId val="645114060"/>
      </c:barChart>
      <c:catAx>
        <c:axId val="360246272"/>
        <c:scaling>
          <c:orientation val="minMax"/>
        </c:scaling>
        <c:delete val="0"/>
        <c:axPos val="b"/>
        <c:majorTickMark val="none"/>
        <c:minorTickMark val="none"/>
        <c:tickLblPos val="nextTo"/>
        <c:spPr>
          <a:noFill/>
          <a:ln w="9525" cap="flat" cmpd="sng" algn="ctr">
            <a:solidFill>
              <a:srgbClr val="D9D9D9">
                <a:lumMod val="15000"/>
                <a:lumOff val="85000"/>
              </a:srgbClr>
            </a:solidFill>
            <a:round/>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645114060"/>
        <c:crosses val="autoZero"/>
        <c:auto val="1"/>
        <c:lblAlgn val="ctr"/>
        <c:lblOffset val="100"/>
        <c:noMultiLvlLbl val="0"/>
      </c:catAx>
      <c:valAx>
        <c:axId val="645114060"/>
        <c:scaling>
          <c:orientation val="minMax"/>
        </c:scaling>
        <c:delete val="0"/>
        <c:axPos val="l"/>
        <c:majorGridlines>
          <c:spPr>
            <a:ln w="9525" cap="flat" cmpd="sng" algn="ctr">
              <a:solidFill>
                <a:srgbClr val="D9D9D9">
                  <a:lumMod val="15000"/>
                  <a:lumOff val="85000"/>
                </a:srgb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360246272"/>
        <c:crosses val="autoZero"/>
        <c:crossBetween val="between"/>
      </c:valAx>
      <c:spPr>
        <a:noFill/>
        <a:ln>
          <a:noFill/>
        </a:ln>
        <a:effectLst/>
      </c:spPr>
    </c:plotArea>
    <c:plotVisOnly val="1"/>
    <c:dispBlanksAs val="gap"/>
    <c:showDLblsOverMax val="0"/>
  </c:chart>
  <c:spPr>
    <a:solidFill>
      <a:srgbClr val="FFFFFF"/>
    </a:solidFill>
    <a:ln w="9525" cap="flat" cmpd="sng" algn="ctr">
      <a:solidFill>
        <a:srgbClr val="D9D9D9">
          <a:lumMod val="15000"/>
          <a:lumOff val="85000"/>
        </a:srgb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[数据图表.xlsx]Sheet1!$B$32:$B$33</c:f>
              <c:strCache>
                <c:ptCount val="2"/>
                <c:pt idx="0">
                  <c:v>一般公共预算财政拨款收入</c:v>
                </c:pt>
              </c:strCache>
            </c:strRef>
          </c:cat>
          <c:val>
            <c:numRef>
              <c:f>[数据图表.xlsx]Sheet1!$C$32:$C$33</c:f>
              <c:numCache>
                <c:formatCode>0%</c:formatCode>
                <c:ptCount val="2"/>
                <c:pt idx="0">
                  <c:v>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[数据图表.xlsx]Sheet1!$A$127:$A$128</c:f>
              <c:strCache>
                <c:ptCount val="2"/>
                <c:pt idx="0">
                  <c:v>基本支出</c:v>
                </c:pt>
                <c:pt idx="1">
                  <c:v>项目支出</c:v>
                </c:pt>
              </c:strCache>
            </c:strRef>
          </c:cat>
          <c:val>
            <c:numRef>
              <c:f>[数据图表.xlsx]Sheet1!$B$127:$B$128</c:f>
              <c:numCache>
                <c:formatCode>0.00%</c:formatCode>
                <c:ptCount val="2"/>
                <c:pt idx="0">
                  <c:v>0.177183527573718</c:v>
                </c:pt>
                <c:pt idx="1">
                  <c:v>0.822816472426282</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4F81BD"/>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404040">
                        <a:lumMod val="75000"/>
                        <a:lumOff val="25000"/>
                      </a:srgb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rgbClr val="A6A6A6">
                          <a:lumMod val="35000"/>
                          <a:lumOff val="65000"/>
                        </a:srgbClr>
                      </a:solidFill>
                      <a:round/>
                    </a:ln>
                    <a:effectLst/>
                  </c:spPr>
                </c15:leaderLines>
              </c:ext>
            </c:extLst>
          </c:dLbls>
          <c:cat>
            <c:strRef>
              <c:f>[数据图表.xlsx]Sheet1!$B$32:$B$33</c:f>
              <c:strCache>
                <c:ptCount val="2"/>
                <c:pt idx="0">
                  <c:v>2021年</c:v>
                </c:pt>
                <c:pt idx="1">
                  <c:v>2022年</c:v>
                </c:pt>
              </c:strCache>
            </c:strRef>
          </c:cat>
          <c:val>
            <c:numRef>
              <c:f>[数据图表.xlsx]Sheet1!$C$32:$C$33</c:f>
              <c:numCache>
                <c:formatCode>General</c:formatCode>
                <c:ptCount val="2"/>
                <c:pt idx="0">
                  <c:v>1273.04</c:v>
                </c:pt>
                <c:pt idx="1">
                  <c:v>3801.98</c:v>
                </c:pt>
              </c:numCache>
            </c:numRef>
          </c:val>
        </c:ser>
        <c:dLbls>
          <c:showLegendKey val="0"/>
          <c:showVal val="1"/>
          <c:showCatName val="0"/>
          <c:showSerName val="0"/>
          <c:showPercent val="0"/>
          <c:showBubbleSize val="0"/>
        </c:dLbls>
        <c:gapWidth val="219"/>
        <c:overlap val="-27"/>
        <c:axId val="360246272"/>
        <c:axId val="645114060"/>
      </c:barChart>
      <c:catAx>
        <c:axId val="360246272"/>
        <c:scaling>
          <c:orientation val="minMax"/>
        </c:scaling>
        <c:delete val="0"/>
        <c:axPos val="b"/>
        <c:majorTickMark val="none"/>
        <c:minorTickMark val="none"/>
        <c:tickLblPos val="nextTo"/>
        <c:spPr>
          <a:noFill/>
          <a:ln w="9525" cap="flat" cmpd="sng" algn="ctr">
            <a:solidFill>
              <a:srgbClr val="D9D9D9">
                <a:lumMod val="15000"/>
                <a:lumOff val="85000"/>
              </a:srgbClr>
            </a:solidFill>
            <a:round/>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645114060"/>
        <c:crosses val="autoZero"/>
        <c:auto val="1"/>
        <c:lblAlgn val="ctr"/>
        <c:lblOffset val="100"/>
        <c:noMultiLvlLbl val="0"/>
      </c:catAx>
      <c:valAx>
        <c:axId val="645114060"/>
        <c:scaling>
          <c:orientation val="minMax"/>
        </c:scaling>
        <c:delete val="0"/>
        <c:axPos val="l"/>
        <c:majorGridlines>
          <c:spPr>
            <a:ln w="9525" cap="flat" cmpd="sng" algn="ctr">
              <a:solidFill>
                <a:srgbClr val="D9D9D9">
                  <a:lumMod val="15000"/>
                  <a:lumOff val="85000"/>
                </a:srgb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360246272"/>
        <c:crosses val="autoZero"/>
        <c:crossBetween val="between"/>
      </c:valAx>
      <c:spPr>
        <a:noFill/>
        <a:ln>
          <a:noFill/>
        </a:ln>
        <a:effectLst/>
      </c:spPr>
    </c:plotArea>
    <c:plotVisOnly val="1"/>
    <c:dispBlanksAs val="gap"/>
    <c:showDLblsOverMax val="0"/>
  </c:chart>
  <c:spPr>
    <a:solidFill>
      <a:srgbClr val="FFFFFF"/>
    </a:solidFill>
    <a:ln w="9525" cap="flat" cmpd="sng" algn="ctr">
      <a:solidFill>
        <a:srgbClr val="D9D9D9">
          <a:lumMod val="15000"/>
          <a:lumOff val="85000"/>
        </a:srgb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4F81BD"/>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404040">
                        <a:lumMod val="75000"/>
                        <a:lumOff val="25000"/>
                      </a:srgb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rgbClr val="A6A6A6">
                          <a:lumMod val="35000"/>
                          <a:lumOff val="65000"/>
                        </a:srgbClr>
                      </a:solidFill>
                      <a:round/>
                    </a:ln>
                    <a:effectLst/>
                  </c:spPr>
                </c15:leaderLines>
              </c:ext>
            </c:extLst>
          </c:dLbls>
          <c:cat>
            <c:strRef>
              <c:f>[数据图表.xlsx]Sheet1!$B$32:$B$33</c:f>
              <c:strCache>
                <c:ptCount val="2"/>
                <c:pt idx="0">
                  <c:v>2021年</c:v>
                </c:pt>
                <c:pt idx="1">
                  <c:v>2022年</c:v>
                </c:pt>
              </c:strCache>
            </c:strRef>
          </c:cat>
          <c:val>
            <c:numRef>
              <c:f>[数据图表.xlsx]Sheet1!$C$32:$C$33</c:f>
              <c:numCache>
                <c:formatCode>General</c:formatCode>
                <c:ptCount val="2"/>
                <c:pt idx="0">
                  <c:v>1273.04</c:v>
                </c:pt>
                <c:pt idx="1">
                  <c:v>3801.98</c:v>
                </c:pt>
              </c:numCache>
            </c:numRef>
          </c:val>
        </c:ser>
        <c:dLbls>
          <c:showLegendKey val="0"/>
          <c:showVal val="1"/>
          <c:showCatName val="0"/>
          <c:showSerName val="0"/>
          <c:showPercent val="0"/>
          <c:showBubbleSize val="0"/>
        </c:dLbls>
        <c:gapWidth val="219"/>
        <c:overlap val="-27"/>
        <c:axId val="360246272"/>
        <c:axId val="645114060"/>
      </c:barChart>
      <c:catAx>
        <c:axId val="360246272"/>
        <c:scaling>
          <c:orientation val="minMax"/>
        </c:scaling>
        <c:delete val="0"/>
        <c:axPos val="b"/>
        <c:majorTickMark val="none"/>
        <c:minorTickMark val="none"/>
        <c:tickLblPos val="nextTo"/>
        <c:spPr>
          <a:noFill/>
          <a:ln w="9525" cap="flat" cmpd="sng" algn="ctr">
            <a:solidFill>
              <a:srgbClr val="D9D9D9">
                <a:lumMod val="15000"/>
                <a:lumOff val="85000"/>
              </a:srgbClr>
            </a:solidFill>
            <a:round/>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645114060"/>
        <c:crosses val="autoZero"/>
        <c:auto val="1"/>
        <c:lblAlgn val="ctr"/>
        <c:lblOffset val="100"/>
        <c:noMultiLvlLbl val="0"/>
      </c:catAx>
      <c:valAx>
        <c:axId val="645114060"/>
        <c:scaling>
          <c:orientation val="minMax"/>
        </c:scaling>
        <c:delete val="0"/>
        <c:axPos val="l"/>
        <c:majorGridlines>
          <c:spPr>
            <a:ln w="9525" cap="flat" cmpd="sng" algn="ctr">
              <a:solidFill>
                <a:srgbClr val="D9D9D9">
                  <a:lumMod val="15000"/>
                  <a:lumOff val="85000"/>
                </a:srgb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rgbClr val="595959">
                    <a:lumMod val="65000"/>
                    <a:lumOff val="35000"/>
                  </a:srgbClr>
                </a:solidFill>
                <a:latin typeface="+mn-lt"/>
                <a:ea typeface="+mn-ea"/>
                <a:cs typeface="+mn-cs"/>
              </a:defRPr>
            </a:pPr>
          </a:p>
        </c:txPr>
        <c:crossAx val="360246272"/>
        <c:crosses val="autoZero"/>
        <c:crossBetween val="between"/>
      </c:valAx>
      <c:spPr>
        <a:noFill/>
        <a:ln>
          <a:noFill/>
        </a:ln>
        <a:effectLst/>
      </c:spPr>
    </c:plotArea>
    <c:plotVisOnly val="1"/>
    <c:dispBlanksAs val="gap"/>
    <c:showDLblsOverMax val="0"/>
  </c:chart>
  <c:spPr>
    <a:solidFill>
      <a:srgbClr val="FFFFFF"/>
    </a:solidFill>
    <a:ln w="9525" cap="flat" cmpd="sng" algn="ctr">
      <a:solidFill>
        <a:srgbClr val="D9D9D9">
          <a:lumMod val="15000"/>
          <a:lumOff val="85000"/>
        </a:srgb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各项收支占总收入的比重</a:t>
            </a:r>
          </a:p>
        </c:rich>
      </c:tx>
      <c:layout/>
      <c:overlay val="0"/>
      <c:spPr>
        <a:noFill/>
        <a:ln>
          <a:noFill/>
        </a:ln>
        <a:effectLst/>
      </c:spPr>
    </c:title>
    <c:autoTitleDeleted val="0"/>
    <c:plotArea>
      <c:layout/>
      <c:pieChart>
        <c:varyColors val="1"/>
        <c:ser>
          <c:idx val="0"/>
          <c:order val="0"/>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Pt>
            <c:idx val="4"/>
            <c:bubble3D val="0"/>
            <c:spPr>
              <a:solidFill>
                <a:schemeClr val="accent5"/>
              </a:solidFill>
              <a:ln w="19050">
                <a:solidFill>
                  <a:schemeClr val="lt1"/>
                </a:solidFill>
              </a:ln>
              <a:effectLst/>
            </c:spPr>
          </c:dPt>
          <c:dPt>
            <c:idx val="5"/>
            <c:bubble3D val="0"/>
            <c:spPr>
              <a:solidFill>
                <a:schemeClr val="accent6"/>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[数据图表.xlsx]Sheet1!$F$77:$F$82</c:f>
              <c:strCache>
                <c:ptCount val="6"/>
                <c:pt idx="0">
                  <c:v>社会保障和就业支出</c:v>
                </c:pt>
                <c:pt idx="1">
                  <c:v>卫生健康支出</c:v>
                </c:pt>
                <c:pt idx="2">
                  <c:v>节能环保支出</c:v>
                </c:pt>
                <c:pt idx="3">
                  <c:v>农林水支出</c:v>
                </c:pt>
                <c:pt idx="4">
                  <c:v>住房保障支出</c:v>
                </c:pt>
                <c:pt idx="5">
                  <c:v>灾害防治及应急管理支出</c:v>
                </c:pt>
              </c:strCache>
            </c:strRef>
          </c:cat>
          <c:val>
            <c:numRef>
              <c:f>[数据图表.xlsx]Sheet1!$G$77:$G$82</c:f>
              <c:numCache>
                <c:formatCode>0.00%</c:formatCode>
                <c:ptCount val="6"/>
                <c:pt idx="0">
                  <c:v>0.0143</c:v>
                </c:pt>
                <c:pt idx="1">
                  <c:v>0.0138</c:v>
                </c:pt>
                <c:pt idx="2">
                  <c:v>0.1176</c:v>
                </c:pt>
                <c:pt idx="3">
                  <c:v>0.0004</c:v>
                </c:pt>
                <c:pt idx="4">
                  <c:v>0.0133</c:v>
                </c:pt>
                <c:pt idx="5">
                  <c:v>0.8406</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[数据图表.xlsx]Sheet1!$A$144:$A$145</c:f>
              <c:strCache>
                <c:ptCount val="2"/>
                <c:pt idx="0">
                  <c:v>公务用车购置及运行维护费</c:v>
                </c:pt>
                <c:pt idx="1">
                  <c:v>务接待费</c:v>
                </c:pt>
              </c:strCache>
            </c:strRef>
          </c:cat>
          <c:val>
            <c:numRef>
              <c:f>[数据图表.xlsx]Sheet1!$B$144:$B$145</c:f>
              <c:numCache>
                <c:formatCode>0.00%</c:formatCode>
                <c:ptCount val="2"/>
                <c:pt idx="0">
                  <c:v>0.3333</c:v>
                </c:pt>
                <c:pt idx="1">
                  <c:v>0.6667</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t"/>
      <c:layout>
        <c:manualLayout>
          <c:xMode val="edge"/>
          <c:yMode val="edge"/>
          <c:x val="0.294671052631579"/>
          <c:y val="0.062962962962963"/>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rgbClr val="4F81BD"/>
  <a:srgbClr val="C0504D"/>
  <a:srgbClr val="9BBB59"/>
  <a:srgbClr val="8064A2"/>
  <a:srgbClr val="4BACC6"/>
  <a:srgbClr val="F7964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rgbClr val="4F81BD"/>
  <a:srgbClr val="C0504D"/>
  <a:srgbClr val="9BBB59"/>
  <a:srgbClr val="8064A2"/>
  <a:srgbClr val="4BACC6"/>
  <a:srgbClr val="F7964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rgbClr val="4F81BD"/>
  <a:srgbClr val="C0504D"/>
  <a:srgbClr val="9BBB59"/>
  <a:srgbClr val="8064A2"/>
  <a:srgbClr val="4BACC6"/>
  <a:srgbClr val="F7964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rgbClr val="595959">
        <a:lumMod val="65000"/>
        <a:lumOff val="35000"/>
      </a:srgbClr>
    </cs:fontRef>
    <cs:defRPr sz="1000" kern="1200"/>
  </cs:axisTitle>
  <cs:categoryAxis>
    <cs:lnRef idx="0"/>
    <cs:fillRef idx="0"/>
    <cs:effectRef idx="0"/>
    <cs:fontRef idx="minor">
      <a:srgbClr val="595959">
        <a:lumMod val="65000"/>
        <a:lumOff val="35000"/>
      </a:srgbClr>
    </cs:fontRef>
    <cs:spPr>
      <a:ln w="9525" cap="flat" cmpd="sng" algn="ctr">
        <a:solidFill>
          <a:srgbClr val="D9D9D9">
            <a:lumMod val="15000"/>
            <a:lumOff val="85000"/>
          </a:srgbClr>
        </a:solidFill>
        <a:round/>
      </a:ln>
    </cs:spPr>
    <cs:defRPr sz="900" kern="1200"/>
  </cs:categoryAxis>
  <cs:chartArea mods="allowNoFillOverride allowNoLineOverride">
    <cs:lnRef idx="0"/>
    <cs:fillRef idx="0"/>
    <cs:effectRef idx="0"/>
    <cs:fontRef idx="minor">
      <a:srgbClr val="000000"/>
    </cs:fontRef>
    <cs:spPr>
      <a:solidFill>
        <a:srgbClr val="FFFFFF"/>
      </a:solidFill>
      <a:ln w="9525" cap="flat" cmpd="sng" algn="ctr">
        <a:solidFill>
          <a:srgbClr val="D9D9D9">
            <a:lumMod val="15000"/>
            <a:lumOff val="85000"/>
          </a:srgbClr>
        </a:solidFill>
        <a:round/>
      </a:ln>
    </cs:spPr>
    <cs:defRPr sz="1000" kern="1200"/>
  </cs:chartArea>
  <cs:dataLabel>
    <cs:lnRef idx="0"/>
    <cs:fillRef idx="0"/>
    <cs:effectRef idx="0"/>
    <cs:fontRef idx="minor">
      <a:srgbClr val="404040">
        <a:lumMod val="75000"/>
        <a:lumOff val="25000"/>
      </a:srgbClr>
    </cs:fontRef>
    <cs:defRPr sz="900" kern="1200"/>
  </cs:dataLabel>
  <cs:dataLabelCallout>
    <cs:lnRef idx="0"/>
    <cs:fillRef idx="0"/>
    <cs:effectRef idx="0"/>
    <cs:fontRef idx="minor">
      <a:srgbClr val="595959">
        <a:lumMod val="65000"/>
        <a:lumOff val="35000"/>
      </a:srgbClr>
    </cs:fontRef>
    <cs:spPr>
      <a:solidFill>
        <a:srgbClr val="FFFFFF"/>
      </a:solidFill>
      <a:ln>
        <a:solidFill>
          <a:srgbClr val="BFBFBF">
            <a:lumMod val="25000"/>
            <a:lumOff val="75000"/>
          </a:srgb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rgbClr val="000000"/>
    </cs:fontRef>
  </cs:dataPoint>
  <cs:dataPoint3D>
    <cs:lnRef idx="0"/>
    <cs:fillRef idx="1">
      <cs:styleClr val="auto"/>
    </cs:fillRef>
    <cs:effectRef idx="0"/>
    <cs:fontRef idx="minor">
      <a:srgbClr val="000000"/>
    </cs:fontRef>
  </cs:dataPoint3D>
  <cs:dataPointLine>
    <cs:lnRef idx="0">
      <cs:styleClr val="auto"/>
    </cs:lnRef>
    <cs:fillRef idx="1"/>
    <cs:effectRef idx="0"/>
    <cs:fontRef idx="minor">
      <a:srgbClr val="000000"/>
    </cs:fontRef>
    <cs:spPr>
      <a:ln w="28575" cap="rnd">
        <a:solidFill>
          <a:srgbClr val="FFFFFF"/>
        </a:solidFill>
        <a:round/>
      </a:ln>
    </cs:spPr>
  </cs:dataPointLine>
  <cs:dataPointMarker>
    <cs:lnRef idx="0">
      <cs:styleClr val="auto"/>
    </cs:lnRef>
    <cs:fillRef idx="1">
      <cs:styleClr val="auto"/>
    </cs:fillRef>
    <cs:effectRef idx="0"/>
    <cs:fontRef idx="minor">
      <a:srgbClr val="000000"/>
    </cs:fontRef>
    <cs:spPr>
      <a:ln w="9525">
        <a:solidFill>
          <a:srgbClr val="FFFFFF"/>
        </a:solidFill>
      </a:ln>
    </cs:spPr>
  </cs:dataPointMarker>
  <cs:dataPointMarkerLayout symbol="circle" size="5"/>
  <cs:dataPointWireframe>
    <cs:lnRef idx="0">
      <cs:styleClr val="auto"/>
    </cs:lnRef>
    <cs:fillRef idx="1"/>
    <cs:effectRef idx="0"/>
    <cs:fontRef idx="minor">
      <a:srgbClr val="000000"/>
    </cs:fontRef>
    <cs:spPr>
      <a:ln w="9525" cap="rnd">
        <a:solidFill>
          <a:srgbClr val="FFFFFF"/>
        </a:solidFill>
        <a:round/>
      </a:ln>
    </cs:spPr>
  </cs:dataPointWireframe>
  <cs:dataTable>
    <cs:lnRef idx="0"/>
    <cs:fillRef idx="0"/>
    <cs:effectRef idx="0"/>
    <cs:fontRef idx="minor">
      <a:srgbClr val="595959">
        <a:lumMod val="65000"/>
        <a:lumOff val="35000"/>
      </a:srgbClr>
    </cs:fontRef>
    <cs:spPr>
      <a:noFill/>
      <a:ln w="9525" cap="flat" cmpd="sng" algn="ctr">
        <a:solidFill>
          <a:srgbClr val="D9D9D9">
            <a:lumMod val="15000"/>
            <a:lumOff val="85000"/>
          </a:srgbClr>
        </a:solidFill>
        <a:round/>
      </a:ln>
    </cs:spPr>
    <cs:defRPr sz="900" kern="1200"/>
  </cs:dataTable>
  <cs:downBar>
    <cs:lnRef idx="0"/>
    <cs:fillRef idx="0"/>
    <cs:effectRef idx="0"/>
    <cs:fontRef idx="minor">
      <a:srgbClr val="000000"/>
    </cs:fontRef>
    <cs:spPr>
      <a:solidFill>
        <a:srgbClr val="595959">
          <a:lumMod val="65000"/>
          <a:lumOff val="35000"/>
        </a:srgbClr>
      </a:solidFill>
      <a:ln w="9525">
        <a:solidFill>
          <a:srgbClr val="595959">
            <a:lumMod val="65000"/>
            <a:lumOff val="35000"/>
          </a:srgbClr>
        </a:solidFill>
      </a:ln>
    </cs:spPr>
  </cs:downBar>
  <cs:dropLine>
    <cs:lnRef idx="0"/>
    <cs:fillRef idx="0"/>
    <cs:effectRef idx="0"/>
    <cs:fontRef idx="minor">
      <a:srgbClr val="000000"/>
    </cs:fontRef>
    <cs:spPr>
      <a:ln w="9525" cap="flat" cmpd="sng" algn="ctr">
        <a:solidFill>
          <a:srgbClr val="A6A6A6">
            <a:lumMod val="35000"/>
            <a:lumOff val="65000"/>
          </a:srgbClr>
        </a:solidFill>
        <a:round/>
      </a:ln>
    </cs:spPr>
  </cs:dropLine>
  <cs:errorBar>
    <cs:lnRef idx="0"/>
    <cs:fillRef idx="0"/>
    <cs:effectRef idx="0"/>
    <cs:fontRef idx="minor">
      <a:srgbClr val="000000"/>
    </cs:fontRef>
    <cs:spPr>
      <a:ln w="9525" cap="flat" cmpd="sng" algn="ctr">
        <a:solidFill>
          <a:srgbClr val="595959">
            <a:lumMod val="65000"/>
            <a:lumOff val="35000"/>
          </a:srgbClr>
        </a:solidFill>
        <a:round/>
      </a:ln>
    </cs:spPr>
  </cs:errorBar>
  <cs:floor>
    <cs:lnRef idx="0"/>
    <cs:fillRef idx="0"/>
    <cs:effectRef idx="0"/>
    <cs:fontRef idx="minor">
      <a:srgbClr val="000000"/>
    </cs:fontRef>
    <cs:spPr>
      <a:noFill/>
      <a:ln>
        <a:noFill/>
      </a:ln>
    </cs:spPr>
  </cs:floor>
  <cs:gridlineMajor>
    <cs:lnRef idx="0"/>
    <cs:fillRef idx="0"/>
    <cs:effectRef idx="0"/>
    <cs:fontRef idx="minor">
      <a:srgbClr val="000000"/>
    </cs:fontRef>
    <cs:spPr>
      <a:ln w="9525" cap="flat" cmpd="sng" algn="ctr">
        <a:solidFill>
          <a:srgbClr val="D9D9D9">
            <a:lumMod val="15000"/>
            <a:lumOff val="85000"/>
          </a:srgbClr>
        </a:solidFill>
        <a:round/>
      </a:ln>
    </cs:spPr>
  </cs:gridlineMajor>
  <cs:gridlineMinor>
    <cs:lnRef idx="0"/>
    <cs:fillRef idx="0"/>
    <cs:effectRef idx="0"/>
    <cs:fontRef idx="minor">
      <a:srgbClr val="000000"/>
    </cs:fontRef>
    <cs:spPr>
      <a:ln w="9525" cap="flat" cmpd="sng" algn="ctr">
        <a:solidFill>
          <a:srgbClr val="F2F2F2">
            <a:lumMod val="5000"/>
            <a:lumOff val="95000"/>
          </a:srgbClr>
        </a:solidFill>
        <a:round/>
      </a:ln>
    </cs:spPr>
  </cs:gridlineMinor>
  <cs:hiLoLine>
    <cs:lnRef idx="0"/>
    <cs:fillRef idx="0"/>
    <cs:effectRef idx="0"/>
    <cs:fontRef idx="minor">
      <a:srgbClr val="000000"/>
    </cs:fontRef>
    <cs:spPr>
      <a:ln w="9525" cap="flat" cmpd="sng" algn="ctr">
        <a:solidFill>
          <a:srgbClr val="404040">
            <a:lumMod val="75000"/>
            <a:lumOff val="25000"/>
          </a:srgbClr>
        </a:solidFill>
        <a:round/>
      </a:ln>
    </cs:spPr>
  </cs:hiLoLine>
  <cs:leaderLine>
    <cs:lnRef idx="0"/>
    <cs:fillRef idx="0"/>
    <cs:effectRef idx="0"/>
    <cs:fontRef idx="minor">
      <a:srgbClr val="000000"/>
    </cs:fontRef>
    <cs:spPr>
      <a:ln w="9525" cap="flat" cmpd="sng" algn="ctr">
        <a:solidFill>
          <a:srgbClr val="A6A6A6">
            <a:lumMod val="35000"/>
            <a:lumOff val="65000"/>
          </a:srgbClr>
        </a:solidFill>
        <a:round/>
      </a:ln>
    </cs:spPr>
  </cs:leaderLine>
  <cs:legend>
    <cs:lnRef idx="0"/>
    <cs:fillRef idx="0"/>
    <cs:effectRef idx="0"/>
    <cs:fontRef idx="minor">
      <a:srgbClr val="595959">
        <a:lumMod val="65000"/>
        <a:lumOff val="35000"/>
      </a:srgbClr>
    </cs:fontRef>
    <cs:defRPr sz="900" kern="1200"/>
  </cs:legend>
  <cs:plotArea mods="allowNoFillOverride allowNoLineOverride">
    <cs:lnRef idx="0"/>
    <cs:fillRef idx="0"/>
    <cs:effectRef idx="0"/>
    <cs:fontRef idx="minor">
      <a:srgbClr val="000000"/>
    </cs:fontRef>
  </cs:plotArea>
  <cs:plotArea3D mods="allowNoFillOverride allowNoLineOverride">
    <cs:lnRef idx="0"/>
    <cs:fillRef idx="0"/>
    <cs:effectRef idx="0"/>
    <cs:fontRef idx="minor">
      <a:srgbClr val="000000"/>
    </cs:fontRef>
  </cs:plotArea3D>
  <cs:seriesAxis>
    <cs:lnRef idx="0"/>
    <cs:fillRef idx="0"/>
    <cs:effectRef idx="0"/>
    <cs:fontRef idx="minor">
      <a:srgbClr val="595959">
        <a:lumMod val="65000"/>
        <a:lumOff val="35000"/>
      </a:srgbClr>
    </cs:fontRef>
    <cs:defRPr sz="900" kern="1200"/>
  </cs:seriesAxis>
  <cs:seriesLine>
    <cs:lnRef idx="0"/>
    <cs:fillRef idx="0"/>
    <cs:effectRef idx="0"/>
    <cs:fontRef idx="minor">
      <a:srgbClr val="000000"/>
    </cs:fontRef>
    <cs:spPr>
      <a:ln w="9525" cap="flat" cmpd="sng" algn="ctr">
        <a:solidFill>
          <a:srgbClr val="A6A6A6">
            <a:lumMod val="35000"/>
            <a:lumOff val="65000"/>
          </a:srgbClr>
        </a:solidFill>
        <a:round/>
      </a:ln>
    </cs:spPr>
  </cs:seriesLine>
  <cs:title>
    <cs:lnRef idx="0"/>
    <cs:fillRef idx="0"/>
    <cs:effectRef idx="0"/>
    <cs:fontRef idx="minor">
      <a:srgbClr val="595959">
        <a:lumMod val="65000"/>
        <a:lumOff val="35000"/>
      </a:srgbClr>
    </cs:fontRef>
    <cs:defRPr sz="1400" b="0" kern="1200" spc="0" baseline="0"/>
  </cs:title>
  <cs:trendline>
    <cs:lnRef idx="0">
      <cs:styleClr val="auto"/>
    </cs:lnRef>
    <cs:fillRef idx="0"/>
    <cs:effectRef idx="0"/>
    <cs:fontRef idx="minor">
      <a:srgbClr val="000000"/>
    </cs:fontRef>
    <cs:spPr>
      <a:ln w="19050" cap="rnd">
        <a:solidFill>
          <a:srgbClr val="FFFFFF"/>
        </a:solidFill>
        <a:prstDash val="sysDot"/>
      </a:ln>
    </cs:spPr>
  </cs:trendline>
  <cs:trendlineLabel>
    <cs:lnRef idx="0"/>
    <cs:fillRef idx="0"/>
    <cs:effectRef idx="0"/>
    <cs:fontRef idx="minor">
      <a:srgbClr val="595959">
        <a:lumMod val="65000"/>
        <a:lumOff val="35000"/>
      </a:srgbClr>
    </cs:fontRef>
    <cs:defRPr sz="900" kern="1200"/>
  </cs:trendlineLabel>
  <cs:upBar>
    <cs:lnRef idx="0"/>
    <cs:fillRef idx="0"/>
    <cs:effectRef idx="0"/>
    <cs:fontRef idx="minor">
      <a:srgbClr val="000000"/>
    </cs:fontRef>
    <cs:spPr>
      <a:solidFill>
        <a:srgbClr val="FFFFFF"/>
      </a:solidFill>
      <a:ln w="9525">
        <a:solidFill>
          <a:srgbClr val="D9D9D9">
            <a:lumMod val="15000"/>
            <a:lumOff val="85000"/>
          </a:srgbClr>
        </a:solidFill>
      </a:ln>
    </cs:spPr>
  </cs:upBar>
  <cs:valueAxis>
    <cs:lnRef idx="0"/>
    <cs:fillRef idx="0"/>
    <cs:effectRef idx="0"/>
    <cs:fontRef idx="minor">
      <a:srgbClr val="595959">
        <a:lumMod val="65000"/>
        <a:lumOff val="35000"/>
      </a:srgbClr>
    </cs:fontRef>
    <cs:defRPr sz="900" kern="1200"/>
  </cs:valueAxis>
  <cs:wall>
    <cs:lnRef idx="0"/>
    <cs:fillRef idx="0"/>
    <cs:effectRef idx="0"/>
    <cs:fontRef idx="minor">
      <a:srgbClr val="000000"/>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rgbClr val="595959">
        <a:lumMod val="65000"/>
        <a:lumOff val="35000"/>
      </a:srgbClr>
    </cs:fontRef>
    <cs:defRPr sz="1000" kern="1200"/>
  </cs:axisTitle>
  <cs:categoryAxis>
    <cs:lnRef idx="0"/>
    <cs:fillRef idx="0"/>
    <cs:effectRef idx="0"/>
    <cs:fontRef idx="minor">
      <a:srgbClr val="595959">
        <a:lumMod val="65000"/>
        <a:lumOff val="35000"/>
      </a:srgbClr>
    </cs:fontRef>
    <cs:spPr>
      <a:ln w="9525" cap="flat" cmpd="sng" algn="ctr">
        <a:solidFill>
          <a:srgbClr val="D9D9D9">
            <a:lumMod val="15000"/>
            <a:lumOff val="85000"/>
          </a:srgbClr>
        </a:solidFill>
        <a:round/>
      </a:ln>
    </cs:spPr>
    <cs:defRPr sz="900" kern="1200"/>
  </cs:categoryAxis>
  <cs:chartArea mods="allowNoFillOverride allowNoLineOverride">
    <cs:lnRef idx="0"/>
    <cs:fillRef idx="0"/>
    <cs:effectRef idx="0"/>
    <cs:fontRef idx="minor">
      <a:srgbClr val="000000"/>
    </cs:fontRef>
    <cs:spPr>
      <a:solidFill>
        <a:srgbClr val="FFFFFF"/>
      </a:solidFill>
      <a:ln w="9525" cap="flat" cmpd="sng" algn="ctr">
        <a:solidFill>
          <a:srgbClr val="D9D9D9">
            <a:lumMod val="15000"/>
            <a:lumOff val="85000"/>
          </a:srgbClr>
        </a:solidFill>
        <a:round/>
      </a:ln>
    </cs:spPr>
    <cs:defRPr sz="1000" kern="1200"/>
  </cs:chartArea>
  <cs:dataLabel>
    <cs:lnRef idx="0"/>
    <cs:fillRef idx="0"/>
    <cs:effectRef idx="0"/>
    <cs:fontRef idx="minor">
      <a:srgbClr val="404040">
        <a:lumMod val="75000"/>
        <a:lumOff val="25000"/>
      </a:srgbClr>
    </cs:fontRef>
    <cs:defRPr sz="900" kern="1200"/>
  </cs:dataLabel>
  <cs:dataLabelCallout>
    <cs:lnRef idx="0"/>
    <cs:fillRef idx="0"/>
    <cs:effectRef idx="0"/>
    <cs:fontRef idx="minor">
      <a:srgbClr val="595959">
        <a:lumMod val="65000"/>
        <a:lumOff val="35000"/>
      </a:srgbClr>
    </cs:fontRef>
    <cs:spPr>
      <a:solidFill>
        <a:srgbClr val="FFFFFF"/>
      </a:solidFill>
      <a:ln>
        <a:solidFill>
          <a:srgbClr val="BFBFBF">
            <a:lumMod val="25000"/>
            <a:lumOff val="75000"/>
          </a:srgb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rgbClr val="000000"/>
    </cs:fontRef>
  </cs:dataPoint>
  <cs:dataPoint3D>
    <cs:lnRef idx="0"/>
    <cs:fillRef idx="1">
      <cs:styleClr val="auto"/>
    </cs:fillRef>
    <cs:effectRef idx="0"/>
    <cs:fontRef idx="minor">
      <a:srgbClr val="000000"/>
    </cs:fontRef>
  </cs:dataPoint3D>
  <cs:dataPointLine>
    <cs:lnRef idx="0">
      <cs:styleClr val="auto"/>
    </cs:lnRef>
    <cs:fillRef idx="1"/>
    <cs:effectRef idx="0"/>
    <cs:fontRef idx="minor">
      <a:srgbClr val="000000"/>
    </cs:fontRef>
    <cs:spPr>
      <a:ln w="28575" cap="rnd">
        <a:solidFill>
          <a:srgbClr val="FFFFFF"/>
        </a:solidFill>
        <a:round/>
      </a:ln>
    </cs:spPr>
  </cs:dataPointLine>
  <cs:dataPointMarker>
    <cs:lnRef idx="0">
      <cs:styleClr val="auto"/>
    </cs:lnRef>
    <cs:fillRef idx="1">
      <cs:styleClr val="auto"/>
    </cs:fillRef>
    <cs:effectRef idx="0"/>
    <cs:fontRef idx="minor">
      <a:srgbClr val="000000"/>
    </cs:fontRef>
    <cs:spPr>
      <a:ln w="9525">
        <a:solidFill>
          <a:srgbClr val="FFFFFF"/>
        </a:solidFill>
      </a:ln>
    </cs:spPr>
  </cs:dataPointMarker>
  <cs:dataPointMarkerLayout symbol="circle" size="5"/>
  <cs:dataPointWireframe>
    <cs:lnRef idx="0">
      <cs:styleClr val="auto"/>
    </cs:lnRef>
    <cs:fillRef idx="1"/>
    <cs:effectRef idx="0"/>
    <cs:fontRef idx="minor">
      <a:srgbClr val="000000"/>
    </cs:fontRef>
    <cs:spPr>
      <a:ln w="9525" cap="rnd">
        <a:solidFill>
          <a:srgbClr val="FFFFFF"/>
        </a:solidFill>
        <a:round/>
      </a:ln>
    </cs:spPr>
  </cs:dataPointWireframe>
  <cs:dataTable>
    <cs:lnRef idx="0"/>
    <cs:fillRef idx="0"/>
    <cs:effectRef idx="0"/>
    <cs:fontRef idx="minor">
      <a:srgbClr val="595959">
        <a:lumMod val="65000"/>
        <a:lumOff val="35000"/>
      </a:srgbClr>
    </cs:fontRef>
    <cs:spPr>
      <a:noFill/>
      <a:ln w="9525" cap="flat" cmpd="sng" algn="ctr">
        <a:solidFill>
          <a:srgbClr val="D9D9D9">
            <a:lumMod val="15000"/>
            <a:lumOff val="85000"/>
          </a:srgbClr>
        </a:solidFill>
        <a:round/>
      </a:ln>
    </cs:spPr>
    <cs:defRPr sz="900" kern="1200"/>
  </cs:dataTable>
  <cs:downBar>
    <cs:lnRef idx="0"/>
    <cs:fillRef idx="0"/>
    <cs:effectRef idx="0"/>
    <cs:fontRef idx="minor">
      <a:srgbClr val="000000"/>
    </cs:fontRef>
    <cs:spPr>
      <a:solidFill>
        <a:srgbClr val="595959">
          <a:lumMod val="65000"/>
          <a:lumOff val="35000"/>
        </a:srgbClr>
      </a:solidFill>
      <a:ln w="9525">
        <a:solidFill>
          <a:srgbClr val="595959">
            <a:lumMod val="65000"/>
            <a:lumOff val="35000"/>
          </a:srgbClr>
        </a:solidFill>
      </a:ln>
    </cs:spPr>
  </cs:downBar>
  <cs:dropLine>
    <cs:lnRef idx="0"/>
    <cs:fillRef idx="0"/>
    <cs:effectRef idx="0"/>
    <cs:fontRef idx="minor">
      <a:srgbClr val="000000"/>
    </cs:fontRef>
    <cs:spPr>
      <a:ln w="9525" cap="flat" cmpd="sng" algn="ctr">
        <a:solidFill>
          <a:srgbClr val="A6A6A6">
            <a:lumMod val="35000"/>
            <a:lumOff val="65000"/>
          </a:srgbClr>
        </a:solidFill>
        <a:round/>
      </a:ln>
    </cs:spPr>
  </cs:dropLine>
  <cs:errorBar>
    <cs:lnRef idx="0"/>
    <cs:fillRef idx="0"/>
    <cs:effectRef idx="0"/>
    <cs:fontRef idx="minor">
      <a:srgbClr val="000000"/>
    </cs:fontRef>
    <cs:spPr>
      <a:ln w="9525" cap="flat" cmpd="sng" algn="ctr">
        <a:solidFill>
          <a:srgbClr val="595959">
            <a:lumMod val="65000"/>
            <a:lumOff val="35000"/>
          </a:srgbClr>
        </a:solidFill>
        <a:round/>
      </a:ln>
    </cs:spPr>
  </cs:errorBar>
  <cs:floor>
    <cs:lnRef idx="0"/>
    <cs:fillRef idx="0"/>
    <cs:effectRef idx="0"/>
    <cs:fontRef idx="minor">
      <a:srgbClr val="000000"/>
    </cs:fontRef>
    <cs:spPr>
      <a:noFill/>
      <a:ln>
        <a:noFill/>
      </a:ln>
    </cs:spPr>
  </cs:floor>
  <cs:gridlineMajor>
    <cs:lnRef idx="0"/>
    <cs:fillRef idx="0"/>
    <cs:effectRef idx="0"/>
    <cs:fontRef idx="minor">
      <a:srgbClr val="000000"/>
    </cs:fontRef>
    <cs:spPr>
      <a:ln w="9525" cap="flat" cmpd="sng" algn="ctr">
        <a:solidFill>
          <a:srgbClr val="D9D9D9">
            <a:lumMod val="15000"/>
            <a:lumOff val="85000"/>
          </a:srgbClr>
        </a:solidFill>
        <a:round/>
      </a:ln>
    </cs:spPr>
  </cs:gridlineMajor>
  <cs:gridlineMinor>
    <cs:lnRef idx="0"/>
    <cs:fillRef idx="0"/>
    <cs:effectRef idx="0"/>
    <cs:fontRef idx="minor">
      <a:srgbClr val="000000"/>
    </cs:fontRef>
    <cs:spPr>
      <a:ln w="9525" cap="flat" cmpd="sng" algn="ctr">
        <a:solidFill>
          <a:srgbClr val="F2F2F2">
            <a:lumMod val="5000"/>
            <a:lumOff val="95000"/>
          </a:srgbClr>
        </a:solidFill>
        <a:round/>
      </a:ln>
    </cs:spPr>
  </cs:gridlineMinor>
  <cs:hiLoLine>
    <cs:lnRef idx="0"/>
    <cs:fillRef idx="0"/>
    <cs:effectRef idx="0"/>
    <cs:fontRef idx="minor">
      <a:srgbClr val="000000"/>
    </cs:fontRef>
    <cs:spPr>
      <a:ln w="9525" cap="flat" cmpd="sng" algn="ctr">
        <a:solidFill>
          <a:srgbClr val="404040">
            <a:lumMod val="75000"/>
            <a:lumOff val="25000"/>
          </a:srgbClr>
        </a:solidFill>
        <a:round/>
      </a:ln>
    </cs:spPr>
  </cs:hiLoLine>
  <cs:leaderLine>
    <cs:lnRef idx="0"/>
    <cs:fillRef idx="0"/>
    <cs:effectRef idx="0"/>
    <cs:fontRef idx="minor">
      <a:srgbClr val="000000"/>
    </cs:fontRef>
    <cs:spPr>
      <a:ln w="9525" cap="flat" cmpd="sng" algn="ctr">
        <a:solidFill>
          <a:srgbClr val="A6A6A6">
            <a:lumMod val="35000"/>
            <a:lumOff val="65000"/>
          </a:srgbClr>
        </a:solidFill>
        <a:round/>
      </a:ln>
    </cs:spPr>
  </cs:leaderLine>
  <cs:legend>
    <cs:lnRef idx="0"/>
    <cs:fillRef idx="0"/>
    <cs:effectRef idx="0"/>
    <cs:fontRef idx="minor">
      <a:srgbClr val="595959">
        <a:lumMod val="65000"/>
        <a:lumOff val="35000"/>
      </a:srgbClr>
    </cs:fontRef>
    <cs:defRPr sz="900" kern="1200"/>
  </cs:legend>
  <cs:plotArea mods="allowNoFillOverride allowNoLineOverride">
    <cs:lnRef idx="0"/>
    <cs:fillRef idx="0"/>
    <cs:effectRef idx="0"/>
    <cs:fontRef idx="minor">
      <a:srgbClr val="000000"/>
    </cs:fontRef>
  </cs:plotArea>
  <cs:plotArea3D mods="allowNoFillOverride allowNoLineOverride">
    <cs:lnRef idx="0"/>
    <cs:fillRef idx="0"/>
    <cs:effectRef idx="0"/>
    <cs:fontRef idx="minor">
      <a:srgbClr val="000000"/>
    </cs:fontRef>
  </cs:plotArea3D>
  <cs:seriesAxis>
    <cs:lnRef idx="0"/>
    <cs:fillRef idx="0"/>
    <cs:effectRef idx="0"/>
    <cs:fontRef idx="minor">
      <a:srgbClr val="595959">
        <a:lumMod val="65000"/>
        <a:lumOff val="35000"/>
      </a:srgbClr>
    </cs:fontRef>
    <cs:defRPr sz="900" kern="1200"/>
  </cs:seriesAxis>
  <cs:seriesLine>
    <cs:lnRef idx="0"/>
    <cs:fillRef idx="0"/>
    <cs:effectRef idx="0"/>
    <cs:fontRef idx="minor">
      <a:srgbClr val="000000"/>
    </cs:fontRef>
    <cs:spPr>
      <a:ln w="9525" cap="flat" cmpd="sng" algn="ctr">
        <a:solidFill>
          <a:srgbClr val="A6A6A6">
            <a:lumMod val="35000"/>
            <a:lumOff val="65000"/>
          </a:srgbClr>
        </a:solidFill>
        <a:round/>
      </a:ln>
    </cs:spPr>
  </cs:seriesLine>
  <cs:title>
    <cs:lnRef idx="0"/>
    <cs:fillRef idx="0"/>
    <cs:effectRef idx="0"/>
    <cs:fontRef idx="minor">
      <a:srgbClr val="595959">
        <a:lumMod val="65000"/>
        <a:lumOff val="35000"/>
      </a:srgbClr>
    </cs:fontRef>
    <cs:defRPr sz="1400" b="0" kern="1200" spc="0" baseline="0"/>
  </cs:title>
  <cs:trendline>
    <cs:lnRef idx="0">
      <cs:styleClr val="auto"/>
    </cs:lnRef>
    <cs:fillRef idx="0"/>
    <cs:effectRef idx="0"/>
    <cs:fontRef idx="minor">
      <a:srgbClr val="000000"/>
    </cs:fontRef>
    <cs:spPr>
      <a:ln w="19050" cap="rnd">
        <a:solidFill>
          <a:srgbClr val="FFFFFF"/>
        </a:solidFill>
        <a:prstDash val="sysDot"/>
      </a:ln>
    </cs:spPr>
  </cs:trendline>
  <cs:trendlineLabel>
    <cs:lnRef idx="0"/>
    <cs:fillRef idx="0"/>
    <cs:effectRef idx="0"/>
    <cs:fontRef idx="minor">
      <a:srgbClr val="595959">
        <a:lumMod val="65000"/>
        <a:lumOff val="35000"/>
      </a:srgbClr>
    </cs:fontRef>
    <cs:defRPr sz="900" kern="1200"/>
  </cs:trendlineLabel>
  <cs:upBar>
    <cs:lnRef idx="0"/>
    <cs:fillRef idx="0"/>
    <cs:effectRef idx="0"/>
    <cs:fontRef idx="minor">
      <a:srgbClr val="000000"/>
    </cs:fontRef>
    <cs:spPr>
      <a:solidFill>
        <a:srgbClr val="FFFFFF"/>
      </a:solidFill>
      <a:ln w="9525">
        <a:solidFill>
          <a:srgbClr val="D9D9D9">
            <a:lumMod val="15000"/>
            <a:lumOff val="85000"/>
          </a:srgbClr>
        </a:solidFill>
      </a:ln>
    </cs:spPr>
  </cs:upBar>
  <cs:valueAxis>
    <cs:lnRef idx="0"/>
    <cs:fillRef idx="0"/>
    <cs:effectRef idx="0"/>
    <cs:fontRef idx="minor">
      <a:srgbClr val="595959">
        <a:lumMod val="65000"/>
        <a:lumOff val="35000"/>
      </a:srgbClr>
    </cs:fontRef>
    <cs:defRPr sz="900" kern="1200"/>
  </cs:valueAxis>
  <cs:wall>
    <cs:lnRef idx="0"/>
    <cs:fillRef idx="0"/>
    <cs:effectRef idx="0"/>
    <cs:fontRef idx="minor">
      <a:srgbClr val="000000"/>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rgbClr val="595959">
        <a:lumMod val="65000"/>
        <a:lumOff val="35000"/>
      </a:srgbClr>
    </cs:fontRef>
    <cs:defRPr sz="1000" kern="1200"/>
  </cs:axisTitle>
  <cs:categoryAxis>
    <cs:lnRef idx="0"/>
    <cs:fillRef idx="0"/>
    <cs:effectRef idx="0"/>
    <cs:fontRef idx="minor">
      <a:srgbClr val="595959">
        <a:lumMod val="65000"/>
        <a:lumOff val="35000"/>
      </a:srgbClr>
    </cs:fontRef>
    <cs:spPr>
      <a:ln w="9525" cap="flat" cmpd="sng" algn="ctr">
        <a:solidFill>
          <a:srgbClr val="D9D9D9">
            <a:lumMod val="15000"/>
            <a:lumOff val="85000"/>
          </a:srgbClr>
        </a:solidFill>
        <a:round/>
      </a:ln>
    </cs:spPr>
    <cs:defRPr sz="900" kern="1200"/>
  </cs:categoryAxis>
  <cs:chartArea mods="allowNoFillOverride allowNoLineOverride">
    <cs:lnRef idx="0"/>
    <cs:fillRef idx="0"/>
    <cs:effectRef idx="0"/>
    <cs:fontRef idx="minor">
      <a:srgbClr val="000000"/>
    </cs:fontRef>
    <cs:spPr>
      <a:solidFill>
        <a:srgbClr val="FFFFFF"/>
      </a:solidFill>
      <a:ln w="9525" cap="flat" cmpd="sng" algn="ctr">
        <a:solidFill>
          <a:srgbClr val="D9D9D9">
            <a:lumMod val="15000"/>
            <a:lumOff val="85000"/>
          </a:srgbClr>
        </a:solidFill>
        <a:round/>
      </a:ln>
    </cs:spPr>
    <cs:defRPr sz="1000" kern="1200"/>
  </cs:chartArea>
  <cs:dataLabel>
    <cs:lnRef idx="0"/>
    <cs:fillRef idx="0"/>
    <cs:effectRef idx="0"/>
    <cs:fontRef idx="minor">
      <a:srgbClr val="404040">
        <a:lumMod val="75000"/>
        <a:lumOff val="25000"/>
      </a:srgbClr>
    </cs:fontRef>
    <cs:defRPr sz="900" kern="1200"/>
  </cs:dataLabel>
  <cs:dataLabelCallout>
    <cs:lnRef idx="0"/>
    <cs:fillRef idx="0"/>
    <cs:effectRef idx="0"/>
    <cs:fontRef idx="minor">
      <a:srgbClr val="595959">
        <a:lumMod val="65000"/>
        <a:lumOff val="35000"/>
      </a:srgbClr>
    </cs:fontRef>
    <cs:spPr>
      <a:solidFill>
        <a:srgbClr val="FFFFFF"/>
      </a:solidFill>
      <a:ln>
        <a:solidFill>
          <a:srgbClr val="BFBFBF">
            <a:lumMod val="25000"/>
            <a:lumOff val="75000"/>
          </a:srgb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rgbClr val="000000"/>
    </cs:fontRef>
  </cs:dataPoint>
  <cs:dataPoint3D>
    <cs:lnRef idx="0"/>
    <cs:fillRef idx="1">
      <cs:styleClr val="auto"/>
    </cs:fillRef>
    <cs:effectRef idx="0"/>
    <cs:fontRef idx="minor">
      <a:srgbClr val="000000"/>
    </cs:fontRef>
  </cs:dataPoint3D>
  <cs:dataPointLine>
    <cs:lnRef idx="0">
      <cs:styleClr val="auto"/>
    </cs:lnRef>
    <cs:fillRef idx="1"/>
    <cs:effectRef idx="0"/>
    <cs:fontRef idx="minor">
      <a:srgbClr val="000000"/>
    </cs:fontRef>
    <cs:spPr>
      <a:ln w="28575" cap="rnd">
        <a:solidFill>
          <a:srgbClr val="FFFFFF"/>
        </a:solidFill>
        <a:round/>
      </a:ln>
    </cs:spPr>
  </cs:dataPointLine>
  <cs:dataPointMarker>
    <cs:lnRef idx="0">
      <cs:styleClr val="auto"/>
    </cs:lnRef>
    <cs:fillRef idx="1">
      <cs:styleClr val="auto"/>
    </cs:fillRef>
    <cs:effectRef idx="0"/>
    <cs:fontRef idx="minor">
      <a:srgbClr val="000000"/>
    </cs:fontRef>
    <cs:spPr>
      <a:ln w="9525">
        <a:solidFill>
          <a:srgbClr val="FFFFFF"/>
        </a:solidFill>
      </a:ln>
    </cs:spPr>
  </cs:dataPointMarker>
  <cs:dataPointMarkerLayout symbol="circle" size="5"/>
  <cs:dataPointWireframe>
    <cs:lnRef idx="0">
      <cs:styleClr val="auto"/>
    </cs:lnRef>
    <cs:fillRef idx="1"/>
    <cs:effectRef idx="0"/>
    <cs:fontRef idx="minor">
      <a:srgbClr val="000000"/>
    </cs:fontRef>
    <cs:spPr>
      <a:ln w="9525" cap="rnd">
        <a:solidFill>
          <a:srgbClr val="FFFFFF"/>
        </a:solidFill>
        <a:round/>
      </a:ln>
    </cs:spPr>
  </cs:dataPointWireframe>
  <cs:dataTable>
    <cs:lnRef idx="0"/>
    <cs:fillRef idx="0"/>
    <cs:effectRef idx="0"/>
    <cs:fontRef idx="minor">
      <a:srgbClr val="595959">
        <a:lumMod val="65000"/>
        <a:lumOff val="35000"/>
      </a:srgbClr>
    </cs:fontRef>
    <cs:spPr>
      <a:noFill/>
      <a:ln w="9525" cap="flat" cmpd="sng" algn="ctr">
        <a:solidFill>
          <a:srgbClr val="D9D9D9">
            <a:lumMod val="15000"/>
            <a:lumOff val="85000"/>
          </a:srgbClr>
        </a:solidFill>
        <a:round/>
      </a:ln>
    </cs:spPr>
    <cs:defRPr sz="900" kern="1200"/>
  </cs:dataTable>
  <cs:downBar>
    <cs:lnRef idx="0"/>
    <cs:fillRef idx="0"/>
    <cs:effectRef idx="0"/>
    <cs:fontRef idx="minor">
      <a:srgbClr val="000000"/>
    </cs:fontRef>
    <cs:spPr>
      <a:solidFill>
        <a:srgbClr val="595959">
          <a:lumMod val="65000"/>
          <a:lumOff val="35000"/>
        </a:srgbClr>
      </a:solidFill>
      <a:ln w="9525">
        <a:solidFill>
          <a:srgbClr val="595959">
            <a:lumMod val="65000"/>
            <a:lumOff val="35000"/>
          </a:srgbClr>
        </a:solidFill>
      </a:ln>
    </cs:spPr>
  </cs:downBar>
  <cs:dropLine>
    <cs:lnRef idx="0"/>
    <cs:fillRef idx="0"/>
    <cs:effectRef idx="0"/>
    <cs:fontRef idx="minor">
      <a:srgbClr val="000000"/>
    </cs:fontRef>
    <cs:spPr>
      <a:ln w="9525" cap="flat" cmpd="sng" algn="ctr">
        <a:solidFill>
          <a:srgbClr val="A6A6A6">
            <a:lumMod val="35000"/>
            <a:lumOff val="65000"/>
          </a:srgbClr>
        </a:solidFill>
        <a:round/>
      </a:ln>
    </cs:spPr>
  </cs:dropLine>
  <cs:errorBar>
    <cs:lnRef idx="0"/>
    <cs:fillRef idx="0"/>
    <cs:effectRef idx="0"/>
    <cs:fontRef idx="minor">
      <a:srgbClr val="000000"/>
    </cs:fontRef>
    <cs:spPr>
      <a:ln w="9525" cap="flat" cmpd="sng" algn="ctr">
        <a:solidFill>
          <a:srgbClr val="595959">
            <a:lumMod val="65000"/>
            <a:lumOff val="35000"/>
          </a:srgbClr>
        </a:solidFill>
        <a:round/>
      </a:ln>
    </cs:spPr>
  </cs:errorBar>
  <cs:floor>
    <cs:lnRef idx="0"/>
    <cs:fillRef idx="0"/>
    <cs:effectRef idx="0"/>
    <cs:fontRef idx="minor">
      <a:srgbClr val="000000"/>
    </cs:fontRef>
    <cs:spPr>
      <a:noFill/>
      <a:ln>
        <a:noFill/>
      </a:ln>
    </cs:spPr>
  </cs:floor>
  <cs:gridlineMajor>
    <cs:lnRef idx="0"/>
    <cs:fillRef idx="0"/>
    <cs:effectRef idx="0"/>
    <cs:fontRef idx="minor">
      <a:srgbClr val="000000"/>
    </cs:fontRef>
    <cs:spPr>
      <a:ln w="9525" cap="flat" cmpd="sng" algn="ctr">
        <a:solidFill>
          <a:srgbClr val="D9D9D9">
            <a:lumMod val="15000"/>
            <a:lumOff val="85000"/>
          </a:srgbClr>
        </a:solidFill>
        <a:round/>
      </a:ln>
    </cs:spPr>
  </cs:gridlineMajor>
  <cs:gridlineMinor>
    <cs:lnRef idx="0"/>
    <cs:fillRef idx="0"/>
    <cs:effectRef idx="0"/>
    <cs:fontRef idx="minor">
      <a:srgbClr val="000000"/>
    </cs:fontRef>
    <cs:spPr>
      <a:ln w="9525" cap="flat" cmpd="sng" algn="ctr">
        <a:solidFill>
          <a:srgbClr val="F2F2F2">
            <a:lumMod val="5000"/>
            <a:lumOff val="95000"/>
          </a:srgbClr>
        </a:solidFill>
        <a:round/>
      </a:ln>
    </cs:spPr>
  </cs:gridlineMinor>
  <cs:hiLoLine>
    <cs:lnRef idx="0"/>
    <cs:fillRef idx="0"/>
    <cs:effectRef idx="0"/>
    <cs:fontRef idx="minor">
      <a:srgbClr val="000000"/>
    </cs:fontRef>
    <cs:spPr>
      <a:ln w="9525" cap="flat" cmpd="sng" algn="ctr">
        <a:solidFill>
          <a:srgbClr val="404040">
            <a:lumMod val="75000"/>
            <a:lumOff val="25000"/>
          </a:srgbClr>
        </a:solidFill>
        <a:round/>
      </a:ln>
    </cs:spPr>
  </cs:hiLoLine>
  <cs:leaderLine>
    <cs:lnRef idx="0"/>
    <cs:fillRef idx="0"/>
    <cs:effectRef idx="0"/>
    <cs:fontRef idx="minor">
      <a:srgbClr val="000000"/>
    </cs:fontRef>
    <cs:spPr>
      <a:ln w="9525" cap="flat" cmpd="sng" algn="ctr">
        <a:solidFill>
          <a:srgbClr val="A6A6A6">
            <a:lumMod val="35000"/>
            <a:lumOff val="65000"/>
          </a:srgbClr>
        </a:solidFill>
        <a:round/>
      </a:ln>
    </cs:spPr>
  </cs:leaderLine>
  <cs:legend>
    <cs:lnRef idx="0"/>
    <cs:fillRef idx="0"/>
    <cs:effectRef idx="0"/>
    <cs:fontRef idx="minor">
      <a:srgbClr val="595959">
        <a:lumMod val="65000"/>
        <a:lumOff val="35000"/>
      </a:srgbClr>
    </cs:fontRef>
    <cs:defRPr sz="900" kern="1200"/>
  </cs:legend>
  <cs:plotArea mods="allowNoFillOverride allowNoLineOverride">
    <cs:lnRef idx="0"/>
    <cs:fillRef idx="0"/>
    <cs:effectRef idx="0"/>
    <cs:fontRef idx="minor">
      <a:srgbClr val="000000"/>
    </cs:fontRef>
  </cs:plotArea>
  <cs:plotArea3D mods="allowNoFillOverride allowNoLineOverride">
    <cs:lnRef idx="0"/>
    <cs:fillRef idx="0"/>
    <cs:effectRef idx="0"/>
    <cs:fontRef idx="minor">
      <a:srgbClr val="000000"/>
    </cs:fontRef>
  </cs:plotArea3D>
  <cs:seriesAxis>
    <cs:lnRef idx="0"/>
    <cs:fillRef idx="0"/>
    <cs:effectRef idx="0"/>
    <cs:fontRef idx="minor">
      <a:srgbClr val="595959">
        <a:lumMod val="65000"/>
        <a:lumOff val="35000"/>
      </a:srgbClr>
    </cs:fontRef>
    <cs:defRPr sz="900" kern="1200"/>
  </cs:seriesAxis>
  <cs:seriesLine>
    <cs:lnRef idx="0"/>
    <cs:fillRef idx="0"/>
    <cs:effectRef idx="0"/>
    <cs:fontRef idx="minor">
      <a:srgbClr val="000000"/>
    </cs:fontRef>
    <cs:spPr>
      <a:ln w="9525" cap="flat" cmpd="sng" algn="ctr">
        <a:solidFill>
          <a:srgbClr val="A6A6A6">
            <a:lumMod val="35000"/>
            <a:lumOff val="65000"/>
          </a:srgbClr>
        </a:solidFill>
        <a:round/>
      </a:ln>
    </cs:spPr>
  </cs:seriesLine>
  <cs:title>
    <cs:lnRef idx="0"/>
    <cs:fillRef idx="0"/>
    <cs:effectRef idx="0"/>
    <cs:fontRef idx="minor">
      <a:srgbClr val="595959">
        <a:lumMod val="65000"/>
        <a:lumOff val="35000"/>
      </a:srgbClr>
    </cs:fontRef>
    <cs:defRPr sz="1400" b="0" kern="1200" spc="0" baseline="0"/>
  </cs:title>
  <cs:trendline>
    <cs:lnRef idx="0">
      <cs:styleClr val="auto"/>
    </cs:lnRef>
    <cs:fillRef idx="0"/>
    <cs:effectRef idx="0"/>
    <cs:fontRef idx="minor">
      <a:srgbClr val="000000"/>
    </cs:fontRef>
    <cs:spPr>
      <a:ln w="19050" cap="rnd">
        <a:solidFill>
          <a:srgbClr val="FFFFFF"/>
        </a:solidFill>
        <a:prstDash val="sysDot"/>
      </a:ln>
    </cs:spPr>
  </cs:trendline>
  <cs:trendlineLabel>
    <cs:lnRef idx="0"/>
    <cs:fillRef idx="0"/>
    <cs:effectRef idx="0"/>
    <cs:fontRef idx="minor">
      <a:srgbClr val="595959">
        <a:lumMod val="65000"/>
        <a:lumOff val="35000"/>
      </a:srgbClr>
    </cs:fontRef>
    <cs:defRPr sz="900" kern="1200"/>
  </cs:trendlineLabel>
  <cs:upBar>
    <cs:lnRef idx="0"/>
    <cs:fillRef idx="0"/>
    <cs:effectRef idx="0"/>
    <cs:fontRef idx="minor">
      <a:srgbClr val="000000"/>
    </cs:fontRef>
    <cs:spPr>
      <a:solidFill>
        <a:srgbClr val="FFFFFF"/>
      </a:solidFill>
      <a:ln w="9525">
        <a:solidFill>
          <a:srgbClr val="D9D9D9">
            <a:lumMod val="15000"/>
            <a:lumOff val="85000"/>
          </a:srgbClr>
        </a:solidFill>
      </a:ln>
    </cs:spPr>
  </cs:upBar>
  <cs:valueAxis>
    <cs:lnRef idx="0"/>
    <cs:fillRef idx="0"/>
    <cs:effectRef idx="0"/>
    <cs:fontRef idx="minor">
      <a:srgbClr val="595959">
        <a:lumMod val="65000"/>
        <a:lumOff val="35000"/>
      </a:srgbClr>
    </cs:fontRef>
    <cs:defRPr sz="900" kern="1200"/>
  </cs:valueAxis>
  <cs:wall>
    <cs:lnRef idx="0"/>
    <cs:fillRef idx="0"/>
    <cs:effectRef idx="0"/>
    <cs:fontRef idx="minor">
      <a:srgbClr val="000000"/>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1008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styleClr val="auto"/>
    </cs:lnRef>
    <cs:fillRef idx="1">
      <cs:styleClr val="auto"/>
    </cs:fillRef>
    <cs:effectRef idx="0"/>
    <cs:fontRef idx="minor">
      <a:schemeClr val="dk1"/>
    </cs:fontRef>
    <cs:spPr>
      <a:ln>
        <a:solidFill>
          <a:schemeClr val="bg1"/>
        </a:solidFill>
      </a:ln>
      <a:effectLst/>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bg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58</Pages>
  <Words>28221</Words>
  <Characters>31355</Characters>
  <Lines>61</Lines>
  <Paragraphs>17</Paragraphs>
  <TotalTime>3</TotalTime>
  <ScaleCrop>false</ScaleCrop>
  <LinksUpToDate>false</LinksUpToDate>
  <CharactersWithSpaces>34281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Administrator</cp:lastModifiedBy>
  <cp:lastPrinted>2023-07-31T02:35:00Z</cp:lastPrinted>
  <dcterms:modified xsi:type="dcterms:W3CDTF">2023-10-26T04:54:34Z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D4C05463EA474EC2AEBE87910C68AA66_13</vt:lpwstr>
  </property>
</Properties>
</file>