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77425"/>
      <w:bookmarkStart w:id="2" w:name="_Toc15396597"/>
      <w:bookmarkStart w:id="3" w:name="_Toc15396475"/>
      <w:bookmarkStart w:id="4" w:name="_Toc15378441"/>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96476"/>
      <w:bookmarkStart w:id="8" w:name="_Toc15377426"/>
      <w:bookmarkStart w:id="9" w:name="_Toc15396598"/>
      <w:bookmarkStart w:id="10" w:name="_Toc15377194"/>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rPr>
        <w:t>广元市朝天区</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工商联部门决算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公开时间：2023年</w:t>
      </w:r>
      <w:r>
        <w:rPr>
          <w:rFonts w:hint="eastAsia"/>
          <w:lang w:val="en-US" w:eastAsia="zh-CN"/>
        </w:rPr>
        <w:t>10</w:t>
      </w:r>
      <w:r>
        <w:rPr>
          <w:rFonts w:hint="eastAsia"/>
        </w:rPr>
        <w:t>月25日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4</w:t>
      </w:r>
    </w:p>
    <w:p>
      <w:pPr>
        <w:pStyle w:val="12"/>
        <w:adjustRightInd w:val="0"/>
        <w:snapToGrid w:val="0"/>
        <w:spacing w:line="440" w:lineRule="exact"/>
        <w:jc w:val="left"/>
        <w:rPr>
          <w:rFonts w:ascii="仿宋" w:hAnsi="仿宋" w:eastAsia="仿宋"/>
          <w:sz w:val="24"/>
        </w:rPr>
      </w:pPr>
      <w:r>
        <w:rPr>
          <w:rFonts w:hint="eastAsia"/>
          <w:sz w:val="24"/>
        </w:rPr>
        <w:t>一、部门职责</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4</w:t>
      </w:r>
    </w:p>
    <w:p>
      <w:pPr>
        <w:pStyle w:val="12"/>
        <w:adjustRightInd w:val="0"/>
        <w:snapToGrid w:val="0"/>
        <w:spacing w:line="440" w:lineRule="exact"/>
        <w:jc w:val="left"/>
        <w:rPr>
          <w:rFonts w:hint="default" w:ascii="仿宋" w:hAnsi="仿宋" w:eastAsia="仿宋" w:cstheme="minorBidi"/>
          <w:sz w:val="24"/>
          <w:lang w:val="en-US"/>
        </w:rPr>
      </w:pPr>
      <w:r>
        <w:rPr>
          <w:rFonts w:hint="eastAsia"/>
          <w:sz w:val="24"/>
        </w:rPr>
        <w:t>二、机构设置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p>
    <w:p>
      <w:pPr>
        <w:pStyle w:val="11"/>
        <w:adjustRightInd w:val="0"/>
        <w:snapToGrid w:val="0"/>
        <w:spacing w:before="0" w:line="440" w:lineRule="exact"/>
        <w:jc w:val="left"/>
        <w:rPr>
          <w:rFonts w:hint="default"/>
          <w:sz w:val="24"/>
          <w:szCs w:val="24"/>
          <w:lang w:val="en-US"/>
        </w:rPr>
      </w:pPr>
      <w:r>
        <w:rPr>
          <w:rFonts w:hint="eastAsia"/>
          <w:sz w:val="24"/>
        </w:rPr>
        <w:t>第二部分 2022年度部门决算情况说明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p>
    <w:p>
      <w:pPr>
        <w:pStyle w:val="12"/>
        <w:adjustRightInd w:val="0"/>
        <w:snapToGrid w:val="0"/>
        <w:spacing w:line="440" w:lineRule="exact"/>
        <w:jc w:val="left"/>
        <w:rPr>
          <w:rFonts w:hint="default" w:ascii="仿宋" w:hAnsi="仿宋" w:eastAsia="仿宋" w:cstheme="minorBidi"/>
          <w:sz w:val="24"/>
          <w:lang w:val="en-US"/>
        </w:rPr>
      </w:pPr>
      <w:r>
        <w:rPr>
          <w:rFonts w:hint="eastAsia"/>
          <w:sz w:val="24"/>
        </w:rPr>
        <w:t>一、收入支出决算总体情况说明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p>
    <w:p>
      <w:pPr>
        <w:pStyle w:val="12"/>
        <w:adjustRightInd w:val="0"/>
        <w:snapToGrid w:val="0"/>
        <w:spacing w:line="440" w:lineRule="exact"/>
        <w:jc w:val="left"/>
        <w:rPr>
          <w:rFonts w:hint="default" w:ascii="仿宋" w:hAnsi="仿宋" w:eastAsia="仿宋" w:cstheme="minorBidi"/>
          <w:sz w:val="24"/>
          <w:lang w:val="en-US"/>
        </w:rPr>
      </w:pPr>
      <w:r>
        <w:rPr>
          <w:rFonts w:hint="eastAsia"/>
          <w:sz w:val="24"/>
        </w:rPr>
        <w:t>三、支出决算情况说明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p>
    <w:p>
      <w:pPr>
        <w:pStyle w:val="12"/>
        <w:adjustRightInd w:val="0"/>
        <w:snapToGrid w:val="0"/>
        <w:spacing w:line="440" w:lineRule="exact"/>
        <w:jc w:val="left"/>
        <w:rPr>
          <w:rFonts w:hint="default" w:ascii="仿宋" w:hAnsi="仿宋" w:eastAsia="仿宋" w:cstheme="minorBidi"/>
          <w:sz w:val="24"/>
          <w:lang w:val="en-US"/>
        </w:rPr>
      </w:pPr>
      <w:r>
        <w:rPr>
          <w:rFonts w:hint="eastAsia"/>
          <w:sz w:val="24"/>
        </w:rPr>
        <w:t>四、财政拨款收入支出决算总体情况说明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p>
    <w:p>
      <w:pPr>
        <w:pStyle w:val="12"/>
        <w:adjustRightInd w:val="0"/>
        <w:snapToGrid w:val="0"/>
        <w:spacing w:line="440" w:lineRule="exact"/>
        <w:jc w:val="left"/>
        <w:rPr>
          <w:rFonts w:hint="default" w:ascii="仿宋" w:hAnsi="仿宋" w:eastAsia="仿宋" w:cstheme="minorBidi"/>
          <w:sz w:val="24"/>
          <w:lang w:val="en-US"/>
        </w:rPr>
      </w:pPr>
      <w:r>
        <w:rPr>
          <w:rFonts w:hint="eastAsia"/>
          <w:sz w:val="24"/>
        </w:rPr>
        <w:t>五、一般公共预算财政拨款支出决算情况说明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p>
    <w:p>
      <w:pPr>
        <w:pStyle w:val="12"/>
        <w:adjustRightInd w:val="0"/>
        <w:snapToGrid w:val="0"/>
        <w:spacing w:line="440" w:lineRule="exact"/>
        <w:jc w:val="left"/>
        <w:rPr>
          <w:rFonts w:hint="default" w:ascii="仿宋" w:hAnsi="仿宋" w:eastAsia="仿宋" w:cstheme="minorBidi"/>
          <w:sz w:val="24"/>
          <w:lang w:val="en-US"/>
        </w:rPr>
      </w:pPr>
      <w:r>
        <w:rPr>
          <w:rFonts w:hint="eastAsia"/>
          <w:sz w:val="24"/>
        </w:rPr>
        <w:t>六、一般公共预算财政拨款基本支出决算情况说明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11</w:t>
      </w:r>
    </w:p>
    <w:p>
      <w:pPr>
        <w:pStyle w:val="12"/>
        <w:adjustRightInd w:val="0"/>
        <w:snapToGrid w:val="0"/>
        <w:spacing w:line="440" w:lineRule="exact"/>
        <w:jc w:val="left"/>
        <w:rPr>
          <w:rFonts w:hint="default" w:ascii="仿宋" w:hAnsi="仿宋" w:eastAsia="仿宋" w:cstheme="minorBidi"/>
          <w:sz w:val="24"/>
          <w:lang w:val="en-US"/>
        </w:rPr>
      </w:pPr>
      <w:r>
        <w:rPr>
          <w:rFonts w:hint="eastAsia"/>
          <w:sz w:val="24"/>
        </w:rPr>
        <w:t>七、财政拨款“三公”经费支出决算情况说明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12</w:t>
      </w:r>
    </w:p>
    <w:p>
      <w:pPr>
        <w:pStyle w:val="12"/>
        <w:adjustRightInd w:val="0"/>
        <w:snapToGrid w:val="0"/>
        <w:spacing w:line="440" w:lineRule="exact"/>
        <w:jc w:val="left"/>
        <w:rPr>
          <w:rFonts w:hint="default" w:ascii="仿宋" w:hAnsi="仿宋" w:eastAsia="仿宋" w:cstheme="minorBidi"/>
          <w:sz w:val="24"/>
          <w:lang w:val="en-US"/>
        </w:rPr>
      </w:pPr>
      <w:r>
        <w:rPr>
          <w:rFonts w:hint="eastAsia"/>
          <w:sz w:val="24"/>
        </w:rPr>
        <w:t>八、政府性基金预算支出决算情况说明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14</w:t>
      </w:r>
    </w:p>
    <w:p>
      <w:pPr>
        <w:pStyle w:val="12"/>
        <w:adjustRightInd w:val="0"/>
        <w:snapToGrid w:val="0"/>
        <w:spacing w:line="440" w:lineRule="exact"/>
        <w:ind w:leftChars="0"/>
        <w:jc w:val="left"/>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rPr>
        <w:t>九、国有资本经营预算支出决算情况说明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14</w:t>
      </w:r>
    </w:p>
    <w:p>
      <w:pPr>
        <w:adjustRightInd w:val="0"/>
        <w:snapToGrid w:val="0"/>
        <w:spacing w:line="440" w:lineRule="exact"/>
        <w:ind w:firstLine="420" w:firstLineChars="175"/>
        <w:jc w:val="left"/>
        <w:rPr>
          <w:rFonts w:hint="default" w:asciiTheme="minorEastAsia" w:hAnsiTheme="minorEastAsia" w:eastAsiaTheme="minorEastAsia" w:cstheme="minorEastAsia"/>
          <w:sz w:val="24"/>
          <w:lang w:val="en-US"/>
        </w:rPr>
      </w:pPr>
      <w:r>
        <w:rPr>
          <w:rStyle w:val="18"/>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14</w:t>
      </w:r>
    </w:p>
    <w:p>
      <w:pPr>
        <w:pStyle w:val="11"/>
        <w:adjustRightInd w:val="0"/>
        <w:snapToGrid w:val="0"/>
        <w:spacing w:before="0" w:line="440" w:lineRule="exact"/>
        <w:jc w:val="left"/>
        <w:rPr>
          <w:rFonts w:hint="default" w:cstheme="minorBidi"/>
          <w:sz w:val="24"/>
          <w:szCs w:val="24"/>
          <w:lang w:val="en-US"/>
        </w:rPr>
      </w:pPr>
      <w:r>
        <w:rPr>
          <w:rFonts w:hint="eastAsia"/>
          <w:sz w:val="24"/>
        </w:rPr>
        <w:t>第三部分</w:t>
      </w:r>
      <w:r>
        <w:rPr>
          <w:sz w:val="24"/>
        </w:rPr>
        <w:t xml:space="preserve"> </w:t>
      </w:r>
      <w:r>
        <w:rPr>
          <w:rFonts w:hint="eastAsia"/>
          <w:sz w:val="24"/>
        </w:rPr>
        <w:t>名词解释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17</w:t>
      </w:r>
    </w:p>
    <w:p>
      <w:pPr>
        <w:pStyle w:val="11"/>
        <w:adjustRightInd w:val="0"/>
        <w:snapToGrid w:val="0"/>
        <w:spacing w:before="0" w:line="440" w:lineRule="exact"/>
        <w:jc w:val="left"/>
        <w:rPr>
          <w:rFonts w:hint="default" w:cstheme="minorBidi"/>
          <w:sz w:val="24"/>
          <w:szCs w:val="24"/>
          <w:lang w:val="en-US"/>
        </w:rPr>
      </w:pPr>
      <w:r>
        <w:rPr>
          <w:rFonts w:hint="eastAsia"/>
          <w:sz w:val="24"/>
        </w:rPr>
        <w:t>第四部分</w:t>
      </w:r>
      <w:r>
        <w:rPr>
          <w:sz w:val="24"/>
        </w:rPr>
        <w:t xml:space="preserve"> </w:t>
      </w:r>
      <w:r>
        <w:rPr>
          <w:rFonts w:hint="eastAsia"/>
          <w:sz w:val="24"/>
        </w:rPr>
        <w:t>附件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20</w:t>
      </w:r>
    </w:p>
    <w:p>
      <w:pPr>
        <w:pStyle w:val="11"/>
        <w:adjustRightInd w:val="0"/>
        <w:snapToGrid w:val="0"/>
        <w:spacing w:before="0" w:line="440" w:lineRule="exact"/>
        <w:jc w:val="left"/>
        <w:rPr>
          <w:rFonts w:hint="default" w:cstheme="minorBidi"/>
          <w:sz w:val="24"/>
          <w:szCs w:val="24"/>
          <w:lang w:val="en-US"/>
        </w:rPr>
      </w:pPr>
      <w:r>
        <w:rPr>
          <w:rFonts w:hint="eastAsia"/>
          <w:sz w:val="24"/>
        </w:rPr>
        <w:t>第五部分</w:t>
      </w:r>
      <w:r>
        <w:rPr>
          <w:sz w:val="24"/>
        </w:rPr>
        <w:t xml:space="preserve"> </w:t>
      </w:r>
      <w:r>
        <w:rPr>
          <w:rFonts w:hint="eastAsia"/>
          <w:sz w:val="24"/>
        </w:rPr>
        <w:t>附表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56</w:t>
      </w:r>
    </w:p>
    <w:p>
      <w:pPr>
        <w:pStyle w:val="12"/>
        <w:adjustRightInd w:val="0"/>
        <w:snapToGrid w:val="0"/>
        <w:spacing w:line="440" w:lineRule="exact"/>
        <w:jc w:val="left"/>
        <w:rPr>
          <w:sz w:val="24"/>
        </w:rPr>
      </w:pPr>
      <w:r>
        <w:rPr>
          <w:rFonts w:hint="eastAsia"/>
          <w:sz w:val="24"/>
        </w:rPr>
        <w:t>一、收入支出决算总表</w:t>
      </w:r>
    </w:p>
    <w:p>
      <w:pPr>
        <w:pStyle w:val="12"/>
        <w:adjustRightInd w:val="0"/>
        <w:snapToGrid w:val="0"/>
        <w:spacing w:line="440" w:lineRule="exact"/>
        <w:jc w:val="left"/>
        <w:rPr>
          <w:sz w:val="24"/>
        </w:rPr>
      </w:pPr>
      <w:r>
        <w:rPr>
          <w:rFonts w:hint="eastAsia"/>
          <w:sz w:val="24"/>
        </w:rPr>
        <w:t>二、收入决算表</w:t>
      </w:r>
    </w:p>
    <w:p>
      <w:pPr>
        <w:pStyle w:val="12"/>
        <w:adjustRightInd w:val="0"/>
        <w:snapToGrid w:val="0"/>
        <w:spacing w:line="440" w:lineRule="exact"/>
        <w:jc w:val="left"/>
        <w:rPr>
          <w:sz w:val="24"/>
        </w:rPr>
      </w:pPr>
      <w:r>
        <w:rPr>
          <w:rFonts w:hint="eastAsia"/>
          <w:sz w:val="24"/>
        </w:rPr>
        <w:t>三、支出决算表</w:t>
      </w:r>
    </w:p>
    <w:p>
      <w:pPr>
        <w:pStyle w:val="12"/>
        <w:adjustRightInd w:val="0"/>
        <w:snapToGrid w:val="0"/>
        <w:spacing w:line="440" w:lineRule="exact"/>
        <w:jc w:val="left"/>
        <w:rPr>
          <w:sz w:val="24"/>
        </w:rPr>
      </w:pPr>
      <w:r>
        <w:rPr>
          <w:rFonts w:hint="eastAsia"/>
          <w:sz w:val="24"/>
        </w:rPr>
        <w:t>四、财政拨款收入支出决算总表</w:t>
      </w:r>
    </w:p>
    <w:p>
      <w:pPr>
        <w:pStyle w:val="12"/>
        <w:adjustRightInd w:val="0"/>
        <w:snapToGrid w:val="0"/>
        <w:spacing w:line="440" w:lineRule="exact"/>
        <w:jc w:val="left"/>
        <w:rPr>
          <w:sz w:val="24"/>
        </w:rPr>
      </w:pPr>
      <w:r>
        <w:rPr>
          <w:rFonts w:hint="eastAsia"/>
          <w:sz w:val="24"/>
        </w:rPr>
        <w:t>五、财政拨款支出决算明细表</w:t>
      </w:r>
    </w:p>
    <w:p>
      <w:pPr>
        <w:pStyle w:val="12"/>
        <w:adjustRightInd w:val="0"/>
        <w:snapToGrid w:val="0"/>
        <w:spacing w:line="440" w:lineRule="exact"/>
        <w:jc w:val="left"/>
        <w:rPr>
          <w:sz w:val="24"/>
        </w:rPr>
      </w:pPr>
      <w:r>
        <w:rPr>
          <w:rFonts w:hint="eastAsia"/>
          <w:sz w:val="24"/>
        </w:rPr>
        <w:t>六、一般公共预算财政拨款支出决算表</w:t>
      </w:r>
    </w:p>
    <w:p>
      <w:pPr>
        <w:pStyle w:val="12"/>
        <w:adjustRightInd w:val="0"/>
        <w:snapToGrid w:val="0"/>
        <w:spacing w:line="440" w:lineRule="exact"/>
        <w:jc w:val="left"/>
        <w:rPr>
          <w:sz w:val="24"/>
        </w:rPr>
      </w:pPr>
      <w:r>
        <w:rPr>
          <w:rFonts w:hint="eastAsia"/>
          <w:sz w:val="24"/>
        </w:rPr>
        <w:t>七、一般公共预算财政拨款支出决算明细表</w:t>
      </w:r>
    </w:p>
    <w:p>
      <w:pPr>
        <w:pStyle w:val="12"/>
        <w:adjustRightInd w:val="0"/>
        <w:snapToGrid w:val="0"/>
        <w:spacing w:line="440" w:lineRule="exact"/>
        <w:jc w:val="left"/>
        <w:rPr>
          <w:sz w:val="24"/>
        </w:rPr>
      </w:pPr>
      <w:r>
        <w:rPr>
          <w:rFonts w:hint="eastAsia"/>
          <w:sz w:val="24"/>
        </w:rPr>
        <w:t>八、一般公共预算财政拨款基本支出决算明细表</w:t>
      </w:r>
    </w:p>
    <w:p>
      <w:pPr>
        <w:pStyle w:val="12"/>
        <w:adjustRightInd w:val="0"/>
        <w:snapToGrid w:val="0"/>
        <w:spacing w:line="440" w:lineRule="exact"/>
        <w:jc w:val="left"/>
        <w:rPr>
          <w:sz w:val="24"/>
        </w:rPr>
      </w:pPr>
      <w:r>
        <w:rPr>
          <w:rFonts w:hint="eastAsia"/>
          <w:sz w:val="24"/>
        </w:rPr>
        <w:t>九、一般公共预算财政拨款项目支出决算表</w:t>
      </w:r>
    </w:p>
    <w:p>
      <w:pPr>
        <w:pStyle w:val="12"/>
        <w:adjustRightInd w:val="0"/>
        <w:snapToGrid w:val="0"/>
        <w:spacing w:line="440" w:lineRule="exact"/>
        <w:jc w:val="left"/>
        <w:rPr>
          <w:sz w:val="24"/>
        </w:rPr>
      </w:pPr>
      <w:r>
        <w:rPr>
          <w:rFonts w:hint="eastAsia"/>
          <w:sz w:val="24"/>
        </w:rPr>
        <w:t>十、政府性基金预算财政拨款收入支出决算表</w:t>
      </w:r>
    </w:p>
    <w:p>
      <w:pPr>
        <w:pStyle w:val="12"/>
        <w:adjustRightInd w:val="0"/>
        <w:snapToGrid w:val="0"/>
        <w:spacing w:line="440" w:lineRule="exact"/>
        <w:jc w:val="left"/>
        <w:rPr>
          <w:sz w:val="24"/>
        </w:rPr>
      </w:pPr>
      <w:r>
        <w:rPr>
          <w:rFonts w:hint="eastAsia"/>
          <w:sz w:val="24"/>
        </w:rPr>
        <w:t>十一、国有资本经营预算财政拨款收入支出决算表</w:t>
      </w:r>
    </w:p>
    <w:p>
      <w:pPr>
        <w:pStyle w:val="12"/>
        <w:adjustRightInd w:val="0"/>
        <w:snapToGrid w:val="0"/>
        <w:spacing w:line="440" w:lineRule="exact"/>
        <w:jc w:val="left"/>
        <w:rPr>
          <w:sz w:val="24"/>
        </w:rPr>
      </w:pPr>
      <w:r>
        <w:rPr>
          <w:rFonts w:hint="eastAsia"/>
          <w:sz w:val="24"/>
        </w:rPr>
        <w:t>十二、国有资本经营预算财政拨款支出决算表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请部门根据实际注明页码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8"/>
          <w:rFonts w:ascii="黑体" w:hAnsi="黑体" w:eastAsia="黑体"/>
          <w:b/>
          <w:bCs w:val="0"/>
        </w:rPr>
      </w:pPr>
      <w:r>
        <w:rPr>
          <w:rFonts w:hint="eastAsia" w:ascii="黑体" w:hAnsi="黑体" w:eastAsia="黑体"/>
          <w:b w:val="0"/>
        </w:rPr>
        <w:t xml:space="preserve">第一部分 </w:t>
      </w:r>
      <w:r>
        <w:rPr>
          <w:rStyle w:val="28"/>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3"/>
        <w:numPr>
          <w:ilvl w:val="0"/>
          <w:numId w:val="1"/>
        </w:numPr>
        <w:rPr>
          <w:rFonts w:ascii="黑体" w:hAnsi="黑体" w:eastAsia="黑体"/>
          <w:b w:val="0"/>
        </w:rPr>
      </w:pPr>
      <w:r>
        <w:rPr>
          <w:rFonts w:hint="eastAsia" w:ascii="黑体" w:hAnsi="黑体" w:eastAsia="黑体"/>
          <w:b w:val="0"/>
        </w:rPr>
        <w:t>部门职责</w:t>
      </w:r>
    </w:p>
    <w:p>
      <w:pPr>
        <w:pStyle w:val="27"/>
        <w:spacing w:line="576" w:lineRule="exact"/>
        <w:ind w:firstLine="640"/>
        <w:rPr>
          <w:rFonts w:ascii="仿宋_GB2312" w:eastAsia="仿宋_GB2312" w:cs="仿宋_GB2312"/>
          <w:sz w:val="32"/>
          <w:szCs w:val="32"/>
        </w:rPr>
      </w:pPr>
      <w:r>
        <w:rPr>
          <w:rFonts w:hint="eastAsia" w:ascii="仿宋_GB2312" w:eastAsia="仿宋_GB2312" w:cs="仿宋_GB2312"/>
          <w:sz w:val="32"/>
          <w:szCs w:val="32"/>
        </w:rPr>
        <w:t>区工商联是区委领导下的，以统战性为主兼有经济性、民间性的人民团体，主要职责是：</w:t>
      </w:r>
    </w:p>
    <w:p>
      <w:pPr>
        <w:pStyle w:val="27"/>
        <w:spacing w:line="576" w:lineRule="exact"/>
        <w:ind w:firstLine="640"/>
        <w:rPr>
          <w:rFonts w:ascii="仿宋_GB2312" w:eastAsia="仿宋_GB2312" w:cs="仿宋_GB2312"/>
          <w:sz w:val="32"/>
          <w:szCs w:val="32"/>
        </w:rPr>
      </w:pPr>
      <w:r>
        <w:rPr>
          <w:rFonts w:hint="eastAsia" w:ascii="仿宋_GB2312" w:eastAsia="仿宋_GB2312" w:cs="仿宋_GB2312"/>
          <w:sz w:val="32"/>
          <w:szCs w:val="32"/>
        </w:rPr>
        <w:t>（1）参与本区经济事务、社会和重大决策的政治协商，发挥民主监督作用，做好代表性人士的政治安排和推荐工作，对本区重大政策的制订提出建议并贯彻执行。</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（2）协助区政府进行专题调研，开展有利于改革开放和社会主义市场经济建设服务活动。</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发扬自我教育的优良传统，宣传国家的方针、政策，加强和改进思想政治工作，对会员进行“团结、帮助、引导、教育”，提倡“爱国、敬业、守法、奉献”的思想，提高经营者素质，培养一批积极分子和骨干队伍。</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（4）维护会员的合法权益，反映会员的意见、要求和建议，在会员与政府之间发挥桥梁纽带作用，当好政府管理非公有制经济的助手。</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（5）为会员和社会提供市场、技术、商品等信息，按照国家有关规定，为会员提供管理、法律、会计、审计、融资等咨询工作。</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（6）对会员进行专业培训，帮助会员改善经营管理，提高生产技能、技术和产品质量，树立品牌，推荐品牌。</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（7）按照国家规定和有关政策，组织会员举办和参加各种对内对外展销会、交易会、组织外出参观考察、访问、帮助会员开拓国内、国际市场。</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（8）为会员提供必要的证明，协调关系为会员和民间企业调解经济纠纷。</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（9）增进与台、港、澳地区和世界各国工商社团及工商经济人士的联系和联谊，促进经济技术和贸易合作的发展，协助引进资金、技术与人才。</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（10）协助区委和区政府管理好经济界各类民间团体组织。</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（11）协助政府在各乡镇建立分会，同业公会，行业协会，并开展会务工作。</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（12）承担区委、区人民政府交办的其他事项。</w:t>
      </w:r>
    </w:p>
    <w:p/>
    <w:p>
      <w:pPr>
        <w:pStyle w:val="3"/>
        <w:rPr>
          <w:rStyle w:val="29"/>
          <w:b w:val="0"/>
          <w:bCs w:val="0"/>
        </w:rPr>
      </w:pPr>
      <w:bookmarkStart w:id="14" w:name="_Toc15396601"/>
      <w:bookmarkStart w:id="15" w:name="_Toc15377200"/>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14"/>
      <w:bookmarkEnd w:id="15"/>
    </w:p>
    <w:p>
      <w:pPr>
        <w:ind w:firstLine="800" w:firstLineChars="250"/>
        <w:rPr>
          <w:rFonts w:ascii="仿宋" w:hAnsi="仿宋" w:eastAsia="仿宋"/>
          <w:sz w:val="32"/>
          <w:szCs w:val="32"/>
        </w:rPr>
      </w:pPr>
      <w:r>
        <w:rPr>
          <w:rFonts w:ascii="仿宋" w:hAnsi="仿宋" w:eastAsia="仿宋"/>
          <w:sz w:val="32"/>
          <w:szCs w:val="32"/>
        </w:rPr>
        <w:t>区工商联</w:t>
      </w:r>
      <w:r>
        <w:rPr>
          <w:rFonts w:hint="eastAsia" w:ascii="仿宋" w:hAnsi="仿宋" w:eastAsia="仿宋"/>
          <w:sz w:val="32"/>
          <w:szCs w:val="32"/>
        </w:rPr>
        <w:t>下属二级预算单位0个，其中行政单位0个，参照公务员法管理的事业单位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pStyle w:val="5"/>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ascii="仿宋" w:hAnsi="仿宋" w:eastAsia="仿宋"/>
          <w:sz w:val="32"/>
          <w:szCs w:val="32"/>
        </w:rPr>
        <w:t>区工商联</w:t>
      </w:r>
      <w:r>
        <w:rPr>
          <w:rFonts w:hint="eastAsia" w:ascii="仿宋" w:hAnsi="仿宋" w:eastAsia="仿宋"/>
          <w:sz w:val="32"/>
          <w:szCs w:val="32"/>
        </w:rPr>
        <w:t>2022年度部门决算编制范围的二级预算单位包括：无二级预算单位。</w:t>
      </w:r>
    </w:p>
    <w:p>
      <w:pPr>
        <w:widowControl/>
        <w:jc w:val="left"/>
        <w:rPr>
          <w:rFonts w:ascii="仿宋" w:hAnsi="仿宋" w:eastAsia="仿宋"/>
          <w:kern w:val="0"/>
          <w:sz w:val="32"/>
          <w:szCs w:val="32"/>
        </w:rPr>
      </w:pPr>
      <w:r>
        <w:rPr>
          <w:rFonts w:ascii="仿宋" w:hAnsi="仿宋" w:eastAsia="仿宋"/>
          <w:sz w:val="32"/>
          <w:szCs w:val="32"/>
        </w:rPr>
        <w:br w:type="page"/>
      </w:r>
    </w:p>
    <w:p>
      <w:pPr>
        <w:pStyle w:val="2"/>
        <w:ind w:right="440"/>
        <w:jc w:val="center"/>
        <w:rPr>
          <w:rStyle w:val="28"/>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8"/>
          <w:rFonts w:hint="eastAsia" w:ascii="黑体" w:hAnsi="黑体" w:eastAsia="黑体"/>
          <w:b w:val="0"/>
          <w:bCs/>
        </w:rPr>
        <w:t>部门决算情况说明</w:t>
      </w:r>
      <w:bookmarkEnd w:id="16"/>
      <w:bookmarkEnd w:id="17"/>
    </w:p>
    <w:p/>
    <w:p>
      <w:pPr>
        <w:pStyle w:val="27"/>
        <w:numPr>
          <w:ilvl w:val="0"/>
          <w:numId w:val="2"/>
        </w:numPr>
        <w:spacing w:line="600" w:lineRule="exact"/>
        <w:ind w:firstLineChars="0"/>
        <w:outlineLvl w:val="1"/>
        <w:rPr>
          <w:rStyle w:val="29"/>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2022年度收、支总计92.98万元。与2021年相比，收、支总计各增加6.29万元，增长7</w:t>
      </w:r>
      <w:r>
        <w:rPr>
          <w:rFonts w:ascii="仿宋" w:hAnsi="仿宋" w:eastAsia="仿宋"/>
          <w:sz w:val="32"/>
          <w:szCs w:val="32"/>
        </w:rPr>
        <w:t>%</w:t>
      </w:r>
      <w:r>
        <w:rPr>
          <w:rFonts w:hint="eastAsia" w:ascii="仿宋" w:hAnsi="仿宋" w:eastAsia="仿宋"/>
          <w:sz w:val="32"/>
          <w:szCs w:val="32"/>
        </w:rPr>
        <w:t>。主要变动原因是项目资金有增加、人员工资调整引起的基本支出增加。</w:t>
      </w:r>
    </w:p>
    <w:p>
      <w:pPr>
        <w:spacing w:line="60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4469130" cy="3131820"/>
            <wp:effectExtent l="0" t="0" r="762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71991" cy="3134110"/>
                    </a:xfrm>
                    <a:prstGeom prst="rect">
                      <a:avLst/>
                    </a:prstGeom>
                    <a:noFill/>
                  </pic:spPr>
                </pic:pic>
              </a:graphicData>
            </a:graphic>
          </wp:anchor>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7"/>
        <w:numPr>
          <w:ilvl w:val="0"/>
          <w:numId w:val="2"/>
        </w:numPr>
        <w:spacing w:line="600" w:lineRule="exact"/>
        <w:ind w:firstLineChars="0"/>
        <w:outlineLvl w:val="1"/>
        <w:rPr>
          <w:rStyle w:val="29"/>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22年本年收入合计92.98万元，其中：一般公共预算财政拨款收入92.98万元，占100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，仅罗列本部门涉及的收入。</w:t>
      </w:r>
      <w:r>
        <w:rPr>
          <w:rFonts w:ascii="仿宋" w:hAnsi="仿宋" w:eastAsia="仿宋"/>
          <w:b/>
          <w:sz w:val="32"/>
          <w:szCs w:val="32"/>
        </w:rPr>
        <w:t>）</w:t>
      </w:r>
    </w:p>
    <w:p>
      <w:pPr>
        <w:spacing w:line="600" w:lineRule="exact"/>
        <w:ind w:firstLine="640" w:firstLineChars="200"/>
        <w:outlineLvl w:val="1"/>
        <w:rPr>
          <w:rFonts w:ascii="仿宋" w:hAnsi="仿宋" w:eastAsia="仿宋"/>
          <w:sz w:val="32"/>
          <w:szCs w:val="32"/>
        </w:rPr>
      </w:pPr>
      <w:r>
        <w:rPr>
          <w:rFonts w:ascii="仿宋" w:hAnsi="仿宋" w:eastAsia="仿宋"/>
          <w:sz w:val="32"/>
          <w:szCs w:val="32"/>
        </w:rPr>
        <w:drawing>
          <wp:anchor distT="0" distB="0" distL="114300" distR="114300" simplePos="0" relativeHeight="251660288" behindDoc="0" locked="0" layoutInCell="1" allowOverlap="1">
            <wp:simplePos x="0" y="0"/>
            <wp:positionH relativeFrom="margin">
              <wp:posOffset>169545</wp:posOffset>
            </wp:positionH>
            <wp:positionV relativeFrom="margin">
              <wp:posOffset>2120900</wp:posOffset>
            </wp:positionV>
            <wp:extent cx="5121275" cy="2755900"/>
            <wp:effectExtent l="0" t="0" r="3175" b="635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21275" cy="2755900"/>
                    </a:xfrm>
                    <a:prstGeom prst="rect">
                      <a:avLst/>
                    </a:prstGeom>
                    <a:noFill/>
                  </pic:spPr>
                </pic:pic>
              </a:graphicData>
            </a:graphic>
          </wp:anchor>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7"/>
        <w:numPr>
          <w:ilvl w:val="0"/>
          <w:numId w:val="2"/>
        </w:numPr>
        <w:spacing w:line="600" w:lineRule="exact"/>
        <w:ind w:firstLineChars="0"/>
        <w:outlineLvl w:val="1"/>
        <w:rPr>
          <w:rStyle w:val="29"/>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22年本年支出合计92.98万元，其中：基本支出82.64万元，占89</w:t>
      </w:r>
      <w:r>
        <w:rPr>
          <w:rFonts w:ascii="仿宋" w:hAnsi="仿宋" w:eastAsia="仿宋"/>
          <w:sz w:val="32"/>
          <w:szCs w:val="32"/>
        </w:rPr>
        <w:t>%</w:t>
      </w:r>
      <w:r>
        <w:rPr>
          <w:rFonts w:hint="eastAsia" w:ascii="仿宋" w:hAnsi="仿宋" w:eastAsia="仿宋"/>
          <w:sz w:val="32"/>
          <w:szCs w:val="32"/>
        </w:rPr>
        <w:t>；项目支出10.34万元，占11</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pStyle w:val="5"/>
        <w:spacing w:before="93"/>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表，仅罗列本部门涉及的支出。）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pStyle w:val="5"/>
        <w:spacing w:before="93"/>
      </w:pPr>
    </w:p>
    <w:p>
      <w:pPr>
        <w:spacing w:line="600" w:lineRule="exact"/>
        <w:outlineLvl w:val="1"/>
        <w:rPr>
          <w:rFonts w:ascii="仿宋" w:hAnsi="仿宋" w:eastAsia="仿宋"/>
          <w:b/>
          <w:sz w:val="32"/>
          <w:szCs w:val="32"/>
        </w:rPr>
      </w:pPr>
      <w:r>
        <w:rPr>
          <w:rFonts w:ascii="仿宋" w:hAnsi="仿宋" w:eastAsia="仿宋"/>
          <w:sz w:val="32"/>
          <w:szCs w:val="32"/>
          <w:shd w:val="pct10" w:color="auto" w:fill="FFFFFF"/>
        </w:rPr>
        <w:drawing>
          <wp:anchor distT="0" distB="0" distL="114300" distR="114300" simplePos="0" relativeHeight="251661312" behindDoc="0" locked="0" layoutInCell="1" allowOverlap="1">
            <wp:simplePos x="0" y="0"/>
            <wp:positionH relativeFrom="margin">
              <wp:posOffset>246380</wp:posOffset>
            </wp:positionH>
            <wp:positionV relativeFrom="margin">
              <wp:posOffset>-29845</wp:posOffset>
            </wp:positionV>
            <wp:extent cx="4900930" cy="2756535"/>
            <wp:effectExtent l="0" t="0" r="0" b="571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900930" cy="2756535"/>
                    </a:xfrm>
                    <a:prstGeom prst="rect">
                      <a:avLst/>
                    </a:prstGeom>
                    <a:noFill/>
                  </pic:spPr>
                </pic:pic>
              </a:graphicData>
            </a:graphic>
          </wp:anchor>
        </w:drawing>
      </w:r>
    </w:p>
    <w:p>
      <w:pPr>
        <w:spacing w:line="600" w:lineRule="exact"/>
        <w:ind w:firstLine="640" w:firstLineChars="200"/>
        <w:outlineLvl w:val="1"/>
        <w:rPr>
          <w:rStyle w:val="29"/>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pPr>
        <w:spacing w:line="60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62336" behindDoc="0" locked="0" layoutInCell="1" allowOverlap="1">
            <wp:simplePos x="0" y="0"/>
            <wp:positionH relativeFrom="margin">
              <wp:posOffset>-77470</wp:posOffset>
            </wp:positionH>
            <wp:positionV relativeFrom="margin">
              <wp:posOffset>5087620</wp:posOffset>
            </wp:positionV>
            <wp:extent cx="5730875" cy="3213100"/>
            <wp:effectExtent l="0" t="0" r="3175" b="635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30875" cy="3213100"/>
                    </a:xfrm>
                    <a:prstGeom prst="rect">
                      <a:avLst/>
                    </a:prstGeom>
                    <a:noFill/>
                  </pic:spPr>
                </pic:pic>
              </a:graphicData>
            </a:graphic>
          </wp:anchor>
        </w:drawing>
      </w:r>
      <w:r>
        <w:rPr>
          <w:rFonts w:ascii="仿宋" w:hAnsi="仿宋" w:eastAsia="仿宋"/>
          <w:sz w:val="32"/>
          <w:szCs w:val="32"/>
        </w:rPr>
        <w:t>20</w:t>
      </w:r>
      <w:r>
        <w:rPr>
          <w:rFonts w:hint="eastAsia" w:ascii="仿宋" w:hAnsi="仿宋" w:eastAsia="仿宋"/>
          <w:sz w:val="32"/>
          <w:szCs w:val="32"/>
        </w:rPr>
        <w:t>22年财政拨款收、支总计92.98万元。与</w:t>
      </w:r>
      <w:r>
        <w:rPr>
          <w:rFonts w:ascii="仿宋" w:hAnsi="仿宋" w:eastAsia="仿宋"/>
          <w:sz w:val="32"/>
          <w:szCs w:val="32"/>
        </w:rPr>
        <w:t>20</w:t>
      </w:r>
      <w:r>
        <w:rPr>
          <w:rFonts w:hint="eastAsia" w:ascii="仿宋" w:hAnsi="仿宋" w:eastAsia="仿宋"/>
          <w:sz w:val="32"/>
          <w:szCs w:val="32"/>
        </w:rPr>
        <w:t>21年相比，财政拨款收、支总计各增加6.29万元，增长7</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hint="eastAsia" w:ascii="仿宋" w:hAnsi="仿宋" w:eastAsia="仿宋"/>
          <w:sz w:val="32"/>
          <w:szCs w:val="32"/>
        </w:rPr>
        <w:t>主要变动原因是项目资金有增加、人员工资调整引起的基本支出增加。</w:t>
      </w: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9"/>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63360" behindDoc="0" locked="0" layoutInCell="1" allowOverlap="1">
            <wp:simplePos x="0" y="0"/>
            <wp:positionH relativeFrom="margin">
              <wp:posOffset>-135255</wp:posOffset>
            </wp:positionH>
            <wp:positionV relativeFrom="margin">
              <wp:posOffset>3253105</wp:posOffset>
            </wp:positionV>
            <wp:extent cx="5730875" cy="3213100"/>
            <wp:effectExtent l="0" t="0" r="3175" b="635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30875" cy="3213100"/>
                    </a:xfrm>
                    <a:prstGeom prst="rect">
                      <a:avLst/>
                    </a:prstGeom>
                    <a:noFill/>
                  </pic:spPr>
                </pic:pic>
              </a:graphicData>
            </a:graphic>
          </wp:anchor>
        </w:drawing>
      </w:r>
      <w:r>
        <w:rPr>
          <w:rFonts w:ascii="仿宋" w:hAnsi="仿宋" w:eastAsia="仿宋"/>
          <w:sz w:val="32"/>
          <w:szCs w:val="32"/>
        </w:rPr>
        <w:t>20</w:t>
      </w:r>
      <w:r>
        <w:rPr>
          <w:rFonts w:hint="eastAsia" w:ascii="仿宋" w:hAnsi="仿宋" w:eastAsia="仿宋"/>
          <w:sz w:val="32"/>
          <w:szCs w:val="32"/>
        </w:rPr>
        <w:t>22年一般公共预算财政拨款支出92.98万元，占本年支出合计的100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21年相比，一般公共预算财政拨款支出6.29万元，增长7</w:t>
      </w:r>
      <w:r>
        <w:rPr>
          <w:rFonts w:ascii="仿宋" w:hAnsi="仿宋" w:eastAsia="仿宋"/>
          <w:sz w:val="32"/>
          <w:szCs w:val="32"/>
        </w:rPr>
        <w:t>%</w:t>
      </w:r>
      <w:r>
        <w:rPr>
          <w:rFonts w:hint="eastAsia" w:ascii="仿宋" w:hAnsi="仿宋" w:eastAsia="仿宋"/>
          <w:sz w:val="32"/>
          <w:szCs w:val="32"/>
        </w:rPr>
        <w:t>。主要变动原因是项目资金有增加、人员工资调整引起的基本支出增加。</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22年一般公共预算财政拨款支出92.98万元，主要用于以下方面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75.92万元，占82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6.12万元，占7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3.04万元，占3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7.90万元，占8</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（注：数据来源于财决01-1表，仅罗列本部门涉及的全部功能分类科目，至类级。）</w:t>
      </w:r>
    </w:p>
    <w:p>
      <w:pPr>
        <w:spacing w:line="600" w:lineRule="exact"/>
        <w:ind w:firstLine="640"/>
        <w:rPr>
          <w:rFonts w:ascii="仿宋" w:hAnsi="仿宋" w:eastAsia="仿宋"/>
          <w:sz w:val="32"/>
          <w:szCs w:val="32"/>
        </w:rPr>
      </w:pPr>
      <w:r>
        <w:rPr>
          <w:rFonts w:ascii="仿宋" w:hAnsi="仿宋" w:eastAsia="仿宋"/>
          <w:sz w:val="32"/>
          <w:szCs w:val="32"/>
        </w:rPr>
        <w:drawing>
          <wp:anchor distT="0" distB="0" distL="114300" distR="114300" simplePos="0" relativeHeight="251664384" behindDoc="0" locked="0" layoutInCell="1" allowOverlap="1">
            <wp:simplePos x="0" y="0"/>
            <wp:positionH relativeFrom="margin">
              <wp:align>center</wp:align>
            </wp:positionH>
            <wp:positionV relativeFrom="margin">
              <wp:align>center</wp:align>
            </wp:positionV>
            <wp:extent cx="5566410" cy="2755900"/>
            <wp:effectExtent l="0" t="0" r="0" b="635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66410" cy="2755900"/>
                    </a:xfrm>
                    <a:prstGeom prst="rect">
                      <a:avLst/>
                    </a:prstGeom>
                    <a:noFill/>
                  </pic:spPr>
                </pic:pic>
              </a:graphicData>
            </a:graphic>
          </wp:anchor>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2022年一般公共预算支出决算数为92.98</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spacing w:line="600" w:lineRule="exact"/>
        <w:ind w:firstLine="643" w:firstLineChars="200"/>
        <w:rPr>
          <w:rStyle w:val="17"/>
          <w:rFonts w:ascii="仿宋" w:hAnsi="仿宋" w:eastAsia="仿宋"/>
          <w:b w:val="0"/>
          <w:bCs/>
          <w:sz w:val="32"/>
          <w:szCs w:val="32"/>
        </w:rPr>
      </w:pPr>
      <w:r>
        <w:rPr>
          <w:rStyle w:val="17"/>
          <w:rFonts w:ascii="仿宋" w:hAnsi="仿宋" w:eastAsia="仿宋"/>
          <w:bCs/>
          <w:sz w:val="32"/>
          <w:szCs w:val="32"/>
        </w:rPr>
        <w:t>1.</w:t>
      </w:r>
      <w:r>
        <w:rPr>
          <w:rStyle w:val="17"/>
          <w:rFonts w:hint="eastAsia" w:ascii="仿宋" w:hAnsi="仿宋" w:eastAsia="仿宋"/>
          <w:bCs/>
          <w:sz w:val="32"/>
          <w:szCs w:val="32"/>
        </w:rPr>
        <w:t>一般公共服务（类）</w:t>
      </w:r>
      <w:r>
        <w:rPr>
          <w:rStyle w:val="17"/>
          <w:rFonts w:ascii="仿宋" w:hAnsi="仿宋" w:eastAsia="仿宋"/>
          <w:bCs/>
          <w:sz w:val="32"/>
          <w:szCs w:val="32"/>
        </w:rPr>
        <w:t>民主党派籍工商联事物</w:t>
      </w:r>
      <w:r>
        <w:rPr>
          <w:rStyle w:val="17"/>
          <w:rFonts w:hint="eastAsia" w:ascii="仿宋" w:hAnsi="仿宋" w:eastAsia="仿宋"/>
          <w:bCs/>
          <w:sz w:val="32"/>
          <w:szCs w:val="32"/>
        </w:rPr>
        <w:t>（款）</w:t>
      </w:r>
      <w:r>
        <w:rPr>
          <w:rStyle w:val="17"/>
          <w:rFonts w:ascii="仿宋" w:hAnsi="仿宋" w:eastAsia="仿宋"/>
          <w:bCs/>
          <w:sz w:val="32"/>
          <w:szCs w:val="32"/>
        </w:rPr>
        <w:t>行政运行</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支出决算为65.58万元，完成预算100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2.一般公共服务（类）</w:t>
      </w:r>
      <w:r>
        <w:rPr>
          <w:rStyle w:val="17"/>
          <w:rFonts w:ascii="仿宋" w:hAnsi="仿宋" w:eastAsia="仿宋"/>
          <w:bCs/>
          <w:sz w:val="32"/>
          <w:szCs w:val="32"/>
        </w:rPr>
        <w:t>民主党派籍工商联事物</w:t>
      </w:r>
      <w:r>
        <w:rPr>
          <w:rStyle w:val="17"/>
          <w:rFonts w:hint="eastAsia" w:ascii="仿宋" w:hAnsi="仿宋" w:eastAsia="仿宋"/>
          <w:bCs/>
          <w:sz w:val="32"/>
          <w:szCs w:val="32"/>
        </w:rPr>
        <w:t>（款）</w:t>
      </w:r>
      <w:r>
        <w:rPr>
          <w:rStyle w:val="17"/>
          <w:rFonts w:ascii="仿宋" w:hAnsi="仿宋" w:eastAsia="仿宋"/>
          <w:bCs/>
          <w:sz w:val="32"/>
          <w:szCs w:val="32"/>
        </w:rPr>
        <w:t>一般行政管理事物</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支出决算为10.34万元，完成预算100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3</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社会保障和就业（类）行政事业单位养老支出（款）机关事业单位基本养老保险缴费支出（项）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支出决算为5.94万元，完成预算100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4.社会保障和就业（类）其他社会保障和就业支出（款）其他社会保障和就业支出（项）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支出决算0.18万元，完成预算100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5</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（类）行政事业单位医疗（款）行政单位医疗（项）</w:t>
      </w:r>
      <w:r>
        <w:rPr>
          <w:rStyle w:val="17"/>
          <w:rFonts w:ascii="仿宋" w:hAnsi="仿宋" w:eastAsia="仿宋"/>
          <w:bCs/>
          <w:sz w:val="32"/>
          <w:szCs w:val="32"/>
        </w:rPr>
        <w:t>:</w:t>
      </w:r>
      <w:r>
        <w:rPr>
          <w:rStyle w:val="17"/>
          <w:rFonts w:hint="eastAsia" w:ascii="仿宋" w:hAnsi="仿宋" w:eastAsia="仿宋"/>
          <w:b w:val="0"/>
          <w:bCs/>
          <w:sz w:val="32"/>
          <w:szCs w:val="32"/>
        </w:rPr>
        <w:t>支出决算为3.04万元，完成预算100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6</w:t>
      </w:r>
      <w:r>
        <w:rPr>
          <w:rStyle w:val="17"/>
          <w:rFonts w:ascii="仿宋" w:hAnsi="仿宋" w:eastAsia="仿宋"/>
          <w:bCs/>
          <w:sz w:val="32"/>
          <w:szCs w:val="32"/>
        </w:rPr>
        <w:t>.</w:t>
      </w:r>
      <w:r>
        <w:rPr>
          <w:rFonts w:hint="eastAsia"/>
        </w:rPr>
        <w:t xml:space="preserve"> </w:t>
      </w:r>
      <w:r>
        <w:rPr>
          <w:rFonts w:hint="eastAsia" w:ascii="仿宋" w:hAnsi="仿宋" w:eastAsia="仿宋"/>
          <w:b/>
          <w:bCs/>
          <w:sz w:val="32"/>
          <w:szCs w:val="32"/>
        </w:rPr>
        <w:t>住房保障支出</w:t>
      </w:r>
      <w:r>
        <w:rPr>
          <w:rStyle w:val="17"/>
          <w:rFonts w:hint="eastAsia" w:ascii="仿宋" w:hAnsi="仿宋" w:eastAsia="仿宋"/>
          <w:bCs/>
          <w:sz w:val="32"/>
          <w:szCs w:val="32"/>
        </w:rPr>
        <w:t>（类）住房改革支出（款）住房公积金（项）</w:t>
      </w:r>
      <w:r>
        <w:rPr>
          <w:rStyle w:val="17"/>
          <w:rFonts w:ascii="仿宋" w:hAnsi="仿宋" w:eastAsia="仿宋"/>
          <w:bCs/>
          <w:sz w:val="32"/>
          <w:szCs w:val="32"/>
        </w:rPr>
        <w:t>:</w:t>
      </w:r>
      <w:r>
        <w:rPr>
          <w:rStyle w:val="17"/>
          <w:rFonts w:hint="eastAsia" w:ascii="仿宋" w:hAnsi="仿宋" w:eastAsia="仿宋"/>
          <w:b w:val="0"/>
          <w:bCs/>
          <w:sz w:val="32"/>
          <w:szCs w:val="32"/>
        </w:rPr>
        <w:t>支出决算为7.90万元，完成预算100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1-1表和财决08表，仅罗列本部门涉及的全部功能分类科目，至项级。上述“预算”口径为全年预算数。增减变动原因为决算数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tabs>
          <w:tab w:val="right" w:pos="8306"/>
        </w:tabs>
        <w:spacing w:line="600" w:lineRule="exact"/>
        <w:ind w:firstLine="640"/>
        <w:outlineLvl w:val="1"/>
        <w:rPr>
          <w:rStyle w:val="29"/>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22年一般公共预算财政拨款基本支出82.64万元，其中：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75.64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7.00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7表和财决08-1表，仅罗列本部门实际支出涉及的经济分类科目。）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29"/>
          <w:rFonts w:ascii="黑体" w:hAnsi="黑体" w:eastAsia="黑体"/>
          <w:b w:val="0"/>
        </w:rPr>
      </w:pPr>
      <w:bookmarkStart w:id="36" w:name="_Toc15377215"/>
      <w:bookmarkStart w:id="37"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22年“三公”经费财政拨款支出决算为0.48万元，完成预算100</w:t>
      </w:r>
      <w:r>
        <w:rPr>
          <w:rFonts w:ascii="仿宋" w:hAnsi="仿宋" w:eastAsia="仿宋"/>
          <w:sz w:val="32"/>
          <w:szCs w:val="32"/>
        </w:rPr>
        <w:t>%</w:t>
      </w:r>
      <w:r>
        <w:rPr>
          <w:rFonts w:hint="eastAsia" w:ascii="仿宋" w:hAnsi="仿宋" w:eastAsia="仿宋"/>
          <w:sz w:val="32"/>
          <w:szCs w:val="32"/>
        </w:rPr>
        <w:t>，较上年增加0.31万元，增长182%。决算数与预算数持平。</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；公务接待费支出决算0.48万元，占100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ascii="仿宋" w:hAnsi="仿宋" w:eastAsia="仿宋"/>
          <w:sz w:val="32"/>
          <w:szCs w:val="32"/>
        </w:rPr>
        <w:drawing>
          <wp:anchor distT="0" distB="0" distL="114300" distR="114300" simplePos="0" relativeHeight="251665408" behindDoc="0" locked="0" layoutInCell="1" allowOverlap="1">
            <wp:simplePos x="0" y="0"/>
            <wp:positionH relativeFrom="margin">
              <wp:posOffset>-52070</wp:posOffset>
            </wp:positionH>
            <wp:positionV relativeFrom="margin">
              <wp:posOffset>50800</wp:posOffset>
            </wp:positionV>
            <wp:extent cx="5700395" cy="2755900"/>
            <wp:effectExtent l="0" t="0" r="0" b="635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00395" cy="2755900"/>
                    </a:xfrm>
                    <a:prstGeom prst="rect">
                      <a:avLst/>
                    </a:prstGeom>
                    <a:noFill/>
                  </pic:spPr>
                </pic:pic>
              </a:graphicData>
            </a:graphic>
          </wp:anchor>
        </w:drawing>
      </w: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7"/>
          <w:rFonts w:hint="eastAsia" w:ascii="仿宋" w:hAnsi="仿宋" w:eastAsia="仿宋"/>
          <w:b w:val="0"/>
          <w:bCs/>
          <w:sz w:val="32"/>
          <w:szCs w:val="32"/>
        </w:rPr>
        <w:t>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21年持平。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21年持平。</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0.48万元，</w:t>
      </w:r>
      <w:r>
        <w:rPr>
          <w:rStyle w:val="17"/>
          <w:rFonts w:hint="eastAsia" w:ascii="仿宋" w:hAnsi="仿宋" w:eastAsia="仿宋"/>
          <w:b w:val="0"/>
          <w:bCs/>
          <w:sz w:val="32"/>
          <w:szCs w:val="32"/>
        </w:rPr>
        <w:t>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w:t>
      </w:r>
      <w:r>
        <w:rPr>
          <w:rFonts w:hint="eastAsia" w:ascii="仿宋" w:hAnsi="仿宋" w:eastAsia="仿宋"/>
          <w:sz w:val="32"/>
          <w:szCs w:val="32"/>
        </w:rPr>
        <w:t>，较上年增加0.31万元，增长182%</w:t>
      </w:r>
      <w:r>
        <w:rPr>
          <w:rFonts w:hint="eastAsia" w:ascii="仿宋_GB2312" w:eastAsia="仿宋_GB2312"/>
          <w:sz w:val="32"/>
          <w:szCs w:val="32"/>
        </w:rPr>
        <w:t>。主要原因是2021年未列支项目中公务接待支出。其中：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0.48</w:t>
      </w:r>
      <w:r>
        <w:rPr>
          <w:rFonts w:hint="eastAsia" w:ascii="仿宋_GB2312" w:eastAsia="仿宋_GB2312"/>
          <w:sz w:val="32"/>
          <w:szCs w:val="32"/>
        </w:rPr>
        <w:t>万元，主要用于执行公务、开展业务活动开支的交通费、住宿费、用餐费等)。国内公务接待5批次，65人次（不包括陪同人员），共计支出0.48万元，具体内容包括：接待商会及民营企业来朝考察项目，金额0.48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outlineLvl w:val="1"/>
        <w:rPr>
          <w:rStyle w:val="29"/>
          <w:rFonts w:ascii="黑体" w:hAnsi="黑体" w:eastAsia="黑体"/>
        </w:rPr>
      </w:pPr>
      <w:bookmarkStart w:id="40" w:name="_Toc15396610"/>
      <w:bookmarkStart w:id="41" w:name="_Toc15377218"/>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9"/>
          <w:rFonts w:ascii="黑体" w:hAnsi="黑体" w:eastAsia="黑体"/>
          <w:b w:val="0"/>
        </w:rPr>
      </w:pPr>
      <w:bookmarkStart w:id="42" w:name="_Toc15396611"/>
      <w:bookmarkStart w:id="43" w:name="_Toc15377219"/>
      <w:r>
        <w:rPr>
          <w:rStyle w:val="29"/>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9"/>
          <w:rFonts w:ascii="黑体" w:hAnsi="黑体" w:eastAsia="黑体"/>
          <w:b w:val="0"/>
        </w:rPr>
      </w:pPr>
      <w:bookmarkStart w:id="44" w:name="_Toc15377221"/>
      <w:bookmarkStart w:id="45" w:name="_Toc15396612"/>
      <w:r>
        <w:rPr>
          <w:rStyle w:val="29"/>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区工商联</w:t>
      </w:r>
      <w:r>
        <w:rPr>
          <w:rFonts w:hint="eastAsia" w:ascii="仿宋_GB2312" w:eastAsia="仿宋_GB2312"/>
          <w:sz w:val="32"/>
          <w:szCs w:val="32"/>
        </w:rPr>
        <w:t>机关运行经费支出82.64万元，比</w:t>
      </w:r>
      <w:r>
        <w:rPr>
          <w:rFonts w:ascii="仿宋_GB2312" w:eastAsia="仿宋_GB2312"/>
          <w:sz w:val="32"/>
          <w:szCs w:val="32"/>
        </w:rPr>
        <w:t>20</w:t>
      </w:r>
      <w:r>
        <w:rPr>
          <w:rFonts w:hint="eastAsia" w:ascii="仿宋_GB2312" w:eastAsia="仿宋_GB2312"/>
          <w:sz w:val="32"/>
          <w:szCs w:val="32"/>
        </w:rPr>
        <w:t>21年增加4.45万元，增长6</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rPr>
        <w:t>人员工资调整引起的基本支出增加</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区工商联</w:t>
      </w:r>
      <w:r>
        <w:rPr>
          <w:rFonts w:hint="eastAsia" w:ascii="仿宋_GB2312" w:eastAsia="仿宋_GB2312"/>
          <w:sz w:val="32"/>
          <w:szCs w:val="32"/>
        </w:rPr>
        <w:t>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sz w:val="32"/>
          <w:szCs w:val="32"/>
        </w:rPr>
        <w:t>区工商联</w:t>
      </w:r>
      <w:r>
        <w:rPr>
          <w:rFonts w:hint="eastAsia" w:ascii="仿宋_GB2312" w:eastAsia="仿宋_GB2312"/>
          <w:sz w:val="32"/>
          <w:szCs w:val="32"/>
        </w:rPr>
        <w:t>共有车辆0辆，其中：主要领导干部用车0辆、机要通信用车0辆、应急保障用车0辆、其他用车0辆。单价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创建全国“五好”县级工商联项目、培育和发展商会组织项目等2个项目开展了预算事前绩效评估，对2个项目编制了绩效目标，预算执行过程中，选取2个项目开展绩效监控。</w:t>
      </w:r>
    </w:p>
    <w:p>
      <w:pPr>
        <w:widowControl/>
        <w:autoSpaceDE w:val="0"/>
        <w:adjustRightInd w:val="0"/>
        <w:snapToGrid w:val="0"/>
        <w:spacing w:line="576" w:lineRule="exact"/>
        <w:ind w:firstLine="640" w:firstLineChars="200"/>
        <w:contextualSpacing/>
        <w:jc w:val="left"/>
        <w:rPr>
          <w:rFonts w:ascii="仿宋_GB2312" w:eastAsia="仿宋_GB2312"/>
          <w:color w:val="000000"/>
          <w:spacing w:val="-6"/>
          <w:w w:val="99"/>
          <w:kern w:val="0"/>
          <w:sz w:val="32"/>
          <w:szCs w:val="32"/>
          <w:shd w:val="clear" w:color="auto" w:fill="FFFFFF"/>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区工商联部门整体（含部门预算项目）绩效自评报告、创建全国“五好”县级工商联项目、培育和发展商会组织项目等专项预算项目绩效自评报告，其中，区工商联部门整体（含部门预算项目）绩效自评得分为95分，绩效自评综述：</w:t>
      </w:r>
      <w:r>
        <w:rPr>
          <w:rFonts w:hint="eastAsia" w:ascii="仿宋_GB2312" w:eastAsia="仿宋_GB2312"/>
          <w:color w:val="000000"/>
          <w:spacing w:val="-6"/>
          <w:w w:val="99"/>
          <w:kern w:val="0"/>
          <w:sz w:val="32"/>
          <w:szCs w:val="32"/>
          <w:shd w:val="clear" w:color="auto" w:fill="FFFFFF"/>
        </w:rPr>
        <w:t>2022年，我单位总体绩效管理工作良好，能够深入贯彻落实《中华人民共和国预算法》、国务院《关于深化预算管理制度改革的决定》等政策法规。能够科学准确编制预算，预算执行做到规范及时；支出管理规范，未出现因违规支出受到相关监督部门批评或处理的情况；资金管理制度较为完善，会计核算和账务处理规范，会计资料完整。</w:t>
      </w:r>
    </w:p>
    <w:p>
      <w:pPr>
        <w:autoSpaceDE w:val="0"/>
        <w:spacing w:line="576" w:lineRule="exact"/>
        <w:ind w:firstLine="632" w:firstLineChars="200"/>
        <w:rPr>
          <w:rFonts w:ascii="仿宋_GB2312" w:eastAsia="仿宋_GB2312"/>
          <w:spacing w:val="-6"/>
          <w:sz w:val="32"/>
          <w:szCs w:val="32"/>
        </w:rPr>
      </w:pPr>
      <w:r>
        <w:rPr>
          <w:rFonts w:hint="eastAsia" w:ascii="仿宋_GB2312" w:hAnsi="宋体" w:eastAsia="仿宋_GB2312"/>
          <w:w w:val="99"/>
          <w:sz w:val="32"/>
          <w:szCs w:val="32"/>
        </w:rPr>
        <w:t>创建全国“五好”县级工商联项目</w:t>
      </w:r>
      <w:r>
        <w:rPr>
          <w:rFonts w:hint="eastAsia" w:ascii="仿宋_GB2312" w:hAnsi="仿宋_GB2312" w:eastAsia="仿宋_GB2312" w:cs="仿宋_GB2312"/>
          <w:sz w:val="32"/>
          <w:szCs w:val="32"/>
        </w:rPr>
        <w:t>专项预算项目绩效自评得分为93分，绩效自评综述：</w:t>
      </w:r>
      <w:r>
        <w:rPr>
          <w:rFonts w:ascii="仿宋_GB2312" w:eastAsia="仿宋_GB2312"/>
          <w:spacing w:val="-6"/>
          <w:sz w:val="32"/>
          <w:szCs w:val="32"/>
        </w:rPr>
        <w:t>该项目由</w:t>
      </w:r>
      <w:r>
        <w:rPr>
          <w:rFonts w:hint="eastAsia" w:ascii="仿宋_GB2312" w:eastAsia="仿宋_GB2312"/>
          <w:spacing w:val="-6"/>
          <w:sz w:val="32"/>
          <w:szCs w:val="32"/>
        </w:rPr>
        <w:t>区工商联</w:t>
      </w:r>
      <w:r>
        <w:rPr>
          <w:rFonts w:ascii="仿宋_GB2312" w:eastAsia="仿宋_GB2312"/>
          <w:spacing w:val="-6"/>
          <w:sz w:val="32"/>
          <w:szCs w:val="32"/>
        </w:rPr>
        <w:t>负责实施，</w:t>
      </w:r>
      <w:r>
        <w:rPr>
          <w:rFonts w:hint="eastAsia" w:ascii="仿宋_GB2312" w:eastAsia="仿宋_GB2312"/>
          <w:spacing w:val="-6"/>
          <w:sz w:val="32"/>
          <w:szCs w:val="32"/>
        </w:rPr>
        <w:t>区工商联办公室</w:t>
      </w:r>
      <w:r>
        <w:rPr>
          <w:rFonts w:ascii="仿宋_GB2312" w:eastAsia="仿宋_GB2312"/>
          <w:spacing w:val="-6"/>
          <w:sz w:val="32"/>
          <w:szCs w:val="32"/>
        </w:rPr>
        <w:t>负责对</w:t>
      </w:r>
      <w:r>
        <w:rPr>
          <w:rFonts w:hint="eastAsia" w:ascii="仿宋_GB2312" w:eastAsia="仿宋_GB2312"/>
          <w:spacing w:val="-6"/>
          <w:sz w:val="32"/>
          <w:szCs w:val="32"/>
        </w:rPr>
        <w:t>工作开展情况进行核对并</w:t>
      </w:r>
      <w:r>
        <w:rPr>
          <w:rFonts w:ascii="仿宋_GB2312" w:eastAsia="仿宋_GB2312"/>
          <w:spacing w:val="-6"/>
          <w:sz w:val="32"/>
          <w:szCs w:val="32"/>
        </w:rPr>
        <w:t>作为</w:t>
      </w:r>
      <w:r>
        <w:rPr>
          <w:rFonts w:hint="eastAsia" w:ascii="仿宋_GB2312" w:eastAsia="仿宋_GB2312"/>
          <w:spacing w:val="-6"/>
          <w:sz w:val="32"/>
          <w:szCs w:val="32"/>
        </w:rPr>
        <w:t>资金支付</w:t>
      </w:r>
      <w:r>
        <w:rPr>
          <w:rFonts w:ascii="仿宋_GB2312" w:eastAsia="仿宋_GB2312"/>
          <w:spacing w:val="-6"/>
          <w:sz w:val="32"/>
          <w:szCs w:val="32"/>
        </w:rPr>
        <w:t>主要依据，按照实际情况进行申报，</w:t>
      </w:r>
      <w:r>
        <w:rPr>
          <w:rFonts w:hint="eastAsia" w:ascii="仿宋_GB2312" w:eastAsia="仿宋_GB2312"/>
          <w:spacing w:val="-6"/>
          <w:sz w:val="32"/>
          <w:szCs w:val="32"/>
        </w:rPr>
        <w:t>区工商联财务人员</w:t>
      </w:r>
      <w:r>
        <w:rPr>
          <w:rFonts w:ascii="仿宋_GB2312" w:eastAsia="仿宋_GB2312"/>
          <w:spacing w:val="-6"/>
          <w:sz w:val="32"/>
          <w:szCs w:val="32"/>
        </w:rPr>
        <w:t>负责资金发放。项目实施过程严格执行相关法律法规，合理确定职能职责，做到人尽其才，物尽其用。通过建立健全项目管理制度、目标考核制度、资金管理制度等相关制度。严格经费管理，确保</w:t>
      </w:r>
      <w:r>
        <w:rPr>
          <w:rFonts w:hint="eastAsia" w:ascii="仿宋_GB2312" w:eastAsia="仿宋_GB2312"/>
          <w:spacing w:val="-6"/>
          <w:sz w:val="32"/>
          <w:szCs w:val="32"/>
        </w:rPr>
        <w:t>工商业业务</w:t>
      </w:r>
      <w:r>
        <w:rPr>
          <w:rFonts w:ascii="仿宋_GB2312" w:eastAsia="仿宋_GB2312"/>
          <w:spacing w:val="-6"/>
          <w:sz w:val="32"/>
          <w:szCs w:val="32"/>
        </w:rPr>
        <w:t>工作正常运转。通过建立长效机制，规范经费支出，保证工作效率</w:t>
      </w:r>
      <w:r>
        <w:rPr>
          <w:rFonts w:hint="eastAsia" w:ascii="仿宋_GB2312" w:hAnsi="仿宋_GB2312" w:eastAsia="仿宋_GB2312" w:cs="仿宋_GB2312"/>
          <w:sz w:val="32"/>
          <w:szCs w:val="32"/>
        </w:rPr>
        <w:t>。绩效自评报告详见附件。</w:t>
      </w:r>
    </w:p>
    <w:p>
      <w:pPr>
        <w:autoSpaceDE w:val="0"/>
        <w:spacing w:line="576" w:lineRule="exact"/>
        <w:ind w:firstLine="632" w:firstLineChars="200"/>
        <w:rPr>
          <w:rFonts w:ascii="仿宋_GB2312" w:eastAsia="仿宋_GB2312"/>
          <w:spacing w:val="-6"/>
          <w:sz w:val="32"/>
          <w:szCs w:val="32"/>
        </w:rPr>
      </w:pPr>
      <w:r>
        <w:rPr>
          <w:rFonts w:hint="eastAsia" w:ascii="仿宋_GB2312" w:hAnsi="宋体" w:eastAsia="仿宋_GB2312"/>
          <w:w w:val="99"/>
          <w:sz w:val="32"/>
          <w:szCs w:val="32"/>
        </w:rPr>
        <w:t>培育和发展商会组织项目</w:t>
      </w:r>
      <w:r>
        <w:rPr>
          <w:rFonts w:hint="eastAsia" w:ascii="仿宋_GB2312" w:hAnsi="仿宋_GB2312" w:eastAsia="仿宋_GB2312" w:cs="仿宋_GB2312"/>
          <w:sz w:val="32"/>
          <w:szCs w:val="32"/>
        </w:rPr>
        <w:t>绩效自评得分为90分，绩效自评综述：</w:t>
      </w:r>
      <w:r>
        <w:rPr>
          <w:rFonts w:ascii="仿宋_GB2312" w:eastAsia="仿宋_GB2312"/>
          <w:spacing w:val="-6"/>
          <w:sz w:val="32"/>
          <w:szCs w:val="32"/>
        </w:rPr>
        <w:t>该项目由</w:t>
      </w:r>
      <w:r>
        <w:rPr>
          <w:rFonts w:hint="eastAsia" w:ascii="仿宋_GB2312" w:eastAsia="仿宋_GB2312"/>
          <w:spacing w:val="-6"/>
          <w:sz w:val="32"/>
          <w:szCs w:val="32"/>
        </w:rPr>
        <w:t>区工商联</w:t>
      </w:r>
      <w:r>
        <w:rPr>
          <w:rFonts w:ascii="仿宋_GB2312" w:eastAsia="仿宋_GB2312"/>
          <w:spacing w:val="-6"/>
          <w:sz w:val="32"/>
          <w:szCs w:val="32"/>
        </w:rPr>
        <w:t>负责实施，</w:t>
      </w:r>
      <w:r>
        <w:rPr>
          <w:rFonts w:hint="eastAsia" w:ascii="仿宋_GB2312" w:eastAsia="仿宋_GB2312"/>
          <w:spacing w:val="-6"/>
          <w:sz w:val="32"/>
          <w:szCs w:val="32"/>
        </w:rPr>
        <w:t>区工商联办公室</w:t>
      </w:r>
      <w:r>
        <w:rPr>
          <w:rFonts w:ascii="仿宋_GB2312" w:eastAsia="仿宋_GB2312"/>
          <w:spacing w:val="-6"/>
          <w:sz w:val="32"/>
          <w:szCs w:val="32"/>
        </w:rPr>
        <w:t>负责对</w:t>
      </w:r>
      <w:r>
        <w:rPr>
          <w:rFonts w:hint="eastAsia" w:ascii="仿宋_GB2312" w:eastAsia="仿宋_GB2312"/>
          <w:spacing w:val="-6"/>
          <w:sz w:val="32"/>
          <w:szCs w:val="32"/>
        </w:rPr>
        <w:t>工作开展情况进行核对并</w:t>
      </w:r>
      <w:r>
        <w:rPr>
          <w:rFonts w:ascii="仿宋_GB2312" w:eastAsia="仿宋_GB2312"/>
          <w:spacing w:val="-6"/>
          <w:sz w:val="32"/>
          <w:szCs w:val="32"/>
        </w:rPr>
        <w:t>作为</w:t>
      </w:r>
      <w:r>
        <w:rPr>
          <w:rFonts w:hint="eastAsia" w:ascii="仿宋_GB2312" w:eastAsia="仿宋_GB2312"/>
          <w:spacing w:val="-6"/>
          <w:sz w:val="32"/>
          <w:szCs w:val="32"/>
        </w:rPr>
        <w:t>资金支付</w:t>
      </w:r>
      <w:r>
        <w:rPr>
          <w:rFonts w:ascii="仿宋_GB2312" w:eastAsia="仿宋_GB2312"/>
          <w:spacing w:val="-6"/>
          <w:sz w:val="32"/>
          <w:szCs w:val="32"/>
        </w:rPr>
        <w:t>主要依据，按照实际情况进行申报，</w:t>
      </w:r>
      <w:r>
        <w:rPr>
          <w:rFonts w:hint="eastAsia" w:ascii="仿宋_GB2312" w:eastAsia="仿宋_GB2312"/>
          <w:spacing w:val="-6"/>
          <w:sz w:val="32"/>
          <w:szCs w:val="32"/>
        </w:rPr>
        <w:t>区工商联财务人员</w:t>
      </w:r>
      <w:r>
        <w:rPr>
          <w:rFonts w:ascii="仿宋_GB2312" w:eastAsia="仿宋_GB2312"/>
          <w:spacing w:val="-6"/>
          <w:sz w:val="32"/>
          <w:szCs w:val="32"/>
        </w:rPr>
        <w:t>负责资金发放。项目实施过程严格执行相关法律法规，合理确定职能职责，做到人尽其才，物尽其用。通过建立健全项目管理制度、目标考核制度、资金管理制度等相关制度。严格经费管理，确保</w:t>
      </w:r>
      <w:r>
        <w:rPr>
          <w:rFonts w:hint="eastAsia" w:ascii="仿宋_GB2312" w:eastAsia="仿宋_GB2312"/>
          <w:spacing w:val="-6"/>
          <w:sz w:val="32"/>
          <w:szCs w:val="32"/>
        </w:rPr>
        <w:t>工商业业务</w:t>
      </w:r>
      <w:r>
        <w:rPr>
          <w:rFonts w:ascii="仿宋_GB2312" w:eastAsia="仿宋_GB2312"/>
          <w:spacing w:val="-6"/>
          <w:sz w:val="32"/>
          <w:szCs w:val="32"/>
        </w:rPr>
        <w:t>工作正常运转。通过建立长效机制，规范经费支出，保证工作效率</w:t>
      </w:r>
      <w:r>
        <w:rPr>
          <w:rFonts w:hint="eastAsia" w:ascii="仿宋_GB2312" w:hAnsi="仿宋_GB2312" w:eastAsia="仿宋_GB2312" w:cs="仿宋_GB2312"/>
          <w:sz w:val="32"/>
          <w:szCs w:val="32"/>
        </w:rPr>
        <w:t>。绩效自评报告详见附件。</w:t>
      </w:r>
    </w:p>
    <w:p>
      <w:pPr>
        <w:widowControl/>
        <w:ind w:firstLine="640" w:firstLineChars="200"/>
        <w:jc w:val="left"/>
        <w:rPr>
          <w:rFonts w:ascii="仿宋_GB2312" w:eastAsia="仿宋_GB2312"/>
          <w:b/>
          <w:sz w:val="32"/>
          <w:szCs w:val="32"/>
        </w:rPr>
      </w:pPr>
      <w:r>
        <w:rPr>
          <w:rFonts w:hint="eastAsia" w:ascii="仿宋_GB2312" w:hAnsi="仿宋_GB2312" w:eastAsia="仿宋_GB2312" w:cs="仿宋_GB2312"/>
          <w:sz w:val="32"/>
          <w:szCs w:val="32"/>
        </w:rPr>
        <w:t>（如不涉及，可根据实际修改表述。）</w:t>
      </w: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8"/>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8"/>
          <w:rFonts w:hint="eastAsia" w:ascii="黑体" w:hAnsi="黑体" w:eastAsia="黑体"/>
          <w:b w:val="0"/>
        </w:rPr>
        <w:t>词解释</w:t>
      </w:r>
      <w:bookmarkEnd w:id="49"/>
      <w:bookmarkEnd w:id="50"/>
    </w:p>
    <w:p>
      <w:pPr>
        <w:spacing w:line="600" w:lineRule="exact"/>
        <w:jc w:val="left"/>
        <w:rPr>
          <w:rFonts w:ascii="宋体"/>
          <w:b/>
          <w:sz w:val="44"/>
          <w:szCs w:val="44"/>
        </w:rPr>
      </w:pPr>
    </w:p>
    <w:p>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1</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2</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事业收入：指事业单位开展专业业务活动及辅助活动取得的收入。如…（二级预算单位事业收入情况）等。</w:t>
      </w:r>
    </w:p>
    <w:p>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4</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5</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6</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7</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6"/>
        <w:spacing w:line="560" w:lineRule="exact"/>
        <w:ind w:left="319" w:leftChars="152" w:firstLine="320" w:firstLineChars="100"/>
        <w:rPr>
          <w:rFonts w:hint="eastAsia" w:ascii="仿宋_GB2312" w:eastAsia="仿宋_GB2312"/>
          <w:color w:val="auto"/>
          <w:sz w:val="32"/>
          <w:szCs w:val="32"/>
        </w:rPr>
      </w:pPr>
      <w:r>
        <w:rPr>
          <w:rFonts w:ascii="仿宋_GB2312" w:eastAsia="仿宋_GB2312"/>
          <w:color w:val="auto"/>
          <w:sz w:val="32"/>
          <w:szCs w:val="32"/>
        </w:rPr>
        <w:t>8</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hAnsi="宋体" w:eastAsia="仿宋_GB2312"/>
          <w:sz w:val="32"/>
          <w:szCs w:val="32"/>
          <w:lang w:val="zh-CN"/>
        </w:rPr>
        <w:t>．</w:t>
      </w:r>
      <w:r>
        <w:rPr>
          <w:rFonts w:hint="eastAsia" w:ascii="仿宋_GB2312" w:eastAsia="仿宋_GB2312"/>
          <w:sz w:val="32"/>
          <w:szCs w:val="32"/>
        </w:rPr>
        <w:t>一般公共服务（类）民主党派及工商联事务（款）行政支出（项）：指反映行政单位（包括实行公务员管理的事业单位）的基本支出。一般公共服务（类）民主党派及工商联事务（款）一般行政管理事务（项）：指反映行政单位（包括实行公务员管理的事业单位）未单独设置项级科目的其他项目支出。</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社会保障和就业（类）行政事业单位养老支出（款）机关事业单位基本养老保险缴费支出（项）：指反映机关事业单位实施养老保险制度由单位缴纳的基本养老保险费支出。社会保障和就业（类）行政事业单位养老支出（款）机关事业单位职业年金缴费支出（项）：指反映反映机关事业单位实施养老保险制度由单位缴纳的职业年金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1．卫生健康（类）行政事业单位医疗（款）行政单位医疗（项）：指反映财政部门安排的行政单位（包括实行公务员管理的事业单位）基本医疗保险缴费经费。</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2．住房保障支出（类）住房改革支出（款） 住房公积金（项）：指反映行政事业单位按人力资源和社会保障部、财政部规定的基本工资和津贴补贴以及规定比例为职工缴纳的住房公积金。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13</w:t>
      </w:r>
      <w:r>
        <w:rPr>
          <w:rFonts w:hint="eastAsia" w:ascii="仿宋_GB2312" w:hAnsi="宋体" w:eastAsia="仿宋_GB2312"/>
          <w:sz w:val="32"/>
          <w:szCs w:val="32"/>
          <w:lang w:val="zh-CN"/>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14</w:t>
      </w:r>
      <w:r>
        <w:rPr>
          <w:rFonts w:hint="eastAsia" w:ascii="仿宋_GB2312" w:hAnsi="宋体" w:eastAsia="仿宋_GB2312"/>
          <w:sz w:val="32"/>
          <w:szCs w:val="32"/>
          <w:lang w:val="zh-CN"/>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15</w:t>
      </w:r>
      <w:r>
        <w:rPr>
          <w:rFonts w:hint="eastAsia" w:ascii="仿宋_GB2312" w:hAnsi="宋体" w:eastAsia="仿宋_GB2312"/>
          <w:sz w:val="32"/>
          <w:szCs w:val="32"/>
          <w:lang w:val="zh-CN"/>
        </w:rPr>
        <w:t>．</w:t>
      </w:r>
      <w:r>
        <w:rPr>
          <w:rFonts w:hint="eastAsia" w:ascii="仿宋_GB2312" w:eastAsia="仿宋_GB2312"/>
          <w:sz w:val="32"/>
          <w:szCs w:val="32"/>
        </w:rPr>
        <w:t>经营支出：指事业单位在专业业务活动及其辅助活动之外开展非独立核算经营活动发生的支出。</w:t>
      </w:r>
    </w:p>
    <w:p>
      <w:pPr>
        <w:pStyle w:val="26"/>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16</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hint="eastAsia" w:ascii="仿宋_GB2312" w:eastAsia="仿宋_GB2312"/>
          <w:color w:val="auto"/>
          <w:sz w:val="32"/>
          <w:szCs w:val="32"/>
        </w:rPr>
      </w:pPr>
      <w:r>
        <w:rPr>
          <w:rFonts w:hint="eastAsia" w:ascii="仿宋_GB2312" w:hAnsi="宋体" w:eastAsia="仿宋_GB2312" w:cs="Times New Roman"/>
          <w:color w:val="auto"/>
          <w:kern w:val="2"/>
          <w:sz w:val="32"/>
          <w:szCs w:val="32"/>
          <w:lang w:val="zh-CN"/>
        </w:rPr>
        <w:t>17</w:t>
      </w:r>
      <w:r>
        <w:rPr>
          <w:rFonts w:hint="eastAsia" w:ascii="仿宋_GB2312" w:hAnsi="宋体" w:eastAsia="仿宋_GB2312" w:cs="Times New Roman"/>
          <w:color w:val="auto"/>
          <w:sz w:val="32"/>
          <w:szCs w:val="32"/>
          <w:lang w:val="zh-CN"/>
        </w:rPr>
        <w:t>．</w:t>
      </w:r>
      <w:r>
        <w:rPr>
          <w:rFonts w:hint="eastAsia" w:ascii="仿宋_GB2312" w:hAnsi="宋体" w:eastAsia="仿宋_GB2312" w:cs="Times New Roman"/>
          <w:color w:val="auto"/>
          <w:kern w:val="2"/>
          <w:sz w:val="32"/>
          <w:szCs w:val="32"/>
          <w:lang w:val="zh-CN"/>
        </w:rPr>
        <w:t>机</w:t>
      </w:r>
      <w:r>
        <w:rPr>
          <w:rFonts w:hint="eastAsia" w:ascii="仿宋_GB2312" w:eastAsia="仿宋_GB2312"/>
          <w:color w:val="auto"/>
          <w:sz w:val="32"/>
          <w:szCs w:val="32"/>
        </w:rPr>
        <w:t>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sz w:val="32"/>
          <w:szCs w:val="32"/>
        </w:rPr>
      </w:pPr>
      <w:r>
        <w:rPr>
          <w:rFonts w:hint="eastAsia" w:ascii="仿宋" w:hAnsi="仿宋" w:eastAsia="仿宋"/>
          <w:b/>
          <w:sz w:val="32"/>
          <w:szCs w:val="32"/>
        </w:rPr>
        <w:t>（名词解释部分请根据各部门实际列支情况罗列，并根据本部门职责职能增减名词解释内容。）</w:t>
      </w:r>
    </w:p>
    <w:p>
      <w:pPr>
        <w:spacing w:line="600" w:lineRule="exact"/>
        <w:jc w:val="center"/>
        <w:outlineLvl w:val="0"/>
        <w:rPr>
          <w:rStyle w:val="28"/>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8"/>
          <w:rFonts w:hint="eastAsia" w:ascii="黑体" w:hAnsi="黑体" w:eastAsia="黑体"/>
          <w:b w:val="0"/>
        </w:rPr>
        <w:t>四部分 附件</w:t>
      </w:r>
      <w:bookmarkEnd w:id="52"/>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广元市朝天区工商业联合会</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2023年部门整体绩效评价报告</w:t>
      </w:r>
    </w:p>
    <w:p>
      <w:pPr>
        <w:widowControl/>
        <w:spacing w:line="560" w:lineRule="exact"/>
        <w:contextualSpacing/>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（报告范围包括机关和下属单位）</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5"/>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（一）机构组成。</w:t>
      </w:r>
      <w:r>
        <w:rPr>
          <w:rFonts w:hint="eastAsia" w:ascii="仿宋_GB2312" w:eastAsia="仿宋_GB2312"/>
          <w:color w:val="000000"/>
          <w:spacing w:val="-6"/>
          <w:w w:val="99"/>
          <w:kern w:val="0"/>
          <w:sz w:val="32"/>
          <w:szCs w:val="32"/>
          <w:shd w:val="clear" w:color="auto" w:fill="FFFFFF"/>
        </w:rPr>
        <w:t>机关内设1个股室，是办公室。</w:t>
      </w:r>
    </w:p>
    <w:p>
      <w:pPr>
        <w:spacing w:line="576" w:lineRule="exact"/>
        <w:ind w:firstLine="643" w:firstLineChars="200"/>
        <w:rPr>
          <w:rFonts w:ascii="仿宋_GB2312" w:eastAsia="仿宋_GB2312" w:cs="仿宋_GB2312"/>
          <w:sz w:val="32"/>
          <w:szCs w:val="32"/>
        </w:rPr>
      </w:pPr>
      <w:r>
        <w:rPr>
          <w:rFonts w:hint="eastAsia" w:ascii="楷体_GB2312" w:hAnsi="楷体_GB2312" w:eastAsia="楷体_GB2312" w:cs="楷体_GB2312"/>
          <w:b/>
          <w:bCs/>
          <w:kern w:val="0"/>
          <w:sz w:val="32"/>
          <w:szCs w:val="32"/>
          <w:shd w:val="clear" w:color="auto" w:fill="FFFFFF"/>
          <w:lang w:val="zh-CN"/>
        </w:rPr>
        <w:t>（二）机构职能和人员概况。</w:t>
      </w:r>
      <w:r>
        <w:rPr>
          <w:rFonts w:hint="eastAsia" w:ascii="仿宋_GB2312" w:eastAsia="仿宋_GB2312" w:cs="仿宋_GB2312"/>
          <w:sz w:val="32"/>
          <w:szCs w:val="32"/>
        </w:rPr>
        <w:t>区工商联是区委领导下的，以统战性为主兼有经济性、民间性的人民团体，主要职责是：</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（1）参与本区经济事务、社会和重大决策的政治协商，发挥民主监督作用，做好代表性人士的政治安排和推荐工作，对本区重大政策的制订提出建议并贯彻执行。</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（2）协助区政府进行专题调研，开展有利于改革开放和社会主义市场经济建设服务活动。</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发扬自我教育的优良传统，宣传国家的方针、政策，加强和改进思想政治工作，对会员进行“团结、帮助、引导、教育”，提倡“爱国、敬业、守法、奉献”的思想，提高经营者素质，培养一批积极分子和骨干队伍。</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（4）维护会员的合法权益，反映会员的意见、要求和建议，在会员与政府之间发挥桥梁纽带作用，当好政府管理非公有制经济的助手。</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（5）为会员和社会提供市场、技术、商品等信息，按照国家有关规定，为会员提供管理、法律、会计、审计、融资等咨询工作。</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（6）对会员进行专业培训，帮助会员改善经营管理，提高生产技能、技术和产品质量，树立品牌，推荐品牌。</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（7）按照国家规定和有关政策，组织会员举办和参加各种对内对外展销会、交易会、组织外出参观考察、访问、帮助会员开拓国内、国际市场。</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（8）为会员提供必要的证明，协调关系为会员和民间企业调解经济纠纷。</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（9）增进与台、港、澳地区和世界各国工商社团及工商经济人士的联系和联谊，促进经济技术和贸易合作的发展，协助引进资金、技术与人才。</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（10）协助区委和区政府管理好经济界各类民间团体组织。</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（11）协助政府在各乡镇建立分会，同业公会，行业协会，并开展会务工作。</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（12）承担区委、区人民政府交办的其他事项。</w:t>
      </w:r>
    </w:p>
    <w:p>
      <w:pPr>
        <w:pStyle w:val="13"/>
        <w:spacing w:before="0" w:beforeAutospacing="0" w:after="0" w:afterAutospacing="0" w:line="550" w:lineRule="exact"/>
        <w:ind w:firstLine="643" w:firstLineChars="200"/>
        <w:jc w:val="both"/>
        <w:rPr>
          <w:rFonts w:ascii="仿宋_GB2312" w:hAnsi="Times New Roman" w:eastAsia="仿宋_GB2312" w:cs="Times New Roman"/>
          <w:sz w:val="32"/>
          <w:szCs w:val="32"/>
        </w:rPr>
      </w:pPr>
      <w:r>
        <w:rPr>
          <w:rFonts w:hint="eastAsia" w:ascii="楷体_GB2312" w:hAnsi="楷体_GB2312" w:eastAsia="楷体_GB2312" w:cs="楷体_GB2312"/>
          <w:b/>
          <w:bCs/>
          <w:sz w:val="32"/>
          <w:szCs w:val="32"/>
          <w:shd w:val="clear" w:color="auto" w:fill="FFFFFF"/>
          <w:lang w:val="zh-CN"/>
        </w:rPr>
        <w:t>（三）年度主要工作任务。</w:t>
      </w:r>
      <w:r>
        <w:rPr>
          <w:rFonts w:hint="eastAsia" w:ascii="仿宋_GB2312" w:hAnsi="Times New Roman" w:eastAsia="仿宋_GB2312" w:cs="Times New Roman"/>
          <w:sz w:val="32"/>
          <w:szCs w:val="32"/>
        </w:rPr>
        <w:t>2022年，在区委、区政府的领导和市工商联的指导下，区工商联坚持以习近平新时代中国特色社会主义思想为指导，深入学习贯彻党的二十大精神，紧紧围绕区委政府中心工作，牢牢把握“两个健康”工作主题，把“信任、团结、服务、引导、教育”十字方针贯穿于工商联工作全过程，凝心聚力，真抓实干，较好地完成了各项工作任务，奋力谱写工商联工作新答卷、新篇章。区工商联荣获全国工商联“2022年调查点工作先进基层单位”称号，被市工商联表彰为2022年度宣教和调研工作先进单位、组织工作先进单位。</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widowControl/>
        <w:adjustRightInd w:val="0"/>
        <w:snapToGrid w:val="0"/>
        <w:spacing w:line="560" w:lineRule="exact"/>
        <w:ind w:firstLine="640" w:firstLineChars="200"/>
        <w:contextualSpacing/>
        <w:jc w:val="left"/>
        <w:rPr>
          <w:rFonts w:ascii="仿宋_GB2312" w:eastAsia="仿宋_GB2312"/>
          <w:kern w:val="0"/>
          <w:sz w:val="32"/>
          <w:szCs w:val="32"/>
        </w:rPr>
      </w:pPr>
      <w:r>
        <w:rPr>
          <w:rFonts w:hint="eastAsia" w:ascii="仿宋_GB2312" w:eastAsia="仿宋_GB2312"/>
          <w:kern w:val="0"/>
          <w:sz w:val="32"/>
          <w:szCs w:val="32"/>
        </w:rPr>
        <w:t xml:space="preserve">目标1：召开工商联执委会、服务民营企业座谈会等会议2次,引导非公有制经济人士做到政治上自信、发展上自强、守法上自觉;开展考察调研、民营企业调查4次,引导非公有制经济人士建言资政，积极投身光彩事业;完成乡村振兴“万企兴万村”、东西部协作工作。                                                         </w:t>
      </w:r>
    </w:p>
    <w:p>
      <w:pPr>
        <w:widowControl/>
        <w:adjustRightInd w:val="0"/>
        <w:snapToGrid w:val="0"/>
        <w:spacing w:line="560" w:lineRule="exact"/>
        <w:ind w:firstLine="640" w:firstLineChars="200"/>
        <w:contextualSpacing/>
        <w:jc w:val="left"/>
        <w:rPr>
          <w:rFonts w:ascii="仿宋_GB2312" w:eastAsia="仿宋_GB2312"/>
          <w:kern w:val="0"/>
          <w:sz w:val="32"/>
          <w:szCs w:val="32"/>
        </w:rPr>
      </w:pPr>
      <w:r>
        <w:rPr>
          <w:rFonts w:hint="eastAsia" w:ascii="仿宋_GB2312" w:eastAsia="仿宋_GB2312"/>
          <w:kern w:val="0"/>
          <w:sz w:val="32"/>
          <w:szCs w:val="32"/>
        </w:rPr>
        <w:t xml:space="preserve">目标2：外出考察筹建异地商会4次，推动成立异地商会;加强12个乡镇商会和2个异地商会管理，立足商会职能，发挥商会优势，把商会会员力量凝聚到经济建设上来，促进地方经济发展;引导商会参与乡村振兴，组织商会开展活动6次以上。。                                                                        </w:t>
      </w:r>
    </w:p>
    <w:p>
      <w:pPr>
        <w:widowControl/>
        <w:adjustRightInd w:val="0"/>
        <w:snapToGrid w:val="0"/>
        <w:spacing w:line="560" w:lineRule="exact"/>
        <w:ind w:firstLine="640" w:firstLineChars="200"/>
        <w:contextualSpacing/>
        <w:jc w:val="left"/>
        <w:rPr>
          <w:rFonts w:ascii="仿宋_GB2312" w:eastAsia="仿宋_GB2312"/>
          <w:kern w:val="0"/>
          <w:sz w:val="32"/>
          <w:szCs w:val="32"/>
        </w:rPr>
      </w:pPr>
      <w:r>
        <w:rPr>
          <w:rFonts w:hint="eastAsia" w:ascii="仿宋_GB2312" w:eastAsia="仿宋_GB2312"/>
          <w:kern w:val="0"/>
          <w:sz w:val="32"/>
          <w:szCs w:val="32"/>
        </w:rPr>
        <w:t>目标3：维护会员的合法权益，当好政府管理非公有制经济的助手。</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spacing w:line="600" w:lineRule="exact"/>
        <w:ind w:firstLine="640" w:firstLineChars="200"/>
        <w:rPr>
          <w:rFonts w:ascii="仿宋" w:hAnsi="仿宋" w:eastAsia="仿宋"/>
          <w:sz w:val="32"/>
          <w:szCs w:val="32"/>
        </w:rPr>
      </w:pPr>
      <w:r>
        <w:rPr>
          <w:rFonts w:hint="eastAsia" w:ascii="仿宋_GB2312" w:hAnsi="仿宋_GB2312" w:eastAsia="仿宋_GB2312" w:cs="仿宋_GB2312"/>
          <w:kern w:val="0"/>
          <w:sz w:val="32"/>
          <w:szCs w:val="32"/>
          <w:shd w:val="clear" w:color="auto" w:fill="FFFFFF"/>
        </w:rPr>
        <w:t>1.部门总体收入</w:t>
      </w:r>
      <w:r>
        <w:rPr>
          <w:rFonts w:hint="eastAsia" w:ascii="仿宋" w:hAnsi="仿宋" w:eastAsia="仿宋"/>
          <w:sz w:val="32"/>
          <w:szCs w:val="32"/>
        </w:rPr>
        <w:t>92.98万元，与</w:t>
      </w:r>
      <w:r>
        <w:rPr>
          <w:rFonts w:ascii="仿宋" w:hAnsi="仿宋" w:eastAsia="仿宋"/>
          <w:sz w:val="32"/>
          <w:szCs w:val="32"/>
        </w:rPr>
        <w:t>20</w:t>
      </w:r>
      <w:r>
        <w:rPr>
          <w:rFonts w:hint="eastAsia" w:ascii="仿宋" w:hAnsi="仿宋" w:eastAsia="仿宋"/>
          <w:sz w:val="32"/>
          <w:szCs w:val="32"/>
        </w:rPr>
        <w:t>21年相比，一般公共预算财政拨款支出6.29万元，增长7</w:t>
      </w:r>
      <w:r>
        <w:rPr>
          <w:rFonts w:ascii="仿宋" w:hAnsi="仿宋" w:eastAsia="仿宋"/>
          <w:sz w:val="32"/>
          <w:szCs w:val="32"/>
        </w:rPr>
        <w:t>%</w:t>
      </w:r>
      <w:r>
        <w:rPr>
          <w:rFonts w:hint="eastAsia" w:ascii="仿宋" w:hAnsi="仿宋" w:eastAsia="仿宋"/>
          <w:sz w:val="32"/>
          <w:szCs w:val="32"/>
        </w:rPr>
        <w:t>。主要变动原因是项目资金有增加、人员工资调整引起的基本支出增加。</w:t>
      </w:r>
    </w:p>
    <w:p>
      <w:pPr>
        <w:spacing w:line="600" w:lineRule="exact"/>
        <w:ind w:firstLine="640" w:firstLineChars="200"/>
        <w:rPr>
          <w:rFonts w:ascii="仿宋" w:hAnsi="仿宋" w:eastAsia="仿宋"/>
          <w:sz w:val="32"/>
          <w:szCs w:val="32"/>
        </w:rPr>
      </w:pPr>
      <w:r>
        <w:rPr>
          <w:rFonts w:hint="eastAsia" w:ascii="仿宋_GB2312" w:hAnsi="仿宋_GB2312" w:eastAsia="仿宋_GB2312" w:cs="仿宋_GB2312"/>
          <w:kern w:val="0"/>
          <w:sz w:val="32"/>
          <w:szCs w:val="32"/>
          <w:shd w:val="clear" w:color="auto" w:fill="FFFFFF"/>
        </w:rPr>
        <w:t>2.部门总体支出情况</w:t>
      </w:r>
      <w:r>
        <w:rPr>
          <w:rFonts w:hint="eastAsia" w:ascii="仿宋" w:hAnsi="仿宋" w:eastAsia="仿宋"/>
          <w:sz w:val="32"/>
          <w:szCs w:val="32"/>
        </w:rPr>
        <w:t>92.98万元，与</w:t>
      </w:r>
      <w:r>
        <w:rPr>
          <w:rFonts w:ascii="仿宋" w:hAnsi="仿宋" w:eastAsia="仿宋"/>
          <w:sz w:val="32"/>
          <w:szCs w:val="32"/>
        </w:rPr>
        <w:t>20</w:t>
      </w:r>
      <w:r>
        <w:rPr>
          <w:rFonts w:hint="eastAsia" w:ascii="仿宋" w:hAnsi="仿宋" w:eastAsia="仿宋"/>
          <w:sz w:val="32"/>
          <w:szCs w:val="32"/>
        </w:rPr>
        <w:t>21年相比，一般公共预算财政拨款支出6.29万元，增长7</w:t>
      </w:r>
      <w:r>
        <w:rPr>
          <w:rFonts w:ascii="仿宋" w:hAnsi="仿宋" w:eastAsia="仿宋"/>
          <w:sz w:val="32"/>
          <w:szCs w:val="32"/>
        </w:rPr>
        <w:t>%</w:t>
      </w:r>
      <w:r>
        <w:rPr>
          <w:rFonts w:hint="eastAsia" w:ascii="仿宋" w:hAnsi="仿宋" w:eastAsia="仿宋"/>
          <w:sz w:val="32"/>
          <w:szCs w:val="32"/>
        </w:rPr>
        <w:t>。主要变动原因是项目资金有增加、人员工资调整引起的基本支出增加。</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3.部门总体结转结余情况。无结转结余。</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spacing w:line="600" w:lineRule="exact"/>
        <w:ind w:firstLine="640" w:firstLineChars="200"/>
        <w:rPr>
          <w:rFonts w:ascii="仿宋" w:hAnsi="仿宋" w:eastAsia="仿宋"/>
          <w:sz w:val="32"/>
          <w:szCs w:val="32"/>
        </w:rPr>
      </w:pPr>
      <w:r>
        <w:rPr>
          <w:rFonts w:hint="eastAsia" w:ascii="仿宋_GB2312" w:hAnsi="仿宋_GB2312" w:eastAsia="仿宋_GB2312" w:cs="仿宋_GB2312"/>
          <w:kern w:val="0"/>
          <w:sz w:val="32"/>
          <w:szCs w:val="32"/>
          <w:shd w:val="clear" w:color="auto" w:fill="FFFFFF"/>
        </w:rPr>
        <w:t>1.部门财政拨款收入</w:t>
      </w:r>
      <w:r>
        <w:rPr>
          <w:rFonts w:hint="eastAsia" w:ascii="仿宋" w:hAnsi="仿宋" w:eastAsia="仿宋"/>
          <w:sz w:val="32"/>
          <w:szCs w:val="32"/>
        </w:rPr>
        <w:t>92.98万元，与</w:t>
      </w:r>
      <w:r>
        <w:rPr>
          <w:rFonts w:ascii="仿宋" w:hAnsi="仿宋" w:eastAsia="仿宋"/>
          <w:sz w:val="32"/>
          <w:szCs w:val="32"/>
        </w:rPr>
        <w:t>20</w:t>
      </w:r>
      <w:r>
        <w:rPr>
          <w:rFonts w:hint="eastAsia" w:ascii="仿宋" w:hAnsi="仿宋" w:eastAsia="仿宋"/>
          <w:sz w:val="32"/>
          <w:szCs w:val="32"/>
        </w:rPr>
        <w:t>21年相比，一般公共预算财政拨款支出6.29万元，增长7</w:t>
      </w:r>
      <w:r>
        <w:rPr>
          <w:rFonts w:ascii="仿宋" w:hAnsi="仿宋" w:eastAsia="仿宋"/>
          <w:sz w:val="32"/>
          <w:szCs w:val="32"/>
        </w:rPr>
        <w:t>%</w:t>
      </w:r>
      <w:r>
        <w:rPr>
          <w:rFonts w:hint="eastAsia" w:ascii="仿宋" w:hAnsi="仿宋" w:eastAsia="仿宋"/>
          <w:sz w:val="32"/>
          <w:szCs w:val="32"/>
        </w:rPr>
        <w:t>。主要变动原因是项目资金有增加、人员工资调整引起的基本支出增加。</w:t>
      </w:r>
    </w:p>
    <w:p>
      <w:pPr>
        <w:spacing w:line="600" w:lineRule="exact"/>
        <w:ind w:firstLine="640" w:firstLineChars="200"/>
        <w:rPr>
          <w:rFonts w:ascii="仿宋" w:hAnsi="仿宋" w:eastAsia="仿宋"/>
          <w:sz w:val="32"/>
          <w:szCs w:val="32"/>
        </w:rPr>
      </w:pPr>
      <w:r>
        <w:rPr>
          <w:rFonts w:hint="eastAsia" w:ascii="仿宋_GB2312" w:hAnsi="仿宋_GB2312" w:eastAsia="仿宋_GB2312" w:cs="仿宋_GB2312"/>
          <w:kern w:val="0"/>
          <w:sz w:val="32"/>
          <w:szCs w:val="32"/>
          <w:shd w:val="clear" w:color="auto" w:fill="FFFFFF"/>
        </w:rPr>
        <w:t>2.部门财政拨款支出</w:t>
      </w:r>
      <w:r>
        <w:rPr>
          <w:rFonts w:hint="eastAsia" w:ascii="仿宋" w:hAnsi="仿宋" w:eastAsia="仿宋"/>
          <w:sz w:val="32"/>
          <w:szCs w:val="32"/>
        </w:rPr>
        <w:t>92.98万元，与</w:t>
      </w:r>
      <w:r>
        <w:rPr>
          <w:rFonts w:ascii="仿宋" w:hAnsi="仿宋" w:eastAsia="仿宋"/>
          <w:sz w:val="32"/>
          <w:szCs w:val="32"/>
        </w:rPr>
        <w:t>20</w:t>
      </w:r>
      <w:r>
        <w:rPr>
          <w:rFonts w:hint="eastAsia" w:ascii="仿宋" w:hAnsi="仿宋" w:eastAsia="仿宋"/>
          <w:sz w:val="32"/>
          <w:szCs w:val="32"/>
        </w:rPr>
        <w:t>21年相比，一般公共预算财政拨款支出6.29万元，增长7</w:t>
      </w:r>
      <w:r>
        <w:rPr>
          <w:rFonts w:ascii="仿宋" w:hAnsi="仿宋" w:eastAsia="仿宋"/>
          <w:sz w:val="32"/>
          <w:szCs w:val="32"/>
        </w:rPr>
        <w:t>%</w:t>
      </w:r>
      <w:r>
        <w:rPr>
          <w:rFonts w:hint="eastAsia" w:ascii="仿宋" w:hAnsi="仿宋" w:eastAsia="仿宋"/>
          <w:sz w:val="32"/>
          <w:szCs w:val="32"/>
        </w:rPr>
        <w:t>。主要变动原因是项目资金有增加、人员工资调整引起的基本支出增加。</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3.部门财政拨款结转结余情况。无结转结余</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三、部门整体绩效分析（根据适用指标体系进行调整，涉及到有专项资金预算项目的部门，专项资金预算项目自评报告作为本报告附件一并公开）</w:t>
      </w:r>
    </w:p>
    <w:p>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r>
        <w:rPr>
          <w:rFonts w:hint="eastAsia" w:ascii="仿宋_GB2312" w:hAnsi="仿宋_GB2312" w:eastAsia="仿宋_GB2312" w:cs="仿宋_GB2312"/>
          <w:kern w:val="0"/>
          <w:sz w:val="32"/>
          <w:szCs w:val="32"/>
          <w:shd w:val="clear" w:color="auto" w:fill="FFFFFF"/>
          <w:lang w:val="zh-CN"/>
        </w:rPr>
        <w:t>（分段表述人员类、运转类、特定目标类项目绩效情况和存在问题）</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22年一般公共预算财政拨款基本支出82.64万元，其中：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75.64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 w:hAnsi="仿宋" w:eastAsia="仿宋"/>
          <w:sz w:val="32"/>
          <w:szCs w:val="32"/>
        </w:rPr>
        <w:t>公用经费7.00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widowControl/>
        <w:adjustRightInd w:val="0"/>
        <w:snapToGrid w:val="0"/>
        <w:spacing w:line="560" w:lineRule="exact"/>
        <w:ind w:firstLine="632"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宋体" w:eastAsia="仿宋_GB2312"/>
          <w:w w:val="99"/>
          <w:sz w:val="32"/>
          <w:szCs w:val="32"/>
        </w:rPr>
        <w:t>创建全国“五好”县级工商联项目2万元，</w:t>
      </w:r>
      <w:r>
        <w:rPr>
          <w:rFonts w:ascii="仿宋_GB2312" w:eastAsia="仿宋_GB2312"/>
          <w:spacing w:val="-6"/>
          <w:sz w:val="32"/>
          <w:szCs w:val="32"/>
        </w:rPr>
        <w:t>资金到位率100%，到位及时性100%</w:t>
      </w:r>
      <w:r>
        <w:rPr>
          <w:rFonts w:hint="eastAsia" w:ascii="仿宋_GB2312" w:eastAsia="仿宋_GB2312"/>
          <w:spacing w:val="-6"/>
          <w:sz w:val="32"/>
          <w:szCs w:val="32"/>
        </w:rPr>
        <w:t>，</w:t>
      </w:r>
      <w:r>
        <w:rPr>
          <w:rFonts w:ascii="仿宋_GB2312" w:eastAsia="仿宋_GB2312"/>
          <w:spacing w:val="-6"/>
          <w:sz w:val="32"/>
          <w:szCs w:val="32"/>
        </w:rPr>
        <w:t>整个项目完成预算资金支付率</w:t>
      </w:r>
      <w:r>
        <w:rPr>
          <w:rFonts w:hint="eastAsia" w:ascii="仿宋_GB2312" w:eastAsia="仿宋_GB2312"/>
          <w:spacing w:val="-6"/>
          <w:sz w:val="32"/>
          <w:szCs w:val="32"/>
        </w:rPr>
        <w:t>100</w:t>
      </w:r>
      <w:r>
        <w:rPr>
          <w:rFonts w:ascii="仿宋_GB2312" w:eastAsia="仿宋_GB2312"/>
          <w:spacing w:val="-6"/>
          <w:sz w:val="32"/>
          <w:szCs w:val="32"/>
        </w:rPr>
        <w:t>%。</w:t>
      </w:r>
    </w:p>
    <w:p>
      <w:pPr>
        <w:autoSpaceDE w:val="0"/>
        <w:spacing w:line="576" w:lineRule="exact"/>
        <w:ind w:firstLine="632" w:firstLineChars="200"/>
        <w:rPr>
          <w:rFonts w:ascii="仿宋_GB2312" w:eastAsia="仿宋_GB2312"/>
          <w:spacing w:val="-6"/>
          <w:sz w:val="32"/>
          <w:szCs w:val="32"/>
        </w:rPr>
      </w:pPr>
      <w:r>
        <w:rPr>
          <w:rFonts w:hint="eastAsia" w:ascii="仿宋_GB2312" w:hAnsi="宋体" w:eastAsia="仿宋_GB2312"/>
          <w:w w:val="99"/>
          <w:sz w:val="32"/>
          <w:szCs w:val="32"/>
        </w:rPr>
        <w:t>培育和发展商会组织项目6万元，</w:t>
      </w:r>
      <w:r>
        <w:rPr>
          <w:rFonts w:ascii="仿宋_GB2312" w:eastAsia="仿宋_GB2312"/>
          <w:spacing w:val="-6"/>
          <w:sz w:val="32"/>
          <w:szCs w:val="32"/>
        </w:rPr>
        <w:t>整个项目完成预算资金支付率</w:t>
      </w:r>
      <w:r>
        <w:rPr>
          <w:rFonts w:hint="eastAsia" w:ascii="仿宋_GB2312" w:eastAsia="仿宋_GB2312"/>
          <w:spacing w:val="-6"/>
          <w:sz w:val="32"/>
          <w:szCs w:val="32"/>
        </w:rPr>
        <w:t>79.17</w:t>
      </w:r>
      <w:r>
        <w:rPr>
          <w:rFonts w:ascii="仿宋_GB2312" w:eastAsia="仿宋_GB2312"/>
          <w:spacing w:val="-6"/>
          <w:sz w:val="32"/>
          <w:szCs w:val="32"/>
        </w:rPr>
        <w:t>%。资金支付、支付标准、支付依据等均合规合法</w:t>
      </w:r>
      <w:r>
        <w:rPr>
          <w:rFonts w:hint="eastAsia" w:ascii="仿宋_GB2312" w:eastAsia="仿宋_GB2312"/>
          <w:spacing w:val="-6"/>
          <w:sz w:val="32"/>
          <w:szCs w:val="32"/>
        </w:rPr>
        <w:t>。剩余1.25</w:t>
      </w:r>
      <w:r>
        <w:rPr>
          <w:rFonts w:ascii="仿宋_GB2312" w:eastAsia="仿宋_GB2312"/>
          <w:spacing w:val="-6"/>
          <w:sz w:val="32"/>
          <w:szCs w:val="32"/>
        </w:rPr>
        <w:t>万元因</w:t>
      </w:r>
      <w:r>
        <w:rPr>
          <w:rFonts w:hint="eastAsia" w:ascii="仿宋_GB2312" w:eastAsia="仿宋_GB2312"/>
          <w:spacing w:val="-6"/>
          <w:sz w:val="32"/>
          <w:szCs w:val="32"/>
        </w:rPr>
        <w:t>外出筹建异地商会次数减少</w:t>
      </w:r>
      <w:r>
        <w:rPr>
          <w:rFonts w:ascii="仿宋_GB2312" w:eastAsia="仿宋_GB2312"/>
          <w:spacing w:val="-6"/>
          <w:sz w:val="32"/>
          <w:szCs w:val="32"/>
        </w:rPr>
        <w:t>未使用，年底区财政进行指标追减。</w:t>
      </w:r>
    </w:p>
    <w:p>
      <w:pPr>
        <w:widowControl/>
        <w:adjustRightInd w:val="0"/>
        <w:snapToGrid w:val="0"/>
        <w:spacing w:line="560" w:lineRule="exact"/>
        <w:ind w:firstLine="643" w:firstLineChars="200"/>
        <w:contextualSpacing/>
        <w:jc w:val="left"/>
        <w:rPr>
          <w:rFonts w:ascii="仿宋_GB2312" w:eastAsia="仿宋_GB2312"/>
          <w:spacing w:val="-6"/>
          <w:sz w:val="32"/>
          <w:szCs w:val="32"/>
        </w:rPr>
      </w:pPr>
      <w:r>
        <w:rPr>
          <w:rFonts w:hint="eastAsia" w:ascii="楷体_GB2312" w:hAnsi="楷体_GB2312" w:eastAsia="楷体_GB2312" w:cs="楷体_GB2312"/>
          <w:b/>
          <w:bCs/>
          <w:kern w:val="0"/>
          <w:sz w:val="32"/>
          <w:szCs w:val="32"/>
          <w:shd w:val="clear" w:color="auto" w:fill="FFFFFF"/>
          <w:lang w:val="zh-CN"/>
        </w:rPr>
        <w:t>（二）部门整体履职绩效分析。</w:t>
      </w:r>
      <w:r>
        <w:rPr>
          <w:rFonts w:hint="eastAsia" w:ascii="仿宋_GB2312" w:eastAsia="仿宋_GB2312"/>
          <w:spacing w:val="-6"/>
          <w:sz w:val="32"/>
          <w:szCs w:val="32"/>
        </w:rPr>
        <w:t>我单位在预算编制方面，严格遵循合法性、真实性、完整性、重点性、绩效性，实行零基预算，按照标准编制部门预算。在绩效目标填报方面，按规定时间、格式申报相关资料，做到绩效目标针对项目特点清晰明确且细化，有量化的绩效指标且能清晰反映绩效实现程度，绩效目标依据充分。在绩效目标过程监控方面，建立监控制度，定期采集绩效运行的信息并进行汇总分析, 按要求报送报告。及时纠正或调整偏离绩效的项目，确保绩效目标如期实现。在绩效评价方面，严格按照支出绩效评价指标体系，用完整科学的指标体系充分反映整体和项目的绩效目标实现程度。</w:t>
      </w:r>
    </w:p>
    <w:p>
      <w:pPr>
        <w:widowControl/>
        <w:adjustRightInd w:val="0"/>
        <w:snapToGrid w:val="0"/>
        <w:spacing w:line="560" w:lineRule="exact"/>
        <w:ind w:firstLine="643" w:firstLineChars="200"/>
        <w:contextualSpacing/>
        <w:jc w:val="left"/>
        <w:rPr>
          <w:rFonts w:ascii="仿宋_GB2312" w:eastAsia="仿宋_GB2312"/>
          <w:spacing w:val="-6"/>
          <w:sz w:val="32"/>
          <w:szCs w:val="32"/>
        </w:rPr>
      </w:pPr>
      <w:r>
        <w:rPr>
          <w:rFonts w:hint="eastAsia" w:ascii="楷体_GB2312" w:hAnsi="楷体_GB2312" w:eastAsia="楷体_GB2312" w:cs="楷体_GB2312"/>
          <w:b/>
          <w:bCs/>
          <w:kern w:val="0"/>
          <w:sz w:val="32"/>
          <w:szCs w:val="32"/>
          <w:shd w:val="clear" w:color="auto" w:fill="FFFFFF"/>
          <w:lang w:val="zh-CN"/>
        </w:rPr>
        <w:t>（三）结果应用情况。</w:t>
      </w:r>
      <w:r>
        <w:rPr>
          <w:rFonts w:hint="eastAsia" w:ascii="仿宋_GB2312" w:eastAsia="仿宋_GB2312"/>
          <w:spacing w:val="-6"/>
          <w:sz w:val="32"/>
          <w:szCs w:val="32"/>
        </w:rPr>
        <w:t>根据绩效评价结果及时调整当年预算，并在编制2023年预算时予以统筹考虑。</w:t>
      </w:r>
    </w:p>
    <w:p>
      <w:pPr>
        <w:widowControl/>
        <w:numPr>
          <w:ilvl w:val="0"/>
          <w:numId w:val="6"/>
        </w:numPr>
        <w:adjustRightInd w:val="0"/>
        <w:snapToGrid w:val="0"/>
        <w:spacing w:line="560" w:lineRule="exact"/>
        <w:ind w:firstLine="643" w:firstLineChars="200"/>
        <w:contextualSpacing/>
        <w:jc w:val="left"/>
        <w:rPr>
          <w:rFonts w:ascii="仿宋_GB2312" w:eastAsia="仿宋_GB2312"/>
          <w:spacing w:val="-6"/>
          <w:sz w:val="32"/>
          <w:szCs w:val="32"/>
        </w:rPr>
      </w:pPr>
      <w:r>
        <w:rPr>
          <w:rFonts w:hint="eastAsia" w:ascii="楷体_GB2312" w:hAnsi="楷体_GB2312" w:eastAsia="楷体_GB2312" w:cs="楷体_GB2312"/>
          <w:b/>
          <w:bCs/>
          <w:kern w:val="0"/>
          <w:sz w:val="32"/>
          <w:szCs w:val="32"/>
          <w:shd w:val="clear" w:color="auto" w:fill="FFFFFF"/>
          <w:lang w:val="zh-CN"/>
        </w:rPr>
        <w:t>自评质量。</w:t>
      </w:r>
      <w:r>
        <w:rPr>
          <w:rFonts w:hint="eastAsia" w:ascii="仿宋_GB2312" w:eastAsia="仿宋_GB2312"/>
          <w:spacing w:val="-6"/>
          <w:sz w:val="32"/>
          <w:szCs w:val="32"/>
        </w:rPr>
        <w:t>评价部门整体支出自评准确率较高。</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widowControl/>
        <w:adjustRightInd w:val="0"/>
        <w:snapToGrid w:val="0"/>
        <w:spacing w:line="560"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2022年，我单位总体绩效管理工作良好，能够深入贯彻落实《中华人民共和国预算法》、国务院《关于深化预算管理制度改革的决定》等政策法规。能够科学准确编制预算，预算执行做到规范及时；支出管理规范，未出现因违规支出受到相关监督部门批评或处理的情况；资金管理制度较为完善，会计核算和账务处理规范，会计资料完整。</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p>
    <w:p>
      <w:pPr>
        <w:widowControl/>
        <w:autoSpaceDE w:val="0"/>
        <w:adjustRightInd w:val="0"/>
        <w:snapToGrid w:val="0"/>
        <w:spacing w:line="576"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我单位在日常财务工作中存在着一定程度的“重分配、轻管理、重支出、轻绩效”的情况，造成该问题的主要原因是预算绩效观念不深入，单位绩效目标编制仍有缺失，需要进一步加强对资金绩效管理的重视程度；预算绩效规范管理有盲点。财务人员面对当前绩效管理工作缺乏专业性很强的技能储备，只能是边工作、边学习、边积累，短期内对部分工作没有做到管理科学。</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（三）改进建议。</w:t>
      </w:r>
    </w:p>
    <w:p>
      <w:pPr>
        <w:pStyle w:val="13"/>
        <w:shd w:val="clear" w:color="auto" w:fill="FFFFFF"/>
        <w:spacing w:beforeAutospacing="0" w:afterAutospacing="0" w:line="576" w:lineRule="exact"/>
        <w:ind w:firstLine="616" w:firstLineChars="200"/>
        <w:jc w:val="both"/>
        <w:rPr>
          <w:rFonts w:ascii="仿宋_GB2312" w:hAnsi="Times New Roman" w:eastAsia="仿宋_GB2312" w:cs="Times New Roman"/>
          <w:spacing w:val="-6"/>
          <w:kern w:val="2"/>
          <w:sz w:val="32"/>
          <w:szCs w:val="32"/>
        </w:rPr>
      </w:pPr>
      <w:r>
        <w:rPr>
          <w:rFonts w:hint="eastAsia" w:ascii="仿宋_GB2312" w:hAnsi="Times New Roman" w:eastAsia="仿宋_GB2312" w:cs="Times New Roman"/>
          <w:spacing w:val="-6"/>
          <w:kern w:val="2"/>
          <w:sz w:val="32"/>
          <w:szCs w:val="32"/>
        </w:rPr>
        <w:t>一是进一步增强绩效管理理念。在管理和使用预算资金的过程中，更加突出资金使用绩效，做到“花钱必问效”。按照绩效评价原则，开展资金安全性、规范性的监督，确保专项资金的使用符合绩效管理要求。</w:t>
      </w:r>
    </w:p>
    <w:p>
      <w:pPr>
        <w:pStyle w:val="13"/>
        <w:shd w:val="clear" w:color="auto" w:fill="FFFFFF"/>
        <w:spacing w:beforeAutospacing="0" w:afterAutospacing="0" w:line="576" w:lineRule="exact"/>
        <w:ind w:firstLine="616" w:firstLineChars="200"/>
        <w:jc w:val="both"/>
        <w:rPr>
          <w:rFonts w:ascii="仿宋_GB2312" w:hAnsi="Times New Roman" w:eastAsia="仿宋_GB2312" w:cs="Times New Roman"/>
          <w:spacing w:val="-6"/>
          <w:kern w:val="2"/>
          <w:sz w:val="32"/>
          <w:szCs w:val="32"/>
        </w:rPr>
      </w:pPr>
      <w:r>
        <w:rPr>
          <w:rFonts w:hint="eastAsia" w:ascii="仿宋_GB2312" w:hAnsi="Times New Roman" w:eastAsia="仿宋_GB2312" w:cs="Times New Roman"/>
          <w:spacing w:val="-6"/>
          <w:kern w:val="2"/>
          <w:sz w:val="32"/>
          <w:szCs w:val="32"/>
        </w:rPr>
        <w:t>二是进一步严格财务管理制度。严格遵守国家、省、市、区财务管理法律法规，严格执行内部控制规范，确保资金使用、管理、监督等各个环节有章可循，从制度上管好用好每笔资金。</w:t>
      </w:r>
    </w:p>
    <w:p>
      <w:pPr>
        <w:pStyle w:val="13"/>
        <w:shd w:val="clear" w:color="auto" w:fill="FFFFFF"/>
        <w:spacing w:beforeAutospacing="0" w:afterAutospacing="0" w:line="576" w:lineRule="exact"/>
        <w:ind w:firstLine="616" w:firstLineChars="200"/>
        <w:jc w:val="both"/>
        <w:rPr>
          <w:rFonts w:ascii="仿宋_GB2312" w:hAnsi="Times New Roman" w:eastAsia="仿宋_GB2312" w:cs="Times New Roman"/>
          <w:spacing w:val="-6"/>
          <w:kern w:val="2"/>
          <w:sz w:val="32"/>
          <w:szCs w:val="32"/>
        </w:rPr>
      </w:pPr>
      <w:r>
        <w:rPr>
          <w:rFonts w:hint="eastAsia" w:ascii="仿宋_GB2312" w:hAnsi="Times New Roman" w:eastAsia="仿宋_GB2312" w:cs="Times New Roman"/>
          <w:spacing w:val="-6"/>
          <w:kern w:val="2"/>
          <w:sz w:val="32"/>
          <w:szCs w:val="32"/>
        </w:rPr>
        <w:t>三是进一步加强财务素养和专业技能培训。针对预算资金绩效管理和相关法律法规，对财务人员开展培训，学习预算绩效管理的法律法规、规范要求，让绩效理念深入人心、让绩效管理人员熟知政策、知行合一。</w:t>
      </w:r>
    </w:p>
    <w:p>
      <w:pPr>
        <w:pStyle w:val="14"/>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w:t>
      </w:r>
    </w:p>
    <w:p>
      <w:pPr>
        <w:pStyle w:val="14"/>
        <w:spacing w:line="560" w:lineRule="exact"/>
        <w:ind w:left="0" w:leftChars="0" w:firstLine="640"/>
        <w:rPr>
          <w:rFonts w:hint="eastAsia" w:hAnsi="仿宋_GB2312" w:eastAsia="仿宋_GB2312" w:cs="仿宋_GB2312"/>
          <w:sz w:val="32"/>
        </w:rPr>
      </w:pPr>
      <w:r>
        <w:rPr>
          <w:rFonts w:hint="eastAsia" w:hAnsi="仿宋_GB2312" w:eastAsia="仿宋_GB2312" w:cs="仿宋_GB2312"/>
          <w:sz w:val="32"/>
        </w:rPr>
        <w:t>（备注：按照绩效自评工作安排，各部门已在预算管理一体化系统绩效自评模块上传“部门预算项目支出绩效自评表（2022年度）”，该表格应作为附表予以公开。）</w:t>
      </w: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tbl>
      <w:tblPr>
        <w:tblStyle w:val="15"/>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1155"/>
        <w:gridCol w:w="965"/>
        <w:gridCol w:w="1206"/>
        <w:gridCol w:w="494"/>
        <w:gridCol w:w="666"/>
        <w:gridCol w:w="396"/>
        <w:gridCol w:w="1037"/>
        <w:gridCol w:w="576"/>
        <w:gridCol w:w="576"/>
        <w:gridCol w:w="1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广元市朝天区工商业联合会部门</w:t>
            </w:r>
          </w:p>
        </w:tc>
        <w:tc>
          <w:tcPr>
            <w:tcW w:w="10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rPr>
            </w:pPr>
            <w:r>
              <w:rPr>
                <w:rFonts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区工商联</w:t>
            </w:r>
            <w:r>
              <w:rPr>
                <w:rFonts w:hint="default" w:ascii="微软雅黑" w:hAnsi="微软雅黑" w:eastAsia="微软雅黑" w:cs="微软雅黑"/>
                <w:i/>
                <w:iCs/>
                <w:color w:val="000000"/>
                <w:kern w:val="0"/>
                <w:sz w:val="16"/>
                <w:szCs w:val="16"/>
                <w:u w:val="none"/>
                <w:lang w:val="en-US" w:eastAsia="zh-CN" w:bidi="ar"/>
              </w:rPr>
              <w:t>在项目实施过程中，建立健全相关制度、机制，严格执行，推进各专项工作的落实。资金管理实行专项管理，严格审批制度，真正做到了专款专用，确保项目资金有效的利用。总体来说该项目决策正确，管理规范，绩效完成率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项目负责人：赵亚</w:t>
            </w:r>
          </w:p>
        </w:tc>
        <w:tc>
          <w:tcPr>
            <w:tcW w:w="4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财务负责人：赵文先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广元市朝天区工商业联合会部门</w:t>
            </w:r>
          </w:p>
        </w:tc>
        <w:tc>
          <w:tcPr>
            <w:tcW w:w="10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0.01</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0.01</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区工商联</w:t>
            </w:r>
            <w:r>
              <w:rPr>
                <w:rFonts w:hint="default" w:ascii="微软雅黑" w:hAnsi="微软雅黑" w:eastAsia="微软雅黑" w:cs="微软雅黑"/>
                <w:i/>
                <w:iCs/>
                <w:color w:val="000000"/>
                <w:kern w:val="0"/>
                <w:sz w:val="16"/>
                <w:szCs w:val="16"/>
                <w:u w:val="none"/>
                <w:lang w:val="en-US" w:eastAsia="zh-CN" w:bidi="ar"/>
              </w:rPr>
              <w:t>在项目实施过程中，建立健全相关制度、机制，严格执行，推进各专项工作的落实。资金管理实行专项管理，严格审批制度，真正做到了专款专用，确保项目资金有效的利用。总体来说该项目决策正确，管理规范，绩效完成率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项目负责人：赵亚</w:t>
            </w:r>
          </w:p>
        </w:tc>
        <w:tc>
          <w:tcPr>
            <w:tcW w:w="4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财务负责人：赵文先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广元市朝天区工商业联合会部门</w:t>
            </w:r>
          </w:p>
        </w:tc>
        <w:tc>
          <w:tcPr>
            <w:tcW w:w="10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13.11</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13.11</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区工商联</w:t>
            </w:r>
            <w:r>
              <w:rPr>
                <w:rFonts w:hint="default" w:ascii="微软雅黑" w:hAnsi="微软雅黑" w:eastAsia="微软雅黑" w:cs="微软雅黑"/>
                <w:i/>
                <w:iCs/>
                <w:color w:val="000000"/>
                <w:kern w:val="0"/>
                <w:sz w:val="16"/>
                <w:szCs w:val="16"/>
                <w:u w:val="none"/>
                <w:lang w:val="en-US" w:eastAsia="zh-CN" w:bidi="ar"/>
              </w:rPr>
              <w:t>在项目实施过程中，建立健全相关制度、机制，严格执行，推进各专项工作的落实。资金管理实行专项管理，严格审批制度，真正做到了专款专用，确保项目资金有效的利用。总体来说该项目决策正确，管理规范，绩效完成率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项目负责人：赵亚</w:t>
            </w:r>
          </w:p>
        </w:tc>
        <w:tc>
          <w:tcPr>
            <w:tcW w:w="4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财务负责人：赵文先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广元市朝天区工商业联合会部门</w:t>
            </w:r>
          </w:p>
        </w:tc>
        <w:tc>
          <w:tcPr>
            <w:tcW w:w="10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4.83</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4.83</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区工商联</w:t>
            </w:r>
            <w:r>
              <w:rPr>
                <w:rFonts w:hint="default" w:ascii="微软雅黑" w:hAnsi="微软雅黑" w:eastAsia="微软雅黑" w:cs="微软雅黑"/>
                <w:i/>
                <w:iCs/>
                <w:color w:val="000000"/>
                <w:kern w:val="0"/>
                <w:sz w:val="16"/>
                <w:szCs w:val="16"/>
                <w:u w:val="none"/>
                <w:lang w:val="en-US" w:eastAsia="zh-CN" w:bidi="ar"/>
              </w:rPr>
              <w:t>在项目实施过程中，建立健全相关制度、机制，严格执行，推进各专项工作的落实。资金管理实行专项管理，严格审批制度，真正做到了专款专用，确保项目资金有效的利用。总体来说该项目决策正确，管理规范，绩效完成率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项目负责人：赵亚</w:t>
            </w:r>
          </w:p>
        </w:tc>
        <w:tc>
          <w:tcPr>
            <w:tcW w:w="4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财务负责人：赵文先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51081221R000000052055-05年以前退休人员医疗保险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广元市朝天区工商业联合会部门</w:t>
            </w:r>
          </w:p>
        </w:tc>
        <w:tc>
          <w:tcPr>
            <w:tcW w:w="10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0.29</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0.29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0.29</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0.29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区工商联</w:t>
            </w:r>
            <w:r>
              <w:rPr>
                <w:rFonts w:hint="default" w:ascii="微软雅黑" w:hAnsi="微软雅黑" w:eastAsia="微软雅黑" w:cs="微软雅黑"/>
                <w:i/>
                <w:iCs/>
                <w:color w:val="000000"/>
                <w:kern w:val="0"/>
                <w:sz w:val="16"/>
                <w:szCs w:val="16"/>
                <w:u w:val="none"/>
                <w:lang w:val="en-US" w:eastAsia="zh-CN" w:bidi="ar"/>
              </w:rPr>
              <w:t>在项目实施过程中，建立健全相关制度、机制，严格执行，推进各专项工作的落实。资金管理实行专项管理，严格审批制度，真正做到了专款专用，确保项目资金有效的利用。总体来说该项目决策正确，管理规范，绩效完成率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项目负责人：赵亚</w:t>
            </w:r>
          </w:p>
        </w:tc>
        <w:tc>
          <w:tcPr>
            <w:tcW w:w="4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财务负责人：赵文先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广元市朝天区工商业联合会部门</w:t>
            </w:r>
          </w:p>
        </w:tc>
        <w:tc>
          <w:tcPr>
            <w:tcW w:w="10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区工商联</w:t>
            </w:r>
            <w:r>
              <w:rPr>
                <w:rFonts w:hint="default" w:ascii="微软雅黑" w:hAnsi="微软雅黑" w:eastAsia="微软雅黑" w:cs="微软雅黑"/>
                <w:i/>
                <w:iCs/>
                <w:color w:val="000000"/>
                <w:kern w:val="0"/>
                <w:sz w:val="16"/>
                <w:szCs w:val="16"/>
                <w:u w:val="none"/>
                <w:lang w:val="en-US" w:eastAsia="zh-CN" w:bidi="ar"/>
              </w:rPr>
              <w:t>在项目实施过程中，建立健全相关制度、机制，严格执行，推进各专项工作的落实。资金管理实行专项管理，严格审批制度，真正做到了专款专用，确保项目资金有效的利用。总体来说该项目决策正确，管理规范，绩效完成率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项目负责人：赵亚</w:t>
            </w:r>
          </w:p>
        </w:tc>
        <w:tc>
          <w:tcPr>
            <w:tcW w:w="4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财务负责人：赵文先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广元市朝天区工商业联合会部门</w:t>
            </w:r>
          </w:p>
        </w:tc>
        <w:tc>
          <w:tcPr>
            <w:tcW w:w="10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41.36</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41.36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41.36</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41.36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区工商联</w:t>
            </w:r>
            <w:r>
              <w:rPr>
                <w:rFonts w:hint="default" w:ascii="微软雅黑" w:hAnsi="微软雅黑" w:eastAsia="微软雅黑" w:cs="微软雅黑"/>
                <w:i/>
                <w:iCs/>
                <w:color w:val="000000"/>
                <w:kern w:val="0"/>
                <w:sz w:val="16"/>
                <w:szCs w:val="16"/>
                <w:u w:val="none"/>
                <w:lang w:val="en-US" w:eastAsia="zh-CN" w:bidi="ar"/>
              </w:rPr>
              <w:t>在项目实施过程中，建立健全相关制度、机制，严格执行，推进各专项工作的落实。资金管理实行专项管理，严格审批制度，真正做到了专款专用，确保项目资金有效的利用。总体来说该项目决策正确，管理规范，绩效完成率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项目负责人：赵亚</w:t>
            </w:r>
          </w:p>
        </w:tc>
        <w:tc>
          <w:tcPr>
            <w:tcW w:w="4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财务负责人：赵文先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广元市朝天区工商业联合会部门</w:t>
            </w:r>
          </w:p>
        </w:tc>
        <w:tc>
          <w:tcPr>
            <w:tcW w:w="10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5.94</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5.94</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区工商联</w:t>
            </w:r>
            <w:r>
              <w:rPr>
                <w:rFonts w:hint="default" w:ascii="微软雅黑" w:hAnsi="微软雅黑" w:eastAsia="微软雅黑" w:cs="微软雅黑"/>
                <w:i/>
                <w:iCs/>
                <w:color w:val="000000"/>
                <w:kern w:val="0"/>
                <w:sz w:val="16"/>
                <w:szCs w:val="16"/>
                <w:u w:val="none"/>
                <w:lang w:val="en-US" w:eastAsia="zh-CN" w:bidi="ar"/>
              </w:rPr>
              <w:t>在项目实施过程中，建立健全相关制度、机制，严格执行，推进各专项工作的落实。资金管理实行专项管理，严格审批制度，真正做到了专款专用，确保项目资金有效的利用。总体来说该项目决策正确，管理规范，绩效完成率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项目负责人：赵亚</w:t>
            </w:r>
          </w:p>
        </w:tc>
        <w:tc>
          <w:tcPr>
            <w:tcW w:w="4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财务负责人：赵文先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广元市朝天区工商业联合会部门</w:t>
            </w:r>
          </w:p>
        </w:tc>
        <w:tc>
          <w:tcPr>
            <w:tcW w:w="10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3.04</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3.04</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区工商联</w:t>
            </w:r>
            <w:r>
              <w:rPr>
                <w:rFonts w:hint="default" w:ascii="微软雅黑" w:hAnsi="微软雅黑" w:eastAsia="微软雅黑" w:cs="微软雅黑"/>
                <w:i/>
                <w:iCs/>
                <w:color w:val="000000"/>
                <w:kern w:val="0"/>
                <w:sz w:val="16"/>
                <w:szCs w:val="16"/>
                <w:u w:val="none"/>
                <w:lang w:val="en-US" w:eastAsia="zh-CN" w:bidi="ar"/>
              </w:rPr>
              <w:t>在项目实施过程中，建立健全相关制度、机制，严格执行，推进各专项工作的落实。资金管理实行专项管理，严格审批制度，真正做到了专款专用，确保项目资金有效的利用。总体来说该项目决策正确，管理规范，绩效完成率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项目负责人：赵亚</w:t>
            </w:r>
          </w:p>
        </w:tc>
        <w:tc>
          <w:tcPr>
            <w:tcW w:w="4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财务负责人：赵文先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广元市朝天区工商业联合会部门</w:t>
            </w:r>
          </w:p>
        </w:tc>
        <w:tc>
          <w:tcPr>
            <w:tcW w:w="10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5.10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5.10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区工商联</w:t>
            </w:r>
            <w:r>
              <w:rPr>
                <w:rFonts w:hint="default" w:ascii="微软雅黑" w:hAnsi="微软雅黑" w:eastAsia="微软雅黑" w:cs="微软雅黑"/>
                <w:i/>
                <w:iCs/>
                <w:color w:val="000000"/>
                <w:kern w:val="0"/>
                <w:sz w:val="16"/>
                <w:szCs w:val="16"/>
                <w:u w:val="none"/>
                <w:lang w:val="en-US" w:eastAsia="zh-CN" w:bidi="ar"/>
              </w:rPr>
              <w:t>在项目实施过程中，建立健全相关制度、机制，严格执行，推进各专项工作的落实。资金管理实行专项管理，严格审批制度，真正做到了专款专用，确保项目资金有效的利用。总体来说该项目决策正确，管理规范，绩效完成率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项目负责人：赵亚</w:t>
            </w:r>
          </w:p>
        </w:tc>
        <w:tc>
          <w:tcPr>
            <w:tcW w:w="4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财务负责人：赵文先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广元市朝天区工商业联合会部门</w:t>
            </w:r>
          </w:p>
        </w:tc>
        <w:tc>
          <w:tcPr>
            <w:tcW w:w="10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0.33</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0.33</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区工商联</w:t>
            </w:r>
            <w:r>
              <w:rPr>
                <w:rFonts w:hint="default" w:ascii="微软雅黑" w:hAnsi="微软雅黑" w:eastAsia="微软雅黑" w:cs="微软雅黑"/>
                <w:i/>
                <w:iCs/>
                <w:color w:val="000000"/>
                <w:kern w:val="0"/>
                <w:sz w:val="16"/>
                <w:szCs w:val="16"/>
                <w:u w:val="none"/>
                <w:lang w:val="en-US" w:eastAsia="zh-CN" w:bidi="ar"/>
              </w:rPr>
              <w:t>在项目实施过程中，建立健全相关制度、机制，严格执行，推进各专项工作的落实。资金管理实行专项管理，严格审批制度，真正做到了专款专用，确保项目资金有效的利用。总体来说该项目决策正确，管理规范，绩效完成率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项目负责人：赵亚</w:t>
            </w:r>
          </w:p>
        </w:tc>
        <w:tc>
          <w:tcPr>
            <w:tcW w:w="4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财务负责人：赵文先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广元市朝天区工商业联合会部门</w:t>
            </w:r>
          </w:p>
        </w:tc>
        <w:tc>
          <w:tcPr>
            <w:tcW w:w="10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区工商联</w:t>
            </w:r>
            <w:r>
              <w:rPr>
                <w:rFonts w:hint="default" w:ascii="微软雅黑" w:hAnsi="微软雅黑" w:eastAsia="微软雅黑" w:cs="微软雅黑"/>
                <w:i/>
                <w:iCs/>
                <w:color w:val="000000"/>
                <w:kern w:val="0"/>
                <w:sz w:val="16"/>
                <w:szCs w:val="16"/>
                <w:u w:val="none"/>
                <w:lang w:val="en-US" w:eastAsia="zh-CN" w:bidi="ar"/>
              </w:rPr>
              <w:t>在项目实施过程中，建立健全相关制度、机制，严格执行，推进各专项工作的落实。资金管理实行专项管理，严格审批制度，真正做到了专款专用，确保项目资金有效的利用。总体来说该项目决策正确，管理规范，绩效完成率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项目负责人：赵亚</w:t>
            </w:r>
          </w:p>
        </w:tc>
        <w:tc>
          <w:tcPr>
            <w:tcW w:w="4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财务负责人：赵文先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51081222T000005568094-商会组织建设工作经费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广元市朝天区工商业联合会部门</w:t>
            </w:r>
          </w:p>
        </w:tc>
        <w:tc>
          <w:tcPr>
            <w:tcW w:w="10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加强商会组织建设和规范化管理，引导商会参与乡村振兴，组织商会开展活动4次</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sz w:val="18"/>
                <w:szCs w:val="18"/>
                <w:u w:val="none"/>
                <w:lang w:val="en-US" w:eastAsia="zh-CN"/>
              </w:rPr>
              <w:t>加强商会组织建设和规范化管理，引导商会参与乡村振兴，组织商会开展活动4次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加强商会组织建设和规范化管理，引导商会参与乡村振兴，组织商会开展活动4次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产出指标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开展活动4次</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资金使用合规率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完成时限</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年</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完成时限=1年</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效益指标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引导非公有制经济人士建言资政，积极投身光彩事业</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定性</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优良中低差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项目负责人：赵亚</w:t>
            </w:r>
          </w:p>
        </w:tc>
        <w:tc>
          <w:tcPr>
            <w:tcW w:w="4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财务负责人：赵文先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51081222T000005936335-创建全国“五好”县级工商联（2022）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广元市朝天区工商业联合会部门</w:t>
            </w:r>
          </w:p>
        </w:tc>
        <w:tc>
          <w:tcPr>
            <w:tcW w:w="10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1.召开工商联执委会、服务民营企业座谈会2次，引导非公有制经济人士做到政治上自信、发展上自强、守法上自觉；</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2.开展考察调研、民营企业调查4次，引导非公有制经济人士建言资政，积极投身光彩事业；</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3.完成乡村振兴”万企兴万村“、东西部协作工作</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1.召开工商联执委会、服务民营企业座谈会2次，引导非公有制经济人士做到政治上自信、发展上自强、守法上自觉；</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2.开展考察调研、民营企业调查4次，引导非公有制经济人士建言资政，积极投身光彩事业；</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3.完成乡村振兴”万企兴万村“、东西部协作工作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1.召开工商联执委会、服务民营企业座谈会2次，引导非公有制经济人士做到政治上自信、发展上自强、守法上自觉；</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2.开展考察调研、民营企业调查4次，引导非公有制经济人士建言资政，积极投身光彩事业；</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3.完成乡村振兴”万企兴万村“、东西部协作工作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开展考察调研、民营企业调查</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完成乡村振兴协调工作</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召开工商联执委会、服务民营企业座谈会等会议</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乡村振兴“万企兴万村”“东西部协助”工作资金使用合规率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组织考察调研、民营企业调查资金使用合规率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召开执委会、没有企业座谈会资金使用合规率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召开工商联执委会、民营企业座谈会成本</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完成乡村振兴协调工作成本</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开展考察调研、民营企业调查成本</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引导非公有制经济人士做到政治上自信、发展上自强、守法上自觉</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引导非公有制经济人士建言资政，积极投身光彩事业</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对创建全国“五好”县级工商联作用</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非公企业和非公经济人士满意度</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区工商联</w:t>
            </w:r>
            <w:r>
              <w:rPr>
                <w:rFonts w:hint="default" w:ascii="微软雅黑" w:hAnsi="微软雅黑" w:eastAsia="微软雅黑" w:cs="微软雅黑"/>
                <w:i/>
                <w:iCs/>
                <w:color w:val="000000"/>
                <w:kern w:val="0"/>
                <w:sz w:val="16"/>
                <w:szCs w:val="16"/>
                <w:u w:val="none"/>
                <w:lang w:val="en-US" w:eastAsia="zh-CN" w:bidi="ar"/>
              </w:rPr>
              <w:t>在项目实施过程中，建立健全相关制度、机制，严格执行，推进各专项工作的落实。资金管理实行专项管理，严格审批制度，真正做到了专款专用，确保项目资金有效的利用。总体来说该项目决策正确，管理规范，绩效完成率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项目负责人：赵亚</w:t>
            </w:r>
          </w:p>
        </w:tc>
        <w:tc>
          <w:tcPr>
            <w:tcW w:w="4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财务负责人：赵文先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51081222T000005936400-培育和发展商会组织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广元市朝天区工商业联合会部门</w:t>
            </w:r>
          </w:p>
        </w:tc>
        <w:tc>
          <w:tcPr>
            <w:tcW w:w="10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1.外出考察筹建异地商会4次，推动异地商会成立；</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2.加强商会管理，发挥商会优势，促进地方经济发展；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3.引导商会参与乡村振兴，组织商会开展活动6次以上</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1.外出考察筹建异地商会</w:t>
            </w:r>
            <w:r>
              <w:rPr>
                <w:rFonts w:hint="eastAsia" w:ascii="宋体" w:hAnsi="宋体" w:cs="宋体"/>
                <w:i w:val="0"/>
                <w:iCs w:val="0"/>
                <w:color w:val="000000"/>
                <w:kern w:val="0"/>
                <w:sz w:val="18"/>
                <w:szCs w:val="18"/>
                <w:u w:val="none"/>
                <w:lang w:val="en-US" w:eastAsia="zh-CN" w:bidi="ar"/>
              </w:rPr>
              <w:t>1</w:t>
            </w:r>
            <w:r>
              <w:rPr>
                <w:rFonts w:ascii="宋体" w:hAnsi="宋体" w:eastAsia="宋体" w:cs="宋体"/>
                <w:i w:val="0"/>
                <w:iCs w:val="0"/>
                <w:color w:val="000000"/>
                <w:kern w:val="0"/>
                <w:sz w:val="18"/>
                <w:szCs w:val="18"/>
                <w:u w:val="none"/>
                <w:lang w:val="en-US" w:eastAsia="zh-CN" w:bidi="ar"/>
              </w:rPr>
              <w:t>次，推动异地商会成立；</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2.加强商会管理，发挥商会优势，促进地方经济发展；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3.引导商会参与乡村振兴，组织商会开展活动6次</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1.外出考察筹建异地商会</w:t>
            </w:r>
            <w:r>
              <w:rPr>
                <w:rFonts w:hint="eastAsia" w:ascii="宋体" w:hAnsi="宋体" w:cs="宋体"/>
                <w:i w:val="0"/>
                <w:iCs w:val="0"/>
                <w:color w:val="000000"/>
                <w:kern w:val="0"/>
                <w:sz w:val="18"/>
                <w:szCs w:val="18"/>
                <w:u w:val="none"/>
                <w:lang w:val="en-US" w:eastAsia="zh-CN" w:bidi="ar"/>
              </w:rPr>
              <w:t>1</w:t>
            </w:r>
            <w:r>
              <w:rPr>
                <w:rFonts w:ascii="宋体" w:hAnsi="宋体" w:eastAsia="宋体" w:cs="宋体"/>
                <w:i w:val="0"/>
                <w:iCs w:val="0"/>
                <w:color w:val="000000"/>
                <w:kern w:val="0"/>
                <w:sz w:val="18"/>
                <w:szCs w:val="18"/>
                <w:u w:val="none"/>
                <w:lang w:val="en-US" w:eastAsia="zh-CN" w:bidi="ar"/>
              </w:rPr>
              <w:t>次，推动异地商会成立；</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2.加强商会管理，发挥商会优势，促进地方经济发展；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3.引导商会参与乡村振兴，组织商会开展活动6次</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4.42</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4.42</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引导商会参与乡村振兴，组织商会开展活动</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外出考察筹建异地商会</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因疫情影响外出考察筹建异地商会受限。改进措施：加强对接联系，增加外出考察次数，促进异地商会建设。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加强商会管理</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商会管理资金使用合规率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引导商会参与乡村振兴，组织商会开展活动6次以上成本</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加强商会管理成本</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25000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外出考察筹建异地商会4次成本</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发挥商会优势，促进地方经济发展</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发挥商会优势，促进地方经济发展</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非公企业和非公经济人士满意度</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bidi w:val="0"/>
              <w:adjustRightInd w:val="0"/>
              <w:snapToGrid w:val="0"/>
              <w:spacing w:line="240" w:lineRule="auto"/>
              <w:textAlignment w:val="auto"/>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区工商联</w:t>
            </w:r>
            <w:r>
              <w:rPr>
                <w:rFonts w:hint="default" w:ascii="微软雅黑" w:hAnsi="微软雅黑" w:eastAsia="微软雅黑" w:cs="微软雅黑"/>
                <w:i/>
                <w:iCs/>
                <w:color w:val="000000"/>
                <w:kern w:val="0"/>
                <w:sz w:val="16"/>
                <w:szCs w:val="16"/>
                <w:u w:val="none"/>
                <w:lang w:val="en-US" w:eastAsia="zh-CN" w:bidi="ar"/>
              </w:rPr>
              <w:t>在项目实施过程中，建立健全相关制度、机制，严格执行，推进各专项工作的落实。资金管理实行专项管理，严格审批制度，真正做到了专款专用，确保项目资金有效的利用。总体来说该项目决策正确，管理规范，绩效完成率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因疫情影响外出考察筹建异地商会受限。改进措施：加强对接联系，增加外出考察次数，促进异地商会建设。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因疫情影响外出考察筹建异地商会受限。改进措施：加强对接联系，增加外出考察次数，促进异地商会建设。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项目负责人：赵亚</w:t>
            </w:r>
          </w:p>
        </w:tc>
        <w:tc>
          <w:tcPr>
            <w:tcW w:w="4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财务负责人：赵文先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广元市朝天区工商业联合会部门</w:t>
            </w:r>
          </w:p>
        </w:tc>
        <w:tc>
          <w:tcPr>
            <w:tcW w:w="10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区工商联</w:t>
            </w:r>
            <w:r>
              <w:rPr>
                <w:rFonts w:hint="default" w:ascii="微软雅黑" w:hAnsi="微软雅黑" w:eastAsia="微软雅黑" w:cs="微软雅黑"/>
                <w:i/>
                <w:iCs/>
                <w:color w:val="000000"/>
                <w:kern w:val="0"/>
                <w:sz w:val="16"/>
                <w:szCs w:val="16"/>
                <w:u w:val="none"/>
                <w:lang w:val="en-US" w:eastAsia="zh-CN" w:bidi="ar"/>
              </w:rPr>
              <w:t>在项目实施过程中，建立健全相关制度、机制，严格执行，推进各专项工作的落实。资金管理实行专项管理，严格审批制度，真正做到了专款专用，确保项目资金有效的利用。总体来说该项目决策正确，管理规范，绩效完成率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项目负责人：赵亚</w:t>
            </w:r>
          </w:p>
        </w:tc>
        <w:tc>
          <w:tcPr>
            <w:tcW w:w="4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财务负责人：赵文先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85"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285"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85"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85"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pPr>
        <w:pStyle w:val="14"/>
        <w:spacing w:line="560" w:lineRule="exact"/>
        <w:ind w:left="0" w:leftChars="0" w:firstLine="0" w:firstLineChars="0"/>
        <w:rPr>
          <w:rFonts w:hint="eastAsia" w:hAnsi="仿宋_GB2312" w:eastAsia="仿宋_GB2312" w:cs="仿宋_GB2312"/>
          <w:sz w:val="32"/>
          <w:lang w:val="zh-CN"/>
        </w:rPr>
      </w:pPr>
    </w:p>
    <w:p>
      <w:pPr>
        <w:pStyle w:val="14"/>
        <w:spacing w:line="560" w:lineRule="exact"/>
        <w:ind w:left="0" w:leftChars="0" w:firstLine="0" w:firstLineChars="0"/>
        <w:rPr>
          <w:rFonts w:hint="eastAsia" w:hAnsi="仿宋_GB2312" w:eastAsia="仿宋_GB2312" w:cs="仿宋_GB2312"/>
          <w:sz w:val="32"/>
          <w:lang w:val="zh-CN"/>
        </w:rPr>
      </w:pPr>
    </w:p>
    <w:p>
      <w:pPr>
        <w:pStyle w:val="14"/>
        <w:spacing w:line="560" w:lineRule="exact"/>
        <w:ind w:left="0" w:leftChars="0" w:firstLine="0" w:firstLineChars="0"/>
        <w:rPr>
          <w:rFonts w:hint="eastAsia" w:hAnsi="仿宋_GB2312" w:eastAsia="仿宋_GB2312" w:cs="仿宋_GB2312"/>
          <w:sz w:val="32"/>
          <w:lang w:val="zh-CN"/>
        </w:rPr>
      </w:pPr>
    </w:p>
    <w:p>
      <w:pPr>
        <w:pStyle w:val="14"/>
        <w:spacing w:line="560" w:lineRule="exact"/>
        <w:ind w:left="0" w:leftChars="0" w:firstLine="0" w:firstLineChars="0"/>
        <w:rPr>
          <w:rFonts w:hint="eastAsia" w:hAnsi="仿宋_GB2312" w:eastAsia="仿宋_GB2312" w:cs="仿宋_GB2312"/>
          <w:sz w:val="32"/>
          <w:lang w:val="zh-CN"/>
        </w:rPr>
      </w:pPr>
    </w:p>
    <w:p>
      <w:pPr>
        <w:pStyle w:val="14"/>
        <w:spacing w:line="560" w:lineRule="exact"/>
        <w:ind w:left="0" w:leftChars="0" w:firstLine="0" w:firstLineChars="0"/>
        <w:rPr>
          <w:rFonts w:hint="eastAsia" w:hAnsi="仿宋_GB2312" w:eastAsia="仿宋_GB2312" w:cs="仿宋_GB2312"/>
          <w:sz w:val="32"/>
          <w:lang w:val="zh-CN"/>
        </w:rPr>
      </w:pPr>
    </w:p>
    <w:p>
      <w:pPr>
        <w:pStyle w:val="5"/>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widowControl/>
        <w:spacing w:line="576" w:lineRule="exact"/>
        <w:contextualSpacing/>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广元市朝天区工商业联合会</w:t>
      </w:r>
    </w:p>
    <w:p>
      <w:pPr>
        <w:autoSpaceDE w:val="0"/>
        <w:spacing w:line="576" w:lineRule="exact"/>
        <w:jc w:val="center"/>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lang w:val="en-US" w:eastAsia="zh-CN"/>
        </w:rPr>
        <w:t>商会组织建设工作经费</w:t>
      </w:r>
      <w:r>
        <w:rPr>
          <w:rFonts w:hint="eastAsia" w:ascii="方正小标宋简体" w:hAnsi="方正小标宋简体" w:eastAsia="方正小标宋简体" w:cs="方正小标宋简体"/>
          <w:bCs/>
          <w:color w:val="000000"/>
          <w:kern w:val="0"/>
          <w:sz w:val="44"/>
          <w:szCs w:val="44"/>
        </w:rPr>
        <w:t>项目支出</w:t>
      </w:r>
    </w:p>
    <w:p>
      <w:pPr>
        <w:autoSpaceDE w:val="0"/>
        <w:spacing w:line="576"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绩效自评报告</w:t>
      </w:r>
    </w:p>
    <w:p>
      <w:pPr>
        <w:autoSpaceDE w:val="0"/>
        <w:spacing w:line="576" w:lineRule="exact"/>
        <w:jc w:val="center"/>
        <w:rPr>
          <w:rFonts w:ascii="黑体" w:hAnsi="黑体" w:eastAsia="黑体"/>
          <w:w w:val="99"/>
          <w:sz w:val="32"/>
          <w:szCs w:val="32"/>
        </w:rPr>
      </w:pPr>
    </w:p>
    <w:p>
      <w:pPr>
        <w:autoSpaceDE w:val="0"/>
        <w:adjustRightInd w:val="0"/>
        <w:snapToGrid w:val="0"/>
        <w:spacing w:line="576" w:lineRule="exact"/>
        <w:ind w:firstLine="720"/>
        <w:rPr>
          <w:rFonts w:ascii="黑体" w:hAnsi="宋体" w:eastAsia="黑体"/>
          <w:w w:val="99"/>
          <w:sz w:val="32"/>
          <w:szCs w:val="32"/>
        </w:rPr>
      </w:pPr>
      <w:r>
        <w:rPr>
          <w:rFonts w:hint="eastAsia" w:ascii="黑体" w:hAnsi="黑体" w:eastAsia="黑体"/>
          <w:w w:val="99"/>
          <w:sz w:val="32"/>
          <w:szCs w:val="32"/>
        </w:rPr>
        <w:t>一、项目概况</w:t>
      </w:r>
    </w:p>
    <w:p>
      <w:pPr>
        <w:autoSpaceDE w:val="0"/>
        <w:spacing w:line="576" w:lineRule="exact"/>
        <w:ind w:firstLine="619" w:firstLineChars="200"/>
        <w:rPr>
          <w:rFonts w:ascii="楷体_GB2312" w:eastAsia="楷体_GB2312"/>
          <w:b/>
          <w:spacing w:val="-6"/>
          <w:sz w:val="32"/>
          <w:szCs w:val="32"/>
        </w:rPr>
      </w:pPr>
      <w:r>
        <w:rPr>
          <w:rFonts w:hint="eastAsia" w:ascii="楷体_GB2312" w:eastAsia="楷体_GB2312"/>
          <w:b/>
          <w:spacing w:val="-6"/>
          <w:sz w:val="32"/>
          <w:szCs w:val="32"/>
        </w:rPr>
        <w:t>（一）项目资金申报及批复情况。</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项目资金申报</w:t>
      </w:r>
      <w:r>
        <w:rPr>
          <w:rFonts w:hint="eastAsia" w:ascii="仿宋_GB2312" w:hAnsi="宋体" w:eastAsia="仿宋_GB2312"/>
          <w:w w:val="99"/>
          <w:sz w:val="32"/>
          <w:szCs w:val="32"/>
          <w:lang w:val="en-US" w:eastAsia="zh-CN"/>
        </w:rPr>
        <w:t>3.50</w:t>
      </w:r>
      <w:r>
        <w:rPr>
          <w:rFonts w:hint="eastAsia" w:ascii="仿宋_GB2312" w:hAnsi="宋体" w:eastAsia="仿宋_GB2312"/>
          <w:w w:val="99"/>
          <w:sz w:val="32"/>
          <w:szCs w:val="32"/>
        </w:rPr>
        <w:t>万元；广朝财发〔2023〕9号文件批</w:t>
      </w:r>
      <w:r>
        <w:rPr>
          <w:rFonts w:hint="eastAsia" w:ascii="仿宋_GB2312" w:hAnsi="宋体" w:eastAsia="仿宋_GB2312" w:cs="Times New Roman"/>
          <w:w w:val="99"/>
          <w:sz w:val="32"/>
          <w:szCs w:val="32"/>
        </w:rPr>
        <w:t>复下达2022年</w:t>
      </w:r>
      <w:r>
        <w:rPr>
          <w:rFonts w:hint="eastAsia" w:ascii="仿宋_GB2312" w:hAnsi="宋体" w:eastAsia="仿宋_GB2312" w:cs="Times New Roman"/>
          <w:w w:val="99"/>
          <w:sz w:val="32"/>
          <w:szCs w:val="32"/>
          <w:lang w:val="en-US" w:eastAsia="zh-CN"/>
        </w:rPr>
        <w:t>商会组织建设工作经费</w:t>
      </w:r>
      <w:r>
        <w:rPr>
          <w:rFonts w:hint="eastAsia" w:ascii="仿宋_GB2312" w:hAnsi="宋体" w:eastAsia="仿宋_GB2312" w:cs="Times New Roman"/>
          <w:w w:val="99"/>
          <w:sz w:val="32"/>
          <w:szCs w:val="32"/>
        </w:rPr>
        <w:t>项目</w:t>
      </w:r>
      <w:r>
        <w:rPr>
          <w:rFonts w:hint="eastAsia" w:ascii="仿宋_GB2312" w:hAnsi="宋体" w:eastAsia="仿宋_GB2312" w:cs="Times New Roman"/>
          <w:w w:val="99"/>
          <w:sz w:val="32"/>
          <w:szCs w:val="32"/>
          <w:lang w:val="en-US" w:eastAsia="zh-CN"/>
        </w:rPr>
        <w:t>3.50</w:t>
      </w:r>
      <w:r>
        <w:rPr>
          <w:rFonts w:hint="eastAsia" w:ascii="仿宋_GB2312" w:hAnsi="宋体" w:eastAsia="仿宋_GB2312" w:cs="Times New Roman"/>
          <w:w w:val="99"/>
          <w:sz w:val="32"/>
          <w:szCs w:val="32"/>
        </w:rPr>
        <w:t>万元，符合资金管理办法</w:t>
      </w:r>
      <w:r>
        <w:rPr>
          <w:rFonts w:hint="eastAsia" w:ascii="仿宋_GB2312" w:hAnsi="宋体" w:eastAsia="仿宋_GB2312"/>
          <w:w w:val="99"/>
          <w:sz w:val="32"/>
          <w:szCs w:val="32"/>
        </w:rPr>
        <w:t>等相关规定。</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（二）项目绩效目标。</w:t>
      </w:r>
    </w:p>
    <w:p>
      <w:pPr>
        <w:autoSpaceDE w:val="0"/>
        <w:adjustRightInd w:val="0"/>
        <w:snapToGrid w:val="0"/>
        <w:spacing w:line="576" w:lineRule="exact"/>
        <w:ind w:firstLine="720"/>
        <w:rPr>
          <w:rFonts w:hint="eastAsia" w:ascii="仿宋_GB2312" w:hAnsi="宋体" w:eastAsia="仿宋_GB2312" w:cs="Times New Roman"/>
          <w:w w:val="99"/>
          <w:sz w:val="32"/>
          <w:szCs w:val="32"/>
        </w:rPr>
      </w:pPr>
      <w:r>
        <w:rPr>
          <w:rFonts w:hint="eastAsia" w:ascii="仿宋_GB2312" w:hAnsi="宋体" w:eastAsia="仿宋_GB2312"/>
          <w:w w:val="99"/>
          <w:sz w:val="32"/>
          <w:szCs w:val="32"/>
        </w:rPr>
        <w:t>1.</w:t>
      </w:r>
      <w:r>
        <w:rPr>
          <w:rFonts w:hint="eastAsia" w:ascii="仿宋_GB2312" w:hAnsi="宋体" w:eastAsia="仿宋_GB2312" w:cs="Times New Roman"/>
          <w:w w:val="99"/>
          <w:sz w:val="32"/>
          <w:szCs w:val="32"/>
        </w:rPr>
        <w:t>项目主要内容：</w:t>
      </w:r>
      <w:r>
        <w:rPr>
          <w:rFonts w:hint="eastAsia" w:ascii="仿宋_GB2312" w:hAnsi="宋体" w:eastAsia="仿宋_GB2312" w:cs="Times New Roman"/>
          <w:w w:val="99"/>
          <w:sz w:val="32"/>
          <w:szCs w:val="32"/>
          <w:lang w:val="en-US" w:eastAsia="zh-CN"/>
        </w:rPr>
        <w:t>加强商会组织建设和规范化管理，引导商会参与乡村振兴，组织商会开展活动4次</w:t>
      </w:r>
      <w:r>
        <w:rPr>
          <w:rFonts w:hint="eastAsia" w:ascii="仿宋_GB2312" w:hAnsi="宋体" w:eastAsia="仿宋_GB2312" w:cs="Times New Roman"/>
          <w:w w:val="99"/>
          <w:sz w:val="32"/>
          <w:szCs w:val="32"/>
        </w:rPr>
        <w:t>。</w:t>
      </w:r>
    </w:p>
    <w:p>
      <w:pPr>
        <w:autoSpaceDE w:val="0"/>
        <w:adjustRightInd w:val="0"/>
        <w:snapToGrid w:val="0"/>
        <w:spacing w:line="576" w:lineRule="exact"/>
        <w:ind w:firstLine="720"/>
        <w:rPr>
          <w:rFonts w:hint="eastAsia" w:ascii="仿宋_GB2312" w:hAnsi="宋体" w:eastAsia="仿宋_GB2312" w:cs="Times New Roman"/>
          <w:w w:val="99"/>
          <w:sz w:val="32"/>
          <w:szCs w:val="32"/>
        </w:rPr>
      </w:pPr>
      <w:r>
        <w:rPr>
          <w:rFonts w:hint="eastAsia" w:ascii="仿宋_GB2312" w:hAnsi="宋体" w:eastAsia="仿宋_GB2312"/>
          <w:w w:val="99"/>
          <w:sz w:val="32"/>
          <w:szCs w:val="32"/>
        </w:rPr>
        <w:t>2.项目绩效目标。</w:t>
      </w:r>
      <w:r>
        <w:rPr>
          <w:rFonts w:hint="eastAsia" w:ascii="仿宋_GB2312" w:hAnsi="宋体" w:eastAsia="仿宋_GB2312" w:cs="Times New Roman"/>
          <w:w w:val="99"/>
          <w:sz w:val="32"/>
          <w:szCs w:val="32"/>
          <w:lang w:val="en-US" w:eastAsia="zh-CN"/>
        </w:rPr>
        <w:t>加强商会组织建设和规范化管理，引导商会参与乡村振兴，组织商会开展活动4次</w:t>
      </w:r>
      <w:r>
        <w:rPr>
          <w:rFonts w:hint="eastAsia" w:ascii="仿宋_GB2312" w:hAnsi="宋体" w:eastAsia="仿宋_GB2312" w:cs="Times New Roman"/>
          <w:w w:val="99"/>
          <w:sz w:val="32"/>
          <w:szCs w:val="32"/>
        </w:rPr>
        <w:t>。</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3.项目资金申报相符性：该项目资金与具体实施内容相符、申报目标合理可行。</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（三）项目自评步骤及方法。</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本次绩效评价根据工作实际开展，通过对项目管理薄弱环节、问题易发点、绩效管理等进行梳理，作为项目评价重点和目标。秉承客观、公正和实事求是的原则。主要从项目决策是否合理、实施过程是否合规和取得效益是否明显三个指标方面进行评价。</w:t>
      </w:r>
    </w:p>
    <w:p>
      <w:pPr>
        <w:autoSpaceDE w:val="0"/>
        <w:adjustRightInd w:val="0"/>
        <w:snapToGrid w:val="0"/>
        <w:spacing w:line="576" w:lineRule="exact"/>
        <w:ind w:firstLine="720"/>
        <w:rPr>
          <w:rFonts w:ascii="黑体" w:hAnsi="宋体" w:eastAsia="黑体"/>
          <w:w w:val="99"/>
          <w:sz w:val="32"/>
          <w:szCs w:val="32"/>
        </w:rPr>
      </w:pPr>
      <w:r>
        <w:rPr>
          <w:rFonts w:hint="eastAsia" w:ascii="黑体" w:hAnsi="黑体" w:eastAsia="黑体"/>
          <w:w w:val="99"/>
          <w:sz w:val="32"/>
          <w:szCs w:val="32"/>
        </w:rPr>
        <w:t>二、项目资金申报及使用情况</w:t>
      </w:r>
    </w:p>
    <w:p>
      <w:pPr>
        <w:autoSpaceDE w:val="0"/>
        <w:adjustRightInd w:val="0"/>
        <w:snapToGrid w:val="0"/>
        <w:spacing w:line="576" w:lineRule="exact"/>
        <w:ind w:firstLine="720"/>
        <w:rPr>
          <w:rFonts w:ascii="仿宋_GB2312" w:hAnsi="宋体" w:eastAsia="仿宋_GB2312"/>
          <w:w w:val="99"/>
          <w:sz w:val="32"/>
          <w:szCs w:val="32"/>
        </w:rPr>
      </w:pPr>
      <w:r>
        <w:rPr>
          <w:rFonts w:hint="eastAsia" w:ascii="楷体_GB2312" w:eastAsia="楷体_GB2312"/>
          <w:b/>
          <w:spacing w:val="-6"/>
          <w:sz w:val="32"/>
          <w:szCs w:val="32"/>
        </w:rPr>
        <w:t>（一）资金计划、到位及使用情况</w:t>
      </w:r>
      <w:r>
        <w:rPr>
          <w:rFonts w:hint="eastAsia" w:ascii="楷体_GB2312" w:hAnsi="宋体" w:eastAsia="楷体_GB2312"/>
          <w:b/>
          <w:w w:val="99"/>
          <w:sz w:val="32"/>
          <w:szCs w:val="32"/>
        </w:rPr>
        <w:t>（可用表格形式反映）。</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1.资金计划及到位。2022年，根据</w:t>
      </w:r>
      <w:r>
        <w:rPr>
          <w:rFonts w:hint="eastAsia" w:ascii="仿宋_GB2312" w:hAnsi="宋体" w:eastAsia="仿宋_GB2312" w:cs="Times New Roman"/>
          <w:w w:val="99"/>
          <w:sz w:val="32"/>
          <w:szCs w:val="32"/>
          <w:lang w:val="en-US" w:eastAsia="zh-CN"/>
        </w:rPr>
        <w:t>商会组织建设</w:t>
      </w:r>
      <w:r>
        <w:rPr>
          <w:rFonts w:hint="eastAsia" w:ascii="仿宋_GB2312" w:eastAsia="仿宋_GB2312"/>
          <w:spacing w:val="-6"/>
          <w:sz w:val="32"/>
          <w:szCs w:val="32"/>
        </w:rPr>
        <w:t>工作计划安排，</w:t>
      </w:r>
      <w:r>
        <w:rPr>
          <w:rFonts w:hint="eastAsia" w:ascii="仿宋_GB2312" w:hAnsi="宋体" w:eastAsia="仿宋_GB2312" w:cs="Times New Roman"/>
          <w:w w:val="99"/>
          <w:sz w:val="32"/>
          <w:szCs w:val="32"/>
          <w:lang w:val="en-US" w:eastAsia="zh-CN"/>
        </w:rPr>
        <w:t>商会组织建设工作</w:t>
      </w:r>
      <w:r>
        <w:rPr>
          <w:rFonts w:hint="eastAsia" w:ascii="仿宋_GB2312" w:eastAsia="仿宋_GB2312"/>
          <w:spacing w:val="-6"/>
          <w:sz w:val="32"/>
          <w:szCs w:val="32"/>
        </w:rPr>
        <w:t>项目资金共下达</w:t>
      </w:r>
      <w:r>
        <w:rPr>
          <w:rFonts w:hint="eastAsia" w:ascii="仿宋_GB2312" w:eastAsia="仿宋_GB2312"/>
          <w:spacing w:val="-6"/>
          <w:sz w:val="32"/>
          <w:szCs w:val="32"/>
          <w:lang w:val="en-US" w:eastAsia="zh-CN"/>
        </w:rPr>
        <w:t>3.50</w:t>
      </w:r>
      <w:r>
        <w:rPr>
          <w:rFonts w:ascii="仿宋_GB2312" w:eastAsia="仿宋_GB2312"/>
          <w:spacing w:val="-6"/>
          <w:sz w:val="32"/>
          <w:szCs w:val="32"/>
        </w:rPr>
        <w:t>万元。</w:t>
      </w:r>
      <w:r>
        <w:rPr>
          <w:rFonts w:hint="eastAsia" w:ascii="仿宋_GB2312" w:eastAsia="仿宋_GB2312"/>
          <w:spacing w:val="-6"/>
          <w:sz w:val="32"/>
          <w:szCs w:val="32"/>
        </w:rPr>
        <w:t>2022年</w:t>
      </w:r>
      <w:r>
        <w:rPr>
          <w:rFonts w:hint="eastAsia" w:ascii="仿宋_GB2312" w:hAnsi="宋体" w:eastAsia="仿宋_GB2312" w:cs="Times New Roman"/>
          <w:w w:val="99"/>
          <w:sz w:val="32"/>
          <w:szCs w:val="32"/>
          <w:lang w:val="en-US" w:eastAsia="zh-CN"/>
        </w:rPr>
        <w:t>商会组织建设工作</w:t>
      </w:r>
      <w:r>
        <w:rPr>
          <w:rFonts w:hint="eastAsia" w:ascii="仿宋_GB2312" w:eastAsia="仿宋_GB2312"/>
          <w:spacing w:val="-6"/>
          <w:sz w:val="32"/>
          <w:szCs w:val="32"/>
        </w:rPr>
        <w:t>项目</w:t>
      </w:r>
      <w:r>
        <w:rPr>
          <w:rFonts w:hint="eastAsia" w:ascii="仿宋_GB2312" w:eastAsia="仿宋_GB2312"/>
          <w:spacing w:val="-6"/>
          <w:sz w:val="32"/>
          <w:szCs w:val="32"/>
          <w:lang w:val="en-US" w:eastAsia="zh-CN"/>
        </w:rPr>
        <w:t>3.50</w:t>
      </w:r>
      <w:r>
        <w:rPr>
          <w:rFonts w:ascii="仿宋_GB2312" w:eastAsia="仿宋_GB2312"/>
          <w:spacing w:val="-6"/>
          <w:sz w:val="32"/>
          <w:szCs w:val="32"/>
        </w:rPr>
        <w:t>万元全部及时到位，资金到位率100%，到位及时性100%。</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2.资金使用。</w:t>
      </w:r>
      <w:r>
        <w:rPr>
          <w:rFonts w:ascii="仿宋_GB2312" w:eastAsia="仿宋_GB2312"/>
          <w:spacing w:val="-6"/>
          <w:sz w:val="32"/>
          <w:szCs w:val="32"/>
        </w:rPr>
        <w:t>整个项目完成预算资金支付率</w:t>
      </w:r>
      <w:r>
        <w:rPr>
          <w:rFonts w:hint="eastAsia" w:ascii="仿宋_GB2312" w:eastAsia="仿宋_GB2312"/>
          <w:spacing w:val="-6"/>
          <w:sz w:val="32"/>
          <w:szCs w:val="32"/>
        </w:rPr>
        <w:t>100</w:t>
      </w:r>
      <w:r>
        <w:rPr>
          <w:rFonts w:ascii="仿宋_GB2312" w:eastAsia="仿宋_GB2312"/>
          <w:spacing w:val="-6"/>
          <w:sz w:val="32"/>
          <w:szCs w:val="32"/>
        </w:rPr>
        <w:t>%。资金支付、支付标准、支付进度、支付依据等均合规合法</w:t>
      </w:r>
      <w:r>
        <w:rPr>
          <w:rFonts w:hint="eastAsia" w:ascii="仿宋_GB2312" w:eastAsia="仿宋_GB2312"/>
          <w:spacing w:val="-6"/>
          <w:sz w:val="32"/>
          <w:szCs w:val="32"/>
        </w:rPr>
        <w:t>。</w:t>
      </w:r>
    </w:p>
    <w:p>
      <w:pPr>
        <w:autoSpaceDE w:val="0"/>
        <w:spacing w:line="576" w:lineRule="exact"/>
        <w:ind w:firstLine="619" w:firstLineChars="200"/>
        <w:rPr>
          <w:rFonts w:ascii="楷体_GB2312" w:eastAsia="楷体_GB2312"/>
          <w:bCs/>
          <w:spacing w:val="-6"/>
          <w:sz w:val="32"/>
          <w:szCs w:val="32"/>
        </w:rPr>
      </w:pPr>
      <w:r>
        <w:rPr>
          <w:rFonts w:hint="eastAsia" w:ascii="楷体_GB2312" w:eastAsia="楷体_GB2312"/>
          <w:b/>
          <w:spacing w:val="-6"/>
          <w:sz w:val="32"/>
          <w:szCs w:val="32"/>
        </w:rPr>
        <w:t>（二）项目财务管理情况</w:t>
      </w:r>
    </w:p>
    <w:p>
      <w:pPr>
        <w:autoSpaceDE w:val="0"/>
        <w:spacing w:line="576" w:lineRule="exact"/>
        <w:ind w:firstLine="616" w:firstLineChars="200"/>
        <w:rPr>
          <w:rFonts w:ascii="仿宋_GB2312" w:eastAsia="仿宋_GB2312"/>
          <w:spacing w:val="-6"/>
          <w:sz w:val="32"/>
          <w:szCs w:val="32"/>
        </w:rPr>
      </w:pPr>
      <w:r>
        <w:rPr>
          <w:rFonts w:ascii="仿宋_GB2312" w:eastAsia="仿宋_GB2312"/>
          <w:spacing w:val="-6"/>
          <w:sz w:val="32"/>
          <w:szCs w:val="32"/>
        </w:rPr>
        <w:t>健全财务管理制度建设，在工作推进中严格依照《中华人民共和国会计法》《中华人民共和国预算法》及相关财务管理规定执行财务管理。通过对2022年单位项目预算执行进行全面的控制和管理，费用支出做到依法依规、专款专用，财务处理及时、会计核算规范，未出现资金违规使用情况。</w:t>
      </w:r>
    </w:p>
    <w:p>
      <w:pPr>
        <w:autoSpaceDE w:val="0"/>
        <w:spacing w:line="576" w:lineRule="exact"/>
        <w:ind w:firstLine="619" w:firstLineChars="200"/>
        <w:rPr>
          <w:rFonts w:ascii="楷体_GB2312" w:eastAsia="楷体_GB2312"/>
          <w:b/>
          <w:spacing w:val="-6"/>
          <w:sz w:val="32"/>
          <w:szCs w:val="32"/>
        </w:rPr>
      </w:pPr>
      <w:r>
        <w:rPr>
          <w:rFonts w:hint="eastAsia" w:ascii="楷体_GB2312" w:eastAsia="楷体_GB2312"/>
          <w:b/>
          <w:spacing w:val="-6"/>
          <w:sz w:val="32"/>
          <w:szCs w:val="32"/>
        </w:rPr>
        <w:t>（三）项目组织实施情况</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1.项目组织架构及实施流程。</w:t>
      </w:r>
    </w:p>
    <w:p>
      <w:pPr>
        <w:autoSpaceDE w:val="0"/>
        <w:spacing w:line="576" w:lineRule="exact"/>
        <w:ind w:firstLine="616" w:firstLineChars="200"/>
        <w:rPr>
          <w:rFonts w:ascii="仿宋_GB2312" w:eastAsia="仿宋_GB2312"/>
          <w:spacing w:val="-6"/>
          <w:sz w:val="32"/>
          <w:szCs w:val="32"/>
        </w:rPr>
      </w:pPr>
      <w:r>
        <w:rPr>
          <w:rFonts w:ascii="仿宋_GB2312" w:eastAsia="仿宋_GB2312"/>
          <w:spacing w:val="-6"/>
          <w:sz w:val="32"/>
          <w:szCs w:val="32"/>
        </w:rPr>
        <w:t>项目评价由</w:t>
      </w:r>
      <w:r>
        <w:rPr>
          <w:rFonts w:hint="eastAsia" w:ascii="仿宋_GB2312" w:eastAsia="仿宋_GB2312"/>
          <w:spacing w:val="-6"/>
          <w:sz w:val="32"/>
          <w:szCs w:val="32"/>
        </w:rPr>
        <w:t>区工商联</w:t>
      </w:r>
      <w:r>
        <w:rPr>
          <w:rFonts w:ascii="仿宋_GB2312" w:eastAsia="仿宋_GB2312"/>
          <w:spacing w:val="-6"/>
          <w:sz w:val="32"/>
          <w:szCs w:val="32"/>
        </w:rPr>
        <w:t>组织，通过查阅项目资料、检查资金使用、项目建设有关账目等对项目实施绩效评价，对照绩效目标逐条查看附件资料，实地查看项目进展，查找项目在实施过程中的问题，总结项目成绩和存在问题。</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2.项目管理情况。</w:t>
      </w:r>
    </w:p>
    <w:p>
      <w:pPr>
        <w:autoSpaceDE w:val="0"/>
        <w:spacing w:line="576" w:lineRule="exact"/>
        <w:ind w:firstLine="616" w:firstLineChars="200"/>
        <w:rPr>
          <w:rFonts w:ascii="仿宋_GB2312" w:eastAsia="仿宋_GB2312"/>
          <w:spacing w:val="-6"/>
          <w:sz w:val="32"/>
          <w:szCs w:val="32"/>
        </w:rPr>
      </w:pPr>
      <w:r>
        <w:rPr>
          <w:rFonts w:ascii="仿宋_GB2312" w:eastAsia="仿宋_GB2312"/>
          <w:spacing w:val="-6"/>
          <w:sz w:val="32"/>
          <w:szCs w:val="32"/>
        </w:rPr>
        <w:t>该项目由</w:t>
      </w:r>
      <w:r>
        <w:rPr>
          <w:rFonts w:hint="eastAsia" w:ascii="仿宋_GB2312" w:eastAsia="仿宋_GB2312"/>
          <w:spacing w:val="-6"/>
          <w:sz w:val="32"/>
          <w:szCs w:val="32"/>
        </w:rPr>
        <w:t>区工商联</w:t>
      </w:r>
      <w:r>
        <w:rPr>
          <w:rFonts w:ascii="仿宋_GB2312" w:eastAsia="仿宋_GB2312"/>
          <w:spacing w:val="-6"/>
          <w:sz w:val="32"/>
          <w:szCs w:val="32"/>
        </w:rPr>
        <w:t>负责实施，</w:t>
      </w:r>
      <w:r>
        <w:rPr>
          <w:rFonts w:hint="eastAsia" w:ascii="仿宋_GB2312" w:eastAsia="仿宋_GB2312"/>
          <w:spacing w:val="-6"/>
          <w:sz w:val="32"/>
          <w:szCs w:val="32"/>
        </w:rPr>
        <w:t>区工商联办公室</w:t>
      </w:r>
      <w:r>
        <w:rPr>
          <w:rFonts w:ascii="仿宋_GB2312" w:eastAsia="仿宋_GB2312"/>
          <w:spacing w:val="-6"/>
          <w:sz w:val="32"/>
          <w:szCs w:val="32"/>
        </w:rPr>
        <w:t>负责对</w:t>
      </w:r>
      <w:r>
        <w:rPr>
          <w:rFonts w:hint="eastAsia" w:ascii="仿宋_GB2312" w:eastAsia="仿宋_GB2312"/>
          <w:spacing w:val="-6"/>
          <w:sz w:val="32"/>
          <w:szCs w:val="32"/>
        </w:rPr>
        <w:t>工作开展情况进行核对并</w:t>
      </w:r>
      <w:r>
        <w:rPr>
          <w:rFonts w:ascii="仿宋_GB2312" w:eastAsia="仿宋_GB2312"/>
          <w:spacing w:val="-6"/>
          <w:sz w:val="32"/>
          <w:szCs w:val="32"/>
        </w:rPr>
        <w:t>作为</w:t>
      </w:r>
      <w:r>
        <w:rPr>
          <w:rFonts w:hint="eastAsia" w:ascii="仿宋_GB2312" w:eastAsia="仿宋_GB2312"/>
          <w:spacing w:val="-6"/>
          <w:sz w:val="32"/>
          <w:szCs w:val="32"/>
        </w:rPr>
        <w:t>资金支付</w:t>
      </w:r>
      <w:r>
        <w:rPr>
          <w:rFonts w:ascii="仿宋_GB2312" w:eastAsia="仿宋_GB2312"/>
          <w:spacing w:val="-6"/>
          <w:sz w:val="32"/>
          <w:szCs w:val="32"/>
        </w:rPr>
        <w:t>主要依据，按照实际情况进行申报，</w:t>
      </w:r>
      <w:r>
        <w:rPr>
          <w:rFonts w:hint="eastAsia" w:ascii="仿宋_GB2312" w:eastAsia="仿宋_GB2312"/>
          <w:spacing w:val="-6"/>
          <w:sz w:val="32"/>
          <w:szCs w:val="32"/>
        </w:rPr>
        <w:t>区工商联财务人员</w:t>
      </w:r>
      <w:r>
        <w:rPr>
          <w:rFonts w:ascii="仿宋_GB2312" w:eastAsia="仿宋_GB2312"/>
          <w:spacing w:val="-6"/>
          <w:sz w:val="32"/>
          <w:szCs w:val="32"/>
        </w:rPr>
        <w:t>负责资金发放。项目实施过程严格执行相关法律法规，合理确定职能职责，做到人尽其才，物尽其用。通过建立健全项目管理制度、目标考核制度、资金管理制度等相关制度。严格经费管理，确保</w:t>
      </w:r>
      <w:r>
        <w:rPr>
          <w:rFonts w:hint="eastAsia" w:ascii="仿宋_GB2312" w:eastAsia="仿宋_GB2312"/>
          <w:spacing w:val="-6"/>
          <w:sz w:val="32"/>
          <w:szCs w:val="32"/>
        </w:rPr>
        <w:t>工商业业务</w:t>
      </w:r>
      <w:r>
        <w:rPr>
          <w:rFonts w:ascii="仿宋_GB2312" w:eastAsia="仿宋_GB2312"/>
          <w:spacing w:val="-6"/>
          <w:sz w:val="32"/>
          <w:szCs w:val="32"/>
        </w:rPr>
        <w:t>工作正常运转。通过建立长效机制，规范经费支出，保证工作效率。</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3.项目监管情况。</w:t>
      </w:r>
    </w:p>
    <w:p>
      <w:pPr>
        <w:autoSpaceDE w:val="0"/>
        <w:spacing w:line="576" w:lineRule="exact"/>
        <w:ind w:firstLine="616" w:firstLineChars="200"/>
        <w:rPr>
          <w:rFonts w:ascii="仿宋_GB2312" w:eastAsia="仿宋_GB2312"/>
          <w:spacing w:val="-6"/>
          <w:sz w:val="32"/>
          <w:szCs w:val="32"/>
        </w:rPr>
      </w:pPr>
      <w:r>
        <w:rPr>
          <w:rFonts w:ascii="仿宋_GB2312" w:eastAsia="仿宋_GB2312"/>
          <w:spacing w:val="-6"/>
          <w:sz w:val="32"/>
          <w:szCs w:val="32"/>
        </w:rPr>
        <w:t>该项目支出纳入区财政预算统一管理，在项目实施过程中，我单位严格依据《中华人民共和国会计法》《中华人民共和国预算法》做好项目实施的日常工作实施和监管，提前做好项目资金核算和预算编制，各环节的工作程序合理合法，工作开展依法依规，项目实施公开、透明，工作管理、补助资金支付与要求相符。</w:t>
      </w:r>
      <w:r>
        <w:rPr>
          <w:rFonts w:hint="eastAsia" w:ascii="仿宋_GB2312" w:eastAsia="仿宋_GB2312"/>
          <w:spacing w:val="-6"/>
          <w:sz w:val="32"/>
          <w:szCs w:val="32"/>
        </w:rPr>
        <w:t>区工商联对项目实施单位定期或不定期开展督查，对发现的问题下发整改通知书并限期整改，对发现问题整改不到位的将追究相关人员责任。</w:t>
      </w:r>
    </w:p>
    <w:p>
      <w:pPr>
        <w:autoSpaceDE w:val="0"/>
        <w:adjustRightInd w:val="0"/>
        <w:snapToGrid w:val="0"/>
        <w:spacing w:line="576" w:lineRule="exact"/>
        <w:ind w:firstLine="720"/>
        <w:rPr>
          <w:rFonts w:ascii="仿宋_GB2312" w:hAnsi="宋体" w:eastAsia="仿宋_GB2312"/>
          <w:w w:val="99"/>
          <w:sz w:val="32"/>
          <w:szCs w:val="32"/>
        </w:rPr>
      </w:pPr>
      <w:r>
        <w:rPr>
          <w:rFonts w:hint="eastAsia" w:ascii="黑体" w:hAnsi="黑体" w:eastAsia="黑体"/>
          <w:w w:val="99"/>
          <w:sz w:val="32"/>
          <w:szCs w:val="32"/>
        </w:rPr>
        <w:t>三、项目绩效情况</w:t>
      </w:r>
      <w:r>
        <w:rPr>
          <w:rFonts w:hint="eastAsia" w:ascii="仿宋_GB2312" w:hAnsi="宋体" w:eastAsia="仿宋_GB2312"/>
          <w:w w:val="99"/>
          <w:sz w:val="32"/>
          <w:szCs w:val="32"/>
        </w:rPr>
        <w:tab/>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（一）项目完成情况。</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w:t>
      </w:r>
      <w:r>
        <w:rPr>
          <w:rFonts w:hint="eastAsia" w:ascii="仿宋_GB2312" w:hAnsi="宋体" w:eastAsia="仿宋_GB2312" w:cs="Times New Roman"/>
          <w:w w:val="99"/>
          <w:sz w:val="32"/>
          <w:szCs w:val="32"/>
          <w:lang w:val="en-US" w:eastAsia="zh-CN"/>
        </w:rPr>
        <w:t>加强商会组织建设和规范化管理，引导商会参与乡村振兴，组织商会开展活动4次</w:t>
      </w:r>
      <w:r>
        <w:rPr>
          <w:rFonts w:hint="eastAsia" w:ascii="仿宋_GB2312" w:hAnsi="宋体" w:eastAsia="仿宋_GB2312" w:cs="Times New Roman"/>
          <w:w w:val="99"/>
          <w:sz w:val="32"/>
          <w:szCs w:val="32"/>
        </w:rPr>
        <w:t>。</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质量：资金使用合规率100%。</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时效：在2022</w:t>
      </w:r>
      <w:r>
        <w:rPr>
          <w:rFonts w:ascii="仿宋_GB2312" w:eastAsia="仿宋_GB2312"/>
          <w:spacing w:val="-6"/>
          <w:sz w:val="32"/>
          <w:szCs w:val="32"/>
        </w:rPr>
        <w:t>年年度内，按照工作要求有序推进，完成率</w:t>
      </w:r>
      <w:r>
        <w:rPr>
          <w:rFonts w:hint="eastAsia" w:ascii="仿宋_GB2312" w:eastAsia="仿宋_GB2312"/>
          <w:spacing w:val="-6"/>
          <w:sz w:val="32"/>
          <w:szCs w:val="32"/>
        </w:rPr>
        <w:t>100%</w:t>
      </w:r>
      <w:r>
        <w:rPr>
          <w:rFonts w:ascii="仿宋_GB2312" w:eastAsia="仿宋_GB2312"/>
          <w:spacing w:val="-6"/>
          <w:sz w:val="32"/>
          <w:szCs w:val="32"/>
        </w:rPr>
        <w:t>。</w:t>
      </w:r>
    </w:p>
    <w:p>
      <w:pPr>
        <w:autoSpaceDE w:val="0"/>
        <w:spacing w:line="576" w:lineRule="exact"/>
        <w:ind w:firstLine="616" w:firstLineChars="200"/>
        <w:rPr>
          <w:rFonts w:ascii="楷体_GB2312" w:hAnsi="宋体" w:eastAsia="楷体_GB2312"/>
          <w:b/>
          <w:w w:val="99"/>
          <w:sz w:val="32"/>
          <w:szCs w:val="32"/>
        </w:rPr>
      </w:pPr>
      <w:r>
        <w:rPr>
          <w:rFonts w:hint="eastAsia" w:ascii="仿宋_GB2312" w:eastAsia="仿宋_GB2312"/>
          <w:spacing w:val="-6"/>
          <w:sz w:val="32"/>
          <w:szCs w:val="32"/>
        </w:rPr>
        <w:t>成本：</w:t>
      </w:r>
      <w:r>
        <w:rPr>
          <w:rFonts w:ascii="仿宋_GB2312" w:eastAsia="仿宋_GB2312"/>
          <w:spacing w:val="-6"/>
          <w:sz w:val="32"/>
          <w:szCs w:val="32"/>
        </w:rPr>
        <w:t>整个项目完成预算资金支付率</w:t>
      </w:r>
      <w:r>
        <w:rPr>
          <w:rFonts w:hint="eastAsia" w:ascii="仿宋_GB2312" w:eastAsia="仿宋_GB2312"/>
          <w:spacing w:val="-6"/>
          <w:sz w:val="32"/>
          <w:szCs w:val="32"/>
        </w:rPr>
        <w:t>100</w:t>
      </w:r>
      <w:r>
        <w:rPr>
          <w:rFonts w:ascii="仿宋_GB2312" w:eastAsia="仿宋_GB2312"/>
          <w:spacing w:val="-6"/>
          <w:sz w:val="32"/>
          <w:szCs w:val="32"/>
        </w:rPr>
        <w:t>%。</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（二）项目效益情况。</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1.社会效益。引导非公有制经济人士建言资政，积极投身光彩事业；引导非公有制经济人士做到政治上自信、发展上自强、守法上自觉。</w:t>
      </w:r>
    </w:p>
    <w:p>
      <w:pPr>
        <w:autoSpaceDE w:val="0"/>
        <w:adjustRightInd w:val="0"/>
        <w:snapToGrid w:val="0"/>
        <w:spacing w:line="576" w:lineRule="exact"/>
        <w:ind w:firstLine="720"/>
        <w:rPr>
          <w:rFonts w:hint="eastAsia" w:ascii="仿宋_GB2312" w:hAnsi="宋体" w:eastAsia="仿宋_GB2312"/>
          <w:w w:val="99"/>
          <w:sz w:val="32"/>
          <w:szCs w:val="32"/>
        </w:rPr>
      </w:pPr>
      <w:r>
        <w:rPr>
          <w:rFonts w:hint="eastAsia" w:ascii="仿宋_GB2312" w:hAnsi="宋体" w:eastAsia="仿宋_GB2312"/>
          <w:w w:val="99"/>
          <w:sz w:val="32"/>
          <w:szCs w:val="32"/>
        </w:rPr>
        <w:t>2.可持续影响。引导非公有制经济人士建言资政，积极投身光彩事业；引导非公有制经济人士做到政治上自信、发展上自强、守法上自觉。</w:t>
      </w:r>
    </w:p>
    <w:p>
      <w:pPr>
        <w:autoSpaceDE w:val="0"/>
        <w:adjustRightInd w:val="0"/>
        <w:snapToGrid w:val="0"/>
        <w:spacing w:line="576" w:lineRule="exact"/>
        <w:ind w:firstLine="720"/>
        <w:rPr>
          <w:rFonts w:ascii="黑体" w:hAnsi="宋体" w:eastAsia="黑体"/>
          <w:w w:val="99"/>
          <w:sz w:val="32"/>
          <w:szCs w:val="32"/>
        </w:rPr>
      </w:pPr>
      <w:r>
        <w:rPr>
          <w:rFonts w:hint="eastAsia" w:ascii="黑体" w:hAnsi="黑体" w:eastAsia="黑体"/>
          <w:w w:val="99"/>
          <w:sz w:val="32"/>
          <w:szCs w:val="32"/>
        </w:rPr>
        <w:t>四、问题及建议</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（一）评价结论。</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区工商联</w:t>
      </w:r>
      <w:r>
        <w:rPr>
          <w:rFonts w:ascii="仿宋_GB2312" w:hAnsi="宋体" w:eastAsia="仿宋_GB2312"/>
          <w:w w:val="99"/>
          <w:sz w:val="32"/>
          <w:szCs w:val="32"/>
        </w:rPr>
        <w:t>在项目实施过程中，建立健全相关制度、机制，严格执行，推进各专项工作的落实。资金管理实行专项管理，严格审批制度，真正做到了专款专用，确保项目资金有效的利用。总体来说该项目决策正确，管理规范，绩效完成率好。</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（二）存在的问题。</w:t>
      </w:r>
    </w:p>
    <w:p>
      <w:pPr>
        <w:autoSpaceDE w:val="0"/>
        <w:adjustRightInd w:val="0"/>
        <w:snapToGrid w:val="0"/>
        <w:spacing w:line="576" w:lineRule="exact"/>
        <w:ind w:firstLine="720"/>
        <w:rPr>
          <w:rFonts w:ascii="仿宋_GB2312" w:hAnsi="宋体" w:eastAsia="仿宋_GB2312"/>
          <w:w w:val="99"/>
          <w:sz w:val="32"/>
          <w:szCs w:val="32"/>
        </w:rPr>
      </w:pPr>
      <w:r>
        <w:rPr>
          <w:rFonts w:ascii="仿宋_GB2312" w:hAnsi="宋体" w:eastAsia="仿宋_GB2312"/>
          <w:w w:val="99"/>
          <w:sz w:val="32"/>
          <w:szCs w:val="32"/>
        </w:rPr>
        <w:t>经绩效评价未发现本项目存在重大财经事项。</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（三）相关建议。</w:t>
      </w:r>
    </w:p>
    <w:p>
      <w:pPr>
        <w:pStyle w:val="13"/>
        <w:shd w:val="clear" w:color="auto" w:fill="FFFFFF"/>
        <w:spacing w:beforeAutospacing="0" w:afterAutospacing="0" w:line="576" w:lineRule="exact"/>
        <w:ind w:firstLine="660"/>
        <w:rPr>
          <w:rFonts w:ascii="仿宋_GB2312" w:eastAsia="仿宋_GB2312"/>
          <w:w w:val="99"/>
          <w:kern w:val="2"/>
          <w:sz w:val="32"/>
          <w:szCs w:val="32"/>
        </w:rPr>
      </w:pPr>
      <w:r>
        <w:rPr>
          <w:rFonts w:hint="eastAsia" w:ascii="仿宋_GB2312" w:eastAsia="仿宋_GB2312" w:cs="Times New Roman"/>
          <w:w w:val="99"/>
          <w:kern w:val="2"/>
          <w:sz w:val="32"/>
          <w:szCs w:val="32"/>
        </w:rPr>
        <w:t>1.加强预算执行目标绩效管理。严格按照财政项目支出绩效管理办法，加强部门绩效管理的指导，提高绩效管理人员的绩效管理能力。不断提高资金使用管理的水平。</w:t>
      </w:r>
    </w:p>
    <w:p>
      <w:pPr>
        <w:pStyle w:val="13"/>
        <w:shd w:val="clear" w:color="auto" w:fill="FFFFFF"/>
        <w:spacing w:beforeAutospacing="0" w:afterAutospacing="0" w:line="576" w:lineRule="exact"/>
        <w:ind w:firstLine="660"/>
        <w:rPr>
          <w:rFonts w:ascii="仿宋_GB2312" w:eastAsia="仿宋_GB2312"/>
          <w:w w:val="99"/>
          <w:kern w:val="2"/>
          <w:sz w:val="32"/>
          <w:szCs w:val="32"/>
        </w:rPr>
      </w:pPr>
      <w:r>
        <w:rPr>
          <w:rFonts w:ascii="仿宋_GB2312" w:eastAsia="仿宋_GB2312" w:cs="Times New Roman"/>
          <w:w w:val="99"/>
          <w:kern w:val="2"/>
          <w:sz w:val="32"/>
          <w:szCs w:val="32"/>
        </w:rPr>
        <w:t>2.做好对项目实施跟踪检查工作。项目实施过程中应定期或不定期对项目实施情况和经费使用情况进行检查，以便更好掌握项目实施进度，确保项目能顺利开展，实现预期的绩效目标。</w:t>
      </w:r>
    </w:p>
    <w:p>
      <w:pPr>
        <w:widowControl/>
        <w:spacing w:line="576" w:lineRule="exact"/>
        <w:contextualSpacing/>
        <w:jc w:val="center"/>
        <w:rPr>
          <w:rFonts w:hint="eastAsia" w:ascii="方正小标宋简体" w:hAnsi="方正小标宋简体" w:eastAsia="方正小标宋简体" w:cs="方正小标宋简体"/>
          <w:bCs/>
          <w:sz w:val="44"/>
          <w:szCs w:val="44"/>
          <w:shd w:val="clear" w:color="auto" w:fill="FFFFFF"/>
        </w:rPr>
      </w:pPr>
    </w:p>
    <w:p>
      <w:pPr>
        <w:widowControl/>
        <w:spacing w:line="576" w:lineRule="exact"/>
        <w:contextualSpacing/>
        <w:jc w:val="center"/>
        <w:rPr>
          <w:rFonts w:hint="eastAsia" w:ascii="方正小标宋简体" w:hAnsi="方正小标宋简体" w:eastAsia="方正小标宋简体" w:cs="方正小标宋简体"/>
          <w:bCs/>
          <w:sz w:val="44"/>
          <w:szCs w:val="44"/>
          <w:shd w:val="clear" w:color="auto" w:fill="FFFFFF"/>
        </w:rPr>
      </w:pPr>
    </w:p>
    <w:p>
      <w:pPr>
        <w:widowControl/>
        <w:spacing w:line="576" w:lineRule="exact"/>
        <w:contextualSpacing/>
        <w:jc w:val="center"/>
        <w:rPr>
          <w:rFonts w:hint="eastAsia" w:ascii="方正小标宋简体" w:hAnsi="方正小标宋简体" w:eastAsia="方正小标宋简体" w:cs="方正小标宋简体"/>
          <w:bCs/>
          <w:sz w:val="44"/>
          <w:szCs w:val="44"/>
          <w:shd w:val="clear" w:color="auto" w:fill="FFFFFF"/>
        </w:rPr>
      </w:pPr>
    </w:p>
    <w:p>
      <w:pPr>
        <w:widowControl/>
        <w:spacing w:line="576" w:lineRule="exact"/>
        <w:contextualSpacing/>
        <w:jc w:val="center"/>
        <w:rPr>
          <w:rFonts w:hint="eastAsia" w:ascii="方正小标宋简体" w:hAnsi="方正小标宋简体" w:eastAsia="方正小标宋简体" w:cs="方正小标宋简体"/>
          <w:bCs/>
          <w:sz w:val="44"/>
          <w:szCs w:val="44"/>
          <w:shd w:val="clear" w:color="auto" w:fill="FFFFFF"/>
        </w:rPr>
      </w:pPr>
    </w:p>
    <w:p>
      <w:pPr>
        <w:widowControl/>
        <w:spacing w:line="576" w:lineRule="exact"/>
        <w:contextualSpacing/>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广元市朝天区工商业联合会</w:t>
      </w:r>
    </w:p>
    <w:p>
      <w:pPr>
        <w:autoSpaceDE w:val="0"/>
        <w:spacing w:line="576"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创建全国“五好”县级工商联项目支出</w:t>
      </w:r>
    </w:p>
    <w:p>
      <w:pPr>
        <w:autoSpaceDE w:val="0"/>
        <w:spacing w:line="576"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绩效自评报告</w:t>
      </w:r>
    </w:p>
    <w:p>
      <w:pPr>
        <w:autoSpaceDE w:val="0"/>
        <w:adjustRightInd w:val="0"/>
        <w:snapToGrid w:val="0"/>
        <w:spacing w:line="576" w:lineRule="exact"/>
        <w:ind w:firstLine="720"/>
        <w:rPr>
          <w:rFonts w:ascii="黑体" w:hAnsi="黑体" w:eastAsia="黑体"/>
          <w:w w:val="99"/>
          <w:sz w:val="32"/>
          <w:szCs w:val="32"/>
        </w:rPr>
      </w:pPr>
    </w:p>
    <w:p>
      <w:pPr>
        <w:autoSpaceDE w:val="0"/>
        <w:adjustRightInd w:val="0"/>
        <w:snapToGrid w:val="0"/>
        <w:spacing w:line="576" w:lineRule="exact"/>
        <w:ind w:firstLine="720"/>
        <w:rPr>
          <w:rFonts w:ascii="黑体" w:hAnsi="宋体" w:eastAsia="黑体"/>
          <w:w w:val="99"/>
          <w:sz w:val="32"/>
          <w:szCs w:val="32"/>
        </w:rPr>
      </w:pPr>
      <w:r>
        <w:rPr>
          <w:rFonts w:hint="eastAsia" w:ascii="黑体" w:hAnsi="黑体" w:eastAsia="黑体"/>
          <w:w w:val="99"/>
          <w:sz w:val="32"/>
          <w:szCs w:val="32"/>
        </w:rPr>
        <w:t>一、项目概况</w:t>
      </w:r>
    </w:p>
    <w:p>
      <w:pPr>
        <w:autoSpaceDE w:val="0"/>
        <w:spacing w:line="576" w:lineRule="exact"/>
        <w:ind w:firstLine="619" w:firstLineChars="200"/>
        <w:rPr>
          <w:rFonts w:ascii="楷体_GB2312" w:eastAsia="楷体_GB2312"/>
          <w:b/>
          <w:spacing w:val="-6"/>
          <w:sz w:val="32"/>
          <w:szCs w:val="32"/>
        </w:rPr>
      </w:pPr>
      <w:r>
        <w:rPr>
          <w:rFonts w:hint="eastAsia" w:ascii="楷体_GB2312" w:eastAsia="楷体_GB2312"/>
          <w:b/>
          <w:spacing w:val="-6"/>
          <w:sz w:val="32"/>
          <w:szCs w:val="32"/>
        </w:rPr>
        <w:t>（一）项目资金申报及批复情况。</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项目资金申报2万元；广朝财发〔2023〕9号文件批复下达2022年创建全国“五好”县级工商联项目2万元，符合资金管理办法等相关规定。</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（二）项目绩效目标。</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1.项目主要内容：一是召开工商联执委会、服务民营企业座谈会等会议,引导非公有制经济人士做到政治上自信、发展上自强、守法上自觉；二是开展考察调研、民营企业调查,引导非公有制经济人士建言资政，积极投身光彩事业；三是完成乡村振兴“万企兴万村”、东西部协作工作。</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2.项目绩效目标。一是召开工商联执委会、服务民营企业座谈会等会议2次,引导非公有制经济人士做到政治上自信、发展上自强、守法上自觉；二是开展考察调研、民营企业调查4次,引导非公有制经济人士建言资政，积极投身光彩事业；三是完成乡村振兴“万企兴万村”、东西部协作工作。</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3.项目资金申报相符性：该项目资金与具体实施内容相符、申报目标合理可行。</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（三）项目自评步骤及方法。</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本次绩效评价根据工作实际开展，通过对项目管理薄弱环节、问题易发点、绩效管理等进行梳理，作为项目评价重点和目标。秉承客观、公正和实事求是的原则。主要从项目决策是否合理、实施过程是否合规和取得效益是否明显三个指标方面进行评价。</w:t>
      </w:r>
    </w:p>
    <w:p>
      <w:pPr>
        <w:autoSpaceDE w:val="0"/>
        <w:adjustRightInd w:val="0"/>
        <w:snapToGrid w:val="0"/>
        <w:spacing w:line="576" w:lineRule="exact"/>
        <w:ind w:firstLine="720"/>
        <w:rPr>
          <w:rFonts w:ascii="黑体" w:hAnsi="宋体" w:eastAsia="黑体"/>
          <w:w w:val="99"/>
          <w:sz w:val="32"/>
          <w:szCs w:val="32"/>
        </w:rPr>
      </w:pPr>
      <w:r>
        <w:rPr>
          <w:rFonts w:hint="eastAsia" w:ascii="黑体" w:hAnsi="黑体" w:eastAsia="黑体"/>
          <w:w w:val="99"/>
          <w:sz w:val="32"/>
          <w:szCs w:val="32"/>
        </w:rPr>
        <w:t>二、项目资金申报及使用情况</w:t>
      </w:r>
    </w:p>
    <w:p>
      <w:pPr>
        <w:autoSpaceDE w:val="0"/>
        <w:adjustRightInd w:val="0"/>
        <w:snapToGrid w:val="0"/>
        <w:spacing w:line="576" w:lineRule="exact"/>
        <w:ind w:firstLine="720"/>
        <w:rPr>
          <w:rFonts w:ascii="仿宋_GB2312" w:hAnsi="宋体" w:eastAsia="仿宋_GB2312"/>
          <w:w w:val="99"/>
          <w:sz w:val="32"/>
          <w:szCs w:val="32"/>
        </w:rPr>
      </w:pPr>
      <w:r>
        <w:rPr>
          <w:rFonts w:hint="eastAsia" w:ascii="楷体_GB2312" w:eastAsia="楷体_GB2312"/>
          <w:b/>
          <w:spacing w:val="-6"/>
          <w:sz w:val="32"/>
          <w:szCs w:val="32"/>
        </w:rPr>
        <w:t>（一）资金计划、到位及使用情况</w:t>
      </w:r>
      <w:r>
        <w:rPr>
          <w:rFonts w:hint="eastAsia" w:ascii="楷体_GB2312" w:hAnsi="宋体" w:eastAsia="楷体_GB2312"/>
          <w:b/>
          <w:w w:val="99"/>
          <w:sz w:val="32"/>
          <w:szCs w:val="32"/>
        </w:rPr>
        <w:t>（可用表格形式反映）。</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1.资金计划及到位。2022年，根据创建全国“五好”县级工商联工作计划安排，创建全国“五好”县级工商联项目资金共下达2</w:t>
      </w:r>
      <w:r>
        <w:rPr>
          <w:rFonts w:ascii="仿宋_GB2312" w:eastAsia="仿宋_GB2312"/>
          <w:spacing w:val="-6"/>
          <w:sz w:val="32"/>
          <w:szCs w:val="32"/>
        </w:rPr>
        <w:t>万元。</w:t>
      </w:r>
      <w:r>
        <w:rPr>
          <w:rFonts w:hint="eastAsia" w:ascii="仿宋_GB2312" w:eastAsia="仿宋_GB2312"/>
          <w:spacing w:val="-6"/>
          <w:sz w:val="32"/>
          <w:szCs w:val="32"/>
        </w:rPr>
        <w:t>2022年创建全国“五好”县级工商联项目</w:t>
      </w:r>
      <w:r>
        <w:rPr>
          <w:rFonts w:ascii="仿宋_GB2312" w:eastAsia="仿宋_GB2312"/>
          <w:spacing w:val="-6"/>
          <w:sz w:val="32"/>
          <w:szCs w:val="32"/>
        </w:rPr>
        <w:t>2万元全部及时到位，资金到位率100%，到位及时性100%。</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2.资金使用。</w:t>
      </w:r>
      <w:r>
        <w:rPr>
          <w:rFonts w:ascii="仿宋_GB2312" w:eastAsia="仿宋_GB2312"/>
          <w:spacing w:val="-6"/>
          <w:sz w:val="32"/>
          <w:szCs w:val="32"/>
        </w:rPr>
        <w:t>整个项目完成预算资金支付率</w:t>
      </w:r>
      <w:r>
        <w:rPr>
          <w:rFonts w:hint="eastAsia" w:ascii="仿宋_GB2312" w:eastAsia="仿宋_GB2312"/>
          <w:spacing w:val="-6"/>
          <w:sz w:val="32"/>
          <w:szCs w:val="32"/>
        </w:rPr>
        <w:t>100</w:t>
      </w:r>
      <w:r>
        <w:rPr>
          <w:rFonts w:ascii="仿宋_GB2312" w:eastAsia="仿宋_GB2312"/>
          <w:spacing w:val="-6"/>
          <w:sz w:val="32"/>
          <w:szCs w:val="32"/>
        </w:rPr>
        <w:t>%。资金支付、支付标准、支付进度、支付依据等均合规合法</w:t>
      </w:r>
      <w:r>
        <w:rPr>
          <w:rFonts w:hint="eastAsia" w:ascii="仿宋_GB2312" w:eastAsia="仿宋_GB2312"/>
          <w:spacing w:val="-6"/>
          <w:sz w:val="32"/>
          <w:szCs w:val="32"/>
        </w:rPr>
        <w:t>。</w:t>
      </w:r>
    </w:p>
    <w:p>
      <w:pPr>
        <w:autoSpaceDE w:val="0"/>
        <w:spacing w:line="576" w:lineRule="exact"/>
        <w:ind w:firstLine="619" w:firstLineChars="200"/>
        <w:rPr>
          <w:rFonts w:ascii="楷体_GB2312" w:eastAsia="楷体_GB2312"/>
          <w:bCs/>
          <w:spacing w:val="-6"/>
          <w:sz w:val="32"/>
          <w:szCs w:val="32"/>
        </w:rPr>
      </w:pPr>
      <w:r>
        <w:rPr>
          <w:rFonts w:hint="eastAsia" w:ascii="楷体_GB2312" w:eastAsia="楷体_GB2312"/>
          <w:b/>
          <w:spacing w:val="-6"/>
          <w:sz w:val="32"/>
          <w:szCs w:val="32"/>
        </w:rPr>
        <w:t>（二）项目财务管理情况</w:t>
      </w:r>
    </w:p>
    <w:p>
      <w:pPr>
        <w:autoSpaceDE w:val="0"/>
        <w:spacing w:line="576" w:lineRule="exact"/>
        <w:ind w:firstLine="616" w:firstLineChars="200"/>
        <w:rPr>
          <w:rFonts w:ascii="仿宋_GB2312" w:eastAsia="仿宋_GB2312"/>
          <w:spacing w:val="-6"/>
          <w:sz w:val="32"/>
          <w:szCs w:val="32"/>
        </w:rPr>
      </w:pPr>
      <w:r>
        <w:rPr>
          <w:rFonts w:ascii="仿宋_GB2312" w:eastAsia="仿宋_GB2312"/>
          <w:spacing w:val="-6"/>
          <w:sz w:val="32"/>
          <w:szCs w:val="32"/>
        </w:rPr>
        <w:t>健全财务管理制度建设，在工作推进中严格依照《中华人民共和国会计法》《中华人民共和国预算法》及相关财务管理规定执行财务管理。通过对2022年单位项目预算执行进行全面的控制和管理，费用支出做到依法依规、专款专用，财务处理及时、会计核算规范，未出现资金违规使用情况。</w:t>
      </w:r>
    </w:p>
    <w:p>
      <w:pPr>
        <w:autoSpaceDE w:val="0"/>
        <w:spacing w:line="576" w:lineRule="exact"/>
        <w:ind w:firstLine="619" w:firstLineChars="200"/>
        <w:rPr>
          <w:rFonts w:ascii="楷体_GB2312" w:eastAsia="楷体_GB2312"/>
          <w:b/>
          <w:spacing w:val="-6"/>
          <w:sz w:val="32"/>
          <w:szCs w:val="32"/>
        </w:rPr>
      </w:pPr>
      <w:r>
        <w:rPr>
          <w:rFonts w:hint="eastAsia" w:ascii="楷体_GB2312" w:eastAsia="楷体_GB2312"/>
          <w:b/>
          <w:spacing w:val="-6"/>
          <w:sz w:val="32"/>
          <w:szCs w:val="32"/>
        </w:rPr>
        <w:t>（三）项目组织实施情况</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1.项目组织架构及实施流程。</w:t>
      </w:r>
    </w:p>
    <w:p>
      <w:pPr>
        <w:autoSpaceDE w:val="0"/>
        <w:spacing w:line="576" w:lineRule="exact"/>
        <w:ind w:firstLine="616" w:firstLineChars="200"/>
        <w:rPr>
          <w:rFonts w:ascii="仿宋_GB2312" w:eastAsia="仿宋_GB2312"/>
          <w:spacing w:val="-6"/>
          <w:sz w:val="32"/>
          <w:szCs w:val="32"/>
        </w:rPr>
      </w:pPr>
      <w:r>
        <w:rPr>
          <w:rFonts w:ascii="仿宋_GB2312" w:eastAsia="仿宋_GB2312"/>
          <w:spacing w:val="-6"/>
          <w:sz w:val="32"/>
          <w:szCs w:val="32"/>
        </w:rPr>
        <w:t>项目评价由</w:t>
      </w:r>
      <w:r>
        <w:rPr>
          <w:rFonts w:hint="eastAsia" w:ascii="仿宋_GB2312" w:eastAsia="仿宋_GB2312"/>
          <w:spacing w:val="-6"/>
          <w:sz w:val="32"/>
          <w:szCs w:val="32"/>
        </w:rPr>
        <w:t>区工商联</w:t>
      </w:r>
      <w:r>
        <w:rPr>
          <w:rFonts w:ascii="仿宋_GB2312" w:eastAsia="仿宋_GB2312"/>
          <w:spacing w:val="-6"/>
          <w:sz w:val="32"/>
          <w:szCs w:val="32"/>
        </w:rPr>
        <w:t>组织，通过查阅项目资料、检查资金使用、项目建设有关账目等对项目实施绩效评价，对照绩效目标逐条查看附件资料，实地查看项目进展，查找项目在实施过程中的问题，总结项目成绩和存在问题。</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2.项目管理情况。</w:t>
      </w:r>
    </w:p>
    <w:p>
      <w:pPr>
        <w:autoSpaceDE w:val="0"/>
        <w:spacing w:line="576" w:lineRule="exact"/>
        <w:ind w:firstLine="616" w:firstLineChars="200"/>
        <w:rPr>
          <w:rFonts w:ascii="仿宋_GB2312" w:eastAsia="仿宋_GB2312"/>
          <w:spacing w:val="-6"/>
          <w:sz w:val="32"/>
          <w:szCs w:val="32"/>
        </w:rPr>
      </w:pPr>
      <w:r>
        <w:rPr>
          <w:rFonts w:ascii="仿宋_GB2312" w:eastAsia="仿宋_GB2312"/>
          <w:spacing w:val="-6"/>
          <w:sz w:val="32"/>
          <w:szCs w:val="32"/>
        </w:rPr>
        <w:t>该项目由</w:t>
      </w:r>
      <w:r>
        <w:rPr>
          <w:rFonts w:hint="eastAsia" w:ascii="仿宋_GB2312" w:eastAsia="仿宋_GB2312"/>
          <w:spacing w:val="-6"/>
          <w:sz w:val="32"/>
          <w:szCs w:val="32"/>
        </w:rPr>
        <w:t>区工商联</w:t>
      </w:r>
      <w:r>
        <w:rPr>
          <w:rFonts w:ascii="仿宋_GB2312" w:eastAsia="仿宋_GB2312"/>
          <w:spacing w:val="-6"/>
          <w:sz w:val="32"/>
          <w:szCs w:val="32"/>
        </w:rPr>
        <w:t>负责实施，</w:t>
      </w:r>
      <w:r>
        <w:rPr>
          <w:rFonts w:hint="eastAsia" w:ascii="仿宋_GB2312" w:eastAsia="仿宋_GB2312"/>
          <w:spacing w:val="-6"/>
          <w:sz w:val="32"/>
          <w:szCs w:val="32"/>
        </w:rPr>
        <w:t>区工商联办公室</w:t>
      </w:r>
      <w:r>
        <w:rPr>
          <w:rFonts w:ascii="仿宋_GB2312" w:eastAsia="仿宋_GB2312"/>
          <w:spacing w:val="-6"/>
          <w:sz w:val="32"/>
          <w:szCs w:val="32"/>
        </w:rPr>
        <w:t>负责对</w:t>
      </w:r>
      <w:r>
        <w:rPr>
          <w:rFonts w:hint="eastAsia" w:ascii="仿宋_GB2312" w:eastAsia="仿宋_GB2312"/>
          <w:spacing w:val="-6"/>
          <w:sz w:val="32"/>
          <w:szCs w:val="32"/>
        </w:rPr>
        <w:t>工作开展情况进行核对并</w:t>
      </w:r>
      <w:r>
        <w:rPr>
          <w:rFonts w:ascii="仿宋_GB2312" w:eastAsia="仿宋_GB2312"/>
          <w:spacing w:val="-6"/>
          <w:sz w:val="32"/>
          <w:szCs w:val="32"/>
        </w:rPr>
        <w:t>作为</w:t>
      </w:r>
      <w:r>
        <w:rPr>
          <w:rFonts w:hint="eastAsia" w:ascii="仿宋_GB2312" w:eastAsia="仿宋_GB2312"/>
          <w:spacing w:val="-6"/>
          <w:sz w:val="32"/>
          <w:szCs w:val="32"/>
        </w:rPr>
        <w:t>资金支付</w:t>
      </w:r>
      <w:r>
        <w:rPr>
          <w:rFonts w:ascii="仿宋_GB2312" w:eastAsia="仿宋_GB2312"/>
          <w:spacing w:val="-6"/>
          <w:sz w:val="32"/>
          <w:szCs w:val="32"/>
        </w:rPr>
        <w:t>主要依据，按照实际情况进行申报，</w:t>
      </w:r>
      <w:r>
        <w:rPr>
          <w:rFonts w:hint="eastAsia" w:ascii="仿宋_GB2312" w:eastAsia="仿宋_GB2312"/>
          <w:spacing w:val="-6"/>
          <w:sz w:val="32"/>
          <w:szCs w:val="32"/>
        </w:rPr>
        <w:t>区工商联财务人员</w:t>
      </w:r>
      <w:r>
        <w:rPr>
          <w:rFonts w:ascii="仿宋_GB2312" w:eastAsia="仿宋_GB2312"/>
          <w:spacing w:val="-6"/>
          <w:sz w:val="32"/>
          <w:szCs w:val="32"/>
        </w:rPr>
        <w:t>负责资金发放。项目实施过程严格执行相关法律法规，合理确定职能职责，做到人尽其才，物尽其用。通过建立健全项目管理制度、目标考核制度、资金管理制度等相关制度。严格经费管理，确保</w:t>
      </w:r>
      <w:r>
        <w:rPr>
          <w:rFonts w:hint="eastAsia" w:ascii="仿宋_GB2312" w:eastAsia="仿宋_GB2312"/>
          <w:spacing w:val="-6"/>
          <w:sz w:val="32"/>
          <w:szCs w:val="32"/>
        </w:rPr>
        <w:t>工商业业务</w:t>
      </w:r>
      <w:r>
        <w:rPr>
          <w:rFonts w:ascii="仿宋_GB2312" w:eastAsia="仿宋_GB2312"/>
          <w:spacing w:val="-6"/>
          <w:sz w:val="32"/>
          <w:szCs w:val="32"/>
        </w:rPr>
        <w:t>工作正常运转。通过建立长效机制，规范经费支出，保证工作效率。</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3.项目监管情况。</w:t>
      </w:r>
    </w:p>
    <w:p>
      <w:pPr>
        <w:autoSpaceDE w:val="0"/>
        <w:spacing w:line="576" w:lineRule="exact"/>
        <w:ind w:firstLine="616" w:firstLineChars="200"/>
        <w:rPr>
          <w:rFonts w:ascii="仿宋_GB2312" w:eastAsia="仿宋_GB2312"/>
          <w:spacing w:val="-6"/>
          <w:sz w:val="32"/>
          <w:szCs w:val="32"/>
        </w:rPr>
      </w:pPr>
      <w:r>
        <w:rPr>
          <w:rFonts w:ascii="仿宋_GB2312" w:eastAsia="仿宋_GB2312"/>
          <w:spacing w:val="-6"/>
          <w:sz w:val="32"/>
          <w:szCs w:val="32"/>
        </w:rPr>
        <w:t>该项目支出纳入区财政预算统一管理，在项目实施过程中，我单位严格依据《中华人民共和国会计法》《中华人民共和国预算法》做好项目实施的日常工作实施和监管，提前做好项目资金核算和预算编制，各环节的工作程序合理合法，工作开展依法依规，项目实施公开、透明，工作管理、补助资金支付与要求相符。</w:t>
      </w:r>
      <w:r>
        <w:rPr>
          <w:rFonts w:hint="eastAsia" w:ascii="仿宋_GB2312" w:eastAsia="仿宋_GB2312"/>
          <w:spacing w:val="-6"/>
          <w:sz w:val="32"/>
          <w:szCs w:val="32"/>
        </w:rPr>
        <w:t>区工商联对项目实施单位定期或不定期开展督查，对发现的问题下发整改通知书并限期整改，对发现问题整改不到位的将追究相关人员责任。</w:t>
      </w:r>
    </w:p>
    <w:p>
      <w:pPr>
        <w:autoSpaceDE w:val="0"/>
        <w:adjustRightInd w:val="0"/>
        <w:snapToGrid w:val="0"/>
        <w:spacing w:line="576" w:lineRule="exact"/>
        <w:ind w:firstLine="720"/>
        <w:rPr>
          <w:rFonts w:ascii="仿宋_GB2312" w:hAnsi="宋体" w:eastAsia="仿宋_GB2312"/>
          <w:w w:val="99"/>
          <w:sz w:val="32"/>
          <w:szCs w:val="32"/>
        </w:rPr>
      </w:pPr>
      <w:r>
        <w:rPr>
          <w:rFonts w:hint="eastAsia" w:ascii="黑体" w:hAnsi="黑体" w:eastAsia="黑体"/>
          <w:w w:val="99"/>
          <w:sz w:val="32"/>
          <w:szCs w:val="32"/>
        </w:rPr>
        <w:t>三、项目绩效情况</w:t>
      </w:r>
      <w:r>
        <w:rPr>
          <w:rFonts w:hint="eastAsia" w:ascii="仿宋_GB2312" w:hAnsi="宋体" w:eastAsia="仿宋_GB2312"/>
          <w:w w:val="99"/>
          <w:sz w:val="32"/>
          <w:szCs w:val="32"/>
        </w:rPr>
        <w:tab/>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（一）项目完成情况。</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一是召开工商联执委会、服务民营企业座谈会等会议3次,引导非公有制经济人士做到政治上自信、发展上自强、守法上自觉；二是开展考察调研、民营企业调查5次,引导非公有制经济人士建言资政，积极投身光彩事业；三是完成乡村振兴“万企兴万村”、东西部协作工作。</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质量：召开执委会、民营企业座谈会资金使用合规率100%；组织考察调研、民营企业调查资金使用合规率100%；乡村振兴“万企兴万村”、东西部协作工作资金使用合规率100%。</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时效：在2022</w:t>
      </w:r>
      <w:r>
        <w:rPr>
          <w:rFonts w:ascii="仿宋_GB2312" w:eastAsia="仿宋_GB2312"/>
          <w:spacing w:val="-6"/>
          <w:sz w:val="32"/>
          <w:szCs w:val="32"/>
        </w:rPr>
        <w:t>年年度内，按照工作要求有序推进，完成率</w:t>
      </w:r>
      <w:r>
        <w:rPr>
          <w:rFonts w:hint="eastAsia" w:ascii="仿宋_GB2312" w:eastAsia="仿宋_GB2312"/>
          <w:spacing w:val="-6"/>
          <w:sz w:val="32"/>
          <w:szCs w:val="32"/>
        </w:rPr>
        <w:t>100%</w:t>
      </w:r>
      <w:r>
        <w:rPr>
          <w:rFonts w:ascii="仿宋_GB2312" w:eastAsia="仿宋_GB2312"/>
          <w:spacing w:val="-6"/>
          <w:sz w:val="32"/>
          <w:szCs w:val="32"/>
        </w:rPr>
        <w:t>。</w:t>
      </w:r>
    </w:p>
    <w:p>
      <w:pPr>
        <w:autoSpaceDE w:val="0"/>
        <w:spacing w:line="576" w:lineRule="exact"/>
        <w:ind w:firstLine="616" w:firstLineChars="200"/>
        <w:rPr>
          <w:rFonts w:ascii="楷体_GB2312" w:hAnsi="宋体" w:eastAsia="楷体_GB2312"/>
          <w:b/>
          <w:w w:val="99"/>
          <w:sz w:val="32"/>
          <w:szCs w:val="32"/>
        </w:rPr>
      </w:pPr>
      <w:r>
        <w:rPr>
          <w:rFonts w:hint="eastAsia" w:ascii="仿宋_GB2312" w:eastAsia="仿宋_GB2312"/>
          <w:spacing w:val="-6"/>
          <w:sz w:val="32"/>
          <w:szCs w:val="32"/>
        </w:rPr>
        <w:t>成本：</w:t>
      </w:r>
      <w:r>
        <w:rPr>
          <w:rFonts w:ascii="仿宋_GB2312" w:eastAsia="仿宋_GB2312"/>
          <w:spacing w:val="-6"/>
          <w:sz w:val="32"/>
          <w:szCs w:val="32"/>
        </w:rPr>
        <w:t>整个项目完成预算资金支付率</w:t>
      </w:r>
      <w:r>
        <w:rPr>
          <w:rFonts w:hint="eastAsia" w:ascii="仿宋_GB2312" w:eastAsia="仿宋_GB2312"/>
          <w:spacing w:val="-6"/>
          <w:sz w:val="32"/>
          <w:szCs w:val="32"/>
        </w:rPr>
        <w:t>100</w:t>
      </w:r>
      <w:r>
        <w:rPr>
          <w:rFonts w:ascii="仿宋_GB2312" w:eastAsia="仿宋_GB2312"/>
          <w:spacing w:val="-6"/>
          <w:sz w:val="32"/>
          <w:szCs w:val="32"/>
        </w:rPr>
        <w:t>%。</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（二）项目效益情况。</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1.社会效益。引导非公有制经济人士建言资政，积极投身光彩事业；引导非公有制经济人士做到政治上自信、发展上自强、守法上自觉。</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2.可持续影响。促进持续成功创建全国“五好”县级工商联称号。</w:t>
      </w:r>
    </w:p>
    <w:p>
      <w:pPr>
        <w:autoSpaceDE w:val="0"/>
        <w:adjustRightInd w:val="0"/>
        <w:snapToGrid w:val="0"/>
        <w:spacing w:line="576" w:lineRule="exact"/>
        <w:ind w:firstLine="720"/>
        <w:rPr>
          <w:rFonts w:ascii="黑体" w:hAnsi="宋体" w:eastAsia="黑体"/>
          <w:w w:val="99"/>
          <w:sz w:val="32"/>
          <w:szCs w:val="32"/>
        </w:rPr>
      </w:pPr>
      <w:r>
        <w:rPr>
          <w:rFonts w:hint="eastAsia" w:ascii="黑体" w:hAnsi="黑体" w:eastAsia="黑体"/>
          <w:w w:val="99"/>
          <w:sz w:val="32"/>
          <w:szCs w:val="32"/>
        </w:rPr>
        <w:t>四、问题及建议</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（一）评价结论。</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区工商联</w:t>
      </w:r>
      <w:r>
        <w:rPr>
          <w:rFonts w:ascii="仿宋_GB2312" w:hAnsi="宋体" w:eastAsia="仿宋_GB2312"/>
          <w:w w:val="99"/>
          <w:sz w:val="32"/>
          <w:szCs w:val="32"/>
        </w:rPr>
        <w:t>在项目实施过程中，建立健全相关制度、机制，严格执行，推进各专项工作的落实。资金管理实行专项管理，严格审批制度，真正做到了专款专用，确保项目资金有效的利用。总体来说该项目决策正确，管理规范，绩效完成率好。</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（二）存在的问题。</w:t>
      </w:r>
    </w:p>
    <w:p>
      <w:pPr>
        <w:autoSpaceDE w:val="0"/>
        <w:adjustRightInd w:val="0"/>
        <w:snapToGrid w:val="0"/>
        <w:spacing w:line="576" w:lineRule="exact"/>
        <w:ind w:firstLine="720"/>
        <w:rPr>
          <w:rFonts w:ascii="仿宋_GB2312" w:hAnsi="宋体" w:eastAsia="仿宋_GB2312"/>
          <w:w w:val="99"/>
          <w:sz w:val="32"/>
          <w:szCs w:val="32"/>
        </w:rPr>
      </w:pPr>
      <w:r>
        <w:rPr>
          <w:rFonts w:ascii="仿宋_GB2312" w:hAnsi="宋体" w:eastAsia="仿宋_GB2312"/>
          <w:w w:val="99"/>
          <w:sz w:val="32"/>
          <w:szCs w:val="32"/>
        </w:rPr>
        <w:t>经绩效评价未发现本项目存在重大财经事项。</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（三）相关建议。</w:t>
      </w:r>
    </w:p>
    <w:p>
      <w:pPr>
        <w:pStyle w:val="13"/>
        <w:shd w:val="clear" w:color="auto" w:fill="FFFFFF"/>
        <w:spacing w:beforeAutospacing="0" w:afterAutospacing="0" w:line="576" w:lineRule="exact"/>
        <w:ind w:firstLine="660"/>
        <w:rPr>
          <w:rFonts w:ascii="仿宋_GB2312" w:eastAsia="仿宋_GB2312"/>
          <w:w w:val="99"/>
          <w:kern w:val="2"/>
          <w:sz w:val="32"/>
          <w:szCs w:val="32"/>
        </w:rPr>
      </w:pPr>
      <w:r>
        <w:rPr>
          <w:rFonts w:hint="eastAsia" w:ascii="仿宋_GB2312" w:eastAsia="仿宋_GB2312" w:cs="Times New Roman"/>
          <w:w w:val="99"/>
          <w:kern w:val="2"/>
          <w:sz w:val="32"/>
          <w:szCs w:val="32"/>
        </w:rPr>
        <w:t>1.加强预算执行目标绩效管理。严格按照财政项目支出绩效管理办法，加强部门绩效管理的指导，提高绩效管理人员的绩效管理能力。不断提高资金使用管理的水平。</w:t>
      </w:r>
    </w:p>
    <w:p>
      <w:pPr>
        <w:pStyle w:val="13"/>
        <w:shd w:val="clear" w:color="auto" w:fill="FFFFFF"/>
        <w:spacing w:beforeAutospacing="0" w:afterAutospacing="0" w:line="576" w:lineRule="exact"/>
        <w:ind w:firstLine="660"/>
        <w:rPr>
          <w:rFonts w:ascii="仿宋_GB2312" w:eastAsia="仿宋_GB2312"/>
          <w:w w:val="99"/>
          <w:kern w:val="2"/>
          <w:sz w:val="32"/>
          <w:szCs w:val="32"/>
        </w:rPr>
      </w:pPr>
      <w:r>
        <w:rPr>
          <w:rFonts w:ascii="仿宋_GB2312" w:eastAsia="仿宋_GB2312" w:cs="Times New Roman"/>
          <w:w w:val="99"/>
          <w:kern w:val="2"/>
          <w:sz w:val="32"/>
          <w:szCs w:val="32"/>
        </w:rPr>
        <w:t>2.做好对项目实施跟踪检查工作。项目实施过程中应定期或不定期对项目实施情况和经费使用情况进行检查，以便更好掌握项目实施进度，确保项目能顺利开展，实现预期的绩效目标。</w:t>
      </w:r>
    </w:p>
    <w:p>
      <w:pPr>
        <w:widowControl/>
        <w:spacing w:line="576" w:lineRule="exact"/>
        <w:contextualSpacing/>
        <w:jc w:val="center"/>
        <w:rPr>
          <w:rFonts w:ascii="方正小标宋简体" w:hAnsi="方正小标宋简体" w:eastAsia="方正小标宋简体" w:cs="方正小标宋简体"/>
          <w:bCs/>
          <w:sz w:val="44"/>
          <w:szCs w:val="44"/>
          <w:shd w:val="clear" w:color="auto" w:fill="FFFFFF"/>
        </w:rPr>
      </w:pPr>
    </w:p>
    <w:p>
      <w:pPr>
        <w:widowControl/>
        <w:spacing w:line="576" w:lineRule="exact"/>
        <w:contextualSpacing/>
        <w:jc w:val="center"/>
        <w:rPr>
          <w:rFonts w:ascii="方正小标宋简体" w:hAnsi="方正小标宋简体" w:eastAsia="方正小标宋简体" w:cs="方正小标宋简体"/>
          <w:bCs/>
          <w:sz w:val="44"/>
          <w:szCs w:val="44"/>
          <w:shd w:val="clear" w:color="auto" w:fill="FFFFFF"/>
        </w:rPr>
      </w:pPr>
    </w:p>
    <w:p>
      <w:pPr>
        <w:pStyle w:val="5"/>
        <w:rPr>
          <w:rFonts w:ascii="方正小标宋简体" w:hAnsi="方正小标宋简体" w:eastAsia="方正小标宋简体" w:cs="方正小标宋简体"/>
          <w:bCs/>
          <w:sz w:val="44"/>
          <w:szCs w:val="44"/>
          <w:shd w:val="clear" w:color="auto" w:fill="FFFFFF"/>
        </w:rPr>
      </w:pPr>
    </w:p>
    <w:p>
      <w:pPr>
        <w:pStyle w:val="5"/>
        <w:rPr>
          <w:rFonts w:ascii="方正小标宋简体" w:hAnsi="方正小标宋简体" w:eastAsia="方正小标宋简体" w:cs="方正小标宋简体"/>
          <w:bCs/>
          <w:sz w:val="44"/>
          <w:szCs w:val="44"/>
          <w:shd w:val="clear" w:color="auto" w:fill="FFFFFF"/>
        </w:rPr>
      </w:pPr>
    </w:p>
    <w:p>
      <w:pPr>
        <w:pStyle w:val="5"/>
        <w:rPr>
          <w:rFonts w:ascii="方正小标宋简体" w:hAnsi="方正小标宋简体" w:eastAsia="方正小标宋简体" w:cs="方正小标宋简体"/>
          <w:bCs/>
          <w:sz w:val="44"/>
          <w:szCs w:val="44"/>
          <w:shd w:val="clear" w:color="auto" w:fill="FFFFFF"/>
        </w:rPr>
      </w:pPr>
    </w:p>
    <w:p>
      <w:pPr>
        <w:pStyle w:val="5"/>
        <w:rPr>
          <w:rFonts w:ascii="方正小标宋简体" w:hAnsi="方正小标宋简体" w:eastAsia="方正小标宋简体" w:cs="方正小标宋简体"/>
          <w:bCs/>
          <w:sz w:val="44"/>
          <w:szCs w:val="44"/>
          <w:shd w:val="clear" w:color="auto" w:fill="FFFFFF"/>
        </w:rPr>
      </w:pPr>
    </w:p>
    <w:p>
      <w:pPr>
        <w:pStyle w:val="5"/>
        <w:rPr>
          <w:rFonts w:ascii="方正小标宋简体" w:hAnsi="方正小标宋简体" w:eastAsia="方正小标宋简体" w:cs="方正小标宋简体"/>
          <w:bCs/>
          <w:sz w:val="44"/>
          <w:szCs w:val="44"/>
          <w:shd w:val="clear" w:color="auto" w:fill="FFFFFF"/>
        </w:rPr>
      </w:pPr>
    </w:p>
    <w:p>
      <w:pPr>
        <w:pStyle w:val="5"/>
        <w:rPr>
          <w:rFonts w:ascii="方正小标宋简体" w:hAnsi="方正小标宋简体" w:eastAsia="方正小标宋简体" w:cs="方正小标宋简体"/>
          <w:bCs/>
          <w:sz w:val="44"/>
          <w:szCs w:val="44"/>
          <w:shd w:val="clear" w:color="auto" w:fill="FFFFFF"/>
        </w:rPr>
      </w:pPr>
    </w:p>
    <w:p>
      <w:pPr>
        <w:pStyle w:val="5"/>
        <w:rPr>
          <w:rFonts w:ascii="方正小标宋简体" w:hAnsi="方正小标宋简体" w:eastAsia="方正小标宋简体" w:cs="方正小标宋简体"/>
          <w:bCs/>
          <w:sz w:val="44"/>
          <w:szCs w:val="44"/>
          <w:shd w:val="clear" w:color="auto" w:fill="FFFFFF"/>
        </w:rPr>
      </w:pPr>
    </w:p>
    <w:p>
      <w:pPr>
        <w:widowControl/>
        <w:spacing w:line="576" w:lineRule="exact"/>
        <w:contextualSpacing/>
        <w:jc w:val="both"/>
        <w:rPr>
          <w:rFonts w:ascii="方正小标宋简体" w:hAnsi="方正小标宋简体" w:eastAsia="方正小标宋简体" w:cs="方正小标宋简体"/>
          <w:bCs/>
          <w:sz w:val="44"/>
          <w:szCs w:val="44"/>
          <w:shd w:val="clear" w:color="auto" w:fill="FFFFFF"/>
        </w:rPr>
      </w:pPr>
    </w:p>
    <w:p>
      <w:pPr>
        <w:widowControl/>
        <w:spacing w:line="576" w:lineRule="exact"/>
        <w:contextualSpacing/>
        <w:jc w:val="center"/>
        <w:rPr>
          <w:rFonts w:ascii="方正小标宋简体" w:hAnsi="方正小标宋简体" w:eastAsia="方正小标宋简体" w:cs="方正小标宋简体"/>
          <w:bCs/>
          <w:sz w:val="44"/>
          <w:szCs w:val="44"/>
          <w:shd w:val="clear" w:color="auto" w:fill="FFFFFF"/>
        </w:rPr>
      </w:pPr>
    </w:p>
    <w:p>
      <w:pPr>
        <w:widowControl/>
        <w:spacing w:line="576" w:lineRule="exact"/>
        <w:contextualSpacing/>
        <w:jc w:val="center"/>
        <w:rPr>
          <w:rFonts w:hint="eastAsia" w:ascii="方正小标宋简体" w:hAnsi="方正小标宋简体" w:eastAsia="方正小标宋简体" w:cs="方正小标宋简体"/>
          <w:bCs/>
          <w:sz w:val="44"/>
          <w:szCs w:val="44"/>
          <w:shd w:val="clear" w:color="auto" w:fill="FFFFFF"/>
        </w:rPr>
      </w:pPr>
    </w:p>
    <w:p>
      <w:pPr>
        <w:widowControl/>
        <w:spacing w:line="576" w:lineRule="exact"/>
        <w:contextualSpacing/>
        <w:jc w:val="center"/>
        <w:rPr>
          <w:rFonts w:hint="eastAsia" w:ascii="方正小标宋简体" w:hAnsi="方正小标宋简体" w:eastAsia="方正小标宋简体" w:cs="方正小标宋简体"/>
          <w:bCs/>
          <w:sz w:val="44"/>
          <w:szCs w:val="44"/>
          <w:shd w:val="clear" w:color="auto" w:fill="FFFFFF"/>
        </w:rPr>
      </w:pPr>
    </w:p>
    <w:p>
      <w:pPr>
        <w:widowControl/>
        <w:spacing w:line="576" w:lineRule="exact"/>
        <w:contextualSpacing/>
        <w:jc w:val="center"/>
        <w:rPr>
          <w:rFonts w:hint="eastAsia" w:ascii="方正小标宋简体" w:hAnsi="方正小标宋简体" w:eastAsia="方正小标宋简体" w:cs="方正小标宋简体"/>
          <w:bCs/>
          <w:sz w:val="44"/>
          <w:szCs w:val="44"/>
          <w:shd w:val="clear" w:color="auto" w:fill="FFFFFF"/>
        </w:rPr>
      </w:pPr>
    </w:p>
    <w:p>
      <w:pPr>
        <w:widowControl/>
        <w:spacing w:line="576" w:lineRule="exact"/>
        <w:contextualSpacing/>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广元市朝天区工商业联合会</w:t>
      </w:r>
    </w:p>
    <w:p>
      <w:pPr>
        <w:autoSpaceDE w:val="0"/>
        <w:spacing w:line="576" w:lineRule="exact"/>
        <w:jc w:val="center"/>
        <w:rPr>
          <w:rFonts w:ascii="方正小标宋简体" w:hAnsi="方正小标宋简体" w:eastAsia="方正小标宋简体" w:cs="方正小标宋简体"/>
          <w:bCs/>
          <w:color w:val="000000"/>
          <w:w w:val="90"/>
          <w:kern w:val="0"/>
          <w:sz w:val="44"/>
          <w:szCs w:val="44"/>
        </w:rPr>
      </w:pPr>
      <w:r>
        <w:rPr>
          <w:rFonts w:hint="eastAsia" w:ascii="方正小标宋简体" w:hAnsi="方正小标宋简体" w:eastAsia="方正小标宋简体" w:cs="方正小标宋简体"/>
          <w:bCs/>
          <w:color w:val="000000"/>
          <w:w w:val="90"/>
          <w:kern w:val="0"/>
          <w:sz w:val="44"/>
          <w:szCs w:val="44"/>
        </w:rPr>
        <w:t>培育和发展商会组织项目支出绩效自评报告</w:t>
      </w:r>
    </w:p>
    <w:p>
      <w:pPr>
        <w:autoSpaceDE w:val="0"/>
        <w:adjustRightInd w:val="0"/>
        <w:snapToGrid w:val="0"/>
        <w:spacing w:line="576" w:lineRule="exact"/>
        <w:ind w:firstLine="720"/>
        <w:rPr>
          <w:rFonts w:ascii="黑体" w:hAnsi="黑体" w:eastAsia="黑体"/>
          <w:w w:val="99"/>
          <w:sz w:val="32"/>
          <w:szCs w:val="32"/>
        </w:rPr>
      </w:pPr>
    </w:p>
    <w:p>
      <w:pPr>
        <w:autoSpaceDE w:val="0"/>
        <w:adjustRightInd w:val="0"/>
        <w:snapToGrid w:val="0"/>
        <w:spacing w:line="576" w:lineRule="exact"/>
        <w:ind w:firstLine="720"/>
        <w:rPr>
          <w:rFonts w:ascii="黑体" w:hAnsi="宋体" w:eastAsia="黑体"/>
          <w:w w:val="99"/>
          <w:sz w:val="32"/>
          <w:szCs w:val="32"/>
        </w:rPr>
      </w:pPr>
      <w:r>
        <w:rPr>
          <w:rFonts w:hint="eastAsia" w:ascii="黑体" w:hAnsi="黑体" w:eastAsia="黑体"/>
          <w:w w:val="99"/>
          <w:sz w:val="32"/>
          <w:szCs w:val="32"/>
        </w:rPr>
        <w:t>一、项目概况</w:t>
      </w:r>
    </w:p>
    <w:p>
      <w:pPr>
        <w:autoSpaceDE w:val="0"/>
        <w:spacing w:line="576" w:lineRule="exact"/>
        <w:ind w:firstLine="619" w:firstLineChars="200"/>
        <w:rPr>
          <w:rFonts w:ascii="楷体_GB2312" w:eastAsia="楷体_GB2312"/>
          <w:b/>
          <w:spacing w:val="-6"/>
          <w:sz w:val="32"/>
          <w:szCs w:val="32"/>
        </w:rPr>
      </w:pPr>
      <w:r>
        <w:rPr>
          <w:rFonts w:hint="eastAsia" w:ascii="楷体_GB2312" w:eastAsia="楷体_GB2312"/>
          <w:b/>
          <w:spacing w:val="-6"/>
          <w:sz w:val="32"/>
          <w:szCs w:val="32"/>
        </w:rPr>
        <w:t>（一）项目资金申报及批复情况。</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项目资金申报6万元；广朝财发〔2023〕9号文件批复下达2022年培育和发展商会组织项目6万元，</w:t>
      </w:r>
      <w:r>
        <w:rPr>
          <w:rFonts w:hint="eastAsia" w:ascii="仿宋_GB2312" w:hAnsi="宋体" w:eastAsia="仿宋_GB2312"/>
          <w:w w:val="99"/>
          <w:sz w:val="32"/>
          <w:szCs w:val="32"/>
          <w:lang w:val="en-US" w:eastAsia="zh-CN"/>
        </w:rPr>
        <w:t>调整预算指标4.42万元，</w:t>
      </w:r>
      <w:r>
        <w:rPr>
          <w:rFonts w:hint="eastAsia" w:ascii="仿宋_GB2312" w:hAnsi="宋体" w:eastAsia="仿宋_GB2312"/>
          <w:w w:val="99"/>
          <w:sz w:val="32"/>
          <w:szCs w:val="32"/>
        </w:rPr>
        <w:t>符合资金管理办法等相关规定。</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（二）项目绩效目标。</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1.项目主要内容：一是外出考察筹建异地商会，推动成立异地商会。二是加强12个乡镇商会和2个异地商会管理，立足商会职能，发挥商会优势，把商会会员力量凝聚到经济</w:t>
      </w:r>
      <w:bookmarkStart w:id="67" w:name="_GoBack"/>
      <w:r>
        <w:rPr>
          <w:rFonts w:hint="eastAsia" w:ascii="仿宋_GB2312" w:hAnsi="宋体" w:eastAsia="仿宋_GB2312"/>
          <w:w w:val="99"/>
          <w:sz w:val="32"/>
          <w:szCs w:val="32"/>
        </w:rPr>
        <w:t>建设上来，促进地方经济发展。三引导商会参与乡村振兴，</w:t>
      </w:r>
      <w:bookmarkEnd w:id="67"/>
      <w:r>
        <w:rPr>
          <w:rFonts w:hint="eastAsia" w:ascii="仿宋_GB2312" w:hAnsi="宋体" w:eastAsia="仿宋_GB2312"/>
          <w:w w:val="99"/>
          <w:sz w:val="32"/>
          <w:szCs w:val="32"/>
        </w:rPr>
        <w:t>组织商会开展活动。</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2.项目绩效目标。一是外出考察筹建异地商会4次，推动成立异地商会。二是加强12个乡镇商会和2个异地商会管理，立足商会职能，发挥商会优势，把商会会员力量凝聚到经济建设上来，促进地方经济发展。三引导商会参与乡村振兴，组织商会开展活动6次以上。</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3.项目资金申报相符性：该项目资金与具体实施内容相符、申报目标合理可行。</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（三）项目自评步骤及方法。</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本次绩效评价根据工作实际开展，通过对项目管理薄弱环节、问题易发点、绩效管理等进行梳理，作为项目评价重点和目标。秉承客观、公正和实事求是的原则。主要从项目决策是否合理、实施过程是否合规和取得效益是否明显三个指标方面进行评价。</w:t>
      </w:r>
    </w:p>
    <w:p>
      <w:pPr>
        <w:autoSpaceDE w:val="0"/>
        <w:adjustRightInd w:val="0"/>
        <w:snapToGrid w:val="0"/>
        <w:spacing w:line="576" w:lineRule="exact"/>
        <w:ind w:firstLine="720"/>
        <w:rPr>
          <w:rFonts w:ascii="黑体" w:hAnsi="宋体" w:eastAsia="黑体"/>
          <w:w w:val="99"/>
          <w:sz w:val="32"/>
          <w:szCs w:val="32"/>
        </w:rPr>
      </w:pPr>
      <w:r>
        <w:rPr>
          <w:rFonts w:hint="eastAsia" w:ascii="黑体" w:hAnsi="黑体" w:eastAsia="黑体"/>
          <w:w w:val="99"/>
          <w:sz w:val="32"/>
          <w:szCs w:val="32"/>
        </w:rPr>
        <w:t>二、项目资金申报及使用情况</w:t>
      </w:r>
    </w:p>
    <w:p>
      <w:pPr>
        <w:autoSpaceDE w:val="0"/>
        <w:adjustRightInd w:val="0"/>
        <w:snapToGrid w:val="0"/>
        <w:spacing w:line="576" w:lineRule="exact"/>
        <w:ind w:firstLine="720"/>
        <w:rPr>
          <w:rFonts w:ascii="仿宋_GB2312" w:hAnsi="宋体" w:eastAsia="仿宋_GB2312"/>
          <w:w w:val="99"/>
          <w:sz w:val="32"/>
          <w:szCs w:val="32"/>
        </w:rPr>
      </w:pPr>
      <w:r>
        <w:rPr>
          <w:rFonts w:hint="eastAsia" w:ascii="楷体_GB2312" w:eastAsia="楷体_GB2312"/>
          <w:b/>
          <w:spacing w:val="-6"/>
          <w:sz w:val="32"/>
          <w:szCs w:val="32"/>
        </w:rPr>
        <w:t>（一）资金计划、到位及使用情况</w:t>
      </w:r>
      <w:r>
        <w:rPr>
          <w:rFonts w:hint="eastAsia" w:ascii="楷体_GB2312" w:hAnsi="宋体" w:eastAsia="楷体_GB2312"/>
          <w:b/>
          <w:w w:val="99"/>
          <w:sz w:val="32"/>
          <w:szCs w:val="32"/>
        </w:rPr>
        <w:t>（可用表格形式反映）。</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1.资金计划及到位。2022年，根据</w:t>
      </w:r>
      <w:r>
        <w:rPr>
          <w:rFonts w:hint="eastAsia" w:ascii="仿宋_GB2312" w:hAnsi="宋体" w:eastAsia="仿宋_GB2312"/>
          <w:w w:val="99"/>
          <w:sz w:val="32"/>
          <w:szCs w:val="32"/>
        </w:rPr>
        <w:t>培育和发展商会组织</w:t>
      </w:r>
      <w:r>
        <w:rPr>
          <w:rFonts w:hint="eastAsia" w:ascii="仿宋_GB2312" w:eastAsia="仿宋_GB2312"/>
          <w:spacing w:val="-6"/>
          <w:sz w:val="32"/>
          <w:szCs w:val="32"/>
        </w:rPr>
        <w:t>工作计划安排，</w:t>
      </w:r>
      <w:r>
        <w:rPr>
          <w:rFonts w:hint="eastAsia" w:ascii="仿宋_GB2312" w:hAnsi="宋体" w:eastAsia="仿宋_GB2312"/>
          <w:w w:val="99"/>
          <w:sz w:val="32"/>
          <w:szCs w:val="32"/>
        </w:rPr>
        <w:t>培育和发展商会组织项目</w:t>
      </w:r>
      <w:r>
        <w:rPr>
          <w:rFonts w:hint="eastAsia" w:ascii="仿宋_GB2312" w:eastAsia="仿宋_GB2312"/>
          <w:spacing w:val="-6"/>
          <w:sz w:val="32"/>
          <w:szCs w:val="32"/>
        </w:rPr>
        <w:t>资金共下达</w:t>
      </w:r>
      <w:r>
        <w:rPr>
          <w:rFonts w:hint="eastAsia" w:ascii="仿宋_GB2312" w:hAnsi="宋体" w:eastAsia="仿宋_GB2312"/>
          <w:w w:val="99"/>
          <w:sz w:val="32"/>
          <w:szCs w:val="32"/>
          <w:lang w:val="en-US" w:eastAsia="zh-CN"/>
        </w:rPr>
        <w:t>4.42</w:t>
      </w:r>
      <w:r>
        <w:rPr>
          <w:rFonts w:ascii="仿宋_GB2312" w:eastAsia="仿宋_GB2312"/>
          <w:spacing w:val="-6"/>
          <w:sz w:val="32"/>
          <w:szCs w:val="32"/>
        </w:rPr>
        <w:t>万元。</w:t>
      </w:r>
      <w:r>
        <w:rPr>
          <w:rFonts w:hint="eastAsia" w:ascii="仿宋_GB2312" w:eastAsia="仿宋_GB2312"/>
          <w:spacing w:val="-6"/>
          <w:sz w:val="32"/>
          <w:szCs w:val="32"/>
        </w:rPr>
        <w:t>2022年</w:t>
      </w:r>
      <w:r>
        <w:rPr>
          <w:rFonts w:hint="eastAsia" w:ascii="仿宋_GB2312" w:hAnsi="宋体" w:eastAsia="仿宋_GB2312"/>
          <w:w w:val="99"/>
          <w:sz w:val="32"/>
          <w:szCs w:val="32"/>
        </w:rPr>
        <w:t>培育和发展商会组织项目</w:t>
      </w:r>
      <w:r>
        <w:rPr>
          <w:rFonts w:hint="eastAsia" w:ascii="仿宋_GB2312" w:hAnsi="宋体" w:eastAsia="仿宋_GB2312"/>
          <w:w w:val="99"/>
          <w:sz w:val="32"/>
          <w:szCs w:val="32"/>
          <w:lang w:val="en-US" w:eastAsia="zh-CN"/>
        </w:rPr>
        <w:t>4.42</w:t>
      </w:r>
      <w:r>
        <w:rPr>
          <w:rFonts w:ascii="仿宋_GB2312" w:eastAsia="仿宋_GB2312"/>
          <w:spacing w:val="-6"/>
          <w:sz w:val="32"/>
          <w:szCs w:val="32"/>
        </w:rPr>
        <w:t>万元全部及时到位，资金到位率100%，到位及时性100%。</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2.资金使用。</w:t>
      </w:r>
      <w:r>
        <w:rPr>
          <w:rFonts w:ascii="仿宋_GB2312" w:eastAsia="仿宋_GB2312"/>
          <w:spacing w:val="-6"/>
          <w:sz w:val="32"/>
          <w:szCs w:val="32"/>
        </w:rPr>
        <w:t>整个项目完成预算资金支付率</w:t>
      </w:r>
      <w:r>
        <w:rPr>
          <w:rFonts w:hint="eastAsia" w:ascii="仿宋_GB2312" w:eastAsia="仿宋_GB2312"/>
          <w:spacing w:val="-6"/>
          <w:sz w:val="32"/>
          <w:szCs w:val="32"/>
          <w:lang w:val="en-US" w:eastAsia="zh-CN"/>
        </w:rPr>
        <w:t>100</w:t>
      </w:r>
      <w:r>
        <w:rPr>
          <w:rFonts w:ascii="仿宋_GB2312" w:eastAsia="仿宋_GB2312"/>
          <w:spacing w:val="-6"/>
          <w:sz w:val="32"/>
          <w:szCs w:val="32"/>
        </w:rPr>
        <w:t>%。</w:t>
      </w:r>
    </w:p>
    <w:p>
      <w:pPr>
        <w:autoSpaceDE w:val="0"/>
        <w:spacing w:line="576" w:lineRule="exact"/>
        <w:ind w:firstLine="619" w:firstLineChars="200"/>
        <w:rPr>
          <w:rFonts w:ascii="楷体_GB2312" w:eastAsia="楷体_GB2312"/>
          <w:bCs/>
          <w:spacing w:val="-6"/>
          <w:sz w:val="32"/>
          <w:szCs w:val="32"/>
        </w:rPr>
      </w:pPr>
      <w:r>
        <w:rPr>
          <w:rFonts w:hint="eastAsia" w:ascii="楷体_GB2312" w:eastAsia="楷体_GB2312"/>
          <w:b/>
          <w:spacing w:val="-6"/>
          <w:sz w:val="32"/>
          <w:szCs w:val="32"/>
        </w:rPr>
        <w:t>（二）项目财务管理情况</w:t>
      </w:r>
    </w:p>
    <w:p>
      <w:pPr>
        <w:autoSpaceDE w:val="0"/>
        <w:spacing w:line="576" w:lineRule="exact"/>
        <w:ind w:firstLine="616" w:firstLineChars="200"/>
        <w:rPr>
          <w:rFonts w:ascii="仿宋_GB2312" w:eastAsia="仿宋_GB2312"/>
          <w:spacing w:val="-6"/>
          <w:sz w:val="32"/>
          <w:szCs w:val="32"/>
        </w:rPr>
      </w:pPr>
      <w:r>
        <w:rPr>
          <w:rFonts w:ascii="仿宋_GB2312" w:eastAsia="仿宋_GB2312"/>
          <w:spacing w:val="-6"/>
          <w:sz w:val="32"/>
          <w:szCs w:val="32"/>
        </w:rPr>
        <w:t>健全财务管理制度建设，在工作推进中严格依照《中华人民共和国会计法》《中华人民共和国预算法》及相关财务管理规定执行财务管理。通过对2022年单位项目预算执行进行全面的控制和管理，费用支出做到依法依规、专款专用，财务处理及时、会计核算规范，未出现资金违规使用情况。</w:t>
      </w:r>
    </w:p>
    <w:p>
      <w:pPr>
        <w:autoSpaceDE w:val="0"/>
        <w:spacing w:line="576" w:lineRule="exact"/>
        <w:ind w:firstLine="619" w:firstLineChars="200"/>
        <w:rPr>
          <w:rFonts w:ascii="楷体_GB2312" w:eastAsia="楷体_GB2312"/>
          <w:b/>
          <w:spacing w:val="-6"/>
          <w:sz w:val="32"/>
          <w:szCs w:val="32"/>
        </w:rPr>
      </w:pPr>
      <w:r>
        <w:rPr>
          <w:rFonts w:hint="eastAsia" w:ascii="楷体_GB2312" w:eastAsia="楷体_GB2312"/>
          <w:b/>
          <w:spacing w:val="-6"/>
          <w:sz w:val="32"/>
          <w:szCs w:val="32"/>
        </w:rPr>
        <w:t>（三）项目组织实施情况</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1.项目组织架构及实施流程。</w:t>
      </w:r>
    </w:p>
    <w:p>
      <w:pPr>
        <w:autoSpaceDE w:val="0"/>
        <w:spacing w:line="576" w:lineRule="exact"/>
        <w:ind w:firstLine="616" w:firstLineChars="200"/>
        <w:rPr>
          <w:rFonts w:ascii="仿宋_GB2312" w:eastAsia="仿宋_GB2312"/>
          <w:spacing w:val="-6"/>
          <w:sz w:val="32"/>
          <w:szCs w:val="32"/>
        </w:rPr>
      </w:pPr>
      <w:r>
        <w:rPr>
          <w:rFonts w:ascii="仿宋_GB2312" w:eastAsia="仿宋_GB2312"/>
          <w:spacing w:val="-6"/>
          <w:sz w:val="32"/>
          <w:szCs w:val="32"/>
        </w:rPr>
        <w:t>项目评价由</w:t>
      </w:r>
      <w:r>
        <w:rPr>
          <w:rFonts w:hint="eastAsia" w:ascii="仿宋_GB2312" w:eastAsia="仿宋_GB2312"/>
          <w:spacing w:val="-6"/>
          <w:sz w:val="32"/>
          <w:szCs w:val="32"/>
        </w:rPr>
        <w:t>区工商联</w:t>
      </w:r>
      <w:r>
        <w:rPr>
          <w:rFonts w:ascii="仿宋_GB2312" w:eastAsia="仿宋_GB2312"/>
          <w:spacing w:val="-6"/>
          <w:sz w:val="32"/>
          <w:szCs w:val="32"/>
        </w:rPr>
        <w:t>组织，通过查阅项目资料、检查资金使用、项目建设有关账目等对项目实施绩效评价，对照绩效目标逐条查看附件资料，实地查看项目进展，查找项目在实施过程中的问题，总结项目成绩和存在问题。</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2.项目管理情况。</w:t>
      </w:r>
    </w:p>
    <w:p>
      <w:pPr>
        <w:autoSpaceDE w:val="0"/>
        <w:spacing w:line="576" w:lineRule="exact"/>
        <w:ind w:firstLine="616" w:firstLineChars="200"/>
        <w:rPr>
          <w:rFonts w:ascii="仿宋_GB2312" w:eastAsia="仿宋_GB2312"/>
          <w:spacing w:val="-6"/>
          <w:sz w:val="32"/>
          <w:szCs w:val="32"/>
        </w:rPr>
      </w:pPr>
      <w:r>
        <w:rPr>
          <w:rFonts w:ascii="仿宋_GB2312" w:eastAsia="仿宋_GB2312"/>
          <w:spacing w:val="-6"/>
          <w:sz w:val="32"/>
          <w:szCs w:val="32"/>
        </w:rPr>
        <w:t>该项目由</w:t>
      </w:r>
      <w:r>
        <w:rPr>
          <w:rFonts w:hint="eastAsia" w:ascii="仿宋_GB2312" w:eastAsia="仿宋_GB2312"/>
          <w:spacing w:val="-6"/>
          <w:sz w:val="32"/>
          <w:szCs w:val="32"/>
        </w:rPr>
        <w:t>区工商联</w:t>
      </w:r>
      <w:r>
        <w:rPr>
          <w:rFonts w:ascii="仿宋_GB2312" w:eastAsia="仿宋_GB2312"/>
          <w:spacing w:val="-6"/>
          <w:sz w:val="32"/>
          <w:szCs w:val="32"/>
        </w:rPr>
        <w:t>负责实施，</w:t>
      </w:r>
      <w:r>
        <w:rPr>
          <w:rFonts w:hint="eastAsia" w:ascii="仿宋_GB2312" w:eastAsia="仿宋_GB2312"/>
          <w:spacing w:val="-6"/>
          <w:sz w:val="32"/>
          <w:szCs w:val="32"/>
        </w:rPr>
        <w:t>区工商联办公室</w:t>
      </w:r>
      <w:r>
        <w:rPr>
          <w:rFonts w:ascii="仿宋_GB2312" w:eastAsia="仿宋_GB2312"/>
          <w:spacing w:val="-6"/>
          <w:sz w:val="32"/>
          <w:szCs w:val="32"/>
        </w:rPr>
        <w:t>负责对</w:t>
      </w:r>
      <w:r>
        <w:rPr>
          <w:rFonts w:hint="eastAsia" w:ascii="仿宋_GB2312" w:eastAsia="仿宋_GB2312"/>
          <w:spacing w:val="-6"/>
          <w:sz w:val="32"/>
          <w:szCs w:val="32"/>
        </w:rPr>
        <w:t>工作开展情况进行核对并</w:t>
      </w:r>
      <w:r>
        <w:rPr>
          <w:rFonts w:ascii="仿宋_GB2312" w:eastAsia="仿宋_GB2312"/>
          <w:spacing w:val="-6"/>
          <w:sz w:val="32"/>
          <w:szCs w:val="32"/>
        </w:rPr>
        <w:t>作为</w:t>
      </w:r>
      <w:r>
        <w:rPr>
          <w:rFonts w:hint="eastAsia" w:ascii="仿宋_GB2312" w:eastAsia="仿宋_GB2312"/>
          <w:spacing w:val="-6"/>
          <w:sz w:val="32"/>
          <w:szCs w:val="32"/>
        </w:rPr>
        <w:t>资金支付</w:t>
      </w:r>
      <w:r>
        <w:rPr>
          <w:rFonts w:ascii="仿宋_GB2312" w:eastAsia="仿宋_GB2312"/>
          <w:spacing w:val="-6"/>
          <w:sz w:val="32"/>
          <w:szCs w:val="32"/>
        </w:rPr>
        <w:t>主要依据，按照实际情况进行申报，</w:t>
      </w:r>
      <w:r>
        <w:rPr>
          <w:rFonts w:hint="eastAsia" w:ascii="仿宋_GB2312" w:eastAsia="仿宋_GB2312"/>
          <w:spacing w:val="-6"/>
          <w:sz w:val="32"/>
          <w:szCs w:val="32"/>
        </w:rPr>
        <w:t>区工商联财务人员</w:t>
      </w:r>
      <w:r>
        <w:rPr>
          <w:rFonts w:ascii="仿宋_GB2312" w:eastAsia="仿宋_GB2312"/>
          <w:spacing w:val="-6"/>
          <w:sz w:val="32"/>
          <w:szCs w:val="32"/>
        </w:rPr>
        <w:t>负责资金发放。项目实施过程严格执行相关法律法规，合理确定职能职责，做到人尽其才，物尽其用。通过建立健全项目管理制度、目标考核制度、资金管理制度等相关制度。严格经费管理，确保</w:t>
      </w:r>
      <w:r>
        <w:rPr>
          <w:rFonts w:hint="eastAsia" w:ascii="仿宋_GB2312" w:eastAsia="仿宋_GB2312"/>
          <w:spacing w:val="-6"/>
          <w:sz w:val="32"/>
          <w:szCs w:val="32"/>
        </w:rPr>
        <w:t>工商业业务</w:t>
      </w:r>
      <w:r>
        <w:rPr>
          <w:rFonts w:ascii="仿宋_GB2312" w:eastAsia="仿宋_GB2312"/>
          <w:spacing w:val="-6"/>
          <w:sz w:val="32"/>
          <w:szCs w:val="32"/>
        </w:rPr>
        <w:t>工作正常运转。通过建立长效机制，规范经费支出，保证工作效率。</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3.项目监管情况。</w:t>
      </w:r>
    </w:p>
    <w:p>
      <w:pPr>
        <w:autoSpaceDE w:val="0"/>
        <w:spacing w:line="576" w:lineRule="exact"/>
        <w:ind w:firstLine="616" w:firstLineChars="200"/>
        <w:rPr>
          <w:rFonts w:ascii="仿宋_GB2312" w:eastAsia="仿宋_GB2312"/>
          <w:spacing w:val="-6"/>
          <w:sz w:val="32"/>
          <w:szCs w:val="32"/>
        </w:rPr>
      </w:pPr>
      <w:r>
        <w:rPr>
          <w:rFonts w:ascii="仿宋_GB2312" w:eastAsia="仿宋_GB2312"/>
          <w:spacing w:val="-6"/>
          <w:sz w:val="32"/>
          <w:szCs w:val="32"/>
        </w:rPr>
        <w:t>该项目支出纳入区财政预算统一管理，在项目实施过程中，我单位严格依据《中华人民共和国会计法》《中华人民共和国预算法》做好项目实施的日常工作实施和监管，提前做好项目资金核算和预算编制，各环节的工作程序合理合法，工作开展依法依规，项目实施公开、透明，工作管理、补助资金支付与要求相符。</w:t>
      </w:r>
      <w:r>
        <w:rPr>
          <w:rFonts w:hint="eastAsia" w:ascii="仿宋_GB2312" w:eastAsia="仿宋_GB2312"/>
          <w:spacing w:val="-6"/>
          <w:sz w:val="32"/>
          <w:szCs w:val="32"/>
        </w:rPr>
        <w:t>区工商联对项目实施单位定期或不定期开展督查，对发现的问题下发整改通知书并限期整改，对发现问题整改不到位的将追究相关人员责任。</w:t>
      </w:r>
    </w:p>
    <w:p>
      <w:pPr>
        <w:autoSpaceDE w:val="0"/>
        <w:adjustRightInd w:val="0"/>
        <w:snapToGrid w:val="0"/>
        <w:spacing w:line="576" w:lineRule="exact"/>
        <w:ind w:firstLine="720"/>
        <w:rPr>
          <w:rFonts w:ascii="仿宋_GB2312" w:hAnsi="宋体" w:eastAsia="仿宋_GB2312"/>
          <w:w w:val="99"/>
          <w:sz w:val="32"/>
          <w:szCs w:val="32"/>
        </w:rPr>
      </w:pPr>
      <w:r>
        <w:rPr>
          <w:rFonts w:hint="eastAsia" w:ascii="黑体" w:hAnsi="黑体" w:eastAsia="黑体"/>
          <w:w w:val="99"/>
          <w:sz w:val="32"/>
          <w:szCs w:val="32"/>
        </w:rPr>
        <w:t>三、项目绩效情况</w:t>
      </w:r>
      <w:r>
        <w:rPr>
          <w:rFonts w:hint="eastAsia" w:ascii="仿宋_GB2312" w:hAnsi="宋体" w:eastAsia="仿宋_GB2312"/>
          <w:w w:val="99"/>
          <w:sz w:val="32"/>
          <w:szCs w:val="32"/>
        </w:rPr>
        <w:tab/>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（一）项目完成情况。</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 xml:space="preserve">数量：一是外出考察筹建异地商会1次，推动成立异地商会。二是加强12个乡镇商会和4个异地商会管理，立足商会职能，发挥商会优势，把商会会员力量凝聚到经济建设上来，促进地方经济发展。三是引导商会参与乡村振兴，组织商会开展活动6次。     </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质量：商会管理资金使用合规率100</w:t>
      </w:r>
      <w:r>
        <w:rPr>
          <w:rFonts w:ascii="仿宋_GB2312" w:eastAsia="仿宋_GB2312"/>
          <w:spacing w:val="-6"/>
          <w:sz w:val="32"/>
          <w:szCs w:val="32"/>
        </w:rPr>
        <w:t>%</w:t>
      </w:r>
      <w:r>
        <w:rPr>
          <w:rFonts w:hint="eastAsia" w:ascii="仿宋_GB2312" w:eastAsia="仿宋_GB2312"/>
          <w:spacing w:val="-6"/>
          <w:sz w:val="32"/>
          <w:szCs w:val="32"/>
        </w:rPr>
        <w:t>。</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时效：在2022</w:t>
      </w:r>
      <w:r>
        <w:rPr>
          <w:rFonts w:ascii="仿宋_GB2312" w:eastAsia="仿宋_GB2312"/>
          <w:spacing w:val="-6"/>
          <w:sz w:val="32"/>
          <w:szCs w:val="32"/>
        </w:rPr>
        <w:t>年年度内，按照工作要求有序推进，完成率</w:t>
      </w:r>
      <w:r>
        <w:rPr>
          <w:rFonts w:hint="eastAsia" w:ascii="仿宋_GB2312" w:eastAsia="仿宋_GB2312"/>
          <w:spacing w:val="-6"/>
          <w:sz w:val="32"/>
          <w:szCs w:val="32"/>
        </w:rPr>
        <w:t>100%</w:t>
      </w:r>
      <w:r>
        <w:rPr>
          <w:rFonts w:ascii="仿宋_GB2312" w:eastAsia="仿宋_GB2312"/>
          <w:spacing w:val="-6"/>
          <w:sz w:val="32"/>
          <w:szCs w:val="32"/>
        </w:rPr>
        <w:t>。</w:t>
      </w:r>
    </w:p>
    <w:p>
      <w:pPr>
        <w:autoSpaceDE w:val="0"/>
        <w:spacing w:line="576" w:lineRule="exact"/>
        <w:ind w:firstLine="616" w:firstLineChars="200"/>
        <w:rPr>
          <w:rFonts w:ascii="楷体_GB2312" w:hAnsi="宋体" w:eastAsia="楷体_GB2312"/>
          <w:b/>
          <w:w w:val="99"/>
          <w:sz w:val="32"/>
          <w:szCs w:val="32"/>
        </w:rPr>
      </w:pPr>
      <w:r>
        <w:rPr>
          <w:rFonts w:hint="eastAsia" w:ascii="仿宋_GB2312" w:eastAsia="仿宋_GB2312"/>
          <w:spacing w:val="-6"/>
          <w:sz w:val="32"/>
          <w:szCs w:val="32"/>
        </w:rPr>
        <w:t>成本：</w:t>
      </w:r>
      <w:r>
        <w:rPr>
          <w:rFonts w:ascii="仿宋_GB2312" w:eastAsia="仿宋_GB2312"/>
          <w:spacing w:val="-6"/>
          <w:sz w:val="32"/>
          <w:szCs w:val="32"/>
        </w:rPr>
        <w:t>整个项目完成预算资金支付率</w:t>
      </w:r>
      <w:r>
        <w:rPr>
          <w:rFonts w:hint="eastAsia" w:ascii="仿宋_GB2312" w:eastAsia="仿宋_GB2312"/>
          <w:spacing w:val="-6"/>
          <w:sz w:val="32"/>
          <w:szCs w:val="32"/>
          <w:lang w:val="en-US" w:eastAsia="zh-CN"/>
        </w:rPr>
        <w:t>100</w:t>
      </w:r>
      <w:r>
        <w:rPr>
          <w:rFonts w:ascii="仿宋_GB2312" w:eastAsia="仿宋_GB2312"/>
          <w:spacing w:val="-6"/>
          <w:sz w:val="32"/>
          <w:szCs w:val="32"/>
        </w:rPr>
        <w:t>%。</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（二）项目效益情况。</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1.社会效益。发挥商会优势，促进地方经济发展。</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2.可持续影响。发挥商会优势，促进地方经济发展。</w:t>
      </w:r>
    </w:p>
    <w:p>
      <w:pPr>
        <w:autoSpaceDE w:val="0"/>
        <w:adjustRightInd w:val="0"/>
        <w:snapToGrid w:val="0"/>
        <w:spacing w:line="576" w:lineRule="exact"/>
        <w:ind w:firstLine="720"/>
        <w:rPr>
          <w:rFonts w:ascii="黑体" w:hAnsi="宋体" w:eastAsia="黑体"/>
          <w:w w:val="99"/>
          <w:sz w:val="32"/>
          <w:szCs w:val="32"/>
        </w:rPr>
      </w:pPr>
      <w:r>
        <w:rPr>
          <w:rFonts w:hint="eastAsia" w:ascii="黑体" w:hAnsi="黑体" w:eastAsia="黑体"/>
          <w:w w:val="99"/>
          <w:sz w:val="32"/>
          <w:szCs w:val="32"/>
        </w:rPr>
        <w:t>四、问题及建议</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（一）评价结论。</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w w:val="99"/>
          <w:sz w:val="32"/>
          <w:szCs w:val="32"/>
        </w:rPr>
        <w:t>区工商联</w:t>
      </w:r>
      <w:r>
        <w:rPr>
          <w:rFonts w:ascii="仿宋_GB2312" w:hAnsi="宋体" w:eastAsia="仿宋_GB2312"/>
          <w:w w:val="99"/>
          <w:sz w:val="32"/>
          <w:szCs w:val="32"/>
        </w:rPr>
        <w:t>在项目实施过程中，建立健全相关制度、机制，严格执行，推进各专项工作的落实。资金管理实行专项管理，严格审批制度，真正做到了专款专用，确保项目资金有效的利用。总体来说该项目决策正确，管理规范，绩效完成率好。</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（二）存在的问题。</w:t>
      </w:r>
    </w:p>
    <w:p>
      <w:pPr>
        <w:autoSpaceDE w:val="0"/>
        <w:adjustRightInd w:val="0"/>
        <w:snapToGrid w:val="0"/>
        <w:spacing w:line="576" w:lineRule="exact"/>
        <w:ind w:firstLine="720"/>
        <w:rPr>
          <w:rFonts w:ascii="仿宋_GB2312" w:hAnsi="宋体" w:eastAsia="仿宋_GB2312"/>
          <w:w w:val="99"/>
          <w:sz w:val="32"/>
          <w:szCs w:val="32"/>
        </w:rPr>
      </w:pPr>
      <w:r>
        <w:rPr>
          <w:rFonts w:ascii="仿宋_GB2312" w:hAnsi="宋体" w:eastAsia="仿宋_GB2312"/>
          <w:w w:val="99"/>
          <w:sz w:val="32"/>
          <w:szCs w:val="32"/>
        </w:rPr>
        <w:t>经绩效评价未发现本项目存在重大财经事项。</w:t>
      </w:r>
    </w:p>
    <w:p>
      <w:pPr>
        <w:autoSpaceDE w:val="0"/>
        <w:adjustRightInd w:val="0"/>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（三）相关建议。</w:t>
      </w:r>
    </w:p>
    <w:p>
      <w:pPr>
        <w:pStyle w:val="13"/>
        <w:shd w:val="clear" w:color="auto" w:fill="FFFFFF"/>
        <w:spacing w:beforeAutospacing="0" w:afterAutospacing="0" w:line="576" w:lineRule="exact"/>
        <w:ind w:firstLine="660"/>
        <w:rPr>
          <w:rFonts w:ascii="仿宋_GB2312" w:eastAsia="仿宋_GB2312"/>
          <w:w w:val="99"/>
          <w:kern w:val="2"/>
          <w:sz w:val="32"/>
          <w:szCs w:val="32"/>
        </w:rPr>
      </w:pPr>
      <w:r>
        <w:rPr>
          <w:rFonts w:hint="eastAsia" w:ascii="仿宋_GB2312" w:eastAsia="仿宋_GB2312" w:cs="Times New Roman"/>
          <w:w w:val="99"/>
          <w:kern w:val="2"/>
          <w:sz w:val="32"/>
          <w:szCs w:val="32"/>
        </w:rPr>
        <w:t>1.加强预算执行目标绩效管理。严格按照财政项目支出绩效管理办法，加强部门绩效管理的指导，提高绩效管理人员的绩效管理能力。不断提高资金使用管理的水平。</w:t>
      </w:r>
    </w:p>
    <w:p>
      <w:pPr>
        <w:pStyle w:val="13"/>
        <w:shd w:val="clear" w:color="auto" w:fill="FFFFFF"/>
        <w:spacing w:beforeAutospacing="0" w:afterAutospacing="0" w:line="576" w:lineRule="exact"/>
        <w:ind w:firstLine="660"/>
        <w:rPr>
          <w:rFonts w:ascii="仿宋_GB2312" w:eastAsia="仿宋_GB2312"/>
          <w:w w:val="99"/>
          <w:kern w:val="2"/>
          <w:sz w:val="32"/>
          <w:szCs w:val="32"/>
        </w:rPr>
      </w:pPr>
      <w:r>
        <w:rPr>
          <w:rFonts w:ascii="仿宋_GB2312" w:eastAsia="仿宋_GB2312" w:cs="Times New Roman"/>
          <w:w w:val="99"/>
          <w:kern w:val="2"/>
          <w:sz w:val="32"/>
          <w:szCs w:val="32"/>
        </w:rPr>
        <w:t>2.做好对项目实施跟踪检查工作。项目实施过程中应定期或不定期对项目实施情况和经费使用情况进行检查，以便更好掌握项目实施进度，确保项目能顺利开展，实现预期的绩效目标。</w:t>
      </w:r>
    </w:p>
    <w:p>
      <w:pPr>
        <w:autoSpaceDE w:val="0"/>
        <w:autoSpaceDN w:val="0"/>
        <w:adjustRightIn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（以上绩效自评报告，除涉密敏感内容外，原则上都应予以公开。）</w:t>
      </w:r>
    </w:p>
    <w:p>
      <w:pPr>
        <w:widowControl/>
        <w:jc w:val="left"/>
        <w:rPr>
          <w:rStyle w:val="28"/>
          <w:rFonts w:ascii="黑体" w:hAnsi="黑体" w:eastAsia="黑体"/>
          <w:b w:val="0"/>
        </w:rPr>
      </w:pPr>
      <w:r>
        <w:rPr>
          <w:rStyle w:val="28"/>
          <w:rFonts w:ascii="黑体" w:hAnsi="黑体" w:eastAsia="黑体"/>
          <w:b w:val="0"/>
        </w:rPr>
        <w:br w:type="page"/>
      </w:r>
    </w:p>
    <w:p>
      <w:pPr>
        <w:spacing w:line="600" w:lineRule="exact"/>
        <w:jc w:val="center"/>
        <w:outlineLvl w:val="0"/>
        <w:rPr>
          <w:rFonts w:ascii="仿宋" w:hAnsi="仿宋" w:eastAsia="仿宋"/>
        </w:rPr>
      </w:pPr>
      <w:bookmarkStart w:id="53" w:name="_Toc15396618"/>
      <w:r>
        <w:rPr>
          <w:rFonts w:hint="eastAsia" w:ascii="黑体" w:hAnsi="黑体" w:eastAsia="黑体"/>
          <w:sz w:val="44"/>
          <w:szCs w:val="44"/>
        </w:rPr>
        <w:t>第</w:t>
      </w:r>
      <w:r>
        <w:rPr>
          <w:rStyle w:val="28"/>
          <w:rFonts w:hint="eastAsia" w:ascii="黑体" w:hAnsi="黑体" w:eastAsia="黑体"/>
          <w:b w:val="0"/>
        </w:rPr>
        <w:t>五部分 附表</w:t>
      </w:r>
      <w:bookmarkEnd w:id="51"/>
      <w:bookmarkEnd w:id="53"/>
      <w:bookmarkStart w:id="54" w:name="_Toc15396619"/>
    </w:p>
    <w:p>
      <w:pPr>
        <w:pStyle w:val="3"/>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4"/>
    </w:p>
    <w:p>
      <w:pPr>
        <w:pStyle w:val="3"/>
        <w:rPr>
          <w:rFonts w:ascii="仿宋" w:hAnsi="仿宋" w:eastAsia="仿宋"/>
        </w:rPr>
      </w:pPr>
      <w:bookmarkStart w:id="55" w:name="_Toc15396620"/>
      <w:r>
        <w:rPr>
          <w:rFonts w:hint="eastAsia" w:ascii="仿宋" w:hAnsi="仿宋" w:eastAsia="仿宋"/>
          <w:b w:val="0"/>
        </w:rPr>
        <w:t>二、收</w:t>
      </w:r>
      <w:r>
        <w:rPr>
          <w:rStyle w:val="29"/>
          <w:rFonts w:hint="eastAsia" w:ascii="仿宋" w:hAnsi="仿宋" w:eastAsia="仿宋"/>
          <w:b w:val="0"/>
          <w:bCs w:val="0"/>
        </w:rPr>
        <w:t>入决算表</w:t>
      </w:r>
      <w:bookmarkEnd w:id="55"/>
    </w:p>
    <w:p>
      <w:pPr>
        <w:pStyle w:val="3"/>
        <w:rPr>
          <w:rFonts w:ascii="仿宋" w:hAnsi="仿宋" w:eastAsia="仿宋"/>
        </w:rPr>
      </w:pPr>
      <w:bookmarkStart w:id="56"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6"/>
    </w:p>
    <w:p>
      <w:pPr>
        <w:pStyle w:val="3"/>
        <w:rPr>
          <w:rFonts w:ascii="仿宋" w:hAnsi="仿宋" w:eastAsia="仿宋"/>
          <w:b w:val="0"/>
        </w:rPr>
      </w:pPr>
      <w:bookmarkStart w:id="57"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7"/>
    </w:p>
    <w:p>
      <w:pPr>
        <w:pStyle w:val="3"/>
        <w:rPr>
          <w:rStyle w:val="29"/>
          <w:rFonts w:ascii="仿宋" w:hAnsi="仿宋" w:eastAsia="仿宋"/>
          <w:b w:val="0"/>
          <w:bCs w:val="0"/>
        </w:rPr>
      </w:pPr>
      <w:bookmarkStart w:id="5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8"/>
      <w:bookmarkStart w:id="59" w:name="_Toc15396624"/>
    </w:p>
    <w:p>
      <w:pPr>
        <w:pStyle w:val="3"/>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9"/>
    </w:p>
    <w:p>
      <w:pPr>
        <w:pStyle w:val="3"/>
        <w:rPr>
          <w:rFonts w:ascii="仿宋" w:hAnsi="仿宋" w:eastAsia="仿宋"/>
        </w:rPr>
      </w:pPr>
      <w:bookmarkStart w:id="60"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0"/>
    </w:p>
    <w:p>
      <w:pPr>
        <w:pStyle w:val="3"/>
        <w:rPr>
          <w:rFonts w:ascii="仿宋" w:hAnsi="仿宋" w:eastAsia="仿宋"/>
        </w:rPr>
      </w:pPr>
      <w:bookmarkStart w:id="61"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1"/>
    </w:p>
    <w:p>
      <w:pPr>
        <w:pStyle w:val="3"/>
        <w:rPr>
          <w:rFonts w:ascii="仿宋" w:hAnsi="仿宋" w:eastAsia="仿宋"/>
        </w:rPr>
      </w:pPr>
      <w:bookmarkStart w:id="62"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2"/>
    </w:p>
    <w:p>
      <w:pPr>
        <w:pStyle w:val="3"/>
        <w:rPr>
          <w:rFonts w:ascii="仿宋" w:hAnsi="仿宋" w:eastAsia="仿宋"/>
        </w:rPr>
      </w:pPr>
      <w:bookmarkStart w:id="63" w:name="_Toc15396628"/>
      <w:r>
        <w:rPr>
          <w:rStyle w:val="29"/>
          <w:rFonts w:hint="eastAsia" w:ascii="仿宋" w:hAnsi="仿宋" w:eastAsia="仿宋"/>
          <w:b w:val="0"/>
          <w:bCs w:val="0"/>
        </w:rPr>
        <w:t>十、</w:t>
      </w:r>
      <w:bookmarkEnd w:id="63"/>
      <w:r>
        <w:rPr>
          <w:rFonts w:hint="eastAsia" w:ascii="仿宋" w:hAnsi="仿宋" w:eastAsia="仿宋"/>
          <w:b w:val="0"/>
        </w:rPr>
        <w:t>政</w:t>
      </w:r>
      <w:r>
        <w:rPr>
          <w:rStyle w:val="29"/>
          <w:rFonts w:hint="eastAsia" w:ascii="仿宋" w:hAnsi="仿宋" w:eastAsia="仿宋"/>
          <w:b w:val="0"/>
          <w:bCs w:val="0"/>
        </w:rPr>
        <w:t>府性基金预算财政拨款收入支出决算表</w:t>
      </w:r>
    </w:p>
    <w:p>
      <w:pPr>
        <w:pStyle w:val="3"/>
        <w:rPr>
          <w:rFonts w:ascii="仿宋" w:hAnsi="仿宋" w:eastAsia="仿宋"/>
        </w:rPr>
      </w:pPr>
      <w:bookmarkStart w:id="64" w:name="_Toc15396629"/>
      <w:r>
        <w:rPr>
          <w:rStyle w:val="29"/>
          <w:rFonts w:hint="eastAsia" w:ascii="仿宋" w:hAnsi="仿宋" w:eastAsia="仿宋"/>
          <w:b w:val="0"/>
          <w:bCs w:val="0"/>
        </w:rPr>
        <w:t>十一、</w:t>
      </w:r>
      <w:bookmarkEnd w:id="64"/>
      <w:r>
        <w:rPr>
          <w:rFonts w:hint="eastAsia" w:ascii="仿宋" w:hAnsi="仿宋" w:eastAsia="仿宋"/>
          <w:b w:val="0"/>
        </w:rPr>
        <w:t>国</w:t>
      </w:r>
      <w:r>
        <w:rPr>
          <w:rStyle w:val="29"/>
          <w:rFonts w:hint="eastAsia" w:ascii="仿宋" w:hAnsi="仿宋" w:eastAsia="仿宋"/>
          <w:b w:val="0"/>
          <w:bCs w:val="0"/>
        </w:rPr>
        <w:t>有资本经营预算财政拨款收入支出决算表</w:t>
      </w:r>
    </w:p>
    <w:p>
      <w:pPr>
        <w:pStyle w:val="3"/>
        <w:rPr>
          <w:rFonts w:ascii="仿宋" w:hAnsi="仿宋" w:eastAsia="仿宋"/>
        </w:rPr>
      </w:pPr>
      <w:bookmarkStart w:id="65" w:name="_Toc15396630"/>
      <w:r>
        <w:rPr>
          <w:rStyle w:val="29"/>
          <w:rFonts w:hint="eastAsia" w:ascii="仿宋" w:hAnsi="仿宋" w:eastAsia="仿宋"/>
          <w:b w:val="0"/>
          <w:bCs w:val="0"/>
        </w:rPr>
        <w:t>十二、</w:t>
      </w:r>
      <w:bookmarkEnd w:id="65"/>
      <w:r>
        <w:rPr>
          <w:rStyle w:val="29"/>
          <w:rFonts w:hint="eastAsia" w:ascii="仿宋" w:hAnsi="仿宋" w:eastAsia="仿宋"/>
          <w:b w:val="0"/>
          <w:bCs w:val="0"/>
        </w:rPr>
        <w:t>国有资本经营预算财政拨款支出决算表</w:t>
      </w:r>
    </w:p>
    <w:p>
      <w:pPr>
        <w:pStyle w:val="3"/>
        <w:rPr>
          <w:rFonts w:eastAsia="仿宋"/>
        </w:rPr>
      </w:pPr>
      <w:bookmarkStart w:id="66" w:name="_Toc15396631"/>
      <w:r>
        <w:rPr>
          <w:rStyle w:val="29"/>
          <w:rFonts w:hint="eastAsia" w:ascii="仿宋" w:hAnsi="仿宋" w:eastAsia="仿宋"/>
          <w:b w:val="0"/>
          <w:bCs w:val="0"/>
        </w:rPr>
        <w:t>十三、</w:t>
      </w:r>
      <w:bookmarkEnd w:id="66"/>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440171C"/>
    <w:multiLevelType w:val="multilevel"/>
    <w:tmpl w:val="1440171C"/>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MTRlYWUwNGU0NzBhODRjYzczZjcyZGVlZDgzMG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0D20"/>
    <w:rsid w:val="000C3467"/>
    <w:rsid w:val="000C3CA6"/>
    <w:rsid w:val="000C5865"/>
    <w:rsid w:val="000D1267"/>
    <w:rsid w:val="000D1D50"/>
    <w:rsid w:val="000D5782"/>
    <w:rsid w:val="000E6613"/>
    <w:rsid w:val="000E7119"/>
    <w:rsid w:val="00114E9B"/>
    <w:rsid w:val="00142216"/>
    <w:rsid w:val="00144D6A"/>
    <w:rsid w:val="0014729F"/>
    <w:rsid w:val="00156775"/>
    <w:rsid w:val="00157BAB"/>
    <w:rsid w:val="001654D1"/>
    <w:rsid w:val="00173DBC"/>
    <w:rsid w:val="00174518"/>
    <w:rsid w:val="0018106D"/>
    <w:rsid w:val="001877A7"/>
    <w:rsid w:val="00191536"/>
    <w:rsid w:val="00196687"/>
    <w:rsid w:val="00197645"/>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3F50"/>
    <w:rsid w:val="00294DC9"/>
    <w:rsid w:val="00295495"/>
    <w:rsid w:val="002A31DE"/>
    <w:rsid w:val="002B12D1"/>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5714"/>
    <w:rsid w:val="004E0A2D"/>
    <w:rsid w:val="004E206B"/>
    <w:rsid w:val="004E6DF7"/>
    <w:rsid w:val="004F0FBD"/>
    <w:rsid w:val="00505A47"/>
    <w:rsid w:val="00512FDA"/>
    <w:rsid w:val="00520DA0"/>
    <w:rsid w:val="005247C2"/>
    <w:rsid w:val="00552348"/>
    <w:rsid w:val="00565443"/>
    <w:rsid w:val="005664BB"/>
    <w:rsid w:val="00566FFA"/>
    <w:rsid w:val="0057481D"/>
    <w:rsid w:val="0058486E"/>
    <w:rsid w:val="00585B33"/>
    <w:rsid w:val="0059014D"/>
    <w:rsid w:val="005B5C64"/>
    <w:rsid w:val="005C5337"/>
    <w:rsid w:val="005C6BD0"/>
    <w:rsid w:val="005D1C8B"/>
    <w:rsid w:val="005D468D"/>
    <w:rsid w:val="005D5CED"/>
    <w:rsid w:val="005E7838"/>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76E59"/>
    <w:rsid w:val="00681A31"/>
    <w:rsid w:val="00683E73"/>
    <w:rsid w:val="006A3141"/>
    <w:rsid w:val="006A5E34"/>
    <w:rsid w:val="006B2422"/>
    <w:rsid w:val="006B2B9A"/>
    <w:rsid w:val="006C1937"/>
    <w:rsid w:val="006C7C26"/>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6D13"/>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30B2"/>
    <w:rsid w:val="008E1DE7"/>
    <w:rsid w:val="008E707C"/>
    <w:rsid w:val="00900B08"/>
    <w:rsid w:val="00901423"/>
    <w:rsid w:val="00902155"/>
    <w:rsid w:val="00902FA3"/>
    <w:rsid w:val="00920F0B"/>
    <w:rsid w:val="00923564"/>
    <w:rsid w:val="0092392E"/>
    <w:rsid w:val="009315F9"/>
    <w:rsid w:val="00933499"/>
    <w:rsid w:val="00935C98"/>
    <w:rsid w:val="00946945"/>
    <w:rsid w:val="00951248"/>
    <w:rsid w:val="00951490"/>
    <w:rsid w:val="0095152F"/>
    <w:rsid w:val="00954C49"/>
    <w:rsid w:val="00955E37"/>
    <w:rsid w:val="00963C10"/>
    <w:rsid w:val="0097099F"/>
    <w:rsid w:val="00971997"/>
    <w:rsid w:val="00971FFC"/>
    <w:rsid w:val="0098660A"/>
    <w:rsid w:val="009931C3"/>
    <w:rsid w:val="009B2546"/>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175FC"/>
    <w:rsid w:val="00A237D8"/>
    <w:rsid w:val="00A268C4"/>
    <w:rsid w:val="00A307CD"/>
    <w:rsid w:val="00A331C8"/>
    <w:rsid w:val="00A40A00"/>
    <w:rsid w:val="00A4142F"/>
    <w:rsid w:val="00A422EB"/>
    <w:rsid w:val="00A448A6"/>
    <w:rsid w:val="00A45BB7"/>
    <w:rsid w:val="00A56DF2"/>
    <w:rsid w:val="00A56E6E"/>
    <w:rsid w:val="00A67AB5"/>
    <w:rsid w:val="00A733B2"/>
    <w:rsid w:val="00A741C2"/>
    <w:rsid w:val="00A91760"/>
    <w:rsid w:val="00A93B00"/>
    <w:rsid w:val="00A93C21"/>
    <w:rsid w:val="00A94662"/>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5897"/>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A719F"/>
    <w:rsid w:val="00DB1913"/>
    <w:rsid w:val="00DC410D"/>
    <w:rsid w:val="00DC5A81"/>
    <w:rsid w:val="00DC68CA"/>
    <w:rsid w:val="00DC7CBA"/>
    <w:rsid w:val="00DD73B7"/>
    <w:rsid w:val="00DF28BC"/>
    <w:rsid w:val="00DF34B9"/>
    <w:rsid w:val="00E01053"/>
    <w:rsid w:val="00E07ACF"/>
    <w:rsid w:val="00E331A1"/>
    <w:rsid w:val="00E33202"/>
    <w:rsid w:val="00E336A9"/>
    <w:rsid w:val="00E45C9B"/>
    <w:rsid w:val="00E472B1"/>
    <w:rsid w:val="00E50624"/>
    <w:rsid w:val="00E568DF"/>
    <w:rsid w:val="00E64269"/>
    <w:rsid w:val="00E80520"/>
    <w:rsid w:val="00E82267"/>
    <w:rsid w:val="00E853CE"/>
    <w:rsid w:val="00E867B6"/>
    <w:rsid w:val="00EA010F"/>
    <w:rsid w:val="00ED1B63"/>
    <w:rsid w:val="00ED3C1F"/>
    <w:rsid w:val="00ED4085"/>
    <w:rsid w:val="00ED420E"/>
    <w:rsid w:val="00ED4972"/>
    <w:rsid w:val="00ED6FBE"/>
    <w:rsid w:val="00EE2F57"/>
    <w:rsid w:val="00EF4C34"/>
    <w:rsid w:val="00EF77C6"/>
    <w:rsid w:val="00F05438"/>
    <w:rsid w:val="00F1361C"/>
    <w:rsid w:val="00F156F0"/>
    <w:rsid w:val="00F160C7"/>
    <w:rsid w:val="00F212B3"/>
    <w:rsid w:val="00F2408F"/>
    <w:rsid w:val="00F240E9"/>
    <w:rsid w:val="00F36D8F"/>
    <w:rsid w:val="00F417B1"/>
    <w:rsid w:val="00F45853"/>
    <w:rsid w:val="00F602DF"/>
    <w:rsid w:val="00F754A1"/>
    <w:rsid w:val="00F81FD9"/>
    <w:rsid w:val="00F841AA"/>
    <w:rsid w:val="00F848E9"/>
    <w:rsid w:val="00F84A94"/>
    <w:rsid w:val="00F87E96"/>
    <w:rsid w:val="00FA23E8"/>
    <w:rsid w:val="00FC5618"/>
    <w:rsid w:val="00FD3CC1"/>
    <w:rsid w:val="00FF1E02"/>
    <w:rsid w:val="00FF30B4"/>
    <w:rsid w:val="015975B8"/>
    <w:rsid w:val="02143E91"/>
    <w:rsid w:val="02886150"/>
    <w:rsid w:val="03137FAB"/>
    <w:rsid w:val="039D36B5"/>
    <w:rsid w:val="041623FB"/>
    <w:rsid w:val="04E672BC"/>
    <w:rsid w:val="050739A0"/>
    <w:rsid w:val="05257DE5"/>
    <w:rsid w:val="05F700A2"/>
    <w:rsid w:val="066E0107"/>
    <w:rsid w:val="07996F6E"/>
    <w:rsid w:val="07D16002"/>
    <w:rsid w:val="097430E9"/>
    <w:rsid w:val="09EA1AC5"/>
    <w:rsid w:val="0A2032A3"/>
    <w:rsid w:val="0B266665"/>
    <w:rsid w:val="0CDF31E6"/>
    <w:rsid w:val="0D857D86"/>
    <w:rsid w:val="0E105210"/>
    <w:rsid w:val="0F98263C"/>
    <w:rsid w:val="101860EC"/>
    <w:rsid w:val="10C055FF"/>
    <w:rsid w:val="118107EC"/>
    <w:rsid w:val="12076557"/>
    <w:rsid w:val="121D3BF2"/>
    <w:rsid w:val="13D50BC4"/>
    <w:rsid w:val="146B6E96"/>
    <w:rsid w:val="14F275B8"/>
    <w:rsid w:val="15C70A44"/>
    <w:rsid w:val="15F31839"/>
    <w:rsid w:val="160F33A3"/>
    <w:rsid w:val="165E3157"/>
    <w:rsid w:val="16BB723D"/>
    <w:rsid w:val="16BD7744"/>
    <w:rsid w:val="172D0D7B"/>
    <w:rsid w:val="174D1D9D"/>
    <w:rsid w:val="17BC5991"/>
    <w:rsid w:val="189866C8"/>
    <w:rsid w:val="19FA6DE4"/>
    <w:rsid w:val="1A6538DC"/>
    <w:rsid w:val="1A78088F"/>
    <w:rsid w:val="1A7F18ED"/>
    <w:rsid w:val="1BE8440E"/>
    <w:rsid w:val="1D155CEE"/>
    <w:rsid w:val="1F552C1D"/>
    <w:rsid w:val="1FF35744"/>
    <w:rsid w:val="21094337"/>
    <w:rsid w:val="222E306A"/>
    <w:rsid w:val="23860B96"/>
    <w:rsid w:val="240371BF"/>
    <w:rsid w:val="24A54761"/>
    <w:rsid w:val="26466175"/>
    <w:rsid w:val="27003DB6"/>
    <w:rsid w:val="28B74948"/>
    <w:rsid w:val="28D15A0A"/>
    <w:rsid w:val="29FD04D3"/>
    <w:rsid w:val="2BAE2033"/>
    <w:rsid w:val="2C1570DE"/>
    <w:rsid w:val="2C8A61B5"/>
    <w:rsid w:val="2DF04E50"/>
    <w:rsid w:val="2E2F6E21"/>
    <w:rsid w:val="2F040D46"/>
    <w:rsid w:val="30514DA6"/>
    <w:rsid w:val="30772AAD"/>
    <w:rsid w:val="309612E7"/>
    <w:rsid w:val="30F05247"/>
    <w:rsid w:val="319F7F4E"/>
    <w:rsid w:val="323A19B8"/>
    <w:rsid w:val="329C2E63"/>
    <w:rsid w:val="32D75044"/>
    <w:rsid w:val="3304709D"/>
    <w:rsid w:val="36AA5135"/>
    <w:rsid w:val="37476E97"/>
    <w:rsid w:val="376D39B2"/>
    <w:rsid w:val="378B296A"/>
    <w:rsid w:val="37CC2546"/>
    <w:rsid w:val="37E16F03"/>
    <w:rsid w:val="380B1D2C"/>
    <w:rsid w:val="38D469F0"/>
    <w:rsid w:val="3A0805CE"/>
    <w:rsid w:val="3C0108D9"/>
    <w:rsid w:val="3C126C5B"/>
    <w:rsid w:val="3C6A3D54"/>
    <w:rsid w:val="3CD016DD"/>
    <w:rsid w:val="3D98207C"/>
    <w:rsid w:val="3DD73872"/>
    <w:rsid w:val="3E78745D"/>
    <w:rsid w:val="3EA33702"/>
    <w:rsid w:val="402740A5"/>
    <w:rsid w:val="41FB711B"/>
    <w:rsid w:val="42DF01D0"/>
    <w:rsid w:val="435E3EE6"/>
    <w:rsid w:val="43931CBB"/>
    <w:rsid w:val="43A118CC"/>
    <w:rsid w:val="44E268DA"/>
    <w:rsid w:val="466F2150"/>
    <w:rsid w:val="46E12FC4"/>
    <w:rsid w:val="493F0316"/>
    <w:rsid w:val="4A627F82"/>
    <w:rsid w:val="4B0E749A"/>
    <w:rsid w:val="4B3D2E5B"/>
    <w:rsid w:val="4B4F25DA"/>
    <w:rsid w:val="4BE068DB"/>
    <w:rsid w:val="4CB359F7"/>
    <w:rsid w:val="4D577224"/>
    <w:rsid w:val="4D5D6FBD"/>
    <w:rsid w:val="4D9D7994"/>
    <w:rsid w:val="4EAB630A"/>
    <w:rsid w:val="4ECE2238"/>
    <w:rsid w:val="50553DF4"/>
    <w:rsid w:val="51A45FB9"/>
    <w:rsid w:val="537E6D0A"/>
    <w:rsid w:val="54676C88"/>
    <w:rsid w:val="55E0274F"/>
    <w:rsid w:val="56EC6423"/>
    <w:rsid w:val="582A1175"/>
    <w:rsid w:val="59626B1C"/>
    <w:rsid w:val="59A044B9"/>
    <w:rsid w:val="5A2230B0"/>
    <w:rsid w:val="5A705490"/>
    <w:rsid w:val="5AF92295"/>
    <w:rsid w:val="5B060ECE"/>
    <w:rsid w:val="5B991B08"/>
    <w:rsid w:val="5CB45E5D"/>
    <w:rsid w:val="5CD71FC4"/>
    <w:rsid w:val="5D312FE7"/>
    <w:rsid w:val="5E0922E4"/>
    <w:rsid w:val="5F14644B"/>
    <w:rsid w:val="62CB04FE"/>
    <w:rsid w:val="63B41A70"/>
    <w:rsid w:val="64397AE6"/>
    <w:rsid w:val="65C01DC1"/>
    <w:rsid w:val="663761A5"/>
    <w:rsid w:val="672C2F24"/>
    <w:rsid w:val="676E209B"/>
    <w:rsid w:val="68D45274"/>
    <w:rsid w:val="69CF706F"/>
    <w:rsid w:val="6A0171F6"/>
    <w:rsid w:val="6A3F7D1E"/>
    <w:rsid w:val="6BC33672"/>
    <w:rsid w:val="6C4A05C8"/>
    <w:rsid w:val="6E7E3605"/>
    <w:rsid w:val="6FF5CC65"/>
    <w:rsid w:val="715C0E4B"/>
    <w:rsid w:val="726A3FFD"/>
    <w:rsid w:val="72734D90"/>
    <w:rsid w:val="727D13E4"/>
    <w:rsid w:val="73AD73D5"/>
    <w:rsid w:val="73B6EB34"/>
    <w:rsid w:val="744731E5"/>
    <w:rsid w:val="75632B54"/>
    <w:rsid w:val="75CB1E56"/>
    <w:rsid w:val="76E3355F"/>
    <w:rsid w:val="778769C8"/>
    <w:rsid w:val="79EE5BA4"/>
    <w:rsid w:val="7A2F56B9"/>
    <w:rsid w:val="7A894339"/>
    <w:rsid w:val="7C4F532B"/>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character" w:customStyle="1" w:styleId="35">
    <w:name w:val="font21"/>
    <w:basedOn w:val="16"/>
    <w:uiPriority w:val="0"/>
    <w:rPr>
      <w:rFonts w:hint="eastAsia" w:ascii="宋体" w:hAnsi="宋体" w:eastAsia="宋体" w:cs="宋体"/>
      <w:color w:val="000000"/>
      <w:sz w:val="24"/>
      <w:szCs w:val="24"/>
      <w:u w:val="none"/>
    </w:rPr>
  </w:style>
  <w:style w:type="character" w:customStyle="1" w:styleId="36">
    <w:name w:val="font81"/>
    <w:basedOn w:val="16"/>
    <w:uiPriority w:val="0"/>
    <w:rPr>
      <w:rFonts w:hint="default" w:ascii="Times New Roman" w:hAnsi="Times New Roman" w:cs="Times New Roman"/>
      <w:color w:val="000000"/>
      <w:sz w:val="24"/>
      <w:szCs w:val="24"/>
      <w:u w:val="none"/>
    </w:rPr>
  </w:style>
  <w:style w:type="character" w:customStyle="1" w:styleId="37">
    <w:name w:val="font41"/>
    <w:basedOn w:val="16"/>
    <w:uiPriority w:val="0"/>
    <w:rPr>
      <w:rFonts w:hint="eastAsia" w:ascii="宋体" w:hAnsi="宋体" w:eastAsia="宋体" w:cs="宋体"/>
      <w:b/>
      <w:bCs/>
      <w:color w:val="000000"/>
      <w:sz w:val="18"/>
      <w:szCs w:val="18"/>
      <w:u w:val="none"/>
    </w:rPr>
  </w:style>
  <w:style w:type="character" w:customStyle="1" w:styleId="38">
    <w:name w:val="font91"/>
    <w:basedOn w:val="16"/>
    <w:uiPriority w:val="0"/>
    <w:rPr>
      <w:rFonts w:hint="eastAsia" w:ascii="宋体" w:hAnsi="宋体" w:eastAsia="宋体" w:cs="宋体"/>
      <w:color w:val="000000"/>
      <w:sz w:val="16"/>
      <w:szCs w:val="16"/>
      <w:u w:val="none"/>
    </w:rPr>
  </w:style>
  <w:style w:type="character" w:customStyle="1" w:styleId="39">
    <w:name w:val="font31"/>
    <w:basedOn w:val="16"/>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37</Pages>
  <Words>2227</Words>
  <Characters>12697</Characters>
  <Lines>105</Lines>
  <Paragraphs>29</Paragraphs>
  <TotalTime>0</TotalTime>
  <ScaleCrop>false</ScaleCrop>
  <LinksUpToDate>false</LinksUpToDate>
  <CharactersWithSpaces>14895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2023-10-30T02:23:00Z</cp:lastPrinted>
  <dcterms:modified xsi:type="dcterms:W3CDTF">2023-10-30T03:53:19Z</dcterms:modified>
  <dc:title>四川省***</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356B50EA32FD4DC19EFDE80FE27BC4B3_12</vt:lpwstr>
  </property>
</Properties>
</file>