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475"/>
      <w:bookmarkStart w:id="3" w:name="_Toc15396597"/>
      <w:bookmarkStart w:id="4" w:name="_Toc15378441"/>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96598"/>
      <w:bookmarkStart w:id="8" w:name="_Toc15377426"/>
      <w:bookmarkStart w:id="9" w:name="_Toc15378442"/>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广元市曾家山旅游度假区管理委员会</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24</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ascii="Times New Roman" w:hAnsi="Times New Roman" w:eastAsia="宋体" w:cs="Times New Roman"/>
          <w:color w:val="auto"/>
          <w:kern w:val="2"/>
          <w:sz w:val="24"/>
          <w:szCs w:val="24"/>
          <w:highlight w:val="none"/>
          <w:lang w:val="en-US" w:eastAsia="zh-CN" w:bidi="ar-SA"/>
        </w:rPr>
        <w:t>....................................................................................................4</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pPr>
        <w:pStyle w:val="12"/>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.......................................................................................................5</w:t>
      </w: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ascii="Times New Roman" w:hAnsi="Times New Roman" w:eastAsia="宋体" w:cs="Times New Roman"/>
          <w:color w:val="auto"/>
          <w:kern w:val="2"/>
          <w:sz w:val="24"/>
          <w:szCs w:val="24"/>
          <w:highlight w:val="none"/>
          <w:lang w:val="en-US" w:eastAsia="zh-CN" w:bidi="ar-SA"/>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.......................................................................................9</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......................................................10</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..............................................10</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......................................13</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..............................................13</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..........................................................16</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......................................................16</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..........................................................................16</w:t>
      </w: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imes New Roman" w:hAnsi="Times New Roman" w:eastAsia="宋体" w:cs="Times New Roman"/>
          <w:color w:val="auto"/>
          <w:kern w:val="2"/>
          <w:sz w:val="24"/>
          <w:szCs w:val="24"/>
          <w:highlight w:val="none"/>
          <w:lang w:val="en-US" w:eastAsia="zh-CN" w:bidi="ar-SA"/>
        </w:rPr>
        <w:t>...................................................................................................18</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color w:val="auto"/>
          <w:kern w:val="2"/>
          <w:sz w:val="24"/>
          <w:szCs w:val="24"/>
          <w:highlight w:val="none"/>
          <w:lang w:val="en-US" w:eastAsia="zh-CN" w:bidi="ar-SA"/>
        </w:rPr>
        <w:t>...........................................................................................................21</w:t>
      </w:r>
    </w:p>
    <w:p>
      <w:pPr>
        <w:pStyle w:val="11"/>
        <w:adjustRightInd w:val="0"/>
        <w:snapToGrid w:val="0"/>
        <w:spacing w:before="0" w:line="440" w:lineRule="exact"/>
        <w:jc w:val="left"/>
        <w:rPr>
          <w:rFonts w:hint="default"/>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宋体" w:cs="Times New Roman"/>
          <w:color w:val="auto"/>
          <w:kern w:val="2"/>
          <w:sz w:val="24"/>
          <w:szCs w:val="24"/>
          <w:highlight w:val="none"/>
          <w:lang w:val="en-US" w:eastAsia="zh-CN" w:bidi="ar-SA"/>
        </w:rPr>
        <w:t>...........................................................................................................36</w:t>
      </w:r>
      <w:bookmarkStart w:id="66" w:name="_GoBack"/>
      <w:bookmarkEnd w:id="66"/>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7"/>
          <w:rFonts w:hint="eastAsia" w:ascii="黑体" w:hAnsi="黑体" w:eastAsia="黑体"/>
          <w:b w:val="0"/>
          <w:bCs w:val="0"/>
          <w:color w:val="auto"/>
          <w:highlight w:val="none"/>
          <w:lang w:eastAsia="zh-CN"/>
        </w:rPr>
      </w:pPr>
      <w:bookmarkStart w:id="14" w:name="_Toc15396600"/>
      <w:bookmarkStart w:id="15" w:name="_Toc15377197"/>
      <w:r>
        <w:rPr>
          <w:rStyle w:val="27"/>
          <w:rFonts w:hint="eastAsia" w:ascii="黑体" w:hAnsi="黑体" w:eastAsia="黑体"/>
          <w:b w:val="0"/>
          <w:bCs w:val="0"/>
          <w:color w:val="auto"/>
          <w:highlight w:val="none"/>
          <w:lang w:eastAsia="zh-CN"/>
        </w:rPr>
        <w:t>主要职责</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（一）贯彻党的路线、方针、政策，执行国家、省、市有关旅游度假区的法律、法规及政策规定。</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（二）牵头负责保护曾家山旅游度假区旅游资源，维护自然风貌和人文景观。 </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（三）协助编制曾家山旅游度假区总体规划和详细规划并组织实施，按照总体规划对曾家山旅游度假区内的新建、扩建和改建项目进行初审并按程序上报。 </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（四）负责统筹曾家山旅游度假区各景点基础设施和公共设施建设管理。负责曾家山旅游度假区旅游项目规划、开发、建设和推进。 </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（五）负责曾家山旅游度假区旅游行业的管理，制定行业管理规范，监管旅游行业秩序和服务质量，协调有关部门依法制止和查处旅游市场违规行为。 </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六）负责对曾家山旅游度假区企事业单位建设与营运进行指导、协调、服务。制定曾家山旅游度假区管理制度和安全事故、突发事件的预防机制、应急预案，配合相关部门、乡镇开展曾家山旅游度假区内的生态环境保护、安全生产、信访维稳等工作。 </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（七）负责曾家山旅游度假区景点的开发利用、招商引资和营销工作，推进相关产业融合发展，收取旅游资源有偿使用费。</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（八）负责曾家山旅游度假区整体旅游形象的宣传、对外推广、推介。</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（九）负责对辖区国有旅游投资公司的运营进行指导、监管、考核。</w:t>
      </w:r>
    </w:p>
    <w:p>
      <w:pPr>
        <w:pStyle w:val="6"/>
        <w:adjustRightInd w:val="0"/>
        <w:snapToGrid w:val="0"/>
        <w:spacing w:before="93" w:line="600" w:lineRule="exact"/>
        <w:ind w:firstLine="672" w:firstLineChars="21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（十）完成市委、市政府和朝天区委、区政府交办的其他工作，接受市级有关部门的业务指导。</w:t>
      </w:r>
    </w:p>
    <w:p>
      <w:pPr>
        <w:rPr>
          <w:rFonts w:hint="eastAsia"/>
          <w:lang w:eastAsia="zh-CN"/>
        </w:rPr>
      </w:pP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pStyle w:val="6"/>
        <w:adjustRightInd w:val="0"/>
        <w:snapToGrid w:val="0"/>
        <w:spacing w:before="93"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曾家山旅游度假区党工委（管委会）设下列内机构：</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一）办公室。负责文电、会务、档案、机要、保密等机关日常运转工作；负责党的组织建设、思想建设、党风廉政建设和党员管理；负责绩效管理，督促重大事项落实；负责统筹协调重大活动、重要会议和其他综合性、临时性工作；负责机关财务、政府采购和资产管理；负责机关和直属单位的人事、机构编制和离退休人员管理工作。</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二）规划建设科。协助编制旅游度假区总体规划和详细规划并组织实施，按照总体规划对新建、扩建和改建项目进行初审并按程序上报；负责旅游度假区内综合开发利用，按规定权限承担基础设施、配套设施的建设管理；配合有关部门编制报送旅游度假区建设计划、用地计划；负责旅游度假区内项目规划建设的统筹管理，协助项目建设环节审批事项办理、项目土地出让、项目选址以及推动项目建设的统筹监管等工作。</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（三）产业发展科。负责旅游度假区项目的策划、包装和招商引资工作；负责旅游业态培育；负责督导国有资产的经营和乡村旅游联盟日常运行；牵头制定曾家山旅游产业发展激励政策。</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（四）宣传营销科，负责旅游度假区宣传营销体系建设；负责整体形象宣传、信息发布及政务公开；负责市场营销、推介工作，策划并组织实施对外宣传和推广活动。</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五）资源保护科。负责旅游度假区内旅游资源调查、保护，推动旅游资源有效开发利用；牵头负责品牌创建及巩固提升；负责督促指导有关企事业单位、乡镇落实生态环境保护、环境污染防治和环境卫生管理；协助有关部门开展环境监测及环保执法工作。</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六）市场管理科。负责旅游度假区旅游产业行业管理，制定涉旅行业标准；负责管理旅游市场，协调有关部门依法制止和查处旅游市场违规行为；负责涉旅投诉处理、舆情处置、信访维稳工作；制定安全事故、突发事件应急预案，督促指导经营单位制定相关应急预案；协调有关部门对公共卫生、医疗急救、疾病控制进行监督和管理。</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p>
    <w:p>
      <w:pPr>
        <w:pStyle w:val="2"/>
        <w:rPr>
          <w:rFonts w:hint="default"/>
          <w:lang w:val="en-US" w:eastAsia="zh-CN"/>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6"/>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358.91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如</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65.19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22.19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支出增加84.23万元，增长30.66%</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单位人员增加</w:t>
      </w:r>
      <w:r>
        <w:rPr>
          <w:rFonts w:hint="eastAsia" w:ascii="仿宋" w:hAnsi="仿宋" w:eastAsia="仿宋"/>
          <w:color w:val="auto"/>
          <w:sz w:val="32"/>
          <w:szCs w:val="32"/>
          <w:highlight w:val="none"/>
          <w:lang w:eastAsia="zh-CN"/>
        </w:rPr>
        <w:t>。</w:t>
      </w:r>
    </w:p>
    <w:p>
      <w:pPr>
        <w:pStyle w:val="2"/>
        <w:tabs>
          <w:tab w:val="left" w:pos="666"/>
          <w:tab w:val="center" w:pos="4212"/>
        </w:tabs>
        <w:jc w:val="left"/>
        <w:rPr>
          <w:rFonts w:hint="eastAsia"/>
          <w:lang w:eastAsia="zh-CN"/>
        </w:rPr>
      </w:pP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lang w:val="en-US" w:eastAsia="zh-CN"/>
        </w:rPr>
        <w:object>
          <v:shape id="_x0000_i1025" o:spt="75" type="#_x0000_t75" style="height:237.75pt;width:317.2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spacing w:line="60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358.91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354.48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98.77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4.43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960" w:firstLineChars="300"/>
        <w:outlineLvl w:val="1"/>
        <w:rPr>
          <w:rFonts w:ascii="仿宋" w:hAnsi="仿宋" w:eastAsia="仿宋"/>
          <w:color w:val="auto"/>
          <w:sz w:val="32"/>
          <w:szCs w:val="32"/>
          <w:highlight w:val="none"/>
        </w:rPr>
      </w:pPr>
      <w:r>
        <w:rPr>
          <w:rFonts w:hint="eastAsia" w:ascii="仿宋" w:hAnsi="仿宋" w:eastAsia="仿宋"/>
          <w:color w:val="FF0000"/>
          <w:sz w:val="32"/>
          <w:szCs w:val="32"/>
          <w:lang w:val="en-US" w:eastAsia="zh-CN"/>
        </w:rPr>
        <w:object>
          <v:shape id="_x0000_i1026" o:spt="75" type="#_x0000_t75" style="height:215.95pt;width:322.95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pPr>
        <w:spacing w:line="600" w:lineRule="exact"/>
        <w:ind w:firstLine="2560" w:firstLineChars="8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spacing w:line="600" w:lineRule="exact"/>
        <w:ind w:firstLine="640" w:firstLineChars="200"/>
        <w:rPr>
          <w:rFonts w:ascii="仿宋_GB2312" w:eastAsia="仿宋_GB2312"/>
          <w:color w:val="auto"/>
          <w:sz w:val="32"/>
          <w:szCs w:val="32"/>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358.91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166.23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46.32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192.68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53.68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640"/>
        <w:jc w:val="center"/>
        <w:rPr>
          <w:rFonts w:ascii="仿宋" w:hAnsi="仿宋" w:eastAsia="仿宋"/>
          <w:color w:val="auto"/>
          <w:sz w:val="32"/>
          <w:szCs w:val="32"/>
          <w:highlight w:val="none"/>
          <w:shd w:val="pct10" w:color="auto" w:fill="FFFFFF"/>
        </w:rPr>
      </w:pPr>
      <w:r>
        <w:rPr>
          <w:rFonts w:hint="eastAsia" w:ascii="仿宋" w:hAnsi="仿宋" w:eastAsia="仿宋"/>
          <w:sz w:val="32"/>
          <w:szCs w:val="32"/>
          <w:shd w:val="pct10" w:color="auto" w:fill="FFFFFF"/>
          <w:lang w:eastAsia="zh-CN"/>
        </w:rPr>
        <w:object>
          <v:shape id="_x0000_i1027" o:spt="75" type="#_x0000_t75" style="height:229.5pt;width:315.65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spacing w:line="600" w:lineRule="exact"/>
        <w:ind w:firstLine="2560" w:firstLineChars="8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bookmarkStart w:id="24" w:name="_Toc15377208"/>
      <w:bookmarkStart w:id="25" w:name="_Toc15396606"/>
    </w:p>
    <w:p>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358.91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如</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65.19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22.19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支出增加84.23万元，增长30.66%</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单位人员增加。</w:t>
      </w:r>
    </w:p>
    <w:p>
      <w:pPr>
        <w:spacing w:line="240" w:lineRule="auto"/>
        <w:jc w:val="center"/>
        <w:rPr>
          <w:rFonts w:ascii="仿宋" w:hAnsi="仿宋" w:eastAsia="仿宋"/>
          <w:color w:val="auto"/>
          <w:sz w:val="32"/>
          <w:szCs w:val="32"/>
          <w:highlight w:val="none"/>
        </w:rPr>
      </w:pPr>
      <w:r>
        <w:rPr>
          <w:rFonts w:hint="eastAsia"/>
          <w:lang w:val="en-US" w:eastAsia="zh-CN"/>
        </w:rPr>
        <w:t xml:space="preserve"> </w:t>
      </w:r>
      <w:r>
        <w:rPr>
          <w:rFonts w:hint="eastAsia"/>
          <w:lang w:val="en-US" w:eastAsia="zh-CN"/>
        </w:rPr>
        <w:object>
          <v:shape id="_x0000_i1028" o:spt="75" type="#_x0000_t75" style="height:243pt;width:324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358.91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84.23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30.66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单位人员增加。</w:t>
      </w:r>
    </w:p>
    <w:p>
      <w:pPr>
        <w:spacing w:line="240" w:lineRule="auto"/>
        <w:ind w:firstLine="1470" w:firstLineChars="700"/>
        <w:jc w:val="both"/>
        <w:rPr>
          <w:rFonts w:ascii="仿宋" w:hAnsi="仿宋" w:eastAsia="仿宋"/>
          <w:color w:val="auto"/>
          <w:sz w:val="32"/>
          <w:szCs w:val="32"/>
          <w:highlight w:val="none"/>
        </w:rPr>
      </w:pPr>
      <w:r>
        <w:rPr>
          <w:rFonts w:hint="eastAsia"/>
          <w:lang w:val="en-US" w:eastAsia="zh-CN"/>
        </w:rPr>
        <w:object>
          <v:shape id="_x0000_i1029" o:spt="75" type="#_x0000_t75" style="height:209.4pt;width:264.8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358.91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327.96</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91.38</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11.87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5.89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农林水支出</w:t>
      </w:r>
      <w:r>
        <w:rPr>
          <w:rFonts w:hint="eastAsia" w:ascii="仿宋" w:hAnsi="仿宋" w:eastAsia="仿宋"/>
          <w:color w:val="auto"/>
          <w:sz w:val="32"/>
          <w:szCs w:val="32"/>
          <w:highlight w:val="none"/>
          <w:lang w:val="en-US" w:eastAsia="zh-CN"/>
        </w:rPr>
        <w:t>1.5万元，占0.42%；</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11.69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ind w:firstLine="1050" w:firstLineChars="500"/>
        <w:jc w:val="both"/>
        <w:rPr>
          <w:rFonts w:hint="eastAsia" w:eastAsia="仿宋"/>
          <w:lang w:eastAsia="zh-CN"/>
        </w:rPr>
      </w:pPr>
    </w:p>
    <w:p>
      <w:pPr>
        <w:pStyle w:val="2"/>
        <w:ind w:firstLine="1470" w:firstLineChars="700"/>
        <w:jc w:val="both"/>
      </w:pPr>
      <w:r>
        <w:rPr>
          <w:rFonts w:hint="eastAsia" w:eastAsia="仿宋"/>
          <w:lang w:eastAsia="zh-CN"/>
        </w:rPr>
        <w:object>
          <v:shape id="_x0000_i1030" o:spt="75" type="#_x0000_t75" style="height:189.9pt;width:281.95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358.91</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ascii="仿宋" w:hAnsi="仿宋" w:eastAsia="仿宋"/>
          <w:bCs/>
          <w:color w:val="auto"/>
          <w:sz w:val="32"/>
          <w:szCs w:val="32"/>
          <w:highlight w:val="none"/>
        </w:rPr>
        <w:t>.</w:t>
      </w:r>
      <w:r>
        <w:rPr>
          <w:rFonts w:hint="eastAsia" w:ascii="仿宋" w:hAnsi="仿宋" w:eastAsia="仿宋"/>
          <w:b/>
          <w:color w:val="auto"/>
          <w:sz w:val="32"/>
          <w:szCs w:val="32"/>
          <w:highlight w:val="none"/>
        </w:rPr>
        <w:t>文化旅游体育与传媒（类）文化和旅游（款） 行政运行（项）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136.78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pStyle w:val="2"/>
        <w:ind w:firstLine="643" w:firstLineChars="200"/>
        <w:rPr>
          <w:rStyle w:val="16"/>
          <w:rFonts w:hint="eastAsia" w:ascii="仿宋" w:hAnsi="仿宋" w:eastAsia="仿宋"/>
          <w:b w:val="0"/>
          <w:bCs/>
          <w:color w:val="auto"/>
          <w:sz w:val="32"/>
          <w:szCs w:val="32"/>
          <w:highlight w:val="none"/>
        </w:rPr>
      </w:pPr>
      <w:r>
        <w:rPr>
          <w:rFonts w:hint="eastAsia" w:ascii="仿宋" w:hAnsi="仿宋" w:eastAsia="仿宋"/>
          <w:b/>
          <w:color w:val="auto"/>
          <w:sz w:val="32"/>
          <w:szCs w:val="32"/>
          <w:highlight w:val="none"/>
          <w:lang w:val="en-US" w:eastAsia="zh-CN"/>
        </w:rPr>
        <w:t>2.</w:t>
      </w:r>
      <w:r>
        <w:rPr>
          <w:rFonts w:hint="eastAsia" w:ascii="仿宋" w:hAnsi="仿宋" w:eastAsia="仿宋"/>
          <w:b/>
          <w:color w:val="auto"/>
          <w:sz w:val="32"/>
          <w:szCs w:val="32"/>
          <w:highlight w:val="none"/>
        </w:rPr>
        <w:t>文化旅游体育与传媒（类）文化和旅游（款）一般行政管理事务（项）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0.24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pStyle w:val="2"/>
        <w:ind w:firstLine="643" w:firstLineChars="200"/>
        <w:rPr>
          <w:rStyle w:val="16"/>
          <w:rFonts w:hint="eastAsia" w:ascii="仿宋" w:hAnsi="仿宋" w:eastAsia="仿宋"/>
          <w:b w:val="0"/>
          <w:bCs/>
          <w:color w:val="auto"/>
          <w:sz w:val="32"/>
          <w:szCs w:val="32"/>
          <w:highlight w:val="none"/>
        </w:rPr>
      </w:pPr>
      <w:r>
        <w:rPr>
          <w:rFonts w:hint="eastAsia" w:ascii="仿宋" w:hAnsi="仿宋" w:eastAsia="仿宋"/>
          <w:b/>
          <w:color w:val="auto"/>
          <w:sz w:val="32"/>
          <w:szCs w:val="32"/>
          <w:highlight w:val="none"/>
          <w:lang w:val="en-US" w:eastAsia="zh-CN"/>
        </w:rPr>
        <w:t>3.</w:t>
      </w:r>
      <w:r>
        <w:rPr>
          <w:rFonts w:hint="eastAsia" w:ascii="仿宋" w:hAnsi="仿宋" w:eastAsia="仿宋"/>
          <w:b/>
          <w:color w:val="auto"/>
          <w:sz w:val="32"/>
          <w:szCs w:val="32"/>
          <w:highlight w:val="none"/>
        </w:rPr>
        <w:t>文化旅游体育与传媒（类）其他文化旅游体育与传媒支出（款）其他文化旅游体育与传媒支出</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项</w:t>
      </w:r>
      <w:r>
        <w:rPr>
          <w:rFonts w:hint="eastAsia" w:ascii="仿宋" w:hAnsi="仿宋" w:eastAsia="仿宋"/>
          <w:b/>
          <w:color w:val="auto"/>
          <w:sz w:val="32"/>
          <w:szCs w:val="32"/>
          <w:highlight w:val="none"/>
          <w:lang w:eastAsia="zh-CN"/>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190.94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pStyle w:val="2"/>
        <w:ind w:firstLine="643" w:firstLineChars="200"/>
        <w:rPr>
          <w:rStyle w:val="16"/>
          <w:rFonts w:hint="eastAsia" w:ascii="仿宋" w:hAnsi="仿宋" w:eastAsia="仿宋"/>
          <w:b w:val="0"/>
          <w:bCs/>
          <w:color w:val="auto"/>
          <w:sz w:val="32"/>
          <w:szCs w:val="32"/>
          <w:highlight w:val="none"/>
        </w:rPr>
      </w:pPr>
      <w:r>
        <w:rPr>
          <w:rFonts w:hint="eastAsia" w:ascii="仿宋" w:hAnsi="仿宋" w:eastAsia="仿宋"/>
          <w:b/>
          <w:color w:val="auto"/>
          <w:sz w:val="32"/>
          <w:szCs w:val="32"/>
          <w:highlight w:val="none"/>
          <w:lang w:val="en-US" w:eastAsia="zh-CN"/>
        </w:rPr>
        <w:t>4.</w:t>
      </w:r>
      <w:r>
        <w:rPr>
          <w:rFonts w:hint="eastAsia" w:ascii="仿宋" w:hAnsi="仿宋" w:eastAsia="仿宋"/>
          <w:b/>
          <w:color w:val="auto"/>
          <w:sz w:val="32"/>
          <w:szCs w:val="32"/>
          <w:highlight w:val="none"/>
        </w:rPr>
        <w:t xml:space="preserve">社会保障和就业（类）行政事业单位养老支出（款） 机关事业单位基本养老保险缴费支出（项）: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11.51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hint="eastAsia" w:ascii="仿宋" w:hAnsi="仿宋" w:eastAsia="仿宋"/>
          <w:b w:val="0"/>
          <w:bCs/>
          <w:color w:val="auto"/>
          <w:sz w:val="32"/>
          <w:szCs w:val="32"/>
          <w:highlight w:val="none"/>
        </w:rPr>
        <w:t>%，决算数等于预算数。</w:t>
      </w:r>
    </w:p>
    <w:p>
      <w:pPr>
        <w:pStyle w:val="2"/>
        <w:ind w:firstLine="643" w:firstLineChars="200"/>
        <w:rPr>
          <w:rStyle w:val="16"/>
          <w:rFonts w:hint="eastAsia" w:ascii="仿宋" w:hAnsi="仿宋" w:eastAsia="仿宋"/>
          <w:b w:val="0"/>
          <w:bCs/>
          <w:color w:val="auto"/>
          <w:sz w:val="32"/>
          <w:szCs w:val="32"/>
          <w:highlight w:val="none"/>
        </w:rPr>
      </w:pPr>
      <w:r>
        <w:rPr>
          <w:rFonts w:hint="eastAsia" w:ascii="仿宋" w:hAnsi="仿宋" w:eastAsia="仿宋"/>
          <w:b/>
          <w:color w:val="auto"/>
          <w:sz w:val="32"/>
          <w:szCs w:val="32"/>
          <w:highlight w:val="none"/>
          <w:lang w:val="en-US" w:eastAsia="zh-CN"/>
        </w:rPr>
        <w:t>5.</w:t>
      </w:r>
      <w:r>
        <w:rPr>
          <w:rFonts w:hint="eastAsia" w:ascii="仿宋" w:hAnsi="仿宋" w:eastAsia="仿宋"/>
          <w:b/>
          <w:color w:val="auto"/>
          <w:sz w:val="32"/>
          <w:szCs w:val="32"/>
          <w:highlight w:val="none"/>
        </w:rPr>
        <w:t xml:space="preserve">社会保障和就业（类）其他社会保障和就业支出（款） 其他社会保障和就业支出（项）: </w:t>
      </w:r>
      <w:r>
        <w:rPr>
          <w:rStyle w:val="16"/>
          <w:rFonts w:hint="eastAsia" w:ascii="仿宋" w:hAnsi="仿宋" w:eastAsia="仿宋"/>
          <w:b w:val="0"/>
          <w:bCs/>
          <w:color w:val="auto"/>
          <w:sz w:val="32"/>
          <w:szCs w:val="32"/>
          <w:highlight w:val="none"/>
        </w:rPr>
        <w:t>支出决算为0.</w:t>
      </w:r>
      <w:r>
        <w:rPr>
          <w:rStyle w:val="16"/>
          <w:rFonts w:hint="eastAsia" w:ascii="仿宋" w:hAnsi="仿宋" w:eastAsia="仿宋"/>
          <w:b w:val="0"/>
          <w:bCs/>
          <w:color w:val="auto"/>
          <w:sz w:val="32"/>
          <w:szCs w:val="32"/>
          <w:highlight w:val="none"/>
          <w:lang w:val="en-US" w:eastAsia="zh-CN"/>
        </w:rPr>
        <w:t>36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hint="eastAsia" w:ascii="仿宋" w:hAnsi="仿宋" w:eastAsia="仿宋"/>
          <w:b w:val="0"/>
          <w:bCs/>
          <w:color w:val="auto"/>
          <w:sz w:val="32"/>
          <w:szCs w:val="32"/>
          <w:highlight w:val="none"/>
        </w:rPr>
        <w:t>%，决算数等于预算数。</w:t>
      </w:r>
    </w:p>
    <w:p>
      <w:pPr>
        <w:pStyle w:val="2"/>
        <w:ind w:firstLine="643" w:firstLineChars="200"/>
        <w:rPr>
          <w:rStyle w:val="16"/>
          <w:rFonts w:hint="eastAsia" w:ascii="仿宋" w:hAnsi="仿宋" w:eastAsia="仿宋"/>
          <w:b w:val="0"/>
          <w:bCs/>
          <w:color w:val="auto"/>
          <w:sz w:val="32"/>
          <w:szCs w:val="32"/>
          <w:highlight w:val="none"/>
        </w:rPr>
      </w:pPr>
      <w:r>
        <w:rPr>
          <w:rFonts w:hint="eastAsia" w:ascii="仿宋" w:hAnsi="仿宋" w:eastAsia="仿宋"/>
          <w:b/>
          <w:color w:val="auto"/>
          <w:sz w:val="32"/>
          <w:szCs w:val="32"/>
          <w:highlight w:val="none"/>
          <w:lang w:val="en-US" w:eastAsia="zh-CN"/>
        </w:rPr>
        <w:t>6.</w:t>
      </w:r>
      <w:r>
        <w:rPr>
          <w:rFonts w:hint="eastAsia" w:ascii="仿宋" w:hAnsi="仿宋" w:eastAsia="仿宋"/>
          <w:b/>
          <w:color w:val="auto"/>
          <w:sz w:val="32"/>
          <w:szCs w:val="32"/>
          <w:highlight w:val="none"/>
        </w:rPr>
        <w:t>卫生健康（类）行政事业单位医疗（款）行政单位医疗（项）:</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5.89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hint="eastAsia" w:ascii="仿宋" w:hAnsi="仿宋" w:eastAsia="仿宋"/>
          <w:b w:val="0"/>
          <w:bCs/>
          <w:color w:val="auto"/>
          <w:sz w:val="32"/>
          <w:szCs w:val="32"/>
          <w:highlight w:val="none"/>
        </w:rPr>
        <w:t>%，决算数等于预算数。</w:t>
      </w:r>
    </w:p>
    <w:p>
      <w:pPr>
        <w:pStyle w:val="2"/>
        <w:ind w:firstLine="643" w:firstLineChars="200"/>
        <w:rPr>
          <w:rStyle w:val="16"/>
          <w:rFonts w:hint="eastAsia" w:ascii="仿宋" w:hAnsi="仿宋" w:eastAsia="仿宋"/>
          <w:b w:val="0"/>
          <w:bCs/>
          <w:color w:val="auto"/>
          <w:sz w:val="32"/>
          <w:szCs w:val="32"/>
          <w:highlight w:val="none"/>
        </w:rPr>
      </w:pPr>
      <w:r>
        <w:rPr>
          <w:rFonts w:hint="eastAsia" w:ascii="仿宋" w:hAnsi="仿宋" w:eastAsia="仿宋"/>
          <w:b/>
          <w:color w:val="auto"/>
          <w:sz w:val="32"/>
          <w:szCs w:val="32"/>
          <w:highlight w:val="none"/>
          <w:lang w:val="en-US" w:eastAsia="zh-CN"/>
        </w:rPr>
        <w:t>7.</w:t>
      </w:r>
      <w:r>
        <w:rPr>
          <w:rFonts w:hint="eastAsia" w:ascii="仿宋" w:hAnsi="仿宋" w:eastAsia="仿宋"/>
          <w:b/>
          <w:color w:val="auto"/>
          <w:sz w:val="32"/>
          <w:szCs w:val="32"/>
          <w:highlight w:val="none"/>
        </w:rPr>
        <w:t>农林水支出（类）巩固脱贫衔接乡村振兴（款）   其他巩固脱贫衔接乡村振兴支出（项）：</w:t>
      </w:r>
      <w:r>
        <w:rPr>
          <w:rStyle w:val="16"/>
          <w:rFonts w:hint="eastAsia" w:ascii="仿宋" w:hAnsi="仿宋" w:eastAsia="仿宋"/>
          <w:b w:val="0"/>
          <w:bCs/>
          <w:color w:val="auto"/>
          <w:sz w:val="32"/>
          <w:szCs w:val="32"/>
          <w:highlight w:val="none"/>
        </w:rPr>
        <w:t>支出决算为1.50万元，完成预算100%，决算数等于预算数。</w:t>
      </w:r>
    </w:p>
    <w:p>
      <w:pPr>
        <w:pStyle w:val="2"/>
        <w:ind w:firstLine="643" w:firstLineChars="200"/>
        <w:rPr>
          <w:rStyle w:val="16"/>
          <w:rFonts w:hint="eastAsia" w:ascii="仿宋" w:hAnsi="仿宋" w:eastAsia="仿宋"/>
          <w:b w:val="0"/>
          <w:bCs/>
          <w:color w:val="auto"/>
          <w:sz w:val="32"/>
          <w:szCs w:val="32"/>
          <w:highlight w:val="none"/>
        </w:rPr>
      </w:pPr>
      <w:r>
        <w:rPr>
          <w:rFonts w:hint="eastAsia" w:ascii="仿宋" w:hAnsi="仿宋" w:eastAsia="仿宋"/>
          <w:b/>
          <w:color w:val="auto"/>
          <w:sz w:val="32"/>
          <w:szCs w:val="32"/>
          <w:highlight w:val="none"/>
          <w:lang w:val="en-US" w:eastAsia="zh-CN"/>
        </w:rPr>
        <w:t>8.</w:t>
      </w:r>
      <w:r>
        <w:rPr>
          <w:rFonts w:hint="eastAsia" w:ascii="仿宋" w:hAnsi="仿宋" w:eastAsia="仿宋"/>
          <w:b/>
          <w:color w:val="auto"/>
          <w:sz w:val="32"/>
          <w:szCs w:val="32"/>
          <w:highlight w:val="none"/>
        </w:rPr>
        <w:t>住房保障支出（类）住房改革支出（款）住房公积金（项）：</w:t>
      </w:r>
      <w:r>
        <w:rPr>
          <w:rStyle w:val="16"/>
          <w:rFonts w:hint="eastAsia" w:ascii="仿宋" w:hAnsi="仿宋" w:eastAsia="仿宋"/>
          <w:b w:val="0"/>
          <w:bCs/>
          <w:color w:val="auto"/>
          <w:sz w:val="32"/>
          <w:szCs w:val="32"/>
          <w:highlight w:val="none"/>
        </w:rPr>
        <w:t>支出决</w:t>
      </w:r>
      <w:r>
        <w:rPr>
          <w:rStyle w:val="16"/>
          <w:rFonts w:hint="eastAsia" w:ascii="仿宋" w:hAnsi="仿宋" w:eastAsia="仿宋"/>
          <w:b w:val="0"/>
          <w:bCs/>
          <w:color w:val="auto"/>
          <w:sz w:val="32"/>
          <w:szCs w:val="32"/>
          <w:highlight w:val="none"/>
          <w:lang w:val="en-US" w:eastAsia="zh-CN"/>
        </w:rPr>
        <w:t>算</w:t>
      </w:r>
      <w:r>
        <w:rPr>
          <w:rStyle w:val="16"/>
          <w:rFonts w:hint="eastAsia" w:ascii="仿宋" w:hAnsi="仿宋" w:eastAsia="仿宋"/>
          <w:b w:val="0"/>
          <w:bCs/>
          <w:color w:val="auto"/>
          <w:sz w:val="32"/>
          <w:szCs w:val="32"/>
          <w:highlight w:val="none"/>
        </w:rPr>
        <w:t>为</w:t>
      </w:r>
      <w:r>
        <w:rPr>
          <w:rStyle w:val="16"/>
          <w:rFonts w:hint="eastAsia" w:ascii="仿宋" w:hAnsi="仿宋" w:eastAsia="仿宋"/>
          <w:b w:val="0"/>
          <w:bCs/>
          <w:color w:val="auto"/>
          <w:sz w:val="32"/>
          <w:szCs w:val="32"/>
          <w:highlight w:val="none"/>
          <w:lang w:val="en-US" w:eastAsia="zh-CN"/>
        </w:rPr>
        <w:t>11.69</w:t>
      </w:r>
      <w:r>
        <w:rPr>
          <w:rStyle w:val="16"/>
          <w:rFonts w:hint="eastAsia" w:ascii="仿宋" w:hAnsi="仿宋" w:eastAsia="仿宋"/>
          <w:b w:val="0"/>
          <w:bCs/>
          <w:color w:val="auto"/>
          <w:sz w:val="32"/>
          <w:szCs w:val="32"/>
          <w:highlight w:val="none"/>
        </w:rPr>
        <w:t>万元，完成预算100%，决算数等于预算数。</w:t>
      </w:r>
    </w:p>
    <w:p>
      <w:pPr>
        <w:tabs>
          <w:tab w:val="right" w:pos="8306"/>
        </w:tabs>
        <w:spacing w:line="600" w:lineRule="exact"/>
        <w:ind w:firstLine="640"/>
        <w:outlineLvl w:val="1"/>
        <w:rPr>
          <w:rStyle w:val="27"/>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166.23</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141.82</w:t>
      </w:r>
      <w:r>
        <w:rPr>
          <w:rFonts w:hint="eastAsia" w:ascii="仿宋" w:hAnsi="仿宋" w:eastAsia="仿宋"/>
          <w:color w:val="auto"/>
          <w:sz w:val="32"/>
          <w:szCs w:val="32"/>
          <w:highlight w:val="none"/>
        </w:rPr>
        <w:t>万元，主要包括：基本工资、津贴补贴、奖金、机关事业单位基本养老保险缴费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职工基本医疗保险缴费、其他社会保障缴费、奖励金、住房公积金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对个人和家庭的补助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19.99</w:t>
      </w:r>
      <w:r>
        <w:rPr>
          <w:rFonts w:hint="eastAsia" w:ascii="仿宋" w:hAnsi="仿宋" w:eastAsia="仿宋"/>
          <w:color w:val="auto"/>
          <w:sz w:val="32"/>
          <w:szCs w:val="32"/>
          <w:highlight w:val="none"/>
        </w:rPr>
        <w:t>万元，主要包括：办公费、水费、电费、邮电费、差旅费、维修（护）费、租赁费、会议费、公务接待费、其他交通费。</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7"/>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1.74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减少1.63万元，下降48.37%。</w:t>
      </w:r>
      <w:r>
        <w:rPr>
          <w:rFonts w:hint="eastAsia" w:ascii="仿宋" w:hAnsi="仿宋" w:eastAsia="仿宋"/>
          <w:color w:val="auto"/>
          <w:sz w:val="32"/>
          <w:szCs w:val="32"/>
          <w:highlight w:val="none"/>
        </w:rPr>
        <w:t>决算数</w:t>
      </w:r>
      <w:r>
        <w:rPr>
          <w:rFonts w:hint="eastAsia" w:ascii="仿宋" w:hAnsi="仿宋" w:eastAsia="仿宋"/>
          <w:color w:val="auto"/>
          <w:sz w:val="32"/>
          <w:szCs w:val="32"/>
          <w:highlight w:val="none"/>
          <w:lang w:val="en-US" w:eastAsia="zh-CN"/>
        </w:rPr>
        <w:t>等于</w:t>
      </w:r>
      <w:r>
        <w:rPr>
          <w:rFonts w:hint="eastAsia" w:ascii="仿宋" w:hAnsi="仿宋" w:eastAsia="仿宋"/>
          <w:color w:val="auto"/>
          <w:sz w:val="32"/>
          <w:szCs w:val="32"/>
          <w:highlight w:val="none"/>
        </w:rPr>
        <w:t>预算数。</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rPr>
      </w:pPr>
    </w:p>
    <w:p>
      <w:pPr>
        <w:pStyle w:val="2"/>
        <w:jc w:val="center"/>
      </w:pPr>
      <w:r>
        <w:rPr>
          <w:rFonts w:hint="eastAsia" w:eastAsia="仿宋"/>
          <w:lang w:eastAsia="zh-CN"/>
        </w:rPr>
        <w:object>
          <v:shape id="_x0000_i1031" o:spt="75" type="#_x0000_t75" style="height:219.75pt;width:261.4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240" w:lineRule="auto"/>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主要原因是我单位2022年无</w:t>
      </w:r>
      <w:r>
        <w:rPr>
          <w:rFonts w:hint="eastAsia" w:ascii="仿宋_GB2312" w:eastAsia="仿宋_GB2312"/>
          <w:color w:val="auto"/>
          <w:sz w:val="32"/>
          <w:szCs w:val="32"/>
          <w:highlight w:val="none"/>
        </w:rPr>
        <w:t>因公出国（境）</w:t>
      </w:r>
      <w:r>
        <w:rPr>
          <w:rFonts w:hint="eastAsia" w:ascii="仿宋_GB2312" w:eastAsia="仿宋_GB2312"/>
          <w:color w:val="auto"/>
          <w:sz w:val="32"/>
          <w:szCs w:val="32"/>
          <w:highlight w:val="none"/>
          <w:lang w:val="en-US" w:eastAsia="zh-CN"/>
        </w:rPr>
        <w:t>需要，年初未安排预算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 xml:space="preserve">                            </w:t>
      </w:r>
      <w:r>
        <w:rPr>
          <w:rFonts w:hint="eastAsia" w:ascii="仿宋_GB2312" w:eastAsia="仿宋_GB2312"/>
          <w:b/>
          <w:color w:val="auto"/>
          <w:sz w:val="32"/>
          <w:szCs w:val="32"/>
          <w:highlight w:val="none"/>
          <w:lang w:val="en-US" w:eastAsia="zh-CN"/>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主要原因是本单位无公务用车，年初未安排预算</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1.74</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1.63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48.37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公务接待减少</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1.74</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198人</w:t>
      </w:r>
      <w:r>
        <w:rPr>
          <w:rFonts w:hint="eastAsia" w:ascii="仿宋_GB2312" w:eastAsia="仿宋_GB2312"/>
          <w:color w:val="auto"/>
          <w:sz w:val="32"/>
          <w:szCs w:val="32"/>
          <w:highlight w:val="none"/>
        </w:rPr>
        <w:t>次，共计支出</w:t>
      </w:r>
      <w:r>
        <w:rPr>
          <w:rFonts w:hint="eastAsia" w:ascii="仿宋_GB2312" w:eastAsia="仿宋_GB2312"/>
          <w:color w:val="auto"/>
          <w:sz w:val="32"/>
          <w:szCs w:val="32"/>
          <w:highlight w:val="none"/>
          <w:lang w:val="en-US" w:eastAsia="zh-CN"/>
        </w:rPr>
        <w:t>1.74</w:t>
      </w:r>
      <w:r>
        <w:rPr>
          <w:rFonts w:hint="eastAsia" w:ascii="仿宋_GB2312" w:eastAsia="仿宋_GB2312"/>
          <w:color w:val="auto"/>
          <w:sz w:val="32"/>
          <w:szCs w:val="32"/>
          <w:highlight w:val="none"/>
        </w:rPr>
        <w:t>万元，具体内容包括：</w:t>
      </w:r>
    </w:p>
    <w:p>
      <w:pPr>
        <w:spacing w:line="600" w:lineRule="exact"/>
        <w:ind w:firstLine="64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1.深圳贵华游乐有限公司投资项目座谈会0.3万元，</w:t>
      </w:r>
      <w:r>
        <w:rPr>
          <w:rFonts w:hint="eastAsia" w:ascii="仿宋_GB2312" w:hAnsi="仿宋_GB2312" w:eastAsia="仿宋_GB2312" w:cs="仿宋_GB2312"/>
          <w:b w:val="0"/>
          <w:bCs w:val="0"/>
          <w:sz w:val="32"/>
          <w:szCs w:val="32"/>
          <w:lang w:val="en-US" w:eastAsia="zh-CN"/>
        </w:rPr>
        <w:t>接待3批次8人次；</w:t>
      </w:r>
    </w:p>
    <w:p>
      <w:pPr>
        <w:spacing w:line="600" w:lineRule="exact"/>
        <w:ind w:firstLine="64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u w:val="none"/>
          <w:lang w:val="en-US" w:eastAsia="zh-CN"/>
        </w:rPr>
        <w:t>2.浙江联众休闲度假有限公司考察曾家山0.2万元，接</w:t>
      </w:r>
      <w:r>
        <w:rPr>
          <w:rFonts w:hint="eastAsia" w:ascii="仿宋_GB2312" w:eastAsia="仿宋_GB2312"/>
          <w:color w:val="auto"/>
          <w:sz w:val="32"/>
          <w:szCs w:val="32"/>
          <w:highlight w:val="none"/>
          <w:lang w:val="en-US" w:eastAsia="zh-CN"/>
        </w:rPr>
        <w:t>待3批次17人次；</w:t>
      </w:r>
    </w:p>
    <w:p>
      <w:pPr>
        <w:pStyle w:val="2"/>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3.巴中市光雾山诺水河文旅融合法制示范区管委会赴广元市曾家山考察学习0.2万元，接待3批次20人次；</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4.民航专家赴广元帮助研究指导通用机场规划建设前期工作0.18万元，接待2批次6人次；</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5.世纪盈通+成都旅投联合体项目考察组赴广元市曾家山旅游度假区考察等0.08万元，接待3批次16人次；</w:t>
      </w:r>
    </w:p>
    <w:p>
      <w:pPr>
        <w:pStyle w:val="2"/>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6.广元市曾家山旅游度假区规划建设领导小组第一次全体会议筹备工作会0.08万元，接待2批次36人次；</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7.曾家山旅游度假区建设推进会筹备工作会议方案0.1万元，接待2批次，44人次</w:t>
      </w:r>
    </w:p>
    <w:p>
      <w:pPr>
        <w:pStyle w:val="2"/>
        <w:numPr>
          <w:ilvl w:val="0"/>
          <w:numId w:val="0"/>
        </w:num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 四川花卉（果类）生态旅游节主会场暨第六届四川朝天核桃文化旅游节现场参观协调会0.1万元，接待3批次16人次；</w:t>
      </w:r>
    </w:p>
    <w:p>
      <w:pPr>
        <w:pStyle w:val="2"/>
        <w:numPr>
          <w:ilvl w:val="0"/>
          <w:numId w:val="0"/>
        </w:num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9.曾家山旅游度假区建设推进会0.5万元，接待2批次 35人次。</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40" w:name="_Toc15396610"/>
      <w:bookmarkStart w:id="41" w:name="_Toc15377218"/>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7"/>
          <w:rFonts w:ascii="黑体" w:hAnsi="黑体" w:eastAsia="黑体"/>
          <w:b w:val="0"/>
          <w:color w:val="auto"/>
          <w:highlight w:val="none"/>
        </w:rPr>
      </w:pPr>
      <w:bookmarkStart w:id="42" w:name="_Toc15396611"/>
      <w:bookmarkStart w:id="43" w:name="_Toc15377219"/>
      <w:r>
        <w:rPr>
          <w:rStyle w:val="27"/>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7"/>
          <w:rFonts w:hint="eastAsia" w:ascii="黑体" w:hAnsi="黑体" w:eastAsia="黑体"/>
          <w:b w:val="0"/>
          <w:color w:val="auto"/>
          <w:highlight w:val="none"/>
        </w:rPr>
      </w:pPr>
      <w:bookmarkStart w:id="44" w:name="_Toc15396612"/>
      <w:bookmarkStart w:id="45" w:name="_Toc15377221"/>
      <w:r>
        <w:rPr>
          <w:rStyle w:val="27"/>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广元市曾家山旅游度假区管理委员会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19.99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4.32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17.77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。主要原因是主要原因是</w:t>
      </w:r>
      <w:r>
        <w:rPr>
          <w:rFonts w:hint="eastAsia" w:ascii="仿宋_GB2312" w:eastAsia="仿宋_GB2312"/>
          <w:color w:val="auto"/>
          <w:sz w:val="32"/>
          <w:szCs w:val="32"/>
          <w:highlight w:val="none"/>
          <w:lang w:val="en-US" w:eastAsia="zh-CN"/>
        </w:rPr>
        <w:t>厉行节约，减少“三公”经费开支,严格按照“三公”经费支出的文件和要求控制接待标准和减少接待次数和人数,所以费用</w:t>
      </w:r>
      <w:r>
        <w:rPr>
          <w:rFonts w:hint="default" w:ascii="仿宋_GB2312" w:eastAsia="仿宋_GB2312"/>
          <w:color w:val="auto"/>
          <w:sz w:val="32"/>
          <w:szCs w:val="32"/>
          <w:highlight w:val="none"/>
          <w:lang w:val="en-US" w:eastAsia="zh-CN"/>
        </w:rPr>
        <w:t>减少</w:t>
      </w:r>
      <w:r>
        <w:rPr>
          <w:rFonts w:hint="eastAsia" w:ascii="仿宋_GB2312" w:eastAsia="仿宋_GB2312"/>
          <w:color w:val="auto"/>
          <w:sz w:val="32"/>
          <w:szCs w:val="32"/>
          <w:highlight w:val="none"/>
          <w:lang w:val="en-US"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广元市曾家山旅游度假区管理委员会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广元市曾家山旅游度假区管理委员会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6"/>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天府旅游名县奖励资金</w:t>
      </w:r>
      <w:r>
        <w:rPr>
          <w:rFonts w:hint="eastAsia" w:hAnsi="仿宋_GB2312" w:cs="仿宋_GB2312"/>
          <w:color w:val="auto"/>
          <w:sz w:val="32"/>
          <w:szCs w:val="32"/>
          <w:highlight w:val="none"/>
          <w:lang w:eastAsia="zh-CN"/>
        </w:rPr>
        <w:t>、</w:t>
      </w:r>
      <w:r>
        <w:rPr>
          <w:rFonts w:hint="eastAsia" w:hAnsi="仿宋_GB2312" w:cs="仿宋_GB2312"/>
          <w:color w:val="auto"/>
          <w:sz w:val="32"/>
          <w:szCs w:val="32"/>
          <w:highlight w:val="none"/>
          <w:lang w:val="en-US" w:eastAsia="zh-CN"/>
        </w:rPr>
        <w:t>朝天区高寒区干部温暖过冬项目取暖费这2</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4"/>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财政拨款收入：指单位从同级财政部门取得的财政预算资金。</w:t>
      </w:r>
    </w:p>
    <w:p>
      <w:pPr>
        <w:pStyle w:val="24"/>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val="en-US" w:eastAsia="zh-CN"/>
        </w:rPr>
        <w:t>公益性岗位补贴收入</w:t>
      </w:r>
      <w:r>
        <w:rPr>
          <w:rFonts w:hint="eastAsia" w:ascii="仿宋_GB2312" w:eastAsia="仿宋_GB2312"/>
          <w:color w:val="auto"/>
          <w:sz w:val="32"/>
          <w:szCs w:val="32"/>
          <w:highlight w:val="none"/>
        </w:rPr>
        <w:t>。</w:t>
      </w:r>
    </w:p>
    <w:p>
      <w:pPr>
        <w:pStyle w:val="24"/>
        <w:numPr>
          <w:ilvl w:val="0"/>
          <w:numId w:val="0"/>
        </w:numPr>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文化旅游体育与传媒支出（类）</w:t>
      </w:r>
      <w:r>
        <w:rPr>
          <w:rFonts w:hint="eastAsia" w:ascii="仿宋_GB2312" w:eastAsia="仿宋_GB2312"/>
          <w:color w:val="auto"/>
          <w:sz w:val="32"/>
          <w:szCs w:val="32"/>
          <w:highlight w:val="none"/>
          <w:lang w:val="en-US" w:eastAsia="zh-CN"/>
        </w:rPr>
        <w:t>文化和旅游</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行政运行</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反映行政单位（包括实行公务员管理的事业单位）的基本支出。</w:t>
      </w:r>
    </w:p>
    <w:p>
      <w:pPr>
        <w:pStyle w:val="24"/>
        <w:numPr>
          <w:ilvl w:val="0"/>
          <w:numId w:val="0"/>
        </w:numPr>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文化旅游体育与传媒</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文化和旅游</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 xml:space="preserve">  一般行政管理事务</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反映行政单位（包括实行公务员管理的事业单位）未单独设置项级科目的其他项目支出。</w:t>
      </w:r>
    </w:p>
    <w:p>
      <w:pPr>
        <w:pStyle w:val="24"/>
        <w:numPr>
          <w:ilvl w:val="0"/>
          <w:numId w:val="0"/>
        </w:num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文化旅游体育与传媒</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rPr>
        <w:t>（类）其他文化旅游体育与传媒支出（款）其他文化旅游体育与传媒支出（项）：指</w:t>
      </w:r>
      <w:r>
        <w:rPr>
          <w:rFonts w:hint="eastAsia" w:ascii="仿宋_GB2312" w:eastAsia="仿宋_GB2312"/>
          <w:color w:val="auto"/>
          <w:sz w:val="32"/>
          <w:szCs w:val="32"/>
          <w:highlight w:val="none"/>
          <w:lang w:val="en-US" w:eastAsia="zh-CN"/>
        </w:rPr>
        <w:t>除上述项目以外其他用于</w:t>
      </w:r>
      <w:r>
        <w:rPr>
          <w:rFonts w:hint="eastAsia" w:ascii="仿宋_GB2312" w:eastAsia="仿宋_GB2312"/>
          <w:color w:val="auto"/>
          <w:sz w:val="32"/>
          <w:szCs w:val="32"/>
          <w:highlight w:val="none"/>
        </w:rPr>
        <w:t>文化旅游体育与传媒</w:t>
      </w:r>
      <w:r>
        <w:rPr>
          <w:rFonts w:hint="eastAsia" w:ascii="仿宋_GB2312" w:eastAsia="仿宋_GB2312"/>
          <w:color w:val="auto"/>
          <w:sz w:val="32"/>
          <w:szCs w:val="32"/>
          <w:highlight w:val="none"/>
          <w:lang w:val="en-US" w:eastAsia="zh-CN"/>
        </w:rPr>
        <w:t>方面的支出。</w:t>
      </w:r>
    </w:p>
    <w:p>
      <w:pPr>
        <w:pStyle w:val="24"/>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rPr>
        <w:t>（类）行政事业单位养老支出（款）机关事业单位基本养老保险缴费支出（项）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机关事业</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lang w:val="en-US" w:eastAsia="zh-CN"/>
        </w:rPr>
        <w:t>实施</w:t>
      </w:r>
      <w:r>
        <w:rPr>
          <w:rFonts w:hint="eastAsia" w:ascii="仿宋_GB2312" w:eastAsia="仿宋_GB2312"/>
          <w:color w:val="auto"/>
          <w:sz w:val="32"/>
          <w:szCs w:val="32"/>
          <w:highlight w:val="none"/>
          <w:lang w:eastAsia="zh-CN"/>
        </w:rPr>
        <w:t>养老</w:t>
      </w:r>
      <w:r>
        <w:rPr>
          <w:rFonts w:hint="eastAsia" w:ascii="仿宋_GB2312" w:eastAsia="仿宋_GB2312"/>
          <w:color w:val="auto"/>
          <w:sz w:val="32"/>
          <w:szCs w:val="32"/>
          <w:highlight w:val="none"/>
          <w:lang w:val="en-US" w:eastAsia="zh-CN"/>
        </w:rPr>
        <w:t>保险制度由单位缴纳的基本养老保险费</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w:t>
      </w:r>
    </w:p>
    <w:p>
      <w:pPr>
        <w:pStyle w:val="24"/>
        <w:numPr>
          <w:ilvl w:val="0"/>
          <w:numId w:val="0"/>
        </w:numPr>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 社会保障和就业支出（类）其他社会保障和就业支出（款）其他社会保障和就业支出（项）：</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除上述项目以外其他用于社会保障和就业方面的支出。</w:t>
      </w:r>
    </w:p>
    <w:p>
      <w:pPr>
        <w:pStyle w:val="24"/>
        <w:numPr>
          <w:ilvl w:val="0"/>
          <w:numId w:val="0"/>
        </w:num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val="zh-CN"/>
        </w:rPr>
        <w:t>．卫生健康支出（</w:t>
      </w:r>
      <w:r>
        <w:rPr>
          <w:rFonts w:hint="eastAsia" w:ascii="仿宋_GB2312" w:eastAsia="仿宋_GB2312"/>
          <w:color w:val="auto"/>
          <w:sz w:val="32"/>
          <w:szCs w:val="32"/>
          <w:highlight w:val="none"/>
          <w:lang w:val="en-US" w:eastAsia="zh-CN"/>
        </w:rPr>
        <w:t>类</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en-US" w:eastAsia="zh-CN"/>
        </w:rPr>
        <w:t>行政事业单位医疗（款）行政单位医疗（项） ：</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财政部门安排的行政单位（包括实行公务员管理的事业单位）基本医疗保险缴费经费。</w:t>
      </w:r>
    </w:p>
    <w:p>
      <w:pPr>
        <w:pStyle w:val="24"/>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农林水支出（类）</w:t>
      </w:r>
      <w:r>
        <w:rPr>
          <w:rFonts w:hint="eastAsia" w:ascii="仿宋_GB2312" w:eastAsia="仿宋_GB2312"/>
          <w:color w:val="auto"/>
          <w:sz w:val="32"/>
          <w:szCs w:val="32"/>
          <w:lang w:val="en-US" w:eastAsia="zh-CN"/>
        </w:rPr>
        <w:t>巩固脱贫攻坚成果衔接乡村振兴</w:t>
      </w:r>
      <w:r>
        <w:rPr>
          <w:rFonts w:hint="eastAsia" w:ascii="仿宋_GB2312" w:eastAsia="仿宋_GB2312"/>
          <w:color w:val="auto"/>
          <w:sz w:val="32"/>
          <w:szCs w:val="32"/>
          <w:lang w:eastAsia="zh-CN"/>
        </w:rPr>
        <w:t>（</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其他巩固脱贫攻坚成果衔接乡村振兴支出</w:t>
      </w:r>
      <w:r>
        <w:rPr>
          <w:rFonts w:hint="eastAsia" w:ascii="仿宋_GB2312" w:eastAsia="仿宋_GB2312"/>
          <w:color w:val="auto"/>
          <w:sz w:val="32"/>
          <w:szCs w:val="32"/>
        </w:rPr>
        <w:t>（项）</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除上述项目以外其他用于巩固拓展脱贫攻坚成果同乡村振兴有效衔接方面的支出。</w:t>
      </w:r>
    </w:p>
    <w:p>
      <w:pPr>
        <w:pStyle w:val="24"/>
        <w:spacing w:line="560" w:lineRule="exact"/>
        <w:ind w:firstLine="640" w:firstLineChars="200"/>
        <w:outlineLvl w:val="1"/>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lang w:val="zh-CN"/>
        </w:rPr>
        <w:t>住房保障支出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住房改革支出</w:t>
      </w:r>
      <w:r>
        <w:rPr>
          <w:rFonts w:hint="eastAsia" w:ascii="仿宋_GB2312" w:eastAsia="仿宋_GB2312"/>
          <w:color w:val="auto"/>
          <w:sz w:val="32"/>
          <w:szCs w:val="32"/>
        </w:rPr>
        <w:t>（款）住房公积金（项）：指</w:t>
      </w:r>
      <w:r>
        <w:rPr>
          <w:rFonts w:hint="eastAsia" w:ascii="仿宋_GB2312" w:eastAsia="仿宋_GB2312"/>
          <w:color w:val="auto"/>
          <w:sz w:val="32"/>
          <w:szCs w:val="32"/>
          <w:lang w:val="en-US" w:eastAsia="zh-CN"/>
        </w:rPr>
        <w:t>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olor w:val="auto"/>
          <w:sz w:val="32"/>
          <w:szCs w:val="32"/>
          <w:highlight w:val="none"/>
        </w:rPr>
      </w:pPr>
    </w:p>
    <w:p>
      <w:pPr>
        <w:pStyle w:val="24"/>
        <w:spacing w:line="560" w:lineRule="exact"/>
        <w:ind w:firstLine="640" w:firstLineChars="200"/>
        <w:rPr>
          <w:rFonts w:ascii="仿宋_GB2312" w:eastAsia="仿宋_GB2312" w:cs="黑体"/>
          <w:color w:val="auto"/>
          <w:sz w:val="32"/>
          <w:szCs w:val="32"/>
          <w:highlight w:val="none"/>
        </w:rPr>
      </w:pPr>
    </w:p>
    <w:p>
      <w:pPr>
        <w:numPr>
          <w:ilvl w:val="0"/>
          <w:numId w:val="4"/>
        </w:numPr>
        <w:spacing w:line="600" w:lineRule="exact"/>
        <w:ind w:left="0" w:leftChars="0" w:firstLine="663" w:firstLineChars="150"/>
        <w:jc w:val="center"/>
        <w:outlineLvl w:val="0"/>
        <w:rPr>
          <w:rFonts w:hint="eastAsia"/>
        </w:rPr>
      </w:pPr>
      <w:bookmarkStart w:id="51" w:name="_Toc15377226"/>
      <w:r>
        <w:rPr>
          <w:rFonts w:ascii="宋体"/>
          <w:b/>
          <w:color w:val="auto"/>
          <w:sz w:val="44"/>
          <w:szCs w:val="44"/>
          <w:highlight w:val="none"/>
        </w:rPr>
        <w:br w:type="page"/>
      </w:r>
      <w:bookmarkStart w:id="52" w:name="_Toc15396614"/>
      <w:r>
        <w:rPr>
          <w:rStyle w:val="26"/>
          <w:rFonts w:hint="eastAsia" w:ascii="黑体" w:hAnsi="黑体" w:eastAsia="黑体"/>
          <w:b w:val="0"/>
          <w:color w:val="auto"/>
          <w:highlight w:val="none"/>
        </w:rPr>
        <w:t>附件</w:t>
      </w:r>
      <w:bookmarkEnd w:id="52"/>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部门预算项目支出绩效自评表（2022年度）</w:t>
      </w:r>
    </w:p>
    <w:p>
      <w:pPr>
        <w:pStyle w:val="2"/>
        <w:jc w:val="center"/>
        <w:rPr>
          <w:rFonts w:hint="default" w:eastAsia="黑体"/>
          <w:lang w:val="en-US" w:eastAsia="zh-CN"/>
        </w:rPr>
      </w:pPr>
    </w:p>
    <w:p>
      <w:pPr>
        <w:rPr>
          <w:rFonts w:hint="eastAsia" w:ascii="黑体" w:hAnsi="黑体" w:eastAsia="黑体"/>
          <w:color w:val="auto"/>
          <w:sz w:val="44"/>
          <w:szCs w:val="44"/>
          <w:highlight w:val="none"/>
        </w:rPr>
      </w:pPr>
      <w:bookmarkStart w:id="53" w:name="_Toc15396618"/>
    </w:p>
    <w:tbl>
      <w:tblPr>
        <w:tblStyle w:val="14"/>
        <w:tblpPr w:leftFromText="180" w:rightFromText="180" w:vertAnchor="text" w:horzAnchor="page" w:tblpX="435" w:tblpY="67"/>
        <w:tblOverlap w:val="never"/>
        <w:tblW w:w="11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1363"/>
        <w:gridCol w:w="1352"/>
        <w:gridCol w:w="1700"/>
        <w:gridCol w:w="518"/>
        <w:gridCol w:w="1073"/>
        <w:gridCol w:w="522"/>
        <w:gridCol w:w="1086"/>
        <w:gridCol w:w="576"/>
        <w:gridCol w:w="864"/>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按照相关要求，按时、足额发放奖金。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及时、足额发放奖金，预算编制科学合理，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已及时、足额发放补贴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10.32</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10.32</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项目自评总分100分，已及时、足额发放补贴。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保障了金财网运行正常，财务工作顺利有效开展，各项财政资金使用渠道通畅。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保障了金财网运行正常，财务工作顺利有效开展，各项财政资金使用渠道通畅。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该项目自评得分为100分，保障了金财网运行正常，财务工作顺利有效开展，各项财政资金使用渠道通畅。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每月按时申报工资，保障职工工资发放。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该项目自评得分为100，每月已足额、按时发放工资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每月按时申报养老保险，足额缴纳。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11.51</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11.51</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该项目自评得分为100分，已足额、按时缴纳养老保险。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每月按时申报医疗保险，足额缴纳。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该项自评得分为100，每月已按时申报医疗保险，足额缴纳。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已足额、按时缴纳住房公积金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每月足额、按时缴纳住房公积金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该项自评得分为100分，每月已按时申报住房公积金，足额缴纳。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51081222T000005653444-天府旅游名县奖励资金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做好2022年曾家山旅游度假区宣传营销工作，进一步增强曾家山旅游的品牌知名度和市场影响力，吸引更多游客前来度假休闲观光，促进曾家山旅游业持续快速健康发展。</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做好2022年曾家山旅游度假区宣传营销工作，进一步增强曾家山旅游的品牌知名度和市场影响力，吸引更多游客前来度假休闲观光，促进曾家山旅游业持续快速健康发展。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做好2022年曾家山旅游度假区宣传营销工作，进一步增强曾家山旅游的品牌知名度和市场影响力，吸引更多游客前来度假休闲观光，促进曾家山旅游业持续快速健康发展。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系统统筹历年来各行业部门专项规划，用于统筹指导曾家山未来发展的纲领性规划，含曾家山景区总体策划、总体规划、重点区域概念规划三部分的纸质文本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系统统筹历年来各行业部门专项规划，用于统筹指导曾家山未来发展的纲领性规划，含曾家山景区总体策划、总体规划、重点区域概念规划三部分的电子文本</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曾家山景区全景导览图</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积极筹备组织赴浙江、成都、重庆等地，开展高质量曾家山文化旅游专场推介会</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因疫情影响，外出开展专场推介会受阻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对接央视、人民网、四川卫视、四川文旅、四川观察、今日旅游、广元日报等主流媒体，宣传报道曾家山</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拍摄制作曾家山宣传片、川洞天坑专题宣传</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设计制作曾家山宣传折页等宣传资料</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营销效果质量</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曾家山旅游的品牌知名度和市场影响力显著提升</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曾家山旅游的品牌知名度和市场影响力显著提升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科学、合理性</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宣传营销经费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财政最终拨付180万元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按合同支付策划费用</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经专家评审、通过规委会后予以支付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科学利用曾家山景区现有旅游资源，对景区建设提档升级，打造景区亮点，吸引大量游客，形成良好经济效益</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科学利用曾家山景区现有旅游资源，对景区建设提档升级，打造景区亮点，吸引大量游客，形成良好经济效益</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科学利用曾家山景区现有旅游资源，对景区建设提档升级，打造景区亮点，吸引大量游客，形成良好经济效益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规划中涉及了大量体验性项目，可带动周边群众发展相关产业，促进民众增收，形成良好社会效益</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规划中涉及了大量体验性项目，可带动周边群众发展相关产业，促进民众增收，形成良好社会效益</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规划中涉及了大量体验性项目，可带动周边群众发展相关产业，促进民众增收，形成良好社会效益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规划充分结合近期国土空间规划，系统分析曾家山景区各项资源承载能力，指导后期进行科学合理开发，形成良好生态效益</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规划充分结合近期国土空间规划，系统分析曾家山景区各项资源承载能力，指导后期进行科学合理开发，形成良好生态效益</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规划充分结合近期国土空间规划，系统分析曾家山景区各项资源承载能力，指导后期进行科学合理开发，形成良好生态效益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规划结合国内国际各项成功案例，立足长远，以国际化的视野，高标准规划曾家山建设，可持续指导曾家山景区发展</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规划结合国内国际各项成功案例，立足长远，以国际化的视野，高标准规划曾家山建设，可持续指导曾家山景区发展</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优良中差</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规划结合国内国际各项成功案例，立足长远，以国际化的视野，高标准规划曾家山建设，可持续指导曾家山景区发展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95.5，做在2022年内做好了2022年曾家山旅游度假区宣传营销工作，进一步增强了曾家山旅游的品牌知名度和市场影响力，吸引了更多游客前来度假休闲观光，促进了曾家山旅游业持续快速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51081222T000005936702-朝天区高寒区干部温暖过冬项目取暖费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保障单位职工温暖过冬</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10.94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10.94</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取暖时间</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2022年内</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取暖费用</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10.94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剩余资金不够支付下一次天然气费用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保障单位职工切身利益</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单位职工满意率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该项目自评得分为97.5，保障2022年单位职工温暖过冬，取暖率达到100%，单位职工满意度达到95%以上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预算执行率未达到100%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以后更加合理规划资金的分配和使用。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该项目自评得分为100，已保障单位正常运转。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保障了驻村工作队工作正常开展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保障驻村工作队工作正常开展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预算执行率已达到100%.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该项目自评得分为100，保障了驻村工作队工作正常开展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广元市曾家山景区管理委员会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每月已及时、足额发放补助。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每月及时、足额发放补助。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该项目自评得分为100，良好地保障了给职工每月按时发放补贴。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7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项目负责人：杨波</w:t>
            </w:r>
          </w:p>
        </w:tc>
        <w:tc>
          <w:tcPr>
            <w:tcW w:w="5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财务负责人：王玮</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default" w:eastAsia="宋体"/>
          <w:lang w:val="en-US" w:eastAsia="zh-CN"/>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6"/>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p>
    <w:p>
      <w:pPr>
        <w:pStyle w:val="4"/>
        <w:rPr>
          <w:rFonts w:ascii="仿宋" w:hAnsi="仿宋" w:eastAsia="仿宋"/>
          <w:color w:val="auto"/>
          <w:highlight w:val="none"/>
        </w:rPr>
      </w:pPr>
      <w:bookmarkStart w:id="54"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4"/>
    </w:p>
    <w:p>
      <w:pPr>
        <w:pStyle w:val="4"/>
        <w:rPr>
          <w:rFonts w:ascii="仿宋" w:hAnsi="仿宋" w:eastAsia="仿宋"/>
          <w:color w:val="auto"/>
          <w:highlight w:val="none"/>
        </w:rPr>
      </w:pPr>
      <w:bookmarkStart w:id="55"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5"/>
    </w:p>
    <w:p>
      <w:pPr>
        <w:pStyle w:val="4"/>
        <w:rPr>
          <w:rFonts w:ascii="仿宋" w:hAnsi="仿宋" w:eastAsia="仿宋"/>
          <w:b w:val="0"/>
          <w:color w:val="auto"/>
          <w:highlight w:val="none"/>
        </w:rPr>
      </w:pPr>
      <w:bookmarkStart w:id="56"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6"/>
    </w:p>
    <w:p>
      <w:pPr>
        <w:pStyle w:val="4"/>
        <w:rPr>
          <w:rStyle w:val="27"/>
          <w:rFonts w:ascii="仿宋" w:hAnsi="仿宋" w:eastAsia="仿宋"/>
          <w:b w:val="0"/>
          <w:bCs w:val="0"/>
          <w:color w:val="auto"/>
          <w:highlight w:val="none"/>
        </w:rPr>
      </w:pPr>
      <w:bookmarkStart w:id="57"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7"/>
      <w:bookmarkStart w:id="58"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8"/>
    </w:p>
    <w:p>
      <w:pPr>
        <w:pStyle w:val="4"/>
        <w:rPr>
          <w:rFonts w:ascii="仿宋" w:hAnsi="仿宋" w:eastAsia="仿宋"/>
          <w:color w:val="auto"/>
          <w:highlight w:val="none"/>
        </w:rPr>
      </w:pPr>
      <w:bookmarkStart w:id="59"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59"/>
    </w:p>
    <w:p>
      <w:pPr>
        <w:pStyle w:val="4"/>
        <w:rPr>
          <w:rFonts w:ascii="仿宋" w:hAnsi="仿宋" w:eastAsia="仿宋"/>
          <w:color w:val="auto"/>
          <w:highlight w:val="none"/>
        </w:rPr>
      </w:pPr>
      <w:bookmarkStart w:id="60"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0"/>
    </w:p>
    <w:p>
      <w:pPr>
        <w:pStyle w:val="4"/>
        <w:rPr>
          <w:rFonts w:ascii="仿宋" w:hAnsi="仿宋" w:eastAsia="仿宋"/>
          <w:color w:val="auto"/>
          <w:highlight w:val="none"/>
        </w:rPr>
      </w:pPr>
      <w:bookmarkStart w:id="61"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1"/>
    </w:p>
    <w:p>
      <w:pPr>
        <w:pStyle w:val="4"/>
        <w:rPr>
          <w:rFonts w:ascii="仿宋" w:hAnsi="仿宋" w:eastAsia="仿宋"/>
          <w:color w:val="auto"/>
          <w:highlight w:val="none"/>
        </w:rPr>
      </w:pPr>
      <w:bookmarkStart w:id="62" w:name="_Toc15396628"/>
      <w:r>
        <w:rPr>
          <w:rStyle w:val="27"/>
          <w:rFonts w:hint="eastAsia" w:ascii="仿宋" w:hAnsi="仿宋" w:eastAsia="仿宋"/>
          <w:b w:val="0"/>
          <w:bCs w:val="0"/>
          <w:color w:val="auto"/>
          <w:highlight w:val="none"/>
        </w:rPr>
        <w:t>十、</w:t>
      </w:r>
      <w:bookmarkEnd w:id="62"/>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3" w:name="_Toc15396629"/>
      <w:r>
        <w:rPr>
          <w:rStyle w:val="27"/>
          <w:rFonts w:hint="eastAsia" w:ascii="仿宋" w:hAnsi="仿宋" w:eastAsia="仿宋"/>
          <w:b w:val="0"/>
          <w:bCs w:val="0"/>
          <w:color w:val="auto"/>
          <w:highlight w:val="none"/>
        </w:rPr>
        <w:t>十一、</w:t>
      </w:r>
      <w:bookmarkEnd w:id="63"/>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4" w:name="_Toc15396630"/>
      <w:r>
        <w:rPr>
          <w:rStyle w:val="27"/>
          <w:rFonts w:hint="eastAsia" w:ascii="仿宋" w:hAnsi="仿宋" w:eastAsia="仿宋"/>
          <w:b w:val="0"/>
          <w:bCs w:val="0"/>
          <w:color w:val="auto"/>
          <w:highlight w:val="none"/>
        </w:rPr>
        <w:t>十二、</w:t>
      </w:r>
      <w:bookmarkEnd w:id="64"/>
      <w:r>
        <w:rPr>
          <w:rStyle w:val="27"/>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5" w:name="_Toc15396631"/>
      <w:r>
        <w:rPr>
          <w:rStyle w:val="27"/>
          <w:rFonts w:hint="eastAsia" w:ascii="仿宋" w:hAnsi="仿宋" w:eastAsia="仿宋"/>
          <w:b w:val="0"/>
          <w:bCs w:val="0"/>
          <w:color w:val="auto"/>
          <w:highlight w:val="none"/>
        </w:rPr>
        <w:t>十三、</w:t>
      </w:r>
      <w:bookmarkEnd w:id="65"/>
      <w:r>
        <w:rPr>
          <w:rStyle w:val="27"/>
          <w:rFonts w:hint="eastAsia" w:ascii="仿宋" w:hAnsi="仿宋" w:eastAsia="仿宋"/>
          <w:b w:val="0"/>
          <w:bCs w:val="0"/>
          <w:color w:val="auto"/>
          <w:highlight w:val="none"/>
          <w:lang w:eastAsia="zh-CN"/>
        </w:rPr>
        <w:t>财政拨款“三公”经费支出决算表</w:t>
      </w:r>
    </w:p>
    <w:p>
      <w:pPr>
        <w:pStyle w:val="2"/>
        <w:rPr>
          <w:rFonts w:hint="eastAsia"/>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ZTAzODBjYmQ5ODBiYjUwYjkyY2Y0ODJiNjkzZ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40F97"/>
    <w:rsid w:val="02755A05"/>
    <w:rsid w:val="053A62B5"/>
    <w:rsid w:val="05467D5B"/>
    <w:rsid w:val="05EE29A3"/>
    <w:rsid w:val="080737D2"/>
    <w:rsid w:val="0A2032A3"/>
    <w:rsid w:val="0B8A37D8"/>
    <w:rsid w:val="0D1A7470"/>
    <w:rsid w:val="0F7200CA"/>
    <w:rsid w:val="0F9A4F2B"/>
    <w:rsid w:val="10C055FF"/>
    <w:rsid w:val="118107EC"/>
    <w:rsid w:val="11DD6519"/>
    <w:rsid w:val="12012005"/>
    <w:rsid w:val="13141499"/>
    <w:rsid w:val="13182F38"/>
    <w:rsid w:val="14DD6D72"/>
    <w:rsid w:val="16BB723D"/>
    <w:rsid w:val="17C374E6"/>
    <w:rsid w:val="18015F3F"/>
    <w:rsid w:val="19CE1487"/>
    <w:rsid w:val="1BE8440E"/>
    <w:rsid w:val="1CA67605"/>
    <w:rsid w:val="1D155CEE"/>
    <w:rsid w:val="1E2F2C87"/>
    <w:rsid w:val="1FF07E49"/>
    <w:rsid w:val="20BA280C"/>
    <w:rsid w:val="20F57F95"/>
    <w:rsid w:val="240371BF"/>
    <w:rsid w:val="24312326"/>
    <w:rsid w:val="25711CC6"/>
    <w:rsid w:val="25B83E22"/>
    <w:rsid w:val="25C741E6"/>
    <w:rsid w:val="264D464E"/>
    <w:rsid w:val="264F6A06"/>
    <w:rsid w:val="27842671"/>
    <w:rsid w:val="28786571"/>
    <w:rsid w:val="29B6075C"/>
    <w:rsid w:val="29FD04D3"/>
    <w:rsid w:val="2ABE7A3E"/>
    <w:rsid w:val="2B4B3FF4"/>
    <w:rsid w:val="2BDE4899"/>
    <w:rsid w:val="2CA234A8"/>
    <w:rsid w:val="2D9A3064"/>
    <w:rsid w:val="2E1B14D5"/>
    <w:rsid w:val="2E83032C"/>
    <w:rsid w:val="2EFA178C"/>
    <w:rsid w:val="2F05099E"/>
    <w:rsid w:val="2F9A2DFF"/>
    <w:rsid w:val="30B46D73"/>
    <w:rsid w:val="319F7F4E"/>
    <w:rsid w:val="326A6587"/>
    <w:rsid w:val="33E52369"/>
    <w:rsid w:val="36195BEB"/>
    <w:rsid w:val="383D272C"/>
    <w:rsid w:val="38EE7F12"/>
    <w:rsid w:val="38F4304F"/>
    <w:rsid w:val="39AE70AB"/>
    <w:rsid w:val="39C944DB"/>
    <w:rsid w:val="3C0C0783"/>
    <w:rsid w:val="3CF61602"/>
    <w:rsid w:val="3F2A5A1C"/>
    <w:rsid w:val="3F9F3A96"/>
    <w:rsid w:val="41237CF5"/>
    <w:rsid w:val="426254CD"/>
    <w:rsid w:val="44050E21"/>
    <w:rsid w:val="44D4011C"/>
    <w:rsid w:val="45CA7611"/>
    <w:rsid w:val="462D194E"/>
    <w:rsid w:val="464C17F0"/>
    <w:rsid w:val="46B71EC7"/>
    <w:rsid w:val="474E3C21"/>
    <w:rsid w:val="479C6D8B"/>
    <w:rsid w:val="48B0193B"/>
    <w:rsid w:val="48BF60AB"/>
    <w:rsid w:val="493C27E9"/>
    <w:rsid w:val="496F39ED"/>
    <w:rsid w:val="49FF41D3"/>
    <w:rsid w:val="4AE65BCD"/>
    <w:rsid w:val="4B2557CC"/>
    <w:rsid w:val="4BE068DB"/>
    <w:rsid w:val="4BF6002B"/>
    <w:rsid w:val="4E157897"/>
    <w:rsid w:val="4ECE2238"/>
    <w:rsid w:val="4F844CD5"/>
    <w:rsid w:val="4FEA2B77"/>
    <w:rsid w:val="511C261A"/>
    <w:rsid w:val="51DB4B86"/>
    <w:rsid w:val="52E87329"/>
    <w:rsid w:val="53B46084"/>
    <w:rsid w:val="55333C3E"/>
    <w:rsid w:val="5A494B51"/>
    <w:rsid w:val="5AD00DCE"/>
    <w:rsid w:val="5B514604"/>
    <w:rsid w:val="5E884785"/>
    <w:rsid w:val="5F920D48"/>
    <w:rsid w:val="620F6680"/>
    <w:rsid w:val="64CA39A1"/>
    <w:rsid w:val="665B759B"/>
    <w:rsid w:val="68856C1B"/>
    <w:rsid w:val="69630ADE"/>
    <w:rsid w:val="69DA7573"/>
    <w:rsid w:val="6A1C4030"/>
    <w:rsid w:val="6A4E464A"/>
    <w:rsid w:val="6A763BAE"/>
    <w:rsid w:val="6AF93A8C"/>
    <w:rsid w:val="6BB35632"/>
    <w:rsid w:val="6BCF0C2E"/>
    <w:rsid w:val="6C214EEB"/>
    <w:rsid w:val="6C4A05C8"/>
    <w:rsid w:val="6D3B1A89"/>
    <w:rsid w:val="6D6A6E60"/>
    <w:rsid w:val="71BF4EC2"/>
    <w:rsid w:val="71C31235"/>
    <w:rsid w:val="72734D90"/>
    <w:rsid w:val="73AE3639"/>
    <w:rsid w:val="74033B6B"/>
    <w:rsid w:val="7412278C"/>
    <w:rsid w:val="74B92670"/>
    <w:rsid w:val="76F771B9"/>
    <w:rsid w:val="77FE5A01"/>
    <w:rsid w:val="785030F6"/>
    <w:rsid w:val="79E7B28D"/>
    <w:rsid w:val="7A37302C"/>
    <w:rsid w:val="7C97579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29</TotalTime>
  <ScaleCrop>false</ScaleCrop>
  <LinksUpToDate>false</LinksUpToDate>
  <CharactersWithSpaces>8692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Troye</cp:lastModifiedBy>
  <cp:lastPrinted>2023-07-31T02:35:00Z</cp:lastPrinted>
  <dcterms:modified xsi:type="dcterms:W3CDTF">2023-10-24T01:50:39Z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0D242268F6494FBDB4C3782D299DCF87_13</vt:lpwstr>
  </property>
</Properties>
</file>