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b w:val="0"/>
          <w:bCs w:val="0"/>
          <w:color w:val="auto"/>
          <w:sz w:val="72"/>
          <w:szCs w:val="72"/>
          <w:highlight w:val="none"/>
        </w:rPr>
      </w:pPr>
    </w:p>
    <w:p>
      <w:pPr>
        <w:spacing w:line="600" w:lineRule="exact"/>
        <w:jc w:val="center"/>
        <w:outlineLvl w:val="9"/>
        <w:rPr>
          <w:rFonts w:ascii="方正小标宋简体" w:hAnsi="宋体" w:eastAsia="方正小标宋简体"/>
          <w:b w:val="0"/>
          <w:bCs w:val="0"/>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72"/>
          <w:szCs w:val="72"/>
          <w:highlight w:val="none"/>
        </w:rPr>
      </w:pPr>
      <w:bookmarkStart w:id="0" w:name="_Toc9521"/>
      <w:bookmarkStart w:id="1" w:name="_Toc21995"/>
      <w:bookmarkStart w:id="2" w:name="_Toc17834"/>
      <w:bookmarkStart w:id="3" w:name="_Toc27931"/>
      <w:r>
        <w:rPr>
          <w:rFonts w:hint="eastAsia" w:ascii="方正小标宋简体" w:hAnsi="方正小标宋简体" w:eastAsia="方正小标宋简体" w:cs="方正小标宋简体"/>
          <w:b w:val="0"/>
          <w:bCs w:val="0"/>
          <w:color w:val="auto"/>
          <w:sz w:val="72"/>
          <w:szCs w:val="72"/>
          <w:highlight w:val="none"/>
        </w:rPr>
        <w:t>20</w:t>
      </w:r>
      <w:r>
        <w:rPr>
          <w:rFonts w:hint="eastAsia" w:ascii="方正小标宋简体" w:hAnsi="方正小标宋简体" w:eastAsia="方正小标宋简体" w:cs="方正小标宋简体"/>
          <w:b w:val="0"/>
          <w:bCs w:val="0"/>
          <w:color w:val="auto"/>
          <w:sz w:val="72"/>
          <w:szCs w:val="72"/>
          <w:highlight w:val="none"/>
          <w:lang w:val="en-US" w:eastAsia="zh-CN"/>
        </w:rPr>
        <w:t>22</w:t>
      </w:r>
      <w:r>
        <w:rPr>
          <w:rFonts w:hint="eastAsia" w:ascii="方正小标宋简体" w:hAnsi="方正小标宋简体" w:eastAsia="方正小标宋简体" w:cs="方正小标宋简体"/>
          <w:b w:val="0"/>
          <w:bCs w:val="0"/>
          <w:color w:val="auto"/>
          <w:sz w:val="72"/>
          <w:szCs w:val="72"/>
          <w:highlight w:val="none"/>
        </w:rPr>
        <w:t>年度</w:t>
      </w:r>
      <w:bookmarkEnd w:id="0"/>
      <w:bookmarkEnd w:id="1"/>
      <w:bookmarkEnd w:id="2"/>
      <w:bookmarkEnd w:id="3"/>
    </w:p>
    <w:p>
      <w:pPr>
        <w:adjustRightInd w:val="0"/>
        <w:snapToGrid w:val="0"/>
        <w:spacing w:line="360" w:lineRule="auto"/>
        <w:jc w:val="center"/>
        <w:outlineLvl w:val="0"/>
        <w:rPr>
          <w:rFonts w:ascii="方正小标宋简体" w:hAnsi="宋体" w:eastAsia="方正小标宋简体"/>
          <w:b w:val="0"/>
          <w:bCs w:val="0"/>
          <w:color w:val="000000"/>
          <w:sz w:val="72"/>
          <w:szCs w:val="72"/>
        </w:rPr>
      </w:pPr>
      <w:bookmarkStart w:id="4" w:name="_Toc15378442"/>
      <w:bookmarkStart w:id="5" w:name="_Toc20881"/>
      <w:bookmarkStart w:id="6" w:name="_Toc32244"/>
      <w:bookmarkStart w:id="7" w:name="_Toc16470"/>
      <w:bookmarkStart w:id="8" w:name="_Toc15396476"/>
      <w:bookmarkStart w:id="9" w:name="_Toc15377194"/>
      <w:bookmarkStart w:id="10" w:name="_Toc15396598"/>
      <w:bookmarkStart w:id="11" w:name="_Toc15377426"/>
      <w:bookmarkStart w:id="12" w:name="_Toc1119"/>
      <w:r>
        <w:rPr>
          <w:rFonts w:hint="eastAsia" w:ascii="方正小标宋简体" w:hAnsi="宋体" w:eastAsia="方正小标宋简体"/>
          <w:b w:val="0"/>
          <w:bCs w:val="0"/>
          <w:color w:val="000000"/>
          <w:spacing w:val="-51"/>
          <w:sz w:val="72"/>
          <w:szCs w:val="72"/>
        </w:rPr>
        <w:t>广元市朝天区</w:t>
      </w:r>
      <w:bookmarkStart w:id="13" w:name="_Toc15306268"/>
      <w:r>
        <w:rPr>
          <w:rFonts w:hint="eastAsia" w:ascii="方正小标宋简体" w:hAnsi="宋体" w:eastAsia="方正小标宋简体"/>
          <w:b w:val="0"/>
          <w:bCs w:val="0"/>
          <w:color w:val="000000"/>
          <w:spacing w:val="-51"/>
          <w:sz w:val="72"/>
          <w:szCs w:val="72"/>
          <w:lang w:eastAsia="zh-CN"/>
        </w:rPr>
        <w:t>目标绩效事务中心</w:t>
      </w:r>
      <w:r>
        <w:rPr>
          <w:rFonts w:hint="eastAsia" w:ascii="方正小标宋简体" w:hAnsi="宋体" w:eastAsia="方正小标宋简体"/>
          <w:b w:val="0"/>
          <w:bCs w:val="0"/>
          <w:color w:val="000000"/>
          <w:sz w:val="72"/>
          <w:szCs w:val="72"/>
        </w:rPr>
        <w:t>部门决算</w:t>
      </w:r>
      <w:bookmarkEnd w:id="4"/>
      <w:bookmarkEnd w:id="5"/>
      <w:bookmarkEnd w:id="6"/>
      <w:bookmarkEnd w:id="7"/>
      <w:bookmarkEnd w:id="8"/>
      <w:bookmarkEnd w:id="9"/>
      <w:bookmarkEnd w:id="10"/>
      <w:bookmarkEnd w:id="11"/>
      <w:bookmarkEnd w:id="12"/>
      <w:bookmarkEnd w:id="13"/>
    </w:p>
    <w:p/>
    <w:p>
      <w:pPr>
        <w:widowControl/>
        <w:jc w:val="both"/>
        <w:rPr>
          <w:rFonts w:ascii="黑体" w:hAnsi="黑体" w:eastAsia="黑体" w:cstheme="minorBidi"/>
          <w:color w:val="auto"/>
          <w:sz w:val="28"/>
          <w:szCs w:val="28"/>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outlineLvl w:val="0"/>
        <w:rPr>
          <w:rFonts w:hint="eastAsia"/>
          <w:color w:val="auto"/>
          <w:highlight w:val="none"/>
        </w:rPr>
      </w:pPr>
      <w:bookmarkStart w:id="14" w:name="_Toc18934"/>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bookmarkEnd w:id="14"/>
      <w:bookmarkStart w:id="15" w:name="_Toc15396599"/>
      <w:bookmarkStart w:id="16" w:name="_Toc15377196"/>
    </w:p>
    <w:p>
      <w:pPr>
        <w:rPr>
          <w:rFonts w:hint="eastAsia"/>
          <w:color w:val="auto"/>
          <w:highlight w:val="none"/>
        </w:rPr>
      </w:pPr>
    </w:p>
    <w:sdt>
      <w:sdtPr>
        <w:rPr>
          <w:rFonts w:ascii="宋体" w:hAnsi="宋体" w:eastAsia="宋体" w:cs="Times New Roman"/>
          <w:kern w:val="2"/>
          <w:sz w:val="21"/>
          <w:szCs w:val="24"/>
          <w:lang w:val="en-US" w:eastAsia="zh-CN" w:bidi="ar-SA"/>
        </w:rPr>
        <w:id w:val="147482127"/>
        <w15:color w:val="DBDBDB"/>
        <w:docPartObj>
          <w:docPartGallery w:val="Table of Contents"/>
          <w:docPartUnique/>
        </w:docPartObj>
      </w:sdtPr>
      <w:sdtEndPr>
        <w:rPr>
          <w:rFonts w:ascii="方正小标宋简体" w:hAnsi="宋体" w:eastAsia="方正小标宋简体" w:cs="Times New Roman"/>
          <w:bCs w:val="0"/>
          <w:color w:val="auto"/>
          <w:kern w:val="2"/>
          <w:sz w:val="21"/>
          <w:szCs w:val="72"/>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206" w:name="_GoBack"/>
          <w:bookmarkEnd w:id="206"/>
          <w:r>
            <w:rPr>
              <w:rFonts w:ascii="宋体" w:hAnsi="宋体" w:eastAsia="宋体"/>
              <w:sz w:val="21"/>
            </w:rPr>
            <w:t>目录</w:t>
          </w:r>
        </w:p>
        <w:p>
          <w:pPr>
            <w:pStyle w:val="35"/>
            <w:tabs>
              <w:tab w:val="right" w:leader="dot" w:pos="8845"/>
            </w:tabs>
          </w:pPr>
          <w:r>
            <w:rPr>
              <w:rFonts w:ascii="方正小标宋简体" w:hAnsi="宋体" w:eastAsia="方正小标宋简体"/>
              <w:b w:val="0"/>
              <w:bCs w:val="0"/>
              <w:color w:val="auto"/>
              <w:sz w:val="72"/>
              <w:szCs w:val="72"/>
              <w:highlight w:val="none"/>
            </w:rPr>
            <w:fldChar w:fldCharType="begin"/>
          </w:r>
          <w:r>
            <w:rPr>
              <w:rFonts w:ascii="方正小标宋简体" w:hAnsi="宋体" w:eastAsia="方正小标宋简体"/>
              <w:b w:val="0"/>
              <w:bCs w:val="0"/>
              <w:color w:val="auto"/>
              <w:sz w:val="72"/>
              <w:szCs w:val="72"/>
              <w:highlight w:val="none"/>
            </w:rPr>
            <w:instrText xml:space="preserve">TOC \o "1-3" \h \u </w:instrText>
          </w:r>
          <w:r>
            <w:rPr>
              <w:rFonts w:ascii="方正小标宋简体" w:hAnsi="宋体" w:eastAsia="方正小标宋简体"/>
              <w:b w:val="0"/>
              <w:bCs w:val="0"/>
              <w:color w:val="auto"/>
              <w:sz w:val="72"/>
              <w:szCs w:val="72"/>
              <w:highlight w:val="none"/>
            </w:rPr>
            <w:fldChar w:fldCharType="separate"/>
          </w: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_Toc21687 </w:instrText>
          </w:r>
          <w:r>
            <w:rPr>
              <w:rFonts w:ascii="方正小标宋简体" w:hAnsi="宋体" w:eastAsia="方正小标宋简体"/>
              <w:bCs w:val="0"/>
              <w:szCs w:val="72"/>
              <w:highlight w:val="none"/>
            </w:rPr>
            <w:fldChar w:fldCharType="separate"/>
          </w:r>
          <w:r>
            <w:rPr>
              <w:rFonts w:hint="eastAsia" w:ascii="黑体" w:hAnsi="黑体" w:eastAsia="黑体"/>
              <w:bCs w:val="0"/>
            </w:rPr>
            <w:t xml:space="preserve">第一部分 </w:t>
          </w:r>
          <w:r>
            <w:rPr>
              <w:rFonts w:hint="eastAsia" w:ascii="黑体" w:hAnsi="黑体" w:eastAsia="黑体"/>
              <w:bCs w:val="0"/>
              <w:highlight w:val="none"/>
            </w:rPr>
            <w:t>部门概况</w:t>
          </w:r>
          <w:r>
            <w:tab/>
          </w:r>
          <w:r>
            <w:fldChar w:fldCharType="begin"/>
          </w:r>
          <w:r>
            <w:instrText xml:space="preserve"> PAGEREF _Toc21687 \h </w:instrText>
          </w:r>
          <w:r>
            <w:fldChar w:fldCharType="separate"/>
          </w:r>
          <w:r>
            <w:t>3</w:t>
          </w:r>
          <w:r>
            <w:fldChar w:fldCharType="end"/>
          </w:r>
          <w:r>
            <w:rPr>
              <w:rFonts w:ascii="方正小标宋简体" w:hAnsi="宋体" w:eastAsia="方正小标宋简体"/>
              <w:bCs w:val="0"/>
              <w:color w:val="auto"/>
              <w:szCs w:val="72"/>
              <w:highlight w:val="none"/>
            </w:rPr>
            <w:fldChar w:fldCharType="end"/>
          </w:r>
        </w:p>
        <w:p>
          <w:pPr>
            <w:pStyle w:val="35"/>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_Toc26838 </w:instrText>
          </w:r>
          <w:r>
            <w:rPr>
              <w:rFonts w:ascii="方正小标宋简体" w:hAnsi="宋体" w:eastAsia="方正小标宋简体"/>
              <w:bCs w:val="0"/>
              <w:szCs w:val="72"/>
              <w:highlight w:val="none"/>
            </w:rPr>
            <w:fldChar w:fldCharType="separate"/>
          </w:r>
          <w:r>
            <w:rPr>
              <w:rFonts w:hint="eastAsia" w:ascii="黑体" w:hAnsi="黑体" w:eastAsia="黑体" w:cs="Times New Roman"/>
              <w:bCs w:val="0"/>
              <w:kern w:val="0"/>
              <w:szCs w:val="24"/>
              <w:highlight w:val="none"/>
              <w:lang w:val="en-US" w:eastAsia="zh-CN" w:bidi="ar-SA"/>
            </w:rPr>
            <w:t>一、部门职责</w:t>
          </w:r>
          <w:r>
            <w:tab/>
          </w:r>
          <w:r>
            <w:fldChar w:fldCharType="begin"/>
          </w:r>
          <w:r>
            <w:instrText xml:space="preserve"> PAGEREF _Toc26838 \h </w:instrText>
          </w:r>
          <w:r>
            <w:fldChar w:fldCharType="separate"/>
          </w:r>
          <w:r>
            <w:t>3</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_Toc22976 </w:instrText>
          </w:r>
          <w:r>
            <w:rPr>
              <w:rFonts w:ascii="方正小标宋简体" w:hAnsi="宋体" w:eastAsia="方正小标宋简体"/>
              <w:bCs w:val="0"/>
              <w:szCs w:val="72"/>
              <w:highlight w:val="none"/>
            </w:rPr>
            <w:fldChar w:fldCharType="separate"/>
          </w:r>
          <w:r>
            <w:rPr>
              <w:rFonts w:hint="eastAsia" w:ascii="黑体" w:eastAsia="黑体"/>
              <w:bCs w:val="0"/>
              <w:highlight w:val="none"/>
            </w:rPr>
            <w:t>二、</w:t>
          </w:r>
          <w:r>
            <w:rPr>
              <w:rFonts w:hint="eastAsia" w:ascii="黑体" w:hAnsi="黑体" w:eastAsia="黑体"/>
              <w:bCs w:val="0"/>
              <w:highlight w:val="none"/>
            </w:rPr>
            <w:t>机构设置</w:t>
          </w:r>
          <w:r>
            <w:tab/>
          </w:r>
          <w:r>
            <w:fldChar w:fldCharType="begin"/>
          </w:r>
          <w:r>
            <w:instrText xml:space="preserve"> PAGEREF _Toc22976 \h </w:instrText>
          </w:r>
          <w:r>
            <w:fldChar w:fldCharType="separate"/>
          </w:r>
          <w:r>
            <w:t>3</w:t>
          </w:r>
          <w:r>
            <w:fldChar w:fldCharType="end"/>
          </w:r>
          <w:r>
            <w:rPr>
              <w:rFonts w:ascii="方正小标宋简体" w:hAnsi="宋体" w:eastAsia="方正小标宋简体"/>
              <w:bCs w:val="0"/>
              <w:color w:val="auto"/>
              <w:szCs w:val="72"/>
              <w:highlight w:val="none"/>
            </w:rPr>
            <w:fldChar w:fldCharType="end"/>
          </w:r>
        </w:p>
        <w:p>
          <w:pPr>
            <w:pStyle w:val="35"/>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_Toc17381 </w:instrText>
          </w:r>
          <w:r>
            <w:rPr>
              <w:rFonts w:ascii="方正小标宋简体" w:hAnsi="宋体" w:eastAsia="方正小标宋简体"/>
              <w:bCs w:val="0"/>
              <w:szCs w:val="72"/>
              <w:highlight w:val="none"/>
            </w:rPr>
            <w:fldChar w:fldCharType="separate"/>
          </w:r>
          <w:r>
            <w:rPr>
              <w:rFonts w:hint="eastAsia" w:ascii="黑体" w:hAnsi="黑体" w:eastAsia="黑体"/>
              <w:bCs w:val="0"/>
              <w:highlight w:val="none"/>
            </w:rPr>
            <w:t xml:space="preserve">第二部分 </w:t>
          </w:r>
          <w:r>
            <w:rPr>
              <w:rFonts w:hint="eastAsia" w:ascii="黑体" w:hAnsi="黑体" w:eastAsia="黑体"/>
              <w:bCs w:val="0"/>
              <w:highlight w:val="none"/>
              <w:lang w:val="en-US" w:eastAsia="zh-CN"/>
            </w:rPr>
            <w:t>2022年度</w:t>
          </w:r>
          <w:r>
            <w:rPr>
              <w:rFonts w:hint="eastAsia" w:ascii="黑体" w:hAnsi="黑体" w:eastAsia="黑体"/>
              <w:bCs w:val="0"/>
              <w:highlight w:val="none"/>
            </w:rPr>
            <w:t>部门决算情况说明</w:t>
          </w:r>
          <w:r>
            <w:tab/>
          </w:r>
          <w:r>
            <w:fldChar w:fldCharType="begin"/>
          </w:r>
          <w:r>
            <w:instrText xml:space="preserve"> PAGEREF _Toc17381 \h </w:instrText>
          </w:r>
          <w:r>
            <w:fldChar w:fldCharType="separate"/>
          </w:r>
          <w:r>
            <w:t>4</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_Toc24553 </w:instrText>
          </w:r>
          <w:r>
            <w:rPr>
              <w:rFonts w:ascii="方正小标宋简体" w:hAnsi="宋体" w:eastAsia="方正小标宋简体"/>
              <w:bCs w:val="0"/>
              <w:szCs w:val="72"/>
              <w:highlight w:val="none"/>
            </w:rPr>
            <w:fldChar w:fldCharType="separate"/>
          </w:r>
          <w:r>
            <w:rPr>
              <w:rFonts w:hint="default" w:ascii="黑体" w:hAnsi="黑体" w:eastAsia="黑体"/>
              <w:bCs w:val="0"/>
            </w:rPr>
            <w:t xml:space="preserve">一、 </w:t>
          </w:r>
          <w:r>
            <w:rPr>
              <w:rFonts w:hint="eastAsia" w:ascii="黑体" w:hAnsi="黑体" w:eastAsia="黑体"/>
              <w:bCs w:val="0"/>
              <w:szCs w:val="32"/>
              <w:highlight w:val="none"/>
            </w:rPr>
            <w:t>收</w:t>
          </w:r>
          <w:r>
            <w:rPr>
              <w:rFonts w:hint="eastAsia" w:ascii="黑体" w:hAnsi="黑体" w:eastAsia="黑体"/>
              <w:bCs w:val="0"/>
              <w:highlight w:val="none"/>
            </w:rPr>
            <w:t>入支出决算总体情况说明</w:t>
          </w:r>
          <w:r>
            <w:tab/>
          </w:r>
          <w:r>
            <w:fldChar w:fldCharType="begin"/>
          </w:r>
          <w:r>
            <w:instrText xml:space="preserve"> PAGEREF _Toc24553 \h </w:instrText>
          </w:r>
          <w:r>
            <w:fldChar w:fldCharType="separate"/>
          </w:r>
          <w:r>
            <w:t>4</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_Toc26287 </w:instrText>
          </w:r>
          <w:r>
            <w:rPr>
              <w:rFonts w:ascii="方正小标宋简体" w:hAnsi="宋体" w:eastAsia="方正小标宋简体"/>
              <w:bCs w:val="0"/>
              <w:szCs w:val="72"/>
              <w:highlight w:val="none"/>
            </w:rPr>
            <w:fldChar w:fldCharType="separate"/>
          </w:r>
          <w:r>
            <w:rPr>
              <w:rFonts w:hint="default" w:ascii="黑体" w:hAnsi="黑体" w:eastAsia="黑体"/>
              <w:bCs w:val="0"/>
            </w:rPr>
            <w:t xml:space="preserve">二、 </w:t>
          </w:r>
          <w:r>
            <w:rPr>
              <w:rFonts w:hint="eastAsia" w:ascii="黑体" w:hAnsi="黑体" w:eastAsia="黑体"/>
              <w:bCs w:val="0"/>
              <w:szCs w:val="32"/>
              <w:highlight w:val="none"/>
            </w:rPr>
            <w:t>收</w:t>
          </w:r>
          <w:r>
            <w:rPr>
              <w:rFonts w:hint="eastAsia" w:ascii="黑体" w:hAnsi="黑体" w:eastAsia="黑体"/>
              <w:bCs w:val="0"/>
              <w:highlight w:val="none"/>
            </w:rPr>
            <w:t>入决算情况说明</w:t>
          </w:r>
          <w:r>
            <w:tab/>
          </w:r>
          <w:r>
            <w:fldChar w:fldCharType="begin"/>
          </w:r>
          <w:r>
            <w:instrText xml:space="preserve"> PAGEREF _Toc26287 \h </w:instrText>
          </w:r>
          <w:r>
            <w:fldChar w:fldCharType="separate"/>
          </w:r>
          <w:r>
            <w:t>4</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_Toc5658 </w:instrText>
          </w:r>
          <w:r>
            <w:rPr>
              <w:rFonts w:ascii="方正小标宋简体" w:hAnsi="宋体" w:eastAsia="方正小标宋简体"/>
              <w:bCs w:val="0"/>
              <w:szCs w:val="72"/>
              <w:highlight w:val="none"/>
            </w:rPr>
            <w:fldChar w:fldCharType="separate"/>
          </w:r>
          <w:r>
            <w:rPr>
              <w:rFonts w:hint="default" w:ascii="黑体" w:hAnsi="黑体" w:eastAsia="黑体"/>
              <w:bCs w:val="0"/>
            </w:rPr>
            <w:t xml:space="preserve">三、 </w:t>
          </w:r>
          <w:r>
            <w:rPr>
              <w:rFonts w:hint="eastAsia" w:ascii="黑体" w:hAnsi="黑体" w:eastAsia="黑体"/>
              <w:bCs w:val="0"/>
              <w:szCs w:val="32"/>
              <w:highlight w:val="none"/>
            </w:rPr>
            <w:t>支</w:t>
          </w:r>
          <w:r>
            <w:rPr>
              <w:rFonts w:hint="eastAsia" w:ascii="黑体" w:hAnsi="黑体" w:eastAsia="黑体"/>
              <w:bCs w:val="0"/>
              <w:highlight w:val="none"/>
            </w:rPr>
            <w:t>出决算情况说明</w:t>
          </w:r>
          <w:r>
            <w:tab/>
          </w:r>
          <w:r>
            <w:fldChar w:fldCharType="begin"/>
          </w:r>
          <w:r>
            <w:instrText xml:space="preserve"> PAGEREF _Toc5658 \h </w:instrText>
          </w:r>
          <w:r>
            <w:fldChar w:fldCharType="separate"/>
          </w:r>
          <w:r>
            <w:t>5</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_Toc586 </w:instrText>
          </w:r>
          <w:r>
            <w:rPr>
              <w:rFonts w:ascii="方正小标宋简体" w:hAnsi="宋体" w:eastAsia="方正小标宋简体"/>
              <w:bCs w:val="0"/>
              <w:szCs w:val="72"/>
              <w:highlight w:val="none"/>
            </w:rPr>
            <w:fldChar w:fldCharType="separate"/>
          </w:r>
          <w:r>
            <w:rPr>
              <w:rFonts w:hint="eastAsia" w:ascii="黑体" w:hAnsi="黑体" w:eastAsia="黑体"/>
              <w:bCs w:val="0"/>
              <w:szCs w:val="32"/>
              <w:highlight w:val="none"/>
            </w:rPr>
            <w:t>四、财</w:t>
          </w:r>
          <w:r>
            <w:rPr>
              <w:rFonts w:hint="eastAsia" w:ascii="黑体" w:hAnsi="黑体" w:eastAsia="黑体"/>
              <w:bCs w:val="0"/>
              <w:highlight w:val="none"/>
            </w:rPr>
            <w:t>政拨款收入支出决算总体情况说明</w:t>
          </w:r>
          <w:r>
            <w:tab/>
          </w:r>
          <w:r>
            <w:fldChar w:fldCharType="begin"/>
          </w:r>
          <w:r>
            <w:instrText xml:space="preserve"> PAGEREF _Toc586 \h </w:instrText>
          </w:r>
          <w:r>
            <w:fldChar w:fldCharType="separate"/>
          </w:r>
          <w:r>
            <w:t>5</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_Toc24133 </w:instrText>
          </w:r>
          <w:r>
            <w:rPr>
              <w:rFonts w:ascii="方正小标宋简体" w:hAnsi="宋体" w:eastAsia="方正小标宋简体"/>
              <w:bCs w:val="0"/>
              <w:szCs w:val="72"/>
              <w:highlight w:val="none"/>
            </w:rPr>
            <w:fldChar w:fldCharType="separate"/>
          </w:r>
          <w:r>
            <w:rPr>
              <w:rFonts w:hint="eastAsia" w:ascii="黑体" w:hAnsi="黑体" w:eastAsia="黑体"/>
              <w:bCs w:val="0"/>
              <w:szCs w:val="32"/>
              <w:highlight w:val="none"/>
            </w:rPr>
            <w:t>五、一</w:t>
          </w:r>
          <w:r>
            <w:rPr>
              <w:rFonts w:hint="eastAsia" w:ascii="黑体" w:hAnsi="黑体" w:eastAsia="黑体"/>
              <w:bCs w:val="0"/>
              <w:highlight w:val="none"/>
            </w:rPr>
            <w:t>般公共预算财政拨款支出决算情况说明</w:t>
          </w:r>
          <w:r>
            <w:tab/>
          </w:r>
          <w:r>
            <w:fldChar w:fldCharType="begin"/>
          </w:r>
          <w:r>
            <w:instrText xml:space="preserve"> PAGEREF _Toc24133 \h </w:instrText>
          </w:r>
          <w:r>
            <w:fldChar w:fldCharType="separate"/>
          </w:r>
          <w:r>
            <w:t>6</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_Toc31065 </w:instrText>
          </w:r>
          <w:r>
            <w:rPr>
              <w:rFonts w:ascii="方正小标宋简体" w:hAnsi="宋体" w:eastAsia="方正小标宋简体"/>
              <w:bCs w:val="0"/>
              <w:szCs w:val="72"/>
              <w:highlight w:val="none"/>
            </w:rPr>
            <w:fldChar w:fldCharType="separate"/>
          </w:r>
          <w:r>
            <w:rPr>
              <w:rFonts w:hint="eastAsia" w:ascii="楷体_GB2312" w:hAnsi="楷体_GB2312" w:eastAsia="楷体_GB2312" w:cs="楷体_GB2312"/>
              <w:bCs w:val="0"/>
              <w:szCs w:val="32"/>
              <w:highlight w:val="none"/>
            </w:rPr>
            <w:t>（一）一般公共预算财政拨款支出决算总体情况</w:t>
          </w:r>
          <w:r>
            <w:tab/>
          </w:r>
          <w:r>
            <w:fldChar w:fldCharType="begin"/>
          </w:r>
          <w:r>
            <w:instrText xml:space="preserve"> PAGEREF _Toc31065 \h </w:instrText>
          </w:r>
          <w:r>
            <w:fldChar w:fldCharType="separate"/>
          </w:r>
          <w:r>
            <w:t>6</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_Toc13054 </w:instrText>
          </w:r>
          <w:r>
            <w:rPr>
              <w:rFonts w:ascii="方正小标宋简体" w:hAnsi="宋体" w:eastAsia="方正小标宋简体"/>
              <w:bCs w:val="0"/>
              <w:szCs w:val="72"/>
              <w:highlight w:val="none"/>
            </w:rPr>
            <w:fldChar w:fldCharType="separate"/>
          </w:r>
          <w:r>
            <w:rPr>
              <w:rFonts w:hint="eastAsia" w:ascii="楷体_GB2312" w:hAnsi="楷体_GB2312" w:eastAsia="楷体_GB2312" w:cs="楷体_GB2312"/>
              <w:bCs w:val="0"/>
              <w:szCs w:val="32"/>
              <w:highlight w:val="none"/>
            </w:rPr>
            <w:t>（二）一般公共预算财政拨款支出决算结构情况</w:t>
          </w:r>
          <w:r>
            <w:tab/>
          </w:r>
          <w:r>
            <w:fldChar w:fldCharType="begin"/>
          </w:r>
          <w:r>
            <w:instrText xml:space="preserve"> PAGEREF _Toc13054 \h </w:instrText>
          </w:r>
          <w:r>
            <w:fldChar w:fldCharType="separate"/>
          </w:r>
          <w:r>
            <w:t>7</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_Toc23966 </w:instrText>
          </w:r>
          <w:r>
            <w:rPr>
              <w:rFonts w:ascii="方正小标宋简体" w:hAnsi="宋体" w:eastAsia="方正小标宋简体"/>
              <w:bCs w:val="0"/>
              <w:szCs w:val="72"/>
              <w:highlight w:val="none"/>
            </w:rPr>
            <w:fldChar w:fldCharType="separate"/>
          </w:r>
          <w:r>
            <w:rPr>
              <w:rFonts w:hint="eastAsia" w:ascii="楷体_GB2312" w:hAnsi="楷体_GB2312" w:eastAsia="楷体_GB2312" w:cs="楷体_GB2312"/>
              <w:bCs w:val="0"/>
              <w:szCs w:val="32"/>
              <w:highlight w:val="none"/>
            </w:rPr>
            <w:t>（三）一般公共预算财政拨款支出决算具体情况</w:t>
          </w:r>
          <w:r>
            <w:tab/>
          </w:r>
          <w:r>
            <w:fldChar w:fldCharType="begin"/>
          </w:r>
          <w:r>
            <w:instrText xml:space="preserve"> PAGEREF _Toc23966 \h </w:instrText>
          </w:r>
          <w:r>
            <w:fldChar w:fldCharType="separate"/>
          </w:r>
          <w:r>
            <w:t>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_Toc834 </w:instrText>
          </w:r>
          <w:r>
            <w:rPr>
              <w:rFonts w:ascii="方正小标宋简体" w:hAnsi="宋体" w:eastAsia="方正小标宋简体"/>
              <w:bCs w:val="0"/>
              <w:szCs w:val="72"/>
              <w:highlight w:val="none"/>
            </w:rPr>
            <w:fldChar w:fldCharType="separate"/>
          </w:r>
          <w:r>
            <w:rPr>
              <w:rFonts w:hint="eastAsia" w:ascii="黑体" w:eastAsia="黑体"/>
              <w:bCs w:val="0"/>
              <w:szCs w:val="32"/>
              <w:highlight w:val="none"/>
            </w:rPr>
            <w:t>六、</w:t>
          </w:r>
          <w:r>
            <w:rPr>
              <w:rFonts w:hint="eastAsia" w:ascii="黑体" w:hAnsi="黑体" w:eastAsia="黑体"/>
              <w:bCs w:val="0"/>
              <w:szCs w:val="32"/>
              <w:highlight w:val="none"/>
            </w:rPr>
            <w:t>一</w:t>
          </w:r>
          <w:r>
            <w:rPr>
              <w:rFonts w:hint="eastAsia" w:ascii="黑体" w:hAnsi="黑体" w:eastAsia="黑体"/>
              <w:bCs w:val="0"/>
              <w:highlight w:val="none"/>
            </w:rPr>
            <w:t>般公共预算财政拨款基本支出决算情况说明</w:t>
          </w:r>
          <w:r>
            <w:tab/>
          </w:r>
          <w:r>
            <w:fldChar w:fldCharType="begin"/>
          </w:r>
          <w:r>
            <w:instrText xml:space="preserve"> PAGEREF _Toc834 \h </w:instrText>
          </w:r>
          <w:r>
            <w:fldChar w:fldCharType="separate"/>
          </w:r>
          <w:r>
            <w:t>8</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_Toc16823 </w:instrText>
          </w:r>
          <w:r>
            <w:rPr>
              <w:rFonts w:ascii="方正小标宋简体" w:hAnsi="宋体" w:eastAsia="方正小标宋简体"/>
              <w:bCs w:val="0"/>
              <w:szCs w:val="72"/>
              <w:highlight w:val="none"/>
            </w:rPr>
            <w:fldChar w:fldCharType="separate"/>
          </w:r>
          <w:r>
            <w:rPr>
              <w:rFonts w:hint="eastAsia" w:ascii="黑体" w:eastAsia="黑体"/>
              <w:bCs w:val="0"/>
              <w:szCs w:val="32"/>
              <w:highlight w:val="none"/>
            </w:rPr>
            <w:t>七、</w:t>
          </w:r>
          <w:r>
            <w:rPr>
              <w:rFonts w:hint="eastAsia" w:ascii="黑体" w:hAnsi="黑体" w:eastAsia="黑体"/>
              <w:bCs w:val="0"/>
              <w:highlight w:val="none"/>
            </w:rPr>
            <w:t>财政拨款“三公”经费支出决算情况说明</w:t>
          </w:r>
          <w:r>
            <w:tab/>
          </w:r>
          <w:r>
            <w:fldChar w:fldCharType="begin"/>
          </w:r>
          <w:r>
            <w:instrText xml:space="preserve"> PAGEREF _Toc16823 \h </w:instrText>
          </w:r>
          <w:r>
            <w:fldChar w:fldCharType="separate"/>
          </w:r>
          <w:r>
            <w:t>8</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_Toc22366 </w:instrText>
          </w:r>
          <w:r>
            <w:rPr>
              <w:rFonts w:ascii="方正小标宋简体" w:hAnsi="宋体" w:eastAsia="方正小标宋简体"/>
              <w:bCs w:val="0"/>
              <w:szCs w:val="72"/>
              <w:highlight w:val="none"/>
            </w:rPr>
            <w:fldChar w:fldCharType="separate"/>
          </w:r>
          <w:r>
            <w:rPr>
              <w:rFonts w:hint="eastAsia" w:ascii="楷体_GB2312" w:hAnsi="楷体_GB2312" w:eastAsia="楷体_GB2312" w:cs="楷体_GB2312"/>
              <w:bCs w:val="0"/>
              <w:szCs w:val="32"/>
              <w:highlight w:val="none"/>
            </w:rPr>
            <w:t>（一）“三公”经费财政拨款支出决算总体情况说明</w:t>
          </w:r>
          <w:r>
            <w:tab/>
          </w:r>
          <w:r>
            <w:fldChar w:fldCharType="begin"/>
          </w:r>
          <w:r>
            <w:instrText xml:space="preserve"> PAGEREF _Toc22366 \h </w:instrText>
          </w:r>
          <w:r>
            <w:fldChar w:fldCharType="separate"/>
          </w:r>
          <w:r>
            <w:t>8</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_Toc19905 </w:instrText>
          </w:r>
          <w:r>
            <w:rPr>
              <w:rFonts w:ascii="方正小标宋简体" w:hAnsi="宋体" w:eastAsia="方正小标宋简体"/>
              <w:bCs w:val="0"/>
              <w:szCs w:val="72"/>
              <w:highlight w:val="none"/>
            </w:rPr>
            <w:fldChar w:fldCharType="separate"/>
          </w:r>
          <w:r>
            <w:rPr>
              <w:rFonts w:hint="eastAsia" w:ascii="楷体_GB2312" w:hAnsi="楷体_GB2312" w:eastAsia="楷体_GB2312" w:cs="楷体_GB2312"/>
              <w:bCs w:val="0"/>
              <w:szCs w:val="32"/>
              <w:highlight w:val="none"/>
            </w:rPr>
            <w:t>（二）“三公”经费财政拨款支出决算具体情况说明</w:t>
          </w:r>
          <w:r>
            <w:tab/>
          </w:r>
          <w:r>
            <w:fldChar w:fldCharType="begin"/>
          </w:r>
          <w:r>
            <w:instrText xml:space="preserve"> PAGEREF _Toc19905 \h </w:instrText>
          </w:r>
          <w:r>
            <w:fldChar w:fldCharType="separate"/>
          </w:r>
          <w:r>
            <w:t>9</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_Toc1344 </w:instrText>
          </w:r>
          <w:r>
            <w:rPr>
              <w:rFonts w:ascii="方正小标宋简体" w:hAnsi="宋体" w:eastAsia="方正小标宋简体"/>
              <w:bCs w:val="0"/>
              <w:szCs w:val="72"/>
              <w:highlight w:val="none"/>
            </w:rPr>
            <w:fldChar w:fldCharType="separate"/>
          </w:r>
          <w:r>
            <w:rPr>
              <w:rFonts w:hint="eastAsia" w:ascii="黑体" w:eastAsia="黑体"/>
              <w:bCs w:val="0"/>
              <w:szCs w:val="32"/>
              <w:highlight w:val="none"/>
            </w:rPr>
            <w:t>八、</w:t>
          </w:r>
          <w:r>
            <w:rPr>
              <w:rFonts w:hint="eastAsia" w:ascii="黑体" w:hAnsi="黑体" w:eastAsia="黑体"/>
              <w:bCs w:val="0"/>
              <w:highlight w:val="none"/>
            </w:rPr>
            <w:t>政府性基金预算支出决算情况说明</w:t>
          </w:r>
          <w:r>
            <w:tab/>
          </w:r>
          <w:r>
            <w:fldChar w:fldCharType="begin"/>
          </w:r>
          <w:r>
            <w:instrText xml:space="preserve"> PAGEREF _Toc1344 \h </w:instrText>
          </w:r>
          <w:r>
            <w:fldChar w:fldCharType="separate"/>
          </w:r>
          <w:r>
            <w:t>10</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_Toc3263 </w:instrText>
          </w:r>
          <w:r>
            <w:rPr>
              <w:rFonts w:ascii="方正小标宋简体" w:hAnsi="宋体" w:eastAsia="方正小标宋简体"/>
              <w:bCs w:val="0"/>
              <w:szCs w:val="72"/>
              <w:highlight w:val="none"/>
            </w:rPr>
            <w:fldChar w:fldCharType="separate"/>
          </w:r>
          <w:r>
            <w:rPr>
              <w:rFonts w:hint="eastAsia" w:ascii="黑体" w:hAnsi="黑体" w:eastAsia="黑体"/>
              <w:bCs w:val="0"/>
            </w:rPr>
            <w:t xml:space="preserve">九、 </w:t>
          </w:r>
          <w:r>
            <w:rPr>
              <w:rFonts w:hint="eastAsia" w:ascii="黑体" w:hAnsi="黑体" w:eastAsia="黑体"/>
              <w:bCs w:val="0"/>
              <w:highlight w:val="none"/>
            </w:rPr>
            <w:t>国有资本经营预算支出决算情况说明</w:t>
          </w:r>
          <w:r>
            <w:tab/>
          </w:r>
          <w:r>
            <w:fldChar w:fldCharType="begin"/>
          </w:r>
          <w:r>
            <w:instrText xml:space="preserve"> PAGEREF _Toc3263 \h </w:instrText>
          </w:r>
          <w:r>
            <w:fldChar w:fldCharType="separate"/>
          </w:r>
          <w:r>
            <w:t>10</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_Toc12926 </w:instrText>
          </w:r>
          <w:r>
            <w:rPr>
              <w:rFonts w:ascii="方正小标宋简体" w:hAnsi="宋体" w:eastAsia="方正小标宋简体"/>
              <w:bCs w:val="0"/>
              <w:szCs w:val="72"/>
              <w:highlight w:val="none"/>
            </w:rPr>
            <w:fldChar w:fldCharType="separate"/>
          </w:r>
          <w:r>
            <w:rPr>
              <w:rFonts w:hint="eastAsia" w:ascii="黑体" w:hAnsi="黑体" w:eastAsia="黑体"/>
              <w:bCs w:val="0"/>
            </w:rPr>
            <w:t xml:space="preserve">十、 </w:t>
          </w:r>
          <w:r>
            <w:rPr>
              <w:rFonts w:hint="eastAsia" w:ascii="黑体" w:hAnsi="黑体" w:eastAsia="黑体"/>
              <w:bCs w:val="0"/>
              <w:highlight w:val="none"/>
            </w:rPr>
            <w:t>其他重要事项的情况说明</w:t>
          </w:r>
          <w:r>
            <w:tab/>
          </w:r>
          <w:r>
            <w:fldChar w:fldCharType="begin"/>
          </w:r>
          <w:r>
            <w:instrText xml:space="preserve"> PAGEREF _Toc12926 \h </w:instrText>
          </w:r>
          <w:r>
            <w:fldChar w:fldCharType="separate"/>
          </w:r>
          <w:r>
            <w:t>10</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_Toc31228 </w:instrText>
          </w:r>
          <w:r>
            <w:rPr>
              <w:rFonts w:ascii="方正小标宋简体" w:hAnsi="宋体" w:eastAsia="方正小标宋简体"/>
              <w:bCs w:val="0"/>
              <w:szCs w:val="72"/>
              <w:highlight w:val="none"/>
            </w:rPr>
            <w:fldChar w:fldCharType="separate"/>
          </w:r>
          <w:r>
            <w:rPr>
              <w:rFonts w:hint="eastAsia" w:ascii="楷体" w:hAnsi="楷体" w:eastAsia="楷体" w:cs="楷体"/>
              <w:bCs w:val="0"/>
              <w:szCs w:val="32"/>
              <w:highlight w:val="none"/>
            </w:rPr>
            <w:t>（一）机关运行经费支出情况</w:t>
          </w:r>
          <w:r>
            <w:tab/>
          </w:r>
          <w:r>
            <w:fldChar w:fldCharType="begin"/>
          </w:r>
          <w:r>
            <w:instrText xml:space="preserve"> PAGEREF _Toc31228 \h </w:instrText>
          </w:r>
          <w:r>
            <w:fldChar w:fldCharType="separate"/>
          </w:r>
          <w:r>
            <w:t>10</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_Toc28931 </w:instrText>
          </w:r>
          <w:r>
            <w:rPr>
              <w:rFonts w:ascii="方正小标宋简体" w:hAnsi="宋体" w:eastAsia="方正小标宋简体"/>
              <w:bCs w:val="0"/>
              <w:szCs w:val="72"/>
              <w:highlight w:val="none"/>
            </w:rPr>
            <w:fldChar w:fldCharType="separate"/>
          </w:r>
          <w:r>
            <w:rPr>
              <w:rFonts w:hint="eastAsia" w:ascii="楷体" w:hAnsi="楷体" w:eastAsia="楷体" w:cs="楷体"/>
              <w:bCs w:val="0"/>
              <w:szCs w:val="32"/>
              <w:highlight w:val="none"/>
            </w:rPr>
            <w:t>（二）政府采购支出情况</w:t>
          </w:r>
          <w:r>
            <w:tab/>
          </w:r>
          <w:r>
            <w:fldChar w:fldCharType="begin"/>
          </w:r>
          <w:r>
            <w:instrText xml:space="preserve"> PAGEREF _Toc28931 \h </w:instrText>
          </w:r>
          <w:r>
            <w:fldChar w:fldCharType="separate"/>
          </w:r>
          <w:r>
            <w:t>10</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_Toc31833 </w:instrText>
          </w:r>
          <w:r>
            <w:rPr>
              <w:rFonts w:ascii="方正小标宋简体" w:hAnsi="宋体" w:eastAsia="方正小标宋简体"/>
              <w:bCs w:val="0"/>
              <w:szCs w:val="72"/>
              <w:highlight w:val="none"/>
            </w:rPr>
            <w:fldChar w:fldCharType="separate"/>
          </w:r>
          <w:r>
            <w:rPr>
              <w:rFonts w:hint="eastAsia" w:ascii="楷体" w:hAnsi="楷体" w:eastAsia="楷体" w:cs="楷体"/>
              <w:bCs w:val="0"/>
              <w:szCs w:val="32"/>
              <w:highlight w:val="none"/>
            </w:rPr>
            <w:t>（三）国有资产占有使用情况</w:t>
          </w:r>
          <w:r>
            <w:tab/>
          </w:r>
          <w:r>
            <w:fldChar w:fldCharType="begin"/>
          </w:r>
          <w:r>
            <w:instrText xml:space="preserve"> PAGEREF _Toc31833 \h </w:instrText>
          </w:r>
          <w:r>
            <w:fldChar w:fldCharType="separate"/>
          </w:r>
          <w:r>
            <w:t>11</w:t>
          </w:r>
          <w:r>
            <w:fldChar w:fldCharType="end"/>
          </w:r>
          <w:r>
            <w:rPr>
              <w:rFonts w:ascii="方正小标宋简体" w:hAnsi="宋体" w:eastAsia="方正小标宋简体"/>
              <w:bCs w:val="0"/>
              <w:color w:val="auto"/>
              <w:szCs w:val="72"/>
              <w:highlight w:val="none"/>
            </w:rPr>
            <w:fldChar w:fldCharType="end"/>
          </w:r>
        </w:p>
        <w:p>
          <w:pPr>
            <w:pStyle w:val="36"/>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_Toc15940 </w:instrText>
          </w:r>
          <w:r>
            <w:rPr>
              <w:rFonts w:ascii="方正小标宋简体" w:hAnsi="宋体" w:eastAsia="方正小标宋简体"/>
              <w:bCs w:val="0"/>
              <w:szCs w:val="72"/>
              <w:highlight w:val="none"/>
            </w:rPr>
            <w:fldChar w:fldCharType="separate"/>
          </w:r>
          <w:r>
            <w:rPr>
              <w:rFonts w:hint="eastAsia" w:ascii="楷体" w:hAnsi="楷体" w:eastAsia="楷体" w:cs="楷体"/>
              <w:bCs w:val="0"/>
              <w:szCs w:val="32"/>
              <w:highlight w:val="none"/>
            </w:rPr>
            <w:t>（四）预算绩效管理情况</w:t>
          </w:r>
          <w:r>
            <w:tab/>
          </w:r>
          <w:r>
            <w:fldChar w:fldCharType="begin"/>
          </w:r>
          <w:r>
            <w:instrText xml:space="preserve"> PAGEREF _Toc15940 \h </w:instrText>
          </w:r>
          <w:r>
            <w:fldChar w:fldCharType="separate"/>
          </w:r>
          <w:r>
            <w:t>11</w:t>
          </w:r>
          <w:r>
            <w:fldChar w:fldCharType="end"/>
          </w:r>
          <w:r>
            <w:rPr>
              <w:rFonts w:ascii="方正小标宋简体" w:hAnsi="宋体" w:eastAsia="方正小标宋简体"/>
              <w:bCs w:val="0"/>
              <w:color w:val="auto"/>
              <w:szCs w:val="72"/>
              <w:highlight w:val="none"/>
            </w:rPr>
            <w:fldChar w:fldCharType="end"/>
          </w:r>
        </w:p>
        <w:p>
          <w:pPr>
            <w:pStyle w:val="35"/>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_Toc24881 </w:instrText>
          </w:r>
          <w:r>
            <w:rPr>
              <w:rFonts w:ascii="方正小标宋简体" w:hAnsi="宋体" w:eastAsia="方正小标宋简体"/>
              <w:bCs w:val="0"/>
              <w:szCs w:val="72"/>
              <w:highlight w:val="none"/>
            </w:rPr>
            <w:fldChar w:fldCharType="separate"/>
          </w:r>
          <w:r>
            <w:rPr>
              <w:rFonts w:hint="eastAsia" w:ascii="黑体" w:hAnsi="黑体" w:eastAsia="黑体"/>
              <w:bCs w:val="0"/>
            </w:rPr>
            <w:t xml:space="preserve">第三部分 </w:t>
          </w:r>
          <w:r>
            <w:rPr>
              <w:rFonts w:hint="eastAsia" w:ascii="黑体" w:hAnsi="黑体" w:eastAsia="黑体"/>
              <w:bCs w:val="0"/>
              <w:szCs w:val="44"/>
              <w:highlight w:val="none"/>
            </w:rPr>
            <w:t>名</w:t>
          </w:r>
          <w:r>
            <w:rPr>
              <w:rFonts w:hint="eastAsia" w:ascii="黑体" w:hAnsi="黑体" w:eastAsia="黑体"/>
              <w:bCs w:val="0"/>
              <w:highlight w:val="none"/>
            </w:rPr>
            <w:t>词解释</w:t>
          </w:r>
          <w:r>
            <w:tab/>
          </w:r>
          <w:r>
            <w:fldChar w:fldCharType="begin"/>
          </w:r>
          <w:r>
            <w:instrText xml:space="preserve"> PAGEREF _Toc24881 \h </w:instrText>
          </w:r>
          <w:r>
            <w:fldChar w:fldCharType="separate"/>
          </w:r>
          <w:r>
            <w:t>12</w:t>
          </w:r>
          <w:r>
            <w:fldChar w:fldCharType="end"/>
          </w:r>
          <w:r>
            <w:rPr>
              <w:rFonts w:ascii="方正小标宋简体" w:hAnsi="宋体" w:eastAsia="方正小标宋简体"/>
              <w:bCs w:val="0"/>
              <w:color w:val="auto"/>
              <w:szCs w:val="72"/>
              <w:highlight w:val="none"/>
            </w:rPr>
            <w:fldChar w:fldCharType="end"/>
          </w:r>
        </w:p>
        <w:p>
          <w:pPr>
            <w:pStyle w:val="35"/>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_Toc9957 </w:instrText>
          </w:r>
          <w:r>
            <w:rPr>
              <w:rFonts w:ascii="方正小标宋简体" w:hAnsi="宋体" w:eastAsia="方正小标宋简体"/>
              <w:bCs w:val="0"/>
              <w:szCs w:val="72"/>
              <w:highlight w:val="none"/>
            </w:rPr>
            <w:fldChar w:fldCharType="separate"/>
          </w:r>
          <w:r>
            <w:rPr>
              <w:rFonts w:hint="eastAsia" w:ascii="黑体" w:hAnsi="黑体" w:eastAsia="黑体"/>
              <w:bCs w:val="0"/>
            </w:rPr>
            <w:t xml:space="preserve">第四部分 </w:t>
          </w:r>
          <w:r>
            <w:rPr>
              <w:rFonts w:hint="eastAsia" w:ascii="黑体" w:hAnsi="黑体" w:eastAsia="黑体"/>
              <w:bCs w:val="0"/>
              <w:highlight w:val="none"/>
            </w:rPr>
            <w:t>附件</w:t>
          </w:r>
          <w:r>
            <w:tab/>
          </w:r>
          <w:r>
            <w:fldChar w:fldCharType="begin"/>
          </w:r>
          <w:r>
            <w:instrText xml:space="preserve"> PAGEREF _Toc9957 \h </w:instrText>
          </w:r>
          <w:r>
            <w:fldChar w:fldCharType="separate"/>
          </w:r>
          <w:r>
            <w:t>14</w:t>
          </w:r>
          <w:r>
            <w:fldChar w:fldCharType="end"/>
          </w:r>
          <w:r>
            <w:rPr>
              <w:rFonts w:ascii="方正小标宋简体" w:hAnsi="宋体" w:eastAsia="方正小标宋简体"/>
              <w:bCs w:val="0"/>
              <w:color w:val="auto"/>
              <w:szCs w:val="72"/>
              <w:highlight w:val="none"/>
            </w:rPr>
            <w:fldChar w:fldCharType="end"/>
          </w:r>
        </w:p>
        <w:p>
          <w:pPr>
            <w:pStyle w:val="35"/>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_Toc6744 </w:instrText>
          </w:r>
          <w:r>
            <w:rPr>
              <w:rFonts w:ascii="方正小标宋简体" w:hAnsi="宋体" w:eastAsia="方正小标宋简体"/>
              <w:bCs w:val="0"/>
              <w:szCs w:val="72"/>
              <w:highlight w:val="none"/>
            </w:rPr>
            <w:fldChar w:fldCharType="separate"/>
          </w:r>
          <w:r>
            <w:rPr>
              <w:rFonts w:hint="eastAsia" w:ascii="黑体" w:hAnsi="黑体" w:eastAsia="黑体"/>
              <w:bCs w:val="0"/>
            </w:rPr>
            <w:t xml:space="preserve">第五部分 </w:t>
          </w:r>
          <w:r>
            <w:rPr>
              <w:rFonts w:hint="eastAsia" w:ascii="黑体" w:hAnsi="黑体" w:eastAsia="黑体"/>
              <w:bCs w:val="0"/>
              <w:highlight w:val="none"/>
            </w:rPr>
            <w:t>附表</w:t>
          </w:r>
          <w:r>
            <w:tab/>
          </w:r>
          <w:r>
            <w:fldChar w:fldCharType="begin"/>
          </w:r>
          <w:r>
            <w:instrText xml:space="preserve"> PAGEREF _Toc6744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_Toc7684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一、收入支出决算总表</w:t>
          </w:r>
          <w:r>
            <w:tab/>
          </w:r>
          <w:r>
            <w:fldChar w:fldCharType="begin"/>
          </w:r>
          <w:r>
            <w:instrText xml:space="preserve"> PAGEREF _Toc7684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_Toc12995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二、收入决算表</w:t>
          </w:r>
          <w:r>
            <w:tab/>
          </w:r>
          <w:r>
            <w:fldChar w:fldCharType="begin"/>
          </w:r>
          <w:r>
            <w:instrText xml:space="preserve"> PAGEREF _Toc12995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_Toc27566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三、支出决算表</w:t>
          </w:r>
          <w:r>
            <w:tab/>
          </w:r>
          <w:r>
            <w:fldChar w:fldCharType="begin"/>
          </w:r>
          <w:r>
            <w:instrText xml:space="preserve"> PAGEREF _Toc27566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_Toc6184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四、财政拨款收入支出决算总表</w:t>
          </w:r>
          <w:r>
            <w:tab/>
          </w:r>
          <w:r>
            <w:fldChar w:fldCharType="begin"/>
          </w:r>
          <w:r>
            <w:instrText xml:space="preserve"> PAGEREF _Toc6184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_Toc5885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五、财政拨款支出决算明细表</w:t>
          </w:r>
          <w:r>
            <w:tab/>
          </w:r>
          <w:r>
            <w:fldChar w:fldCharType="begin"/>
          </w:r>
          <w:r>
            <w:instrText xml:space="preserve"> PAGEREF _Toc5885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_Toc12260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六、一般公共预算财政拨款支出决算表</w:t>
          </w:r>
          <w:r>
            <w:tab/>
          </w:r>
          <w:r>
            <w:fldChar w:fldCharType="begin"/>
          </w:r>
          <w:r>
            <w:instrText xml:space="preserve"> PAGEREF _Toc12260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_Toc32361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七、一般公共预算财政拨款支出决算明细表</w:t>
          </w:r>
          <w:r>
            <w:tab/>
          </w:r>
          <w:r>
            <w:fldChar w:fldCharType="begin"/>
          </w:r>
          <w:r>
            <w:instrText xml:space="preserve"> PAGEREF _Toc32361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_Toc31455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八、一般公共预算财政拨款基本支出决算表</w:t>
          </w:r>
          <w:r>
            <w:tab/>
          </w:r>
          <w:r>
            <w:fldChar w:fldCharType="begin"/>
          </w:r>
          <w:r>
            <w:instrText xml:space="preserve"> PAGEREF _Toc31455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_Toc29280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九、一般公共预算财政拨款项目支出决算表</w:t>
          </w:r>
          <w:r>
            <w:tab/>
          </w:r>
          <w:r>
            <w:fldChar w:fldCharType="begin"/>
          </w:r>
          <w:r>
            <w:instrText xml:space="preserve"> PAGEREF _Toc29280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_Toc5733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十、政府性基金预算财政拨款收入支出决算表</w:t>
          </w:r>
          <w:r>
            <w:tab/>
          </w:r>
          <w:r>
            <w:fldChar w:fldCharType="begin"/>
          </w:r>
          <w:r>
            <w:instrText xml:space="preserve"> PAGEREF _Toc5733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_Toc22315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十一、国有资本经营预算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_Toc22315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_Toc26884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_Toc26884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pStyle w:val="37"/>
            <w:tabs>
              <w:tab w:val="right" w:leader="dot" w:pos="8845"/>
            </w:tabs>
          </w:pPr>
          <w:r>
            <w:rPr>
              <w:rFonts w:ascii="方正小标宋简体" w:hAnsi="宋体" w:eastAsia="方正小标宋简体"/>
              <w:bCs w:val="0"/>
              <w:color w:val="auto"/>
              <w:szCs w:val="72"/>
              <w:highlight w:val="none"/>
            </w:rPr>
            <w:fldChar w:fldCharType="begin"/>
          </w:r>
          <w:r>
            <w:rPr>
              <w:rFonts w:ascii="方正小标宋简体" w:hAnsi="宋体" w:eastAsia="方正小标宋简体"/>
              <w:bCs w:val="0"/>
              <w:szCs w:val="72"/>
              <w:highlight w:val="none"/>
            </w:rPr>
            <w:instrText xml:space="preserve"> HYPERLINK \l _Toc26345 </w:instrText>
          </w:r>
          <w:r>
            <w:rPr>
              <w:rFonts w:ascii="方正小标宋简体" w:hAnsi="宋体" w:eastAsia="方正小标宋简体"/>
              <w:bCs w:val="0"/>
              <w:szCs w:val="72"/>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_Toc26345 \h </w:instrText>
          </w:r>
          <w:r>
            <w:fldChar w:fldCharType="separate"/>
          </w:r>
          <w:r>
            <w:t>47</w:t>
          </w:r>
          <w:r>
            <w:fldChar w:fldCharType="end"/>
          </w:r>
          <w:r>
            <w:rPr>
              <w:rFonts w:ascii="方正小标宋简体" w:hAnsi="宋体" w:eastAsia="方正小标宋简体"/>
              <w:bCs w:val="0"/>
              <w:color w:val="auto"/>
              <w:szCs w:val="72"/>
              <w:highlight w:val="none"/>
            </w:rPr>
            <w:fldChar w:fldCharType="end"/>
          </w:r>
        </w:p>
        <w:p>
          <w:pPr>
            <w:rPr>
              <w:rFonts w:ascii="方正小标宋简体" w:hAnsi="宋体" w:eastAsia="方正小标宋简体" w:cs="Times New Roman"/>
              <w:bCs w:val="0"/>
              <w:color w:val="auto"/>
              <w:kern w:val="2"/>
              <w:sz w:val="21"/>
              <w:szCs w:val="72"/>
              <w:highlight w:val="none"/>
              <w:lang w:val="en-US" w:eastAsia="zh-CN" w:bidi="ar-SA"/>
            </w:rPr>
          </w:pPr>
          <w:r>
            <w:rPr>
              <w:rFonts w:ascii="方正小标宋简体" w:hAnsi="宋体" w:eastAsia="方正小标宋简体"/>
              <w:bCs w:val="0"/>
              <w:color w:val="auto"/>
              <w:szCs w:val="72"/>
              <w:highlight w:val="none"/>
            </w:rPr>
            <w:fldChar w:fldCharType="end"/>
          </w:r>
        </w:p>
      </w:sdtContent>
    </w:sdt>
    <w:p>
      <w:pPr>
        <w:pStyle w:val="2"/>
        <w:numPr>
          <w:ilvl w:val="0"/>
          <w:numId w:val="1"/>
        </w:numPr>
        <w:jc w:val="center"/>
        <w:rPr>
          <w:rStyle w:val="28"/>
          <w:rFonts w:hint="eastAsia" w:ascii="黑体" w:hAnsi="黑体" w:eastAsia="黑体"/>
          <w:b w:val="0"/>
          <w:bCs w:val="0"/>
          <w:color w:val="auto"/>
          <w:highlight w:val="none"/>
        </w:rPr>
      </w:pPr>
      <w:bookmarkStart w:id="17" w:name="_Toc32544"/>
      <w:bookmarkStart w:id="18" w:name="_Toc13033"/>
      <w:bookmarkStart w:id="19" w:name="_Toc21687"/>
      <w:r>
        <w:rPr>
          <w:rStyle w:val="28"/>
          <w:rFonts w:hint="eastAsia" w:ascii="黑体" w:hAnsi="黑体" w:eastAsia="黑体"/>
          <w:b w:val="0"/>
          <w:bCs w:val="0"/>
          <w:color w:val="auto"/>
          <w:highlight w:val="none"/>
        </w:rPr>
        <w:t>部门概况</w:t>
      </w:r>
      <w:bookmarkEnd w:id="15"/>
      <w:bookmarkEnd w:id="16"/>
      <w:bookmarkEnd w:id="17"/>
      <w:bookmarkEnd w:id="18"/>
      <w:bookmarkEnd w:id="19"/>
    </w:p>
    <w:p>
      <w:pPr>
        <w:pStyle w:val="2"/>
        <w:pageBreakBefore w:val="0"/>
        <w:widowControl w:val="0"/>
        <w:numPr>
          <w:ilvl w:val="0"/>
          <w:numId w:val="0"/>
        </w:numPr>
        <w:kinsoku/>
        <w:wordWrap/>
        <w:overflowPunct/>
        <w:topLinePunct w:val="0"/>
        <w:autoSpaceDE/>
        <w:autoSpaceDN/>
        <w:bidi w:val="0"/>
        <w:spacing w:before="0" w:after="0" w:line="576" w:lineRule="exact"/>
        <w:ind w:firstLine="600" w:firstLineChars="200"/>
        <w:jc w:val="both"/>
        <w:textAlignment w:val="auto"/>
        <w:outlineLvl w:val="1"/>
        <w:rPr>
          <w:rFonts w:hint="eastAsia" w:ascii="黑体" w:hAnsi="黑体" w:eastAsia="黑体"/>
          <w:b w:val="0"/>
          <w:bCs w:val="0"/>
          <w:color w:val="auto"/>
          <w:highlight w:val="none"/>
          <w:lang w:eastAsia="zh-CN"/>
        </w:rPr>
      </w:pPr>
      <w:bookmarkStart w:id="20" w:name="_Toc5457"/>
      <w:bookmarkStart w:id="21" w:name="_Toc10043"/>
      <w:bookmarkStart w:id="22" w:name="_Toc26838"/>
      <w:r>
        <w:rPr>
          <w:rFonts w:hint="eastAsia" w:ascii="黑体" w:hAnsi="黑体" w:eastAsia="黑体" w:cs="Times New Roman"/>
          <w:b w:val="0"/>
          <w:bCs w:val="0"/>
          <w:color w:val="auto"/>
          <w:kern w:val="0"/>
          <w:sz w:val="30"/>
          <w:szCs w:val="24"/>
          <w:highlight w:val="none"/>
          <w:lang w:val="en-US" w:eastAsia="zh-CN" w:bidi="ar-SA"/>
        </w:rPr>
        <w:t>一、部门职责</w:t>
      </w:r>
      <w:bookmarkEnd w:id="20"/>
      <w:bookmarkEnd w:id="21"/>
      <w:bookmarkEnd w:id="22"/>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right="0" w:firstLine="640" w:firstLineChars="200"/>
        <w:jc w:val="both"/>
        <w:textAlignment w:val="auto"/>
        <w:outlineLvl w:val="9"/>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lang w:val="en-US" w:eastAsia="zh-CN"/>
        </w:rPr>
        <w:t>1.</w:t>
      </w:r>
      <w:r>
        <w:rPr>
          <w:rFonts w:hint="eastAsia" w:ascii="仿宋" w:hAnsi="仿宋" w:eastAsia="仿宋" w:cs="Times New Roman"/>
          <w:b w:val="0"/>
          <w:bCs w:val="0"/>
          <w:color w:val="000000"/>
          <w:sz w:val="32"/>
          <w:szCs w:val="32"/>
        </w:rPr>
        <w:t xml:space="preserve">拟定乡镇和区级部门目标绩效考核指标，协助开展目标绩效指标运行监测、考核评估工作；指导乡镇、区级部门的目标绩效事务工作。 </w:t>
      </w:r>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left="0" w:right="0" w:firstLine="640" w:firstLineChars="200"/>
        <w:jc w:val="both"/>
        <w:textAlignment w:val="auto"/>
        <w:outlineLvl w:val="9"/>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lang w:val="en-US" w:eastAsia="zh-CN"/>
        </w:rPr>
        <w:t>2.</w:t>
      </w:r>
      <w:r>
        <w:rPr>
          <w:rFonts w:hint="eastAsia" w:ascii="仿宋" w:hAnsi="仿宋" w:eastAsia="仿宋" w:cs="Times New Roman"/>
          <w:b w:val="0"/>
          <w:bCs w:val="0"/>
          <w:color w:val="000000"/>
          <w:sz w:val="32"/>
          <w:szCs w:val="32"/>
        </w:rPr>
        <w:t>协助区委目标绩效管理办公室做好市委、市政府下达的目标绩效任务的分解，以及运行监控等协调服务工作；配合做好市下目标考核迎考准备等相关工作。</w:t>
      </w:r>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left="0" w:right="0" w:firstLine="640" w:firstLineChars="200"/>
        <w:jc w:val="both"/>
        <w:textAlignment w:val="auto"/>
        <w:outlineLvl w:val="9"/>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lang w:val="en-US" w:eastAsia="zh-CN"/>
        </w:rPr>
        <w:t>3.</w:t>
      </w:r>
      <w:r>
        <w:rPr>
          <w:rFonts w:hint="eastAsia" w:ascii="仿宋" w:hAnsi="仿宋" w:eastAsia="仿宋" w:cs="Times New Roman"/>
          <w:b w:val="0"/>
          <w:bCs w:val="0"/>
          <w:color w:val="000000"/>
          <w:sz w:val="32"/>
          <w:szCs w:val="32"/>
        </w:rPr>
        <w:t>协助有关部门做好区委重要决策、重要会议议定事项贯彻落实情况的督查督办工作。</w:t>
      </w:r>
    </w:p>
    <w:p>
      <w:pPr>
        <w:pStyle w:val="5"/>
        <w:keepNext w:val="0"/>
        <w:keepLines w:val="0"/>
        <w:pageBreakBefore w:val="0"/>
        <w:widowControl w:val="0"/>
        <w:kinsoku/>
        <w:wordWrap/>
        <w:overflowPunct/>
        <w:topLinePunct w:val="0"/>
        <w:autoSpaceDE/>
        <w:autoSpaceDN/>
        <w:bidi w:val="0"/>
        <w:adjustRightInd w:val="0"/>
        <w:snapToGrid w:val="0"/>
        <w:spacing w:beforeLines="0" w:line="576" w:lineRule="exact"/>
        <w:ind w:left="0" w:right="0" w:firstLine="640" w:firstLineChars="200"/>
        <w:jc w:val="both"/>
        <w:textAlignment w:val="auto"/>
        <w:outlineLvl w:val="9"/>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lang w:val="en-US" w:eastAsia="zh-CN"/>
        </w:rPr>
        <w:t>4.</w:t>
      </w:r>
      <w:r>
        <w:rPr>
          <w:rFonts w:hint="eastAsia" w:ascii="仿宋" w:hAnsi="仿宋" w:eastAsia="仿宋" w:cs="Times New Roman"/>
          <w:b w:val="0"/>
          <w:bCs w:val="0"/>
          <w:color w:val="000000"/>
          <w:sz w:val="32"/>
          <w:szCs w:val="32"/>
        </w:rPr>
        <w:t>协助做好区本级或上一级人大代表建议和政协委员提案的督办工作。</w:t>
      </w:r>
    </w:p>
    <w:p>
      <w:pPr>
        <w:pStyle w:val="5"/>
        <w:pageBreakBefore w:val="0"/>
        <w:widowControl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仿宋" w:hAnsi="仿宋" w:eastAsia="仿宋" w:cs="Times New Roman"/>
          <w:b w:val="0"/>
          <w:bCs w:val="0"/>
          <w:color w:val="000000"/>
          <w:sz w:val="32"/>
          <w:szCs w:val="32"/>
        </w:rPr>
      </w:pPr>
      <w:bookmarkStart w:id="23" w:name="_Toc24032"/>
      <w:bookmarkStart w:id="24" w:name="_Toc13572"/>
      <w:bookmarkStart w:id="25" w:name="_Toc31366"/>
      <w:r>
        <w:rPr>
          <w:rFonts w:hint="eastAsia" w:ascii="仿宋" w:hAnsi="仿宋" w:eastAsia="仿宋" w:cs="Times New Roman"/>
          <w:b w:val="0"/>
          <w:bCs w:val="0"/>
          <w:color w:val="000000"/>
          <w:sz w:val="32"/>
          <w:szCs w:val="32"/>
          <w:lang w:val="en-US" w:eastAsia="zh-CN"/>
        </w:rPr>
        <w:t>5.</w:t>
      </w:r>
      <w:r>
        <w:rPr>
          <w:rFonts w:hint="eastAsia" w:ascii="仿宋" w:hAnsi="仿宋" w:eastAsia="仿宋" w:cs="Times New Roman"/>
          <w:b w:val="0"/>
          <w:bCs w:val="0"/>
          <w:color w:val="000000"/>
          <w:sz w:val="32"/>
          <w:szCs w:val="32"/>
        </w:rPr>
        <w:t>完成区委交办的其他任务。</w:t>
      </w:r>
      <w:bookmarkEnd w:id="23"/>
      <w:bookmarkEnd w:id="24"/>
      <w:bookmarkEnd w:id="25"/>
      <w:bookmarkStart w:id="26" w:name="_Toc15377200"/>
      <w:bookmarkStart w:id="27" w:name="_Toc15396601"/>
    </w:p>
    <w:p>
      <w:pPr>
        <w:pStyle w:val="5"/>
        <w:pageBreakBefore w:val="0"/>
        <w:widowControl w:val="0"/>
        <w:kinsoku/>
        <w:wordWrap/>
        <w:overflowPunct/>
        <w:topLinePunct w:val="0"/>
        <w:autoSpaceDE/>
        <w:autoSpaceDN/>
        <w:bidi w:val="0"/>
        <w:adjustRightInd w:val="0"/>
        <w:snapToGrid w:val="0"/>
        <w:spacing w:beforeLines="0" w:line="576" w:lineRule="exact"/>
        <w:ind w:firstLine="630" w:firstLineChars="210"/>
        <w:textAlignment w:val="auto"/>
        <w:outlineLvl w:val="1"/>
        <w:rPr>
          <w:rStyle w:val="29"/>
          <w:b w:val="0"/>
          <w:bCs w:val="0"/>
          <w:color w:val="auto"/>
          <w:highlight w:val="none"/>
        </w:rPr>
      </w:pPr>
      <w:bookmarkStart w:id="28" w:name="_Toc24904"/>
      <w:bookmarkStart w:id="29" w:name="_Toc22415"/>
      <w:bookmarkStart w:id="30" w:name="_Toc22976"/>
      <w:r>
        <w:rPr>
          <w:rFonts w:hint="eastAsia" w:ascii="黑体" w:eastAsia="黑体"/>
          <w:b w:val="0"/>
          <w:bCs w:val="0"/>
          <w:color w:val="auto"/>
          <w:highlight w:val="none"/>
        </w:rPr>
        <w:t>二、</w:t>
      </w:r>
      <w:r>
        <w:rPr>
          <w:rFonts w:hint="eastAsia" w:ascii="黑体" w:hAnsi="黑体" w:eastAsia="黑体"/>
          <w:b w:val="0"/>
          <w:bCs w:val="0"/>
          <w:color w:val="auto"/>
          <w:highlight w:val="none"/>
        </w:rPr>
        <w:t>机</w:t>
      </w:r>
      <w:r>
        <w:rPr>
          <w:rStyle w:val="29"/>
          <w:rFonts w:hint="eastAsia" w:ascii="黑体" w:hAnsi="黑体" w:eastAsia="黑体"/>
          <w:b w:val="0"/>
          <w:bCs w:val="0"/>
          <w:color w:val="auto"/>
          <w:highlight w:val="none"/>
        </w:rPr>
        <w:t>构设置</w:t>
      </w:r>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pacing w:beforeAutospacing="0" w:afterAutospacing="0" w:line="576" w:lineRule="exact"/>
        <w:ind w:firstLine="709"/>
        <w:textAlignment w:val="auto"/>
        <w:rPr>
          <w:rFonts w:hint="eastAsia" w:ascii="仿宋" w:hAnsi="仿宋" w:eastAsia="仿宋" w:cs="Times New Roman"/>
          <w:b w:val="0"/>
          <w:bCs w:val="0"/>
          <w:color w:val="000000"/>
          <w:kern w:val="0"/>
          <w:sz w:val="32"/>
          <w:szCs w:val="32"/>
          <w:lang w:val="en-US" w:eastAsia="zh-CN" w:bidi="ar-SA"/>
        </w:rPr>
      </w:pPr>
      <w:r>
        <w:rPr>
          <w:rFonts w:hint="eastAsia" w:ascii="仿宋" w:hAnsi="仿宋" w:eastAsia="仿宋" w:cs="Times New Roman"/>
          <w:b w:val="0"/>
          <w:bCs w:val="0"/>
          <w:color w:val="000000"/>
          <w:kern w:val="0"/>
          <w:sz w:val="32"/>
          <w:szCs w:val="32"/>
          <w:lang w:val="en-US" w:eastAsia="zh-CN" w:bidi="ar-SA"/>
        </w:rPr>
        <w:t>本单位为中共广元市朝天区委直属事业单位，为正科级，保留参公管理。中心总编制5名，均为行政编制，年末实际在岗4人。</w:t>
      </w:r>
    </w:p>
    <w:p>
      <w:pPr>
        <w:keepNext w:val="0"/>
        <w:keepLines w:val="0"/>
        <w:pageBreakBefore w:val="0"/>
        <w:widowControl w:val="0"/>
        <w:kinsoku/>
        <w:wordWrap/>
        <w:overflowPunct/>
        <w:topLinePunct w:val="0"/>
        <w:autoSpaceDE/>
        <w:autoSpaceDN/>
        <w:bidi w:val="0"/>
        <w:adjustRightInd/>
        <w:spacing w:beforeAutospacing="0" w:afterAutospacing="0" w:line="576" w:lineRule="exact"/>
        <w:ind w:firstLine="709"/>
        <w:textAlignment w:val="auto"/>
        <w:rPr>
          <w:rFonts w:hint="eastAsia" w:ascii="仿宋" w:hAnsi="仿宋" w:eastAsia="仿宋" w:cs="Times New Roman"/>
          <w:b w:val="0"/>
          <w:bCs w:val="0"/>
          <w:color w:val="000000"/>
          <w:kern w:val="0"/>
          <w:sz w:val="32"/>
          <w:szCs w:val="32"/>
          <w:lang w:val="en-US" w:eastAsia="zh-CN" w:bidi="ar-SA"/>
        </w:rPr>
      </w:pPr>
      <w:r>
        <w:rPr>
          <w:rFonts w:hint="eastAsia" w:ascii="仿宋" w:hAnsi="仿宋" w:eastAsia="仿宋" w:cs="Times New Roman"/>
          <w:b w:val="0"/>
          <w:bCs w:val="0"/>
          <w:color w:val="000000"/>
          <w:kern w:val="0"/>
          <w:sz w:val="32"/>
          <w:szCs w:val="32"/>
          <w:lang w:val="en-US" w:eastAsia="zh-CN" w:bidi="ar-SA"/>
        </w:rPr>
        <w:t>本单位隶属行政单位，内设综合股（督查股）、目标绩效股，执行行政会计制度，为一级预算单位，决算汇编户数1个。</w:t>
      </w:r>
      <w:bookmarkStart w:id="31" w:name="_Toc15377204"/>
      <w:bookmarkStart w:id="32" w:name="_Toc15396602"/>
    </w:p>
    <w:p>
      <w:pPr>
        <w:pStyle w:val="2"/>
        <w:ind w:right="440"/>
        <w:jc w:val="center"/>
        <w:rPr>
          <w:rStyle w:val="28"/>
          <w:rFonts w:ascii="黑体" w:hAnsi="黑体" w:eastAsia="黑体"/>
          <w:b w:val="0"/>
          <w:bCs w:val="0"/>
          <w:color w:val="auto"/>
          <w:highlight w:val="none"/>
        </w:rPr>
      </w:pPr>
      <w:bookmarkStart w:id="33" w:name="_Toc18521"/>
      <w:bookmarkStart w:id="34" w:name="_Toc25561"/>
      <w:bookmarkStart w:id="35" w:name="_Toc17381"/>
      <w:r>
        <w:rPr>
          <w:rFonts w:hint="eastAsia" w:ascii="黑体" w:hAnsi="黑体" w:eastAsia="黑体"/>
          <w:b w:val="0"/>
          <w:bCs w:val="0"/>
          <w:color w:val="auto"/>
          <w:highlight w:val="none"/>
        </w:rPr>
        <w:t xml:space="preserve">第二部分 </w:t>
      </w:r>
      <w:r>
        <w:rPr>
          <w:rFonts w:hint="eastAsia" w:ascii="黑体" w:hAnsi="黑体" w:eastAsia="黑体"/>
          <w:b w:val="0"/>
          <w:bCs w:val="0"/>
          <w:color w:val="auto"/>
          <w:highlight w:val="none"/>
          <w:lang w:val="en-US" w:eastAsia="zh-CN"/>
        </w:rPr>
        <w:t>2022年度</w:t>
      </w:r>
      <w:r>
        <w:rPr>
          <w:rStyle w:val="28"/>
          <w:rFonts w:hint="eastAsia" w:ascii="黑体" w:hAnsi="黑体" w:eastAsia="黑体"/>
          <w:b w:val="0"/>
          <w:bCs w:val="0"/>
          <w:color w:val="auto"/>
          <w:highlight w:val="none"/>
        </w:rPr>
        <w:t>部门决算情况说明</w:t>
      </w:r>
      <w:bookmarkEnd w:id="31"/>
      <w:bookmarkEnd w:id="32"/>
      <w:bookmarkEnd w:id="33"/>
      <w:bookmarkEnd w:id="34"/>
      <w:bookmarkEnd w:id="35"/>
    </w:p>
    <w:p>
      <w:pPr>
        <w:rPr>
          <w:b w:val="0"/>
          <w:bCs w:val="0"/>
          <w:color w:val="auto"/>
          <w:highlight w:val="none"/>
        </w:rPr>
      </w:pPr>
    </w:p>
    <w:p>
      <w:pPr>
        <w:pStyle w:val="27"/>
        <w:numPr>
          <w:ilvl w:val="0"/>
          <w:numId w:val="2"/>
        </w:numPr>
        <w:spacing w:line="600" w:lineRule="exact"/>
        <w:ind w:firstLineChars="0"/>
        <w:outlineLvl w:val="1"/>
        <w:rPr>
          <w:rStyle w:val="29"/>
          <w:rFonts w:ascii="黑体" w:hAnsi="黑体" w:eastAsia="黑体"/>
          <w:b w:val="0"/>
          <w:bCs w:val="0"/>
          <w:color w:val="auto"/>
          <w:highlight w:val="none"/>
        </w:rPr>
      </w:pPr>
      <w:bookmarkStart w:id="36" w:name="_Toc2494"/>
      <w:bookmarkStart w:id="37" w:name="_Toc30824"/>
      <w:bookmarkStart w:id="38" w:name="_Toc15396603"/>
      <w:bookmarkStart w:id="39" w:name="_Toc15377205"/>
      <w:bookmarkStart w:id="40" w:name="_Toc24553"/>
      <w:r>
        <w:rPr>
          <w:rFonts w:hint="eastAsia" w:ascii="黑体" w:hAnsi="黑体" w:eastAsia="黑体"/>
          <w:b w:val="0"/>
          <w:bCs w:val="0"/>
          <w:color w:val="auto"/>
          <w:sz w:val="32"/>
          <w:szCs w:val="32"/>
          <w:highlight w:val="none"/>
        </w:rPr>
        <w:t>收</w:t>
      </w:r>
      <w:r>
        <w:rPr>
          <w:rStyle w:val="29"/>
          <w:rFonts w:hint="eastAsia" w:ascii="黑体" w:hAnsi="黑体" w:eastAsia="黑体"/>
          <w:b w:val="0"/>
          <w:bCs w:val="0"/>
          <w:color w:val="auto"/>
          <w:highlight w:val="none"/>
        </w:rPr>
        <w:t>入支出决算总体情况说明</w:t>
      </w:r>
      <w:bookmarkEnd w:id="36"/>
      <w:bookmarkEnd w:id="37"/>
      <w:bookmarkEnd w:id="38"/>
      <w:bookmarkEnd w:id="39"/>
      <w:bookmarkEnd w:id="40"/>
    </w:p>
    <w:p>
      <w:pPr>
        <w:snapToGrid w:val="0"/>
        <w:spacing w:line="540" w:lineRule="exact"/>
        <w:ind w:firstLine="640" w:firstLineChars="200"/>
        <w:rPr>
          <w:rFonts w:hint="eastAsia"/>
          <w:b w:val="0"/>
          <w:bCs w:val="0"/>
          <w:lang w:val="en-US" w:eastAsia="zh-CN"/>
        </w:rPr>
      </w:pP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年度收、支总计</w:t>
      </w:r>
      <w:r>
        <w:rPr>
          <w:rFonts w:hint="eastAsia" w:ascii="仿宋" w:hAnsi="仿宋" w:eastAsia="仿宋"/>
          <w:b w:val="0"/>
          <w:bCs w:val="0"/>
          <w:color w:val="auto"/>
          <w:sz w:val="32"/>
          <w:szCs w:val="32"/>
          <w:highlight w:val="none"/>
          <w:lang w:val="en-US" w:eastAsia="zh-CN"/>
        </w:rPr>
        <w:t>119.09</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年相比，收、支总计增加</w:t>
      </w:r>
      <w:r>
        <w:rPr>
          <w:rFonts w:hint="eastAsia" w:ascii="仿宋" w:hAnsi="仿宋" w:eastAsia="仿宋"/>
          <w:b w:val="0"/>
          <w:bCs w:val="0"/>
          <w:color w:val="auto"/>
          <w:sz w:val="32"/>
          <w:szCs w:val="32"/>
          <w:highlight w:val="none"/>
          <w:lang w:val="en-US" w:eastAsia="zh-CN"/>
        </w:rPr>
        <w:t>26.54</w:t>
      </w:r>
      <w:r>
        <w:rPr>
          <w:rFonts w:hint="eastAsia" w:ascii="仿宋" w:hAnsi="仿宋" w:eastAsia="仿宋"/>
          <w:b w:val="0"/>
          <w:bCs w:val="0"/>
          <w:color w:val="auto"/>
          <w:sz w:val="32"/>
          <w:szCs w:val="32"/>
          <w:highlight w:val="none"/>
        </w:rPr>
        <w:t>万元，</w:t>
      </w:r>
      <w:r>
        <w:rPr>
          <w:rFonts w:hint="eastAsia" w:ascii="仿宋" w:hAnsi="仿宋" w:eastAsia="仿宋" w:cs="仿宋"/>
          <w:b w:val="0"/>
          <w:bCs w:val="0"/>
          <w:spacing w:val="-11"/>
          <w:sz w:val="32"/>
          <w:szCs w:val="32"/>
          <w:highlight w:val="none"/>
        </w:rPr>
        <w:t>增长</w:t>
      </w:r>
      <w:r>
        <w:rPr>
          <w:rFonts w:hint="eastAsia" w:ascii="仿宋" w:hAnsi="仿宋" w:eastAsia="仿宋" w:cs="仿宋"/>
          <w:b w:val="0"/>
          <w:bCs w:val="0"/>
          <w:spacing w:val="-11"/>
          <w:sz w:val="32"/>
          <w:szCs w:val="32"/>
          <w:highlight w:val="none"/>
          <w:lang w:val="en-US" w:eastAsia="zh-CN"/>
        </w:rPr>
        <w:t>率28.7</w:t>
      </w:r>
      <w:r>
        <w:rPr>
          <w:rFonts w:hint="eastAsia" w:ascii="仿宋" w:hAnsi="仿宋" w:eastAsia="仿宋" w:cs="仿宋"/>
          <w:b w:val="0"/>
          <w:bCs w:val="0"/>
          <w:spacing w:val="-11"/>
          <w:sz w:val="32"/>
          <w:szCs w:val="32"/>
          <w:highlight w:val="none"/>
        </w:rPr>
        <w:t>%</w:t>
      </w:r>
      <w:r>
        <w:rPr>
          <w:rFonts w:hint="eastAsia" w:ascii="仿宋" w:hAnsi="仿宋" w:eastAsia="仿宋" w:cs="仿宋"/>
          <w:b w:val="0"/>
          <w:bCs w:val="0"/>
          <w:spacing w:val="-11"/>
          <w:sz w:val="32"/>
          <w:szCs w:val="32"/>
          <w:highlight w:val="none"/>
          <w:lang w:eastAsia="zh-CN"/>
        </w:rPr>
        <w:t>。</w:t>
      </w:r>
      <w:r>
        <w:rPr>
          <w:rFonts w:hint="eastAsia" w:ascii="仿宋" w:hAnsi="仿宋" w:eastAsia="仿宋" w:cs="仿宋"/>
          <w:b w:val="0"/>
          <w:bCs w:val="0"/>
          <w:spacing w:val="-11"/>
          <w:sz w:val="32"/>
          <w:szCs w:val="32"/>
          <w:highlight w:val="none"/>
          <w:lang w:val="en-US" w:eastAsia="zh-CN"/>
        </w:rPr>
        <w:t>主要变动</w:t>
      </w:r>
      <w:r>
        <w:rPr>
          <w:rFonts w:hint="eastAsia" w:ascii="仿宋" w:hAnsi="仿宋" w:eastAsia="仿宋" w:cs="仿宋"/>
          <w:b w:val="0"/>
          <w:bCs w:val="0"/>
          <w:spacing w:val="-11"/>
          <w:sz w:val="32"/>
          <w:szCs w:val="32"/>
          <w:highlight w:val="none"/>
        </w:rPr>
        <w:t>原因</w:t>
      </w:r>
      <w:r>
        <w:rPr>
          <w:rFonts w:hint="eastAsia" w:ascii="仿宋" w:hAnsi="仿宋" w:eastAsia="仿宋" w:cs="仿宋"/>
          <w:b w:val="0"/>
          <w:bCs w:val="0"/>
          <w:spacing w:val="-11"/>
          <w:sz w:val="32"/>
          <w:szCs w:val="32"/>
          <w:highlight w:val="none"/>
          <w:lang w:val="en-US" w:eastAsia="zh-CN"/>
        </w:rPr>
        <w:t>一是单位</w:t>
      </w:r>
      <w:r>
        <w:rPr>
          <w:rFonts w:hint="eastAsia" w:ascii="仿宋" w:hAnsi="仿宋" w:eastAsia="仿宋" w:cs="仿宋"/>
          <w:b w:val="0"/>
          <w:bCs w:val="0"/>
          <w:spacing w:val="-11"/>
          <w:sz w:val="32"/>
          <w:szCs w:val="32"/>
          <w:highlight w:val="none"/>
          <w:lang w:eastAsia="zh-CN"/>
        </w:rPr>
        <w:t>人员</w:t>
      </w:r>
      <w:r>
        <w:rPr>
          <w:rFonts w:hint="eastAsia" w:ascii="仿宋" w:hAnsi="仿宋" w:eastAsia="仿宋" w:cs="仿宋"/>
          <w:b w:val="0"/>
          <w:bCs w:val="0"/>
          <w:spacing w:val="-11"/>
          <w:sz w:val="32"/>
          <w:szCs w:val="32"/>
          <w:highlight w:val="none"/>
          <w:lang w:val="en-US" w:eastAsia="zh-CN"/>
        </w:rPr>
        <w:t>调入，二是部门预算项目增加。</w:t>
      </w:r>
    </w:p>
    <w:p>
      <w:pPr>
        <w:jc w:val="center"/>
        <w:rPr>
          <w:rFonts w:hint="eastAsia" w:ascii="仿宋_GB2312" w:eastAsia="仿宋_GB2312"/>
          <w:b w:val="0"/>
          <w:bCs w:val="0"/>
          <w:color w:val="auto"/>
          <w:sz w:val="32"/>
          <w:szCs w:val="32"/>
          <w:highlight w:val="none"/>
          <w:lang w:eastAsia="zh-CN"/>
        </w:rPr>
      </w:pPr>
      <w:r>
        <w:rPr>
          <w:rFonts w:hint="eastAsia" w:ascii="仿宋" w:hAnsi="仿宋" w:eastAsia="仿宋" w:cs="仿宋"/>
          <w:b w:val="0"/>
          <w:bCs w:val="0"/>
          <w:spacing w:val="-11"/>
          <w:sz w:val="32"/>
          <w:szCs w:val="32"/>
          <w:lang w:val="en-US" w:eastAsia="zh-CN"/>
        </w:rPr>
        <w:drawing>
          <wp:inline distT="0" distB="0" distL="114300" distR="114300">
            <wp:extent cx="5256530" cy="3312160"/>
            <wp:effectExtent l="4445" t="4445" r="1587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2"/>
        </w:numPr>
        <w:spacing w:line="600" w:lineRule="exact"/>
        <w:ind w:firstLineChars="0"/>
        <w:outlineLvl w:val="1"/>
        <w:rPr>
          <w:rStyle w:val="29"/>
          <w:rFonts w:ascii="黑体" w:hAnsi="黑体" w:eastAsia="黑体"/>
          <w:b w:val="0"/>
          <w:bCs w:val="0"/>
          <w:color w:val="auto"/>
          <w:highlight w:val="none"/>
        </w:rPr>
      </w:pPr>
      <w:bookmarkStart w:id="41" w:name="_Toc15377206"/>
      <w:bookmarkStart w:id="42" w:name="_Toc15396604"/>
      <w:bookmarkStart w:id="43" w:name="_Toc19748"/>
      <w:bookmarkStart w:id="44" w:name="_Toc1078"/>
      <w:bookmarkStart w:id="45" w:name="_Toc26287"/>
      <w:r>
        <w:rPr>
          <w:rFonts w:hint="eastAsia" w:ascii="黑体" w:hAnsi="黑体" w:eastAsia="黑体"/>
          <w:b w:val="0"/>
          <w:bCs w:val="0"/>
          <w:color w:val="auto"/>
          <w:sz w:val="32"/>
          <w:szCs w:val="32"/>
          <w:highlight w:val="none"/>
        </w:rPr>
        <w:t>收</w:t>
      </w:r>
      <w:r>
        <w:rPr>
          <w:rStyle w:val="29"/>
          <w:rFonts w:hint="eastAsia" w:ascii="黑体" w:hAnsi="黑体" w:eastAsia="黑体"/>
          <w:b w:val="0"/>
          <w:bCs w:val="0"/>
          <w:color w:val="auto"/>
          <w:highlight w:val="none"/>
        </w:rPr>
        <w:t>入决算情况说明</w:t>
      </w:r>
      <w:bookmarkEnd w:id="41"/>
      <w:bookmarkEnd w:id="42"/>
      <w:bookmarkEnd w:id="43"/>
      <w:bookmarkEnd w:id="44"/>
      <w:bookmarkEnd w:id="45"/>
    </w:p>
    <w:p>
      <w:pPr>
        <w:spacing w:line="600" w:lineRule="exact"/>
        <w:ind w:firstLine="640" w:firstLineChars="200"/>
        <w:outlineLvl w:val="1"/>
        <w:rPr>
          <w:rFonts w:ascii="仿宋" w:hAnsi="仿宋" w:eastAsia="仿宋"/>
          <w:b w:val="0"/>
          <w:bCs w:val="0"/>
          <w:color w:val="auto"/>
          <w:sz w:val="32"/>
          <w:szCs w:val="32"/>
          <w:highlight w:val="none"/>
        </w:rPr>
      </w:pPr>
      <w:bookmarkStart w:id="46" w:name="_Toc7078"/>
      <w:bookmarkStart w:id="47" w:name="_Toc12682"/>
      <w:bookmarkStart w:id="48" w:name="_Toc17241"/>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年本年收入合计</w:t>
      </w:r>
      <w:r>
        <w:rPr>
          <w:rFonts w:hint="eastAsia" w:ascii="仿宋" w:hAnsi="仿宋" w:eastAsia="仿宋"/>
          <w:b w:val="0"/>
          <w:bCs w:val="0"/>
          <w:color w:val="auto"/>
          <w:sz w:val="32"/>
          <w:szCs w:val="32"/>
          <w:highlight w:val="none"/>
          <w:lang w:val="en-US" w:eastAsia="zh-CN"/>
        </w:rPr>
        <w:t>119.09</w:t>
      </w:r>
      <w:r>
        <w:rPr>
          <w:rFonts w:hint="eastAsia" w:ascii="仿宋" w:hAnsi="仿宋" w:eastAsia="仿宋"/>
          <w:b w:val="0"/>
          <w:bCs w:val="0"/>
          <w:color w:val="auto"/>
          <w:sz w:val="32"/>
          <w:szCs w:val="32"/>
          <w:highlight w:val="none"/>
        </w:rPr>
        <w:t>万元，</w:t>
      </w:r>
      <w:r>
        <w:rPr>
          <w:rFonts w:hint="eastAsia" w:ascii="仿宋_GB2312" w:hAnsi="仿宋" w:eastAsia="仿宋_GB2312" w:cs="仿宋"/>
          <w:b w:val="0"/>
          <w:bCs w:val="0"/>
          <w:color w:val="000000"/>
          <w:sz w:val="32"/>
          <w:szCs w:val="32"/>
          <w:lang w:val="en-US" w:eastAsia="zh-CN"/>
        </w:rPr>
        <w:t>其中一般公共预算财政拨款收入119.09万元，占100%。</w:t>
      </w:r>
      <w:bookmarkEnd w:id="46"/>
      <w:bookmarkEnd w:id="47"/>
      <w:bookmarkEnd w:id="48"/>
    </w:p>
    <w:p>
      <w:pPr>
        <w:pStyle w:val="5"/>
        <w:jc w:val="center"/>
        <w:rPr>
          <w:rFonts w:hint="eastAsia" w:ascii="仿宋" w:hAnsi="仿宋" w:eastAsia="仿宋"/>
          <w:b w:val="0"/>
          <w:bCs w:val="0"/>
          <w:color w:val="auto"/>
          <w:sz w:val="32"/>
          <w:szCs w:val="32"/>
          <w:highlight w:val="none"/>
          <w:lang w:eastAsia="zh-CN"/>
        </w:rPr>
      </w:pPr>
      <w:r>
        <w:rPr>
          <w:rFonts w:hint="eastAsia" w:ascii="仿宋" w:hAnsi="仿宋" w:eastAsia="仿宋"/>
          <w:b w:val="0"/>
          <w:bCs w:val="0"/>
          <w:color w:val="auto"/>
          <w:sz w:val="32"/>
          <w:szCs w:val="32"/>
          <w:highlight w:val="none"/>
          <w:lang w:eastAsia="zh-CN"/>
        </w:rPr>
        <w:drawing>
          <wp:inline distT="0" distB="0" distL="114300" distR="114300">
            <wp:extent cx="4837430" cy="2703195"/>
            <wp:effectExtent l="4445" t="4445" r="15875" b="1651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2"/>
        <w:rPr>
          <w:rFonts w:hint="eastAsia"/>
          <w:b w:val="0"/>
          <w:bCs w:val="0"/>
          <w:lang w:eastAsia="zh-CN"/>
        </w:rPr>
      </w:pPr>
    </w:p>
    <w:p>
      <w:pPr>
        <w:pStyle w:val="27"/>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Chars="0"/>
        <w:textAlignment w:val="auto"/>
        <w:outlineLvl w:val="1"/>
        <w:rPr>
          <w:rStyle w:val="29"/>
          <w:rFonts w:ascii="黑体" w:hAnsi="黑体" w:eastAsia="黑体"/>
          <w:b w:val="0"/>
          <w:bCs w:val="0"/>
          <w:color w:val="auto"/>
          <w:highlight w:val="none"/>
        </w:rPr>
      </w:pPr>
      <w:bookmarkStart w:id="49" w:name="_Toc6057"/>
      <w:bookmarkStart w:id="50" w:name="_Toc15396605"/>
      <w:bookmarkStart w:id="51" w:name="_Toc28615"/>
      <w:bookmarkStart w:id="52" w:name="_Toc15377207"/>
      <w:bookmarkStart w:id="53" w:name="_Toc5658"/>
      <w:r>
        <w:rPr>
          <w:rFonts w:hint="eastAsia" w:ascii="黑体" w:hAnsi="黑体" w:eastAsia="黑体"/>
          <w:b w:val="0"/>
          <w:bCs w:val="0"/>
          <w:color w:val="auto"/>
          <w:sz w:val="32"/>
          <w:szCs w:val="32"/>
          <w:highlight w:val="none"/>
        </w:rPr>
        <w:t>支</w:t>
      </w:r>
      <w:r>
        <w:rPr>
          <w:rStyle w:val="29"/>
          <w:rFonts w:hint="eastAsia" w:ascii="黑体" w:hAnsi="黑体" w:eastAsia="黑体"/>
          <w:b w:val="0"/>
          <w:bCs w:val="0"/>
          <w:color w:val="auto"/>
          <w:highlight w:val="none"/>
        </w:rPr>
        <w:t>出决算情况说明</w:t>
      </w:r>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b w:val="0"/>
          <w:bCs w:val="0"/>
          <w:color w:val="auto"/>
          <w:sz w:val="32"/>
          <w:szCs w:val="32"/>
          <w:highlight w:val="none"/>
        </w:rPr>
      </w:pPr>
      <w:bookmarkStart w:id="54" w:name="_Toc17397"/>
      <w:bookmarkStart w:id="55" w:name="_Toc19727"/>
      <w:bookmarkStart w:id="56" w:name="_Toc28811"/>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年本年支出合计</w:t>
      </w:r>
      <w:r>
        <w:rPr>
          <w:rFonts w:hint="eastAsia" w:ascii="仿宋" w:hAnsi="仿宋" w:eastAsia="仿宋"/>
          <w:b w:val="0"/>
          <w:bCs w:val="0"/>
          <w:color w:val="auto"/>
          <w:sz w:val="32"/>
          <w:szCs w:val="32"/>
          <w:highlight w:val="none"/>
          <w:lang w:val="en-US" w:eastAsia="zh-CN"/>
        </w:rPr>
        <w:t>119.09</w:t>
      </w:r>
      <w:r>
        <w:rPr>
          <w:rFonts w:hint="eastAsia" w:ascii="仿宋" w:hAnsi="仿宋" w:eastAsia="仿宋"/>
          <w:b w:val="0"/>
          <w:bCs w:val="0"/>
          <w:color w:val="auto"/>
          <w:sz w:val="32"/>
          <w:szCs w:val="32"/>
          <w:highlight w:val="none"/>
        </w:rPr>
        <w:t>万元，其中：基本支出</w:t>
      </w:r>
      <w:r>
        <w:rPr>
          <w:rFonts w:hint="eastAsia" w:ascii="仿宋" w:hAnsi="仿宋" w:eastAsia="仿宋"/>
          <w:b w:val="0"/>
          <w:bCs w:val="0"/>
          <w:color w:val="auto"/>
          <w:sz w:val="32"/>
          <w:szCs w:val="32"/>
          <w:highlight w:val="none"/>
          <w:lang w:val="en-US" w:eastAsia="zh-CN"/>
        </w:rPr>
        <w:t>63.6</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53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；项目支出</w:t>
      </w:r>
      <w:r>
        <w:rPr>
          <w:rFonts w:hint="eastAsia" w:ascii="仿宋" w:hAnsi="仿宋" w:eastAsia="仿宋"/>
          <w:b w:val="0"/>
          <w:bCs w:val="0"/>
          <w:color w:val="auto"/>
          <w:sz w:val="32"/>
          <w:szCs w:val="32"/>
          <w:highlight w:val="none"/>
          <w:lang w:val="en-US" w:eastAsia="zh-CN"/>
        </w:rPr>
        <w:t>55.49</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47</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bookmarkEnd w:id="54"/>
      <w:bookmarkEnd w:id="55"/>
      <w:bookmarkEnd w:id="56"/>
    </w:p>
    <w:p>
      <w:pPr>
        <w:pStyle w:val="5"/>
        <w:jc w:val="center"/>
        <w:rPr>
          <w:rFonts w:ascii="仿宋_GB2312" w:eastAsia="仿宋_GB2312"/>
          <w:b w:val="0"/>
          <w:bCs w:val="0"/>
          <w:color w:val="auto"/>
          <w:sz w:val="32"/>
          <w:szCs w:val="32"/>
          <w:highlight w:val="none"/>
        </w:rPr>
      </w:pPr>
      <w:r>
        <w:rPr>
          <w:rFonts w:hint="eastAsia" w:ascii="仿宋_GB2312" w:eastAsia="仿宋"/>
          <w:b w:val="0"/>
          <w:bCs w:val="0"/>
          <w:color w:val="auto"/>
          <w:sz w:val="32"/>
          <w:szCs w:val="32"/>
          <w:highlight w:val="none"/>
          <w:lang w:eastAsia="zh-CN"/>
        </w:rPr>
        <w:drawing>
          <wp:inline distT="0" distB="0" distL="114300" distR="114300">
            <wp:extent cx="5027930" cy="2646045"/>
            <wp:effectExtent l="4445" t="4445" r="15875" b="1651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ascii="黑体" w:hAnsi="黑体" w:eastAsia="黑体"/>
          <w:b w:val="0"/>
          <w:bCs w:val="0"/>
          <w:color w:val="auto"/>
          <w:highlight w:val="none"/>
        </w:rPr>
      </w:pPr>
      <w:bookmarkStart w:id="57" w:name="_Toc15396606"/>
      <w:bookmarkStart w:id="58" w:name="_Toc15377208"/>
      <w:bookmarkStart w:id="59" w:name="_Toc27946"/>
      <w:bookmarkStart w:id="60" w:name="_Toc6467"/>
      <w:bookmarkStart w:id="61" w:name="_Toc586"/>
      <w:r>
        <w:rPr>
          <w:rFonts w:hint="eastAsia" w:ascii="黑体" w:hAnsi="黑体" w:eastAsia="黑体"/>
          <w:b w:val="0"/>
          <w:bCs w:val="0"/>
          <w:color w:val="auto"/>
          <w:sz w:val="32"/>
          <w:szCs w:val="32"/>
          <w:highlight w:val="none"/>
        </w:rPr>
        <w:t>四、财</w:t>
      </w:r>
      <w:r>
        <w:rPr>
          <w:rStyle w:val="29"/>
          <w:rFonts w:hint="eastAsia" w:ascii="黑体" w:hAnsi="黑体" w:eastAsia="黑体"/>
          <w:b w:val="0"/>
          <w:bCs w:val="0"/>
          <w:color w:val="auto"/>
          <w:highlight w:val="none"/>
        </w:rPr>
        <w:t>政拨款收入支出决算总体情况说明</w:t>
      </w:r>
      <w:bookmarkEnd w:id="57"/>
      <w:bookmarkEnd w:id="58"/>
      <w:bookmarkEnd w:id="59"/>
      <w:bookmarkEnd w:id="60"/>
      <w:bookmarkEnd w:id="61"/>
    </w:p>
    <w:p>
      <w:pPr>
        <w:snapToGrid w:val="0"/>
        <w:spacing w:line="540" w:lineRule="exact"/>
        <w:ind w:firstLine="640" w:firstLineChars="200"/>
        <w:rPr>
          <w:rFonts w:hint="eastAsia" w:ascii="仿宋" w:hAnsi="仿宋" w:eastAsia="仿宋" w:cs="仿宋"/>
          <w:b w:val="0"/>
          <w:bCs w:val="0"/>
          <w:spacing w:val="-11"/>
          <w:sz w:val="32"/>
          <w:szCs w:val="32"/>
          <w:highlight w:val="none"/>
          <w:lang w:val="en-US" w:eastAsia="zh-CN"/>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年财政拨款收、支总计</w:t>
      </w:r>
      <w:r>
        <w:rPr>
          <w:rFonts w:hint="eastAsia" w:ascii="仿宋" w:hAnsi="仿宋" w:eastAsia="仿宋"/>
          <w:b w:val="0"/>
          <w:bCs w:val="0"/>
          <w:color w:val="auto"/>
          <w:sz w:val="32"/>
          <w:szCs w:val="32"/>
          <w:highlight w:val="none"/>
          <w:lang w:val="en-US" w:eastAsia="zh-CN"/>
        </w:rPr>
        <w:t>119.09</w:t>
      </w:r>
      <w:r>
        <w:rPr>
          <w:rFonts w:hint="eastAsia" w:ascii="仿宋" w:hAnsi="仿宋" w:eastAsia="仿宋"/>
          <w:b w:val="0"/>
          <w:bCs w:val="0"/>
          <w:color w:val="auto"/>
          <w:sz w:val="32"/>
          <w:szCs w:val="32"/>
          <w:highlight w:val="none"/>
        </w:rPr>
        <w:t>万元。与</w:t>
      </w: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年相比，财政拨款收、支总计各增加</w:t>
      </w:r>
      <w:r>
        <w:rPr>
          <w:rFonts w:hint="eastAsia" w:ascii="仿宋" w:hAnsi="仿宋" w:eastAsia="仿宋"/>
          <w:b w:val="0"/>
          <w:bCs w:val="0"/>
          <w:color w:val="auto"/>
          <w:sz w:val="32"/>
          <w:szCs w:val="32"/>
          <w:highlight w:val="none"/>
          <w:lang w:val="en-US" w:eastAsia="zh-CN"/>
        </w:rPr>
        <w:t>26.54</w:t>
      </w:r>
      <w:r>
        <w:rPr>
          <w:rFonts w:hint="eastAsia" w:ascii="仿宋" w:hAnsi="仿宋" w:eastAsia="仿宋"/>
          <w:b w:val="0"/>
          <w:bCs w:val="0"/>
          <w:color w:val="auto"/>
          <w:sz w:val="32"/>
          <w:szCs w:val="32"/>
          <w:highlight w:val="none"/>
        </w:rPr>
        <w:t>万元，增长</w:t>
      </w:r>
      <w:r>
        <w:rPr>
          <w:rFonts w:hint="eastAsia" w:ascii="仿宋" w:hAnsi="仿宋" w:eastAsia="仿宋"/>
          <w:b w:val="0"/>
          <w:bCs w:val="0"/>
          <w:color w:val="auto"/>
          <w:sz w:val="32"/>
          <w:szCs w:val="32"/>
          <w:highlight w:val="none"/>
          <w:lang w:val="en-US" w:eastAsia="zh-CN"/>
        </w:rPr>
        <w:t>28.7</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w:t>
      </w:r>
      <w:r>
        <w:rPr>
          <w:rFonts w:hint="eastAsia" w:ascii="仿宋" w:hAnsi="仿宋" w:eastAsia="仿宋" w:cs="仿宋"/>
          <w:b w:val="0"/>
          <w:bCs w:val="0"/>
          <w:spacing w:val="-11"/>
          <w:sz w:val="32"/>
          <w:szCs w:val="32"/>
          <w:highlight w:val="none"/>
          <w:lang w:val="en-US" w:eastAsia="zh-CN"/>
        </w:rPr>
        <w:t>一是单位</w:t>
      </w:r>
      <w:r>
        <w:rPr>
          <w:rFonts w:hint="eastAsia" w:ascii="仿宋" w:hAnsi="仿宋" w:eastAsia="仿宋" w:cs="仿宋"/>
          <w:b w:val="0"/>
          <w:bCs w:val="0"/>
          <w:spacing w:val="-11"/>
          <w:sz w:val="32"/>
          <w:szCs w:val="32"/>
          <w:highlight w:val="none"/>
          <w:lang w:eastAsia="zh-CN"/>
        </w:rPr>
        <w:t>人员</w:t>
      </w:r>
      <w:r>
        <w:rPr>
          <w:rFonts w:hint="eastAsia" w:ascii="仿宋" w:hAnsi="仿宋" w:eastAsia="仿宋" w:cs="仿宋"/>
          <w:b w:val="0"/>
          <w:bCs w:val="0"/>
          <w:spacing w:val="-11"/>
          <w:sz w:val="32"/>
          <w:szCs w:val="32"/>
          <w:highlight w:val="none"/>
          <w:lang w:val="en-US" w:eastAsia="zh-CN"/>
        </w:rPr>
        <w:t>调入，二是部门预算项目增加。</w:t>
      </w:r>
    </w:p>
    <w:p>
      <w:pPr>
        <w:pStyle w:val="5"/>
        <w:jc w:val="center"/>
        <w:rPr>
          <w:rFonts w:hint="eastAsia" w:ascii="仿宋" w:hAnsi="仿宋" w:eastAsia="仿宋"/>
          <w:b w:val="0"/>
          <w:bCs w:val="0"/>
          <w:color w:val="auto"/>
          <w:sz w:val="32"/>
          <w:szCs w:val="32"/>
          <w:highlight w:val="none"/>
          <w:lang w:eastAsia="zh-CN"/>
        </w:rPr>
      </w:pPr>
      <w:r>
        <w:rPr>
          <w:rFonts w:hint="eastAsia" w:ascii="仿宋" w:hAnsi="仿宋" w:eastAsia="仿宋"/>
          <w:b w:val="0"/>
          <w:bCs w:val="0"/>
          <w:color w:val="auto"/>
          <w:sz w:val="32"/>
          <w:szCs w:val="32"/>
          <w:highlight w:val="none"/>
          <w:lang w:eastAsia="zh-CN"/>
        </w:rPr>
        <w:drawing>
          <wp:inline distT="0" distB="0" distL="114300" distR="114300">
            <wp:extent cx="5199380" cy="2675255"/>
            <wp:effectExtent l="4445" t="4445" r="15875"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9"/>
          <w:rFonts w:ascii="黑体" w:hAnsi="黑体" w:eastAsia="黑体"/>
          <w:b w:val="0"/>
          <w:bCs w:val="0"/>
          <w:color w:val="auto"/>
          <w:highlight w:val="none"/>
        </w:rPr>
      </w:pPr>
      <w:bookmarkStart w:id="62" w:name="_Toc15396607"/>
      <w:bookmarkStart w:id="63" w:name="_Toc6455"/>
      <w:bookmarkStart w:id="64" w:name="_Toc9523"/>
      <w:bookmarkStart w:id="65" w:name="_Toc15377209"/>
      <w:bookmarkStart w:id="66" w:name="_Toc24133"/>
      <w:r>
        <w:rPr>
          <w:rFonts w:hint="eastAsia" w:ascii="黑体" w:hAnsi="黑体" w:eastAsia="黑体"/>
          <w:b w:val="0"/>
          <w:bCs w:val="0"/>
          <w:color w:val="auto"/>
          <w:sz w:val="32"/>
          <w:szCs w:val="32"/>
          <w:highlight w:val="none"/>
        </w:rPr>
        <w:t>五、一</w:t>
      </w:r>
      <w:r>
        <w:rPr>
          <w:rStyle w:val="29"/>
          <w:rFonts w:hint="eastAsia" w:ascii="黑体" w:hAnsi="黑体" w:eastAsia="黑体"/>
          <w:b w:val="0"/>
          <w:bCs w:val="0"/>
          <w:color w:val="auto"/>
          <w:highlight w:val="none"/>
        </w:rPr>
        <w:t>般公共预算财政拨款支出决算情况说明</w:t>
      </w:r>
      <w:bookmarkEnd w:id="62"/>
      <w:bookmarkEnd w:id="63"/>
      <w:bookmarkEnd w:id="64"/>
      <w:bookmarkEnd w:id="65"/>
      <w:bookmarkEnd w:id="66"/>
    </w:p>
    <w:p>
      <w:pPr>
        <w:spacing w:line="600" w:lineRule="exact"/>
        <w:ind w:firstLine="640"/>
        <w:outlineLvl w:val="2"/>
        <w:rPr>
          <w:rFonts w:hint="eastAsia" w:ascii="楷体_GB2312" w:hAnsi="楷体_GB2312" w:eastAsia="楷体_GB2312" w:cs="楷体_GB2312"/>
          <w:b w:val="0"/>
          <w:bCs w:val="0"/>
          <w:color w:val="auto"/>
          <w:sz w:val="32"/>
          <w:szCs w:val="32"/>
          <w:highlight w:val="none"/>
        </w:rPr>
      </w:pPr>
      <w:bookmarkStart w:id="67" w:name="_Toc13180"/>
      <w:bookmarkStart w:id="68" w:name="_Toc15377210"/>
      <w:bookmarkStart w:id="69" w:name="_Toc11889"/>
      <w:bookmarkStart w:id="70" w:name="_Toc31065"/>
      <w:r>
        <w:rPr>
          <w:rFonts w:hint="eastAsia" w:ascii="楷体_GB2312" w:hAnsi="楷体_GB2312" w:eastAsia="楷体_GB2312" w:cs="楷体_GB2312"/>
          <w:b w:val="0"/>
          <w:bCs w:val="0"/>
          <w:color w:val="auto"/>
          <w:sz w:val="32"/>
          <w:szCs w:val="32"/>
          <w:highlight w:val="none"/>
        </w:rPr>
        <w:t>（一）一般公共预算财政拨款支出决算总体情况</w:t>
      </w:r>
      <w:bookmarkEnd w:id="67"/>
      <w:bookmarkEnd w:id="68"/>
      <w:bookmarkEnd w:id="69"/>
      <w:bookmarkEnd w:id="70"/>
    </w:p>
    <w:p>
      <w:pPr>
        <w:spacing w:line="600" w:lineRule="exact"/>
        <w:ind w:firstLine="640" w:firstLineChars="200"/>
        <w:rPr>
          <w:rFonts w:hint="eastAsia" w:ascii="仿宋" w:hAnsi="仿宋" w:eastAsia="仿宋"/>
          <w:b w:val="0"/>
          <w:bCs w:val="0"/>
          <w:color w:val="auto"/>
          <w:sz w:val="32"/>
          <w:szCs w:val="32"/>
          <w:highlight w:val="none"/>
          <w:lang w:eastAsia="zh-CN"/>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年一般公共预算财政拨款支出</w:t>
      </w:r>
      <w:r>
        <w:rPr>
          <w:rFonts w:hint="eastAsia" w:ascii="仿宋" w:hAnsi="仿宋" w:eastAsia="仿宋"/>
          <w:b w:val="0"/>
          <w:bCs w:val="0"/>
          <w:color w:val="auto"/>
          <w:sz w:val="32"/>
          <w:szCs w:val="32"/>
          <w:highlight w:val="none"/>
          <w:lang w:val="en-US" w:eastAsia="zh-CN"/>
        </w:rPr>
        <w:t>119.09</w:t>
      </w:r>
      <w:r>
        <w:rPr>
          <w:rFonts w:hint="eastAsia" w:ascii="仿宋" w:hAnsi="仿宋" w:eastAsia="仿宋"/>
          <w:b w:val="0"/>
          <w:bCs w:val="0"/>
          <w:color w:val="auto"/>
          <w:sz w:val="32"/>
          <w:szCs w:val="32"/>
          <w:highlight w:val="none"/>
        </w:rPr>
        <w:t>万元，占本年支出合计的</w:t>
      </w:r>
      <w:r>
        <w:rPr>
          <w:rFonts w:hint="eastAsia" w:ascii="仿宋" w:hAnsi="仿宋" w:eastAsia="仿宋"/>
          <w:b w:val="0"/>
          <w:bCs w:val="0"/>
          <w:color w:val="auto"/>
          <w:sz w:val="32"/>
          <w:szCs w:val="32"/>
          <w:highlight w:val="none"/>
          <w:lang w:val="en-US" w:eastAsia="zh-CN"/>
        </w:rPr>
        <w:t>100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。与</w:t>
      </w: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年相比，一般公共预算财政拨款</w:t>
      </w:r>
      <w:r>
        <w:rPr>
          <w:rFonts w:hint="eastAsia" w:ascii="仿宋" w:hAnsi="仿宋" w:eastAsia="仿宋"/>
          <w:b w:val="0"/>
          <w:bCs w:val="0"/>
          <w:color w:val="auto"/>
          <w:sz w:val="32"/>
          <w:szCs w:val="32"/>
          <w:highlight w:val="none"/>
          <w:lang w:eastAsia="zh-CN"/>
        </w:rPr>
        <w:t>支出</w:t>
      </w:r>
      <w:r>
        <w:rPr>
          <w:rFonts w:hint="eastAsia" w:ascii="仿宋" w:hAnsi="仿宋" w:eastAsia="仿宋"/>
          <w:b w:val="0"/>
          <w:bCs w:val="0"/>
          <w:color w:val="auto"/>
          <w:sz w:val="32"/>
          <w:szCs w:val="32"/>
          <w:highlight w:val="none"/>
        </w:rPr>
        <w:t>增加</w:t>
      </w:r>
      <w:r>
        <w:rPr>
          <w:rFonts w:hint="eastAsia" w:ascii="仿宋" w:hAnsi="仿宋" w:eastAsia="仿宋"/>
          <w:b w:val="0"/>
          <w:bCs w:val="0"/>
          <w:color w:val="auto"/>
          <w:sz w:val="32"/>
          <w:szCs w:val="32"/>
          <w:highlight w:val="none"/>
          <w:lang w:val="en-US" w:eastAsia="zh-CN"/>
        </w:rPr>
        <w:t>26.54</w:t>
      </w:r>
      <w:r>
        <w:rPr>
          <w:rFonts w:hint="eastAsia" w:ascii="仿宋" w:hAnsi="仿宋" w:eastAsia="仿宋"/>
          <w:b w:val="0"/>
          <w:bCs w:val="0"/>
          <w:color w:val="auto"/>
          <w:sz w:val="32"/>
          <w:szCs w:val="32"/>
          <w:highlight w:val="none"/>
        </w:rPr>
        <w:t>万元，增长</w:t>
      </w:r>
      <w:r>
        <w:rPr>
          <w:rFonts w:hint="eastAsia" w:ascii="仿宋" w:hAnsi="仿宋" w:eastAsia="仿宋"/>
          <w:b w:val="0"/>
          <w:bCs w:val="0"/>
          <w:color w:val="auto"/>
          <w:sz w:val="32"/>
          <w:szCs w:val="32"/>
          <w:highlight w:val="none"/>
          <w:lang w:val="en-US" w:eastAsia="zh-CN"/>
        </w:rPr>
        <w:t>28.7</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w:t>
      </w:r>
      <w:r>
        <w:rPr>
          <w:rFonts w:hint="eastAsia" w:ascii="仿宋" w:hAnsi="仿宋" w:eastAsia="仿宋" w:cs="仿宋"/>
          <w:b w:val="0"/>
          <w:bCs w:val="0"/>
          <w:spacing w:val="-11"/>
          <w:sz w:val="32"/>
          <w:szCs w:val="32"/>
          <w:highlight w:val="none"/>
          <w:lang w:val="en-US" w:eastAsia="zh-CN"/>
        </w:rPr>
        <w:t>一是单位</w:t>
      </w:r>
      <w:r>
        <w:rPr>
          <w:rFonts w:hint="eastAsia" w:ascii="仿宋" w:hAnsi="仿宋" w:eastAsia="仿宋" w:cs="仿宋"/>
          <w:b w:val="0"/>
          <w:bCs w:val="0"/>
          <w:spacing w:val="-11"/>
          <w:sz w:val="32"/>
          <w:szCs w:val="32"/>
          <w:highlight w:val="none"/>
          <w:lang w:eastAsia="zh-CN"/>
        </w:rPr>
        <w:t>人员</w:t>
      </w:r>
      <w:r>
        <w:rPr>
          <w:rFonts w:hint="eastAsia" w:ascii="仿宋" w:hAnsi="仿宋" w:eastAsia="仿宋" w:cs="仿宋"/>
          <w:b w:val="0"/>
          <w:bCs w:val="0"/>
          <w:spacing w:val="-11"/>
          <w:sz w:val="32"/>
          <w:szCs w:val="32"/>
          <w:highlight w:val="none"/>
          <w:lang w:val="en-US" w:eastAsia="zh-CN"/>
        </w:rPr>
        <w:t>调入，二是部门预算项目增加。</w:t>
      </w:r>
    </w:p>
    <w:p>
      <w:pPr>
        <w:pStyle w:val="5"/>
        <w:jc w:val="center"/>
        <w:rPr>
          <w:b w:val="0"/>
          <w:bCs w:val="0"/>
        </w:rPr>
      </w:pPr>
      <w:r>
        <w:rPr>
          <w:rFonts w:hint="eastAsia" w:eastAsia="仿宋_GB2312"/>
          <w:b w:val="0"/>
          <w:bCs w:val="0"/>
          <w:lang w:eastAsia="zh-CN"/>
        </w:rPr>
        <w:drawing>
          <wp:inline distT="0" distB="0" distL="114300" distR="114300">
            <wp:extent cx="5257165" cy="2558415"/>
            <wp:effectExtent l="4445" t="4445" r="15240" b="889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outlineLvl w:val="2"/>
        <w:rPr>
          <w:rFonts w:hint="eastAsia" w:ascii="楷体_GB2312" w:hAnsi="楷体_GB2312" w:eastAsia="楷体_GB2312" w:cs="楷体_GB2312"/>
          <w:b w:val="0"/>
          <w:bCs w:val="0"/>
          <w:color w:val="auto"/>
          <w:sz w:val="32"/>
          <w:szCs w:val="32"/>
          <w:highlight w:val="none"/>
        </w:rPr>
      </w:pPr>
      <w:bookmarkStart w:id="71" w:name="_Toc12652"/>
      <w:bookmarkStart w:id="72" w:name="_Toc10018"/>
      <w:bookmarkStart w:id="73" w:name="_Toc15377211"/>
      <w:bookmarkStart w:id="74" w:name="_Toc13054"/>
      <w:r>
        <w:rPr>
          <w:rFonts w:hint="eastAsia" w:ascii="楷体_GB2312" w:hAnsi="楷体_GB2312" w:eastAsia="楷体_GB2312" w:cs="楷体_GB2312"/>
          <w:b w:val="0"/>
          <w:bCs w:val="0"/>
          <w:color w:val="auto"/>
          <w:sz w:val="32"/>
          <w:szCs w:val="32"/>
          <w:highlight w:val="none"/>
        </w:rPr>
        <w:t>（二）一般公共预算财政拨款支出决算结构情况</w:t>
      </w:r>
      <w:bookmarkEnd w:id="71"/>
      <w:bookmarkEnd w:id="72"/>
      <w:bookmarkEnd w:id="73"/>
      <w:bookmarkEnd w:id="74"/>
    </w:p>
    <w:p>
      <w:pPr>
        <w:snapToGrid w:val="0"/>
        <w:spacing w:line="640" w:lineRule="exact"/>
        <w:ind w:firstLine="596" w:firstLineChars="200"/>
        <w:rPr>
          <w:rFonts w:hint="eastAsia" w:ascii="仿宋_GB2312" w:hAnsi="仿宋" w:eastAsia="仿宋_GB2312"/>
          <w:b w:val="0"/>
          <w:bCs w:val="0"/>
          <w:spacing w:val="-11"/>
          <w:sz w:val="32"/>
          <w:szCs w:val="32"/>
          <w:lang w:eastAsia="zh-CN"/>
        </w:rPr>
      </w:pPr>
      <w:r>
        <w:rPr>
          <w:rFonts w:ascii="仿宋" w:hAnsi="仿宋" w:eastAsia="仿宋"/>
          <w:b w:val="0"/>
          <w:bCs w:val="0"/>
          <w:color w:val="auto"/>
          <w:spacing w:val="-11"/>
          <w:sz w:val="32"/>
          <w:szCs w:val="32"/>
          <w:highlight w:val="none"/>
        </w:rPr>
        <w:t>20</w:t>
      </w:r>
      <w:r>
        <w:rPr>
          <w:rFonts w:hint="eastAsia" w:ascii="仿宋" w:hAnsi="仿宋" w:eastAsia="仿宋"/>
          <w:b w:val="0"/>
          <w:bCs w:val="0"/>
          <w:color w:val="auto"/>
          <w:spacing w:val="-11"/>
          <w:sz w:val="32"/>
          <w:szCs w:val="32"/>
          <w:highlight w:val="none"/>
          <w:lang w:val="en-US" w:eastAsia="zh-CN"/>
        </w:rPr>
        <w:t>22</w:t>
      </w:r>
      <w:r>
        <w:rPr>
          <w:rFonts w:hint="eastAsia" w:ascii="仿宋" w:hAnsi="仿宋" w:eastAsia="仿宋"/>
          <w:b w:val="0"/>
          <w:bCs w:val="0"/>
          <w:color w:val="auto"/>
          <w:spacing w:val="-11"/>
          <w:sz w:val="32"/>
          <w:szCs w:val="32"/>
          <w:highlight w:val="none"/>
        </w:rPr>
        <w:t>年一般公共预算财政拨款支出</w:t>
      </w:r>
      <w:r>
        <w:rPr>
          <w:rFonts w:hint="eastAsia" w:ascii="仿宋" w:hAnsi="仿宋" w:eastAsia="仿宋"/>
          <w:b w:val="0"/>
          <w:bCs w:val="0"/>
          <w:color w:val="auto"/>
          <w:spacing w:val="-11"/>
          <w:sz w:val="32"/>
          <w:szCs w:val="32"/>
          <w:highlight w:val="none"/>
          <w:lang w:val="en-US" w:eastAsia="zh-CN"/>
        </w:rPr>
        <w:t>119.09</w:t>
      </w:r>
      <w:r>
        <w:rPr>
          <w:rFonts w:hint="eastAsia" w:ascii="仿宋" w:hAnsi="仿宋" w:eastAsia="仿宋"/>
          <w:b w:val="0"/>
          <w:bCs w:val="0"/>
          <w:color w:val="auto"/>
          <w:spacing w:val="-11"/>
          <w:sz w:val="32"/>
          <w:szCs w:val="32"/>
          <w:highlight w:val="none"/>
        </w:rPr>
        <w:t>万元，主要用于以下方面</w:t>
      </w:r>
      <w:r>
        <w:rPr>
          <w:rFonts w:ascii="仿宋" w:hAnsi="仿宋" w:eastAsia="仿宋"/>
          <w:b w:val="0"/>
          <w:bCs w:val="0"/>
          <w:color w:val="auto"/>
          <w:spacing w:val="-11"/>
          <w:sz w:val="32"/>
          <w:szCs w:val="32"/>
          <w:highlight w:val="none"/>
        </w:rPr>
        <w:t>:</w:t>
      </w:r>
      <w:r>
        <w:rPr>
          <w:rFonts w:hint="eastAsia" w:ascii="仿宋_GB2312" w:eastAsia="仿宋_GB2312"/>
          <w:b/>
          <w:bCs/>
          <w:color w:val="auto"/>
          <w:sz w:val="32"/>
          <w:szCs w:val="32"/>
          <w:highlight w:val="none"/>
        </w:rPr>
        <w:t>一般公共服务</w:t>
      </w:r>
      <w:r>
        <w:rPr>
          <w:rFonts w:hint="eastAsia" w:ascii="仿宋_GB2312" w:eastAsia="仿宋_GB2312"/>
          <w:b/>
          <w:bCs/>
          <w:color w:val="auto"/>
          <w:sz w:val="32"/>
          <w:szCs w:val="32"/>
          <w:highlight w:val="none"/>
          <w:lang w:val="en-US" w:eastAsia="zh-CN"/>
        </w:rPr>
        <w:t>支出</w:t>
      </w:r>
      <w:r>
        <w:rPr>
          <w:rFonts w:hint="eastAsia" w:ascii="仿宋_GB2312" w:hAnsi="仿宋" w:eastAsia="仿宋_GB2312"/>
          <w:b w:val="0"/>
          <w:bCs w:val="0"/>
          <w:spacing w:val="-11"/>
          <w:sz w:val="32"/>
          <w:szCs w:val="32"/>
          <w:lang w:val="en-US" w:eastAsia="zh-CN"/>
        </w:rPr>
        <w:t>108.08</w:t>
      </w:r>
      <w:r>
        <w:rPr>
          <w:rFonts w:hint="eastAsia" w:ascii="仿宋_GB2312" w:hAnsi="仿宋" w:eastAsia="仿宋_GB2312"/>
          <w:b w:val="0"/>
          <w:bCs w:val="0"/>
          <w:spacing w:val="-11"/>
          <w:sz w:val="32"/>
          <w:szCs w:val="32"/>
        </w:rPr>
        <w:t>万元，占</w:t>
      </w:r>
      <w:r>
        <w:rPr>
          <w:rFonts w:hint="eastAsia" w:ascii="仿宋_GB2312" w:hAnsi="仿宋" w:eastAsia="仿宋_GB2312"/>
          <w:b w:val="0"/>
          <w:bCs w:val="0"/>
          <w:spacing w:val="-11"/>
          <w:sz w:val="32"/>
          <w:szCs w:val="32"/>
          <w:lang w:val="en-US" w:eastAsia="zh-CN"/>
        </w:rPr>
        <w:t>90.75</w:t>
      </w:r>
      <w:r>
        <w:rPr>
          <w:rFonts w:hint="eastAsia" w:ascii="仿宋_GB2312" w:hAnsi="仿宋" w:eastAsia="仿宋_GB2312"/>
          <w:b w:val="0"/>
          <w:bCs w:val="0"/>
          <w:spacing w:val="-11"/>
          <w:sz w:val="32"/>
          <w:szCs w:val="32"/>
        </w:rPr>
        <w:t>%；</w:t>
      </w:r>
      <w:r>
        <w:rPr>
          <w:rFonts w:hint="eastAsia" w:ascii="仿宋_GB2312" w:eastAsia="仿宋_GB2312"/>
          <w:b/>
          <w:bCs/>
          <w:color w:val="auto"/>
          <w:sz w:val="32"/>
          <w:szCs w:val="32"/>
          <w:highlight w:val="none"/>
        </w:rPr>
        <w:t>社会保障和就业支出</w:t>
      </w:r>
      <w:r>
        <w:rPr>
          <w:rFonts w:hint="eastAsia" w:ascii="仿宋_GB2312" w:hAnsi="仿宋" w:eastAsia="仿宋_GB2312"/>
          <w:b w:val="0"/>
          <w:bCs w:val="0"/>
          <w:spacing w:val="-11"/>
          <w:sz w:val="32"/>
          <w:szCs w:val="32"/>
          <w:lang w:val="en-US" w:eastAsia="zh-CN"/>
        </w:rPr>
        <w:t>4.13</w:t>
      </w:r>
      <w:r>
        <w:rPr>
          <w:rFonts w:hint="eastAsia" w:ascii="仿宋_GB2312" w:hAnsi="仿宋" w:eastAsia="仿宋_GB2312"/>
          <w:b w:val="0"/>
          <w:bCs w:val="0"/>
          <w:spacing w:val="-11"/>
          <w:sz w:val="32"/>
          <w:szCs w:val="32"/>
        </w:rPr>
        <w:t>万元，占</w:t>
      </w:r>
      <w:r>
        <w:rPr>
          <w:rFonts w:hint="eastAsia" w:ascii="仿宋_GB2312" w:hAnsi="仿宋" w:eastAsia="仿宋_GB2312"/>
          <w:b w:val="0"/>
          <w:bCs w:val="0"/>
          <w:spacing w:val="-11"/>
          <w:sz w:val="32"/>
          <w:szCs w:val="32"/>
          <w:lang w:val="en-US" w:eastAsia="zh-CN"/>
        </w:rPr>
        <w:t>3.47</w:t>
      </w:r>
      <w:r>
        <w:rPr>
          <w:rFonts w:hint="eastAsia" w:ascii="仿宋_GB2312" w:hAnsi="仿宋" w:eastAsia="仿宋_GB2312"/>
          <w:b w:val="0"/>
          <w:bCs w:val="0"/>
          <w:spacing w:val="-11"/>
          <w:sz w:val="32"/>
          <w:szCs w:val="32"/>
        </w:rPr>
        <w:t>%；</w:t>
      </w:r>
      <w:r>
        <w:rPr>
          <w:rFonts w:hint="eastAsia" w:ascii="仿宋_GB2312" w:eastAsia="仿宋_GB2312"/>
          <w:b/>
          <w:bCs/>
          <w:color w:val="auto"/>
          <w:sz w:val="32"/>
          <w:szCs w:val="32"/>
          <w:highlight w:val="none"/>
        </w:rPr>
        <w:t>卫生健康</w:t>
      </w:r>
      <w:r>
        <w:rPr>
          <w:rFonts w:hint="eastAsia" w:ascii="仿宋_GB2312" w:hAnsi="仿宋" w:eastAsia="仿宋_GB2312"/>
          <w:b w:val="0"/>
          <w:bCs w:val="0"/>
          <w:spacing w:val="-11"/>
          <w:sz w:val="32"/>
          <w:szCs w:val="32"/>
        </w:rPr>
        <w:t>支出</w:t>
      </w:r>
      <w:r>
        <w:rPr>
          <w:rFonts w:hint="eastAsia" w:ascii="仿宋_GB2312" w:hAnsi="仿宋" w:eastAsia="仿宋_GB2312"/>
          <w:b w:val="0"/>
          <w:bCs w:val="0"/>
          <w:spacing w:val="-11"/>
          <w:sz w:val="32"/>
          <w:szCs w:val="32"/>
          <w:lang w:val="en-US" w:eastAsia="zh-CN"/>
        </w:rPr>
        <w:t>2.46万</w:t>
      </w:r>
      <w:r>
        <w:rPr>
          <w:rFonts w:hint="eastAsia" w:ascii="仿宋_GB2312" w:hAnsi="仿宋" w:eastAsia="仿宋_GB2312"/>
          <w:b w:val="0"/>
          <w:bCs w:val="0"/>
          <w:spacing w:val="-11"/>
          <w:sz w:val="32"/>
          <w:szCs w:val="32"/>
        </w:rPr>
        <w:t>元，占总收入</w:t>
      </w:r>
      <w:r>
        <w:rPr>
          <w:rFonts w:hint="eastAsia" w:ascii="仿宋_GB2312" w:hAnsi="仿宋" w:eastAsia="仿宋_GB2312"/>
          <w:b w:val="0"/>
          <w:bCs w:val="0"/>
          <w:spacing w:val="-11"/>
          <w:sz w:val="32"/>
          <w:szCs w:val="32"/>
          <w:lang w:val="en-US" w:eastAsia="zh-CN"/>
        </w:rPr>
        <w:t>2.07</w:t>
      </w:r>
      <w:r>
        <w:rPr>
          <w:rFonts w:hint="eastAsia" w:ascii="仿宋_GB2312" w:hAnsi="仿宋" w:eastAsia="仿宋_GB2312"/>
          <w:b w:val="0"/>
          <w:bCs w:val="0"/>
          <w:spacing w:val="-11"/>
          <w:sz w:val="32"/>
          <w:szCs w:val="32"/>
        </w:rPr>
        <w:t>%；</w:t>
      </w:r>
      <w:r>
        <w:rPr>
          <w:rFonts w:hint="eastAsia" w:ascii="仿宋_GB2312" w:hAnsi="仿宋" w:eastAsia="仿宋_GB2312"/>
          <w:b/>
          <w:bCs/>
          <w:spacing w:val="-11"/>
          <w:sz w:val="32"/>
          <w:szCs w:val="32"/>
        </w:rPr>
        <w:t>住房保障支出</w:t>
      </w:r>
      <w:r>
        <w:rPr>
          <w:rFonts w:hint="eastAsia" w:ascii="仿宋_GB2312" w:hAnsi="仿宋" w:eastAsia="仿宋_GB2312"/>
          <w:b w:val="0"/>
          <w:bCs w:val="0"/>
          <w:spacing w:val="-11"/>
          <w:sz w:val="32"/>
          <w:szCs w:val="32"/>
          <w:lang w:val="en-US" w:eastAsia="zh-CN"/>
        </w:rPr>
        <w:t>4.42</w:t>
      </w:r>
      <w:r>
        <w:rPr>
          <w:rFonts w:hint="eastAsia" w:ascii="仿宋_GB2312" w:hAnsi="仿宋" w:eastAsia="仿宋_GB2312"/>
          <w:b w:val="0"/>
          <w:bCs w:val="0"/>
          <w:spacing w:val="-11"/>
          <w:sz w:val="32"/>
          <w:szCs w:val="32"/>
        </w:rPr>
        <w:t>万元，占总收入</w:t>
      </w:r>
      <w:r>
        <w:rPr>
          <w:rFonts w:hint="eastAsia" w:ascii="仿宋_GB2312" w:hAnsi="仿宋" w:eastAsia="仿宋_GB2312"/>
          <w:b w:val="0"/>
          <w:bCs w:val="0"/>
          <w:spacing w:val="-11"/>
          <w:sz w:val="32"/>
          <w:szCs w:val="32"/>
          <w:lang w:val="en-US" w:eastAsia="zh-CN"/>
        </w:rPr>
        <w:t>3.71</w:t>
      </w:r>
      <w:r>
        <w:rPr>
          <w:rFonts w:hint="eastAsia" w:ascii="仿宋_GB2312" w:hAnsi="仿宋" w:eastAsia="仿宋_GB2312"/>
          <w:b w:val="0"/>
          <w:bCs w:val="0"/>
          <w:spacing w:val="-11"/>
          <w:sz w:val="32"/>
          <w:szCs w:val="32"/>
        </w:rPr>
        <w:t>%</w:t>
      </w:r>
      <w:r>
        <w:rPr>
          <w:rFonts w:hint="eastAsia" w:ascii="仿宋_GB2312" w:hAnsi="仿宋" w:eastAsia="仿宋_GB2312"/>
          <w:b w:val="0"/>
          <w:bCs w:val="0"/>
          <w:spacing w:val="-11"/>
          <w:sz w:val="32"/>
          <w:szCs w:val="32"/>
          <w:lang w:eastAsia="zh-CN"/>
        </w:rPr>
        <w:t>。</w:t>
      </w:r>
    </w:p>
    <w:p>
      <w:pPr>
        <w:jc w:val="center"/>
        <w:rPr>
          <w:b w:val="0"/>
          <w:bCs w:val="0"/>
        </w:rPr>
      </w:pPr>
      <w:r>
        <w:rPr>
          <w:rFonts w:hint="eastAsia" w:ascii="仿宋_GB2312" w:hAnsi="仿宋" w:eastAsia="仿宋_GB2312"/>
          <w:b w:val="0"/>
          <w:bCs w:val="0"/>
          <w:sz w:val="32"/>
          <w:szCs w:val="32"/>
          <w:lang w:eastAsia="zh-CN"/>
        </w:rPr>
        <w:object>
          <v:shape id="_x0000_i1025" o:spt="75" type="#_x0000_t75" style="height:231.7pt;width:387.7pt;" o:ole="t" filled="f" o:preferrelative="t" stroked="f" coordsize="21600,21600">
            <v:path/>
            <v:fill on="f" focussize="0,0"/>
            <v:stroke on="f"/>
            <v:imagedata r:id="rId13" o:title=""/>
            <o:lock v:ext="edit" aspectratio="t"/>
            <w10:wrap type="none"/>
            <w10:anchorlock/>
          </v:shape>
          <o:OLEObject Type="Embed" ProgID="Excel.Chart.8" ShapeID="_x0000_i1025" DrawAspect="Content" ObjectID="_1468075725" r:id="rId12">
            <o:LockedField>false</o:LockedField>
          </o:OLEObject>
        </w:objec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楷体_GB2312" w:hAnsi="楷体_GB2312" w:eastAsia="楷体_GB2312" w:cs="楷体_GB2312"/>
          <w:b w:val="0"/>
          <w:bCs w:val="0"/>
          <w:color w:val="auto"/>
          <w:sz w:val="32"/>
          <w:szCs w:val="32"/>
          <w:highlight w:val="none"/>
        </w:rPr>
      </w:pPr>
      <w:bookmarkStart w:id="75" w:name="_Toc27547"/>
      <w:bookmarkStart w:id="76" w:name="_Toc15377212"/>
      <w:bookmarkStart w:id="77" w:name="_Toc6834"/>
      <w:bookmarkStart w:id="78" w:name="_Toc23966"/>
      <w:r>
        <w:rPr>
          <w:rFonts w:hint="eastAsia" w:ascii="楷体_GB2312" w:hAnsi="楷体_GB2312" w:eastAsia="楷体_GB2312" w:cs="楷体_GB2312"/>
          <w:b w:val="0"/>
          <w:bCs w:val="0"/>
          <w:color w:val="auto"/>
          <w:sz w:val="32"/>
          <w:szCs w:val="32"/>
          <w:highlight w:val="none"/>
        </w:rPr>
        <w:t>（三）一般公共预算财政拨款支出决算具体情况</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仿宋_GB2312" w:hAnsi="仿宋_GB2312" w:eastAsia="仿宋_GB2312" w:cs="仿宋_GB2312"/>
          <w:b w:val="0"/>
          <w:bCs w:val="0"/>
          <w:kern w:val="2"/>
          <w:sz w:val="32"/>
          <w:szCs w:val="32"/>
          <w:lang w:val="en-US" w:eastAsia="zh-CN" w:bidi="ar-SA"/>
        </w:rPr>
      </w:pPr>
      <w:bookmarkStart w:id="79" w:name="_Toc15378460"/>
      <w:bookmarkStart w:id="80" w:name="_Toc3875"/>
      <w:bookmarkStart w:id="81" w:name="_Toc6575"/>
      <w:bookmarkStart w:id="82" w:name="_Toc15377213"/>
      <w:bookmarkStart w:id="83" w:name="_Toc15377444"/>
      <w:bookmarkStart w:id="84" w:name="_Toc11905"/>
      <w:r>
        <w:rPr>
          <w:rFonts w:hint="eastAsia" w:ascii="仿宋_GB2312" w:hAnsi="仿宋_GB2312" w:eastAsia="仿宋_GB2312" w:cs="仿宋_GB2312"/>
          <w:b w:val="0"/>
          <w:bCs w:val="0"/>
          <w:kern w:val="2"/>
          <w:sz w:val="32"/>
          <w:szCs w:val="32"/>
          <w:lang w:val="en-US" w:eastAsia="zh-CN" w:bidi="ar-SA"/>
        </w:rPr>
        <w:t>2022年一般公共预算支出决算数为119.09万元，完成预算100%。其中：</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1.一般公共服务（类）党委办公厅（室）及相关机构事务（款）行政运行（项）</w:t>
      </w:r>
      <w:r>
        <w:rPr>
          <w:rFonts w:hint="eastAsia" w:ascii="仿宋_GB2312" w:hAnsi="仿宋_GB2312" w:eastAsia="仿宋_GB2312" w:cs="仿宋_GB2312"/>
          <w:b w:val="0"/>
          <w:bCs w:val="0"/>
          <w:kern w:val="2"/>
          <w:sz w:val="32"/>
          <w:szCs w:val="32"/>
          <w:lang w:val="en-US" w:eastAsia="zh-CN" w:bidi="ar-SA"/>
        </w:rPr>
        <w:t>:支出决算为52.59万元，完成预算100%。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2.一般公共服务（类）党委办公厅（室）及相关机构事务（款）一般行政管理事务（项）</w:t>
      </w:r>
      <w:r>
        <w:rPr>
          <w:rFonts w:hint="eastAsia" w:ascii="仿宋_GB2312" w:hAnsi="仿宋_GB2312" w:eastAsia="仿宋_GB2312" w:cs="仿宋_GB2312"/>
          <w:b w:val="0"/>
          <w:bCs w:val="0"/>
          <w:kern w:val="2"/>
          <w:sz w:val="32"/>
          <w:szCs w:val="32"/>
          <w:lang w:val="en-US" w:eastAsia="zh-CN" w:bidi="ar-SA"/>
        </w:rPr>
        <w:t>：支出决算为55.49万元，完成预算100%。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3.社会保障和就业（类）行政事业单位养老支出（款）机关事业单位基本养老保险缴费支出（项）</w:t>
      </w:r>
      <w:r>
        <w:rPr>
          <w:rFonts w:hint="eastAsia" w:ascii="仿宋_GB2312" w:hAnsi="仿宋_GB2312" w:eastAsia="仿宋_GB2312" w:cs="仿宋_GB2312"/>
          <w:b w:val="0"/>
          <w:bCs w:val="0"/>
          <w:kern w:val="2"/>
          <w:sz w:val="32"/>
          <w:szCs w:val="32"/>
          <w:lang w:val="en-US" w:eastAsia="zh-CN" w:bidi="ar-SA"/>
        </w:rPr>
        <w:t>:支出决算为4.03万元，完成预算100%。</w:t>
      </w:r>
    </w:p>
    <w:p>
      <w:pPr>
        <w:pStyle w:val="1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4.社会保障和就业（类）行政事业单位养老支出（款）其他社会保障和就业支出（项）</w:t>
      </w:r>
      <w:r>
        <w:rPr>
          <w:rFonts w:hint="eastAsia" w:ascii="仿宋_GB2312" w:hAnsi="仿宋_GB2312" w:eastAsia="仿宋_GB2312" w:cs="仿宋_GB2312"/>
          <w:b w:val="0"/>
          <w:bCs w:val="0"/>
          <w:kern w:val="2"/>
          <w:sz w:val="32"/>
          <w:szCs w:val="32"/>
          <w:lang w:val="en-US" w:eastAsia="zh-CN" w:bidi="ar-SA"/>
        </w:rPr>
        <w:t>：支出决算为0.10万元，完成预算100%。</w:t>
      </w:r>
    </w:p>
    <w:p>
      <w:pPr>
        <w:pStyle w:val="1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5.卫生健康（类）行政事业单位医疗（款）行政单位医疗（项）：</w:t>
      </w:r>
      <w:r>
        <w:rPr>
          <w:rFonts w:hint="eastAsia" w:ascii="仿宋_GB2312" w:hAnsi="仿宋_GB2312" w:eastAsia="仿宋_GB2312" w:cs="仿宋_GB2312"/>
          <w:b w:val="0"/>
          <w:bCs w:val="0"/>
          <w:kern w:val="2"/>
          <w:sz w:val="32"/>
          <w:szCs w:val="32"/>
          <w:lang w:val="en-US" w:eastAsia="zh-CN" w:bidi="ar-SA"/>
        </w:rPr>
        <w:t>支出决算为2.46万元，完成预算100%。</w:t>
      </w:r>
    </w:p>
    <w:p>
      <w:pPr>
        <w:pStyle w:val="1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ascii="仿宋" w:hAnsi="仿宋" w:eastAsia="仿宋"/>
          <w:b w:val="0"/>
          <w:bCs w:val="0"/>
          <w:color w:val="auto"/>
          <w:sz w:val="32"/>
          <w:szCs w:val="32"/>
          <w:highlight w:val="none"/>
        </w:rPr>
      </w:pPr>
      <w:r>
        <w:rPr>
          <w:rFonts w:hint="eastAsia" w:ascii="仿宋_GB2312" w:hAnsi="仿宋_GB2312" w:eastAsia="仿宋_GB2312" w:cs="仿宋_GB2312"/>
          <w:b/>
          <w:bCs/>
          <w:kern w:val="2"/>
          <w:sz w:val="32"/>
          <w:szCs w:val="32"/>
          <w:lang w:val="en-US" w:eastAsia="zh-CN" w:bidi="ar-SA"/>
        </w:rPr>
        <w:t>6.住房保障（类）住房改革支出（款）住房公积金（项）：</w:t>
      </w:r>
      <w:r>
        <w:rPr>
          <w:rFonts w:hint="eastAsia" w:ascii="仿宋_GB2312" w:hAnsi="仿宋_GB2312" w:eastAsia="仿宋_GB2312" w:cs="仿宋_GB2312"/>
          <w:b w:val="0"/>
          <w:bCs w:val="0"/>
          <w:kern w:val="2"/>
          <w:sz w:val="32"/>
          <w:szCs w:val="32"/>
          <w:lang w:val="en-US" w:eastAsia="zh-CN" w:bidi="ar-SA"/>
        </w:rPr>
        <w:t>支出决算为4.42万元，完成预算100%。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29"/>
          <w:b w:val="0"/>
          <w:bCs w:val="0"/>
          <w:color w:val="auto"/>
          <w:highlight w:val="none"/>
        </w:rPr>
      </w:pPr>
      <w:bookmarkStart w:id="85" w:name="_Toc9252"/>
      <w:bookmarkStart w:id="86" w:name="_Toc15396608"/>
      <w:bookmarkStart w:id="87" w:name="_Toc15377214"/>
      <w:bookmarkStart w:id="88" w:name="_Toc30715"/>
      <w:bookmarkStart w:id="89" w:name="_Toc834"/>
      <w:r>
        <w:rPr>
          <w:rFonts w:hint="eastAsia" w:ascii="黑体" w:eastAsia="黑体"/>
          <w:b w:val="0"/>
          <w:bCs w:val="0"/>
          <w:color w:val="auto"/>
          <w:sz w:val="32"/>
          <w:szCs w:val="32"/>
          <w:highlight w:val="none"/>
        </w:rPr>
        <w:t>六、</w:t>
      </w:r>
      <w:r>
        <w:rPr>
          <w:rFonts w:hint="eastAsia" w:ascii="黑体" w:hAnsi="黑体" w:eastAsia="黑体"/>
          <w:b w:val="0"/>
          <w:bCs w:val="0"/>
          <w:color w:val="auto"/>
          <w:sz w:val="32"/>
          <w:szCs w:val="32"/>
          <w:highlight w:val="none"/>
        </w:rPr>
        <w:t>一</w:t>
      </w:r>
      <w:r>
        <w:rPr>
          <w:rStyle w:val="29"/>
          <w:rFonts w:hint="eastAsia" w:ascii="黑体" w:hAnsi="黑体" w:eastAsia="黑体"/>
          <w:b w:val="0"/>
          <w:bCs w:val="0"/>
          <w:color w:val="auto"/>
          <w:highlight w:val="none"/>
        </w:rPr>
        <w:t>般公共预算财政拨款基本支出决算情况说明</w:t>
      </w:r>
      <w:bookmarkEnd w:id="85"/>
      <w:bookmarkEnd w:id="86"/>
      <w:bookmarkEnd w:id="87"/>
      <w:bookmarkEnd w:id="88"/>
      <w:bookmarkEnd w:id="89"/>
      <w:r>
        <w:rPr>
          <w:rStyle w:val="29"/>
          <w:rFonts w:ascii="黑体" w:hAnsi="黑体" w:eastAsia="黑体"/>
          <w:b w:val="0"/>
          <w:bCs w:val="0"/>
          <w:color w:val="auto"/>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年一般公共预算财政拨款基本支出</w:t>
      </w:r>
      <w:r>
        <w:rPr>
          <w:rFonts w:hint="eastAsia" w:ascii="仿宋" w:hAnsi="仿宋" w:eastAsia="仿宋"/>
          <w:b w:val="0"/>
          <w:bCs w:val="0"/>
          <w:color w:val="auto"/>
          <w:sz w:val="32"/>
          <w:szCs w:val="32"/>
          <w:highlight w:val="none"/>
          <w:lang w:val="en-US" w:eastAsia="zh-CN"/>
        </w:rPr>
        <w:t>63.60</w:t>
      </w:r>
      <w:r>
        <w:rPr>
          <w:rFonts w:hint="eastAsia" w:ascii="仿宋" w:hAnsi="仿宋" w:eastAsia="仿宋"/>
          <w:b w:val="0"/>
          <w:bCs w:val="0"/>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人员经费</w:t>
      </w:r>
      <w:r>
        <w:rPr>
          <w:rFonts w:hint="eastAsia" w:ascii="仿宋" w:hAnsi="仿宋" w:eastAsia="仿宋"/>
          <w:b w:val="0"/>
          <w:bCs w:val="0"/>
          <w:color w:val="auto"/>
          <w:sz w:val="32"/>
          <w:szCs w:val="32"/>
          <w:highlight w:val="none"/>
          <w:lang w:val="en-US" w:eastAsia="zh-CN"/>
        </w:rPr>
        <w:t>51.77</w:t>
      </w:r>
      <w:r>
        <w:rPr>
          <w:rFonts w:hint="eastAsia" w:ascii="仿宋" w:hAnsi="仿宋" w:eastAsia="仿宋"/>
          <w:b w:val="0"/>
          <w:bCs w:val="0"/>
          <w:color w:val="auto"/>
          <w:sz w:val="32"/>
          <w:szCs w:val="32"/>
          <w:highlight w:val="none"/>
        </w:rPr>
        <w:t>万元，主要包括：基本工资、津贴补贴、奖金、绩效工资、机关事业单位基本养老保险缴费、职业年金缴费、其他社会保障缴费、生活补助、奖励金、住房公积金、其他对个人和家庭的补助支出等。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公用经费</w:t>
      </w:r>
      <w:r>
        <w:rPr>
          <w:rFonts w:hint="eastAsia" w:ascii="仿宋" w:hAnsi="仿宋" w:eastAsia="仿宋"/>
          <w:b w:val="0"/>
          <w:bCs w:val="0"/>
          <w:color w:val="auto"/>
          <w:sz w:val="32"/>
          <w:szCs w:val="32"/>
          <w:highlight w:val="none"/>
          <w:lang w:val="en-US" w:eastAsia="zh-CN"/>
        </w:rPr>
        <w:t>11.83</w:t>
      </w:r>
      <w:r>
        <w:rPr>
          <w:rFonts w:hint="eastAsia" w:ascii="仿宋" w:hAnsi="仿宋" w:eastAsia="仿宋"/>
          <w:b w:val="0"/>
          <w:bCs w:val="0"/>
          <w:color w:val="auto"/>
          <w:sz w:val="32"/>
          <w:szCs w:val="32"/>
          <w:highlight w:val="none"/>
        </w:rPr>
        <w:t>万元，主要包括：办公费、印刷费、水费、电费、邮电费、差旅费、维修（护）费、租赁费、会议费、公务接待费、其他交通费等。</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29"/>
          <w:rFonts w:ascii="黑体" w:hAnsi="黑体" w:eastAsia="黑体"/>
          <w:b w:val="0"/>
          <w:bCs w:val="0"/>
          <w:color w:val="auto"/>
          <w:highlight w:val="none"/>
        </w:rPr>
      </w:pPr>
      <w:bookmarkStart w:id="90" w:name="_Toc26686"/>
      <w:bookmarkStart w:id="91" w:name="_Toc15377215"/>
      <w:bookmarkStart w:id="92" w:name="_Toc12034"/>
      <w:bookmarkStart w:id="93" w:name="_Toc15396609"/>
      <w:bookmarkStart w:id="94" w:name="_Toc16823"/>
      <w:r>
        <w:rPr>
          <w:rFonts w:hint="eastAsia" w:ascii="黑体" w:eastAsia="黑体"/>
          <w:b w:val="0"/>
          <w:bCs w:val="0"/>
          <w:color w:val="auto"/>
          <w:sz w:val="32"/>
          <w:szCs w:val="32"/>
          <w:highlight w:val="none"/>
        </w:rPr>
        <w:t>七、</w:t>
      </w:r>
      <w:r>
        <w:rPr>
          <w:rStyle w:val="29"/>
          <w:rFonts w:hint="eastAsia" w:ascii="黑体" w:hAnsi="黑体" w:eastAsia="黑体"/>
          <w:b w:val="0"/>
          <w:bCs w:val="0"/>
          <w:color w:val="auto"/>
          <w:highlight w:val="none"/>
        </w:rPr>
        <w:t>财政拨款“三公”经费支出决算情况说明</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楷体_GB2312" w:hAnsi="楷体_GB2312" w:eastAsia="楷体_GB2312" w:cs="楷体_GB2312"/>
          <w:b w:val="0"/>
          <w:bCs w:val="0"/>
          <w:color w:val="auto"/>
          <w:sz w:val="32"/>
          <w:szCs w:val="32"/>
          <w:highlight w:val="none"/>
        </w:rPr>
      </w:pPr>
      <w:bookmarkStart w:id="95" w:name="_Toc15377216"/>
      <w:bookmarkStart w:id="96" w:name="_Toc5816"/>
      <w:bookmarkStart w:id="97" w:name="_Toc24365"/>
      <w:bookmarkStart w:id="98" w:name="_Toc22366"/>
      <w:r>
        <w:rPr>
          <w:rFonts w:hint="eastAsia" w:ascii="楷体_GB2312" w:hAnsi="楷体_GB2312" w:eastAsia="楷体_GB2312" w:cs="楷体_GB2312"/>
          <w:b w:val="0"/>
          <w:bCs w:val="0"/>
          <w:color w:val="auto"/>
          <w:sz w:val="32"/>
          <w:szCs w:val="32"/>
          <w:highlight w:val="none"/>
        </w:rPr>
        <w:t>（一）“三公”经费财政拨款支出决算总体情况说明</w:t>
      </w:r>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年“三公”经费财政拨款支出决算为</w:t>
      </w:r>
      <w:r>
        <w:rPr>
          <w:rFonts w:hint="eastAsia" w:ascii="仿宋" w:hAnsi="仿宋" w:eastAsia="仿宋"/>
          <w:b w:val="0"/>
          <w:bCs w:val="0"/>
          <w:color w:val="auto"/>
          <w:sz w:val="32"/>
          <w:szCs w:val="32"/>
          <w:highlight w:val="none"/>
          <w:lang w:val="en-US" w:eastAsia="zh-CN"/>
        </w:rPr>
        <w:t>0.50</w:t>
      </w:r>
      <w:r>
        <w:rPr>
          <w:rFonts w:hint="eastAsia" w:ascii="仿宋" w:hAnsi="仿宋" w:eastAsia="仿宋"/>
          <w:b w:val="0"/>
          <w:bCs w:val="0"/>
          <w:color w:val="auto"/>
          <w:sz w:val="32"/>
          <w:szCs w:val="32"/>
          <w:highlight w:val="none"/>
        </w:rPr>
        <w:t>万元，完成预算</w:t>
      </w:r>
      <w:r>
        <w:rPr>
          <w:rFonts w:hint="eastAsia" w:ascii="仿宋" w:hAnsi="仿宋" w:eastAsia="仿宋"/>
          <w:b w:val="0"/>
          <w:bCs w:val="0"/>
          <w:color w:val="auto"/>
          <w:sz w:val="32"/>
          <w:szCs w:val="32"/>
          <w:highlight w:val="none"/>
          <w:lang w:val="en-US" w:eastAsia="zh-CN"/>
        </w:rPr>
        <w:t>98</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较上年增加</w:t>
      </w:r>
      <w:r>
        <w:rPr>
          <w:rFonts w:hint="eastAsia" w:ascii="仿宋" w:hAnsi="仿宋" w:eastAsia="仿宋"/>
          <w:b w:val="0"/>
          <w:bCs w:val="0"/>
          <w:color w:val="auto"/>
          <w:sz w:val="32"/>
          <w:szCs w:val="32"/>
          <w:highlight w:val="none"/>
          <w:lang w:val="en-US" w:eastAsia="zh-CN"/>
        </w:rPr>
        <w:t>0.05万元，增长11%。</w:t>
      </w:r>
      <w:r>
        <w:rPr>
          <w:rFonts w:hint="eastAsia" w:ascii="仿宋" w:hAnsi="仿宋" w:eastAsia="仿宋"/>
          <w:b w:val="0"/>
          <w:bCs w:val="0"/>
          <w:color w:val="auto"/>
          <w:sz w:val="32"/>
          <w:szCs w:val="32"/>
          <w:highlight w:val="none"/>
        </w:rPr>
        <w:t>决算数小于预算数的主要原因是</w:t>
      </w:r>
      <w:r>
        <w:rPr>
          <w:rFonts w:hint="eastAsia" w:ascii="仿宋" w:hAnsi="仿宋" w:eastAsia="仿宋"/>
          <w:b w:val="0"/>
          <w:bCs w:val="0"/>
          <w:sz w:val="32"/>
          <w:szCs w:val="32"/>
        </w:rPr>
        <w:t>进一步严格控制</w:t>
      </w:r>
      <w:r>
        <w:rPr>
          <w:rFonts w:hint="eastAsia" w:ascii="仿宋" w:hAnsi="仿宋" w:eastAsia="仿宋"/>
          <w:b w:val="0"/>
          <w:bCs w:val="0"/>
          <w:sz w:val="32"/>
          <w:szCs w:val="32"/>
          <w:lang w:eastAsia="zh-CN"/>
        </w:rPr>
        <w:t>公务接待标准</w:t>
      </w:r>
      <w:r>
        <w:rPr>
          <w:rFonts w:hint="eastAsia" w:ascii="仿宋" w:hAnsi="仿宋" w:eastAsia="仿宋"/>
          <w:b w:val="0"/>
          <w:bCs w:val="0"/>
          <w:sz w:val="32"/>
          <w:szCs w:val="32"/>
        </w:rPr>
        <w:t>和规范使用流程。</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outlineLvl w:val="2"/>
        <w:rPr>
          <w:rFonts w:hint="eastAsia" w:ascii="楷体_GB2312" w:hAnsi="楷体_GB2312" w:eastAsia="楷体_GB2312" w:cs="楷体_GB2312"/>
          <w:b w:val="0"/>
          <w:bCs w:val="0"/>
          <w:color w:val="auto"/>
          <w:sz w:val="32"/>
          <w:szCs w:val="32"/>
          <w:highlight w:val="none"/>
        </w:rPr>
      </w:pPr>
      <w:bookmarkStart w:id="99" w:name="_Toc15377217"/>
      <w:bookmarkStart w:id="100" w:name="_Toc21724"/>
      <w:bookmarkStart w:id="101" w:name="_Toc10156"/>
      <w:bookmarkStart w:id="102" w:name="_Toc19905"/>
      <w:r>
        <w:rPr>
          <w:rFonts w:hint="eastAsia" w:ascii="楷体_GB2312" w:hAnsi="楷体_GB2312" w:eastAsia="楷体_GB2312" w:cs="楷体_GB2312"/>
          <w:b w:val="0"/>
          <w:bCs w:val="0"/>
          <w:color w:val="auto"/>
          <w:sz w:val="32"/>
          <w:szCs w:val="32"/>
          <w:highlight w:val="none"/>
        </w:rPr>
        <w:t>（二）“三公”经费财政拨款支出决算具体情况说明</w:t>
      </w:r>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年“三公”经费财政拨款支出决算中，因公出国（境）费支出决算</w:t>
      </w:r>
      <w:r>
        <w:rPr>
          <w:rFonts w:hint="eastAsia" w:ascii="仿宋" w:hAnsi="仿宋" w:eastAsia="仿宋"/>
          <w:b w:val="0"/>
          <w:bCs w:val="0"/>
          <w:color w:val="auto"/>
          <w:sz w:val="32"/>
          <w:szCs w:val="32"/>
          <w:highlight w:val="none"/>
          <w:lang w:val="en-US" w:eastAsia="zh-CN"/>
        </w:rPr>
        <w:t>0</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；公务用车购置及运行维护费支出决算</w:t>
      </w:r>
      <w:r>
        <w:rPr>
          <w:rFonts w:hint="eastAsia" w:ascii="仿宋" w:hAnsi="仿宋" w:eastAsia="仿宋"/>
          <w:b w:val="0"/>
          <w:bCs w:val="0"/>
          <w:color w:val="auto"/>
          <w:sz w:val="32"/>
          <w:szCs w:val="32"/>
          <w:highlight w:val="none"/>
          <w:lang w:val="en-US" w:eastAsia="zh-CN"/>
        </w:rPr>
        <w:t>0</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；公务接待费支出决算</w:t>
      </w:r>
      <w:r>
        <w:rPr>
          <w:rFonts w:hint="eastAsia" w:ascii="仿宋" w:hAnsi="仿宋" w:eastAsia="仿宋"/>
          <w:b w:val="0"/>
          <w:bCs w:val="0"/>
          <w:color w:val="auto"/>
          <w:sz w:val="32"/>
          <w:szCs w:val="32"/>
          <w:highlight w:val="none"/>
          <w:lang w:val="en-US" w:eastAsia="zh-CN"/>
        </w:rPr>
        <w:t>0.50</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100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。具体情况如下：</w:t>
      </w:r>
    </w:p>
    <w:p>
      <w:pPr>
        <w:pStyle w:val="12"/>
        <w:rPr>
          <w:rFonts w:hint="eastAsia" w:ascii="仿宋" w:hAnsi="仿宋" w:eastAsia="仿宋"/>
          <w:b w:val="0"/>
          <w:bCs w:val="0"/>
          <w:color w:val="auto"/>
          <w:sz w:val="32"/>
          <w:szCs w:val="32"/>
          <w:highlight w:val="none"/>
          <w:lang w:eastAsia="zh-CN"/>
        </w:rPr>
      </w:pPr>
      <w:r>
        <w:rPr>
          <w:rFonts w:hint="eastAsia" w:ascii="仿宋" w:hAnsi="仿宋" w:eastAsia="仿宋"/>
          <w:b w:val="0"/>
          <w:bCs w:val="0"/>
          <w:color w:val="auto"/>
          <w:sz w:val="32"/>
          <w:szCs w:val="32"/>
          <w:highlight w:val="none"/>
          <w:lang w:eastAsia="zh-CN"/>
        </w:rPr>
        <w:drawing>
          <wp:inline distT="0" distB="0" distL="114300" distR="114300">
            <wp:extent cx="5170805" cy="2836545"/>
            <wp:effectExtent l="4445" t="4445" r="6350" b="1651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b w:val="0"/>
          <w:bCs w:val="0"/>
        </w:rPr>
      </w:pPr>
    </w:p>
    <w:p>
      <w:pPr>
        <w:keepNext w:val="0"/>
        <w:keepLines w:val="0"/>
        <w:pageBreakBefore w:val="0"/>
        <w:kinsoku/>
        <w:wordWrap/>
        <w:overflowPunct/>
        <w:topLinePunct w:val="0"/>
        <w:bidi w:val="0"/>
        <w:snapToGrid/>
        <w:spacing w:line="576" w:lineRule="exact"/>
        <w:ind w:firstLine="640"/>
        <w:textAlignment w:val="auto"/>
        <w:rPr>
          <w:rFonts w:hint="eastAsia" w:ascii="仿宋_GB2312" w:eastAsia="仿宋_GB2312"/>
          <w:b w:val="0"/>
          <w:bCs w:val="0"/>
          <w:color w:val="auto"/>
          <w:sz w:val="32"/>
          <w:szCs w:val="32"/>
          <w:highlight w:val="none"/>
          <w:lang w:val="en-US" w:eastAsia="zh-CN"/>
        </w:rPr>
      </w:pPr>
      <w:r>
        <w:rPr>
          <w:rFonts w:ascii="仿宋_GB2312" w:eastAsia="仿宋_GB2312"/>
          <w:b/>
          <w:bCs/>
          <w:color w:val="auto"/>
          <w:sz w:val="32"/>
          <w:szCs w:val="32"/>
          <w:highlight w:val="none"/>
        </w:rPr>
        <w:t>1.</w:t>
      </w:r>
      <w:r>
        <w:rPr>
          <w:rFonts w:hint="eastAsia" w:ascii="仿宋_GB2312" w:eastAsia="仿宋_GB2312"/>
          <w:b/>
          <w:bCs/>
          <w:color w:val="auto"/>
          <w:sz w:val="32"/>
          <w:szCs w:val="32"/>
          <w:highlight w:val="none"/>
        </w:rPr>
        <w:t>因公出国（境）经费支出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Style w:val="17"/>
          <w:rFonts w:hint="eastAsia" w:ascii="仿宋" w:hAnsi="仿宋" w:eastAsia="仿宋"/>
          <w:b w:val="0"/>
          <w:bCs w:val="0"/>
          <w:color w:val="auto"/>
          <w:sz w:val="32"/>
          <w:szCs w:val="32"/>
          <w:highlight w:val="none"/>
        </w:rPr>
        <w:t>完成预算</w:t>
      </w:r>
      <w:r>
        <w:rPr>
          <w:rStyle w:val="17"/>
          <w:rFonts w:hint="eastAsia" w:ascii="仿宋" w:hAnsi="仿宋" w:eastAsia="仿宋"/>
          <w:b w:val="0"/>
          <w:bCs w:val="0"/>
          <w:color w:val="auto"/>
          <w:sz w:val="32"/>
          <w:szCs w:val="32"/>
          <w:highlight w:val="none"/>
          <w:lang w:val="en-US" w:eastAsia="zh-CN"/>
        </w:rPr>
        <w:t>0</w:t>
      </w:r>
      <w:r>
        <w:rPr>
          <w:rStyle w:val="17"/>
          <w:rFonts w:ascii="仿宋" w:hAnsi="仿宋" w:eastAsia="仿宋"/>
          <w:b w:val="0"/>
          <w:bCs w:val="0"/>
          <w:color w:val="auto"/>
          <w:sz w:val="32"/>
          <w:szCs w:val="32"/>
          <w:highlight w:val="none"/>
        </w:rPr>
        <w:t>%</w:t>
      </w:r>
      <w:r>
        <w:rPr>
          <w:rStyle w:val="17"/>
          <w:rFonts w:hint="eastAsia" w:ascii="仿宋" w:hAnsi="仿宋" w:eastAsia="仿宋"/>
          <w:b w:val="0"/>
          <w:bCs w:val="0"/>
          <w:color w:val="auto"/>
          <w:sz w:val="32"/>
          <w:szCs w:val="32"/>
          <w:highlight w:val="none"/>
        </w:rPr>
        <w:t>。</w:t>
      </w:r>
      <w:r>
        <w:rPr>
          <w:rFonts w:hint="eastAsia" w:ascii="仿宋_GB2312" w:eastAsia="仿宋_GB2312"/>
          <w:b w:val="0"/>
          <w:bCs w:val="0"/>
          <w:color w:val="auto"/>
          <w:sz w:val="32"/>
          <w:szCs w:val="32"/>
          <w:highlight w:val="none"/>
        </w:rPr>
        <w:t>全年安排因公出国（境）团组</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次，出国（境）</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人。因公出国（境）支出决算</w:t>
      </w:r>
      <w:r>
        <w:rPr>
          <w:rFonts w:hint="eastAsia" w:ascii="仿宋_GB2312" w:eastAsia="仿宋_GB2312"/>
          <w:b w:val="0"/>
          <w:bCs w:val="0"/>
          <w:color w:val="auto"/>
          <w:sz w:val="32"/>
          <w:szCs w:val="32"/>
          <w:highlight w:val="none"/>
          <w:lang w:val="en-US" w:eastAsia="zh-CN"/>
        </w:rPr>
        <w:t>与</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持平。</w:t>
      </w:r>
    </w:p>
    <w:p>
      <w:pPr>
        <w:keepNext w:val="0"/>
        <w:keepLines w:val="0"/>
        <w:pageBreakBefore w:val="0"/>
        <w:kinsoku/>
        <w:wordWrap/>
        <w:overflowPunct/>
        <w:topLinePunct w:val="0"/>
        <w:bidi w:val="0"/>
        <w:snapToGrid/>
        <w:spacing w:line="576" w:lineRule="exact"/>
        <w:ind w:firstLine="640"/>
        <w:textAlignment w:val="auto"/>
        <w:rPr>
          <w:rFonts w:hint="eastAsia" w:ascii="仿宋_GB2312" w:eastAsia="仿宋_GB2312"/>
          <w:b w:val="0"/>
          <w:bCs w:val="0"/>
          <w:color w:val="auto"/>
          <w:sz w:val="32"/>
          <w:szCs w:val="32"/>
          <w:highlight w:val="none"/>
          <w:lang w:val="en-US" w:eastAsia="zh-CN"/>
        </w:rPr>
      </w:pPr>
      <w:r>
        <w:rPr>
          <w:rFonts w:ascii="仿宋_GB2312" w:eastAsia="仿宋_GB2312"/>
          <w:b/>
          <w:bCs/>
          <w:color w:val="auto"/>
          <w:sz w:val="32"/>
          <w:szCs w:val="32"/>
          <w:highlight w:val="none"/>
        </w:rPr>
        <w:t>2.</w:t>
      </w:r>
      <w:r>
        <w:rPr>
          <w:rFonts w:hint="eastAsia" w:ascii="仿宋_GB2312" w:eastAsia="仿宋_GB2312"/>
          <w:b/>
          <w:bCs/>
          <w:color w:val="auto"/>
          <w:sz w:val="32"/>
          <w:szCs w:val="32"/>
          <w:highlight w:val="none"/>
        </w:rPr>
        <w:t>公务用车购置及运行维护费支出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Style w:val="17"/>
          <w:rFonts w:hint="eastAsia" w:ascii="仿宋" w:hAnsi="仿宋" w:eastAsia="仿宋"/>
          <w:b w:val="0"/>
          <w:bCs w:val="0"/>
          <w:color w:val="auto"/>
          <w:sz w:val="32"/>
          <w:szCs w:val="32"/>
          <w:highlight w:val="none"/>
        </w:rPr>
        <w:t>完成预算</w:t>
      </w:r>
      <w:r>
        <w:rPr>
          <w:rStyle w:val="17"/>
          <w:rFonts w:hint="eastAsia" w:ascii="仿宋" w:hAnsi="仿宋" w:eastAsia="仿宋"/>
          <w:b w:val="0"/>
          <w:bCs w:val="0"/>
          <w:color w:val="auto"/>
          <w:sz w:val="32"/>
          <w:szCs w:val="32"/>
          <w:highlight w:val="none"/>
          <w:lang w:val="en-US" w:eastAsia="zh-CN"/>
        </w:rPr>
        <w:t>0</w:t>
      </w:r>
      <w:r>
        <w:rPr>
          <w:rStyle w:val="17"/>
          <w:rFonts w:ascii="仿宋" w:hAnsi="仿宋" w:eastAsia="仿宋"/>
          <w:b w:val="0"/>
          <w:bCs w:val="0"/>
          <w:color w:val="auto"/>
          <w:sz w:val="32"/>
          <w:szCs w:val="32"/>
          <w:highlight w:val="none"/>
        </w:rPr>
        <w:t>%</w:t>
      </w:r>
      <w:r>
        <w:rPr>
          <w:rStyle w:val="17"/>
          <w:rFonts w:hint="eastAsia" w:ascii="仿宋" w:hAnsi="仿宋" w:eastAsia="仿宋"/>
          <w:b w:val="0"/>
          <w:bCs w:val="0"/>
          <w:color w:val="auto"/>
          <w:sz w:val="32"/>
          <w:szCs w:val="32"/>
          <w:highlight w:val="none"/>
        </w:rPr>
        <w:t>。</w:t>
      </w:r>
      <w:r>
        <w:rPr>
          <w:rFonts w:hint="eastAsia" w:ascii="仿宋_GB2312" w:eastAsia="仿宋_GB2312"/>
          <w:b w:val="0"/>
          <w:bCs w:val="0"/>
          <w:color w:val="auto"/>
          <w:sz w:val="32"/>
          <w:szCs w:val="32"/>
          <w:highlight w:val="none"/>
        </w:rPr>
        <w:t>公务用车购置及运行维护费支出决算</w:t>
      </w:r>
      <w:r>
        <w:rPr>
          <w:rFonts w:hint="eastAsia" w:ascii="仿宋_GB2312" w:eastAsia="仿宋_GB2312"/>
          <w:b w:val="0"/>
          <w:bCs w:val="0"/>
          <w:color w:val="auto"/>
          <w:sz w:val="32"/>
          <w:szCs w:val="32"/>
          <w:highlight w:val="none"/>
          <w:lang w:val="en-US" w:eastAsia="zh-CN"/>
        </w:rPr>
        <w:t>与</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持平。</w:t>
      </w:r>
    </w:p>
    <w:p>
      <w:pPr>
        <w:keepNext w:val="0"/>
        <w:keepLines w:val="0"/>
        <w:pageBreakBefore w:val="0"/>
        <w:kinsoku/>
        <w:wordWrap/>
        <w:overflowPunct/>
        <w:topLinePunct w:val="0"/>
        <w:bidi w:val="0"/>
        <w:snapToGrid/>
        <w:spacing w:line="576" w:lineRule="exact"/>
        <w:ind w:firstLine="640"/>
        <w:textAlignment w:val="auto"/>
        <w:rPr>
          <w:rFonts w:ascii="仿宋_GB2312" w:eastAsia="仿宋_GB2312"/>
          <w:b w:val="0"/>
          <w:bCs w:val="0"/>
          <w:color w:val="auto"/>
          <w:sz w:val="32"/>
          <w:szCs w:val="32"/>
          <w:highlight w:val="none"/>
        </w:rPr>
      </w:pPr>
      <w:r>
        <w:rPr>
          <w:rFonts w:ascii="仿宋_GB2312" w:eastAsia="仿宋_GB2312"/>
          <w:b/>
          <w:bCs/>
          <w:color w:val="auto"/>
          <w:sz w:val="32"/>
          <w:szCs w:val="32"/>
          <w:highlight w:val="none"/>
        </w:rPr>
        <w:t>3.</w:t>
      </w:r>
      <w:r>
        <w:rPr>
          <w:rFonts w:hint="eastAsia" w:ascii="仿宋_GB2312" w:eastAsia="仿宋_GB2312"/>
          <w:b/>
          <w:bCs/>
          <w:color w:val="auto"/>
          <w:sz w:val="32"/>
          <w:szCs w:val="32"/>
          <w:highlight w:val="none"/>
        </w:rPr>
        <w:t>公务接待费支出</w:t>
      </w:r>
      <w:r>
        <w:rPr>
          <w:rFonts w:hint="eastAsia" w:ascii="仿宋_GB2312" w:eastAsia="仿宋_GB2312"/>
          <w:b w:val="0"/>
          <w:bCs w:val="0"/>
          <w:color w:val="auto"/>
          <w:sz w:val="32"/>
          <w:szCs w:val="32"/>
          <w:highlight w:val="none"/>
          <w:lang w:val="en-US" w:eastAsia="zh-CN"/>
        </w:rPr>
        <w:t>0.50</w:t>
      </w:r>
      <w:r>
        <w:rPr>
          <w:rFonts w:hint="eastAsia" w:ascii="仿宋_GB2312" w:eastAsia="仿宋_GB2312"/>
          <w:b w:val="0"/>
          <w:bCs w:val="0"/>
          <w:color w:val="auto"/>
          <w:sz w:val="32"/>
          <w:szCs w:val="32"/>
          <w:highlight w:val="none"/>
        </w:rPr>
        <w:t>万元，</w:t>
      </w:r>
      <w:r>
        <w:rPr>
          <w:rStyle w:val="17"/>
          <w:rFonts w:hint="eastAsia" w:ascii="仿宋" w:hAnsi="仿宋" w:eastAsia="仿宋"/>
          <w:b w:val="0"/>
          <w:bCs w:val="0"/>
          <w:color w:val="auto"/>
          <w:sz w:val="32"/>
          <w:szCs w:val="32"/>
          <w:highlight w:val="none"/>
        </w:rPr>
        <w:t>完成预算</w:t>
      </w:r>
      <w:r>
        <w:rPr>
          <w:rStyle w:val="17"/>
          <w:rFonts w:hint="eastAsia" w:ascii="仿宋" w:hAnsi="仿宋" w:eastAsia="仿宋"/>
          <w:b w:val="0"/>
          <w:bCs w:val="0"/>
          <w:color w:val="auto"/>
          <w:sz w:val="32"/>
          <w:szCs w:val="32"/>
          <w:highlight w:val="none"/>
          <w:lang w:val="en-US" w:eastAsia="zh-CN"/>
        </w:rPr>
        <w:t>98</w:t>
      </w:r>
      <w:r>
        <w:rPr>
          <w:rStyle w:val="17"/>
          <w:rFonts w:ascii="仿宋" w:hAnsi="仿宋" w:eastAsia="仿宋"/>
          <w:b w:val="0"/>
          <w:bCs w:val="0"/>
          <w:color w:val="auto"/>
          <w:sz w:val="32"/>
          <w:szCs w:val="32"/>
          <w:highlight w:val="none"/>
        </w:rPr>
        <w:t>%</w:t>
      </w:r>
      <w:r>
        <w:rPr>
          <w:rStyle w:val="17"/>
          <w:rFonts w:hint="eastAsia" w:ascii="仿宋" w:hAnsi="仿宋" w:eastAsia="仿宋"/>
          <w:b w:val="0"/>
          <w:bCs w:val="0"/>
          <w:color w:val="auto"/>
          <w:sz w:val="32"/>
          <w:szCs w:val="32"/>
          <w:highlight w:val="none"/>
        </w:rPr>
        <w:t>。</w:t>
      </w:r>
      <w:r>
        <w:rPr>
          <w:rFonts w:hint="eastAsia" w:ascii="仿宋_GB2312" w:eastAsia="仿宋_GB2312"/>
          <w:b w:val="0"/>
          <w:bCs w:val="0"/>
          <w:color w:val="auto"/>
          <w:sz w:val="32"/>
          <w:szCs w:val="32"/>
          <w:highlight w:val="none"/>
        </w:rPr>
        <w:t>公务接待费支出决算比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年增加</w:t>
      </w:r>
      <w:r>
        <w:rPr>
          <w:rFonts w:hint="eastAsia" w:ascii="仿宋_GB2312" w:eastAsia="仿宋_GB2312"/>
          <w:b w:val="0"/>
          <w:bCs w:val="0"/>
          <w:color w:val="auto"/>
          <w:sz w:val="32"/>
          <w:szCs w:val="32"/>
          <w:highlight w:val="none"/>
          <w:lang w:val="en-US" w:eastAsia="zh-CN"/>
        </w:rPr>
        <w:t>0.05</w:t>
      </w:r>
      <w:r>
        <w:rPr>
          <w:rFonts w:hint="eastAsia" w:ascii="仿宋_GB2312" w:eastAsia="仿宋_GB2312"/>
          <w:b w:val="0"/>
          <w:bCs w:val="0"/>
          <w:color w:val="auto"/>
          <w:sz w:val="32"/>
          <w:szCs w:val="32"/>
          <w:highlight w:val="none"/>
        </w:rPr>
        <w:t>万元，增长</w:t>
      </w:r>
      <w:r>
        <w:rPr>
          <w:rFonts w:hint="eastAsia" w:ascii="仿宋_GB2312" w:eastAsia="仿宋_GB2312"/>
          <w:b w:val="0"/>
          <w:bCs w:val="0"/>
          <w:color w:val="auto"/>
          <w:sz w:val="32"/>
          <w:szCs w:val="32"/>
          <w:highlight w:val="none"/>
          <w:lang w:val="en-US" w:eastAsia="zh-CN"/>
        </w:rPr>
        <w:t>11</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。主要原因是</w:t>
      </w:r>
      <w:r>
        <w:rPr>
          <w:rFonts w:hint="eastAsia" w:ascii="仿宋_GB2312" w:eastAsia="仿宋_GB2312"/>
          <w:b w:val="0"/>
          <w:bCs w:val="0"/>
          <w:color w:val="auto"/>
          <w:sz w:val="32"/>
          <w:szCs w:val="32"/>
          <w:highlight w:val="none"/>
          <w:lang w:val="en-US" w:eastAsia="zh-CN"/>
        </w:rPr>
        <w:t>接待批次、人数增多</w:t>
      </w:r>
      <w:r>
        <w:rPr>
          <w:rFonts w:hint="eastAsia" w:ascii="仿宋_GB2312" w:eastAsia="仿宋_GB2312"/>
          <w:b w:val="0"/>
          <w:bCs w:val="0"/>
          <w:color w:val="auto"/>
          <w:sz w:val="32"/>
          <w:szCs w:val="32"/>
          <w:highlight w:val="none"/>
        </w:rPr>
        <w:t>。其中：</w:t>
      </w:r>
    </w:p>
    <w:p>
      <w:pPr>
        <w:numPr>
          <w:ilvl w:val="0"/>
          <w:numId w:val="0"/>
        </w:numPr>
        <w:ind w:firstLine="643" w:firstLineChars="200"/>
        <w:jc w:val="both"/>
        <w:rPr>
          <w:rFonts w:hint="eastAsia" w:ascii="仿宋_GB2312" w:eastAsia="仿宋_GB2312"/>
          <w:b w:val="0"/>
          <w:bCs w:val="0"/>
          <w:color w:val="auto"/>
          <w:sz w:val="32"/>
          <w:szCs w:val="32"/>
          <w:highlight w:val="none"/>
          <w:lang w:val="en-US" w:eastAsia="zh-CN"/>
        </w:rPr>
      </w:pPr>
      <w:r>
        <w:rPr>
          <w:rFonts w:hint="eastAsia" w:ascii="仿宋_GB2312" w:eastAsia="仿宋_GB2312"/>
          <w:b/>
          <w:bCs/>
          <w:color w:val="auto"/>
          <w:sz w:val="32"/>
          <w:szCs w:val="32"/>
          <w:highlight w:val="none"/>
        </w:rPr>
        <w:t>国内公务接待支出</w:t>
      </w:r>
      <w:r>
        <w:rPr>
          <w:rFonts w:hint="eastAsia" w:ascii="仿宋" w:hAnsi="仿宋" w:eastAsia="仿宋"/>
          <w:b w:val="0"/>
          <w:bCs w:val="0"/>
          <w:color w:val="auto"/>
          <w:sz w:val="32"/>
          <w:szCs w:val="32"/>
          <w:highlight w:val="none"/>
          <w:lang w:val="en-US" w:eastAsia="zh-CN"/>
        </w:rPr>
        <w:t>0.50</w:t>
      </w:r>
      <w:r>
        <w:rPr>
          <w:rFonts w:hint="eastAsia" w:ascii="仿宋_GB2312" w:eastAsia="仿宋_GB2312"/>
          <w:b w:val="0"/>
          <w:bCs w:val="0"/>
          <w:color w:val="auto"/>
          <w:sz w:val="32"/>
          <w:szCs w:val="32"/>
          <w:highlight w:val="none"/>
        </w:rPr>
        <w:t>万元，</w:t>
      </w:r>
      <w:r>
        <w:rPr>
          <w:rFonts w:hint="eastAsia" w:ascii="仿宋_GB2312" w:eastAsia="仿宋_GB2312"/>
          <w:b w:val="0"/>
          <w:bCs w:val="0"/>
          <w:color w:val="000000"/>
          <w:sz w:val="32"/>
          <w:szCs w:val="32"/>
        </w:rPr>
        <w:t>主要用于</w:t>
      </w:r>
      <w:r>
        <w:rPr>
          <w:rFonts w:hint="eastAsia" w:ascii="仿宋_GB2312" w:eastAsia="仿宋_GB2312"/>
          <w:b w:val="0"/>
          <w:bCs w:val="0"/>
          <w:color w:val="000000"/>
          <w:sz w:val="32"/>
          <w:szCs w:val="32"/>
          <w:lang w:eastAsia="zh-CN"/>
        </w:rPr>
        <w:t>接待上级部门检查、督查等相关工作</w:t>
      </w:r>
      <w:r>
        <w:rPr>
          <w:rFonts w:hint="eastAsia" w:ascii="仿宋_GB2312" w:eastAsia="仿宋_GB2312"/>
          <w:b w:val="0"/>
          <w:bCs w:val="0"/>
          <w:color w:val="auto"/>
          <w:sz w:val="32"/>
          <w:szCs w:val="32"/>
          <w:highlight w:val="none"/>
        </w:rPr>
        <w:t>开支的用餐费等。国内公务接待</w:t>
      </w:r>
      <w:r>
        <w:rPr>
          <w:rFonts w:hint="eastAsia" w:ascii="仿宋_GB2312" w:eastAsia="仿宋_GB2312"/>
          <w:b w:val="0"/>
          <w:bCs w:val="0"/>
          <w:color w:val="auto"/>
          <w:sz w:val="32"/>
          <w:szCs w:val="32"/>
          <w:highlight w:val="none"/>
          <w:lang w:val="en-US" w:eastAsia="zh-CN"/>
        </w:rPr>
        <w:t>6</w:t>
      </w:r>
      <w:r>
        <w:rPr>
          <w:rFonts w:hint="eastAsia" w:ascii="仿宋_GB2312" w:eastAsia="仿宋_GB2312"/>
          <w:b w:val="0"/>
          <w:bCs w:val="0"/>
          <w:color w:val="auto"/>
          <w:sz w:val="32"/>
          <w:szCs w:val="32"/>
          <w:highlight w:val="none"/>
        </w:rPr>
        <w:t>批次</w:t>
      </w:r>
      <w:r>
        <w:rPr>
          <w:rFonts w:hint="eastAsia" w:ascii="仿宋_GB2312" w:eastAsia="仿宋_GB2312"/>
          <w:b w:val="0"/>
          <w:bCs w:val="0"/>
          <w:color w:val="auto"/>
          <w:sz w:val="32"/>
          <w:szCs w:val="32"/>
          <w:highlight w:val="none"/>
          <w:lang w:val="en-US" w:eastAsia="zh-CN"/>
        </w:rPr>
        <w:t>59</w:t>
      </w:r>
      <w:r>
        <w:rPr>
          <w:rFonts w:hint="eastAsia" w:ascii="仿宋_GB2312" w:eastAsia="仿宋_GB2312"/>
          <w:b w:val="0"/>
          <w:bCs w:val="0"/>
          <w:color w:val="auto"/>
          <w:sz w:val="32"/>
          <w:szCs w:val="32"/>
          <w:highlight w:val="none"/>
        </w:rPr>
        <w:t>人次（不包括陪同人员），共计支出</w:t>
      </w:r>
      <w:r>
        <w:rPr>
          <w:rFonts w:hint="eastAsia" w:ascii="仿宋_GB2312" w:eastAsia="仿宋_GB2312"/>
          <w:b w:val="0"/>
          <w:bCs w:val="0"/>
          <w:color w:val="auto"/>
          <w:sz w:val="32"/>
          <w:szCs w:val="32"/>
          <w:highlight w:val="none"/>
          <w:lang w:val="en-US" w:eastAsia="zh-CN"/>
        </w:rPr>
        <w:t>0.50</w:t>
      </w:r>
      <w:r>
        <w:rPr>
          <w:rFonts w:hint="eastAsia" w:ascii="仿宋_GB2312" w:eastAsia="仿宋_GB2312"/>
          <w:b w:val="0"/>
          <w:bCs w:val="0"/>
          <w:color w:val="auto"/>
          <w:sz w:val="32"/>
          <w:szCs w:val="32"/>
          <w:highlight w:val="none"/>
        </w:rPr>
        <w:t>万元，具体内容包括：</w:t>
      </w:r>
      <w:r>
        <w:rPr>
          <w:rFonts w:hint="eastAsia" w:ascii="仿宋_GB2312" w:eastAsia="仿宋_GB2312"/>
          <w:b w:val="0"/>
          <w:bCs w:val="0"/>
          <w:color w:val="auto"/>
          <w:sz w:val="32"/>
          <w:szCs w:val="32"/>
          <w:highlight w:val="none"/>
          <w:lang w:val="en-US" w:eastAsia="zh-CN"/>
        </w:rPr>
        <w:t>接待疫情防控督查组0.19万元（3批次24人），接待安全生产、省定民生实事市州交叉检查督查组0.25万元（2批次27人），接待省市目标完成情况督查组0.06万元（1批次8人）。</w:t>
      </w:r>
    </w:p>
    <w:p>
      <w:pPr>
        <w:keepNext w:val="0"/>
        <w:keepLines w:val="0"/>
        <w:pageBreakBefore w:val="0"/>
        <w:kinsoku/>
        <w:wordWrap/>
        <w:overflowPunct/>
        <w:topLinePunct w:val="0"/>
        <w:bidi w:val="0"/>
        <w:snapToGrid/>
        <w:spacing w:line="576" w:lineRule="exact"/>
        <w:ind w:firstLine="640"/>
        <w:textAlignment w:val="auto"/>
        <w:rPr>
          <w:rFonts w:ascii="黑体" w:eastAsia="黑体"/>
          <w:b w:val="0"/>
          <w:bCs w:val="0"/>
          <w:color w:val="auto"/>
          <w:sz w:val="32"/>
          <w:szCs w:val="32"/>
          <w:highlight w:val="none"/>
        </w:rPr>
      </w:pPr>
      <w:r>
        <w:rPr>
          <w:rFonts w:hint="eastAsia" w:ascii="仿宋_GB2312" w:eastAsia="仿宋_GB2312"/>
          <w:b/>
          <w:bCs/>
          <w:color w:val="auto"/>
          <w:sz w:val="32"/>
          <w:szCs w:val="32"/>
          <w:highlight w:val="none"/>
        </w:rPr>
        <w:t>外事接待支出</w:t>
      </w:r>
      <w:r>
        <w:rPr>
          <w:rFonts w:hint="eastAsia" w:ascii="仿宋" w:hAnsi="仿宋" w:eastAsia="仿宋"/>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万元，外事接待</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批次</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人</w:t>
      </w:r>
      <w:r>
        <w:rPr>
          <w:rFonts w:hint="eastAsia" w:ascii="仿宋_GB2312" w:eastAsia="仿宋_GB2312"/>
          <w:b w:val="0"/>
          <w:bCs w:val="0"/>
          <w:color w:val="auto"/>
          <w:sz w:val="32"/>
          <w:szCs w:val="32"/>
          <w:highlight w:val="none"/>
          <w:lang w:eastAsia="zh-CN"/>
        </w:rPr>
        <w:t>次（不包括陪同人员）</w:t>
      </w:r>
      <w:r>
        <w:rPr>
          <w:rFonts w:hint="eastAsia" w:ascii="仿宋_GB2312" w:eastAsia="仿宋_GB2312"/>
          <w:b w:val="0"/>
          <w:bCs w:val="0"/>
          <w:color w:val="auto"/>
          <w:sz w:val="32"/>
          <w:szCs w:val="32"/>
          <w:highlight w:val="none"/>
        </w:rPr>
        <w:t>，共计支出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bookmarkStart w:id="103" w:name="_Toc15396610"/>
      <w:bookmarkStart w:id="104" w:name="_Toc15377218"/>
    </w:p>
    <w:p>
      <w:pPr>
        <w:keepNext w:val="0"/>
        <w:keepLines w:val="0"/>
        <w:pageBreakBefore w:val="0"/>
        <w:kinsoku/>
        <w:wordWrap/>
        <w:overflowPunct/>
        <w:topLinePunct w:val="0"/>
        <w:bidi w:val="0"/>
        <w:snapToGrid/>
        <w:spacing w:line="576" w:lineRule="exact"/>
        <w:ind w:firstLine="640"/>
        <w:textAlignment w:val="auto"/>
        <w:outlineLvl w:val="1"/>
        <w:rPr>
          <w:rStyle w:val="29"/>
          <w:rFonts w:ascii="黑体" w:hAnsi="黑体" w:eastAsia="黑体"/>
          <w:b w:val="0"/>
          <w:bCs w:val="0"/>
          <w:color w:val="auto"/>
          <w:highlight w:val="none"/>
        </w:rPr>
      </w:pPr>
      <w:bookmarkStart w:id="105" w:name="_Toc20491"/>
      <w:bookmarkStart w:id="106" w:name="_Toc30968"/>
      <w:bookmarkStart w:id="107" w:name="_Toc1344"/>
      <w:r>
        <w:rPr>
          <w:rFonts w:hint="eastAsia" w:ascii="黑体" w:eastAsia="黑体"/>
          <w:b w:val="0"/>
          <w:bCs w:val="0"/>
          <w:color w:val="auto"/>
          <w:sz w:val="32"/>
          <w:szCs w:val="32"/>
          <w:highlight w:val="none"/>
        </w:rPr>
        <w:t>八、</w:t>
      </w:r>
      <w:r>
        <w:rPr>
          <w:rStyle w:val="29"/>
          <w:rFonts w:hint="eastAsia" w:ascii="黑体" w:hAnsi="黑体" w:eastAsia="黑体"/>
          <w:b w:val="0"/>
          <w:bCs w:val="0"/>
          <w:color w:val="auto"/>
          <w:highlight w:val="none"/>
        </w:rPr>
        <w:t>政府性基金预算支出决算情况说明</w:t>
      </w:r>
      <w:bookmarkEnd w:id="103"/>
      <w:bookmarkEnd w:id="104"/>
      <w:bookmarkEnd w:id="105"/>
      <w:bookmarkEnd w:id="106"/>
      <w:bookmarkEnd w:id="107"/>
    </w:p>
    <w:p>
      <w:pPr>
        <w:keepNext w:val="0"/>
        <w:keepLines w:val="0"/>
        <w:pageBreakBefore w:val="0"/>
        <w:kinsoku/>
        <w:wordWrap/>
        <w:overflowPunct/>
        <w:topLinePunct w:val="0"/>
        <w:bidi w:val="0"/>
        <w:snapToGrid/>
        <w:spacing w:line="576" w:lineRule="exact"/>
        <w:ind w:firstLine="640"/>
        <w:textAlignment w:val="auto"/>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年政府性基金预算</w:t>
      </w:r>
      <w:r>
        <w:rPr>
          <w:rFonts w:hint="eastAsia" w:ascii="仿宋_GB2312" w:eastAsia="仿宋_GB2312"/>
          <w:b w:val="0"/>
          <w:bCs w:val="0"/>
          <w:color w:val="auto"/>
          <w:sz w:val="32"/>
          <w:szCs w:val="32"/>
          <w:highlight w:val="none"/>
          <w:lang w:eastAsia="zh-CN"/>
        </w:rPr>
        <w:t>财政</w:t>
      </w:r>
      <w:r>
        <w:rPr>
          <w:rFonts w:hint="eastAsia" w:ascii="仿宋_GB2312" w:eastAsia="仿宋_GB2312"/>
          <w:b w:val="0"/>
          <w:bCs w:val="0"/>
          <w:color w:val="auto"/>
          <w:sz w:val="32"/>
          <w:szCs w:val="32"/>
          <w:highlight w:val="none"/>
        </w:rPr>
        <w:t>拨款支出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keepNext w:val="0"/>
        <w:keepLines w:val="0"/>
        <w:pageBreakBefore w:val="0"/>
        <w:numPr>
          <w:ilvl w:val="0"/>
          <w:numId w:val="3"/>
        </w:numPr>
        <w:kinsoku/>
        <w:wordWrap/>
        <w:overflowPunct/>
        <w:topLinePunct w:val="0"/>
        <w:bidi w:val="0"/>
        <w:snapToGrid/>
        <w:spacing w:line="576" w:lineRule="exact"/>
        <w:ind w:firstLine="640"/>
        <w:textAlignment w:val="auto"/>
        <w:outlineLvl w:val="1"/>
        <w:rPr>
          <w:rStyle w:val="29"/>
          <w:rFonts w:ascii="黑体" w:hAnsi="黑体" w:eastAsia="黑体"/>
          <w:b w:val="0"/>
          <w:bCs w:val="0"/>
          <w:color w:val="auto"/>
          <w:highlight w:val="none"/>
        </w:rPr>
      </w:pPr>
      <w:bookmarkStart w:id="108" w:name="_Toc15396611"/>
      <w:bookmarkStart w:id="109" w:name="_Toc15377219"/>
      <w:bookmarkStart w:id="110" w:name="_Toc15706"/>
      <w:bookmarkStart w:id="111" w:name="_Toc11434"/>
      <w:bookmarkStart w:id="112" w:name="_Toc3263"/>
      <w:r>
        <w:rPr>
          <w:rStyle w:val="29"/>
          <w:rFonts w:hint="eastAsia" w:ascii="黑体" w:hAnsi="黑体" w:eastAsia="黑体"/>
          <w:b w:val="0"/>
          <w:bCs w:val="0"/>
          <w:color w:val="auto"/>
          <w:highlight w:val="none"/>
        </w:rPr>
        <w:t>国有资本经营预算支出决算情况说明</w:t>
      </w:r>
      <w:bookmarkEnd w:id="108"/>
      <w:bookmarkEnd w:id="109"/>
      <w:bookmarkEnd w:id="110"/>
      <w:bookmarkEnd w:id="111"/>
      <w:bookmarkEnd w:id="112"/>
    </w:p>
    <w:p>
      <w:pPr>
        <w:keepNext w:val="0"/>
        <w:keepLines w:val="0"/>
        <w:pageBreakBefore w:val="0"/>
        <w:kinsoku/>
        <w:wordWrap/>
        <w:overflowPunct/>
        <w:topLinePunct w:val="0"/>
        <w:bidi w:val="0"/>
        <w:snapToGrid/>
        <w:spacing w:line="576" w:lineRule="exact"/>
        <w:ind w:firstLine="640"/>
        <w:textAlignment w:val="auto"/>
        <w:rPr>
          <w:rFonts w:ascii="方正小标宋简体" w:hAnsi="方正小标宋简体" w:eastAsia="方正小标宋简体" w:cs="方正小标宋简体"/>
          <w:b w:val="0"/>
          <w:bCs w:val="0"/>
          <w:color w:val="auto"/>
          <w:sz w:val="44"/>
          <w:szCs w:val="44"/>
          <w:highlight w:val="none"/>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年国有资本经营预算</w:t>
      </w:r>
      <w:r>
        <w:rPr>
          <w:rFonts w:hint="eastAsia" w:ascii="仿宋_GB2312" w:eastAsia="仿宋_GB2312"/>
          <w:b w:val="0"/>
          <w:bCs w:val="0"/>
          <w:color w:val="auto"/>
          <w:sz w:val="32"/>
          <w:szCs w:val="32"/>
          <w:highlight w:val="none"/>
          <w:lang w:eastAsia="zh-CN"/>
        </w:rPr>
        <w:t>财政</w:t>
      </w:r>
      <w:r>
        <w:rPr>
          <w:rFonts w:hint="eastAsia" w:ascii="仿宋_GB2312" w:eastAsia="仿宋_GB2312"/>
          <w:b w:val="0"/>
          <w:bCs w:val="0"/>
          <w:color w:val="auto"/>
          <w:sz w:val="32"/>
          <w:szCs w:val="32"/>
          <w:highlight w:val="none"/>
        </w:rPr>
        <w:t>拨款支出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keepNext w:val="0"/>
        <w:keepLines w:val="0"/>
        <w:pageBreakBefore w:val="0"/>
        <w:numPr>
          <w:ilvl w:val="0"/>
          <w:numId w:val="3"/>
        </w:numPr>
        <w:kinsoku/>
        <w:wordWrap/>
        <w:overflowPunct/>
        <w:topLinePunct w:val="0"/>
        <w:bidi w:val="0"/>
        <w:snapToGrid/>
        <w:spacing w:line="576" w:lineRule="exact"/>
        <w:ind w:firstLine="640"/>
        <w:textAlignment w:val="auto"/>
        <w:outlineLvl w:val="1"/>
        <w:rPr>
          <w:rStyle w:val="29"/>
          <w:rFonts w:hint="eastAsia" w:ascii="黑体" w:hAnsi="黑体" w:eastAsia="黑体"/>
          <w:b w:val="0"/>
          <w:bCs w:val="0"/>
          <w:color w:val="auto"/>
          <w:highlight w:val="none"/>
        </w:rPr>
      </w:pPr>
      <w:bookmarkStart w:id="113" w:name="_Toc15377221"/>
      <w:bookmarkStart w:id="114" w:name="_Toc15396612"/>
      <w:bookmarkStart w:id="115" w:name="_Toc6601"/>
      <w:bookmarkStart w:id="116" w:name="_Toc25350"/>
      <w:bookmarkStart w:id="117" w:name="_Toc12926"/>
      <w:r>
        <w:rPr>
          <w:rStyle w:val="29"/>
          <w:rFonts w:hint="eastAsia" w:ascii="黑体" w:hAnsi="黑体" w:eastAsia="黑体"/>
          <w:b w:val="0"/>
          <w:bCs w:val="0"/>
          <w:color w:val="auto"/>
          <w:highlight w:val="none"/>
        </w:rPr>
        <w:t>其他重要事项的情况说明</w:t>
      </w:r>
      <w:bookmarkEnd w:id="113"/>
      <w:bookmarkEnd w:id="114"/>
      <w:bookmarkEnd w:id="115"/>
      <w:bookmarkEnd w:id="116"/>
      <w:bookmarkEnd w:id="117"/>
    </w:p>
    <w:p>
      <w:pPr>
        <w:keepNext w:val="0"/>
        <w:keepLines w:val="0"/>
        <w:pageBreakBefore w:val="0"/>
        <w:kinsoku/>
        <w:wordWrap/>
        <w:overflowPunct/>
        <w:topLinePunct w:val="0"/>
        <w:bidi w:val="0"/>
        <w:snapToGrid/>
        <w:spacing w:line="576" w:lineRule="exact"/>
        <w:ind w:firstLine="640" w:firstLineChars="200"/>
        <w:textAlignment w:val="auto"/>
        <w:outlineLvl w:val="2"/>
        <w:rPr>
          <w:rFonts w:hint="eastAsia" w:ascii="楷体" w:hAnsi="楷体" w:eastAsia="楷体" w:cs="楷体"/>
          <w:b w:val="0"/>
          <w:bCs w:val="0"/>
          <w:color w:val="auto"/>
          <w:sz w:val="32"/>
          <w:szCs w:val="32"/>
          <w:highlight w:val="none"/>
        </w:rPr>
      </w:pPr>
      <w:bookmarkStart w:id="118" w:name="_Toc15377222"/>
      <w:bookmarkStart w:id="119" w:name="_Toc13063"/>
      <w:bookmarkStart w:id="120" w:name="_Toc5268"/>
      <w:bookmarkStart w:id="121" w:name="_Toc31228"/>
      <w:r>
        <w:rPr>
          <w:rFonts w:hint="eastAsia" w:ascii="楷体" w:hAnsi="楷体" w:eastAsia="楷体" w:cs="楷体"/>
          <w:b w:val="0"/>
          <w:bCs w:val="0"/>
          <w:color w:val="auto"/>
          <w:sz w:val="32"/>
          <w:szCs w:val="32"/>
          <w:highlight w:val="none"/>
        </w:rPr>
        <w:t>（一）机关运行经费支出情况</w:t>
      </w:r>
      <w:bookmarkEnd w:id="118"/>
      <w:bookmarkEnd w:id="119"/>
      <w:bookmarkEnd w:id="120"/>
      <w:bookmarkEnd w:id="121"/>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_GB2312" w:eastAsia="仿宋_GB2312"/>
          <w:b w:val="0"/>
          <w:bCs w:val="0"/>
          <w:color w:val="auto"/>
          <w:sz w:val="32"/>
          <w:szCs w:val="32"/>
          <w:highlight w:val="none"/>
          <w:lang w:eastAsia="zh-CN"/>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年，机关运行经费支出</w:t>
      </w:r>
      <w:r>
        <w:rPr>
          <w:rFonts w:hint="eastAsia" w:ascii="仿宋_GB2312" w:eastAsia="仿宋_GB2312"/>
          <w:b w:val="0"/>
          <w:bCs w:val="0"/>
          <w:color w:val="auto"/>
          <w:sz w:val="32"/>
          <w:szCs w:val="32"/>
          <w:highlight w:val="none"/>
          <w:lang w:val="en-US" w:eastAsia="zh-CN"/>
        </w:rPr>
        <w:t>11.83</w:t>
      </w:r>
      <w:r>
        <w:rPr>
          <w:rFonts w:hint="eastAsia" w:ascii="仿宋_GB2312" w:eastAsia="仿宋_GB2312"/>
          <w:b w:val="0"/>
          <w:bCs w:val="0"/>
          <w:color w:val="auto"/>
          <w:sz w:val="32"/>
          <w:szCs w:val="32"/>
          <w:highlight w:val="none"/>
        </w:rPr>
        <w:t>万元，比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年增加</w:t>
      </w:r>
      <w:r>
        <w:rPr>
          <w:rFonts w:hint="eastAsia" w:ascii="仿宋_GB2312" w:eastAsia="仿宋_GB2312"/>
          <w:b w:val="0"/>
          <w:bCs w:val="0"/>
          <w:color w:val="auto"/>
          <w:sz w:val="32"/>
          <w:szCs w:val="32"/>
          <w:highlight w:val="none"/>
          <w:lang w:val="en-US" w:eastAsia="zh-CN"/>
        </w:rPr>
        <w:t>4.23</w:t>
      </w:r>
      <w:r>
        <w:rPr>
          <w:rFonts w:hint="eastAsia" w:ascii="仿宋_GB2312" w:eastAsia="仿宋_GB2312"/>
          <w:b w:val="0"/>
          <w:bCs w:val="0"/>
          <w:color w:val="auto"/>
          <w:sz w:val="32"/>
          <w:szCs w:val="32"/>
          <w:highlight w:val="none"/>
        </w:rPr>
        <w:t>万元，增长</w:t>
      </w:r>
      <w:r>
        <w:rPr>
          <w:rFonts w:hint="eastAsia" w:ascii="仿宋_GB2312" w:eastAsia="仿宋_GB2312"/>
          <w:b w:val="0"/>
          <w:bCs w:val="0"/>
          <w:color w:val="auto"/>
          <w:sz w:val="32"/>
          <w:szCs w:val="32"/>
          <w:highlight w:val="none"/>
          <w:lang w:val="en-US" w:eastAsia="zh-CN"/>
        </w:rPr>
        <w:t>55.6</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。主要原因是</w:t>
      </w:r>
      <w:r>
        <w:rPr>
          <w:rFonts w:hint="eastAsia" w:ascii="仿宋_GB2312" w:eastAsia="仿宋_GB2312"/>
          <w:b w:val="0"/>
          <w:bCs w:val="0"/>
          <w:color w:val="auto"/>
          <w:sz w:val="32"/>
          <w:szCs w:val="32"/>
          <w:highlight w:val="none"/>
          <w:lang w:val="en-US" w:eastAsia="zh-CN"/>
        </w:rPr>
        <w:t>区委、区政府</w:t>
      </w:r>
      <w:r>
        <w:rPr>
          <w:rFonts w:hint="eastAsia" w:ascii="仿宋_GB2312" w:eastAsia="仿宋_GB2312"/>
          <w:b w:val="0"/>
          <w:bCs w:val="0"/>
          <w:color w:val="000000"/>
          <w:sz w:val="32"/>
          <w:szCs w:val="32"/>
          <w:lang w:val="en-US" w:eastAsia="zh-CN"/>
        </w:rPr>
        <w:t>重点工作督导组运行经费预算至我单位，致本机关</w:t>
      </w:r>
      <w:r>
        <w:rPr>
          <w:rFonts w:hint="eastAsia" w:ascii="仿宋_GB2312" w:eastAsia="仿宋_GB2312"/>
          <w:b w:val="0"/>
          <w:bCs w:val="0"/>
          <w:color w:val="000000"/>
          <w:sz w:val="32"/>
          <w:szCs w:val="32"/>
          <w:lang w:eastAsia="zh-CN"/>
        </w:rPr>
        <w:t>运行成本</w:t>
      </w:r>
      <w:r>
        <w:rPr>
          <w:rFonts w:hint="eastAsia" w:ascii="仿宋_GB2312" w:eastAsia="仿宋_GB2312"/>
          <w:b w:val="0"/>
          <w:bCs w:val="0"/>
          <w:color w:val="auto"/>
          <w:sz w:val="32"/>
          <w:szCs w:val="32"/>
          <w:highlight w:val="none"/>
          <w:lang w:val="en-US" w:eastAsia="zh-CN"/>
        </w:rPr>
        <w:t>增加</w:t>
      </w:r>
      <w:r>
        <w:rPr>
          <w:rFonts w:hint="eastAsia" w:ascii="仿宋_GB2312" w:eastAsia="仿宋_GB2312"/>
          <w:b w:val="0"/>
          <w:bCs w:val="0"/>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outlineLvl w:val="2"/>
        <w:rPr>
          <w:rFonts w:ascii="仿宋" w:hAnsi="仿宋" w:eastAsia="仿宋"/>
          <w:b w:val="0"/>
          <w:bCs w:val="0"/>
          <w:color w:val="auto"/>
          <w:sz w:val="32"/>
          <w:szCs w:val="32"/>
          <w:highlight w:val="none"/>
        </w:rPr>
      </w:pPr>
      <w:bookmarkStart w:id="122" w:name="_Toc29553"/>
      <w:bookmarkStart w:id="123" w:name="_Toc15377223"/>
      <w:bookmarkStart w:id="124" w:name="_Toc15455"/>
      <w:bookmarkStart w:id="125" w:name="_Toc28931"/>
      <w:r>
        <w:rPr>
          <w:rFonts w:hint="eastAsia" w:ascii="楷体" w:hAnsi="楷体" w:eastAsia="楷体" w:cs="楷体"/>
          <w:b w:val="0"/>
          <w:bCs w:val="0"/>
          <w:color w:val="auto"/>
          <w:sz w:val="32"/>
          <w:szCs w:val="32"/>
          <w:highlight w:val="none"/>
        </w:rPr>
        <w:t>（二）政府采购支出情况</w:t>
      </w:r>
      <w:bookmarkEnd w:id="122"/>
      <w:bookmarkEnd w:id="123"/>
      <w:bookmarkEnd w:id="124"/>
      <w:bookmarkEnd w:id="125"/>
    </w:p>
    <w:p>
      <w:pPr>
        <w:keepNext w:val="0"/>
        <w:keepLines w:val="0"/>
        <w:pageBreakBefore w:val="0"/>
        <w:kinsoku/>
        <w:wordWrap/>
        <w:overflowPunct/>
        <w:topLinePunct w:val="0"/>
        <w:bidi w:val="0"/>
        <w:snapToGrid/>
        <w:spacing w:line="576" w:lineRule="exact"/>
        <w:ind w:firstLine="640" w:firstLineChars="200"/>
        <w:textAlignment w:val="auto"/>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区目标绩效事务中心</w:t>
      </w:r>
      <w:r>
        <w:rPr>
          <w:rFonts w:hint="eastAsia" w:ascii="仿宋_GB2312" w:eastAsia="仿宋_GB2312"/>
          <w:b w:val="0"/>
          <w:bCs w:val="0"/>
          <w:color w:val="auto"/>
          <w:sz w:val="32"/>
          <w:szCs w:val="32"/>
          <w:highlight w:val="none"/>
        </w:rPr>
        <w:t>政府采购支出总额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keepNext w:val="0"/>
        <w:keepLines w:val="0"/>
        <w:pageBreakBefore w:val="0"/>
        <w:kinsoku/>
        <w:wordWrap/>
        <w:overflowPunct/>
        <w:topLinePunct w:val="0"/>
        <w:bidi w:val="0"/>
        <w:snapToGrid/>
        <w:spacing w:line="576" w:lineRule="exact"/>
        <w:ind w:firstLine="640" w:firstLineChars="200"/>
        <w:textAlignment w:val="auto"/>
        <w:outlineLvl w:val="2"/>
        <w:rPr>
          <w:rFonts w:hint="eastAsia" w:ascii="楷体" w:hAnsi="楷体" w:eastAsia="楷体" w:cs="楷体"/>
          <w:b w:val="0"/>
          <w:bCs w:val="0"/>
          <w:color w:val="auto"/>
          <w:sz w:val="32"/>
          <w:szCs w:val="32"/>
          <w:highlight w:val="none"/>
        </w:rPr>
      </w:pPr>
      <w:bookmarkStart w:id="126" w:name="_Toc17376"/>
      <w:bookmarkStart w:id="127" w:name="_Toc25392"/>
      <w:bookmarkStart w:id="128" w:name="_Toc15377224"/>
      <w:bookmarkStart w:id="129" w:name="_Toc31833"/>
      <w:r>
        <w:rPr>
          <w:rFonts w:hint="eastAsia" w:ascii="楷体" w:hAnsi="楷体" w:eastAsia="楷体" w:cs="楷体"/>
          <w:b w:val="0"/>
          <w:bCs w:val="0"/>
          <w:color w:val="auto"/>
          <w:sz w:val="32"/>
          <w:szCs w:val="32"/>
          <w:highlight w:val="none"/>
        </w:rPr>
        <w:t>（三）国有资产占有使用情况</w:t>
      </w:r>
      <w:bookmarkEnd w:id="126"/>
      <w:bookmarkEnd w:id="127"/>
      <w:bookmarkEnd w:id="128"/>
      <w:bookmarkEnd w:id="129"/>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截至</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w:t>
      </w:r>
      <w:r>
        <w:rPr>
          <w:rFonts w:ascii="仿宋_GB2312" w:eastAsia="仿宋_GB2312"/>
          <w:b w:val="0"/>
          <w:bCs w:val="0"/>
          <w:color w:val="auto"/>
          <w:sz w:val="32"/>
          <w:szCs w:val="32"/>
          <w:highlight w:val="none"/>
        </w:rPr>
        <w:t>12</w:t>
      </w:r>
      <w:r>
        <w:rPr>
          <w:rFonts w:hint="eastAsia" w:ascii="仿宋_GB2312" w:eastAsia="仿宋_GB2312"/>
          <w:b w:val="0"/>
          <w:bCs w:val="0"/>
          <w:color w:val="auto"/>
          <w:sz w:val="32"/>
          <w:szCs w:val="32"/>
          <w:highlight w:val="none"/>
        </w:rPr>
        <w:t>月</w:t>
      </w:r>
      <w:r>
        <w:rPr>
          <w:rFonts w:ascii="仿宋_GB2312" w:eastAsia="仿宋_GB2312"/>
          <w:b w:val="0"/>
          <w:bCs w:val="0"/>
          <w:color w:val="auto"/>
          <w:sz w:val="32"/>
          <w:szCs w:val="32"/>
          <w:highlight w:val="none"/>
        </w:rPr>
        <w:t>31</w:t>
      </w:r>
      <w:r>
        <w:rPr>
          <w:rFonts w:hint="eastAsia" w:ascii="仿宋_GB2312" w:eastAsia="仿宋_GB2312"/>
          <w:b w:val="0"/>
          <w:bCs w:val="0"/>
          <w:color w:val="auto"/>
          <w:sz w:val="32"/>
          <w:szCs w:val="32"/>
          <w:highlight w:val="none"/>
        </w:rPr>
        <w:t>日，</w:t>
      </w:r>
      <w:r>
        <w:rPr>
          <w:rFonts w:hint="eastAsia" w:ascii="仿宋_GB2312" w:eastAsia="仿宋_GB2312"/>
          <w:b w:val="0"/>
          <w:bCs w:val="0"/>
          <w:color w:val="auto"/>
          <w:sz w:val="32"/>
          <w:szCs w:val="32"/>
          <w:highlight w:val="none"/>
          <w:lang w:val="en-US" w:eastAsia="zh-CN"/>
        </w:rPr>
        <w:t>区目标绩效事务中心</w:t>
      </w:r>
      <w:r>
        <w:rPr>
          <w:rFonts w:hint="eastAsia" w:ascii="仿宋_GB2312" w:eastAsia="仿宋_GB2312"/>
          <w:b w:val="0"/>
          <w:bCs w:val="0"/>
          <w:color w:val="auto"/>
          <w:sz w:val="32"/>
          <w:szCs w:val="32"/>
          <w:highlight w:val="none"/>
        </w:rPr>
        <w:t>共有车辆</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w:t>
      </w:r>
    </w:p>
    <w:p>
      <w:pPr>
        <w:keepNext w:val="0"/>
        <w:keepLines w:val="0"/>
        <w:pageBreakBefore w:val="0"/>
        <w:kinsoku/>
        <w:wordWrap/>
        <w:overflowPunct/>
        <w:topLinePunct w:val="0"/>
        <w:bidi w:val="0"/>
        <w:snapToGrid/>
        <w:spacing w:line="576" w:lineRule="exact"/>
        <w:ind w:firstLine="640" w:firstLineChars="200"/>
        <w:textAlignment w:val="auto"/>
        <w:outlineLvl w:val="2"/>
        <w:rPr>
          <w:rFonts w:hint="eastAsia" w:ascii="楷体" w:hAnsi="楷体" w:eastAsia="楷体" w:cs="楷体"/>
          <w:b w:val="0"/>
          <w:bCs w:val="0"/>
          <w:color w:val="auto"/>
          <w:sz w:val="32"/>
          <w:szCs w:val="32"/>
          <w:highlight w:val="none"/>
        </w:rPr>
      </w:pPr>
      <w:bookmarkStart w:id="130" w:name="_Toc8214"/>
      <w:bookmarkStart w:id="131" w:name="_Toc29886"/>
      <w:bookmarkStart w:id="132" w:name="_Toc15940"/>
      <w:r>
        <w:rPr>
          <w:rFonts w:hint="eastAsia" w:ascii="楷体" w:hAnsi="楷体" w:eastAsia="楷体" w:cs="楷体"/>
          <w:b w:val="0"/>
          <w:bCs w:val="0"/>
          <w:color w:val="auto"/>
          <w:sz w:val="32"/>
          <w:szCs w:val="32"/>
          <w:highlight w:val="none"/>
        </w:rPr>
        <w:t>（四）预算绩效管理情况</w:t>
      </w:r>
      <w:bookmarkEnd w:id="130"/>
      <w:bookmarkEnd w:id="131"/>
      <w:bookmarkEnd w:id="132"/>
    </w:p>
    <w:p>
      <w:pPr>
        <w:keepNext w:val="0"/>
        <w:keepLines w:val="0"/>
        <w:pageBreakBefore w:val="0"/>
        <w:widowControl/>
        <w:kinsoku/>
        <w:wordWrap/>
        <w:overflowPunct/>
        <w:topLinePunct w:val="0"/>
        <w:bidi w:val="0"/>
        <w:snapToGrid/>
        <w:spacing w:line="576"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根据预算绩效管理要求，本部门在202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年度预算编制阶段，组织对</w:t>
      </w:r>
      <w:r>
        <w:rPr>
          <w:rFonts w:hint="eastAsia" w:ascii="仿宋_GB2312" w:hAnsi="仿宋_GB2312" w:eastAsia="仿宋_GB2312" w:cs="仿宋_GB2312"/>
          <w:b w:val="0"/>
          <w:bCs w:val="0"/>
          <w:color w:val="auto"/>
          <w:sz w:val="32"/>
          <w:szCs w:val="32"/>
          <w:highlight w:val="none"/>
          <w:lang w:val="en-US" w:eastAsia="zh-CN"/>
        </w:rPr>
        <w:t>目标绩效工作经费</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个项目开展了预算事前绩效评估，对</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个项目编制了绩效目标，预算执行过程中，选取</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个项目开展绩效监控。</w:t>
      </w:r>
    </w:p>
    <w:p>
      <w:pPr>
        <w:keepNext w:val="0"/>
        <w:keepLines w:val="0"/>
        <w:pageBreakBefore w:val="0"/>
        <w:widowControl/>
        <w:kinsoku/>
        <w:wordWrap/>
        <w:overflowPunct/>
        <w:topLinePunct w:val="0"/>
        <w:bidi w:val="0"/>
        <w:snapToGrid/>
        <w:spacing w:line="576"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通过</w:t>
      </w:r>
      <w:r>
        <w:rPr>
          <w:rFonts w:hint="eastAsia" w:ascii="仿宋_GB2312" w:hAnsi="仿宋_GB2312" w:eastAsia="仿宋_GB2312" w:cs="仿宋_GB2312"/>
          <w:b w:val="0"/>
          <w:bCs w:val="0"/>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b w:val="0"/>
          <w:bCs w:val="0"/>
          <w:color w:val="auto"/>
          <w:sz w:val="32"/>
          <w:szCs w:val="32"/>
          <w:highlight w:val="none"/>
          <w:lang w:val="en-US" w:eastAsia="zh-CN"/>
        </w:rPr>
        <w:t>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广元市朝天</w:t>
      </w:r>
      <w:r>
        <w:rPr>
          <w:rFonts w:hint="eastAsia" w:ascii="仿宋_GB2312" w:eastAsia="仿宋_GB2312"/>
          <w:b w:val="0"/>
          <w:bCs w:val="0"/>
          <w:color w:val="auto"/>
          <w:sz w:val="32"/>
          <w:szCs w:val="32"/>
          <w:highlight w:val="none"/>
          <w:lang w:val="en-US" w:eastAsia="zh-CN"/>
        </w:rPr>
        <w:t>区目标绩效事务中心</w:t>
      </w:r>
      <w:r>
        <w:rPr>
          <w:rFonts w:hint="eastAsia" w:ascii="仿宋_GB2312" w:hAnsi="仿宋_GB2312" w:eastAsia="仿宋_GB2312" w:cs="仿宋_GB2312"/>
          <w:b w:val="0"/>
          <w:bCs w:val="0"/>
          <w:color w:val="auto"/>
          <w:sz w:val="32"/>
          <w:szCs w:val="32"/>
          <w:highlight w:val="none"/>
          <w:lang w:val="en-US" w:eastAsia="zh-CN"/>
        </w:rPr>
        <w:t>2022年度</w:t>
      </w:r>
      <w:r>
        <w:rPr>
          <w:rFonts w:hint="eastAsia" w:ascii="仿宋_GB2312" w:hAnsi="仿宋_GB2312" w:eastAsia="仿宋_GB2312" w:cs="仿宋_GB2312"/>
          <w:b w:val="0"/>
          <w:bCs w:val="0"/>
          <w:color w:val="auto"/>
          <w:sz w:val="32"/>
          <w:szCs w:val="32"/>
          <w:highlight w:val="none"/>
        </w:rPr>
        <w:t>部门整体</w:t>
      </w:r>
      <w:r>
        <w:rPr>
          <w:rFonts w:hint="eastAsia" w:ascii="仿宋_GB2312" w:hAnsi="仿宋_GB2312" w:eastAsia="仿宋_GB2312" w:cs="仿宋_GB2312"/>
          <w:b w:val="0"/>
          <w:bCs w:val="0"/>
          <w:color w:val="auto"/>
          <w:sz w:val="32"/>
          <w:szCs w:val="32"/>
          <w:highlight w:val="none"/>
          <w:lang w:val="en-US" w:eastAsia="zh-CN"/>
        </w:rPr>
        <w:t>支出</w:t>
      </w:r>
      <w:r>
        <w:rPr>
          <w:rFonts w:hint="eastAsia" w:ascii="仿宋_GB2312" w:hAnsi="仿宋_GB2312" w:eastAsia="仿宋_GB2312" w:cs="仿宋_GB2312"/>
          <w:b w:val="0"/>
          <w:bCs w:val="0"/>
          <w:color w:val="auto"/>
          <w:sz w:val="32"/>
          <w:szCs w:val="32"/>
          <w:highlight w:val="none"/>
        </w:rPr>
        <w:t>绩效自评报告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目标绩效工作经费</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val="en-US" w:eastAsia="zh-CN"/>
        </w:rPr>
        <w:t>部门</w:t>
      </w:r>
      <w:r>
        <w:rPr>
          <w:rFonts w:hint="eastAsia" w:ascii="仿宋_GB2312" w:hAnsi="仿宋_GB2312" w:eastAsia="仿宋_GB2312" w:cs="仿宋_GB2312"/>
          <w:b w:val="0"/>
          <w:bCs w:val="0"/>
          <w:color w:val="auto"/>
          <w:sz w:val="32"/>
          <w:szCs w:val="32"/>
          <w:highlight w:val="none"/>
        </w:rPr>
        <w:t>预算项目绩效自评报告，其中，部门整体绩效自评得分为</w:t>
      </w:r>
      <w:r>
        <w:rPr>
          <w:rFonts w:hint="eastAsia" w:ascii="仿宋_GB2312" w:hAnsi="仿宋_GB2312" w:eastAsia="仿宋_GB2312" w:cs="仿宋_GB2312"/>
          <w:b w:val="0"/>
          <w:bCs w:val="0"/>
          <w:color w:val="auto"/>
          <w:sz w:val="32"/>
          <w:szCs w:val="32"/>
          <w:highlight w:val="none"/>
          <w:lang w:val="en-US" w:eastAsia="zh-CN"/>
        </w:rPr>
        <w:t>96</w:t>
      </w:r>
      <w:r>
        <w:rPr>
          <w:rFonts w:hint="eastAsia" w:ascii="仿宋_GB2312" w:hAnsi="仿宋_GB2312" w:eastAsia="仿宋_GB2312" w:cs="仿宋_GB2312"/>
          <w:b w:val="0"/>
          <w:bCs w:val="0"/>
          <w:color w:val="auto"/>
          <w:sz w:val="32"/>
          <w:szCs w:val="32"/>
          <w:highlight w:val="none"/>
        </w:rPr>
        <w:t>分，</w:t>
      </w:r>
      <w:r>
        <w:rPr>
          <w:rFonts w:hint="eastAsia" w:ascii="仿宋_GB2312" w:hAnsi="Times New Roman" w:eastAsia="仿宋_GB2312" w:cs="Times New Roman"/>
          <w:b w:val="0"/>
          <w:bCs w:val="0"/>
          <w:color w:val="000000"/>
          <w:kern w:val="0"/>
          <w:sz w:val="32"/>
          <w:szCs w:val="32"/>
          <w:shd w:val="clear" w:color="auto" w:fill="FFFFFF"/>
        </w:rPr>
        <w:t>绩效评价等级为“优”</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rPr>
        <w:t>本部门无专项预算项目，因此未组织开展</w:t>
      </w:r>
      <w:r>
        <w:rPr>
          <w:rFonts w:hint="eastAsia" w:ascii="仿宋_GB2312" w:hAnsi="仿宋_GB2312" w:eastAsia="仿宋_GB2312" w:cs="仿宋_GB2312"/>
          <w:b w:val="0"/>
          <w:bCs w:val="0"/>
          <w:sz w:val="32"/>
          <w:szCs w:val="32"/>
          <w:lang w:val="en-US" w:eastAsia="zh-CN"/>
        </w:rPr>
        <w:t>此类</w:t>
      </w:r>
      <w:r>
        <w:rPr>
          <w:rFonts w:hint="eastAsia" w:ascii="仿宋_GB2312" w:hAnsi="仿宋_GB2312" w:eastAsia="仿宋_GB2312" w:cs="仿宋_GB2312"/>
          <w:b w:val="0"/>
          <w:bCs w:val="0"/>
          <w:sz w:val="32"/>
          <w:szCs w:val="32"/>
        </w:rPr>
        <w:t>项目支出绩效评价。</w:t>
      </w:r>
      <w:r>
        <w:rPr>
          <w:rFonts w:hint="eastAsia" w:ascii="仿宋_GB2312" w:hAnsi="仿宋_GB2312" w:eastAsia="仿宋_GB2312" w:cs="仿宋_GB2312"/>
          <w:b w:val="0"/>
          <w:bCs w:val="0"/>
          <w:color w:val="auto"/>
          <w:sz w:val="32"/>
          <w:szCs w:val="32"/>
          <w:highlight w:val="none"/>
        </w:rPr>
        <w:t>绩效自评报告详见附件。</w:t>
      </w:r>
    </w:p>
    <w:p>
      <w:pPr>
        <w:pStyle w:val="12"/>
        <w:rPr>
          <w:rFonts w:hint="eastAsia" w:ascii="仿宋_GB2312" w:hAnsi="仿宋_GB2312" w:eastAsia="仿宋_GB2312" w:cs="仿宋_GB2312"/>
          <w:b w:val="0"/>
          <w:bCs w:val="0"/>
          <w:color w:val="auto"/>
          <w:sz w:val="32"/>
          <w:szCs w:val="32"/>
          <w:highlight w:val="none"/>
        </w:rPr>
      </w:pPr>
    </w:p>
    <w:p>
      <w:pPr>
        <w:rPr>
          <w:rFonts w:hint="eastAsia" w:ascii="仿宋_GB2312" w:hAnsi="仿宋_GB2312" w:eastAsia="仿宋_GB2312" w:cs="仿宋_GB2312"/>
          <w:b w:val="0"/>
          <w:bCs w:val="0"/>
          <w:color w:val="auto"/>
          <w:sz w:val="32"/>
          <w:szCs w:val="32"/>
          <w:highlight w:val="none"/>
        </w:rPr>
      </w:pPr>
    </w:p>
    <w:p>
      <w:pPr>
        <w:pStyle w:val="12"/>
        <w:rPr>
          <w:rFonts w:hint="eastAsia" w:ascii="仿宋_GB2312" w:hAnsi="仿宋_GB2312" w:eastAsia="仿宋_GB2312" w:cs="仿宋_GB2312"/>
          <w:b w:val="0"/>
          <w:bCs w:val="0"/>
          <w:color w:val="auto"/>
          <w:sz w:val="32"/>
          <w:szCs w:val="32"/>
          <w:highlight w:val="none"/>
        </w:rPr>
      </w:pPr>
    </w:p>
    <w:p>
      <w:pPr>
        <w:rPr>
          <w:rFonts w:hint="eastAsia" w:ascii="仿宋_GB2312" w:hAnsi="仿宋_GB2312" w:eastAsia="仿宋_GB2312" w:cs="仿宋_GB2312"/>
          <w:b w:val="0"/>
          <w:bCs w:val="0"/>
          <w:color w:val="auto"/>
          <w:sz w:val="32"/>
          <w:szCs w:val="32"/>
          <w:highlight w:val="none"/>
        </w:rPr>
      </w:pPr>
    </w:p>
    <w:p>
      <w:pPr>
        <w:pStyle w:val="12"/>
        <w:ind w:left="0" w:leftChars="0" w:firstLine="0" w:firstLineChars="0"/>
        <w:rPr>
          <w:rFonts w:hint="eastAsia" w:ascii="仿宋_GB2312" w:hAnsi="仿宋_GB2312" w:eastAsia="仿宋_GB2312" w:cs="仿宋_GB2312"/>
          <w:b w:val="0"/>
          <w:bCs w:val="0"/>
          <w:color w:val="auto"/>
          <w:sz w:val="32"/>
          <w:szCs w:val="32"/>
          <w:highlight w:val="none"/>
        </w:rPr>
      </w:pPr>
    </w:p>
    <w:p>
      <w:pPr>
        <w:rPr>
          <w:rFonts w:hint="eastAsia" w:ascii="仿宋_GB2312" w:hAnsi="仿宋_GB2312" w:eastAsia="仿宋_GB2312" w:cs="仿宋_GB2312"/>
          <w:b w:val="0"/>
          <w:bCs w:val="0"/>
          <w:color w:val="auto"/>
          <w:sz w:val="32"/>
          <w:szCs w:val="32"/>
          <w:highlight w:val="none"/>
        </w:rPr>
      </w:pPr>
    </w:p>
    <w:p>
      <w:pPr>
        <w:rPr>
          <w:rFonts w:hint="eastAsia" w:ascii="仿宋_GB2312" w:hAnsi="仿宋_GB2312" w:eastAsia="仿宋_GB2312" w:cs="仿宋_GB2312"/>
          <w:b w:val="0"/>
          <w:bCs w:val="0"/>
          <w:color w:val="auto"/>
          <w:sz w:val="32"/>
          <w:szCs w:val="32"/>
          <w:highlight w:val="none"/>
        </w:rPr>
      </w:pPr>
    </w:p>
    <w:p>
      <w:pPr>
        <w:rPr>
          <w:b w:val="0"/>
          <w:bCs w:val="0"/>
        </w:rPr>
      </w:pPr>
    </w:p>
    <w:p>
      <w:pPr>
        <w:numPr>
          <w:ilvl w:val="0"/>
          <w:numId w:val="4"/>
        </w:numPr>
        <w:spacing w:line="600" w:lineRule="exact"/>
        <w:ind w:firstLine="660" w:firstLineChars="150"/>
        <w:jc w:val="center"/>
        <w:outlineLvl w:val="0"/>
        <w:rPr>
          <w:rStyle w:val="28"/>
          <w:rFonts w:ascii="黑体" w:hAnsi="黑体" w:eastAsia="黑体"/>
          <w:b w:val="0"/>
          <w:bCs w:val="0"/>
          <w:color w:val="auto"/>
          <w:highlight w:val="none"/>
        </w:rPr>
      </w:pPr>
      <w:bookmarkStart w:id="133" w:name="_Toc15396613"/>
      <w:bookmarkStart w:id="134" w:name="_Toc15377225"/>
      <w:bookmarkStart w:id="135" w:name="_Toc13842"/>
      <w:bookmarkStart w:id="136" w:name="_Toc29064"/>
      <w:bookmarkStart w:id="137" w:name="_Toc24881"/>
      <w:r>
        <w:rPr>
          <w:rFonts w:hint="eastAsia" w:ascii="黑体" w:hAnsi="黑体" w:eastAsia="黑体"/>
          <w:b w:val="0"/>
          <w:bCs w:val="0"/>
          <w:color w:val="auto"/>
          <w:sz w:val="44"/>
          <w:szCs w:val="44"/>
          <w:highlight w:val="none"/>
        </w:rPr>
        <w:t>名</w:t>
      </w:r>
      <w:r>
        <w:rPr>
          <w:rStyle w:val="28"/>
          <w:rFonts w:hint="eastAsia" w:ascii="黑体" w:hAnsi="黑体" w:eastAsia="黑体"/>
          <w:b w:val="0"/>
          <w:bCs w:val="0"/>
          <w:color w:val="auto"/>
          <w:highlight w:val="none"/>
        </w:rPr>
        <w:t>词解释</w:t>
      </w:r>
      <w:bookmarkEnd w:id="133"/>
      <w:bookmarkEnd w:id="134"/>
      <w:bookmarkEnd w:id="135"/>
      <w:bookmarkEnd w:id="136"/>
      <w:bookmarkEnd w:id="137"/>
    </w:p>
    <w:p>
      <w:pPr>
        <w:spacing w:line="600" w:lineRule="exact"/>
        <w:jc w:val="left"/>
        <w:rPr>
          <w:rFonts w:ascii="宋体"/>
          <w:b w:val="0"/>
          <w:bCs w:val="0"/>
          <w:color w:val="auto"/>
          <w:sz w:val="44"/>
          <w:szCs w:val="44"/>
          <w:highlight w:val="none"/>
        </w:rPr>
      </w:pPr>
    </w:p>
    <w:p>
      <w:pPr>
        <w:pStyle w:val="26"/>
        <w:spacing w:line="56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1.</w:t>
      </w:r>
      <w:r>
        <w:rPr>
          <w:rFonts w:hint="eastAsia" w:ascii="仿宋_GB2312" w:eastAsia="仿宋_GB2312"/>
          <w:b w:val="0"/>
          <w:bCs w:val="0"/>
          <w:color w:val="auto"/>
          <w:sz w:val="32"/>
          <w:szCs w:val="32"/>
          <w:highlight w:val="none"/>
        </w:rPr>
        <w:t>财政拨款收入：指单位从同级财政部门取得的财政预算资金。</w:t>
      </w:r>
    </w:p>
    <w:p>
      <w:pPr>
        <w:pStyle w:val="26"/>
        <w:spacing w:line="560" w:lineRule="exact"/>
        <w:ind w:firstLine="640" w:firstLineChars="20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2</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年初结转和结余：指以前年度尚未完成、结转到本年按有关规定继续使用的资金。</w:t>
      </w:r>
    </w:p>
    <w:p>
      <w:pPr>
        <w:pStyle w:val="26"/>
        <w:spacing w:line="560" w:lineRule="exact"/>
        <w:ind w:firstLine="640" w:firstLineChars="20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rPr>
        <w:t>年末结转和结余：指单位按有关规定结转到下年或以后年度继续使用的资金。</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b w:val="0"/>
          <w:bCs w:val="0"/>
          <w:color w:val="auto"/>
          <w:sz w:val="32"/>
          <w:szCs w:val="32"/>
          <w:highlight w:val="none"/>
          <w:lang w:val="en-US" w:eastAsia="zh-CN"/>
        </w:rPr>
        <w:t>4</w:t>
      </w:r>
      <w:r>
        <w:rPr>
          <w:rFonts w:ascii="仿宋_GB2312" w:eastAsia="仿宋_GB2312"/>
          <w:b w:val="0"/>
          <w:bCs w:val="0"/>
          <w:color w:val="auto"/>
          <w:sz w:val="32"/>
          <w:szCs w:val="32"/>
          <w:highlight w:val="none"/>
        </w:rPr>
        <w:t>.</w:t>
      </w:r>
      <w:r>
        <w:rPr>
          <w:rFonts w:hint="eastAsia" w:ascii="仿宋_GB2312" w:hAnsi="仿宋_GB2312" w:eastAsia="仿宋_GB2312" w:cs="仿宋_GB2312"/>
          <w:b w:val="0"/>
          <w:bCs w:val="0"/>
          <w:kern w:val="2"/>
          <w:sz w:val="32"/>
          <w:szCs w:val="32"/>
          <w:lang w:val="en-US" w:eastAsia="zh-CN" w:bidi="ar-SA"/>
        </w:rPr>
        <w:t>一般公共服务（类）党委办公厅（室）及相关机构事务（款）行政运行（项）</w:t>
      </w:r>
      <w:r>
        <w:rPr>
          <w:rFonts w:hint="eastAsia" w:ascii="仿宋_GB2312" w:hAnsi="仿宋_GB2312" w:eastAsia="仿宋_GB2312" w:cs="仿宋_GB2312"/>
          <w:b w:val="0"/>
          <w:bCs w:val="0"/>
          <w:sz w:val="32"/>
          <w:szCs w:val="32"/>
          <w:lang w:val="en-US" w:eastAsia="zh-CN"/>
        </w:rPr>
        <w:t>：指机关单位用于保障机构正常运行、开展日常工作的基本支出。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5.一般公共服务（类）党委办公厅（室）及相关机构事务（款）一般行政管理事务（项）：指机关单位开展督导检查、目标绩效管理管理工作的项目支出。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6.社会保障和就业（类）行政事业单位养老支出（款）机关事业单位基本养老保险缴费支出（项）：指部门实施养老保险制度由单位缴纳的养老保险的支出。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7.社会保障和就业（类）行政事业单位养老支出（款）其他社会保障和就业缴费支出（项）：指部门实施工伤保险制度等由单位缴纳的工伤保险等的支出。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8.卫生健康（类）行政事业单位医疗（款）行政单位医疗（项）：指机关及参公管理事业单位用于单位应缴纳基本医疗保险支出。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9.住房保障（类）住房改革支出（款）住房公积金（项）：指按照《住房公积金管理条例》的规定，由单位及其在职职工缴存的</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10</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基本支出：指为保障机构正常运转、完成日常工作任务而发生的人员支出和公用支出。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11</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项目支出：指在基本支出之外为完成特定行政任务和事业发展目标所发生的支出。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12</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both"/>
        <w:textAlignment w:val="auto"/>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13</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outlineLvl w:val="9"/>
        <w:rPr>
          <w:rFonts w:hint="eastAsia" w:ascii="黑体" w:hAnsi="黑体" w:eastAsia="黑体"/>
          <w:b w:val="0"/>
          <w:bCs w:val="0"/>
          <w:color w:val="auto"/>
          <w:sz w:val="44"/>
          <w:szCs w:val="44"/>
          <w:highlight w:val="none"/>
        </w:rPr>
      </w:pPr>
      <w:bookmarkStart w:id="138" w:name="_Toc15396614"/>
      <w:bookmarkStart w:id="139" w:name="_Toc15377226"/>
    </w:p>
    <w:p>
      <w:pPr>
        <w:keepNext w:val="0"/>
        <w:keepLines w:val="0"/>
        <w:pageBreakBefore w:val="0"/>
        <w:widowControl/>
        <w:numPr>
          <w:ilvl w:val="0"/>
          <w:numId w:val="4"/>
        </w:numPr>
        <w:kinsoku/>
        <w:wordWrap/>
        <w:overflowPunct/>
        <w:topLinePunct w:val="0"/>
        <w:autoSpaceDN/>
        <w:bidi w:val="0"/>
        <w:spacing w:line="576" w:lineRule="exact"/>
        <w:ind w:left="0" w:leftChars="0" w:firstLine="660" w:firstLineChars="150"/>
        <w:contextualSpacing/>
        <w:jc w:val="center"/>
        <w:textAlignment w:val="auto"/>
        <w:outlineLvl w:val="0"/>
        <w:rPr>
          <w:rStyle w:val="28"/>
          <w:rFonts w:hint="eastAsia" w:ascii="黑体" w:hAnsi="黑体" w:eastAsia="黑体"/>
          <w:b w:val="0"/>
          <w:bCs w:val="0"/>
          <w:color w:val="auto"/>
          <w:highlight w:val="none"/>
        </w:rPr>
      </w:pPr>
      <w:bookmarkStart w:id="140" w:name="_Toc9957"/>
      <w:bookmarkStart w:id="141" w:name="_Toc1792"/>
      <w:bookmarkStart w:id="142" w:name="_Toc20534"/>
      <w:r>
        <w:rPr>
          <w:rStyle w:val="28"/>
          <w:rFonts w:hint="eastAsia" w:ascii="黑体" w:hAnsi="黑体" w:eastAsia="黑体"/>
          <w:b w:val="0"/>
          <w:bCs w:val="0"/>
          <w:color w:val="auto"/>
          <w:highlight w:val="none"/>
        </w:rPr>
        <w:t>附件</w:t>
      </w:r>
      <w:bookmarkEnd w:id="138"/>
      <w:bookmarkEnd w:id="140"/>
    </w:p>
    <w:bookmarkEnd w:id="141"/>
    <w:bookmarkEnd w:id="142"/>
    <w:p>
      <w:pPr>
        <w:spacing w:line="572" w:lineRule="exact"/>
        <w:jc w:val="left"/>
        <w:outlineLvl w:val="1"/>
        <w:rPr>
          <w:rFonts w:hint="eastAsia" w:ascii="仿宋_GB2312" w:hAnsi="仿宋_GB2312" w:eastAsia="黑体" w:cs="仿宋_GB2312"/>
          <w:b w:val="0"/>
          <w:bCs w:val="0"/>
          <w:color w:val="auto"/>
          <w:sz w:val="32"/>
          <w:szCs w:val="32"/>
          <w:highlight w:val="none"/>
          <w:lang w:val="en-US" w:eastAsia="zh-CN"/>
        </w:rPr>
      </w:pPr>
      <w:bookmarkStart w:id="143" w:name="_Toc18560"/>
      <w:bookmarkStart w:id="144" w:name="_Toc25447"/>
      <w:bookmarkStart w:id="145" w:name="_Toc14543"/>
      <w:bookmarkStart w:id="146" w:name="_Toc17570"/>
      <w:r>
        <w:rPr>
          <w:rFonts w:hint="eastAsia" w:ascii="黑体" w:hAnsi="黑体" w:eastAsia="黑体" w:cs="黑体"/>
          <w:b w:val="0"/>
          <w:bCs w:val="0"/>
          <w:sz w:val="32"/>
          <w:szCs w:val="32"/>
        </w:rPr>
        <w:t>附件</w:t>
      </w:r>
      <w:bookmarkEnd w:id="143"/>
      <w:r>
        <w:rPr>
          <w:rFonts w:hint="eastAsia" w:ascii="黑体" w:hAnsi="黑体" w:eastAsia="黑体" w:cs="黑体"/>
          <w:b w:val="0"/>
          <w:bCs w:val="0"/>
          <w:sz w:val="32"/>
          <w:szCs w:val="32"/>
          <w:lang w:val="en-US" w:eastAsia="zh-CN"/>
        </w:rPr>
        <w:t>1</w:t>
      </w:r>
      <w:bookmarkEnd w:id="144"/>
      <w:bookmarkEnd w:id="145"/>
      <w:bookmarkEnd w:id="146"/>
    </w:p>
    <w:p>
      <w:pPr>
        <w:spacing w:line="572" w:lineRule="exact"/>
        <w:jc w:val="center"/>
        <w:rPr>
          <w:rFonts w:hint="eastAsia"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lang w:val="en-US" w:eastAsia="zh-CN"/>
        </w:rPr>
        <w:t>广元市朝天区目标绩效事务中心</w:t>
      </w:r>
    </w:p>
    <w:p>
      <w:pPr>
        <w:spacing w:line="572" w:lineRule="exact"/>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val="en-US" w:eastAsia="zh-CN"/>
        </w:rPr>
        <w:t>2022年度</w:t>
      </w:r>
      <w:r>
        <w:rPr>
          <w:rFonts w:hint="eastAsia" w:asciiTheme="majorEastAsia" w:hAnsiTheme="majorEastAsia" w:eastAsiaTheme="majorEastAsia" w:cstheme="majorEastAsia"/>
          <w:b/>
          <w:bCs/>
          <w:kern w:val="0"/>
          <w:sz w:val="32"/>
          <w:szCs w:val="32"/>
        </w:rPr>
        <w:t>部门整体</w:t>
      </w:r>
      <w:r>
        <w:rPr>
          <w:rFonts w:hint="eastAsia" w:asciiTheme="majorEastAsia" w:hAnsiTheme="majorEastAsia" w:eastAsiaTheme="majorEastAsia" w:cstheme="majorEastAsia"/>
          <w:b/>
          <w:bCs/>
          <w:kern w:val="0"/>
          <w:sz w:val="32"/>
          <w:szCs w:val="32"/>
          <w:lang w:val="en-US" w:eastAsia="zh-CN"/>
        </w:rPr>
        <w:t>支出</w:t>
      </w:r>
      <w:r>
        <w:rPr>
          <w:rFonts w:hint="eastAsia" w:asciiTheme="majorEastAsia" w:hAnsiTheme="majorEastAsia" w:eastAsiaTheme="majorEastAsia" w:cstheme="majorEastAsia"/>
          <w:b/>
          <w:bCs/>
          <w:kern w:val="0"/>
          <w:sz w:val="32"/>
          <w:szCs w:val="32"/>
        </w:rPr>
        <w:t>绩效自评报告</w:t>
      </w:r>
    </w:p>
    <w:p>
      <w:pPr>
        <w:pStyle w:val="12"/>
        <w:rPr>
          <w:rFonts w:hint="eastAsia"/>
          <w:b w:val="0"/>
          <w:bCs w:val="0"/>
          <w:sz w:val="32"/>
          <w:szCs w:val="32"/>
          <w:lang w:eastAsia="zh-CN"/>
        </w:rPr>
      </w:pPr>
    </w:p>
    <w:p>
      <w:pPr>
        <w:keepNext w:val="0"/>
        <w:keepLines w:val="0"/>
        <w:pageBreakBefore w:val="0"/>
        <w:widowControl/>
        <w:numPr>
          <w:ilvl w:val="0"/>
          <w:numId w:val="0"/>
        </w:numPr>
        <w:kinsoku/>
        <w:wordWrap/>
        <w:overflowPunct/>
        <w:topLinePunct w:val="0"/>
        <w:autoSpaceDN/>
        <w:bidi w:val="0"/>
        <w:spacing w:line="576" w:lineRule="exact"/>
        <w:ind w:firstLine="608" w:firstLineChars="200"/>
        <w:contextualSpacing/>
        <w:jc w:val="left"/>
        <w:textAlignment w:val="auto"/>
        <w:rPr>
          <w:rFonts w:hint="eastAsia" w:ascii="黑体" w:hAnsi="黑体" w:eastAsia="黑体" w:cs="Times New Roman"/>
          <w:b w:val="0"/>
          <w:bCs w:val="0"/>
          <w:color w:val="000000"/>
          <w:spacing w:val="-6"/>
          <w:w w:val="99"/>
          <w:kern w:val="0"/>
          <w:sz w:val="32"/>
          <w:szCs w:val="32"/>
          <w:shd w:val="clear" w:color="auto" w:fill="FFFFFF"/>
        </w:rPr>
      </w:pPr>
      <w:r>
        <w:rPr>
          <w:rFonts w:hint="eastAsia" w:ascii="黑体" w:hAnsi="黑体" w:eastAsia="黑体" w:cs="Times New Roman"/>
          <w:b w:val="0"/>
          <w:bCs w:val="0"/>
          <w:color w:val="000000"/>
          <w:spacing w:val="-6"/>
          <w:w w:val="99"/>
          <w:kern w:val="0"/>
          <w:sz w:val="32"/>
          <w:szCs w:val="32"/>
          <w:shd w:val="clear" w:color="auto" w:fill="FFFFFF"/>
          <w:lang w:eastAsia="zh-CN"/>
        </w:rPr>
        <w:t>一、</w:t>
      </w:r>
      <w:r>
        <w:rPr>
          <w:rFonts w:hint="eastAsia" w:ascii="黑体" w:hAnsi="黑体" w:eastAsia="黑体" w:cs="Times New Roman"/>
          <w:b w:val="0"/>
          <w:bCs w:val="0"/>
          <w:color w:val="000000"/>
          <w:spacing w:val="-6"/>
          <w:w w:val="99"/>
          <w:kern w:val="0"/>
          <w:sz w:val="32"/>
          <w:szCs w:val="32"/>
          <w:shd w:val="clear" w:color="auto" w:fill="FFFFFF"/>
        </w:rPr>
        <w:t>部门（单位）概况</w:t>
      </w:r>
    </w:p>
    <w:p>
      <w:pPr>
        <w:keepNext w:val="0"/>
        <w:keepLines w:val="0"/>
        <w:pageBreakBefore w:val="0"/>
        <w:kinsoku/>
        <w:wordWrap/>
        <w:overflowPunct/>
        <w:topLinePunct w:val="0"/>
        <w:autoSpaceDN/>
        <w:bidi w:val="0"/>
        <w:spacing w:line="576" w:lineRule="exact"/>
        <w:ind w:firstLine="611" w:firstLineChars="200"/>
        <w:textAlignment w:val="auto"/>
        <w:rPr>
          <w:rFonts w:hint="eastAsia" w:ascii="楷体_GB2312" w:hAnsi="楷体_GB2312" w:eastAsia="楷体_GB2312" w:cs="楷体_GB2312"/>
          <w:b w:val="0"/>
          <w:bCs w:val="0"/>
          <w:spacing w:val="-6"/>
          <w:w w:val="99"/>
          <w:sz w:val="32"/>
          <w:szCs w:val="32"/>
          <w:lang w:val="en-US" w:eastAsia="zh-CN"/>
        </w:rPr>
      </w:pPr>
      <w:r>
        <w:rPr>
          <w:rFonts w:hint="eastAsia" w:ascii="楷体_GB2312" w:hAnsi="楷体_GB2312" w:eastAsia="楷体_GB2312" w:cs="楷体_GB2312"/>
          <w:b/>
          <w:bCs/>
          <w:spacing w:val="-6"/>
          <w:w w:val="99"/>
          <w:sz w:val="32"/>
          <w:szCs w:val="32"/>
          <w:lang w:val="en-US" w:eastAsia="zh-CN"/>
        </w:rPr>
        <w:t>（一）机构组成</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楷体_GB2312" w:hAnsi="楷体_GB2312" w:eastAsia="楷体_GB2312" w:cs="楷体_GB2312"/>
          <w:b w:val="0"/>
          <w:bCs w:val="0"/>
          <w:spacing w:val="-6"/>
          <w:w w:val="99"/>
          <w:sz w:val="32"/>
          <w:szCs w:val="32"/>
          <w:lang w:val="en-US" w:eastAsia="zh-CN"/>
        </w:rPr>
      </w:pPr>
      <w:r>
        <w:rPr>
          <w:rFonts w:ascii="仿宋_GB2312" w:eastAsia="仿宋_GB2312"/>
          <w:b w:val="0"/>
          <w:bCs w:val="0"/>
          <w:sz w:val="32"/>
          <w:szCs w:val="32"/>
        </w:rPr>
        <w:t>广元市朝天区目标绩效事务中心是中共广元市朝天区委直属事业单位，为正科级，保留参公管理。</w:t>
      </w:r>
      <w:r>
        <w:rPr>
          <w:rFonts w:hint="eastAsia" w:ascii="仿宋_GB2312" w:eastAsia="仿宋_GB2312"/>
          <w:b w:val="0"/>
          <w:bCs w:val="0"/>
          <w:sz w:val="32"/>
          <w:szCs w:val="32"/>
        </w:rPr>
        <w:t>区目标绩效事务中心</w:t>
      </w:r>
      <w:r>
        <w:rPr>
          <w:rFonts w:hint="eastAsia" w:ascii="仿宋_GB2312" w:hAnsi="仿宋_GB2312" w:eastAsia="仿宋_GB2312" w:cs="仿宋_GB2312"/>
          <w:b w:val="0"/>
          <w:bCs w:val="0"/>
          <w:sz w:val="32"/>
          <w:szCs w:val="32"/>
        </w:rPr>
        <w:t>事业编制5名。其中，主任1名，副主任2名；股级领导职数2名</w:t>
      </w:r>
      <w:r>
        <w:rPr>
          <w:rFonts w:hint="eastAsia" w:ascii="仿宋_GB2312" w:hAnsi="仿宋_GB2312" w:cs="仿宋_GB2312"/>
          <w:b w:val="0"/>
          <w:bCs w:val="0"/>
          <w:sz w:val="32"/>
          <w:szCs w:val="32"/>
          <w:lang w:eastAsia="zh-CN"/>
        </w:rPr>
        <w:t>。</w:t>
      </w:r>
      <w:r>
        <w:rPr>
          <w:rFonts w:hint="eastAsia" w:ascii="仿宋_GB2312" w:eastAsia="仿宋_GB2312"/>
          <w:b w:val="0"/>
          <w:bCs w:val="0"/>
          <w:sz w:val="32"/>
          <w:szCs w:val="32"/>
          <w:highlight w:val="none"/>
          <w:lang w:val="en-US" w:eastAsia="zh-CN"/>
        </w:rPr>
        <w:t>内设机构：综合股（督查）、目标绩效股，全部纳入2022年部门预算编制范围。</w:t>
      </w:r>
    </w:p>
    <w:p>
      <w:pPr>
        <w:keepNext w:val="0"/>
        <w:keepLines w:val="0"/>
        <w:pageBreakBefore w:val="0"/>
        <w:kinsoku/>
        <w:wordWrap/>
        <w:overflowPunct/>
        <w:topLinePunct w:val="0"/>
        <w:autoSpaceDN/>
        <w:bidi w:val="0"/>
        <w:spacing w:line="576" w:lineRule="exact"/>
        <w:ind w:firstLine="611" w:firstLineChars="200"/>
        <w:textAlignment w:val="auto"/>
        <w:rPr>
          <w:rFonts w:hint="default" w:ascii="楷体_GB2312" w:hAnsi="楷体_GB2312" w:eastAsia="楷体_GB2312" w:cs="楷体_GB2312"/>
          <w:b/>
          <w:bCs/>
          <w:spacing w:val="-6"/>
          <w:w w:val="99"/>
          <w:sz w:val="32"/>
          <w:szCs w:val="32"/>
          <w:lang w:val="en-US" w:eastAsia="zh-CN"/>
        </w:rPr>
      </w:pPr>
      <w:r>
        <w:rPr>
          <w:rFonts w:hint="eastAsia" w:ascii="楷体_GB2312" w:hAnsi="楷体_GB2312" w:eastAsia="楷体_GB2312" w:cs="楷体_GB2312"/>
          <w:b/>
          <w:bCs/>
          <w:spacing w:val="-6"/>
          <w:w w:val="99"/>
          <w:sz w:val="32"/>
          <w:szCs w:val="32"/>
          <w:lang w:val="en-US" w:eastAsia="zh-CN"/>
        </w:rPr>
        <w:t>（二）机构职能和人员概况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1.机构职能</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拟定乡镇和区级部门目标绩效考核指标，协助开展目标绩效指标运行监测、考核评估工作；指导乡镇、区级部门的目标绩效事务工作。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协助区委目标绩效管理办公室做好市委、市政府下达的目标绩效任务的分解，以及运行监控等协调服务工作；配合做好市下目标考核迎考准备等相关工作。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协助有关部门做好区委重要决策、重要会议议定事项贯彻落实情况的督查督办工作。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协助做好区本级或上一级人大代表建议和政协委员提案的督办工作。</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hint="eastAsia" w:ascii="楷体_GB2312" w:hAnsi="楷体_GB2312" w:eastAsia="楷体_GB2312" w:cs="楷体_GB2312"/>
          <w:b w:val="0"/>
          <w:bCs w:val="0"/>
          <w:spacing w:val="-6"/>
          <w:w w:val="99"/>
          <w:sz w:val="32"/>
          <w:szCs w:val="32"/>
          <w:lang w:val="en-US"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完成区委交办的其他任务</w:t>
      </w:r>
      <w:r>
        <w:rPr>
          <w:rFonts w:hint="eastAsia" w:ascii="仿宋_GB2312"/>
          <w:b w:val="0"/>
          <w:bCs w:val="0"/>
          <w:sz w:val="32"/>
          <w:szCs w:val="32"/>
          <w:highlight w:val="none"/>
          <w:lang w:eastAsia="zh-CN"/>
        </w:rPr>
        <w:t>。</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2.人员概况</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eastAsia="仿宋_GB2312"/>
          <w:b w:val="0"/>
          <w:bCs w:val="0"/>
          <w:sz w:val="32"/>
          <w:szCs w:val="32"/>
        </w:rPr>
      </w:pPr>
      <w:r>
        <w:rPr>
          <w:rFonts w:hint="eastAsia" w:ascii="仿宋_GB2312" w:eastAsia="仿宋_GB2312"/>
          <w:b w:val="0"/>
          <w:bCs w:val="0"/>
          <w:sz w:val="32"/>
          <w:szCs w:val="32"/>
        </w:rPr>
        <w:t>广元市朝天区目标绩效事务中心总编制</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名，</w:t>
      </w:r>
      <w:r>
        <w:rPr>
          <w:rFonts w:hint="eastAsia" w:ascii="仿宋_GB2312" w:eastAsia="仿宋_GB2312"/>
          <w:b w:val="0"/>
          <w:bCs w:val="0"/>
          <w:sz w:val="32"/>
          <w:szCs w:val="32"/>
          <w:lang w:val="en-US" w:eastAsia="zh-CN"/>
        </w:rPr>
        <w:t>均为行政编制，年末</w:t>
      </w:r>
      <w:r>
        <w:rPr>
          <w:rFonts w:hint="eastAsia" w:ascii="仿宋_GB2312" w:eastAsia="仿宋_GB2312"/>
          <w:b w:val="0"/>
          <w:bCs w:val="0"/>
          <w:sz w:val="32"/>
          <w:szCs w:val="32"/>
          <w:lang w:eastAsia="zh-CN"/>
        </w:rPr>
        <w:t>实际在岗人数为</w:t>
      </w:r>
      <w:r>
        <w:rPr>
          <w:rFonts w:hint="eastAsia" w:ascii="仿宋_GB2312" w:eastAsia="仿宋_GB2312"/>
          <w:b w:val="0"/>
          <w:bCs w:val="0"/>
          <w:sz w:val="32"/>
          <w:szCs w:val="32"/>
          <w:lang w:val="en-US" w:eastAsia="zh-CN"/>
        </w:rPr>
        <w:t>4人</w:t>
      </w:r>
      <w:r>
        <w:rPr>
          <w:rFonts w:hint="eastAsia" w:ascii="仿宋_GB2312" w:eastAsia="仿宋_GB2312"/>
          <w:b w:val="0"/>
          <w:bCs w:val="0"/>
          <w:sz w:val="32"/>
          <w:szCs w:val="32"/>
        </w:rPr>
        <w:t>。</w:t>
      </w:r>
    </w:p>
    <w:p>
      <w:pPr>
        <w:keepNext w:val="0"/>
        <w:keepLines w:val="0"/>
        <w:pageBreakBefore w:val="0"/>
        <w:kinsoku/>
        <w:wordWrap/>
        <w:overflowPunct/>
        <w:topLinePunct w:val="0"/>
        <w:autoSpaceDN/>
        <w:bidi w:val="0"/>
        <w:spacing w:line="576" w:lineRule="exact"/>
        <w:ind w:firstLine="611" w:firstLineChars="200"/>
        <w:textAlignment w:val="auto"/>
        <w:rPr>
          <w:rFonts w:hint="eastAsia" w:ascii="楷体_GB2312" w:hAnsi="楷体_GB2312" w:eastAsia="楷体_GB2312" w:cs="楷体_GB2312"/>
          <w:b/>
          <w:bCs/>
          <w:spacing w:val="-6"/>
          <w:w w:val="99"/>
          <w:sz w:val="32"/>
          <w:szCs w:val="32"/>
          <w:lang w:val="en-US" w:eastAsia="zh-CN"/>
        </w:rPr>
      </w:pPr>
      <w:r>
        <w:rPr>
          <w:rFonts w:hint="eastAsia" w:ascii="楷体_GB2312" w:hAnsi="楷体_GB2312" w:eastAsia="楷体_GB2312" w:cs="楷体_GB2312"/>
          <w:b/>
          <w:bCs/>
          <w:spacing w:val="-6"/>
          <w:w w:val="99"/>
          <w:sz w:val="32"/>
          <w:szCs w:val="32"/>
          <w:lang w:val="en-US" w:eastAsia="zh-CN"/>
        </w:rPr>
        <w:t>（三）年度主要工作任务</w:t>
      </w:r>
    </w:p>
    <w:p>
      <w:pPr>
        <w:keepNext w:val="0"/>
        <w:keepLines w:val="0"/>
        <w:pageBreakBefore w:val="0"/>
        <w:kinsoku/>
        <w:wordWrap/>
        <w:overflowPunct/>
        <w:topLinePunct w:val="0"/>
        <w:autoSpaceDN/>
        <w:bidi w:val="0"/>
        <w:snapToGrid w:val="0"/>
        <w:spacing w:line="576" w:lineRule="exact"/>
        <w:ind w:firstLine="632" w:firstLineChars="200"/>
        <w:textAlignment w:val="auto"/>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pPr>
      <w:r>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t>1.进一步提高目标管理和运行监管水平。坚定目标科学性、全方位、全过程管理,在目标差异化设置、目标绩效过程监管、优化考评方式和用好用活考评结果上下足功夫，有效调动各责任单位积极性、促进各项目标任务高效完成,切实发挥目标管理导向、激励和约束作用。</w:t>
      </w:r>
    </w:p>
    <w:p>
      <w:pPr>
        <w:keepNext w:val="0"/>
        <w:keepLines w:val="0"/>
        <w:pageBreakBefore w:val="0"/>
        <w:kinsoku/>
        <w:wordWrap/>
        <w:overflowPunct/>
        <w:topLinePunct w:val="0"/>
        <w:autoSpaceDN/>
        <w:bidi w:val="0"/>
        <w:snapToGrid w:val="0"/>
        <w:spacing w:line="576" w:lineRule="exact"/>
        <w:ind w:firstLine="632" w:firstLineChars="200"/>
        <w:textAlignment w:val="auto"/>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pPr>
      <w:r>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t>2.进一步加强和规范督查工作。坚持督查高标准、严要求、高质量，从聚焦督查重点任务、加强督查计划管理、创新督查方式方法等多方面着力，切实提高督查质效，以实际行动服务中心大局,减轻基层负担。</w:t>
      </w:r>
    </w:p>
    <w:p>
      <w:pPr>
        <w:keepNext w:val="0"/>
        <w:keepLines w:val="0"/>
        <w:pageBreakBefore w:val="0"/>
        <w:kinsoku/>
        <w:wordWrap/>
        <w:overflowPunct/>
        <w:topLinePunct w:val="0"/>
        <w:autoSpaceDN/>
        <w:bidi w:val="0"/>
        <w:snapToGrid w:val="0"/>
        <w:spacing w:line="576" w:lineRule="exact"/>
        <w:ind w:firstLine="632" w:firstLineChars="200"/>
        <w:textAlignment w:val="auto"/>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pPr>
      <w:r>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t>3.进一步加强督查目标队伍自身建设。坚决讲政治、讲规矩、守纪律，持续深入学习贯彻习近平新时代中国特色社会主义思想和习近平关于督查抓落实工作重要论述，全面提升督查目标队伍政治理论水平和业务能力，进一步树立优良工作作风。</w:t>
      </w:r>
    </w:p>
    <w:p>
      <w:pPr>
        <w:pStyle w:val="12"/>
        <w:keepNext w:val="0"/>
        <w:keepLines w:val="0"/>
        <w:pageBreakBefore w:val="0"/>
        <w:numPr>
          <w:ilvl w:val="0"/>
          <w:numId w:val="0"/>
        </w:numPr>
        <w:kinsoku/>
        <w:wordWrap/>
        <w:overflowPunct/>
        <w:topLinePunct w:val="0"/>
        <w:autoSpaceDN/>
        <w:bidi w:val="0"/>
        <w:spacing w:line="576" w:lineRule="exact"/>
        <w:ind w:leftChars="200"/>
        <w:textAlignment w:val="auto"/>
        <w:rPr>
          <w:rFonts w:hint="eastAsia" w:ascii="楷体" w:hAnsi="楷体" w:eastAsia="楷体" w:cs="楷体"/>
          <w:b/>
          <w:bCs/>
          <w:sz w:val="32"/>
          <w:szCs w:val="32"/>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w:t>
      </w:r>
      <w:r>
        <w:rPr>
          <w:rFonts w:hint="eastAsia" w:ascii="楷体_GB2312" w:hAnsi="楷体_GB2312" w:eastAsia="楷体_GB2312" w:cs="楷体_GB2312"/>
          <w:b/>
          <w:bCs/>
          <w:color w:val="auto"/>
          <w:kern w:val="0"/>
          <w:sz w:val="32"/>
          <w:szCs w:val="32"/>
          <w:highlight w:val="none"/>
          <w:shd w:val="clear" w:color="auto" w:fill="FFFFFF"/>
          <w:lang w:val="en-US" w:eastAsia="zh-CN"/>
        </w:rPr>
        <w:t>四</w:t>
      </w: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pPr>
        <w:keepNext w:val="0"/>
        <w:keepLines w:val="0"/>
        <w:pageBreakBefore w:val="0"/>
        <w:kinsoku/>
        <w:wordWrap/>
        <w:overflowPunct/>
        <w:topLinePunct w:val="0"/>
        <w:autoSpaceDN/>
        <w:bidi w:val="0"/>
        <w:snapToGrid w:val="0"/>
        <w:spacing w:line="576" w:lineRule="exact"/>
        <w:ind w:firstLine="632" w:firstLineChars="200"/>
        <w:textAlignment w:val="auto"/>
        <w:rPr>
          <w:rFonts w:hint="default" w:ascii="仿宋_GB2312" w:hAnsi="Times New Roman" w:eastAsia="仿宋_GB2312" w:cs="Times New Roman"/>
          <w:b w:val="0"/>
          <w:bCs w:val="0"/>
          <w:color w:val="000000"/>
          <w:spacing w:val="0"/>
          <w:w w:val="99"/>
          <w:kern w:val="0"/>
          <w:sz w:val="32"/>
          <w:szCs w:val="32"/>
          <w:shd w:val="clear" w:color="auto" w:fill="FFFFFF"/>
          <w:lang w:val="en-US" w:eastAsia="zh-CN"/>
        </w:rPr>
      </w:pPr>
      <w:r>
        <w:rPr>
          <w:rFonts w:hint="default" w:ascii="仿宋_GB2312" w:hAnsi="Times New Roman" w:eastAsia="仿宋_GB2312" w:cs="Times New Roman"/>
          <w:b w:val="0"/>
          <w:bCs w:val="0"/>
          <w:color w:val="000000"/>
          <w:spacing w:val="0"/>
          <w:w w:val="99"/>
          <w:kern w:val="0"/>
          <w:sz w:val="32"/>
          <w:szCs w:val="32"/>
          <w:shd w:val="clear" w:color="auto" w:fill="FFFFFF"/>
          <w:lang w:val="en-US" w:eastAsia="zh-CN"/>
        </w:rPr>
        <w:t>对全区工作和区委区政府重点事项开展300余次的督查，召开目标工作相关会议11次，迎接上级部门目标调度和目标综合督查5次，做好巡视整改工作和民生实事相关工作，促进各部门完成省委巡视整改问题和朝天区各项目标任务全面完成。</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b w:val="0"/>
          <w:bCs w:val="0"/>
          <w:color w:val="000000"/>
          <w:spacing w:val="-6"/>
          <w:w w:val="99"/>
          <w:kern w:val="0"/>
          <w:sz w:val="32"/>
          <w:szCs w:val="32"/>
          <w:shd w:val="clear" w:color="auto" w:fill="FFFFFF"/>
        </w:rPr>
      </w:pPr>
      <w:r>
        <w:rPr>
          <w:rFonts w:hint="eastAsia" w:ascii="黑体" w:hAnsi="黑体" w:eastAsia="黑体" w:cs="Times New Roman"/>
          <w:b w:val="0"/>
          <w:bCs w:val="0"/>
          <w:color w:val="000000"/>
          <w:spacing w:val="-6"/>
          <w:w w:val="99"/>
          <w:kern w:val="0"/>
          <w:sz w:val="32"/>
          <w:szCs w:val="32"/>
          <w:shd w:val="clear" w:color="auto" w:fill="FFFFFF"/>
        </w:rPr>
        <w:t>二、部门资金收支情况</w:t>
      </w:r>
    </w:p>
    <w:p>
      <w:pPr>
        <w:snapToGrid w:val="0"/>
        <w:spacing w:line="540" w:lineRule="exact"/>
        <w:ind w:firstLine="635" w:firstLineChars="200"/>
        <w:rPr>
          <w:rFonts w:hint="default" w:ascii="仿宋_GB2312" w:hAnsi="Times New Roman" w:eastAsia="仿宋_GB2312" w:cs="Times New Roman"/>
          <w:b w:val="0"/>
          <w:bCs w:val="0"/>
          <w:color w:val="000000"/>
          <w:spacing w:val="0"/>
          <w:w w:val="99"/>
          <w:kern w:val="0"/>
          <w:sz w:val="32"/>
          <w:szCs w:val="32"/>
          <w:shd w:val="clear" w:color="auto" w:fill="FFFFFF"/>
          <w:lang w:val="en-US" w:eastAsia="zh-CN"/>
        </w:rPr>
      </w:pPr>
      <w:r>
        <w:rPr>
          <w:rFonts w:hint="eastAsia" w:ascii="楷体_GB2312" w:hAnsi="楷体_GB2312" w:eastAsia="楷体_GB2312" w:cs="楷体_GB2312"/>
          <w:b/>
          <w:bCs/>
          <w:spacing w:val="0"/>
          <w:w w:val="99"/>
          <w:sz w:val="32"/>
          <w:szCs w:val="32"/>
          <w:lang w:val="en-US" w:eastAsia="zh-CN"/>
        </w:rPr>
        <w:t>（一）部门总体收支情况。</w:t>
      </w:r>
      <w:r>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t>2022年度</w:t>
      </w:r>
      <w:r>
        <w:rPr>
          <w:rFonts w:hint="eastAsia" w:ascii="仿宋_GB2312" w:eastAsia="仿宋_GB2312" w:cs="Times New Roman"/>
          <w:b w:val="0"/>
          <w:bCs w:val="0"/>
          <w:color w:val="000000"/>
          <w:spacing w:val="0"/>
          <w:w w:val="99"/>
          <w:kern w:val="0"/>
          <w:sz w:val="32"/>
          <w:szCs w:val="32"/>
          <w:shd w:val="clear" w:color="auto" w:fill="FFFFFF"/>
          <w:lang w:val="en-US" w:eastAsia="zh-CN"/>
        </w:rPr>
        <w:t>部门资金</w:t>
      </w:r>
      <w:r>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t>收、支总计119.09万元。与2021年相比，收、支总计增加26.54万元，增长率28.7%。主要变动原因一是单位人员调入，二是部门预算项目增加。</w:t>
      </w:r>
      <w:r>
        <w:rPr>
          <w:rFonts w:hint="eastAsia" w:ascii="仿宋_GB2312" w:eastAsia="仿宋_GB2312" w:cs="Times New Roman"/>
          <w:b w:val="0"/>
          <w:bCs w:val="0"/>
          <w:color w:val="000000"/>
          <w:spacing w:val="0"/>
          <w:w w:val="99"/>
          <w:kern w:val="0"/>
          <w:sz w:val="32"/>
          <w:szCs w:val="32"/>
          <w:shd w:val="clear" w:color="auto" w:fill="FFFFFF"/>
          <w:lang w:val="en-US" w:eastAsia="zh-CN"/>
        </w:rPr>
        <w:t>无结转和结余资金。</w:t>
      </w:r>
    </w:p>
    <w:p>
      <w:pPr>
        <w:snapToGrid w:val="0"/>
        <w:spacing w:line="540" w:lineRule="exact"/>
        <w:ind w:firstLine="635" w:firstLineChars="200"/>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pPr>
      <w:r>
        <w:rPr>
          <w:rFonts w:hint="eastAsia" w:ascii="楷体_GB2312" w:hAnsi="楷体_GB2312" w:eastAsia="楷体_GB2312" w:cs="楷体_GB2312"/>
          <w:b/>
          <w:bCs/>
          <w:spacing w:val="0"/>
          <w:w w:val="99"/>
          <w:sz w:val="32"/>
          <w:szCs w:val="32"/>
          <w:lang w:val="en-US" w:eastAsia="zh-CN"/>
        </w:rPr>
        <w:t>（二）部门财政拨款收支情况。</w:t>
      </w:r>
      <w:r>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t>2022年财政拨款收、支总计119.09万元。与2021年相比，财政拨款收、支总计各增加26.54万元，增长28.7%。主要变动原因一是单位人员调入，二是部门预算项目增加。无结转</w:t>
      </w:r>
      <w:r>
        <w:rPr>
          <w:rFonts w:hint="eastAsia" w:ascii="仿宋_GB2312" w:eastAsia="仿宋_GB2312" w:cs="Times New Roman"/>
          <w:b w:val="0"/>
          <w:bCs w:val="0"/>
          <w:color w:val="000000"/>
          <w:spacing w:val="0"/>
          <w:w w:val="99"/>
          <w:kern w:val="0"/>
          <w:sz w:val="32"/>
          <w:szCs w:val="32"/>
          <w:shd w:val="clear" w:color="auto" w:fill="FFFFFF"/>
          <w:lang w:val="en-US" w:eastAsia="zh-CN"/>
        </w:rPr>
        <w:t>和</w:t>
      </w:r>
      <w:r>
        <w:rPr>
          <w:rFonts w:hint="eastAsia" w:ascii="仿宋_GB2312" w:hAnsi="Times New Roman" w:eastAsia="仿宋_GB2312" w:cs="Times New Roman"/>
          <w:b w:val="0"/>
          <w:bCs w:val="0"/>
          <w:color w:val="000000"/>
          <w:spacing w:val="0"/>
          <w:w w:val="99"/>
          <w:kern w:val="0"/>
          <w:sz w:val="32"/>
          <w:szCs w:val="32"/>
          <w:shd w:val="clear" w:color="auto" w:fill="FFFFFF"/>
          <w:lang w:val="en-US" w:eastAsia="zh-CN"/>
        </w:rPr>
        <w:t>结余资金。</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b w:val="0"/>
          <w:bCs w:val="0"/>
          <w:color w:val="000000"/>
          <w:spacing w:val="-6"/>
          <w:w w:val="99"/>
          <w:kern w:val="0"/>
          <w:sz w:val="32"/>
          <w:szCs w:val="32"/>
          <w:shd w:val="clear" w:color="auto" w:fill="FFFFFF"/>
        </w:rPr>
      </w:pPr>
      <w:r>
        <w:rPr>
          <w:rFonts w:hint="eastAsia" w:ascii="黑体" w:hAnsi="黑体" w:eastAsia="黑体" w:cs="Times New Roman"/>
          <w:b w:val="0"/>
          <w:bCs w:val="0"/>
          <w:color w:val="000000"/>
          <w:spacing w:val="-6"/>
          <w:w w:val="99"/>
          <w:kern w:val="0"/>
          <w:sz w:val="32"/>
          <w:szCs w:val="32"/>
          <w:shd w:val="clear" w:color="auto" w:fill="FFFFFF"/>
        </w:rPr>
        <w:t>三、部门整体预算绩效管理情况</w:t>
      </w:r>
    </w:p>
    <w:p>
      <w:pPr>
        <w:keepNext w:val="0"/>
        <w:keepLines w:val="0"/>
        <w:pageBreakBefore w:val="0"/>
        <w:kinsoku/>
        <w:wordWrap/>
        <w:overflowPunct/>
        <w:topLinePunct w:val="0"/>
        <w:autoSpaceDE/>
        <w:autoSpaceDN/>
        <w:bidi w:val="0"/>
        <w:adjustRightInd/>
        <w:snapToGrid/>
        <w:spacing w:line="576" w:lineRule="exact"/>
        <w:ind w:left="0" w:firstLine="611" w:firstLineChars="200"/>
        <w:textAlignment w:val="auto"/>
        <w:rPr>
          <w:rFonts w:hint="default" w:ascii="楷体" w:hAnsi="楷体" w:eastAsia="楷体" w:cs="楷体"/>
          <w:b/>
          <w:bCs/>
          <w:color w:val="0000FF"/>
          <w:spacing w:val="-6"/>
          <w:w w:val="99"/>
          <w:kern w:val="0"/>
          <w:sz w:val="32"/>
          <w:szCs w:val="32"/>
          <w:shd w:val="clear" w:color="auto" w:fill="FFFFFF"/>
          <w:lang w:val="en-US"/>
        </w:rPr>
      </w:pPr>
      <w:r>
        <w:rPr>
          <w:rFonts w:hint="eastAsia" w:ascii="楷体" w:hAnsi="楷体" w:eastAsia="楷体" w:cs="楷体"/>
          <w:b/>
          <w:bCs/>
          <w:spacing w:val="-6"/>
          <w:w w:val="99"/>
          <w:sz w:val="32"/>
          <w:szCs w:val="32"/>
          <w:lang w:val="en-US" w:eastAsia="zh-CN"/>
        </w:rPr>
        <w:t>（一）部门预算项目绩效分析</w:t>
      </w:r>
    </w:p>
    <w:p>
      <w:pPr>
        <w:pStyle w:val="12"/>
        <w:keepNext w:val="0"/>
        <w:keepLines w:val="0"/>
        <w:pageBreakBefore w:val="0"/>
        <w:kinsoku/>
        <w:wordWrap/>
        <w:overflowPunct/>
        <w:topLinePunct w:val="0"/>
        <w:autoSpaceDN/>
        <w:bidi w:val="0"/>
        <w:spacing w:before="0" w:beforeAutospacing="0" w:after="0" w:afterAutospacing="0" w:line="576" w:lineRule="exact"/>
        <w:ind w:left="0" w:leftChars="0" w:firstLine="640" w:firstLineChars="200"/>
        <w:textAlignment w:val="auto"/>
        <w:rPr>
          <w:rFonts w:hint="eastAsia" w:ascii="仿宋_GB2312" w:hAnsi="仿宋" w:eastAsia="仿宋_GB2312" w:cs="仿宋"/>
          <w:b w:val="0"/>
          <w:bCs w:val="0"/>
          <w:color w:val="000000"/>
          <w:kern w:val="0"/>
          <w:sz w:val="32"/>
          <w:szCs w:val="32"/>
          <w:lang w:val="en-US" w:eastAsia="zh-CN" w:bidi="ar-SA"/>
        </w:rPr>
      </w:pPr>
      <w:r>
        <w:rPr>
          <w:rFonts w:hint="eastAsia" w:ascii="仿宋_GB2312" w:hAnsi="仿宋" w:eastAsia="仿宋_GB2312" w:cs="仿宋"/>
          <w:b w:val="0"/>
          <w:bCs w:val="0"/>
          <w:color w:val="000000"/>
          <w:kern w:val="0"/>
          <w:sz w:val="32"/>
          <w:szCs w:val="32"/>
          <w:lang w:val="en-US" w:eastAsia="zh-CN" w:bidi="ar-SA"/>
        </w:rPr>
        <w:t>我中心2022年部门整体支出绩效目标制定，严格按照自身实际情况及上级预算口径编制，并严格预算收支控制，按时按质完成了预算绩效目标，年度预算收支平衡，无资金结余、无违规记录。具体情况如下：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仿宋"/>
          <w:b w:val="0"/>
          <w:bCs w:val="0"/>
          <w:kern w:val="0"/>
          <w:sz w:val="32"/>
          <w:szCs w:val="32"/>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人员类项目绩效分析</w:t>
      </w:r>
    </w:p>
    <w:p>
      <w:pPr>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76" w:lineRule="exact"/>
        <w:ind w:firstLine="640" w:firstLineChars="200"/>
        <w:textAlignment w:val="auto"/>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目标为按现行标准按时为在职4人发放工资、绩效、公务用车补助并缴纳社会保险、公积金等，年初预算人员类支出53.22万元，因人员变动、工资标准调整等原因，实际完成51.77万元，各项绩效指标任务全部完成。</w:t>
      </w:r>
    </w:p>
    <w:p>
      <w:pPr>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仿宋"/>
          <w:b w:val="0"/>
          <w:bCs w:val="0"/>
          <w:kern w:val="0"/>
          <w:sz w:val="32"/>
          <w:szCs w:val="32"/>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运转类项目绩效分析</w:t>
      </w:r>
    </w:p>
    <w:p>
      <w:pPr>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76" w:lineRule="exact"/>
        <w:ind w:firstLine="640" w:firstLineChars="200"/>
        <w:textAlignment w:val="auto"/>
        <w:rPr>
          <w:rFonts w:hint="eastAsia" w:ascii="仿宋_GB2312" w:hAnsi="仿宋" w:eastAsia="仿宋_GB2312" w:cs="仿宋"/>
          <w:b w:val="0"/>
          <w:bCs w:val="0"/>
          <w:color w:val="auto"/>
          <w:kern w:val="0"/>
          <w:sz w:val="32"/>
          <w:szCs w:val="32"/>
          <w:lang w:val="en-US" w:eastAsia="zh-CN"/>
        </w:rPr>
      </w:pPr>
      <w:r>
        <w:rPr>
          <w:rFonts w:hint="eastAsia" w:ascii="仿宋_GB2312" w:hAnsi="仿宋" w:eastAsia="仿宋_GB2312" w:cs="仿宋"/>
          <w:b w:val="0"/>
          <w:bCs w:val="0"/>
          <w:color w:val="auto"/>
          <w:kern w:val="0"/>
          <w:sz w:val="32"/>
          <w:szCs w:val="32"/>
          <w:lang w:val="en-US" w:eastAsia="zh-CN"/>
        </w:rPr>
        <w:t>目标为全面保障在职4人及督导组11人的日常办公费用，如办公费、差旅费、水电费、维护费、其他交通补助等，年初预算7.84万元，</w:t>
      </w:r>
      <w:r>
        <w:rPr>
          <w:rFonts w:hint="eastAsia" w:ascii="仿宋_GB2312" w:hAnsi="仿宋" w:eastAsia="仿宋_GB2312" w:cs="仿宋"/>
          <w:b w:val="0"/>
          <w:bCs w:val="0"/>
          <w:kern w:val="0"/>
          <w:sz w:val="32"/>
          <w:szCs w:val="32"/>
          <w:lang w:val="en-US" w:eastAsia="zh-CN"/>
        </w:rPr>
        <w:t>因人员变动原因，</w:t>
      </w:r>
      <w:r>
        <w:rPr>
          <w:rFonts w:hint="eastAsia" w:ascii="仿宋_GB2312" w:hAnsi="仿宋" w:eastAsia="仿宋_GB2312" w:cs="仿宋"/>
          <w:b w:val="0"/>
          <w:bCs w:val="0"/>
          <w:color w:val="auto"/>
          <w:kern w:val="0"/>
          <w:sz w:val="32"/>
          <w:szCs w:val="32"/>
          <w:lang w:val="en-US" w:eastAsia="zh-CN"/>
        </w:rPr>
        <w:t>实际完成11.83万元，各项绩效指标任务全部完成。</w:t>
      </w:r>
    </w:p>
    <w:p>
      <w:pPr>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76" w:lineRule="exact"/>
        <w:ind w:firstLine="640" w:firstLineChars="200"/>
        <w:textAlignment w:val="auto"/>
        <w:rPr>
          <w:rFonts w:hint="eastAsia" w:ascii="仿宋_GB2312" w:hAnsi="仿宋" w:eastAsia="仿宋_GB2312" w:cs="仿宋"/>
          <w:b w:val="0"/>
          <w:bCs w:val="0"/>
          <w:kern w:val="0"/>
          <w:sz w:val="32"/>
          <w:szCs w:val="32"/>
        </w:rPr>
      </w:pPr>
      <w:r>
        <w:rPr>
          <w:rFonts w:hint="eastAsia" w:ascii="仿宋_GB2312" w:hAnsi="仿宋" w:eastAsia="仿宋_GB2312" w:cs="仿宋"/>
          <w:b w:val="0"/>
          <w:bCs w:val="0"/>
          <w:kern w:val="0"/>
          <w:sz w:val="32"/>
          <w:szCs w:val="32"/>
          <w:lang w:val="en-US" w:eastAsia="zh-CN"/>
        </w:rPr>
        <w:t>目标为全面完成全区重点工作督查、目标事务完成情况调度、省委巡视问题整改等工作任务，年初预算项目支出50万元，实际完成55.49万元，各项绩效指标任务全部完成。</w:t>
      </w:r>
    </w:p>
    <w:p>
      <w:pPr>
        <w:keepNext w:val="0"/>
        <w:keepLines w:val="0"/>
        <w:pageBreakBefore w:val="0"/>
        <w:widowControl/>
        <w:numPr>
          <w:ilvl w:val="0"/>
          <w:numId w:val="5"/>
        </w:numPr>
        <w:shd w:val="clear" w:color="auto" w:fill="FFFFFF"/>
        <w:kinsoku/>
        <w:wordWrap/>
        <w:overflowPunct/>
        <w:topLinePunct w:val="0"/>
        <w:autoSpaceDN/>
        <w:bidi w:val="0"/>
        <w:spacing w:beforeAutospacing="0" w:afterAutospacing="0" w:line="576" w:lineRule="exact"/>
        <w:ind w:firstLine="611" w:firstLineChars="200"/>
        <w:textAlignment w:val="auto"/>
        <w:rPr>
          <w:rFonts w:hint="eastAsia" w:ascii="楷体" w:hAnsi="楷体" w:eastAsia="楷体" w:cs="楷体"/>
          <w:b/>
          <w:bCs/>
          <w:spacing w:val="-6"/>
          <w:w w:val="99"/>
          <w:sz w:val="32"/>
          <w:szCs w:val="32"/>
          <w:lang w:val="zh-CN" w:eastAsia="zh-CN"/>
        </w:rPr>
      </w:pPr>
      <w:r>
        <w:rPr>
          <w:rFonts w:hint="eastAsia" w:ascii="楷体" w:hAnsi="楷体" w:eastAsia="楷体" w:cs="楷体"/>
          <w:b/>
          <w:bCs/>
          <w:spacing w:val="-6"/>
          <w:w w:val="99"/>
          <w:sz w:val="32"/>
          <w:szCs w:val="32"/>
          <w:lang w:val="zh-CN" w:eastAsia="zh-CN"/>
        </w:rPr>
        <w:t>部门整体履职绩效分析</w:t>
      </w:r>
    </w:p>
    <w:p>
      <w:pPr>
        <w:pStyle w:val="12"/>
        <w:numPr>
          <w:ilvl w:val="0"/>
          <w:numId w:val="0"/>
        </w:numPr>
        <w:ind w:leftChars="0" w:firstLine="640" w:firstLineChars="200"/>
        <w:rPr>
          <w:rFonts w:hint="eastAsia" w:ascii="仿宋_GB2312" w:hAnsi="仿宋" w:eastAsia="仿宋_GB2312" w:cs="仿宋"/>
          <w:b w:val="0"/>
          <w:bCs w:val="0"/>
          <w:kern w:val="0"/>
          <w:sz w:val="32"/>
          <w:szCs w:val="32"/>
          <w:lang w:val="zh-CN" w:eastAsia="zh-CN" w:bidi="ar-SA"/>
        </w:rPr>
      </w:pPr>
      <w:r>
        <w:rPr>
          <w:rFonts w:hint="eastAsia" w:ascii="仿宋_GB2312" w:hAnsi="仿宋" w:eastAsia="仿宋_GB2312" w:cs="仿宋"/>
          <w:b w:val="0"/>
          <w:bCs w:val="0"/>
          <w:kern w:val="0"/>
          <w:sz w:val="32"/>
          <w:szCs w:val="32"/>
          <w:lang w:val="en-US" w:eastAsia="zh-CN" w:bidi="ar-SA"/>
        </w:rPr>
        <w:t>2022年，我中心按照年初预期目标，圆满完成了</w:t>
      </w:r>
      <w:r>
        <w:rPr>
          <w:rFonts w:hint="eastAsia" w:ascii="仿宋_GB2312" w:hAnsi="仿宋" w:eastAsia="仿宋_GB2312" w:cs="仿宋"/>
          <w:b w:val="0"/>
          <w:bCs w:val="0"/>
          <w:kern w:val="0"/>
          <w:sz w:val="32"/>
          <w:szCs w:val="32"/>
          <w:lang w:val="zh-CN" w:eastAsia="zh-CN" w:bidi="ar-SA"/>
        </w:rPr>
        <w:t>对全区工作和区委区政府重点事项开展督查</w:t>
      </w:r>
      <w:r>
        <w:rPr>
          <w:rFonts w:hint="eastAsia" w:ascii="仿宋_GB2312" w:hAnsi="仿宋" w:eastAsia="仿宋_GB2312" w:cs="仿宋"/>
          <w:b w:val="0"/>
          <w:bCs w:val="0"/>
          <w:kern w:val="0"/>
          <w:sz w:val="32"/>
          <w:szCs w:val="32"/>
          <w:lang w:val="en-US" w:eastAsia="zh-CN" w:bidi="ar-SA"/>
        </w:rPr>
        <w:t>300余次</w:t>
      </w:r>
      <w:r>
        <w:rPr>
          <w:rFonts w:hint="eastAsia" w:ascii="仿宋_GB2312" w:hAnsi="仿宋" w:eastAsia="仿宋_GB2312" w:cs="仿宋"/>
          <w:b w:val="0"/>
          <w:bCs w:val="0"/>
          <w:kern w:val="0"/>
          <w:sz w:val="32"/>
          <w:szCs w:val="32"/>
          <w:lang w:val="zh-CN" w:eastAsia="zh-CN" w:bidi="ar-SA"/>
        </w:rPr>
        <w:t>，召开目标工作相关会议11次，迎接上级部门目标调度和目标综合督查5次，做好巡视整改工作和民生实事相关工作，促进各部门完成省委巡视整改问题和朝天区各项目标任务全面完成。</w:t>
      </w:r>
    </w:p>
    <w:p>
      <w:pPr>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76" w:lineRule="exact"/>
        <w:ind w:firstLine="611" w:firstLineChars="200"/>
        <w:textAlignment w:val="auto"/>
        <w:rPr>
          <w:rFonts w:hint="eastAsia" w:ascii="楷体" w:hAnsi="楷体" w:eastAsia="楷体" w:cs="楷体"/>
          <w:b w:val="0"/>
          <w:bCs w:val="0"/>
          <w:kern w:val="0"/>
          <w:sz w:val="32"/>
          <w:szCs w:val="32"/>
        </w:rPr>
      </w:pPr>
      <w:r>
        <w:rPr>
          <w:rFonts w:hint="eastAsia" w:ascii="楷体" w:hAnsi="楷体" w:eastAsia="楷体" w:cs="楷体"/>
          <w:b/>
          <w:bCs/>
          <w:spacing w:val="-6"/>
          <w:w w:val="99"/>
          <w:sz w:val="32"/>
          <w:szCs w:val="32"/>
          <w:lang w:val="en-US" w:eastAsia="zh-CN"/>
        </w:rPr>
        <w:t>（三）结果应用情况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Times New Roman" w:eastAsia="仿宋_GB2312" w:cs="Times New Roman"/>
          <w:b w:val="0"/>
          <w:bCs w:val="0"/>
          <w:color w:val="000000"/>
          <w:spacing w:val="-6"/>
          <w:w w:val="99"/>
          <w:kern w:val="0"/>
          <w:sz w:val="32"/>
          <w:szCs w:val="32"/>
          <w:shd w:val="clear" w:color="auto" w:fill="FFFFFF"/>
        </w:rPr>
      </w:pPr>
      <w:r>
        <w:rPr>
          <w:rFonts w:hint="eastAsia" w:ascii="仿宋_GB2312" w:hAnsi="仿宋" w:eastAsia="仿宋_GB2312" w:cs="仿宋"/>
          <w:b w:val="0"/>
          <w:bCs w:val="0"/>
          <w:kern w:val="0"/>
          <w:sz w:val="32"/>
          <w:szCs w:val="32"/>
          <w:lang w:val="en-US" w:eastAsia="zh-CN"/>
        </w:rPr>
        <w:t>总体来说，</w:t>
      </w:r>
      <w:r>
        <w:rPr>
          <w:rFonts w:hint="eastAsia" w:ascii="仿宋_GB2312" w:hAnsi="仿宋" w:eastAsia="仿宋_GB2312" w:cs="仿宋"/>
          <w:b w:val="0"/>
          <w:bCs w:val="0"/>
          <w:kern w:val="0"/>
          <w:sz w:val="32"/>
          <w:szCs w:val="32"/>
        </w:rPr>
        <w:t>20</w:t>
      </w:r>
      <w:r>
        <w:rPr>
          <w:rFonts w:hint="eastAsia" w:ascii="仿宋_GB2312" w:hAnsi="仿宋" w:eastAsia="仿宋_GB2312" w:cs="仿宋"/>
          <w:b w:val="0"/>
          <w:bCs w:val="0"/>
          <w:kern w:val="0"/>
          <w:sz w:val="32"/>
          <w:szCs w:val="32"/>
          <w:lang w:val="en-US" w:eastAsia="zh-CN"/>
        </w:rPr>
        <w:t>22</w:t>
      </w:r>
      <w:r>
        <w:rPr>
          <w:rFonts w:hint="eastAsia" w:ascii="仿宋_GB2312" w:hAnsi="仿宋" w:eastAsia="仿宋_GB2312" w:cs="仿宋"/>
          <w:b w:val="0"/>
          <w:bCs w:val="0"/>
          <w:kern w:val="0"/>
          <w:sz w:val="32"/>
          <w:szCs w:val="32"/>
        </w:rPr>
        <w:t>年</w:t>
      </w:r>
      <w:r>
        <w:rPr>
          <w:rFonts w:hint="eastAsia" w:ascii="仿宋_GB2312" w:hAnsi="仿宋" w:eastAsia="仿宋_GB2312" w:cs="仿宋"/>
          <w:b w:val="0"/>
          <w:bCs w:val="0"/>
          <w:kern w:val="0"/>
          <w:sz w:val="32"/>
          <w:szCs w:val="32"/>
          <w:lang w:val="en-US" w:eastAsia="zh-CN"/>
        </w:rPr>
        <w:t>我中心扎实开展了部门预算事前、事中、事后绩效评价，坚持对项目</w:t>
      </w:r>
      <w:r>
        <w:rPr>
          <w:rFonts w:hint="eastAsia" w:ascii="仿宋_GB2312" w:hAnsi="Times New Roman" w:eastAsia="仿宋_GB2312"/>
          <w:b w:val="0"/>
          <w:bCs w:val="0"/>
          <w:color w:val="000000"/>
          <w:kern w:val="0"/>
          <w:sz w:val="32"/>
          <w:szCs w:val="32"/>
        </w:rPr>
        <w:t>进度、预算执行、投入产出、预期效益的阶段性完成情况进行动态跟踪监控和纠偏处理</w:t>
      </w:r>
      <w:r>
        <w:rPr>
          <w:rFonts w:hint="eastAsia" w:ascii="仿宋_GB2312" w:hAnsi="Times New Roman" w:eastAsia="仿宋_GB2312"/>
          <w:b w:val="0"/>
          <w:bCs w:val="0"/>
          <w:color w:val="000000"/>
          <w:kern w:val="0"/>
          <w:sz w:val="32"/>
          <w:szCs w:val="32"/>
          <w:lang w:eastAsia="zh-CN"/>
        </w:rPr>
        <w:t>，</w:t>
      </w:r>
      <w:r>
        <w:rPr>
          <w:rFonts w:hint="eastAsia" w:ascii="仿宋_GB2312" w:hAnsi="仿宋" w:eastAsia="仿宋_GB2312" w:cs="仿宋"/>
          <w:b w:val="0"/>
          <w:bCs w:val="0"/>
          <w:kern w:val="0"/>
          <w:sz w:val="32"/>
          <w:szCs w:val="32"/>
        </w:rPr>
        <w:t>实现</w:t>
      </w:r>
      <w:r>
        <w:rPr>
          <w:rFonts w:hint="eastAsia" w:ascii="仿宋_GB2312" w:hAnsi="仿宋" w:eastAsia="仿宋_GB2312" w:cs="仿宋"/>
          <w:b w:val="0"/>
          <w:bCs w:val="0"/>
          <w:kern w:val="0"/>
          <w:sz w:val="32"/>
          <w:szCs w:val="32"/>
          <w:lang w:val="en-US" w:eastAsia="zh-CN"/>
        </w:rPr>
        <w:t>了</w:t>
      </w:r>
      <w:r>
        <w:rPr>
          <w:rFonts w:hint="eastAsia" w:ascii="仿宋_GB2312" w:hAnsi="仿宋" w:eastAsia="仿宋_GB2312" w:cs="仿宋"/>
          <w:b w:val="0"/>
          <w:bCs w:val="0"/>
          <w:kern w:val="0"/>
          <w:sz w:val="32"/>
          <w:szCs w:val="32"/>
        </w:rPr>
        <w:t>预算收支平衡，保证了行政运行、社会管理正常运转</w:t>
      </w:r>
      <w:r>
        <w:rPr>
          <w:rFonts w:hint="eastAsia" w:ascii="仿宋_GB2312" w:hAnsi="仿宋" w:eastAsia="仿宋_GB2312" w:cs="仿宋"/>
          <w:b w:val="0"/>
          <w:bCs w:val="0"/>
          <w:kern w:val="0"/>
          <w:sz w:val="32"/>
          <w:szCs w:val="32"/>
          <w:lang w:eastAsia="zh-CN"/>
        </w:rPr>
        <w:t>，</w:t>
      </w:r>
      <w:r>
        <w:rPr>
          <w:rFonts w:hint="eastAsia" w:ascii="仿宋_GB2312" w:hAnsi="仿宋" w:eastAsia="仿宋_GB2312" w:cs="仿宋"/>
          <w:b w:val="0"/>
          <w:bCs w:val="0"/>
          <w:kern w:val="0"/>
          <w:sz w:val="32"/>
          <w:szCs w:val="32"/>
          <w:lang w:val="en-US" w:eastAsia="zh-CN"/>
        </w:rPr>
        <w:t>主要表现在：一是通过</w:t>
      </w:r>
      <w:r>
        <w:rPr>
          <w:rFonts w:hint="eastAsia" w:ascii="仿宋_GB2312" w:hAnsi="仿宋" w:eastAsia="仿宋_GB2312" w:cs="仿宋"/>
          <w:b w:val="0"/>
          <w:bCs w:val="0"/>
          <w:kern w:val="0"/>
          <w:sz w:val="32"/>
          <w:szCs w:val="32"/>
        </w:rPr>
        <w:t>严格支出管理，规范审批流程，各项管理制度进一步完善，各项支出严格按预算执行，项目资金追加、调整严格执行审批流程；</w:t>
      </w:r>
      <w:r>
        <w:rPr>
          <w:rFonts w:hint="eastAsia" w:ascii="仿宋_GB2312" w:hAnsi="仿宋" w:eastAsia="仿宋_GB2312" w:cs="仿宋"/>
          <w:b w:val="0"/>
          <w:bCs w:val="0"/>
          <w:kern w:val="0"/>
          <w:sz w:val="32"/>
          <w:szCs w:val="32"/>
          <w:lang w:val="en-US" w:eastAsia="zh-CN"/>
        </w:rPr>
        <w:t>二是</w:t>
      </w:r>
      <w:r>
        <w:rPr>
          <w:rFonts w:hint="eastAsia" w:ascii="仿宋_GB2312" w:hAnsi="仿宋" w:eastAsia="仿宋_GB2312" w:cs="仿宋"/>
          <w:b w:val="0"/>
          <w:bCs w:val="0"/>
          <w:kern w:val="0"/>
          <w:sz w:val="32"/>
          <w:szCs w:val="32"/>
        </w:rPr>
        <w:t>进一步落实</w:t>
      </w:r>
      <w:r>
        <w:rPr>
          <w:rFonts w:hint="eastAsia" w:ascii="仿宋_GB2312" w:hAnsi="仿宋" w:eastAsia="仿宋_GB2312" w:cs="仿宋"/>
          <w:b w:val="0"/>
          <w:bCs w:val="0"/>
          <w:kern w:val="0"/>
          <w:sz w:val="32"/>
          <w:szCs w:val="32"/>
          <w:lang w:val="en-US" w:eastAsia="zh-CN"/>
        </w:rPr>
        <w:t>了</w:t>
      </w:r>
      <w:r>
        <w:rPr>
          <w:rFonts w:hint="eastAsia" w:ascii="仿宋_GB2312" w:hAnsi="仿宋" w:eastAsia="仿宋_GB2312" w:cs="仿宋"/>
          <w:b w:val="0"/>
          <w:bCs w:val="0"/>
          <w:kern w:val="0"/>
          <w:sz w:val="32"/>
          <w:szCs w:val="32"/>
        </w:rPr>
        <w:t>中央“八项规定”和“三公经费”支出管理要求</w:t>
      </w:r>
      <w:r>
        <w:rPr>
          <w:rFonts w:hint="eastAsia" w:ascii="仿宋_GB2312" w:hAnsi="仿宋" w:eastAsia="仿宋_GB2312" w:cs="仿宋"/>
          <w:b w:val="0"/>
          <w:bCs w:val="0"/>
          <w:kern w:val="0"/>
          <w:sz w:val="32"/>
          <w:szCs w:val="32"/>
          <w:lang w:eastAsia="zh-CN"/>
        </w:rPr>
        <w:t>；</w:t>
      </w:r>
      <w:r>
        <w:rPr>
          <w:rFonts w:hint="eastAsia" w:ascii="仿宋_GB2312" w:hAnsi="仿宋" w:eastAsia="仿宋_GB2312" w:cs="仿宋"/>
          <w:b w:val="0"/>
          <w:bCs w:val="0"/>
          <w:kern w:val="0"/>
          <w:sz w:val="32"/>
          <w:szCs w:val="32"/>
          <w:lang w:val="en-US" w:eastAsia="zh-CN"/>
        </w:rPr>
        <w:t>三是</w:t>
      </w:r>
      <w:r>
        <w:rPr>
          <w:rFonts w:hint="eastAsia" w:ascii="仿宋_GB2312" w:hAnsi="仿宋" w:eastAsia="仿宋_GB2312" w:cs="仿宋"/>
          <w:b w:val="0"/>
          <w:bCs w:val="0"/>
          <w:kern w:val="0"/>
          <w:sz w:val="32"/>
          <w:szCs w:val="32"/>
        </w:rPr>
        <w:t>部门预决算信息及时全面公开，实行网上公示，自觉接受社会监督</w:t>
      </w:r>
      <w:r>
        <w:rPr>
          <w:rFonts w:hint="eastAsia" w:ascii="仿宋_GB2312" w:hAnsi="仿宋" w:eastAsia="仿宋_GB2312" w:cs="仿宋"/>
          <w:b w:val="0"/>
          <w:bCs w:val="0"/>
          <w:kern w:val="0"/>
          <w:sz w:val="32"/>
          <w:szCs w:val="32"/>
          <w:lang w:eastAsia="zh-CN"/>
        </w:rPr>
        <w:t>；</w:t>
      </w:r>
      <w:r>
        <w:rPr>
          <w:rFonts w:hint="eastAsia" w:ascii="仿宋_GB2312" w:hAnsi="仿宋" w:eastAsia="仿宋_GB2312" w:cs="仿宋"/>
          <w:b w:val="0"/>
          <w:bCs w:val="0"/>
          <w:kern w:val="0"/>
          <w:sz w:val="32"/>
          <w:szCs w:val="32"/>
          <w:lang w:val="en-US" w:eastAsia="zh-CN"/>
        </w:rPr>
        <w:t>四是根据1-8月事中绩效评价监控存在问题，抓好问题整改，</w:t>
      </w:r>
      <w:r>
        <w:rPr>
          <w:rFonts w:hint="eastAsia" w:ascii="仿宋_GB2312" w:hAnsi="Times New Roman" w:eastAsia="仿宋_GB2312"/>
          <w:b w:val="0"/>
          <w:bCs w:val="0"/>
          <w:color w:val="000000"/>
          <w:kern w:val="0"/>
          <w:sz w:val="32"/>
          <w:szCs w:val="32"/>
          <w:lang w:val="en-US" w:eastAsia="zh-CN"/>
        </w:rPr>
        <w:t>确保了项目数量、质量、时效、成本等指标能按计划全面完成</w:t>
      </w:r>
      <w:r>
        <w:rPr>
          <w:rFonts w:hint="eastAsia" w:ascii="仿宋_GB2312" w:hAnsi="仿宋" w:eastAsia="仿宋_GB2312" w:cs="仿宋"/>
          <w:b w:val="0"/>
          <w:bCs w:val="0"/>
          <w:kern w:val="0"/>
          <w:sz w:val="32"/>
          <w:szCs w:val="32"/>
        </w:rPr>
        <w:t>。</w:t>
      </w:r>
    </w:p>
    <w:p>
      <w:pPr>
        <w:keepNext w:val="0"/>
        <w:keepLines w:val="0"/>
        <w:pageBreakBefore w:val="0"/>
        <w:numPr>
          <w:ilvl w:val="0"/>
          <w:numId w:val="0"/>
        </w:numPr>
        <w:kinsoku/>
        <w:wordWrap/>
        <w:overflowPunct/>
        <w:topLinePunct w:val="0"/>
        <w:autoSpaceDN/>
        <w:bidi w:val="0"/>
        <w:spacing w:beforeAutospacing="0" w:afterAutospacing="0" w:line="576" w:lineRule="exact"/>
        <w:ind w:firstLine="611" w:firstLineChars="200"/>
        <w:textAlignment w:val="auto"/>
        <w:rPr>
          <w:rFonts w:hint="eastAsia" w:ascii="楷体_GB2312" w:hAnsi="楷体_GB2312" w:eastAsia="楷体_GB2312" w:cs="楷体_GB2312"/>
          <w:b/>
          <w:bCs/>
          <w:spacing w:val="-6"/>
          <w:w w:val="99"/>
          <w:sz w:val="32"/>
          <w:szCs w:val="32"/>
          <w:lang w:val="en-US" w:eastAsia="zh-CN"/>
        </w:rPr>
      </w:pPr>
      <w:r>
        <w:rPr>
          <w:rFonts w:hint="eastAsia" w:ascii="楷体_GB2312" w:hAnsi="楷体_GB2312" w:eastAsia="楷体_GB2312" w:cs="楷体_GB2312"/>
          <w:b/>
          <w:bCs/>
          <w:spacing w:val="-6"/>
          <w:w w:val="99"/>
          <w:sz w:val="32"/>
          <w:szCs w:val="32"/>
          <w:lang w:val="en-US" w:eastAsia="zh-CN"/>
        </w:rPr>
        <w:t>（四）自评质量</w:t>
      </w:r>
    </w:p>
    <w:p>
      <w:pPr>
        <w:keepNext w:val="0"/>
        <w:keepLines w:val="0"/>
        <w:pageBreakBefore w:val="0"/>
        <w:numPr>
          <w:ilvl w:val="0"/>
          <w:numId w:val="0"/>
        </w:numPr>
        <w:kinsoku/>
        <w:wordWrap/>
        <w:overflowPunct/>
        <w:topLinePunct w:val="0"/>
        <w:autoSpaceDN/>
        <w:bidi w:val="0"/>
        <w:spacing w:beforeAutospacing="0" w:afterAutospacing="0" w:line="576" w:lineRule="exact"/>
        <w:ind w:firstLine="640" w:firstLineChars="200"/>
        <w:textAlignment w:val="auto"/>
        <w:rPr>
          <w:rFonts w:hint="eastAsia" w:ascii="仿宋_GB2312" w:hAnsi="Times New Roman" w:eastAsia="仿宋_GB2312" w:cs="Times New Roman"/>
          <w:b w:val="0"/>
          <w:bCs w:val="0"/>
          <w:color w:val="000000"/>
          <w:spacing w:val="-6"/>
          <w:w w:val="99"/>
          <w:kern w:val="0"/>
          <w:sz w:val="32"/>
          <w:szCs w:val="32"/>
          <w:shd w:val="clear" w:color="auto" w:fill="FFFFFF"/>
        </w:rPr>
      </w:pPr>
      <w:r>
        <w:rPr>
          <w:rFonts w:hint="eastAsia" w:ascii="仿宋_GB2312" w:hAnsi="Times New Roman" w:eastAsia="仿宋_GB2312" w:cs="Times New Roman"/>
          <w:b w:val="0"/>
          <w:bCs w:val="0"/>
          <w:color w:val="000000"/>
          <w:kern w:val="0"/>
          <w:sz w:val="32"/>
          <w:szCs w:val="32"/>
          <w:shd w:val="clear" w:color="auto" w:fill="FFFFFF"/>
          <w:lang w:eastAsia="zh-CN"/>
        </w:rPr>
        <w:t>202</w:t>
      </w:r>
      <w:r>
        <w:rPr>
          <w:rFonts w:hint="eastAsia" w:ascii="仿宋_GB2312" w:hAnsi="Times New Roman" w:eastAsia="仿宋_GB2312" w:cs="Times New Roman"/>
          <w:b w:val="0"/>
          <w:bCs w:val="0"/>
          <w:color w:val="000000"/>
          <w:kern w:val="0"/>
          <w:sz w:val="32"/>
          <w:szCs w:val="32"/>
          <w:shd w:val="clear" w:color="auto" w:fill="FFFFFF"/>
          <w:lang w:val="en-US" w:eastAsia="zh-CN"/>
        </w:rPr>
        <w:t>2</w:t>
      </w:r>
      <w:r>
        <w:rPr>
          <w:rFonts w:hint="eastAsia" w:ascii="仿宋_GB2312" w:hAnsi="Times New Roman" w:eastAsia="仿宋_GB2312" w:cs="Times New Roman"/>
          <w:b w:val="0"/>
          <w:bCs w:val="0"/>
          <w:color w:val="000000"/>
          <w:kern w:val="0"/>
          <w:sz w:val="32"/>
          <w:szCs w:val="32"/>
          <w:shd w:val="clear" w:color="auto" w:fill="FFFFFF"/>
        </w:rPr>
        <w:t>年</w:t>
      </w:r>
      <w:r>
        <w:rPr>
          <w:rFonts w:hint="eastAsia" w:ascii="仿宋_GB2312" w:hAnsi="Times New Roman" w:eastAsia="仿宋_GB2312" w:cs="Times New Roman"/>
          <w:b w:val="0"/>
          <w:bCs w:val="0"/>
          <w:color w:val="000000"/>
          <w:kern w:val="0"/>
          <w:sz w:val="32"/>
          <w:szCs w:val="32"/>
          <w:shd w:val="clear" w:color="auto" w:fill="FFFFFF"/>
          <w:lang w:eastAsia="zh-CN"/>
        </w:rPr>
        <w:t>我</w:t>
      </w:r>
      <w:r>
        <w:rPr>
          <w:rFonts w:hint="eastAsia" w:ascii="仿宋_GB2312" w:hAnsi="Times New Roman" w:eastAsia="仿宋_GB2312" w:cs="Times New Roman"/>
          <w:b w:val="0"/>
          <w:bCs w:val="0"/>
          <w:color w:val="000000"/>
          <w:kern w:val="0"/>
          <w:sz w:val="32"/>
          <w:szCs w:val="32"/>
          <w:shd w:val="clear" w:color="auto" w:fill="FFFFFF"/>
          <w:lang w:val="en-US" w:eastAsia="zh-CN"/>
        </w:rPr>
        <w:t>中心</w:t>
      </w:r>
      <w:r>
        <w:rPr>
          <w:rFonts w:hint="eastAsia" w:ascii="仿宋_GB2312" w:hAnsi="Times New Roman" w:eastAsia="仿宋_GB2312" w:cs="Times New Roman"/>
          <w:b w:val="0"/>
          <w:bCs w:val="0"/>
          <w:color w:val="000000"/>
          <w:kern w:val="0"/>
          <w:sz w:val="32"/>
          <w:szCs w:val="32"/>
          <w:shd w:val="clear" w:color="auto" w:fill="FFFFFF"/>
        </w:rPr>
        <w:t>积极履职，强化管理，较好的完成了年度工作目标。通过加强预算收支管理，不断建立健全内部管理制度，梳理内部管理流程，整体支出管理水平得到提升。</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b w:val="0"/>
          <w:bCs w:val="0"/>
          <w:color w:val="000000"/>
          <w:spacing w:val="-6"/>
          <w:w w:val="99"/>
          <w:kern w:val="0"/>
          <w:sz w:val="32"/>
          <w:szCs w:val="32"/>
          <w:shd w:val="clear" w:color="auto" w:fill="FFFFFF"/>
        </w:rPr>
      </w:pPr>
      <w:r>
        <w:rPr>
          <w:rFonts w:hint="eastAsia" w:ascii="黑体" w:hAnsi="黑体" w:eastAsia="黑体" w:cs="Times New Roman"/>
          <w:b w:val="0"/>
          <w:bCs w:val="0"/>
          <w:color w:val="000000"/>
          <w:spacing w:val="-6"/>
          <w:w w:val="99"/>
          <w:kern w:val="0"/>
          <w:sz w:val="32"/>
          <w:szCs w:val="32"/>
          <w:shd w:val="clear" w:color="auto" w:fill="FFFFFF"/>
        </w:rPr>
        <w:t>四、评价结论及建议</w:t>
      </w:r>
    </w:p>
    <w:p>
      <w:pPr>
        <w:keepNext w:val="0"/>
        <w:keepLines w:val="0"/>
        <w:pageBreakBefore w:val="0"/>
        <w:widowControl/>
        <w:kinsoku/>
        <w:wordWrap/>
        <w:overflowPunct/>
        <w:topLinePunct w:val="0"/>
        <w:autoSpaceDE w:val="0"/>
        <w:autoSpaceDN/>
        <w:bidi w:val="0"/>
        <w:adjustRightInd w:val="0"/>
        <w:snapToGrid w:val="0"/>
        <w:spacing w:beforeAutospacing="0" w:afterAutospacing="0" w:line="576" w:lineRule="exact"/>
        <w:ind w:left="0" w:leftChars="0" w:firstLine="611" w:firstLineChars="200"/>
        <w:contextualSpacing/>
        <w:jc w:val="left"/>
        <w:textAlignment w:val="auto"/>
        <w:rPr>
          <w:rFonts w:hint="eastAsia" w:ascii="楷体_GB2312" w:hAnsi="楷体_GB2312" w:eastAsia="楷体_GB2312" w:cs="楷体_GB2312"/>
          <w:b w:val="0"/>
          <w:bCs w:val="0"/>
          <w:spacing w:val="-6"/>
          <w:w w:val="99"/>
          <w:sz w:val="32"/>
          <w:szCs w:val="32"/>
          <w:lang w:val="en-US" w:eastAsia="zh-CN"/>
        </w:rPr>
      </w:pPr>
      <w:r>
        <w:rPr>
          <w:rFonts w:hint="eastAsia" w:ascii="楷体_GB2312" w:hAnsi="楷体_GB2312" w:eastAsia="楷体_GB2312" w:cs="楷体_GB2312"/>
          <w:b/>
          <w:bCs/>
          <w:spacing w:val="-6"/>
          <w:w w:val="99"/>
          <w:sz w:val="32"/>
          <w:szCs w:val="32"/>
          <w:lang w:val="en-US" w:eastAsia="zh-CN"/>
        </w:rPr>
        <w:t>（一）评价结论</w:t>
      </w:r>
    </w:p>
    <w:p>
      <w:pPr>
        <w:keepNext w:val="0"/>
        <w:keepLines w:val="0"/>
        <w:pageBreakBefore w:val="0"/>
        <w:widowControl/>
        <w:kinsoku/>
        <w:wordWrap/>
        <w:overflowPunct/>
        <w:topLinePunct w:val="0"/>
        <w:autoSpaceDE w:val="0"/>
        <w:autoSpaceDN/>
        <w:bidi w:val="0"/>
        <w:adjustRightInd w:val="0"/>
        <w:snapToGrid w:val="0"/>
        <w:spacing w:beforeAutospacing="0" w:afterAutospacing="0" w:line="576" w:lineRule="exact"/>
        <w:ind w:left="0" w:leftChars="0" w:firstLine="640" w:firstLineChars="200"/>
        <w:contextualSpacing/>
        <w:jc w:val="left"/>
        <w:textAlignment w:val="auto"/>
        <w:rPr>
          <w:rFonts w:hint="eastAsia" w:ascii="楷体_GB2312" w:hAnsi="楷体_GB2312" w:eastAsia="楷体_GB2312" w:cs="楷体_GB2312"/>
          <w:b w:val="0"/>
          <w:bCs w:val="0"/>
          <w:spacing w:val="-6"/>
          <w:w w:val="99"/>
          <w:sz w:val="32"/>
          <w:szCs w:val="32"/>
          <w:lang w:val="en-US" w:eastAsia="zh-CN"/>
        </w:rPr>
      </w:pPr>
      <w:r>
        <w:rPr>
          <w:rFonts w:hint="eastAsia" w:ascii="仿宋_GB2312" w:hAnsi="Times New Roman" w:eastAsia="仿宋_GB2312" w:cs="Times New Roman"/>
          <w:b w:val="0"/>
          <w:bCs w:val="0"/>
          <w:color w:val="000000"/>
          <w:kern w:val="0"/>
          <w:sz w:val="32"/>
          <w:szCs w:val="32"/>
          <w:shd w:val="clear" w:color="auto" w:fill="FFFFFF"/>
        </w:rPr>
        <w:t>根据部门整体支出绩效评价指标体系，</w:t>
      </w:r>
      <w:r>
        <w:rPr>
          <w:rFonts w:hint="eastAsia" w:ascii="仿宋_GB2312" w:hAnsi="Times New Roman" w:eastAsia="仿宋_GB2312" w:cs="Times New Roman"/>
          <w:b w:val="0"/>
          <w:bCs w:val="0"/>
          <w:color w:val="000000"/>
          <w:kern w:val="0"/>
          <w:sz w:val="32"/>
          <w:szCs w:val="32"/>
          <w:shd w:val="clear" w:color="auto" w:fill="FFFFFF"/>
          <w:lang w:eastAsia="zh-CN"/>
        </w:rPr>
        <w:t>我</w:t>
      </w:r>
      <w:r>
        <w:rPr>
          <w:rFonts w:hint="eastAsia" w:ascii="仿宋_GB2312" w:hAnsi="Times New Roman" w:eastAsia="仿宋_GB2312" w:cs="Times New Roman"/>
          <w:b w:val="0"/>
          <w:bCs w:val="0"/>
          <w:color w:val="000000"/>
          <w:kern w:val="0"/>
          <w:sz w:val="32"/>
          <w:szCs w:val="32"/>
          <w:shd w:val="clear" w:color="auto" w:fill="FFFFFF"/>
          <w:lang w:val="en-US" w:eastAsia="zh-CN"/>
        </w:rPr>
        <w:t>中心</w:t>
      </w:r>
      <w:r>
        <w:rPr>
          <w:rFonts w:hint="eastAsia" w:ascii="仿宋_GB2312" w:hAnsi="Times New Roman" w:eastAsia="仿宋_GB2312" w:cs="Times New Roman"/>
          <w:b w:val="0"/>
          <w:bCs w:val="0"/>
          <w:color w:val="000000"/>
          <w:kern w:val="0"/>
          <w:sz w:val="32"/>
          <w:szCs w:val="32"/>
          <w:shd w:val="clear" w:color="auto" w:fill="FFFFFF"/>
          <w:lang w:eastAsia="zh-CN"/>
        </w:rPr>
        <w:t>202</w:t>
      </w:r>
      <w:r>
        <w:rPr>
          <w:rFonts w:hint="eastAsia" w:ascii="仿宋_GB2312" w:hAnsi="Times New Roman" w:eastAsia="仿宋_GB2312" w:cs="Times New Roman"/>
          <w:b w:val="0"/>
          <w:bCs w:val="0"/>
          <w:color w:val="000000"/>
          <w:kern w:val="0"/>
          <w:sz w:val="32"/>
          <w:szCs w:val="32"/>
          <w:shd w:val="clear" w:color="auto" w:fill="FFFFFF"/>
          <w:lang w:val="en-US" w:eastAsia="zh-CN"/>
        </w:rPr>
        <w:t>2</w:t>
      </w:r>
      <w:r>
        <w:rPr>
          <w:rFonts w:hint="eastAsia" w:ascii="仿宋_GB2312" w:hAnsi="Times New Roman" w:eastAsia="仿宋_GB2312" w:cs="Times New Roman"/>
          <w:b w:val="0"/>
          <w:bCs w:val="0"/>
          <w:color w:val="000000"/>
          <w:kern w:val="0"/>
          <w:sz w:val="32"/>
          <w:szCs w:val="32"/>
          <w:shd w:val="clear" w:color="auto" w:fill="FFFFFF"/>
        </w:rPr>
        <w:t>年度部门整体支出绩效自评</w:t>
      </w:r>
      <w:r>
        <w:rPr>
          <w:rFonts w:hint="eastAsia" w:ascii="仿宋_GB2312" w:hAnsi="Times New Roman" w:eastAsia="仿宋_GB2312" w:cs="Times New Roman"/>
          <w:b w:val="0"/>
          <w:bCs w:val="0"/>
          <w:color w:val="000000"/>
          <w:kern w:val="0"/>
          <w:sz w:val="32"/>
          <w:szCs w:val="32"/>
          <w:shd w:val="clear" w:color="auto" w:fill="FFFFFF"/>
          <w:lang w:val="en-US" w:eastAsia="zh-CN"/>
        </w:rPr>
        <w:t>96</w:t>
      </w:r>
      <w:r>
        <w:rPr>
          <w:rFonts w:hint="eastAsia" w:ascii="仿宋_GB2312" w:hAnsi="Times New Roman" w:eastAsia="仿宋_GB2312" w:cs="Times New Roman"/>
          <w:b w:val="0"/>
          <w:bCs w:val="0"/>
          <w:color w:val="000000"/>
          <w:kern w:val="0"/>
          <w:sz w:val="32"/>
          <w:szCs w:val="32"/>
          <w:shd w:val="clear" w:color="auto" w:fill="FFFFFF"/>
        </w:rPr>
        <w:t>分,绩效评价等级为“优”</w:t>
      </w:r>
      <w:r>
        <w:rPr>
          <w:rFonts w:hint="eastAsia" w:ascii="仿宋_GB2312" w:hAnsi="Times New Roman" w:eastAsia="仿宋_GB2312" w:cs="Times New Roman"/>
          <w:b w:val="0"/>
          <w:bCs w:val="0"/>
          <w:color w:val="000000"/>
          <w:kern w:val="0"/>
          <w:sz w:val="32"/>
          <w:szCs w:val="32"/>
          <w:shd w:val="clear" w:color="auto" w:fill="FFFFFF"/>
          <w:lang w:eastAsia="zh-CN"/>
        </w:rPr>
        <w:t>。</w:t>
      </w:r>
    </w:p>
    <w:p>
      <w:pPr>
        <w:keepNext w:val="0"/>
        <w:keepLines w:val="0"/>
        <w:pageBreakBefore w:val="0"/>
        <w:widowControl/>
        <w:kinsoku/>
        <w:wordWrap/>
        <w:overflowPunct/>
        <w:topLinePunct w:val="0"/>
        <w:autoSpaceDE w:val="0"/>
        <w:autoSpaceDN/>
        <w:bidi w:val="0"/>
        <w:adjustRightInd w:val="0"/>
        <w:snapToGrid w:val="0"/>
        <w:spacing w:beforeAutospacing="0" w:afterAutospacing="0" w:line="576" w:lineRule="exact"/>
        <w:ind w:left="0" w:leftChars="0" w:firstLine="611" w:firstLineChars="200"/>
        <w:contextualSpacing/>
        <w:jc w:val="left"/>
        <w:textAlignment w:val="auto"/>
        <w:rPr>
          <w:rFonts w:hint="eastAsia" w:ascii="楷体_GB2312" w:hAnsi="楷体_GB2312" w:eastAsia="楷体_GB2312" w:cs="楷体_GB2312"/>
          <w:b/>
          <w:bCs/>
          <w:spacing w:val="-6"/>
          <w:w w:val="99"/>
          <w:sz w:val="32"/>
          <w:szCs w:val="32"/>
          <w:lang w:val="en-US" w:eastAsia="zh-CN"/>
        </w:rPr>
      </w:pPr>
      <w:r>
        <w:rPr>
          <w:rFonts w:hint="eastAsia" w:ascii="楷体_GB2312" w:hAnsi="楷体_GB2312" w:eastAsia="楷体_GB2312" w:cs="楷体_GB2312"/>
          <w:b/>
          <w:bCs/>
          <w:spacing w:val="-6"/>
          <w:w w:val="99"/>
          <w:sz w:val="32"/>
          <w:szCs w:val="32"/>
          <w:lang w:val="en-US" w:eastAsia="zh-CN"/>
        </w:rPr>
        <w:t>（二）存在问题</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spacing w:val="-6"/>
          <w:w w:val="99"/>
          <w:sz w:val="32"/>
          <w:szCs w:val="32"/>
          <w:lang w:val="en-US" w:eastAsia="zh-CN"/>
        </w:rPr>
      </w:pPr>
      <w:r>
        <w:rPr>
          <w:rFonts w:hint="eastAsia" w:ascii="仿宋_GB2312" w:hAnsi="Times New Roman" w:eastAsia="仿宋_GB2312" w:cs="Times New Roman"/>
          <w:b w:val="0"/>
          <w:bCs w:val="0"/>
          <w:color w:val="000000"/>
          <w:kern w:val="0"/>
          <w:sz w:val="32"/>
          <w:szCs w:val="32"/>
          <w:shd w:val="clear" w:color="auto" w:fill="FFFFFF"/>
          <w:lang w:eastAsia="zh-CN"/>
        </w:rPr>
        <w:t>对于绩效评价的认识不够深入，</w:t>
      </w:r>
      <w:r>
        <w:rPr>
          <w:rFonts w:hint="eastAsia" w:ascii="仿宋_GB2312" w:hAnsi="Times New Roman" w:eastAsia="仿宋_GB2312" w:cs="Times New Roman"/>
          <w:b w:val="0"/>
          <w:bCs w:val="0"/>
          <w:color w:val="000000"/>
          <w:kern w:val="0"/>
          <w:sz w:val="32"/>
          <w:szCs w:val="32"/>
          <w:shd w:val="clear" w:color="auto" w:fill="FFFFFF"/>
          <w:lang w:val="en-US" w:eastAsia="zh-CN"/>
        </w:rPr>
        <w:t>只是</w:t>
      </w:r>
      <w:r>
        <w:rPr>
          <w:rFonts w:hint="eastAsia" w:ascii="仿宋_GB2312" w:hAnsi="Times New Roman" w:eastAsia="仿宋_GB2312" w:cs="Times New Roman"/>
          <w:b w:val="0"/>
          <w:bCs w:val="0"/>
          <w:color w:val="000000"/>
          <w:kern w:val="0"/>
          <w:sz w:val="32"/>
          <w:szCs w:val="32"/>
          <w:shd w:val="clear" w:color="auto" w:fill="FFFFFF"/>
          <w:lang w:eastAsia="zh-CN"/>
        </w:rPr>
        <w:t>把预算绩效简单等同于工作目标、工作考核和业务管理。对绩效评价的日常监控和分析，年末的报告不太重视。</w:t>
      </w:r>
    </w:p>
    <w:p>
      <w:pPr>
        <w:keepNext w:val="0"/>
        <w:keepLines w:val="0"/>
        <w:pageBreakBefore w:val="0"/>
        <w:widowControl/>
        <w:kinsoku/>
        <w:wordWrap/>
        <w:overflowPunct/>
        <w:topLinePunct w:val="0"/>
        <w:autoSpaceDE w:val="0"/>
        <w:autoSpaceDN/>
        <w:bidi w:val="0"/>
        <w:adjustRightInd w:val="0"/>
        <w:snapToGrid w:val="0"/>
        <w:spacing w:beforeAutospacing="0" w:afterAutospacing="0" w:line="576" w:lineRule="exact"/>
        <w:ind w:left="0" w:leftChars="0" w:firstLine="611" w:firstLineChars="200"/>
        <w:contextualSpacing/>
        <w:jc w:val="left"/>
        <w:textAlignment w:val="auto"/>
        <w:rPr>
          <w:rFonts w:hint="eastAsia" w:ascii="楷体_GB2312" w:hAnsi="楷体_GB2312" w:eastAsia="楷体_GB2312" w:cs="楷体_GB2312"/>
          <w:b/>
          <w:bCs/>
          <w:spacing w:val="-6"/>
          <w:w w:val="99"/>
          <w:sz w:val="32"/>
          <w:szCs w:val="32"/>
          <w:lang w:val="en-US" w:eastAsia="zh-CN"/>
        </w:rPr>
      </w:pPr>
      <w:r>
        <w:rPr>
          <w:rFonts w:hint="eastAsia" w:ascii="楷体_GB2312" w:hAnsi="楷体_GB2312" w:eastAsia="楷体_GB2312" w:cs="楷体_GB2312"/>
          <w:b/>
          <w:bCs/>
          <w:spacing w:val="-6"/>
          <w:w w:val="99"/>
          <w:sz w:val="32"/>
          <w:szCs w:val="32"/>
          <w:lang w:val="en-US" w:eastAsia="zh-CN"/>
        </w:rPr>
        <w:t>（三）改进建议</w:t>
      </w:r>
    </w:p>
    <w:p>
      <w:pPr>
        <w:keepNext w:val="0"/>
        <w:keepLines w:val="0"/>
        <w:pageBreakBefore w:val="0"/>
        <w:numPr>
          <w:ilvl w:val="0"/>
          <w:numId w:val="0"/>
        </w:numPr>
        <w:kinsoku/>
        <w:wordWrap/>
        <w:overflowPunct/>
        <w:topLinePunct w:val="0"/>
        <w:autoSpaceDN/>
        <w:bidi w:val="0"/>
        <w:spacing w:beforeAutospacing="0" w:afterAutospacing="0"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细化</w:t>
      </w:r>
      <w:r>
        <w:rPr>
          <w:rFonts w:hint="eastAsia" w:ascii="仿宋_GB2312" w:hAnsi="仿宋_GB2312" w:eastAsia="仿宋_GB2312" w:cs="仿宋_GB2312"/>
          <w:b w:val="0"/>
          <w:bCs w:val="0"/>
          <w:sz w:val="32"/>
          <w:szCs w:val="32"/>
          <w:lang w:val="en-US" w:eastAsia="zh-CN"/>
        </w:rPr>
        <w:t>部门</w:t>
      </w:r>
      <w:r>
        <w:rPr>
          <w:rFonts w:hint="eastAsia" w:ascii="仿宋_GB2312" w:hAnsi="仿宋_GB2312" w:eastAsia="仿宋_GB2312" w:cs="仿宋_GB2312"/>
          <w:b w:val="0"/>
          <w:bCs w:val="0"/>
          <w:sz w:val="32"/>
          <w:szCs w:val="32"/>
        </w:rPr>
        <w:t>预算编制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提高</w:t>
      </w:r>
      <w:r>
        <w:rPr>
          <w:rFonts w:hint="eastAsia" w:ascii="仿宋_GB2312" w:hAnsi="仿宋_GB2312" w:eastAsia="仿宋_GB2312" w:cs="仿宋_GB2312"/>
          <w:b w:val="0"/>
          <w:bCs w:val="0"/>
          <w:sz w:val="32"/>
          <w:szCs w:val="32"/>
        </w:rPr>
        <w:t>预算</w:t>
      </w:r>
      <w:r>
        <w:rPr>
          <w:rFonts w:hint="eastAsia" w:ascii="仿宋_GB2312" w:hAnsi="仿宋_GB2312" w:eastAsia="仿宋_GB2312" w:cs="仿宋_GB2312"/>
          <w:b w:val="0"/>
          <w:bCs w:val="0"/>
          <w:sz w:val="32"/>
          <w:szCs w:val="32"/>
          <w:lang w:val="en-US" w:eastAsia="zh-CN"/>
        </w:rPr>
        <w:t>管理水平</w:t>
      </w:r>
      <w:r>
        <w:rPr>
          <w:rFonts w:hint="eastAsia" w:ascii="仿宋_GB2312" w:hAnsi="仿宋_GB2312" w:eastAsia="仿宋_GB2312" w:cs="仿宋_GB2312"/>
          <w:b w:val="0"/>
          <w:bCs w:val="0"/>
          <w:sz w:val="32"/>
          <w:szCs w:val="32"/>
        </w:rPr>
        <w:t>。进一步加强内设机构的预算管理意识，严格按照预算编制的相关制度和要求进行预算编制。加强单位财务管理，健全单位财务管理制度体系，规范部门预算收支核算，切实提高部门预算收支管理水平。</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改进绩效评价方法，提升绩效评价质量。加强对绩效评价方式方法的学习，细化单位各部门人员责任分工，积极探索建立财政支出预算绩效考评制度的思路和方法，认真开展绩效考评工作，确保绩效自评真实、准确、客观，进一步提升绩效评价整体质量。</w:t>
      </w:r>
    </w:p>
    <w:p>
      <w:pPr>
        <w:pStyle w:val="12"/>
        <w:keepNext w:val="0"/>
        <w:keepLines w:val="0"/>
        <w:pageBreakBefore w:val="0"/>
        <w:kinsoku/>
        <w:wordWrap/>
        <w:overflowPunct/>
        <w:topLinePunct w:val="0"/>
        <w:autoSpaceDN/>
        <w:bidi w:val="0"/>
        <w:spacing w:before="0" w:beforeAutospacing="0" w:after="0" w:afterAutospacing="0" w:line="576" w:lineRule="exact"/>
        <w:ind w:left="0" w:leftChars="0"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val="0"/>
          <w:bCs w:val="0"/>
          <w:sz w:val="32"/>
          <w:szCs w:val="32"/>
          <w:lang w:val="en-US" w:eastAsia="zh-CN"/>
        </w:rPr>
        <w:t>3.强化内部监督检查，提高资金使用效益。将财务会计监督纳入日常管理之中，加强对预算执行的监督审核，确保正常运转的资金需要。严格按照预算申请计划，杜绝无预算、超预算用款。要进一步规范和加强资金管理，加快支出预算的执行进度，提高资金使用的规范性、安全性和有效性。</w:t>
      </w: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autoSpaceDE w:val="0"/>
        <w:adjustRightInd w:val="0"/>
        <w:snapToGrid w:val="0"/>
        <w:spacing w:line="576" w:lineRule="exact"/>
        <w:ind w:firstLine="880" w:firstLineChars="200"/>
        <w:contextualSpacing/>
        <w:jc w:val="both"/>
        <w:rPr>
          <w:rFonts w:hint="eastAsia" w:ascii="方正小标宋简体" w:hAnsi="宋体" w:eastAsia="方正小标宋简体" w:cs="宋体"/>
          <w:bCs/>
          <w:color w:val="000000"/>
          <w:kern w:val="0"/>
          <w:sz w:val="44"/>
          <w:szCs w:val="44"/>
        </w:rPr>
      </w:pPr>
    </w:p>
    <w:p>
      <w:pPr>
        <w:autoSpaceDE w:val="0"/>
        <w:adjustRightInd w:val="0"/>
        <w:snapToGrid w:val="0"/>
        <w:spacing w:line="576" w:lineRule="exact"/>
        <w:contextualSpacing/>
        <w:jc w:val="center"/>
        <w:rPr>
          <w:rFonts w:hint="eastAsia" w:ascii="方正小标宋简体" w:hAnsi="宋体" w:eastAsia="方正小标宋简体" w:cs="宋体"/>
          <w:bCs/>
          <w:color w:val="000000"/>
          <w:kern w:val="0"/>
          <w:sz w:val="44"/>
          <w:szCs w:val="44"/>
        </w:rPr>
      </w:pPr>
    </w:p>
    <w:p>
      <w:pPr>
        <w:autoSpaceDE w:val="0"/>
        <w:adjustRightInd w:val="0"/>
        <w:snapToGrid w:val="0"/>
        <w:spacing w:line="576" w:lineRule="exact"/>
        <w:contextualSpacing/>
        <w:jc w:val="center"/>
        <w:rPr>
          <w:rFonts w:hint="eastAsia" w:ascii="方正小标宋简体" w:hAnsi="宋体" w:eastAsia="方正小标宋简体" w:cs="宋体"/>
          <w:bCs/>
          <w:color w:val="000000"/>
          <w:kern w:val="0"/>
          <w:sz w:val="44"/>
          <w:szCs w:val="44"/>
        </w:rPr>
      </w:pPr>
    </w:p>
    <w:p>
      <w:pPr>
        <w:autoSpaceDE w:val="0"/>
        <w:adjustRightInd w:val="0"/>
        <w:snapToGrid w:val="0"/>
        <w:spacing w:line="576" w:lineRule="exact"/>
        <w:contextualSpacing/>
        <w:jc w:val="center"/>
        <w:rPr>
          <w:rFonts w:hint="eastAsia" w:ascii="方正小标宋简体" w:hAnsi="宋体" w:eastAsia="方正小标宋简体" w:cs="宋体"/>
          <w:bCs/>
          <w:color w:val="000000"/>
          <w:kern w:val="0"/>
          <w:sz w:val="44"/>
          <w:szCs w:val="44"/>
        </w:rPr>
      </w:pPr>
    </w:p>
    <w:p>
      <w:pPr>
        <w:autoSpaceDE w:val="0"/>
        <w:adjustRightInd w:val="0"/>
        <w:snapToGrid w:val="0"/>
        <w:spacing w:line="576" w:lineRule="exact"/>
        <w:contextualSpacing/>
        <w:jc w:val="center"/>
        <w:rPr>
          <w:rFonts w:hint="eastAsia" w:ascii="方正小标宋简体" w:hAnsi="宋体" w:eastAsia="方正小标宋简体" w:cs="宋体"/>
          <w:bCs/>
          <w:color w:val="000000"/>
          <w:kern w:val="0"/>
          <w:sz w:val="44"/>
          <w:szCs w:val="44"/>
        </w:rPr>
      </w:pPr>
    </w:p>
    <w:p>
      <w:pPr>
        <w:autoSpaceDE w:val="0"/>
        <w:adjustRightInd w:val="0"/>
        <w:snapToGrid w:val="0"/>
        <w:spacing w:line="576" w:lineRule="exact"/>
        <w:contextualSpacing/>
        <w:jc w:val="center"/>
        <w:rPr>
          <w:rFonts w:hint="eastAsia" w:ascii="方正小标宋简体" w:hAnsi="宋体" w:eastAsia="方正小标宋简体" w:cs="宋体"/>
          <w:bCs/>
          <w:color w:val="000000"/>
          <w:kern w:val="0"/>
          <w:sz w:val="44"/>
          <w:szCs w:val="44"/>
        </w:rPr>
      </w:pPr>
    </w:p>
    <w:p>
      <w:pPr>
        <w:autoSpaceDE w:val="0"/>
        <w:adjustRightInd w:val="0"/>
        <w:snapToGrid w:val="0"/>
        <w:spacing w:line="576" w:lineRule="exact"/>
        <w:contextualSpacing/>
        <w:jc w:val="center"/>
        <w:rPr>
          <w:rFonts w:hint="eastAsia" w:ascii="方正小标宋简体" w:hAnsi="宋体" w:eastAsia="方正小标宋简体" w:cs="宋体"/>
          <w:bCs/>
          <w:color w:val="000000"/>
          <w:kern w:val="0"/>
          <w:sz w:val="44"/>
          <w:szCs w:val="44"/>
        </w:rPr>
      </w:pPr>
    </w:p>
    <w:tbl>
      <w:tblPr>
        <w:tblStyle w:val="15"/>
        <w:tblW w:w="10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11"/>
        <w:gridCol w:w="1140"/>
        <w:gridCol w:w="1695"/>
        <w:gridCol w:w="705"/>
        <w:gridCol w:w="780"/>
        <w:gridCol w:w="629"/>
        <w:gridCol w:w="846"/>
        <w:gridCol w:w="576"/>
        <w:gridCol w:w="576"/>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严格执行相关政策，及时、足额发放公务员年度考核优秀奖励金1人1500元，无结余资金。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发放公务员年度考核优秀奖励金1人，标准为1500元。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0.15</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追加王成明2021年度考核优秀获嘉奖奖励金。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0.15</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发放（缴纳）覆盖率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足额保障率（参保率）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按严格执行相关政策，为符合独子费发放条件人员及时、足额发放费用，无结余资金。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为符合条件的3人按月发放独生子女补贴，标准为单职工20元/人.月、双职工10元/人.月。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0.04</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0.04</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严格执行相关政策，保障在职人员目标绩效奖及时、足额发放，预算编制科学合理，无结余资金。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按照《朝天区在职人员基础绩效奖标准表》，根据在职人员职务职级情况按月、足额发放目标绩效奖。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因年中人员变动（6月减少1人、7月增加1人，8月减少1人，12月增加1人），按人员职务职级情况调整预算。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严格执行相关政策，及时、足额发放在职4名公务员公务用车补助，无结余资金。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发放在职4名公务员公务用车补助，保障正常公务活动开展。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3.23</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因年中人员变动（6月减少1人、7月增加1人，8月减少1人，12月增加1人），按人员职务职级情况调整预算。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3.23</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维护1条金财网运行正常，保障各项财政资金使用渠道畅通。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维护1条金财网运行正常，保障各项财政资金使用渠道畅通。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格执行相关政策，保障工资及时、足额发放或社保及时、足额缴纳，预算编制科学合理，无结余资金。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按现行规定标准，按月及时、足额为在职人员发放工资。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27.48</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因年中人员变动（6月减少1人、7月增加1人，8月减少1人，12月增加1人），按人员职务职级情况调整预算。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27.48</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严格执行相关政策，保障职工养老保险及时、足额缴纳，预算编制科学合理，无结余资金。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严格执行相关政策，按月及时、足额为单位在职人员缴纳养老保险。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因年中人员变动（6月减少1人、7月增加1人，8月减少1人，12月增加1人），按人员职务职级情况调整预算。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严格执行相关政策，保障职工医疗保险及时、足额缴纳，预算编制科学合理，无结余资金。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严格执行相关政策，按月及时、足额为单位在职人员缴纳医疗保险。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因年中人员变动（6月减少1人、7月增加1人，8月减少1人，12月增加1人），按人员职务职级情况调整预算。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严格执行相关政策，及时、足额为单位在职人员缴纳住房公积金。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严格执行相关政策，按月及时、足额为单位在职人员缴纳住房公积金。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因年中人员变动（6月减少1人、7月增加1人，8月减少1人，12月增加1人），按人员职务职级情况调整预算。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本项目自评体系由项目管理、项目决策、项目绩效三个方面的构成，通过开展绩效自评，得分100分，评价等次为“优”。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51081222T000005689630-目标事务工作经费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下达各单位目标任务，并进行目标任务的督促，确保完成区定目标任务。</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完成区定目标考评工作1次、区定目标调度工作4次、资料印制1300件，下达各单位区定目标任务7次，促进全年目标任务圆满完成。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实施内容包括拟订乡镇和区级部门绩效考核指标，协助开展目标绩效指标运行监测、考核评估工作；协助区目标绩效管理办公室做好市委、市政府下达的目标绩效任务的分解，以及运行监控等协调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资料印制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区定目标调度工作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区定目标考评工作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下达区定目标任务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项目按期完成率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目标事务管理工作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促进全年目标完成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本项目自评体系由项目管理、项目决策、项目绩效三个方面的8个二级指标16个三级指标构成，通过开展绩效自评，得分97分，评价等次为“优”。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本单位人员编制较少，工作经费不足，导致目标绩效管理工作不能满足市下目标工作的要求。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为保证资金安全运行，防止被挤占挪用，根据项目管理的要求，以单独反映项目资金的使用情况，准确核算项目成本并同时反映出预算的合理性。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51081222T000005724492-督导组工作经费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按照区委区政府安排部署扎实开展重点工作督导，推动各项决策部署有效落实，助推朝天经济社会发展各项工作顺利完成预期目标。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6个重点督导组11人开展工作督导310次，督导乡镇和部门顺利完成区委下达的目标任务率100%。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该项目实施内容主要保障区委、区政府六个重点工作督导组对全区重点工作督导的正常开展。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工作督导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6个重点督导组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督导乡镇和部门顺利完成区委下达的目标任务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按时限完成项目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全年开展督导工作产生的工作经费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全年工作的完成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服务对象满意度达95%以上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本项目自评体系由项目管理、项目决策、项目绩效三个方面的8个二级指标16个三级指标构成，通过开展绩效自评，得分98分，评价等次为“优”。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我区重点工作督查头绪多，任务重，上级部门督查次数频繁，经费严重不足。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建议提高督查工作经费预算，抓好我区督查工作的规范化、制度化建设，提高督查工作的积极性。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51081222T000005936181-督查工作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对全区工作开展200余次的督查，迎接上级部门督查检查30余次，确保全区工作全面完成。</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该项目实施内容主要包括对全区工作开展督查，顺利迎接上级部门督查检查，确保全区工作全面完成。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r>
              <w:rPr>
                <w:rFonts w:ascii="宋体" w:hAnsi="宋体" w:eastAsia="宋体" w:cs="宋体"/>
                <w:i w:val="0"/>
                <w:iCs w:val="0"/>
                <w:color w:val="000000"/>
                <w:kern w:val="0"/>
                <w:sz w:val="15"/>
                <w:szCs w:val="15"/>
                <w:u w:val="none"/>
                <w:lang w:val="en-US" w:eastAsia="zh-CN" w:bidi="ar"/>
              </w:rPr>
              <w:t>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迎接上级部门督查检查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对全区工作开展情况进行督查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迎接上级部门督查检查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对全区工作开展情况进行督查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督查工作顺利开展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本项目自评体系由项目管理、项目决策、项目绩效三个方面的8个二级指标16个三级指标构成，通过开展绩效自评，得分98分，评价等次为“优”。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我区重点工作督查头绪多，任务重，上级部门督查次数频繁，经费严重不足。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建议提高督查工作经费预算，抓好我区督查工作的规范化、制度化建设，提高督查工作的积极性。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51081222T000005936196-省委巡视整改及民生工作经费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做好省委巡视整改工作和民生实事相关工作，促进各部门完成省委巡视问题的整改和朝天区民生实事工作顺利完成</w:t>
            </w:r>
            <w:r>
              <w:rPr>
                <w:rFonts w:hint="eastAsia" w:ascii="宋体" w:hAnsi="宋体" w:eastAsia="宋体" w:cs="宋体"/>
                <w:i w:val="0"/>
                <w:iCs w:val="0"/>
                <w:color w:val="000000"/>
                <w:kern w:val="0"/>
                <w:sz w:val="18"/>
                <w:szCs w:val="18"/>
                <w:u w:val="none"/>
                <w:lang w:val="en-US" w:eastAsia="zh-CN" w:bidi="ar"/>
              </w:rPr>
              <w:t>。</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做好省委巡视整改工作和民生实事相关工作，促进各部门完成省委巡视问题整改“优”、促进朝天区教育卫生等民生工作顺利完成“优”，服务对象满意率95%。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该项目实施内容主要为做好省委巡视整改工作和民生实事相关工作，促进各部门完成省委巡视问题的整改和朝天区民生实事工作顺利完成。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巡视工作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民生实事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民生实事工作成本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巡视工作成本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促进朝天区教育卫生等工作顺利完成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促进各部门完成省委巡视问题整改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本项目自评体系由项目管理、项目决策、项目绩效三个方面的8个二级指标16个三级指标构成，通过开展绩效自评，得分95分，评价等次为“优”。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每年省定、市定、区人大代表票决的民生实事项目大约有40多件，涉及基础设施建设、教育医疗、交通出行等多方面，我中心作为该项工作的牵头部门，工作内容多、任务重，工作经费严重不足。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为进一步抓好民生实事推进工作，全力推动“民生清单”变成人民群众的“幸福账单”，建议提高民生实事工作经费预算，保障各项相关工作顺利开展。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主要用于支付日常公工作中产生的办公费、印刷费、水费、电费、邮电费、差旅费、维修（护）费、租赁费、会议费、公务接待费等，以保障公务活动正常开展。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8.36</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年中将重点工作督导组6人公用经费调整划转至我单位。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8.36</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年初预算为按本单位在职4人测算，年中将督导组6人公用经费划转至本单位导致预算调整。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本项目自评体系由项目管理、项目决策、项目绩效三个方面的8个二级指标16个三级指标构成，通过开展绩效自评，得分90分，评价等次为“优”。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10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目标绩效管理经费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广元市朝天区目标绩效事务中心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下达各单位目标任务，并进行目标任务的督促，确保完成区定目标任务。</w:t>
            </w:r>
          </w:p>
        </w:tc>
        <w:tc>
          <w:tcPr>
            <w:tcW w:w="3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完成区定目标考评工作1次、区定目标调度工作4次、资料印制200件，促进全年目标任务圆满完成。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实施内容主要包括拟订乡镇和区级部门绩效考核指标，协助开展目标绩效指标运行监测、考核评估工作；协助区目标绩效管理办公室做好市委、市政府下达的目标绩效任务的分解，以及运行监控等协调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年初预算为按本单位在职4人测算，年中将督导组6人公用经费划转至本单位导致预算调整。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完成目标工作调度及考评次数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项目按期完成率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目标绩效管理工作成本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5.49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促进全年目标完成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本项目自评体系由项目管理、项目决策、项目绩效三个方面的8个二级指标16个三级指标构成，通过开展绩效自评，得分97分，评价等次为“优”。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本单位人员编制较少，工作经费不足，导致目标绩效管理工作不能满足市下目标工作的要求。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10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为保证资金安全运行，防止被挤占挪用，根据项目管理的要求，以单独反映项目资金的使用情况，准确核算项目成本并同时反映出预算的合理性。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项目负责人：王成明</w:t>
            </w:r>
          </w:p>
        </w:tc>
        <w:tc>
          <w:tcPr>
            <w:tcW w:w="51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财务负责人：唐玉梅</w:t>
            </w:r>
          </w:p>
        </w:tc>
      </w:tr>
    </w:tbl>
    <w:p>
      <w:pPr>
        <w:spacing w:line="572" w:lineRule="exact"/>
        <w:jc w:val="left"/>
        <w:outlineLvl w:val="9"/>
        <w:rPr>
          <w:rFonts w:hint="eastAsia" w:ascii="黑体" w:hAnsi="黑体" w:eastAsia="黑体" w:cs="黑体"/>
          <w:b w:val="0"/>
          <w:bCs w:val="0"/>
          <w:sz w:val="32"/>
          <w:szCs w:val="32"/>
          <w:lang w:val="en-US" w:eastAsia="zh-CN"/>
        </w:rPr>
      </w:pPr>
      <w:bookmarkStart w:id="147" w:name="_Toc14340"/>
      <w:bookmarkStart w:id="148" w:name="_Toc30418"/>
      <w:bookmarkStart w:id="149" w:name="_Toc15396618"/>
    </w:p>
    <w:p>
      <w:pPr>
        <w:spacing w:line="572" w:lineRule="exact"/>
        <w:jc w:val="left"/>
        <w:outlineLvl w:val="1"/>
        <w:rPr>
          <w:rFonts w:hint="eastAsia" w:ascii="黑体" w:hAnsi="黑体" w:eastAsia="黑体" w:cs="黑体"/>
          <w:b w:val="0"/>
          <w:bCs w:val="0"/>
          <w:sz w:val="32"/>
          <w:szCs w:val="32"/>
        </w:rPr>
      </w:pPr>
      <w:bookmarkStart w:id="150" w:name="_Toc25165"/>
      <w:r>
        <w:rPr>
          <w:rFonts w:hint="eastAsia" w:ascii="黑体" w:hAnsi="黑体" w:eastAsia="黑体" w:cs="黑体"/>
          <w:b w:val="0"/>
          <w:bCs w:val="0"/>
          <w:sz w:val="32"/>
          <w:szCs w:val="32"/>
          <w:lang w:val="en-US" w:eastAsia="zh-CN"/>
        </w:rPr>
        <w:t>附件2</w:t>
      </w:r>
      <w:bookmarkEnd w:id="147"/>
      <w:bookmarkEnd w:id="148"/>
      <w:bookmarkEnd w:id="150"/>
    </w:p>
    <w:p>
      <w:pPr>
        <w:autoSpaceDE w:val="0"/>
        <w:spacing w:line="550" w:lineRule="exact"/>
        <w:jc w:val="center"/>
        <w:rPr>
          <w:rFonts w:ascii="方正小标宋简体" w:hAnsi="宋体"/>
          <w:color w:val="000000"/>
          <w:w w:val="95"/>
          <w:kern w:val="0"/>
          <w:sz w:val="44"/>
          <w:szCs w:val="44"/>
        </w:rPr>
      </w:pPr>
      <w:r>
        <w:rPr>
          <w:rFonts w:ascii="方正小标宋简体" w:hAnsi="方正小标宋简体" w:eastAsia="方正小标宋简体" w:cs="方正小标宋简体"/>
          <w:color w:val="000000"/>
          <w:w w:val="95"/>
          <w:kern w:val="0"/>
          <w:sz w:val="44"/>
          <w:szCs w:val="44"/>
        </w:rPr>
        <w:t>2022</w:t>
      </w:r>
      <w:r>
        <w:rPr>
          <w:rFonts w:hint="eastAsia" w:ascii="方正小标宋简体" w:hAnsi="方正小标宋简体" w:eastAsia="方正小标宋简体" w:cs="方正小标宋简体"/>
          <w:color w:val="000000"/>
          <w:w w:val="95"/>
          <w:kern w:val="0"/>
          <w:sz w:val="44"/>
          <w:szCs w:val="44"/>
        </w:rPr>
        <w:t>年度目标事务工作项目支出绩效自评报告</w:t>
      </w:r>
    </w:p>
    <w:p>
      <w:pPr>
        <w:spacing w:line="572" w:lineRule="exact"/>
        <w:jc w:val="left"/>
        <w:outlineLvl w:val="9"/>
        <w:rPr>
          <w:rFonts w:hint="eastAsia" w:ascii="黑体" w:hAnsi="黑体" w:eastAsia="黑体"/>
          <w:sz w:val="32"/>
          <w:szCs w:val="32"/>
        </w:rPr>
      </w:pPr>
    </w:p>
    <w:p>
      <w:pPr>
        <w:autoSpaceDE w:val="0"/>
        <w:adjustRightInd w:val="0"/>
        <w:snapToGrid w:val="0"/>
        <w:spacing w:line="550" w:lineRule="exact"/>
        <w:ind w:firstLine="640" w:firstLineChars="200"/>
        <w:rPr>
          <w:rFonts w:ascii="黑体" w:hAnsi="宋体" w:eastAsia="黑体"/>
          <w:sz w:val="32"/>
          <w:szCs w:val="32"/>
        </w:rPr>
      </w:pPr>
      <w:r>
        <w:rPr>
          <w:rFonts w:hint="eastAsia" w:ascii="黑体" w:hAnsi="黑体" w:eastAsia="黑体"/>
          <w:sz w:val="32"/>
          <w:szCs w:val="32"/>
        </w:rPr>
        <w:t>一、项目概况</w:t>
      </w:r>
    </w:p>
    <w:p>
      <w:pPr>
        <w:spacing w:line="55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（一）项目资金申报及批复情况</w:t>
      </w:r>
    </w:p>
    <w:p>
      <w:pPr>
        <w:spacing w:line="550" w:lineRule="exact"/>
        <w:ind w:firstLine="640" w:firstLineChars="200"/>
        <w:rPr>
          <w:rFonts w:hint="eastAsia" w:ascii="仿宋_GB2312" w:hAnsi="宋体" w:eastAsia="仿宋_GB2312"/>
          <w:sz w:val="32"/>
          <w:szCs w:val="32"/>
        </w:rPr>
      </w:pPr>
      <w:r>
        <w:rPr>
          <w:rFonts w:hint="eastAsia" w:ascii="仿宋_GB2312" w:hAnsi="仿宋" w:eastAsia="仿宋_GB2312" w:cs="仿宋"/>
          <w:sz w:val="32"/>
          <w:szCs w:val="32"/>
        </w:rPr>
        <w:t>2022年目标事务工作共申报工作经费20万元，区财政批复下拨资金20万元，均为本级一般公共预算资金。</w:t>
      </w:r>
    </w:p>
    <w:p>
      <w:pPr>
        <w:autoSpaceDE w:val="0"/>
        <w:adjustRightInd w:val="0"/>
        <w:snapToGrid w:val="0"/>
        <w:spacing w:line="550" w:lineRule="exact"/>
        <w:ind w:firstLine="640" w:firstLineChars="200"/>
        <w:rPr>
          <w:rFonts w:ascii="楷体_GB2312" w:hAnsi="宋体" w:eastAsia="楷体_GB2312"/>
          <w:sz w:val="32"/>
          <w:szCs w:val="32"/>
        </w:rPr>
      </w:pPr>
      <w:r>
        <w:rPr>
          <w:rFonts w:hint="eastAsia" w:ascii="楷体_GB2312" w:hAnsi="宋体" w:eastAsia="楷体_GB2312"/>
          <w:sz w:val="32"/>
          <w:szCs w:val="32"/>
        </w:rPr>
        <w:t>（二）项目绩效目标</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项目主要内容。该项目实施主体是区目标绩效事务中心。实施内容主要包括拟订乡镇和区级部门绩效考核指标，协助开展目标绩效指标运行监测、考核评估工作；协助区目标绩效管理办公室做好市委、市政府下达的目标绩效任务的分解，以及运行监控等协调服务工作。</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．项目应实现的具体绩效目标。该项目从数量、质量、时效、经济成本、社会效益、满意度指标等</w:t>
      </w:r>
      <w:r>
        <w:rPr>
          <w:rFonts w:ascii="仿宋_GB2312" w:hAnsi="仿宋" w:eastAsia="仿宋_GB2312" w:cs="仿宋"/>
          <w:sz w:val="32"/>
          <w:szCs w:val="32"/>
        </w:rPr>
        <w:t>6</w:t>
      </w:r>
      <w:r>
        <w:rPr>
          <w:rFonts w:hint="eastAsia" w:ascii="仿宋_GB2312" w:hAnsi="仿宋" w:eastAsia="仿宋_GB2312" w:cs="仿宋"/>
          <w:sz w:val="32"/>
          <w:szCs w:val="32"/>
        </w:rPr>
        <w:t>个方面设置了</w:t>
      </w:r>
      <w:r>
        <w:rPr>
          <w:rFonts w:ascii="仿宋_GB2312" w:hAnsi="仿宋" w:eastAsia="仿宋_GB2312" w:cs="仿宋"/>
          <w:sz w:val="32"/>
          <w:szCs w:val="32"/>
        </w:rPr>
        <w:t>7</w:t>
      </w:r>
      <w:r>
        <w:rPr>
          <w:rFonts w:hint="eastAsia" w:ascii="仿宋_GB2312" w:hAnsi="仿宋" w:eastAsia="仿宋_GB2312" w:cs="仿宋"/>
          <w:sz w:val="32"/>
          <w:szCs w:val="32"/>
        </w:rPr>
        <w:t>个具体绩效目标，包括：完成区定目标考评工作</w:t>
      </w:r>
      <w:r>
        <w:rPr>
          <w:rFonts w:ascii="仿宋_GB2312" w:hAnsi="仿宋" w:eastAsia="仿宋_GB2312" w:cs="仿宋"/>
          <w:sz w:val="32"/>
          <w:szCs w:val="32"/>
        </w:rPr>
        <w:t>1</w:t>
      </w:r>
      <w:r>
        <w:rPr>
          <w:rFonts w:hint="eastAsia" w:ascii="仿宋_GB2312" w:hAnsi="仿宋" w:eastAsia="仿宋_GB2312" w:cs="仿宋"/>
          <w:sz w:val="32"/>
          <w:szCs w:val="32"/>
        </w:rPr>
        <w:t>次、区定目标调度工作</w:t>
      </w:r>
      <w:r>
        <w:rPr>
          <w:rFonts w:ascii="仿宋_GB2312" w:hAnsi="仿宋" w:eastAsia="仿宋_GB2312" w:cs="仿宋"/>
          <w:sz w:val="32"/>
          <w:szCs w:val="32"/>
        </w:rPr>
        <w:t>4</w:t>
      </w:r>
      <w:r>
        <w:rPr>
          <w:rFonts w:hint="eastAsia" w:ascii="仿宋_GB2312" w:hAnsi="仿宋" w:eastAsia="仿宋_GB2312" w:cs="仿宋"/>
          <w:sz w:val="32"/>
          <w:szCs w:val="32"/>
        </w:rPr>
        <w:t>次、资料印制</w:t>
      </w:r>
      <w:r>
        <w:rPr>
          <w:rFonts w:ascii="仿宋_GB2312" w:hAnsi="仿宋" w:eastAsia="仿宋_GB2312" w:cs="仿宋"/>
          <w:sz w:val="32"/>
          <w:szCs w:val="32"/>
        </w:rPr>
        <w:t>1300</w:t>
      </w:r>
      <w:r>
        <w:rPr>
          <w:rFonts w:hint="eastAsia" w:ascii="仿宋_GB2312" w:hAnsi="仿宋" w:eastAsia="仿宋_GB2312" w:cs="仿宋"/>
          <w:sz w:val="32"/>
          <w:szCs w:val="32"/>
        </w:rPr>
        <w:t>件、下达各单位区定目标任务</w:t>
      </w:r>
      <w:r>
        <w:rPr>
          <w:rFonts w:ascii="仿宋_GB2312" w:hAnsi="仿宋" w:eastAsia="仿宋_GB2312" w:cs="仿宋"/>
          <w:sz w:val="32"/>
          <w:szCs w:val="32"/>
        </w:rPr>
        <w:t>7</w:t>
      </w:r>
      <w:r>
        <w:rPr>
          <w:rFonts w:hint="eastAsia" w:ascii="仿宋_GB2312" w:hAnsi="仿宋" w:eastAsia="仿宋_GB2312" w:cs="仿宋"/>
          <w:sz w:val="32"/>
          <w:szCs w:val="32"/>
        </w:rPr>
        <w:t>次、项目按期完成率</w:t>
      </w:r>
      <w:r>
        <w:rPr>
          <w:rFonts w:ascii="仿宋_GB2312" w:hAnsi="仿宋" w:eastAsia="仿宋_GB2312" w:cs="仿宋"/>
          <w:sz w:val="32"/>
          <w:szCs w:val="32"/>
        </w:rPr>
        <w:t>100%</w:t>
      </w:r>
      <w:r>
        <w:rPr>
          <w:rFonts w:hint="eastAsia" w:ascii="仿宋_GB2312" w:hAnsi="仿宋" w:eastAsia="仿宋_GB2312" w:cs="仿宋"/>
          <w:sz w:val="32"/>
          <w:szCs w:val="32"/>
        </w:rPr>
        <w:t>、目标事务管理工作成本</w:t>
      </w:r>
      <w:r>
        <w:rPr>
          <w:rFonts w:ascii="仿宋_GB2312" w:hAnsi="仿宋" w:eastAsia="仿宋_GB2312" w:cs="仿宋"/>
          <w:sz w:val="32"/>
          <w:szCs w:val="32"/>
        </w:rPr>
        <w:t>20</w:t>
      </w:r>
      <w:r>
        <w:rPr>
          <w:rFonts w:hint="eastAsia" w:ascii="仿宋_GB2312" w:hAnsi="仿宋" w:eastAsia="仿宋_GB2312" w:cs="仿宋"/>
          <w:sz w:val="32"/>
          <w:szCs w:val="32"/>
        </w:rPr>
        <w:t>万元、进行目标任务运行监控促进全年目标</w:t>
      </w:r>
      <w:r>
        <w:rPr>
          <w:rFonts w:ascii="仿宋_GB2312" w:hAnsi="仿宋" w:eastAsia="仿宋_GB2312" w:cs="仿宋"/>
          <w:sz w:val="32"/>
          <w:szCs w:val="32"/>
        </w:rPr>
        <w:t>100%</w:t>
      </w:r>
      <w:r>
        <w:rPr>
          <w:rFonts w:hint="eastAsia" w:ascii="仿宋_GB2312" w:hAnsi="仿宋" w:eastAsia="仿宋_GB2312" w:cs="仿宋"/>
          <w:sz w:val="32"/>
          <w:szCs w:val="32"/>
        </w:rPr>
        <w:t>完成、服务对象满意率</w:t>
      </w:r>
      <w:r>
        <w:rPr>
          <w:rFonts w:ascii="仿宋_GB2312" w:hAnsi="仿宋" w:eastAsia="仿宋_GB2312" w:cs="仿宋"/>
          <w:sz w:val="32"/>
          <w:szCs w:val="32"/>
        </w:rPr>
        <w:t>98%</w:t>
      </w:r>
      <w:r>
        <w:rPr>
          <w:rFonts w:hint="eastAsia" w:ascii="仿宋_GB2312" w:hAnsi="仿宋" w:eastAsia="仿宋_GB2312" w:cs="仿宋"/>
          <w:sz w:val="32"/>
          <w:szCs w:val="32"/>
        </w:rPr>
        <w:t>。</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．项目资金申报相符性。项目资金使用符合相关的财务管理制度规定，不存在截留、挤占、挪用、虚列支出等情况。</w:t>
      </w:r>
    </w:p>
    <w:p>
      <w:pPr>
        <w:autoSpaceDE w:val="0"/>
        <w:adjustRightInd w:val="0"/>
        <w:snapToGrid w:val="0"/>
        <w:spacing w:line="550" w:lineRule="exact"/>
        <w:ind w:firstLine="640" w:firstLineChars="200"/>
        <w:rPr>
          <w:rFonts w:ascii="楷体_GB2312" w:hAnsi="宋体" w:eastAsia="楷体_GB2312"/>
          <w:sz w:val="32"/>
          <w:szCs w:val="32"/>
        </w:rPr>
      </w:pPr>
      <w:r>
        <w:rPr>
          <w:rFonts w:hint="eastAsia" w:ascii="楷体_GB2312" w:hAnsi="宋体" w:eastAsia="楷体_GB2312"/>
          <w:sz w:val="32"/>
          <w:szCs w:val="32"/>
        </w:rPr>
        <w:t>（三）项目自评步骤及方法</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立由中心主任担任组长，分管副主任担任副组长，各股室负责人及财务工作人员为成员的绩效评价领导小组。根据绩效自评工作安排，项目承担股室对照区财政年初批复的预算金额和绩效目标，认真盘点统计各项目实施情况，由业务分管领导对项目实施情况和绩效完成情况进行核查，审核后提交财务人员进行总结分析并形成报告上报财政部门复核。</w:t>
      </w:r>
    </w:p>
    <w:p>
      <w:pPr>
        <w:autoSpaceDE w:val="0"/>
        <w:adjustRightInd w:val="0"/>
        <w:snapToGrid w:val="0"/>
        <w:spacing w:line="550" w:lineRule="exact"/>
        <w:ind w:firstLine="640" w:firstLineChars="200"/>
        <w:rPr>
          <w:rFonts w:ascii="黑体" w:hAnsi="宋体" w:eastAsia="黑体"/>
          <w:sz w:val="32"/>
          <w:szCs w:val="32"/>
        </w:rPr>
      </w:pPr>
      <w:r>
        <w:rPr>
          <w:rFonts w:hint="eastAsia" w:ascii="黑体" w:hAnsi="黑体" w:eastAsia="黑体"/>
          <w:sz w:val="32"/>
          <w:szCs w:val="32"/>
        </w:rPr>
        <w:t>二、项目资金申报及使用情况</w:t>
      </w:r>
    </w:p>
    <w:p>
      <w:pPr>
        <w:autoSpaceDE w:val="0"/>
        <w:adjustRightInd w:val="0"/>
        <w:snapToGrid w:val="0"/>
        <w:spacing w:line="550" w:lineRule="exact"/>
        <w:ind w:firstLine="640" w:firstLineChars="200"/>
        <w:rPr>
          <w:rFonts w:ascii="仿宋_GB2312" w:hAnsi="宋体" w:eastAsia="仿宋_GB2312"/>
          <w:sz w:val="32"/>
          <w:szCs w:val="32"/>
        </w:rPr>
      </w:pPr>
      <w:r>
        <w:rPr>
          <w:rFonts w:hint="eastAsia" w:ascii="楷体_GB2312" w:hAnsi="Times New Roman" w:eastAsia="楷体_GB2312"/>
          <w:sz w:val="32"/>
          <w:szCs w:val="32"/>
        </w:rPr>
        <w:t>（一）资金计划、到位及使用情况</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．资金计划及到位。</w:t>
      </w:r>
      <w:r>
        <w:rPr>
          <w:rFonts w:ascii="仿宋_GB2312" w:hAnsi="仿宋" w:eastAsia="仿宋_GB2312" w:cs="仿宋"/>
          <w:sz w:val="32"/>
          <w:szCs w:val="32"/>
        </w:rPr>
        <w:t>2022</w:t>
      </w:r>
      <w:r>
        <w:rPr>
          <w:rFonts w:hint="eastAsia" w:ascii="仿宋_GB2312" w:hAnsi="仿宋" w:eastAsia="仿宋_GB2312" w:cs="仿宋"/>
          <w:sz w:val="32"/>
          <w:szCs w:val="32"/>
        </w:rPr>
        <w:t>年目标事务工作项目资金到位</w:t>
      </w:r>
      <w:r>
        <w:rPr>
          <w:rFonts w:ascii="仿宋_GB2312" w:hAnsi="仿宋" w:eastAsia="仿宋_GB2312" w:cs="仿宋"/>
          <w:sz w:val="32"/>
          <w:szCs w:val="32"/>
        </w:rPr>
        <w:t>20</w:t>
      </w:r>
      <w:r>
        <w:rPr>
          <w:rFonts w:hint="eastAsia" w:ascii="仿宋_GB2312" w:hAnsi="仿宋" w:eastAsia="仿宋_GB2312" w:cs="仿宋"/>
          <w:sz w:val="32"/>
          <w:szCs w:val="32"/>
        </w:rPr>
        <w:t>万元。全年支出会议费及印刷费、市下目标调度工作共计</w:t>
      </w:r>
      <w:r>
        <w:rPr>
          <w:rFonts w:ascii="仿宋_GB2312" w:hAnsi="仿宋" w:eastAsia="仿宋_GB2312" w:cs="仿宋"/>
          <w:sz w:val="32"/>
          <w:szCs w:val="32"/>
        </w:rPr>
        <w:t>20</w:t>
      </w:r>
      <w:r>
        <w:rPr>
          <w:rFonts w:hint="eastAsia" w:ascii="仿宋_GB2312" w:hAnsi="仿宋" w:eastAsia="仿宋_GB2312" w:cs="仿宋"/>
          <w:sz w:val="32"/>
          <w:szCs w:val="32"/>
        </w:rPr>
        <w:t>万元。</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．资金使用。</w:t>
      </w:r>
      <w:r>
        <w:rPr>
          <w:rFonts w:ascii="仿宋_GB2312" w:hAnsi="仿宋" w:eastAsia="仿宋_GB2312" w:cs="仿宋"/>
          <w:sz w:val="32"/>
          <w:szCs w:val="32"/>
        </w:rPr>
        <w:t>2022</w:t>
      </w:r>
      <w:r>
        <w:rPr>
          <w:rFonts w:hint="eastAsia" w:ascii="仿宋_GB2312" w:hAnsi="仿宋" w:eastAsia="仿宋_GB2312" w:cs="仿宋"/>
          <w:sz w:val="32"/>
          <w:szCs w:val="32"/>
        </w:rPr>
        <w:t>年资金已全部执行，无虚列支出、截留挤占挪用，无超预算等现象。</w:t>
      </w:r>
    </w:p>
    <w:p>
      <w:pPr>
        <w:autoSpaceDE w:val="0"/>
        <w:spacing w:line="55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（二）项目财务管理情况</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5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（三）项目组织实施情况</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严格按照年初制定的项目资金实施方案组织实施项目，项目完工初审后，统一组织相关人员开展检查，由项目实施部门将申报材料和初审意见等资料报财政部门复核，领导审核后兑付资金。</w:t>
      </w:r>
    </w:p>
    <w:p>
      <w:pPr>
        <w:autoSpaceDE w:val="0"/>
        <w:adjustRightInd w:val="0"/>
        <w:snapToGrid w:val="0"/>
        <w:spacing w:line="550" w:lineRule="exact"/>
        <w:ind w:firstLine="640" w:firstLineChars="200"/>
        <w:rPr>
          <w:rFonts w:ascii="仿宋_GB2312" w:hAnsi="宋体" w:eastAsia="仿宋_GB2312"/>
          <w:sz w:val="32"/>
          <w:szCs w:val="32"/>
        </w:rPr>
      </w:pPr>
      <w:r>
        <w:rPr>
          <w:rFonts w:hint="eastAsia" w:ascii="黑体" w:hAnsi="黑体" w:eastAsia="黑体"/>
          <w:sz w:val="32"/>
          <w:szCs w:val="32"/>
        </w:rPr>
        <w:t>三、项目绩效情况</w:t>
      </w:r>
      <w:r>
        <w:rPr>
          <w:rFonts w:ascii="仿宋_GB2312" w:hAnsi="宋体" w:eastAsia="仿宋_GB2312"/>
          <w:sz w:val="32"/>
          <w:szCs w:val="32"/>
        </w:rPr>
        <w:tab/>
      </w:r>
    </w:p>
    <w:p>
      <w:pPr>
        <w:spacing w:line="550" w:lineRule="exact"/>
        <w:ind w:firstLine="640" w:firstLineChars="200"/>
        <w:rPr>
          <w:rFonts w:ascii="楷体_GB2312" w:hAnsi="宋体" w:eastAsia="楷体_GB2312"/>
          <w:sz w:val="32"/>
          <w:szCs w:val="32"/>
        </w:rPr>
      </w:pPr>
      <w:r>
        <w:rPr>
          <w:rFonts w:hint="eastAsia" w:ascii="楷体_GB2312" w:hAnsi="宋体" w:eastAsia="楷体_GB2312"/>
          <w:sz w:val="32"/>
          <w:szCs w:val="32"/>
        </w:rPr>
        <w:t>（一）项目完成情况</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．数量指标：完成区定目标考评工作</w:t>
      </w:r>
      <w:r>
        <w:rPr>
          <w:rFonts w:ascii="仿宋_GB2312" w:hAnsi="仿宋" w:eastAsia="仿宋_GB2312" w:cs="仿宋"/>
          <w:sz w:val="32"/>
          <w:szCs w:val="32"/>
        </w:rPr>
        <w:t>1</w:t>
      </w:r>
      <w:r>
        <w:rPr>
          <w:rFonts w:hint="eastAsia" w:ascii="仿宋_GB2312" w:hAnsi="仿宋" w:eastAsia="仿宋_GB2312" w:cs="仿宋"/>
          <w:sz w:val="32"/>
          <w:szCs w:val="32"/>
        </w:rPr>
        <w:t>次、区定目标调度工作</w:t>
      </w:r>
      <w:r>
        <w:rPr>
          <w:rFonts w:ascii="仿宋_GB2312" w:hAnsi="仿宋" w:eastAsia="仿宋_GB2312" w:cs="仿宋"/>
          <w:sz w:val="32"/>
          <w:szCs w:val="32"/>
        </w:rPr>
        <w:t>4</w:t>
      </w:r>
      <w:r>
        <w:rPr>
          <w:rFonts w:hint="eastAsia" w:ascii="仿宋_GB2312" w:hAnsi="仿宋" w:eastAsia="仿宋_GB2312" w:cs="仿宋"/>
          <w:sz w:val="32"/>
          <w:szCs w:val="32"/>
        </w:rPr>
        <w:t>次、资料印制</w:t>
      </w:r>
      <w:r>
        <w:rPr>
          <w:rFonts w:ascii="仿宋_GB2312" w:hAnsi="仿宋" w:eastAsia="仿宋_GB2312" w:cs="仿宋"/>
          <w:sz w:val="32"/>
          <w:szCs w:val="32"/>
        </w:rPr>
        <w:t>1300</w:t>
      </w:r>
      <w:r>
        <w:rPr>
          <w:rFonts w:hint="eastAsia" w:ascii="仿宋_GB2312" w:hAnsi="仿宋" w:eastAsia="仿宋_GB2312" w:cs="仿宋"/>
          <w:sz w:val="32"/>
          <w:szCs w:val="32"/>
        </w:rPr>
        <w:t>件。</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．质量指标：下达各单位区定目标任务</w:t>
      </w:r>
      <w:r>
        <w:rPr>
          <w:rFonts w:ascii="仿宋_GB2312" w:hAnsi="仿宋" w:eastAsia="仿宋_GB2312" w:cs="仿宋"/>
          <w:sz w:val="32"/>
          <w:szCs w:val="32"/>
        </w:rPr>
        <w:t>7</w:t>
      </w:r>
      <w:r>
        <w:rPr>
          <w:rFonts w:hint="eastAsia" w:ascii="仿宋_GB2312" w:hAnsi="仿宋" w:eastAsia="仿宋_GB2312" w:cs="仿宋"/>
          <w:sz w:val="32"/>
          <w:szCs w:val="32"/>
        </w:rPr>
        <w:t>次。</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．时效指标：项目按期完成率</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．成本指标：目标事务管理工作成本</w:t>
      </w:r>
      <w:r>
        <w:rPr>
          <w:rFonts w:ascii="仿宋_GB2312" w:hAnsi="仿宋" w:eastAsia="仿宋_GB2312" w:cs="仿宋"/>
          <w:sz w:val="32"/>
          <w:szCs w:val="32"/>
        </w:rPr>
        <w:t>20</w:t>
      </w:r>
      <w:r>
        <w:rPr>
          <w:rFonts w:hint="eastAsia" w:ascii="仿宋_GB2312" w:hAnsi="仿宋" w:eastAsia="仿宋_GB2312" w:cs="仿宋"/>
          <w:sz w:val="32"/>
          <w:szCs w:val="32"/>
        </w:rPr>
        <w:t>万元。</w:t>
      </w:r>
    </w:p>
    <w:p>
      <w:pPr>
        <w:spacing w:line="550" w:lineRule="exact"/>
        <w:ind w:firstLine="640" w:firstLineChars="200"/>
        <w:rPr>
          <w:rFonts w:ascii="楷体_GB2312" w:hAnsi="宋体" w:eastAsia="楷体_GB2312"/>
          <w:sz w:val="32"/>
          <w:szCs w:val="32"/>
        </w:rPr>
      </w:pPr>
      <w:r>
        <w:rPr>
          <w:rFonts w:hint="eastAsia" w:ascii="楷体_GB2312" w:hAnsi="宋体" w:eastAsia="楷体_GB2312"/>
          <w:sz w:val="32"/>
          <w:szCs w:val="32"/>
        </w:rPr>
        <w:t>（二）项目效益情况</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．效益指标：促进全年目标完成率</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5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．满意度指标：服务对象满意率</w:t>
      </w:r>
      <w:r>
        <w:rPr>
          <w:rFonts w:ascii="仿宋_GB2312" w:hAnsi="仿宋" w:eastAsia="仿宋_GB2312" w:cs="仿宋"/>
          <w:sz w:val="32"/>
          <w:szCs w:val="32"/>
        </w:rPr>
        <w:t>98%</w:t>
      </w:r>
      <w:r>
        <w:rPr>
          <w:rFonts w:hint="eastAsia" w:ascii="仿宋_GB2312" w:hAnsi="仿宋" w:eastAsia="仿宋_GB2312" w:cs="仿宋"/>
          <w:sz w:val="32"/>
          <w:szCs w:val="32"/>
        </w:rPr>
        <w:t>。</w:t>
      </w:r>
    </w:p>
    <w:p>
      <w:pPr>
        <w:autoSpaceDE w:val="0"/>
        <w:adjustRightInd w:val="0"/>
        <w:snapToGrid w:val="0"/>
        <w:spacing w:line="550" w:lineRule="exact"/>
        <w:ind w:firstLine="640" w:firstLineChars="200"/>
        <w:rPr>
          <w:rFonts w:ascii="黑体" w:hAnsi="宋体" w:eastAsia="黑体"/>
          <w:sz w:val="32"/>
          <w:szCs w:val="32"/>
        </w:rPr>
      </w:pPr>
      <w:r>
        <w:rPr>
          <w:rFonts w:hint="eastAsia" w:ascii="黑体" w:hAnsi="黑体" w:eastAsia="黑体"/>
          <w:sz w:val="32"/>
          <w:szCs w:val="32"/>
        </w:rPr>
        <w:t>四、问题及建议</w:t>
      </w:r>
    </w:p>
    <w:p>
      <w:pPr>
        <w:autoSpaceDE w:val="0"/>
        <w:adjustRightInd w:val="0"/>
        <w:snapToGrid w:val="0"/>
        <w:spacing w:line="55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（一）评价结论。</w:t>
      </w:r>
      <w:r>
        <w:rPr>
          <w:rFonts w:hint="eastAsia" w:ascii="仿宋_GB2312" w:hAnsi="仿宋" w:eastAsia="仿宋_GB2312" w:cs="仿宋"/>
          <w:sz w:val="32"/>
          <w:szCs w:val="32"/>
        </w:rPr>
        <w:t>本项目自评体系由项目管理、项目决策、项目绩效三个方面的</w:t>
      </w:r>
      <w:r>
        <w:rPr>
          <w:rFonts w:ascii="仿宋_GB2312" w:hAnsi="仿宋" w:eastAsia="仿宋_GB2312" w:cs="仿宋"/>
          <w:sz w:val="32"/>
          <w:szCs w:val="32"/>
        </w:rPr>
        <w:t>8</w:t>
      </w:r>
      <w:r>
        <w:rPr>
          <w:rFonts w:hint="eastAsia" w:ascii="仿宋_GB2312" w:hAnsi="仿宋" w:eastAsia="仿宋_GB2312" w:cs="仿宋"/>
          <w:sz w:val="32"/>
          <w:szCs w:val="32"/>
        </w:rPr>
        <w:t>个二级指标</w:t>
      </w:r>
      <w:r>
        <w:rPr>
          <w:rFonts w:ascii="仿宋_GB2312" w:hAnsi="仿宋" w:eastAsia="仿宋_GB2312" w:cs="仿宋"/>
          <w:sz w:val="32"/>
          <w:szCs w:val="32"/>
        </w:rPr>
        <w:t>16</w:t>
      </w:r>
      <w:r>
        <w:rPr>
          <w:rFonts w:hint="eastAsia" w:ascii="仿宋_GB2312" w:hAnsi="仿宋" w:eastAsia="仿宋_GB2312" w:cs="仿宋"/>
          <w:sz w:val="32"/>
          <w:szCs w:val="32"/>
        </w:rPr>
        <w:t>个三级指标构成，通过开展绩效自评，得分</w:t>
      </w:r>
      <w:r>
        <w:rPr>
          <w:rFonts w:ascii="仿宋_GB2312" w:hAnsi="仿宋" w:eastAsia="仿宋_GB2312" w:cs="仿宋"/>
          <w:sz w:val="32"/>
          <w:szCs w:val="32"/>
        </w:rPr>
        <w:t>97</w:t>
      </w:r>
      <w:r>
        <w:rPr>
          <w:rFonts w:hint="eastAsia" w:ascii="仿宋_GB2312" w:hAnsi="仿宋" w:eastAsia="仿宋_GB2312" w:cs="仿宋"/>
          <w:sz w:val="32"/>
          <w:szCs w:val="32"/>
        </w:rPr>
        <w:t>分，评价等次为“优”。</w:t>
      </w:r>
    </w:p>
    <w:p>
      <w:pPr>
        <w:spacing w:line="55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（二）存在的问题。</w:t>
      </w:r>
      <w:r>
        <w:rPr>
          <w:rFonts w:hint="eastAsia" w:ascii="仿宋_GB2312" w:hAnsi="仿宋" w:eastAsia="仿宋_GB2312" w:cs="仿宋"/>
          <w:sz w:val="32"/>
          <w:szCs w:val="32"/>
        </w:rPr>
        <w:t>本单位人员编制较少，工作经费不足，导致目标绩效管理工作不能满足市下目标工作的要求。</w:t>
      </w:r>
    </w:p>
    <w:p>
      <w:pPr>
        <w:spacing w:line="550" w:lineRule="exact"/>
        <w:ind w:firstLine="640" w:firstLineChars="200"/>
        <w:rPr>
          <w:rFonts w:hint="eastAsia" w:ascii="黑体" w:hAnsi="黑体" w:eastAsia="黑体"/>
          <w:b w:val="0"/>
          <w:bCs w:val="0"/>
          <w:color w:val="auto"/>
          <w:sz w:val="44"/>
          <w:szCs w:val="44"/>
          <w:highlight w:val="none"/>
        </w:rPr>
      </w:pPr>
      <w:r>
        <w:rPr>
          <w:rFonts w:hint="eastAsia" w:ascii="楷体_GB2312" w:hAnsi="宋体" w:eastAsia="楷体_GB2312"/>
          <w:sz w:val="32"/>
          <w:szCs w:val="32"/>
        </w:rPr>
        <w:t>（三）相关建议。</w:t>
      </w:r>
      <w:r>
        <w:rPr>
          <w:rFonts w:hint="eastAsia" w:ascii="仿宋_GB2312" w:hAnsi="仿宋" w:eastAsia="仿宋_GB2312" w:cs="仿宋"/>
          <w:sz w:val="32"/>
          <w:szCs w:val="32"/>
        </w:rPr>
        <w:t>为保证资金安全运行，防止被挤占挪用，根据项目管理的要求，以单独反映项目资金的使用情况，准确核算项目成本并同时反映出预算的合理性。</w:t>
      </w:r>
    </w:p>
    <w:p>
      <w:pPr>
        <w:spacing w:line="550" w:lineRule="exact"/>
        <w:ind w:firstLine="640" w:firstLineChars="200"/>
        <w:rPr>
          <w:rFonts w:hint="eastAsia" w:ascii="仿宋_GB2312" w:hAnsi="仿宋" w:eastAsia="仿宋_GB2312" w:cs="仿宋"/>
          <w:sz w:val="32"/>
          <w:szCs w:val="32"/>
        </w:rPr>
      </w:pPr>
    </w:p>
    <w:p>
      <w:pPr>
        <w:spacing w:line="550" w:lineRule="exact"/>
        <w:ind w:firstLine="640" w:firstLineChars="200"/>
        <w:rPr>
          <w:rFonts w:hint="eastAsia" w:ascii="仿宋_GB2312" w:hAnsi="仿宋" w:eastAsia="仿宋_GB2312" w:cs="仿宋"/>
          <w:sz w:val="32"/>
          <w:szCs w:val="32"/>
          <w:lang w:val="en-US" w:eastAsia="zh-CN"/>
        </w:rPr>
      </w:pPr>
    </w:p>
    <w:p>
      <w:pPr>
        <w:spacing w:line="600" w:lineRule="exact"/>
        <w:jc w:val="center"/>
        <w:outlineLvl w:val="9"/>
        <w:rPr>
          <w:rFonts w:hint="eastAsia" w:ascii="黑体" w:hAnsi="黑体" w:eastAsia="黑体"/>
          <w:b w:val="0"/>
          <w:bCs w:val="0"/>
          <w:color w:val="auto"/>
          <w:sz w:val="44"/>
          <w:szCs w:val="44"/>
          <w:highlight w:val="none"/>
        </w:rPr>
      </w:pPr>
    </w:p>
    <w:p>
      <w:pPr>
        <w:spacing w:line="600" w:lineRule="exact"/>
        <w:jc w:val="both"/>
        <w:outlineLvl w:val="9"/>
        <w:rPr>
          <w:rFonts w:hint="eastAsia" w:ascii="黑体" w:hAnsi="黑体" w:eastAsia="黑体"/>
          <w:b w:val="0"/>
          <w:bCs w:val="0"/>
          <w:color w:val="auto"/>
          <w:sz w:val="44"/>
          <w:szCs w:val="44"/>
          <w:highlight w:val="none"/>
        </w:rPr>
      </w:pPr>
    </w:p>
    <w:p>
      <w:pPr>
        <w:autoSpaceDE w:val="0"/>
        <w:spacing w:line="576" w:lineRule="exact"/>
        <w:jc w:val="center"/>
        <w:rPr>
          <w:rFonts w:ascii="方正小标宋简体" w:hAnsi="宋体"/>
          <w:color w:val="000000"/>
          <w:kern w:val="0"/>
          <w:sz w:val="44"/>
          <w:szCs w:val="44"/>
        </w:rPr>
      </w:pPr>
      <w:r>
        <w:rPr>
          <w:rFonts w:ascii="方正小标宋简体" w:hAnsi="方正小标宋简体" w:eastAsia="方正小标宋简体" w:cs="方正小标宋简体"/>
          <w:color w:val="000000"/>
          <w:kern w:val="0"/>
          <w:sz w:val="44"/>
          <w:szCs w:val="44"/>
        </w:rPr>
        <w:t>2022</w:t>
      </w:r>
      <w:r>
        <w:rPr>
          <w:rFonts w:hint="eastAsia" w:ascii="方正小标宋简体" w:hAnsi="方正小标宋简体" w:eastAsia="方正小标宋简体" w:cs="方正小标宋简体"/>
          <w:color w:val="000000"/>
          <w:kern w:val="0"/>
          <w:sz w:val="44"/>
          <w:szCs w:val="44"/>
        </w:rPr>
        <w:t>年度督查工作项目支出绩效自评报告</w:t>
      </w:r>
    </w:p>
    <w:p>
      <w:pPr>
        <w:autoSpaceDE w:val="0"/>
        <w:adjustRightInd w:val="0"/>
        <w:snapToGrid w:val="0"/>
        <w:spacing w:line="576" w:lineRule="exact"/>
        <w:ind w:firstLine="720"/>
        <w:rPr>
          <w:rFonts w:ascii="黑体" w:hAnsi="黑体" w:eastAsia="黑体"/>
          <w:sz w:val="32"/>
          <w:szCs w:val="32"/>
        </w:rPr>
      </w:pPr>
    </w:p>
    <w:p>
      <w:pPr>
        <w:autoSpaceDE w:val="0"/>
        <w:adjustRightInd w:val="0"/>
        <w:snapToGrid w:val="0"/>
        <w:spacing w:line="576" w:lineRule="exact"/>
        <w:ind w:firstLine="640" w:firstLineChars="200"/>
        <w:rPr>
          <w:rFonts w:ascii="黑体" w:hAnsi="宋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（一）项目资金申报及批复情况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年督查工作共申报工作经费</w:t>
      </w:r>
      <w:r>
        <w:rPr>
          <w:rFonts w:ascii="仿宋_GB2312" w:hAnsi="仿宋" w:eastAsia="仿宋_GB2312" w:cs="仿宋"/>
          <w:sz w:val="32"/>
          <w:szCs w:val="32"/>
        </w:rPr>
        <w:t>20</w:t>
      </w:r>
      <w:r>
        <w:rPr>
          <w:rFonts w:hint="eastAsia" w:ascii="仿宋_GB2312" w:hAnsi="仿宋" w:eastAsia="仿宋_GB2312" w:cs="仿宋"/>
          <w:sz w:val="32"/>
          <w:szCs w:val="32"/>
        </w:rPr>
        <w:t>万元，区财政批复下拨经费</w:t>
      </w:r>
      <w:r>
        <w:rPr>
          <w:rFonts w:ascii="仿宋_GB2312" w:hAnsi="仿宋" w:eastAsia="仿宋_GB2312" w:cs="仿宋"/>
          <w:sz w:val="32"/>
          <w:szCs w:val="32"/>
        </w:rPr>
        <w:t>20</w:t>
      </w:r>
      <w:r>
        <w:rPr>
          <w:rFonts w:hint="eastAsia" w:ascii="仿宋_GB2312" w:hAnsi="仿宋" w:eastAsia="仿宋_GB2312" w:cs="仿宋"/>
          <w:sz w:val="32"/>
          <w:szCs w:val="32"/>
        </w:rPr>
        <w:t>万元，均为本级一般公共预算资金。</w:t>
      </w:r>
    </w:p>
    <w:p>
      <w:pPr>
        <w:autoSpaceDE w:val="0"/>
        <w:adjustRightInd w:val="0"/>
        <w:snapToGrid w:val="0"/>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（二）项目绩效目标</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．项目主要内容。该项目实施主体是区目标绩效事务中心。实施内容主要包括对全区工作开展督查，顺利迎接上级部门督查检查，确保全区工作全面完成。</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．项目应实现的具体绩效目标。该项目从数量、质量、时效、经济成本、社会效益、满意度指标等</w:t>
      </w:r>
      <w:r>
        <w:rPr>
          <w:rFonts w:ascii="仿宋_GB2312" w:hAnsi="仿宋" w:eastAsia="仿宋_GB2312" w:cs="仿宋"/>
          <w:sz w:val="32"/>
          <w:szCs w:val="32"/>
        </w:rPr>
        <w:t>6</w:t>
      </w:r>
      <w:r>
        <w:rPr>
          <w:rFonts w:hint="eastAsia" w:ascii="仿宋_GB2312" w:hAnsi="仿宋" w:eastAsia="仿宋_GB2312" w:cs="仿宋"/>
          <w:sz w:val="32"/>
          <w:szCs w:val="32"/>
        </w:rPr>
        <w:t>个方面设置了</w:t>
      </w:r>
      <w:r>
        <w:rPr>
          <w:rFonts w:ascii="仿宋_GB2312" w:hAnsi="仿宋" w:eastAsia="仿宋_GB2312" w:cs="仿宋"/>
          <w:sz w:val="32"/>
          <w:szCs w:val="32"/>
        </w:rPr>
        <w:t>7</w:t>
      </w:r>
      <w:r>
        <w:rPr>
          <w:rFonts w:hint="eastAsia" w:ascii="仿宋_GB2312" w:hAnsi="仿宋" w:eastAsia="仿宋_GB2312" w:cs="仿宋"/>
          <w:sz w:val="32"/>
          <w:szCs w:val="32"/>
        </w:rPr>
        <w:t>个具体绩效目标，包括：迎接上级部门督查检查</w:t>
      </w:r>
      <w:r>
        <w:rPr>
          <w:rFonts w:ascii="仿宋_GB2312" w:hAnsi="仿宋" w:eastAsia="仿宋_GB2312" w:cs="仿宋"/>
          <w:sz w:val="32"/>
          <w:szCs w:val="32"/>
        </w:rPr>
        <w:t>30</w:t>
      </w:r>
      <w:r>
        <w:rPr>
          <w:rFonts w:hint="eastAsia" w:ascii="仿宋_GB2312" w:hAnsi="仿宋" w:eastAsia="仿宋_GB2312" w:cs="仿宋"/>
          <w:sz w:val="32"/>
          <w:szCs w:val="32"/>
        </w:rPr>
        <w:t>次、对全区工作开展情况进行督查</w:t>
      </w:r>
      <w:r>
        <w:rPr>
          <w:rFonts w:ascii="仿宋_GB2312" w:hAnsi="仿宋" w:eastAsia="仿宋_GB2312" w:cs="仿宋"/>
          <w:sz w:val="32"/>
          <w:szCs w:val="32"/>
        </w:rPr>
        <w:t>200</w:t>
      </w:r>
      <w:r>
        <w:rPr>
          <w:rFonts w:hint="eastAsia" w:ascii="仿宋_GB2312" w:hAnsi="仿宋" w:eastAsia="仿宋_GB2312" w:cs="仿宋"/>
          <w:sz w:val="32"/>
          <w:szCs w:val="32"/>
        </w:rPr>
        <w:t>次、资金使用合规率</w:t>
      </w:r>
      <w:r>
        <w:rPr>
          <w:rFonts w:ascii="仿宋_GB2312" w:hAnsi="仿宋" w:eastAsia="仿宋_GB2312" w:cs="仿宋"/>
          <w:sz w:val="32"/>
          <w:szCs w:val="32"/>
        </w:rPr>
        <w:t>100%</w:t>
      </w:r>
      <w:r>
        <w:rPr>
          <w:rFonts w:hint="eastAsia" w:ascii="仿宋_GB2312" w:hAnsi="仿宋" w:eastAsia="仿宋_GB2312" w:cs="仿宋"/>
          <w:sz w:val="32"/>
          <w:szCs w:val="32"/>
        </w:rPr>
        <w:t>、项目按期完成率</w:t>
      </w:r>
      <w:r>
        <w:rPr>
          <w:rFonts w:ascii="仿宋_GB2312" w:hAnsi="仿宋" w:eastAsia="仿宋_GB2312" w:cs="仿宋"/>
          <w:sz w:val="32"/>
          <w:szCs w:val="32"/>
        </w:rPr>
        <w:t>100%</w:t>
      </w:r>
      <w:r>
        <w:rPr>
          <w:rFonts w:hint="eastAsia" w:ascii="仿宋_GB2312" w:hAnsi="仿宋" w:eastAsia="仿宋_GB2312" w:cs="仿宋"/>
          <w:sz w:val="32"/>
          <w:szCs w:val="32"/>
        </w:rPr>
        <w:t>、督查工作成本</w:t>
      </w:r>
      <w:r>
        <w:rPr>
          <w:rFonts w:ascii="仿宋_GB2312" w:hAnsi="仿宋" w:eastAsia="仿宋_GB2312" w:cs="仿宋"/>
          <w:sz w:val="32"/>
          <w:szCs w:val="32"/>
        </w:rPr>
        <w:t>15</w:t>
      </w:r>
      <w:r>
        <w:rPr>
          <w:rFonts w:hint="eastAsia" w:ascii="仿宋_GB2312" w:hAnsi="仿宋" w:eastAsia="仿宋_GB2312" w:cs="仿宋"/>
          <w:sz w:val="32"/>
          <w:szCs w:val="32"/>
        </w:rPr>
        <w:t>万元、接受督查成本</w:t>
      </w:r>
      <w:r>
        <w:rPr>
          <w:rFonts w:ascii="仿宋_GB2312" w:hAnsi="仿宋" w:eastAsia="仿宋_GB2312" w:cs="仿宋"/>
          <w:sz w:val="32"/>
          <w:szCs w:val="32"/>
        </w:rPr>
        <w:t>5</w:t>
      </w:r>
      <w:r>
        <w:rPr>
          <w:rFonts w:hint="eastAsia" w:ascii="仿宋_GB2312" w:hAnsi="仿宋" w:eastAsia="仿宋_GB2312" w:cs="仿宋"/>
          <w:sz w:val="32"/>
          <w:szCs w:val="32"/>
        </w:rPr>
        <w:t>万元、督查工作顺利开展“优良中低差”、服务对象满意率</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．项目资金申报相符性。项目资金使用符合相关的财务管理制度规定，不存在截留、挤占、挪用、虚列支出等情况。</w:t>
      </w:r>
    </w:p>
    <w:p>
      <w:pPr>
        <w:autoSpaceDE w:val="0"/>
        <w:adjustRightInd w:val="0"/>
        <w:snapToGrid w:val="0"/>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（三）项目自评步骤及方法</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立由中心主任担任组长，分管副主任担任副组长，各股室负责人及财务工作人员为成员的绩效评价领导小组。根据绩效自评工作安排，项目承担股室对照区财政年初批复的预算金额和绩效目标，认真盘点统计各项目实施情况，由业务分管领导对项目实施情况和绩效完成情况进行核查，审核后提交财务人员进行总结分析并形成报告上报财政部门复核。</w:t>
      </w:r>
    </w:p>
    <w:p>
      <w:pPr>
        <w:autoSpaceDE w:val="0"/>
        <w:adjustRightInd w:val="0"/>
        <w:snapToGrid w:val="0"/>
        <w:spacing w:line="576" w:lineRule="exact"/>
        <w:ind w:firstLine="640" w:firstLineChars="200"/>
        <w:rPr>
          <w:rFonts w:ascii="黑体" w:hAnsi="宋体" w:eastAsia="黑体"/>
          <w:sz w:val="32"/>
          <w:szCs w:val="32"/>
        </w:rPr>
      </w:pPr>
      <w:r>
        <w:rPr>
          <w:rFonts w:hint="eastAsia" w:ascii="黑体" w:hAnsi="黑体" w:eastAsia="黑体"/>
          <w:sz w:val="32"/>
          <w:szCs w:val="32"/>
        </w:rPr>
        <w:t>二、项目资金申报及使用情况</w:t>
      </w:r>
    </w:p>
    <w:p>
      <w:pPr>
        <w:autoSpaceDE w:val="0"/>
        <w:adjustRightInd w:val="0"/>
        <w:snapToGrid w:val="0"/>
        <w:spacing w:line="576" w:lineRule="exact"/>
        <w:ind w:firstLine="640" w:firstLineChars="200"/>
        <w:rPr>
          <w:rFonts w:ascii="仿宋_GB2312" w:hAnsi="宋体" w:eastAsia="仿宋_GB2312"/>
          <w:sz w:val="32"/>
          <w:szCs w:val="32"/>
        </w:rPr>
      </w:pPr>
      <w:r>
        <w:rPr>
          <w:rFonts w:hint="eastAsia" w:ascii="楷体_GB2312" w:hAnsi="Times New Roman" w:eastAsia="楷体_GB2312"/>
          <w:sz w:val="32"/>
          <w:szCs w:val="32"/>
        </w:rPr>
        <w:t>（一）资金计划、到位及使用情况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．资金计划及到位。</w:t>
      </w:r>
      <w:r>
        <w:rPr>
          <w:rFonts w:ascii="仿宋_GB2312" w:hAnsi="仿宋" w:eastAsia="仿宋_GB2312" w:cs="仿宋"/>
          <w:sz w:val="32"/>
          <w:szCs w:val="32"/>
        </w:rPr>
        <w:t>2022</w:t>
      </w:r>
      <w:r>
        <w:rPr>
          <w:rFonts w:hint="eastAsia" w:ascii="仿宋_GB2312" w:hAnsi="仿宋" w:eastAsia="仿宋_GB2312" w:cs="仿宋"/>
          <w:sz w:val="32"/>
          <w:szCs w:val="32"/>
        </w:rPr>
        <w:t>年督查工作项目资金到位</w:t>
      </w:r>
      <w:r>
        <w:rPr>
          <w:rFonts w:ascii="仿宋_GB2312" w:hAnsi="仿宋" w:eastAsia="仿宋_GB2312" w:cs="仿宋"/>
          <w:sz w:val="32"/>
          <w:szCs w:val="32"/>
        </w:rPr>
        <w:t>20</w:t>
      </w:r>
      <w:r>
        <w:rPr>
          <w:rFonts w:hint="eastAsia" w:ascii="仿宋_GB2312" w:hAnsi="仿宋" w:eastAsia="仿宋_GB2312" w:cs="仿宋"/>
          <w:sz w:val="32"/>
          <w:szCs w:val="32"/>
        </w:rPr>
        <w:t>万元。全年支出印刷费、租车费等共计</w:t>
      </w:r>
      <w:r>
        <w:rPr>
          <w:rFonts w:ascii="仿宋_GB2312" w:hAnsi="仿宋" w:eastAsia="仿宋_GB2312" w:cs="仿宋"/>
          <w:sz w:val="32"/>
          <w:szCs w:val="32"/>
        </w:rPr>
        <w:t>20</w:t>
      </w:r>
      <w:r>
        <w:rPr>
          <w:rFonts w:hint="eastAsia" w:ascii="仿宋_GB2312" w:hAnsi="仿宋" w:eastAsia="仿宋_GB2312" w:cs="仿宋"/>
          <w:sz w:val="32"/>
          <w:szCs w:val="32"/>
        </w:rPr>
        <w:t>万元。</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．资金使用。</w:t>
      </w:r>
      <w:r>
        <w:rPr>
          <w:rFonts w:ascii="仿宋_GB2312" w:hAnsi="仿宋" w:eastAsia="仿宋_GB2312" w:cs="仿宋"/>
          <w:sz w:val="32"/>
          <w:szCs w:val="32"/>
        </w:rPr>
        <w:t>2022</w:t>
      </w:r>
      <w:r>
        <w:rPr>
          <w:rFonts w:hint="eastAsia" w:ascii="仿宋_GB2312" w:hAnsi="仿宋" w:eastAsia="仿宋_GB2312" w:cs="仿宋"/>
          <w:sz w:val="32"/>
          <w:szCs w:val="32"/>
        </w:rPr>
        <w:t>年资金已全部执行，无虚列支出、截留挤占挪用，无超预算等现象。</w:t>
      </w:r>
    </w:p>
    <w:p>
      <w:pPr>
        <w:autoSpaceDE w:val="0"/>
        <w:spacing w:line="576"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（二）项目财务管理情况</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76"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（三）项目组织实施情况</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严格按照年初制定的项目资金实施方案组织实施项目，项目完工初审后，统一组织相关人员开展检查，由项目实施部门将申报材料和初审意见等资料报财政部门复核，领导审核后兑付资金。</w:t>
      </w:r>
    </w:p>
    <w:p>
      <w:pPr>
        <w:autoSpaceDE w:val="0"/>
        <w:adjustRightInd w:val="0"/>
        <w:snapToGrid w:val="0"/>
        <w:spacing w:line="576" w:lineRule="exact"/>
        <w:ind w:firstLine="720"/>
        <w:rPr>
          <w:rFonts w:ascii="仿宋_GB2312" w:hAnsi="宋体" w:eastAsia="仿宋_GB2312"/>
          <w:sz w:val="32"/>
          <w:szCs w:val="32"/>
        </w:rPr>
      </w:pPr>
      <w:r>
        <w:rPr>
          <w:rFonts w:hint="eastAsia" w:ascii="黑体" w:hAnsi="黑体" w:eastAsia="黑体"/>
          <w:sz w:val="32"/>
          <w:szCs w:val="32"/>
        </w:rPr>
        <w:t>三、项目绩效情况</w:t>
      </w:r>
      <w:r>
        <w:rPr>
          <w:rFonts w:ascii="仿宋_GB2312" w:hAnsi="宋体" w:eastAsia="仿宋_GB2312"/>
          <w:sz w:val="32"/>
          <w:szCs w:val="32"/>
        </w:rPr>
        <w:tab/>
      </w:r>
    </w:p>
    <w:p>
      <w:pPr>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（一）项目完成情况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．数量指标：迎接上级部门督查检查</w:t>
      </w:r>
      <w:r>
        <w:rPr>
          <w:rFonts w:ascii="仿宋_GB2312" w:hAnsi="仿宋" w:eastAsia="仿宋_GB2312" w:cs="仿宋"/>
          <w:sz w:val="32"/>
          <w:szCs w:val="32"/>
        </w:rPr>
        <w:t>35</w:t>
      </w:r>
      <w:r>
        <w:rPr>
          <w:rFonts w:hint="eastAsia" w:ascii="仿宋_GB2312" w:hAnsi="仿宋" w:eastAsia="仿宋_GB2312" w:cs="仿宋"/>
          <w:sz w:val="32"/>
          <w:szCs w:val="32"/>
        </w:rPr>
        <w:t>次、对全区工作开展情况进行督查</w:t>
      </w:r>
      <w:r>
        <w:rPr>
          <w:rFonts w:ascii="仿宋_GB2312" w:hAnsi="仿宋" w:eastAsia="仿宋_GB2312" w:cs="仿宋"/>
          <w:sz w:val="32"/>
          <w:szCs w:val="32"/>
        </w:rPr>
        <w:t>213</w:t>
      </w:r>
      <w:r>
        <w:rPr>
          <w:rFonts w:hint="eastAsia" w:ascii="仿宋_GB2312" w:hAnsi="仿宋" w:eastAsia="仿宋_GB2312" w:cs="仿宋"/>
          <w:sz w:val="32"/>
          <w:szCs w:val="32"/>
        </w:rPr>
        <w:t>次。</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．质量指标：资金使用合规率</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．时效指标：项目按期完成率</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．成本指标：督查工作成本</w:t>
      </w:r>
      <w:r>
        <w:rPr>
          <w:rFonts w:ascii="仿宋_GB2312" w:hAnsi="仿宋" w:eastAsia="仿宋_GB2312" w:cs="仿宋"/>
          <w:sz w:val="32"/>
          <w:szCs w:val="32"/>
        </w:rPr>
        <w:t>15</w:t>
      </w:r>
      <w:r>
        <w:rPr>
          <w:rFonts w:hint="eastAsia" w:ascii="仿宋_GB2312" w:hAnsi="仿宋" w:eastAsia="仿宋_GB2312" w:cs="仿宋"/>
          <w:sz w:val="32"/>
          <w:szCs w:val="32"/>
        </w:rPr>
        <w:t>万元、接受督查成本</w:t>
      </w:r>
      <w:r>
        <w:rPr>
          <w:rFonts w:ascii="仿宋_GB2312" w:hAnsi="仿宋" w:eastAsia="仿宋_GB2312" w:cs="仿宋"/>
          <w:sz w:val="32"/>
          <w:szCs w:val="32"/>
        </w:rPr>
        <w:t>5</w:t>
      </w:r>
      <w:r>
        <w:rPr>
          <w:rFonts w:hint="eastAsia" w:ascii="仿宋_GB2312" w:hAnsi="仿宋" w:eastAsia="仿宋_GB2312" w:cs="仿宋"/>
          <w:sz w:val="32"/>
          <w:szCs w:val="32"/>
        </w:rPr>
        <w:t>万元。</w:t>
      </w:r>
    </w:p>
    <w:p>
      <w:pPr>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（二）项目效益情况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．效益指标：督查工作顺利开展“优”。</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．满意度指标：服务对象满意率</w:t>
      </w:r>
      <w:r>
        <w:rPr>
          <w:rFonts w:ascii="仿宋_GB2312" w:hAnsi="仿宋" w:eastAsia="仿宋_GB2312" w:cs="仿宋"/>
          <w:sz w:val="32"/>
          <w:szCs w:val="32"/>
        </w:rPr>
        <w:t>100%</w:t>
      </w:r>
      <w:r>
        <w:rPr>
          <w:rFonts w:hint="eastAsia" w:ascii="仿宋_GB2312" w:hAnsi="仿宋" w:eastAsia="仿宋_GB2312" w:cs="仿宋"/>
          <w:sz w:val="32"/>
          <w:szCs w:val="32"/>
        </w:rPr>
        <w:t>。</w:t>
      </w:r>
    </w:p>
    <w:p>
      <w:pPr>
        <w:autoSpaceDE w:val="0"/>
        <w:adjustRightInd w:val="0"/>
        <w:snapToGrid w:val="0"/>
        <w:spacing w:line="576" w:lineRule="exact"/>
        <w:ind w:firstLine="640" w:firstLineChars="200"/>
        <w:rPr>
          <w:rFonts w:ascii="黑体" w:hAnsi="宋体" w:eastAsia="黑体"/>
          <w:sz w:val="32"/>
          <w:szCs w:val="32"/>
        </w:rPr>
      </w:pPr>
      <w:r>
        <w:rPr>
          <w:rFonts w:hint="eastAsia" w:ascii="黑体" w:hAnsi="黑体" w:eastAsia="黑体"/>
          <w:sz w:val="32"/>
          <w:szCs w:val="32"/>
        </w:rPr>
        <w:t>四、问题及建议</w:t>
      </w:r>
    </w:p>
    <w:p>
      <w:pPr>
        <w:autoSpaceDE w:val="0"/>
        <w:adjustRightInd w:val="0"/>
        <w:snapToGrid w:val="0"/>
        <w:spacing w:line="576"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（一）评价结论。</w:t>
      </w:r>
      <w:r>
        <w:rPr>
          <w:rFonts w:hint="eastAsia" w:ascii="仿宋_GB2312" w:hAnsi="仿宋" w:eastAsia="仿宋_GB2312" w:cs="仿宋"/>
          <w:sz w:val="32"/>
          <w:szCs w:val="32"/>
        </w:rPr>
        <w:t>本项目自评体系由项目管理、项目决策、项目绩效三个方面的</w:t>
      </w:r>
      <w:r>
        <w:rPr>
          <w:rFonts w:ascii="仿宋_GB2312" w:hAnsi="仿宋" w:eastAsia="仿宋_GB2312" w:cs="仿宋"/>
          <w:sz w:val="32"/>
          <w:szCs w:val="32"/>
        </w:rPr>
        <w:t>8</w:t>
      </w:r>
      <w:r>
        <w:rPr>
          <w:rFonts w:hint="eastAsia" w:ascii="仿宋_GB2312" w:hAnsi="仿宋" w:eastAsia="仿宋_GB2312" w:cs="仿宋"/>
          <w:sz w:val="32"/>
          <w:szCs w:val="32"/>
        </w:rPr>
        <w:t>个二级指标</w:t>
      </w:r>
      <w:r>
        <w:rPr>
          <w:rFonts w:ascii="仿宋_GB2312" w:hAnsi="仿宋" w:eastAsia="仿宋_GB2312" w:cs="仿宋"/>
          <w:sz w:val="32"/>
          <w:szCs w:val="32"/>
        </w:rPr>
        <w:t>16</w:t>
      </w:r>
      <w:r>
        <w:rPr>
          <w:rFonts w:hint="eastAsia" w:ascii="仿宋_GB2312" w:hAnsi="仿宋" w:eastAsia="仿宋_GB2312" w:cs="仿宋"/>
          <w:sz w:val="32"/>
          <w:szCs w:val="32"/>
        </w:rPr>
        <w:t>个三级指标构成，通过开展绩效自评，得分</w:t>
      </w:r>
      <w:r>
        <w:rPr>
          <w:rFonts w:ascii="仿宋_GB2312" w:hAnsi="仿宋" w:eastAsia="仿宋_GB2312" w:cs="仿宋"/>
          <w:sz w:val="32"/>
          <w:szCs w:val="32"/>
        </w:rPr>
        <w:t>98</w:t>
      </w:r>
      <w:r>
        <w:rPr>
          <w:rFonts w:hint="eastAsia" w:ascii="仿宋_GB2312" w:hAnsi="仿宋" w:eastAsia="仿宋_GB2312" w:cs="仿宋"/>
          <w:sz w:val="32"/>
          <w:szCs w:val="32"/>
        </w:rPr>
        <w:t>分，评价等次为“优”。</w:t>
      </w:r>
    </w:p>
    <w:p>
      <w:pP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sz w:val="32"/>
          <w:szCs w:val="32"/>
        </w:rPr>
        <w:t>（二）存在的问题。</w:t>
      </w:r>
      <w:r>
        <w:rPr>
          <w:rFonts w:hint="eastAsia" w:ascii="仿宋_GB2312" w:hAnsi="仿宋" w:eastAsia="仿宋_GB2312" w:cs="仿宋"/>
          <w:sz w:val="32"/>
          <w:szCs w:val="32"/>
        </w:rPr>
        <w:t>我区重点工作督查头绪多，任务重，上级部门督查次数频繁，经费严重不足。</w:t>
      </w:r>
    </w:p>
    <w:p>
      <w:pPr>
        <w:spacing w:line="576"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（三）相关建议。</w:t>
      </w:r>
      <w:r>
        <w:rPr>
          <w:rFonts w:hint="eastAsia" w:ascii="仿宋_GB2312" w:hAnsi="仿宋" w:eastAsia="仿宋_GB2312" w:cs="仿宋"/>
          <w:sz w:val="32"/>
          <w:szCs w:val="32"/>
        </w:rPr>
        <w:t>建议提高督查工作经费预算，抓好我区督查工作的规范化、制度化建设，提高督查工作的积极性。</w:t>
      </w:r>
    </w:p>
    <w:p>
      <w:pPr>
        <w:spacing w:line="600" w:lineRule="exact"/>
        <w:jc w:val="center"/>
        <w:outlineLvl w:val="9"/>
        <w:rPr>
          <w:rFonts w:hint="eastAsia" w:ascii="黑体" w:hAnsi="黑体" w:eastAsia="黑体"/>
          <w:b w:val="0"/>
          <w:bCs w:val="0"/>
          <w:color w:val="auto"/>
          <w:sz w:val="44"/>
          <w:szCs w:val="44"/>
          <w:highlight w:val="none"/>
        </w:rPr>
      </w:pPr>
    </w:p>
    <w:p>
      <w:pPr>
        <w:spacing w:line="600" w:lineRule="exact"/>
        <w:jc w:val="both"/>
        <w:outlineLvl w:val="9"/>
        <w:rPr>
          <w:rFonts w:hint="eastAsia" w:ascii="黑体" w:hAnsi="黑体" w:eastAsia="黑体"/>
          <w:b w:val="0"/>
          <w:bCs w:val="0"/>
          <w:color w:val="auto"/>
          <w:sz w:val="44"/>
          <w:szCs w:val="44"/>
          <w:highlight w:val="none"/>
        </w:rPr>
      </w:pPr>
    </w:p>
    <w:p>
      <w:pPr>
        <w:spacing w:line="600" w:lineRule="exact"/>
        <w:jc w:val="center"/>
        <w:outlineLvl w:val="9"/>
        <w:rPr>
          <w:rFonts w:hint="eastAsia" w:ascii="黑体" w:hAnsi="黑体" w:eastAsia="黑体"/>
          <w:b w:val="0"/>
          <w:bCs w:val="0"/>
          <w:color w:val="auto"/>
          <w:sz w:val="44"/>
          <w:szCs w:val="44"/>
          <w:highlight w:val="none"/>
        </w:rPr>
      </w:pPr>
    </w:p>
    <w:p>
      <w:pPr>
        <w:pStyle w:val="12"/>
        <w:rPr>
          <w:rFonts w:hint="eastAsia" w:ascii="黑体" w:hAnsi="黑体" w:eastAsia="黑体"/>
          <w:b w:val="0"/>
          <w:bCs w:val="0"/>
          <w:color w:val="auto"/>
          <w:sz w:val="44"/>
          <w:szCs w:val="44"/>
          <w:highlight w:val="none"/>
        </w:rPr>
      </w:pPr>
    </w:p>
    <w:p>
      <w:pPr>
        <w:rPr>
          <w:rFonts w:hint="eastAsia"/>
        </w:rPr>
      </w:pPr>
    </w:p>
    <w:p>
      <w:pPr>
        <w:pStyle w:val="12"/>
        <w:rPr>
          <w:rFonts w:hint="eastAsia"/>
        </w:rPr>
      </w:pPr>
    </w:p>
    <w:p>
      <w:pPr>
        <w:spacing w:line="600" w:lineRule="exact"/>
        <w:jc w:val="both"/>
        <w:outlineLvl w:val="9"/>
        <w:rPr>
          <w:rFonts w:hint="eastAsia" w:ascii="黑体" w:hAnsi="黑体" w:eastAsia="黑体"/>
          <w:b w:val="0"/>
          <w:bCs w:val="0"/>
          <w:color w:val="auto"/>
          <w:sz w:val="44"/>
          <w:szCs w:val="44"/>
          <w:highlight w:val="none"/>
        </w:rPr>
      </w:pPr>
    </w:p>
    <w:p>
      <w:pPr>
        <w:autoSpaceDE w:val="0"/>
        <w:spacing w:line="576" w:lineRule="exact"/>
        <w:jc w:val="center"/>
        <w:rPr>
          <w:rFonts w:ascii="方正小标宋简体" w:hAnsi="宋体"/>
          <w:color w:val="000000"/>
          <w:kern w:val="0"/>
          <w:sz w:val="44"/>
          <w:szCs w:val="44"/>
        </w:rPr>
      </w:pPr>
      <w:r>
        <w:rPr>
          <w:rFonts w:ascii="方正小标宋简体" w:hAnsi="方正小标宋简体" w:eastAsia="方正小标宋简体" w:cs="方正小标宋简体"/>
          <w:color w:val="000000"/>
          <w:kern w:val="0"/>
          <w:sz w:val="44"/>
          <w:szCs w:val="44"/>
        </w:rPr>
        <w:t>2022</w:t>
      </w:r>
      <w:r>
        <w:rPr>
          <w:rFonts w:hint="eastAsia" w:ascii="方正小标宋简体" w:hAnsi="方正小标宋简体" w:eastAsia="方正小标宋简体" w:cs="方正小标宋简体"/>
          <w:color w:val="000000"/>
          <w:kern w:val="0"/>
          <w:sz w:val="44"/>
          <w:szCs w:val="44"/>
        </w:rPr>
        <w:t>年度督导组工作项目支出绩效自评报告</w:t>
      </w:r>
    </w:p>
    <w:p>
      <w:pPr>
        <w:autoSpaceDE w:val="0"/>
        <w:adjustRightInd w:val="0"/>
        <w:snapToGrid w:val="0"/>
        <w:spacing w:line="576" w:lineRule="exact"/>
        <w:ind w:firstLine="720"/>
        <w:rPr>
          <w:rFonts w:ascii="黑体" w:hAnsi="黑体" w:eastAsia="黑体"/>
          <w:sz w:val="32"/>
          <w:szCs w:val="32"/>
        </w:rPr>
      </w:pPr>
    </w:p>
    <w:p>
      <w:pPr>
        <w:autoSpaceDE w:val="0"/>
        <w:adjustRightInd w:val="0"/>
        <w:snapToGrid w:val="0"/>
        <w:spacing w:line="576" w:lineRule="exact"/>
        <w:ind w:firstLine="640" w:firstLineChars="200"/>
        <w:rPr>
          <w:rFonts w:ascii="黑体" w:hAnsi="宋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（一）项目资金申报及批复情况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年督导组工作共申报工作经费</w:t>
      </w:r>
      <w:r>
        <w:rPr>
          <w:rFonts w:ascii="仿宋_GB2312" w:hAnsi="仿宋" w:eastAsia="仿宋_GB2312" w:cs="仿宋"/>
          <w:sz w:val="32"/>
          <w:szCs w:val="32"/>
        </w:rPr>
        <w:t>6</w:t>
      </w:r>
      <w:r>
        <w:rPr>
          <w:rFonts w:hint="eastAsia" w:ascii="仿宋_GB2312" w:hAnsi="仿宋" w:eastAsia="仿宋_GB2312" w:cs="仿宋"/>
          <w:sz w:val="32"/>
          <w:szCs w:val="32"/>
        </w:rPr>
        <w:t>万元，区财政批复下拨经费</w:t>
      </w:r>
      <w:r>
        <w:rPr>
          <w:rFonts w:ascii="仿宋_GB2312" w:hAnsi="仿宋" w:eastAsia="仿宋_GB2312" w:cs="仿宋"/>
          <w:sz w:val="32"/>
          <w:szCs w:val="32"/>
        </w:rPr>
        <w:t>6</w:t>
      </w:r>
      <w:r>
        <w:rPr>
          <w:rFonts w:hint="eastAsia" w:ascii="仿宋_GB2312" w:hAnsi="仿宋" w:eastAsia="仿宋_GB2312" w:cs="仿宋"/>
          <w:sz w:val="32"/>
          <w:szCs w:val="32"/>
        </w:rPr>
        <w:t>万元，均为本级一般公共预算资金。</w:t>
      </w:r>
    </w:p>
    <w:p>
      <w:pPr>
        <w:autoSpaceDE w:val="0"/>
        <w:adjustRightInd w:val="0"/>
        <w:snapToGrid w:val="0"/>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（二）项目绩效目标</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．项目主要内容。该项目实施主体是区目标绩效事务中心。实施内容主要保障区委、区政府六个重点工作督导组对全区重点工作督导的正常开展。</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．项目应实现的具体绩效目标。该项目从数量、质量、时效、经济成本、社会效益、满意度指标等</w:t>
      </w:r>
      <w:r>
        <w:rPr>
          <w:rFonts w:ascii="仿宋_GB2312" w:hAnsi="仿宋" w:eastAsia="仿宋_GB2312" w:cs="仿宋"/>
          <w:sz w:val="32"/>
          <w:szCs w:val="32"/>
        </w:rPr>
        <w:t>6</w:t>
      </w:r>
      <w:r>
        <w:rPr>
          <w:rFonts w:hint="eastAsia" w:ascii="仿宋_GB2312" w:hAnsi="仿宋" w:eastAsia="仿宋_GB2312" w:cs="仿宋"/>
          <w:sz w:val="32"/>
          <w:szCs w:val="32"/>
        </w:rPr>
        <w:t>个方面设置了</w:t>
      </w:r>
      <w:r>
        <w:rPr>
          <w:rFonts w:ascii="仿宋_GB2312" w:hAnsi="仿宋" w:eastAsia="仿宋_GB2312" w:cs="仿宋"/>
          <w:sz w:val="32"/>
          <w:szCs w:val="32"/>
        </w:rPr>
        <w:t>7</w:t>
      </w:r>
      <w:r>
        <w:rPr>
          <w:rFonts w:hint="eastAsia" w:ascii="仿宋_GB2312" w:hAnsi="仿宋" w:eastAsia="仿宋_GB2312" w:cs="仿宋"/>
          <w:sz w:val="32"/>
          <w:szCs w:val="32"/>
        </w:rPr>
        <w:t>个具体绩效目标，包括：</w:t>
      </w:r>
      <w:r>
        <w:rPr>
          <w:rFonts w:ascii="仿宋_GB2312" w:hAnsi="仿宋" w:eastAsia="仿宋_GB2312" w:cs="仿宋"/>
          <w:sz w:val="32"/>
          <w:szCs w:val="32"/>
        </w:rPr>
        <w:t>6</w:t>
      </w:r>
      <w:r>
        <w:rPr>
          <w:rFonts w:hint="eastAsia" w:ascii="仿宋_GB2312" w:hAnsi="仿宋" w:eastAsia="仿宋_GB2312" w:cs="仿宋"/>
          <w:sz w:val="32"/>
          <w:szCs w:val="32"/>
        </w:rPr>
        <w:t>个重点督导组</w:t>
      </w:r>
      <w:r>
        <w:rPr>
          <w:rFonts w:ascii="仿宋_GB2312" w:hAnsi="仿宋" w:eastAsia="仿宋_GB2312" w:cs="仿宋"/>
          <w:sz w:val="32"/>
          <w:szCs w:val="32"/>
        </w:rPr>
        <w:t>11</w:t>
      </w:r>
      <w:r>
        <w:rPr>
          <w:rFonts w:hint="eastAsia" w:ascii="仿宋_GB2312" w:hAnsi="仿宋" w:eastAsia="仿宋_GB2312" w:cs="仿宋"/>
          <w:sz w:val="32"/>
          <w:szCs w:val="32"/>
        </w:rPr>
        <w:t>人、开展工作督导</w:t>
      </w:r>
      <w:r>
        <w:rPr>
          <w:rFonts w:ascii="仿宋_GB2312" w:hAnsi="仿宋" w:eastAsia="仿宋_GB2312" w:cs="仿宋"/>
          <w:sz w:val="32"/>
          <w:szCs w:val="32"/>
        </w:rPr>
        <w:t>300</w:t>
      </w:r>
      <w:r>
        <w:rPr>
          <w:rFonts w:hint="eastAsia" w:ascii="仿宋_GB2312" w:hAnsi="仿宋" w:eastAsia="仿宋_GB2312" w:cs="仿宋"/>
          <w:sz w:val="32"/>
          <w:szCs w:val="32"/>
        </w:rPr>
        <w:t>次、督导乡镇和部门顺利完成区委下达的目标任务率</w:t>
      </w:r>
      <w:r>
        <w:rPr>
          <w:rFonts w:ascii="仿宋_GB2312" w:hAnsi="仿宋" w:eastAsia="仿宋_GB2312" w:cs="仿宋"/>
          <w:sz w:val="32"/>
          <w:szCs w:val="32"/>
        </w:rPr>
        <w:t>100%</w:t>
      </w:r>
      <w:r>
        <w:rPr>
          <w:rFonts w:hint="eastAsia" w:ascii="仿宋_GB2312" w:hAnsi="仿宋" w:eastAsia="仿宋_GB2312" w:cs="仿宋"/>
          <w:sz w:val="32"/>
          <w:szCs w:val="32"/>
        </w:rPr>
        <w:t>、按时限完成项目</w:t>
      </w:r>
      <w:r>
        <w:rPr>
          <w:rFonts w:ascii="仿宋_GB2312" w:hAnsi="仿宋" w:eastAsia="仿宋_GB2312" w:cs="仿宋"/>
          <w:sz w:val="32"/>
          <w:szCs w:val="32"/>
        </w:rPr>
        <w:t>100%</w:t>
      </w:r>
      <w:r>
        <w:rPr>
          <w:rFonts w:hint="eastAsia" w:ascii="仿宋_GB2312" w:hAnsi="仿宋" w:eastAsia="仿宋_GB2312" w:cs="仿宋"/>
          <w:sz w:val="32"/>
          <w:szCs w:val="32"/>
        </w:rPr>
        <w:t>、全年开展督导工作产生的经费</w:t>
      </w:r>
      <w:r>
        <w:rPr>
          <w:rFonts w:ascii="仿宋_GB2312" w:hAnsi="仿宋" w:eastAsia="仿宋_GB2312" w:cs="仿宋"/>
          <w:sz w:val="32"/>
          <w:szCs w:val="32"/>
        </w:rPr>
        <w:t>6</w:t>
      </w:r>
      <w:r>
        <w:rPr>
          <w:rFonts w:hint="eastAsia" w:ascii="仿宋_GB2312" w:hAnsi="仿宋" w:eastAsia="仿宋_GB2312" w:cs="仿宋"/>
          <w:sz w:val="32"/>
          <w:szCs w:val="32"/>
        </w:rPr>
        <w:t>万元、全面工作的完成</w:t>
      </w:r>
      <w:r>
        <w:rPr>
          <w:rFonts w:ascii="仿宋_GB2312" w:hAnsi="仿宋" w:eastAsia="仿宋_GB2312" w:cs="仿宋"/>
          <w:sz w:val="32"/>
          <w:szCs w:val="32"/>
        </w:rPr>
        <w:t>100%</w:t>
      </w:r>
      <w:r>
        <w:rPr>
          <w:rFonts w:hint="eastAsia" w:ascii="仿宋_GB2312" w:hAnsi="仿宋" w:eastAsia="仿宋_GB2312" w:cs="仿宋"/>
          <w:sz w:val="32"/>
          <w:szCs w:val="32"/>
        </w:rPr>
        <w:t>、服务对象满意率</w:t>
      </w:r>
      <w:r>
        <w:rPr>
          <w:rFonts w:ascii="仿宋_GB2312" w:hAnsi="仿宋" w:eastAsia="仿宋_GB2312" w:cs="仿宋"/>
          <w:sz w:val="32"/>
          <w:szCs w:val="32"/>
        </w:rPr>
        <w:t>95%</w:t>
      </w:r>
      <w:r>
        <w:rPr>
          <w:rFonts w:hint="eastAsia" w:ascii="仿宋_GB2312" w:hAnsi="仿宋" w:eastAsia="仿宋_GB2312" w:cs="仿宋"/>
          <w:sz w:val="32"/>
          <w:szCs w:val="32"/>
        </w:rPr>
        <w:t>。</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．项目资金申报相符性。项目资金使用符合相关的财务管理制度规定，不存在截留、挤占、挪用、虚列支出等情况。</w:t>
      </w:r>
    </w:p>
    <w:p>
      <w:pPr>
        <w:autoSpaceDE w:val="0"/>
        <w:adjustRightInd w:val="0"/>
        <w:snapToGrid w:val="0"/>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（三）项目自评步骤及方法</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立由中心主任担任组长，分管副主任担任副组长，各股室负责人及财务工作人员为成员的绩效评价领导小组。根据绩效自评工作安排，项目承担股室对照区财政年初批复的预算金额和绩效目标，认真盘点统计各项目实施情况，由业务分管领导对项目实施情况和绩效完成情况进行核查，审核后提交财务人员进行总结分析并形成报告上报财政部门复核。</w:t>
      </w:r>
    </w:p>
    <w:p>
      <w:pPr>
        <w:autoSpaceDE w:val="0"/>
        <w:adjustRightInd w:val="0"/>
        <w:snapToGrid w:val="0"/>
        <w:spacing w:line="576" w:lineRule="exact"/>
        <w:ind w:firstLine="640" w:firstLineChars="200"/>
        <w:rPr>
          <w:rFonts w:ascii="黑体" w:hAnsi="宋体" w:eastAsia="黑体"/>
          <w:sz w:val="32"/>
          <w:szCs w:val="32"/>
        </w:rPr>
      </w:pPr>
      <w:r>
        <w:rPr>
          <w:rFonts w:hint="eastAsia" w:ascii="黑体" w:hAnsi="黑体" w:eastAsia="黑体"/>
          <w:sz w:val="32"/>
          <w:szCs w:val="32"/>
        </w:rPr>
        <w:t>二、项目资金申报及使用情况</w:t>
      </w:r>
    </w:p>
    <w:p>
      <w:pPr>
        <w:autoSpaceDE w:val="0"/>
        <w:adjustRightInd w:val="0"/>
        <w:snapToGrid w:val="0"/>
        <w:spacing w:line="576" w:lineRule="exact"/>
        <w:ind w:firstLine="640" w:firstLineChars="200"/>
        <w:rPr>
          <w:rFonts w:ascii="仿宋_GB2312" w:hAnsi="宋体" w:eastAsia="仿宋_GB2312"/>
          <w:sz w:val="32"/>
          <w:szCs w:val="32"/>
        </w:rPr>
      </w:pPr>
      <w:r>
        <w:rPr>
          <w:rFonts w:hint="eastAsia" w:ascii="楷体_GB2312" w:hAnsi="Times New Roman" w:eastAsia="楷体_GB2312"/>
          <w:sz w:val="32"/>
          <w:szCs w:val="32"/>
        </w:rPr>
        <w:t>（一）资金计划、到位及使用情况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．资金计划及到位。</w:t>
      </w:r>
      <w:r>
        <w:rPr>
          <w:rFonts w:ascii="仿宋_GB2312" w:hAnsi="仿宋" w:eastAsia="仿宋_GB2312" w:cs="仿宋"/>
          <w:sz w:val="32"/>
          <w:szCs w:val="32"/>
        </w:rPr>
        <w:t>2022</w:t>
      </w:r>
      <w:r>
        <w:rPr>
          <w:rFonts w:hint="eastAsia" w:ascii="仿宋_GB2312" w:hAnsi="仿宋" w:eastAsia="仿宋_GB2312" w:cs="仿宋"/>
          <w:sz w:val="32"/>
          <w:szCs w:val="32"/>
        </w:rPr>
        <w:t>年督导组工作项目资金到位</w:t>
      </w:r>
      <w:r>
        <w:rPr>
          <w:rFonts w:ascii="仿宋_GB2312" w:hAnsi="仿宋" w:eastAsia="仿宋_GB2312" w:cs="仿宋"/>
          <w:sz w:val="32"/>
          <w:szCs w:val="32"/>
        </w:rPr>
        <w:t>6</w:t>
      </w:r>
      <w:r>
        <w:rPr>
          <w:rFonts w:hint="eastAsia" w:ascii="仿宋_GB2312" w:hAnsi="仿宋" w:eastAsia="仿宋_GB2312" w:cs="仿宋"/>
          <w:sz w:val="32"/>
          <w:szCs w:val="32"/>
        </w:rPr>
        <w:t>万元。全年支出租车费、差旅费等共计</w:t>
      </w:r>
      <w:r>
        <w:rPr>
          <w:rFonts w:ascii="仿宋_GB2312" w:hAnsi="仿宋" w:eastAsia="仿宋_GB2312" w:cs="仿宋"/>
          <w:sz w:val="32"/>
          <w:szCs w:val="32"/>
        </w:rPr>
        <w:t>6</w:t>
      </w:r>
      <w:r>
        <w:rPr>
          <w:rFonts w:hint="eastAsia" w:ascii="仿宋_GB2312" w:hAnsi="仿宋" w:eastAsia="仿宋_GB2312" w:cs="仿宋"/>
          <w:sz w:val="32"/>
          <w:szCs w:val="32"/>
        </w:rPr>
        <w:t>万元。</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．资金使用。</w:t>
      </w:r>
      <w:r>
        <w:rPr>
          <w:rFonts w:ascii="仿宋_GB2312" w:hAnsi="仿宋" w:eastAsia="仿宋_GB2312" w:cs="仿宋"/>
          <w:sz w:val="32"/>
          <w:szCs w:val="32"/>
        </w:rPr>
        <w:t>2022</w:t>
      </w:r>
      <w:r>
        <w:rPr>
          <w:rFonts w:hint="eastAsia" w:ascii="仿宋_GB2312" w:hAnsi="仿宋" w:eastAsia="仿宋_GB2312" w:cs="仿宋"/>
          <w:sz w:val="32"/>
          <w:szCs w:val="32"/>
        </w:rPr>
        <w:t>年资金已全部执行，无虚列支出、截留挤占挪用，无超预算等现象。</w:t>
      </w:r>
    </w:p>
    <w:p>
      <w:pPr>
        <w:autoSpaceDE w:val="0"/>
        <w:spacing w:line="576"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（二）项目财务管理情况</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76"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（三）项目组织实施情况</w:t>
      </w:r>
    </w:p>
    <w:p>
      <w:pPr>
        <w:spacing w:line="576" w:lineRule="exact"/>
        <w:ind w:firstLine="640" w:firstLineChars="200"/>
        <w:rPr>
          <w:rFonts w:ascii="黑体" w:hAnsi="黑体" w:eastAsia="黑体"/>
          <w:sz w:val="32"/>
          <w:szCs w:val="32"/>
        </w:rPr>
      </w:pPr>
      <w:r>
        <w:rPr>
          <w:rFonts w:hint="eastAsia" w:ascii="仿宋_GB2312" w:hAnsi="仿宋" w:eastAsia="仿宋_GB2312" w:cs="仿宋"/>
          <w:sz w:val="32"/>
          <w:szCs w:val="32"/>
        </w:rPr>
        <w:t>严格按照年初制定的项目资金实施方案组织实施项目，项目完工初审后，统一组织相关人员开展检查，由项目实施部门将申报材料和初审意见等资料报财政部门复核，领导审核后兑付</w:t>
      </w:r>
      <w:r>
        <w:rPr>
          <w:rFonts w:hint="eastAsia" w:ascii="仿宋" w:hAnsi="仿宋" w:eastAsia="仿宋" w:cs="仿宋"/>
          <w:sz w:val="32"/>
          <w:szCs w:val="32"/>
        </w:rPr>
        <w:t>资金。</w:t>
      </w:r>
    </w:p>
    <w:p>
      <w:pPr>
        <w:autoSpaceDE w:val="0"/>
        <w:adjustRightInd w:val="0"/>
        <w:snapToGrid w:val="0"/>
        <w:spacing w:line="576" w:lineRule="exact"/>
        <w:ind w:firstLine="720"/>
        <w:rPr>
          <w:rFonts w:ascii="仿宋_GB2312" w:hAnsi="宋体" w:eastAsia="仿宋_GB2312"/>
          <w:sz w:val="32"/>
          <w:szCs w:val="32"/>
        </w:rPr>
      </w:pPr>
      <w:r>
        <w:rPr>
          <w:rFonts w:hint="eastAsia" w:ascii="黑体" w:hAnsi="黑体" w:eastAsia="黑体"/>
          <w:sz w:val="32"/>
          <w:szCs w:val="32"/>
        </w:rPr>
        <w:t>三、项目绩效情况</w:t>
      </w:r>
      <w:r>
        <w:rPr>
          <w:rFonts w:ascii="仿宋_GB2312" w:hAnsi="宋体" w:eastAsia="仿宋_GB2312"/>
          <w:sz w:val="32"/>
          <w:szCs w:val="32"/>
        </w:rPr>
        <w:tab/>
      </w:r>
    </w:p>
    <w:p>
      <w:pPr>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（一）项目完成情况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．数量指标：</w:t>
      </w:r>
      <w:r>
        <w:rPr>
          <w:rFonts w:ascii="仿宋_GB2312" w:hAnsi="仿宋" w:eastAsia="仿宋_GB2312" w:cs="仿宋"/>
          <w:sz w:val="32"/>
          <w:szCs w:val="32"/>
        </w:rPr>
        <w:t>6</w:t>
      </w:r>
      <w:r>
        <w:rPr>
          <w:rFonts w:hint="eastAsia" w:ascii="仿宋_GB2312" w:hAnsi="仿宋" w:eastAsia="仿宋_GB2312" w:cs="仿宋"/>
          <w:sz w:val="32"/>
          <w:szCs w:val="32"/>
        </w:rPr>
        <w:t>个重点督导组</w:t>
      </w:r>
      <w:r>
        <w:rPr>
          <w:rFonts w:ascii="仿宋_GB2312" w:hAnsi="仿宋" w:eastAsia="仿宋_GB2312" w:cs="仿宋"/>
          <w:sz w:val="32"/>
          <w:szCs w:val="32"/>
        </w:rPr>
        <w:t>11</w:t>
      </w:r>
      <w:r>
        <w:rPr>
          <w:rFonts w:hint="eastAsia" w:ascii="仿宋_GB2312" w:hAnsi="仿宋" w:eastAsia="仿宋_GB2312" w:cs="仿宋"/>
          <w:sz w:val="32"/>
          <w:szCs w:val="32"/>
        </w:rPr>
        <w:t>人、开展工作督导</w:t>
      </w:r>
      <w:r>
        <w:rPr>
          <w:rFonts w:ascii="仿宋_GB2312" w:hAnsi="仿宋" w:eastAsia="仿宋_GB2312" w:cs="仿宋"/>
          <w:sz w:val="32"/>
          <w:szCs w:val="32"/>
        </w:rPr>
        <w:t>310</w:t>
      </w:r>
      <w:r>
        <w:rPr>
          <w:rFonts w:hint="eastAsia" w:ascii="仿宋_GB2312" w:hAnsi="仿宋" w:eastAsia="仿宋_GB2312" w:cs="仿宋"/>
          <w:sz w:val="32"/>
          <w:szCs w:val="32"/>
        </w:rPr>
        <w:t>次。</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．质量指标：督导乡镇和部门顺利完成区委下达的目标任务率</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．时效指标：项目按期完成率</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．成本指标：全年开展督导工作产生的经费</w:t>
      </w:r>
      <w:r>
        <w:rPr>
          <w:rFonts w:ascii="仿宋_GB2312" w:hAnsi="仿宋" w:eastAsia="仿宋_GB2312" w:cs="仿宋"/>
          <w:sz w:val="32"/>
          <w:szCs w:val="32"/>
        </w:rPr>
        <w:t>6</w:t>
      </w:r>
      <w:r>
        <w:rPr>
          <w:rFonts w:hint="eastAsia" w:ascii="仿宋_GB2312" w:hAnsi="仿宋" w:eastAsia="仿宋_GB2312" w:cs="仿宋"/>
          <w:sz w:val="32"/>
          <w:szCs w:val="32"/>
        </w:rPr>
        <w:t>万元。</w:t>
      </w:r>
    </w:p>
    <w:p>
      <w:pPr>
        <w:spacing w:line="576" w:lineRule="exact"/>
        <w:ind w:firstLine="640" w:firstLineChars="200"/>
        <w:rPr>
          <w:rFonts w:ascii="楷体_GB2312" w:hAnsi="宋体" w:eastAsia="楷体_GB2312"/>
          <w:sz w:val="32"/>
          <w:szCs w:val="32"/>
        </w:rPr>
      </w:pPr>
      <w:r>
        <w:rPr>
          <w:rFonts w:hint="eastAsia" w:ascii="楷体_GB2312" w:hAnsi="宋体" w:eastAsia="楷体_GB2312"/>
          <w:sz w:val="32"/>
          <w:szCs w:val="32"/>
        </w:rPr>
        <w:t>（二）项目效益情况</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．效益指标：全面工作的完成</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576"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．满意度指标：服务对象满意率</w:t>
      </w:r>
      <w:r>
        <w:rPr>
          <w:rFonts w:ascii="仿宋_GB2312" w:hAnsi="仿宋" w:eastAsia="仿宋_GB2312" w:cs="仿宋"/>
          <w:sz w:val="32"/>
          <w:szCs w:val="32"/>
        </w:rPr>
        <w:t>100%</w:t>
      </w:r>
      <w:r>
        <w:rPr>
          <w:rFonts w:hint="eastAsia" w:ascii="仿宋_GB2312" w:hAnsi="仿宋" w:eastAsia="仿宋_GB2312" w:cs="仿宋"/>
          <w:sz w:val="32"/>
          <w:szCs w:val="32"/>
        </w:rPr>
        <w:t>。</w:t>
      </w:r>
    </w:p>
    <w:p>
      <w:pPr>
        <w:autoSpaceDE w:val="0"/>
        <w:adjustRightInd w:val="0"/>
        <w:snapToGrid w:val="0"/>
        <w:spacing w:line="576" w:lineRule="exact"/>
        <w:ind w:firstLine="640" w:firstLineChars="200"/>
        <w:rPr>
          <w:rFonts w:ascii="黑体" w:hAnsi="宋体" w:eastAsia="黑体"/>
          <w:sz w:val="32"/>
          <w:szCs w:val="32"/>
        </w:rPr>
      </w:pPr>
      <w:r>
        <w:rPr>
          <w:rFonts w:hint="eastAsia" w:ascii="黑体" w:hAnsi="黑体" w:eastAsia="黑体"/>
          <w:sz w:val="32"/>
          <w:szCs w:val="32"/>
        </w:rPr>
        <w:t>四、问题及建议</w:t>
      </w:r>
    </w:p>
    <w:p>
      <w:pPr>
        <w:autoSpaceDE w:val="0"/>
        <w:adjustRightInd w:val="0"/>
        <w:snapToGrid w:val="0"/>
        <w:spacing w:line="576"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（一）评价结论。</w:t>
      </w:r>
      <w:r>
        <w:rPr>
          <w:rFonts w:hint="eastAsia" w:ascii="仿宋_GB2312" w:hAnsi="仿宋" w:eastAsia="仿宋_GB2312" w:cs="仿宋"/>
          <w:sz w:val="32"/>
          <w:szCs w:val="32"/>
        </w:rPr>
        <w:t>本项目自评体系由项目管理、项目决策、项目绩效三个方面的</w:t>
      </w:r>
      <w:r>
        <w:rPr>
          <w:rFonts w:ascii="仿宋_GB2312" w:hAnsi="仿宋" w:eastAsia="仿宋_GB2312" w:cs="仿宋"/>
          <w:sz w:val="32"/>
          <w:szCs w:val="32"/>
        </w:rPr>
        <w:t>8</w:t>
      </w:r>
      <w:r>
        <w:rPr>
          <w:rFonts w:hint="eastAsia" w:ascii="仿宋_GB2312" w:hAnsi="仿宋" w:eastAsia="仿宋_GB2312" w:cs="仿宋"/>
          <w:sz w:val="32"/>
          <w:szCs w:val="32"/>
        </w:rPr>
        <w:t>个二级指标</w:t>
      </w:r>
      <w:r>
        <w:rPr>
          <w:rFonts w:ascii="仿宋_GB2312" w:hAnsi="仿宋" w:eastAsia="仿宋_GB2312" w:cs="仿宋"/>
          <w:sz w:val="32"/>
          <w:szCs w:val="32"/>
        </w:rPr>
        <w:t>16</w:t>
      </w:r>
      <w:r>
        <w:rPr>
          <w:rFonts w:hint="eastAsia" w:ascii="仿宋_GB2312" w:hAnsi="仿宋" w:eastAsia="仿宋_GB2312" w:cs="仿宋"/>
          <w:sz w:val="32"/>
          <w:szCs w:val="32"/>
        </w:rPr>
        <w:t>个三级指标构成，通过开展绩效自评，得分</w:t>
      </w:r>
      <w:r>
        <w:rPr>
          <w:rFonts w:ascii="仿宋_GB2312" w:hAnsi="仿宋" w:eastAsia="仿宋_GB2312" w:cs="仿宋"/>
          <w:sz w:val="32"/>
          <w:szCs w:val="32"/>
        </w:rPr>
        <w:t>98</w:t>
      </w:r>
      <w:r>
        <w:rPr>
          <w:rFonts w:hint="eastAsia" w:ascii="仿宋_GB2312" w:hAnsi="仿宋" w:eastAsia="仿宋_GB2312" w:cs="仿宋"/>
          <w:sz w:val="32"/>
          <w:szCs w:val="32"/>
        </w:rPr>
        <w:t>分，评价等次为“优”。</w:t>
      </w:r>
    </w:p>
    <w:p>
      <w:pPr>
        <w:spacing w:line="576" w:lineRule="exact"/>
        <w:ind w:firstLine="640" w:firstLineChars="200"/>
        <w:rPr>
          <w:rFonts w:ascii="仿宋_GB2312" w:hAnsi="仿宋_GB2312" w:eastAsia="仿宋_GB2312" w:cs="仿宋_GB2312"/>
          <w:sz w:val="32"/>
          <w:szCs w:val="32"/>
        </w:rPr>
      </w:pPr>
      <w:r>
        <w:rPr>
          <w:rFonts w:hint="eastAsia" w:ascii="楷体_GB2312" w:hAnsi="宋体" w:eastAsia="楷体_GB2312"/>
          <w:sz w:val="32"/>
          <w:szCs w:val="32"/>
        </w:rPr>
        <w:t>（二）存在的问题。</w:t>
      </w:r>
      <w:r>
        <w:rPr>
          <w:rFonts w:hint="eastAsia" w:ascii="仿宋_GB2312" w:hAnsi="仿宋" w:eastAsia="仿宋_GB2312" w:cs="仿宋"/>
          <w:sz w:val="32"/>
          <w:szCs w:val="32"/>
        </w:rPr>
        <w:t>我区重点工作督查头绪多，任务重，上级部门督查次数频繁，经费严重不足。</w:t>
      </w:r>
    </w:p>
    <w:p>
      <w:pPr>
        <w:spacing w:line="576"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（三）相关建议。</w:t>
      </w:r>
      <w:r>
        <w:rPr>
          <w:rFonts w:hint="eastAsia" w:ascii="仿宋_GB2312" w:hAnsi="仿宋" w:eastAsia="仿宋_GB2312" w:cs="仿宋"/>
          <w:sz w:val="32"/>
          <w:szCs w:val="32"/>
        </w:rPr>
        <w:t>建议提高督查工作经费预算，抓好我区督查工作的规范化、制度化建设，提高督查工作的积极性。</w:t>
      </w:r>
    </w:p>
    <w:p>
      <w:pPr>
        <w:autoSpaceDE w:val="0"/>
        <w:spacing w:line="576" w:lineRule="exact"/>
        <w:rPr>
          <w:rFonts w:hint="eastAsia" w:ascii="黑体" w:hAnsi="黑体" w:eastAsia="黑体"/>
          <w:sz w:val="32"/>
          <w:szCs w:val="32"/>
        </w:rPr>
      </w:pPr>
    </w:p>
    <w:p>
      <w:pPr>
        <w:pStyle w:val="12"/>
        <w:rPr>
          <w:rFonts w:hint="eastAsia" w:ascii="黑体" w:hAnsi="黑体" w:eastAsia="黑体"/>
          <w:sz w:val="32"/>
          <w:szCs w:val="32"/>
        </w:rPr>
      </w:pPr>
    </w:p>
    <w:p>
      <w:pPr>
        <w:rPr>
          <w:rFonts w:hint="eastAsia" w:ascii="黑体" w:hAnsi="黑体" w:eastAsia="黑体"/>
          <w:sz w:val="32"/>
          <w:szCs w:val="32"/>
        </w:rPr>
      </w:pPr>
    </w:p>
    <w:p>
      <w:pPr>
        <w:pStyle w:val="12"/>
        <w:rPr>
          <w:rFonts w:hint="eastAsia" w:ascii="黑体" w:hAnsi="黑体" w:eastAsia="黑体"/>
          <w:sz w:val="32"/>
          <w:szCs w:val="32"/>
        </w:rPr>
      </w:pPr>
    </w:p>
    <w:p>
      <w:pPr>
        <w:rPr>
          <w:rFonts w:hint="eastAsia" w:ascii="黑体" w:hAnsi="黑体" w:eastAsia="黑体"/>
          <w:sz w:val="32"/>
          <w:szCs w:val="32"/>
        </w:rPr>
      </w:pPr>
    </w:p>
    <w:p>
      <w:pPr>
        <w:pStyle w:val="12"/>
        <w:rPr>
          <w:rFonts w:hint="eastAsia"/>
        </w:rPr>
      </w:pPr>
    </w:p>
    <w:p>
      <w:pPr>
        <w:spacing w:line="600" w:lineRule="exact"/>
        <w:jc w:val="both"/>
        <w:outlineLvl w:val="9"/>
        <w:rPr>
          <w:rFonts w:hint="eastAsia" w:ascii="黑体" w:hAnsi="黑体" w:eastAsia="黑体"/>
          <w:b w:val="0"/>
          <w:bCs w:val="0"/>
          <w:color w:val="auto"/>
          <w:sz w:val="44"/>
          <w:szCs w:val="44"/>
          <w:highlight w:val="none"/>
        </w:rPr>
      </w:pPr>
    </w:p>
    <w:p>
      <w:pPr>
        <w:autoSpaceDE w:val="0"/>
        <w:spacing w:line="576"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2022</w:t>
      </w:r>
      <w:r>
        <w:rPr>
          <w:rFonts w:hint="eastAsia" w:ascii="方正小标宋简体" w:hAnsi="方正小标宋简体" w:eastAsia="方正小标宋简体" w:cs="方正小标宋简体"/>
          <w:color w:val="000000"/>
          <w:kern w:val="0"/>
          <w:sz w:val="44"/>
          <w:szCs w:val="44"/>
        </w:rPr>
        <w:t>年度省委巡视整改及民生工作项目支出</w:t>
      </w:r>
    </w:p>
    <w:p>
      <w:pPr>
        <w:autoSpaceDE w:val="0"/>
        <w:spacing w:line="576" w:lineRule="exact"/>
        <w:jc w:val="center"/>
        <w:rPr>
          <w:rFonts w:ascii="方正小标宋简体" w:hAnsi="宋体"/>
          <w:color w:val="000000"/>
          <w:kern w:val="0"/>
          <w:sz w:val="44"/>
          <w:szCs w:val="44"/>
        </w:rPr>
      </w:pPr>
      <w:r>
        <w:rPr>
          <w:rFonts w:hint="eastAsia" w:ascii="方正小标宋简体" w:hAnsi="方正小标宋简体" w:eastAsia="方正小标宋简体" w:cs="方正小标宋简体"/>
          <w:color w:val="000000"/>
          <w:kern w:val="0"/>
          <w:sz w:val="44"/>
          <w:szCs w:val="44"/>
        </w:rPr>
        <w:t>绩效自评报告</w:t>
      </w:r>
    </w:p>
    <w:p>
      <w:pPr>
        <w:autoSpaceDE w:val="0"/>
        <w:adjustRightInd w:val="0"/>
        <w:snapToGrid w:val="0"/>
        <w:spacing w:line="576" w:lineRule="exact"/>
        <w:jc w:val="center"/>
        <w:rPr>
          <w:rFonts w:hint="eastAsia" w:ascii="黑体" w:hAnsi="黑体" w:eastAsia="黑体"/>
          <w:sz w:val="32"/>
          <w:szCs w:val="32"/>
        </w:rPr>
      </w:pPr>
    </w:p>
    <w:p>
      <w:pPr>
        <w:autoSpaceDE w:val="0"/>
        <w:adjustRightInd w:val="0"/>
        <w:snapToGrid w:val="0"/>
        <w:spacing w:line="576" w:lineRule="exact"/>
        <w:ind w:firstLine="640" w:firstLineChars="200"/>
        <w:rPr>
          <w:rFonts w:ascii="黑体" w:hAnsi="宋体" w:eastAsia="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楷体_GB2312" w:hAnsi="Times New Roman" w:eastAsia="楷体_GB2312"/>
          <w:sz w:val="32"/>
          <w:szCs w:val="32"/>
        </w:rPr>
      </w:pPr>
      <w:r>
        <w:rPr>
          <w:rFonts w:hint="eastAsia" w:ascii="楷体_GB2312" w:hAnsi="Times New Roman" w:eastAsia="楷体_GB2312"/>
          <w:sz w:val="32"/>
          <w:szCs w:val="32"/>
        </w:rPr>
        <w:t>（一）项目资金申报及批复情况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年省委巡视整改及民生工作共申报工作经费</w:t>
      </w:r>
      <w:r>
        <w:rPr>
          <w:rFonts w:ascii="仿宋_GB2312" w:hAnsi="仿宋" w:eastAsia="仿宋_GB2312" w:cs="仿宋"/>
          <w:sz w:val="32"/>
          <w:szCs w:val="32"/>
        </w:rPr>
        <w:t>4</w:t>
      </w:r>
      <w:r>
        <w:rPr>
          <w:rFonts w:hint="eastAsia" w:ascii="仿宋_GB2312" w:hAnsi="仿宋" w:eastAsia="仿宋_GB2312" w:cs="仿宋"/>
          <w:sz w:val="32"/>
          <w:szCs w:val="32"/>
        </w:rPr>
        <w:t>万元，区财政批复下拨经费</w:t>
      </w:r>
      <w:r>
        <w:rPr>
          <w:rFonts w:ascii="仿宋_GB2312" w:hAnsi="仿宋" w:eastAsia="仿宋_GB2312" w:cs="仿宋"/>
          <w:sz w:val="32"/>
          <w:szCs w:val="32"/>
        </w:rPr>
        <w:t>4</w:t>
      </w:r>
      <w:r>
        <w:rPr>
          <w:rFonts w:hint="eastAsia" w:ascii="仿宋_GB2312" w:hAnsi="仿宋" w:eastAsia="仿宋_GB2312" w:cs="仿宋"/>
          <w:sz w:val="32"/>
          <w:szCs w:val="32"/>
        </w:rPr>
        <w:t>万元，均为本级一般公共预算资金。</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（二）项目绩效目标</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．项目主要内容。该项目实施主体是区目标绩效事务中心。实施内容主要为做好省委巡视整改工作和民生实事相关工作，促进各部门完成省委巡视问题的整改和朝天区民生实事工作顺利完成。</w:t>
      </w:r>
      <w:r>
        <w:rPr>
          <w:rFonts w:ascii="仿宋_GB2312" w:hAnsi="仿宋" w:eastAsia="仿宋_GB2312" w:cs="仿宋"/>
          <w:sz w:val="32"/>
          <w:szCs w:val="32"/>
        </w:rPr>
        <w:t xml:space="preserve">  </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．项目应实现的具体绩效目标。该项目从数量、质量、时效、经济成本、社会效益、满意度指标等</w:t>
      </w:r>
      <w:r>
        <w:rPr>
          <w:rFonts w:ascii="仿宋_GB2312" w:hAnsi="仿宋" w:eastAsia="仿宋_GB2312" w:cs="仿宋"/>
          <w:sz w:val="32"/>
          <w:szCs w:val="32"/>
        </w:rPr>
        <w:t>6</w:t>
      </w:r>
      <w:r>
        <w:rPr>
          <w:rFonts w:hint="eastAsia" w:ascii="仿宋_GB2312" w:hAnsi="仿宋" w:eastAsia="仿宋_GB2312" w:cs="仿宋"/>
          <w:sz w:val="32"/>
          <w:szCs w:val="32"/>
        </w:rPr>
        <w:t>个方面设置了</w:t>
      </w:r>
      <w:r>
        <w:rPr>
          <w:rFonts w:ascii="仿宋_GB2312" w:hAnsi="仿宋" w:eastAsia="仿宋_GB2312" w:cs="仿宋"/>
          <w:sz w:val="32"/>
          <w:szCs w:val="32"/>
        </w:rPr>
        <w:t>7</w:t>
      </w:r>
      <w:r>
        <w:rPr>
          <w:rFonts w:hint="eastAsia" w:ascii="仿宋_GB2312" w:hAnsi="仿宋" w:eastAsia="仿宋_GB2312" w:cs="仿宋"/>
          <w:sz w:val="32"/>
          <w:szCs w:val="32"/>
        </w:rPr>
        <w:t>个具体绩效目标，包括：民生实事资料印刷</w:t>
      </w:r>
      <w:r>
        <w:rPr>
          <w:rFonts w:ascii="仿宋_GB2312" w:hAnsi="仿宋" w:eastAsia="仿宋_GB2312" w:cs="仿宋"/>
          <w:sz w:val="32"/>
          <w:szCs w:val="32"/>
        </w:rPr>
        <w:t>300</w:t>
      </w:r>
      <w:r>
        <w:rPr>
          <w:rFonts w:hint="eastAsia" w:ascii="仿宋_GB2312" w:hAnsi="仿宋" w:eastAsia="仿宋_GB2312" w:cs="仿宋"/>
          <w:sz w:val="32"/>
          <w:szCs w:val="32"/>
        </w:rPr>
        <w:t>份、巡视工作整改督查</w:t>
      </w:r>
      <w:r>
        <w:rPr>
          <w:rFonts w:ascii="仿宋_GB2312" w:hAnsi="仿宋" w:eastAsia="仿宋_GB2312" w:cs="仿宋"/>
          <w:sz w:val="32"/>
          <w:szCs w:val="32"/>
        </w:rPr>
        <w:t>6</w:t>
      </w:r>
      <w:r>
        <w:rPr>
          <w:rFonts w:hint="eastAsia" w:ascii="仿宋_GB2312" w:hAnsi="仿宋" w:eastAsia="仿宋_GB2312" w:cs="仿宋"/>
          <w:sz w:val="32"/>
          <w:szCs w:val="32"/>
        </w:rPr>
        <w:t>次、资金使用合规率</w:t>
      </w:r>
      <w:r>
        <w:rPr>
          <w:rFonts w:ascii="仿宋_GB2312" w:hAnsi="仿宋" w:eastAsia="仿宋_GB2312" w:cs="仿宋"/>
          <w:sz w:val="32"/>
          <w:szCs w:val="32"/>
        </w:rPr>
        <w:t>100%</w:t>
      </w:r>
      <w:r>
        <w:rPr>
          <w:rFonts w:hint="eastAsia" w:ascii="仿宋_GB2312" w:hAnsi="仿宋" w:eastAsia="仿宋_GB2312" w:cs="仿宋"/>
          <w:sz w:val="32"/>
          <w:szCs w:val="32"/>
        </w:rPr>
        <w:t>、项目按时完成率</w:t>
      </w:r>
      <w:r>
        <w:rPr>
          <w:rFonts w:ascii="仿宋_GB2312" w:hAnsi="仿宋" w:eastAsia="仿宋_GB2312" w:cs="仿宋"/>
          <w:sz w:val="32"/>
          <w:szCs w:val="32"/>
        </w:rPr>
        <w:t>100%</w:t>
      </w:r>
      <w:r>
        <w:rPr>
          <w:rFonts w:hint="eastAsia" w:ascii="仿宋_GB2312" w:hAnsi="仿宋" w:eastAsia="仿宋_GB2312" w:cs="仿宋"/>
          <w:sz w:val="32"/>
          <w:szCs w:val="32"/>
        </w:rPr>
        <w:t>、民生实事工作成本</w:t>
      </w:r>
      <w:r>
        <w:rPr>
          <w:rFonts w:ascii="仿宋_GB2312" w:hAnsi="仿宋" w:eastAsia="仿宋_GB2312" w:cs="仿宋"/>
          <w:sz w:val="32"/>
          <w:szCs w:val="32"/>
        </w:rPr>
        <w:t>2</w:t>
      </w:r>
      <w:r>
        <w:rPr>
          <w:rFonts w:hint="eastAsia" w:ascii="仿宋_GB2312" w:hAnsi="仿宋" w:eastAsia="仿宋_GB2312" w:cs="仿宋"/>
          <w:sz w:val="32"/>
          <w:szCs w:val="32"/>
        </w:rPr>
        <w:t>万元、巡视工作成本</w:t>
      </w:r>
      <w:r>
        <w:rPr>
          <w:rFonts w:ascii="仿宋_GB2312" w:hAnsi="仿宋" w:eastAsia="仿宋_GB2312" w:cs="仿宋"/>
          <w:sz w:val="32"/>
          <w:szCs w:val="32"/>
        </w:rPr>
        <w:t>2</w:t>
      </w:r>
      <w:r>
        <w:rPr>
          <w:rFonts w:hint="eastAsia" w:ascii="仿宋_GB2312" w:hAnsi="仿宋" w:eastAsia="仿宋_GB2312" w:cs="仿宋"/>
          <w:sz w:val="32"/>
          <w:szCs w:val="32"/>
        </w:rPr>
        <w:t>万元、促进各部门完成省委巡视问题整改“优良中低差”、促进朝天区教育卫生等民生工作顺利完成“优良中低差”、服务对象满意度</w:t>
      </w:r>
      <w:r>
        <w:rPr>
          <w:rFonts w:ascii="仿宋_GB2312" w:hAnsi="仿宋" w:eastAsia="仿宋_GB2312" w:cs="仿宋"/>
          <w:sz w:val="32"/>
          <w:szCs w:val="32"/>
        </w:rPr>
        <w:t>85%</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．项目资金申报相符性。项目资金使用符合相关的财务管理制度规定，不存在截留、挤占、挪用、虚列支出等情况。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（三）项目自评步骤及方法</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成立由中心主任担任组长，分管副主任担任副组长，各股室负责人及财务工作人员为成员的绩效评价领导小组。根据绩效自评工作安排，项目承担股室对照区财政年初批复的预算金额和绩效目标，认真盘点统计各项目实施情况，由业务分管领导对项目实施情况和绩效完成情况进行核查，审核后提交财务人员进行总结分析并形成报告上报财政部门复核。</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黑体" w:hAnsi="宋体" w:eastAsia="黑体"/>
          <w:sz w:val="32"/>
          <w:szCs w:val="32"/>
        </w:rPr>
      </w:pPr>
      <w:r>
        <w:rPr>
          <w:rFonts w:hint="eastAsia" w:ascii="黑体" w:hAnsi="黑体" w:eastAsia="黑体"/>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仿宋_GB2312" w:hAnsi="宋体" w:eastAsia="仿宋_GB2312"/>
          <w:sz w:val="32"/>
          <w:szCs w:val="32"/>
        </w:rPr>
      </w:pPr>
      <w:r>
        <w:rPr>
          <w:rFonts w:hint="eastAsia" w:ascii="楷体_GB2312" w:hAnsi="Times New Roman" w:eastAsia="楷体_GB2312"/>
          <w:sz w:val="32"/>
          <w:szCs w:val="32"/>
        </w:rPr>
        <w:t>（一）资金计划、到位及使用情况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．资金计划及到位。</w:t>
      </w:r>
      <w:r>
        <w:rPr>
          <w:rFonts w:ascii="仿宋_GB2312" w:hAnsi="仿宋" w:eastAsia="仿宋_GB2312" w:cs="仿宋"/>
          <w:sz w:val="32"/>
          <w:szCs w:val="32"/>
        </w:rPr>
        <w:t>2022</w:t>
      </w:r>
      <w:r>
        <w:rPr>
          <w:rFonts w:hint="eastAsia" w:ascii="仿宋_GB2312" w:hAnsi="仿宋" w:eastAsia="仿宋_GB2312" w:cs="仿宋"/>
          <w:sz w:val="32"/>
          <w:szCs w:val="32"/>
        </w:rPr>
        <w:t>年省委巡视整改及民生工作项目资金到位</w:t>
      </w:r>
      <w:r>
        <w:rPr>
          <w:rFonts w:ascii="仿宋_GB2312" w:hAnsi="仿宋" w:eastAsia="仿宋_GB2312" w:cs="仿宋"/>
          <w:sz w:val="32"/>
          <w:szCs w:val="32"/>
        </w:rPr>
        <w:t>4</w:t>
      </w:r>
      <w:r>
        <w:rPr>
          <w:rFonts w:hint="eastAsia" w:ascii="仿宋_GB2312" w:hAnsi="仿宋" w:eastAsia="仿宋_GB2312" w:cs="仿宋"/>
          <w:sz w:val="32"/>
          <w:szCs w:val="32"/>
        </w:rPr>
        <w:t>万元。全年支出印刷费、办公费等共计</w:t>
      </w:r>
      <w:r>
        <w:rPr>
          <w:rFonts w:ascii="仿宋_GB2312" w:hAnsi="仿宋" w:eastAsia="仿宋_GB2312" w:cs="仿宋"/>
          <w:sz w:val="32"/>
          <w:szCs w:val="32"/>
        </w:rPr>
        <w:t>4</w:t>
      </w:r>
      <w:r>
        <w:rPr>
          <w:rFonts w:hint="eastAsia" w:ascii="仿宋_GB2312" w:hAnsi="仿宋" w:eastAsia="仿宋_GB2312" w:cs="仿宋"/>
          <w:sz w:val="32"/>
          <w:szCs w:val="32"/>
        </w:rPr>
        <w:t>万元。</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．资金使用。</w:t>
      </w:r>
      <w:r>
        <w:rPr>
          <w:rFonts w:ascii="仿宋_GB2312" w:hAnsi="仿宋" w:eastAsia="仿宋_GB2312" w:cs="仿宋"/>
          <w:sz w:val="32"/>
          <w:szCs w:val="32"/>
        </w:rPr>
        <w:t>2022</w:t>
      </w:r>
      <w:r>
        <w:rPr>
          <w:rFonts w:hint="eastAsia" w:ascii="仿宋_GB2312" w:hAnsi="仿宋" w:eastAsia="仿宋_GB2312" w:cs="仿宋"/>
          <w:sz w:val="32"/>
          <w:szCs w:val="32"/>
        </w:rPr>
        <w:t>年资金已全部执行，无虚列支出、截留挤占挪用，无超预算等现象。</w:t>
      </w:r>
    </w:p>
    <w:p>
      <w:pPr>
        <w:keepNext w:val="0"/>
        <w:keepLines w:val="0"/>
        <w:pageBreakBefore w:val="0"/>
        <w:widowControl w:val="0"/>
        <w:kinsoku/>
        <w:wordWrap/>
        <w:overflowPunct/>
        <w:topLinePunct w:val="0"/>
        <w:autoSpaceDE w:val="0"/>
        <w:autoSpaceDN/>
        <w:bidi w:val="0"/>
        <w:spacing w:line="540" w:lineRule="exact"/>
        <w:ind w:firstLine="640" w:firstLineChars="200"/>
        <w:textAlignment w:val="auto"/>
        <w:rPr>
          <w:rFonts w:ascii="楷体_GB2312" w:hAnsi="Times New Roman" w:eastAsia="楷体_GB2312"/>
          <w:sz w:val="32"/>
          <w:szCs w:val="32"/>
        </w:rPr>
      </w:pPr>
      <w:r>
        <w:rPr>
          <w:rFonts w:hint="eastAsia" w:ascii="楷体_GB2312" w:hAnsi="Times New Roman" w:eastAsia="楷体_GB2312"/>
          <w:sz w:val="32"/>
          <w:szCs w:val="32"/>
        </w:rPr>
        <w:t>（二）项目财务管理情况</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keepNext w:val="0"/>
        <w:keepLines w:val="0"/>
        <w:pageBreakBefore w:val="0"/>
        <w:widowControl w:val="0"/>
        <w:kinsoku/>
        <w:wordWrap/>
        <w:overflowPunct/>
        <w:topLinePunct w:val="0"/>
        <w:autoSpaceDE w:val="0"/>
        <w:autoSpaceDN/>
        <w:bidi w:val="0"/>
        <w:spacing w:line="540" w:lineRule="exact"/>
        <w:ind w:firstLine="640" w:firstLineChars="200"/>
        <w:textAlignment w:val="auto"/>
        <w:rPr>
          <w:rFonts w:ascii="楷体_GB2312" w:hAnsi="Times New Roman" w:eastAsia="楷体_GB2312"/>
          <w:sz w:val="32"/>
          <w:szCs w:val="32"/>
        </w:rPr>
      </w:pPr>
      <w:r>
        <w:rPr>
          <w:rFonts w:hint="eastAsia" w:ascii="楷体_GB2312" w:hAnsi="Times New Roman" w:eastAsia="楷体_GB2312"/>
          <w:sz w:val="32"/>
          <w:szCs w:val="32"/>
        </w:rPr>
        <w:t>（三）项目组织实施情况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严格按照年初制定的项目资金实施方案组织实施项目，项目完工初审后，统一组织相关人员开展检查，由项目实施部门将申报材料和初审意见等资料报财政部门复核，领导审核后兑付资金。</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仿宋_GB2312" w:hAnsi="宋体" w:eastAsia="仿宋_GB2312"/>
          <w:sz w:val="32"/>
          <w:szCs w:val="32"/>
        </w:rPr>
      </w:pPr>
      <w:r>
        <w:rPr>
          <w:rFonts w:hint="eastAsia" w:ascii="黑体" w:hAnsi="黑体" w:eastAsia="黑体"/>
          <w:sz w:val="32"/>
          <w:szCs w:val="32"/>
        </w:rPr>
        <w:t>三、项目绩效情况</w:t>
      </w:r>
      <w:r>
        <w:rPr>
          <w:rFonts w:ascii="仿宋_GB2312" w:hAnsi="宋体" w:eastAsia="仿宋_GB2312"/>
          <w:sz w:val="32"/>
          <w:szCs w:val="32"/>
        </w:rPr>
        <w:tab/>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（一）项目完成情况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．数量指标：民生实事资料印刷</w:t>
      </w:r>
      <w:r>
        <w:rPr>
          <w:rFonts w:ascii="仿宋_GB2312" w:hAnsi="仿宋" w:eastAsia="仿宋_GB2312" w:cs="仿宋"/>
          <w:sz w:val="32"/>
          <w:szCs w:val="32"/>
        </w:rPr>
        <w:t>300</w:t>
      </w:r>
      <w:r>
        <w:rPr>
          <w:rFonts w:hint="eastAsia" w:ascii="仿宋_GB2312" w:hAnsi="仿宋" w:eastAsia="仿宋_GB2312" w:cs="仿宋"/>
          <w:sz w:val="32"/>
          <w:szCs w:val="32"/>
        </w:rPr>
        <w:t>份、巡视工作整改督查</w:t>
      </w:r>
      <w:r>
        <w:rPr>
          <w:rFonts w:ascii="仿宋_GB2312" w:hAnsi="仿宋" w:eastAsia="仿宋_GB2312" w:cs="仿宋"/>
          <w:sz w:val="32"/>
          <w:szCs w:val="32"/>
        </w:rPr>
        <w:t>6</w:t>
      </w:r>
      <w:r>
        <w:rPr>
          <w:rFonts w:hint="eastAsia" w:ascii="仿宋_GB2312" w:hAnsi="仿宋" w:eastAsia="仿宋_GB2312" w:cs="仿宋"/>
          <w:sz w:val="32"/>
          <w:szCs w:val="32"/>
        </w:rPr>
        <w:t>次。</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．质量指标：资金使用合规率</w:t>
      </w:r>
      <w:r>
        <w:rPr>
          <w:rFonts w:ascii="仿宋_GB2312" w:hAnsi="仿宋" w:eastAsia="仿宋_GB2312" w:cs="仿宋"/>
          <w:sz w:val="32"/>
          <w:szCs w:val="32"/>
        </w:rPr>
        <w:t>100%</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．时效指标：项目按期完成率</w:t>
      </w:r>
      <w:r>
        <w:rPr>
          <w:rFonts w:ascii="仿宋_GB2312" w:hAnsi="仿宋" w:eastAsia="仿宋_GB2312" w:cs="仿宋"/>
          <w:sz w:val="32"/>
          <w:szCs w:val="32"/>
        </w:rPr>
        <w:t>100%</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．成本指标：民生实事工作</w:t>
      </w:r>
      <w:r>
        <w:rPr>
          <w:rFonts w:ascii="仿宋_GB2312" w:hAnsi="仿宋" w:eastAsia="仿宋_GB2312" w:cs="仿宋"/>
          <w:sz w:val="32"/>
          <w:szCs w:val="32"/>
        </w:rPr>
        <w:t>2</w:t>
      </w:r>
      <w:r>
        <w:rPr>
          <w:rFonts w:hint="eastAsia" w:ascii="仿宋_GB2312" w:hAnsi="仿宋" w:eastAsia="仿宋_GB2312" w:cs="仿宋"/>
          <w:sz w:val="32"/>
          <w:szCs w:val="32"/>
        </w:rPr>
        <w:t>万元、巡视工作</w:t>
      </w:r>
      <w:r>
        <w:rPr>
          <w:rFonts w:ascii="仿宋_GB2312" w:hAnsi="仿宋" w:eastAsia="仿宋_GB2312" w:cs="仿宋"/>
          <w:sz w:val="32"/>
          <w:szCs w:val="32"/>
        </w:rPr>
        <w:t>2</w:t>
      </w:r>
      <w:r>
        <w:rPr>
          <w:rFonts w:hint="eastAsia" w:ascii="仿宋_GB2312" w:hAnsi="仿宋" w:eastAsia="仿宋_GB2312" w:cs="仿宋"/>
          <w:sz w:val="32"/>
          <w:szCs w:val="32"/>
        </w:rPr>
        <w:t>万元。</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楷体_GB2312" w:hAnsi="宋体" w:eastAsia="楷体_GB2312"/>
          <w:sz w:val="32"/>
          <w:szCs w:val="32"/>
        </w:rPr>
      </w:pPr>
      <w:r>
        <w:rPr>
          <w:rFonts w:hint="eastAsia" w:ascii="楷体_GB2312" w:hAnsi="宋体" w:eastAsia="楷体_GB2312"/>
          <w:sz w:val="32"/>
          <w:szCs w:val="32"/>
        </w:rPr>
        <w:t>（二）项目效益情况</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．效益指标：促进各部门完成省委巡视问题整改“优”、促进朝天区教育卫生等民生工作顺利完成“优”。</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．满意度指标：服务对象满意率</w:t>
      </w:r>
      <w:r>
        <w:rPr>
          <w:rFonts w:ascii="仿宋_GB2312" w:hAnsi="仿宋" w:eastAsia="仿宋_GB2312" w:cs="仿宋"/>
          <w:sz w:val="32"/>
          <w:szCs w:val="32"/>
        </w:rPr>
        <w:t>95%</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黑体" w:hAnsi="宋体" w:eastAsia="黑体"/>
          <w:sz w:val="32"/>
          <w:szCs w:val="32"/>
        </w:rPr>
      </w:pPr>
      <w:r>
        <w:rPr>
          <w:rFonts w:hint="eastAsia" w:ascii="黑体" w:hAnsi="黑体" w:eastAsia="黑体"/>
          <w:sz w:val="32"/>
          <w:szCs w:val="32"/>
        </w:rPr>
        <w:t>四、问题及建议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楷体_GB2312" w:hAnsi="宋体" w:eastAsia="楷体_GB2312"/>
          <w:sz w:val="32"/>
          <w:szCs w:val="32"/>
        </w:rPr>
        <w:t>（一）评价结论。</w:t>
      </w:r>
      <w:r>
        <w:rPr>
          <w:rFonts w:hint="eastAsia" w:ascii="仿宋_GB2312" w:hAnsi="仿宋" w:eastAsia="仿宋_GB2312" w:cs="仿宋"/>
          <w:sz w:val="32"/>
          <w:szCs w:val="32"/>
        </w:rPr>
        <w:t>本项目自评体系由项目管理、项目决策、项目绩效三个方面的</w:t>
      </w:r>
      <w:r>
        <w:rPr>
          <w:rFonts w:ascii="仿宋_GB2312" w:hAnsi="仿宋" w:eastAsia="仿宋_GB2312" w:cs="仿宋"/>
          <w:sz w:val="32"/>
          <w:szCs w:val="32"/>
        </w:rPr>
        <w:t>8</w:t>
      </w:r>
      <w:r>
        <w:rPr>
          <w:rFonts w:hint="eastAsia" w:ascii="仿宋_GB2312" w:hAnsi="仿宋" w:eastAsia="仿宋_GB2312" w:cs="仿宋"/>
          <w:sz w:val="32"/>
          <w:szCs w:val="32"/>
        </w:rPr>
        <w:t>个二级指标</w:t>
      </w:r>
      <w:r>
        <w:rPr>
          <w:rFonts w:ascii="仿宋_GB2312" w:hAnsi="仿宋" w:eastAsia="仿宋_GB2312" w:cs="仿宋"/>
          <w:sz w:val="32"/>
          <w:szCs w:val="32"/>
        </w:rPr>
        <w:t>16</w:t>
      </w:r>
      <w:r>
        <w:rPr>
          <w:rFonts w:hint="eastAsia" w:ascii="仿宋_GB2312" w:hAnsi="仿宋" w:eastAsia="仿宋_GB2312" w:cs="仿宋"/>
          <w:sz w:val="32"/>
          <w:szCs w:val="32"/>
        </w:rPr>
        <w:t>个三级指标构成，通过开展绩效自评，得分</w:t>
      </w:r>
      <w:r>
        <w:rPr>
          <w:rFonts w:ascii="仿宋_GB2312" w:hAnsi="仿宋" w:eastAsia="仿宋_GB2312" w:cs="仿宋"/>
          <w:sz w:val="32"/>
          <w:szCs w:val="32"/>
        </w:rPr>
        <w:t>95</w:t>
      </w:r>
      <w:r>
        <w:rPr>
          <w:rFonts w:hint="eastAsia" w:ascii="仿宋_GB2312" w:hAnsi="仿宋" w:eastAsia="仿宋_GB2312" w:cs="仿宋"/>
          <w:sz w:val="32"/>
          <w:szCs w:val="32"/>
        </w:rPr>
        <w:t>分，评价等次为“优”。</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ascii="仿宋_GB2312" w:hAnsi="仿宋" w:eastAsia="仿宋_GB2312" w:cs="仿宋"/>
          <w:sz w:val="32"/>
          <w:szCs w:val="32"/>
        </w:rPr>
      </w:pPr>
      <w:r>
        <w:rPr>
          <w:rFonts w:hint="eastAsia" w:ascii="楷体_GB2312" w:hAnsi="宋体" w:eastAsia="楷体_GB2312"/>
          <w:sz w:val="32"/>
          <w:szCs w:val="32"/>
        </w:rPr>
        <w:t>（二）存在的问题。</w:t>
      </w:r>
      <w:r>
        <w:rPr>
          <w:rFonts w:hint="eastAsia" w:ascii="仿宋_GB2312" w:hAnsi="仿宋" w:eastAsia="仿宋_GB2312" w:cs="仿宋"/>
          <w:sz w:val="32"/>
          <w:szCs w:val="32"/>
        </w:rPr>
        <w:t>每年省定、市定、区人大代表票决的民生实事项目大约有</w:t>
      </w:r>
      <w:r>
        <w:rPr>
          <w:rFonts w:ascii="仿宋_GB2312" w:hAnsi="仿宋" w:eastAsia="仿宋_GB2312" w:cs="仿宋"/>
          <w:sz w:val="32"/>
          <w:szCs w:val="32"/>
        </w:rPr>
        <w:t>40</w:t>
      </w:r>
      <w:r>
        <w:rPr>
          <w:rFonts w:hint="eastAsia" w:ascii="仿宋_GB2312" w:hAnsi="仿宋" w:eastAsia="仿宋_GB2312" w:cs="仿宋"/>
          <w:sz w:val="32"/>
          <w:szCs w:val="32"/>
        </w:rPr>
        <w:t>多件，涉及基础设施建设、教育医疗、交通出行等多方面，我中心作为该项工作的牵头部门，工作内容多、任务重，工作经费严重不足。</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hint="eastAsia" w:ascii="仿宋_GB2312" w:hAnsi="仿宋" w:eastAsia="仿宋_GB2312" w:cs="仿宋"/>
          <w:sz w:val="32"/>
          <w:szCs w:val="32"/>
        </w:rPr>
      </w:pPr>
      <w:r>
        <w:rPr>
          <w:rFonts w:hint="eastAsia" w:ascii="楷体_GB2312" w:hAnsi="宋体" w:eastAsia="楷体_GB2312"/>
          <w:sz w:val="32"/>
          <w:szCs w:val="32"/>
        </w:rPr>
        <w:t>（三）相关建议。</w:t>
      </w:r>
      <w:r>
        <w:rPr>
          <w:rFonts w:hint="eastAsia" w:ascii="仿宋_GB2312" w:hAnsi="仿宋" w:eastAsia="仿宋_GB2312" w:cs="仿宋"/>
          <w:sz w:val="32"/>
          <w:szCs w:val="32"/>
        </w:rPr>
        <w:t>为进一步抓好民生实事推进工作，全力推动“民生清单”变成人民群众的“幸福账单”，建议提高民生实事工作经费预算，保障各项相关工作顺利开展。</w:t>
      </w:r>
    </w:p>
    <w:p>
      <w:pPr>
        <w:pStyle w:val="12"/>
        <w:rPr>
          <w:rFonts w:hint="eastAsia"/>
        </w:rPr>
      </w:pPr>
    </w:p>
    <w:p>
      <w:pPr>
        <w:pStyle w:val="12"/>
      </w:pPr>
    </w:p>
    <w:p/>
    <w:p/>
    <w:p/>
    <w:p>
      <w:pPr>
        <w:numPr>
          <w:ilvl w:val="0"/>
          <w:numId w:val="4"/>
        </w:numPr>
        <w:spacing w:line="600" w:lineRule="exact"/>
        <w:ind w:left="0" w:leftChars="0" w:firstLine="660" w:firstLineChars="150"/>
        <w:jc w:val="center"/>
        <w:outlineLvl w:val="0"/>
        <w:rPr>
          <w:rStyle w:val="28"/>
          <w:rFonts w:hint="eastAsia" w:ascii="黑体" w:hAnsi="黑体" w:eastAsia="黑体"/>
          <w:b w:val="0"/>
          <w:bCs w:val="0"/>
          <w:color w:val="auto"/>
          <w:highlight w:val="none"/>
        </w:rPr>
      </w:pPr>
      <w:bookmarkStart w:id="151" w:name="_Toc16414"/>
      <w:bookmarkStart w:id="152" w:name="_Toc31378"/>
      <w:bookmarkStart w:id="153" w:name="_Toc6744"/>
      <w:r>
        <w:rPr>
          <w:rStyle w:val="28"/>
          <w:rFonts w:hint="eastAsia" w:ascii="黑体" w:hAnsi="黑体" w:eastAsia="黑体"/>
          <w:b w:val="0"/>
          <w:bCs w:val="0"/>
          <w:color w:val="auto"/>
          <w:highlight w:val="none"/>
        </w:rPr>
        <w:t>附表</w:t>
      </w:r>
      <w:bookmarkEnd w:id="139"/>
      <w:bookmarkEnd w:id="149"/>
      <w:bookmarkEnd w:id="151"/>
      <w:bookmarkEnd w:id="152"/>
      <w:bookmarkEnd w:id="153"/>
      <w:bookmarkStart w:id="154" w:name="_Toc15396619"/>
    </w:p>
    <w:p>
      <w:pPr>
        <w:pStyle w:val="12"/>
        <w:numPr>
          <w:ilvl w:val="0"/>
          <w:numId w:val="0"/>
        </w:numPr>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55" w:name="_Toc28882"/>
      <w:bookmarkStart w:id="156" w:name="_Toc8511"/>
      <w:bookmarkStart w:id="157" w:name="_Toc7684"/>
      <w:r>
        <w:rPr>
          <w:rFonts w:hint="eastAsia" w:ascii="仿宋" w:hAnsi="仿宋" w:eastAsia="仿宋"/>
          <w:b w:val="0"/>
          <w:bCs w:val="0"/>
          <w:color w:val="auto"/>
          <w:highlight w:val="none"/>
        </w:rPr>
        <w:t>一、收</w:t>
      </w:r>
      <w:r>
        <w:rPr>
          <w:rStyle w:val="29"/>
          <w:rFonts w:hint="eastAsia" w:ascii="仿宋" w:hAnsi="仿宋" w:eastAsia="仿宋"/>
          <w:b w:val="0"/>
          <w:bCs w:val="0"/>
          <w:color w:val="auto"/>
          <w:highlight w:val="none"/>
        </w:rPr>
        <w:t>入支出决算总表</w:t>
      </w:r>
      <w:bookmarkEnd w:id="154"/>
      <w:bookmarkEnd w:id="155"/>
      <w:bookmarkEnd w:id="156"/>
      <w:bookmarkEnd w:id="157"/>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58" w:name="_Toc15396620"/>
      <w:bookmarkStart w:id="159" w:name="_Toc6405"/>
      <w:bookmarkStart w:id="160" w:name="_Toc12220"/>
      <w:bookmarkStart w:id="161" w:name="_Toc12995"/>
      <w:r>
        <w:rPr>
          <w:rFonts w:hint="eastAsia" w:ascii="仿宋" w:hAnsi="仿宋" w:eastAsia="仿宋"/>
          <w:b w:val="0"/>
          <w:bCs w:val="0"/>
          <w:color w:val="auto"/>
          <w:highlight w:val="none"/>
        </w:rPr>
        <w:t>二、收</w:t>
      </w:r>
      <w:r>
        <w:rPr>
          <w:rStyle w:val="29"/>
          <w:rFonts w:hint="eastAsia" w:ascii="仿宋" w:hAnsi="仿宋" w:eastAsia="仿宋"/>
          <w:b w:val="0"/>
          <w:bCs w:val="0"/>
          <w:color w:val="auto"/>
          <w:highlight w:val="none"/>
        </w:rPr>
        <w:t>入决算表</w:t>
      </w:r>
      <w:bookmarkEnd w:id="158"/>
      <w:bookmarkEnd w:id="159"/>
      <w:bookmarkEnd w:id="160"/>
      <w:bookmarkEnd w:id="161"/>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62" w:name="_Toc29058"/>
      <w:bookmarkStart w:id="163" w:name="_Toc29655"/>
      <w:bookmarkStart w:id="164" w:name="_Toc15396621"/>
      <w:bookmarkStart w:id="165" w:name="_Toc27566"/>
      <w:r>
        <w:rPr>
          <w:rStyle w:val="29"/>
          <w:rFonts w:hint="eastAsia" w:ascii="仿宋" w:hAnsi="仿宋" w:eastAsia="仿宋"/>
          <w:b w:val="0"/>
          <w:bCs w:val="0"/>
          <w:color w:val="auto"/>
          <w:highlight w:val="none"/>
        </w:rPr>
        <w:t>三、</w:t>
      </w:r>
      <w:r>
        <w:rPr>
          <w:rFonts w:hint="eastAsia" w:ascii="仿宋" w:hAnsi="仿宋" w:eastAsia="仿宋"/>
          <w:b w:val="0"/>
          <w:bCs w:val="0"/>
          <w:color w:val="auto"/>
          <w:highlight w:val="none"/>
        </w:rPr>
        <w:t>支</w:t>
      </w:r>
      <w:r>
        <w:rPr>
          <w:rStyle w:val="29"/>
          <w:rFonts w:hint="eastAsia" w:ascii="仿宋" w:hAnsi="仿宋" w:eastAsia="仿宋"/>
          <w:b w:val="0"/>
          <w:bCs w:val="0"/>
          <w:color w:val="auto"/>
          <w:highlight w:val="none"/>
        </w:rPr>
        <w:t>出决算表</w:t>
      </w:r>
      <w:bookmarkEnd w:id="162"/>
      <w:bookmarkEnd w:id="163"/>
      <w:bookmarkEnd w:id="164"/>
      <w:bookmarkEnd w:id="165"/>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66" w:name="_Toc2369"/>
      <w:bookmarkStart w:id="167" w:name="_Toc24318"/>
      <w:bookmarkStart w:id="168" w:name="_Toc15396622"/>
      <w:bookmarkStart w:id="169" w:name="_Toc6184"/>
      <w:r>
        <w:rPr>
          <w:rStyle w:val="29"/>
          <w:rFonts w:hint="eastAsia" w:ascii="仿宋" w:hAnsi="仿宋" w:eastAsia="仿宋"/>
          <w:b w:val="0"/>
          <w:bCs w:val="0"/>
          <w:color w:val="auto"/>
          <w:highlight w:val="none"/>
        </w:rPr>
        <w:t>四、</w:t>
      </w:r>
      <w:r>
        <w:rPr>
          <w:rFonts w:hint="eastAsia" w:ascii="仿宋" w:hAnsi="仿宋" w:eastAsia="仿宋"/>
          <w:b w:val="0"/>
          <w:bCs w:val="0"/>
          <w:color w:val="auto"/>
          <w:highlight w:val="none"/>
        </w:rPr>
        <w:t>财</w:t>
      </w:r>
      <w:r>
        <w:rPr>
          <w:rStyle w:val="29"/>
          <w:rFonts w:hint="eastAsia" w:ascii="仿宋" w:hAnsi="仿宋" w:eastAsia="仿宋"/>
          <w:b w:val="0"/>
          <w:bCs w:val="0"/>
          <w:color w:val="auto"/>
          <w:highlight w:val="none"/>
        </w:rPr>
        <w:t>政拨款收入支出决算总表</w:t>
      </w:r>
      <w:bookmarkEnd w:id="166"/>
      <w:bookmarkEnd w:id="167"/>
      <w:bookmarkEnd w:id="168"/>
      <w:bookmarkEnd w:id="169"/>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Style w:val="29"/>
          <w:rFonts w:ascii="仿宋" w:hAnsi="仿宋" w:eastAsia="仿宋"/>
          <w:b w:val="0"/>
          <w:bCs w:val="0"/>
          <w:color w:val="auto"/>
          <w:highlight w:val="none"/>
        </w:rPr>
      </w:pPr>
      <w:bookmarkStart w:id="170" w:name="_Toc13092"/>
      <w:bookmarkStart w:id="171" w:name="_Toc15396623"/>
      <w:bookmarkStart w:id="172" w:name="_Toc21121"/>
      <w:bookmarkStart w:id="173" w:name="_Toc5885"/>
      <w:r>
        <w:rPr>
          <w:rStyle w:val="29"/>
          <w:rFonts w:hint="eastAsia" w:ascii="仿宋" w:hAnsi="仿宋" w:eastAsia="仿宋"/>
          <w:b w:val="0"/>
          <w:bCs w:val="0"/>
          <w:color w:val="auto"/>
          <w:highlight w:val="none"/>
        </w:rPr>
        <w:t>五、</w:t>
      </w:r>
      <w:r>
        <w:rPr>
          <w:rFonts w:hint="eastAsia" w:ascii="仿宋" w:hAnsi="仿宋" w:eastAsia="仿宋"/>
          <w:b w:val="0"/>
          <w:bCs w:val="0"/>
          <w:color w:val="auto"/>
          <w:highlight w:val="none"/>
        </w:rPr>
        <w:t>财</w:t>
      </w:r>
      <w:r>
        <w:rPr>
          <w:rStyle w:val="29"/>
          <w:rFonts w:hint="eastAsia" w:ascii="仿宋" w:hAnsi="仿宋" w:eastAsia="仿宋"/>
          <w:b w:val="0"/>
          <w:bCs w:val="0"/>
          <w:color w:val="auto"/>
          <w:highlight w:val="none"/>
        </w:rPr>
        <w:t>政拨款支出决算明细表</w:t>
      </w:r>
      <w:bookmarkEnd w:id="170"/>
      <w:bookmarkEnd w:id="171"/>
      <w:bookmarkEnd w:id="172"/>
      <w:bookmarkEnd w:id="173"/>
      <w:bookmarkStart w:id="174" w:name="_Toc15396624"/>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75" w:name="_Toc7311"/>
      <w:bookmarkStart w:id="176" w:name="_Toc3644"/>
      <w:bookmarkStart w:id="177" w:name="_Toc12260"/>
      <w:r>
        <w:rPr>
          <w:rStyle w:val="29"/>
          <w:rFonts w:hint="eastAsia" w:ascii="仿宋" w:hAnsi="仿宋" w:eastAsia="仿宋"/>
          <w:b w:val="0"/>
          <w:bCs w:val="0"/>
          <w:color w:val="auto"/>
          <w:highlight w:val="none"/>
        </w:rPr>
        <w:t>六、</w:t>
      </w:r>
      <w:r>
        <w:rPr>
          <w:rFonts w:hint="eastAsia" w:ascii="仿宋" w:hAnsi="仿宋" w:eastAsia="仿宋"/>
          <w:b w:val="0"/>
          <w:bCs w:val="0"/>
          <w:color w:val="auto"/>
          <w:highlight w:val="none"/>
        </w:rPr>
        <w:t>一</w:t>
      </w:r>
      <w:r>
        <w:rPr>
          <w:rStyle w:val="29"/>
          <w:rFonts w:hint="eastAsia" w:ascii="仿宋" w:hAnsi="仿宋" w:eastAsia="仿宋"/>
          <w:b w:val="0"/>
          <w:bCs w:val="0"/>
          <w:color w:val="auto"/>
          <w:highlight w:val="none"/>
        </w:rPr>
        <w:t>般公共预算财政拨款支出决算表</w:t>
      </w:r>
      <w:bookmarkEnd w:id="174"/>
      <w:bookmarkEnd w:id="175"/>
      <w:bookmarkEnd w:id="176"/>
      <w:bookmarkEnd w:id="177"/>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78" w:name="_Toc15396625"/>
      <w:bookmarkStart w:id="179" w:name="_Toc14537"/>
      <w:bookmarkStart w:id="180" w:name="_Toc15267"/>
      <w:bookmarkStart w:id="181" w:name="_Toc32361"/>
      <w:r>
        <w:rPr>
          <w:rStyle w:val="29"/>
          <w:rFonts w:hint="eastAsia" w:ascii="仿宋" w:hAnsi="仿宋" w:eastAsia="仿宋"/>
          <w:b w:val="0"/>
          <w:bCs w:val="0"/>
          <w:color w:val="auto"/>
          <w:highlight w:val="none"/>
        </w:rPr>
        <w:t>七、</w:t>
      </w:r>
      <w:r>
        <w:rPr>
          <w:rFonts w:hint="eastAsia" w:ascii="仿宋" w:hAnsi="仿宋" w:eastAsia="仿宋"/>
          <w:b w:val="0"/>
          <w:bCs w:val="0"/>
          <w:color w:val="auto"/>
          <w:highlight w:val="none"/>
        </w:rPr>
        <w:t>一</w:t>
      </w:r>
      <w:r>
        <w:rPr>
          <w:rStyle w:val="29"/>
          <w:rFonts w:hint="eastAsia" w:ascii="仿宋" w:hAnsi="仿宋" w:eastAsia="仿宋"/>
          <w:b w:val="0"/>
          <w:bCs w:val="0"/>
          <w:color w:val="auto"/>
          <w:highlight w:val="none"/>
        </w:rPr>
        <w:t>般公共预算财政拨款支出决算明细表</w:t>
      </w:r>
      <w:bookmarkEnd w:id="178"/>
      <w:bookmarkEnd w:id="179"/>
      <w:bookmarkEnd w:id="180"/>
      <w:bookmarkEnd w:id="181"/>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82" w:name="_Toc15396626"/>
      <w:bookmarkStart w:id="183" w:name="_Toc29526"/>
      <w:bookmarkStart w:id="184" w:name="_Toc26010"/>
      <w:bookmarkStart w:id="185" w:name="_Toc31455"/>
      <w:r>
        <w:rPr>
          <w:rStyle w:val="29"/>
          <w:rFonts w:hint="eastAsia" w:ascii="仿宋" w:hAnsi="仿宋" w:eastAsia="仿宋"/>
          <w:b w:val="0"/>
          <w:bCs w:val="0"/>
          <w:color w:val="auto"/>
          <w:highlight w:val="none"/>
        </w:rPr>
        <w:t>八、</w:t>
      </w:r>
      <w:r>
        <w:rPr>
          <w:rFonts w:hint="eastAsia" w:ascii="仿宋" w:hAnsi="仿宋" w:eastAsia="仿宋"/>
          <w:b w:val="0"/>
          <w:bCs w:val="0"/>
          <w:color w:val="auto"/>
          <w:highlight w:val="none"/>
        </w:rPr>
        <w:t>一</w:t>
      </w:r>
      <w:r>
        <w:rPr>
          <w:rStyle w:val="29"/>
          <w:rFonts w:hint="eastAsia" w:ascii="仿宋" w:hAnsi="仿宋" w:eastAsia="仿宋"/>
          <w:b w:val="0"/>
          <w:bCs w:val="0"/>
          <w:color w:val="auto"/>
          <w:highlight w:val="none"/>
        </w:rPr>
        <w:t>般公共预算财政拨款基本支出决算表</w:t>
      </w:r>
      <w:bookmarkEnd w:id="182"/>
      <w:bookmarkEnd w:id="183"/>
      <w:bookmarkEnd w:id="184"/>
      <w:bookmarkEnd w:id="185"/>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86" w:name="_Toc23232"/>
      <w:bookmarkStart w:id="187" w:name="_Toc15396627"/>
      <w:bookmarkStart w:id="188" w:name="_Toc18064"/>
      <w:bookmarkStart w:id="189" w:name="_Toc29280"/>
      <w:r>
        <w:rPr>
          <w:rStyle w:val="29"/>
          <w:rFonts w:hint="eastAsia" w:ascii="仿宋" w:hAnsi="仿宋" w:eastAsia="仿宋"/>
          <w:b w:val="0"/>
          <w:bCs w:val="0"/>
          <w:color w:val="auto"/>
          <w:highlight w:val="none"/>
        </w:rPr>
        <w:t>九、</w:t>
      </w:r>
      <w:r>
        <w:rPr>
          <w:rFonts w:hint="eastAsia" w:ascii="仿宋" w:hAnsi="仿宋" w:eastAsia="仿宋"/>
          <w:b w:val="0"/>
          <w:bCs w:val="0"/>
          <w:color w:val="auto"/>
          <w:highlight w:val="none"/>
        </w:rPr>
        <w:t>一</w:t>
      </w:r>
      <w:r>
        <w:rPr>
          <w:rStyle w:val="29"/>
          <w:rFonts w:hint="eastAsia" w:ascii="仿宋" w:hAnsi="仿宋" w:eastAsia="仿宋"/>
          <w:b w:val="0"/>
          <w:bCs w:val="0"/>
          <w:color w:val="auto"/>
          <w:highlight w:val="none"/>
        </w:rPr>
        <w:t>般公共预算财政拨款项目支出决算表</w:t>
      </w:r>
      <w:bookmarkEnd w:id="186"/>
      <w:bookmarkEnd w:id="187"/>
      <w:bookmarkEnd w:id="188"/>
      <w:bookmarkEnd w:id="189"/>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90" w:name="_Toc15396628"/>
      <w:bookmarkStart w:id="191" w:name="_Toc27090"/>
      <w:bookmarkStart w:id="192" w:name="_Toc20035"/>
      <w:bookmarkStart w:id="193" w:name="_Toc5733"/>
      <w:r>
        <w:rPr>
          <w:rStyle w:val="29"/>
          <w:rFonts w:hint="eastAsia" w:ascii="仿宋" w:hAnsi="仿宋" w:eastAsia="仿宋"/>
          <w:b w:val="0"/>
          <w:bCs w:val="0"/>
          <w:color w:val="auto"/>
          <w:highlight w:val="none"/>
        </w:rPr>
        <w:t>十、</w:t>
      </w:r>
      <w:bookmarkEnd w:id="190"/>
      <w:r>
        <w:rPr>
          <w:rFonts w:hint="eastAsia" w:ascii="仿宋" w:hAnsi="仿宋" w:eastAsia="仿宋"/>
          <w:b w:val="0"/>
          <w:bCs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191"/>
      <w:bookmarkEnd w:id="192"/>
      <w:bookmarkEnd w:id="193"/>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94" w:name="_Toc15396629"/>
      <w:bookmarkStart w:id="195" w:name="_Toc17804"/>
      <w:bookmarkStart w:id="196" w:name="_Toc27041"/>
      <w:bookmarkStart w:id="197" w:name="_Toc22315"/>
      <w:r>
        <w:rPr>
          <w:rStyle w:val="29"/>
          <w:rFonts w:hint="eastAsia" w:ascii="仿宋" w:hAnsi="仿宋" w:eastAsia="仿宋"/>
          <w:b w:val="0"/>
          <w:bCs w:val="0"/>
          <w:color w:val="auto"/>
          <w:highlight w:val="none"/>
        </w:rPr>
        <w:t>十一、</w:t>
      </w:r>
      <w:bookmarkEnd w:id="194"/>
      <w:r>
        <w:rPr>
          <w:rFonts w:hint="eastAsia" w:ascii="仿宋" w:hAnsi="仿宋" w:eastAsia="仿宋"/>
          <w:b w:val="0"/>
          <w:bCs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195"/>
      <w:bookmarkEnd w:id="196"/>
      <w:bookmarkEnd w:id="197"/>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bCs w:val="0"/>
          <w:color w:val="auto"/>
          <w:highlight w:val="none"/>
        </w:rPr>
      </w:pPr>
      <w:bookmarkStart w:id="198" w:name="_Toc15396630"/>
      <w:bookmarkStart w:id="199" w:name="_Toc7236"/>
      <w:bookmarkStart w:id="200" w:name="_Toc23052"/>
      <w:bookmarkStart w:id="201" w:name="_Toc26884"/>
      <w:r>
        <w:rPr>
          <w:rStyle w:val="29"/>
          <w:rFonts w:hint="eastAsia" w:ascii="仿宋" w:hAnsi="仿宋" w:eastAsia="仿宋"/>
          <w:b w:val="0"/>
          <w:bCs w:val="0"/>
          <w:color w:val="auto"/>
          <w:highlight w:val="none"/>
        </w:rPr>
        <w:t>十二、</w:t>
      </w:r>
      <w:bookmarkEnd w:id="198"/>
      <w:r>
        <w:rPr>
          <w:rStyle w:val="29"/>
          <w:rFonts w:hint="eastAsia" w:ascii="仿宋" w:hAnsi="仿宋" w:eastAsia="仿宋"/>
          <w:b w:val="0"/>
          <w:bCs w:val="0"/>
          <w:color w:val="auto"/>
          <w:highlight w:val="none"/>
          <w:lang w:eastAsia="zh-CN"/>
        </w:rPr>
        <w:t>国有资本经营预算财政拨款支出决算表</w:t>
      </w:r>
      <w:bookmarkEnd w:id="199"/>
      <w:bookmarkEnd w:id="200"/>
      <w:bookmarkEnd w:id="201"/>
    </w:p>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hint="eastAsia" w:eastAsia="仿宋"/>
          <w:b w:val="0"/>
          <w:bCs w:val="0"/>
          <w:color w:val="auto"/>
          <w:highlight w:val="none"/>
          <w:lang w:eastAsia="zh-CN"/>
        </w:rPr>
      </w:pPr>
      <w:bookmarkStart w:id="202" w:name="_Toc15396631"/>
      <w:bookmarkStart w:id="203" w:name="_Toc727"/>
      <w:bookmarkStart w:id="204" w:name="_Toc31984"/>
      <w:bookmarkStart w:id="205" w:name="_Toc26345"/>
      <w:r>
        <w:rPr>
          <w:rStyle w:val="29"/>
          <w:rFonts w:hint="eastAsia" w:ascii="仿宋" w:hAnsi="仿宋" w:eastAsia="仿宋"/>
          <w:b w:val="0"/>
          <w:bCs w:val="0"/>
          <w:color w:val="auto"/>
          <w:highlight w:val="none"/>
        </w:rPr>
        <w:t>十三、</w:t>
      </w:r>
      <w:bookmarkEnd w:id="202"/>
      <w:r>
        <w:rPr>
          <w:rStyle w:val="29"/>
          <w:rFonts w:hint="eastAsia" w:ascii="仿宋" w:hAnsi="仿宋" w:eastAsia="仿宋"/>
          <w:b w:val="0"/>
          <w:bCs w:val="0"/>
          <w:color w:val="auto"/>
          <w:highlight w:val="none"/>
          <w:lang w:eastAsia="zh-CN"/>
        </w:rPr>
        <w:t>财政拨款“三公”经费支出决算表</w:t>
      </w:r>
      <w:bookmarkEnd w:id="203"/>
      <w:bookmarkEnd w:id="204"/>
      <w:bookmarkEnd w:id="205"/>
    </w:p>
    <w:sectPr>
      <w:footerReference r:id="rId5" w:type="first"/>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B91DAA8"/>
    <w:multiLevelType w:val="singleLevel"/>
    <w:tmpl w:val="4B91DAA8"/>
    <w:lvl w:ilvl="0" w:tentative="0">
      <w:start w:val="2"/>
      <w:numFmt w:val="chineseCounting"/>
      <w:suff w:val="nothing"/>
      <w:lvlText w:val="（%1）"/>
      <w:lvlJc w:val="left"/>
      <w:rPr>
        <w:rFonts w:hint="eastAsia"/>
      </w:rPr>
    </w:lvl>
  </w:abstractNum>
  <w:abstractNum w:abstractNumId="4">
    <w:nsid w:val="65F251A0"/>
    <w:multiLevelType w:val="singleLevel"/>
    <w:tmpl w:val="65F251A0"/>
    <w:lvl w:ilvl="0" w:tentative="0">
      <w:start w:val="1"/>
      <w:numFmt w:val="chineseCounting"/>
      <w:suff w:val="space"/>
      <w:lvlText w:val="第%1部分"/>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19EA"/>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20F7"/>
    <w:rsid w:val="00DC410D"/>
    <w:rsid w:val="00DC5A81"/>
    <w:rsid w:val="00DC68CA"/>
    <w:rsid w:val="00DC7CBA"/>
    <w:rsid w:val="00DD73B7"/>
    <w:rsid w:val="00DF28BC"/>
    <w:rsid w:val="00DF34B9"/>
    <w:rsid w:val="00E01053"/>
    <w:rsid w:val="00E07ACF"/>
    <w:rsid w:val="00E331A1"/>
    <w:rsid w:val="00E33202"/>
    <w:rsid w:val="00E336A9"/>
    <w:rsid w:val="00E4507B"/>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41FA"/>
    <w:rsid w:val="00FA23E8"/>
    <w:rsid w:val="00FD3CC1"/>
    <w:rsid w:val="00FF1E02"/>
    <w:rsid w:val="00FF30B4"/>
    <w:rsid w:val="01115B19"/>
    <w:rsid w:val="01363ACC"/>
    <w:rsid w:val="015975B8"/>
    <w:rsid w:val="02143E91"/>
    <w:rsid w:val="02584D47"/>
    <w:rsid w:val="027D0F8C"/>
    <w:rsid w:val="043D780B"/>
    <w:rsid w:val="04FD4E11"/>
    <w:rsid w:val="059B05F0"/>
    <w:rsid w:val="066E0107"/>
    <w:rsid w:val="06936FD0"/>
    <w:rsid w:val="06F51A39"/>
    <w:rsid w:val="07996F6E"/>
    <w:rsid w:val="0A1973E1"/>
    <w:rsid w:val="0A2032A3"/>
    <w:rsid w:val="0A960E3D"/>
    <w:rsid w:val="0AB539B9"/>
    <w:rsid w:val="0B09531E"/>
    <w:rsid w:val="0F98263C"/>
    <w:rsid w:val="101860EC"/>
    <w:rsid w:val="10945E1E"/>
    <w:rsid w:val="10C055FF"/>
    <w:rsid w:val="118107EC"/>
    <w:rsid w:val="118869FA"/>
    <w:rsid w:val="12B904AD"/>
    <w:rsid w:val="13D50BC4"/>
    <w:rsid w:val="143E4A1F"/>
    <w:rsid w:val="14885C9A"/>
    <w:rsid w:val="14D513FB"/>
    <w:rsid w:val="14EB6229"/>
    <w:rsid w:val="16BB723D"/>
    <w:rsid w:val="17B31280"/>
    <w:rsid w:val="18C14DE9"/>
    <w:rsid w:val="1BE8440E"/>
    <w:rsid w:val="1C193C47"/>
    <w:rsid w:val="1C2344FA"/>
    <w:rsid w:val="1D0C4F8F"/>
    <w:rsid w:val="1D155CEE"/>
    <w:rsid w:val="1D2B18B9"/>
    <w:rsid w:val="1E4946EC"/>
    <w:rsid w:val="1F817EB6"/>
    <w:rsid w:val="1FF35744"/>
    <w:rsid w:val="21004E0A"/>
    <w:rsid w:val="21262AC3"/>
    <w:rsid w:val="22CF718A"/>
    <w:rsid w:val="23616034"/>
    <w:rsid w:val="23860B96"/>
    <w:rsid w:val="23CC0EBD"/>
    <w:rsid w:val="240371BF"/>
    <w:rsid w:val="24D40A88"/>
    <w:rsid w:val="257E6FA1"/>
    <w:rsid w:val="25E12706"/>
    <w:rsid w:val="268F110A"/>
    <w:rsid w:val="27A80D7F"/>
    <w:rsid w:val="281A0EA7"/>
    <w:rsid w:val="28773C04"/>
    <w:rsid w:val="2938081F"/>
    <w:rsid w:val="2996455E"/>
    <w:rsid w:val="29FD04D3"/>
    <w:rsid w:val="2A9F38E6"/>
    <w:rsid w:val="2B9E6686"/>
    <w:rsid w:val="2BBB64FD"/>
    <w:rsid w:val="2C8A61B5"/>
    <w:rsid w:val="2D1C18ED"/>
    <w:rsid w:val="2D3D5895"/>
    <w:rsid w:val="2DF04E50"/>
    <w:rsid w:val="2EEE0998"/>
    <w:rsid w:val="2F040D46"/>
    <w:rsid w:val="2F994DA8"/>
    <w:rsid w:val="319F7F4E"/>
    <w:rsid w:val="32546D64"/>
    <w:rsid w:val="32F10A57"/>
    <w:rsid w:val="3304709D"/>
    <w:rsid w:val="336B0809"/>
    <w:rsid w:val="34621C0C"/>
    <w:rsid w:val="355A6D87"/>
    <w:rsid w:val="35BE2E72"/>
    <w:rsid w:val="36AA5135"/>
    <w:rsid w:val="376D39B2"/>
    <w:rsid w:val="37E16F03"/>
    <w:rsid w:val="37E95A73"/>
    <w:rsid w:val="37EF7637"/>
    <w:rsid w:val="386D0B7F"/>
    <w:rsid w:val="38D469F0"/>
    <w:rsid w:val="3B9E5A0B"/>
    <w:rsid w:val="3BAF64C2"/>
    <w:rsid w:val="3CBA5DA4"/>
    <w:rsid w:val="3D4E7E1D"/>
    <w:rsid w:val="3D98207C"/>
    <w:rsid w:val="3E78745D"/>
    <w:rsid w:val="3E8310FD"/>
    <w:rsid w:val="3E9E1DB6"/>
    <w:rsid w:val="3FD140EA"/>
    <w:rsid w:val="3FE536F1"/>
    <w:rsid w:val="408F1FDB"/>
    <w:rsid w:val="42EB7271"/>
    <w:rsid w:val="43EC32A0"/>
    <w:rsid w:val="440C749E"/>
    <w:rsid w:val="44112D07"/>
    <w:rsid w:val="44224F14"/>
    <w:rsid w:val="448B35DF"/>
    <w:rsid w:val="44E268DA"/>
    <w:rsid w:val="45A656D1"/>
    <w:rsid w:val="46B67B95"/>
    <w:rsid w:val="47941C85"/>
    <w:rsid w:val="48455C99"/>
    <w:rsid w:val="48F50E49"/>
    <w:rsid w:val="49865F45"/>
    <w:rsid w:val="4A2D016F"/>
    <w:rsid w:val="4A3D4856"/>
    <w:rsid w:val="4A627F82"/>
    <w:rsid w:val="4AE271AB"/>
    <w:rsid w:val="4B0E749A"/>
    <w:rsid w:val="4B2A6BA7"/>
    <w:rsid w:val="4B4F25DA"/>
    <w:rsid w:val="4BAF1783"/>
    <w:rsid w:val="4BE068DB"/>
    <w:rsid w:val="4BE91442"/>
    <w:rsid w:val="4D577224"/>
    <w:rsid w:val="4DD74FC1"/>
    <w:rsid w:val="4DD86643"/>
    <w:rsid w:val="4E7B76FB"/>
    <w:rsid w:val="4EAB630A"/>
    <w:rsid w:val="4ECE2238"/>
    <w:rsid w:val="4ED35788"/>
    <w:rsid w:val="4F6463E1"/>
    <w:rsid w:val="50315521"/>
    <w:rsid w:val="50445303"/>
    <w:rsid w:val="518B407F"/>
    <w:rsid w:val="51A27D9F"/>
    <w:rsid w:val="531C291E"/>
    <w:rsid w:val="53356625"/>
    <w:rsid w:val="537E6D0A"/>
    <w:rsid w:val="55E262B1"/>
    <w:rsid w:val="56794E67"/>
    <w:rsid w:val="57416565"/>
    <w:rsid w:val="57AE0B41"/>
    <w:rsid w:val="5AF92295"/>
    <w:rsid w:val="5BB66779"/>
    <w:rsid w:val="5C0C5203"/>
    <w:rsid w:val="5C1D6295"/>
    <w:rsid w:val="5C82610F"/>
    <w:rsid w:val="5C8C11A8"/>
    <w:rsid w:val="5CB63FF4"/>
    <w:rsid w:val="5CD71FC4"/>
    <w:rsid w:val="5E483371"/>
    <w:rsid w:val="5EA93E10"/>
    <w:rsid w:val="5EDC02E9"/>
    <w:rsid w:val="5FD727B9"/>
    <w:rsid w:val="5FF7504F"/>
    <w:rsid w:val="60326087"/>
    <w:rsid w:val="60D373D4"/>
    <w:rsid w:val="625E00D7"/>
    <w:rsid w:val="63C02E86"/>
    <w:rsid w:val="650E0E71"/>
    <w:rsid w:val="661C580F"/>
    <w:rsid w:val="66D04A67"/>
    <w:rsid w:val="67566AFF"/>
    <w:rsid w:val="67614281"/>
    <w:rsid w:val="67D04FCF"/>
    <w:rsid w:val="683A1F7D"/>
    <w:rsid w:val="69B55D5F"/>
    <w:rsid w:val="6A5A15B4"/>
    <w:rsid w:val="6B7F664F"/>
    <w:rsid w:val="6C4A05C8"/>
    <w:rsid w:val="6C853DEC"/>
    <w:rsid w:val="6D0B213A"/>
    <w:rsid w:val="6E7E3605"/>
    <w:rsid w:val="6EE36ECA"/>
    <w:rsid w:val="6FF5CC65"/>
    <w:rsid w:val="707D50FC"/>
    <w:rsid w:val="715C0E4B"/>
    <w:rsid w:val="72734D90"/>
    <w:rsid w:val="72930C07"/>
    <w:rsid w:val="739F538A"/>
    <w:rsid w:val="73AD73D5"/>
    <w:rsid w:val="73B6EB34"/>
    <w:rsid w:val="744731E5"/>
    <w:rsid w:val="74A7099A"/>
    <w:rsid w:val="74C57072"/>
    <w:rsid w:val="74CC6652"/>
    <w:rsid w:val="759C7DC8"/>
    <w:rsid w:val="76E3355F"/>
    <w:rsid w:val="778769C8"/>
    <w:rsid w:val="789C064F"/>
    <w:rsid w:val="79BE0C60"/>
    <w:rsid w:val="79EE5BA4"/>
    <w:rsid w:val="79FA156C"/>
    <w:rsid w:val="79FE3DB9"/>
    <w:rsid w:val="7A894339"/>
    <w:rsid w:val="7AB132C5"/>
    <w:rsid w:val="7B5C30F3"/>
    <w:rsid w:val="7C8617DD"/>
    <w:rsid w:val="7CCC7300"/>
    <w:rsid w:val="7CD97B5E"/>
    <w:rsid w:val="7CF16C56"/>
    <w:rsid w:val="7E536191"/>
    <w:rsid w:val="7EEF11D3"/>
    <w:rsid w:val="7F7D0C75"/>
    <w:rsid w:val="7FA30C79"/>
    <w:rsid w:val="7FB7269E"/>
    <w:rsid w:val="7FC96657"/>
    <w:rsid w:val="7FD840F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uiPriority w:val="0"/>
    <w:pPr>
      <w:ind w:leftChars="0"/>
    </w:pPr>
    <w:rPr>
      <w:sz w:val="20"/>
      <w:szCs w:val="20"/>
    </w:rPr>
  </w:style>
  <w:style w:type="paragraph" w:customStyle="1" w:styleId="36">
    <w:name w:val="WPSOffice手动目录 3"/>
    <w:uiPriority w:val="0"/>
    <w:pPr>
      <w:ind w:leftChars="400"/>
    </w:pPr>
    <w:rPr>
      <w:sz w:val="20"/>
      <w:szCs w:val="20"/>
    </w:rPr>
  </w:style>
  <w:style w:type="paragraph" w:customStyle="1" w:styleId="3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dk1">
                    <a:lumMod val="75000"/>
                    <a:lumOff val="25000"/>
                  </a:schemeClr>
                </a:solidFill>
                <a:latin typeface="+mn-lt"/>
                <a:ea typeface="+mn-ea"/>
                <a:cs typeface="+mn-cs"/>
              </a:defRPr>
            </a:pPr>
            <a:r>
              <a:rPr altLang="en-US" sz="1400"/>
              <a:t>收支决算总计变动图</a:t>
            </a:r>
            <a:r>
              <a:rPr altLang="en-US"/>
              <a:t>（单位：万元）</a:t>
            </a:r>
            <a:r>
              <a:rPr lang="en-US" altLang="zh-CN" sz="1200"/>
              <a:t>                      </a:t>
            </a:r>
            <a:endParaRPr lang="en-US" altLang="zh-CN" sz="1200"/>
          </a:p>
        </c:rich>
      </c:tx>
      <c:layout>
        <c:manualLayout>
          <c:xMode val="edge"/>
          <c:yMode val="edge"/>
          <c:x val="0.281710558105823"/>
          <c:y val="0.020130368098159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92.55</c:v>
                </c:pt>
                <c:pt idx="1">
                  <c:v>92.55</c:v>
                </c:pt>
              </c:numCache>
            </c:numRef>
          </c:val>
        </c:ser>
        <c:ser>
          <c:idx val="1"/>
          <c:order val="1"/>
          <c:tx>
            <c:strRef>
              <c:f>Sheet1!$D$1</c:f>
              <c:strCache>
                <c:ptCount val="1"/>
                <c:pt idx="0">
                  <c:v>2022年</c:v>
                </c:pt>
              </c:strCache>
            </c:strRef>
          </c:tx>
          <c:spPr>
            <a:solidFill>
              <a:schemeClr val="accent6">
                <a:lumMod val="75000"/>
              </a:schemeClr>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000"/>
                      <a:t>1</a:t>
                    </a:r>
                    <a:r>
                      <a:rPr lang="en-US" altLang="zh-CN" sz="1000"/>
                      <a:t>1</a:t>
                    </a:r>
                    <a:r>
                      <a:rPr sz="1000"/>
                      <a:t>9.09</a:t>
                    </a:r>
                    <a:endParaRPr sz="1000"/>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000"/>
                      <a:t>1</a:t>
                    </a:r>
                    <a:r>
                      <a:rPr lang="en-US" altLang="zh-CN" sz="1000"/>
                      <a:t>1</a:t>
                    </a:r>
                    <a:r>
                      <a:rPr sz="1000"/>
                      <a:t>9.09</a:t>
                    </a:r>
                    <a:endParaRPr sz="1000"/>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Sheet1!$D$2:$D$3</c:f>
              <c:numCache>
                <c:formatCode>General</c:formatCode>
                <c:ptCount val="2"/>
                <c:pt idx="0">
                  <c:v>119.09</c:v>
                </c:pt>
                <c:pt idx="1">
                  <c:v>119.09</c:v>
                </c:pt>
              </c:numCache>
            </c:numRef>
          </c:val>
        </c:ser>
        <c:dLbls>
          <c:showLegendKey val="0"/>
          <c:showVal val="1"/>
          <c:showCatName val="0"/>
          <c:showSerName val="0"/>
          <c:showPercent val="0"/>
          <c:showBubbleSize val="0"/>
        </c:dLbls>
        <c:gapWidth val="246"/>
        <c:overlap val="-28"/>
        <c:axId val="412186332"/>
        <c:axId val="421677725"/>
      </c:barChart>
      <c:catAx>
        <c:axId val="4121863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421677725"/>
        <c:crosses val="autoZero"/>
        <c:auto val="1"/>
        <c:lblAlgn val="ctr"/>
        <c:lblOffset val="100"/>
        <c:noMultiLvlLbl val="0"/>
      </c:catAx>
      <c:valAx>
        <c:axId val="42167772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4121863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1" i="0" u="none" strike="noStrike" kern="1200" baseline="0">
                <a:solidFill>
                  <a:schemeClr val="dk1">
                    <a:lumMod val="75000"/>
                    <a:lumOff val="25000"/>
                  </a:schemeClr>
                </a:solidFill>
                <a:latin typeface="+mn-lt"/>
                <a:ea typeface="+mn-ea"/>
                <a:cs typeface="+mn-cs"/>
              </a:defRPr>
            </a:pPr>
            <a:r>
              <a:rPr sz="1050"/>
              <a:t>收入决算结构图</a:t>
            </a:r>
            <a:endParaRPr sz="1050"/>
          </a:p>
        </c:rich>
      </c:tx>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Lbls>
            <c:dLbl>
              <c:idx val="0"/>
              <c:layout>
                <c:manualLayout>
                  <c:x val="-0.00192813014735966"/>
                  <c:y val="-0.2328016359932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0485736314572"/>
                      <c:h val="0.195040899795501"/>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119.09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6">
                  <a:lumMod val="75000"/>
                </a:schemeClr>
              </a:solidFill>
              <a:ln>
                <a:solidFill>
                  <a:schemeClr val="bg1"/>
                </a:solidFill>
              </a:ln>
              <a:effectLst/>
            </c:spPr>
          </c:dPt>
          <c:dLbls>
            <c:dLbl>
              <c:idx val="1"/>
              <c:layout>
                <c:manualLayout>
                  <c:x val="0.10816493869313"/>
                  <c:y val="0.0127756893963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lgn="ct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63.6</c:v>
                </c:pt>
                <c:pt idx="1">
                  <c:v>55.49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0142546508819"/>
          <c:y val="0.389502762430939"/>
          <c:w val="0.295361198357091"/>
          <c:h val="0.4156396090097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财政拨款收支决算总计变动情况（单位：万元）</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Sheet1!$B$2:$C$2</c:f>
              <c:numCache>
                <c:formatCode>General</c:formatCode>
                <c:ptCount val="2"/>
                <c:pt idx="0">
                  <c:v>92.55</c:v>
                </c:pt>
                <c:pt idx="1">
                  <c:v>92.55</c:v>
                </c:pt>
              </c:numCache>
            </c:numRef>
          </c:val>
        </c:ser>
        <c:ser>
          <c:idx val="1"/>
          <c:order val="1"/>
          <c:tx>
            <c:strRef>
              <c:f>Sheet1!$A$3</c:f>
              <c:strCache>
                <c:ptCount val="1"/>
                <c:pt idx="0">
                  <c:v>2022年</c:v>
                </c:pt>
              </c:strCache>
            </c:strRef>
          </c:tx>
          <c:spPr>
            <a:solidFill>
              <a:schemeClr val="accent6">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Sheet1!$B$3:$C$3</c:f>
              <c:numCache>
                <c:formatCode>General</c:formatCode>
                <c:ptCount val="2"/>
                <c:pt idx="0">
                  <c:v>119.09</c:v>
                </c:pt>
                <c:pt idx="1">
                  <c:v>119.09</c:v>
                </c:pt>
              </c:numCache>
            </c:numRef>
          </c:val>
        </c:ser>
        <c:dLbls>
          <c:showLegendKey val="0"/>
          <c:showVal val="1"/>
          <c:showCatName val="0"/>
          <c:showSerName val="0"/>
          <c:showPercent val="0"/>
          <c:showBubbleSize val="0"/>
        </c:dLbls>
        <c:gapWidth val="150"/>
        <c:overlap val="0"/>
        <c:axId val="808674351"/>
        <c:axId val="96064027"/>
      </c:barChart>
      <c:catAx>
        <c:axId val="80867435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64027"/>
        <c:crosses val="autoZero"/>
        <c:auto val="1"/>
        <c:lblAlgn val="ctr"/>
        <c:lblOffset val="100"/>
        <c:noMultiLvlLbl val="0"/>
      </c:catAx>
      <c:valAx>
        <c:axId val="9606402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867435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200"/>
              <a:t>一般公共预算财政拨款支出决算变动情况（单位：万元）</a:t>
            </a:r>
            <a:endParaRPr sz="1200"/>
          </a:p>
        </c:rich>
      </c:tx>
      <c:layout>
        <c:manualLayout>
          <c:xMode val="edge"/>
          <c:yMode val="edge"/>
          <c:x val="0.114464516513844"/>
          <c:y val="0.025740025740025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92.55</c:v>
                </c:pt>
                <c:pt idx="1">
                  <c:v>119.09</c:v>
                </c:pt>
              </c:numCache>
            </c:numRef>
          </c:val>
        </c:ser>
        <c:dLbls>
          <c:showLegendKey val="0"/>
          <c:showVal val="1"/>
          <c:showCatName val="0"/>
          <c:showSerName val="0"/>
          <c:showPercent val="0"/>
          <c:showBubbleSize val="0"/>
        </c:dLbls>
        <c:gapWidth val="150"/>
        <c:overlap val="0"/>
        <c:axId val="463844700"/>
        <c:axId val="767723276"/>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6384470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7723276"/>
        <c:crosses val="autoZero"/>
        <c:auto val="1"/>
        <c:lblAlgn val="ctr"/>
        <c:lblOffset val="100"/>
        <c:noMultiLvlLbl val="0"/>
      </c:catAx>
      <c:valAx>
        <c:axId val="76772327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8447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3"/>
              </a:solidFill>
              <a:ln>
                <a:solidFill>
                  <a:schemeClr val="bg1"/>
                </a:solidFill>
              </a:ln>
              <a:effectLst/>
            </c:spPr>
          </c:dPt>
          <c:dPt>
            <c:idx val="1"/>
            <c:bubble3D val="0"/>
            <c:spPr>
              <a:solidFill>
                <a:schemeClr val="accent6">
                  <a:lumMod val="75000"/>
                </a:schemeClr>
              </a:solidFill>
              <a:ln>
                <a:solidFill>
                  <a:schemeClr val="bg1"/>
                </a:solidFill>
              </a:ln>
              <a:effectLst/>
            </c:spPr>
          </c:dPt>
          <c:dPt>
            <c:idx val="2"/>
            <c:bubble3D val="0"/>
            <c:spPr>
              <a:solidFill>
                <a:schemeClr val="tx2">
                  <a:lumMod val="60000"/>
                  <a:lumOff val="4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3097366513651"/>
          <c:y val="0.322779430514237"/>
          <c:w val="0.362406378352259"/>
          <c:h val="0.3127921801954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21481</Words>
  <Characters>23842</Characters>
  <Lines>61</Lines>
  <Paragraphs>17</Paragraphs>
  <TotalTime>1</TotalTime>
  <ScaleCrop>false</ScaleCrop>
  <LinksUpToDate>false</LinksUpToDate>
  <CharactersWithSpaces>23857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2023-10-26T13:26:00Z</cp:lastPrinted>
  <dcterms:modified xsi:type="dcterms:W3CDTF">2023-10-30T03:40:50Z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68084D32DEF7485B835F42C7A312DD20_12</vt:lpwstr>
  </property>
</Properties>
</file>