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77193"/>
      <w:bookmarkStart w:id="4" w:name="_Toc15377425"/>
      <w:bookmarkStart w:id="5" w:name="_Toc15396475"/>
      <w:bookmarkStart w:id="6" w:name="_Toc345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15396598"/>
      <w:bookmarkStart w:id="9" w:name="_Toc15306268"/>
      <w:bookmarkStart w:id="10" w:name="_Toc15378442"/>
      <w:bookmarkStart w:id="11" w:name="_Toc15377426"/>
      <w:bookmarkStart w:id="12" w:name="_Toc15377194"/>
      <w:bookmarkStart w:id="13" w:name="_Toc27843"/>
      <w:r>
        <w:rPr>
          <w:rFonts w:hint="eastAsia" w:ascii="方正小标宋简体" w:hAnsi="方正小标宋简体" w:eastAsia="方正小标宋简体" w:cs="方正小标宋简体"/>
          <w:color w:val="auto"/>
          <w:sz w:val="72"/>
          <w:szCs w:val="72"/>
          <w:highlight w:val="none"/>
          <w:lang w:eastAsia="zh-CN"/>
        </w:rPr>
        <w:t>广元市朝天区卫生健康局单位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both"/>
        <w:rPr>
          <w:rFonts w:ascii="黑体" w:hAnsi="黑体" w:eastAsia="黑体" w:cstheme="minorBidi"/>
          <w:color w:val="auto"/>
          <w:sz w:val="28"/>
          <w:szCs w:val="28"/>
          <w:highlight w:val="none"/>
        </w:rPr>
      </w:pPr>
    </w:p>
    <w:p>
      <w:pPr>
        <w:pStyle w:val="2"/>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75021"/>
        <w15:color w:val="DBDBDB"/>
        <w:docPartObj>
          <w:docPartGallery w:val="Table of Contents"/>
          <w:docPartUnique/>
        </w:docPartObj>
      </w:sdtPr>
      <w:sdtEndPr>
        <w:rPr>
          <w:rFonts w:ascii="仿宋" w:hAnsi="仿宋" w:eastAsia="仿宋" w:cs="Times New Roman"/>
          <w:bCs/>
          <w:color w:val="auto"/>
          <w:kern w:val="44"/>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14" w:name="_Toc15377196"/>
          <w:bookmarkStart w:id="15" w:name="_Toc15396599"/>
          <w:r>
            <w:rPr>
              <w:rFonts w:ascii="宋体" w:hAnsi="宋体" w:eastAsia="宋体"/>
              <w:sz w:val="21"/>
            </w:rPr>
            <w:t>目录</w:t>
          </w:r>
        </w:p>
        <w:p>
          <w:pPr>
            <w:pStyle w:val="32"/>
            <w:tabs>
              <w:tab w:val="right" w:leader="dot" w:pos="8306"/>
            </w:tabs>
          </w:pPr>
          <w:r>
            <w:rPr>
              <w:rFonts w:ascii="仿宋" w:hAnsi="仿宋" w:eastAsia="仿宋"/>
              <w:bCs/>
              <w:color w:val="auto"/>
              <w:kern w:val="44"/>
              <w:sz w:val="24"/>
              <w:highlight w:val="none"/>
            </w:rPr>
            <w:fldChar w:fldCharType="begin"/>
          </w:r>
          <w:r>
            <w:rPr>
              <w:rFonts w:ascii="仿宋" w:hAnsi="仿宋" w:eastAsia="仿宋"/>
              <w:bCs/>
              <w:color w:val="auto"/>
              <w:kern w:val="44"/>
              <w:sz w:val="24"/>
              <w:highlight w:val="none"/>
            </w:rPr>
            <w:instrText xml:space="preserve">TOC \o "1-3" \h \u </w:instrText>
          </w:r>
          <w:r>
            <w:rPr>
              <w:rFonts w:ascii="仿宋" w:hAnsi="仿宋" w:eastAsia="仿宋"/>
              <w:bCs/>
              <w:color w:val="auto"/>
              <w:kern w:val="44"/>
              <w:sz w:val="24"/>
              <w:highlight w:val="none"/>
            </w:rPr>
            <w:fldChar w:fldCharType="separate"/>
          </w: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_Toc26366 </w:instrText>
          </w:r>
          <w:r>
            <w:rPr>
              <w:rFonts w:ascii="仿宋" w:hAnsi="仿宋" w:eastAsia="仿宋"/>
              <w:bCs/>
              <w:kern w:val="44"/>
              <w:highlight w:val="none"/>
            </w:rP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_Toc26366 \h </w:instrText>
          </w:r>
          <w:r>
            <w:fldChar w:fldCharType="separate"/>
          </w:r>
          <w:r>
            <w:t>3</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_Toc25192 </w:instrText>
          </w:r>
          <w:r>
            <w:rPr>
              <w:rFonts w:ascii="仿宋" w:hAnsi="仿宋" w:eastAsia="仿宋"/>
              <w:bCs/>
              <w:kern w:val="44"/>
              <w:highlight w:val="none"/>
            </w:rPr>
            <w:fldChar w:fldCharType="separate"/>
          </w:r>
          <w:r>
            <w:rPr>
              <w:rFonts w:hint="eastAsia" w:ascii="黑体" w:hAnsi="黑体" w:eastAsia="黑体"/>
              <w:bCs w:val="0"/>
              <w:highlight w:val="none"/>
              <w:lang w:eastAsia="zh-CN"/>
            </w:rPr>
            <w:t>一、主要职责</w:t>
          </w:r>
          <w:r>
            <w:tab/>
          </w:r>
          <w:r>
            <w:fldChar w:fldCharType="begin"/>
          </w:r>
          <w:r>
            <w:instrText xml:space="preserve"> PAGEREF _Toc25192 \h </w:instrText>
          </w:r>
          <w:r>
            <w:fldChar w:fldCharType="separate"/>
          </w:r>
          <w:r>
            <w:t>3</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_Toc23367 </w:instrText>
          </w:r>
          <w:r>
            <w:rPr>
              <w:rFonts w:ascii="仿宋" w:hAnsi="仿宋" w:eastAsia="仿宋"/>
              <w:bCs/>
              <w:kern w:val="44"/>
              <w:highlight w:val="none"/>
            </w:rPr>
            <w:fldChar w:fldCharType="separate"/>
          </w:r>
          <w:r>
            <w:rPr>
              <w:rFonts w:hint="eastAsia" w:ascii="黑体" w:hAnsi="黑体" w:eastAsia="黑体"/>
              <w:lang w:val="en-US" w:eastAsia="zh-CN"/>
            </w:rPr>
            <w:t xml:space="preserve">二、 </w:t>
          </w:r>
          <w:r>
            <w:rPr>
              <w:rFonts w:hint="eastAsia" w:ascii="黑体" w:hAnsi="黑体" w:eastAsia="黑体"/>
              <w:highlight w:val="none"/>
              <w:lang w:val="en-US" w:eastAsia="zh-CN"/>
            </w:rPr>
            <w:t>机构设置</w:t>
          </w:r>
          <w:r>
            <w:tab/>
          </w:r>
          <w:r>
            <w:fldChar w:fldCharType="begin"/>
          </w:r>
          <w:r>
            <w:instrText xml:space="preserve"> PAGEREF _Toc23367 \h </w:instrText>
          </w:r>
          <w:r>
            <w:fldChar w:fldCharType="separate"/>
          </w:r>
          <w:r>
            <w:t>6</w:t>
          </w:r>
          <w:r>
            <w:fldChar w:fldCharType="end"/>
          </w:r>
          <w:r>
            <w:rPr>
              <w:rFonts w:ascii="仿宋" w:hAnsi="仿宋" w:eastAsia="仿宋"/>
              <w:bCs/>
              <w:color w:val="auto"/>
              <w:kern w:val="44"/>
              <w:highlight w:val="none"/>
            </w:rPr>
            <w:fldChar w:fldCharType="end"/>
          </w:r>
        </w:p>
        <w:p>
          <w:pPr>
            <w:pStyle w:val="32"/>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_Toc6585 </w:instrText>
          </w:r>
          <w:r>
            <w:rPr>
              <w:rFonts w:ascii="仿宋" w:hAnsi="仿宋" w:eastAsia="仿宋"/>
              <w:bCs/>
              <w:kern w:val="44"/>
              <w:highlight w:val="none"/>
            </w:rP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_Toc6585 \h </w:instrText>
          </w:r>
          <w:r>
            <w:fldChar w:fldCharType="separate"/>
          </w:r>
          <w:r>
            <w:t>7</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_Toc15631 </w:instrText>
          </w:r>
          <w:r>
            <w:rPr>
              <w:rFonts w:ascii="仿宋" w:hAnsi="仿宋" w:eastAsia="仿宋"/>
              <w:bCs/>
              <w:kern w:val="44"/>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_Toc15631 \h </w:instrText>
          </w:r>
          <w:r>
            <w:fldChar w:fldCharType="separate"/>
          </w:r>
          <w:r>
            <w:t>7</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_Toc10505 </w:instrText>
          </w:r>
          <w:r>
            <w:rPr>
              <w:rFonts w:ascii="仿宋" w:hAnsi="仿宋" w:eastAsia="仿宋"/>
              <w:bCs/>
              <w:kern w:val="44"/>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_Toc10505 \h </w:instrText>
          </w:r>
          <w:r>
            <w:fldChar w:fldCharType="separate"/>
          </w:r>
          <w:r>
            <w:t>7</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_Toc9499 </w:instrText>
          </w:r>
          <w:r>
            <w:rPr>
              <w:rFonts w:ascii="仿宋" w:hAnsi="仿宋" w:eastAsia="仿宋"/>
              <w:bCs/>
              <w:kern w:val="44"/>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_Toc9499 \h </w:instrText>
          </w:r>
          <w:r>
            <w:fldChar w:fldCharType="separate"/>
          </w:r>
          <w:r>
            <w:t>8</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_Toc1174 </w:instrText>
          </w:r>
          <w:r>
            <w:rPr>
              <w:rFonts w:ascii="仿宋" w:hAnsi="仿宋" w:eastAsia="仿宋"/>
              <w:bCs/>
              <w:kern w:val="44"/>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_Toc1174 \h </w:instrText>
          </w:r>
          <w:r>
            <w:fldChar w:fldCharType="separate"/>
          </w:r>
          <w:r>
            <w:t>8</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_Toc19815 </w:instrText>
          </w:r>
          <w:r>
            <w:rPr>
              <w:rFonts w:ascii="仿宋" w:hAnsi="仿宋" w:eastAsia="仿宋"/>
              <w:bCs/>
              <w:kern w:val="44"/>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_Toc19815 \h </w:instrText>
          </w:r>
          <w:r>
            <w:fldChar w:fldCharType="separate"/>
          </w:r>
          <w:r>
            <w:t>9</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_Toc27677 </w:instrText>
          </w:r>
          <w:r>
            <w:rPr>
              <w:rFonts w:ascii="仿宋" w:hAnsi="仿宋" w:eastAsia="仿宋"/>
              <w:bCs/>
              <w:kern w:val="44"/>
              <w:highlight w:val="none"/>
            </w:rP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_Toc27677 \h </w:instrText>
          </w:r>
          <w:r>
            <w:fldChar w:fldCharType="separate"/>
          </w:r>
          <w:r>
            <w:t>9</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_Toc29612 </w:instrText>
          </w:r>
          <w:r>
            <w:rPr>
              <w:rFonts w:ascii="仿宋" w:hAnsi="仿宋" w:eastAsia="仿宋"/>
              <w:bCs/>
              <w:kern w:val="44"/>
              <w:highlight w:val="none"/>
            </w:rP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_Toc29612 \h </w:instrText>
          </w:r>
          <w:r>
            <w:fldChar w:fldCharType="separate"/>
          </w:r>
          <w:r>
            <w:t>10</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_Toc1113 </w:instrText>
          </w:r>
          <w:r>
            <w:rPr>
              <w:rFonts w:ascii="仿宋" w:hAnsi="仿宋" w:eastAsia="仿宋"/>
              <w:bCs/>
              <w:kern w:val="44"/>
              <w:highlight w:val="none"/>
            </w:rP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_Toc1113 \h </w:instrText>
          </w:r>
          <w:r>
            <w:fldChar w:fldCharType="separate"/>
          </w:r>
          <w:r>
            <w:t>10</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_Toc12591 </w:instrText>
          </w:r>
          <w:r>
            <w:rPr>
              <w:rFonts w:ascii="仿宋" w:hAnsi="仿宋" w:eastAsia="仿宋"/>
              <w:bCs/>
              <w:kern w:val="44"/>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_Toc12591 \h </w:instrText>
          </w:r>
          <w:r>
            <w:fldChar w:fldCharType="separate"/>
          </w:r>
          <w:r>
            <w:t>12</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_Toc20614 </w:instrText>
          </w:r>
          <w:r>
            <w:rPr>
              <w:rFonts w:ascii="仿宋" w:hAnsi="仿宋" w:eastAsia="仿宋"/>
              <w:bCs/>
              <w:kern w:val="44"/>
              <w:highlight w:val="none"/>
            </w:rP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_Toc20614 \h </w:instrText>
          </w:r>
          <w:r>
            <w:fldChar w:fldCharType="separate"/>
          </w:r>
          <w:r>
            <w:t>12</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_Toc15326 </w:instrText>
          </w:r>
          <w:r>
            <w:rPr>
              <w:rFonts w:ascii="仿宋" w:hAnsi="仿宋" w:eastAsia="仿宋"/>
              <w:bCs/>
              <w:kern w:val="44"/>
              <w:highlight w:val="none"/>
            </w:rP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_Toc15326 \h </w:instrText>
          </w:r>
          <w:r>
            <w:fldChar w:fldCharType="separate"/>
          </w:r>
          <w:r>
            <w:t>12</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_Toc7535 </w:instrText>
          </w:r>
          <w:r>
            <w:rPr>
              <w:rFonts w:ascii="仿宋" w:hAnsi="仿宋" w:eastAsia="仿宋"/>
              <w:bCs/>
              <w:kern w:val="44"/>
              <w:highlight w:val="none"/>
            </w:rP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_Toc7535 \h </w:instrText>
          </w:r>
          <w:r>
            <w:fldChar w:fldCharType="separate"/>
          </w:r>
          <w:r>
            <w:t>12</w:t>
          </w:r>
          <w:r>
            <w:fldChar w:fldCharType="end"/>
          </w:r>
          <w:r>
            <w:rPr>
              <w:rFonts w:ascii="仿宋" w:hAnsi="仿宋" w:eastAsia="仿宋"/>
              <w:bCs/>
              <w:color w:val="auto"/>
              <w:kern w:val="44"/>
              <w:highlight w:val="none"/>
            </w:rPr>
            <w:fldChar w:fldCharType="end"/>
          </w:r>
        </w:p>
        <w:p>
          <w:pPr>
            <w:pStyle w:val="33"/>
            <w:tabs>
              <w:tab w:val="right" w:leader="dot" w:pos="8306"/>
            </w:tabs>
          </w:pPr>
          <w:bookmarkStart w:id="114" w:name="_GoBack"/>
          <w:bookmarkEnd w:id="114"/>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_Toc13681 </w:instrText>
          </w:r>
          <w:r>
            <w:rPr>
              <w:rFonts w:ascii="仿宋" w:hAnsi="仿宋" w:eastAsia="仿宋"/>
              <w:bCs/>
              <w:kern w:val="44"/>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_Toc13681 \h </w:instrText>
          </w:r>
          <w:r>
            <w:fldChar w:fldCharType="separate"/>
          </w:r>
          <w:r>
            <w:t>13</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_Toc22934 </w:instrText>
          </w:r>
          <w:r>
            <w:rPr>
              <w:rFonts w:ascii="仿宋" w:hAnsi="仿宋" w:eastAsia="仿宋"/>
              <w:bCs/>
              <w:kern w:val="44"/>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_Toc22934 \h </w:instrText>
          </w:r>
          <w:r>
            <w:fldChar w:fldCharType="separate"/>
          </w:r>
          <w:r>
            <w:t>14</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_Toc19483 </w:instrText>
          </w:r>
          <w:r>
            <w:rPr>
              <w:rFonts w:ascii="仿宋" w:hAnsi="仿宋" w:eastAsia="仿宋"/>
              <w:bCs/>
              <w:kern w:val="44"/>
              <w:highlight w:val="none"/>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_Toc19483 \h </w:instrText>
          </w:r>
          <w:r>
            <w:fldChar w:fldCharType="separate"/>
          </w:r>
          <w:r>
            <w:t>14</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_Toc25508 </w:instrText>
          </w:r>
          <w:r>
            <w:rPr>
              <w:rFonts w:ascii="仿宋" w:hAnsi="仿宋" w:eastAsia="仿宋"/>
              <w:bCs/>
              <w:kern w:val="44"/>
              <w:highlight w:val="none"/>
            </w:rPr>
            <w:fldChar w:fldCharType="separate"/>
          </w:r>
          <w:r>
            <w:rPr>
              <w:rFonts w:hint="eastAsia" w:ascii="仿宋" w:hAnsi="仿宋" w:eastAsia="仿宋"/>
              <w:szCs w:val="32"/>
              <w:highlight w:val="none"/>
            </w:rPr>
            <w:t>（一）机关运行经费支出情况</w:t>
          </w:r>
          <w:r>
            <w:tab/>
          </w:r>
          <w:r>
            <w:fldChar w:fldCharType="begin"/>
          </w:r>
          <w:r>
            <w:instrText xml:space="preserve"> PAGEREF _Toc25508 \h </w:instrText>
          </w:r>
          <w:r>
            <w:fldChar w:fldCharType="separate"/>
          </w:r>
          <w:r>
            <w:t>14</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_Toc27629 </w:instrText>
          </w:r>
          <w:r>
            <w:rPr>
              <w:rFonts w:ascii="仿宋" w:hAnsi="仿宋" w:eastAsia="仿宋"/>
              <w:bCs/>
              <w:kern w:val="44"/>
              <w:highlight w:val="none"/>
            </w:rPr>
            <w:fldChar w:fldCharType="separate"/>
          </w:r>
          <w:r>
            <w:rPr>
              <w:rFonts w:hint="eastAsia" w:ascii="仿宋" w:hAnsi="仿宋" w:eastAsia="仿宋"/>
              <w:szCs w:val="32"/>
              <w:highlight w:val="none"/>
            </w:rPr>
            <w:t>（二）政府采购支出情况</w:t>
          </w:r>
          <w:r>
            <w:tab/>
          </w:r>
          <w:r>
            <w:fldChar w:fldCharType="begin"/>
          </w:r>
          <w:r>
            <w:instrText xml:space="preserve"> PAGEREF _Toc27629 \h </w:instrText>
          </w:r>
          <w:r>
            <w:fldChar w:fldCharType="separate"/>
          </w:r>
          <w:r>
            <w:t>14</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_Toc20948 </w:instrText>
          </w:r>
          <w:r>
            <w:rPr>
              <w:rFonts w:ascii="仿宋" w:hAnsi="仿宋" w:eastAsia="仿宋"/>
              <w:bCs/>
              <w:kern w:val="44"/>
              <w:highlight w:val="none"/>
            </w:rPr>
            <w:fldChar w:fldCharType="separate"/>
          </w:r>
          <w:r>
            <w:rPr>
              <w:rFonts w:hint="eastAsia" w:ascii="仿宋" w:hAnsi="仿宋" w:eastAsia="仿宋"/>
              <w:szCs w:val="32"/>
              <w:highlight w:val="none"/>
            </w:rPr>
            <w:t>（三）国有资产占有使用情况</w:t>
          </w:r>
          <w:r>
            <w:tab/>
          </w:r>
          <w:r>
            <w:fldChar w:fldCharType="begin"/>
          </w:r>
          <w:r>
            <w:instrText xml:space="preserve"> PAGEREF _Toc20948 \h </w:instrText>
          </w:r>
          <w:r>
            <w:fldChar w:fldCharType="separate"/>
          </w:r>
          <w:r>
            <w:t>14</w:t>
          </w:r>
          <w:r>
            <w:fldChar w:fldCharType="end"/>
          </w:r>
          <w:r>
            <w:rPr>
              <w:rFonts w:ascii="仿宋" w:hAnsi="仿宋" w:eastAsia="仿宋"/>
              <w:bCs/>
              <w:color w:val="auto"/>
              <w:kern w:val="44"/>
              <w:highlight w:val="none"/>
            </w:rPr>
            <w:fldChar w:fldCharType="end"/>
          </w:r>
        </w:p>
        <w:p>
          <w:pPr>
            <w:pStyle w:val="34"/>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_Toc8581 </w:instrText>
          </w:r>
          <w:r>
            <w:rPr>
              <w:rFonts w:ascii="仿宋" w:hAnsi="仿宋" w:eastAsia="仿宋"/>
              <w:bCs/>
              <w:kern w:val="44"/>
              <w:highlight w:val="none"/>
            </w:rPr>
            <w:fldChar w:fldCharType="separate"/>
          </w:r>
          <w:r>
            <w:rPr>
              <w:rFonts w:hint="eastAsia" w:ascii="仿宋" w:hAnsi="仿宋" w:eastAsia="仿宋"/>
              <w:szCs w:val="32"/>
              <w:highlight w:val="none"/>
            </w:rPr>
            <w:t>（四）预算绩效管理情况</w:t>
          </w:r>
          <w:r>
            <w:tab/>
          </w:r>
          <w:r>
            <w:fldChar w:fldCharType="begin"/>
          </w:r>
          <w:r>
            <w:instrText xml:space="preserve"> PAGEREF _Toc8581 \h </w:instrText>
          </w:r>
          <w:r>
            <w:fldChar w:fldCharType="separate"/>
          </w:r>
          <w:r>
            <w:t>14</w:t>
          </w:r>
          <w:r>
            <w:fldChar w:fldCharType="end"/>
          </w:r>
          <w:r>
            <w:rPr>
              <w:rFonts w:ascii="仿宋" w:hAnsi="仿宋" w:eastAsia="仿宋"/>
              <w:bCs/>
              <w:color w:val="auto"/>
              <w:kern w:val="44"/>
              <w:highlight w:val="none"/>
            </w:rPr>
            <w:fldChar w:fldCharType="end"/>
          </w:r>
        </w:p>
        <w:p>
          <w:pPr>
            <w:pStyle w:val="32"/>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_Toc30004 </w:instrText>
          </w:r>
          <w:r>
            <w:rPr>
              <w:rFonts w:ascii="仿宋" w:hAnsi="仿宋" w:eastAsia="仿宋"/>
              <w:bCs/>
              <w:kern w:val="44"/>
              <w:highlight w:val="none"/>
            </w:rP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_Toc30004 \h </w:instrText>
          </w:r>
          <w:r>
            <w:fldChar w:fldCharType="separate"/>
          </w:r>
          <w:r>
            <w:t>15</w:t>
          </w:r>
          <w:r>
            <w:fldChar w:fldCharType="end"/>
          </w:r>
          <w:r>
            <w:rPr>
              <w:rFonts w:ascii="仿宋" w:hAnsi="仿宋" w:eastAsia="仿宋"/>
              <w:bCs/>
              <w:color w:val="auto"/>
              <w:kern w:val="44"/>
              <w:highlight w:val="none"/>
            </w:rPr>
            <w:fldChar w:fldCharType="end"/>
          </w:r>
        </w:p>
        <w:p>
          <w:pPr>
            <w:pStyle w:val="32"/>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_Toc7444 </w:instrText>
          </w:r>
          <w:r>
            <w:rPr>
              <w:rFonts w:ascii="仿宋" w:hAnsi="仿宋" w:eastAsia="仿宋"/>
              <w:bCs/>
              <w:kern w:val="44"/>
              <w:highlight w:val="none"/>
            </w:rPr>
            <w:fldChar w:fldCharType="separate"/>
          </w:r>
          <w:r>
            <w:rPr>
              <w:rFonts w:hint="eastAsia" w:ascii="黑体" w:hAnsi="黑体" w:eastAsia="黑体" w:cs="黑体"/>
              <w:szCs w:val="44"/>
            </w:rPr>
            <w:t xml:space="preserve">第四部分 </w:t>
          </w:r>
          <w:r>
            <w:rPr>
              <w:rFonts w:hint="eastAsia" w:ascii="黑体" w:hAnsi="黑体" w:eastAsia="黑体"/>
              <w:highlight w:val="none"/>
            </w:rPr>
            <w:t>附件</w:t>
          </w:r>
          <w:r>
            <w:tab/>
          </w:r>
          <w:r>
            <w:fldChar w:fldCharType="begin"/>
          </w:r>
          <w:r>
            <w:instrText xml:space="preserve"> PAGEREF _Toc7444 \h </w:instrText>
          </w:r>
          <w:r>
            <w:fldChar w:fldCharType="separate"/>
          </w:r>
          <w:r>
            <w:t>1</w:t>
          </w:r>
          <w:r>
            <w:fldChar w:fldCharType="end"/>
          </w:r>
          <w:r>
            <w:rPr>
              <w:rFonts w:ascii="仿宋" w:hAnsi="仿宋" w:eastAsia="仿宋"/>
              <w:bCs/>
              <w:color w:val="auto"/>
              <w:kern w:val="44"/>
              <w:highlight w:val="none"/>
            </w:rPr>
            <w:fldChar w:fldCharType="end"/>
          </w:r>
        </w:p>
        <w:p>
          <w:pPr>
            <w:pStyle w:val="32"/>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_Toc15132 </w:instrText>
          </w:r>
          <w:r>
            <w:rPr>
              <w:rFonts w:ascii="仿宋" w:hAnsi="仿宋" w:eastAsia="仿宋"/>
              <w:bCs/>
              <w:kern w:val="44"/>
              <w:highlight w:val="none"/>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_Toc15132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_Toc25785 </w:instrText>
          </w:r>
          <w:r>
            <w:rPr>
              <w:rFonts w:ascii="仿宋" w:hAnsi="仿宋" w:eastAsia="仿宋"/>
              <w:bCs/>
              <w:kern w:val="44"/>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_Toc25785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_Toc20150 </w:instrText>
          </w:r>
          <w:r>
            <w:rPr>
              <w:rFonts w:ascii="仿宋" w:hAnsi="仿宋" w:eastAsia="仿宋"/>
              <w:bCs/>
              <w:kern w:val="44"/>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_Toc20150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_Toc18032 </w:instrText>
          </w:r>
          <w:r>
            <w:rPr>
              <w:rFonts w:ascii="仿宋" w:hAnsi="仿宋" w:eastAsia="仿宋"/>
              <w:bCs/>
              <w:kern w:val="44"/>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_Toc18032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_Toc16285 </w:instrText>
          </w:r>
          <w:r>
            <w:rPr>
              <w:rFonts w:ascii="仿宋" w:hAnsi="仿宋" w:eastAsia="仿宋"/>
              <w:bCs/>
              <w:kern w:val="44"/>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_Toc16285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_Toc28341 </w:instrText>
          </w:r>
          <w:r>
            <w:rPr>
              <w:rFonts w:ascii="仿宋" w:hAnsi="仿宋" w:eastAsia="仿宋"/>
              <w:bCs/>
              <w:kern w:val="44"/>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_Toc28341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_Toc7809 </w:instrText>
          </w:r>
          <w:r>
            <w:rPr>
              <w:rFonts w:ascii="仿宋" w:hAnsi="仿宋" w:eastAsia="仿宋"/>
              <w:bCs/>
              <w:kern w:val="44"/>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_Toc7809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_Toc28944 </w:instrText>
          </w:r>
          <w:r>
            <w:rPr>
              <w:rFonts w:ascii="仿宋" w:hAnsi="仿宋" w:eastAsia="仿宋"/>
              <w:bCs/>
              <w:kern w:val="44"/>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_Toc28944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_Toc18428 </w:instrText>
          </w:r>
          <w:r>
            <w:rPr>
              <w:rFonts w:ascii="仿宋" w:hAnsi="仿宋" w:eastAsia="仿宋"/>
              <w:bCs/>
              <w:kern w:val="44"/>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_Toc18428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_Toc14878 </w:instrText>
          </w:r>
          <w:r>
            <w:rPr>
              <w:rFonts w:ascii="仿宋" w:hAnsi="仿宋" w:eastAsia="仿宋"/>
              <w:bCs/>
              <w:kern w:val="44"/>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_Toc14878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_Toc5879 </w:instrText>
          </w:r>
          <w:r>
            <w:rPr>
              <w:rFonts w:ascii="仿宋" w:hAnsi="仿宋" w:eastAsia="仿宋"/>
              <w:bCs/>
              <w:kern w:val="44"/>
              <w:highlight w:val="none"/>
            </w:rPr>
            <w:fldChar w:fldCharType="separate"/>
          </w:r>
          <w:r>
            <w:rPr>
              <w:rFonts w:hint="eastAsia" w:ascii="仿宋" w:hAnsi="仿宋" w:eastAsia="仿宋"/>
              <w:bCs w:val="0"/>
              <w:highlight w:val="none"/>
            </w:rPr>
            <w:t>十、</w:t>
          </w:r>
          <w:r>
            <w:rPr>
              <w:rFonts w:hint="eastAsia" w:ascii="仿宋" w:hAnsi="仿宋" w:eastAsia="仿宋"/>
              <w:highlight w:val="none"/>
            </w:rPr>
            <w:t>一</w:t>
          </w:r>
          <w:r>
            <w:rPr>
              <w:rFonts w:hint="eastAsia" w:ascii="仿宋" w:hAnsi="仿宋" w:eastAsia="仿宋"/>
              <w:bCs w:val="0"/>
              <w:highlight w:val="none"/>
            </w:rPr>
            <w:t>般公共预算财政拨款“三公”经费支出决算表</w:t>
          </w:r>
          <w:r>
            <w:tab/>
          </w:r>
          <w:r>
            <w:fldChar w:fldCharType="begin"/>
          </w:r>
          <w:r>
            <w:instrText xml:space="preserve"> PAGEREF _Toc5879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_Toc24283 </w:instrText>
          </w:r>
          <w:r>
            <w:rPr>
              <w:rFonts w:ascii="仿宋" w:hAnsi="仿宋" w:eastAsia="仿宋"/>
              <w:bCs/>
              <w:kern w:val="44"/>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_Toc24283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_Toc17235 </w:instrText>
          </w:r>
          <w:r>
            <w:rPr>
              <w:rFonts w:ascii="仿宋" w:hAnsi="仿宋" w:eastAsia="仿宋"/>
              <w:bCs/>
              <w:kern w:val="44"/>
              <w:highlight w:val="none"/>
            </w:rPr>
            <w:fldChar w:fldCharType="separate"/>
          </w:r>
          <w:r>
            <w:rPr>
              <w:rFonts w:hint="eastAsia" w:ascii="仿宋" w:hAnsi="仿宋" w:eastAsia="仿宋"/>
              <w:bCs w:val="0"/>
              <w:highlight w:val="none"/>
            </w:rPr>
            <w:t>十二、</w:t>
          </w:r>
          <w:r>
            <w:rPr>
              <w:rFonts w:hint="eastAsia" w:ascii="仿宋" w:hAnsi="仿宋" w:eastAsia="仿宋"/>
              <w:highlight w:val="none"/>
            </w:rPr>
            <w:t>政</w:t>
          </w:r>
          <w:r>
            <w:rPr>
              <w:rFonts w:hint="eastAsia" w:ascii="仿宋" w:hAnsi="仿宋" w:eastAsia="仿宋"/>
              <w:bCs w:val="0"/>
              <w:highlight w:val="none"/>
            </w:rPr>
            <w:t>府性基金预算财政拨款“三公”经费支出决算表</w:t>
          </w:r>
          <w:r>
            <w:tab/>
          </w:r>
          <w:r>
            <w:fldChar w:fldCharType="begin"/>
          </w:r>
          <w:r>
            <w:instrText xml:space="preserve"> PAGEREF _Toc17235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_Toc6962 </w:instrText>
          </w:r>
          <w:r>
            <w:rPr>
              <w:rFonts w:ascii="仿宋" w:hAnsi="仿宋" w:eastAsia="仿宋"/>
              <w:bCs/>
              <w:kern w:val="44"/>
              <w:highlight w:val="none"/>
            </w:rPr>
            <w:fldChar w:fldCharType="separate"/>
          </w:r>
          <w:r>
            <w:rPr>
              <w:rFonts w:hint="eastAsia" w:ascii="仿宋" w:hAnsi="仿宋" w:eastAsia="仿宋"/>
              <w:bCs w:val="0"/>
              <w:highlight w:val="none"/>
            </w:rPr>
            <w:t>十三、</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_Toc6962 \h </w:instrText>
          </w:r>
          <w:r>
            <w:fldChar w:fldCharType="separate"/>
          </w:r>
          <w:r>
            <w:t>1</w:t>
          </w:r>
          <w:r>
            <w:fldChar w:fldCharType="end"/>
          </w:r>
          <w:r>
            <w:rPr>
              <w:rFonts w:ascii="仿宋" w:hAnsi="仿宋" w:eastAsia="仿宋"/>
              <w:bCs/>
              <w:color w:val="auto"/>
              <w:kern w:val="44"/>
              <w:highlight w:val="none"/>
            </w:rPr>
            <w:fldChar w:fldCharType="end"/>
          </w:r>
        </w:p>
        <w:p>
          <w:pPr>
            <w:pStyle w:val="33"/>
            <w:tabs>
              <w:tab w:val="right" w:leader="dot" w:pos="8306"/>
            </w:tabs>
          </w:pPr>
          <w:r>
            <w:rPr>
              <w:rFonts w:ascii="仿宋" w:hAnsi="仿宋" w:eastAsia="仿宋"/>
              <w:bCs/>
              <w:color w:val="auto"/>
              <w:kern w:val="44"/>
              <w:highlight w:val="none"/>
            </w:rPr>
            <w:fldChar w:fldCharType="begin"/>
          </w:r>
          <w:r>
            <w:rPr>
              <w:rFonts w:ascii="仿宋" w:hAnsi="仿宋" w:eastAsia="仿宋"/>
              <w:bCs/>
              <w:kern w:val="44"/>
              <w:highlight w:val="none"/>
            </w:rPr>
            <w:instrText xml:space="preserve"> HYPERLINK \l _Toc5805 </w:instrText>
          </w:r>
          <w:r>
            <w:rPr>
              <w:rFonts w:ascii="仿宋" w:hAnsi="仿宋" w:eastAsia="仿宋"/>
              <w:bCs/>
              <w:kern w:val="44"/>
              <w:highlight w:val="none"/>
            </w:rPr>
            <w:fldChar w:fldCharType="separate"/>
          </w:r>
          <w:r>
            <w:rPr>
              <w:rFonts w:hint="eastAsia" w:ascii="仿宋" w:hAnsi="仿宋" w:eastAsia="仿宋"/>
              <w:bCs w:val="0"/>
              <w:highlight w:val="none"/>
              <w:lang w:eastAsia="zh-CN"/>
            </w:rPr>
            <w:t>十四、国有资本经营预算财政拨款支出决算表</w:t>
          </w:r>
          <w:r>
            <w:tab/>
          </w:r>
          <w:r>
            <w:fldChar w:fldCharType="begin"/>
          </w:r>
          <w:r>
            <w:instrText xml:space="preserve"> PAGEREF _Toc5805 \h </w:instrText>
          </w:r>
          <w:r>
            <w:fldChar w:fldCharType="separate"/>
          </w:r>
          <w:r>
            <w:t>1</w:t>
          </w:r>
          <w:r>
            <w:fldChar w:fldCharType="end"/>
          </w:r>
          <w:r>
            <w:rPr>
              <w:rFonts w:ascii="仿宋" w:hAnsi="仿宋" w:eastAsia="仿宋"/>
              <w:bCs/>
              <w:color w:val="auto"/>
              <w:kern w:val="44"/>
              <w:highlight w:val="none"/>
            </w:rPr>
            <w:fldChar w:fldCharType="end"/>
          </w:r>
        </w:p>
        <w:p>
          <w:pPr>
            <w:widowControl/>
            <w:spacing w:line="440" w:lineRule="exact"/>
            <w:ind w:firstLine="420" w:firstLineChars="200"/>
            <w:jc w:val="left"/>
            <w:rPr>
              <w:rFonts w:ascii="仿宋" w:hAnsi="仿宋" w:eastAsia="仿宋"/>
              <w:bCs/>
              <w:color w:val="auto"/>
              <w:kern w:val="44"/>
              <w:sz w:val="24"/>
              <w:highlight w:val="none"/>
            </w:rPr>
          </w:pPr>
          <w:r>
            <w:rPr>
              <w:rFonts w:ascii="仿宋" w:hAnsi="仿宋" w:eastAsia="仿宋"/>
              <w:bCs/>
              <w:color w:val="auto"/>
              <w:kern w:val="44"/>
              <w:highlight w:val="none"/>
            </w:rPr>
            <w:fldChar w:fldCharType="end"/>
          </w:r>
        </w:p>
      </w:sdtContent>
    </w:sdt>
    <w:p>
      <w:pPr>
        <w:pStyle w:val="3"/>
        <w:jc w:val="center"/>
        <w:rPr>
          <w:rStyle w:val="26"/>
          <w:rFonts w:ascii="黑体" w:hAnsi="黑体" w:eastAsia="黑体"/>
          <w:b/>
          <w:bCs w:val="0"/>
          <w:color w:val="auto"/>
          <w:highlight w:val="none"/>
        </w:rPr>
      </w:pPr>
      <w:bookmarkStart w:id="16" w:name="_Toc26366"/>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4"/>
      <w:bookmarkEnd w:id="15"/>
      <w:bookmarkEnd w:id="16"/>
    </w:p>
    <w:p>
      <w:pPr>
        <w:widowControl/>
        <w:jc w:val="left"/>
        <w:rPr>
          <w:rFonts w:ascii="黑体" w:eastAsia="黑体"/>
          <w:color w:val="auto"/>
          <w:sz w:val="32"/>
          <w:szCs w:val="32"/>
          <w:highlight w:val="none"/>
        </w:rPr>
      </w:pPr>
    </w:p>
    <w:p>
      <w:pPr>
        <w:pStyle w:val="4"/>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rPr>
      </w:pPr>
      <w:bookmarkStart w:id="17" w:name="_Toc25192"/>
      <w:bookmarkStart w:id="18" w:name="_Toc15396600"/>
      <w:bookmarkStart w:id="19" w:name="_Toc15377197"/>
      <w:r>
        <w:rPr>
          <w:rStyle w:val="27"/>
          <w:rFonts w:hint="eastAsia" w:ascii="黑体" w:hAnsi="黑体" w:eastAsia="黑体"/>
          <w:b w:val="0"/>
          <w:bCs w:val="0"/>
          <w:color w:val="auto"/>
          <w:highlight w:val="none"/>
          <w:lang w:eastAsia="zh-CN"/>
        </w:rPr>
        <w:t>一、主要职责</w:t>
      </w:r>
      <w:bookmarkEnd w:id="1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组织拟订全区卫生健康政策。负责起草卫生健康事业发展政策、措施、规划，组织实施卫生健康政策标准与技术规范。统筹规划全区卫生健康资源配置。制定并组织实施推进卫生健康基本公共服务均等化、普惠化、便捷化和公共资源向基层延伸等政策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牵头推进全区深化医药卫生体制改革。研究提出深化改革重大政策、措施的建议。牵头组织全区分级诊疗、现代医院管理、全民医保、药品供应保障、综合监管5项基本医疗卫生制度建设制定并组织实施推动卫生健康公共服务提供主体多元化、方式多样化的政策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制定并组织落实全区疾病预防控制规划、免疫规划以及严重危害人民健康的艾滋病等重大传染病、寄生虫病、地方病等公共卫生问题的于预措施。负责全区卫生应急工作，组织和指导全区突发公共卫生事件预防控制和各类突发公共事件的医疗卫生救援。发布法定报告传染病疫情信息、突发公共卫生事件应急处置信息。依照国家检疫传染病和监测传染病目录，参与开展检疫监测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（四）贯彻落实国家应对人口老龄化政策措施。负责推进老年健康服务体系建设和医养结合工作。承担区老龄工作委员会日常工作。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贯彻落实国家药物政策和国家基本药物制度。开展药械使用监测、临床综合评价和短缺药品预警，组织执行国家药典、国家基本药物目录、省药品增补目录和基本药物使用的政策措施。组织实施食品安全风险监测。开展食品安全企业标准备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（八）负责全区计划生育管理和服务工作。开展人口监测预警，研究提出人口与家庭发展相关政策建议，依法实施计划生育政策。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（九）负责全区卫生健康工作。负责医疗卫生、妇幼健康服务体系和卫生队伍建设。推进卫生健康科技创新发展。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贯彻执行国家、省、市促进中医药（含中西医结合和民族医药）事业发展的法律法规，拟订全区中医药中长期发展规划并组织实施，促进中药资源的保护、开发和合理利用，拟订全区中药产业发展规划、产业政策和中药的扶持政策并组织实施，监督指导全区中医药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（十一）负责区确定的保健对象的医疗保健工作。负责区本级离休于部医疗管理工作。负责重要会议与重大活动的医疗卫生保障工作。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（十二）指导区计划生育协会的业务工作。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（十三）依法依规履行卫生健康行业安全生产监管职责。负责职责范围内的生态环境保护、审批服务便民化等工作。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（十四）完成区委、区政府交办的其他任务。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五）职能转变。牢固树立大卫生、大健康理念，推动实施健康中国、健康四川、健康广元和健康朝天战略，助推中国生态康养旅游名市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w:t>
      </w:r>
    </w:p>
    <w:p>
      <w:pPr>
        <w:pageBreakBefore w:val="0"/>
        <w:widowControl w:val="0"/>
        <w:kinsoku/>
        <w:wordWrap/>
        <w:overflowPunct/>
        <w:topLinePunct w:val="0"/>
        <w:autoSpaceDE/>
        <w:autoSpaceDN/>
        <w:bidi w:val="0"/>
        <w:adjustRightInd/>
        <w:snapToGrid/>
        <w:textAlignment w:val="auto"/>
        <w:rPr>
          <w:rFonts w:hint="eastAsia"/>
        </w:rPr>
      </w:pPr>
    </w:p>
    <w:bookmarkEnd w:id="18"/>
    <w:bookmarkEnd w:id="19"/>
    <w:p>
      <w:pPr>
        <w:pStyle w:val="4"/>
        <w:numPr>
          <w:ilvl w:val="0"/>
          <w:numId w:val="1"/>
        </w:numPr>
        <w:rPr>
          <w:rFonts w:hint="eastAsia" w:ascii="黑体" w:hAnsi="黑体" w:eastAsia="黑体"/>
          <w:b w:val="0"/>
          <w:color w:val="auto"/>
          <w:highlight w:val="none"/>
          <w:lang w:val="en-US" w:eastAsia="zh-CN"/>
        </w:rPr>
      </w:pPr>
      <w:bookmarkStart w:id="20" w:name="_Toc23367"/>
      <w:r>
        <w:rPr>
          <w:rFonts w:hint="eastAsia" w:ascii="黑体" w:hAnsi="黑体" w:eastAsia="黑体"/>
          <w:b w:val="0"/>
          <w:color w:val="auto"/>
          <w:highlight w:val="none"/>
          <w:lang w:val="en-US" w:eastAsia="zh-CN"/>
        </w:rPr>
        <w:t>机构设置</w:t>
      </w:r>
      <w:bookmarkEnd w:id="20"/>
    </w:p>
    <w:p>
      <w:pPr>
        <w:pStyle w:val="4"/>
        <w:numPr>
          <w:ilvl w:val="0"/>
          <w:numId w:val="0"/>
        </w:numPr>
        <w:rPr>
          <w:rFonts w:hint="eastAsia" w:ascii="黑体" w:hAnsi="黑体" w:eastAsia="黑体"/>
          <w:b w:val="0"/>
          <w:color w:val="auto"/>
          <w:highlight w:val="none"/>
          <w:lang w:val="en-US" w:eastAsia="zh-CN"/>
        </w:rPr>
      </w:pPr>
      <w:bookmarkStart w:id="21" w:name="_Toc29442"/>
      <w:r>
        <w:rPr>
          <w:rFonts w:hint="eastAsia" w:ascii="黑体" w:hAnsi="黑体" w:eastAsia="黑体"/>
          <w:b w:val="0"/>
          <w:color w:val="auto"/>
          <w:highlight w:val="none"/>
          <w:lang w:val="en-US" w:eastAsia="zh-CN"/>
        </w:rPr>
        <w:t>区卫生健康局下设业务股室</w:t>
      </w:r>
      <w:bookmarkEnd w:id="21"/>
    </w:p>
    <w:p>
      <w:pPr>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6"/>
        <w:rPr>
          <w:rFonts w:hint="eastAsia" w:ascii="黑体" w:hAnsi="黑体" w:eastAsia="黑体"/>
          <w:b w:val="0"/>
          <w:color w:val="auto"/>
          <w:highlight w:val="none"/>
        </w:rPr>
      </w:pPr>
    </w:p>
    <w:p>
      <w:pPr>
        <w:pStyle w:val="3"/>
        <w:ind w:right="440"/>
        <w:jc w:val="center"/>
        <w:rPr>
          <w:rStyle w:val="26"/>
          <w:rFonts w:ascii="黑体" w:hAnsi="黑体" w:eastAsia="黑体"/>
          <w:b w:val="0"/>
          <w:bCs/>
          <w:color w:val="auto"/>
          <w:highlight w:val="none"/>
        </w:rPr>
      </w:pPr>
      <w:bookmarkStart w:id="22" w:name="_Toc15377204"/>
      <w:bookmarkStart w:id="23" w:name="_Toc15396602"/>
      <w:bookmarkStart w:id="24" w:name="_Toc658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22"/>
      <w:bookmarkEnd w:id="23"/>
      <w:bookmarkEnd w:id="24"/>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5" w:name="_Toc15377205"/>
      <w:bookmarkStart w:id="26" w:name="_Toc15396603"/>
      <w:bookmarkStart w:id="27" w:name="_Toc15631"/>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5"/>
      <w:bookmarkEnd w:id="26"/>
      <w:bookmarkEnd w:id="27"/>
    </w:p>
    <w:p>
      <w:pPr>
        <w:spacing w:line="600" w:lineRule="exact"/>
        <w:ind w:firstLine="640" w:firstLineChars="200"/>
        <w:rPr>
          <w:rFonts w:hint="eastAsia" w:ascii="仿宋" w:hAnsi="仿宋" w:eastAsia="仿宋"/>
          <w:color w:val="auto"/>
          <w:sz w:val="32"/>
          <w:szCs w:val="32"/>
          <w:highlight w:val="yellow"/>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2087880</wp:posOffset>
            </wp:positionV>
            <wp:extent cx="5080000" cy="3181350"/>
            <wp:effectExtent l="5080" t="4445" r="20320"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2835.29、5786.14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年1952.77</w:t>
      </w:r>
      <w:r>
        <w:rPr>
          <w:rFonts w:hint="eastAsia" w:ascii="仿宋" w:hAnsi="仿宋" w:eastAsia="仿宋"/>
          <w:color w:val="auto"/>
          <w:sz w:val="32"/>
          <w:szCs w:val="32"/>
          <w:highlight w:val="none"/>
          <w:lang w:eastAsia="zh-CN"/>
        </w:rPr>
        <w:t>、1946.94</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882.52、3839.2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45.19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197.19%</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yellow"/>
          <w:lang w:eastAsia="zh-CN"/>
        </w:rPr>
        <w:t>人员工资、津补贴、各类保险、公积金、目标考核绩效等经费及乡村振兴医疗救助项目收入支出增加。</w:t>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8" w:name="_Toc15377206"/>
      <w:bookmarkStart w:id="29" w:name="_Toc15396604"/>
      <w:bookmarkStart w:id="30" w:name="_Toc105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8"/>
      <w:bookmarkEnd w:id="29"/>
      <w:bookmarkEnd w:id="30"/>
    </w:p>
    <w:p>
      <w:pPr>
        <w:spacing w:line="600" w:lineRule="exact"/>
        <w:ind w:firstLine="640" w:firstLineChars="200"/>
        <w:outlineLvl w:val="1"/>
        <w:rPr>
          <w:rFonts w:ascii="仿宋" w:hAnsi="仿宋" w:eastAsia="仿宋"/>
          <w:color w:val="auto"/>
          <w:sz w:val="32"/>
          <w:szCs w:val="32"/>
          <w:highlight w:val="none"/>
        </w:rPr>
      </w:pPr>
      <w:bookmarkStart w:id="31" w:name="_Toc1993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2835.29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2834.72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1"/>
    </w:p>
    <w:p>
      <w:pPr>
        <w:spacing w:line="600" w:lineRule="exact"/>
        <w:ind w:firstLine="640" w:firstLineChars="200"/>
        <w:outlineLvl w:val="9"/>
        <w:rPr>
          <w:rFonts w:hint="eastAsia" w:ascii="仿宋" w:hAnsi="仿宋" w:eastAsia="仿宋"/>
          <w:color w:val="auto"/>
          <w:sz w:val="32"/>
          <w:szCs w:val="32"/>
          <w:highlight w:val="none"/>
          <w:lang w:eastAsia="zh-CN"/>
        </w:rPr>
      </w:pP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79375</wp:posOffset>
            </wp:positionH>
            <wp:positionV relativeFrom="paragraph">
              <wp:posOffset>106045</wp:posOffset>
            </wp:positionV>
            <wp:extent cx="5080000" cy="2538095"/>
            <wp:effectExtent l="4445" t="4445" r="20955" b="101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（图2：收入决算结构图）（饼状图）</w:t>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2" w:name="_Toc15396605"/>
      <w:bookmarkStart w:id="33" w:name="_Toc15377207"/>
      <w:bookmarkStart w:id="34" w:name="_Toc9499"/>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32"/>
      <w:bookmarkEnd w:id="33"/>
      <w:bookmarkEnd w:id="34"/>
    </w:p>
    <w:p>
      <w:pPr>
        <w:spacing w:line="600" w:lineRule="exact"/>
        <w:ind w:firstLine="640" w:firstLineChars="200"/>
        <w:outlineLvl w:val="1"/>
        <w:rPr>
          <w:rFonts w:ascii="仿宋" w:hAnsi="仿宋" w:eastAsia="仿宋"/>
          <w:color w:val="auto"/>
          <w:sz w:val="32"/>
          <w:szCs w:val="32"/>
          <w:highlight w:val="none"/>
        </w:rPr>
      </w:pPr>
      <w:bookmarkStart w:id="35" w:name="_Toc369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5786.14</w:t>
      </w:r>
      <w:r>
        <w:rPr>
          <w:rFonts w:hint="eastAsia" w:ascii="仿宋" w:hAnsi="仿宋" w:eastAsia="仿宋"/>
          <w:color w:val="auto"/>
          <w:sz w:val="32"/>
          <w:szCs w:val="32"/>
          <w:highlight w:val="none"/>
        </w:rPr>
        <w:t>万元，其中：基本支出67</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11.63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5113.09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5"/>
    </w:p>
    <w:p>
      <w:pPr>
        <w:spacing w:line="600" w:lineRule="exact"/>
        <w:ind w:firstLine="640"/>
        <w:jc w:val="center"/>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88900</wp:posOffset>
            </wp:positionH>
            <wp:positionV relativeFrom="paragraph">
              <wp:posOffset>181610</wp:posOffset>
            </wp:positionV>
            <wp:extent cx="5080000" cy="2538095"/>
            <wp:effectExtent l="4445" t="4445" r="2095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7"/>
          <w:rFonts w:ascii="黑体" w:hAnsi="黑体" w:eastAsia="黑体"/>
          <w:b w:val="0"/>
          <w:color w:val="auto"/>
          <w:highlight w:val="none"/>
        </w:rPr>
      </w:pPr>
      <w:bookmarkStart w:id="36" w:name="_Toc15377208"/>
      <w:bookmarkStart w:id="37" w:name="_Toc15396606"/>
      <w:bookmarkStart w:id="38" w:name="_Toc1174"/>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6"/>
      <w:bookmarkEnd w:id="37"/>
      <w:bookmarkEnd w:id="38"/>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2834.72、5785.57　1952.09、1946.26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882.63、3839.31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45.21、197.27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yellow"/>
          <w:lang w:eastAsia="zh-CN"/>
        </w:rPr>
        <w:t>人员工资、津补贴、各类保险、公积金、目标考核绩效等经费及乡村振兴医疗救助项目收入支出增加</w:t>
      </w:r>
      <w:r>
        <w:rPr>
          <w:rFonts w:hint="eastAsia" w:ascii="仿宋" w:hAnsi="仿宋" w:eastAsia="仿宋"/>
          <w:color w:val="auto"/>
          <w:sz w:val="32"/>
          <w:szCs w:val="32"/>
          <w:highlight w:val="none"/>
          <w:lang w:eastAsia="zh-CN"/>
        </w:rPr>
        <w:t>。</w:t>
      </w:r>
    </w:p>
    <w:p>
      <w:pPr>
        <w:spacing w:line="600" w:lineRule="exact"/>
        <w:jc w:val="center"/>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114935</wp:posOffset>
            </wp:positionH>
            <wp:positionV relativeFrom="paragraph">
              <wp:posOffset>146685</wp:posOffset>
            </wp:positionV>
            <wp:extent cx="5080000" cy="2889885"/>
            <wp:effectExtent l="4445" t="4445" r="20955" b="2032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7"/>
          <w:rFonts w:ascii="黑体" w:hAnsi="黑体" w:eastAsia="黑体"/>
          <w:b w:val="0"/>
          <w:color w:val="auto"/>
          <w:highlight w:val="none"/>
        </w:rPr>
      </w:pPr>
      <w:bookmarkStart w:id="39" w:name="_Toc15377209"/>
      <w:bookmarkStart w:id="40" w:name="_Toc15396607"/>
      <w:bookmarkStart w:id="41" w:name="_Toc19815"/>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color w:val="auto"/>
          <w:sz w:val="32"/>
          <w:szCs w:val="32"/>
          <w:highlight w:val="none"/>
        </w:rPr>
      </w:pPr>
      <w:bookmarkStart w:id="42" w:name="_Toc15377210"/>
      <w:bookmarkStart w:id="43" w:name="_Toc27677"/>
      <w:r>
        <w:rPr>
          <w:rFonts w:hint="eastAsia" w:ascii="仿宋" w:hAnsi="仿宋" w:eastAsia="仿宋"/>
          <w:b/>
          <w:color w:val="auto"/>
          <w:sz w:val="32"/>
          <w:szCs w:val="32"/>
          <w:highlight w:val="none"/>
        </w:rPr>
        <w:t>（一）一般公共预算财政拨款支出决算总体情况</w:t>
      </w:r>
      <w:bookmarkEnd w:id="42"/>
      <w:bookmarkEnd w:id="43"/>
    </w:p>
    <w:p>
      <w:pPr>
        <w:spacing w:line="600" w:lineRule="exact"/>
        <w:ind w:firstLine="640" w:firstLineChars="200"/>
        <w:rPr>
          <w:rFonts w:hint="eastAsia" w:ascii="仿宋" w:hAnsi="仿宋" w:eastAsia="仿宋"/>
          <w:color w:val="auto"/>
          <w:sz w:val="32"/>
          <w:szCs w:val="32"/>
          <w:highlight w:val="yellow"/>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-75565</wp:posOffset>
            </wp:positionH>
            <wp:positionV relativeFrom="paragraph">
              <wp:posOffset>1965325</wp:posOffset>
            </wp:positionV>
            <wp:extent cx="5080000" cy="1819275"/>
            <wp:effectExtent l="5080" t="4445" r="20320"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5785.57　1946.26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3839.31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197.27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yellow"/>
        </w:rPr>
        <w:t>主要变动原因是</w:t>
      </w:r>
      <w:r>
        <w:rPr>
          <w:rFonts w:hint="eastAsia" w:ascii="仿宋" w:hAnsi="仿宋" w:eastAsia="仿宋"/>
          <w:color w:val="auto"/>
          <w:sz w:val="32"/>
          <w:szCs w:val="32"/>
          <w:highlight w:val="yellow"/>
          <w:lang w:eastAsia="zh-CN"/>
        </w:rPr>
        <w:t>人员工资、津补贴、各类保险、公积金、目标考核绩效等经费支出增加。</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44" w:name="_Toc15377211"/>
      <w:bookmarkStart w:id="45" w:name="_Toc29612"/>
      <w:r>
        <w:rPr>
          <w:rFonts w:hint="eastAsia" w:ascii="仿宋" w:hAnsi="仿宋" w:eastAsia="仿宋"/>
          <w:b/>
          <w:color w:val="auto"/>
          <w:sz w:val="32"/>
          <w:szCs w:val="32"/>
          <w:highlight w:val="none"/>
        </w:rPr>
        <w:t>（二）一般公共预算财政拨款支出决算结构情况</w:t>
      </w:r>
      <w:bookmarkEnd w:id="44"/>
      <w:bookmarkEnd w:id="45"/>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5785.57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59.98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5675.17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农林水</w:t>
      </w:r>
      <w:r>
        <w:rPr>
          <w:rFonts w:hint="eastAsia" w:ascii="仿宋" w:hAnsi="仿宋" w:eastAsia="仿宋"/>
          <w:b/>
          <w:bCs/>
          <w:color w:val="auto"/>
          <w:sz w:val="32"/>
          <w:szCs w:val="32"/>
          <w:highlight w:val="none"/>
          <w:lang w:eastAsia="zh-CN"/>
        </w:rPr>
        <w:t>（类）</w:t>
      </w:r>
      <w:r>
        <w:rPr>
          <w:rFonts w:hint="eastAsia" w:ascii="仿宋" w:hAnsi="仿宋" w:eastAsia="仿宋"/>
          <w:b w:val="0"/>
          <w:bCs w:val="0"/>
          <w:color w:val="auto"/>
          <w:sz w:val="32"/>
          <w:szCs w:val="32"/>
          <w:highlight w:val="none"/>
          <w:lang w:eastAsia="zh-CN"/>
        </w:rPr>
        <w:t>支出</w:t>
      </w:r>
      <w:r>
        <w:rPr>
          <w:rFonts w:hint="eastAsia" w:ascii="仿宋" w:hAnsi="仿宋" w:eastAsia="仿宋"/>
          <w:b w:val="0"/>
          <w:bCs w:val="0"/>
          <w:color w:val="auto"/>
          <w:sz w:val="32"/>
          <w:szCs w:val="32"/>
          <w:highlight w:val="none"/>
          <w:lang w:val="en-US" w:eastAsia="zh-CN"/>
        </w:rPr>
        <w:t>0.03万元，占5.18%；</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49.13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149225</wp:posOffset>
            </wp:positionV>
            <wp:extent cx="5080000" cy="3334385"/>
            <wp:effectExtent l="4445" t="4445" r="20955"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46" w:name="_Toc15377212"/>
      <w:bookmarkStart w:id="47" w:name="_Toc1113"/>
      <w:r>
        <w:rPr>
          <w:rFonts w:hint="eastAsia" w:ascii="仿宋" w:hAnsi="仿宋" w:eastAsia="仿宋"/>
          <w:b/>
          <w:color w:val="auto"/>
          <w:sz w:val="32"/>
          <w:szCs w:val="32"/>
          <w:highlight w:val="none"/>
        </w:rPr>
        <w:t>（三）一般公共预算财政拨款支出决算具体情况</w:t>
      </w:r>
      <w:bookmarkEnd w:id="46"/>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444"/>
      <w:bookmarkStart w:id="49" w:name="_Toc15378460"/>
      <w:bookmarkStart w:id="50" w:name="_Toc15377213"/>
      <w:bookmarkStart w:id="51" w:name="_Toc9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5785.57</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99.70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8"/>
      <w:bookmarkEnd w:id="49"/>
      <w:bookmarkEnd w:id="50"/>
      <w:bookmarkEnd w:id="51"/>
    </w:p>
    <w:p>
      <w:pPr>
        <w:numPr>
          <w:ilvl w:val="0"/>
          <w:numId w:val="3"/>
        </w:num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Cs/>
          <w:color w:val="000000"/>
          <w:sz w:val="32"/>
          <w:szCs w:val="32"/>
        </w:rPr>
        <w:t>社会保障和就业（类）行政事业单位养老支出（款）  机关事业单位基本养老保险缴费支出（项）</w:t>
      </w:r>
      <w:r>
        <w:rPr>
          <w:rStyle w:val="16"/>
          <w:rFonts w:hint="eastAsia" w:ascii="仿宋" w:hAnsi="仿宋" w:eastAsia="仿宋"/>
          <w:b w:val="0"/>
          <w:bCs w:val="0"/>
          <w:color w:val="000000"/>
          <w:sz w:val="32"/>
          <w:szCs w:val="32"/>
          <w:lang w:eastAsia="zh-CN"/>
        </w:rPr>
        <w:t>支出</w:t>
      </w:r>
      <w:r>
        <w:rPr>
          <w:rStyle w:val="16"/>
          <w:rFonts w:hint="eastAsia" w:ascii="仿宋" w:hAnsi="仿宋" w:eastAsia="仿宋"/>
          <w:b w:val="0"/>
          <w:bCs/>
          <w:color w:val="000000"/>
          <w:sz w:val="32"/>
          <w:szCs w:val="32"/>
        </w:rPr>
        <w:t>决算为</w:t>
      </w:r>
      <w:r>
        <w:rPr>
          <w:rStyle w:val="16"/>
          <w:rFonts w:hint="eastAsia" w:ascii="仿宋" w:hAnsi="仿宋" w:eastAsia="仿宋"/>
          <w:b w:val="0"/>
          <w:bCs/>
          <w:color w:val="000000"/>
          <w:sz w:val="32"/>
          <w:szCs w:val="32"/>
          <w:lang w:val="en-US" w:eastAsia="zh-CN"/>
        </w:rPr>
        <w:t>50.25</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val="en-US"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bCs w:val="0"/>
          <w:color w:val="000000"/>
          <w:sz w:val="32"/>
          <w:szCs w:val="32"/>
          <w:lang w:val="en-US" w:eastAsia="zh-CN"/>
        </w:rPr>
        <w:t>机关事业单位职业年金缴费支出（项）</w:t>
      </w:r>
      <w:r>
        <w:rPr>
          <w:rStyle w:val="16"/>
          <w:rFonts w:hint="eastAsia" w:ascii="仿宋" w:hAnsi="仿宋" w:eastAsia="仿宋"/>
          <w:b w:val="0"/>
          <w:bCs/>
          <w:color w:val="000000"/>
          <w:sz w:val="32"/>
          <w:szCs w:val="32"/>
          <w:lang w:val="en-US" w:eastAsia="zh-CN"/>
        </w:rPr>
        <w:t>支出决算数9.73万元，完成预算100%。</w:t>
      </w:r>
    </w:p>
    <w:p>
      <w:pPr>
        <w:spacing w:line="600" w:lineRule="exact"/>
        <w:ind w:firstLine="640" w:firstLineChars="200"/>
        <w:rPr>
          <w:rFonts w:ascii="仿宋" w:hAnsi="仿宋" w:eastAsia="仿宋"/>
          <w:b/>
          <w:color w:val="000000"/>
          <w:sz w:val="32"/>
          <w:szCs w:val="32"/>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（类）卫生健康管理事务（款）行政运行</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461.32</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101.32</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决算数大于预算数原因是使用上年的结转资金</w:t>
      </w:r>
      <w:r>
        <w:rPr>
          <w:rStyle w:val="16"/>
          <w:rFonts w:hint="eastAsia" w:ascii="仿宋" w:hAnsi="仿宋" w:eastAsia="仿宋"/>
          <w:b w:val="0"/>
          <w:bCs/>
          <w:color w:val="000000"/>
          <w:sz w:val="32"/>
          <w:szCs w:val="32"/>
          <w:lang w:val="en-US" w:eastAsia="zh-CN"/>
        </w:rPr>
        <w:t>6.57万元</w:t>
      </w:r>
      <w:r>
        <w:rPr>
          <w:rStyle w:val="16"/>
          <w:rFonts w:hint="eastAsia" w:ascii="仿宋" w:hAnsi="仿宋" w:eastAsia="仿宋"/>
          <w:b w:val="0"/>
          <w:bCs/>
          <w:color w:val="000000"/>
          <w:sz w:val="32"/>
          <w:szCs w:val="32"/>
          <w:lang w:eastAsia="zh-CN"/>
        </w:rPr>
        <w:t>支付职工交通补贴费导致、</w:t>
      </w:r>
      <w:r>
        <w:rPr>
          <w:rStyle w:val="16"/>
          <w:rFonts w:hint="eastAsia" w:ascii="仿宋" w:hAnsi="仿宋" w:eastAsia="仿宋"/>
          <w:b/>
          <w:bCs w:val="0"/>
          <w:color w:val="000000"/>
          <w:sz w:val="32"/>
          <w:szCs w:val="32"/>
          <w:lang w:eastAsia="zh-CN"/>
        </w:rPr>
        <w:t>一般行政管理事务（项）</w:t>
      </w:r>
      <w:r>
        <w:rPr>
          <w:rStyle w:val="16"/>
          <w:rFonts w:hint="eastAsia" w:ascii="仿宋" w:hAnsi="仿宋" w:eastAsia="仿宋"/>
          <w:b w:val="0"/>
          <w:bCs/>
          <w:color w:val="000000"/>
          <w:sz w:val="32"/>
          <w:szCs w:val="32"/>
          <w:lang w:eastAsia="zh-CN"/>
        </w:rPr>
        <w:t>支出决算为</w:t>
      </w:r>
      <w:r>
        <w:rPr>
          <w:rStyle w:val="16"/>
          <w:rFonts w:hint="eastAsia" w:ascii="仿宋" w:hAnsi="仿宋" w:eastAsia="仿宋"/>
          <w:b w:val="0"/>
          <w:bCs/>
          <w:color w:val="000000"/>
          <w:sz w:val="32"/>
          <w:szCs w:val="32"/>
          <w:lang w:val="en-US" w:eastAsia="zh-CN"/>
        </w:rPr>
        <w:t>6.72万元，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bCs w:val="0"/>
          <w:color w:val="000000"/>
          <w:sz w:val="32"/>
          <w:szCs w:val="32"/>
          <w:lang w:eastAsia="zh-CN"/>
        </w:rPr>
        <w:t>机关服务（项）</w:t>
      </w:r>
      <w:r>
        <w:rPr>
          <w:rStyle w:val="16"/>
          <w:rFonts w:hint="eastAsia" w:ascii="仿宋" w:hAnsi="仿宋" w:eastAsia="仿宋"/>
          <w:b w:val="0"/>
          <w:bCs/>
          <w:color w:val="000000"/>
          <w:sz w:val="32"/>
          <w:szCs w:val="32"/>
          <w:lang w:eastAsia="zh-CN"/>
        </w:rPr>
        <w:t>支出决算为</w:t>
      </w:r>
      <w:r>
        <w:rPr>
          <w:rStyle w:val="16"/>
          <w:rFonts w:hint="eastAsia" w:ascii="仿宋" w:hAnsi="仿宋" w:eastAsia="仿宋"/>
          <w:b w:val="0"/>
          <w:bCs/>
          <w:color w:val="000000"/>
          <w:sz w:val="32"/>
          <w:szCs w:val="32"/>
          <w:lang w:val="en-US" w:eastAsia="zh-CN"/>
        </w:rPr>
        <w:t>77.14万元，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bCs w:val="0"/>
          <w:color w:val="000000"/>
          <w:sz w:val="32"/>
          <w:szCs w:val="32"/>
          <w:lang w:eastAsia="zh-CN"/>
        </w:rPr>
        <w:t>其他卫生健康管理事务支出（项）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196.34</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157.91</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，决算数大于预算数原因为使用财政结转资金</w:t>
      </w:r>
      <w:r>
        <w:rPr>
          <w:rStyle w:val="16"/>
          <w:rFonts w:hint="eastAsia" w:ascii="仿宋" w:hAnsi="仿宋" w:eastAsia="仿宋"/>
          <w:b w:val="0"/>
          <w:bCs/>
          <w:color w:val="000000"/>
          <w:sz w:val="32"/>
          <w:szCs w:val="32"/>
          <w:lang w:val="en-US" w:eastAsia="zh-CN"/>
        </w:rPr>
        <w:t>72万元</w:t>
      </w:r>
      <w:r>
        <w:rPr>
          <w:rStyle w:val="16"/>
          <w:rFonts w:hint="eastAsia" w:ascii="仿宋" w:hAnsi="仿宋" w:eastAsia="仿宋"/>
          <w:b w:val="0"/>
          <w:bCs/>
          <w:color w:val="000000"/>
          <w:sz w:val="32"/>
          <w:szCs w:val="32"/>
          <w:lang w:eastAsia="zh-CN"/>
        </w:rPr>
        <w:t>支付办公用房租赁费导致；</w:t>
      </w:r>
      <w:r>
        <w:rPr>
          <w:rStyle w:val="16"/>
          <w:rFonts w:hint="eastAsia" w:ascii="仿宋" w:hAnsi="仿宋" w:eastAsia="仿宋"/>
          <w:b/>
          <w:bCs w:val="0"/>
          <w:color w:val="000000"/>
          <w:sz w:val="32"/>
          <w:szCs w:val="32"/>
          <w:lang w:eastAsia="zh-CN"/>
        </w:rPr>
        <w:t>公立医院（款）其他公立医院支出（项）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3645.7</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1069.12</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，决算数大于预算数原因是使用财政结转结余资金</w:t>
      </w:r>
      <w:r>
        <w:rPr>
          <w:rStyle w:val="16"/>
          <w:rFonts w:hint="eastAsia" w:ascii="仿宋" w:hAnsi="仿宋" w:eastAsia="仿宋"/>
          <w:b w:val="0"/>
          <w:bCs/>
          <w:color w:val="000000"/>
          <w:sz w:val="32"/>
          <w:szCs w:val="32"/>
          <w:lang w:val="en-US" w:eastAsia="zh-CN"/>
        </w:rPr>
        <w:t>3304.7万元</w:t>
      </w:r>
      <w:r>
        <w:rPr>
          <w:rStyle w:val="16"/>
          <w:rFonts w:hint="eastAsia" w:ascii="仿宋" w:hAnsi="仿宋" w:eastAsia="仿宋"/>
          <w:b w:val="0"/>
          <w:bCs/>
          <w:color w:val="000000"/>
          <w:sz w:val="32"/>
          <w:szCs w:val="32"/>
          <w:lang w:eastAsia="zh-CN"/>
        </w:rPr>
        <w:t>支出区妇幼保健院门诊综合楼项目前期征地费用导致；</w:t>
      </w:r>
      <w:r>
        <w:rPr>
          <w:rStyle w:val="16"/>
          <w:rFonts w:hint="eastAsia" w:ascii="仿宋" w:hAnsi="仿宋" w:eastAsia="仿宋"/>
          <w:b/>
          <w:bCs w:val="0"/>
          <w:color w:val="000000"/>
          <w:sz w:val="32"/>
          <w:szCs w:val="32"/>
          <w:lang w:eastAsia="zh-CN"/>
        </w:rPr>
        <w:t>公共卫生（款）</w:t>
      </w:r>
      <w:r>
        <w:rPr>
          <w:rStyle w:val="16"/>
          <w:rFonts w:hint="eastAsia" w:ascii="仿宋" w:hAnsi="仿宋" w:eastAsia="仿宋"/>
          <w:bCs/>
          <w:color w:val="000000"/>
          <w:sz w:val="32"/>
          <w:szCs w:val="32"/>
        </w:rPr>
        <w:t>重大公共卫生服务</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871.14</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113.24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，决算数大于预算数原因是使用上年财政结转资金</w:t>
      </w:r>
      <w:r>
        <w:rPr>
          <w:rStyle w:val="16"/>
          <w:rFonts w:hint="eastAsia" w:ascii="仿宋" w:hAnsi="仿宋" w:eastAsia="仿宋"/>
          <w:b w:val="0"/>
          <w:bCs/>
          <w:color w:val="000000"/>
          <w:sz w:val="32"/>
          <w:szCs w:val="32"/>
          <w:lang w:val="en-US" w:eastAsia="zh-CN"/>
        </w:rPr>
        <w:t>101.85万元支付本年的费用导致、</w:t>
      </w:r>
      <w:r>
        <w:rPr>
          <w:rStyle w:val="16"/>
          <w:rFonts w:hint="eastAsia" w:ascii="仿宋" w:hAnsi="仿宋" w:eastAsia="仿宋"/>
          <w:bCs/>
          <w:color w:val="000000"/>
          <w:sz w:val="32"/>
          <w:szCs w:val="32"/>
          <w:lang w:eastAsia="zh-CN"/>
        </w:rPr>
        <w:t>突发</w:t>
      </w:r>
      <w:r>
        <w:rPr>
          <w:rStyle w:val="16"/>
          <w:rFonts w:hint="eastAsia" w:ascii="仿宋" w:hAnsi="仿宋" w:eastAsia="仿宋"/>
          <w:bCs/>
          <w:color w:val="000000"/>
          <w:sz w:val="32"/>
          <w:szCs w:val="32"/>
        </w:rPr>
        <w:t>公共卫生</w:t>
      </w:r>
      <w:r>
        <w:rPr>
          <w:rStyle w:val="16"/>
          <w:rFonts w:hint="eastAsia" w:ascii="仿宋" w:hAnsi="仿宋" w:eastAsia="仿宋"/>
          <w:bCs/>
          <w:color w:val="000000"/>
          <w:sz w:val="32"/>
          <w:szCs w:val="32"/>
          <w:lang w:eastAsia="zh-CN"/>
        </w:rPr>
        <w:t>事件应急处理（</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69.94</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lang w:eastAsia="zh-CN"/>
        </w:rPr>
        <w:t>其他</w:t>
      </w:r>
      <w:r>
        <w:rPr>
          <w:rStyle w:val="16"/>
          <w:rFonts w:hint="eastAsia" w:ascii="仿宋" w:hAnsi="仿宋" w:eastAsia="仿宋"/>
          <w:bCs/>
          <w:color w:val="000000"/>
          <w:sz w:val="32"/>
          <w:szCs w:val="32"/>
        </w:rPr>
        <w:t>公共卫生</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53.97</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rPr>
        <w:t>计划生育事务（款）其他计划生育事务支出</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267.99</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33.40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，决算数小于预算数原因是年底由于银行系统出现故障未能及时将一卡通资金支付到享受补助对象社保卡上；</w:t>
      </w:r>
      <w:r>
        <w:rPr>
          <w:rStyle w:val="16"/>
          <w:rFonts w:hint="eastAsia" w:ascii="仿宋" w:hAnsi="仿宋" w:eastAsia="仿宋"/>
          <w:bCs/>
          <w:color w:val="000000"/>
          <w:sz w:val="32"/>
          <w:szCs w:val="32"/>
        </w:rPr>
        <w:t>行政事业单位医疗（款）行政单位医疗</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20.43</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lang w:eastAsia="zh-CN"/>
        </w:rPr>
        <w:t>事业</w:t>
      </w:r>
      <w:r>
        <w:rPr>
          <w:rStyle w:val="16"/>
          <w:rFonts w:hint="eastAsia" w:ascii="仿宋" w:hAnsi="仿宋" w:eastAsia="仿宋"/>
          <w:bCs/>
          <w:color w:val="000000"/>
          <w:sz w:val="32"/>
          <w:szCs w:val="32"/>
        </w:rPr>
        <w:t>单位医疗</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4.48</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3.</w:t>
      </w:r>
      <w:r>
        <w:rPr>
          <w:rFonts w:hint="eastAsia" w:ascii="仿宋" w:hAnsi="仿宋" w:eastAsia="仿宋"/>
          <w:b/>
          <w:bCs/>
          <w:color w:val="000000"/>
          <w:sz w:val="32"/>
          <w:szCs w:val="32"/>
        </w:rPr>
        <w:t>农林水支出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巩固脱贫衔接乡村振兴</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社会发展（项）</w:t>
      </w:r>
      <w:r>
        <w:rPr>
          <w:rStyle w:val="16"/>
          <w:rFonts w:hint="eastAsia" w:ascii="仿宋" w:hAnsi="仿宋" w:eastAsia="仿宋"/>
          <w:b w:val="0"/>
          <w:bCs w:val="0"/>
          <w:color w:val="000000"/>
          <w:sz w:val="32"/>
          <w:szCs w:val="32"/>
          <w:lang w:eastAsia="zh-CN"/>
        </w:rPr>
        <w:t>支出决算为</w:t>
      </w:r>
      <w:r>
        <w:rPr>
          <w:rStyle w:val="16"/>
          <w:rFonts w:hint="eastAsia" w:ascii="仿宋" w:hAnsi="仿宋" w:eastAsia="仿宋"/>
          <w:b w:val="0"/>
          <w:bCs w:val="0"/>
          <w:color w:val="000000"/>
          <w:sz w:val="32"/>
          <w:szCs w:val="32"/>
          <w:lang w:val="en-US" w:eastAsia="zh-CN"/>
        </w:rPr>
        <w:t>1.29万元，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p>
    <w:p>
      <w:pPr>
        <w:pStyle w:val="6"/>
        <w:rPr>
          <w:rFonts w:ascii="仿宋" w:hAnsi="仿宋" w:eastAsia="仿宋"/>
          <w:b/>
          <w:color w:val="000000"/>
          <w:sz w:val="32"/>
          <w:szCs w:val="32"/>
        </w:rPr>
      </w:pPr>
      <w:r>
        <w:rPr>
          <w:rStyle w:val="16"/>
          <w:rFonts w:hint="eastAsia" w:ascii="仿宋" w:hAnsi="仿宋" w:eastAsia="仿宋"/>
          <w:b w:val="0"/>
          <w:bCs/>
          <w:color w:val="000000"/>
          <w:sz w:val="32"/>
          <w:szCs w:val="32"/>
          <w:lang w:val="en-US" w:eastAsia="zh-CN"/>
        </w:rPr>
        <w:t xml:space="preserve">    </w:t>
      </w:r>
      <w:r>
        <w:rPr>
          <w:rStyle w:val="16"/>
          <w:rFonts w:hint="eastAsia" w:ascii="仿宋" w:hAnsi="仿宋" w:eastAsia="仿宋"/>
          <w:b/>
          <w:bCs w:val="0"/>
          <w:color w:val="000000"/>
          <w:sz w:val="32"/>
          <w:szCs w:val="32"/>
          <w:lang w:val="en-US" w:eastAsia="zh-CN"/>
        </w:rPr>
        <w:t>4.</w:t>
      </w:r>
      <w:r>
        <w:rPr>
          <w:rFonts w:hint="eastAsia" w:ascii="仿宋" w:hAnsi="仿宋" w:eastAsia="仿宋"/>
          <w:b/>
          <w:bCs/>
          <w:color w:val="000000"/>
          <w:sz w:val="32"/>
          <w:szCs w:val="32"/>
        </w:rPr>
        <w:t>住房保障支出</w:t>
      </w:r>
      <w:r>
        <w:rPr>
          <w:rStyle w:val="16"/>
          <w:rFonts w:hint="eastAsia" w:ascii="仿宋" w:hAnsi="仿宋" w:eastAsia="仿宋"/>
          <w:bCs/>
          <w:color w:val="000000"/>
          <w:sz w:val="32"/>
          <w:szCs w:val="32"/>
        </w:rPr>
        <w:t>（类）住房改革支出（款）住房公积金</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49.13</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7"/>
          <w:color w:val="auto"/>
          <w:highlight w:val="none"/>
        </w:rPr>
      </w:pPr>
      <w:bookmarkStart w:id="52" w:name="_Toc15396608"/>
      <w:bookmarkStart w:id="53" w:name="_Toc15377214"/>
      <w:bookmarkStart w:id="54" w:name="_Toc12591"/>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52"/>
      <w:bookmarkEnd w:id="53"/>
      <w:bookmarkEnd w:id="54"/>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672.49</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600.8</w:t>
      </w:r>
      <w:r>
        <w:rPr>
          <w:rFonts w:hint="eastAsia" w:ascii="仿宋" w:hAnsi="仿宋" w:eastAsia="仿宋"/>
          <w:color w:val="auto"/>
          <w:sz w:val="32"/>
          <w:szCs w:val="32"/>
          <w:highlight w:val="none"/>
        </w:rPr>
        <w:t>万元，主要包括：基本工资、津贴补贴、奖金、绩效工资、机关事业单位基本养老保险缴费、其他社会保障缴费、其他工资福利支出、抚恤金、生活补助、奖励金、住房公积金、其他对个人和家庭的补助支出等。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71.69</w:t>
      </w:r>
      <w:r>
        <w:rPr>
          <w:rFonts w:hint="eastAsia" w:ascii="仿宋" w:hAnsi="仿宋" w:eastAsia="仿宋"/>
          <w:color w:val="auto"/>
          <w:sz w:val="32"/>
          <w:szCs w:val="32"/>
          <w:highlight w:val="none"/>
        </w:rPr>
        <w:t>万元，主要包括：办公费、印刷费、手续费、水费、电费、邮电费、差旅费、维修（护）费、公务接待费、其他交通费。</w:t>
      </w:r>
    </w:p>
    <w:p>
      <w:pPr>
        <w:spacing w:line="600" w:lineRule="exact"/>
        <w:ind w:firstLine="640"/>
        <w:outlineLvl w:val="1"/>
        <w:rPr>
          <w:rStyle w:val="27"/>
          <w:rFonts w:ascii="黑体" w:hAnsi="黑体" w:eastAsia="黑体"/>
          <w:b w:val="0"/>
          <w:color w:val="auto"/>
          <w:highlight w:val="none"/>
        </w:rPr>
      </w:pPr>
      <w:bookmarkStart w:id="55" w:name="_Toc15396609"/>
      <w:bookmarkStart w:id="56" w:name="_Toc15377215"/>
      <w:bookmarkStart w:id="57" w:name="_Toc20614"/>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5377216"/>
      <w:bookmarkStart w:id="59" w:name="_Toc15326"/>
      <w:r>
        <w:rPr>
          <w:rFonts w:hint="eastAsia" w:ascii="仿宋" w:hAnsi="仿宋" w:eastAsia="仿宋"/>
          <w:b/>
          <w:color w:val="auto"/>
          <w:sz w:val="32"/>
          <w:szCs w:val="32"/>
          <w:highlight w:val="none"/>
        </w:rPr>
        <w:t>（一）“三公”经费财政拨款支出决算总体情况说明</w:t>
      </w:r>
      <w:bookmarkEnd w:id="58"/>
      <w:bookmarkEnd w:id="59"/>
    </w:p>
    <w:p>
      <w:pPr>
        <w:spacing w:line="600" w:lineRule="exact"/>
        <w:ind w:firstLine="640"/>
        <w:rPr>
          <w:rFonts w:hint="eastAsia" w:ascii="仿宋" w:hAnsi="仿宋" w:eastAsia="仿宋"/>
          <w:b/>
          <w:color w:val="FF0000"/>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63.07</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,决算数小于预算数</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eastAsia="zh-CN"/>
        </w:rPr>
        <w:t>严格执行中央八项规定，厉行节约，控制公务接待费用。</w:t>
      </w:r>
    </w:p>
    <w:p>
      <w:pPr>
        <w:spacing w:line="600" w:lineRule="exact"/>
        <w:ind w:firstLine="640"/>
        <w:outlineLvl w:val="2"/>
        <w:rPr>
          <w:rFonts w:ascii="仿宋" w:hAnsi="仿宋" w:eastAsia="仿宋"/>
          <w:b/>
          <w:color w:val="auto"/>
          <w:sz w:val="32"/>
          <w:szCs w:val="32"/>
          <w:highlight w:val="none"/>
        </w:rPr>
      </w:pPr>
      <w:bookmarkStart w:id="60" w:name="_Toc15377217"/>
      <w:bookmarkStart w:id="61" w:name="_Toc7535"/>
      <w:r>
        <w:rPr>
          <w:rFonts w:hint="eastAsia" w:ascii="仿宋" w:hAnsi="仿宋" w:eastAsia="仿宋"/>
          <w:b/>
          <w:color w:val="auto"/>
          <w:sz w:val="32"/>
          <w:szCs w:val="32"/>
          <w:highlight w:val="none"/>
        </w:rPr>
        <w:t>（二）“三公”经费财政拨款支出决算具体情况说明</w:t>
      </w:r>
      <w:bookmarkEnd w:id="60"/>
      <w:bookmarkEnd w:id="61"/>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年“三公”经费财政拨款支出决算中，公务接待费支出决算</w:t>
      </w:r>
      <w:r>
        <w:rPr>
          <w:rFonts w:hint="eastAsia" w:ascii="仿宋" w:hAnsi="仿宋" w:eastAsia="仿宋"/>
          <w:color w:val="auto"/>
          <w:sz w:val="32"/>
          <w:szCs w:val="32"/>
          <w:highlight w:val="none"/>
          <w:lang w:val="en-US" w:eastAsia="zh-CN"/>
        </w:rPr>
        <w:t>1.23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355340"/>
            <wp:effectExtent l="5080" t="4445" r="2032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hint="eastAsia" w:ascii="仿宋" w:hAnsi="仿宋" w:eastAsia="仿宋"/>
          <w:color w:val="auto"/>
          <w:sz w:val="32"/>
          <w:szCs w:val="32"/>
          <w:highlight w:val="none"/>
        </w:rPr>
      </w:pPr>
    </w:p>
    <w:p>
      <w:pPr>
        <w:spacing w:line="600" w:lineRule="exact"/>
        <w:jc w:val="center"/>
        <w:outlineLvl w:val="2"/>
        <w:rPr>
          <w:rFonts w:ascii="仿宋" w:hAnsi="仿宋" w:eastAsia="仿宋"/>
          <w:color w:val="auto"/>
          <w:sz w:val="32"/>
          <w:szCs w:val="32"/>
          <w:highlight w:val="none"/>
        </w:rPr>
      </w:pPr>
      <w:bookmarkStart w:id="62" w:name="_Toc20186"/>
      <w:r>
        <w:rPr>
          <w:rFonts w:hint="eastAsia" w:ascii="仿宋" w:hAnsi="仿宋" w:eastAsia="仿宋"/>
          <w:color w:val="auto"/>
          <w:sz w:val="32"/>
          <w:szCs w:val="32"/>
          <w:highlight w:val="none"/>
        </w:rPr>
        <w:t>（图7：“三公”经费财政拨款支出结构）（饼状图）</w:t>
      </w:r>
      <w:bookmarkEnd w:id="62"/>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公务接待费支出</w:t>
      </w:r>
      <w:r>
        <w:rPr>
          <w:rFonts w:hint="eastAsia" w:ascii="仿宋_GB2312" w:eastAsia="仿宋_GB2312"/>
          <w:b w:val="0"/>
          <w:bCs/>
          <w:color w:val="auto"/>
          <w:sz w:val="32"/>
          <w:szCs w:val="32"/>
          <w:highlight w:val="none"/>
          <w:lang w:val="en-US" w:eastAsia="zh-CN"/>
        </w:rPr>
        <w:t>1.23</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63.07</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0.64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34.22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eastAsia="zh-CN"/>
        </w:rPr>
        <w:t>严格执行中央八项规定，厉行节约，控制公务接待费用</w:t>
      </w:r>
      <w:r>
        <w:rPr>
          <w:rFonts w:hint="eastAsia" w:ascii="仿宋_GB2312" w:eastAsia="仿宋_GB2312"/>
          <w:color w:val="auto"/>
          <w:sz w:val="32"/>
          <w:szCs w:val="32"/>
          <w:highlight w:val="none"/>
        </w:rPr>
        <w:t>。其中：</w:t>
      </w:r>
    </w:p>
    <w:p>
      <w:p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1.23</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158</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1.23</w:t>
      </w:r>
      <w:r>
        <w:rPr>
          <w:rFonts w:hint="eastAsia" w:ascii="仿宋_GB2312" w:eastAsia="仿宋_GB2312"/>
          <w:color w:val="auto"/>
          <w:sz w:val="32"/>
          <w:szCs w:val="32"/>
          <w:highlight w:val="none"/>
        </w:rPr>
        <w:t>万元，具体内容</w:t>
      </w:r>
      <w:r>
        <w:rPr>
          <w:rFonts w:hint="eastAsia" w:ascii="仿宋_GB2312" w:eastAsia="仿宋_GB2312"/>
          <w:color w:val="000000"/>
          <w:sz w:val="32"/>
          <w:szCs w:val="32"/>
        </w:rPr>
        <w:t>上级部门来人检查和指导工作接待所发生餐费支出</w:t>
      </w:r>
      <w:r>
        <w:rPr>
          <w:rFonts w:hint="eastAsia" w:ascii="仿宋_GB2312" w:eastAsia="仿宋_GB2312"/>
          <w:color w:val="auto"/>
          <w:sz w:val="32"/>
          <w:szCs w:val="32"/>
          <w:highlight w:val="none"/>
        </w:rPr>
        <w:t>。</w:t>
      </w:r>
      <w:bookmarkStart w:id="63" w:name="_Toc15396610"/>
      <w:bookmarkStart w:id="64" w:name="_Toc15377218"/>
    </w:p>
    <w:p>
      <w:pPr>
        <w:spacing w:line="600" w:lineRule="exact"/>
        <w:ind w:firstLine="640"/>
        <w:outlineLvl w:val="1"/>
        <w:rPr>
          <w:rStyle w:val="27"/>
          <w:rFonts w:ascii="黑体" w:hAnsi="黑体" w:eastAsia="黑体"/>
          <w:color w:val="auto"/>
          <w:highlight w:val="none"/>
        </w:rPr>
      </w:pPr>
      <w:bookmarkStart w:id="65" w:name="_Toc13681"/>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63"/>
      <w:bookmarkEnd w:id="64"/>
      <w:bookmarkEnd w:id="6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7"/>
          <w:rFonts w:ascii="黑体" w:hAnsi="黑体" w:eastAsia="黑体"/>
          <w:b w:val="0"/>
          <w:color w:val="auto"/>
          <w:highlight w:val="none"/>
        </w:rPr>
      </w:pPr>
      <w:bookmarkStart w:id="66" w:name="_Toc15396611"/>
      <w:bookmarkStart w:id="67" w:name="_Toc15377219"/>
      <w:bookmarkStart w:id="68" w:name="_Toc22934"/>
      <w:r>
        <w:rPr>
          <w:rStyle w:val="27"/>
          <w:rFonts w:hint="eastAsia" w:ascii="黑体" w:hAnsi="黑体" w:eastAsia="黑体"/>
          <w:b w:val="0"/>
          <w:color w:val="auto"/>
          <w:highlight w:val="none"/>
        </w:rPr>
        <w:t>国有资本经营预算支出决算情况说明</w:t>
      </w:r>
      <w:bookmarkEnd w:id="66"/>
      <w:bookmarkEnd w:id="67"/>
      <w:bookmarkEnd w:id="68"/>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7"/>
          <w:rFonts w:hint="eastAsia" w:ascii="黑体" w:hAnsi="黑体" w:eastAsia="黑体"/>
          <w:b w:val="0"/>
          <w:color w:val="auto"/>
          <w:highlight w:val="none"/>
        </w:rPr>
      </w:pPr>
      <w:bookmarkStart w:id="69" w:name="_Toc15396612"/>
      <w:bookmarkStart w:id="70" w:name="_Toc15377221"/>
      <w:bookmarkStart w:id="71" w:name="_Toc19483"/>
      <w:r>
        <w:rPr>
          <w:rStyle w:val="27"/>
          <w:rFonts w:hint="eastAsia" w:ascii="黑体" w:hAnsi="黑体" w:eastAsia="黑体"/>
          <w:b w:val="0"/>
          <w:color w:val="auto"/>
          <w:highlight w:val="none"/>
        </w:rPr>
        <w:t>其他重要事项的情况说明</w:t>
      </w:r>
      <w:bookmarkEnd w:id="69"/>
      <w:bookmarkEnd w:id="70"/>
      <w:bookmarkEnd w:id="71"/>
    </w:p>
    <w:p>
      <w:pPr>
        <w:spacing w:line="600" w:lineRule="exact"/>
        <w:ind w:firstLine="643" w:firstLineChars="200"/>
        <w:outlineLvl w:val="2"/>
        <w:rPr>
          <w:rFonts w:ascii="仿宋" w:hAnsi="仿宋" w:eastAsia="仿宋"/>
          <w:color w:val="auto"/>
          <w:sz w:val="32"/>
          <w:szCs w:val="32"/>
          <w:highlight w:val="none"/>
        </w:rPr>
      </w:pPr>
      <w:bookmarkStart w:id="72" w:name="_Toc15377222"/>
      <w:bookmarkStart w:id="73" w:name="_Toc25508"/>
      <w:r>
        <w:rPr>
          <w:rFonts w:hint="eastAsia" w:ascii="仿宋" w:hAnsi="仿宋" w:eastAsia="仿宋"/>
          <w:b/>
          <w:color w:val="auto"/>
          <w:sz w:val="32"/>
          <w:szCs w:val="32"/>
          <w:highlight w:val="none"/>
        </w:rPr>
        <w:t>（一）机关运行经费支出情况</w:t>
      </w:r>
      <w:bookmarkEnd w:id="72"/>
      <w:bookmarkEnd w:id="73"/>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卫生健康局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71.69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5.06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7.59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发放公务交通补贴支出增加了</w:t>
      </w:r>
      <w:r>
        <w:rPr>
          <w:rFonts w:hint="eastAsia" w:ascii="仿宋_GB2312" w:eastAsia="仿宋_GB2312"/>
          <w:color w:val="auto"/>
          <w:sz w:val="32"/>
          <w:szCs w:val="32"/>
          <w:highlight w:val="none"/>
          <w:lang w:val="en-US" w:eastAsia="zh-CN"/>
        </w:rPr>
        <w:t>5.06万元。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15377223"/>
      <w:bookmarkStart w:id="75" w:name="_Toc27629"/>
      <w:r>
        <w:rPr>
          <w:rFonts w:hint="eastAsia" w:ascii="仿宋" w:hAnsi="仿宋" w:eastAsia="仿宋"/>
          <w:b/>
          <w:color w:val="auto"/>
          <w:sz w:val="32"/>
          <w:szCs w:val="32"/>
          <w:highlight w:val="none"/>
        </w:rPr>
        <w:t>（二）政府采购支出情况</w:t>
      </w:r>
      <w:bookmarkEnd w:id="74"/>
      <w:bookmarkEnd w:id="75"/>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无政府采购</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6" w:name="_Toc15377224"/>
      <w:bookmarkStart w:id="77" w:name="_Toc20948"/>
      <w:r>
        <w:rPr>
          <w:rFonts w:hint="eastAsia" w:ascii="仿宋" w:hAnsi="仿宋" w:eastAsia="仿宋"/>
          <w:b/>
          <w:color w:val="auto"/>
          <w:sz w:val="32"/>
          <w:szCs w:val="32"/>
          <w:highlight w:val="none"/>
        </w:rPr>
        <w:t>（三）国有资产占有使用情况</w:t>
      </w:r>
      <w:bookmarkEnd w:id="76"/>
      <w:bookmarkEnd w:id="77"/>
    </w:p>
    <w:p>
      <w:pPr>
        <w:autoSpaceDE w:val="0"/>
        <w:autoSpaceDN w:val="0"/>
        <w:adjustRightInd w:val="0"/>
        <w:spacing w:line="600" w:lineRule="exact"/>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　　2022年，无国有资产占有使用。</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78" w:name="_Toc8581"/>
      <w:r>
        <w:rPr>
          <w:rFonts w:hint="eastAsia" w:ascii="仿宋" w:hAnsi="仿宋" w:eastAsia="仿宋"/>
          <w:b/>
          <w:color w:val="auto"/>
          <w:sz w:val="32"/>
          <w:szCs w:val="32"/>
          <w:highlight w:val="none"/>
        </w:rPr>
        <w:t>（四）预算绩效管理情况</w:t>
      </w:r>
      <w:bookmarkEnd w:id="78"/>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b w:val="0"/>
          <w:bCs w:val="0"/>
          <w:kern w:val="0"/>
          <w:sz w:val="32"/>
          <w:szCs w:val="32"/>
          <w:lang w:val="en-US" w:eastAsia="zh-CN" w:bidi="ar-SA"/>
        </w:rPr>
        <w:t>曾家养生苑（集中隔离观察点）运行经费项目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6"/>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6"/>
          <w:rFonts w:ascii="黑体" w:hAnsi="黑体" w:eastAsia="黑体"/>
          <w:b w:val="0"/>
          <w:color w:val="auto"/>
          <w:highlight w:val="none"/>
        </w:rPr>
      </w:pPr>
      <w:bookmarkStart w:id="79" w:name="_Toc15377225"/>
      <w:bookmarkStart w:id="80" w:name="_Toc15396613"/>
      <w:bookmarkStart w:id="81" w:name="_Toc30004"/>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79"/>
      <w:bookmarkEnd w:id="80"/>
      <w:bookmarkEnd w:id="81"/>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银行存款利息</w:t>
      </w:r>
      <w:r>
        <w:rPr>
          <w:rFonts w:hint="eastAsia" w:ascii="仿宋_GB2312" w:eastAsia="仿宋_GB2312"/>
          <w:sz w:val="32"/>
          <w:szCs w:val="32"/>
        </w:rPr>
        <w:t>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社会保障和就业（类）行政事业单位养老支出（款）机关事业单位职业年金缴费支出（项）：指反映机关事业单位实施养老保险制度由单位实际缴纳的职业年金支出。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hAnsi="Times New Roman" w:eastAsia="仿宋_GB2312" w:cs="Times New Roman"/>
          <w:color w:val="000000"/>
          <w:kern w:val="2"/>
          <w:sz w:val="32"/>
          <w:szCs w:val="32"/>
          <w:lang w:val="en-US" w:eastAsia="zh-CN" w:bidi="ar-SA"/>
        </w:rPr>
        <w:t>.社会保障和就业（类）抚恤（款）死亡抚恤支出（项）：指反映按规定用于烈士和牺牲、病故人员家属的一次性和定期抚恤金以及丧葬补助费。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卫生健康（类）卫生健康管理事务（款）行政运行（项）：指反映行政单位（包括实行公务员管理的事业单位）的基本支出。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卫生健康（类）卫生健康管理事务（款）其他卫生健康管理事务支出（项）：反映除上述项目以外其他用于卫生健康管理事务方面的支出</w:t>
      </w:r>
      <w:r>
        <w:rPr>
          <w:rFonts w:hint="eastAsia" w:ascii="仿宋_GB2312" w:eastAsia="仿宋_GB2312" w:cs="Times New Roman"/>
          <w:color w:val="000000"/>
          <w:kern w:val="2"/>
          <w:sz w:val="32"/>
          <w:szCs w:val="32"/>
          <w:lang w:val="en-US" w:eastAsia="zh-CN" w:bidi="ar-SA"/>
        </w:rPr>
        <w:t>。</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卫生健康（类）公共卫生（款）基本公共卫生服务（项）：指反映基本公共卫生服务支出。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卫生健康（类）公共卫生（款）重大公共卫生服务（项）：指反映重大疾病、重大传染病预防控制等重大公共卫生服务项目支出。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卫生健康（类）计划生育事务（款）其他计划生育事务支出（项）：指反映除上述项目以外其他用于计划生育管理事务方面的支出。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卫生健康（类）行政事业单位医疗（款）行政单位医疗（项）：指反映财政部门安排的行政单位基本医疗保险缴费经费。</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hAnsi="Times New Roman" w:eastAsia="仿宋_GB2312" w:cs="Times New Roman"/>
          <w:color w:val="000000"/>
          <w:kern w:val="2"/>
          <w:sz w:val="32"/>
          <w:szCs w:val="32"/>
          <w:lang w:val="en-US" w:eastAsia="zh-CN" w:bidi="ar-SA"/>
        </w:rPr>
        <w:t>扶贫（款）其他扶贫支出（项）：指反映除上述项目以外其他用于扶贫方面的支出。</w:t>
      </w:r>
    </w:p>
    <w:p>
      <w:pPr>
        <w:ind w:firstLine="640" w:firstLineChars="200"/>
        <w:rPr>
          <w:rFonts w:ascii="仿宋_GB2312" w:eastAsia="仿宋_GB2312"/>
          <w:color w:val="000000"/>
          <w:sz w:val="32"/>
          <w:szCs w:val="32"/>
        </w:rPr>
      </w:pPr>
      <w:r>
        <w:rPr>
          <w:rFonts w:hint="eastAsia" w:ascii="仿宋_GB2312" w:hAnsi="Times New Roman" w:eastAsia="仿宋_GB2312" w:cs="Times New Roman"/>
          <w:color w:val="000000"/>
          <w:kern w:val="2"/>
          <w:sz w:val="32"/>
          <w:szCs w:val="32"/>
          <w:lang w:val="en-US" w:eastAsia="zh-CN" w:bidi="ar-SA"/>
        </w:rPr>
        <w:t>17.住房保障（类）住房改革支出（款）住房公积金（项）：</w:t>
      </w:r>
      <w:r>
        <w:rPr>
          <w:rFonts w:hint="eastAsia" w:ascii="仿宋_GB2312" w:eastAsia="仿宋_GB2312"/>
          <w:color w:val="000000"/>
          <w:sz w:val="32"/>
          <w:szCs w:val="32"/>
          <w:lang w:eastAsia="zh-CN"/>
        </w:rPr>
        <w:t>指反映行政事业单位按人力资源和社会保障部、财政部规定的基本工资和津贴补贴以及规定比例为职工缴纳的住房公积金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黑体" w:hAnsi="黑体" w:eastAsia="黑体" w:cs="黑体"/>
          <w:color w:val="auto"/>
          <w:sz w:val="32"/>
          <w:szCs w:val="32"/>
          <w:highlight w:val="none"/>
        </w:rPr>
      </w:pPr>
      <w:bookmarkStart w:id="82" w:name="_Toc15377226"/>
    </w:p>
    <w:p>
      <w:pPr>
        <w:spacing w:line="600" w:lineRule="exact"/>
        <w:jc w:val="both"/>
        <w:outlineLvl w:val="9"/>
        <w:rPr>
          <w:rFonts w:hint="eastAsia" w:ascii="黑体" w:hAnsi="黑体" w:eastAsia="黑体"/>
          <w:color w:val="auto"/>
          <w:sz w:val="44"/>
          <w:szCs w:val="44"/>
          <w:highlight w:val="none"/>
        </w:rPr>
      </w:pPr>
      <w:bookmarkStart w:id="83" w:name="_Toc15396618"/>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numPr>
          <w:ilvl w:val="0"/>
          <w:numId w:val="5"/>
        </w:numPr>
        <w:spacing w:line="600" w:lineRule="exact"/>
        <w:ind w:left="0" w:leftChars="0" w:firstLine="660" w:firstLineChars="150"/>
        <w:jc w:val="center"/>
        <w:outlineLvl w:val="0"/>
        <w:rPr>
          <w:rStyle w:val="26"/>
          <w:rFonts w:hint="eastAsia" w:ascii="黑体" w:hAnsi="黑体" w:eastAsia="黑体"/>
          <w:b w:val="0"/>
          <w:color w:val="auto"/>
          <w:highlight w:val="none"/>
        </w:rPr>
      </w:pPr>
      <w:bookmarkStart w:id="84" w:name="_Toc15396614"/>
      <w:bookmarkStart w:id="85" w:name="_Toc7444"/>
      <w:r>
        <w:rPr>
          <w:rStyle w:val="26"/>
          <w:rFonts w:hint="eastAsia" w:ascii="黑体" w:hAnsi="黑体" w:eastAsia="黑体"/>
          <w:b w:val="0"/>
          <w:color w:val="auto"/>
          <w:highlight w:val="none"/>
        </w:rPr>
        <w:t>附件</w:t>
      </w:r>
      <w:bookmarkEnd w:id="84"/>
      <w:bookmarkEnd w:id="85"/>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1979"/>
        <w:gridCol w:w="1734"/>
        <w:gridCol w:w="2212"/>
        <w:gridCol w:w="515"/>
        <w:gridCol w:w="1645"/>
        <w:gridCol w:w="756"/>
        <w:gridCol w:w="1079"/>
        <w:gridCol w:w="576"/>
        <w:gridCol w:w="453"/>
        <w:gridCol w:w="2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lang w:eastAsia="zh-CN"/>
              </w:rPr>
            </w:pPr>
            <w:r>
              <w:rPr>
                <w:rFonts w:ascii="宋体" w:hAnsi="宋体" w:eastAsia="宋体" w:cs="宋体"/>
                <w:i w:val="0"/>
                <w:iCs w:val="0"/>
                <w:color w:val="000000"/>
                <w:kern w:val="0"/>
                <w:sz w:val="18"/>
                <w:szCs w:val="18"/>
                <w:u w:val="none"/>
                <w:lang w:val="en-US" w:eastAsia="zh-CN" w:bidi="ar"/>
              </w:rPr>
              <w:t>严格执行相关政策，保障</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严格执行</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相关政策，保障工资及时、足额发放或社保及时、足额缴纳，预算编制科学合理，减少结余资金</w:t>
            </w:r>
            <w:r>
              <w:rPr>
                <w:rFonts w:hint="eastAsia" w:ascii="宋体" w:hAnsi="宋体" w:cs="宋体"/>
                <w:i w:val="0"/>
                <w:iCs w:val="0"/>
                <w:color w:val="000000"/>
                <w:kern w:val="0"/>
                <w:sz w:val="18"/>
                <w:szCs w:val="18"/>
                <w:u w:val="none"/>
                <w:lang w:val="en-US" w:eastAsia="zh-CN" w:bidi="ar"/>
              </w:rPr>
              <w:t>，</w:t>
            </w:r>
            <w:r>
              <w:rPr>
                <w:rFonts w:hint="eastAsia" w:ascii="微软雅黑" w:hAnsi="微软雅黑" w:eastAsia="微软雅黑" w:cs="微软雅黑"/>
                <w:i/>
                <w:iCs/>
                <w:color w:val="000000"/>
                <w:sz w:val="16"/>
                <w:szCs w:val="16"/>
                <w:u w:val="none"/>
                <w:lang w:eastAsia="zh-CN"/>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由于当年有职工于</w:t>
            </w:r>
            <w:r>
              <w:rPr>
                <w:rFonts w:hint="eastAsia" w:ascii="黑体" w:hAnsi="黑体" w:eastAsia="黑体" w:cs="黑体"/>
                <w:i/>
                <w:iCs/>
                <w:color w:val="000000"/>
                <w:sz w:val="18"/>
                <w:szCs w:val="18"/>
                <w:u w:val="none"/>
                <w:lang w:val="en-US" w:eastAsia="zh-CN"/>
              </w:rPr>
              <w:t>9月</w:t>
            </w:r>
            <w:r>
              <w:rPr>
                <w:rFonts w:hint="eastAsia" w:ascii="黑体" w:hAnsi="黑体" w:eastAsia="黑体" w:cs="黑体"/>
                <w:i/>
                <w:iCs/>
                <w:color w:val="000000"/>
                <w:sz w:val="18"/>
                <w:szCs w:val="18"/>
                <w:u w:val="none"/>
                <w:lang w:eastAsia="zh-CN"/>
              </w:rPr>
              <w:t>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sz w:val="18"/>
                <w:szCs w:val="18"/>
                <w:u w:val="none"/>
                <w:lang w:eastAsia="zh-CN"/>
              </w:rPr>
              <w:t>由于当年有职工于</w:t>
            </w:r>
            <w:r>
              <w:rPr>
                <w:rFonts w:hint="eastAsia" w:ascii="黑体" w:hAnsi="黑体" w:eastAsia="黑体" w:cs="黑体"/>
                <w:i/>
                <w:iCs/>
                <w:color w:val="000000"/>
                <w:sz w:val="18"/>
                <w:szCs w:val="18"/>
                <w:u w:val="none"/>
                <w:lang w:val="en-US" w:eastAsia="zh-CN"/>
              </w:rPr>
              <w:t>9月</w:t>
            </w:r>
            <w:r>
              <w:rPr>
                <w:rFonts w:hint="eastAsia" w:ascii="黑体" w:hAnsi="黑体" w:eastAsia="黑体" w:cs="黑体"/>
                <w:i/>
                <w:iCs/>
                <w:color w:val="000000"/>
                <w:sz w:val="18"/>
                <w:szCs w:val="18"/>
                <w:u w:val="none"/>
                <w:lang w:eastAsia="zh-CN"/>
              </w:rPr>
              <w:t>退休，故资金未执行完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严格执行相关政策，保障</w:t>
            </w:r>
            <w:r>
              <w:rPr>
                <w:rFonts w:hint="eastAsia" w:ascii="宋体" w:hAnsi="宋体" w:cs="宋体"/>
                <w:i w:val="0"/>
                <w:iCs w:val="0"/>
                <w:color w:val="000000"/>
                <w:kern w:val="0"/>
                <w:sz w:val="18"/>
                <w:szCs w:val="18"/>
                <w:u w:val="none"/>
                <w:lang w:val="en-US" w:eastAsia="zh-CN" w:bidi="ar"/>
              </w:rPr>
              <w:t>了职工</w:t>
            </w:r>
            <w:r>
              <w:rPr>
                <w:rFonts w:ascii="宋体" w:hAnsi="宋体" w:eastAsia="宋体" w:cs="宋体"/>
                <w:i w:val="0"/>
                <w:iCs w:val="0"/>
                <w:color w:val="000000"/>
                <w:kern w:val="0"/>
                <w:sz w:val="18"/>
                <w:szCs w:val="18"/>
                <w:u w:val="none"/>
                <w:lang w:val="en-US" w:eastAsia="zh-CN" w:bidi="ar"/>
              </w:rPr>
              <w:t>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r>
              <w:rPr>
                <w:rFonts w:hint="eastAsia" w:ascii="微软雅黑" w:hAnsi="微软雅黑" w:eastAsia="微软雅黑" w:cs="微软雅黑"/>
                <w:i/>
                <w:iCs/>
                <w:color w:val="000000"/>
                <w:sz w:val="16"/>
                <w:szCs w:val="16"/>
                <w:u w:val="none"/>
                <w:lang w:eastAsia="zh-CN"/>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29.98</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９月退休１人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29.98</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黑体" w:hAnsi="黑体" w:eastAsia="黑体" w:cs="黑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51081222R000000334392-村医补助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53.50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53.50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257.10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266.78</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257.10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266.78</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48.14</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48.14</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.9月退休1人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9月退休1人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39.41</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98.54%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39.41</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98.54%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10.61</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r>
              <w:rPr>
                <w:rFonts w:hint="eastAsia" w:ascii="黑体" w:hAnsi="黑体" w:eastAsia="黑体" w:cs="黑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0.88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财务负责人：迥密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51081222R000005538624-交通补助及遗属调标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51081222R000005935329-乡村医生养老保障补助资金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w:t>
            </w:r>
            <w:r>
              <w:rPr>
                <w:rFonts w:hint="eastAsia" w:ascii="宋体" w:hAnsi="宋体" w:eastAsia="宋体" w:cs="宋体"/>
                <w:i w:val="0"/>
                <w:iCs w:val="0"/>
                <w:color w:val="000000"/>
                <w:kern w:val="0"/>
                <w:sz w:val="18"/>
                <w:szCs w:val="18"/>
                <w:u w:val="none"/>
                <w:lang w:val="en-US" w:eastAsia="zh-CN" w:bidi="ar"/>
              </w:rPr>
              <w:t>补助</w:t>
            </w:r>
            <w:r>
              <w:rPr>
                <w:rFonts w:ascii="宋体" w:hAnsi="宋体" w:eastAsia="宋体" w:cs="宋体"/>
                <w:i w:val="0"/>
                <w:iCs w:val="0"/>
                <w:color w:val="000000"/>
                <w:kern w:val="0"/>
                <w:sz w:val="18"/>
                <w:szCs w:val="18"/>
                <w:u w:val="none"/>
                <w:lang w:val="en-US" w:eastAsia="zh-CN" w:bidi="ar"/>
              </w:rPr>
              <w:t>及时、足额发放或社保及时、足额缴纳，预算编制科学合理，减少结余资金。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w:t>
            </w:r>
            <w:r>
              <w:rPr>
                <w:rFonts w:hint="eastAsia" w:ascii="宋体" w:hAnsi="宋体" w:cs="宋体"/>
                <w:i w:val="0"/>
                <w:iCs w:val="0"/>
                <w:color w:val="000000"/>
                <w:kern w:val="0"/>
                <w:sz w:val="18"/>
                <w:szCs w:val="18"/>
                <w:u w:val="none"/>
                <w:lang w:val="en-US" w:eastAsia="zh-CN" w:bidi="ar"/>
              </w:rPr>
              <w:t>补助</w:t>
            </w:r>
            <w:r>
              <w:rPr>
                <w:rFonts w:ascii="宋体" w:hAnsi="宋体" w:eastAsia="宋体" w:cs="宋体"/>
                <w:i w:val="0"/>
                <w:iCs w:val="0"/>
                <w:color w:val="000000"/>
                <w:kern w:val="0"/>
                <w:sz w:val="18"/>
                <w:szCs w:val="18"/>
                <w:u w:val="none"/>
                <w:lang w:val="en-US" w:eastAsia="zh-CN" w:bidi="ar"/>
              </w:rPr>
              <w:t>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105.48</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105.48</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51081222R000005942554-乡镇卫生院40%绩效工资保险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146.72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146.72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51081222T000005385695-乡镇卫生院绩效工资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51081222T000005538239-综合医院定额补助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w:t>
            </w:r>
            <w:r>
              <w:rPr>
                <w:rFonts w:hint="eastAsia" w:ascii="宋体" w:hAnsi="宋体" w:eastAsia="宋体" w:cs="宋体"/>
                <w:i w:val="0"/>
                <w:iCs w:val="0"/>
                <w:color w:val="000000"/>
                <w:kern w:val="0"/>
                <w:sz w:val="18"/>
                <w:szCs w:val="18"/>
                <w:u w:val="none"/>
                <w:lang w:val="en-US" w:eastAsia="zh-CN" w:bidi="ar"/>
              </w:rPr>
              <w:t>金</w:t>
            </w:r>
            <w:r>
              <w:rPr>
                <w:rFonts w:ascii="宋体" w:hAnsi="宋体" w:eastAsia="宋体" w:cs="宋体"/>
                <w:i w:val="0"/>
                <w:iCs w:val="0"/>
                <w:color w:val="000000"/>
                <w:kern w:val="0"/>
                <w:sz w:val="18"/>
                <w:szCs w:val="18"/>
                <w:u w:val="none"/>
                <w:lang w:val="en-US" w:eastAsia="zh-CN" w:bidi="ar"/>
              </w:rPr>
              <w:t>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w:t>
            </w:r>
            <w:r>
              <w:rPr>
                <w:rFonts w:hint="eastAsia" w:ascii="宋体" w:hAnsi="宋体" w:cs="宋体"/>
                <w:i w:val="0"/>
                <w:iCs w:val="0"/>
                <w:color w:val="000000"/>
                <w:kern w:val="0"/>
                <w:sz w:val="18"/>
                <w:szCs w:val="18"/>
                <w:u w:val="none"/>
                <w:lang w:val="en-US" w:eastAsia="zh-CN" w:bidi="ar"/>
              </w:rPr>
              <w:t>金</w:t>
            </w:r>
            <w:r>
              <w:rPr>
                <w:rFonts w:ascii="宋体" w:hAnsi="宋体" w:eastAsia="宋体" w:cs="宋体"/>
                <w:i w:val="0"/>
                <w:iCs w:val="0"/>
                <w:color w:val="000000"/>
                <w:kern w:val="0"/>
                <w:sz w:val="18"/>
                <w:szCs w:val="18"/>
                <w:u w:val="none"/>
                <w:lang w:val="en-US" w:eastAsia="zh-CN" w:bidi="ar"/>
              </w:rPr>
              <w:t>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51081222T000005538485-村医补助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w:t>
            </w:r>
            <w:r>
              <w:rPr>
                <w:rFonts w:hint="eastAsia" w:ascii="宋体" w:hAnsi="宋体" w:eastAsia="宋体" w:cs="宋体"/>
                <w:i w:val="0"/>
                <w:iCs w:val="0"/>
                <w:color w:val="000000"/>
                <w:kern w:val="0"/>
                <w:sz w:val="18"/>
                <w:szCs w:val="18"/>
                <w:u w:val="none"/>
                <w:lang w:val="en-US" w:eastAsia="zh-CN" w:bidi="ar"/>
              </w:rPr>
              <w:t>金</w:t>
            </w:r>
            <w:r>
              <w:rPr>
                <w:rFonts w:ascii="宋体" w:hAnsi="宋体" w:eastAsia="宋体" w:cs="宋体"/>
                <w:i w:val="0"/>
                <w:iCs w:val="0"/>
                <w:color w:val="000000"/>
                <w:kern w:val="0"/>
                <w:sz w:val="18"/>
                <w:szCs w:val="18"/>
                <w:u w:val="none"/>
                <w:lang w:val="en-US" w:eastAsia="zh-CN" w:bidi="ar"/>
              </w:rPr>
              <w:t>及时发放、足额发放，预算编制科学合理，减少结余资金</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w:t>
            </w:r>
            <w:r>
              <w:rPr>
                <w:rFonts w:hint="eastAsia" w:ascii="宋体" w:hAnsi="宋体" w:eastAsia="宋体" w:cs="宋体"/>
                <w:i w:val="0"/>
                <w:iCs w:val="0"/>
                <w:color w:val="000000"/>
                <w:kern w:val="0"/>
                <w:sz w:val="18"/>
                <w:szCs w:val="18"/>
                <w:u w:val="none"/>
                <w:lang w:val="en-US" w:eastAsia="zh-CN" w:bidi="ar"/>
              </w:rPr>
              <w:t>金</w:t>
            </w:r>
            <w:r>
              <w:rPr>
                <w:rFonts w:ascii="宋体" w:hAnsi="宋体" w:eastAsia="宋体" w:cs="宋体"/>
                <w:i w:val="0"/>
                <w:iCs w:val="0"/>
                <w:color w:val="000000"/>
                <w:kern w:val="0"/>
                <w:sz w:val="18"/>
                <w:szCs w:val="18"/>
                <w:u w:val="none"/>
                <w:lang w:val="en-US" w:eastAsia="zh-CN" w:bidi="ar"/>
              </w:rPr>
              <w:t>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51081222T000005538912-重大公共卫生服务项目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51081222T000005724089-区人民医院修建资金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51081222T000005724136-2022年新冠疫情防控资金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51081222T000005763091-乡镇卫生院运转经费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51081222T000005763130-免费婚检经费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51081222T000005763289-2021年重大公共卫生资金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51081222T000005763337-医疗卫生服务能力提升资金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51081222T000005763422-从业人员预防性免费体检经费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51081222T000005817637-乡镇卫生院运转经费。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51081222T000005933900-基本公共卫生服务项目区级补助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基本公共卫生服务项目均等化水平，规范公共卫生服务行为，推进基本公共卫生服务项目开展，加强孕产妇健康管理和儿童健康管理，把孕产妇和婴儿死亡率控制在指标范围内，全面完成2021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基本公共卫生服务项目均等化水平，规范公共卫生服务行为，推进基本公共卫生服务项目开展，加强孕产妇健康管理和儿童健康管理，把孕产妇和婴儿死亡率控制在指标范围内，全面完成2021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享受基本公共卫生服务人数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结核病患者规范管理率和规则服药率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重性精神疾病患者规范管理率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高血压患者健康管理率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糖尿病患者健康管理率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城乡居民电子健康档案规范建档率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0～6岁儿童健康管理及规范管理率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健康教育宣传普及率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血压、血糖控制率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新生儿访视率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65岁及以上老年人健康体检率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中医药健康管理服务目标人群管理率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突发公共卫生事件报告，食品安全、非法行医、非法采供血和传染病疫情监督协管等信息报告率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贫困居民电子建档率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基本公共卫生服务区级补助经费</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85.49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城乡居民公共卫生服务差距不断缩小</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不继缩小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居民健康保健意识和健康知识知晓率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公共卫生均等化水平提高</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提高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51081222T000005933905-公立医院取消药品加成财政补助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加快推进县级公立医院改革，全面取消药品加成，减轻患者负担，确保医改取得成效。</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加快推进县级公立医院改革，全面取消药品加成，减轻患者负担，确保医改取得成效。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取消药品加成财政补助的公立医院个数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公立医院取消药品加成执行率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区中医院取消药品加成财政补助</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区人民医院取消药品加成财政补助</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区妇幼保健院取消药品加成财政补助</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3.42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减轻群众就医负担</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减轻</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公立医院门诊、住院人次</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增加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推进公立医院改革，全面取消药品加成，确保医改取得成效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51081222T000005933912-乡镇卫生院基药补助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所有政府办基层医疗卫生机构实施国家基本药物制度。对实施国家基本药物制度的乡镇卫生院给予补助，支持国家基本药物制度在乡镇卫生院顺利实施。通过每年对基层医疗卫生机构实施基本药物制度补助资金的投入，完善财政对基层医疗卫生机构运行的补助政策。巩固基本药物制度，推进综合改革顺利进行。加强基层医疗机构卫生服务体系建设，不断提升服务能力和水平，筑牢基层医疗卫生服务网底，实现医改“保基本、强基层、建机制” 的目标。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所有政府办基层医疗卫生机构实施国家基本药物制度。对实施国家基本药物制度的乡镇卫生院给予补助，支持国家基本药物制度在乡镇卫生院顺利实施。通过每年对基层医疗卫生机构实施基本药物制度补助资金的投入，完善财政对基层医疗卫生机构运行的补助政策。巩固基本药物制度，推进综合改革顺利进行。加强基层医疗机构卫生服务体系建设，不断提升服务能力和水平，筑牢基层医疗卫生服务网底，实现医改“保基本、强基层、建机制” 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纳入补助的乡镇卫生院个数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乡镇卫生院基本药物零差率销售</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乡镇卫生院实施基本药物制度使用率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乡镇卫生院基药补助</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缓解群众看病难、看病贵问题得到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缓解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群众医疗需求得到满足、健康素养不断提高</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满足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乡镇卫生院服务能力不断提高</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提高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51081222T000005933914-艾滋病防治工作经费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做好艾滋病监测、检测，推广艾滋病快速检测替代确证检测策略；2、开展艾滋病病毒感染者和病人的随访管理；3、开展吸毒者、暗娼、男男性行为人群高危行为干预工作；4、完成婚前保健人群、孕产妇检测任务，做好预防母婴传播工作。5、为符合治疗条件的艾滋病病毒感染者和病人提供抗病毒治疗。</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做好艾滋病监测、检测，推广艾滋病快速检测替代确证检测策略；2、开展艾滋病病毒感染者和病人的随访管理；3、开展吸毒者、暗娼、男男性行为人群高危行为干预工作；4、完成婚前保健人群、孕产妇检测任务，做好预防母婴传播工作。5、为符合治疗条件的艾滋病病毒感染者和病人提供抗病毒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全年艾滋病筛查人数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52279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艾滋病高危人群干预覆盖率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艾滋病人服药率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艾滋病感染者/病人随访检测率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艾滋病防治项目时效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艾滋病防治经费</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14.2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重点人群艾滋病知识知晓率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提高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提高群众健康意识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提高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51081222T000005933923-计划生育专项补助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计划生育家庭特奖励扶助、特别扶助、独生子女父母奖励、计生特困家庭补助、并发症补助以及计生通等补助制度，缓解计划生育特殊家庭在生产、生活、医疗和养老等方面的困难，保障和改善民生，促进社会和谐。</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计划生育家庭特奖励扶助、特别扶助、独生子女父母奖励、计生特困家庭补助、并发症补助以及计生通等补助制度，缓解计划生育特殊家庭在生产、生活、医疗和养老等方面的困难，保障和改善民生，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130.08</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130.08</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130.08</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130.08</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计划生育手术并发症人数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孕前优生检查人数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1051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计划生育免费手术费人次数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41983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42015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农村部分计划生育家庭奖励人数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6283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eastAsia="zh-CN"/>
              </w:rPr>
              <w:t>死亡</w:t>
            </w:r>
            <w:r>
              <w:rPr>
                <w:rFonts w:hint="eastAsia" w:ascii="微软雅黑" w:hAnsi="微软雅黑" w:eastAsia="微软雅黑" w:cs="微软雅黑"/>
                <w:i/>
                <w:iCs/>
                <w:color w:val="000000"/>
                <w:sz w:val="16"/>
                <w:szCs w:val="16"/>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计划生育特别扶助人数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133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免费婚前检查人数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1245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独生子女父母奖励补助户数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967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计划生育特困人数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计划生育专项补助资金支付率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新申报人员审核合格率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计划生育专项补助项目完时效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计划生育特困家庭补助资金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1900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孕前优生检查</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18500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农村部分计划生育特别扶助资金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354400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354400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农村部分计划生育家庭奖励资金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543200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543200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免费婚检补助</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14400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独生子女父母奖励资金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97000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计划生育手术并发症补助资金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67100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计划生育免费手术费</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74700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74700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家庭发展能力提升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提升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保障和改善民生增加</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保障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51081222T000005933929-革命老区转移支付（全区疫情防控经费）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为了确保我区新冠疫情得到有效的防控，防止疫情的暴发和蔓延，保障全区人民的生命安全。</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确保我区新冠疫情得到有效的防控，防止疫情的暴发和蔓延，保障全区人民的生命安全。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1,448.00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1,448.00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1,272.49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由于财政资金紧张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1,448.00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1,448.00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1,272.49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项目完成情况好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51081222T000005933940-“智慧广元”卫生健康信息化运行维护费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为构建“无边界”医疗联合体，实现“首诊下沉、分级诊疗、双向转诊”提供技术保障。确保全区卫生信息系统运行安全有效。</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构建“无边界”医疗联合体，实现“首诊下沉、分级诊疗、双向转诊”提供技术保障。确保全区卫生信息系统运行安全有效。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卫生健康信息化系统</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使用卫生健康系统信息化村卫生室数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使用卫生健康系统信息化医疗机构数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卫生健康系统信息化网络正常运转率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卫生健康系统信息化故障及时处理率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卫生健康系统故障维护时效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“智慧广元”卫生健康信息系统运行维护费用</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信息化系统保证患者就医流程简便快捷</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优良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信息化系统满足医疗机构业务正常开展需求</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满足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卫生健康系统信息化不断优化和完善</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完善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就医患者满意度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51081222T000005955156-市级财政计划生育补助资金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计划生育家庭特奖励扶助、特别扶助、独生子女父母奖励、计生特困家庭补助、并发症补助以及计生通等补助制度，缓解计划生育特殊家庭在生产、生活、医疗和养老等方面的困难，保障和改善民生，促进社会和谐。</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计划生育家庭特奖励扶助、特别扶助、独生子女父母奖励、计生特困家庭补助、并发症补助以及计生通等补助制度，缓解计划生育特殊家庭在生产、生活、医疗和养老等方面的困难，保障和改善民生，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47.53</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47.53</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51081222T000006350458-医疗服务与保障能力提升补助资金（中医药事业传承与发展部分）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51081222T000006648299-新冠肺炎疫情防控支出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加强中高风险地区人员管控，阻止疫情蔓延，防止我区疫情的爆发，确保人民生命安全。</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加强中高风险地区人员管控，阻止疫情蔓延，防止我区疫情的爆发，确保人民生命安全。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中高风险管控人员集中隔离人次数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1253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开展核酸采样检测人次数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核酸采样标本转运</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新建便民核酸采样点</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集中隔离人员管控率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开展核酸检测应检尽检率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项目完成时效</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新冠肺炎疫情防控经费</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539727.61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539727.61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阻止疫情蔓延，防止我区疫情的爆发，确保人民生命安全。</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保障人民生命安全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51081222T000006749518-2022年农村妇女两癌筛查项目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51081222T000006835311-2022年基本公共卫生服务项目上级补助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提高基本公共卫生服务项目均等化水平，规范公共卫生服务行为，推进基本公共卫生服务项目开展，加强孕产妇健康管理和儿童健康管理，把孕产妇和婴儿死亡率控制在指标范围内，全面完成2022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提高基本公共卫生服务项目均等化水平，规范公共卫生服务行为，推进基本公共卫生服务项目开展，加强孕产妇健康管理和儿童健康管理，把孕产妇和婴儿死亡率控制在指标范围内，全面完成2022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820.21</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97.83%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820.21</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97.83%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51081222T000006917690-区人民医院内科住院综合楼建设项目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51081222T000006971223-区卫生和计划生育监督执法工作经费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51081222T000007115512-计划生育服务中央补助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390.27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390.27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51081222T000007115529-计划生育服务省级补助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51081222T000007232276-卫生健康专项资金（省级补助资金）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51081222T000007232324-卫生健康人才培养培训（省级补助资金）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51081222T000007232340-医疗服务与保障能力提升（中央补助资金）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51081222T000007232349-基本药物制度（中央补助资金）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166.96</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166.96</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51081222T000007232352-基本药物制度（省级补助资金）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108.26</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108.26</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51081222Y000000334377-区人民医院、中医院定额补助经费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1.29</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51081223T000007536558--新冠肺炎疫情防控项目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51081223T000007951956-区人民医院内科住院综合楼建设项目100万元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确保区人民医院项目按时完成，交付使用。</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eastAsia="zh-CN"/>
              </w:rPr>
              <w:t>确保区人民医院项目按时完成，交付使用。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51081223T000008364074-广元市朝天区妇幼保健院综合楼建设项目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确保项目顺利实施，</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3,645.70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3,645.70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3,645.70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3,645.70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51081223T000008365676-免费婚前医学检查市级补助资金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51081223T000008365712-村卫生室市级补助资金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1:保证所有政府办基层医疗卫生机构实施国家基本药物制度；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2:对实施国家基本药物制度的村卫生室给予补助，支持国家基本药物制度在村卫生室顺利实施；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3:通过每年对基层医疗卫生机构实施基本药物制度补助资金的投入，完善财政对基层医疗卫生机构运行    的补助政策；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4:巩固基本药物制度，推进综合改革顺利进行；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5:加强基层医疗机构卫生服务体系建设，不断提升服务能力和水平，筑牢基层医疗卫生服务网底，实现医改“保基本、强基层、建机制” 的目标。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1:保证所有政府办基层医疗卫生机构实施国家基本药物制度；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2:对实施国家基本药物制度的村卫生室给予补助，支持国家基本药物制度在村卫生室顺利实施；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3:通过每年对基层医疗卫生机构实施基本药物制度补助资金的投入，完善财政对基层医疗卫生机构运行    的补助政策；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4:巩固基本药物制度，推进综合改革顺利进行；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5:加强基层医疗机构卫生服务体系建设，不断提升服务能力和水平，筑牢基层医疗卫生服务网底，实现医改“保基本、强基层、建机制” 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51081223T000008613940-计划生育四项制度上级补助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165.32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165.32</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51081223T000008780240-计划生育项目补助（本级追加）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目标3：实施西部地区“少生快富”工程，改善计划生育家庭生产、生活状况，引导和帮助计划生育家庭发展生产，促进西部地区进一步降低生育水平。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51081223T000008780342-两癌筛查区级补助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广元市朝天区卫生健康局部门</w:t>
            </w:r>
          </w:p>
        </w:tc>
        <w:tc>
          <w:tcPr>
            <w:tcW w:w="10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项目完成好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项目负责人：周密</w:t>
            </w:r>
          </w:p>
        </w:tc>
        <w:tc>
          <w:tcPr>
            <w:tcW w:w="6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财务负责人：邓小彬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6"/>
        <w:numPr>
          <w:ilvl w:val="0"/>
          <w:numId w:val="0"/>
        </w:numPr>
        <w:ind w:leftChars="150"/>
        <w:rPr>
          <w:rFonts w:hint="eastAsia"/>
        </w:rPr>
      </w:pPr>
    </w:p>
    <w:p>
      <w:pPr>
        <w:pStyle w:val="6"/>
        <w:numPr>
          <w:ilvl w:val="0"/>
          <w:numId w:val="0"/>
        </w:numPr>
        <w:ind w:leftChars="150"/>
      </w:pPr>
    </w:p>
    <w:p>
      <w:pPr>
        <w:spacing w:line="600" w:lineRule="exact"/>
        <w:jc w:val="both"/>
        <w:outlineLvl w:val="9"/>
        <w:rPr>
          <w:rFonts w:hint="eastAsia"/>
        </w:rPr>
        <w:sectPr>
          <w:pgSz w:w="16838" w:h="11906" w:orient="landscape"/>
          <w:pgMar w:top="1800" w:right="1440" w:bottom="1800" w:left="1440" w:header="851" w:footer="992" w:gutter="0"/>
          <w:pgNumType w:start="1"/>
          <w:cols w:space="425" w:num="1"/>
          <w:titlePg/>
          <w:docGrid w:type="lines" w:linePitch="312" w:charSpace="0"/>
        </w:sectPr>
      </w:pPr>
    </w:p>
    <w:p>
      <w:pPr>
        <w:pStyle w:val="6"/>
        <w:rPr>
          <w:rFonts w:hint="eastAsia"/>
        </w:rPr>
      </w:pPr>
    </w:p>
    <w:p>
      <w:pPr>
        <w:spacing w:line="600" w:lineRule="exact"/>
        <w:jc w:val="center"/>
        <w:outlineLvl w:val="0"/>
        <w:rPr>
          <w:rFonts w:hint="eastAsia" w:ascii="仿宋" w:hAnsi="仿宋" w:eastAsia="仿宋"/>
          <w:b w:val="0"/>
          <w:color w:val="auto"/>
          <w:highlight w:val="none"/>
        </w:rPr>
      </w:pPr>
      <w:bookmarkStart w:id="86" w:name="_Toc15132"/>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82"/>
      <w:bookmarkEnd w:id="83"/>
      <w:bookmarkEnd w:id="86"/>
      <w:bookmarkStart w:id="87" w:name="_Toc15396619"/>
    </w:p>
    <w:p>
      <w:pPr>
        <w:pStyle w:val="4"/>
        <w:rPr>
          <w:rFonts w:ascii="仿宋" w:hAnsi="仿宋" w:eastAsia="仿宋"/>
          <w:color w:val="auto"/>
          <w:highlight w:val="none"/>
        </w:rPr>
      </w:pPr>
      <w:bookmarkStart w:id="88" w:name="_Toc25785"/>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87"/>
      <w:bookmarkEnd w:id="88"/>
    </w:p>
    <w:p>
      <w:pPr>
        <w:pStyle w:val="4"/>
        <w:rPr>
          <w:rFonts w:ascii="仿宋" w:hAnsi="仿宋" w:eastAsia="仿宋"/>
          <w:color w:val="auto"/>
          <w:highlight w:val="none"/>
        </w:rPr>
      </w:pPr>
      <w:bookmarkStart w:id="89" w:name="_Toc15396620"/>
      <w:bookmarkStart w:id="90" w:name="_Toc2015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89"/>
      <w:bookmarkEnd w:id="90"/>
    </w:p>
    <w:p>
      <w:pPr>
        <w:pStyle w:val="4"/>
        <w:rPr>
          <w:rFonts w:ascii="仿宋" w:hAnsi="仿宋" w:eastAsia="仿宋"/>
          <w:color w:val="auto"/>
          <w:highlight w:val="none"/>
        </w:rPr>
      </w:pPr>
      <w:bookmarkStart w:id="91" w:name="_Toc15396621"/>
      <w:bookmarkStart w:id="92" w:name="_Toc18032"/>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91"/>
      <w:bookmarkEnd w:id="92"/>
    </w:p>
    <w:p>
      <w:pPr>
        <w:pStyle w:val="4"/>
        <w:rPr>
          <w:rFonts w:ascii="仿宋" w:hAnsi="仿宋" w:eastAsia="仿宋"/>
          <w:b w:val="0"/>
          <w:color w:val="auto"/>
          <w:highlight w:val="none"/>
        </w:rPr>
      </w:pPr>
      <w:bookmarkStart w:id="93" w:name="_Toc15396622"/>
      <w:bookmarkStart w:id="94" w:name="_Toc16285"/>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93"/>
      <w:bookmarkEnd w:id="94"/>
    </w:p>
    <w:p>
      <w:pPr>
        <w:pStyle w:val="4"/>
        <w:rPr>
          <w:rStyle w:val="27"/>
          <w:rFonts w:ascii="仿宋" w:hAnsi="仿宋" w:eastAsia="仿宋"/>
          <w:b w:val="0"/>
          <w:bCs w:val="0"/>
          <w:color w:val="auto"/>
          <w:highlight w:val="none"/>
        </w:rPr>
      </w:pPr>
      <w:bookmarkStart w:id="95" w:name="_Toc15396623"/>
      <w:bookmarkStart w:id="96" w:name="_Toc28341"/>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95"/>
      <w:bookmarkEnd w:id="96"/>
      <w:bookmarkStart w:id="97" w:name="_Toc15396624"/>
    </w:p>
    <w:p>
      <w:pPr>
        <w:pStyle w:val="4"/>
        <w:rPr>
          <w:rFonts w:ascii="仿宋" w:hAnsi="仿宋" w:eastAsia="仿宋"/>
          <w:color w:val="auto"/>
          <w:highlight w:val="none"/>
        </w:rPr>
      </w:pPr>
      <w:bookmarkStart w:id="98" w:name="_Toc7809"/>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97"/>
      <w:bookmarkEnd w:id="98"/>
    </w:p>
    <w:p>
      <w:pPr>
        <w:pStyle w:val="4"/>
        <w:rPr>
          <w:rFonts w:ascii="仿宋" w:hAnsi="仿宋" w:eastAsia="仿宋"/>
          <w:color w:val="auto"/>
          <w:highlight w:val="none"/>
        </w:rPr>
      </w:pPr>
      <w:bookmarkStart w:id="99" w:name="_Toc15396625"/>
      <w:bookmarkStart w:id="100" w:name="_Toc28944"/>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99"/>
      <w:bookmarkEnd w:id="100"/>
    </w:p>
    <w:p>
      <w:pPr>
        <w:pStyle w:val="4"/>
        <w:rPr>
          <w:rFonts w:ascii="仿宋" w:hAnsi="仿宋" w:eastAsia="仿宋"/>
          <w:color w:val="auto"/>
          <w:highlight w:val="none"/>
        </w:rPr>
      </w:pPr>
      <w:bookmarkStart w:id="101" w:name="_Toc15396626"/>
      <w:bookmarkStart w:id="102" w:name="_Toc18428"/>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01"/>
      <w:bookmarkEnd w:id="102"/>
    </w:p>
    <w:p>
      <w:pPr>
        <w:pStyle w:val="4"/>
        <w:rPr>
          <w:rFonts w:ascii="仿宋" w:hAnsi="仿宋" w:eastAsia="仿宋"/>
          <w:color w:val="auto"/>
          <w:highlight w:val="none"/>
        </w:rPr>
      </w:pPr>
      <w:bookmarkStart w:id="103" w:name="_Toc15396627"/>
      <w:bookmarkStart w:id="104" w:name="_Toc14878"/>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03"/>
      <w:bookmarkEnd w:id="104"/>
    </w:p>
    <w:p>
      <w:pPr>
        <w:pStyle w:val="4"/>
        <w:rPr>
          <w:rFonts w:ascii="仿宋" w:hAnsi="仿宋" w:eastAsia="仿宋"/>
          <w:color w:val="auto"/>
          <w:highlight w:val="none"/>
        </w:rPr>
      </w:pPr>
      <w:bookmarkStart w:id="105" w:name="_Toc15396628"/>
      <w:bookmarkStart w:id="106" w:name="_Toc5879"/>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105"/>
      <w:bookmarkEnd w:id="106"/>
    </w:p>
    <w:p>
      <w:pPr>
        <w:pStyle w:val="4"/>
        <w:rPr>
          <w:rFonts w:ascii="仿宋" w:hAnsi="仿宋" w:eastAsia="仿宋"/>
          <w:color w:val="auto"/>
          <w:highlight w:val="none"/>
        </w:rPr>
      </w:pPr>
      <w:bookmarkStart w:id="107" w:name="_Toc15396629"/>
      <w:bookmarkStart w:id="108" w:name="_Toc24283"/>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07"/>
      <w:bookmarkEnd w:id="108"/>
    </w:p>
    <w:p>
      <w:pPr>
        <w:pStyle w:val="4"/>
        <w:rPr>
          <w:rFonts w:ascii="仿宋" w:hAnsi="仿宋" w:eastAsia="仿宋"/>
          <w:color w:val="auto"/>
          <w:highlight w:val="none"/>
        </w:rPr>
      </w:pPr>
      <w:bookmarkStart w:id="109" w:name="_Toc15396630"/>
      <w:bookmarkStart w:id="110" w:name="_Toc17235"/>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109"/>
      <w:bookmarkEnd w:id="110"/>
    </w:p>
    <w:p>
      <w:pPr>
        <w:pStyle w:val="4"/>
        <w:rPr>
          <w:rStyle w:val="27"/>
          <w:rFonts w:hint="eastAsia" w:ascii="仿宋" w:hAnsi="仿宋" w:eastAsia="仿宋"/>
          <w:b w:val="0"/>
          <w:bCs w:val="0"/>
          <w:color w:val="auto"/>
          <w:highlight w:val="none"/>
        </w:rPr>
      </w:pPr>
      <w:bookmarkStart w:id="111" w:name="_Toc15396631"/>
      <w:bookmarkStart w:id="112" w:name="_Toc6962"/>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11"/>
      <w:bookmarkEnd w:id="112"/>
    </w:p>
    <w:p>
      <w:pPr>
        <w:rPr>
          <w:rFonts w:hint="eastAsia" w:eastAsia="仿宋"/>
          <w:color w:val="auto"/>
          <w:highlight w:val="none"/>
          <w:lang w:eastAsia="zh-CN"/>
        </w:rPr>
      </w:pPr>
      <w:bookmarkStart w:id="113" w:name="_Toc5805"/>
      <w:r>
        <w:rPr>
          <w:rStyle w:val="27"/>
          <w:rFonts w:hint="eastAsia" w:ascii="仿宋" w:hAnsi="仿宋" w:eastAsia="仿宋"/>
          <w:b w:val="0"/>
          <w:bCs w:val="0"/>
          <w:color w:val="auto"/>
          <w:highlight w:val="none"/>
          <w:lang w:eastAsia="zh-CN"/>
        </w:rPr>
        <w:t>十四、国有资本经营预算财政拨款支出决算表</w:t>
      </w:r>
      <w:bookmarkEnd w:id="113"/>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C348E6E"/>
    <w:multiLevelType w:val="singleLevel"/>
    <w:tmpl w:val="1C348E6E"/>
    <w:lvl w:ilvl="0" w:tentative="0">
      <w:start w:val="2"/>
      <w:numFmt w:val="chineseCounting"/>
      <w:suff w:val="nothing"/>
      <w:lvlText w:val="%1、"/>
      <w:lvlJc w:val="left"/>
      <w:rPr>
        <w:rFonts w:hint="eastAsia"/>
      </w:rPr>
    </w:lvl>
  </w:abstractNum>
  <w:abstractNum w:abstractNumId="4">
    <w:nsid w:val="6B42FDE8"/>
    <w:multiLevelType w:val="singleLevel"/>
    <w:tmpl w:val="6B42FDE8"/>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863"/>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6543"/>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BA0"/>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0390C"/>
    <w:rsid w:val="0156352C"/>
    <w:rsid w:val="02300221"/>
    <w:rsid w:val="023A2E4D"/>
    <w:rsid w:val="025F3ABA"/>
    <w:rsid w:val="032633D2"/>
    <w:rsid w:val="039B791C"/>
    <w:rsid w:val="04351B1E"/>
    <w:rsid w:val="058368B9"/>
    <w:rsid w:val="05DB66F5"/>
    <w:rsid w:val="05F3010D"/>
    <w:rsid w:val="064D0138"/>
    <w:rsid w:val="066D79A8"/>
    <w:rsid w:val="06CE0E4D"/>
    <w:rsid w:val="073267E9"/>
    <w:rsid w:val="08D833C0"/>
    <w:rsid w:val="08F24482"/>
    <w:rsid w:val="091F34DF"/>
    <w:rsid w:val="09840E52"/>
    <w:rsid w:val="09C63218"/>
    <w:rsid w:val="09D27E0F"/>
    <w:rsid w:val="0A026946"/>
    <w:rsid w:val="0A2032A3"/>
    <w:rsid w:val="0AA03A6A"/>
    <w:rsid w:val="0B8A37D8"/>
    <w:rsid w:val="0BDE0CED"/>
    <w:rsid w:val="0BF30FFB"/>
    <w:rsid w:val="0D044784"/>
    <w:rsid w:val="0D5D3E94"/>
    <w:rsid w:val="0DB00467"/>
    <w:rsid w:val="0DC01DD9"/>
    <w:rsid w:val="0FE91A0F"/>
    <w:rsid w:val="102313C5"/>
    <w:rsid w:val="10274F9A"/>
    <w:rsid w:val="10525806"/>
    <w:rsid w:val="10C055FF"/>
    <w:rsid w:val="11252F1A"/>
    <w:rsid w:val="113B44EC"/>
    <w:rsid w:val="118107EC"/>
    <w:rsid w:val="11BB73DB"/>
    <w:rsid w:val="11DA3D05"/>
    <w:rsid w:val="11DD6519"/>
    <w:rsid w:val="125515DD"/>
    <w:rsid w:val="129E2F84"/>
    <w:rsid w:val="12D61687"/>
    <w:rsid w:val="12E82452"/>
    <w:rsid w:val="144638D4"/>
    <w:rsid w:val="144E4536"/>
    <w:rsid w:val="14F670A8"/>
    <w:rsid w:val="15716195"/>
    <w:rsid w:val="1574621E"/>
    <w:rsid w:val="15A975EE"/>
    <w:rsid w:val="15F555B1"/>
    <w:rsid w:val="16213887"/>
    <w:rsid w:val="16BB723D"/>
    <w:rsid w:val="16CD3E38"/>
    <w:rsid w:val="16E318AE"/>
    <w:rsid w:val="17374AF4"/>
    <w:rsid w:val="18015F3F"/>
    <w:rsid w:val="185F4F64"/>
    <w:rsid w:val="18821CB9"/>
    <w:rsid w:val="18A20392"/>
    <w:rsid w:val="18FB35F1"/>
    <w:rsid w:val="190B6E9A"/>
    <w:rsid w:val="1A077661"/>
    <w:rsid w:val="1A396F50"/>
    <w:rsid w:val="1A710F7F"/>
    <w:rsid w:val="1B3C333B"/>
    <w:rsid w:val="1B6D5BEA"/>
    <w:rsid w:val="1BB13D28"/>
    <w:rsid w:val="1BE8440E"/>
    <w:rsid w:val="1CC25AC1"/>
    <w:rsid w:val="1D155CEE"/>
    <w:rsid w:val="1F1F4218"/>
    <w:rsid w:val="1F550E6F"/>
    <w:rsid w:val="1F8D23B7"/>
    <w:rsid w:val="1FDA1374"/>
    <w:rsid w:val="1FEF48D2"/>
    <w:rsid w:val="20065D2D"/>
    <w:rsid w:val="20A15638"/>
    <w:rsid w:val="20C1476D"/>
    <w:rsid w:val="20D116DE"/>
    <w:rsid w:val="20D364EF"/>
    <w:rsid w:val="20DD55C0"/>
    <w:rsid w:val="20F57F95"/>
    <w:rsid w:val="213D7E0C"/>
    <w:rsid w:val="21E248C4"/>
    <w:rsid w:val="21E93DDF"/>
    <w:rsid w:val="227B299A"/>
    <w:rsid w:val="22B61C24"/>
    <w:rsid w:val="22FE5379"/>
    <w:rsid w:val="23DA7B95"/>
    <w:rsid w:val="240371BF"/>
    <w:rsid w:val="24DB1936"/>
    <w:rsid w:val="25C741E6"/>
    <w:rsid w:val="2677273A"/>
    <w:rsid w:val="26BE554B"/>
    <w:rsid w:val="26E74AA2"/>
    <w:rsid w:val="27842671"/>
    <w:rsid w:val="27985C5A"/>
    <w:rsid w:val="28FE4325"/>
    <w:rsid w:val="295108F9"/>
    <w:rsid w:val="299B0A2F"/>
    <w:rsid w:val="29B669AE"/>
    <w:rsid w:val="29FD04D3"/>
    <w:rsid w:val="2A0B4C9D"/>
    <w:rsid w:val="2A614B6C"/>
    <w:rsid w:val="2ABE7A3E"/>
    <w:rsid w:val="2B9A264F"/>
    <w:rsid w:val="2C091017"/>
    <w:rsid w:val="2D26209C"/>
    <w:rsid w:val="2D4A18E7"/>
    <w:rsid w:val="2DF33D2D"/>
    <w:rsid w:val="2ED973C6"/>
    <w:rsid w:val="2EFA178C"/>
    <w:rsid w:val="2F5C1DA5"/>
    <w:rsid w:val="2FDE757F"/>
    <w:rsid w:val="30B46D73"/>
    <w:rsid w:val="319F7F4E"/>
    <w:rsid w:val="31B55E35"/>
    <w:rsid w:val="31C37EBA"/>
    <w:rsid w:val="32E4633A"/>
    <w:rsid w:val="33BB353F"/>
    <w:rsid w:val="33E97065"/>
    <w:rsid w:val="34472436"/>
    <w:rsid w:val="344A6670"/>
    <w:rsid w:val="34982F8B"/>
    <w:rsid w:val="35300720"/>
    <w:rsid w:val="357940C4"/>
    <w:rsid w:val="35CE44E9"/>
    <w:rsid w:val="363B2715"/>
    <w:rsid w:val="36EF34FF"/>
    <w:rsid w:val="36F30DF9"/>
    <w:rsid w:val="37A421C0"/>
    <w:rsid w:val="37E172EC"/>
    <w:rsid w:val="3890394B"/>
    <w:rsid w:val="390B6DE3"/>
    <w:rsid w:val="39627FB8"/>
    <w:rsid w:val="39AE70AB"/>
    <w:rsid w:val="3A267238"/>
    <w:rsid w:val="3A2C570F"/>
    <w:rsid w:val="3AE07A50"/>
    <w:rsid w:val="3BB80364"/>
    <w:rsid w:val="3C017F5D"/>
    <w:rsid w:val="3C0C0783"/>
    <w:rsid w:val="3C611912"/>
    <w:rsid w:val="3C8F7316"/>
    <w:rsid w:val="3CF90C34"/>
    <w:rsid w:val="3E0B50C2"/>
    <w:rsid w:val="3E9712E1"/>
    <w:rsid w:val="3EC00E65"/>
    <w:rsid w:val="3F2226C4"/>
    <w:rsid w:val="3F9F3A96"/>
    <w:rsid w:val="405A7C3B"/>
    <w:rsid w:val="4072249C"/>
    <w:rsid w:val="41562AF9"/>
    <w:rsid w:val="41F145CF"/>
    <w:rsid w:val="42ED2FE9"/>
    <w:rsid w:val="43A53E48"/>
    <w:rsid w:val="442A5B77"/>
    <w:rsid w:val="44F038FE"/>
    <w:rsid w:val="451C7BB5"/>
    <w:rsid w:val="455E1F7C"/>
    <w:rsid w:val="470A192F"/>
    <w:rsid w:val="47E250E6"/>
    <w:rsid w:val="493C27E9"/>
    <w:rsid w:val="496F39ED"/>
    <w:rsid w:val="49A10689"/>
    <w:rsid w:val="49FF41D3"/>
    <w:rsid w:val="4A5B3BF0"/>
    <w:rsid w:val="4B0C4228"/>
    <w:rsid w:val="4B8E10E1"/>
    <w:rsid w:val="4BB328F5"/>
    <w:rsid w:val="4BE068DB"/>
    <w:rsid w:val="4BF6002B"/>
    <w:rsid w:val="4C5424D5"/>
    <w:rsid w:val="4CEF5BAF"/>
    <w:rsid w:val="4D417DCA"/>
    <w:rsid w:val="4D677E3B"/>
    <w:rsid w:val="4DC35387"/>
    <w:rsid w:val="4DDA23BB"/>
    <w:rsid w:val="4E8F13F8"/>
    <w:rsid w:val="4ECE2238"/>
    <w:rsid w:val="4F7C5E20"/>
    <w:rsid w:val="4F9220E5"/>
    <w:rsid w:val="4F9667B6"/>
    <w:rsid w:val="501A5E16"/>
    <w:rsid w:val="51DB4B86"/>
    <w:rsid w:val="52EC506B"/>
    <w:rsid w:val="53051C89"/>
    <w:rsid w:val="53365F09"/>
    <w:rsid w:val="54D77655"/>
    <w:rsid w:val="55333C3E"/>
    <w:rsid w:val="55F90372"/>
    <w:rsid w:val="564C7BCE"/>
    <w:rsid w:val="56983897"/>
    <w:rsid w:val="56B75990"/>
    <w:rsid w:val="57353838"/>
    <w:rsid w:val="577D2735"/>
    <w:rsid w:val="57C87729"/>
    <w:rsid w:val="581110D0"/>
    <w:rsid w:val="597E3006"/>
    <w:rsid w:val="5A4F5EDF"/>
    <w:rsid w:val="5A6951F3"/>
    <w:rsid w:val="5BDB3ECE"/>
    <w:rsid w:val="5D9C6EE0"/>
    <w:rsid w:val="5DCD3CEB"/>
    <w:rsid w:val="5E6957C1"/>
    <w:rsid w:val="5F047298"/>
    <w:rsid w:val="5F092B01"/>
    <w:rsid w:val="60566219"/>
    <w:rsid w:val="608E3692"/>
    <w:rsid w:val="60F51963"/>
    <w:rsid w:val="60FA4DF7"/>
    <w:rsid w:val="615E35D8"/>
    <w:rsid w:val="61722BDF"/>
    <w:rsid w:val="61AB60F1"/>
    <w:rsid w:val="61B34FA6"/>
    <w:rsid w:val="61D54F1C"/>
    <w:rsid w:val="629341F9"/>
    <w:rsid w:val="62B86D17"/>
    <w:rsid w:val="62BC3405"/>
    <w:rsid w:val="631B1054"/>
    <w:rsid w:val="638D67F3"/>
    <w:rsid w:val="63C33BC6"/>
    <w:rsid w:val="64CA39A1"/>
    <w:rsid w:val="64EF27FA"/>
    <w:rsid w:val="652A37D1"/>
    <w:rsid w:val="6618187B"/>
    <w:rsid w:val="67AC4ACF"/>
    <w:rsid w:val="680B72D0"/>
    <w:rsid w:val="6881195A"/>
    <w:rsid w:val="69C029FB"/>
    <w:rsid w:val="69E2467A"/>
    <w:rsid w:val="6A9242F2"/>
    <w:rsid w:val="6ACB3360"/>
    <w:rsid w:val="6BC009EB"/>
    <w:rsid w:val="6C4A05C8"/>
    <w:rsid w:val="6D2B6338"/>
    <w:rsid w:val="6D57712D"/>
    <w:rsid w:val="6D7221B9"/>
    <w:rsid w:val="6E531FEA"/>
    <w:rsid w:val="6F1B2B08"/>
    <w:rsid w:val="6F1E6154"/>
    <w:rsid w:val="70FC24C5"/>
    <w:rsid w:val="713C0B14"/>
    <w:rsid w:val="718A1378"/>
    <w:rsid w:val="72734D90"/>
    <w:rsid w:val="729D1A86"/>
    <w:rsid w:val="729F57FE"/>
    <w:rsid w:val="73765A25"/>
    <w:rsid w:val="74F433A1"/>
    <w:rsid w:val="75614FED"/>
    <w:rsid w:val="7564688B"/>
    <w:rsid w:val="75C86E1A"/>
    <w:rsid w:val="76051E1C"/>
    <w:rsid w:val="766823AB"/>
    <w:rsid w:val="772E7150"/>
    <w:rsid w:val="77505319"/>
    <w:rsid w:val="788C2381"/>
    <w:rsid w:val="7958361A"/>
    <w:rsid w:val="79E7B28D"/>
    <w:rsid w:val="7A6F5AB6"/>
    <w:rsid w:val="7AE70F19"/>
    <w:rsid w:val="7B4231CA"/>
    <w:rsid w:val="7C331F70"/>
    <w:rsid w:val="7CB40242"/>
    <w:rsid w:val="7CBA49E9"/>
    <w:rsid w:val="7CF15B8F"/>
    <w:rsid w:val="7E754607"/>
    <w:rsid w:val="7F4D213E"/>
    <w:rsid w:val="7F9F20EE"/>
    <w:rsid w:val="7FCB5E84"/>
    <w:rsid w:val="7FD03C93"/>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cs="Courier New"/>
      <w:szCs w:val="21"/>
    </w:rPr>
  </w:style>
  <w:style w:type="paragraph" w:styleId="9">
    <w:name w:val="Balloon Text"/>
    <w:basedOn w:val="1"/>
    <w:link w:val="29"/>
    <w:semiHidden/>
    <w:unhideWhenUsed/>
    <w:qFormat/>
    <w:uiPriority w:val="99"/>
    <w:rPr>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2"/>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uiPriority w:val="0"/>
    <w:pPr>
      <w:ind w:leftChars="0"/>
    </w:pPr>
    <w:rPr>
      <w:sz w:val="20"/>
      <w:szCs w:val="20"/>
    </w:rPr>
  </w:style>
  <w:style w:type="paragraph" w:customStyle="1" w:styleId="33">
    <w:name w:val="WPSOffice手动目录 2"/>
    <w:uiPriority w:val="0"/>
    <w:pPr>
      <w:ind w:leftChars="200"/>
    </w:pPr>
    <w:rPr>
      <w:sz w:val="20"/>
      <w:szCs w:val="20"/>
    </w:rPr>
  </w:style>
  <w:style w:type="paragraph" w:customStyle="1" w:styleId="3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95"/>
          <c:y val="0.0317460317460317"/>
          <c:w val="0.9263"/>
          <c:h val="0.798002496878901"/>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(Sheet1!$B$2,Sheet1!$B$4)</c:f>
              <c:numCache>
                <c:formatCode>#,##0.00</c:formatCode>
                <c:ptCount val="2"/>
                <c:pt idx="0">
                  <c:v>1952.77</c:v>
                </c:pt>
                <c:pt idx="1">
                  <c:v>1946.94</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(Sheet1!$A$2,Sheet1!$A$4)</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(Sheet1!$C$2,Sheet1!$C$4)</c:f>
              <c:numCache>
                <c:formatCode>#,##0.00</c:formatCode>
                <c:ptCount val="2"/>
                <c:pt idx="0">
                  <c:v>2835.29</c:v>
                </c:pt>
                <c:pt idx="1">
                  <c:v>5786.14</c:v>
                </c:pt>
              </c:numCache>
            </c:numRef>
          </c:val>
        </c:ser>
        <c:dLbls>
          <c:showLegendKey val="0"/>
          <c:showVal val="1"/>
          <c:showCatName val="0"/>
          <c:showSerName val="0"/>
          <c:showPercent val="0"/>
          <c:showBubbleSize val="0"/>
        </c:dLbls>
        <c:gapWidth val="219"/>
        <c:overlap val="-27"/>
        <c:axId val="439330186"/>
        <c:axId val="575491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(Sheet1!$A$2,Sheet1!$A$4)</c15:sqref>
                        </c15:formulaRef>
                      </c:ext>
                    </c:extLst>
                    <c:strCache>
                      <c:ptCount val="2"/>
                      <c:pt idx="0">
                        <c:v>收入</c:v>
                      </c:pt>
                      <c:pt idx="1">
                        <c:v>支出</c:v>
                      </c:pt>
                    </c:strCache>
                  </c:strRef>
                </c:cat>
              </c15:ser>
            </c15:filteredBarSeries>
          </c:ext>
        </c:extLst>
      </c:barChart>
      <c:catAx>
        <c:axId val="43933018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49172"/>
        <c:crosses val="autoZero"/>
        <c:auto val="1"/>
        <c:lblAlgn val="ctr"/>
        <c:lblOffset val="100"/>
        <c:noMultiLvlLbl val="0"/>
      </c:catAx>
      <c:valAx>
        <c:axId val="57549172"/>
        <c:scaling>
          <c:orientation val="minMax"/>
        </c:scaling>
        <c:delete val="0"/>
        <c:axPos val="l"/>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3301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(Sheet1!$A$2,Sheet1!$A$4)</c:f>
              <c:strCache>
                <c:ptCount val="2"/>
                <c:pt idx="0">
                  <c:v>一般公共预算财政拨款收入</c:v>
                </c:pt>
                <c:pt idx="1">
                  <c:v>其他收入</c:v>
                </c:pt>
              </c:strCache>
            </c:strRef>
          </c:cat>
          <c:val>
            <c:numRef>
              <c:extLst>
                <c:ext xmlns:c15="http://schemas.microsoft.com/office/drawing/2012/chart" uri="{02D57815-91ED-43cb-92C2-25804820EDAC}">
                  <c15:fullRef>
                    <c15:sqref>Sheet1!$B$2:$B$4</c15:sqref>
                  </c15:fullRef>
                </c:ext>
              </c:extLst>
              <c:f>(Sheet1!$B$2,Sheet1!$B$4)</c:f>
              <c:numCache>
                <c:formatCode>General</c:formatCode>
                <c:ptCount val="2"/>
                <c:pt idx="0">
                  <c:v>2834.72</c:v>
                </c:pt>
                <c:pt idx="1">
                  <c:v>0.56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(Sheet1!$A$2,Sheet1!$A$4)</c:f>
              <c:strCache>
                <c:ptCount val="2"/>
                <c:pt idx="0">
                  <c:v>基本支出</c:v>
                </c:pt>
                <c:pt idx="1">
                  <c:v>项目支出</c:v>
                </c:pt>
              </c:strCache>
            </c:strRef>
          </c:cat>
          <c:val>
            <c:numRef>
              <c:extLst>
                <c:ext xmlns:c15="http://schemas.microsoft.com/office/drawing/2012/chart" uri="{02D57815-91ED-43cb-92C2-25804820EDAC}">
                  <c15:fullRef>
                    <c15:sqref>Sheet1!$B$2:$B$4</c15:sqref>
                  </c15:fullRef>
                </c:ext>
              </c:extLst>
              <c:f>(Sheet1!$B$2,Sheet1!$B$4)</c:f>
              <c:numCache>
                <c:formatCode>General</c:formatCode>
                <c:ptCount val="2"/>
                <c:pt idx="0">
                  <c:v>673.05</c:v>
                </c:pt>
                <c:pt idx="1">
                  <c:v>5113.09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1952.09</c:v>
                </c:pt>
                <c:pt idx="1">
                  <c:v>1946.26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2834.72</c:v>
                </c:pt>
                <c:pt idx="1">
                  <c:v>5785.57</c:v>
                </c:pt>
              </c:numCache>
            </c:numRef>
          </c:val>
        </c:ser>
        <c:dLbls>
          <c:showLegendKey val="0"/>
          <c:showVal val="1"/>
          <c:showCatName val="0"/>
          <c:showSerName val="0"/>
          <c:showPercent val="0"/>
          <c:showBubbleSize val="0"/>
        </c:dLbls>
        <c:gapWidth val="219"/>
        <c:overlap val="-27"/>
        <c:axId val="95580585"/>
        <c:axId val="96285739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财政拨款收入</c:v>
                      </c:pt>
                      <c:pt idx="1">
                        <c:v>财政拨款支出</c:v>
                      </c:pt>
                    </c:strCache>
                  </c:strRef>
                </c:cat>
              </c15:ser>
            </c15:filteredBarSeries>
          </c:ext>
        </c:extLst>
      </c:barChart>
      <c:catAx>
        <c:axId val="955805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857395"/>
        <c:crosses val="autoZero"/>
        <c:auto val="1"/>
        <c:lblAlgn val="ctr"/>
        <c:lblOffset val="100"/>
        <c:noMultiLvlLbl val="0"/>
      </c:catAx>
      <c:valAx>
        <c:axId val="9628573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805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1946.26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5785.57</c:v>
                </c:pt>
              </c:numCache>
            </c:numRef>
          </c:val>
        </c:ser>
        <c:dLbls>
          <c:showLegendKey val="0"/>
          <c:showVal val="1"/>
          <c:showCatName val="0"/>
          <c:showSerName val="0"/>
          <c:showPercent val="0"/>
          <c:showBubbleSize val="0"/>
        </c:dLbls>
        <c:gapWidth val="219"/>
        <c:overlap val="-27"/>
        <c:axId val="468263975"/>
        <c:axId val="452737617"/>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682639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737617"/>
        <c:crosses val="autoZero"/>
        <c:auto val="1"/>
        <c:lblAlgn val="ctr"/>
        <c:lblOffset val="100"/>
        <c:noMultiLvlLbl val="0"/>
      </c:catAx>
      <c:valAx>
        <c:axId val="4527376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2639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0.0527946008299174"/>
                  <c:y val="0.02120648661881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80758611797991"/>
                  <c:y val="0.02406538850821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59.98</c:v>
                </c:pt>
                <c:pt idx="1">
                  <c:v>5675.17</c:v>
                </c:pt>
                <c:pt idx="2">
                  <c:v>1.29</c:v>
                </c:pt>
                <c:pt idx="3">
                  <c:v>49.13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48925"/>
          <c:y val="0.17815"/>
          <c:w val="0.50215"/>
          <c:h val="0.669533333333333"/>
        </c:manualLayout>
      </c:layout>
      <c:pieChart>
        <c:varyColors val="1"/>
        <c:ser>
          <c:idx val="0"/>
          <c:order val="0"/>
          <c:tx>
            <c:strRef>
              <c:f>Sheet1!$A$2</c:f>
              <c:strCache>
                <c:ptCount val="1"/>
                <c:pt idx="0">
                  <c:v>三公经费</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公务接待费</c:v>
                </c:pt>
              </c:strCache>
            </c:strRef>
          </c:cat>
          <c:val>
            <c:numRef>
              <c:f>Sheet1!$B$2</c:f>
              <c:numCache>
                <c:formatCode>General</c:formatCode>
                <c:ptCount val="1"/>
                <c:pt idx="0">
                  <c:v>1.23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122</Pages>
  <Words>36385</Words>
  <Characters>43900</Characters>
  <Lines>61</Lines>
  <Paragraphs>17</Paragraphs>
  <TotalTime>0</TotalTime>
  <ScaleCrop>false</ScaleCrop>
  <LinksUpToDate>false</LinksUpToDate>
  <CharactersWithSpaces>44004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2023-10-30T04:15:27Z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6C0CEEEB508A4AF9A57359F6076CDD84</vt:lpwstr>
  </property>
</Properties>
</file>