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78441"/>
      <w:bookmarkStart w:id="2" w:name="_Toc15396475"/>
      <w:bookmarkStart w:id="3" w:name="_Toc1537742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96598"/>
      <w:bookmarkStart w:id="9" w:name="_Toc15377426"/>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广元市曾家山旅游度假区管理委员会</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24</w:t>
      </w:r>
      <w:r>
        <w:rPr>
          <w:rFonts w:hint="eastAsia"/>
          <w:color w:val="auto"/>
          <w:highlight w:val="none"/>
        </w:rPr>
        <w:t>日</w:t>
      </w:r>
    </w:p>
    <w:p>
      <w:pPr>
        <w:widowControl/>
        <w:jc w:val="center"/>
        <w:rPr>
          <w:color w:val="auto"/>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imes New Roman" w:hAnsi="Times New Roman" w:eastAsia="宋体" w:cs="Times New Roman"/>
          <w:color w:val="auto"/>
          <w:kern w:val="2"/>
          <w:sz w:val="24"/>
          <w:szCs w:val="24"/>
          <w:highlight w:val="none"/>
          <w:lang w:val="en-US" w:eastAsia="zh-CN" w:bidi="ar-SA"/>
        </w:rPr>
        <w:t>.................................................................................................4</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....................................................................................................4</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....................................................................................................5</w:t>
      </w:r>
    </w:p>
    <w:p>
      <w:pPr>
        <w:pStyle w:val="12"/>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ascii="Times New Roman" w:hAnsi="Times New Roman" w:eastAsia="宋体" w:cs="Times New Roman"/>
          <w:color w:val="auto"/>
          <w:kern w:val="2"/>
          <w:sz w:val="24"/>
          <w:szCs w:val="24"/>
          <w:highlight w:val="none"/>
          <w:lang w:val="en-US" w:eastAsia="zh-CN" w:bidi="ar-SA"/>
        </w:rPr>
        <w:t>................................................................6</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....................................................................6</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....................................................................................6</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....................................................................................7</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....................................................8</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.......................................................15</w:t>
      </w:r>
    </w:p>
    <w:p>
      <w:pPr>
        <w:pStyle w:val="13"/>
        <w:keepNext w:val="0"/>
        <w:keepLines w:val="0"/>
        <w:pageBreakBefore w:val="0"/>
        <w:kinsoku/>
        <w:wordWrap/>
        <w:overflowPunct/>
        <w:topLinePunct w:val="0"/>
        <w:autoSpaceDE/>
        <w:autoSpaceDN/>
        <w:bidi w:val="0"/>
        <w:adjustRightInd w:val="0"/>
        <w:snapToGrid w:val="0"/>
        <w:spacing w:line="440"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rPr>
      </w:pPr>
      <w:r>
        <w:rPr>
          <w:rStyle w:val="20"/>
          <w:rFonts w:hint="eastAsia" w:asciiTheme="minorEastAsia" w:hAnsiTheme="minorEastAsia" w:eastAsiaTheme="minorEastAsia" w:cstheme="minorEastAsia"/>
          <w:color w:val="auto"/>
          <w:sz w:val="24"/>
          <w:highlight w:val="none"/>
          <w:u w:val="none"/>
          <w:lang w:eastAsia="zh-CN"/>
        </w:rPr>
        <w:t>十</w:t>
      </w:r>
      <w:r>
        <w:rPr>
          <w:rStyle w:val="20"/>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5</w:t>
      </w:r>
    </w:p>
    <w:p>
      <w:pPr>
        <w:pStyle w:val="12"/>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................................................................................................18</w:t>
      </w:r>
    </w:p>
    <w:p>
      <w:pPr>
        <w:pStyle w:val="12"/>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........................................................................................................21</w:t>
      </w:r>
    </w:p>
    <w:p>
      <w:pPr>
        <w:pStyle w:val="12"/>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........................................................................................................59</w:t>
      </w:r>
      <w:bookmarkStart w:id="71" w:name="_GoBack"/>
      <w:bookmarkEnd w:id="71"/>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一、收入支出决算总表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二、收入决算表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三、支出决算表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四、财政拨款收入支出决算总表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五、财政拨款支出决算明细表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六、一般公共预算财政拨款支出决算表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七、一般公共预算财政拨款支出决算明细表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九、一般公共预算财政拨款项目支出决算表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十、政府性基金预算财政拨款收入支出决算表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十一、国有资本经营预算财政拨款收入支出决算表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31"/>
          <w:rFonts w:hint="eastAsia" w:ascii="黑体" w:hAnsi="黑体" w:eastAsia="黑体"/>
          <w:b w:val="0"/>
          <w:bCs w:val="0"/>
          <w:color w:val="auto"/>
          <w:highlight w:val="none"/>
        </w:rPr>
        <w:t>部门概况</w:t>
      </w:r>
      <w:bookmarkEnd w:id="12"/>
      <w:bookmarkEnd w:id="13"/>
    </w:p>
    <w:p>
      <w:pPr>
        <w:pStyle w:val="3"/>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lang w:eastAsia="zh-CN"/>
        </w:rPr>
        <w:t>）贯彻党的路线、方针、政策，执行国家、省、市有关旅游度假区的法律、法规及政策规定。</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lang w:eastAsia="zh-CN"/>
        </w:rPr>
        <w:t>）牵头负责保护曾家山旅游度假区旅游资源，维护自然风貌和人文景观。</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lang w:eastAsia="zh-CN"/>
        </w:rPr>
        <w:t>）协助编制曾家山旅游度假区总体规划和详细规划并组织实施，按照总体规划对曾家山旅游度假区内的新建、扩建和改建项目进行初审并按程序上报。</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lang w:eastAsia="zh-CN"/>
        </w:rPr>
        <w:t>）负责统筹曾家山旅游度假区各景点基础设施和公共设施建设管理。负责曾家山旅游度假区旅游项目规划、开发、建设和推进。</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lang w:eastAsia="zh-CN"/>
        </w:rPr>
        <w:t>）负责曾家山旅游度假区旅游行业的管理，制定行业管理规范，监管旅游行业秩序和服务质量，协调有关部门依法制止和查处旅游市场违规行为。</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六</w:t>
      </w:r>
      <w:r>
        <w:rPr>
          <w:rFonts w:hint="eastAsia" w:ascii="仿宋" w:hAnsi="仿宋" w:eastAsia="仿宋"/>
          <w:color w:val="auto"/>
          <w:sz w:val="32"/>
          <w:szCs w:val="32"/>
          <w:highlight w:val="none"/>
          <w:lang w:eastAsia="zh-CN"/>
        </w:rPr>
        <w:t>）负责对曾家山旅游度假区企事业单位建设与营运进行指导、协调、服务。制定曾家山旅游度假区管理制度和安全事故、突发事件的预防机制、应急预案，配合相关部门、乡镇开展曾家山旅游度假区内的生态环境保护、安全生产、信访维稳等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七</w:t>
      </w:r>
      <w:r>
        <w:rPr>
          <w:rFonts w:hint="eastAsia" w:ascii="仿宋" w:hAnsi="仿宋" w:eastAsia="仿宋"/>
          <w:color w:val="auto"/>
          <w:sz w:val="32"/>
          <w:szCs w:val="32"/>
          <w:highlight w:val="none"/>
          <w:lang w:eastAsia="zh-CN"/>
        </w:rPr>
        <w:t>）负责曾家山旅游度假区景点的开发利用、招商引资和营销工作，推进相关产业融合发展，收取旅游资源有偿使用费。</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八</w:t>
      </w:r>
      <w:r>
        <w:rPr>
          <w:rFonts w:hint="eastAsia" w:ascii="仿宋" w:hAnsi="仿宋" w:eastAsia="仿宋"/>
          <w:color w:val="auto"/>
          <w:sz w:val="32"/>
          <w:szCs w:val="32"/>
          <w:highlight w:val="none"/>
          <w:lang w:eastAsia="zh-CN"/>
        </w:rPr>
        <w:t>）负责曾家山旅游度假区整体旅游形象的宣传、对外推广、推介。</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九</w:t>
      </w:r>
      <w:r>
        <w:rPr>
          <w:rFonts w:hint="eastAsia" w:ascii="仿宋" w:hAnsi="仿宋" w:eastAsia="仿宋"/>
          <w:color w:val="auto"/>
          <w:sz w:val="32"/>
          <w:szCs w:val="32"/>
          <w:highlight w:val="none"/>
          <w:lang w:eastAsia="zh-CN"/>
        </w:rPr>
        <w:t>）负责对辖区国有旅游投资公司的运营进行指导、监管、考核。</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十</w:t>
      </w:r>
      <w:r>
        <w:rPr>
          <w:rFonts w:hint="eastAsia" w:ascii="仿宋" w:hAnsi="仿宋" w:eastAsia="仿宋"/>
          <w:color w:val="auto"/>
          <w:sz w:val="32"/>
          <w:szCs w:val="32"/>
          <w:highlight w:val="none"/>
          <w:lang w:eastAsia="zh-CN"/>
        </w:rPr>
        <w:t>）完成市委、市政府和朝天区委、区政府交办的其他工作，接受市级有关部门的业务指导。</w:t>
      </w:r>
    </w:p>
    <w:p>
      <w:pPr>
        <w:numPr>
          <w:ilvl w:val="0"/>
          <w:numId w:val="0"/>
        </w:numPr>
        <w:rPr>
          <w:rFonts w:hint="eastAsia"/>
          <w:lang w:eastAsia="zh-CN"/>
        </w:rPr>
      </w:pPr>
    </w:p>
    <w:p>
      <w:pPr>
        <w:pStyle w:val="3"/>
        <w:rPr>
          <w:rStyle w:val="32"/>
          <w:b w:val="0"/>
          <w:bCs w:val="0"/>
          <w:color w:val="auto"/>
          <w:highlight w:val="none"/>
        </w:rPr>
      </w:pPr>
      <w:bookmarkStart w:id="14" w:name="_Toc15377200"/>
      <w:bookmarkStart w:id="15"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14"/>
      <w:bookmarkEnd w:id="15"/>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w:t>
      </w:r>
      <w:r>
        <w:rPr>
          <w:rFonts w:hint="eastAsia" w:ascii="仿宋" w:hAnsi="仿宋" w:eastAsia="仿宋"/>
          <w:color w:val="auto"/>
          <w:sz w:val="32"/>
          <w:szCs w:val="32"/>
          <w:highlight w:val="none"/>
          <w:lang w:eastAsia="zh-CN"/>
        </w:rPr>
        <w:t>曾家山旅游度假区</w:t>
      </w:r>
      <w:r>
        <w:rPr>
          <w:rFonts w:hint="eastAsia" w:ascii="仿宋" w:hAnsi="仿宋" w:eastAsia="仿宋"/>
          <w:color w:val="auto"/>
          <w:sz w:val="32"/>
          <w:szCs w:val="32"/>
          <w:highlight w:val="none"/>
          <w:lang w:val="en-US" w:eastAsia="zh-CN"/>
        </w:rPr>
        <w:t>管理委员会</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p>
    <w:p>
      <w:pPr>
        <w:pStyle w:val="6"/>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广元市</w:t>
      </w:r>
      <w:r>
        <w:rPr>
          <w:rFonts w:hint="eastAsia" w:ascii="仿宋" w:hAnsi="仿宋" w:eastAsia="仿宋"/>
          <w:color w:val="auto"/>
          <w:sz w:val="32"/>
          <w:szCs w:val="32"/>
          <w:highlight w:val="none"/>
          <w:lang w:eastAsia="zh-CN"/>
        </w:rPr>
        <w:t>曾家山旅游度假区</w:t>
      </w:r>
      <w:r>
        <w:rPr>
          <w:rFonts w:hint="eastAsia" w:ascii="仿宋" w:hAnsi="仿宋" w:eastAsia="仿宋"/>
          <w:color w:val="auto"/>
          <w:sz w:val="32"/>
          <w:szCs w:val="32"/>
          <w:highlight w:val="none"/>
          <w:lang w:val="en-US" w:eastAsia="zh-CN"/>
        </w:rPr>
        <w:t>管理委员会</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年度部门决算编制范围的二级预算单位包括：</w:t>
      </w:r>
    </w:p>
    <w:p>
      <w:pPr>
        <w:pStyle w:val="6"/>
        <w:numPr>
          <w:ilvl w:val="0"/>
          <w:numId w:val="2"/>
        </w:numPr>
        <w:adjustRightInd w:val="0"/>
        <w:snapToGrid w:val="0"/>
        <w:spacing w:before="93" w:line="600" w:lineRule="exact"/>
        <w:outlineLvl w:val="2"/>
        <w:rPr>
          <w:rFonts w:ascii="仿宋" w:hAnsi="仿宋" w:eastAsia="仿宋"/>
          <w:color w:val="auto"/>
          <w:sz w:val="32"/>
          <w:szCs w:val="32"/>
          <w:highlight w:val="none"/>
        </w:rPr>
      </w:pPr>
      <w:bookmarkStart w:id="16" w:name="_Toc15306276"/>
      <w:bookmarkStart w:id="17" w:name="_Toc15378449"/>
      <w:bookmarkStart w:id="18" w:name="_Toc15377202"/>
      <w:bookmarkStart w:id="19" w:name="_Toc15377433"/>
      <w:r>
        <w:rPr>
          <w:rFonts w:hint="eastAsia" w:ascii="仿宋" w:hAnsi="仿宋" w:eastAsia="仿宋"/>
          <w:color w:val="auto"/>
          <w:sz w:val="32"/>
          <w:szCs w:val="32"/>
          <w:highlight w:val="none"/>
          <w:lang w:val="en-US" w:eastAsia="zh-CN"/>
        </w:rPr>
        <w:t>曾家山旅游度假区服务中心</w:t>
      </w:r>
      <w:bookmarkEnd w:id="16"/>
      <w:bookmarkEnd w:id="17"/>
      <w:bookmarkEnd w:id="18"/>
      <w:bookmarkEnd w:id="19"/>
    </w:p>
    <w:p>
      <w:pPr>
        <w:pStyle w:val="6"/>
        <w:adjustRightInd w:val="0"/>
        <w:snapToGrid w:val="0"/>
        <w:spacing w:before="93" w:line="600" w:lineRule="exact"/>
        <w:ind w:firstLine="1120" w:firstLineChars="350"/>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31"/>
          <w:rFonts w:ascii="黑体" w:hAnsi="黑体" w:eastAsia="黑体"/>
          <w:b w:val="0"/>
          <w:bCs/>
          <w:color w:val="auto"/>
          <w:highlight w:val="none"/>
        </w:rPr>
      </w:pPr>
      <w:bookmarkStart w:id="20" w:name="_Toc15396602"/>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20"/>
      <w:bookmarkEnd w:id="21"/>
    </w:p>
    <w:p>
      <w:pPr>
        <w:rPr>
          <w:color w:val="auto"/>
          <w:highlight w:val="none"/>
        </w:rPr>
      </w:pPr>
    </w:p>
    <w:p>
      <w:pPr>
        <w:pStyle w:val="30"/>
        <w:numPr>
          <w:ilvl w:val="0"/>
          <w:numId w:val="3"/>
        </w:numPr>
        <w:spacing w:line="600" w:lineRule="exact"/>
        <w:ind w:firstLineChars="0"/>
        <w:outlineLvl w:val="1"/>
        <w:rPr>
          <w:rStyle w:val="32"/>
          <w:rFonts w:ascii="黑体" w:hAnsi="黑体" w:eastAsia="黑体"/>
          <w:b w:val="0"/>
          <w:color w:val="auto"/>
          <w:highlight w:val="none"/>
        </w:rPr>
      </w:pPr>
      <w:bookmarkStart w:id="22" w:name="_Toc15377205"/>
      <w:bookmarkStart w:id="23" w:name="_Toc15396603"/>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22"/>
      <w:bookmarkEnd w:id="2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570.1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sz w:val="32"/>
          <w:szCs w:val="32"/>
        </w:rPr>
        <w:t>收</w:t>
      </w:r>
      <w:r>
        <w:rPr>
          <w:rFonts w:hint="eastAsia" w:ascii="仿宋" w:hAnsi="仿宋" w:eastAsia="仿宋"/>
          <w:sz w:val="32"/>
          <w:szCs w:val="32"/>
          <w:lang w:val="en-US"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165.34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增长40.85%；</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总计各增加</w:t>
      </w:r>
      <w:r>
        <w:rPr>
          <w:rFonts w:hint="eastAsia" w:ascii="仿宋" w:hAnsi="仿宋" w:eastAsia="仿宋"/>
          <w:color w:val="auto"/>
          <w:sz w:val="32"/>
          <w:szCs w:val="32"/>
          <w:highlight w:val="none"/>
          <w:lang w:val="en-US" w:eastAsia="zh-CN"/>
        </w:rPr>
        <w:t>184.37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r>
        <w:rPr>
          <w:rFonts w:hint="eastAsia" w:ascii="仿宋" w:hAnsi="仿宋" w:eastAsia="仿宋"/>
          <w:color w:val="auto"/>
          <w:sz w:val="32"/>
          <w:szCs w:val="32"/>
          <w:highlight w:val="none"/>
          <w:lang w:eastAsia="zh-CN"/>
        </w:rPr>
        <w:t>。</w:t>
      </w:r>
    </w:p>
    <w:p>
      <w:pPr>
        <w:pStyle w:val="6"/>
        <w:jc w:val="center"/>
        <w:rPr>
          <w:rFonts w:hint="eastAsia"/>
          <w:lang w:eastAsia="zh-CN"/>
        </w:rPr>
      </w:pPr>
      <w:r>
        <w:rPr>
          <w:rFonts w:hint="eastAsia"/>
          <w:lang w:val="en-US" w:eastAsia="zh-CN"/>
        </w:rPr>
        <w:object>
          <v:shape id="_x0000_i1025" o:spt="75" type="#_x0000_t75" style="height:227.65pt;width:303.8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30"/>
        <w:numPr>
          <w:ilvl w:val="0"/>
          <w:numId w:val="3"/>
        </w:numPr>
        <w:spacing w:line="600" w:lineRule="exact"/>
        <w:ind w:firstLineChars="0"/>
        <w:outlineLvl w:val="1"/>
        <w:rPr>
          <w:rStyle w:val="32"/>
          <w:rFonts w:ascii="黑体" w:hAnsi="黑体" w:eastAsia="黑体"/>
          <w:b w:val="0"/>
          <w:color w:val="auto"/>
          <w:highlight w:val="none"/>
        </w:rPr>
      </w:pPr>
      <w:bookmarkStart w:id="24" w:name="_Toc15377206"/>
      <w:bookmarkStart w:id="25" w:name="_Toc15396604"/>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24"/>
      <w:bookmarkEnd w:id="25"/>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565.46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561.03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99.22</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4.43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1280" w:firstLineChars="400"/>
        <w:outlineLvl w:val="1"/>
        <w:rPr>
          <w:rFonts w:ascii="仿宋" w:hAnsi="仿宋" w:eastAsia="仿宋"/>
          <w:color w:val="auto"/>
          <w:sz w:val="32"/>
          <w:szCs w:val="32"/>
          <w:highlight w:val="none"/>
        </w:rPr>
      </w:pPr>
      <w:r>
        <w:rPr>
          <w:rFonts w:hint="eastAsia" w:ascii="仿宋" w:hAnsi="仿宋" w:eastAsia="仿宋"/>
          <w:color w:val="FF0000"/>
          <w:sz w:val="32"/>
          <w:szCs w:val="32"/>
          <w:lang w:val="en-US" w:eastAsia="zh-CN"/>
        </w:rPr>
        <w:object>
          <v:shape id="_x0000_i1026" o:spt="75" type="#_x0000_t75" style="height:223.2pt;width:333.7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30"/>
        <w:numPr>
          <w:ilvl w:val="0"/>
          <w:numId w:val="3"/>
        </w:numPr>
        <w:spacing w:line="600" w:lineRule="exact"/>
        <w:ind w:firstLineChars="0"/>
        <w:outlineLvl w:val="1"/>
        <w:rPr>
          <w:rStyle w:val="32"/>
          <w:rFonts w:ascii="黑体" w:hAnsi="黑体" w:eastAsia="黑体"/>
          <w:b w:val="0"/>
          <w:color w:val="auto"/>
          <w:highlight w:val="none"/>
        </w:rPr>
      </w:pPr>
      <w:bookmarkStart w:id="26" w:name="_Toc15396605"/>
      <w:bookmarkStart w:id="27" w:name="_Toc15377207"/>
      <w:r>
        <w:rPr>
          <w:rFonts w:hint="eastAsia" w:ascii="黑体" w:hAnsi="黑体" w:eastAsia="黑体"/>
          <w:color w:val="auto"/>
          <w:sz w:val="32"/>
          <w:szCs w:val="32"/>
          <w:highlight w:val="none"/>
        </w:rPr>
        <w:t>支</w:t>
      </w:r>
      <w:r>
        <w:rPr>
          <w:rStyle w:val="32"/>
          <w:rFonts w:hint="eastAsia" w:ascii="黑体" w:hAnsi="黑体" w:eastAsia="黑体"/>
          <w:b w:val="0"/>
          <w:color w:val="auto"/>
          <w:highlight w:val="none"/>
        </w:rPr>
        <w:t>出决算情况说明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570.1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372.79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65.39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197.32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jc w:val="center"/>
        <w:rPr>
          <w:rFonts w:ascii="仿宋" w:hAnsi="仿宋" w:eastAsia="仿宋"/>
          <w:color w:val="auto"/>
          <w:sz w:val="32"/>
          <w:szCs w:val="32"/>
          <w:highlight w:val="none"/>
          <w:shd w:val="pct10" w:color="auto" w:fill="FFFFFF"/>
        </w:rPr>
      </w:pPr>
      <w:r>
        <w:rPr>
          <w:rFonts w:hint="eastAsia" w:ascii="仿宋" w:hAnsi="仿宋" w:eastAsia="仿宋"/>
          <w:sz w:val="32"/>
          <w:szCs w:val="32"/>
          <w:shd w:val="pct10" w:color="auto" w:fill="FFFFFF"/>
          <w:lang w:eastAsia="zh-CN"/>
        </w:rPr>
        <w:object>
          <v:shape id="_x0000_i1027" o:spt="75" type="#_x0000_t75" style="height:223.45pt;width:307.2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2560" w:firstLineChars="8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32"/>
          <w:rFonts w:ascii="黑体" w:hAnsi="黑体" w:eastAsia="黑体"/>
          <w:b w:val="0"/>
          <w:color w:val="auto"/>
          <w:highlight w:val="none"/>
        </w:rPr>
      </w:pPr>
      <w:bookmarkStart w:id="28" w:name="_Toc15377208"/>
      <w:bookmarkStart w:id="29" w:name="_Toc15396606"/>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28"/>
      <w:bookmarkEnd w:id="29"/>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570.1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sz w:val="32"/>
          <w:szCs w:val="32"/>
        </w:rPr>
        <w:t>收</w:t>
      </w:r>
      <w:r>
        <w:rPr>
          <w:rFonts w:hint="eastAsia" w:ascii="仿宋" w:hAnsi="仿宋" w:eastAsia="仿宋"/>
          <w:sz w:val="32"/>
          <w:szCs w:val="32"/>
          <w:lang w:val="en-US"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165.34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增长40.85%；</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总计各增加</w:t>
      </w:r>
      <w:r>
        <w:rPr>
          <w:rFonts w:hint="eastAsia" w:ascii="仿宋" w:hAnsi="仿宋" w:eastAsia="仿宋"/>
          <w:color w:val="auto"/>
          <w:sz w:val="32"/>
          <w:szCs w:val="32"/>
          <w:highlight w:val="none"/>
          <w:lang w:val="en-US" w:eastAsia="zh-CN"/>
        </w:rPr>
        <w:t>184.37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r>
        <w:rPr>
          <w:rFonts w:hint="eastAsia" w:ascii="仿宋" w:hAnsi="仿宋" w:eastAsia="仿宋"/>
          <w:color w:val="auto"/>
          <w:sz w:val="32"/>
          <w:szCs w:val="32"/>
          <w:highlight w:val="none"/>
          <w:lang w:eastAsia="zh-CN"/>
        </w:rPr>
        <w:t>。</w:t>
      </w:r>
    </w:p>
    <w:p>
      <w:pPr>
        <w:pStyle w:val="6"/>
        <w:jc w:val="center"/>
        <w:rPr>
          <w:rFonts w:ascii="仿宋" w:hAnsi="仿宋" w:eastAsia="仿宋"/>
          <w:color w:val="auto"/>
          <w:sz w:val="32"/>
          <w:szCs w:val="32"/>
          <w:highlight w:val="none"/>
        </w:rPr>
      </w:pPr>
      <w:r>
        <w:rPr>
          <w:rFonts w:hint="eastAsia"/>
          <w:lang w:val="en-US" w:eastAsia="zh-CN"/>
        </w:rPr>
        <w:t xml:space="preserve">  </w:t>
      </w:r>
      <w:r>
        <w:rPr>
          <w:rFonts w:hint="eastAsia"/>
          <w:lang w:val="en-US" w:eastAsia="zh-CN"/>
        </w:rPr>
        <w:object>
          <v:shape id="_x0000_i1028" o:spt="75" type="#_x0000_t75" style="height:243pt;width:324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2"/>
          <w:rFonts w:ascii="黑体" w:hAnsi="黑体" w:eastAsia="黑体"/>
          <w:b w:val="0"/>
          <w:color w:val="auto"/>
          <w:highlight w:val="none"/>
        </w:rPr>
      </w:pPr>
      <w:bookmarkStart w:id="30" w:name="_Toc15396607"/>
      <w:bookmarkStart w:id="31"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30"/>
      <w:bookmarkEnd w:id="31"/>
    </w:p>
    <w:p>
      <w:pPr>
        <w:spacing w:line="600" w:lineRule="exact"/>
        <w:ind w:firstLine="643" w:firstLineChars="200"/>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pPr>
        <w:spacing w:line="600" w:lineRule="exact"/>
        <w:ind w:firstLine="640" w:firstLineChars="20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570.1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184.37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p>
    <w:p>
      <w:pPr>
        <w:spacing w:line="240" w:lineRule="auto"/>
        <w:ind w:firstLine="420" w:firstLineChars="200"/>
        <w:jc w:val="center"/>
        <w:rPr>
          <w:rFonts w:hint="eastAsia" w:ascii="仿宋" w:hAnsi="仿宋" w:eastAsia="仿宋"/>
          <w:color w:val="auto"/>
          <w:sz w:val="32"/>
          <w:szCs w:val="32"/>
          <w:highlight w:val="none"/>
        </w:rPr>
      </w:pPr>
      <w:r>
        <w:rPr>
          <w:rFonts w:hint="eastAsia"/>
          <w:lang w:val="en-US" w:eastAsia="zh-CN"/>
        </w:rPr>
        <w:object>
          <v:shape id="_x0000_i1029" o:spt="75" type="#_x0000_t75" style="height:229.5pt;width:290.2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33" w:name="_Toc15377211"/>
      <w:r>
        <w:rPr>
          <w:rFonts w:hint="eastAsia" w:ascii="仿宋" w:hAnsi="仿宋" w:eastAsia="仿宋"/>
          <w:b/>
          <w:color w:val="auto"/>
          <w:sz w:val="32"/>
          <w:szCs w:val="32"/>
          <w:highlight w:val="none"/>
        </w:rPr>
        <w:t>（二）一般公共预算财政拨款支出决算结构情况</w:t>
      </w:r>
      <w:bookmarkEnd w:id="33"/>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570.1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166.57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332.6</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58.34</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27.67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14.13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农林水支出</w:t>
      </w:r>
      <w:r>
        <w:rPr>
          <w:rFonts w:hint="eastAsia" w:ascii="仿宋" w:hAnsi="仿宋" w:eastAsia="仿宋"/>
          <w:color w:val="auto"/>
          <w:sz w:val="32"/>
          <w:szCs w:val="32"/>
          <w:highlight w:val="none"/>
          <w:lang w:val="en-US" w:eastAsia="zh-CN"/>
        </w:rPr>
        <w:t>1.5万元，占0.26%；</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27.64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jc w:val="center"/>
        <w:rPr>
          <w:rFonts w:ascii="仿宋" w:hAnsi="仿宋" w:eastAsia="仿宋"/>
          <w:color w:val="auto"/>
          <w:sz w:val="32"/>
          <w:szCs w:val="32"/>
          <w:highlight w:val="none"/>
        </w:rPr>
      </w:pPr>
      <w:r>
        <w:rPr>
          <w:rFonts w:hint="eastAsia" w:eastAsia="仿宋"/>
          <w:lang w:val="en-US" w:eastAsia="zh-CN"/>
        </w:rPr>
        <w:t xml:space="preserve">  </w:t>
      </w:r>
      <w:r>
        <w:rPr>
          <w:rFonts w:hint="eastAsia" w:eastAsia="仿宋"/>
          <w:lang w:eastAsia="zh-CN"/>
        </w:rPr>
        <w:object>
          <v:shape id="_x0000_i1030" o:spt="75" type="#_x0000_t75" style="height:205.5pt;width:305.1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pStyle w:val="6"/>
        <w:rPr>
          <w:rFonts w:ascii="仿宋" w:hAnsi="仿宋" w:eastAsia="仿宋"/>
          <w:color w:val="auto"/>
          <w:sz w:val="32"/>
          <w:szCs w:val="32"/>
          <w:highlight w:val="none"/>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4" w:name="_Toc15377212"/>
      <w:r>
        <w:rPr>
          <w:rFonts w:hint="eastAsia" w:ascii="仿宋" w:hAnsi="仿宋" w:eastAsia="仿宋"/>
          <w:b/>
          <w:color w:val="auto"/>
          <w:sz w:val="32"/>
          <w:szCs w:val="32"/>
          <w:highlight w:val="none"/>
        </w:rPr>
        <w:t>（三）一般公共预算财政拨款支出决算具体情况</w:t>
      </w:r>
      <w:bookmarkEnd w:id="34"/>
    </w:p>
    <w:p>
      <w:pPr>
        <w:spacing w:line="600" w:lineRule="exact"/>
        <w:ind w:firstLine="643" w:firstLineChars="200"/>
        <w:outlineLvl w:val="2"/>
        <w:rPr>
          <w:rFonts w:ascii="仿宋" w:hAnsi="仿宋" w:eastAsia="仿宋"/>
          <w:color w:val="auto"/>
          <w:sz w:val="32"/>
          <w:szCs w:val="32"/>
          <w:highlight w:val="none"/>
        </w:rPr>
      </w:pPr>
      <w:bookmarkStart w:id="35" w:name="_Toc15377213"/>
      <w:bookmarkStart w:id="36" w:name="_Toc15377444"/>
      <w:bookmarkStart w:id="37"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570.1</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5"/>
      <w:bookmarkEnd w:id="36"/>
      <w:bookmarkEnd w:id="37"/>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一般公共服务（类）政府办公厅（室）及相关机构事务（款） 事业运行（项）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166.57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文化旅游体育与传媒支出（类）文化和旅游（款） 行政运行（项）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132.35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文化旅游体育与传媒支出（类）文化和旅游（款）  一般行政管理事务（项）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0.24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ascii="仿宋" w:hAnsi="仿宋" w:eastAsia="仿宋"/>
          <w:bCs/>
          <w:color w:val="auto"/>
          <w:sz w:val="32"/>
          <w:szCs w:val="32"/>
          <w:highlight w:val="none"/>
        </w:rPr>
        <w:t>4.</w:t>
      </w:r>
      <w:r>
        <w:rPr>
          <w:rStyle w:val="18"/>
          <w:rFonts w:hint="eastAsia" w:ascii="仿宋" w:hAnsi="仿宋" w:eastAsia="仿宋"/>
          <w:bCs/>
          <w:color w:val="auto"/>
          <w:sz w:val="32"/>
          <w:szCs w:val="32"/>
          <w:highlight w:val="none"/>
        </w:rPr>
        <w:t>文化旅游体育与传媒支出（类）文化和旅游（款）  其他文化和旅游支出（项）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4.64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cs="Times New Roman"/>
          <w:bCs/>
          <w:color w:val="auto"/>
          <w:kern w:val="2"/>
          <w:sz w:val="32"/>
          <w:szCs w:val="32"/>
          <w:highlight w:val="none"/>
          <w:lang w:val="en-US" w:eastAsia="zh-CN" w:bidi="ar-SA"/>
        </w:rPr>
        <w:t>5.文化旅游体育与传媒支出（类）其他文化旅游体育与传媒支出（款）其他文化旅游体育与传媒支出（项）：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190.94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6.</w:t>
      </w:r>
      <w:r>
        <w:rPr>
          <w:rStyle w:val="18"/>
          <w:rFonts w:hint="eastAsia" w:ascii="仿宋" w:hAnsi="仿宋" w:eastAsia="仿宋"/>
          <w:bCs/>
          <w:color w:val="auto"/>
          <w:sz w:val="32"/>
          <w:szCs w:val="32"/>
          <w:highlight w:val="none"/>
        </w:rPr>
        <w:t>社会保障和就业（类）行政事业单位养老支出（款）  机关事业单位基本养老保险缴费支出（项）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26.65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hint="eastAsia" w:ascii="仿宋" w:hAnsi="仿宋" w:eastAsia="仿宋"/>
          <w:bCs/>
          <w:color w:val="auto"/>
          <w:sz w:val="32"/>
          <w:szCs w:val="32"/>
          <w:highlight w:val="none"/>
        </w:rPr>
        <w:t>社会保障和就业（类）行政事业单位养老支出（款） 机关事业单位职业年金缴费支出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lang w:val="en-US" w:eastAsia="zh-CN"/>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0.66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hint="eastAsia" w:ascii="仿宋" w:hAnsi="仿宋" w:eastAsia="仿宋"/>
          <w:bCs/>
          <w:color w:val="auto"/>
          <w:sz w:val="32"/>
          <w:szCs w:val="32"/>
          <w:highlight w:val="none"/>
        </w:rPr>
        <w:t>社会保障和就业（类）其他社会保障和就业支出（款） 其他社会保障和就业支出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lang w:val="en-US" w:eastAsia="zh-CN"/>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0.36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9</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（类）行政事业单位医疗（款）行政单位医疗（项）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5.89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spacing w:line="600" w:lineRule="exact"/>
        <w:ind w:firstLine="643" w:firstLineChars="200"/>
        <w:rPr>
          <w:rStyle w:val="18"/>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 事业单位医疗（项）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8.24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spacing w:line="600" w:lineRule="exact"/>
        <w:ind w:firstLine="643"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11.农林水支出</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巩固脱贫衔接乡村振兴</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其他巩固脱贫衔接乡村振兴支出</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12.住房保障支出</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住房改革支出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 xml:space="preserve">  住房公积金</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27.64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tabs>
          <w:tab w:val="right" w:pos="8306"/>
        </w:tabs>
        <w:spacing w:line="600" w:lineRule="exact"/>
        <w:ind w:firstLine="640"/>
        <w:outlineLvl w:val="1"/>
        <w:rPr>
          <w:rStyle w:val="32"/>
          <w:color w:val="auto"/>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8"/>
      <w:bookmarkEnd w:id="39"/>
      <w:r>
        <w:rPr>
          <w:rStyle w:val="32"/>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368.36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331.56</w:t>
      </w:r>
      <w:r>
        <w:rPr>
          <w:rFonts w:hint="eastAsia" w:ascii="仿宋" w:hAnsi="仿宋" w:eastAsia="仿宋"/>
          <w:color w:val="auto"/>
          <w:sz w:val="32"/>
          <w:szCs w:val="32"/>
          <w:highlight w:val="none"/>
        </w:rPr>
        <w:t>万元，主要包括：基本工资、津贴补贴、奖金、绩效工资、机关事业单位基本养老保险缴费、职业年金缴费、职工基本医疗保险缴费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其他社会保障缴费、生活补助、奖励金、住房公积金。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36.79</w:t>
      </w:r>
      <w:r>
        <w:rPr>
          <w:rFonts w:hint="eastAsia" w:ascii="仿宋" w:hAnsi="仿宋" w:eastAsia="仿宋"/>
          <w:color w:val="auto"/>
          <w:sz w:val="32"/>
          <w:szCs w:val="32"/>
          <w:highlight w:val="none"/>
        </w:rPr>
        <w:t>万元，主要包括：办公费、水费、电费、邮电费、差旅费、维修（护）费、租赁费、会议费、公务接待费、其他交通费。</w:t>
      </w:r>
    </w:p>
    <w:p>
      <w:pPr>
        <w:spacing w:line="600" w:lineRule="exact"/>
        <w:ind w:firstLine="640"/>
        <w:outlineLvl w:val="1"/>
        <w:rPr>
          <w:rStyle w:val="32"/>
          <w:rFonts w:ascii="黑体" w:hAnsi="黑体" w:eastAsia="黑体"/>
          <w:b w:val="0"/>
          <w:color w:val="auto"/>
          <w:highlight w:val="none"/>
        </w:rPr>
      </w:pPr>
      <w:bookmarkStart w:id="40" w:name="_Toc15377215"/>
      <w:bookmarkStart w:id="41" w:name="_Toc15396609"/>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40"/>
      <w:bookmarkEnd w:id="41"/>
    </w:p>
    <w:p>
      <w:pPr>
        <w:spacing w:line="600" w:lineRule="exact"/>
        <w:ind w:firstLine="640"/>
        <w:outlineLvl w:val="2"/>
        <w:rPr>
          <w:rFonts w:ascii="仿宋" w:hAnsi="仿宋" w:eastAsia="仿宋"/>
          <w:b/>
          <w:color w:val="auto"/>
          <w:sz w:val="32"/>
          <w:szCs w:val="32"/>
          <w:highlight w:val="none"/>
        </w:rPr>
      </w:pPr>
      <w:bookmarkStart w:id="42" w:name="_Toc15377216"/>
      <w:r>
        <w:rPr>
          <w:rFonts w:hint="eastAsia" w:ascii="仿宋" w:hAnsi="仿宋" w:eastAsia="仿宋"/>
          <w:b/>
          <w:color w:val="auto"/>
          <w:sz w:val="32"/>
          <w:szCs w:val="32"/>
          <w:highlight w:val="none"/>
        </w:rPr>
        <w:t>（一）“三公”经费财政拨款支出决算总体情况说明</w:t>
      </w:r>
      <w:bookmarkEnd w:id="4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减少2.38万元，下降51.18%。</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rPr>
        <w:t>的主要原因是</w:t>
      </w:r>
      <w:r>
        <w:rPr>
          <w:rFonts w:hint="eastAsia" w:ascii="仿宋" w:hAnsi="仿宋" w:eastAsia="仿宋"/>
          <w:color w:val="auto"/>
          <w:sz w:val="32"/>
          <w:szCs w:val="32"/>
          <w:highlight w:val="none"/>
          <w:lang w:val="en-US" w:eastAsia="zh-CN"/>
        </w:rPr>
        <w:t>接待减少</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3" w:name="_Toc15377217"/>
      <w:r>
        <w:rPr>
          <w:rFonts w:hint="eastAsia" w:ascii="仿宋" w:hAnsi="仿宋" w:eastAsia="仿宋"/>
          <w:b/>
          <w:color w:val="auto"/>
          <w:sz w:val="32"/>
          <w:szCs w:val="32"/>
          <w:highlight w:val="none"/>
        </w:rPr>
        <w:t>（二）“三公”经费财政拨款支出决算具体情况说明</w:t>
      </w:r>
      <w:bookmarkEnd w:id="4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jc w:val="center"/>
      </w:pPr>
      <w:r>
        <w:rPr>
          <w:rFonts w:hint="eastAsia" w:eastAsia="仿宋"/>
          <w:lang w:eastAsia="zh-CN"/>
        </w:rPr>
        <w:object>
          <v:shape id="_x0000_i1031" o:spt="75" type="#_x0000_t75" style="height:219.2pt;width:260.8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spacing w:line="600" w:lineRule="exact"/>
        <w:ind w:firstLine="1292" w:firstLineChars="404"/>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商务车1辆</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2.27</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2.38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50.85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接待减少</w:t>
      </w:r>
      <w:r>
        <w:rPr>
          <w:rFonts w:hint="eastAsia" w:ascii="仿宋_GB2312" w:eastAsia="仿宋_GB2312"/>
          <w:color w:val="auto"/>
          <w:sz w:val="32"/>
          <w:szCs w:val="32"/>
          <w:highlight w:val="none"/>
        </w:rPr>
        <w:t>。其中：</w:t>
      </w:r>
    </w:p>
    <w:p>
      <w:pPr>
        <w:numPr>
          <w:ilvl w:val="0"/>
          <w:numId w:val="0"/>
        </w:numPr>
        <w:spacing w:line="600" w:lineRule="exact"/>
        <w:ind w:firstLine="643" w:firstLineChars="200"/>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2.27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237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2.27</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服务中心总计接待5批次、39人次共计0.53万元：1.勉县武侯祠博物馆来本单位学习交流项目0.24万元，</w:t>
      </w:r>
      <w:r>
        <w:rPr>
          <w:rFonts w:hint="eastAsia" w:ascii="仿宋_GB2312" w:hAnsi="仿宋_GB2312" w:eastAsia="仿宋_GB2312" w:cs="仿宋_GB2312"/>
          <w:b w:val="0"/>
          <w:bCs w:val="0"/>
          <w:sz w:val="32"/>
          <w:szCs w:val="32"/>
          <w:lang w:val="en-US" w:eastAsia="zh-CN"/>
        </w:rPr>
        <w:t>接待1批次11人次。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2.广元阳光假日旅行社有限公司来本单位联系团体旅游相关工作项目0.08万元，</w:t>
      </w:r>
      <w:r>
        <w:rPr>
          <w:rFonts w:hint="eastAsia" w:ascii="仿宋_GB2312" w:hAnsi="仿宋_GB2312" w:eastAsia="仿宋_GB2312" w:cs="仿宋_GB2312"/>
          <w:b w:val="0"/>
          <w:bCs w:val="0"/>
          <w:sz w:val="32"/>
          <w:szCs w:val="32"/>
          <w:lang w:val="en-US" w:eastAsia="zh-CN"/>
        </w:rPr>
        <w:t>接待1批次8人次。</w:t>
      </w:r>
    </w:p>
    <w:p>
      <w:pPr>
        <w:numPr>
          <w:ilvl w:val="0"/>
          <w:numId w:val="0"/>
        </w:num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eastAsia="仿宋_GB2312"/>
          <w:color w:val="auto"/>
          <w:sz w:val="32"/>
          <w:szCs w:val="32"/>
          <w:highlight w:val="none"/>
          <w:lang w:val="en-US" w:eastAsia="zh-CN"/>
        </w:rPr>
        <w:t>3.广元阳光假日旅行社有限公司来本单位联系旅行团接待工作项目0.09万元，</w:t>
      </w:r>
      <w:r>
        <w:rPr>
          <w:rFonts w:hint="eastAsia" w:ascii="仿宋_GB2312" w:hAnsi="仿宋_GB2312" w:eastAsia="仿宋_GB2312" w:cs="仿宋_GB2312"/>
          <w:b w:val="0"/>
          <w:bCs w:val="0"/>
          <w:sz w:val="32"/>
          <w:szCs w:val="32"/>
          <w:lang w:val="en-US" w:eastAsia="zh-CN"/>
        </w:rPr>
        <w:t>接待1批次9人次。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4.广元市农业融资担保有限公司来本单位调研项目工作0.04万元，</w:t>
      </w:r>
      <w:r>
        <w:rPr>
          <w:rFonts w:hint="eastAsia" w:ascii="仿宋_GB2312" w:hAnsi="仿宋_GB2312" w:eastAsia="仿宋_GB2312" w:cs="仿宋_GB2312"/>
          <w:b w:val="0"/>
          <w:bCs w:val="0"/>
          <w:sz w:val="32"/>
          <w:szCs w:val="32"/>
          <w:lang w:val="en-US" w:eastAsia="zh-CN"/>
        </w:rPr>
        <w:t>接待1批次3人次。</w:t>
      </w:r>
    </w:p>
    <w:p>
      <w:pPr>
        <w:numPr>
          <w:ilvl w:val="0"/>
          <w:numId w:val="0"/>
        </w:numPr>
        <w:spacing w:line="600" w:lineRule="exact"/>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5.广元市利好产业发展集团有限公司来本单位联系工作0.08万元，</w:t>
      </w:r>
      <w:r>
        <w:rPr>
          <w:rFonts w:hint="eastAsia" w:ascii="仿宋_GB2312" w:hAnsi="仿宋_GB2312" w:eastAsia="仿宋_GB2312" w:cs="仿宋_GB2312"/>
          <w:b w:val="0"/>
          <w:bCs w:val="0"/>
          <w:sz w:val="32"/>
          <w:szCs w:val="32"/>
          <w:lang w:val="en-US" w:eastAsia="zh-CN"/>
        </w:rPr>
        <w:t>接待1批次8人次。</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管委会总计接待23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198人</w:t>
      </w:r>
      <w:r>
        <w:rPr>
          <w:rFonts w:hint="eastAsia" w:ascii="仿宋_GB2312" w:eastAsia="仿宋_GB2312"/>
          <w:color w:val="auto"/>
          <w:sz w:val="32"/>
          <w:szCs w:val="32"/>
          <w:highlight w:val="none"/>
        </w:rPr>
        <w:t>次，共计支出</w:t>
      </w:r>
      <w:r>
        <w:rPr>
          <w:rFonts w:hint="eastAsia" w:ascii="仿宋_GB2312" w:eastAsia="仿宋_GB2312"/>
          <w:color w:val="auto"/>
          <w:sz w:val="32"/>
          <w:szCs w:val="32"/>
          <w:highlight w:val="none"/>
          <w:lang w:val="en-US" w:eastAsia="zh-CN"/>
        </w:rPr>
        <w:t>1.74</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1.深圳贵华游乐有限公司投资项目座谈会0.3万元，</w:t>
      </w:r>
      <w:r>
        <w:rPr>
          <w:rFonts w:hint="eastAsia" w:ascii="仿宋_GB2312" w:hAnsi="仿宋_GB2312" w:eastAsia="仿宋_GB2312" w:cs="仿宋_GB2312"/>
          <w:b w:val="0"/>
          <w:bCs w:val="0"/>
          <w:sz w:val="32"/>
          <w:szCs w:val="32"/>
          <w:lang w:val="en-US" w:eastAsia="zh-CN"/>
        </w:rPr>
        <w:t>接待3批次8人次；</w:t>
      </w:r>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u w:val="none"/>
          <w:lang w:val="en-US" w:eastAsia="zh-CN"/>
        </w:rPr>
        <w:t>2.浙江联众休闲度假有限公司考察曾家山0.2万元，接</w:t>
      </w:r>
      <w:r>
        <w:rPr>
          <w:rFonts w:hint="eastAsia" w:ascii="仿宋_GB2312" w:eastAsia="仿宋_GB2312"/>
          <w:color w:val="auto"/>
          <w:sz w:val="32"/>
          <w:szCs w:val="32"/>
          <w:highlight w:val="none"/>
          <w:lang w:val="en-US" w:eastAsia="zh-CN"/>
        </w:rPr>
        <w:t>待3批次17人次；</w:t>
      </w:r>
    </w:p>
    <w:p>
      <w:pPr>
        <w:pStyle w:val="5"/>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3.巴中市光雾山诺水河文旅融合法制示范区管委会赴广元市曾家山考察学习0.2万元，接待3批次20人次；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4.民航专家赴广元帮助研究指导通用机场规划建设前期工作0.18万元，接待2批次6人次；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5.世纪盈通+成都旅投联合体项目考察组赴广元市曾家山旅游度假区考察等0.08万元，接待3批次16人次；</w:t>
      </w:r>
    </w:p>
    <w:p>
      <w:pPr>
        <w:pStyle w:val="5"/>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6.广元市曾家山旅游度假区规划建设领导小组第一次全体会议筹备工作会0.08万元，接待2批次36人次；</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7.曾家山旅游度假区建设推进会筹备工作会议方案0.1万元，接待2批次，44人次</w:t>
      </w:r>
    </w:p>
    <w:p>
      <w:pPr>
        <w:pStyle w:val="5"/>
        <w:numPr>
          <w:ilvl w:val="0"/>
          <w:numId w:val="0"/>
        </w:num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 四川花卉（果类）生态旅游节主会场暨第六届四川朝天核桃文化旅游节现场参观协调会0.1万元，接待3批次16人次；</w:t>
      </w:r>
    </w:p>
    <w:p>
      <w:pPr>
        <w:pStyle w:val="5"/>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9.曾家山旅游度假区建设推进会0.5万元，接待2批次 35人次。</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4" w:name="_Toc15396610"/>
      <w:bookmarkStart w:id="45" w:name="_Toc15377218"/>
    </w:p>
    <w:p>
      <w:pPr>
        <w:spacing w:line="600" w:lineRule="exact"/>
        <w:ind w:firstLine="640"/>
        <w:outlineLvl w:val="1"/>
        <w:rPr>
          <w:rStyle w:val="32"/>
          <w:rFonts w:ascii="黑体" w:hAnsi="黑体" w:eastAsia="黑体"/>
          <w:color w:val="auto"/>
          <w:highlight w:val="none"/>
        </w:rPr>
      </w:pPr>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4"/>
      <w:bookmarkEnd w:id="4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32"/>
          <w:rFonts w:ascii="黑体" w:hAnsi="黑体" w:eastAsia="黑体"/>
          <w:b w:val="0"/>
          <w:color w:val="auto"/>
          <w:highlight w:val="none"/>
        </w:rPr>
      </w:pPr>
      <w:bookmarkStart w:id="46" w:name="_Toc15396611"/>
      <w:bookmarkStart w:id="47" w:name="_Toc15377219"/>
      <w:r>
        <w:rPr>
          <w:rStyle w:val="32"/>
          <w:rFonts w:hint="eastAsia" w:ascii="黑体" w:hAnsi="黑体" w:eastAsia="黑体"/>
          <w:b w:val="0"/>
          <w:color w:val="auto"/>
          <w:highlight w:val="none"/>
        </w:rPr>
        <w:t>国有资本经营预算支出决算情况说明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32"/>
          <w:rFonts w:hint="eastAsia" w:ascii="黑体" w:hAnsi="黑体" w:eastAsia="黑体"/>
          <w:b w:val="0"/>
          <w:color w:val="auto"/>
          <w:highlight w:val="none"/>
        </w:rPr>
      </w:pPr>
      <w:bookmarkStart w:id="48" w:name="_Toc15377221"/>
      <w:bookmarkStart w:id="49" w:name="_Toc15396612"/>
      <w:r>
        <w:rPr>
          <w:rStyle w:val="32"/>
          <w:rFonts w:hint="eastAsia" w:ascii="黑体" w:hAnsi="黑体" w:eastAsia="黑体"/>
          <w:b w:val="0"/>
          <w:color w:val="auto"/>
          <w:highlight w:val="none"/>
        </w:rPr>
        <w:t>其他重要事项的情况说明</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22"/>
      <w:r>
        <w:rPr>
          <w:rFonts w:hint="eastAsia" w:ascii="仿宋" w:hAnsi="仿宋" w:eastAsia="仿宋"/>
          <w:b/>
          <w:color w:val="auto"/>
          <w:sz w:val="32"/>
          <w:szCs w:val="32"/>
          <w:highlight w:val="none"/>
        </w:rPr>
        <w:t>（一）机关运行经费支出情况</w:t>
      </w:r>
      <w:bookmarkEnd w:id="50"/>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19.99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4.32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17.77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本部门厉行节约，减少“三公”经费开支,严格按照“三公”经费支出的文件和要求控制接待标准和减少接待次数和人数,所以费用</w:t>
      </w:r>
      <w:r>
        <w:rPr>
          <w:rFonts w:hint="default" w:ascii="仿宋_GB2312" w:eastAsia="仿宋_GB2312"/>
          <w:color w:val="auto"/>
          <w:sz w:val="32"/>
          <w:szCs w:val="32"/>
          <w:highlight w:val="none"/>
          <w:lang w:val="en-US" w:eastAsia="zh-CN"/>
        </w:rPr>
        <w:t>减少</w:t>
      </w:r>
      <w:r>
        <w:rPr>
          <w:rFonts w:hint="eastAsia" w:ascii="仿宋_GB2312" w:eastAsia="仿宋_GB2312"/>
          <w:color w:val="auto"/>
          <w:sz w:val="32"/>
          <w:szCs w:val="32"/>
          <w:highlight w:val="none"/>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1" w:name="_Toc15377223"/>
      <w:r>
        <w:rPr>
          <w:rFonts w:hint="eastAsia" w:ascii="仿宋" w:hAnsi="仿宋" w:eastAsia="仿宋"/>
          <w:b/>
          <w:color w:val="auto"/>
          <w:sz w:val="32"/>
          <w:szCs w:val="32"/>
          <w:highlight w:val="none"/>
        </w:rPr>
        <w:t>（二）政府采购支出情况</w:t>
      </w:r>
      <w:bookmarkEnd w:id="5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2" w:name="_Toc15377224"/>
      <w:r>
        <w:rPr>
          <w:rFonts w:hint="eastAsia" w:ascii="仿宋" w:hAnsi="仿宋" w:eastAsia="仿宋"/>
          <w:b/>
          <w:color w:val="auto"/>
          <w:sz w:val="32"/>
          <w:szCs w:val="32"/>
          <w:highlight w:val="none"/>
        </w:rPr>
        <w:t>（三）国有资产占有使用情况</w:t>
      </w:r>
      <w:bookmarkEnd w:id="5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景区运转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pStyle w:val="6"/>
        <w:ind w:firstLine="640" w:firstLineChars="200"/>
        <w:rPr>
          <w:rFonts w:hint="eastAsia" w:eastAsia="仿宋_GB2312"/>
          <w:color w:val="auto"/>
          <w:highlight w:val="yellow"/>
          <w:lang w:eastAsia="zh-CN"/>
        </w:rPr>
      </w:pPr>
      <w:r>
        <w:rPr>
          <w:rFonts w:hint="eastAsia" w:ascii="仿宋_GB2312" w:hAnsi="仿宋_GB2312" w:eastAsia="仿宋_GB2312" w:cs="仿宋_GB2312"/>
          <w:color w:val="auto"/>
          <w:sz w:val="32"/>
          <w:szCs w:val="32"/>
          <w:highlight w:val="none"/>
        </w:rPr>
        <w:t>根据预算绩效管理要求，本</w:t>
      </w:r>
      <w:r>
        <w:rPr>
          <w:rFonts w:hint="eastAsia" w:hAnsi="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天府旅游名县奖励资金</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朝天区高寒区干部温暖过冬项目取暖费这2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r>
        <w:rPr>
          <w:rFonts w:hint="eastAsia"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广元市曾家山旅游度假区管理委员会</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Times New Roman" w:eastAsia="仿宋_GB2312" w:cs="Times New Roman"/>
          <w:color w:val="000000"/>
          <w:spacing w:val="-6"/>
          <w:w w:val="99"/>
          <w:kern w:val="0"/>
          <w:sz w:val="32"/>
          <w:szCs w:val="32"/>
          <w:shd w:val="clear" w:color="auto" w:fill="FFFFFF"/>
          <w:lang w:val="en-US" w:eastAsia="zh-CN"/>
        </w:rPr>
        <w:t>朝天区高寒区干部温暖过冬项目取暖费和天府旅游名县奖励资金</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val="en-US" w:eastAsia="zh-CN"/>
        </w:rPr>
        <w:t>广元市曾家山旅游度假区管理委员会</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96.5</w:t>
      </w:r>
      <w:r>
        <w:rPr>
          <w:rFonts w:hint="eastAsia" w:ascii="仿宋_GB2312" w:hAnsi="仿宋_GB2312" w:eastAsia="仿宋_GB2312" w:cs="仿宋_GB2312"/>
          <w:color w:val="auto"/>
          <w:sz w:val="32"/>
          <w:szCs w:val="32"/>
          <w:highlight w:val="none"/>
        </w:rPr>
        <w:t>分，绩效自评综述：</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本部门</w:t>
      </w:r>
      <w:r>
        <w:rPr>
          <w:rFonts w:hint="eastAsia" w:ascii="仿宋_GB2312" w:eastAsia="仿宋_GB2312"/>
          <w:color w:val="auto"/>
          <w:sz w:val="32"/>
          <w:szCs w:val="32"/>
        </w:rPr>
        <w:t>严格按照</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局的</w:t>
      </w:r>
      <w:r>
        <w:rPr>
          <w:rFonts w:hint="eastAsia" w:ascii="仿宋_GB2312" w:eastAsia="仿宋_GB2312"/>
          <w:color w:val="auto"/>
          <w:sz w:val="32"/>
          <w:szCs w:val="32"/>
        </w:rPr>
        <w:t>要求，</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rPr>
        <w:t>单位实际</w:t>
      </w:r>
      <w:r>
        <w:rPr>
          <w:rFonts w:hint="eastAsia" w:ascii="仿宋_GB2312" w:eastAsia="仿宋_GB2312"/>
          <w:color w:val="auto"/>
          <w:sz w:val="32"/>
          <w:szCs w:val="32"/>
          <w:lang w:val="en-US" w:eastAsia="zh-CN"/>
        </w:rPr>
        <w:t>情况</w:t>
      </w:r>
      <w:r>
        <w:rPr>
          <w:rFonts w:hint="eastAsia" w:ascii="仿宋_GB2312" w:eastAsia="仿宋_GB2312"/>
          <w:color w:val="auto"/>
          <w:sz w:val="32"/>
          <w:szCs w:val="32"/>
        </w:rPr>
        <w:t>，在规定的时间内完成了</w:t>
      </w:r>
      <w:r>
        <w:rPr>
          <w:rFonts w:hint="eastAsia" w:ascii="仿宋_GB2312" w:eastAsia="仿宋_GB2312"/>
          <w:color w:val="auto"/>
          <w:sz w:val="32"/>
          <w:szCs w:val="32"/>
          <w:lang w:val="en-US" w:eastAsia="zh-CN"/>
        </w:rPr>
        <w:t>自评</w:t>
      </w:r>
      <w:r>
        <w:rPr>
          <w:rFonts w:hint="eastAsia" w:ascii="仿宋_GB2312" w:eastAsia="仿宋_GB2312"/>
          <w:color w:val="auto"/>
          <w:sz w:val="32"/>
          <w:szCs w:val="32"/>
        </w:rPr>
        <w:t>工作。</w:t>
      </w:r>
      <w:r>
        <w:rPr>
          <w:rFonts w:hint="eastAsia" w:ascii="仿宋_GB2312" w:eastAsia="仿宋_GB2312"/>
          <w:color w:val="auto"/>
          <w:sz w:val="32"/>
          <w:szCs w:val="32"/>
          <w:lang w:val="en-US" w:eastAsia="zh-CN"/>
        </w:rPr>
        <w:t>包括部门整体支出绩效评价报告、部门整体支出绩效目标自评表和部门整体支出绩效评价指标体系。对照部门整体支出绩效评价指标体系表内各打分项目，自评结果为优秀。</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Times New Roman" w:eastAsia="仿宋_GB2312" w:cs="Times New Roman"/>
          <w:color w:val="000000"/>
          <w:spacing w:val="-6"/>
          <w:w w:val="99"/>
          <w:kern w:val="0"/>
          <w:sz w:val="32"/>
          <w:szCs w:val="32"/>
          <w:shd w:val="clear" w:color="auto" w:fill="FFFFFF"/>
          <w:lang w:val="en-US" w:eastAsia="zh-CN"/>
        </w:rPr>
        <w:t>朝天区高寒区干部温暖过冬项目取暖费</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97.5</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w w:val="99"/>
          <w:sz w:val="32"/>
          <w:szCs w:val="32"/>
          <w:lang w:val="en-US" w:eastAsia="zh-CN"/>
        </w:rPr>
        <w:t>该项目经费的投入和使用保障了单位职工的切身利益，2022年资金到位率100%。在使用中，本部门严格执行财务管理相关制度和经费管理办法规定，财务制度健全，管理规范，做到了专款专用，无贪污、截留、挪用现象。按照评分标准，自评得分为97.5，自评结果为优秀。</w:t>
      </w:r>
      <w:r>
        <w:rPr>
          <w:rFonts w:hint="eastAsia" w:ascii="仿宋_GB2312" w:hAnsi="仿宋_GB2312" w:eastAsia="仿宋_GB2312" w:cs="仿宋_GB2312"/>
          <w:color w:val="auto"/>
          <w:sz w:val="32"/>
          <w:szCs w:val="32"/>
          <w:highlight w:val="none"/>
        </w:rPr>
        <w:t>绩效自评报告详见附件。</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ascii="仿宋_GB2312" w:eastAsia="仿宋_GB2312"/>
          <w:b/>
          <w:color w:val="auto"/>
          <w:sz w:val="32"/>
          <w:szCs w:val="32"/>
          <w:highlight w:val="none"/>
        </w:rPr>
      </w:pPr>
      <w:r>
        <w:rPr>
          <w:rFonts w:hint="eastAsia" w:ascii="仿宋_GB2312" w:hAnsi="Times New Roman" w:eastAsia="仿宋_GB2312" w:cs="Times New Roman"/>
          <w:color w:val="000000"/>
          <w:spacing w:val="-6"/>
          <w:w w:val="99"/>
          <w:kern w:val="0"/>
          <w:sz w:val="32"/>
          <w:szCs w:val="32"/>
          <w:shd w:val="clear" w:color="auto" w:fill="FFFFFF"/>
          <w:lang w:val="en-US" w:eastAsia="zh-CN"/>
        </w:rPr>
        <w:t>天府旅游名县奖励资金</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95.5</w:t>
      </w:r>
      <w:r>
        <w:rPr>
          <w:rFonts w:hint="eastAsia" w:ascii="仿宋_GB2312" w:hAnsi="仿宋_GB2312" w:eastAsia="仿宋_GB2312" w:cs="仿宋_GB2312"/>
          <w:color w:val="auto"/>
          <w:sz w:val="32"/>
          <w:szCs w:val="32"/>
          <w:highlight w:val="none"/>
        </w:rPr>
        <w:t>分，</w:t>
      </w:r>
      <w:r>
        <w:rPr>
          <w:rFonts w:hint="eastAsia" w:ascii="仿宋_GB2312" w:hAnsi="Times New Roman" w:eastAsia="仿宋_GB2312" w:cs="Times New Roman"/>
          <w:spacing w:val="-6"/>
          <w:sz w:val="32"/>
          <w:szCs w:val="32"/>
          <w:lang w:val="en-US" w:eastAsia="zh-CN"/>
        </w:rPr>
        <w:t>2022年在资金使用过程中，本部门严格执行财务管理相关制度和经费管理办法规定，财务制度健全，管理规范，做到了专款专用，无贪污、截留、挪用现象。按照评分标准，自评结果为优秀。</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31"/>
          <w:rFonts w:ascii="黑体" w:hAnsi="黑体" w:eastAsia="黑体"/>
          <w:b w:val="0"/>
          <w:color w:val="auto"/>
          <w:highlight w:val="none"/>
        </w:rPr>
      </w:pPr>
      <w:bookmarkStart w:id="53" w:name="_Toc15377225"/>
      <w:bookmarkStart w:id="54"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公益性岗位补贴收入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9"/>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一般公共服务（类）政府办公厅（室）及相关机构事务（款）事业运行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事业单位的基本支出，不包括行政单位（包括实行公务员管理的事业单位）后勤服务中心、医务室等附属事业单位。</w:t>
      </w:r>
    </w:p>
    <w:p>
      <w:pPr>
        <w:pStyle w:val="29"/>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文化旅游体育与传媒支出（类）</w:t>
      </w:r>
      <w:r>
        <w:rPr>
          <w:rFonts w:hint="eastAsia" w:ascii="仿宋_GB2312" w:eastAsia="仿宋_GB2312"/>
          <w:color w:val="auto"/>
          <w:sz w:val="32"/>
          <w:szCs w:val="32"/>
          <w:highlight w:val="none"/>
          <w:lang w:val="en-US" w:eastAsia="zh-CN"/>
        </w:rPr>
        <w:t>文化和旅游</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反映行政单位（包括实行公务员管理的事业单位）的基本支出。</w:t>
      </w:r>
    </w:p>
    <w:p>
      <w:pPr>
        <w:pStyle w:val="29"/>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文化和旅游</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 xml:space="preserve">  一般行政管理事务</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反映行政单位（包括实行公务员管理的事业单位）未单独设置项级科目的其他项目支出。</w:t>
      </w:r>
    </w:p>
    <w:p>
      <w:pPr>
        <w:pStyle w:val="29"/>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7.文化旅游体育与传媒（类）文化和旅游（款）其他文化和旅游支出（项）:</w:t>
      </w:r>
      <w:r>
        <w:rPr>
          <w:rFonts w:hint="eastAsia" w:ascii="仿宋_GB2312" w:eastAsia="仿宋_GB2312"/>
          <w:color w:val="auto"/>
          <w:sz w:val="32"/>
          <w:szCs w:val="32"/>
          <w:highlight w:val="none"/>
        </w:rPr>
        <w:t xml:space="preserve"> 指反映</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在文化、文物、体育、广播影视、新闻出版等方面的支出。</w:t>
      </w:r>
    </w:p>
    <w:p>
      <w:pPr>
        <w:pStyle w:val="29"/>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（类）其他文化旅游体育与传媒支出（款）其他文化旅游体育与传媒支出（项）：指</w:t>
      </w:r>
      <w:r>
        <w:rPr>
          <w:rFonts w:hint="eastAsia" w:ascii="仿宋_GB2312" w:eastAsia="仿宋_GB2312"/>
          <w:color w:val="auto"/>
          <w:sz w:val="32"/>
          <w:szCs w:val="32"/>
          <w:highlight w:val="none"/>
          <w:lang w:val="en-US" w:eastAsia="zh-CN"/>
        </w:rPr>
        <w:t>除上述项目以外其他用于</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方面的支出。</w:t>
      </w:r>
    </w:p>
    <w:p>
      <w:pPr>
        <w:pStyle w:val="29"/>
        <w:spacing w:line="560" w:lineRule="exact"/>
        <w:ind w:firstLine="640" w:firstLineChars="200"/>
        <w:rPr>
          <w:rFonts w:hint="eastAsia" w:ascii="仿宋_GB2312" w:eastAsia="仿宋_GB2312"/>
          <w:color w:val="auto"/>
          <w:sz w:val="32"/>
          <w:szCs w:val="32"/>
          <w:highlight w:val="none"/>
        </w:rPr>
      </w:pPr>
    </w:p>
    <w:p>
      <w:pPr>
        <w:pStyle w:val="29"/>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社会保障和就业（类）行政事业单位养老支出（款） 机关事业单位基本养老保险缴费支出（项）：指</w:t>
      </w:r>
      <w:r>
        <w:rPr>
          <w:rFonts w:hint="eastAsia" w:ascii="仿宋_GB2312" w:eastAsia="仿宋_GB2312"/>
          <w:color w:val="auto"/>
          <w:sz w:val="32"/>
          <w:szCs w:val="32"/>
          <w:highlight w:val="none"/>
          <w:lang w:val="en-US" w:eastAsia="zh-CN"/>
        </w:rPr>
        <w:t>机关事业</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lang w:val="en-US" w:eastAsia="zh-CN"/>
        </w:rPr>
        <w:t>实施</w:t>
      </w:r>
      <w:r>
        <w:rPr>
          <w:rFonts w:hint="eastAsia" w:ascii="仿宋_GB2312" w:eastAsia="仿宋_GB2312"/>
          <w:color w:val="auto"/>
          <w:sz w:val="32"/>
          <w:szCs w:val="32"/>
          <w:highlight w:val="none"/>
          <w:lang w:eastAsia="zh-CN"/>
        </w:rPr>
        <w:t>养老</w:t>
      </w:r>
      <w:r>
        <w:rPr>
          <w:rFonts w:hint="eastAsia" w:ascii="仿宋_GB2312" w:eastAsia="仿宋_GB2312"/>
          <w:color w:val="auto"/>
          <w:sz w:val="32"/>
          <w:szCs w:val="32"/>
          <w:highlight w:val="none"/>
          <w:lang w:val="en-US" w:eastAsia="zh-CN"/>
        </w:rPr>
        <w:t>保险制度由单位缴纳的基本养老保险费</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p>
    <w:p>
      <w:pPr>
        <w:pStyle w:val="29"/>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.社会保障和就业（类）行政事业单位养老支出（款）机关事业单位职业年金缴费支出（项）：指</w:t>
      </w:r>
      <w:r>
        <w:rPr>
          <w:rFonts w:hint="eastAsia" w:ascii="仿宋_GB2312" w:eastAsia="仿宋_GB2312"/>
          <w:color w:val="auto"/>
          <w:sz w:val="32"/>
          <w:szCs w:val="32"/>
          <w:highlight w:val="none"/>
          <w:lang w:val="en-US" w:eastAsia="zh-CN"/>
        </w:rPr>
        <w:t>机关事业单位实施养老保险制度由单位实际缴纳的职业年金支出</w:t>
      </w:r>
      <w:r>
        <w:rPr>
          <w:rFonts w:hint="eastAsia" w:ascii="仿宋_GB2312" w:eastAsia="仿宋_GB2312"/>
          <w:color w:val="auto"/>
          <w:sz w:val="32"/>
          <w:szCs w:val="32"/>
          <w:highlight w:val="none"/>
        </w:rPr>
        <w:t>。</w:t>
      </w:r>
    </w:p>
    <w:p>
      <w:pPr>
        <w:pStyle w:val="29"/>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 社会保障和就业支出（类）其他社会保障和就业支出（款）其他社会保障和就业支出（项）：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除上述项目以外其他用于社会保障和就业方面的支出。</w:t>
      </w:r>
    </w:p>
    <w:p>
      <w:pPr>
        <w:pStyle w:val="29"/>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卫生健康支出（类）行政事业单位医疗（款）事业单位医疗（项）：指</w:t>
      </w:r>
      <w:r>
        <w:rPr>
          <w:rFonts w:hint="eastAsia" w:ascii="仿宋_GB2312" w:eastAsia="仿宋_GB2312"/>
          <w:color w:val="auto"/>
          <w:sz w:val="32"/>
          <w:szCs w:val="32"/>
          <w:highlight w:val="none"/>
          <w:lang w:val="en-US" w:eastAsia="zh-CN"/>
        </w:rPr>
        <w:t>财政部门安排的事业单位基本医疗保险缴费经费。</w:t>
      </w:r>
    </w:p>
    <w:p>
      <w:pPr>
        <w:pStyle w:val="29"/>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lang w:val="zh-CN"/>
        </w:rPr>
        <w:t>．卫生健康支出（</w:t>
      </w:r>
      <w:r>
        <w:rPr>
          <w:rFonts w:hint="eastAsia" w:ascii="仿宋_GB2312" w:eastAsia="仿宋_GB2312"/>
          <w:color w:val="auto"/>
          <w:sz w:val="32"/>
          <w:szCs w:val="32"/>
          <w:highlight w:val="none"/>
          <w:lang w:val="en-US" w:eastAsia="zh-CN"/>
        </w:rPr>
        <w:t>类</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en-US" w:eastAsia="zh-CN"/>
        </w:rPr>
        <w:t>行政事业单位医疗（款）行政单位医疗（项） ：</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财政部门安排的行政单位（包括实行公务员管理的事业单位）基本医疗保险缴费经费。</w:t>
      </w:r>
    </w:p>
    <w:p>
      <w:pPr>
        <w:pStyle w:val="29"/>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住房保障（类）住房改革支出（款）住房公积金（项）：指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行政事业单位按人力资源和社会保障部、财政部规定的基本工资和津贴补贴以及规定比例为职工缴纳的住房公积金。</w:t>
      </w:r>
    </w:p>
    <w:p>
      <w:pPr>
        <w:pStyle w:val="29"/>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农林水支出（类）</w:t>
      </w:r>
      <w:r>
        <w:rPr>
          <w:rFonts w:hint="eastAsia" w:ascii="仿宋_GB2312" w:eastAsia="仿宋_GB2312"/>
          <w:color w:val="auto"/>
          <w:sz w:val="32"/>
          <w:szCs w:val="32"/>
          <w:lang w:val="en-US" w:eastAsia="zh-CN"/>
        </w:rPr>
        <w:t>巩固脱贫攻坚成果衔接乡村振兴</w:t>
      </w:r>
      <w:r>
        <w:rPr>
          <w:rFonts w:hint="eastAsia" w:ascii="仿宋_GB2312" w:eastAsia="仿宋_GB2312"/>
          <w:color w:val="auto"/>
          <w:sz w:val="32"/>
          <w:szCs w:val="32"/>
          <w:lang w:eastAsia="zh-CN"/>
        </w:rPr>
        <w:t>（</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其他巩固脱贫攻坚成果衔接乡村振兴支出</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除上述项目以外其他用于巩固拓展脱贫攻坚成果同乡村振兴有效衔接方面的支出。</w:t>
      </w:r>
    </w:p>
    <w:p>
      <w:pPr>
        <w:pStyle w:val="29"/>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eastAsia" w:ascii="黑体" w:hAnsi="黑体" w:eastAsia="黑体"/>
          <w:b w:val="0"/>
          <w:color w:val="auto"/>
          <w:highlight w:val="none"/>
          <w:lang w:eastAsia="zh-CN"/>
        </w:rPr>
      </w:pPr>
      <w:bookmarkStart w:id="55" w:name="_Toc15377226"/>
      <w:r>
        <w:rPr>
          <w:rFonts w:ascii="宋体"/>
          <w:b/>
          <w:color w:val="auto"/>
          <w:sz w:val="44"/>
          <w:szCs w:val="44"/>
          <w:highlight w:val="none"/>
        </w:rPr>
        <w:br w:type="page"/>
      </w:r>
      <w:bookmarkStart w:id="56" w:name="_Toc1539661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5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附件</w:t>
      </w:r>
      <w:r>
        <w:rPr>
          <w:rFonts w:hint="eastAsia" w:ascii="仿宋_GB2312" w:hAnsi="宋体" w:eastAsia="仿宋_GB2312" w:cs="宋体"/>
          <w:color w:val="auto"/>
          <w:kern w:val="0"/>
          <w:sz w:val="32"/>
          <w:szCs w:val="32"/>
          <w:highlight w:val="none"/>
          <w:shd w:val="clear" w:color="auto" w:fill="FFFFFF"/>
          <w:lang w:val="en-US" w:eastAsia="zh-CN" w:bidi="ar-SA"/>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b/>
          <w:color w:val="auto"/>
          <w:sz w:val="32"/>
          <w:szCs w:val="32"/>
          <w:highlight w:val="none"/>
          <w:shd w:val="clear" w:color="auto" w:fill="FFFFFF"/>
          <w:lang w:eastAsia="zh-CN"/>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eastAsia="zh-CN"/>
        </w:rPr>
        <w:t>广元市朝天区曾家山旅游度假区管理委员会</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广元市曾家山旅游度假区管理委员会下属二级预算单位1个，其中：行政单位0个，参照公务员法管理的事业单位0个，其他事业单位1个。主要包括：曾家山旅游度假区服务中心。</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1.贯彻党的路线、方针、政策，执行国家、省、市有关旅游度假区的法律、法规及政策规定。</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2.牵头负责保护曾家山旅游度假区旅游资源，维护自然风貌和人文景观。</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3.协助编制曾家山旅游度假区总体规划和详细规划并组织实施，按照总体规划对曾家山旅游度假区内的新建、扩建和改建项目进行初审并按程序上报。</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4.负责统筹曾家山旅游度假区各景点基础设施和公共设施建设管理。负责曾家山旅游度假区旅游项目规划、开发、建设和推进。</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5.负责曾家山旅游度假区旅游行业的管理，制定行业管理规范，监管旅游行业秩序和服务质量，协调有关部门依法制止和查处旅游市场违规行为。</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6.负责对曾家山旅游度假区企事业单位建设与营运进行指导、协调、服务。制定曾家山旅游度假区管理制度和安</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全事故、突发事件的预防机制、应急预案，配合相关部门、乡镇开展曾家山旅游度假区内的生态环境保护、安全生产、信访维稳等工作。</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7.负责曾家山旅游度假区景点的开发利用、招商引资和营销工作，推进相关产业融合发展，收取旅游资源有偿使用费。</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8.负责曾家山旅游度假区整体旅游形象的宣传、对外推广、推介。</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9.负责对辖区国有旅游投资公司的运营进行指导、监管、考核。</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10.完成市委、市政府和朝天区委、区政府交办的其他工作，接受市级有关部门的业务指导。</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人员概况</w:t>
      </w:r>
    </w:p>
    <w:p>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广元市曾家山旅游度假区管理委员会总编制</w:t>
      </w:r>
      <w:r>
        <w:rPr>
          <w:rFonts w:hint="eastAsia" w:ascii="仿宋_GB2312" w:hAnsi="仿宋_GB2312" w:eastAsia="仿宋_GB2312" w:cs="仿宋_GB2312"/>
          <w:color w:val="auto"/>
          <w:sz w:val="32"/>
          <w:szCs w:val="32"/>
          <w:highlight w:val="none"/>
          <w:shd w:val="clear" w:color="auto" w:fill="FFFFFF"/>
          <w:lang w:val="en-US" w:eastAsia="zh-CN"/>
        </w:rPr>
        <w:t>33</w:t>
      </w:r>
      <w:r>
        <w:rPr>
          <w:rFonts w:hint="eastAsia" w:ascii="仿宋_GB2312" w:hAnsi="仿宋_GB2312" w:eastAsia="仿宋_GB2312" w:cs="仿宋_GB2312"/>
          <w:color w:val="auto"/>
          <w:sz w:val="32"/>
          <w:szCs w:val="32"/>
          <w:highlight w:val="none"/>
          <w:shd w:val="clear" w:color="auto" w:fill="FFFFFF"/>
        </w:rPr>
        <w:t>名，其中行政编制0名，行政执法编制0名，参公事业编制</w:t>
      </w:r>
      <w:r>
        <w:rPr>
          <w:rFonts w:hint="eastAsia" w:ascii="仿宋_GB2312" w:hAnsi="仿宋_GB2312" w:eastAsia="仿宋_GB2312" w:cs="仿宋_GB2312"/>
          <w:color w:val="auto"/>
          <w:sz w:val="32"/>
          <w:szCs w:val="32"/>
          <w:highlight w:val="none"/>
          <w:shd w:val="clear" w:color="auto" w:fill="FFFFFF"/>
          <w:lang w:val="en-US" w:eastAsia="zh-CN"/>
        </w:rPr>
        <w:t>13</w:t>
      </w:r>
      <w:r>
        <w:rPr>
          <w:rFonts w:hint="eastAsia" w:ascii="仿宋_GB2312" w:hAnsi="仿宋_GB2312" w:eastAsia="仿宋_GB2312" w:cs="仿宋_GB2312"/>
          <w:color w:val="auto"/>
          <w:sz w:val="32"/>
          <w:szCs w:val="32"/>
          <w:highlight w:val="none"/>
          <w:shd w:val="clear" w:color="auto" w:fill="FFFFFF"/>
        </w:rPr>
        <w:t>名，事业编制</w:t>
      </w:r>
      <w:r>
        <w:rPr>
          <w:rFonts w:hint="eastAsia" w:ascii="仿宋_GB2312" w:hAnsi="仿宋_GB2312" w:eastAsia="仿宋_GB2312" w:cs="仿宋_GB2312"/>
          <w:color w:val="auto"/>
          <w:sz w:val="32"/>
          <w:szCs w:val="32"/>
          <w:highlight w:val="none"/>
          <w:shd w:val="clear" w:color="auto" w:fill="FFFFFF"/>
          <w:lang w:val="en-US" w:eastAsia="zh-CN"/>
        </w:rPr>
        <w:t>20</w:t>
      </w:r>
      <w:r>
        <w:rPr>
          <w:rFonts w:hint="eastAsia" w:ascii="仿宋_GB2312" w:hAnsi="仿宋_GB2312" w:eastAsia="仿宋_GB2312" w:cs="仿宋_GB2312"/>
          <w:color w:val="auto"/>
          <w:sz w:val="32"/>
          <w:szCs w:val="32"/>
          <w:highlight w:val="none"/>
          <w:shd w:val="clear" w:color="auto" w:fill="FFFFFF"/>
        </w:rPr>
        <w:t>名，工勤编制0名，自收自支编制0名。在职人员总数</w:t>
      </w:r>
      <w:r>
        <w:rPr>
          <w:rFonts w:hint="eastAsia" w:ascii="仿宋_GB2312" w:hAnsi="仿宋_GB2312" w:eastAsia="仿宋_GB2312" w:cs="仿宋_GB2312"/>
          <w:color w:val="auto"/>
          <w:sz w:val="32"/>
          <w:szCs w:val="32"/>
          <w:highlight w:val="none"/>
          <w:shd w:val="clear" w:color="auto" w:fill="FFFFFF"/>
          <w:lang w:val="en-US" w:eastAsia="zh-CN"/>
        </w:rPr>
        <w:t>27</w:t>
      </w:r>
      <w:r>
        <w:rPr>
          <w:rFonts w:hint="eastAsia" w:ascii="仿宋_GB2312" w:hAnsi="仿宋_GB2312" w:eastAsia="仿宋_GB2312" w:cs="仿宋_GB2312"/>
          <w:color w:val="auto"/>
          <w:sz w:val="32"/>
          <w:szCs w:val="32"/>
          <w:highlight w:val="none"/>
          <w:shd w:val="clear" w:color="auto" w:fill="FFFFFF"/>
        </w:rPr>
        <w:t>人，其中行政人员</w:t>
      </w: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人，行政执法人员0人，事业人员</w:t>
      </w:r>
      <w:r>
        <w:rPr>
          <w:rFonts w:hint="eastAsia" w:ascii="仿宋_GB2312" w:hAnsi="仿宋_GB2312" w:eastAsia="仿宋_GB2312" w:cs="仿宋_GB2312"/>
          <w:color w:val="auto"/>
          <w:sz w:val="32"/>
          <w:szCs w:val="32"/>
          <w:highlight w:val="none"/>
          <w:shd w:val="clear" w:color="auto" w:fill="FFFFFF"/>
          <w:lang w:val="en-US" w:eastAsia="zh-CN"/>
        </w:rPr>
        <w:t>17</w:t>
      </w:r>
      <w:r>
        <w:rPr>
          <w:rFonts w:hint="eastAsia" w:ascii="仿宋_GB2312" w:hAnsi="仿宋_GB2312" w:eastAsia="仿宋_GB2312" w:cs="仿宋_GB2312"/>
          <w:color w:val="auto"/>
          <w:sz w:val="32"/>
          <w:szCs w:val="32"/>
          <w:highlight w:val="none"/>
          <w:shd w:val="clear" w:color="auto" w:fill="FFFFFF"/>
        </w:rPr>
        <w:t>人，工勤人员0人；退休人员0人。</w:t>
      </w:r>
    </w:p>
    <w:p>
      <w:pPr>
        <w:pStyle w:val="6"/>
        <w:numPr>
          <w:ilvl w:val="0"/>
          <w:numId w:val="0"/>
        </w:numPr>
        <w:ind w:leftChars="200"/>
        <w:rPr>
          <w:rFonts w:hint="eastAsia"/>
          <w:lang w:val="zh-CN"/>
        </w:rPr>
      </w:pP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1.统筹做好曾家山创建国家级旅游度假区相关工作。</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2.加强宣传营销，办好避暑季、冰雪季等活动，提升度知名度和美誉度。</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3.完善川洞庵景点配套设施，提升旅游服务质量，提高游客满意度。</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4.加强度假区安全管理，不发生重大涉旅安全责任事故。</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5.加大招商引资，加强业态培育，推动曾家山旅游产业高质量发展。</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6.全面落实党建主体责任，加强党员干部思想政治建设，强化党员教育管理，做好党的组织建设、干部人才等工作。</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7.全面落实党风廉政建设责任制，加强干部作风建设。</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8.完成区委、区政府交办的其它工作。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lang w:val="en-US" w:eastAsia="zh-CN"/>
        </w:rPr>
      </w:pPr>
      <w:r>
        <w:rPr>
          <w:rFonts w:hint="eastAsia" w:ascii="仿宋_GB2312" w:hAnsi="Times New Roman" w:eastAsia="仿宋_GB2312" w:cs="Times New Roman"/>
          <w:color w:val="000000"/>
          <w:spacing w:val="-6"/>
          <w:w w:val="99"/>
          <w:kern w:val="0"/>
          <w:sz w:val="32"/>
          <w:szCs w:val="32"/>
          <w:shd w:val="clear" w:color="auto" w:fill="FFFFFF"/>
          <w:lang w:val="en-US" w:eastAsia="zh-CN"/>
        </w:rPr>
        <w:t>一是对部门的职能进行梳理，确定本部门各项具体工作职责。二是结合本部门中长期规划和年度工作计划，明确年度主要工作任务，预计本部门在本年度内履职所要达到的总体产出和效果，将其确定为本部门的总体目标，并以定量和定性相结合，与以前年度对比的方式进行表述。三是依据本部门总体目标，结合各项工作职责和工作任务，确定每项工作任务预计要达到的产出和效果，从中概括、提炼出最能反映工作任务预期实现程度的关键性指标，并将其确定为相应的绩效指标。四是通过收集相关数据，确定绩效标准，并结合年度预算安排等情况，确定绩效指标的具体数值。</w:t>
      </w:r>
    </w:p>
    <w:p>
      <w:pPr>
        <w:pStyle w:val="21"/>
        <w:rPr>
          <w:rFonts w:hint="eastAsia"/>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lang w:val="en-US" w:eastAsia="zh-CN"/>
        </w:rPr>
      </w:pPr>
      <w:r>
        <w:rPr>
          <w:rFonts w:hint="eastAsia" w:ascii="仿宋" w:hAnsi="仿宋" w:eastAsia="仿宋" w:cs="仿宋"/>
          <w:sz w:val="32"/>
          <w:szCs w:val="32"/>
          <w:lang w:val="en-US" w:eastAsia="zh-CN"/>
        </w:rPr>
        <w:t>本部门2022年总体收入805.49万元，主要为人员经费、公用经费、项目经费、上年结余结转资金。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pStyle w:val="5"/>
        <w:ind w:firstLine="640" w:firstLineChars="200"/>
        <w:rPr>
          <w:rFonts w:hint="eastAsia"/>
          <w:lang w:val="en-US" w:eastAsia="zh-CN"/>
        </w:rPr>
      </w:pPr>
      <w:r>
        <w:rPr>
          <w:rFonts w:hint="eastAsia" w:ascii="仿宋" w:hAnsi="仿宋" w:eastAsia="仿宋" w:cs="仿宋"/>
          <w:sz w:val="32"/>
          <w:szCs w:val="32"/>
          <w:lang w:val="en-US" w:eastAsia="zh-CN"/>
        </w:rPr>
        <w:t>2022年度总体支出570.10万元，基本支出372.79万元，主要是用于单位人员支出和公用经费支出；项目支出197.32万元，主要是用于朝天区高寒区干部温暖过冬项目取暖费、天府旅游名县奖励资金，还包括乡村振兴第一书记工作经费、金财网维护费两项其他运转类项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5"/>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2022年年初，本部门上年结转结余495万元。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5"/>
        <w:ind w:firstLine="640" w:firstLineChars="200"/>
        <w:rPr>
          <w:rFonts w:hint="eastAsia"/>
          <w:lang w:val="en-US" w:eastAsia="zh-CN"/>
        </w:rPr>
      </w:pPr>
      <w:r>
        <w:rPr>
          <w:rFonts w:hint="eastAsia" w:ascii="仿宋" w:hAnsi="仿宋" w:eastAsia="仿宋" w:cs="仿宋"/>
          <w:sz w:val="32"/>
          <w:szCs w:val="32"/>
          <w:lang w:val="en-US" w:eastAsia="zh-CN"/>
        </w:rPr>
        <w:t>本部门2022年财政拨款收入805.49万元。其中：财政年初预算拨款805.49万元，主要为人员经费、公用经费、项目经费、上年结余结转资金。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72" w:leftChars="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pStyle w:val="5"/>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2022年度财政拨款支出570.10万元，基本支出372.79万元，主要是用于单位人员支出和公用经费支出；项目支出197.32万元，主要是用于取暖费项目、天府旅游名县奖励资金，还包括乡村振兴第一书记工作经费、金财网维护费两项其他运转类项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72" w:leftChars="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5"/>
        <w:ind w:firstLine="640" w:firstLineChars="200"/>
        <w:rPr>
          <w:rFonts w:hint="default"/>
          <w:lang w:val="en-US" w:eastAsia="zh-CN"/>
        </w:rPr>
      </w:pPr>
      <w:r>
        <w:rPr>
          <w:rFonts w:hint="eastAsia" w:ascii="仿宋" w:hAnsi="仿宋" w:eastAsia="仿宋" w:cs="仿宋"/>
          <w:sz w:val="32"/>
          <w:szCs w:val="32"/>
          <w:lang w:val="en-US" w:eastAsia="zh-CN"/>
        </w:rPr>
        <w:t>2022年年初，本部门上年结转结余495万元。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pStyle w:val="5"/>
        <w:ind w:firstLine="608" w:firstLineChars="200"/>
        <w:rPr>
          <w:rFonts w:hint="eastAsia"/>
          <w:lang w:val="en-US" w:eastAsia="zh-CN"/>
        </w:rPr>
      </w:pPr>
      <w:r>
        <w:rPr>
          <w:rFonts w:hint="eastAsia" w:ascii="仿宋_GB2312" w:hAnsi="Times New Roman" w:eastAsia="仿宋_GB2312" w:cs="Times New Roman"/>
          <w:color w:val="000000"/>
          <w:spacing w:val="-6"/>
          <w:w w:val="99"/>
          <w:kern w:val="0"/>
          <w:sz w:val="32"/>
          <w:szCs w:val="32"/>
          <w:shd w:val="clear" w:color="auto" w:fill="FFFFFF"/>
          <w:lang w:val="en-US" w:eastAsia="zh-CN"/>
        </w:rPr>
        <w:t>本部门2022年人员类的收入和支出，按照标准，足额发放职工工资、相关津贴补贴、缴纳社保及住房公积金，支出控制在标准范围内，完成了年初预算，无违规记录。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pStyle w:val="5"/>
        <w:ind w:firstLine="608" w:firstLineChars="200"/>
        <w:rPr>
          <w:rFonts w:hint="eastAsia" w:ascii="仿宋_GB2312" w:hAnsi="Times New Roman" w:eastAsia="仿宋_GB2312" w:cs="Times New Roman"/>
          <w:color w:val="000000"/>
          <w:spacing w:val="-6"/>
          <w:w w:val="99"/>
          <w:kern w:val="0"/>
          <w:sz w:val="32"/>
          <w:szCs w:val="32"/>
          <w:shd w:val="clear" w:color="auto" w:fill="FFFFFF"/>
          <w:lang w:val="en-US" w:eastAsia="zh-CN"/>
        </w:rPr>
      </w:pPr>
      <w:r>
        <w:rPr>
          <w:rFonts w:hint="eastAsia" w:ascii="仿宋_GB2312" w:hAnsi="Times New Roman" w:eastAsia="仿宋_GB2312" w:cs="Times New Roman"/>
          <w:color w:val="000000"/>
          <w:spacing w:val="-6"/>
          <w:w w:val="99"/>
          <w:kern w:val="0"/>
          <w:sz w:val="32"/>
          <w:szCs w:val="32"/>
          <w:shd w:val="clear" w:color="auto" w:fill="FFFFFF"/>
          <w:lang w:val="en-US" w:eastAsia="zh-CN"/>
        </w:rPr>
        <w:t>本部门2022年运转类包括公用经费和其他运转类。公用经费主要用于机关单位日常运转所需，包括办公费、水费、电费、差旅费等。其中“三公”经费主要为公务接待费，支出控制在合理范围内，共计2.27万元，无因公出国（境）费用和公务用车运行维护费，完成了年初预算，无违规记录；其他运转类为金财网维护费和乡村振兴第一书记和工作队工作经费。金财网维护费预算收入0.24万元，支出0.24万元，支出控制在标准范围内，执行进度为100%、完成了年初预算，无资金结余和违规记录。乡村振兴第一书记和工作队工作经费预算收入1.5万元，支出1.5万元，支出控制在标准范围内，执行进度为100%、完成了年初预算，无资金结余和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pStyle w:val="5"/>
        <w:ind w:firstLine="608" w:firstLineChars="200"/>
        <w:rPr>
          <w:rFonts w:hint="eastAsia" w:ascii="仿宋_GB2312" w:hAnsi="Times New Roman" w:eastAsia="仿宋_GB2312" w:cs="Times New Roman"/>
          <w:color w:val="000000"/>
          <w:spacing w:val="-6"/>
          <w:w w:val="99"/>
          <w:kern w:val="0"/>
          <w:sz w:val="32"/>
          <w:szCs w:val="32"/>
          <w:shd w:val="clear" w:color="auto" w:fill="FFFFFF"/>
          <w:lang w:val="en-US" w:eastAsia="zh-CN"/>
        </w:rPr>
      </w:pPr>
      <w:r>
        <w:rPr>
          <w:rFonts w:hint="eastAsia" w:ascii="仿宋_GB2312" w:hAnsi="Times New Roman" w:eastAsia="仿宋_GB2312" w:cs="Times New Roman"/>
          <w:color w:val="000000"/>
          <w:spacing w:val="-6"/>
          <w:w w:val="99"/>
          <w:kern w:val="0"/>
          <w:sz w:val="32"/>
          <w:szCs w:val="32"/>
          <w:shd w:val="clear" w:color="auto" w:fill="FFFFFF"/>
          <w:lang w:val="en-US" w:eastAsia="zh-CN"/>
        </w:rPr>
        <w:t>本部门2022年特定目标类为朝天区高寒区干部温暖过冬项目取暖费和天府旅游名县奖励资金。朝天区高寒区干部温暖过冬项目取暖费预算收入11万元，支出10.94万元，执行进度为99.45%，</w:t>
      </w:r>
      <w:r>
        <w:rPr>
          <w:rFonts w:hint="eastAsia" w:ascii="仿宋_GB2312" w:eastAsia="仿宋_GB2312" w:cs="Times New Roman"/>
          <w:color w:val="000000"/>
          <w:spacing w:val="-6"/>
          <w:w w:val="99"/>
          <w:kern w:val="0"/>
          <w:sz w:val="32"/>
          <w:szCs w:val="32"/>
          <w:shd w:val="clear" w:color="auto" w:fill="FFFFFF"/>
          <w:lang w:val="en-US" w:eastAsia="zh-CN"/>
        </w:rPr>
        <w:t>基本</w:t>
      </w:r>
      <w:r>
        <w:rPr>
          <w:rFonts w:hint="eastAsia" w:ascii="仿宋_GB2312" w:hAnsi="Times New Roman" w:eastAsia="仿宋_GB2312" w:cs="Times New Roman"/>
          <w:color w:val="000000"/>
          <w:spacing w:val="-6"/>
          <w:w w:val="99"/>
          <w:kern w:val="0"/>
          <w:sz w:val="32"/>
          <w:szCs w:val="32"/>
          <w:shd w:val="clear" w:color="auto" w:fill="FFFFFF"/>
          <w:lang w:val="en-US" w:eastAsia="zh-CN"/>
        </w:rPr>
        <w:t>完成了年初预算，无违规记录。天府旅游名县奖励资金预算收入495万元，财政实际拨付180万元，实际完成预算180万元，执行进度为100%，支出控制在合理范围内，无违规记录。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本部门积极履职，强化管理，严格按财经法规及制度使用、管理资金，保障了单位正常运行，各项工作顺利开展，较好地完成了年度整体绩效目标。根据部门整体支出绩效评价指标体系，2022年度评价得分为96.5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0" w:firstLineChars="200"/>
        <w:contextualSpacing/>
        <w:textAlignment w:val="auto"/>
        <w:rPr>
          <w:rFonts w:hint="eastAsia"/>
          <w:lang w:eastAsia="zh-CN"/>
        </w:rPr>
      </w:pPr>
      <w:r>
        <w:rPr>
          <w:rFonts w:hint="eastAsia" w:ascii="仿宋_GB2312" w:eastAsia="仿宋_GB2312"/>
          <w:color w:val="000000" w:themeColor="text1"/>
          <w:sz w:val="32"/>
          <w:szCs w:val="32"/>
          <w:lang w:val="en-US" w:eastAsia="zh-CN"/>
          <w14:textFill>
            <w14:solidFill>
              <w14:schemeClr w14:val="tx1"/>
            </w14:solidFill>
          </w14:textFill>
        </w:rPr>
        <w:t>部门整体</w:t>
      </w:r>
      <w:r>
        <w:rPr>
          <w:rFonts w:hint="eastAsia" w:ascii="仿宋_GB2312" w:eastAsia="仿宋_GB2312"/>
          <w:color w:val="000000" w:themeColor="text1"/>
          <w:sz w:val="32"/>
          <w:szCs w:val="32"/>
          <w14:textFill>
            <w14:solidFill>
              <w14:schemeClr w14:val="tx1"/>
            </w14:solidFill>
          </w14:textFill>
        </w:rPr>
        <w:t>资金按照规范程序提</w:t>
      </w:r>
      <w:r>
        <w:rPr>
          <w:rFonts w:hint="eastAsia" w:ascii="仿宋_GB2312" w:eastAsia="仿宋_GB2312"/>
          <w:color w:val="000000" w:themeColor="text1"/>
          <w:sz w:val="32"/>
          <w:szCs w:val="32"/>
          <w:lang w:val="en-US" w:eastAsia="zh-CN"/>
          <w14:textFill>
            <w14:solidFill>
              <w14:schemeClr w14:val="tx1"/>
            </w14:solidFill>
          </w14:textFill>
        </w:rPr>
        <w:t>出</w:t>
      </w:r>
      <w:r>
        <w:rPr>
          <w:rFonts w:hint="eastAsia" w:ascii="仿宋_GB2312" w:eastAsia="仿宋_GB2312"/>
          <w:color w:val="000000" w:themeColor="text1"/>
          <w:sz w:val="32"/>
          <w:szCs w:val="32"/>
          <w14:textFill>
            <w14:solidFill>
              <w14:schemeClr w14:val="tx1"/>
            </w14:solidFill>
          </w14:textFill>
        </w:rPr>
        <w:t>申请、分配、管理和使用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坚持专款专用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严格按照经审定资金</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年度计划和有关规定使用，加强</w:t>
      </w:r>
      <w:r>
        <w:rPr>
          <w:rFonts w:hint="eastAsia" w:ascii="仿宋_GB2312" w:eastAsia="仿宋_GB2312"/>
          <w:color w:val="000000" w:themeColor="text1"/>
          <w:sz w:val="32"/>
          <w:szCs w:val="32"/>
          <w:lang w:val="en-US" w:eastAsia="zh-CN"/>
          <w14:textFill>
            <w14:solidFill>
              <w14:schemeClr w14:val="tx1"/>
            </w14:solidFill>
          </w14:textFill>
        </w:rPr>
        <w:t>了</w:t>
      </w:r>
      <w:r>
        <w:rPr>
          <w:rFonts w:hint="eastAsia" w:ascii="仿宋_GB2312" w:eastAsia="仿宋_GB2312"/>
          <w:color w:val="000000" w:themeColor="text1"/>
          <w:sz w:val="32"/>
          <w:szCs w:val="32"/>
          <w14:textFill>
            <w14:solidFill>
              <w14:schemeClr w14:val="tx1"/>
            </w14:solidFill>
          </w14:textFill>
        </w:rPr>
        <w:t>资金使用过程的控制</w:t>
      </w:r>
      <w:r>
        <w:rPr>
          <w:rFonts w:hint="eastAsia" w:ascii="仿宋_GB2312" w:eastAsia="仿宋_GB2312"/>
          <w:strike w:val="0"/>
          <w:dstrike w:val="0"/>
          <w:color w:val="000000" w:themeColor="text1"/>
          <w:sz w:val="32"/>
          <w:szCs w:val="32"/>
          <w14:textFill>
            <w14:solidFill>
              <w14:schemeClr w14:val="tx1"/>
            </w14:solidFill>
          </w14:textFill>
        </w:rPr>
        <w:t>和追踪问效，进一步推进</w:t>
      </w:r>
      <w:r>
        <w:rPr>
          <w:rFonts w:hint="eastAsia" w:ascii="仿宋_GB2312" w:eastAsia="仿宋_GB2312"/>
          <w:strike w:val="0"/>
          <w:dstrike w:val="0"/>
          <w:color w:val="000000" w:themeColor="text1"/>
          <w:sz w:val="32"/>
          <w:szCs w:val="32"/>
          <w:lang w:val="en-US" w:eastAsia="zh-CN"/>
          <w14:textFill>
            <w14:solidFill>
              <w14:schemeClr w14:val="tx1"/>
            </w14:solidFill>
          </w14:textFill>
        </w:rPr>
        <w:t>了</w:t>
      </w:r>
      <w:r>
        <w:rPr>
          <w:rFonts w:hint="eastAsia" w:ascii="仿宋_GB2312" w:eastAsia="仿宋_GB2312"/>
          <w:strike w:val="0"/>
          <w:dstrike w:val="0"/>
          <w:color w:val="000000" w:themeColor="text1"/>
          <w:sz w:val="32"/>
          <w:szCs w:val="32"/>
          <w14:textFill>
            <w14:solidFill>
              <w14:schemeClr w14:val="tx1"/>
            </w14:solidFill>
          </w14:textFill>
        </w:rPr>
        <w:t>资金申请和</w:t>
      </w:r>
      <w:r>
        <w:rPr>
          <w:rFonts w:hint="eastAsia" w:ascii="仿宋_GB2312" w:eastAsia="仿宋_GB2312"/>
          <w:strike w:val="0"/>
          <w:dstrike w:val="0"/>
          <w:color w:val="auto"/>
          <w:sz w:val="32"/>
          <w:szCs w:val="32"/>
        </w:rPr>
        <w:t>使用中的监管，落实</w:t>
      </w:r>
      <w:r>
        <w:rPr>
          <w:rFonts w:hint="eastAsia" w:ascii="仿宋_GB2312" w:eastAsia="仿宋_GB2312"/>
          <w:strike w:val="0"/>
          <w:dstrike w:val="0"/>
          <w:color w:val="auto"/>
          <w:sz w:val="32"/>
          <w:szCs w:val="32"/>
          <w:lang w:val="en-US" w:eastAsia="zh-CN"/>
        </w:rPr>
        <w:t>了</w:t>
      </w:r>
      <w:r>
        <w:rPr>
          <w:rFonts w:hint="eastAsia" w:ascii="仿宋_GB2312" w:eastAsia="仿宋_GB2312"/>
          <w:strike w:val="0"/>
          <w:dstrike w:val="0"/>
          <w:color w:val="auto"/>
          <w:sz w:val="32"/>
          <w:szCs w:val="32"/>
        </w:rPr>
        <w:t>资金</w:t>
      </w:r>
      <w:r>
        <w:rPr>
          <w:rFonts w:hint="eastAsia" w:ascii="仿宋_GB2312" w:eastAsia="仿宋_GB2312"/>
          <w:strike w:val="0"/>
          <w:dstrike w:val="0"/>
          <w:color w:val="auto"/>
          <w:sz w:val="32"/>
          <w:szCs w:val="32"/>
          <w:lang w:val="en-US" w:eastAsia="zh-CN"/>
        </w:rPr>
        <w:t>使用相关</w:t>
      </w:r>
      <w:r>
        <w:rPr>
          <w:rFonts w:hint="eastAsia" w:ascii="仿宋_GB2312" w:eastAsia="仿宋_GB2312"/>
          <w:strike w:val="0"/>
          <w:dstrike w:val="0"/>
          <w:color w:val="auto"/>
          <w:sz w:val="32"/>
          <w:szCs w:val="32"/>
        </w:rPr>
        <w:t>管理制度。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0" w:firstLineChars="200"/>
        <w:contextualSpacing/>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本部门按照区财政局的要求，及时上报自评资料，积极配合自评公开工作，能够按要求将部门整体绩效自评情况和自行组织的评价情况向社会公开。在组织自评过程中，能够及时发现问题并进行整改，并按要求在规定时间内向区财政局反馈应用绩效结果报告。</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0" w:firstLineChars="200"/>
        <w:contextualSpacing/>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本部门</w:t>
      </w:r>
      <w:r>
        <w:rPr>
          <w:rFonts w:hint="eastAsia" w:ascii="仿宋_GB2312" w:eastAsia="仿宋_GB2312"/>
          <w:color w:val="auto"/>
          <w:sz w:val="32"/>
          <w:szCs w:val="32"/>
        </w:rPr>
        <w:t>严格按照</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局的</w:t>
      </w:r>
      <w:r>
        <w:rPr>
          <w:rFonts w:hint="eastAsia" w:ascii="仿宋_GB2312" w:eastAsia="仿宋_GB2312"/>
          <w:color w:val="auto"/>
          <w:sz w:val="32"/>
          <w:szCs w:val="32"/>
        </w:rPr>
        <w:t>要求，</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rPr>
        <w:t>单位实际</w:t>
      </w:r>
      <w:r>
        <w:rPr>
          <w:rFonts w:hint="eastAsia" w:ascii="仿宋_GB2312" w:eastAsia="仿宋_GB2312"/>
          <w:color w:val="auto"/>
          <w:sz w:val="32"/>
          <w:szCs w:val="32"/>
          <w:lang w:val="en-US" w:eastAsia="zh-CN"/>
        </w:rPr>
        <w:t>情况</w:t>
      </w:r>
      <w:r>
        <w:rPr>
          <w:rFonts w:hint="eastAsia" w:ascii="仿宋_GB2312" w:eastAsia="仿宋_GB2312"/>
          <w:color w:val="auto"/>
          <w:sz w:val="32"/>
          <w:szCs w:val="32"/>
        </w:rPr>
        <w:t>，在规定的时间内完成了</w:t>
      </w:r>
      <w:r>
        <w:rPr>
          <w:rFonts w:hint="eastAsia" w:ascii="仿宋_GB2312" w:eastAsia="仿宋_GB2312"/>
          <w:color w:val="auto"/>
          <w:sz w:val="32"/>
          <w:szCs w:val="32"/>
          <w:lang w:val="en-US" w:eastAsia="zh-CN"/>
        </w:rPr>
        <w:t>自评</w:t>
      </w:r>
      <w:r>
        <w:rPr>
          <w:rFonts w:hint="eastAsia" w:ascii="仿宋_GB2312" w:eastAsia="仿宋_GB2312"/>
          <w:color w:val="auto"/>
          <w:sz w:val="32"/>
          <w:szCs w:val="32"/>
        </w:rPr>
        <w:t>工作。</w:t>
      </w:r>
      <w:r>
        <w:rPr>
          <w:rFonts w:hint="eastAsia" w:ascii="仿宋_GB2312" w:eastAsia="仿宋_GB2312"/>
          <w:color w:val="auto"/>
          <w:sz w:val="32"/>
          <w:szCs w:val="32"/>
          <w:lang w:val="en-US" w:eastAsia="zh-CN"/>
        </w:rPr>
        <w:t>包括部门整体支出绩效评价报告、部门整体支出绩效目标自评表和部门整体支出绩效评价指标体系。对照部门整体支出绩效评价指标体系表内各打分项目，自评得分为96.5分，自评结果为优秀。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3" w:firstLineChars="200"/>
        <w:contextualSpacing/>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0" w:firstLineChars="200"/>
        <w:contextualSpacing/>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eastAsia="仿宋_GB2312"/>
          <w:color w:val="auto"/>
          <w:sz w:val="32"/>
          <w:szCs w:val="32"/>
          <w:lang w:val="en-US" w:eastAsia="zh-CN"/>
        </w:rPr>
        <w:t>2022年部门整体支出绩效自评结果显示，我部门绩效管理情况较为理想，达到了年初设定的各项绩效目标。所有资金使用严格按审批程序办理、操作规范，会计核算结果真实、准确，各项支出严格按照各项制度执行。</w:t>
      </w:r>
    </w:p>
    <w:p>
      <w:pPr>
        <w:pStyle w:val="5"/>
        <w:ind w:firstLine="643" w:firstLineChars="200"/>
        <w:rPr>
          <w:rFonts w:hint="eastAsia" w:ascii="仿宋_GB2312" w:eastAsia="仿宋_GB2312" w:hAnsiTheme="minorHAnsi" w:cstheme="minorBidi"/>
          <w:color w:val="auto"/>
          <w:kern w:val="2"/>
          <w:sz w:val="32"/>
          <w:szCs w:val="32"/>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_GB2312" w:eastAsia="仿宋_GB2312" w:hAnsiTheme="minorHAnsi" w:cstheme="minorBidi"/>
          <w:color w:val="auto"/>
          <w:kern w:val="2"/>
          <w:sz w:val="32"/>
          <w:szCs w:val="32"/>
          <w:lang w:val="en-US" w:eastAsia="zh-CN" w:bidi="ar-SA"/>
        </w:rPr>
        <w:t xml:space="preserve"> </w:t>
      </w:r>
    </w:p>
    <w:p>
      <w:pPr>
        <w:pStyle w:val="5"/>
        <w:ind w:firstLine="960" w:firstLineChars="3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eastAsia="仿宋_GB2312" w:hAnsiTheme="minorHAnsi" w:cstheme="minorBidi"/>
          <w:color w:val="auto"/>
          <w:kern w:val="2"/>
          <w:sz w:val="32"/>
          <w:szCs w:val="32"/>
          <w:lang w:val="en-US" w:eastAsia="zh-CN" w:bidi="ar-SA"/>
        </w:rPr>
        <w:t>一是由于本部门2022年新增人员较多、人员流动性大，年中和年末追加了工资、保险公用经费等预算指标，影响部门整体绩效情况。</w:t>
      </w:r>
      <w:r>
        <w:rPr>
          <w:rFonts w:hint="eastAsia" w:ascii="楷体_GB2312" w:hAnsi="楷体_GB2312" w:eastAsia="楷体_GB2312" w:cs="楷体_GB2312"/>
          <w:b w:val="0"/>
          <w:bCs/>
          <w:spacing w:val="-6"/>
          <w:w w:val="99"/>
          <w:kern w:val="2"/>
          <w:sz w:val="32"/>
          <w:szCs w:val="32"/>
          <w:lang w:val="en-US" w:eastAsia="zh-CN" w:bidi="ar-SA"/>
        </w:rPr>
        <w:t>二是</w:t>
      </w:r>
      <w:r>
        <w:rPr>
          <w:rFonts w:hint="eastAsia" w:ascii="仿宋_GB2312" w:eastAsia="仿宋_GB2312" w:hAnsiTheme="minorHAnsi" w:cstheme="minorBidi"/>
          <w:color w:val="auto"/>
          <w:kern w:val="2"/>
          <w:sz w:val="32"/>
          <w:szCs w:val="32"/>
          <w:lang w:val="en-US" w:eastAsia="zh-CN" w:bidi="ar-SA"/>
        </w:rPr>
        <w:t>结转结余资金规模较大，影响部门整体绩效情况。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pacing w:before="0" w:beforeAutospacing="0" w:after="0" w:afterAutospacing="0" w:line="576" w:lineRule="exact"/>
        <w:ind w:firstLine="640" w:firstLineChars="200"/>
        <w:contextualSpacing/>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_GB2312" w:eastAsia="仿宋_GB2312" w:cstheme="minorBidi"/>
          <w:color w:val="auto"/>
          <w:kern w:val="2"/>
          <w:sz w:val="32"/>
          <w:szCs w:val="32"/>
          <w:lang w:val="en-US" w:eastAsia="zh-CN" w:bidi="ar-SA"/>
        </w:rPr>
        <w:t>一是</w:t>
      </w:r>
      <w:r>
        <w:rPr>
          <w:rFonts w:hint="eastAsia" w:ascii="仿宋_GB2312" w:eastAsia="仿宋_GB2312"/>
          <w:color w:val="auto"/>
          <w:sz w:val="32"/>
          <w:szCs w:val="32"/>
          <w:lang w:val="en-US" w:eastAsia="zh-CN"/>
        </w:rPr>
        <w:t>科学合理编制预算，严格执行预算。进一步提高预算编制到位率，做准做全基本支出预算，做全项目支出预算，加强预算支出的审核、跟踪及预算执行情况分析，提高预算编制严谨性和可控性。二是进一步加强项目资金管理。严格实行项目管理程序化，实现项目申报、实施、拨付、评价全流程监督与控制，规范专项资金管理，提高专项资金的使用效益。三是进一步完善内部管理制度，提升管理效能。</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6"/>
        <w:tblpPr w:leftFromText="180" w:rightFromText="180" w:vertAnchor="text" w:horzAnchor="page" w:tblpX="375" w:tblpY="247"/>
        <w:tblOverlap w:val="never"/>
        <w:tblW w:w="11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363"/>
        <w:gridCol w:w="1352"/>
        <w:gridCol w:w="1700"/>
        <w:gridCol w:w="518"/>
        <w:gridCol w:w="1073"/>
        <w:gridCol w:w="522"/>
        <w:gridCol w:w="1086"/>
        <w:gridCol w:w="576"/>
        <w:gridCol w:w="864"/>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按照相关要求，按时、足额发放奖金。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自评得分为100，及时、足额发放奖金，预算编制科学合理，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项目自评总分100分，已及时、足额发放补贴。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该项目自评得分为100分，保障了金财网运行正常，财务工作顺利有效开展，各项财政资金使用渠道通畅。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每月按时申报工资，保障职工工资发放。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该项目自评得分为100，每月已足额、按时发放工资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该项目自评得分为100分，已足额、按时缴纳养老保险。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该项自评得分为100，每月已按时申报医疗保险，足额缴纳。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该项自评得分为100分，每月已按时申报住房公积金，足额缴纳。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系统统筹历年来各行业部门专项规划，用于统筹指导曾家山未来发展的纲领性规划，含曾家山景区总体策划、总体规划、重点区域概念规划三部分的纸质文本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系统统筹历年来各行业部门专项规划，用于统筹指导曾家山未来发展的纲领性规划，含曾家山景区总体策划、总体规划、重点区域概念规划三部分的电子文本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曾家山景区全景导览图</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积极筹备组织赴浙江、成都、重庆等地，开展高质量曾家山文化旅游专场推介会</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因疫情影响，外出开展专场推介会受阻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对接央视、人民网、四川卫视、四川文旅、四川观察、今日旅游、广元日报等主流媒体，宣传报道曾家山</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拍摄制作曾家山宣传片、川洞天坑专题宣传</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设计制作曾家山宣传折页等宣传资料</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营销效果质量</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曾家山旅游的品牌知名度和市场影响力显著提升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曾家山旅游的品牌知名度和市场影响力显著提升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科学、合理性</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宣传营销经费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财政最终拨付180万元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按合同支付策划费用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经专家评审、通过规委会后予以支付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95.5，做在2022年内做好了2022年曾家山旅游度假区宣传营销工作，进一步增强了曾家山旅游的品牌知名度和市场影响力，吸引了更多游客前来度假休闲观光，促进了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51081222T000005936702-朝天区高寒区干部温暖过冬项目取暖费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保障单位职工温暖过冬</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取暖时间</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2022年内</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10.94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剩余资金不够支付下一次天然气费用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保障单位职工切身利益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单位职工满意率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该项目自评得分为97.5，保障2022年单位职工温暖过冬，取暖率达到100%，单位职工满意度达到95%以上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预算执行率未达到100%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以后更加合理规划资金的分配和使用。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该项目自评得分为100，已保障单位正常运转。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保障了驻村工作队工作正常开展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该项目自评得分为100，保障了驻村工作队工作正常开展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每月已及时、足额发放补助。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每月及时、足额发放补助。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该项目自评得分为100，良好地保障了给职工每月按时发放补贴。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每月已及时、足额发放独子费。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每月及时、足额发放独子费。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该项目自评得分为100，良好地保障了给职工每月按时发放独子费。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严格执行相关政策，保障人才经费补助及时足额发放，预算编制科学合理，减少结余资金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该项目自评得分为100，已足额、按时发放安家费及工作补助。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保障单位金财网日常运转，提高预算编制质量，严格执行预算</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按照规定及时缴纳维护费，保障金财网运行正常，财务工作顺利有效开展，各项财政资金使用渠道通畅。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每月按时申报工资，保障职工工资发放。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59.32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102.83</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59.32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102.83</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102.83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该项目自评得分为100，每月已足额、按时发放工资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该项自评得分为100，每月已按时申报医疗保险，足额缴纳。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该项自评得分为100分，每月已按时申报住房公积金，足额缴纳。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51081222R000005138639-职业年金（事业）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该项自评得分为100，已按时申报职业年金，足额缴纳。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该项自评得分为100，已每月按时发放目标绩效奖。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广元市曾家山旅游度假区服务中心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及时缴纳水、电、网络、维修等费用，保障单位正常运转。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16.56</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该项目自评得分为100，已保障单位正常运转。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项目负责人：仇素淑</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财务负责人：杨欢</w:t>
            </w:r>
          </w:p>
        </w:tc>
      </w:tr>
    </w:tbl>
    <w:p>
      <w:pPr>
        <w:pStyle w:val="5"/>
        <w:numPr>
          <w:ilvl w:val="0"/>
          <w:numId w:val="0"/>
        </w:numPr>
        <w:ind w:leftChars="200"/>
        <w:rPr>
          <w:rFonts w:hint="eastAsia"/>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hAnsi="宋体" w:cs="宋体"/>
          <w:color w:val="auto"/>
          <w:kern w:val="0"/>
          <w:sz w:val="32"/>
          <w:szCs w:val="32"/>
          <w:highlight w:val="none"/>
          <w:shd w:val="clear" w:color="auto" w:fill="FFFFFF"/>
          <w:lang w:val="zh-CN"/>
        </w:rPr>
      </w:pPr>
    </w:p>
    <w:p>
      <w:pPr>
        <w:pStyle w:val="6"/>
        <w:spacing w:beforeLines="0"/>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2023年广元市朝天区曾家山旅游度假区管理委员会</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专项资金预算项目绩效自评报告</w:t>
      </w:r>
    </w:p>
    <w:p>
      <w:pPr>
        <w:pStyle w:val="37"/>
        <w:keepNext w:val="0"/>
        <w:keepLines w:val="0"/>
        <w:pageBreakBefore w:val="0"/>
        <w:widowControl w:val="0"/>
        <w:kinsoku/>
        <w:wordWrap/>
        <w:overflowPunct/>
        <w:topLinePunct w:val="0"/>
        <w:autoSpaceDE/>
        <w:autoSpaceDN/>
        <w:bidi w:val="0"/>
        <w:spacing w:line="578" w:lineRule="exact"/>
        <w:ind w:firstLine="2249" w:firstLineChars="703"/>
        <w:jc w:val="both"/>
        <w:textAlignment w:val="auto"/>
        <w:rPr>
          <w:rFonts w:hint="eastAsia" w:ascii="宋体" w:hAnsi="宋体" w:eastAsia="宋体"/>
          <w:color w:val="auto"/>
          <w:kern w:val="2"/>
          <w:sz w:val="32"/>
          <w:szCs w:val="32"/>
          <w:highlight w:val="none"/>
          <w:lang w:eastAsia="zh-CN"/>
        </w:rPr>
      </w:pPr>
      <w:r>
        <w:rPr>
          <w:rFonts w:hint="eastAsia" w:ascii="宋体" w:hAnsi="宋体"/>
          <w:color w:val="auto"/>
          <w:kern w:val="2"/>
          <w:sz w:val="32"/>
          <w:szCs w:val="32"/>
          <w:highlight w:val="none"/>
          <w:lang w:eastAsia="zh-CN"/>
        </w:rPr>
        <w:t>（</w:t>
      </w:r>
      <w:r>
        <w:rPr>
          <w:rFonts w:hint="eastAsia" w:ascii="仿宋_GB2312" w:hAnsi="Times New Roman" w:eastAsia="仿宋_GB2312" w:cs="Times New Roman"/>
          <w:spacing w:val="-6"/>
          <w:sz w:val="32"/>
          <w:szCs w:val="32"/>
          <w:lang w:val="en-US" w:eastAsia="zh-CN"/>
        </w:rPr>
        <w:t>天府旅游名县奖励资金</w:t>
      </w:r>
      <w:r>
        <w:rPr>
          <w:rFonts w:hint="eastAsia" w:ascii="宋体" w:hAnsi="宋体"/>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numPr>
          <w:ilvl w:val="0"/>
          <w:numId w:val="0"/>
        </w:numPr>
        <w:autoSpaceDE w:val="0"/>
        <w:spacing w:line="540" w:lineRule="exact"/>
        <w:ind w:firstLine="616" w:firstLineChars="200"/>
        <w:rPr>
          <w:lang w:val="zh-CN"/>
        </w:rPr>
      </w:pPr>
      <w:r>
        <w:rPr>
          <w:rFonts w:hint="eastAsia" w:ascii="仿宋_GB2312" w:hAnsi="Times New Roman" w:eastAsia="仿宋_GB2312" w:cs="Times New Roman"/>
          <w:spacing w:val="-6"/>
          <w:sz w:val="32"/>
          <w:szCs w:val="32"/>
          <w:lang w:val="en-US" w:eastAsia="zh-CN"/>
        </w:rPr>
        <w:t>天府旅游名县奖励资金项目是上年结余结转资金，经区政府研究同意，</w:t>
      </w:r>
      <w:r>
        <w:rPr>
          <w:rFonts w:hint="eastAsia" w:ascii="仿宋_GB2312" w:eastAsia="仿宋_GB2312"/>
          <w:sz w:val="32"/>
          <w:szCs w:val="32"/>
        </w:rPr>
        <w:t>由朝天区财政局下达</w:t>
      </w:r>
      <w:r>
        <w:rPr>
          <w:rFonts w:hint="eastAsia" w:ascii="仿宋_GB2312" w:eastAsia="仿宋_GB2312"/>
          <w:sz w:val="32"/>
          <w:szCs w:val="32"/>
          <w:lang w:val="en-US" w:eastAsia="zh-CN"/>
        </w:rPr>
        <w:t>经费180</w:t>
      </w:r>
      <w:r>
        <w:rPr>
          <w:rFonts w:hint="eastAsia" w:ascii="仿宋_GB2312" w:eastAsia="仿宋_GB2312"/>
          <w:sz w:val="32"/>
          <w:szCs w:val="32"/>
        </w:rPr>
        <w:t>万元</w:t>
      </w:r>
      <w:r>
        <w:rPr>
          <w:rFonts w:hint="eastAsia" w:ascii="仿宋_GB2312" w:hAnsi="Times New Roman" w:eastAsia="仿宋_GB2312" w:cs="Times New Roman"/>
          <w:spacing w:val="-6"/>
          <w:sz w:val="32"/>
          <w:szCs w:val="32"/>
          <w:lang w:val="en-US" w:eastAsia="zh-CN"/>
        </w:rPr>
        <w:t>，</w:t>
      </w:r>
      <w:r>
        <w:rPr>
          <w:rFonts w:hint="eastAsia" w:ascii="仿宋_GB2312" w:hAnsi="Times New Roman" w:eastAsia="仿宋_GB2312" w:cs="Times New Roman"/>
          <w:spacing w:val="-6"/>
          <w:sz w:val="32"/>
          <w:szCs w:val="32"/>
        </w:rPr>
        <w:t>符合资金管理办法等相关规定</w:t>
      </w:r>
      <w:r>
        <w:rPr>
          <w:rFonts w:hint="eastAsia" w:ascii="仿宋_GB2312" w:hAnsi="Times New Roman" w:eastAsia="仿宋_GB2312" w:cs="Times New Roman"/>
          <w:spacing w:val="-6"/>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项目主要内容。</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做好2022年曾家山旅游度假区宣传营销工作，进一步增强曾家山旅游的品牌知名度和市场影响力，吸引更多游客前来度假休闲观光，促进曾家山旅游业持续快速健康发展。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曾</w:t>
      </w:r>
      <w:r>
        <w:rPr>
          <w:rFonts w:hint="default" w:ascii="仿宋_GB2312" w:hAnsi="Times New Roman" w:eastAsia="仿宋_GB2312" w:cs="Times New Roman"/>
          <w:spacing w:val="-6"/>
          <w:sz w:val="32"/>
          <w:szCs w:val="32"/>
          <w:lang w:val="en-US" w:eastAsia="zh-CN"/>
        </w:rPr>
        <w:t>家山未来发展的纲领性规划</w:t>
      </w:r>
      <w:r>
        <w:rPr>
          <w:rFonts w:hint="eastAsia" w:ascii="仿宋_GB2312" w:hAnsi="Times New Roman" w:eastAsia="仿宋_GB2312" w:cs="Times New Roman"/>
          <w:spacing w:val="-6"/>
          <w:sz w:val="32"/>
          <w:szCs w:val="32"/>
          <w:lang w:val="en-US" w:eastAsia="zh-CN"/>
        </w:rPr>
        <w:t>（</w:t>
      </w:r>
      <w:r>
        <w:rPr>
          <w:rFonts w:hint="default" w:ascii="仿宋_GB2312" w:hAnsi="Times New Roman" w:eastAsia="仿宋_GB2312" w:cs="Times New Roman"/>
          <w:spacing w:val="-6"/>
          <w:sz w:val="32"/>
          <w:szCs w:val="32"/>
          <w:lang w:val="en-US" w:eastAsia="zh-CN"/>
        </w:rPr>
        <w:t>含曾家山景区总体策划、总体规划、重点区域概念规划</w:t>
      </w:r>
      <w:r>
        <w:rPr>
          <w:rFonts w:hint="eastAsia" w:ascii="仿宋_GB2312" w:hAnsi="Times New Roman" w:eastAsia="仿宋_GB2312" w:cs="Times New Roman"/>
          <w:spacing w:val="-6"/>
          <w:sz w:val="32"/>
          <w:szCs w:val="32"/>
          <w:lang w:val="en-US" w:eastAsia="zh-CN"/>
        </w:rPr>
        <w:t>）</w:t>
      </w:r>
      <w:r>
        <w:rPr>
          <w:rFonts w:hint="default" w:ascii="仿宋_GB2312" w:hAnsi="Times New Roman" w:eastAsia="仿宋_GB2312" w:cs="Times New Roman"/>
          <w:spacing w:val="-6"/>
          <w:sz w:val="32"/>
          <w:szCs w:val="32"/>
          <w:lang w:val="en-US" w:eastAsia="zh-CN"/>
        </w:rPr>
        <w:t>纸质文本</w:t>
      </w:r>
      <w:r>
        <w:rPr>
          <w:rFonts w:hint="eastAsia" w:ascii="仿宋_GB2312" w:hAnsi="Times New Roman" w:eastAsia="仿宋_GB2312" w:cs="Times New Roman"/>
          <w:spacing w:val="-6"/>
          <w:sz w:val="32"/>
          <w:szCs w:val="32"/>
          <w:lang w:val="en-US" w:eastAsia="zh-CN"/>
        </w:rPr>
        <w:t>15套，电子文本1套；曾家山景区全景导览图1张；赴浙江、成都、重庆等地，开展高质量曾家山文化旅游专场推介会1场；对接央视、人民网、四川卫视、四川文旅、四川观察、今日旅游、广元日报等主流媒体，宣传报道曾家山4次；拍摄制作曾家山宣传片、川洞天坑专题宣传2部；设计制作曾家山宣传折页等宣传资料2份。曾家山旅游的品牌知名度和市场影响力得到提升，吸引大量游客，形成良好经济效益；带动周边群众发展相关产业，促进民众增收，形成良好社会效益；后期进行科学合理开发，形成良好生态效益；群众满意度达到95%。</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分析评价申报内容是否与实际相符，申报目标是否合理可行。</w:t>
      </w:r>
    </w:p>
    <w:p>
      <w:pPr>
        <w:numPr>
          <w:ilvl w:val="0"/>
          <w:numId w:val="0"/>
        </w:numPr>
        <w:autoSpaceDE w:val="0"/>
        <w:spacing w:line="540" w:lineRule="exact"/>
        <w:ind w:firstLine="640" w:firstLineChars="200"/>
        <w:rPr>
          <w:rFonts w:hint="eastAsia" w:ascii="仿宋_GB2312" w:hAnsi="宋体" w:eastAsia="仿宋_GB2312" w:cs="Times New Roman"/>
          <w:w w:val="99"/>
          <w:sz w:val="32"/>
          <w:szCs w:val="32"/>
        </w:rPr>
      </w:pPr>
      <w:r>
        <w:rPr>
          <w:rFonts w:hint="eastAsia" w:ascii="仿宋_GB2312" w:eastAsia="仿宋_GB2312"/>
          <w:sz w:val="32"/>
          <w:szCs w:val="32"/>
          <w:lang w:val="en-US" w:eastAsia="zh-CN"/>
        </w:rPr>
        <w:t>该项目资金申报符合相关实际，申报目标在2022年度是合理可行的。项目资金使用符合相关的财务管理制度规定，不存在截留、挤占、挪用、虚列支出等情况。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成立项目自评小组，结合评价内容，做到有计划，有安排，扎实开展本次自评工作。按照下达的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年初结余结转495万元</w:t>
      </w:r>
      <w:r>
        <w:rPr>
          <w:rFonts w:hint="eastAsia" w:ascii="仿宋_GB2312" w:hAnsi="仿宋_GB2312" w:eastAsia="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2022年度</w:t>
      </w:r>
      <w:r>
        <w:rPr>
          <w:rFonts w:hint="eastAsia" w:ascii="仿宋_GB2312" w:eastAsia="仿宋_GB2312"/>
          <w:sz w:val="32"/>
          <w:szCs w:val="32"/>
        </w:rPr>
        <w:t>由朝天区财政局</w:t>
      </w:r>
      <w:r>
        <w:rPr>
          <w:rFonts w:hint="eastAsia" w:ascii="仿宋_GB2312" w:eastAsia="仿宋_GB2312"/>
          <w:sz w:val="32"/>
          <w:szCs w:val="32"/>
          <w:lang w:val="en-US" w:eastAsia="zh-CN"/>
        </w:rPr>
        <w:t>批复经费180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实际下达经费180万元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pStyle w:val="21"/>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16"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_GB2312" w:hAnsi="Times New Roman" w:eastAsia="仿宋_GB2312" w:cs="Times New Roman"/>
          <w:spacing w:val="-6"/>
          <w:sz w:val="32"/>
          <w:szCs w:val="32"/>
          <w:lang w:val="en-US" w:eastAsia="zh-CN"/>
        </w:rPr>
        <w:t>（1）资金计划。</w:t>
      </w:r>
      <w:r>
        <w:rPr>
          <w:rFonts w:hint="eastAsia" w:ascii="仿宋" w:hAnsi="仿宋" w:eastAsia="仿宋" w:cs="仿宋"/>
          <w:i w:val="0"/>
          <w:iCs w:val="0"/>
          <w:caps w:val="0"/>
          <w:color w:val="333333"/>
          <w:spacing w:val="0"/>
          <w:sz w:val="32"/>
          <w:szCs w:val="32"/>
          <w:lang w:val="en-US" w:eastAsia="zh-CN"/>
        </w:rPr>
        <w:t>该项目</w:t>
      </w:r>
      <w:r>
        <w:rPr>
          <w:rFonts w:ascii="仿宋" w:hAnsi="仿宋" w:eastAsia="仿宋" w:cs="仿宋"/>
          <w:i w:val="0"/>
          <w:iCs w:val="0"/>
          <w:caps w:val="0"/>
          <w:color w:val="333333"/>
          <w:spacing w:val="0"/>
          <w:sz w:val="32"/>
          <w:szCs w:val="32"/>
        </w:rPr>
        <w:t>年初预算资金</w:t>
      </w:r>
      <w:r>
        <w:rPr>
          <w:rFonts w:hint="eastAsia" w:ascii="仿宋" w:hAnsi="仿宋" w:eastAsia="仿宋" w:cs="仿宋"/>
          <w:i w:val="0"/>
          <w:iCs w:val="0"/>
          <w:caps w:val="0"/>
          <w:color w:val="333333"/>
          <w:spacing w:val="0"/>
          <w:sz w:val="32"/>
          <w:szCs w:val="32"/>
          <w:lang w:val="en-US" w:eastAsia="zh-CN"/>
        </w:rPr>
        <w:t>495</w:t>
      </w:r>
      <w:r>
        <w:rPr>
          <w:rFonts w:hint="eastAsia" w:ascii="仿宋" w:hAnsi="仿宋" w:eastAsia="仿宋" w:cs="仿宋"/>
          <w:i w:val="0"/>
          <w:iCs w:val="0"/>
          <w:caps w:val="0"/>
          <w:color w:val="333333"/>
          <w:spacing w:val="0"/>
          <w:sz w:val="32"/>
          <w:szCs w:val="32"/>
        </w:rPr>
        <w:t>万元</w:t>
      </w:r>
      <w:r>
        <w:rPr>
          <w:rFonts w:hint="eastAsia" w:ascii="宋体" w:hAnsi="宋体" w:eastAsia="宋体" w:cs="宋体"/>
          <w:i w:val="0"/>
          <w:iCs w:val="0"/>
          <w:caps w:val="0"/>
          <w:color w:val="333333"/>
          <w:spacing w:val="0"/>
          <w:sz w:val="32"/>
          <w:szCs w:val="32"/>
        </w:rPr>
        <w:t>/</w:t>
      </w:r>
      <w:r>
        <w:rPr>
          <w:rFonts w:hint="eastAsia" w:ascii="仿宋" w:hAnsi="仿宋" w:eastAsia="仿宋" w:cs="仿宋"/>
          <w:i w:val="0"/>
          <w:iCs w:val="0"/>
          <w:caps w:val="0"/>
          <w:color w:val="333333"/>
          <w:spacing w:val="0"/>
          <w:sz w:val="32"/>
          <w:szCs w:val="32"/>
        </w:rPr>
        <w:t>年，批复资金为</w:t>
      </w:r>
      <w:r>
        <w:rPr>
          <w:rFonts w:hint="eastAsia" w:ascii="仿宋" w:hAnsi="仿宋" w:eastAsia="仿宋" w:cs="仿宋"/>
          <w:i w:val="0"/>
          <w:iCs w:val="0"/>
          <w:caps w:val="0"/>
          <w:color w:val="333333"/>
          <w:spacing w:val="0"/>
          <w:sz w:val="32"/>
          <w:szCs w:val="32"/>
          <w:lang w:val="en-US" w:eastAsia="zh-CN"/>
        </w:rPr>
        <w:t>180</w:t>
      </w:r>
      <w:r>
        <w:rPr>
          <w:rFonts w:hint="eastAsia" w:ascii="仿宋" w:hAnsi="仿宋" w:eastAsia="仿宋" w:cs="仿宋"/>
          <w:i w:val="0"/>
          <w:iCs w:val="0"/>
          <w:caps w:val="0"/>
          <w:color w:val="333333"/>
          <w:spacing w:val="0"/>
          <w:sz w:val="32"/>
          <w:szCs w:val="32"/>
        </w:rPr>
        <w:t>万元/年。</w:t>
      </w:r>
      <w:r>
        <w:rPr>
          <w:rFonts w:hint="eastAsia" w:ascii="仿宋" w:hAnsi="仿宋" w:eastAsia="仿宋" w:cs="仿宋"/>
          <w:i w:val="0"/>
          <w:iCs w:val="0"/>
          <w:caps w:val="0"/>
          <w:color w:val="333333"/>
          <w:spacing w:val="0"/>
          <w:sz w:val="32"/>
          <w:szCs w:val="32"/>
          <w:lang w:val="en-US" w:eastAsia="zh-CN"/>
        </w:rPr>
        <w:t>剩余资金需经过专家评审、规委会验收合格后予以拨付。</w:t>
      </w:r>
    </w:p>
    <w:p>
      <w:pPr>
        <w:autoSpaceDE w:val="0"/>
        <w:spacing w:line="540" w:lineRule="exact"/>
        <w:ind w:firstLine="616" w:firstLineChars="200"/>
        <w:rPr>
          <w:rFonts w:hint="default" w:ascii="仿宋" w:hAnsi="仿宋" w:eastAsia="仿宋" w:cs="仿宋"/>
          <w:i w:val="0"/>
          <w:iCs w:val="0"/>
          <w:caps w:val="0"/>
          <w:color w:val="333333"/>
          <w:spacing w:val="0"/>
          <w:sz w:val="32"/>
          <w:szCs w:val="32"/>
          <w:lang w:val="en-US" w:eastAsia="zh-CN"/>
        </w:rPr>
      </w:pPr>
      <w:r>
        <w:rPr>
          <w:rFonts w:hint="eastAsia" w:ascii="仿宋_GB2312" w:hAnsi="Times New Roman" w:eastAsia="仿宋_GB2312" w:cs="Times New Roman"/>
          <w:spacing w:val="-6"/>
          <w:sz w:val="32"/>
          <w:szCs w:val="32"/>
          <w:lang w:val="en-US" w:eastAsia="zh-CN"/>
        </w:rPr>
        <w:t>（2）资金到位</w:t>
      </w:r>
      <w:r>
        <w:rPr>
          <w:rFonts w:ascii="楷体" w:hAnsi="楷体" w:eastAsia="楷体" w:cs="楷体"/>
          <w:i w:val="0"/>
          <w:iCs w:val="0"/>
          <w:caps w:val="0"/>
          <w:color w:val="333333"/>
          <w:spacing w:val="0"/>
          <w:sz w:val="32"/>
          <w:szCs w:val="32"/>
        </w:rPr>
        <w:t>。</w:t>
      </w:r>
      <w:r>
        <w:rPr>
          <w:rFonts w:ascii="仿宋" w:hAnsi="仿宋" w:eastAsia="仿宋" w:cs="仿宋"/>
          <w:i w:val="0"/>
          <w:iCs w:val="0"/>
          <w:caps w:val="0"/>
          <w:color w:val="333333"/>
          <w:spacing w:val="0"/>
          <w:sz w:val="32"/>
          <w:szCs w:val="32"/>
        </w:rPr>
        <w:t>截止</w:t>
      </w: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年12月，资金到位</w:t>
      </w:r>
      <w:r>
        <w:rPr>
          <w:rFonts w:hint="eastAsia" w:ascii="仿宋" w:hAnsi="仿宋" w:eastAsia="仿宋" w:cs="仿宋"/>
          <w:i w:val="0"/>
          <w:iCs w:val="0"/>
          <w:caps w:val="0"/>
          <w:color w:val="333333"/>
          <w:spacing w:val="0"/>
          <w:sz w:val="32"/>
          <w:szCs w:val="32"/>
          <w:lang w:val="en-US" w:eastAsia="zh-CN"/>
        </w:rPr>
        <w:t>180</w:t>
      </w:r>
      <w:r>
        <w:rPr>
          <w:rFonts w:hint="eastAsia" w:ascii="仿宋" w:hAnsi="仿宋" w:eastAsia="仿宋" w:cs="仿宋"/>
          <w:i w:val="0"/>
          <w:iCs w:val="0"/>
          <w:caps w:val="0"/>
          <w:color w:val="333333"/>
          <w:spacing w:val="0"/>
          <w:sz w:val="32"/>
          <w:szCs w:val="32"/>
        </w:rPr>
        <w:t>万元/年</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实际到位180万元，资金到位率为100%</w:t>
      </w:r>
      <w:r>
        <w:rPr>
          <w:rFonts w:hint="eastAsia" w:ascii="仿宋" w:hAnsi="仿宋" w:eastAsia="仿宋" w:cs="仿宋"/>
          <w:i w:val="0"/>
          <w:iCs w:val="0"/>
          <w:caps w:val="0"/>
          <w:color w:val="333333"/>
          <w:spacing w:val="0"/>
          <w:sz w:val="32"/>
          <w:szCs w:val="32"/>
        </w:rPr>
        <w:t>。</w:t>
      </w:r>
    </w:p>
    <w:p>
      <w:pPr>
        <w:numPr>
          <w:ilvl w:val="0"/>
          <w:numId w:val="0"/>
        </w:numPr>
        <w:autoSpaceDE w:val="0"/>
        <w:spacing w:line="54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Times New Roman" w:eastAsia="仿宋_GB2312" w:cs="Times New Roman"/>
          <w:spacing w:val="-6"/>
          <w:sz w:val="32"/>
          <w:szCs w:val="32"/>
        </w:rPr>
        <w:t>截止评价时点项目资金的实际支出</w:t>
      </w:r>
      <w:r>
        <w:rPr>
          <w:rFonts w:hint="eastAsia" w:ascii="仿宋_GB2312" w:hAnsi="Times New Roman" w:eastAsia="仿宋_GB2312" w:cs="Times New Roman"/>
          <w:spacing w:val="-6"/>
          <w:sz w:val="32"/>
          <w:szCs w:val="32"/>
          <w:lang w:val="en-US" w:eastAsia="zh-CN"/>
        </w:rPr>
        <w:t>180万元。主要用于宣传费用、网站建设费、“两微一抖”运营服务费、广告制作费用、推介片费用以及视频制作费等。</w:t>
      </w:r>
      <w:r>
        <w:rPr>
          <w:rFonts w:hint="eastAsia" w:ascii="仿宋_GB2312" w:hAnsi="Times New Roman" w:eastAsia="仿宋_GB2312" w:cs="Times New Roman"/>
          <w:spacing w:val="-6"/>
          <w:sz w:val="32"/>
          <w:szCs w:val="32"/>
        </w:rPr>
        <w:t>支付依据合规合法</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与预算相符</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eastAsia="仿宋_GB2312"/>
          <w:sz w:val="32"/>
          <w:szCs w:val="32"/>
          <w:lang w:val="en-US" w:eastAsia="zh-CN"/>
        </w:rPr>
        <w:t>该项目资金使用符合国家财经法规、项目资金管理办法的规定，符合项目预算批复规定的用途，资金的拨付审批程序和手续基本完整；财务管理严格按照我单位财务管理制度规范执行，及时、规范对收支进行账务处理和会计核算。坚持“专项核算、专款专用”的原则，不存在超标准、截留、挪用、虚列支出等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960" w:firstLineChars="300"/>
        <w:textAlignment w:val="auto"/>
        <w:rPr>
          <w:lang w:val="zh-CN"/>
        </w:rPr>
      </w:pPr>
      <w:r>
        <w:rPr>
          <w:rFonts w:hint="eastAsia" w:ascii="仿宋_GB2312" w:hAnsi="Times New Roman" w:eastAsia="仿宋_GB2312" w:cs="仿宋_GB2312"/>
          <w:b w:val="0"/>
          <w:bCs w:val="0"/>
          <w:i w:val="0"/>
          <w:iCs w:val="0"/>
          <w:caps w:val="0"/>
          <w:color w:val="000000"/>
          <w:spacing w:val="0"/>
          <w:sz w:val="32"/>
          <w:szCs w:val="32"/>
          <w:lang w:val="en-US" w:eastAsia="zh-CN"/>
        </w:rPr>
        <w:t>该</w:t>
      </w:r>
      <w:r>
        <w:rPr>
          <w:rFonts w:hint="default" w:ascii="仿宋_GB2312" w:hAnsi="Times New Roman" w:eastAsia="仿宋_GB2312" w:cs="仿宋_GB2312"/>
          <w:b w:val="0"/>
          <w:bCs w:val="0"/>
          <w:i w:val="0"/>
          <w:iCs w:val="0"/>
          <w:caps w:val="0"/>
          <w:color w:val="353535"/>
          <w:spacing w:val="0"/>
          <w:sz w:val="32"/>
          <w:szCs w:val="32"/>
        </w:rPr>
        <w:t>项目</w:t>
      </w:r>
      <w:r>
        <w:rPr>
          <w:rFonts w:hint="default" w:ascii="仿宋_GB2312" w:hAnsi="Times New Roman" w:eastAsia="仿宋_GB2312" w:cs="仿宋_GB2312"/>
          <w:b w:val="0"/>
          <w:bCs w:val="0"/>
          <w:i w:val="0"/>
          <w:iCs w:val="0"/>
          <w:caps w:val="0"/>
          <w:color w:val="000000"/>
          <w:spacing w:val="0"/>
          <w:sz w:val="32"/>
          <w:szCs w:val="32"/>
        </w:rPr>
        <w:t>由</w:t>
      </w:r>
      <w:r>
        <w:rPr>
          <w:rFonts w:hint="eastAsia" w:ascii="仿宋_GB2312" w:hAnsi="Times New Roman" w:eastAsia="仿宋_GB2312" w:cs="仿宋_GB2312"/>
          <w:b w:val="0"/>
          <w:bCs w:val="0"/>
          <w:i w:val="0"/>
          <w:iCs w:val="0"/>
          <w:caps w:val="0"/>
          <w:color w:val="000000"/>
          <w:spacing w:val="0"/>
          <w:sz w:val="32"/>
          <w:szCs w:val="32"/>
          <w:lang w:val="en-US" w:eastAsia="zh-CN"/>
        </w:rPr>
        <w:t>本单位主要负责人</w:t>
      </w:r>
      <w:r>
        <w:rPr>
          <w:rFonts w:hint="default" w:ascii="仿宋_GB2312" w:hAnsi="Times New Roman" w:eastAsia="仿宋_GB2312" w:cs="仿宋_GB2312"/>
          <w:b w:val="0"/>
          <w:bCs w:val="0"/>
          <w:i w:val="0"/>
          <w:iCs w:val="0"/>
          <w:caps w:val="0"/>
          <w:color w:val="000000"/>
          <w:spacing w:val="0"/>
          <w:sz w:val="32"/>
          <w:szCs w:val="32"/>
        </w:rPr>
        <w:t>为项目负责人，</w:t>
      </w:r>
      <w:r>
        <w:rPr>
          <w:rFonts w:hint="eastAsia" w:ascii="仿宋_GB2312" w:hAnsi="Times New Roman" w:eastAsia="仿宋_GB2312" w:cs="仿宋_GB2312"/>
          <w:b w:val="0"/>
          <w:bCs w:val="0"/>
          <w:i w:val="0"/>
          <w:iCs w:val="0"/>
          <w:caps w:val="0"/>
          <w:color w:val="000000"/>
          <w:spacing w:val="0"/>
          <w:sz w:val="32"/>
          <w:szCs w:val="32"/>
          <w:lang w:val="en-US" w:eastAsia="zh-CN"/>
        </w:rPr>
        <w:t>办公室、宣传营销科等科室</w:t>
      </w:r>
      <w:r>
        <w:rPr>
          <w:rFonts w:hint="default" w:ascii="仿宋_GB2312" w:hAnsi="Times New Roman" w:eastAsia="仿宋_GB2312" w:cs="仿宋_GB2312"/>
          <w:b w:val="0"/>
          <w:bCs w:val="0"/>
          <w:i w:val="0"/>
          <w:iCs w:val="0"/>
          <w:caps w:val="0"/>
          <w:color w:val="000000"/>
          <w:spacing w:val="0"/>
          <w:sz w:val="32"/>
          <w:szCs w:val="32"/>
        </w:rPr>
        <w:t>人员为本项目工作人员，负责协调处理项目方面的各项工作。在项目实施时</w:t>
      </w:r>
      <w:r>
        <w:rPr>
          <w:rFonts w:hint="default" w:ascii="仿宋_GB2312" w:hAnsi="Times New Roman" w:eastAsia="仿宋_GB2312" w:cs="仿宋_GB2312"/>
          <w:b w:val="0"/>
          <w:bCs w:val="0"/>
          <w:i w:val="0"/>
          <w:iCs w:val="0"/>
          <w:caps w:val="0"/>
          <w:color w:val="333333"/>
          <w:spacing w:val="0"/>
          <w:sz w:val="32"/>
          <w:szCs w:val="32"/>
        </w:rPr>
        <w:t>，项目资金管理严格按制度执行，严格审批程序，确定上报项目。</w:t>
      </w:r>
    </w:p>
    <w:p>
      <w:pPr>
        <w:keepNext w:val="0"/>
        <w:keepLines w:val="0"/>
        <w:pageBreakBefore w:val="0"/>
        <w:numPr>
          <w:ilvl w:val="0"/>
          <w:numId w:val="9"/>
        </w:numPr>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该项目采取的是项目工作领导小组负责制。全体成员积极配合，通力合作。项目工作领导小组负责协调相关工作、项目实施及资金管理。</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lang w:eastAsia="zh-CN"/>
        </w:rPr>
      </w:pPr>
      <w:r>
        <w:rPr>
          <w:rFonts w:hint="eastAsia" w:ascii="仿宋_GB2312" w:hAnsi="宋体" w:eastAsia="仿宋_GB2312" w:cs="Times New Roman"/>
          <w:w w:val="99"/>
          <w:sz w:val="32"/>
          <w:szCs w:val="32"/>
          <w:lang w:val="en-US" w:eastAsia="zh-CN"/>
        </w:rPr>
        <w:t>该项目资金由办公室财务部门具体管理，按计划制定管理制度，实行专款专用，未挤占、挪用。强化监督，指派专人定期或不定期对项目实施进度进行检查，及时解决问题，保证项目完成质量。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1.目标完成任务量</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截止2022年12月31日，该项目完成12个月，已支付项目资金180万元。</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left="720" w:leftChars="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2.目标完成质量</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在2022年内圆满完成，群众满意度达到了95%。</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3.目标完成进度。</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截止2022年12月，该项目任务完成较好，如期实现了预期目标。</w:t>
      </w:r>
    </w:p>
    <w:p>
      <w:pPr>
        <w:keepNext w:val="0"/>
        <w:keepLines w:val="0"/>
        <w:pageBreakBefore w:val="0"/>
        <w:kinsoku/>
        <w:wordWrap/>
        <w:overflowPunct/>
        <w:topLinePunct w:val="0"/>
        <w:autoSpaceDE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4.目标完成成本</w:t>
      </w:r>
    </w:p>
    <w:p>
      <w:pPr>
        <w:keepNext w:val="0"/>
        <w:keepLines w:val="0"/>
        <w:pageBreakBefore w:val="0"/>
        <w:kinsoku/>
        <w:wordWrap/>
        <w:overflowPunct/>
        <w:topLinePunct w:val="0"/>
        <w:autoSpaceDE w:val="0"/>
        <w:autoSpaceDN/>
        <w:bidi w:val="0"/>
        <w:adjustRightInd w:val="0"/>
        <w:snapToGrid w:val="0"/>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截止2022年12月，该项目所需宣传经费实际支出180万元。资金结余0万元，无违规记录。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宋体" w:eastAsia="仿宋_GB2312" w:cs="Times New Roman"/>
          <w:w w:val="99"/>
          <w:sz w:val="32"/>
          <w:szCs w:val="32"/>
        </w:rPr>
        <w:t>截止评价时点</w:t>
      </w:r>
      <w:r>
        <w:rPr>
          <w:rFonts w:hint="eastAsia" w:ascii="仿宋_GB2312" w:hAnsi="宋体" w:eastAsia="仿宋_GB2312" w:cs="Times New Roman"/>
          <w:w w:val="99"/>
          <w:sz w:val="32"/>
          <w:szCs w:val="32"/>
          <w:lang w:val="en-US" w:eastAsia="zh-CN"/>
        </w:rPr>
        <w:t>完成</w:t>
      </w:r>
      <w:r>
        <w:rPr>
          <w:rFonts w:hint="eastAsia" w:ascii="仿宋_GB2312" w:hAnsi="宋体" w:eastAsia="仿宋_GB2312" w:cs="Times New Roman"/>
          <w:w w:val="99"/>
          <w:sz w:val="32"/>
          <w:szCs w:val="32"/>
        </w:rPr>
        <w:t>质量标准</w:t>
      </w:r>
      <w:r>
        <w:rPr>
          <w:rFonts w:hint="eastAsia" w:ascii="仿宋_GB2312" w:hAnsi="宋体" w:eastAsia="仿宋_GB2312" w:cs="Times New Roman"/>
          <w:w w:val="99"/>
          <w:sz w:val="32"/>
          <w:szCs w:val="32"/>
          <w:lang w:val="en-US" w:eastAsia="zh-CN"/>
        </w:rPr>
        <w:t>为优，</w:t>
      </w:r>
      <w:r>
        <w:rPr>
          <w:rFonts w:ascii="仿宋_GB2312" w:hAnsi="Times New Roman" w:eastAsia="仿宋_GB2312" w:cs="仿宋_GB2312"/>
          <w:b w:val="0"/>
          <w:bCs w:val="0"/>
          <w:i w:val="0"/>
          <w:iCs w:val="0"/>
          <w:caps w:val="0"/>
          <w:color w:val="000000"/>
          <w:spacing w:val="0"/>
          <w:sz w:val="32"/>
          <w:szCs w:val="32"/>
          <w:shd w:val="clear" w:fill="FFFFFF"/>
        </w:rPr>
        <w:t>成本控制目标实现良好，全部支付到位，</w:t>
      </w:r>
      <w:r>
        <w:rPr>
          <w:rFonts w:hint="default" w:ascii="仿宋_GB2312" w:hAnsi="Times New Roman" w:eastAsia="仿宋_GB2312" w:cs="仿宋_GB2312"/>
          <w:b w:val="0"/>
          <w:bCs w:val="0"/>
          <w:i w:val="0"/>
          <w:iCs w:val="0"/>
          <w:caps w:val="0"/>
          <w:color w:val="000000"/>
          <w:spacing w:val="0"/>
          <w:sz w:val="32"/>
          <w:szCs w:val="32"/>
          <w:shd w:val="clear" w:fill="FFFFFF"/>
        </w:rPr>
        <w:t>该项目无违规记录等情况</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经济效益</w:t>
      </w:r>
      <w:r>
        <w:rPr>
          <w:rFonts w:hint="eastAsia" w:ascii="仿宋_GB2312" w:hAnsi="宋体" w:eastAsia="仿宋_GB2312" w:cs="Times New Roman"/>
          <w:w w:val="99"/>
          <w:sz w:val="32"/>
          <w:szCs w:val="32"/>
          <w:lang w:eastAsia="zh-CN"/>
        </w:rPr>
        <w:t>：科学利用曾家山景区现有旅游资源，对景区建设提档升级，打造景区亮点，吸引大量游客，形成良好经济效益。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lang w:eastAsia="zh-CN"/>
        </w:rPr>
        <w:t>社会效益：规划中涉及了大量体验性项目，可带动周边群众发展相关产业，促进民众增收，形成良好社会效益。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lang w:eastAsia="zh-CN"/>
        </w:rPr>
        <w:t>生态效益：规划充分结合近期国土空间规划，系统分析曾家山景区各项资源承载能力，指导后期进行科学合理开发，形成良好生态效益。</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4.</w:t>
      </w:r>
      <w:r>
        <w:rPr>
          <w:rFonts w:hint="eastAsia" w:ascii="仿宋_GB2312" w:hAnsi="宋体" w:eastAsia="仿宋_GB2312" w:cs="Times New Roman"/>
          <w:w w:val="99"/>
          <w:sz w:val="32"/>
          <w:szCs w:val="32"/>
          <w:lang w:eastAsia="zh-CN"/>
        </w:rPr>
        <w:t>可持续影响：规划结合国内国际各项成功案例，立足长远，以国际化的视野，高标准规划曾家山建设，可持续指导曾家山景区发展。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5.</w:t>
      </w:r>
      <w:r>
        <w:rPr>
          <w:rFonts w:hint="eastAsia" w:ascii="仿宋_GB2312" w:hAnsi="宋体" w:eastAsia="仿宋_GB2312" w:cs="Times New Roman"/>
          <w:w w:val="99"/>
          <w:sz w:val="32"/>
          <w:szCs w:val="32"/>
          <w:lang w:eastAsia="zh-CN"/>
        </w:rPr>
        <w:t>服务对象满意度：群众满意度≥95%</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宋体" w:eastAsia="仿宋_GB2312" w:cs="Times New Roman"/>
          <w:w w:val="99"/>
          <w:sz w:val="32"/>
          <w:szCs w:val="32"/>
          <w:lang w:val="en-US" w:eastAsia="zh-CN"/>
        </w:rPr>
        <w:t>该项目经费的投入和使用</w:t>
      </w:r>
      <w:r>
        <w:rPr>
          <w:rFonts w:hint="eastAsia" w:ascii="仿宋_GB2312" w:hAnsi="Times New Roman" w:eastAsia="仿宋_GB2312" w:cs="Times New Roman"/>
          <w:spacing w:val="-6"/>
          <w:sz w:val="32"/>
          <w:szCs w:val="32"/>
          <w:lang w:val="en-US" w:eastAsia="zh-CN"/>
        </w:rPr>
        <w:t>增强了2022年曾家山旅游度假区旅游的品牌知名度和市场影响力，吸引更多游客前来度假休闲观光，促进曾家山旅游业持续快速健康发展。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宋体" w:eastAsia="仿宋_GB2312" w:cs="Times New Roman"/>
          <w:w w:val="99"/>
          <w:sz w:val="32"/>
          <w:szCs w:val="32"/>
          <w:lang w:val="en-US"/>
        </w:rPr>
      </w:pPr>
      <w:r>
        <w:rPr>
          <w:rFonts w:hint="eastAsia" w:ascii="仿宋_GB2312" w:hAnsi="Times New Roman" w:eastAsia="仿宋_GB2312" w:cs="Times New Roman"/>
          <w:spacing w:val="-6"/>
          <w:sz w:val="32"/>
          <w:szCs w:val="32"/>
          <w:lang w:val="en-US" w:eastAsia="zh-CN"/>
        </w:rPr>
        <w:t>2022年在资金使用过程中，本部门严格执行财务管理相关制度和经费管理办法规定，财务制度健全，管理规范，做到了专款专用，无贪污、截留、挪用现象。按照评分标准，自评得分为95.5，自评结果为优秀。</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autoSpaceDE w:val="0"/>
        <w:spacing w:line="540" w:lineRule="exact"/>
        <w:ind w:firstLine="640" w:firstLineChars="200"/>
        <w:rPr>
          <w:rFonts w:hint="eastAsia" w:ascii="仿宋_GB2312" w:hAnsi="宋体" w:eastAsia="仿宋_GB2312" w:cs="Times New Roman"/>
          <w:w w:val="99"/>
          <w:sz w:val="32"/>
          <w:szCs w:val="32"/>
        </w:rPr>
      </w:pPr>
      <w:r>
        <w:rPr>
          <w:rFonts w:hint="eastAsia" w:ascii="仿宋_GB2312" w:eastAsia="仿宋_GB2312"/>
          <w:sz w:val="32"/>
          <w:szCs w:val="32"/>
        </w:rPr>
        <w:t>相关经费有限，</w:t>
      </w:r>
      <w:r>
        <w:rPr>
          <w:rFonts w:hint="eastAsia" w:ascii="仿宋_GB2312" w:eastAsia="仿宋_GB2312"/>
          <w:sz w:val="32"/>
          <w:szCs w:val="32"/>
          <w:lang w:val="en-US" w:eastAsia="zh-CN"/>
        </w:rPr>
        <w:t>对外宣传</w:t>
      </w:r>
      <w:r>
        <w:rPr>
          <w:rFonts w:hint="eastAsia" w:ascii="仿宋_GB2312" w:eastAsia="仿宋_GB2312"/>
          <w:sz w:val="32"/>
          <w:szCs w:val="32"/>
        </w:rPr>
        <w:t>的规模、</w:t>
      </w:r>
      <w:r>
        <w:rPr>
          <w:rFonts w:hint="eastAsia" w:ascii="仿宋_GB2312" w:eastAsia="仿宋_GB2312"/>
          <w:sz w:val="32"/>
          <w:szCs w:val="32"/>
          <w:lang w:val="en-US" w:eastAsia="zh-CN"/>
        </w:rPr>
        <w:t>频次</w:t>
      </w:r>
      <w:r>
        <w:rPr>
          <w:rFonts w:hint="eastAsia" w:ascii="仿宋_GB2312" w:eastAsia="仿宋_GB2312"/>
          <w:sz w:val="32"/>
          <w:szCs w:val="32"/>
        </w:rPr>
        <w:t>等方面有所受限。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autoSpaceDE w:val="0"/>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根据自评结果，建议适当增加</w:t>
      </w:r>
      <w:r>
        <w:rPr>
          <w:rFonts w:hint="eastAsia" w:ascii="仿宋_GB2312" w:eastAsia="仿宋_GB2312"/>
          <w:sz w:val="32"/>
          <w:szCs w:val="32"/>
        </w:rPr>
        <w:t>资金投入</w:t>
      </w:r>
      <w:r>
        <w:rPr>
          <w:rFonts w:hint="eastAsia" w:ascii="仿宋_GB2312" w:eastAsia="仿宋_GB2312"/>
          <w:sz w:val="32"/>
          <w:szCs w:val="32"/>
          <w:lang w:eastAsia="zh-CN"/>
        </w:rPr>
        <w:t>，</w:t>
      </w:r>
      <w:r>
        <w:rPr>
          <w:rFonts w:hint="eastAsia" w:ascii="仿宋_GB2312" w:eastAsia="仿宋_GB2312"/>
          <w:sz w:val="32"/>
          <w:szCs w:val="32"/>
          <w:lang w:val="en-US" w:eastAsia="zh-CN"/>
        </w:rPr>
        <w:t>增强宣传营销，</w:t>
      </w:r>
      <w:r>
        <w:rPr>
          <w:rFonts w:hint="eastAsia" w:ascii="仿宋_GB2312" w:eastAsia="仿宋_GB2312"/>
          <w:sz w:val="32"/>
          <w:szCs w:val="32"/>
        </w:rPr>
        <w:t>采取</w:t>
      </w:r>
      <w:r>
        <w:rPr>
          <w:rFonts w:hint="eastAsia" w:ascii="仿宋_GB2312" w:eastAsia="仿宋_GB2312"/>
          <w:sz w:val="32"/>
          <w:szCs w:val="32"/>
          <w:lang w:val="en-US" w:eastAsia="zh-CN"/>
        </w:rPr>
        <w:t>多样化</w:t>
      </w:r>
      <w:r>
        <w:rPr>
          <w:rFonts w:hint="eastAsia" w:ascii="仿宋_GB2312" w:eastAsia="仿宋_GB2312"/>
          <w:sz w:val="32"/>
          <w:szCs w:val="32"/>
        </w:rPr>
        <w:t>形式宣传，充分利用传统媒体和网络新媒体，宣传推介</w:t>
      </w:r>
      <w:r>
        <w:rPr>
          <w:rFonts w:hint="eastAsia" w:ascii="仿宋_GB2312" w:eastAsia="仿宋_GB2312"/>
          <w:sz w:val="32"/>
          <w:szCs w:val="32"/>
          <w:lang w:val="en-US" w:eastAsia="zh-CN"/>
        </w:rPr>
        <w:t>曾家山旅游度假区，形成良好的宣传氛围。</w:t>
      </w:r>
    </w:p>
    <w:p>
      <w:pPr>
        <w:spacing w:line="580" w:lineRule="exact"/>
        <w:rPr>
          <w:rStyle w:val="31"/>
          <w:rFonts w:ascii="黑体" w:hAnsi="黑体" w:eastAsia="黑体"/>
          <w:b w:val="0"/>
          <w:color w:val="auto"/>
          <w:highlight w:val="none"/>
        </w:rPr>
      </w:pPr>
    </w:p>
    <w:p>
      <w:pPr>
        <w:widowControl/>
        <w:jc w:val="left"/>
        <w:rPr>
          <w:rStyle w:val="31"/>
          <w:rFonts w:ascii="黑体" w:hAnsi="黑体" w:eastAsia="黑体"/>
          <w:b w:val="0"/>
          <w:color w:val="auto"/>
          <w:highlight w:val="none"/>
        </w:rPr>
      </w:pPr>
      <w:r>
        <w:rPr>
          <w:rStyle w:val="31"/>
          <w:rFonts w:ascii="黑体" w:hAnsi="黑体" w:eastAsia="黑体"/>
          <w:b w:val="0"/>
          <w:color w:val="auto"/>
          <w:highlight w:val="none"/>
        </w:rPr>
        <w:br w:type="page"/>
      </w: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2023年广元市朝天区曾家山旅游度假区管理委员会</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专项资金预算项目绩效自评报告</w:t>
      </w:r>
    </w:p>
    <w:p>
      <w:pPr>
        <w:pStyle w:val="37"/>
        <w:keepNext w:val="0"/>
        <w:keepLines w:val="0"/>
        <w:pageBreakBefore w:val="0"/>
        <w:widowControl w:val="0"/>
        <w:kinsoku/>
        <w:wordWrap/>
        <w:overflowPunct/>
        <w:topLinePunct w:val="0"/>
        <w:autoSpaceDE/>
        <w:autoSpaceDN/>
        <w:bidi w:val="0"/>
        <w:spacing w:line="578" w:lineRule="exact"/>
        <w:ind w:firstLine="1280" w:firstLineChars="400"/>
        <w:jc w:val="both"/>
        <w:textAlignment w:val="auto"/>
        <w:rPr>
          <w:rFonts w:hint="eastAsia" w:ascii="宋体" w:hAnsi="宋体" w:eastAsia="宋体"/>
          <w:color w:val="auto"/>
          <w:kern w:val="2"/>
          <w:sz w:val="32"/>
          <w:szCs w:val="32"/>
          <w:highlight w:val="none"/>
          <w:lang w:eastAsia="zh-CN"/>
        </w:rPr>
      </w:pPr>
      <w:r>
        <w:rPr>
          <w:rFonts w:hint="eastAsia" w:ascii="宋体" w:hAnsi="宋体"/>
          <w:color w:val="auto"/>
          <w:kern w:val="2"/>
          <w:sz w:val="32"/>
          <w:szCs w:val="32"/>
          <w:highlight w:val="none"/>
          <w:lang w:eastAsia="zh-CN"/>
        </w:rPr>
        <w:t>（</w:t>
      </w:r>
      <w:r>
        <w:rPr>
          <w:rFonts w:hint="eastAsia" w:ascii="仿宋_GB2312" w:hAnsi="Times New Roman" w:eastAsia="仿宋_GB2312" w:cs="Times New Roman"/>
          <w:spacing w:val="-6"/>
          <w:sz w:val="32"/>
          <w:szCs w:val="32"/>
          <w:lang w:val="en-US" w:eastAsia="zh-CN"/>
        </w:rPr>
        <w:t>朝天区高寒区干部温暖过冬项目取暖费</w:t>
      </w:r>
      <w:r>
        <w:rPr>
          <w:rFonts w:hint="eastAsia" w:ascii="宋体" w:hAnsi="宋体"/>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val="0"/>
        <w:autoSpaceDN/>
        <w:bidi w:val="0"/>
        <w:spacing w:line="500" w:lineRule="exact"/>
        <w:ind w:firstLine="616" w:firstLineChars="200"/>
        <w:textAlignment w:val="auto"/>
        <w:rPr>
          <w:rFonts w:hint="eastAsia" w:ascii="仿宋_GB2312" w:eastAsia="仿宋_GB2312"/>
          <w:sz w:val="32"/>
          <w:szCs w:val="32"/>
        </w:rPr>
      </w:pPr>
      <w:r>
        <w:rPr>
          <w:rFonts w:hint="eastAsia" w:ascii="仿宋_GB2312" w:hAnsi="Times New Roman" w:eastAsia="仿宋_GB2312" w:cs="Times New Roman"/>
          <w:spacing w:val="-6"/>
          <w:sz w:val="32"/>
          <w:szCs w:val="32"/>
          <w:lang w:val="en-US" w:eastAsia="zh-CN"/>
        </w:rPr>
        <w:t>朝天区高寒区干部温暖过冬项目取暖费项目经区</w:t>
      </w:r>
      <w:r>
        <w:rPr>
          <w:rFonts w:hint="eastAsia" w:ascii="仿宋_GB2312" w:eastAsia="仿宋_GB2312"/>
          <w:sz w:val="32"/>
          <w:szCs w:val="32"/>
        </w:rPr>
        <w:t>政府研究同意，由朝天区财政局下达</w:t>
      </w:r>
      <w:r>
        <w:rPr>
          <w:rFonts w:hint="eastAsia" w:ascii="仿宋_GB2312" w:eastAsia="仿宋_GB2312"/>
          <w:sz w:val="32"/>
          <w:szCs w:val="32"/>
          <w:lang w:val="en-US" w:eastAsia="zh-CN"/>
        </w:rPr>
        <w:t>经费11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Times New Roman" w:eastAsia="仿宋_GB2312" w:cs="Times New Roman"/>
          <w:spacing w:val="-6"/>
          <w:sz w:val="32"/>
          <w:szCs w:val="32"/>
        </w:rPr>
        <w:t>符合资金管理办法等相关规定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val="0"/>
        <w:autoSpaceDN/>
        <w:bidi w:val="0"/>
        <w:spacing w:line="50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1.</w:t>
      </w:r>
      <w:r>
        <w:rPr>
          <w:rFonts w:hint="eastAsia" w:ascii="仿宋_GB2312" w:hAnsi="宋体" w:eastAsia="仿宋_GB2312" w:cs="Times New Roman"/>
          <w:w w:val="99"/>
          <w:sz w:val="32"/>
          <w:szCs w:val="32"/>
        </w:rPr>
        <w:t>项目主要内容</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朝天区高寒区干部温暖过冬项目取暖费：保障2022年单位职工温暖过冬。</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948" w:firstLineChars="3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2022年单位取暖率达到100%，单位职工满意度达到95%，从而保障职工切身利益。该项目预计在年底完成，实际已完成。</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3.</w:t>
      </w:r>
      <w:r>
        <w:rPr>
          <w:rFonts w:hint="eastAsia" w:ascii="仿宋_GB2312" w:hAnsi="宋体" w:eastAsia="仿宋_GB2312" w:cs="Times New Roman"/>
          <w:w w:val="99"/>
          <w:sz w:val="32"/>
          <w:szCs w:val="32"/>
        </w:rPr>
        <w:t>分析评价申报内容是否与实际相符，申报目标是否合理可行。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640" w:firstLineChars="200"/>
        <w:textAlignment w:val="auto"/>
        <w:rPr>
          <w:rFonts w:hint="eastAsia" w:ascii="仿宋_GB2312" w:hAnsi="宋体" w:eastAsia="仿宋_GB2312" w:cs="Times New Roman"/>
          <w:w w:val="99"/>
          <w:sz w:val="32"/>
          <w:szCs w:val="32"/>
        </w:rPr>
      </w:pPr>
      <w:r>
        <w:rPr>
          <w:rFonts w:hint="eastAsia" w:ascii="仿宋_GB2312" w:eastAsia="仿宋_GB2312"/>
          <w:sz w:val="32"/>
          <w:szCs w:val="32"/>
          <w:lang w:val="en-US" w:eastAsia="zh-CN"/>
        </w:rPr>
        <w:t>该项目资金申报符合相关实际，申报目标在2022年度是合理可行的。项目资金使用符合相关的财务管理制度规定，不存在截留、挤占、挪用、虚列支出等情况。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00" w:lineRule="exact"/>
        <w:ind w:firstLine="960" w:firstLineChars="30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成立项目自评小组，结合评价内容，做到有计划，有安排，扎实开展本次自评工作。按照下达的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年初申报11万元</w:t>
      </w:r>
      <w:r>
        <w:rPr>
          <w:rFonts w:hint="eastAsia" w:ascii="仿宋_GB2312" w:hAnsi="仿宋_GB2312" w:eastAsia="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2022年度</w:t>
      </w:r>
      <w:r>
        <w:rPr>
          <w:rFonts w:hint="eastAsia" w:ascii="仿宋_GB2312" w:eastAsia="仿宋_GB2312"/>
          <w:sz w:val="32"/>
          <w:szCs w:val="32"/>
        </w:rPr>
        <w:t>由朝天区财政局</w:t>
      </w:r>
      <w:r>
        <w:rPr>
          <w:rFonts w:hint="eastAsia" w:ascii="仿宋_GB2312" w:eastAsia="仿宋_GB2312"/>
          <w:sz w:val="32"/>
          <w:szCs w:val="32"/>
          <w:lang w:val="en-US" w:eastAsia="zh-CN"/>
        </w:rPr>
        <w:t>批复经费11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实际下达经费11万元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Times New Roman" w:eastAsia="仿宋_GB2312" w:cs="Times New Roman"/>
          <w:spacing w:val="-6"/>
          <w:sz w:val="32"/>
          <w:szCs w:val="32"/>
          <w:lang w:eastAsia="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val="0"/>
        <w:numPr>
          <w:ilvl w:val="0"/>
          <w:numId w:val="0"/>
        </w:numPr>
        <w:kinsoku/>
        <w:wordWrap/>
        <w:overflowPunct/>
        <w:topLinePunct w:val="0"/>
        <w:autoSpaceDE w:val="0"/>
        <w:autoSpaceDN/>
        <w:bidi w:val="0"/>
        <w:spacing w:line="50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1.资金计划。</w:t>
      </w:r>
      <w:r>
        <w:rPr>
          <w:rFonts w:hint="eastAsia" w:ascii="仿宋" w:hAnsi="仿宋" w:eastAsia="仿宋" w:cs="仿宋"/>
          <w:i w:val="0"/>
          <w:iCs w:val="0"/>
          <w:caps w:val="0"/>
          <w:color w:val="333333"/>
          <w:spacing w:val="0"/>
          <w:sz w:val="32"/>
          <w:szCs w:val="32"/>
          <w:lang w:val="en-US" w:eastAsia="zh-CN"/>
        </w:rPr>
        <w:t>该项目</w:t>
      </w:r>
      <w:r>
        <w:rPr>
          <w:rFonts w:ascii="仿宋" w:hAnsi="仿宋" w:eastAsia="仿宋" w:cs="仿宋"/>
          <w:i w:val="0"/>
          <w:iCs w:val="0"/>
          <w:caps w:val="0"/>
          <w:color w:val="333333"/>
          <w:spacing w:val="0"/>
          <w:sz w:val="32"/>
          <w:szCs w:val="32"/>
        </w:rPr>
        <w:t>年初预算资金</w:t>
      </w:r>
      <w:r>
        <w:rPr>
          <w:rFonts w:hint="eastAsia" w:ascii="仿宋" w:hAnsi="仿宋" w:eastAsia="仿宋" w:cs="仿宋"/>
          <w:i w:val="0"/>
          <w:iCs w:val="0"/>
          <w:caps w:val="0"/>
          <w:color w:val="333333"/>
          <w:spacing w:val="0"/>
          <w:sz w:val="32"/>
          <w:szCs w:val="32"/>
          <w:lang w:val="en-US" w:eastAsia="zh-CN"/>
        </w:rPr>
        <w:t>11</w:t>
      </w:r>
      <w:r>
        <w:rPr>
          <w:rFonts w:hint="eastAsia" w:ascii="仿宋" w:hAnsi="仿宋" w:eastAsia="仿宋" w:cs="仿宋"/>
          <w:i w:val="0"/>
          <w:iCs w:val="0"/>
          <w:caps w:val="0"/>
          <w:color w:val="333333"/>
          <w:spacing w:val="0"/>
          <w:sz w:val="32"/>
          <w:szCs w:val="32"/>
        </w:rPr>
        <w:t>万元</w:t>
      </w:r>
      <w:r>
        <w:rPr>
          <w:rFonts w:hint="eastAsia" w:ascii="宋体" w:hAnsi="宋体" w:eastAsia="宋体" w:cs="宋体"/>
          <w:i w:val="0"/>
          <w:iCs w:val="0"/>
          <w:caps w:val="0"/>
          <w:color w:val="333333"/>
          <w:spacing w:val="0"/>
          <w:sz w:val="32"/>
          <w:szCs w:val="32"/>
        </w:rPr>
        <w:t>/</w:t>
      </w:r>
      <w:r>
        <w:rPr>
          <w:rFonts w:hint="eastAsia" w:ascii="仿宋" w:hAnsi="仿宋" w:eastAsia="仿宋" w:cs="仿宋"/>
          <w:i w:val="0"/>
          <w:iCs w:val="0"/>
          <w:caps w:val="0"/>
          <w:color w:val="333333"/>
          <w:spacing w:val="0"/>
          <w:sz w:val="32"/>
          <w:szCs w:val="32"/>
        </w:rPr>
        <w:t>年，批复资金为</w:t>
      </w:r>
      <w:r>
        <w:rPr>
          <w:rFonts w:hint="eastAsia" w:ascii="仿宋" w:hAnsi="仿宋" w:eastAsia="仿宋" w:cs="仿宋"/>
          <w:i w:val="0"/>
          <w:iCs w:val="0"/>
          <w:caps w:val="0"/>
          <w:color w:val="333333"/>
          <w:spacing w:val="0"/>
          <w:sz w:val="32"/>
          <w:szCs w:val="32"/>
          <w:lang w:val="en-US" w:eastAsia="zh-CN"/>
        </w:rPr>
        <w:t>11</w:t>
      </w:r>
      <w:r>
        <w:rPr>
          <w:rFonts w:hint="eastAsia" w:ascii="仿宋" w:hAnsi="仿宋" w:eastAsia="仿宋" w:cs="仿宋"/>
          <w:i w:val="0"/>
          <w:iCs w:val="0"/>
          <w:caps w:val="0"/>
          <w:color w:val="333333"/>
          <w:spacing w:val="0"/>
          <w:sz w:val="32"/>
          <w:szCs w:val="32"/>
        </w:rPr>
        <w:t>万元/年。</w:t>
      </w:r>
    </w:p>
    <w:p>
      <w:pPr>
        <w:keepNext w:val="0"/>
        <w:keepLines w:val="0"/>
        <w:pageBreakBefore w:val="0"/>
        <w:widowControl w:val="0"/>
        <w:kinsoku/>
        <w:wordWrap/>
        <w:overflowPunct/>
        <w:topLinePunct w:val="0"/>
        <w:autoSpaceDE w:val="0"/>
        <w:autoSpaceDN/>
        <w:bidi w:val="0"/>
        <w:spacing w:line="500" w:lineRule="exact"/>
        <w:ind w:firstLine="616" w:firstLineChars="200"/>
        <w:textAlignment w:val="auto"/>
        <w:rPr>
          <w:rFonts w:hint="eastAsia" w:ascii="仿宋" w:hAnsi="仿宋" w:eastAsia="仿宋" w:cs="仿宋"/>
          <w:i w:val="0"/>
          <w:iCs w:val="0"/>
          <w:caps w:val="0"/>
          <w:color w:val="333333"/>
          <w:spacing w:val="0"/>
          <w:sz w:val="32"/>
          <w:szCs w:val="32"/>
        </w:rPr>
      </w:pPr>
      <w:r>
        <w:rPr>
          <w:rFonts w:hint="eastAsia" w:ascii="仿宋_GB2312" w:hAnsi="Times New Roman" w:eastAsia="仿宋_GB2312" w:cs="Times New Roman"/>
          <w:spacing w:val="-6"/>
          <w:sz w:val="32"/>
          <w:szCs w:val="32"/>
          <w:lang w:val="en-US" w:eastAsia="zh-CN"/>
        </w:rPr>
        <w:t>2.资金到位</w:t>
      </w:r>
      <w:r>
        <w:rPr>
          <w:rFonts w:ascii="楷体" w:hAnsi="楷体" w:eastAsia="楷体" w:cs="楷体"/>
          <w:i w:val="0"/>
          <w:iCs w:val="0"/>
          <w:caps w:val="0"/>
          <w:color w:val="333333"/>
          <w:spacing w:val="0"/>
          <w:sz w:val="32"/>
          <w:szCs w:val="32"/>
        </w:rPr>
        <w:t>。</w:t>
      </w:r>
      <w:r>
        <w:rPr>
          <w:rFonts w:ascii="仿宋" w:hAnsi="仿宋" w:eastAsia="仿宋" w:cs="仿宋"/>
          <w:i w:val="0"/>
          <w:iCs w:val="0"/>
          <w:caps w:val="0"/>
          <w:color w:val="333333"/>
          <w:spacing w:val="0"/>
          <w:sz w:val="32"/>
          <w:szCs w:val="32"/>
        </w:rPr>
        <w:t>截止</w:t>
      </w: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年12月，计划资金全部到位，共计</w:t>
      </w:r>
      <w:r>
        <w:rPr>
          <w:rFonts w:hint="eastAsia" w:ascii="仿宋" w:hAnsi="仿宋" w:eastAsia="仿宋" w:cs="仿宋"/>
          <w:i w:val="0"/>
          <w:iCs w:val="0"/>
          <w:caps w:val="0"/>
          <w:color w:val="333333"/>
          <w:spacing w:val="0"/>
          <w:sz w:val="32"/>
          <w:szCs w:val="32"/>
          <w:lang w:val="en-US" w:eastAsia="zh-CN"/>
        </w:rPr>
        <w:t>11</w:t>
      </w:r>
      <w:r>
        <w:rPr>
          <w:rFonts w:hint="eastAsia" w:ascii="仿宋" w:hAnsi="仿宋" w:eastAsia="仿宋" w:cs="仿宋"/>
          <w:i w:val="0"/>
          <w:iCs w:val="0"/>
          <w:caps w:val="0"/>
          <w:color w:val="333333"/>
          <w:spacing w:val="0"/>
          <w:sz w:val="32"/>
          <w:szCs w:val="32"/>
        </w:rPr>
        <w:t>万元/年</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资金到位率100%</w:t>
      </w:r>
      <w:r>
        <w:rPr>
          <w:rFonts w:hint="eastAsia" w:ascii="仿宋" w:hAnsi="仿宋" w:eastAsia="仿宋" w:cs="仿宋"/>
          <w:i w:val="0"/>
          <w:iCs w:val="0"/>
          <w:caps w:val="0"/>
          <w:color w:val="333333"/>
          <w:spacing w:val="0"/>
          <w:sz w:val="32"/>
          <w:szCs w:val="32"/>
        </w:rPr>
        <w:t>。</w:t>
      </w:r>
    </w:p>
    <w:p>
      <w:pPr>
        <w:keepNext w:val="0"/>
        <w:keepLines w:val="0"/>
        <w:pageBreakBefore w:val="0"/>
        <w:widowControl w:val="0"/>
        <w:numPr>
          <w:ilvl w:val="0"/>
          <w:numId w:val="0"/>
        </w:numPr>
        <w:kinsoku/>
        <w:wordWrap/>
        <w:overflowPunct/>
        <w:topLinePunct w:val="0"/>
        <w:autoSpaceDE w:val="0"/>
        <w:autoSpaceDN/>
        <w:bidi w:val="0"/>
        <w:spacing w:line="50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资金使用</w:t>
      </w:r>
    </w:p>
    <w:p>
      <w:pPr>
        <w:keepNext w:val="0"/>
        <w:keepLines w:val="0"/>
        <w:pageBreakBefore w:val="0"/>
        <w:widowControl w:val="0"/>
        <w:numPr>
          <w:ilvl w:val="0"/>
          <w:numId w:val="0"/>
        </w:numPr>
        <w:kinsoku/>
        <w:wordWrap/>
        <w:overflowPunct/>
        <w:topLinePunct w:val="0"/>
        <w:autoSpaceDE w:val="0"/>
        <w:autoSpaceDN/>
        <w:bidi w:val="0"/>
        <w:spacing w:line="500" w:lineRule="exact"/>
        <w:ind w:firstLine="616" w:firstLineChars="200"/>
        <w:textAlignment w:val="auto"/>
        <w:rPr>
          <w:rFonts w:hint="eastAsia" w:ascii="仿宋_GB2312" w:eastAsia="仿宋_GB2312"/>
          <w:sz w:val="32"/>
          <w:szCs w:val="32"/>
          <w:lang w:val="en-US" w:eastAsia="zh-CN"/>
        </w:rPr>
      </w:pPr>
      <w:r>
        <w:rPr>
          <w:rFonts w:hint="eastAsia" w:ascii="仿宋_GB2312" w:hAnsi="Times New Roman" w:eastAsia="仿宋_GB2312" w:cs="Times New Roman"/>
          <w:spacing w:val="-6"/>
          <w:sz w:val="32"/>
          <w:szCs w:val="32"/>
        </w:rPr>
        <w:t>截止评价时点</w:t>
      </w:r>
      <w:r>
        <w:rPr>
          <w:rFonts w:hint="eastAsia" w:ascii="仿宋_GB2312" w:hAnsi="Times New Roman" w:eastAsia="仿宋_GB2312" w:cs="Times New Roman"/>
          <w:spacing w:val="-6"/>
          <w:sz w:val="32"/>
          <w:szCs w:val="32"/>
          <w:lang w:val="en-US" w:eastAsia="zh-CN"/>
        </w:rPr>
        <w:t>该</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10.94万元。主要用于</w:t>
      </w:r>
      <w:r>
        <w:rPr>
          <w:rFonts w:hint="eastAsia" w:ascii="仿宋_GB2312" w:eastAsia="仿宋_GB2312"/>
          <w:sz w:val="32"/>
          <w:szCs w:val="32"/>
          <w:lang w:val="en-US" w:eastAsia="zh-CN"/>
        </w:rPr>
        <w:t>天然气费用支出。</w:t>
      </w:r>
      <w:r>
        <w:rPr>
          <w:rFonts w:hint="eastAsia" w:ascii="仿宋_GB2312" w:hAnsi="Times New Roman" w:eastAsia="仿宋_GB2312" w:cs="Times New Roman"/>
          <w:spacing w:val="-6"/>
          <w:sz w:val="32"/>
          <w:szCs w:val="32"/>
        </w:rPr>
        <w:t>支付依据合规合法，与预算相符</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val="0"/>
        <w:autoSpaceDN/>
        <w:bidi w:val="0"/>
        <w:spacing w:line="500"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eastAsia="仿宋_GB2312"/>
          <w:sz w:val="32"/>
          <w:szCs w:val="32"/>
          <w:lang w:val="en-US" w:eastAsia="zh-CN"/>
        </w:rPr>
        <w:t>该项目资金使用符合国家财经法规、项目资金管理办法的规定，符合项目预算批复规定的用途，资金的拨付审批程序和手续基本完整；财务管理严格按照我单位财务管理制度规范执行，及时、规范对收支进行账务处理和会计核算。坚持“专项核算、专款专用”的原则，不存在超标准、截留、挪用、虚列支出等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val="0"/>
        <w:autoSpaceDN/>
        <w:bidi w:val="0"/>
        <w:spacing w:line="500" w:lineRule="exact"/>
        <w:ind w:firstLine="640" w:firstLineChars="200"/>
        <w:textAlignment w:val="auto"/>
        <w:rPr>
          <w:rFonts w:hint="eastAsia" w:ascii="楷体_GB2312" w:hAnsi="宋体" w:eastAsia="楷体_GB2312"/>
          <w:b/>
          <w:color w:val="auto"/>
          <w:sz w:val="32"/>
          <w:szCs w:val="32"/>
          <w:highlight w:val="none"/>
          <w:u w:val="none"/>
          <w:lang w:val="zh-CN"/>
        </w:rPr>
      </w:pPr>
      <w:r>
        <w:rPr>
          <w:rFonts w:hint="eastAsia" w:ascii="仿宋_GB2312" w:eastAsia="仿宋_GB2312"/>
          <w:sz w:val="32"/>
          <w:szCs w:val="32"/>
          <w:lang w:val="en-US" w:eastAsia="zh-CN"/>
        </w:rPr>
        <w:t>该项目资金使用符合国家财经法规、项目资金管理办法的规定，符合项目预算批复规定的用途，资金的拨付审批程序和手续基本完整；财务管理严格按照我单位财务管理制度规范执行，及时、规范对收支进行账务处理和会计核算。坚持“专项核算、专款专用”的原则，不存在超标准、截留、挪用、虚列支出等情况。</w:t>
      </w:r>
    </w:p>
    <w:p>
      <w:pPr>
        <w:keepNext w:val="0"/>
        <w:keepLines w:val="0"/>
        <w:pageBreakBefore w:val="0"/>
        <w:numPr>
          <w:ilvl w:val="0"/>
          <w:numId w:val="10"/>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eastAsia" w:ascii="楷体_GB2312" w:hAnsi="宋体" w:eastAsia="楷体_GB2312"/>
          <w:b/>
          <w:color w:val="auto"/>
          <w:sz w:val="32"/>
          <w:szCs w:val="32"/>
          <w:highlight w:val="none"/>
          <w:u w:val="none"/>
          <w:lang w:val="zh-CN"/>
        </w:rPr>
      </w:pPr>
      <w:r>
        <w:rPr>
          <w:rFonts w:hint="eastAsia" w:ascii="仿宋_GB2312" w:hAnsi="宋体" w:eastAsia="仿宋_GB2312" w:cs="Times New Roman"/>
          <w:w w:val="99"/>
          <w:sz w:val="32"/>
          <w:szCs w:val="32"/>
          <w:lang w:val="en-US" w:eastAsia="zh-CN"/>
        </w:rPr>
        <w:t>该项目采取的是项目工作领导小组负责制。全体成员积极配合，通力合作。项目工作领导小组负责协调相关工作、项目实施及资金管理。</w:t>
      </w:r>
    </w:p>
    <w:p>
      <w:pPr>
        <w:keepNext w:val="0"/>
        <w:keepLines w:val="0"/>
        <w:pageBreakBefore w:val="0"/>
        <w:numPr>
          <w:ilvl w:val="0"/>
          <w:numId w:val="10"/>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keepNext w:val="0"/>
        <w:keepLines w:val="0"/>
        <w:pageBreakBefore w:val="0"/>
        <w:widowControl w:val="0"/>
        <w:kinsoku/>
        <w:wordWrap/>
        <w:overflowPunct/>
        <w:topLinePunct w:val="0"/>
        <w:autoSpaceDE w:val="0"/>
        <w:autoSpaceDN/>
        <w:bidi w:val="0"/>
        <w:adjustRightInd w:val="0"/>
        <w:snapToGrid w:val="0"/>
        <w:spacing w:line="500" w:lineRule="exact"/>
        <w:ind w:firstLine="632" w:firstLineChars="200"/>
        <w:textAlignment w:val="auto"/>
        <w:rPr>
          <w:rFonts w:hint="eastAsia" w:ascii="楷体_GB2312" w:hAnsi="宋体" w:eastAsia="楷体_GB2312"/>
          <w:b/>
          <w:color w:val="auto"/>
          <w:sz w:val="32"/>
          <w:szCs w:val="32"/>
          <w:highlight w:val="none"/>
          <w:u w:val="none"/>
          <w:lang w:val="zh-CN"/>
        </w:rPr>
      </w:pPr>
      <w:r>
        <w:rPr>
          <w:rFonts w:hint="eastAsia" w:ascii="仿宋_GB2312" w:hAnsi="宋体" w:eastAsia="仿宋_GB2312" w:cs="Times New Roman"/>
          <w:w w:val="99"/>
          <w:sz w:val="32"/>
          <w:szCs w:val="32"/>
          <w:lang w:val="en-US" w:eastAsia="zh-CN"/>
        </w:rPr>
        <w:t>该项目资金由办公室财务部门具体管理，按计划制定管理制度，实行专款专用，未挤占、挪用。强化监督，指派专人定期或不定期对项目实施进度进行检查，及时解决问题，保证项目完成质量。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1.目标完成任务量</w:t>
      </w:r>
    </w:p>
    <w:p>
      <w:pPr>
        <w:keepNext w:val="0"/>
        <w:keepLines w:val="0"/>
        <w:pageBreakBefore w:val="0"/>
        <w:widowControl w:val="0"/>
        <w:kinsoku/>
        <w:wordWrap/>
        <w:overflowPunct/>
        <w:topLinePunct w:val="0"/>
        <w:autoSpaceDE w:val="0"/>
        <w:autoSpaceDN/>
        <w:bidi w:val="0"/>
        <w:adjustRightInd w:val="0"/>
        <w:snapToGrid w:val="0"/>
        <w:spacing w:line="500" w:lineRule="exact"/>
        <w:ind w:firstLine="640" w:firstLineChars="200"/>
        <w:textAlignment w:val="auto"/>
        <w:rPr>
          <w:rFonts w:hint="default" w:ascii="仿宋_GB2312" w:hAnsi="宋体" w:eastAsia="仿宋_GB2312" w:cs="Times New Roman"/>
          <w:w w:val="99"/>
          <w:sz w:val="32"/>
          <w:szCs w:val="32"/>
          <w:lang w:val="en-US" w:eastAsia="zh-CN"/>
        </w:rPr>
      </w:pPr>
      <w:r>
        <w:rPr>
          <w:rFonts w:ascii="仿宋" w:hAnsi="仿宋" w:eastAsia="仿宋" w:cs="仿宋"/>
          <w:i w:val="0"/>
          <w:iCs w:val="0"/>
          <w:caps w:val="0"/>
          <w:color w:val="333333"/>
          <w:spacing w:val="0"/>
          <w:sz w:val="32"/>
          <w:szCs w:val="32"/>
        </w:rPr>
        <w:t>截止</w:t>
      </w: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年12月31日，</w:t>
      </w:r>
      <w:r>
        <w:rPr>
          <w:rFonts w:hint="eastAsia" w:ascii="仿宋" w:hAnsi="仿宋" w:eastAsia="仿宋" w:cs="仿宋"/>
          <w:i w:val="0"/>
          <w:iCs w:val="0"/>
          <w:caps w:val="0"/>
          <w:color w:val="333333"/>
          <w:spacing w:val="0"/>
          <w:sz w:val="32"/>
          <w:szCs w:val="32"/>
          <w:lang w:val="en-US" w:eastAsia="zh-CN"/>
        </w:rPr>
        <w:t>该</w:t>
      </w:r>
      <w:r>
        <w:rPr>
          <w:rFonts w:hint="eastAsia" w:ascii="仿宋" w:hAnsi="仿宋" w:eastAsia="仿宋" w:cs="仿宋"/>
          <w:i w:val="0"/>
          <w:iCs w:val="0"/>
          <w:caps w:val="0"/>
          <w:color w:val="333333"/>
          <w:spacing w:val="0"/>
          <w:sz w:val="32"/>
          <w:szCs w:val="32"/>
        </w:rPr>
        <w:t>项目完成12个月，已支付项目资金</w:t>
      </w:r>
      <w:r>
        <w:rPr>
          <w:rFonts w:hint="eastAsia" w:ascii="仿宋" w:hAnsi="仿宋" w:eastAsia="仿宋" w:cs="仿宋"/>
          <w:i w:val="0"/>
          <w:iCs w:val="0"/>
          <w:caps w:val="0"/>
          <w:color w:val="333333"/>
          <w:spacing w:val="0"/>
          <w:sz w:val="32"/>
          <w:szCs w:val="32"/>
          <w:lang w:val="en-US" w:eastAsia="zh-CN"/>
        </w:rPr>
        <w:t>10.94</w:t>
      </w:r>
      <w:r>
        <w:rPr>
          <w:rFonts w:hint="eastAsia" w:ascii="仿宋" w:hAnsi="仿宋" w:eastAsia="仿宋" w:cs="仿宋"/>
          <w:i w:val="0"/>
          <w:iCs w:val="0"/>
          <w:caps w:val="0"/>
          <w:color w:val="333333"/>
          <w:spacing w:val="0"/>
          <w:sz w:val="32"/>
          <w:szCs w:val="32"/>
        </w:rPr>
        <w:t>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left="720" w:leftChars="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2.目标完成质量</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在2022年内单位取暖率达到100%，圆满完成，经单位职工评价，满意度达到了95%。</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3.目标完成进度</w:t>
      </w:r>
    </w:p>
    <w:p>
      <w:pPr>
        <w:keepNext w:val="0"/>
        <w:keepLines w:val="0"/>
        <w:pageBreakBefore w:val="0"/>
        <w:widowControl w:val="0"/>
        <w:kinsoku/>
        <w:wordWrap/>
        <w:overflowPunct/>
        <w:topLinePunct w:val="0"/>
        <w:autoSpaceDE w:val="0"/>
        <w:autoSpaceDN/>
        <w:bidi w:val="0"/>
        <w:adjustRightInd w:val="0"/>
        <w:snapToGrid w:val="0"/>
        <w:spacing w:line="50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截止2022年12月，该项目任务完成较好，如期实现了预期目标。</w:t>
      </w:r>
    </w:p>
    <w:p>
      <w:pPr>
        <w:keepNext w:val="0"/>
        <w:keepLines w:val="0"/>
        <w:pageBreakBefore w:val="0"/>
        <w:widowControl w:val="0"/>
        <w:kinsoku/>
        <w:wordWrap/>
        <w:overflowPunct/>
        <w:topLinePunct w:val="0"/>
        <w:autoSpaceDE w:val="0"/>
        <w:autoSpaceDN/>
        <w:bidi w:val="0"/>
        <w:adjustRightInd w:val="0"/>
        <w:snapToGrid w:val="0"/>
        <w:spacing w:line="50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4.目标完成成本</w:t>
      </w:r>
    </w:p>
    <w:p>
      <w:pPr>
        <w:keepNext w:val="0"/>
        <w:keepLines w:val="0"/>
        <w:pageBreakBefore w:val="0"/>
        <w:widowControl w:val="0"/>
        <w:kinsoku/>
        <w:wordWrap/>
        <w:overflowPunct/>
        <w:topLinePunct w:val="0"/>
        <w:autoSpaceDE w:val="0"/>
        <w:autoSpaceDN/>
        <w:bidi w:val="0"/>
        <w:adjustRightInd w:val="0"/>
        <w:snapToGrid w:val="0"/>
        <w:spacing w:line="50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截止2022年12月，取暖费用实际支出10.94万元。资金结余0.06万元</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r>
        <w:rPr>
          <w:rFonts w:hint="eastAsia" w:ascii="仿宋_GB2312" w:hAnsi="Times New Roman" w:eastAsia="仿宋_GB2312" w:cs="Times New Roman"/>
          <w:spacing w:val="-6"/>
          <w:sz w:val="32"/>
          <w:szCs w:val="32"/>
          <w:lang w:val="en-US" w:eastAsia="zh-CN"/>
        </w:rPr>
        <w:t>无违规记录。</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default" w:ascii="仿宋_GB2312" w:hAnsi="Times New Roman" w:eastAsia="仿宋_GB2312" w:cs="Times New Roman"/>
          <w:spacing w:val="-6"/>
          <w:sz w:val="32"/>
          <w:szCs w:val="32"/>
          <w:lang w:val="en-US" w:eastAsia="zh-CN"/>
        </w:rPr>
      </w:pPr>
      <w:r>
        <w:rPr>
          <w:rFonts w:hint="eastAsia" w:ascii="仿宋_GB2312" w:hAnsi="宋体" w:eastAsia="仿宋_GB2312" w:cs="Times New Roman"/>
          <w:w w:val="99"/>
          <w:sz w:val="32"/>
          <w:szCs w:val="32"/>
        </w:rPr>
        <w:t>截止评价时点任务量完成</w:t>
      </w:r>
      <w:r>
        <w:rPr>
          <w:rFonts w:hint="eastAsia" w:ascii="仿宋_GB2312" w:hAnsi="宋体" w:eastAsia="仿宋_GB2312" w:cs="Times New Roman"/>
          <w:w w:val="99"/>
          <w:sz w:val="32"/>
          <w:szCs w:val="32"/>
          <w:lang w:val="en-US" w:eastAsia="zh-CN"/>
        </w:rPr>
        <w:t>99.45%</w:t>
      </w:r>
      <w:r>
        <w:rPr>
          <w:rFonts w:hint="eastAsia" w:ascii="仿宋_GB2312" w:hAnsi="宋体" w:eastAsia="仿宋_GB2312" w:cs="Times New Roman"/>
          <w:w w:val="99"/>
          <w:sz w:val="32"/>
          <w:szCs w:val="32"/>
        </w:rPr>
        <w:t>、质量标准</w:t>
      </w:r>
      <w:r>
        <w:rPr>
          <w:rFonts w:hint="eastAsia" w:ascii="仿宋_GB2312" w:hAnsi="宋体" w:eastAsia="仿宋_GB2312" w:cs="Times New Roman"/>
          <w:w w:val="99"/>
          <w:sz w:val="32"/>
          <w:szCs w:val="32"/>
          <w:lang w:val="en-US" w:eastAsia="zh-CN"/>
        </w:rPr>
        <w:t>为优</w:t>
      </w:r>
      <w:r>
        <w:rPr>
          <w:rFonts w:hint="eastAsia" w:ascii="仿宋_GB2312" w:hAnsi="宋体" w:eastAsia="仿宋_GB2312" w:cs="Times New Roman"/>
          <w:w w:val="99"/>
          <w:sz w:val="32"/>
          <w:szCs w:val="32"/>
        </w:rPr>
        <w:t>、成本控制目标的实现程度</w:t>
      </w:r>
      <w:r>
        <w:rPr>
          <w:rFonts w:hint="eastAsia" w:ascii="仿宋_GB2312" w:hAnsi="宋体" w:eastAsia="仿宋_GB2312" w:cs="Times New Roman"/>
          <w:w w:val="99"/>
          <w:sz w:val="32"/>
          <w:szCs w:val="32"/>
          <w:lang w:val="en-US" w:eastAsia="zh-CN"/>
        </w:rPr>
        <w:t>在合理范围内。</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left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1.社会效益：保障单位职工切身利益。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left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eastAsia="zh-CN"/>
        </w:rPr>
        <w:t>：单位职工满意度≥95%</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kinsoku/>
        <w:wordWrap/>
        <w:overflowPunct/>
        <w:topLinePunct w:val="0"/>
        <w:autoSpaceDE w:val="0"/>
        <w:autoSpaceDN/>
        <w:bidi w:val="0"/>
        <w:adjustRightInd w:val="0"/>
        <w:snapToGrid w:val="0"/>
        <w:spacing w:line="500" w:lineRule="exact"/>
        <w:ind w:firstLine="720"/>
        <w:textAlignment w:val="auto"/>
        <w:rPr>
          <w:rFonts w:hint="default" w:ascii="仿宋_GB2312" w:hAnsi="宋体" w:eastAsia="仿宋_GB2312" w:cs="Times New Roman"/>
          <w:w w:val="99"/>
          <w:sz w:val="32"/>
          <w:szCs w:val="32"/>
          <w:lang w:val="en-US"/>
        </w:rPr>
      </w:pPr>
      <w:r>
        <w:rPr>
          <w:rFonts w:hint="eastAsia" w:ascii="仿宋_GB2312" w:hAnsi="宋体" w:eastAsia="仿宋_GB2312" w:cs="Times New Roman"/>
          <w:w w:val="99"/>
          <w:sz w:val="32"/>
          <w:szCs w:val="32"/>
          <w:lang w:val="en-US" w:eastAsia="zh-CN"/>
        </w:rPr>
        <w:t>该项目经费的投入和使用保障了单位职工的切身利益，2022年资金到位率100%。在使用中，本部门严格执行财务管理相关制度和经费管理办法规定，财务制度健全，管理规范，做到了专款专用，无贪污、截留、挪用现象。按照评分标准，自评得分为97.5，自评结果为优秀。</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kinsoku/>
        <w:wordWrap/>
        <w:overflowPunct/>
        <w:topLinePunct w:val="0"/>
        <w:autoSpaceDE w:val="0"/>
        <w:autoSpaceDN/>
        <w:bidi w:val="0"/>
        <w:spacing w:line="50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一是</w:t>
      </w:r>
      <w:r>
        <w:rPr>
          <w:rFonts w:hint="eastAsia" w:ascii="仿宋_GB2312" w:hAnsi="宋体" w:eastAsia="仿宋_GB2312" w:cs="Times New Roman"/>
          <w:w w:val="99"/>
          <w:sz w:val="32"/>
          <w:szCs w:val="32"/>
        </w:rPr>
        <w:t>资金拨付方面的问题。资金指标下达时间和资金应该拨付时间存在时间差</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二是专项管理方面的问题。专项管理办法仍待完善，资金使用过程中遇到的某些细节方面的问题没有考虑到。</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00" w:lineRule="exact"/>
        <w:ind w:firstLine="640" w:firstLineChars="2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一是</w:t>
      </w:r>
      <w:r>
        <w:rPr>
          <w:rFonts w:ascii="仿宋_GB2312" w:hAnsi="Times New Roman" w:eastAsia="仿宋_GB2312" w:cs="仿宋_GB2312"/>
          <w:b w:val="0"/>
          <w:bCs w:val="0"/>
          <w:i w:val="0"/>
          <w:iCs w:val="0"/>
          <w:caps w:val="0"/>
          <w:color w:val="000000"/>
          <w:spacing w:val="0"/>
          <w:sz w:val="32"/>
          <w:szCs w:val="32"/>
          <w:shd w:val="clear" w:fill="FFFFFF"/>
        </w:rPr>
        <w:t>科学合理编制预算，严格执行预算</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二是</w:t>
      </w:r>
      <w:r>
        <w:rPr>
          <w:rFonts w:ascii="仿宋_GB2312" w:hAnsi="Times New Roman" w:eastAsia="仿宋_GB2312" w:cs="仿宋_GB2312"/>
          <w:b w:val="0"/>
          <w:bCs w:val="0"/>
          <w:i w:val="0"/>
          <w:iCs w:val="0"/>
          <w:caps w:val="0"/>
          <w:color w:val="000000"/>
          <w:spacing w:val="0"/>
          <w:sz w:val="32"/>
          <w:szCs w:val="32"/>
          <w:shd w:val="clear" w:fill="FFFFFF"/>
        </w:rPr>
        <w:t>规范账务处理，提高财务信息质量</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三是</w:t>
      </w:r>
      <w:r>
        <w:rPr>
          <w:rFonts w:ascii="仿宋_GB2312" w:hAnsi="Times New Roman" w:eastAsia="仿宋_GB2312" w:cs="仿宋_GB2312"/>
          <w:b w:val="0"/>
          <w:bCs w:val="0"/>
          <w:i w:val="0"/>
          <w:iCs w:val="0"/>
          <w:caps w:val="0"/>
          <w:color w:val="000000"/>
          <w:spacing w:val="0"/>
          <w:sz w:val="32"/>
          <w:szCs w:val="32"/>
          <w:shd w:val="clear" w:fill="FFFFFF"/>
        </w:rPr>
        <w:t>完善管理制度，进一步加强资金管理</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四是</w:t>
      </w:r>
      <w:r>
        <w:rPr>
          <w:rFonts w:hint="default"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default" w:ascii="仿宋_GB2312" w:hAnsi="Times New Roman" w:eastAsia="仿宋_GB2312" w:cs="仿宋_GB2312"/>
          <w:b w:val="0"/>
          <w:bCs w:val="0"/>
          <w:i w:val="0"/>
          <w:iCs w:val="0"/>
          <w:caps w:val="0"/>
          <w:color w:val="000000"/>
          <w:spacing w:val="0"/>
          <w:sz w:val="32"/>
          <w:szCs w:val="32"/>
          <w:shd w:val="clear" w:fill="FFFFFF"/>
        </w:rPr>
        <w:t>。</w:t>
      </w:r>
    </w:p>
    <w:p>
      <w:pPr>
        <w:widowControl/>
        <w:jc w:val="left"/>
        <w:rPr>
          <w:rStyle w:val="31"/>
          <w:rFonts w:ascii="黑体" w:hAnsi="黑体" w:eastAsia="黑体"/>
          <w:b w:val="0"/>
          <w:color w:val="auto"/>
          <w:highlight w:val="none"/>
        </w:rPr>
      </w:pPr>
      <w:r>
        <w:rPr>
          <w:rStyle w:val="31"/>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7" w:name="_Toc15396618"/>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55"/>
      <w:bookmarkEnd w:id="57"/>
      <w:bookmarkStart w:id="58"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58"/>
    </w:p>
    <w:p>
      <w:pPr>
        <w:pStyle w:val="3"/>
        <w:rPr>
          <w:rFonts w:ascii="仿宋" w:hAnsi="仿宋" w:eastAsia="仿宋"/>
          <w:color w:val="auto"/>
          <w:highlight w:val="none"/>
        </w:rPr>
      </w:pPr>
      <w:bookmarkStart w:id="59"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59"/>
    </w:p>
    <w:p>
      <w:pPr>
        <w:pStyle w:val="3"/>
        <w:rPr>
          <w:rFonts w:ascii="仿宋" w:hAnsi="仿宋" w:eastAsia="仿宋"/>
          <w:color w:val="auto"/>
          <w:highlight w:val="none"/>
        </w:rPr>
      </w:pPr>
      <w:bookmarkStart w:id="60"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60"/>
    </w:p>
    <w:p>
      <w:pPr>
        <w:pStyle w:val="3"/>
        <w:rPr>
          <w:rFonts w:ascii="仿宋" w:hAnsi="仿宋" w:eastAsia="仿宋"/>
          <w:b w:val="0"/>
          <w:color w:val="auto"/>
          <w:highlight w:val="none"/>
        </w:rPr>
      </w:pPr>
      <w:bookmarkStart w:id="61"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61"/>
    </w:p>
    <w:p>
      <w:pPr>
        <w:pStyle w:val="3"/>
        <w:rPr>
          <w:rStyle w:val="32"/>
          <w:rFonts w:ascii="仿宋" w:hAnsi="仿宋" w:eastAsia="仿宋"/>
          <w:b w:val="0"/>
          <w:bCs w:val="0"/>
          <w:color w:val="auto"/>
          <w:highlight w:val="none"/>
        </w:rPr>
      </w:pPr>
      <w:bookmarkStart w:id="62"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62"/>
      <w:bookmarkStart w:id="63" w:name="_Toc15396624"/>
    </w:p>
    <w:p>
      <w:pPr>
        <w:pStyle w:val="3"/>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63"/>
    </w:p>
    <w:p>
      <w:pPr>
        <w:pStyle w:val="3"/>
        <w:rPr>
          <w:rFonts w:ascii="仿宋" w:hAnsi="仿宋" w:eastAsia="仿宋"/>
          <w:color w:val="auto"/>
          <w:highlight w:val="none"/>
        </w:rPr>
      </w:pPr>
      <w:bookmarkStart w:id="64"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64"/>
    </w:p>
    <w:p>
      <w:pPr>
        <w:pStyle w:val="3"/>
        <w:rPr>
          <w:rFonts w:ascii="仿宋" w:hAnsi="仿宋" w:eastAsia="仿宋"/>
          <w:color w:val="auto"/>
          <w:highlight w:val="none"/>
        </w:rPr>
      </w:pPr>
      <w:bookmarkStart w:id="65"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65"/>
    </w:p>
    <w:p>
      <w:pPr>
        <w:pStyle w:val="3"/>
        <w:rPr>
          <w:rFonts w:ascii="仿宋" w:hAnsi="仿宋" w:eastAsia="仿宋"/>
          <w:color w:val="auto"/>
          <w:highlight w:val="none"/>
        </w:rPr>
      </w:pPr>
      <w:bookmarkStart w:id="66"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66"/>
    </w:p>
    <w:p>
      <w:pPr>
        <w:pStyle w:val="3"/>
        <w:rPr>
          <w:rFonts w:ascii="仿宋" w:hAnsi="仿宋" w:eastAsia="仿宋"/>
          <w:color w:val="auto"/>
          <w:highlight w:val="none"/>
        </w:rPr>
      </w:pPr>
      <w:bookmarkStart w:id="67" w:name="_Toc15396628"/>
      <w:r>
        <w:rPr>
          <w:rStyle w:val="32"/>
          <w:rFonts w:hint="eastAsia" w:ascii="仿宋" w:hAnsi="仿宋" w:eastAsia="仿宋"/>
          <w:b w:val="0"/>
          <w:bCs w:val="0"/>
          <w:color w:val="auto"/>
          <w:highlight w:val="none"/>
        </w:rPr>
        <w:t>十、</w:t>
      </w:r>
      <w:bookmarkEnd w:id="67"/>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8" w:name="_Toc15396629"/>
      <w:r>
        <w:rPr>
          <w:rStyle w:val="32"/>
          <w:rFonts w:hint="eastAsia" w:ascii="仿宋" w:hAnsi="仿宋" w:eastAsia="仿宋"/>
          <w:b w:val="0"/>
          <w:bCs w:val="0"/>
          <w:color w:val="auto"/>
          <w:highlight w:val="none"/>
        </w:rPr>
        <w:t>十一、</w:t>
      </w:r>
      <w:bookmarkEnd w:id="68"/>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9" w:name="_Toc15396630"/>
      <w:r>
        <w:rPr>
          <w:rStyle w:val="32"/>
          <w:rFonts w:hint="eastAsia" w:ascii="仿宋" w:hAnsi="仿宋" w:eastAsia="仿宋"/>
          <w:b w:val="0"/>
          <w:bCs w:val="0"/>
          <w:color w:val="auto"/>
          <w:highlight w:val="none"/>
        </w:rPr>
        <w:t>十二、</w:t>
      </w:r>
      <w:bookmarkEnd w:id="69"/>
      <w:r>
        <w:rPr>
          <w:rStyle w:val="32"/>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70" w:name="_Toc15396631"/>
      <w:r>
        <w:rPr>
          <w:rStyle w:val="32"/>
          <w:rFonts w:hint="eastAsia" w:ascii="仿宋" w:hAnsi="仿宋" w:eastAsia="仿宋"/>
          <w:b w:val="0"/>
          <w:bCs w:val="0"/>
          <w:color w:val="auto"/>
          <w:highlight w:val="none"/>
        </w:rPr>
        <w:t>十三、</w:t>
      </w:r>
      <w:bookmarkEnd w:id="70"/>
      <w:r>
        <w:rPr>
          <w:rStyle w:val="32"/>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C981A"/>
    <w:multiLevelType w:val="singleLevel"/>
    <w:tmpl w:val="AFBC981A"/>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AD2616B"/>
    <w:multiLevelType w:val="singleLevel"/>
    <w:tmpl w:val="2AD2616B"/>
    <w:lvl w:ilvl="0" w:tentative="0">
      <w:start w:val="2"/>
      <w:numFmt w:val="chineseCounting"/>
      <w:suff w:val="nothing"/>
      <w:lvlText w:val="（%1）"/>
      <w:lvlJc w:val="left"/>
      <w:rPr>
        <w:rFonts w:hint="eastAsia"/>
      </w:rPr>
    </w:lvl>
  </w:abstractNum>
  <w:abstractNum w:abstractNumId="7">
    <w:nsid w:val="47016940"/>
    <w:multiLevelType w:val="singleLevel"/>
    <w:tmpl w:val="47016940"/>
    <w:lvl w:ilvl="0" w:tentative="0">
      <w:start w:val="2"/>
      <w:numFmt w:val="chineseCounting"/>
      <w:suff w:val="nothing"/>
      <w:lvlText w:val="（%1）"/>
      <w:lvlJc w:val="left"/>
      <w:rPr>
        <w:rFonts w:hint="eastAsia"/>
      </w:rPr>
    </w:lvl>
  </w:abstractNum>
  <w:abstractNum w:abstractNumId="8">
    <w:nsid w:val="504C189A"/>
    <w:multiLevelType w:val="singleLevel"/>
    <w:tmpl w:val="504C189A"/>
    <w:lvl w:ilvl="0" w:tentative="0">
      <w:start w:val="1"/>
      <w:numFmt w:val="chineseCounting"/>
      <w:suff w:val="nothing"/>
      <w:lvlText w:val="（%1）"/>
      <w:lvlJc w:val="left"/>
      <w:rPr>
        <w:rFonts w:hint="eastAsia"/>
      </w:r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9"/>
  </w:num>
  <w:num w:numId="3">
    <w:abstractNumId w:val="5"/>
  </w:num>
  <w:num w:numId="4">
    <w:abstractNumId w:val="1"/>
  </w:num>
  <w:num w:numId="5">
    <w:abstractNumId w:val="3"/>
  </w:num>
  <w:num w:numId="6">
    <w:abstractNumId w:val="4"/>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3387"/>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7C56"/>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14C6"/>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BA0"/>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5772"/>
    <w:rsid w:val="00FD3CC1"/>
    <w:rsid w:val="00FF1E02"/>
    <w:rsid w:val="00FF30B4"/>
    <w:rsid w:val="015975B8"/>
    <w:rsid w:val="016F283F"/>
    <w:rsid w:val="017A36FD"/>
    <w:rsid w:val="01DB5E23"/>
    <w:rsid w:val="02003F90"/>
    <w:rsid w:val="02143E91"/>
    <w:rsid w:val="02EB2811"/>
    <w:rsid w:val="042518DB"/>
    <w:rsid w:val="056976B3"/>
    <w:rsid w:val="066E0107"/>
    <w:rsid w:val="07996F6E"/>
    <w:rsid w:val="07E37AE3"/>
    <w:rsid w:val="08167EB9"/>
    <w:rsid w:val="08BE3DCE"/>
    <w:rsid w:val="093C09A4"/>
    <w:rsid w:val="0A2032A3"/>
    <w:rsid w:val="0AD41965"/>
    <w:rsid w:val="0AD66DD2"/>
    <w:rsid w:val="0B4155F5"/>
    <w:rsid w:val="0C26093E"/>
    <w:rsid w:val="0C896D4C"/>
    <w:rsid w:val="0F121605"/>
    <w:rsid w:val="0F98263C"/>
    <w:rsid w:val="0FD87FAF"/>
    <w:rsid w:val="101860EC"/>
    <w:rsid w:val="10C055FF"/>
    <w:rsid w:val="118107EC"/>
    <w:rsid w:val="13D50BC4"/>
    <w:rsid w:val="13F41F7E"/>
    <w:rsid w:val="13F56BD4"/>
    <w:rsid w:val="140A555F"/>
    <w:rsid w:val="14A079BF"/>
    <w:rsid w:val="14D964F6"/>
    <w:rsid w:val="15D46CBD"/>
    <w:rsid w:val="16BB723D"/>
    <w:rsid w:val="1752258F"/>
    <w:rsid w:val="19114425"/>
    <w:rsid w:val="19377C8F"/>
    <w:rsid w:val="1A6920CA"/>
    <w:rsid w:val="1A820320"/>
    <w:rsid w:val="1BE8440E"/>
    <w:rsid w:val="1CBE524F"/>
    <w:rsid w:val="1D155CEE"/>
    <w:rsid w:val="1D5F5A06"/>
    <w:rsid w:val="1DDD5C9A"/>
    <w:rsid w:val="1F737547"/>
    <w:rsid w:val="1FF35744"/>
    <w:rsid w:val="20166850"/>
    <w:rsid w:val="205422BB"/>
    <w:rsid w:val="206104AB"/>
    <w:rsid w:val="20D91494"/>
    <w:rsid w:val="20E64474"/>
    <w:rsid w:val="21CF4F08"/>
    <w:rsid w:val="22E953AE"/>
    <w:rsid w:val="23860B96"/>
    <w:rsid w:val="240371BF"/>
    <w:rsid w:val="25C8022F"/>
    <w:rsid w:val="25EC3BAF"/>
    <w:rsid w:val="29FD04D3"/>
    <w:rsid w:val="29FF60AE"/>
    <w:rsid w:val="2A537700"/>
    <w:rsid w:val="2C3810B7"/>
    <w:rsid w:val="2C8A61B5"/>
    <w:rsid w:val="2D9139BA"/>
    <w:rsid w:val="2DF04E50"/>
    <w:rsid w:val="2E2E0121"/>
    <w:rsid w:val="2F040D46"/>
    <w:rsid w:val="2F813897"/>
    <w:rsid w:val="319F7F4E"/>
    <w:rsid w:val="3304709D"/>
    <w:rsid w:val="3442156A"/>
    <w:rsid w:val="348532B2"/>
    <w:rsid w:val="35D03805"/>
    <w:rsid w:val="367F5049"/>
    <w:rsid w:val="36AA5135"/>
    <w:rsid w:val="376D39B2"/>
    <w:rsid w:val="379522F8"/>
    <w:rsid w:val="37A30775"/>
    <w:rsid w:val="37E16F03"/>
    <w:rsid w:val="387C169A"/>
    <w:rsid w:val="38D469F0"/>
    <w:rsid w:val="3A2422E1"/>
    <w:rsid w:val="3A306540"/>
    <w:rsid w:val="3AD849D6"/>
    <w:rsid w:val="3C586DF0"/>
    <w:rsid w:val="3D98207C"/>
    <w:rsid w:val="3E595E2E"/>
    <w:rsid w:val="3E78745D"/>
    <w:rsid w:val="3F40258F"/>
    <w:rsid w:val="41BF069E"/>
    <w:rsid w:val="41EC6FB9"/>
    <w:rsid w:val="423E39B5"/>
    <w:rsid w:val="42EB54C2"/>
    <w:rsid w:val="43593652"/>
    <w:rsid w:val="43670011"/>
    <w:rsid w:val="44953938"/>
    <w:rsid w:val="44E268DA"/>
    <w:rsid w:val="44EE2719"/>
    <w:rsid w:val="458B1B71"/>
    <w:rsid w:val="45A81449"/>
    <w:rsid w:val="46197B32"/>
    <w:rsid w:val="470041B9"/>
    <w:rsid w:val="485E5CE0"/>
    <w:rsid w:val="486B7B50"/>
    <w:rsid w:val="48A00AFD"/>
    <w:rsid w:val="490B241B"/>
    <w:rsid w:val="49BC1967"/>
    <w:rsid w:val="4A627F82"/>
    <w:rsid w:val="4B0E749A"/>
    <w:rsid w:val="4B4F25DA"/>
    <w:rsid w:val="4B8C08D1"/>
    <w:rsid w:val="4BE068DB"/>
    <w:rsid w:val="4C347834"/>
    <w:rsid w:val="4D577224"/>
    <w:rsid w:val="4E2314D1"/>
    <w:rsid w:val="4EAB630A"/>
    <w:rsid w:val="4ECE2238"/>
    <w:rsid w:val="510F05CE"/>
    <w:rsid w:val="51D50F8B"/>
    <w:rsid w:val="52AF3E17"/>
    <w:rsid w:val="530B5D59"/>
    <w:rsid w:val="537E6D0A"/>
    <w:rsid w:val="54462559"/>
    <w:rsid w:val="5559450E"/>
    <w:rsid w:val="55E702FA"/>
    <w:rsid w:val="575C2093"/>
    <w:rsid w:val="57EF1A7A"/>
    <w:rsid w:val="58E81E30"/>
    <w:rsid w:val="596657C0"/>
    <w:rsid w:val="59B61F2F"/>
    <w:rsid w:val="5A91312C"/>
    <w:rsid w:val="5AF92295"/>
    <w:rsid w:val="5BD9519B"/>
    <w:rsid w:val="5CD71FC4"/>
    <w:rsid w:val="5EF41669"/>
    <w:rsid w:val="62B43279"/>
    <w:rsid w:val="64EB57C1"/>
    <w:rsid w:val="67061280"/>
    <w:rsid w:val="67DD2F04"/>
    <w:rsid w:val="6850354E"/>
    <w:rsid w:val="690549AF"/>
    <w:rsid w:val="697967C2"/>
    <w:rsid w:val="6C4A05C8"/>
    <w:rsid w:val="6C77379F"/>
    <w:rsid w:val="6E7E3605"/>
    <w:rsid w:val="6EB42BD3"/>
    <w:rsid w:val="6FF5CC65"/>
    <w:rsid w:val="715C0E4B"/>
    <w:rsid w:val="71CF16F7"/>
    <w:rsid w:val="72734D90"/>
    <w:rsid w:val="736B3932"/>
    <w:rsid w:val="738F53D1"/>
    <w:rsid w:val="73AA26AC"/>
    <w:rsid w:val="73AD73D5"/>
    <w:rsid w:val="73B6EB34"/>
    <w:rsid w:val="73C372CA"/>
    <w:rsid w:val="744731E5"/>
    <w:rsid w:val="748E0BBD"/>
    <w:rsid w:val="755D72AA"/>
    <w:rsid w:val="758846D4"/>
    <w:rsid w:val="759A1A46"/>
    <w:rsid w:val="75F47FF3"/>
    <w:rsid w:val="76CF5F86"/>
    <w:rsid w:val="76E3355F"/>
    <w:rsid w:val="778769C8"/>
    <w:rsid w:val="787701E2"/>
    <w:rsid w:val="79EE5BA4"/>
    <w:rsid w:val="7A894339"/>
    <w:rsid w:val="7B0940E7"/>
    <w:rsid w:val="7D2C0286"/>
    <w:rsid w:val="7E614DCC"/>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rPr>
      <w:rFonts w:ascii="Times New Roman" w:hAnsi="Times New Roman" w:eastAsia="宋体" w:cs="Times New Roman"/>
    </w:rPr>
  </w:style>
  <w:style w:type="paragraph" w:styleId="6">
    <w:name w:val="Body Text"/>
    <w:basedOn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Emphasis"/>
    <w:basedOn w:val="17"/>
    <w:qFormat/>
    <w:uiPriority w:val="20"/>
    <w:rPr>
      <w:i/>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ToCaption"/>
    <w:basedOn w:val="1"/>
    <w:next w:val="1"/>
    <w:qFormat/>
    <w:uiPriority w:val="0"/>
    <w:pPr>
      <w:suppressAutoHyphens/>
      <w:ind w:leftChars="200" w:hanging="200" w:hangingChars="200"/>
      <w:jc w:val="both"/>
      <w:textAlignment w:val="baseline"/>
    </w:p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7"/>
    <w:link w:val="2"/>
    <w:qFormat/>
    <w:uiPriority w:val="9"/>
    <w:rPr>
      <w:rFonts w:ascii="Times New Roman" w:hAnsi="Times New Roman"/>
      <w:b/>
      <w:bCs/>
      <w:kern w:val="44"/>
      <w:sz w:val="44"/>
      <w:szCs w:val="44"/>
    </w:rPr>
  </w:style>
  <w:style w:type="character" w:customStyle="1" w:styleId="32">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7"/>
    <w:link w:val="9"/>
    <w:semiHidden/>
    <w:qFormat/>
    <w:uiPriority w:val="99"/>
    <w:rPr>
      <w:rFonts w:ascii="Times New Roman" w:hAnsi="Times New Roman"/>
      <w:kern w:val="2"/>
      <w:sz w:val="18"/>
      <w:szCs w:val="18"/>
    </w:rPr>
  </w:style>
  <w:style w:type="character" w:customStyle="1" w:styleId="35">
    <w:name w:val="标题 3 Char"/>
    <w:basedOn w:val="17"/>
    <w:link w:val="4"/>
    <w:qFormat/>
    <w:uiPriority w:val="9"/>
    <w:rPr>
      <w:rFonts w:ascii="Times New Roman" w:hAnsi="Times New Roman"/>
      <w:b/>
      <w:bCs/>
      <w:kern w:val="2"/>
      <w:sz w:val="32"/>
      <w:szCs w:val="32"/>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25737</Words>
  <Characters>30543</Characters>
  <Lines>61</Lines>
  <Paragraphs>17</Paragraphs>
  <TotalTime>0</TotalTime>
  <ScaleCrop>false</ScaleCrop>
  <LinksUpToDate>false</LinksUpToDate>
  <CharactersWithSpaces>30616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2023-10-25T08:56:17Z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2EE9C8FA5D964F5298AA39EA84B4BB8A_13</vt:lpwstr>
  </property>
</Properties>
</file>