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spacing w:line="600" w:lineRule="exact"/>
        <w:jc w:val="center"/>
        <w:outlineLvl w:val="9"/>
        <w:rPr>
          <w:rFonts w:ascii="方正小标宋简体" w:hAnsi="宋体" w:eastAsia="方正小标宋简体"/>
          <w:color w:val="auto"/>
          <w:sz w:val="72"/>
          <w:szCs w:val="72"/>
          <w:highlight w:val="none"/>
        </w:rPr>
      </w:pPr>
      <w:bookmarkStart w:id="0" w:name="_Toc15396597"/>
      <w:bookmarkStart w:id="1" w:name="_Toc15396475"/>
      <w:bookmarkStart w:id="2" w:name="_Toc15377193"/>
      <w:bookmarkStart w:id="3" w:name="_Toc15378441"/>
      <w:bookmarkStart w:id="4" w:name="_Toc1537742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3107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32246"/>
      <w:bookmarkStart w:id="8" w:name="_Toc15377426"/>
      <w:bookmarkStart w:id="9" w:name="_Toc15396598"/>
      <w:bookmarkStart w:id="10" w:name="_Toc15306268"/>
      <w:bookmarkStart w:id="11" w:name="_Toc15377194"/>
      <w:bookmarkStart w:id="12" w:name="_Toc15396476"/>
      <w:bookmarkStart w:id="13" w:name="_Toc15378442"/>
      <w:r>
        <w:rPr>
          <w:rFonts w:hint="eastAsia" w:ascii="方正小标宋简体" w:hAnsi="方正小标宋简体" w:eastAsia="方正小标宋简体" w:cs="方正小标宋简体"/>
          <w:sz w:val="72"/>
          <w:szCs w:val="72"/>
          <w:lang w:val="en-US" w:eastAsia="zh-CN"/>
        </w:rPr>
        <w:t>中共广元市朝天区委群众</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4" w:name="_Toc32682"/>
      <w:r>
        <w:rPr>
          <w:rFonts w:hint="eastAsia" w:ascii="方正小标宋简体" w:hAnsi="方正小标宋简体" w:eastAsia="方正小标宋简体" w:cs="方正小标宋简体"/>
          <w:sz w:val="72"/>
          <w:szCs w:val="72"/>
          <w:lang w:val="en-US" w:eastAsia="zh-CN"/>
        </w:rPr>
        <w:t>工作局</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pStyle w:val="13"/>
        <w:jc w:val="center"/>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sdt>
      <w:sdtPr>
        <w:rPr>
          <w:rFonts w:ascii="宋体" w:hAnsi="宋体" w:eastAsia="宋体" w:cs="Times New Roman"/>
          <w:kern w:val="2"/>
          <w:sz w:val="21"/>
          <w:szCs w:val="24"/>
          <w:lang w:val="en-US" w:eastAsia="zh-CN" w:bidi="ar-SA"/>
        </w:rPr>
        <w:id w:val="147480463"/>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5" w:name="_Toc15377196"/>
          <w:bookmarkStart w:id="16" w:name="_Toc15396599"/>
          <w:bookmarkStart w:id="234" w:name="_GoBack"/>
          <w:bookmarkEnd w:id="234"/>
          <w:r>
            <w:rPr>
              <w:rFonts w:ascii="宋体" w:hAnsi="宋体" w:eastAsia="宋体"/>
              <w:sz w:val="21"/>
            </w:rPr>
            <w:t>目录</w:t>
          </w:r>
        </w:p>
        <w:p>
          <w:pPr>
            <w:pStyle w:val="47"/>
            <w:tabs>
              <w:tab w:val="right" w:leader="dot" w:pos="8845"/>
            </w:tabs>
          </w:pPr>
          <w:r>
            <w:fldChar w:fldCharType="begin"/>
          </w:r>
          <w:r>
            <w:instrText xml:space="preserve">TOC \o "1-3" \h \u </w:instrText>
          </w:r>
          <w:r>
            <w:fldChar w:fldCharType="separate"/>
          </w:r>
          <w:r>
            <w:fldChar w:fldCharType="begin"/>
          </w:r>
          <w:r>
            <w:instrText xml:space="preserve"> HYPERLINK \l _Toc21333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_Toc21333 \h </w:instrText>
          </w:r>
          <w:r>
            <w:fldChar w:fldCharType="separate"/>
          </w:r>
          <w:r>
            <w:t>3</w:t>
          </w:r>
          <w:r>
            <w:fldChar w:fldCharType="end"/>
          </w:r>
          <w:r>
            <w:fldChar w:fldCharType="end"/>
          </w:r>
        </w:p>
        <w:p>
          <w:pPr>
            <w:pStyle w:val="48"/>
            <w:tabs>
              <w:tab w:val="right" w:leader="dot" w:pos="8845"/>
            </w:tabs>
          </w:pPr>
          <w:r>
            <w:fldChar w:fldCharType="begin"/>
          </w:r>
          <w:r>
            <w:instrText xml:space="preserve"> HYPERLINK \l _Toc30830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_Toc30830 \h </w:instrText>
          </w:r>
          <w:r>
            <w:fldChar w:fldCharType="separate"/>
          </w:r>
          <w:r>
            <w:t>3</w:t>
          </w:r>
          <w:r>
            <w:fldChar w:fldCharType="end"/>
          </w:r>
          <w:r>
            <w:fldChar w:fldCharType="end"/>
          </w:r>
        </w:p>
        <w:p>
          <w:pPr>
            <w:pStyle w:val="48"/>
            <w:tabs>
              <w:tab w:val="right" w:leader="dot" w:pos="8845"/>
            </w:tabs>
          </w:pPr>
          <w:r>
            <w:fldChar w:fldCharType="begin"/>
          </w:r>
          <w:r>
            <w:instrText xml:space="preserve"> HYPERLINK \l _Toc27017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_Toc27017 \h </w:instrText>
          </w:r>
          <w:r>
            <w:fldChar w:fldCharType="separate"/>
          </w:r>
          <w:r>
            <w:t>4</w:t>
          </w:r>
          <w:r>
            <w:fldChar w:fldCharType="end"/>
          </w:r>
          <w:r>
            <w:fldChar w:fldCharType="end"/>
          </w:r>
        </w:p>
        <w:p>
          <w:pPr>
            <w:pStyle w:val="47"/>
            <w:tabs>
              <w:tab w:val="right" w:leader="dot" w:pos="8845"/>
            </w:tabs>
          </w:pPr>
          <w:r>
            <w:fldChar w:fldCharType="begin"/>
          </w:r>
          <w:r>
            <w:instrText xml:space="preserve"> HYPERLINK \l _Toc29427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_Toc29427 \h </w:instrText>
          </w:r>
          <w:r>
            <w:fldChar w:fldCharType="separate"/>
          </w:r>
          <w:r>
            <w:t>5</w:t>
          </w:r>
          <w:r>
            <w:fldChar w:fldCharType="end"/>
          </w:r>
          <w:r>
            <w:fldChar w:fldCharType="end"/>
          </w:r>
        </w:p>
        <w:p>
          <w:pPr>
            <w:pStyle w:val="48"/>
            <w:tabs>
              <w:tab w:val="right" w:leader="dot" w:pos="8845"/>
            </w:tabs>
          </w:pPr>
          <w:r>
            <w:fldChar w:fldCharType="begin"/>
          </w:r>
          <w:r>
            <w:instrText xml:space="preserve"> HYPERLINK \l _Toc1715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_Toc1715 \h </w:instrText>
          </w:r>
          <w:r>
            <w:fldChar w:fldCharType="separate"/>
          </w:r>
          <w:r>
            <w:t>5</w:t>
          </w:r>
          <w:r>
            <w:fldChar w:fldCharType="end"/>
          </w:r>
          <w:r>
            <w:fldChar w:fldCharType="end"/>
          </w:r>
        </w:p>
        <w:p>
          <w:pPr>
            <w:pStyle w:val="48"/>
            <w:tabs>
              <w:tab w:val="right" w:leader="dot" w:pos="8845"/>
            </w:tabs>
          </w:pPr>
          <w:r>
            <w:fldChar w:fldCharType="begin"/>
          </w:r>
          <w:r>
            <w:instrText xml:space="preserve"> HYPERLINK \l _Toc10475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_Toc10475 \h </w:instrText>
          </w:r>
          <w:r>
            <w:fldChar w:fldCharType="separate"/>
          </w:r>
          <w:r>
            <w:t>5</w:t>
          </w:r>
          <w:r>
            <w:fldChar w:fldCharType="end"/>
          </w:r>
          <w:r>
            <w:fldChar w:fldCharType="end"/>
          </w:r>
        </w:p>
        <w:p>
          <w:pPr>
            <w:pStyle w:val="48"/>
            <w:tabs>
              <w:tab w:val="right" w:leader="dot" w:pos="8845"/>
            </w:tabs>
          </w:pPr>
          <w:r>
            <w:fldChar w:fldCharType="begin"/>
          </w:r>
          <w:r>
            <w:instrText xml:space="preserve"> HYPERLINK \l _Toc637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_Toc637 \h </w:instrText>
          </w:r>
          <w:r>
            <w:fldChar w:fldCharType="separate"/>
          </w:r>
          <w:r>
            <w:t>6</w:t>
          </w:r>
          <w:r>
            <w:fldChar w:fldCharType="end"/>
          </w:r>
          <w:r>
            <w:fldChar w:fldCharType="end"/>
          </w:r>
        </w:p>
        <w:p>
          <w:pPr>
            <w:pStyle w:val="48"/>
            <w:tabs>
              <w:tab w:val="right" w:leader="dot" w:pos="8845"/>
            </w:tabs>
          </w:pPr>
          <w:r>
            <w:fldChar w:fldCharType="begin"/>
          </w:r>
          <w:r>
            <w:instrText xml:space="preserve"> HYPERLINK \l _Toc26896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_Toc26896 \h </w:instrText>
          </w:r>
          <w:r>
            <w:fldChar w:fldCharType="separate"/>
          </w:r>
          <w:r>
            <w:t>7</w:t>
          </w:r>
          <w:r>
            <w:fldChar w:fldCharType="end"/>
          </w:r>
          <w:r>
            <w:fldChar w:fldCharType="end"/>
          </w:r>
        </w:p>
        <w:p>
          <w:pPr>
            <w:pStyle w:val="48"/>
            <w:tabs>
              <w:tab w:val="right" w:leader="dot" w:pos="8845"/>
            </w:tabs>
          </w:pPr>
          <w:r>
            <w:fldChar w:fldCharType="begin"/>
          </w:r>
          <w:r>
            <w:instrText xml:space="preserve"> HYPERLINK \l _Toc21457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_Toc21457 \h </w:instrText>
          </w:r>
          <w:r>
            <w:fldChar w:fldCharType="separate"/>
          </w:r>
          <w:r>
            <w:t>7</w:t>
          </w:r>
          <w:r>
            <w:fldChar w:fldCharType="end"/>
          </w:r>
          <w:r>
            <w:fldChar w:fldCharType="end"/>
          </w:r>
        </w:p>
        <w:p>
          <w:pPr>
            <w:pStyle w:val="49"/>
            <w:tabs>
              <w:tab w:val="right" w:leader="dot" w:pos="8845"/>
            </w:tabs>
          </w:pPr>
          <w:r>
            <w:fldChar w:fldCharType="begin"/>
          </w:r>
          <w:r>
            <w:instrText xml:space="preserve"> HYPERLINK \l _Toc23573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_Toc23573 \h </w:instrText>
          </w:r>
          <w:r>
            <w:fldChar w:fldCharType="separate"/>
          </w:r>
          <w:r>
            <w:t>7</w:t>
          </w:r>
          <w:r>
            <w:fldChar w:fldCharType="end"/>
          </w:r>
          <w:r>
            <w:fldChar w:fldCharType="end"/>
          </w:r>
        </w:p>
        <w:p>
          <w:pPr>
            <w:pStyle w:val="49"/>
            <w:tabs>
              <w:tab w:val="right" w:leader="dot" w:pos="8845"/>
            </w:tabs>
          </w:pPr>
          <w:r>
            <w:fldChar w:fldCharType="begin"/>
          </w:r>
          <w:r>
            <w:instrText xml:space="preserve"> HYPERLINK \l _Toc15842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_Toc15842 \h </w:instrText>
          </w:r>
          <w:r>
            <w:fldChar w:fldCharType="separate"/>
          </w:r>
          <w:r>
            <w:t>8</w:t>
          </w:r>
          <w:r>
            <w:fldChar w:fldCharType="end"/>
          </w:r>
          <w:r>
            <w:fldChar w:fldCharType="end"/>
          </w:r>
        </w:p>
        <w:p>
          <w:pPr>
            <w:pStyle w:val="49"/>
            <w:tabs>
              <w:tab w:val="right" w:leader="dot" w:pos="8845"/>
            </w:tabs>
          </w:pPr>
          <w:r>
            <w:fldChar w:fldCharType="begin"/>
          </w:r>
          <w:r>
            <w:instrText xml:space="preserve"> HYPERLINK \l _Toc27676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_Toc27676 \h </w:instrText>
          </w:r>
          <w:r>
            <w:fldChar w:fldCharType="separate"/>
          </w:r>
          <w:r>
            <w:t>9</w:t>
          </w:r>
          <w:r>
            <w:fldChar w:fldCharType="end"/>
          </w:r>
          <w:r>
            <w:fldChar w:fldCharType="end"/>
          </w:r>
        </w:p>
        <w:p>
          <w:pPr>
            <w:pStyle w:val="48"/>
            <w:tabs>
              <w:tab w:val="right" w:leader="dot" w:pos="8845"/>
            </w:tabs>
          </w:pPr>
          <w:r>
            <w:fldChar w:fldCharType="begin"/>
          </w:r>
          <w:r>
            <w:instrText xml:space="preserve"> HYPERLINK \l _Toc31344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_Toc31344 \h </w:instrText>
          </w:r>
          <w:r>
            <w:fldChar w:fldCharType="separate"/>
          </w:r>
          <w:r>
            <w:t>10</w:t>
          </w:r>
          <w:r>
            <w:fldChar w:fldCharType="end"/>
          </w:r>
          <w:r>
            <w:fldChar w:fldCharType="end"/>
          </w:r>
        </w:p>
        <w:p>
          <w:pPr>
            <w:pStyle w:val="48"/>
            <w:tabs>
              <w:tab w:val="right" w:leader="dot" w:pos="8845"/>
            </w:tabs>
          </w:pPr>
          <w:r>
            <w:fldChar w:fldCharType="begin"/>
          </w:r>
          <w:r>
            <w:instrText xml:space="preserve"> HYPERLINK \l _Toc30543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_Toc30543 \h </w:instrText>
          </w:r>
          <w:r>
            <w:fldChar w:fldCharType="separate"/>
          </w:r>
          <w:r>
            <w:t>11</w:t>
          </w:r>
          <w:r>
            <w:fldChar w:fldCharType="end"/>
          </w:r>
          <w:r>
            <w:fldChar w:fldCharType="end"/>
          </w:r>
        </w:p>
        <w:p>
          <w:pPr>
            <w:pStyle w:val="49"/>
            <w:tabs>
              <w:tab w:val="right" w:leader="dot" w:pos="8845"/>
            </w:tabs>
          </w:pPr>
          <w:r>
            <w:fldChar w:fldCharType="begin"/>
          </w:r>
          <w:r>
            <w:instrText xml:space="preserve"> HYPERLINK \l _Toc20636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_Toc20636 \h </w:instrText>
          </w:r>
          <w:r>
            <w:fldChar w:fldCharType="separate"/>
          </w:r>
          <w:r>
            <w:t>11</w:t>
          </w:r>
          <w:r>
            <w:fldChar w:fldCharType="end"/>
          </w:r>
          <w:r>
            <w:fldChar w:fldCharType="end"/>
          </w:r>
        </w:p>
        <w:p>
          <w:pPr>
            <w:pStyle w:val="49"/>
            <w:tabs>
              <w:tab w:val="right" w:leader="dot" w:pos="8845"/>
            </w:tabs>
          </w:pPr>
          <w:r>
            <w:fldChar w:fldCharType="begin"/>
          </w:r>
          <w:r>
            <w:instrText xml:space="preserve"> HYPERLINK \l _Toc4526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_Toc4526 \h </w:instrText>
          </w:r>
          <w:r>
            <w:fldChar w:fldCharType="separate"/>
          </w:r>
          <w:r>
            <w:t>11</w:t>
          </w:r>
          <w:r>
            <w:fldChar w:fldCharType="end"/>
          </w:r>
          <w:r>
            <w:fldChar w:fldCharType="end"/>
          </w:r>
        </w:p>
        <w:p>
          <w:pPr>
            <w:pStyle w:val="48"/>
            <w:tabs>
              <w:tab w:val="right" w:leader="dot" w:pos="8845"/>
            </w:tabs>
          </w:pPr>
          <w:r>
            <w:fldChar w:fldCharType="begin"/>
          </w:r>
          <w:r>
            <w:instrText xml:space="preserve"> HYPERLINK \l _Toc29050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_Toc29050 \h </w:instrText>
          </w:r>
          <w:r>
            <w:fldChar w:fldCharType="separate"/>
          </w:r>
          <w:r>
            <w:t>12</w:t>
          </w:r>
          <w:r>
            <w:fldChar w:fldCharType="end"/>
          </w:r>
          <w:r>
            <w:fldChar w:fldCharType="end"/>
          </w:r>
        </w:p>
        <w:p>
          <w:pPr>
            <w:pStyle w:val="48"/>
            <w:tabs>
              <w:tab w:val="right" w:leader="dot" w:pos="8845"/>
            </w:tabs>
          </w:pPr>
          <w:r>
            <w:fldChar w:fldCharType="begin"/>
          </w:r>
          <w:r>
            <w:instrText xml:space="preserve"> HYPERLINK \l _Toc2879 </w:instrText>
          </w:r>
          <w:r>
            <w:fldChar w:fldCharType="separate"/>
          </w:r>
          <w:r>
            <w:rPr>
              <w:rFonts w:hint="eastAsia" w:ascii="黑体" w:hAnsi="黑体" w:eastAsia="黑体"/>
            </w:rPr>
            <w:t xml:space="preserve">九、 </w:t>
          </w:r>
          <w:r>
            <w:rPr>
              <w:rFonts w:hint="eastAsia" w:ascii="仿宋_GB2312" w:eastAsia="仿宋_GB2312"/>
              <w:szCs w:val="32"/>
              <w:highlight w:val="none"/>
              <w:lang w:val="en-US" w:eastAsia="zh-CN"/>
            </w:rPr>
            <w:t>0</w:t>
          </w:r>
          <w:r>
            <w:rPr>
              <w:rFonts w:hint="eastAsia" w:ascii="黑体" w:hAnsi="黑体" w:eastAsia="黑体"/>
              <w:highlight w:val="none"/>
            </w:rPr>
            <w:t>国有资本经营预算支出决算情况说明</w:t>
          </w:r>
          <w:r>
            <w:tab/>
          </w:r>
          <w:r>
            <w:fldChar w:fldCharType="begin"/>
          </w:r>
          <w:r>
            <w:instrText xml:space="preserve"> PAGEREF _Toc2879 \h </w:instrText>
          </w:r>
          <w:r>
            <w:fldChar w:fldCharType="separate"/>
          </w:r>
          <w:r>
            <w:t>12</w:t>
          </w:r>
          <w:r>
            <w:fldChar w:fldCharType="end"/>
          </w:r>
          <w:r>
            <w:fldChar w:fldCharType="end"/>
          </w:r>
        </w:p>
        <w:p>
          <w:pPr>
            <w:pStyle w:val="48"/>
            <w:tabs>
              <w:tab w:val="right" w:leader="dot" w:pos="8845"/>
            </w:tabs>
          </w:pPr>
          <w:r>
            <w:fldChar w:fldCharType="begin"/>
          </w:r>
          <w:r>
            <w:instrText xml:space="preserve"> HYPERLINK \l _Toc27625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_Toc27625 \h </w:instrText>
          </w:r>
          <w:r>
            <w:fldChar w:fldCharType="separate"/>
          </w:r>
          <w:r>
            <w:t>12</w:t>
          </w:r>
          <w:r>
            <w:fldChar w:fldCharType="end"/>
          </w:r>
          <w:r>
            <w:fldChar w:fldCharType="end"/>
          </w:r>
        </w:p>
        <w:p>
          <w:pPr>
            <w:pStyle w:val="49"/>
            <w:tabs>
              <w:tab w:val="right" w:leader="dot" w:pos="8845"/>
            </w:tabs>
          </w:pPr>
          <w:r>
            <w:fldChar w:fldCharType="begin"/>
          </w:r>
          <w:r>
            <w:instrText xml:space="preserve"> HYPERLINK \l _Toc29614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_Toc29614 \h </w:instrText>
          </w:r>
          <w:r>
            <w:fldChar w:fldCharType="separate"/>
          </w:r>
          <w:r>
            <w:t>12</w:t>
          </w:r>
          <w:r>
            <w:fldChar w:fldCharType="end"/>
          </w:r>
          <w:r>
            <w:fldChar w:fldCharType="end"/>
          </w:r>
        </w:p>
        <w:p>
          <w:pPr>
            <w:pStyle w:val="49"/>
            <w:tabs>
              <w:tab w:val="right" w:leader="dot" w:pos="8845"/>
            </w:tabs>
          </w:pPr>
          <w:r>
            <w:fldChar w:fldCharType="begin"/>
          </w:r>
          <w:r>
            <w:instrText xml:space="preserve"> HYPERLINK \l _Toc1024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_Toc1024 \h </w:instrText>
          </w:r>
          <w:r>
            <w:fldChar w:fldCharType="separate"/>
          </w:r>
          <w:r>
            <w:t>13</w:t>
          </w:r>
          <w:r>
            <w:fldChar w:fldCharType="end"/>
          </w:r>
          <w:r>
            <w:fldChar w:fldCharType="end"/>
          </w:r>
        </w:p>
        <w:p>
          <w:pPr>
            <w:pStyle w:val="49"/>
            <w:tabs>
              <w:tab w:val="right" w:leader="dot" w:pos="8845"/>
            </w:tabs>
          </w:pPr>
          <w:r>
            <w:fldChar w:fldCharType="begin"/>
          </w:r>
          <w:r>
            <w:instrText xml:space="preserve"> HYPERLINK \l _Toc11603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_Toc11603 \h </w:instrText>
          </w:r>
          <w:r>
            <w:fldChar w:fldCharType="separate"/>
          </w:r>
          <w:r>
            <w:t>13</w:t>
          </w:r>
          <w:r>
            <w:fldChar w:fldCharType="end"/>
          </w:r>
          <w:r>
            <w:fldChar w:fldCharType="end"/>
          </w:r>
        </w:p>
        <w:p>
          <w:pPr>
            <w:pStyle w:val="49"/>
            <w:tabs>
              <w:tab w:val="right" w:leader="dot" w:pos="8845"/>
            </w:tabs>
          </w:pPr>
          <w:r>
            <w:fldChar w:fldCharType="begin"/>
          </w:r>
          <w:r>
            <w:instrText xml:space="preserve"> HYPERLINK \l _Toc28402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_Toc28402 \h </w:instrText>
          </w:r>
          <w:r>
            <w:fldChar w:fldCharType="separate"/>
          </w:r>
          <w:r>
            <w:t>13</w:t>
          </w:r>
          <w:r>
            <w:fldChar w:fldCharType="end"/>
          </w:r>
          <w:r>
            <w:fldChar w:fldCharType="end"/>
          </w:r>
        </w:p>
        <w:p>
          <w:pPr>
            <w:pStyle w:val="47"/>
            <w:tabs>
              <w:tab w:val="right" w:leader="dot" w:pos="8845"/>
            </w:tabs>
          </w:pPr>
          <w:r>
            <w:fldChar w:fldCharType="begin"/>
          </w:r>
          <w:r>
            <w:instrText xml:space="preserve"> HYPERLINK \l _Toc32514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_Toc32514 \h </w:instrText>
          </w:r>
          <w:r>
            <w:fldChar w:fldCharType="separate"/>
          </w:r>
          <w:r>
            <w:t>14</w:t>
          </w:r>
          <w:r>
            <w:fldChar w:fldCharType="end"/>
          </w:r>
          <w:r>
            <w:fldChar w:fldCharType="end"/>
          </w:r>
        </w:p>
        <w:p>
          <w:pPr>
            <w:pStyle w:val="47"/>
            <w:tabs>
              <w:tab w:val="right" w:leader="dot" w:pos="8845"/>
            </w:tabs>
          </w:pPr>
          <w:r>
            <w:fldChar w:fldCharType="begin"/>
          </w:r>
          <w:r>
            <w:instrText xml:space="preserve"> HYPERLINK \l _Toc14245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_Toc14245 \h </w:instrText>
          </w:r>
          <w:r>
            <w:fldChar w:fldCharType="separate"/>
          </w:r>
          <w:r>
            <w:t>17</w:t>
          </w:r>
          <w:r>
            <w:fldChar w:fldCharType="end"/>
          </w:r>
          <w:r>
            <w:fldChar w:fldCharType="end"/>
          </w:r>
        </w:p>
        <w:p>
          <w:pPr>
            <w:pStyle w:val="47"/>
            <w:tabs>
              <w:tab w:val="right" w:leader="dot" w:pos="8845"/>
            </w:tabs>
          </w:pPr>
          <w:r>
            <w:fldChar w:fldCharType="begin"/>
          </w:r>
          <w:r>
            <w:instrText xml:space="preserve"> HYPERLINK \l _Toc14386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_Toc14386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_Toc13094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_Toc13094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_Toc8357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_Toc8357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_Toc28232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_Toc28232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_Toc28525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_Toc28525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_Toc26755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_Toc26755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_Toc6055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_Toc6055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_Toc19255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_Toc19255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_Toc32001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_Toc32001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_Toc5097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_Toc5097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_Toc21839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_Toc21839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_Toc7666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_Toc7666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_Toc32758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_Toc32758 \h </w:instrText>
          </w:r>
          <w:r>
            <w:fldChar w:fldCharType="separate"/>
          </w:r>
          <w:r>
            <w:t>87</w:t>
          </w:r>
          <w:r>
            <w:fldChar w:fldCharType="end"/>
          </w:r>
          <w:r>
            <w:fldChar w:fldCharType="end"/>
          </w:r>
        </w:p>
        <w:p>
          <w:pPr>
            <w:pStyle w:val="48"/>
            <w:tabs>
              <w:tab w:val="right" w:leader="dot" w:pos="8845"/>
            </w:tabs>
          </w:pPr>
          <w:r>
            <w:fldChar w:fldCharType="begin"/>
          </w:r>
          <w:r>
            <w:instrText xml:space="preserve"> HYPERLINK \l _Toc16079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_Toc16079 \h </w:instrText>
          </w:r>
          <w:r>
            <w:fldChar w:fldCharType="separate"/>
          </w:r>
          <w:r>
            <w:t>87</w:t>
          </w:r>
          <w:r>
            <w:fldChar w:fldCharType="end"/>
          </w:r>
          <w:r>
            <w:fldChar w:fldCharType="end"/>
          </w:r>
        </w:p>
        <w:p>
          <w:r>
            <w:fldChar w:fldCharType="end"/>
          </w:r>
        </w:p>
      </w:sdtContent>
    </w:sdt>
    <w:p>
      <w:pPr>
        <w:pStyle w:val="3"/>
        <w:jc w:val="center"/>
        <w:rPr>
          <w:rStyle w:val="32"/>
          <w:rFonts w:ascii="黑体" w:hAnsi="黑体" w:eastAsia="黑体"/>
          <w:b/>
          <w:bCs w:val="0"/>
          <w:color w:val="auto"/>
          <w:highlight w:val="none"/>
        </w:rPr>
      </w:pPr>
      <w:bookmarkStart w:id="17" w:name="_Toc21333"/>
      <w:r>
        <w:rPr>
          <w:rFonts w:hint="eastAsia" w:ascii="黑体" w:hAnsi="黑体" w:eastAsia="黑体"/>
          <w:b w:val="0"/>
          <w:color w:val="auto"/>
          <w:highlight w:val="none"/>
        </w:rPr>
        <w:t xml:space="preserve">第一部分 </w:t>
      </w:r>
      <w:r>
        <w:rPr>
          <w:rStyle w:val="32"/>
          <w:rFonts w:hint="eastAsia" w:ascii="黑体" w:hAnsi="黑体" w:eastAsia="黑体"/>
          <w:b w:val="0"/>
          <w:bCs w:val="0"/>
          <w:color w:val="auto"/>
          <w:highlight w:val="none"/>
        </w:rPr>
        <w:t>部门概况</w:t>
      </w:r>
      <w:bookmarkEnd w:id="15"/>
      <w:bookmarkEnd w:id="16"/>
      <w:bookmarkEnd w:id="17"/>
    </w:p>
    <w:p>
      <w:pPr>
        <w:widowControl/>
        <w:jc w:val="left"/>
        <w:rPr>
          <w:rFonts w:ascii="黑体" w:eastAsia="黑体"/>
          <w:color w:val="auto"/>
          <w:sz w:val="32"/>
          <w:szCs w:val="32"/>
          <w:highlight w:val="none"/>
        </w:rPr>
      </w:pPr>
    </w:p>
    <w:p>
      <w:pPr>
        <w:pStyle w:val="4"/>
        <w:numPr>
          <w:ilvl w:val="0"/>
          <w:numId w:val="1"/>
        </w:numPr>
        <w:rPr>
          <w:rFonts w:hint="eastAsia" w:ascii="黑体" w:hAnsi="黑体" w:eastAsia="黑体"/>
          <w:b w:val="0"/>
          <w:color w:val="auto"/>
          <w:highlight w:val="none"/>
          <w:lang w:eastAsia="zh-CN"/>
        </w:rPr>
      </w:pPr>
      <w:bookmarkStart w:id="18" w:name="_Toc30830"/>
      <w:r>
        <w:rPr>
          <w:rFonts w:hint="eastAsia" w:ascii="黑体" w:hAnsi="黑体" w:eastAsia="黑体"/>
          <w:b w:val="0"/>
          <w:color w:val="auto"/>
          <w:highlight w:val="none"/>
          <w:lang w:eastAsia="zh-CN"/>
        </w:rPr>
        <w:t>部门职责</w:t>
      </w:r>
      <w:bookmarkEnd w:id="18"/>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1、依据党的路线、方针、政策和国家的法律、法规，负责受理、交办、转送信访人提出的信访事项。</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2、承办区委、区政府和上级机关转办、交办的信访事项。</w:t>
      </w:r>
    </w:p>
    <w:p>
      <w:pPr>
        <w:keepNext w:val="0"/>
        <w:keepLines w:val="0"/>
        <w:widowControl w:val="0"/>
        <w:suppressLineNumbers w:val="0"/>
        <w:spacing w:before="0" w:beforeAutospacing="0" w:after="0" w:afterAutospacing="0" w:line="576" w:lineRule="exact"/>
        <w:ind w:right="0" w:firstLine="640" w:firstLineChars="20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3、负责向各乡镇和区级机关各部门转办、交办信访事项，并督促、检查办理情况。</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4、直接调查处理、组织或参与协调信访有关的信访问题，负责信访有关的复查。</w:t>
      </w:r>
    </w:p>
    <w:p>
      <w:pPr>
        <w:keepNext w:val="0"/>
        <w:keepLines w:val="0"/>
        <w:widowControl w:val="0"/>
        <w:suppressLineNumbers w:val="0"/>
        <w:spacing w:before="0" w:beforeAutospacing="0" w:after="0" w:afterAutospacing="0" w:line="576" w:lineRule="exact"/>
        <w:ind w:right="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 xml:space="preserve">    5、负责全区信访法规的宣传教育。</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6、研究、分析信访情况，开展调查研究，及时向区委、区政府提出完善政策和解决改进工作的建议。</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7、负责信访干部队伍建设，组织培训信访工作人员。</w:t>
      </w:r>
    </w:p>
    <w:p>
      <w:pPr>
        <w:keepNext w:val="0"/>
        <w:keepLines w:val="0"/>
        <w:widowControl w:val="0"/>
        <w:suppressLineNumbers w:val="0"/>
        <w:spacing w:before="0" w:beforeAutospacing="0" w:after="0" w:afterAutospacing="0" w:line="576" w:lineRule="exact"/>
        <w:ind w:right="0"/>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 xml:space="preserve">    8、负责区信访工作领导小组办公室和区处理信访突出问题及群体性事件联席会议办公室的日常工作，完成领导小组和联席会议交办的工作任务。</w:t>
      </w:r>
    </w:p>
    <w:p>
      <w:pPr>
        <w:keepNext w:val="0"/>
        <w:keepLines w:val="0"/>
        <w:widowControl w:val="0"/>
        <w:suppressLineNumbers w:val="0"/>
        <w:spacing w:before="0" w:beforeAutospacing="0" w:after="0" w:afterAutospacing="0" w:line="576" w:lineRule="exact"/>
        <w:ind w:left="0" w:right="0" w:firstLine="642"/>
        <w:jc w:val="both"/>
        <w:rPr>
          <w:rFonts w:hint="eastAsia" w:ascii="仿宋" w:hAnsi="仿宋" w:eastAsia="仿宋" w:cs="Times New Roman"/>
          <w:bCs/>
          <w:kern w:val="0"/>
          <w:sz w:val="32"/>
          <w:szCs w:val="32"/>
          <w:lang w:val="en-US" w:eastAsia="zh-CN" w:bidi="ar-SA"/>
        </w:rPr>
      </w:pPr>
      <w:r>
        <w:rPr>
          <w:rFonts w:hint="eastAsia" w:ascii="仿宋" w:hAnsi="仿宋" w:eastAsia="仿宋" w:cs="Times New Roman"/>
          <w:bCs/>
          <w:kern w:val="0"/>
          <w:sz w:val="32"/>
          <w:szCs w:val="32"/>
          <w:lang w:val="en-US" w:eastAsia="zh-CN" w:bidi="ar-SA"/>
        </w:rPr>
        <w:t>9、对各乡镇、区级各部门的信访工作进行指导。</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 w:hAnsi="仿宋" w:eastAsia="仿宋" w:cs="Times New Roman"/>
          <w:bCs/>
          <w:kern w:val="0"/>
          <w:sz w:val="32"/>
          <w:szCs w:val="32"/>
          <w:lang w:val="en-US" w:eastAsia="zh-CN" w:bidi="ar-SA"/>
        </w:rPr>
        <w:t>10、负责承办12345政务服务热线平台相关工作。</w:t>
      </w:r>
    </w:p>
    <w:p>
      <w:pPr>
        <w:pStyle w:val="4"/>
        <w:rPr>
          <w:rStyle w:val="33"/>
          <w:b w:val="0"/>
          <w:bCs w:val="0"/>
          <w:color w:val="auto"/>
          <w:highlight w:val="none"/>
        </w:rPr>
      </w:pPr>
      <w:bookmarkStart w:id="19" w:name="_Toc15396601"/>
      <w:bookmarkStart w:id="20" w:name="_Toc15377200"/>
      <w:bookmarkStart w:id="21" w:name="_Toc27017"/>
      <w:r>
        <w:rPr>
          <w:rFonts w:hint="eastAsia" w:ascii="黑体" w:eastAsia="黑体"/>
          <w:b w:val="0"/>
          <w:color w:val="auto"/>
          <w:highlight w:val="none"/>
        </w:rPr>
        <w:t>二、</w:t>
      </w:r>
      <w:r>
        <w:rPr>
          <w:rFonts w:hint="eastAsia" w:ascii="黑体" w:hAnsi="黑体" w:eastAsia="黑体"/>
          <w:b w:val="0"/>
          <w:color w:val="auto"/>
          <w:highlight w:val="none"/>
        </w:rPr>
        <w:t>机</w:t>
      </w:r>
      <w:r>
        <w:rPr>
          <w:rStyle w:val="33"/>
          <w:rFonts w:hint="eastAsia" w:ascii="黑体" w:hAnsi="黑体" w:eastAsia="黑体"/>
          <w:b w:val="0"/>
          <w:bCs w:val="0"/>
          <w:color w:val="auto"/>
          <w:highlight w:val="none"/>
        </w:rPr>
        <w:t>构设置</w:t>
      </w:r>
      <w:bookmarkEnd w:id="19"/>
      <w:bookmarkEnd w:id="20"/>
      <w:bookmarkEnd w:id="21"/>
    </w:p>
    <w:p>
      <w:pPr>
        <w:pStyle w:val="22"/>
        <w:numPr>
          <w:ilvl w:val="4"/>
          <w:numId w:val="0"/>
        </w:numPr>
        <w:ind w:firstLine="640" w:firstLineChars="200"/>
        <w:rPr>
          <w:rFonts w:hint="eastAsia" w:ascii="仿宋" w:hAnsi="仿宋" w:eastAsia="仿宋" w:cs="Times New Roman"/>
          <w:b w:val="0"/>
          <w:bCs/>
          <w:kern w:val="0"/>
          <w:sz w:val="32"/>
          <w:szCs w:val="32"/>
          <w:lang w:val="en-US" w:eastAsia="zh-CN" w:bidi="ar-SA"/>
        </w:rPr>
      </w:pPr>
      <w:r>
        <w:rPr>
          <w:rFonts w:hint="eastAsia" w:ascii="仿宋" w:hAnsi="仿宋" w:eastAsia="仿宋" w:cs="Times New Roman"/>
          <w:b w:val="0"/>
          <w:bCs/>
          <w:kern w:val="0"/>
          <w:sz w:val="32"/>
          <w:szCs w:val="32"/>
          <w:lang w:val="en-US" w:eastAsia="zh-CN" w:bidi="ar-SA"/>
        </w:rPr>
        <w:t>内设6个股室，分别是局办公室、宣教督办股、排查调处股、区委书记、区长信箱管理办公室、12345政务服务热线办理办公室。下属一个事业单位区群众来访接待中心。</w:t>
      </w:r>
      <w:r>
        <w:rPr>
          <w:rFonts w:hint="eastAsia" w:ascii="仿宋" w:hAnsi="仿宋" w:eastAsia="仿宋" w:cs="Times New Roman"/>
          <w:b w:val="0"/>
          <w:bCs/>
          <w:color w:val="000000" w:themeColor="text1"/>
          <w:kern w:val="0"/>
          <w:sz w:val="32"/>
          <w:szCs w:val="32"/>
          <w:lang w:val="en-US" w:eastAsia="zh-CN" w:bidi="ar-SA"/>
          <w14:textFill>
            <w14:solidFill>
              <w14:schemeClr w14:val="tx1"/>
            </w14:solidFill>
          </w14:textFill>
        </w:rPr>
        <w:t>2022年编制数14名，其中：行政编制7人，机关工勤人员1人，事业编制6人。2022年底实有在职人员14人,其中：行政人员7人，事业人员6</w:t>
      </w:r>
      <w:r>
        <w:rPr>
          <w:rFonts w:hint="eastAsia" w:ascii="仿宋" w:hAnsi="仿宋" w:eastAsia="仿宋" w:cs="Times New Roman"/>
          <w:b w:val="0"/>
          <w:bCs/>
          <w:kern w:val="0"/>
          <w:sz w:val="32"/>
          <w:szCs w:val="32"/>
          <w:lang w:val="en-US" w:eastAsia="zh-CN" w:bidi="ar-SA"/>
        </w:rPr>
        <w:t>人，机关工勤人员1人。另财政定额补助人员3人。</w:t>
      </w:r>
    </w:p>
    <w:p>
      <w:pPr>
        <w:keepNext w:val="0"/>
        <w:keepLines w:val="0"/>
        <w:widowControl/>
        <w:suppressLineNumbers w:val="0"/>
        <w:ind w:firstLine="640" w:firstLineChars="200"/>
        <w:jc w:val="left"/>
        <w:rPr>
          <w:rFonts w:hint="eastAsia" w:ascii="仿宋" w:hAnsi="仿宋" w:eastAsia="仿宋" w:cs="Times New Roman"/>
          <w:b w:val="0"/>
          <w:bCs/>
          <w:kern w:val="0"/>
          <w:sz w:val="32"/>
          <w:szCs w:val="32"/>
          <w:lang w:val="en-US" w:eastAsia="zh-CN" w:bidi="ar-SA"/>
        </w:rPr>
      </w:pPr>
      <w:r>
        <w:rPr>
          <w:rFonts w:hint="eastAsia" w:ascii="仿宋" w:hAnsi="仿宋" w:eastAsia="仿宋" w:cs="Times New Roman"/>
          <w:b w:val="0"/>
          <w:bCs/>
          <w:kern w:val="0"/>
          <w:sz w:val="32"/>
          <w:szCs w:val="32"/>
          <w:lang w:val="en-US" w:eastAsia="zh-CN" w:bidi="ar-SA"/>
        </w:rPr>
        <w:t>纳入2022年度部门决算编制范围的二级预算单位:无</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32"/>
          <w:rFonts w:ascii="黑体" w:hAnsi="黑体" w:eastAsia="黑体"/>
          <w:b w:val="0"/>
          <w:bCs/>
          <w:color w:val="auto"/>
          <w:highlight w:val="none"/>
        </w:rPr>
      </w:pPr>
      <w:bookmarkStart w:id="22" w:name="_Toc15396602"/>
      <w:bookmarkStart w:id="23" w:name="_Toc15377204"/>
      <w:bookmarkStart w:id="24" w:name="_Toc29427"/>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2"/>
          <w:rFonts w:hint="eastAsia" w:ascii="黑体" w:hAnsi="黑体" w:eastAsia="黑体"/>
          <w:b w:val="0"/>
          <w:bCs/>
          <w:color w:val="auto"/>
          <w:highlight w:val="none"/>
        </w:rPr>
        <w:t>部门决算情况说明</w:t>
      </w:r>
      <w:bookmarkEnd w:id="22"/>
      <w:bookmarkEnd w:id="23"/>
      <w:bookmarkEnd w:id="24"/>
    </w:p>
    <w:p>
      <w:pPr>
        <w:rPr>
          <w:color w:val="auto"/>
          <w:highlight w:val="none"/>
        </w:rPr>
      </w:pPr>
    </w:p>
    <w:p>
      <w:pPr>
        <w:pStyle w:val="31"/>
        <w:numPr>
          <w:ilvl w:val="0"/>
          <w:numId w:val="2"/>
        </w:numPr>
        <w:spacing w:line="600" w:lineRule="exact"/>
        <w:ind w:firstLineChars="0"/>
        <w:outlineLvl w:val="1"/>
        <w:rPr>
          <w:rStyle w:val="33"/>
          <w:rFonts w:ascii="黑体" w:hAnsi="黑体" w:eastAsia="黑体"/>
          <w:b w:val="0"/>
          <w:color w:val="auto"/>
          <w:highlight w:val="none"/>
        </w:rPr>
      </w:pPr>
      <w:bookmarkStart w:id="25" w:name="_Toc15377205"/>
      <w:bookmarkStart w:id="26" w:name="_Toc15396603"/>
      <w:bookmarkStart w:id="27" w:name="_Toc1715"/>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入支出决算总体情况说明</w:t>
      </w:r>
      <w:bookmarkEnd w:id="25"/>
      <w:bookmarkEnd w:id="26"/>
      <w:bookmarkEnd w:id="2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344.57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（分别为</w:t>
      </w:r>
      <w:r>
        <w:rPr>
          <w:rFonts w:hint="eastAsia" w:ascii="仿宋" w:hAnsi="仿宋" w:eastAsia="仿宋"/>
          <w:color w:val="auto"/>
          <w:sz w:val="32"/>
          <w:szCs w:val="32"/>
          <w:highlight w:val="none"/>
          <w:lang w:val="en-US" w:eastAsia="zh-CN"/>
        </w:rPr>
        <w:t>284.02万元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各增加</w:t>
      </w:r>
      <w:r>
        <w:rPr>
          <w:rFonts w:hint="eastAsia" w:ascii="仿宋" w:hAnsi="仿宋" w:eastAsia="仿宋"/>
          <w:color w:val="auto"/>
          <w:sz w:val="32"/>
          <w:szCs w:val="32"/>
          <w:highlight w:val="none"/>
          <w:lang w:val="en-US" w:eastAsia="zh-CN"/>
        </w:rPr>
        <w:t>60.55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21.32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：人员经费、项目经费增加。</w:t>
      </w:r>
    </w:p>
    <w:p>
      <w:pPr>
        <w:spacing w:line="600" w:lineRule="exact"/>
        <w:ind w:firstLine="640" w:firstLineChars="200"/>
        <w:rPr>
          <w:rFonts w:hint="eastAsia"/>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19685</wp:posOffset>
            </wp:positionH>
            <wp:positionV relativeFrom="paragraph">
              <wp:posOffset>47625</wp:posOffset>
            </wp:positionV>
            <wp:extent cx="5607050" cy="3819525"/>
            <wp:effectExtent l="4445" t="4445" r="12065" b="16510"/>
            <wp:wrapTight wrapText="bothSides">
              <wp:wrapPolygon>
                <wp:start x="-17" y="-25"/>
                <wp:lineTo x="-17" y="21521"/>
                <wp:lineTo x="21588" y="21521"/>
                <wp:lineTo x="21588" y="-25"/>
                <wp:lineTo x="-17" y="-25"/>
              </wp:wrapPolygon>
            </wp:wrapTight>
            <wp:docPr id="4" name="图表 4" title="收、支决算总计变动情况图                 （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1"/>
        <w:numPr>
          <w:ilvl w:val="0"/>
          <w:numId w:val="2"/>
        </w:numPr>
        <w:spacing w:line="600" w:lineRule="exact"/>
        <w:ind w:firstLineChars="0"/>
        <w:outlineLvl w:val="1"/>
        <w:rPr>
          <w:rStyle w:val="33"/>
          <w:rFonts w:ascii="黑体" w:hAnsi="黑体" w:eastAsia="黑体"/>
          <w:b w:val="0"/>
          <w:color w:val="auto"/>
          <w:highlight w:val="none"/>
        </w:rPr>
      </w:pPr>
      <w:bookmarkStart w:id="28" w:name="_Toc15377206"/>
      <w:bookmarkStart w:id="29" w:name="_Toc15396604"/>
      <w:bookmarkStart w:id="30" w:name="_Toc10475"/>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入决算情况说明</w:t>
      </w:r>
      <w:bookmarkEnd w:id="28"/>
      <w:bookmarkEnd w:id="29"/>
      <w:bookmarkEnd w:id="30"/>
    </w:p>
    <w:p>
      <w:pPr>
        <w:spacing w:line="600" w:lineRule="exact"/>
        <w:ind w:firstLine="640" w:firstLineChars="200"/>
        <w:outlineLvl w:val="1"/>
        <w:rPr>
          <w:rFonts w:ascii="仿宋" w:hAnsi="仿宋" w:eastAsia="仿宋"/>
          <w:color w:val="auto"/>
          <w:sz w:val="32"/>
          <w:szCs w:val="32"/>
          <w:highlight w:val="none"/>
        </w:rPr>
      </w:pPr>
      <w:bookmarkStart w:id="31" w:name="_Toc858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344.57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342.4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99.37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2.17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1"/>
    </w:p>
    <w:p>
      <w:pPr>
        <w:spacing w:line="600" w:lineRule="exact"/>
        <w:jc w:val="center"/>
        <w:outlineLvl w:val="1"/>
        <w:rPr>
          <w:rFonts w:ascii="仿宋" w:hAnsi="仿宋" w:eastAsia="仿宋"/>
          <w:color w:val="auto"/>
          <w:sz w:val="32"/>
          <w:szCs w:val="32"/>
          <w:highlight w:val="none"/>
        </w:rPr>
      </w:pPr>
      <w:bookmarkStart w:id="32" w:name="_Toc29409"/>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-6985</wp:posOffset>
            </wp:positionH>
            <wp:positionV relativeFrom="paragraph">
              <wp:posOffset>531495</wp:posOffset>
            </wp:positionV>
            <wp:extent cx="5575300" cy="2897505"/>
            <wp:effectExtent l="4445" t="4445" r="13335" b="39370"/>
            <wp:wrapSquare wrapText="bothSides"/>
            <wp:docPr id="7" name="图表 7" descr="7b0a202020202263686172745265734964223a2022323033323730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bookmarkEnd w:id="32"/>
    </w:p>
    <w:p>
      <w:pPr>
        <w:pStyle w:val="31"/>
        <w:numPr>
          <w:ilvl w:val="0"/>
          <w:numId w:val="2"/>
        </w:numPr>
        <w:spacing w:line="600" w:lineRule="exact"/>
        <w:ind w:firstLineChars="0"/>
        <w:outlineLvl w:val="1"/>
        <w:rPr>
          <w:rStyle w:val="33"/>
          <w:rFonts w:ascii="黑体" w:hAnsi="黑体" w:eastAsia="黑体"/>
          <w:b w:val="0"/>
          <w:color w:val="auto"/>
          <w:highlight w:val="none"/>
        </w:rPr>
      </w:pPr>
      <w:bookmarkStart w:id="33" w:name="_Toc15377207"/>
      <w:bookmarkStart w:id="34" w:name="_Toc15396605"/>
      <w:bookmarkStart w:id="35" w:name="_Toc637"/>
      <w:r>
        <w:rPr>
          <w:rFonts w:hint="eastAsia" w:ascii="黑体" w:hAnsi="黑体" w:eastAsia="黑体"/>
          <w:color w:val="auto"/>
          <w:sz w:val="32"/>
          <w:szCs w:val="32"/>
          <w:highlight w:val="none"/>
        </w:rPr>
        <w:t>支</w:t>
      </w:r>
      <w:r>
        <w:rPr>
          <w:rStyle w:val="33"/>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344.57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243.89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70.78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100.68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124460</wp:posOffset>
            </wp:positionH>
            <wp:positionV relativeFrom="paragraph">
              <wp:posOffset>629920</wp:posOffset>
            </wp:positionV>
            <wp:extent cx="5575300" cy="2814320"/>
            <wp:effectExtent l="4445" t="4445" r="13335" b="46355"/>
            <wp:wrapSquare wrapText="bothSides"/>
            <wp:docPr id="10" name="图表 10" descr="7b0a202020202263686172745265734964223a2022323033323730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3"/>
          <w:rFonts w:ascii="黑体" w:hAnsi="黑体" w:eastAsia="黑体"/>
          <w:b w:val="0"/>
          <w:color w:val="auto"/>
          <w:highlight w:val="none"/>
        </w:rPr>
      </w:pPr>
      <w:bookmarkStart w:id="36" w:name="_Toc15396606"/>
      <w:bookmarkStart w:id="37" w:name="_Toc15377208"/>
      <w:bookmarkStart w:id="38" w:name="_Toc26896"/>
      <w:r>
        <w:rPr>
          <w:rFonts w:hint="eastAsia" w:ascii="黑体" w:hAnsi="黑体" w:eastAsia="黑体"/>
          <w:color w:val="auto"/>
          <w:sz w:val="32"/>
          <w:szCs w:val="32"/>
          <w:highlight w:val="none"/>
        </w:rPr>
        <w:t>四、财</w:t>
      </w:r>
      <w:r>
        <w:rPr>
          <w:rStyle w:val="33"/>
          <w:rFonts w:hint="eastAsia" w:ascii="黑体" w:hAnsi="黑体" w:eastAsia="黑体"/>
          <w:b w:val="0"/>
          <w:color w:val="auto"/>
          <w:highlight w:val="none"/>
        </w:rPr>
        <w:t>政拨款收入支出决算总体情况说明</w:t>
      </w:r>
      <w:bookmarkEnd w:id="36"/>
      <w:bookmarkEnd w:id="37"/>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342.4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w:t>
      </w:r>
      <w:r>
        <w:rPr>
          <w:rFonts w:hint="eastAsia" w:ascii="仿宋" w:hAnsi="仿宋" w:eastAsia="仿宋"/>
          <w:color w:val="auto"/>
          <w:sz w:val="32"/>
          <w:szCs w:val="32"/>
          <w:highlight w:val="none"/>
          <w:lang w:eastAsia="zh-CN"/>
        </w:rPr>
        <w:t>（分别为</w:t>
      </w:r>
      <w:r>
        <w:rPr>
          <w:rFonts w:hint="eastAsia" w:ascii="仿宋" w:hAnsi="仿宋" w:eastAsia="仿宋"/>
          <w:color w:val="auto"/>
          <w:sz w:val="32"/>
          <w:szCs w:val="32"/>
          <w:highlight w:val="none"/>
          <w:lang w:val="en-US" w:eastAsia="zh-CN"/>
        </w:rPr>
        <w:t>284.02</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各增加</w:t>
      </w:r>
      <w:r>
        <w:rPr>
          <w:rFonts w:hint="eastAsia" w:ascii="仿宋" w:hAnsi="仿宋" w:eastAsia="仿宋"/>
          <w:color w:val="auto"/>
          <w:sz w:val="32"/>
          <w:szCs w:val="32"/>
          <w:highlight w:val="none"/>
          <w:lang w:val="en-US" w:eastAsia="zh-CN"/>
        </w:rPr>
        <w:t>58.38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20.55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：人员经费、项目经费增加。</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1" locked="0" layoutInCell="1" allowOverlap="1">
            <wp:simplePos x="0" y="0"/>
            <wp:positionH relativeFrom="column">
              <wp:posOffset>56515</wp:posOffset>
            </wp:positionH>
            <wp:positionV relativeFrom="paragraph">
              <wp:posOffset>410845</wp:posOffset>
            </wp:positionV>
            <wp:extent cx="5583555" cy="3924935"/>
            <wp:effectExtent l="4445" t="4445" r="5080" b="17780"/>
            <wp:wrapTight wrapText="bothSides">
              <wp:wrapPolygon>
                <wp:start x="-17" y="-24"/>
                <wp:lineTo x="-17" y="21530"/>
                <wp:lineTo x="21561" y="21530"/>
                <wp:lineTo x="21561" y="-24"/>
                <wp:lineTo x="-17" y="-24"/>
              </wp:wrapPolygon>
            </wp:wrapTight>
            <wp:docPr id="11" name="图表 11" title="收、支决算总计变动情况图                 （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33"/>
          <w:rFonts w:ascii="黑体" w:hAnsi="黑体" w:eastAsia="黑体"/>
          <w:b w:val="0"/>
          <w:color w:val="auto"/>
          <w:highlight w:val="none"/>
        </w:rPr>
      </w:pPr>
      <w:bookmarkStart w:id="39" w:name="_Toc15377209"/>
      <w:bookmarkStart w:id="40" w:name="_Toc15396607"/>
      <w:bookmarkStart w:id="41" w:name="_Toc2145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般公共预算财政拨款支出决算情况说明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b/>
          <w:color w:val="auto"/>
          <w:sz w:val="32"/>
          <w:szCs w:val="32"/>
          <w:highlight w:val="none"/>
        </w:rPr>
      </w:pPr>
      <w:bookmarkStart w:id="42" w:name="_Toc15377210"/>
      <w:bookmarkStart w:id="43" w:name="_Toc23573"/>
      <w:r>
        <w:rPr>
          <w:rFonts w:hint="eastAsia" w:ascii="仿宋" w:hAnsi="仿宋" w:eastAsia="仿宋"/>
          <w:b/>
          <w:color w:val="auto"/>
          <w:sz w:val="32"/>
          <w:szCs w:val="32"/>
          <w:highlight w:val="none"/>
        </w:rPr>
        <w:t>（一）一般公共预算财政拨款支出决算总体情况</w:t>
      </w:r>
      <w:bookmarkEnd w:id="42"/>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342.4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58.38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20.55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：人员经费、项目经费增加。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 w:hAnsi="仿宋" w:eastAsia="仿宋"/>
          <w:b/>
          <w:color w:val="auto"/>
          <w:sz w:val="32"/>
          <w:szCs w:val="32"/>
          <w:highlight w:val="none"/>
        </w:rPr>
      </w:pPr>
      <w:bookmarkStart w:id="44" w:name="_Toc15377211"/>
      <w:bookmarkStart w:id="45" w:name="_Toc15842"/>
      <w:r>
        <w:rPr>
          <w:rFonts w:hint="eastAsia" w:ascii="仿宋" w:hAnsi="仿宋" w:eastAsia="仿宋"/>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-19050</wp:posOffset>
            </wp:positionH>
            <wp:positionV relativeFrom="paragraph">
              <wp:posOffset>86995</wp:posOffset>
            </wp:positionV>
            <wp:extent cx="5583555" cy="3821430"/>
            <wp:effectExtent l="4445" t="4445" r="5080" b="14605"/>
            <wp:wrapTight wrapText="bothSides">
              <wp:wrapPolygon>
                <wp:start x="-17" y="-25"/>
                <wp:lineTo x="-17" y="21510"/>
                <wp:lineTo x="21561" y="21510"/>
                <wp:lineTo x="21561" y="-25"/>
                <wp:lineTo x="-17" y="-25"/>
              </wp:wrapPolygon>
            </wp:wrapTight>
            <wp:docPr id="1" name="图表 1" title="收、支决算总计变动情况图                 （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（二）一般公共预算财政拨款支出决算结构情况</w:t>
      </w:r>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342.4</w:t>
      </w:r>
      <w:r>
        <w:rPr>
          <w:rFonts w:hint="eastAsia" w:ascii="仿宋" w:hAnsi="仿宋" w:eastAsia="仿宋"/>
          <w:color w:val="auto"/>
          <w:sz w:val="32"/>
          <w:szCs w:val="32"/>
          <w:highlight w:val="none"/>
        </w:rPr>
        <w:t>万元，主要用于以下方面:一般公共服务支出</w:t>
      </w:r>
      <w:r>
        <w:rPr>
          <w:rFonts w:hint="eastAsia" w:ascii="仿宋" w:hAnsi="仿宋" w:eastAsia="仿宋"/>
          <w:color w:val="auto"/>
          <w:sz w:val="32"/>
          <w:szCs w:val="32"/>
          <w:highlight w:val="none"/>
          <w:lang w:val="en-US" w:eastAsia="zh-CN"/>
        </w:rPr>
        <w:t>292.05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85.3</w:t>
      </w:r>
      <w:r>
        <w:rPr>
          <w:rFonts w:hint="eastAsia" w:ascii="仿宋" w:hAnsi="仿宋" w:eastAsia="仿宋"/>
          <w:color w:val="auto"/>
          <w:sz w:val="32"/>
          <w:szCs w:val="32"/>
          <w:highlight w:val="none"/>
        </w:rPr>
        <w:t>%；社会保障和就业支出</w:t>
      </w:r>
      <w:r>
        <w:rPr>
          <w:rFonts w:hint="eastAsia" w:ascii="仿宋" w:hAnsi="仿宋" w:eastAsia="仿宋"/>
          <w:color w:val="auto"/>
          <w:sz w:val="32"/>
          <w:szCs w:val="32"/>
          <w:highlight w:val="none"/>
          <w:lang w:val="en-US" w:eastAsia="zh-CN"/>
        </w:rPr>
        <w:t>20.28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5.92</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lang w:val="en-US" w:eastAsia="zh-CN"/>
        </w:rPr>
        <w:t>10.47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3.06</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19.6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5.72</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outlineLvl w:val="2"/>
        <w:rPr>
          <w:rFonts w:ascii="仿宋" w:hAnsi="仿宋" w:eastAsia="仿宋"/>
          <w:b/>
          <w:color w:val="auto"/>
          <w:sz w:val="32"/>
          <w:szCs w:val="32"/>
          <w:highlight w:val="none"/>
        </w:rPr>
      </w:pPr>
      <w:bookmarkStart w:id="46" w:name="_Toc15377212"/>
      <w:bookmarkStart w:id="47" w:name="_Toc27676"/>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71120</wp:posOffset>
            </wp:positionH>
            <wp:positionV relativeFrom="paragraph">
              <wp:posOffset>203200</wp:posOffset>
            </wp:positionV>
            <wp:extent cx="5575300" cy="2814320"/>
            <wp:effectExtent l="4445" t="4445" r="13335" b="46355"/>
            <wp:wrapSquare wrapText="bothSides"/>
            <wp:docPr id="8" name="图表 8" descr="7b0a202020202263686172745265734964223a2022323033323730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color w:val="auto"/>
          <w:sz w:val="32"/>
          <w:szCs w:val="32"/>
          <w:highlight w:val="none"/>
        </w:rPr>
        <w:t>（三）一般公共预算财政拨款支出决算具体情况</w:t>
      </w:r>
      <w:bookmarkEnd w:id="46"/>
      <w:bookmarkEnd w:id="47"/>
    </w:p>
    <w:p>
      <w:pPr>
        <w:spacing w:line="600" w:lineRule="exact"/>
        <w:ind w:firstLine="643" w:firstLineChars="200"/>
        <w:outlineLvl w:val="1"/>
        <w:rPr>
          <w:rFonts w:ascii="仿宋" w:hAnsi="仿宋" w:eastAsia="仿宋"/>
          <w:color w:val="auto"/>
          <w:sz w:val="32"/>
          <w:szCs w:val="32"/>
          <w:highlight w:val="none"/>
        </w:rPr>
      </w:pPr>
      <w:bookmarkStart w:id="48" w:name="_Toc15378460"/>
      <w:bookmarkStart w:id="49" w:name="_Toc15377213"/>
      <w:bookmarkStart w:id="50" w:name="_Toc15377444"/>
      <w:bookmarkStart w:id="51" w:name="_Toc2361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342.4万元</w:t>
      </w:r>
      <w:r>
        <w:rPr>
          <w:rFonts w:hint="eastAsia" w:ascii="仿宋" w:hAnsi="仿宋" w:eastAsia="仿宋"/>
          <w:color w:val="auto"/>
          <w:sz w:val="32"/>
          <w:szCs w:val="32"/>
          <w:highlight w:val="none"/>
        </w:rPr>
        <w:t>，</w:t>
      </w:r>
      <w:r>
        <w:rPr>
          <w:rStyle w:val="20"/>
          <w:rFonts w:hint="eastAsia" w:ascii="仿宋" w:hAnsi="仿宋" w:eastAsia="仿宋"/>
          <w:bCs/>
          <w:color w:val="auto"/>
          <w:sz w:val="32"/>
          <w:szCs w:val="32"/>
          <w:highlight w:val="none"/>
        </w:rPr>
        <w:t>完成预算</w:t>
      </w:r>
      <w:r>
        <w:rPr>
          <w:rStyle w:val="20"/>
          <w:rFonts w:hint="eastAsia" w:ascii="仿宋" w:hAnsi="仿宋" w:eastAsia="仿宋"/>
          <w:bCs/>
          <w:color w:val="auto"/>
          <w:sz w:val="32"/>
          <w:szCs w:val="32"/>
          <w:highlight w:val="none"/>
          <w:lang w:val="en-US" w:eastAsia="zh-CN"/>
        </w:rPr>
        <w:t>100</w:t>
      </w:r>
      <w:r>
        <w:rPr>
          <w:rStyle w:val="20"/>
          <w:rFonts w:ascii="仿宋" w:hAnsi="仿宋" w:eastAsia="仿宋"/>
          <w:bCs/>
          <w:color w:val="auto"/>
          <w:sz w:val="32"/>
          <w:szCs w:val="32"/>
          <w:highlight w:val="none"/>
        </w:rPr>
        <w:t>%</w:t>
      </w:r>
      <w:r>
        <w:rPr>
          <w:rStyle w:val="20"/>
          <w:rFonts w:hint="eastAsia" w:ascii="仿宋" w:hAnsi="仿宋" w:eastAsia="仿宋"/>
          <w:bCs/>
          <w:color w:val="auto"/>
          <w:sz w:val="32"/>
          <w:szCs w:val="32"/>
          <w:highlight w:val="none"/>
        </w:rPr>
        <w:t>。其中：</w:t>
      </w:r>
      <w:bookmarkEnd w:id="48"/>
      <w:bookmarkEnd w:id="49"/>
      <w:bookmarkEnd w:id="50"/>
      <w:bookmarkEnd w:id="51"/>
    </w:p>
    <w:p>
      <w:pPr>
        <w:spacing w:line="600" w:lineRule="exact"/>
        <w:ind w:left="0" w:firstLine="643" w:firstLineChars="200"/>
        <w:rPr>
          <w:rFonts w:ascii="仿宋" w:hAnsi="仿宋" w:eastAsia="仿宋"/>
          <w:b/>
          <w:color w:val="auto"/>
          <w:sz w:val="32"/>
          <w:szCs w:val="32"/>
          <w:highlight w:val="none"/>
        </w:rPr>
      </w:pPr>
      <w:r>
        <w:rPr>
          <w:rStyle w:val="20"/>
          <w:rFonts w:ascii="仿宋" w:hAnsi="仿宋" w:eastAsia="仿宋"/>
          <w:bCs/>
          <w:color w:val="auto"/>
          <w:sz w:val="32"/>
          <w:szCs w:val="32"/>
          <w:highlight w:val="none"/>
        </w:rPr>
        <w:t>1.</w:t>
      </w:r>
      <w:r>
        <w:rPr>
          <w:rStyle w:val="20"/>
          <w:rFonts w:hint="eastAsia" w:ascii="仿宋" w:hAnsi="仿宋" w:eastAsia="仿宋"/>
          <w:bCs/>
          <w:color w:val="000000"/>
          <w:sz w:val="32"/>
          <w:szCs w:val="32"/>
        </w:rPr>
        <w:t>一般公共服务（类）政府办公厅（室）及相关机构事务（款）行政运行（项）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125.54</w:t>
      </w:r>
      <w:r>
        <w:rPr>
          <w:rStyle w:val="20"/>
          <w:rFonts w:hint="eastAsia" w:ascii="仿宋" w:hAnsi="仿宋" w:eastAsia="仿宋"/>
          <w:b w:val="0"/>
          <w:bCs/>
          <w:color w:val="auto"/>
          <w:sz w:val="32"/>
          <w:szCs w:val="32"/>
          <w:highlight w:val="none"/>
        </w:rPr>
        <w:t>万元，</w:t>
      </w:r>
      <w:r>
        <w:rPr>
          <w:rStyle w:val="20"/>
          <w:rFonts w:hint="eastAsia" w:ascii="仿宋" w:hAnsi="仿宋" w:eastAsia="仿宋"/>
          <w:b w:val="0"/>
          <w:bCs/>
          <w:color w:val="000000"/>
          <w:sz w:val="32"/>
          <w:szCs w:val="32"/>
        </w:rPr>
        <w:t>完成预算</w:t>
      </w:r>
      <w:r>
        <w:rPr>
          <w:rStyle w:val="20"/>
          <w:rFonts w:hint="eastAsia" w:ascii="宋体" w:hAnsi="宋体" w:eastAsia="仿宋"/>
          <w:b w:val="0"/>
          <w:bCs/>
          <w:color w:val="000000"/>
          <w:sz w:val="32"/>
          <w:szCs w:val="32"/>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left="0" w:firstLine="643" w:firstLineChars="200"/>
        <w:rPr>
          <w:rFonts w:ascii="仿宋" w:hAnsi="仿宋" w:eastAsia="仿宋"/>
          <w:b/>
          <w:color w:val="auto"/>
          <w:sz w:val="32"/>
          <w:szCs w:val="32"/>
          <w:highlight w:val="none"/>
        </w:rPr>
      </w:pPr>
      <w:r>
        <w:rPr>
          <w:rStyle w:val="20"/>
          <w:rFonts w:ascii="仿宋" w:hAnsi="仿宋" w:eastAsia="仿宋"/>
          <w:bCs/>
          <w:color w:val="auto"/>
          <w:sz w:val="32"/>
          <w:szCs w:val="32"/>
          <w:highlight w:val="none"/>
        </w:rPr>
        <w:t>2.</w:t>
      </w:r>
      <w:r>
        <w:rPr>
          <w:rStyle w:val="20"/>
          <w:rFonts w:hint="eastAsia" w:ascii="仿宋" w:hAnsi="仿宋" w:eastAsia="仿宋"/>
          <w:bCs/>
          <w:color w:val="000000"/>
          <w:sz w:val="32"/>
          <w:szCs w:val="32"/>
        </w:rPr>
        <w:t>一般公共服务（类）政府办公厅（室）及相关机构事务（款）一般行政管理事务（项）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19.68</w:t>
      </w:r>
      <w:r>
        <w:rPr>
          <w:rStyle w:val="20"/>
          <w:rFonts w:hint="eastAsia" w:ascii="仿宋" w:hAnsi="仿宋" w:eastAsia="仿宋"/>
          <w:b w:val="0"/>
          <w:bCs/>
          <w:color w:val="auto"/>
          <w:sz w:val="32"/>
          <w:szCs w:val="32"/>
          <w:highlight w:val="none"/>
        </w:rPr>
        <w:t>万元，</w:t>
      </w:r>
      <w:r>
        <w:rPr>
          <w:rStyle w:val="20"/>
          <w:rFonts w:hint="eastAsia" w:ascii="仿宋" w:hAnsi="仿宋" w:eastAsia="仿宋"/>
          <w:b w:val="0"/>
          <w:bCs/>
          <w:color w:val="000000"/>
          <w:sz w:val="32"/>
          <w:szCs w:val="32"/>
        </w:rPr>
        <w:t>完成预算</w:t>
      </w:r>
      <w:r>
        <w:rPr>
          <w:rStyle w:val="20"/>
          <w:rFonts w:hint="eastAsia" w:ascii="宋体" w:hAnsi="宋体" w:eastAsia="仿宋"/>
          <w:b w:val="0"/>
          <w:bCs/>
          <w:color w:val="000000"/>
          <w:sz w:val="32"/>
          <w:szCs w:val="32"/>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left="0" w:firstLine="643" w:firstLineChars="200"/>
        <w:rPr>
          <w:rStyle w:val="20"/>
          <w:rFonts w:ascii="仿宋" w:hAnsi="仿宋" w:eastAsia="仿宋"/>
          <w:b w:val="0"/>
          <w:bCs/>
          <w:color w:val="000000"/>
          <w:sz w:val="32"/>
          <w:szCs w:val="32"/>
        </w:rPr>
      </w:pPr>
      <w:r>
        <w:rPr>
          <w:rStyle w:val="20"/>
          <w:rFonts w:ascii="仿宋" w:hAnsi="仿宋" w:eastAsia="仿宋"/>
          <w:bCs/>
          <w:color w:val="auto"/>
          <w:sz w:val="32"/>
          <w:szCs w:val="32"/>
          <w:highlight w:val="none"/>
        </w:rPr>
        <w:t>3.</w:t>
      </w:r>
      <w:r>
        <w:rPr>
          <w:rStyle w:val="20"/>
          <w:rFonts w:hint="eastAsia" w:ascii="仿宋" w:hAnsi="仿宋" w:eastAsia="仿宋"/>
          <w:bCs/>
          <w:color w:val="000000"/>
          <w:sz w:val="32"/>
          <w:szCs w:val="32"/>
        </w:rPr>
        <w:t>一般公共服务（类）政府办公厅（室）及相关机构事务（款）信访事务（项）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81</w:t>
      </w:r>
      <w:r>
        <w:rPr>
          <w:rStyle w:val="20"/>
          <w:rFonts w:hint="eastAsia" w:ascii="仿宋" w:hAnsi="仿宋" w:eastAsia="仿宋"/>
          <w:b w:val="0"/>
          <w:bCs/>
          <w:color w:val="auto"/>
          <w:sz w:val="32"/>
          <w:szCs w:val="32"/>
          <w:highlight w:val="none"/>
        </w:rPr>
        <w:t>万元，</w:t>
      </w:r>
      <w:r>
        <w:rPr>
          <w:rStyle w:val="20"/>
          <w:rFonts w:hint="eastAsia" w:ascii="仿宋" w:hAnsi="仿宋" w:eastAsia="仿宋"/>
          <w:b w:val="0"/>
          <w:bCs/>
          <w:color w:val="000000"/>
          <w:sz w:val="32"/>
          <w:szCs w:val="32"/>
        </w:rPr>
        <w:t>完成预算</w:t>
      </w:r>
      <w:r>
        <w:rPr>
          <w:rStyle w:val="20"/>
          <w:rFonts w:hint="eastAsia" w:ascii="宋体" w:hAnsi="宋体" w:eastAsia="仿宋"/>
          <w:b w:val="0"/>
          <w:bCs/>
          <w:color w:val="000000"/>
          <w:sz w:val="32"/>
          <w:szCs w:val="32"/>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left="0" w:firstLine="643" w:firstLineChars="200"/>
        <w:rPr>
          <w:rStyle w:val="20"/>
          <w:rFonts w:ascii="仿宋" w:hAnsi="仿宋" w:eastAsia="仿宋"/>
          <w:b w:val="0"/>
          <w:bCs/>
          <w:color w:val="000000"/>
          <w:sz w:val="32"/>
          <w:szCs w:val="32"/>
        </w:rPr>
      </w:pPr>
      <w:r>
        <w:rPr>
          <w:rStyle w:val="20"/>
          <w:rFonts w:hint="eastAsia" w:ascii="仿宋" w:hAnsi="仿宋" w:eastAsia="仿宋"/>
          <w:b/>
          <w:bCs w:val="0"/>
          <w:color w:val="000000"/>
          <w:sz w:val="32"/>
          <w:szCs w:val="32"/>
          <w:lang w:val="en-US" w:eastAsia="zh-CN"/>
        </w:rPr>
        <w:t>4.</w:t>
      </w:r>
      <w:r>
        <w:rPr>
          <w:rStyle w:val="20"/>
          <w:rFonts w:hint="eastAsia" w:ascii="仿宋" w:hAnsi="仿宋" w:eastAsia="仿宋"/>
          <w:bCs/>
          <w:color w:val="000000"/>
          <w:sz w:val="32"/>
          <w:szCs w:val="32"/>
        </w:rPr>
        <w:t>一般公共服务（类）政府办公厅（室）及相关机构事务（款）事业运行（项）：</w:t>
      </w:r>
      <w:r>
        <w:rPr>
          <w:rStyle w:val="20"/>
          <w:rFonts w:hint="eastAsia" w:ascii="仿宋" w:hAnsi="仿宋" w:eastAsia="仿宋"/>
          <w:b w:val="0"/>
          <w:bCs/>
          <w:color w:val="000000"/>
          <w:sz w:val="32"/>
          <w:szCs w:val="32"/>
        </w:rPr>
        <w:t>支出决算为</w:t>
      </w:r>
      <w:r>
        <w:rPr>
          <w:rStyle w:val="20"/>
          <w:rFonts w:hint="eastAsia" w:ascii="宋体" w:hAnsi="宋体" w:eastAsia="仿宋"/>
          <w:b w:val="0"/>
          <w:bCs/>
          <w:color w:val="000000"/>
          <w:sz w:val="32"/>
          <w:szCs w:val="32"/>
        </w:rPr>
        <w:t>6</w:t>
      </w:r>
      <w:r>
        <w:rPr>
          <w:rStyle w:val="20"/>
          <w:rFonts w:hint="eastAsia" w:ascii="宋体" w:hAnsi="宋体" w:eastAsia="仿宋"/>
          <w:b w:val="0"/>
          <w:bCs/>
          <w:color w:val="000000"/>
          <w:sz w:val="32"/>
          <w:szCs w:val="32"/>
          <w:lang w:val="en-US" w:eastAsia="zh-CN"/>
        </w:rPr>
        <w:t>5.83</w:t>
      </w:r>
      <w:r>
        <w:rPr>
          <w:rStyle w:val="20"/>
          <w:rFonts w:hint="eastAsia" w:ascii="仿宋" w:hAnsi="仿宋" w:eastAsia="仿宋"/>
          <w:b w:val="0"/>
          <w:bCs/>
          <w:color w:val="000000"/>
          <w:sz w:val="32"/>
          <w:szCs w:val="32"/>
        </w:rPr>
        <w:t>万元，完成预算</w:t>
      </w:r>
      <w:r>
        <w:rPr>
          <w:rStyle w:val="20"/>
          <w:rFonts w:hint="eastAsia" w:ascii="宋体" w:hAnsi="宋体" w:eastAsia="仿宋"/>
          <w:b w:val="0"/>
          <w:bCs/>
          <w:color w:val="000000"/>
          <w:sz w:val="32"/>
          <w:szCs w:val="32"/>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left="0" w:firstLine="643" w:firstLineChars="200"/>
        <w:rPr>
          <w:rStyle w:val="20"/>
          <w:rFonts w:ascii="仿宋" w:hAnsi="仿宋" w:eastAsia="仿宋"/>
          <w:b w:val="0"/>
          <w:bCs/>
          <w:color w:val="000000"/>
          <w:sz w:val="32"/>
          <w:szCs w:val="32"/>
        </w:rPr>
      </w:pPr>
      <w:r>
        <w:rPr>
          <w:rStyle w:val="20"/>
          <w:rFonts w:hint="eastAsia" w:ascii="宋体" w:hAnsi="宋体" w:eastAsia="仿宋"/>
          <w:bCs/>
          <w:color w:val="000000"/>
          <w:sz w:val="32"/>
          <w:szCs w:val="32"/>
          <w:lang w:val="en-US" w:eastAsia="zh-CN"/>
        </w:rPr>
        <w:t>5</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社会保障和就业（类）行政事业单位养老支出（款）机关事业单位基本养老保险（项）:</w:t>
      </w:r>
      <w:r>
        <w:rPr>
          <w:rStyle w:val="20"/>
          <w:rFonts w:hint="eastAsia" w:ascii="仿宋" w:hAnsi="仿宋" w:eastAsia="仿宋"/>
          <w:b w:val="0"/>
          <w:bCs/>
          <w:color w:val="000000"/>
          <w:sz w:val="32"/>
          <w:szCs w:val="32"/>
        </w:rPr>
        <w:t>支出决算为</w:t>
      </w:r>
      <w:r>
        <w:rPr>
          <w:rStyle w:val="20"/>
          <w:rFonts w:hint="eastAsia" w:ascii="宋体" w:hAnsi="宋体" w:eastAsia="仿宋"/>
          <w:b w:val="0"/>
          <w:bCs/>
          <w:color w:val="000000"/>
          <w:sz w:val="32"/>
          <w:szCs w:val="32"/>
          <w:lang w:val="en-US" w:eastAsia="zh-CN"/>
        </w:rPr>
        <w:t>18.55</w:t>
      </w:r>
      <w:r>
        <w:rPr>
          <w:rStyle w:val="20"/>
          <w:rFonts w:hint="eastAsia" w:ascii="仿宋" w:hAnsi="仿宋" w:eastAsia="仿宋"/>
          <w:b w:val="0"/>
          <w:bCs/>
          <w:color w:val="000000"/>
          <w:sz w:val="32"/>
          <w:szCs w:val="32"/>
        </w:rPr>
        <w:t>万元</w:t>
      </w:r>
      <w:r>
        <w:rPr>
          <w:rStyle w:val="20"/>
          <w:rFonts w:hint="eastAsia" w:ascii="仿宋" w:hAnsi="仿宋" w:eastAsia="仿宋"/>
          <w:b w:val="0"/>
          <w:bCs/>
          <w:color w:val="000000"/>
          <w:sz w:val="32"/>
          <w:szCs w:val="32"/>
          <w:lang w:eastAsia="zh-CN"/>
        </w:rPr>
        <w:t>，</w:t>
      </w:r>
      <w:r>
        <w:rPr>
          <w:rStyle w:val="20"/>
          <w:rFonts w:hint="eastAsia" w:ascii="仿宋" w:hAnsi="仿宋" w:eastAsia="仿宋"/>
          <w:b w:val="0"/>
          <w:bCs/>
          <w:color w:val="000000"/>
          <w:sz w:val="32"/>
          <w:szCs w:val="32"/>
        </w:rPr>
        <w:t>完成预算</w:t>
      </w:r>
      <w:r>
        <w:rPr>
          <w:rStyle w:val="20"/>
          <w:rFonts w:hint="eastAsia" w:ascii="宋体" w:hAnsi="宋体" w:eastAsia="仿宋"/>
          <w:b w:val="0"/>
          <w:bCs/>
          <w:color w:val="000000"/>
          <w:sz w:val="32"/>
          <w:szCs w:val="32"/>
        </w:rPr>
        <w:t>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firstLine="643" w:firstLineChars="200"/>
        <w:rPr>
          <w:rStyle w:val="20"/>
          <w:rFonts w:ascii="仿宋" w:hAnsi="仿宋" w:eastAsia="仿宋"/>
          <w:bCs/>
          <w:color w:val="000000"/>
          <w:sz w:val="32"/>
          <w:szCs w:val="32"/>
        </w:rPr>
      </w:pPr>
      <w:r>
        <w:rPr>
          <w:rStyle w:val="20"/>
          <w:rFonts w:hint="eastAsia" w:ascii="仿宋" w:hAnsi="仿宋" w:eastAsia="仿宋"/>
          <w:b/>
          <w:bCs w:val="0"/>
          <w:color w:val="000000"/>
          <w:sz w:val="32"/>
          <w:szCs w:val="32"/>
          <w:lang w:val="en-US" w:eastAsia="zh-CN"/>
        </w:rPr>
        <w:t>6.</w:t>
      </w:r>
      <w:r>
        <w:rPr>
          <w:rStyle w:val="20"/>
          <w:rFonts w:hint="eastAsia" w:ascii="仿宋" w:hAnsi="仿宋" w:eastAsia="仿宋"/>
          <w:bCs/>
          <w:color w:val="000000"/>
          <w:sz w:val="32"/>
          <w:szCs w:val="32"/>
        </w:rPr>
        <w:t>社会保障和就业（类）其他社会保障和就业支出（款）其他社会保障和就业支出（项）:</w:t>
      </w:r>
      <w:r>
        <w:rPr>
          <w:rStyle w:val="20"/>
          <w:rFonts w:hint="eastAsia" w:ascii="仿宋" w:hAnsi="仿宋" w:eastAsia="仿宋"/>
          <w:b w:val="0"/>
          <w:bCs/>
          <w:color w:val="000000"/>
          <w:sz w:val="32"/>
          <w:szCs w:val="32"/>
        </w:rPr>
        <w:t>支出决算为</w:t>
      </w:r>
      <w:r>
        <w:rPr>
          <w:rStyle w:val="20"/>
          <w:rFonts w:hint="eastAsia" w:ascii="仿宋" w:hAnsi="仿宋" w:eastAsia="仿宋"/>
          <w:b w:val="0"/>
          <w:bCs/>
          <w:color w:val="000000"/>
          <w:sz w:val="32"/>
          <w:szCs w:val="32"/>
          <w:lang w:val="en-US" w:eastAsia="zh-CN"/>
        </w:rPr>
        <w:t>1.73</w:t>
      </w:r>
      <w:r>
        <w:rPr>
          <w:rStyle w:val="20"/>
          <w:rFonts w:hint="eastAsia" w:ascii="仿宋" w:hAnsi="仿宋" w:eastAsia="仿宋"/>
          <w:b w:val="0"/>
          <w:bCs/>
          <w:color w:val="000000"/>
          <w:sz w:val="32"/>
          <w:szCs w:val="32"/>
        </w:rPr>
        <w:t>万元，完成预算</w:t>
      </w:r>
      <w:r>
        <w:rPr>
          <w:rStyle w:val="20"/>
          <w:rFonts w:hint="eastAsia" w:ascii="宋体" w:hAnsi="宋体" w:eastAsia="仿宋"/>
          <w:b w:val="0"/>
          <w:bCs/>
          <w:color w:val="000000"/>
          <w:sz w:val="32"/>
          <w:szCs w:val="32"/>
        </w:rPr>
        <w:t>100</w:t>
      </w:r>
      <w:r>
        <w:rPr>
          <w:rStyle w:val="20"/>
          <w:rFonts w:hint="eastAsia" w:ascii="仿宋" w:hAnsi="仿宋" w:eastAsia="仿宋"/>
          <w:b w:val="0"/>
          <w:bCs/>
          <w:color w:val="000000"/>
          <w:sz w:val="32"/>
          <w:szCs w:val="32"/>
        </w:rPr>
        <w:t>%，决算数与预算数持平。</w:t>
      </w:r>
    </w:p>
    <w:p>
      <w:pPr>
        <w:spacing w:line="600" w:lineRule="exact"/>
        <w:ind w:firstLine="643" w:firstLineChars="200"/>
        <w:rPr>
          <w:rStyle w:val="20"/>
          <w:rFonts w:hint="eastAsia" w:ascii="宋体" w:hAnsi="宋体" w:eastAsia="仿宋"/>
          <w:bCs/>
          <w:color w:val="000000"/>
          <w:sz w:val="32"/>
          <w:szCs w:val="32"/>
          <w:lang w:val="en-US" w:eastAsia="zh-CN"/>
        </w:rPr>
      </w:pPr>
      <w:r>
        <w:rPr>
          <w:rStyle w:val="20"/>
          <w:rFonts w:hint="eastAsia" w:ascii="宋体" w:hAnsi="宋体" w:eastAsia="仿宋"/>
          <w:bCs/>
          <w:color w:val="000000"/>
          <w:sz w:val="32"/>
          <w:szCs w:val="32"/>
          <w:lang w:val="en-US" w:eastAsia="zh-CN"/>
        </w:rPr>
        <w:t>7.</w:t>
      </w:r>
      <w:r>
        <w:rPr>
          <w:rStyle w:val="20"/>
          <w:rFonts w:hint="eastAsia" w:ascii="仿宋" w:hAnsi="仿宋" w:eastAsia="仿宋"/>
          <w:bCs/>
          <w:color w:val="000000"/>
          <w:sz w:val="32"/>
          <w:szCs w:val="32"/>
        </w:rPr>
        <w:t>卫生健康（类）行政事业单位医疗（款）行政单位医疗（项）:</w:t>
      </w:r>
      <w:r>
        <w:rPr>
          <w:rStyle w:val="20"/>
          <w:rFonts w:hint="eastAsia" w:ascii="仿宋" w:hAnsi="仿宋" w:eastAsia="仿宋"/>
          <w:b w:val="0"/>
          <w:bCs/>
          <w:color w:val="000000"/>
          <w:sz w:val="32"/>
          <w:szCs w:val="32"/>
        </w:rPr>
        <w:t>支出决算为</w:t>
      </w:r>
      <w:r>
        <w:rPr>
          <w:rStyle w:val="20"/>
          <w:rFonts w:hint="eastAsia" w:ascii="仿宋" w:hAnsi="仿宋" w:eastAsia="仿宋"/>
          <w:b w:val="0"/>
          <w:bCs/>
          <w:color w:val="000000"/>
          <w:sz w:val="32"/>
          <w:szCs w:val="32"/>
          <w:lang w:val="en-US" w:eastAsia="zh-CN"/>
        </w:rPr>
        <w:t>7.43</w:t>
      </w:r>
      <w:r>
        <w:rPr>
          <w:rStyle w:val="20"/>
          <w:rFonts w:hint="eastAsia" w:ascii="仿宋" w:hAnsi="仿宋" w:eastAsia="仿宋"/>
          <w:b w:val="0"/>
          <w:bCs/>
          <w:color w:val="000000"/>
          <w:sz w:val="32"/>
          <w:szCs w:val="32"/>
        </w:rPr>
        <w:t>万元，完成预算</w:t>
      </w:r>
      <w:r>
        <w:rPr>
          <w:rStyle w:val="20"/>
          <w:rFonts w:hint="eastAsia" w:ascii="宋体" w:hAnsi="宋体" w:eastAsia="仿宋"/>
          <w:b w:val="0"/>
          <w:bCs/>
          <w:color w:val="000000"/>
          <w:sz w:val="32"/>
          <w:szCs w:val="32"/>
        </w:rPr>
        <w:t>100</w:t>
      </w:r>
      <w:r>
        <w:rPr>
          <w:rStyle w:val="20"/>
          <w:rFonts w:hint="eastAsia" w:ascii="仿宋" w:hAnsi="仿宋" w:eastAsia="仿宋"/>
          <w:b w:val="0"/>
          <w:bCs/>
          <w:color w:val="000000"/>
          <w:sz w:val="32"/>
          <w:szCs w:val="32"/>
        </w:rPr>
        <w:t>%，决算数与预算数持平。</w:t>
      </w:r>
    </w:p>
    <w:p>
      <w:pPr>
        <w:spacing w:line="600" w:lineRule="exact"/>
        <w:ind w:firstLine="643" w:firstLineChars="200"/>
        <w:rPr>
          <w:rStyle w:val="20"/>
          <w:rFonts w:ascii="仿宋" w:hAnsi="仿宋" w:eastAsia="仿宋"/>
          <w:b w:val="0"/>
          <w:bCs/>
          <w:color w:val="000000"/>
          <w:sz w:val="32"/>
          <w:szCs w:val="32"/>
        </w:rPr>
      </w:pPr>
      <w:r>
        <w:rPr>
          <w:rStyle w:val="20"/>
          <w:rFonts w:hint="eastAsia" w:ascii="宋体" w:hAnsi="宋体" w:eastAsia="仿宋"/>
          <w:bCs/>
          <w:color w:val="000000"/>
          <w:sz w:val="32"/>
          <w:szCs w:val="32"/>
          <w:lang w:val="en-US" w:eastAsia="zh-CN"/>
        </w:rPr>
        <w:t>8</w:t>
      </w:r>
      <w:r>
        <w:rPr>
          <w:rStyle w:val="20"/>
          <w:rFonts w:hint="eastAsia" w:ascii="仿宋" w:hAnsi="仿宋" w:eastAsia="仿宋"/>
          <w:bCs/>
          <w:color w:val="000000"/>
          <w:sz w:val="32"/>
          <w:szCs w:val="32"/>
        </w:rPr>
        <w:t>.卫生健康（类）行政事业单位医疗（款）</w:t>
      </w:r>
      <w:r>
        <w:rPr>
          <w:rStyle w:val="20"/>
          <w:rFonts w:hint="eastAsia" w:ascii="仿宋" w:hAnsi="仿宋" w:eastAsia="仿宋"/>
          <w:bCs/>
          <w:color w:val="000000"/>
          <w:sz w:val="32"/>
          <w:szCs w:val="32"/>
          <w:lang w:eastAsia="zh-CN"/>
        </w:rPr>
        <w:t>事业</w:t>
      </w:r>
      <w:r>
        <w:rPr>
          <w:rStyle w:val="20"/>
          <w:rFonts w:hint="eastAsia" w:ascii="仿宋" w:hAnsi="仿宋" w:eastAsia="仿宋"/>
          <w:bCs/>
          <w:color w:val="000000"/>
          <w:sz w:val="32"/>
          <w:szCs w:val="32"/>
        </w:rPr>
        <w:t>单位医疗（项）:</w:t>
      </w:r>
      <w:r>
        <w:rPr>
          <w:rStyle w:val="20"/>
          <w:rFonts w:hint="eastAsia" w:ascii="仿宋" w:hAnsi="仿宋" w:eastAsia="仿宋"/>
          <w:b w:val="0"/>
          <w:bCs/>
          <w:color w:val="000000"/>
          <w:sz w:val="32"/>
          <w:szCs w:val="32"/>
        </w:rPr>
        <w:t>支出决算为</w:t>
      </w:r>
      <w:r>
        <w:rPr>
          <w:rStyle w:val="20"/>
          <w:rFonts w:hint="eastAsia" w:ascii="仿宋" w:hAnsi="仿宋" w:eastAsia="仿宋"/>
          <w:b w:val="0"/>
          <w:bCs/>
          <w:color w:val="000000"/>
          <w:sz w:val="32"/>
          <w:szCs w:val="32"/>
          <w:lang w:val="en-US" w:eastAsia="zh-CN"/>
        </w:rPr>
        <w:t>3.04</w:t>
      </w:r>
      <w:r>
        <w:rPr>
          <w:rStyle w:val="20"/>
          <w:rFonts w:hint="eastAsia" w:ascii="仿宋" w:hAnsi="仿宋" w:eastAsia="仿宋"/>
          <w:b w:val="0"/>
          <w:bCs/>
          <w:color w:val="000000"/>
          <w:sz w:val="32"/>
          <w:szCs w:val="32"/>
        </w:rPr>
        <w:t>万元，完成预算</w:t>
      </w:r>
      <w:r>
        <w:rPr>
          <w:rStyle w:val="20"/>
          <w:rFonts w:hint="eastAsia" w:ascii="宋体" w:hAnsi="宋体" w:eastAsia="仿宋"/>
          <w:b w:val="0"/>
          <w:bCs/>
          <w:color w:val="000000"/>
          <w:sz w:val="32"/>
          <w:szCs w:val="32"/>
        </w:rPr>
        <w:t>100</w:t>
      </w:r>
      <w:r>
        <w:rPr>
          <w:rStyle w:val="20"/>
          <w:rFonts w:hint="eastAsia" w:ascii="仿宋" w:hAnsi="仿宋" w:eastAsia="仿宋"/>
          <w:b w:val="0"/>
          <w:bCs/>
          <w:color w:val="000000"/>
          <w:sz w:val="32"/>
          <w:szCs w:val="32"/>
        </w:rPr>
        <w:t>%，决算数与预算数持平。</w:t>
      </w:r>
    </w:p>
    <w:p>
      <w:pPr>
        <w:spacing w:line="600" w:lineRule="exact"/>
        <w:ind w:firstLine="643" w:firstLineChars="200"/>
        <w:rPr>
          <w:rFonts w:ascii="仿宋" w:hAnsi="仿宋" w:eastAsia="仿宋"/>
          <w:b/>
          <w:color w:val="000000"/>
          <w:sz w:val="32"/>
          <w:szCs w:val="32"/>
        </w:rPr>
      </w:pPr>
      <w:r>
        <w:rPr>
          <w:rStyle w:val="20"/>
          <w:rFonts w:hint="eastAsia" w:ascii="宋体" w:hAnsi="宋体" w:eastAsia="仿宋"/>
          <w:b/>
          <w:bCs w:val="0"/>
          <w:color w:val="000000"/>
          <w:sz w:val="32"/>
          <w:szCs w:val="32"/>
          <w:lang w:val="en-US" w:eastAsia="zh-CN"/>
        </w:rPr>
        <w:t>9</w:t>
      </w:r>
      <w:r>
        <w:rPr>
          <w:rStyle w:val="20"/>
          <w:rFonts w:hint="eastAsia" w:ascii="仿宋" w:hAnsi="仿宋" w:eastAsia="仿宋"/>
          <w:b/>
          <w:bCs w:val="0"/>
          <w:color w:val="000000"/>
          <w:sz w:val="32"/>
          <w:szCs w:val="32"/>
        </w:rPr>
        <w:t>.</w:t>
      </w:r>
      <w:r>
        <w:rPr>
          <w:rStyle w:val="20"/>
          <w:rFonts w:hint="eastAsia" w:ascii="仿宋" w:hAnsi="仿宋" w:eastAsia="仿宋"/>
          <w:bCs/>
          <w:color w:val="000000"/>
          <w:sz w:val="32"/>
          <w:szCs w:val="32"/>
        </w:rPr>
        <w:t>住房保障支出（类）住房改革支出（款）住房公积金（项）:</w:t>
      </w:r>
      <w:r>
        <w:rPr>
          <w:rStyle w:val="20"/>
          <w:rFonts w:hint="eastAsia" w:ascii="仿宋" w:hAnsi="仿宋" w:eastAsia="仿宋"/>
          <w:b w:val="0"/>
          <w:bCs/>
          <w:color w:val="000000"/>
          <w:sz w:val="32"/>
          <w:szCs w:val="32"/>
        </w:rPr>
        <w:t>支出决算为</w:t>
      </w:r>
      <w:r>
        <w:rPr>
          <w:rStyle w:val="20"/>
          <w:rFonts w:hint="eastAsia" w:ascii="仿宋" w:hAnsi="仿宋" w:eastAsia="仿宋"/>
          <w:b w:val="0"/>
          <w:bCs/>
          <w:color w:val="000000"/>
          <w:sz w:val="32"/>
          <w:szCs w:val="32"/>
          <w:lang w:val="en-US" w:eastAsia="zh-CN"/>
        </w:rPr>
        <w:t>19.6</w:t>
      </w:r>
      <w:r>
        <w:rPr>
          <w:rStyle w:val="20"/>
          <w:rFonts w:hint="eastAsia" w:ascii="仿宋" w:hAnsi="仿宋" w:eastAsia="仿宋"/>
          <w:b w:val="0"/>
          <w:bCs/>
          <w:color w:val="000000"/>
          <w:sz w:val="32"/>
          <w:szCs w:val="32"/>
        </w:rPr>
        <w:t>万元，完成预算</w:t>
      </w:r>
      <w:r>
        <w:rPr>
          <w:rStyle w:val="20"/>
          <w:rFonts w:hint="eastAsia" w:ascii="宋体" w:hAnsi="宋体" w:eastAsia="仿宋"/>
          <w:b w:val="0"/>
          <w:bCs/>
          <w:color w:val="000000"/>
          <w:sz w:val="32"/>
          <w:szCs w:val="32"/>
        </w:rPr>
        <w:t>100</w:t>
      </w:r>
      <w:r>
        <w:rPr>
          <w:rStyle w:val="20"/>
          <w:rFonts w:hint="eastAsia" w:ascii="仿宋" w:hAnsi="仿宋" w:eastAsia="仿宋"/>
          <w:b w:val="0"/>
          <w:bCs/>
          <w:color w:val="000000"/>
          <w:sz w:val="32"/>
          <w:szCs w:val="32"/>
        </w:rPr>
        <w:t>%，决算数与预算数持平。</w:t>
      </w:r>
    </w:p>
    <w:p>
      <w:pPr>
        <w:tabs>
          <w:tab w:val="right" w:pos="8306"/>
        </w:tabs>
        <w:spacing w:line="600" w:lineRule="exact"/>
        <w:ind w:firstLine="640"/>
        <w:outlineLvl w:val="1"/>
        <w:rPr>
          <w:rStyle w:val="33"/>
          <w:color w:val="auto"/>
          <w:highlight w:val="none"/>
        </w:rPr>
      </w:pPr>
      <w:bookmarkStart w:id="52" w:name="_Toc15377214"/>
      <w:bookmarkStart w:id="53" w:name="_Toc15396608"/>
      <w:bookmarkStart w:id="54" w:name="_Toc3134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般公共预算财政拨款基本支出决算情况说明</w:t>
      </w:r>
      <w:bookmarkEnd w:id="52"/>
      <w:bookmarkEnd w:id="53"/>
      <w:bookmarkEnd w:id="54"/>
      <w:r>
        <w:rPr>
          <w:rStyle w:val="33"/>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241.72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227.2</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职工基本医疗保险缴费、住房公积金、</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eastAsia="zh-CN"/>
        </w:rPr>
        <w:t>对个人和家庭的补助、</w:t>
      </w:r>
      <w:r>
        <w:rPr>
          <w:rFonts w:hint="eastAsia" w:ascii="仿宋" w:hAnsi="仿宋" w:eastAsia="仿宋"/>
          <w:color w:val="auto"/>
          <w:sz w:val="32"/>
          <w:szCs w:val="32"/>
          <w:highlight w:val="none"/>
        </w:rPr>
        <w:t>奖励金等。</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14.52</w:t>
      </w:r>
      <w:r>
        <w:rPr>
          <w:rFonts w:hint="eastAsia" w:ascii="仿宋" w:hAnsi="仿宋" w:eastAsia="仿宋"/>
          <w:color w:val="auto"/>
          <w:sz w:val="32"/>
          <w:szCs w:val="32"/>
          <w:highlight w:val="none"/>
        </w:rPr>
        <w:t>万元，主要包括：办公费、印刷费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手续费、水费、电费、邮电费、维修（护）费、租赁费、培训费、公务接待费、委托业务费、其他交通费</w:t>
      </w:r>
      <w:r>
        <w:rPr>
          <w:rFonts w:hint="eastAsia" w:ascii="仿宋" w:hAnsi="仿宋" w:eastAsia="仿宋"/>
          <w:color w:val="auto"/>
          <w:sz w:val="32"/>
          <w:szCs w:val="32"/>
          <w:highlight w:val="none"/>
          <w:lang w:eastAsia="zh-CN"/>
        </w:rPr>
        <w:t>等</w:t>
      </w:r>
      <w:r>
        <w:rPr>
          <w:rFonts w:hint="eastAsia" w:ascii="仿宋" w:hAnsi="仿宋" w:eastAsia="仿宋"/>
          <w:color w:val="auto"/>
          <w:sz w:val="32"/>
          <w:szCs w:val="32"/>
          <w:highlight w:val="none"/>
        </w:rPr>
        <w:t>。</w:t>
      </w:r>
    </w:p>
    <w:p>
      <w:pPr>
        <w:spacing w:line="600" w:lineRule="exact"/>
        <w:ind w:firstLine="640"/>
        <w:outlineLvl w:val="1"/>
        <w:rPr>
          <w:rStyle w:val="33"/>
          <w:rFonts w:ascii="黑体" w:hAnsi="黑体" w:eastAsia="黑体"/>
          <w:b w:val="0"/>
          <w:color w:val="auto"/>
          <w:highlight w:val="none"/>
        </w:rPr>
      </w:pPr>
      <w:bookmarkStart w:id="55" w:name="_Toc15396609"/>
      <w:bookmarkStart w:id="56" w:name="_Toc15377215"/>
      <w:bookmarkStart w:id="57" w:name="_Toc30543"/>
      <w:r>
        <w:rPr>
          <w:rFonts w:hint="eastAsia" w:ascii="黑体" w:eastAsia="黑体"/>
          <w:color w:val="auto"/>
          <w:sz w:val="32"/>
          <w:szCs w:val="32"/>
          <w:highlight w:val="none"/>
        </w:rPr>
        <w:t>七、</w:t>
      </w:r>
      <w:r>
        <w:rPr>
          <w:rStyle w:val="33"/>
          <w:rFonts w:hint="eastAsia" w:ascii="黑体" w:hAnsi="黑体" w:eastAsia="黑体"/>
          <w:b w:val="0"/>
          <w:color w:val="auto"/>
          <w:highlight w:val="none"/>
        </w:rPr>
        <w:t>财政拨款</w:t>
      </w:r>
      <w:r>
        <w:rPr>
          <w:rStyle w:val="33"/>
          <w:rFonts w:hint="eastAsia" w:ascii="黑体" w:hAnsi="黑体" w:eastAsia="黑体"/>
          <w:color w:val="auto"/>
          <w:highlight w:val="none"/>
        </w:rPr>
        <w:t>“</w:t>
      </w:r>
      <w:r>
        <w:rPr>
          <w:rStyle w:val="33"/>
          <w:rFonts w:hint="eastAsia" w:ascii="黑体" w:hAnsi="黑体" w:eastAsia="黑体"/>
          <w:b w:val="0"/>
          <w:color w:val="auto"/>
          <w:highlight w:val="none"/>
        </w:rPr>
        <w:t>三公”经费支出决算情况说明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5377216"/>
      <w:bookmarkStart w:id="59" w:name="_Toc20636"/>
      <w:r>
        <w:rPr>
          <w:rFonts w:hint="eastAsia" w:ascii="仿宋" w:hAnsi="仿宋" w:eastAsia="仿宋"/>
          <w:b/>
          <w:color w:val="auto"/>
          <w:sz w:val="32"/>
          <w:szCs w:val="32"/>
          <w:highlight w:val="none"/>
        </w:rPr>
        <w:t>（一）“三公”经费财政拨款支出决算总体情况说明</w:t>
      </w:r>
      <w:bookmarkEnd w:id="58"/>
      <w:bookmarkEnd w:id="59"/>
    </w:p>
    <w:p>
      <w:pPr>
        <w:spacing w:line="600" w:lineRule="exact"/>
        <w:ind w:firstLine="640"/>
        <w:rPr>
          <w:rStyle w:val="20"/>
          <w:rFonts w:hint="eastAsia" w:ascii="仿宋" w:hAnsi="仿宋" w:eastAsia="仿宋"/>
          <w:b w:val="0"/>
          <w:bCs/>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0.19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Style w:val="20"/>
          <w:rFonts w:hint="eastAsia" w:ascii="仿宋" w:hAnsi="仿宋" w:eastAsia="仿宋"/>
          <w:b w:val="0"/>
          <w:bCs/>
          <w:color w:val="000000"/>
          <w:sz w:val="32"/>
          <w:szCs w:val="32"/>
        </w:rPr>
        <w:t>决算数与预算数持平。</w:t>
      </w:r>
    </w:p>
    <w:p>
      <w:pPr>
        <w:spacing w:line="600" w:lineRule="exact"/>
        <w:ind w:firstLine="640"/>
        <w:outlineLvl w:val="2"/>
        <w:rPr>
          <w:rFonts w:ascii="仿宋" w:hAnsi="仿宋" w:eastAsia="仿宋"/>
          <w:b/>
          <w:color w:val="auto"/>
          <w:sz w:val="32"/>
          <w:szCs w:val="32"/>
          <w:highlight w:val="none"/>
        </w:rPr>
      </w:pPr>
      <w:bookmarkStart w:id="60" w:name="_Toc15377217"/>
      <w:bookmarkStart w:id="61" w:name="_Toc4526"/>
      <w:r>
        <w:rPr>
          <w:rFonts w:hint="eastAsia" w:ascii="仿宋" w:hAnsi="仿宋" w:eastAsia="仿宋"/>
          <w:b/>
          <w:color w:val="auto"/>
          <w:sz w:val="32"/>
          <w:szCs w:val="32"/>
          <w:highlight w:val="none"/>
        </w:rPr>
        <w:t>（二）“三公”经费财政拨款支出决算具体情况说明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（图7：“三公”经费财政拨款支出结构）（饼状图）</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仿宋_GB2312" w:eastAsia="仿宋_GB2312"/>
          <w:b/>
          <w:color w:val="auto"/>
          <w:sz w:val="32"/>
          <w:szCs w:val="32"/>
          <w:highlight w:val="none"/>
          <w:lang w:val="en-US" w:eastAsia="zh-CN"/>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25400</wp:posOffset>
            </wp:positionH>
            <wp:positionV relativeFrom="paragraph">
              <wp:posOffset>147955</wp:posOffset>
            </wp:positionV>
            <wp:extent cx="5575300" cy="3321685"/>
            <wp:effectExtent l="4445" t="4445" r="13335" b="41910"/>
            <wp:wrapTopAndBottom/>
            <wp:docPr id="9" name="图表 9" descr="7b0a202020202263686172745265734964223a2022323033323730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lang w:val="en-US" w:eastAsia="zh-CN"/>
        </w:rPr>
        <w:t xml:space="preserve"> </w:t>
      </w:r>
    </w:p>
    <w:p>
      <w:pPr>
        <w:spacing w:line="600" w:lineRule="exact"/>
        <w:ind w:firstLine="640"/>
        <w:rPr>
          <w:rFonts w:ascii="仿宋_GB2312" w:eastAsia="仿宋_GB2312"/>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sz w:val="32"/>
          <w:szCs w:val="32"/>
        </w:rPr>
        <w:t>年初未安排预算。</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人。因公出国（境）支出决算较</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年无变化。</w:t>
      </w:r>
    </w:p>
    <w:p>
      <w:pPr>
        <w:spacing w:line="600" w:lineRule="exact"/>
        <w:ind w:firstLine="640"/>
        <w:rPr>
          <w:rFonts w:ascii="仿宋_GB2312" w:eastAsia="仿宋_GB2312"/>
          <w:b/>
          <w:sz w:val="32"/>
          <w:szCs w:val="32"/>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sz w:val="32"/>
          <w:szCs w:val="32"/>
        </w:rPr>
        <w:t>年初未安排预算。</w:t>
      </w:r>
      <w:r>
        <w:rPr>
          <w:rFonts w:hint="eastAsia" w:ascii="仿宋_GB2312" w:eastAsia="仿宋_GB2312"/>
          <w:sz w:val="32"/>
          <w:szCs w:val="32"/>
        </w:rPr>
        <w:t>公务用车购置及运行维护费支出决算较</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年无变化。</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rPr>
        <w:t>截至</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月底，单位未购置公务车辆，共保有公务用车</w:t>
      </w:r>
      <w:r>
        <w:rPr>
          <w:rFonts w:ascii="仿宋_GB2312" w:eastAsia="仿宋_GB2312"/>
          <w:sz w:val="32"/>
          <w:szCs w:val="32"/>
        </w:rPr>
        <w:t>0</w:t>
      </w:r>
      <w:r>
        <w:rPr>
          <w:rFonts w:hint="eastAsia" w:ascii="仿宋_GB2312" w:eastAsia="仿宋_GB2312"/>
          <w:sz w:val="32"/>
          <w:szCs w:val="32"/>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lang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0.19</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相比无变化。</w:t>
      </w:r>
    </w:p>
    <w:p>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0.19</w:t>
      </w:r>
      <w:r>
        <w:rPr>
          <w:rFonts w:hint="eastAsia" w:ascii="仿宋_GB2312" w:eastAsia="仿宋_GB2312"/>
          <w:color w:val="auto"/>
          <w:sz w:val="32"/>
          <w:szCs w:val="32"/>
          <w:highlight w:val="none"/>
        </w:rPr>
        <w:t>万元，</w:t>
      </w:r>
      <w:r>
        <w:rPr>
          <w:rFonts w:hint="eastAsia" w:ascii="仿宋" w:hAnsi="仿宋" w:eastAsia="仿宋" w:cs="Times New Roman"/>
          <w:sz w:val="32"/>
          <w:szCs w:val="32"/>
          <w:lang w:val="en-US" w:eastAsia="zh-CN"/>
        </w:rPr>
        <w:t>主要用于日常公务接待开支的用餐费。国内公务接待4批次，17人次（不包括陪同人员），共计支出0.19万元，</w:t>
      </w:r>
      <w:r>
        <w:rPr>
          <w:rFonts w:hint="eastAsia" w:ascii="仿宋_GB2312" w:hAnsi="仿宋_GB2312" w:eastAsia="仿宋"/>
          <w:color w:val="000000"/>
          <w:sz w:val="32"/>
          <w:szCs w:val="32"/>
        </w:rPr>
        <w:t>具体内容包括：其他县区来我区</w:t>
      </w:r>
      <w:r>
        <w:rPr>
          <w:rFonts w:hint="eastAsia" w:ascii="仿宋_GB2312" w:hAnsi="仿宋_GB2312" w:eastAsia="仿宋"/>
          <w:color w:val="000000"/>
          <w:sz w:val="32"/>
          <w:szCs w:val="32"/>
          <w:lang w:eastAsia="zh-CN"/>
        </w:rPr>
        <w:t>协调处理信访问题、调研重点群体信访事项。</w:t>
      </w:r>
    </w:p>
    <w:p>
      <w:pPr>
        <w:spacing w:line="60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s="Times New Roman"/>
          <w:sz w:val="32"/>
          <w:szCs w:val="32"/>
          <w:lang w:val="en-US" w:eastAsia="zh-CN"/>
        </w:rPr>
        <w:t>0万元。</w:t>
      </w:r>
    </w:p>
    <w:p>
      <w:pPr>
        <w:spacing w:line="600" w:lineRule="exact"/>
        <w:ind w:firstLine="640"/>
        <w:outlineLvl w:val="1"/>
        <w:rPr>
          <w:rStyle w:val="33"/>
          <w:rFonts w:ascii="黑体" w:hAnsi="黑体" w:eastAsia="黑体"/>
          <w:color w:val="auto"/>
          <w:highlight w:val="none"/>
        </w:rPr>
      </w:pPr>
      <w:bookmarkStart w:id="62" w:name="_Toc15377218"/>
      <w:bookmarkStart w:id="63" w:name="_Toc15396610"/>
      <w:bookmarkStart w:id="64" w:name="_Toc29050"/>
      <w:r>
        <w:rPr>
          <w:rFonts w:hint="eastAsia" w:ascii="黑体" w:eastAsia="黑体"/>
          <w:color w:val="auto"/>
          <w:sz w:val="32"/>
          <w:szCs w:val="32"/>
          <w:highlight w:val="none"/>
        </w:rPr>
        <w:t>八、</w:t>
      </w:r>
      <w:r>
        <w:rPr>
          <w:rStyle w:val="33"/>
          <w:rFonts w:hint="eastAsia" w:ascii="黑体" w:hAnsi="黑体" w:eastAsia="黑体"/>
          <w:b w:val="0"/>
          <w:color w:val="auto"/>
          <w:highlight w:val="none"/>
        </w:rPr>
        <w:t>政府性基金预算支出决算情况说明</w:t>
      </w:r>
      <w:bookmarkEnd w:id="62"/>
      <w:bookmarkEnd w:id="63"/>
      <w:bookmarkEnd w:id="6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3"/>
          <w:rFonts w:ascii="黑体" w:hAnsi="黑体" w:eastAsia="黑体"/>
          <w:b w:val="0"/>
          <w:color w:val="auto"/>
          <w:highlight w:val="none"/>
        </w:rPr>
      </w:pPr>
      <w:bookmarkStart w:id="65" w:name="_Toc15377219"/>
      <w:bookmarkStart w:id="66" w:name="_Toc15396611"/>
      <w:bookmarkStart w:id="67" w:name="_Toc2879"/>
      <w:r>
        <w:rPr>
          <w:rFonts w:hint="eastAsia" w:ascii="仿宋_GB2312" w:eastAsia="仿宋_GB2312"/>
          <w:color w:val="auto"/>
          <w:sz w:val="32"/>
          <w:szCs w:val="32"/>
          <w:highlight w:val="none"/>
          <w:lang w:val="en-US" w:eastAsia="zh-CN"/>
        </w:rPr>
        <w:t>0</w:t>
      </w:r>
      <w:r>
        <w:rPr>
          <w:rStyle w:val="33"/>
          <w:rFonts w:hint="eastAsia" w:ascii="黑体" w:hAnsi="黑体" w:eastAsia="黑体"/>
          <w:b w:val="0"/>
          <w:color w:val="auto"/>
          <w:highlight w:val="none"/>
        </w:rPr>
        <w:t>国有资本经营预算支出决算情况说明</w:t>
      </w:r>
      <w:bookmarkEnd w:id="65"/>
      <w:bookmarkEnd w:id="66"/>
      <w:bookmarkEnd w:id="67"/>
    </w:p>
    <w:p>
      <w:pPr>
        <w:spacing w:line="600" w:lineRule="exact"/>
        <w:ind w:firstLine="640"/>
        <w:rPr>
          <w:rFonts w:hint="eastAsia" w:ascii="方正小标宋简体" w:hAnsi="方正小标宋简体" w:eastAsia="方正小标宋简体" w:cs="方正小标宋简体"/>
          <w:color w:val="auto"/>
          <w:sz w:val="44"/>
          <w:szCs w:val="44"/>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33"/>
          <w:rFonts w:hint="eastAsia" w:ascii="黑体" w:hAnsi="黑体" w:eastAsia="黑体"/>
          <w:b w:val="0"/>
          <w:color w:val="auto"/>
          <w:highlight w:val="none"/>
        </w:rPr>
      </w:pPr>
      <w:bookmarkStart w:id="68" w:name="_Toc15396612"/>
      <w:bookmarkStart w:id="69" w:name="_Toc15377221"/>
      <w:bookmarkStart w:id="70" w:name="_Toc27625"/>
      <w:r>
        <w:rPr>
          <w:rStyle w:val="33"/>
          <w:rFonts w:hint="eastAsia" w:ascii="黑体" w:hAnsi="黑体" w:eastAsia="黑体"/>
          <w:b w:val="0"/>
          <w:color w:val="auto"/>
          <w:highlight w:val="none"/>
        </w:rPr>
        <w:t>其他重要事项的情况说明</w:t>
      </w:r>
      <w:bookmarkEnd w:id="68"/>
      <w:bookmarkEnd w:id="69"/>
      <w:bookmarkEnd w:id="70"/>
    </w:p>
    <w:p>
      <w:pPr>
        <w:spacing w:line="600" w:lineRule="exact"/>
        <w:ind w:firstLine="643" w:firstLineChars="200"/>
        <w:outlineLvl w:val="2"/>
        <w:rPr>
          <w:rFonts w:ascii="仿宋" w:hAnsi="仿宋" w:eastAsia="仿宋"/>
          <w:color w:val="auto"/>
          <w:sz w:val="32"/>
          <w:szCs w:val="32"/>
          <w:highlight w:val="none"/>
        </w:rPr>
      </w:pPr>
      <w:bookmarkStart w:id="71" w:name="_Toc15377222"/>
      <w:bookmarkStart w:id="72" w:name="_Toc29614"/>
      <w:r>
        <w:rPr>
          <w:rFonts w:hint="eastAsia" w:ascii="仿宋" w:hAnsi="仿宋" w:eastAsia="仿宋"/>
          <w:b/>
          <w:color w:val="auto"/>
          <w:sz w:val="32"/>
          <w:szCs w:val="32"/>
          <w:highlight w:val="none"/>
        </w:rPr>
        <w:t>（一）机关运行经费支出情况</w:t>
      </w:r>
      <w:bookmarkEnd w:id="71"/>
      <w:bookmarkEnd w:id="72"/>
    </w:p>
    <w:p>
      <w:pPr>
        <w:spacing w:line="576"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区委群工局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14.52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5.19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55.63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
          <w:color w:val="000000"/>
          <w:sz w:val="32"/>
          <w:szCs w:val="32"/>
        </w:rPr>
        <w:t>补付了</w:t>
      </w:r>
      <w:r>
        <w:rPr>
          <w:rFonts w:hint="eastAsia" w:ascii="仿宋_GB2312" w:hAnsi="仿宋_GB2312" w:eastAsia="仿宋"/>
          <w:color w:val="000000"/>
          <w:sz w:val="32"/>
          <w:szCs w:val="32"/>
          <w:lang w:val="en-US" w:eastAsia="zh-CN"/>
        </w:rPr>
        <w:t>2021</w:t>
      </w:r>
      <w:r>
        <w:rPr>
          <w:rFonts w:hint="eastAsia" w:ascii="仿宋_GB2312" w:hAnsi="仿宋_GB2312" w:eastAsia="仿宋"/>
          <w:color w:val="000000"/>
          <w:sz w:val="32"/>
          <w:szCs w:val="32"/>
        </w:rPr>
        <w:t>年因费用票据未到未支付的办公费用。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3" w:name="_Toc15377223"/>
      <w:bookmarkStart w:id="74" w:name="_Toc1024"/>
      <w:r>
        <w:rPr>
          <w:rFonts w:hint="eastAsia" w:ascii="仿宋" w:hAnsi="仿宋" w:eastAsia="仿宋"/>
          <w:b/>
          <w:color w:val="auto"/>
          <w:sz w:val="32"/>
          <w:szCs w:val="32"/>
          <w:highlight w:val="none"/>
        </w:rPr>
        <w:t>（二）政府采购支出情况</w:t>
      </w:r>
      <w:bookmarkEnd w:id="73"/>
      <w:bookmarkEnd w:id="74"/>
    </w:p>
    <w:p>
      <w:pPr>
        <w:spacing w:line="576"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2022年，区委群工局政府采购支出总额0万元。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15377224"/>
      <w:bookmarkStart w:id="76" w:name="_Toc11603"/>
      <w:r>
        <w:rPr>
          <w:rFonts w:hint="eastAsia" w:ascii="仿宋" w:hAnsi="仿宋" w:eastAsia="仿宋"/>
          <w:b/>
          <w:color w:val="auto"/>
          <w:sz w:val="32"/>
          <w:szCs w:val="32"/>
          <w:highlight w:val="none"/>
        </w:rPr>
        <w:t>（三）国有资产占有使用情况</w:t>
      </w:r>
      <w:bookmarkEnd w:id="75"/>
      <w:bookmarkEnd w:id="76"/>
    </w:p>
    <w:p>
      <w:pPr>
        <w:spacing w:line="576"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截至2022年12月31日，区委群工局共有车辆0辆。单价100万元以上专用设备0台（套）。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28402"/>
      <w:r>
        <w:rPr>
          <w:rFonts w:hint="eastAsia" w:ascii="仿宋" w:hAnsi="仿宋" w:eastAsia="仿宋"/>
          <w:b/>
          <w:color w:val="auto"/>
          <w:sz w:val="32"/>
          <w:szCs w:val="32"/>
          <w:highlight w:val="none"/>
        </w:rPr>
        <w:t>（四）预算绩效管理情况</w:t>
      </w:r>
      <w:bookmarkEnd w:id="77"/>
    </w:p>
    <w:p>
      <w:pPr>
        <w:spacing w:line="600" w:lineRule="exact"/>
        <w:ind w:firstLine="640" w:firstLineChars="200"/>
        <w:outlineLvl w:val="1"/>
        <w:rPr>
          <w:rFonts w:ascii="仿宋_GB2312" w:hAnsi="仿宋_GB2312" w:eastAsia="仿宋_GB2312" w:cs="仿宋_GB2312"/>
          <w:sz w:val="32"/>
          <w:szCs w:val="32"/>
        </w:rPr>
      </w:pPr>
      <w:bookmarkStart w:id="78" w:name="_Toc19457"/>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ascii="仿宋_GB2312" w:hAnsi="仿宋_GB2312" w:eastAsia="仿宋_GB2312"/>
          <w:color w:val="auto"/>
          <w:kern w:val="2"/>
          <w:sz w:val="32"/>
          <w:szCs w:val="24"/>
          <w:lang w:val="en-US"/>
        </w:rPr>
        <w:t>组织对</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个项目开展了预算事前绩效评估，</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年终执行完毕后，本部门对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年部门整体开展绩效自评，</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中共广元市朝天区委群众工作局</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整体支出绩效评价自评报告》</w:t>
      </w:r>
      <w:r>
        <w:rPr>
          <w:rFonts w:hint="eastAsia" w:ascii="仿宋_GB2312" w:hAnsi="仿宋_GB2312" w:eastAsia="仿宋_GB2312" w:cs="仿宋_GB2312"/>
          <w:sz w:val="32"/>
          <w:szCs w:val="32"/>
          <w:lang w:eastAsia="zh-CN"/>
        </w:rPr>
        <w:t>，</w:t>
      </w:r>
      <w:r>
        <w:rPr>
          <w:rFonts w:hint="eastAsia" w:ascii="仿宋_GB2312" w:hAnsi="仿宋_GB2312" w:eastAsia="仿宋_GB2312"/>
          <w:color w:val="auto"/>
          <w:kern w:val="2"/>
          <w:sz w:val="32"/>
          <w:szCs w:val="24"/>
          <w:lang w:val="en-US"/>
        </w:rPr>
        <w:t>绩效自评得分为</w:t>
      </w:r>
      <w:r>
        <w:rPr>
          <w:rFonts w:hint="eastAsia" w:ascii="仿宋_GB2312" w:hAnsi="仿宋_GB2312" w:eastAsia="仿宋_GB2312"/>
          <w:color w:val="auto"/>
          <w:kern w:val="2"/>
          <w:sz w:val="32"/>
          <w:szCs w:val="24"/>
          <w:lang w:val="en-US" w:eastAsia="zh-CN"/>
        </w:rPr>
        <w:t>91</w:t>
      </w:r>
      <w:r>
        <w:rPr>
          <w:rFonts w:hint="eastAsia" w:ascii="仿宋_GB2312" w:hAnsi="仿宋_GB2312" w:eastAsia="仿宋_GB2312"/>
          <w:color w:val="auto"/>
          <w:kern w:val="2"/>
          <w:sz w:val="32"/>
          <w:szCs w:val="24"/>
          <w:lang w:val="en-US"/>
        </w:rPr>
        <w:t>分，绩效自评综述：</w:t>
      </w:r>
      <w:r>
        <w:rPr>
          <w:rFonts w:hint="eastAsia" w:ascii="仿宋_GB2312" w:hAnsi="Times New Roman" w:eastAsia="仿宋_GB2312" w:cs="Times New Roman"/>
          <w:color w:val="000000"/>
          <w:sz w:val="32"/>
          <w:szCs w:val="32"/>
          <w:shd w:val="clear" w:color="auto" w:fill="FFFFFF"/>
          <w:lang w:val="en-US" w:eastAsia="zh-CN"/>
        </w:rPr>
        <w:t>从总体上看，部门整体绩效目标合理，决策依据充分，圆满完成了全年工作任务，各项项目实施均达到了预期的经济效益、社会效益，为我单位在下一年工作推进和预算安排上提供了对比数据，详</w:t>
      </w:r>
      <w:r>
        <w:rPr>
          <w:rFonts w:hint="eastAsia" w:ascii="仿宋_GB2312" w:hAnsi="仿宋_GB2312" w:eastAsia="仿宋_GB2312" w:cs="仿宋_GB2312"/>
          <w:sz w:val="32"/>
          <w:szCs w:val="32"/>
        </w:rPr>
        <w:t>见附件。</w:t>
      </w:r>
      <w:bookmarkEnd w:id="78"/>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32"/>
          <w:rFonts w:ascii="黑体" w:hAnsi="黑体" w:eastAsia="黑体"/>
          <w:b w:val="0"/>
          <w:color w:val="auto"/>
          <w:highlight w:val="none"/>
        </w:rPr>
      </w:pPr>
      <w:bookmarkStart w:id="79" w:name="_Toc15396613"/>
      <w:bookmarkStart w:id="80" w:name="_Toc15377225"/>
      <w:bookmarkStart w:id="81" w:name="_Toc32514"/>
      <w:r>
        <w:rPr>
          <w:rFonts w:hint="eastAsia" w:ascii="黑体" w:hAnsi="黑体" w:eastAsia="黑体"/>
          <w:color w:val="auto"/>
          <w:sz w:val="44"/>
          <w:szCs w:val="44"/>
          <w:highlight w:val="none"/>
        </w:rPr>
        <w:t>名</w:t>
      </w:r>
      <w:r>
        <w:rPr>
          <w:rStyle w:val="32"/>
          <w:rFonts w:hint="eastAsia" w:ascii="黑体" w:hAnsi="黑体" w:eastAsia="黑体"/>
          <w:b w:val="0"/>
          <w:color w:val="auto"/>
          <w:highlight w:val="none"/>
        </w:rPr>
        <w:t>词解释</w:t>
      </w:r>
      <w:bookmarkEnd w:id="79"/>
      <w:bookmarkEnd w:id="80"/>
      <w:bookmarkEnd w:id="81"/>
    </w:p>
    <w:p>
      <w:pPr>
        <w:spacing w:line="600" w:lineRule="exact"/>
        <w:jc w:val="left"/>
        <w:rPr>
          <w:rFonts w:ascii="宋体"/>
          <w:b/>
          <w:color w:val="auto"/>
          <w:sz w:val="44"/>
          <w:szCs w:val="44"/>
          <w:highlight w:val="none"/>
        </w:rPr>
      </w:pP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rPr>
        <w:t>1.</w:t>
      </w:r>
      <w:r>
        <w:rPr>
          <w:rFonts w:hint="eastAsia" w:ascii="仿宋_GB2312" w:eastAsia="仿宋_GB2312"/>
          <w:b/>
          <w:bCs/>
          <w:color w:val="auto"/>
          <w:kern w:val="0"/>
          <w:sz w:val="32"/>
          <w:szCs w:val="32"/>
          <w:lang w:val="en-US" w:eastAsia="zh-CN"/>
        </w:rPr>
        <w:t>财政拨款收入</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指单位从同级财政部门取得的财政预算资金。</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2.一般公共服务（类）政府办公厅（室）及相关机构事务（款）行政运行（项）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指反映行政单位（包括实行公务员管理的事业单位）的基本支出。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3.一般公共服务（类）政府办公厅（室）及相关机构事务（款）一般行政管理事务（项）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指反映行政单位（包括实行公务员管理的事业单位）未单独设置项级科目的其他项目支出。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4.一般公共服务（类）政府办公厅（室）及相关机构事务（款）信访事务（项）</w:t>
      </w:r>
      <w:r>
        <w:rPr>
          <w:rFonts w:hint="eastAsia" w:ascii="仿宋_GB2312" w:eastAsia="仿宋_GB2312"/>
          <w:color w:val="auto"/>
          <w:kern w:val="0"/>
          <w:sz w:val="32"/>
          <w:szCs w:val="32"/>
          <w:lang w:val="en-US" w:eastAsia="zh-CN"/>
        </w:rPr>
        <w:t>：</w:t>
      </w:r>
      <w:r>
        <w:rPr>
          <w:rFonts w:hint="eastAsia" w:ascii="仿宋_GB2312" w:hAnsi="仿宋_GB2312" w:eastAsia="仿宋"/>
          <w:color w:val="000000"/>
          <w:sz w:val="32"/>
          <w:szCs w:val="32"/>
        </w:rPr>
        <w:t>指各级政府用于接待群众来信来访方面的支出。</w:t>
      </w:r>
    </w:p>
    <w:p>
      <w:pPr>
        <w:pStyle w:val="30"/>
        <w:spacing w:line="560" w:lineRule="exact"/>
        <w:ind w:firstLine="643" w:firstLineChars="200"/>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5.一般公共服务（类）政府办公厅（室）及相关机构事务（款）事业运行（项）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指反映事业单位的基本支出，不包括行政单位（包括实行公务员管理的事业单位）后勤服务中心、医务室等附属事业单位。</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6.社会保障和就业（类）行政事业单位养老支出（款）机关事业单位基本养老保险缴费支出（项）</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指反映机关事业单位实施养老保险制度由单位缴纳的基本养老保险费支出。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7.社会保障和就业（类）行政事业单位养老支出（款）其他社会保障和就业支出（项）</w:t>
      </w:r>
      <w:r>
        <w:rPr>
          <w:rFonts w:hint="eastAsia" w:ascii="仿宋_GB2312" w:eastAsia="仿宋_GB2312"/>
          <w:color w:val="auto"/>
          <w:kern w:val="0"/>
          <w:sz w:val="32"/>
          <w:szCs w:val="32"/>
          <w:lang w:val="en-US" w:eastAsia="zh-CN"/>
        </w:rPr>
        <w:t>：指反映除上述项目以外其他用于社会保障和就业方面的支出。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8.卫生健康支出（类）行政事业单位医疗（款）行政单位医疗（项）</w:t>
      </w:r>
      <w:r>
        <w:rPr>
          <w:rFonts w:hint="eastAsia" w:ascii="仿宋_GB2312" w:eastAsia="仿宋_GB2312"/>
          <w:color w:val="auto"/>
          <w:kern w:val="0"/>
          <w:sz w:val="32"/>
          <w:szCs w:val="32"/>
          <w:lang w:val="en-US" w:eastAsia="zh-CN"/>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9.住房保障支出（类）住房改革支出（款）住房公积金（项）</w:t>
      </w:r>
      <w:r>
        <w:rPr>
          <w:rFonts w:hint="eastAsia" w:ascii="仿宋_GB2312" w:eastAsia="仿宋_GB2312"/>
          <w:color w:val="auto"/>
          <w:kern w:val="0"/>
          <w:sz w:val="32"/>
          <w:szCs w:val="32"/>
          <w:lang w:val="en-US" w:eastAsia="zh-CN"/>
        </w:rPr>
        <w:t>：指反映行政事业单位按人力资源和社会保障部、财政部规定的基本工资和津贴补贴以及规定比例为职工缴纳的住房公积金。</w:t>
      </w:r>
    </w:p>
    <w:p>
      <w:pPr>
        <w:pStyle w:val="30"/>
        <w:spacing w:line="560" w:lineRule="exact"/>
        <w:ind w:firstLine="643" w:firstLineChars="200"/>
        <w:rPr>
          <w:rFonts w:hint="eastAsia" w:ascii="仿宋_GB2312" w:eastAsia="仿宋_GB2312"/>
          <w:color w:val="auto"/>
          <w:kern w:val="0"/>
          <w:sz w:val="32"/>
          <w:szCs w:val="32"/>
          <w:lang w:val="en-US"/>
        </w:rPr>
      </w:pPr>
      <w:r>
        <w:rPr>
          <w:rFonts w:hint="eastAsia" w:ascii="仿宋_GB2312" w:eastAsia="仿宋_GB2312"/>
          <w:b/>
          <w:bCs/>
          <w:color w:val="auto"/>
          <w:kern w:val="0"/>
          <w:sz w:val="32"/>
          <w:szCs w:val="32"/>
          <w:lang w:val="en-US" w:eastAsia="zh-CN"/>
        </w:rPr>
        <w:t>10</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基本支出</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指为保障机构正常运转、完成日常工作任务而发生的人员支出和公用支出。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11</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项目支出</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指在基本支出之外为完成特定行政任务和事业发展目标所发生的支出。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12</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“三公”经费</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3" w:firstLineChars="200"/>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13</w:t>
      </w:r>
      <w:r>
        <w:rPr>
          <w:rFonts w:hint="eastAsia" w:ascii="仿宋_GB2312" w:eastAsia="仿宋_GB2312"/>
          <w:b/>
          <w:bCs/>
          <w:color w:val="auto"/>
          <w:kern w:val="0"/>
          <w:sz w:val="32"/>
          <w:szCs w:val="32"/>
          <w:lang w:val="en-US"/>
        </w:rPr>
        <w:t>.</w:t>
      </w:r>
      <w:r>
        <w:rPr>
          <w:rFonts w:hint="eastAsia" w:ascii="仿宋_GB2312" w:eastAsia="仿宋_GB2312"/>
          <w:b/>
          <w:bCs/>
          <w:color w:val="auto"/>
          <w:kern w:val="0"/>
          <w:sz w:val="32"/>
          <w:szCs w:val="32"/>
          <w:lang w:val="en-US" w:eastAsia="zh-CN"/>
        </w:rPr>
        <w:t>机关运行经费</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hint="eastAsia" w:ascii="黑体" w:hAnsi="黑体" w:eastAsia="黑体"/>
          <w:b w:val="0"/>
          <w:color w:val="auto"/>
          <w:highlight w:val="none"/>
          <w:lang w:eastAsia="zh-CN"/>
        </w:rPr>
      </w:pPr>
      <w:bookmarkStart w:id="82" w:name="_Toc15377226"/>
      <w:r>
        <w:rPr>
          <w:rFonts w:ascii="宋体"/>
          <w:b/>
          <w:color w:val="auto"/>
          <w:sz w:val="44"/>
          <w:szCs w:val="44"/>
          <w:highlight w:val="none"/>
        </w:rPr>
        <w:br w:type="page"/>
      </w:r>
      <w:bookmarkStart w:id="83" w:name="_Toc15396614"/>
      <w:bookmarkStart w:id="84" w:name="_Toc14245"/>
      <w:r>
        <w:rPr>
          <w:rFonts w:hint="eastAsia" w:ascii="黑体" w:hAnsi="黑体" w:eastAsia="黑体"/>
          <w:color w:val="auto"/>
          <w:sz w:val="44"/>
          <w:szCs w:val="44"/>
          <w:highlight w:val="none"/>
        </w:rPr>
        <w:t>第</w:t>
      </w:r>
      <w:r>
        <w:rPr>
          <w:rStyle w:val="32"/>
          <w:rFonts w:hint="eastAsia" w:ascii="黑体" w:hAnsi="黑体" w:eastAsia="黑体"/>
          <w:b w:val="0"/>
          <w:color w:val="auto"/>
          <w:highlight w:val="none"/>
        </w:rPr>
        <w:t>四部分 附件</w:t>
      </w:r>
      <w:bookmarkEnd w:id="83"/>
      <w:bookmarkEnd w:id="84"/>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85" w:name="_Toc18491"/>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85"/>
    </w:p>
    <w:p>
      <w:pPr>
        <w:keepNext w:val="0"/>
        <w:keepLines w:val="0"/>
        <w:pageBreakBefore w:val="0"/>
        <w:widowControl/>
        <w:kinsoku/>
        <w:wordWrap/>
        <w:overflowPunct/>
        <w:topLinePunct w:val="0"/>
        <w:autoSpaceDE w:val="0"/>
        <w:autoSpaceDN/>
        <w:bidi w:val="0"/>
        <w:adjustRightInd w:val="0"/>
        <w:snapToGrid w:val="0"/>
        <w:spacing w:line="576" w:lineRule="exact"/>
        <w:ind w:firstLine="880" w:firstLineChars="200"/>
        <w:contextualSpacing/>
        <w:jc w:val="center"/>
        <w:textAlignment w:val="auto"/>
        <w:rPr>
          <w:rFonts w:hint="eastAsia" w:ascii="方正小标宋简体" w:hAnsi="方正小标宋简体" w:eastAsia="方正小标宋简体" w:cs="方正小标宋简体"/>
          <w:color w:val="000000"/>
          <w:kern w:val="0"/>
          <w:sz w:val="44"/>
          <w:szCs w:val="44"/>
          <w:shd w:val="clear" w:color="auto" w:fill="FFFFFF"/>
          <w:lang w:val="zh-CN"/>
        </w:rPr>
      </w:pPr>
      <w:r>
        <w:rPr>
          <w:rFonts w:hint="eastAsia" w:ascii="方正小标宋简体" w:hAnsi="方正小标宋简体" w:eastAsia="方正小标宋简体" w:cs="方正小标宋简体"/>
          <w:color w:val="000000"/>
          <w:kern w:val="0"/>
          <w:sz w:val="44"/>
          <w:szCs w:val="44"/>
          <w:shd w:val="clear" w:color="auto" w:fill="FFFFFF"/>
          <w:lang w:val="zh-CN"/>
        </w:rPr>
        <w:t>中共广元市朝天区委群众工作局</w:t>
      </w:r>
    </w:p>
    <w:p>
      <w:pPr>
        <w:keepNext w:val="0"/>
        <w:keepLines w:val="0"/>
        <w:pageBreakBefore w:val="0"/>
        <w:widowControl/>
        <w:kinsoku/>
        <w:wordWrap/>
        <w:overflowPunct/>
        <w:topLinePunct w:val="0"/>
        <w:autoSpaceDE w:val="0"/>
        <w:autoSpaceDN/>
        <w:bidi w:val="0"/>
        <w:adjustRightInd w:val="0"/>
        <w:snapToGrid w:val="0"/>
        <w:spacing w:line="576" w:lineRule="exact"/>
        <w:ind w:firstLine="880" w:firstLineChars="200"/>
        <w:contextualSpacing/>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2022年度</w:t>
      </w:r>
      <w:r>
        <w:rPr>
          <w:rFonts w:hint="eastAsia" w:ascii="方正小标宋简体" w:hAnsi="方正小标宋简体" w:eastAsia="方正小标宋简体" w:cs="方正小标宋简体"/>
          <w:color w:val="000000"/>
          <w:kern w:val="0"/>
          <w:sz w:val="44"/>
          <w:szCs w:val="44"/>
          <w:shd w:val="clear" w:color="auto" w:fill="FFFFFF"/>
        </w:rPr>
        <w:t>整体支出绩效评价自评报告</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rPr>
          <w:rFonts w:hint="eastAsia" w:ascii="黑体" w:hAnsi="黑体" w:eastAsia="黑体" w:cs="Times New Roman"/>
          <w:color w:val="000000"/>
          <w:kern w:val="0"/>
          <w:sz w:val="32"/>
          <w:szCs w:val="32"/>
          <w:shd w:val="clear" w:color="auto" w:fill="FFFFFF"/>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both"/>
        <w:textAlignment w:val="auto"/>
        <w:outlineLvl w:val="1"/>
        <w:rPr>
          <w:rFonts w:hint="eastAsia" w:ascii="黑体" w:hAnsi="黑体" w:eastAsia="黑体" w:cs="Times New Roman"/>
          <w:color w:val="000000"/>
          <w:kern w:val="0"/>
          <w:sz w:val="32"/>
          <w:szCs w:val="32"/>
          <w:shd w:val="clear" w:color="auto" w:fill="FFFFFF"/>
        </w:rPr>
      </w:pPr>
      <w:bookmarkStart w:id="86" w:name="_Toc6310"/>
      <w:r>
        <w:rPr>
          <w:rFonts w:hint="eastAsia" w:ascii="黑体" w:hAnsi="黑体" w:eastAsia="黑体" w:cs="Times New Roman"/>
          <w:color w:val="000000"/>
          <w:kern w:val="0"/>
          <w:sz w:val="32"/>
          <w:szCs w:val="32"/>
          <w:shd w:val="clear" w:color="auto" w:fill="FFFFFF"/>
        </w:rPr>
        <w:t>一、部门（单位）概况</w:t>
      </w:r>
      <w:bookmarkEnd w:id="86"/>
    </w:p>
    <w:p>
      <w:pPr>
        <w:keepNext w:val="0"/>
        <w:keepLines w:val="0"/>
        <w:pageBreakBefore w:val="0"/>
        <w:kinsoku/>
        <w:wordWrap/>
        <w:overflowPunct/>
        <w:topLinePunct w:val="0"/>
        <w:bidi w:val="0"/>
        <w:spacing w:line="576" w:lineRule="exact"/>
        <w:ind w:firstLine="640" w:firstLineChars="200"/>
        <w:textAlignment w:val="auto"/>
        <w:outlineLvl w:val="2"/>
        <w:rPr>
          <w:rFonts w:hint="eastAsia" w:ascii="楷体_GB2312" w:hAnsi="楷体_GB2312" w:eastAsia="楷体_GB2312" w:cs="楷体_GB2312"/>
          <w:color w:val="000000"/>
          <w:sz w:val="32"/>
          <w:szCs w:val="32"/>
          <w:lang w:eastAsia="zh-CN"/>
        </w:rPr>
      </w:pPr>
      <w:bookmarkStart w:id="87" w:name="_Toc19404"/>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机构</w:t>
      </w:r>
      <w:r>
        <w:rPr>
          <w:rFonts w:hint="eastAsia" w:ascii="楷体_GB2312" w:hAnsi="楷体_GB2312" w:eastAsia="楷体_GB2312" w:cs="楷体_GB2312"/>
          <w:color w:val="000000"/>
          <w:sz w:val="32"/>
          <w:szCs w:val="32"/>
          <w:lang w:eastAsia="zh-CN"/>
        </w:rPr>
        <w:t>组成</w:t>
      </w:r>
      <w:bookmarkEnd w:id="87"/>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内设6个股室，分别是局办公室、宣教督办股、排查调处股、区委书记区长信箱管理办公室、12345政务服务热线办理办公室。下属一个事业单位区群众来访接待中心。2022年编制数14名，其中：行政编制7人，机关工勤人员1人，事业编制6人。</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outlineLvl w:val="2"/>
        <w:rPr>
          <w:rFonts w:hint="eastAsia" w:ascii="楷体_GB2312" w:hAnsi="楷体_GB2312" w:eastAsia="楷体_GB2312" w:cs="楷体_GB2312"/>
          <w:b w:val="0"/>
          <w:bCs w:val="0"/>
          <w:kern w:val="2"/>
          <w:sz w:val="32"/>
          <w:szCs w:val="32"/>
          <w:lang w:val="en-US" w:eastAsia="zh-CN" w:bidi="ar"/>
        </w:rPr>
      </w:pPr>
      <w:bookmarkStart w:id="88" w:name="_Toc1114"/>
      <w:r>
        <w:rPr>
          <w:rFonts w:hint="eastAsia" w:ascii="楷体_GB2312" w:hAnsi="楷体_GB2312" w:eastAsia="楷体_GB2312" w:cs="楷体_GB2312"/>
          <w:b w:val="0"/>
          <w:bCs w:val="0"/>
          <w:kern w:val="2"/>
          <w:sz w:val="32"/>
          <w:szCs w:val="32"/>
          <w:lang w:val="en-US" w:eastAsia="zh-CN" w:bidi="ar"/>
        </w:rPr>
        <w:t>（二）机构职能</w:t>
      </w:r>
      <w:bookmarkEnd w:id="88"/>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1.依据党的路线、方针、政策和国家的法律、法规，负责受理、交办、转送信访人提出的信访事项。</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2.承办区委、区政府和上级机关转办、交办的信访事项。</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3.负责向各乡镇和区级机关各部门转办、交办信访事项，并督促、检查办理情况。</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4.直接调查处理、组织或参与协调信访有关的信访问题，负责信访有关的复查。</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5.负责全区信访法规的宣传教育。</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6.研究、分析信访情况，开展调查研究，及时向区委、区政府提出完善政策和解决改进工作的建议。</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7.负责信访干部队伍建设，组织培训信访工作人员。</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8.负责区信访工作领导小组办公室和区处理信访突出问题及群体性事件联席会议办公室的日常工作，完成领导小组和联席会议交办的工作任务。</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9.对各乡镇、区级各部门的信访工作进行指导。</w:t>
      </w:r>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10.负责承办12345政务服务热线平台相关工作。</w:t>
      </w:r>
    </w:p>
    <w:p>
      <w:pPr>
        <w:pStyle w:val="39"/>
        <w:keepNext w:val="0"/>
        <w:keepLines w:val="0"/>
        <w:pageBreakBefore w:val="0"/>
        <w:shd w:val="clear" w:color="auto" w:fill="auto"/>
        <w:kinsoku/>
        <w:wordWrap/>
        <w:overflowPunct/>
        <w:topLinePunct w:val="0"/>
        <w:bidi w:val="0"/>
        <w:spacing w:before="0" w:beforeAutospacing="0" w:after="0" w:afterAutospacing="0" w:line="576" w:lineRule="exact"/>
        <w:ind w:firstLine="640" w:firstLineChars="200"/>
        <w:textAlignment w:val="auto"/>
        <w:outlineLvl w:val="2"/>
        <w:rPr>
          <w:rFonts w:hint="eastAsia" w:ascii="楷体_GB2312" w:hAnsi="宋体" w:eastAsia="楷体_GB2312" w:cs="宋体"/>
          <w:color w:val="000000"/>
          <w:sz w:val="32"/>
          <w:szCs w:val="32"/>
        </w:rPr>
      </w:pPr>
      <w:bookmarkStart w:id="89" w:name="_Toc26406"/>
      <w:r>
        <w:rPr>
          <w:rFonts w:hint="eastAsia" w:ascii="楷体_GB2312" w:hAnsi="宋体" w:eastAsia="楷体_GB2312" w:cs="宋体"/>
          <w:color w:val="000000"/>
          <w:sz w:val="32"/>
          <w:szCs w:val="32"/>
          <w:lang w:eastAsia="zh-CN"/>
        </w:rPr>
        <w:t>（三）</w:t>
      </w:r>
      <w:r>
        <w:rPr>
          <w:rFonts w:hint="eastAsia" w:ascii="楷体_GB2312" w:hAnsi="宋体" w:eastAsia="楷体_GB2312" w:cs="宋体"/>
          <w:color w:val="000000"/>
          <w:sz w:val="32"/>
          <w:szCs w:val="32"/>
        </w:rPr>
        <w:t>人员情况</w:t>
      </w:r>
      <w:bookmarkEnd w:id="89"/>
    </w:p>
    <w:p>
      <w:pPr>
        <w:keepNext w:val="0"/>
        <w:keepLines w:val="0"/>
        <w:pageBreakBefore w:val="0"/>
        <w:widowControl w:val="0"/>
        <w:suppressLineNumbers w:val="0"/>
        <w:kinsoku/>
        <w:wordWrap/>
        <w:overflowPunct/>
        <w:topLinePunct w:val="0"/>
        <w:bidi w:val="0"/>
        <w:spacing w:before="0" w:beforeAutospacing="0" w:after="0" w:afterAutospacing="0" w:line="576" w:lineRule="exact"/>
        <w:ind w:left="0" w:right="0" w:firstLine="642"/>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2022年底实有在编在职人员14人,其中：公务员7人，机关工勤人员1人，事业人员6人。另有财政定额补助人员3人。</w:t>
      </w:r>
    </w:p>
    <w:p>
      <w:pPr>
        <w:keepNext w:val="0"/>
        <w:keepLines w:val="0"/>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outlineLvl w:val="1"/>
        <w:rPr>
          <w:rFonts w:hint="eastAsia" w:ascii="黑体" w:hAnsi="黑体" w:eastAsia="黑体" w:cs="Times New Roman"/>
          <w:color w:val="000000"/>
          <w:kern w:val="0"/>
          <w:sz w:val="32"/>
          <w:szCs w:val="32"/>
          <w:shd w:val="clear" w:color="auto" w:fill="FFFFFF"/>
        </w:rPr>
      </w:pPr>
      <w:bookmarkStart w:id="90" w:name="_Toc21005"/>
      <w:r>
        <w:rPr>
          <w:rFonts w:hint="eastAsia" w:ascii="黑体" w:hAnsi="黑体" w:eastAsia="黑体" w:cs="Times New Roman"/>
          <w:color w:val="000000"/>
          <w:kern w:val="0"/>
          <w:sz w:val="32"/>
          <w:szCs w:val="32"/>
          <w:shd w:val="clear" w:color="auto" w:fill="FFFFFF"/>
        </w:rPr>
        <w:t>二、部门财政资金收支情况</w:t>
      </w:r>
      <w:bookmarkEnd w:id="90"/>
    </w:p>
    <w:p>
      <w:pPr>
        <w:pStyle w:val="39"/>
        <w:keepNext w:val="0"/>
        <w:keepLines w:val="0"/>
        <w:pageBreakBefore w:val="0"/>
        <w:shd w:val="clear" w:color="auto" w:fill="auto"/>
        <w:kinsoku/>
        <w:wordWrap/>
        <w:overflowPunct/>
        <w:topLinePunct w:val="0"/>
        <w:bidi w:val="0"/>
        <w:spacing w:before="0" w:beforeAutospacing="0" w:after="0" w:afterAutospacing="0" w:line="576" w:lineRule="exact"/>
        <w:ind w:firstLine="640" w:firstLineChars="200"/>
        <w:textAlignment w:val="auto"/>
        <w:outlineLvl w:val="2"/>
        <w:rPr>
          <w:rFonts w:ascii="微软雅黑" w:hAnsi="微软雅黑" w:eastAsia="微软雅黑"/>
          <w:color w:val="000000"/>
          <w:sz w:val="32"/>
          <w:szCs w:val="32"/>
        </w:rPr>
      </w:pPr>
      <w:bookmarkStart w:id="91" w:name="_Toc28002"/>
      <w:r>
        <w:rPr>
          <w:rFonts w:hint="eastAsia" w:ascii="楷体_GB2312" w:eastAsia="楷体_GB2312"/>
          <w:color w:val="000000"/>
          <w:sz w:val="32"/>
          <w:szCs w:val="32"/>
        </w:rPr>
        <w:t>（一）部门财政资金收入情况</w:t>
      </w:r>
      <w:bookmarkEnd w:id="91"/>
    </w:p>
    <w:p>
      <w:pPr>
        <w:keepNext w:val="0"/>
        <w:keepLines w:val="0"/>
        <w:pageBreakBefore w:val="0"/>
        <w:widowControl/>
        <w:kinsoku/>
        <w:wordWrap/>
        <w:overflowPunct/>
        <w:topLinePunct w:val="0"/>
        <w:autoSpaceDE w:val="0"/>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val="en-US" w:eastAsia="zh-CN"/>
        </w:rPr>
        <w:t>2022</w:t>
      </w:r>
      <w:r>
        <w:rPr>
          <w:rFonts w:hint="eastAsia" w:ascii="仿宋_GB2312" w:hAnsi="Times New Roman" w:eastAsia="仿宋_GB2312" w:cs="Times New Roman"/>
          <w:color w:val="000000"/>
          <w:kern w:val="0"/>
          <w:sz w:val="32"/>
          <w:szCs w:val="32"/>
          <w:shd w:val="clear" w:color="auto" w:fill="FFFFFF"/>
        </w:rPr>
        <w:t>年，本单位全年总收入</w:t>
      </w:r>
      <w:r>
        <w:rPr>
          <w:rFonts w:hint="eastAsia" w:ascii="仿宋_GB2312" w:hAnsi="Times New Roman" w:eastAsia="仿宋_GB2312" w:cs="Times New Roman"/>
          <w:color w:val="000000"/>
          <w:kern w:val="0"/>
          <w:sz w:val="32"/>
          <w:szCs w:val="32"/>
          <w:shd w:val="clear" w:color="auto" w:fill="FFFFFF"/>
          <w:lang w:val="en-US" w:eastAsia="zh-CN"/>
        </w:rPr>
        <w:t>344.57万</w:t>
      </w:r>
      <w:r>
        <w:rPr>
          <w:rFonts w:hint="eastAsia" w:ascii="仿宋_GB2312" w:hAnsi="Times New Roman" w:eastAsia="仿宋_GB2312" w:cs="Times New Roman"/>
          <w:color w:val="000000"/>
          <w:kern w:val="0"/>
          <w:sz w:val="32"/>
          <w:szCs w:val="32"/>
          <w:shd w:val="clear" w:color="auto" w:fill="FFFFFF"/>
        </w:rPr>
        <w:t>元。财政拨款收入</w:t>
      </w:r>
      <w:r>
        <w:rPr>
          <w:rFonts w:hint="eastAsia" w:ascii="仿宋_GB2312" w:hAnsi="Times New Roman" w:eastAsia="仿宋_GB2312" w:cs="Times New Roman"/>
          <w:color w:val="000000"/>
          <w:kern w:val="0"/>
          <w:sz w:val="32"/>
          <w:szCs w:val="32"/>
          <w:shd w:val="clear" w:color="auto" w:fill="FFFFFF"/>
          <w:lang w:val="en-US" w:eastAsia="zh-CN"/>
        </w:rPr>
        <w:t>342.40万</w:t>
      </w:r>
      <w:r>
        <w:rPr>
          <w:rFonts w:hint="eastAsia" w:ascii="仿宋_GB2312" w:hAnsi="Times New Roman" w:eastAsia="仿宋_GB2312" w:cs="Times New Roman"/>
          <w:color w:val="000000"/>
          <w:kern w:val="0"/>
          <w:sz w:val="32"/>
          <w:szCs w:val="32"/>
          <w:shd w:val="clear" w:color="auto" w:fill="FFFFFF"/>
        </w:rPr>
        <w:t>元</w:t>
      </w:r>
      <w:r>
        <w:rPr>
          <w:rFonts w:hint="eastAsia" w:ascii="仿宋_GB2312" w:hAnsi="Times New Roman" w:eastAsia="仿宋_GB2312" w:cs="Times New Roman"/>
          <w:color w:val="000000"/>
          <w:kern w:val="0"/>
          <w:sz w:val="32"/>
          <w:szCs w:val="32"/>
          <w:shd w:val="clear" w:color="auto" w:fill="FFFFFF"/>
          <w:lang w:val="en-US" w:eastAsia="zh-CN"/>
        </w:rPr>
        <w:t>,其他收入2.17万元。</w:t>
      </w:r>
      <w:r>
        <w:rPr>
          <w:rFonts w:hint="eastAsia" w:ascii="仿宋_GB2312" w:hAnsi="Times New Roman" w:eastAsia="仿宋_GB2312" w:cs="Times New Roman"/>
          <w:color w:val="000000"/>
          <w:kern w:val="0"/>
          <w:sz w:val="32"/>
          <w:szCs w:val="32"/>
          <w:shd w:val="clear" w:color="auto" w:fill="FFFFFF"/>
        </w:rPr>
        <w:t>其中：基本拨款</w:t>
      </w:r>
      <w:r>
        <w:rPr>
          <w:rFonts w:hint="eastAsia" w:ascii="仿宋_GB2312" w:hAnsi="Times New Roman" w:eastAsia="仿宋_GB2312" w:cs="Times New Roman"/>
          <w:color w:val="000000"/>
          <w:kern w:val="0"/>
          <w:sz w:val="32"/>
          <w:szCs w:val="32"/>
          <w:shd w:val="clear" w:color="auto" w:fill="FFFFFF"/>
          <w:lang w:val="en-US" w:eastAsia="zh-CN"/>
        </w:rPr>
        <w:t>241.72万</w:t>
      </w:r>
      <w:r>
        <w:rPr>
          <w:rFonts w:hint="eastAsia" w:ascii="仿宋_GB2312" w:hAnsi="Times New Roman" w:eastAsia="仿宋_GB2312" w:cs="Times New Roman"/>
          <w:color w:val="000000"/>
          <w:kern w:val="0"/>
          <w:sz w:val="32"/>
          <w:szCs w:val="32"/>
          <w:shd w:val="clear" w:color="auto" w:fill="FFFFFF"/>
        </w:rPr>
        <w:t>元、项目拨款</w:t>
      </w:r>
      <w:r>
        <w:rPr>
          <w:rFonts w:hint="eastAsia" w:ascii="仿宋_GB2312" w:hAnsi="Times New Roman" w:eastAsia="仿宋_GB2312" w:cs="Times New Roman"/>
          <w:color w:val="000000"/>
          <w:kern w:val="0"/>
          <w:sz w:val="32"/>
          <w:szCs w:val="32"/>
          <w:shd w:val="clear" w:color="auto" w:fill="FFFFFF"/>
          <w:lang w:val="en-US" w:eastAsia="zh-CN"/>
        </w:rPr>
        <w:t>100.68万</w:t>
      </w:r>
      <w:r>
        <w:rPr>
          <w:rFonts w:hint="eastAsia" w:ascii="仿宋_GB2312" w:hAnsi="Times New Roman" w:eastAsia="仿宋_GB2312" w:cs="Times New Roman"/>
          <w:color w:val="000000"/>
          <w:kern w:val="0"/>
          <w:sz w:val="32"/>
          <w:szCs w:val="32"/>
          <w:shd w:val="clear" w:color="auto" w:fill="FFFFFF"/>
        </w:rPr>
        <w:t>元。</w:t>
      </w:r>
    </w:p>
    <w:p>
      <w:pPr>
        <w:keepNext w:val="0"/>
        <w:keepLines w:val="0"/>
        <w:pageBreakBefore w:val="0"/>
        <w:numPr>
          <w:ilvl w:val="0"/>
          <w:numId w:val="5"/>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outlineLvl w:val="2"/>
        <w:rPr>
          <w:rFonts w:hint="eastAsia" w:ascii="楷体_GB2312" w:eastAsia="楷体_GB2312"/>
          <w:color w:val="000000"/>
          <w:sz w:val="32"/>
          <w:szCs w:val="32"/>
        </w:rPr>
      </w:pPr>
      <w:bookmarkStart w:id="92" w:name="_Toc1398"/>
      <w:r>
        <w:rPr>
          <w:rFonts w:hint="eastAsia" w:ascii="楷体_GB2312" w:eastAsia="楷体_GB2312"/>
          <w:color w:val="000000"/>
          <w:sz w:val="32"/>
          <w:szCs w:val="32"/>
        </w:rPr>
        <w:t>部门财政资金支出情况</w:t>
      </w:r>
      <w:bookmarkEnd w:id="92"/>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全年总支出</w:t>
      </w:r>
      <w:r>
        <w:rPr>
          <w:rFonts w:hint="eastAsia" w:ascii="仿宋_GB2312" w:hAnsi="Times New Roman" w:eastAsia="仿宋_GB2312" w:cs="Times New Roman"/>
          <w:color w:val="000000"/>
          <w:kern w:val="0"/>
          <w:sz w:val="32"/>
          <w:szCs w:val="32"/>
          <w:shd w:val="clear" w:color="auto" w:fill="FFFFFF"/>
          <w:lang w:val="en-US" w:eastAsia="zh-CN"/>
        </w:rPr>
        <w:t>344.57万</w:t>
      </w:r>
      <w:r>
        <w:rPr>
          <w:rFonts w:hint="eastAsia" w:ascii="仿宋_GB2312" w:hAnsi="Times New Roman" w:eastAsia="仿宋_GB2312" w:cs="Times New Roman"/>
          <w:color w:val="000000"/>
          <w:kern w:val="0"/>
          <w:sz w:val="32"/>
          <w:szCs w:val="32"/>
          <w:shd w:val="clear" w:color="auto" w:fill="FFFFFF"/>
        </w:rPr>
        <w:t>元。财政拨款支出</w:t>
      </w:r>
      <w:r>
        <w:rPr>
          <w:rFonts w:hint="eastAsia" w:ascii="仿宋_GB2312" w:hAnsi="Times New Roman" w:eastAsia="仿宋_GB2312" w:cs="Times New Roman"/>
          <w:color w:val="000000"/>
          <w:kern w:val="0"/>
          <w:sz w:val="32"/>
          <w:szCs w:val="32"/>
          <w:shd w:val="clear" w:color="auto" w:fill="FFFFFF"/>
          <w:lang w:val="en-US" w:eastAsia="zh-CN"/>
        </w:rPr>
        <w:t>344.57万</w:t>
      </w:r>
      <w:r>
        <w:rPr>
          <w:rFonts w:hint="eastAsia" w:ascii="仿宋_GB2312" w:hAnsi="Times New Roman" w:eastAsia="仿宋_GB2312" w:cs="Times New Roman"/>
          <w:color w:val="000000"/>
          <w:kern w:val="0"/>
          <w:sz w:val="32"/>
          <w:szCs w:val="32"/>
          <w:shd w:val="clear" w:color="auto" w:fill="FFFFFF"/>
        </w:rPr>
        <w:t>元。其中：基本</w:t>
      </w:r>
      <w:r>
        <w:rPr>
          <w:rFonts w:hint="eastAsia" w:ascii="仿宋_GB2312" w:hAnsi="Times New Roman" w:eastAsia="仿宋_GB2312" w:cs="Times New Roman"/>
          <w:color w:val="000000"/>
          <w:kern w:val="0"/>
          <w:sz w:val="32"/>
          <w:szCs w:val="32"/>
          <w:shd w:val="clear" w:color="auto" w:fill="FFFFFF"/>
          <w:lang w:eastAsia="zh-CN"/>
        </w:rPr>
        <w:t>支出</w:t>
      </w:r>
      <w:r>
        <w:rPr>
          <w:rFonts w:hint="eastAsia" w:ascii="仿宋_GB2312" w:hAnsi="Times New Roman" w:eastAsia="仿宋_GB2312" w:cs="Times New Roman"/>
          <w:color w:val="000000"/>
          <w:kern w:val="0"/>
          <w:sz w:val="32"/>
          <w:szCs w:val="32"/>
          <w:shd w:val="clear" w:color="auto" w:fill="FFFFFF"/>
          <w:lang w:val="en-US" w:eastAsia="zh-CN"/>
        </w:rPr>
        <w:t>243.89万</w:t>
      </w:r>
      <w:r>
        <w:rPr>
          <w:rFonts w:hint="eastAsia" w:ascii="仿宋_GB2312" w:hAnsi="Times New Roman" w:eastAsia="仿宋_GB2312" w:cs="Times New Roman"/>
          <w:color w:val="000000"/>
          <w:kern w:val="0"/>
          <w:sz w:val="32"/>
          <w:szCs w:val="32"/>
          <w:shd w:val="clear" w:color="auto" w:fill="FFFFFF"/>
        </w:rPr>
        <w:t>元、项目</w:t>
      </w:r>
      <w:r>
        <w:rPr>
          <w:rFonts w:hint="eastAsia" w:ascii="仿宋_GB2312" w:hAnsi="Times New Roman" w:eastAsia="仿宋_GB2312" w:cs="Times New Roman"/>
          <w:color w:val="000000"/>
          <w:kern w:val="0"/>
          <w:sz w:val="32"/>
          <w:szCs w:val="32"/>
          <w:shd w:val="clear" w:color="auto" w:fill="FFFFFF"/>
          <w:lang w:eastAsia="zh-CN"/>
        </w:rPr>
        <w:t>支出</w:t>
      </w:r>
      <w:r>
        <w:rPr>
          <w:rFonts w:hint="eastAsia" w:ascii="仿宋_GB2312" w:hAnsi="Times New Roman" w:eastAsia="仿宋_GB2312" w:cs="Times New Roman"/>
          <w:color w:val="000000"/>
          <w:kern w:val="0"/>
          <w:sz w:val="32"/>
          <w:szCs w:val="32"/>
          <w:shd w:val="clear" w:color="auto" w:fill="FFFFFF"/>
          <w:lang w:val="en-US" w:eastAsia="zh-CN"/>
        </w:rPr>
        <w:t>100.68万</w:t>
      </w:r>
      <w:r>
        <w:rPr>
          <w:rFonts w:hint="eastAsia" w:ascii="仿宋_GB2312" w:hAnsi="Times New Roman" w:eastAsia="仿宋_GB2312" w:cs="Times New Roman"/>
          <w:color w:val="000000"/>
          <w:kern w:val="0"/>
          <w:sz w:val="32"/>
          <w:szCs w:val="32"/>
          <w:shd w:val="clear" w:color="auto" w:fill="FFFFFF"/>
        </w:rPr>
        <w:t>元。</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eastAsia="zh-CN"/>
        </w:rPr>
        <w:t>从支出的功能分类看：行政运行支出</w:t>
      </w:r>
      <w:r>
        <w:rPr>
          <w:rFonts w:hint="eastAsia" w:ascii="仿宋_GB2312" w:hAnsi="Times New Roman" w:eastAsia="仿宋_GB2312" w:cs="Times New Roman"/>
          <w:color w:val="000000"/>
          <w:kern w:val="0"/>
          <w:sz w:val="32"/>
          <w:szCs w:val="32"/>
          <w:shd w:val="clear" w:color="auto" w:fill="FFFFFF"/>
          <w:lang w:val="en-US" w:eastAsia="zh-CN"/>
        </w:rPr>
        <w:t>127.7</w:t>
      </w:r>
      <w:r>
        <w:rPr>
          <w:rFonts w:hint="eastAsia" w:ascii="仿宋_GB2312" w:eastAsia="仿宋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lang w:val="en-US" w:eastAsia="zh-CN"/>
        </w:rPr>
        <w:t>万元，占全年支出37.0</w:t>
      </w:r>
      <w:r>
        <w:rPr>
          <w:rFonts w:hint="eastAsia" w:ascii="仿宋_GB2312" w:eastAsia="仿宋_GB2312" w:cs="Times New Roman"/>
          <w:color w:val="000000"/>
          <w:kern w:val="0"/>
          <w:sz w:val="32"/>
          <w:szCs w:val="32"/>
          <w:shd w:val="clear" w:color="auto" w:fill="FFFFFF"/>
          <w:lang w:val="en-US" w:eastAsia="zh-CN"/>
        </w:rPr>
        <w:t>6</w:t>
      </w:r>
      <w:r>
        <w:rPr>
          <w:rFonts w:hint="eastAsia" w:ascii="仿宋_GB2312" w:hAnsi="Times New Roman" w:eastAsia="仿宋_GB2312" w:cs="Times New Roman"/>
          <w:color w:val="000000"/>
          <w:kern w:val="0"/>
          <w:sz w:val="32"/>
          <w:szCs w:val="32"/>
          <w:shd w:val="clear" w:color="auto" w:fill="FFFFFF"/>
          <w:lang w:val="en-US" w:eastAsia="zh-CN"/>
        </w:rPr>
        <w:t>%；一般行政管理事务支出19.68万元，占全年支出5.71%；</w:t>
      </w:r>
      <w:r>
        <w:rPr>
          <w:rFonts w:hint="eastAsia" w:ascii="仿宋_GB2312" w:hAnsi="Times New Roman" w:eastAsia="仿宋_GB2312" w:cs="Times New Roman"/>
          <w:color w:val="000000"/>
          <w:kern w:val="0"/>
          <w:sz w:val="32"/>
          <w:szCs w:val="32"/>
          <w:shd w:val="clear" w:color="auto" w:fill="FFFFFF"/>
          <w:lang w:eastAsia="zh-CN"/>
        </w:rPr>
        <w:t>信访事务支出</w:t>
      </w:r>
      <w:r>
        <w:rPr>
          <w:rFonts w:hint="eastAsia" w:ascii="仿宋_GB2312" w:hAnsi="Times New Roman" w:eastAsia="仿宋_GB2312" w:cs="Times New Roman"/>
          <w:color w:val="000000"/>
          <w:kern w:val="0"/>
          <w:sz w:val="32"/>
          <w:szCs w:val="32"/>
          <w:shd w:val="clear" w:color="auto" w:fill="FFFFFF"/>
          <w:lang w:val="en-US" w:eastAsia="zh-CN"/>
        </w:rPr>
        <w:t>81.00万</w:t>
      </w:r>
      <w:r>
        <w:rPr>
          <w:rFonts w:hint="eastAsia" w:ascii="仿宋_GB2312" w:hAnsi="Times New Roman" w:eastAsia="仿宋_GB2312" w:cs="Times New Roman"/>
          <w:color w:val="000000"/>
          <w:kern w:val="0"/>
          <w:sz w:val="32"/>
          <w:szCs w:val="32"/>
          <w:shd w:val="clear" w:color="auto" w:fill="FFFFFF"/>
        </w:rPr>
        <w:t>元，占全年支出</w:t>
      </w:r>
      <w:r>
        <w:rPr>
          <w:rFonts w:hint="eastAsia" w:ascii="仿宋_GB2312" w:hAnsi="Times New Roman" w:eastAsia="仿宋_GB2312" w:cs="Times New Roman"/>
          <w:color w:val="000000"/>
          <w:kern w:val="0"/>
          <w:sz w:val="32"/>
          <w:szCs w:val="32"/>
          <w:shd w:val="clear" w:color="auto" w:fill="FFFFFF"/>
          <w:lang w:val="en-US" w:eastAsia="zh-CN"/>
        </w:rPr>
        <w:t>23.51</w:t>
      </w:r>
      <w:r>
        <w:rPr>
          <w:rFonts w:hint="eastAsia" w:ascii="仿宋_GB2312" w:hAnsi="Times New Roman" w:eastAsia="仿宋_GB2312" w:cs="Times New Roman"/>
          <w:color w:val="000000"/>
          <w:kern w:val="0"/>
          <w:sz w:val="32"/>
          <w:szCs w:val="32"/>
          <w:shd w:val="clear" w:color="auto" w:fill="FFFFFF"/>
        </w:rPr>
        <w:t>%</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lang w:val="en-US" w:eastAsia="zh-CN"/>
        </w:rPr>
        <w:t>事业运行支出65.82万元，占全年支出19.10%；</w:t>
      </w:r>
      <w:r>
        <w:rPr>
          <w:rFonts w:hint="eastAsia" w:ascii="仿宋_GB2312" w:hAnsi="Times New Roman" w:eastAsia="仿宋_GB2312" w:cs="Times New Roman"/>
          <w:color w:val="000000"/>
          <w:kern w:val="0"/>
          <w:sz w:val="32"/>
          <w:szCs w:val="32"/>
          <w:shd w:val="clear" w:color="auto" w:fill="FFFFFF"/>
        </w:rPr>
        <w:t>社会保障和就业支出</w:t>
      </w:r>
      <w:r>
        <w:rPr>
          <w:rFonts w:hint="eastAsia" w:ascii="仿宋_GB2312" w:hAnsi="Times New Roman" w:eastAsia="仿宋_GB2312" w:cs="Times New Roman"/>
          <w:color w:val="000000"/>
          <w:kern w:val="0"/>
          <w:sz w:val="32"/>
          <w:szCs w:val="32"/>
          <w:shd w:val="clear" w:color="auto" w:fill="FFFFFF"/>
          <w:lang w:val="en-US" w:eastAsia="zh-CN"/>
        </w:rPr>
        <w:t>20.28万元，</w:t>
      </w:r>
      <w:r>
        <w:rPr>
          <w:rFonts w:hint="eastAsia" w:ascii="仿宋_GB2312" w:hAnsi="Times New Roman" w:eastAsia="仿宋_GB2312" w:cs="Times New Roman"/>
          <w:color w:val="000000"/>
          <w:kern w:val="0"/>
          <w:sz w:val="32"/>
          <w:szCs w:val="32"/>
          <w:shd w:val="clear" w:color="auto" w:fill="FFFFFF"/>
        </w:rPr>
        <w:t>占全年支出</w:t>
      </w:r>
      <w:r>
        <w:rPr>
          <w:rFonts w:hint="eastAsia" w:ascii="仿宋_GB2312" w:hAnsi="Times New Roman" w:eastAsia="仿宋_GB2312" w:cs="Times New Roman"/>
          <w:color w:val="000000"/>
          <w:kern w:val="0"/>
          <w:sz w:val="32"/>
          <w:szCs w:val="32"/>
          <w:shd w:val="clear" w:color="auto" w:fill="FFFFFF"/>
          <w:lang w:val="en-US" w:eastAsia="zh-CN"/>
        </w:rPr>
        <w:t>5.8</w:t>
      </w:r>
      <w:r>
        <w:rPr>
          <w:rFonts w:hint="eastAsia" w:ascii="仿宋_GB2312" w:eastAsia="仿宋_GB2312" w:cs="Times New Roman"/>
          <w:color w:val="000000"/>
          <w:kern w:val="0"/>
          <w:sz w:val="32"/>
          <w:szCs w:val="32"/>
          <w:shd w:val="clear" w:color="auto" w:fill="FFFFFF"/>
          <w:lang w:val="en-US" w:eastAsia="zh-CN"/>
        </w:rPr>
        <w:t>9</w:t>
      </w:r>
      <w:r>
        <w:rPr>
          <w:rFonts w:hint="eastAsia" w:ascii="仿宋_GB2312" w:hAnsi="Times New Roman" w:eastAsia="仿宋_GB2312" w:cs="Times New Roman"/>
          <w:color w:val="000000"/>
          <w:kern w:val="0"/>
          <w:sz w:val="32"/>
          <w:szCs w:val="32"/>
          <w:shd w:val="clear" w:color="auto" w:fill="FFFFFF"/>
        </w:rPr>
        <w:t>%，</w:t>
      </w:r>
      <w:r>
        <w:rPr>
          <w:rFonts w:hint="eastAsia" w:ascii="仿宋_GB2312" w:hAnsi="Times New Roman" w:eastAsia="仿宋_GB2312" w:cs="Times New Roman"/>
          <w:color w:val="000000"/>
          <w:kern w:val="0"/>
          <w:sz w:val="32"/>
          <w:szCs w:val="32"/>
          <w:shd w:val="clear" w:color="auto" w:fill="FFFFFF"/>
          <w:lang w:eastAsia="zh-CN"/>
        </w:rPr>
        <w:t>卫生健康支出</w:t>
      </w:r>
      <w:r>
        <w:rPr>
          <w:rFonts w:hint="eastAsia" w:ascii="仿宋_GB2312" w:hAnsi="Times New Roman" w:eastAsia="仿宋_GB2312" w:cs="Times New Roman"/>
          <w:color w:val="000000"/>
          <w:kern w:val="0"/>
          <w:sz w:val="32"/>
          <w:szCs w:val="32"/>
          <w:shd w:val="clear" w:color="auto" w:fill="FFFFFF"/>
          <w:lang w:val="en-US" w:eastAsia="zh-CN"/>
        </w:rPr>
        <w:t>10.47万元，</w:t>
      </w:r>
      <w:r>
        <w:rPr>
          <w:rFonts w:hint="eastAsia" w:ascii="仿宋_GB2312" w:hAnsi="Times New Roman" w:eastAsia="仿宋_GB2312" w:cs="Times New Roman"/>
          <w:color w:val="000000"/>
          <w:kern w:val="0"/>
          <w:sz w:val="32"/>
          <w:szCs w:val="32"/>
          <w:shd w:val="clear" w:color="auto" w:fill="FFFFFF"/>
        </w:rPr>
        <w:t>占全年支出</w:t>
      </w:r>
      <w:r>
        <w:rPr>
          <w:rFonts w:hint="eastAsia" w:ascii="仿宋_GB2312" w:hAnsi="Times New Roman" w:eastAsia="仿宋_GB2312" w:cs="Times New Roman"/>
          <w:color w:val="000000"/>
          <w:kern w:val="0"/>
          <w:sz w:val="32"/>
          <w:szCs w:val="32"/>
          <w:shd w:val="clear" w:color="auto" w:fill="FFFFFF"/>
          <w:lang w:val="en-US" w:eastAsia="zh-CN"/>
        </w:rPr>
        <w:t>3.04</w:t>
      </w:r>
      <w:r>
        <w:rPr>
          <w:rFonts w:hint="eastAsia" w:ascii="仿宋_GB2312" w:hAnsi="Times New Roman" w:eastAsia="仿宋_GB2312" w:cs="Times New Roman"/>
          <w:color w:val="000000"/>
          <w:kern w:val="0"/>
          <w:sz w:val="32"/>
          <w:szCs w:val="32"/>
          <w:shd w:val="clear" w:color="auto" w:fill="FFFFFF"/>
        </w:rPr>
        <w:t>%</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lang w:val="en-US" w:eastAsia="zh-CN"/>
        </w:rPr>
        <w:t>住房保障支出19.60万元，占全年支出5.69%。</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outlineLvl w:val="1"/>
        <w:rPr>
          <w:rFonts w:hint="eastAsia" w:ascii="黑体" w:hAnsi="黑体" w:eastAsia="黑体" w:cs="Times New Roman"/>
          <w:color w:val="000000"/>
          <w:kern w:val="0"/>
          <w:sz w:val="32"/>
          <w:szCs w:val="32"/>
          <w:shd w:val="clear" w:color="auto" w:fill="FFFFFF"/>
        </w:rPr>
      </w:pPr>
      <w:bookmarkStart w:id="93" w:name="_Toc17522"/>
      <w:r>
        <w:rPr>
          <w:rFonts w:hint="eastAsia" w:ascii="黑体" w:hAnsi="黑体" w:eastAsia="黑体" w:cs="Times New Roman"/>
          <w:color w:val="000000"/>
          <w:kern w:val="0"/>
          <w:sz w:val="32"/>
          <w:szCs w:val="32"/>
          <w:shd w:val="clear" w:color="auto" w:fill="FFFFFF"/>
        </w:rPr>
        <w:t>三、部门整体预算绩效管理情况</w:t>
      </w:r>
      <w:bookmarkEnd w:id="93"/>
    </w:p>
    <w:p>
      <w:pPr>
        <w:keepNext w:val="0"/>
        <w:keepLines w:val="0"/>
        <w:pageBreakBefore w:val="0"/>
        <w:numPr>
          <w:ilvl w:val="0"/>
          <w:numId w:val="6"/>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部门预算项目绩效管理。</w:t>
      </w:r>
      <w:r>
        <w:rPr>
          <w:rFonts w:hint="eastAsia" w:ascii="仿宋_GB2312" w:hAnsi="Times New Roman" w:eastAsia="仿宋_GB2312" w:cs="Times New Roman"/>
          <w:color w:val="000000"/>
          <w:kern w:val="0"/>
          <w:sz w:val="32"/>
          <w:szCs w:val="32"/>
          <w:shd w:val="clear" w:color="auto" w:fill="FFFFFF"/>
        </w:rPr>
        <w:t>预算编制严格按照预算编制方案科学合理编制本部门预算，提前做好情况摸底、数据收集、填报绩效目标、细化专项预算，根据定员和人员经费标准、日常公用经费定额计算确定经费预算，从严控制经费，按照“零增长”的原则编制“三公经费”预算，压缩公业务费。科学编制项目支出，按照“谁申请资金，谁编制目标”的要求，编制部门预算项目绩效目标。按时完成预算编制报送工作。</w:t>
      </w:r>
    </w:p>
    <w:p>
      <w:pPr>
        <w:keepNext w:val="0"/>
        <w:keepLines w:val="0"/>
        <w:pageBreakBefore w:val="0"/>
        <w:numPr>
          <w:ilvl w:val="0"/>
          <w:numId w:val="6"/>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rPr>
          <w:rFonts w:ascii="仿宋_GB2312" w:hAnsi="宋体" w:eastAsia="仿宋_GB2312" w:cs="仿宋_GB2312"/>
          <w:i w:val="0"/>
          <w:iCs w:val="0"/>
          <w:caps w:val="0"/>
          <w:color w:val="333333"/>
          <w:spacing w:val="0"/>
          <w:sz w:val="32"/>
          <w:szCs w:val="32"/>
          <w:shd w:val="clear" w:fill="FFFFFF"/>
        </w:rPr>
      </w:pPr>
      <w:r>
        <w:rPr>
          <w:rFonts w:hint="eastAsia" w:ascii="楷体_GB2312" w:hAnsi="Times New Roman" w:eastAsia="楷体_GB2312" w:cs="Times New Roman"/>
          <w:color w:val="000000"/>
          <w:kern w:val="0"/>
          <w:sz w:val="32"/>
          <w:szCs w:val="32"/>
          <w:shd w:val="clear" w:color="auto" w:fill="FFFFFF"/>
        </w:rPr>
        <w:t>结果应用情况。</w:t>
      </w:r>
      <w:r>
        <w:rPr>
          <w:rFonts w:ascii="仿宋_GB2312" w:hAnsi="宋体" w:eastAsia="仿宋_GB2312" w:cs="仿宋_GB2312"/>
          <w:i w:val="0"/>
          <w:iCs w:val="0"/>
          <w:caps w:val="0"/>
          <w:color w:val="333333"/>
          <w:spacing w:val="0"/>
          <w:sz w:val="32"/>
          <w:szCs w:val="32"/>
          <w:shd w:val="clear" w:fill="FFFFFF"/>
        </w:rPr>
        <w:t>认真开展部门绩效评价工作。从整体上看，202</w:t>
      </w:r>
      <w:r>
        <w:rPr>
          <w:rFonts w:hint="eastAsia" w:ascii="仿宋_GB2312" w:hAnsi="宋体" w:eastAsia="仿宋_GB2312" w:cs="仿宋_GB2312"/>
          <w:i w:val="0"/>
          <w:iCs w:val="0"/>
          <w:caps w:val="0"/>
          <w:color w:val="333333"/>
          <w:spacing w:val="0"/>
          <w:sz w:val="32"/>
          <w:szCs w:val="32"/>
          <w:shd w:val="clear" w:fill="FFFFFF"/>
          <w:lang w:val="en-US" w:eastAsia="zh-CN"/>
        </w:rPr>
        <w:t>2</w:t>
      </w:r>
      <w:r>
        <w:rPr>
          <w:rFonts w:ascii="仿宋_GB2312" w:hAnsi="宋体" w:eastAsia="仿宋_GB2312" w:cs="仿宋_GB2312"/>
          <w:i w:val="0"/>
          <w:iCs w:val="0"/>
          <w:caps w:val="0"/>
          <w:color w:val="333333"/>
          <w:spacing w:val="0"/>
          <w:sz w:val="32"/>
          <w:szCs w:val="32"/>
          <w:shd w:val="clear" w:fill="FFFFFF"/>
        </w:rPr>
        <w:t>年度，</w:t>
      </w:r>
      <w:r>
        <w:rPr>
          <w:rFonts w:hint="eastAsia" w:ascii="仿宋_GB2312" w:hAnsi="宋体" w:eastAsia="仿宋_GB2312" w:cs="仿宋_GB2312"/>
          <w:i w:val="0"/>
          <w:iCs w:val="0"/>
          <w:caps w:val="0"/>
          <w:color w:val="333333"/>
          <w:spacing w:val="0"/>
          <w:sz w:val="32"/>
          <w:szCs w:val="32"/>
          <w:shd w:val="clear" w:fill="FFFFFF"/>
          <w:lang w:eastAsia="zh-CN"/>
        </w:rPr>
        <w:t>群工局</w:t>
      </w:r>
      <w:r>
        <w:rPr>
          <w:rFonts w:ascii="仿宋_GB2312" w:hAnsi="宋体" w:eastAsia="仿宋_GB2312" w:cs="仿宋_GB2312"/>
          <w:i w:val="0"/>
          <w:iCs w:val="0"/>
          <w:caps w:val="0"/>
          <w:color w:val="333333"/>
          <w:spacing w:val="0"/>
          <w:sz w:val="32"/>
          <w:szCs w:val="32"/>
          <w:shd w:val="clear" w:fill="FFFFFF"/>
        </w:rPr>
        <w:t>资金管理规范，政策执行有力，有效发挥了财政资金的使用效率。绩效目标基本达成，服务对象满意度超过95%，并取得了良好的社会效益。</w:t>
      </w:r>
    </w:p>
    <w:p>
      <w:pPr>
        <w:keepNext w:val="0"/>
        <w:keepLines w:val="0"/>
        <w:pageBreakBefore w:val="0"/>
        <w:numPr>
          <w:ilvl w:val="0"/>
          <w:numId w:val="6"/>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rPr>
          <w:rFonts w:hint="eastAsia" w:ascii="黑体" w:hAnsi="黑体" w:eastAsia="黑体"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自评质量。</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2年</w:t>
      </w:r>
      <w:r>
        <w:rPr>
          <w:rFonts w:hint="eastAsia" w:ascii="仿宋_GB2312" w:hAnsi="宋体" w:eastAsia="仿宋_GB2312" w:cs="仿宋_GB2312"/>
          <w:i w:val="0"/>
          <w:iCs w:val="0"/>
          <w:caps w:val="0"/>
          <w:color w:val="333333"/>
          <w:spacing w:val="0"/>
          <w:sz w:val="32"/>
          <w:szCs w:val="32"/>
          <w:shd w:val="clear" w:fill="FFFFFF"/>
        </w:rPr>
        <w:t>通过加强预算收支管理，不断建立健全内部管理制度，梳理内部管理流程，整体支出管理水平得到提升。根据部门整体支出绩效评价指标体系，我单位202</w:t>
      </w:r>
      <w:r>
        <w:rPr>
          <w:rFonts w:hint="eastAsia" w:ascii="仿宋_GB2312" w:hAnsi="宋体" w:eastAsia="仿宋_GB2312" w:cs="仿宋_GB2312"/>
          <w:i w:val="0"/>
          <w:iCs w:val="0"/>
          <w:caps w:val="0"/>
          <w:color w:val="333333"/>
          <w:spacing w:val="0"/>
          <w:sz w:val="32"/>
          <w:szCs w:val="32"/>
          <w:shd w:val="clear" w:fill="FFFFFF"/>
          <w:lang w:val="en-US" w:eastAsia="zh-CN"/>
        </w:rPr>
        <w:t>2</w:t>
      </w:r>
      <w:r>
        <w:rPr>
          <w:rFonts w:hint="eastAsia" w:ascii="仿宋_GB2312" w:hAnsi="宋体" w:eastAsia="仿宋_GB2312" w:cs="仿宋_GB2312"/>
          <w:i w:val="0"/>
          <w:iCs w:val="0"/>
          <w:caps w:val="0"/>
          <w:color w:val="333333"/>
          <w:spacing w:val="0"/>
          <w:sz w:val="32"/>
          <w:szCs w:val="32"/>
          <w:shd w:val="clear" w:fill="FFFFFF"/>
        </w:rPr>
        <w:t>年度部门整体支出绩效自评</w:t>
      </w:r>
      <w:r>
        <w:rPr>
          <w:rFonts w:hint="eastAsia" w:ascii="仿宋_GB2312" w:hAnsi="宋体" w:eastAsia="仿宋_GB2312" w:cs="仿宋_GB2312"/>
          <w:i w:val="0"/>
          <w:iCs w:val="0"/>
          <w:caps w:val="0"/>
          <w:color w:val="333333"/>
          <w:spacing w:val="0"/>
          <w:sz w:val="32"/>
          <w:szCs w:val="32"/>
          <w:shd w:val="clear" w:fill="FFFFFF"/>
          <w:lang w:val="en-US" w:eastAsia="zh-CN"/>
        </w:rPr>
        <w:t>91</w:t>
      </w:r>
      <w:r>
        <w:rPr>
          <w:rFonts w:hint="eastAsia" w:ascii="仿宋_GB2312" w:hAnsi="宋体" w:eastAsia="仿宋_GB2312" w:cs="仿宋_GB2312"/>
          <w:i w:val="0"/>
          <w:iCs w:val="0"/>
          <w:caps w:val="0"/>
          <w:color w:val="333333"/>
          <w:spacing w:val="0"/>
          <w:sz w:val="32"/>
          <w:szCs w:val="32"/>
          <w:shd w:val="clear" w:fill="FFFFFF"/>
        </w:rPr>
        <w:t>分，具体评价如下：预算编制较好得</w:t>
      </w:r>
      <w:r>
        <w:rPr>
          <w:rFonts w:hint="eastAsia" w:ascii="仿宋_GB2312" w:hAnsi="宋体" w:eastAsia="仿宋_GB2312" w:cs="仿宋_GB2312"/>
          <w:i w:val="0"/>
          <w:iCs w:val="0"/>
          <w:caps w:val="0"/>
          <w:color w:val="333333"/>
          <w:spacing w:val="0"/>
          <w:sz w:val="32"/>
          <w:szCs w:val="32"/>
          <w:shd w:val="clear" w:fill="FFFFFF"/>
          <w:lang w:val="en-US" w:eastAsia="zh-CN"/>
        </w:rPr>
        <w:t>25</w:t>
      </w:r>
      <w:r>
        <w:rPr>
          <w:rFonts w:hint="eastAsia" w:ascii="仿宋_GB2312" w:hAnsi="宋体" w:eastAsia="仿宋_GB2312" w:cs="仿宋_GB2312"/>
          <w:i w:val="0"/>
          <w:iCs w:val="0"/>
          <w:caps w:val="0"/>
          <w:color w:val="333333"/>
          <w:spacing w:val="0"/>
          <w:sz w:val="32"/>
          <w:szCs w:val="32"/>
          <w:shd w:val="clear" w:fill="FFFFFF"/>
        </w:rPr>
        <w:t>分，预算执行比较到位得</w:t>
      </w:r>
      <w:r>
        <w:rPr>
          <w:rFonts w:hint="eastAsia" w:ascii="仿宋_GB2312" w:hAnsi="宋体" w:eastAsia="仿宋_GB2312" w:cs="仿宋_GB2312"/>
          <w:i w:val="0"/>
          <w:iCs w:val="0"/>
          <w:caps w:val="0"/>
          <w:color w:val="333333"/>
          <w:spacing w:val="0"/>
          <w:sz w:val="32"/>
          <w:szCs w:val="32"/>
          <w:shd w:val="clear" w:fill="FFFFFF"/>
          <w:lang w:val="en-US" w:eastAsia="zh-CN"/>
        </w:rPr>
        <w:t>20</w:t>
      </w:r>
      <w:r>
        <w:rPr>
          <w:rFonts w:hint="eastAsia" w:ascii="仿宋_GB2312" w:hAnsi="宋体" w:eastAsia="仿宋_GB2312" w:cs="仿宋_GB2312"/>
          <w:i w:val="0"/>
          <w:iCs w:val="0"/>
          <w:caps w:val="0"/>
          <w:color w:val="333333"/>
          <w:spacing w:val="0"/>
          <w:sz w:val="32"/>
          <w:szCs w:val="32"/>
          <w:shd w:val="clear" w:fill="FFFFFF"/>
        </w:rPr>
        <w:t>分，</w:t>
      </w:r>
      <w:r>
        <w:rPr>
          <w:rFonts w:hint="eastAsia" w:ascii="仿宋_GB2312" w:hAnsi="宋体" w:eastAsia="仿宋_GB2312" w:cs="仿宋_GB2312"/>
          <w:i w:val="0"/>
          <w:iCs w:val="0"/>
          <w:caps w:val="0"/>
          <w:color w:val="333333"/>
          <w:spacing w:val="0"/>
          <w:sz w:val="32"/>
          <w:szCs w:val="32"/>
          <w:shd w:val="clear" w:fill="FFFFFF"/>
          <w:lang w:eastAsia="zh-CN"/>
        </w:rPr>
        <w:t>预算管理整体质量</w:t>
      </w:r>
      <w:r>
        <w:rPr>
          <w:rFonts w:hint="eastAsia" w:ascii="仿宋_GB2312" w:hAnsi="宋体" w:eastAsia="仿宋_GB2312" w:cs="仿宋_GB2312"/>
          <w:i w:val="0"/>
          <w:iCs w:val="0"/>
          <w:caps w:val="0"/>
          <w:color w:val="333333"/>
          <w:spacing w:val="0"/>
          <w:sz w:val="32"/>
          <w:szCs w:val="32"/>
          <w:shd w:val="clear" w:fill="FFFFFF"/>
        </w:rPr>
        <w:t>得</w:t>
      </w:r>
      <w:r>
        <w:rPr>
          <w:rFonts w:hint="eastAsia" w:ascii="仿宋_GB2312" w:hAnsi="宋体" w:eastAsia="仿宋_GB2312" w:cs="仿宋_GB2312"/>
          <w:i w:val="0"/>
          <w:iCs w:val="0"/>
          <w:caps w:val="0"/>
          <w:color w:val="333333"/>
          <w:spacing w:val="0"/>
          <w:sz w:val="32"/>
          <w:szCs w:val="32"/>
          <w:shd w:val="clear" w:fill="FFFFFF"/>
          <w:lang w:val="en-US" w:eastAsia="zh-CN"/>
        </w:rPr>
        <w:t>20</w:t>
      </w:r>
      <w:r>
        <w:rPr>
          <w:rFonts w:hint="eastAsia" w:ascii="仿宋_GB2312" w:hAnsi="宋体" w:eastAsia="仿宋_GB2312" w:cs="仿宋_GB2312"/>
          <w:i w:val="0"/>
          <w:iCs w:val="0"/>
          <w:caps w:val="0"/>
          <w:color w:val="333333"/>
          <w:spacing w:val="0"/>
          <w:sz w:val="32"/>
          <w:szCs w:val="32"/>
          <w:shd w:val="clear" w:fill="FFFFFF"/>
        </w:rPr>
        <w:t>分，</w:t>
      </w:r>
      <w:r>
        <w:rPr>
          <w:rFonts w:hint="eastAsia" w:ascii="仿宋_GB2312" w:hAnsi="宋体" w:eastAsia="仿宋_GB2312" w:cs="仿宋_GB2312"/>
          <w:i w:val="0"/>
          <w:iCs w:val="0"/>
          <w:caps w:val="0"/>
          <w:color w:val="333333"/>
          <w:spacing w:val="0"/>
          <w:sz w:val="32"/>
          <w:szCs w:val="32"/>
          <w:shd w:val="clear" w:fill="FFFFFF"/>
          <w:lang w:eastAsia="zh-CN"/>
        </w:rPr>
        <w:t>绩效结果运用合理</w:t>
      </w:r>
      <w:r>
        <w:rPr>
          <w:rFonts w:hint="eastAsia" w:ascii="仿宋_GB2312" w:hAnsi="宋体" w:eastAsia="仿宋_GB2312" w:cs="仿宋_GB2312"/>
          <w:i w:val="0"/>
          <w:iCs w:val="0"/>
          <w:caps w:val="0"/>
          <w:color w:val="333333"/>
          <w:spacing w:val="0"/>
          <w:sz w:val="32"/>
          <w:szCs w:val="32"/>
          <w:shd w:val="clear" w:fill="FFFFFF"/>
        </w:rPr>
        <w:t>得</w:t>
      </w:r>
      <w:r>
        <w:rPr>
          <w:rFonts w:hint="eastAsia" w:ascii="仿宋_GB2312" w:hAnsi="宋体" w:eastAsia="仿宋_GB2312" w:cs="仿宋_GB2312"/>
          <w:i w:val="0"/>
          <w:iCs w:val="0"/>
          <w:caps w:val="0"/>
          <w:color w:val="333333"/>
          <w:spacing w:val="0"/>
          <w:sz w:val="32"/>
          <w:szCs w:val="32"/>
          <w:shd w:val="clear" w:fill="FFFFFF"/>
          <w:lang w:val="en-US" w:eastAsia="zh-CN"/>
        </w:rPr>
        <w:t>18</w:t>
      </w:r>
      <w:r>
        <w:rPr>
          <w:rFonts w:hint="eastAsia" w:ascii="仿宋_GB2312" w:hAnsi="宋体" w:eastAsia="仿宋_GB2312" w:cs="仿宋_GB2312"/>
          <w:i w:val="0"/>
          <w:iCs w:val="0"/>
          <w:caps w:val="0"/>
          <w:color w:val="333333"/>
          <w:spacing w:val="0"/>
          <w:sz w:val="32"/>
          <w:szCs w:val="32"/>
          <w:shd w:val="clear" w:fill="FFFFFF"/>
        </w:rPr>
        <w:t>分</w:t>
      </w:r>
      <w:r>
        <w:rPr>
          <w:rFonts w:hint="eastAsia" w:ascii="仿宋_GB2312" w:hAnsi="宋体" w:eastAsia="仿宋_GB2312" w:cs="仿宋_GB2312"/>
          <w:i w:val="0"/>
          <w:iCs w:val="0"/>
          <w:caps w:val="0"/>
          <w:color w:val="333333"/>
          <w:spacing w:val="0"/>
          <w:sz w:val="32"/>
          <w:szCs w:val="32"/>
          <w:shd w:val="clear" w:fill="FFFFFF"/>
          <w:lang w:eastAsia="zh-CN"/>
        </w:rPr>
        <w:t>，整体绩效自评率较为准确得</w:t>
      </w:r>
      <w:r>
        <w:rPr>
          <w:rFonts w:hint="eastAsia" w:ascii="仿宋_GB2312" w:hAnsi="宋体" w:eastAsia="仿宋_GB2312" w:cs="仿宋_GB2312"/>
          <w:i w:val="0"/>
          <w:iCs w:val="0"/>
          <w:caps w:val="0"/>
          <w:color w:val="333333"/>
          <w:spacing w:val="0"/>
          <w:sz w:val="32"/>
          <w:szCs w:val="32"/>
          <w:shd w:val="clear" w:fill="FFFFFF"/>
          <w:lang w:val="en-US" w:eastAsia="zh-CN"/>
        </w:rPr>
        <w:t>8分</w:t>
      </w:r>
      <w:r>
        <w:rPr>
          <w:rFonts w:hint="eastAsia" w:ascii="仿宋_GB2312" w:hAnsi="宋体" w:eastAsia="仿宋_GB2312" w:cs="仿宋_GB2312"/>
          <w:i w:val="0"/>
          <w:iCs w:val="0"/>
          <w:caps w:val="0"/>
          <w:color w:val="333333"/>
          <w:spacing w:val="0"/>
          <w:sz w:val="32"/>
          <w:szCs w:val="32"/>
          <w:shd w:val="clear" w:fill="FFFFFF"/>
        </w:rPr>
        <w:t>。我单位将在以后的工作中做到预算、决算管理制度化，严格控制各项经费的开支，提高经费的使用效率。</w:t>
      </w:r>
    </w:p>
    <w:p>
      <w:pPr>
        <w:keepNext w:val="0"/>
        <w:keepLines w:val="0"/>
        <w:pageBreakBefore w:val="0"/>
        <w:numPr>
          <w:ilvl w:val="0"/>
          <w:numId w:val="7"/>
        </w:numPr>
        <w:pBdr>
          <w:bottom w:val="single" w:color="FFFFFF" w:sz="4" w:space="15"/>
        </w:pBdr>
        <w:tabs>
          <w:tab w:val="left" w:pos="1440"/>
        </w:tabs>
        <w:kinsoku/>
        <w:wordWrap/>
        <w:overflowPunct/>
        <w:topLinePunct w:val="0"/>
        <w:autoSpaceDE w:val="0"/>
        <w:autoSpaceDN w:val="0"/>
        <w:bidi w:val="0"/>
        <w:adjustRightInd w:val="0"/>
        <w:spacing w:line="576" w:lineRule="exact"/>
        <w:contextualSpacing/>
        <w:textAlignment w:val="auto"/>
        <w:outlineLvl w:val="1"/>
        <w:rPr>
          <w:rFonts w:hint="eastAsia" w:ascii="黑体" w:hAnsi="黑体" w:eastAsia="黑体" w:cs="Times New Roman"/>
          <w:color w:val="000000"/>
          <w:kern w:val="0"/>
          <w:sz w:val="32"/>
          <w:szCs w:val="32"/>
          <w:shd w:val="clear" w:color="auto" w:fill="FFFFFF"/>
        </w:rPr>
      </w:pPr>
      <w:bookmarkStart w:id="94" w:name="_Toc24967"/>
      <w:r>
        <w:rPr>
          <w:rFonts w:hint="eastAsia" w:ascii="黑体" w:hAnsi="黑体" w:eastAsia="黑体" w:cs="Times New Roman"/>
          <w:color w:val="000000"/>
          <w:kern w:val="0"/>
          <w:sz w:val="32"/>
          <w:szCs w:val="32"/>
          <w:shd w:val="clear" w:color="auto" w:fill="FFFFFF"/>
        </w:rPr>
        <w:t>自评结论及建议</w:t>
      </w:r>
      <w:bookmarkEnd w:id="94"/>
    </w:p>
    <w:p>
      <w:pPr>
        <w:keepNext w:val="0"/>
        <w:keepLines w:val="0"/>
        <w:pageBreakBefore w:val="0"/>
        <w:numPr>
          <w:ilvl w:val="0"/>
          <w:numId w:val="8"/>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outlineLvl w:val="2"/>
        <w:rPr>
          <w:rFonts w:hint="eastAsia" w:ascii="楷体_GB2312" w:hAnsi="Times New Roman" w:eastAsia="楷体_GB2312" w:cs="Times New Roman"/>
          <w:color w:val="000000"/>
          <w:kern w:val="0"/>
          <w:sz w:val="32"/>
          <w:szCs w:val="32"/>
          <w:shd w:val="clear" w:color="auto" w:fill="FFFFFF"/>
        </w:rPr>
      </w:pPr>
      <w:bookmarkStart w:id="95" w:name="_Toc27937"/>
      <w:r>
        <w:rPr>
          <w:rFonts w:hint="eastAsia" w:ascii="楷体_GB2312" w:hAnsi="Times New Roman" w:eastAsia="楷体_GB2312" w:cs="Times New Roman"/>
          <w:color w:val="000000"/>
          <w:kern w:val="0"/>
          <w:sz w:val="32"/>
          <w:szCs w:val="32"/>
          <w:shd w:val="clear" w:color="auto" w:fill="FFFFFF"/>
        </w:rPr>
        <w:t>自评结论。</w:t>
      </w:r>
      <w:bookmarkEnd w:id="95"/>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通过这次开展的部门整体绩效评价工作，对我局202</w:t>
      </w:r>
      <w:r>
        <w:rPr>
          <w:rFonts w:hint="eastAsia" w:ascii="仿宋_GB2312" w:hAnsi="宋体" w:eastAsia="仿宋_GB2312" w:cs="仿宋_GB2312"/>
          <w:i w:val="0"/>
          <w:iCs w:val="0"/>
          <w:caps w:val="0"/>
          <w:color w:val="333333"/>
          <w:spacing w:val="0"/>
          <w:sz w:val="32"/>
          <w:szCs w:val="32"/>
          <w:shd w:val="clear" w:fill="FFFFFF"/>
          <w:lang w:val="en-US" w:eastAsia="zh-CN"/>
        </w:rPr>
        <w:t>2</w:t>
      </w:r>
      <w:r>
        <w:rPr>
          <w:rFonts w:hint="eastAsia" w:ascii="仿宋_GB2312" w:hAnsi="宋体" w:eastAsia="仿宋_GB2312" w:cs="仿宋_GB2312"/>
          <w:i w:val="0"/>
          <w:iCs w:val="0"/>
          <w:caps w:val="0"/>
          <w:color w:val="333333"/>
          <w:spacing w:val="0"/>
          <w:sz w:val="32"/>
          <w:szCs w:val="32"/>
          <w:shd w:val="clear" w:fill="FFFFFF"/>
        </w:rPr>
        <w:t>年度目标绩效设定情况，资金收入支出情况，以及绩效目标实施情况都有了全面的了解。本年度达到预期目标，资金管理规范，使用有效，对我局工作起到了积极推动作用。我局将在以后的工作中做到预算、决算管理制度化，严格控制各项经费的开支，提高经费的使用效率</w:t>
      </w:r>
      <w:r>
        <w:rPr>
          <w:rFonts w:hint="eastAsia" w:ascii="仿宋_GB2312" w:hAnsi="仿宋_GB2312" w:eastAsia="仿宋_GB2312" w:cs="仿宋_GB2312"/>
          <w:i w:val="0"/>
          <w:iCs w:val="0"/>
          <w:caps w:val="0"/>
          <w:color w:val="000000"/>
          <w:spacing w:val="0"/>
          <w:sz w:val="32"/>
          <w:szCs w:val="32"/>
          <w:shd w:val="clear" w:fill="FFFFFF"/>
        </w:rPr>
        <w:t>。</w:t>
      </w:r>
    </w:p>
    <w:p>
      <w:pPr>
        <w:keepNext w:val="0"/>
        <w:keepLines w:val="0"/>
        <w:pageBreakBefore w:val="0"/>
        <w:numPr>
          <w:ilvl w:val="0"/>
          <w:numId w:val="8"/>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outlineLvl w:val="2"/>
        <w:rPr>
          <w:rFonts w:hint="eastAsia" w:ascii="楷体_GB2312" w:hAnsi="Times New Roman" w:eastAsia="楷体_GB2312" w:cs="Times New Roman"/>
          <w:color w:val="000000"/>
          <w:kern w:val="0"/>
          <w:sz w:val="32"/>
          <w:szCs w:val="32"/>
          <w:shd w:val="clear" w:color="auto" w:fill="FFFFFF"/>
        </w:rPr>
      </w:pPr>
      <w:bookmarkStart w:id="96" w:name="_Toc3828"/>
      <w:r>
        <w:rPr>
          <w:rFonts w:hint="eastAsia" w:ascii="楷体_GB2312" w:hAnsi="Times New Roman" w:eastAsia="楷体_GB2312" w:cs="Times New Roman"/>
          <w:color w:val="000000"/>
          <w:kern w:val="0"/>
          <w:sz w:val="32"/>
          <w:szCs w:val="32"/>
          <w:shd w:val="clear" w:color="auto" w:fill="FFFFFF"/>
        </w:rPr>
        <w:t>存在问题。</w:t>
      </w:r>
      <w:bookmarkEnd w:id="96"/>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工作机制有待进一步完善，由于在平时工作中未加强绩效监控工作的重视，绩效监控工作容易滞后，未形成对绩效目标进行监控的习惯。</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单位各</w:t>
      </w:r>
      <w:r>
        <w:rPr>
          <w:rFonts w:hint="eastAsia" w:ascii="仿宋_GB2312" w:hAnsi="Times New Roman" w:eastAsia="仿宋_GB2312" w:cs="Times New Roman"/>
          <w:color w:val="000000"/>
          <w:kern w:val="0"/>
          <w:sz w:val="32"/>
          <w:szCs w:val="32"/>
          <w:shd w:val="clear" w:color="auto" w:fill="FFFFFF"/>
          <w:lang w:eastAsia="zh-CN"/>
        </w:rPr>
        <w:t>股室</w:t>
      </w:r>
      <w:r>
        <w:rPr>
          <w:rFonts w:hint="eastAsia" w:ascii="仿宋_GB2312" w:hAnsi="Times New Roman" w:eastAsia="仿宋_GB2312" w:cs="Times New Roman"/>
          <w:color w:val="000000"/>
          <w:kern w:val="0"/>
          <w:sz w:val="32"/>
          <w:szCs w:val="32"/>
          <w:shd w:val="clear" w:color="auto" w:fill="FFFFFF"/>
        </w:rPr>
        <w:t>衔接不及时，无法及时监控预算绩效目标实施情况。</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3</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政府和财务部门在部门整体支出的资金安排和使用上仍有不可预见性，在实际工作中有资金延迟到位的情况。</w:t>
      </w:r>
    </w:p>
    <w:p>
      <w:pPr>
        <w:keepNext w:val="0"/>
        <w:keepLines w:val="0"/>
        <w:pageBreakBefore w:val="0"/>
        <w:numPr>
          <w:ilvl w:val="0"/>
          <w:numId w:val="8"/>
        </w:numPr>
        <w:pBdr>
          <w:bottom w:val="single" w:color="FFFFFF" w:sz="4" w:space="15"/>
        </w:pBdr>
        <w:tabs>
          <w:tab w:val="left" w:pos="1440"/>
        </w:tabs>
        <w:kinsoku/>
        <w:wordWrap/>
        <w:overflowPunct/>
        <w:topLinePunct w:val="0"/>
        <w:autoSpaceDE w:val="0"/>
        <w:autoSpaceDN w:val="0"/>
        <w:bidi w:val="0"/>
        <w:adjustRightInd w:val="0"/>
        <w:spacing w:line="576" w:lineRule="exact"/>
        <w:ind w:left="0" w:leftChars="0" w:firstLine="640" w:firstLineChars="200"/>
        <w:contextualSpacing/>
        <w:textAlignment w:val="auto"/>
        <w:outlineLvl w:val="2"/>
        <w:rPr>
          <w:rFonts w:hint="eastAsia" w:ascii="仿宋_GB2312" w:hAnsi="Times New Roman" w:eastAsia="仿宋_GB2312" w:cs="Times New Roman"/>
          <w:color w:val="000000"/>
          <w:kern w:val="0"/>
          <w:sz w:val="32"/>
          <w:szCs w:val="32"/>
          <w:shd w:val="clear" w:color="auto" w:fill="FFFFFF"/>
        </w:rPr>
      </w:pPr>
      <w:bookmarkStart w:id="97" w:name="_Toc21505"/>
      <w:r>
        <w:rPr>
          <w:rFonts w:hint="eastAsia" w:ascii="楷体_GB2312" w:hAnsi="Times New Roman" w:eastAsia="楷体_GB2312" w:cs="Times New Roman"/>
          <w:color w:val="000000"/>
          <w:kern w:val="0"/>
          <w:sz w:val="32"/>
          <w:szCs w:val="32"/>
          <w:shd w:val="clear" w:color="auto" w:fill="FFFFFF"/>
        </w:rPr>
        <w:t>改进建议。</w:t>
      </w:r>
      <w:bookmarkEnd w:id="97"/>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建议在平时工作中进一步加强对绩效目标监控的重视，定期对预算执行情况进行监督，使绩效目标监控与</w:t>
      </w:r>
      <w:r>
        <w:rPr>
          <w:rFonts w:hint="eastAsia" w:ascii="仿宋_GB2312" w:hAnsi="Times New Roman" w:eastAsia="仿宋_GB2312" w:cs="Times New Roman"/>
          <w:color w:val="000000"/>
          <w:kern w:val="0"/>
          <w:sz w:val="32"/>
          <w:szCs w:val="32"/>
          <w:shd w:val="clear" w:color="auto" w:fill="FFFFFF"/>
          <w:lang w:eastAsia="zh-CN"/>
        </w:rPr>
        <w:t>日常</w:t>
      </w:r>
      <w:r>
        <w:rPr>
          <w:rFonts w:hint="eastAsia" w:ascii="仿宋_GB2312" w:hAnsi="Times New Roman" w:eastAsia="仿宋_GB2312" w:cs="Times New Roman"/>
          <w:color w:val="000000"/>
          <w:kern w:val="0"/>
          <w:sz w:val="32"/>
          <w:szCs w:val="32"/>
          <w:shd w:val="clear" w:color="auto" w:fill="FFFFFF"/>
        </w:rPr>
        <w:t>工作、财务工作挂钩，做到及时监控，及时控制，避免疏忽。</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加强各</w:t>
      </w:r>
      <w:r>
        <w:rPr>
          <w:rFonts w:hint="eastAsia" w:ascii="仿宋_GB2312" w:hAnsi="Times New Roman" w:eastAsia="仿宋_GB2312" w:cs="Times New Roman"/>
          <w:color w:val="000000"/>
          <w:kern w:val="0"/>
          <w:sz w:val="32"/>
          <w:szCs w:val="32"/>
          <w:shd w:val="clear" w:color="auto" w:fill="FFFFFF"/>
          <w:lang w:eastAsia="zh-CN"/>
        </w:rPr>
        <w:t>股室</w:t>
      </w:r>
      <w:r>
        <w:rPr>
          <w:rFonts w:hint="eastAsia" w:ascii="仿宋_GB2312" w:hAnsi="Times New Roman" w:eastAsia="仿宋_GB2312" w:cs="Times New Roman"/>
          <w:color w:val="000000"/>
          <w:kern w:val="0"/>
          <w:sz w:val="32"/>
          <w:szCs w:val="32"/>
          <w:shd w:val="clear" w:color="auto" w:fill="FFFFFF"/>
        </w:rPr>
        <w:t>衔接，使预算绩效目标实施进度得到及时反馈，便于及时汇总监控。</w:t>
      </w:r>
    </w:p>
    <w:p>
      <w:pPr>
        <w:pStyle w:val="1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3</w:t>
      </w:r>
      <w:r>
        <w:rPr>
          <w:rFonts w:hint="eastAsia" w:ascii="仿宋_GB2312" w:hAnsi="Times New Roman" w:eastAsia="仿宋_GB2312" w:cs="Times New Roman"/>
          <w:color w:val="000000"/>
          <w:kern w:val="0"/>
          <w:sz w:val="32"/>
          <w:szCs w:val="32"/>
          <w:shd w:val="clear" w:color="auto" w:fill="FFFFFF"/>
          <w:lang w:eastAsia="zh-CN"/>
        </w:rPr>
        <w:t>.</w:t>
      </w:r>
      <w:r>
        <w:rPr>
          <w:rFonts w:hint="eastAsia" w:ascii="仿宋_GB2312" w:hAnsi="Times New Roman" w:eastAsia="仿宋_GB2312" w:cs="Times New Roman"/>
          <w:color w:val="000000"/>
          <w:kern w:val="0"/>
          <w:sz w:val="32"/>
          <w:szCs w:val="32"/>
          <w:shd w:val="clear" w:color="auto" w:fill="FFFFFF"/>
        </w:rPr>
        <w:t>设置合理有效的绩效目标监控机制，科学设置预算绩效指标，合理安排经费和各项资金，使其物尽其用，更加贴合财务工作的实际情况，能够合理运用现有资源，及时协调资金保证各预算绩效指标的顺利实施。使绩效评价更客观全面，更能为发展政府经济，保障民生起到积极有效的作用。</w:t>
      </w:r>
    </w:p>
    <w:p>
      <w:pPr>
        <w:keepNext w:val="0"/>
        <w:keepLines w:val="0"/>
        <w:pageBreakBefore w:val="0"/>
        <w:numPr>
          <w:ilvl w:val="0"/>
          <w:numId w:val="0"/>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7"/>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sectPr>
          <w:footerReference r:id="rId5" w:type="first"/>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p>
    <w:tbl>
      <w:tblPr>
        <w:tblStyle w:val="18"/>
        <w:tblW w:w="69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1"/>
        <w:gridCol w:w="848"/>
        <w:gridCol w:w="1476"/>
        <w:gridCol w:w="522"/>
        <w:gridCol w:w="819"/>
        <w:gridCol w:w="396"/>
        <w:gridCol w:w="879"/>
        <w:gridCol w:w="576"/>
        <w:gridCol w:w="576"/>
        <w:gridCol w:w="1372"/>
        <w:gridCol w:w="576"/>
        <w:gridCol w:w="576"/>
        <w:gridCol w:w="576"/>
        <w:gridCol w:w="576"/>
        <w:gridCol w:w="57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该项目为人员类项目，主要保障部门三名定补聘用人员工资及保险缴纳。2022年，该预算项目资金按月支付，及时足额发放，预算执行率100%，年末无资金结余情况。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4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4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4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4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该资金为两名公务员优秀奖励金，已足额发放到位。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0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该项目为人员类项目，主要保障部门内在职人员中有独生子女情况的两名同志，为其发放独子费。2022年，该预算项目资金按月支付，及时足额发放，预算执行率100%，年末无资金结余情况。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57.14%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57.14%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25.86</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25.86</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该项目为人员类项目，主要保障部门7名公务员1名机关工勤人员2022年度车补。2022年，该预算项目资金按季度支付，及时足额发放，预算执行率100%，年末无资金结余情况。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51081221T000000111556-社情民意手机短信平台运行费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保障社情民意手机短信平台运行正常，确保信访群众的诉求及时送达，并及时受理，按时完成回复，维护社会安定和谐，提升群众满意度。</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该项目为特定目标类项目，为保证我部门社情民意手机短信平台有效运转，依据合同向中国移动通信集团支付平台运行费用，2022年，该预算项目资金有序支付，预算执行率100%，年末无资金结余情况。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4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接收、受理诉求短信</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短信传送稳定性</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短信到达率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平台运行费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维护社会安定和谐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61"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7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该项目为人员类项目，主要保障部门7名公务员1名机关工勤人员2022年度工资，包括基本工资、津贴补贴等。2022年，该预算项目资金按月支付，及时足额发放，预算执行率100%，年末无资金结余情况。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70.54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73.51</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70.54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73.51</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该项目为人员类项目，主要保障部门6名事业人员2022年度工资，包括基本工资、津贴补贴等。2022年，该预算项目资金按月支付，及时足额发放，预算执行率100%，年末无资金结余情况。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36.18</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40.06</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36.18</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40.06</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该项目为人员类项目，主要保障部门7名公务员1名机关工勤人员2022年度养老保险缴费等。2022年，该预算项目资金按月支付，及时足额缴纳，预算执行率100%，年末无资金结余情况。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该项目为人员类项目，主要保障部门6名事业人员2022年度养老保险缴费等。2022年，该预算项目资金按月支付，及时足额缴纳，预算执行率100%，年末无资金结余情况。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该项目为人员类项目，主要保障部门7名公务员1名机关工勤人员2022年度医疗保险缴费等。2022年，该预算项目资金按月支付，及时足额缴纳，预算执行率100%，年末无资金结余情况。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5.37</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5.37</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该项目为人员类项目，主要保障部门6名事业人员2022年度医疗保险缴费等。2022年，该预算项目资金按月支付，及时足额缴纳，预算执行率100%，年末无资金结余情况。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该项目为人员类项目，主要保障部门7名公务员1名机关工勤人员2022年度住房公积金缴费等。2022年，该预算项目资金按月支付，及时足额缴纳，预算执行率100%，年末无资金结余情况。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8.05</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8.05</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该项目为人员类项目，主要保障部门6名事业人员2022年度住房公积金缴费等。2022年，该预算项目资金按月支付，及时足额缴纳，预算执行率100%，年末无资金结余情况。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8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该项目为人员类项目，主要保障部门6名事业人员目标绩效奖。2022年，该预算项目资金按月支付，及时足额发放，预算执行率100%，年末无资金结余情况。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0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51081222T000005934165-驻京轮流值班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根据上级文件要求，2022年度派出6人到北京轮流值班3个月，以保障值班期间广元市各项信访维稳工作有序开展，不出现极端信访事件和负面舆情炒作，维持社会稳定。</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该项目为特定目标类项目，主要保障2022年北京值班人员伙食费、住宿费、公杂费以及往返车费。2022年，该预算项目资金按月支付，及时足额发放，预算执行率100%，年末无资金结余情况。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驻京轮流值班时间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驻京轮流值班人数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驻京值班在岗率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值班成本</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维持社会稳定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值班人员满意率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51081222T000005934171-驻省轮流值班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根据上级文件要求，2022年度派出6人到成都轮流值班3个月，以保障值班期间广元市各项信访维稳工作有序开展，不出现极端信访事件和负面舆情炒作，维持社会稳定。</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该项目为特定目标类项目，主要保障2022年成都值班人员伙食费、住宿费、公杂费以及往返车费。2022年，该预算项目资金按月支付，及时足额发放，预算执行率100%，年末无资金结余情况。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8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驻省轮流值班时间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驻省轮流值班人数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驻省值班在岗率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值班成本</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维持社会稳定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值班人员满意率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51081222T000005934266-领导接访系统运行费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与移动公司签订接访系统升级改造合作协议，对接访系统及传输网络进行建设和维护，实现视频接访系统正常运行完成各项接访工作及国家、省、市、区各项视频会议培训任务。</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该项目为特定目标类项目，为保证我部门领导视频接访系统有效运转，依据合同向中国移动通信集团支付系统运行费用，2022年，该预算项目资金有序支付，预算执行率100%，年末无资金结余情况。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8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巡检次数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系统维护数量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系统年故障率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维护成本</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维持社会稳定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使用人员满意率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51081222T000005934279-网上信访投诉受理平台运行费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保障2022年网上信访投诉受理平台运行正常，确保信访群众的诉求及时送达，并及时受理，按时完成回复，维持社会稳定，提升信访群众满意度。</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该项目为特定目标类项目，为我部门网上信访投诉受理平台日常维护、运转所产生的维护费，2022年，该预算项目资金有序支付，预算执行率100%，年末无资金结余情况。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平台维护数量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办理网上信访事项数量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平台年故障率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信访事项按期办结率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平台运行成本</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8400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维持社会稳定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信访群众满意率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0" w:type="pct"/>
            <w:gridSpan w:val="3"/>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51081222T000006917396-信访维稳工作经费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在重大会议、活动期间开展信访维稳工作，以确保会议、活动期间不发生大规模聚集、不发生信访极端事件和舆论炒作事件。</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顺利完成全国、省、市“两会以及冬奥会、冬残奥会期间的信访维稳工作，会议、活动期间未发生大规模聚集、信访极端事件和舆论炒作事件。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冬残奥会值班天数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冬奥会值班天数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全国、省、市两会值班天数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值班在岗率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不发生大规模聚集、信访极端事件和舆论炒作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项目经费保障率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社会大局和谐安定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2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51081222T000007379446-特殊疑难信访资金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11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1.开展到省、进京疑难信访事项化解工作，确保到省、进京信访老户逐步化解。</w:t>
            </w:r>
          </w:p>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2.召开信访听证会，邀请专家、居民代表、当事人对难已息诉息访的信访事项进行听证支付务工报复、咨询费等。</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3.用于解决“三跨三分离”特殊信访事项的解决。</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该项目为特定目标类项目，为我部门化解疑难信访事项的专项资金。2022年，该预算项目资金有序支付，预算执行率100%，年末无资金结余情况。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0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化解特殊疑难信访事项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8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对化解后的信访事项，群众息诉息访，不再反弹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解决特殊疑难信访问题工作经费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矛盾纠纷下滑</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51081222T000007389475-省第十二次党代会期间信访安全保障工作经费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顺利完成省第十二次党代会期间信访安全保障工作，有效维持社会大局和谐稳定。  </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该项目为特定目标类项目，主要保障2022年省第十二次党代会期间值班人员伙食费、住宿费、公杂费以及往返车费。2022年，该预算项目资金按月支付，及时足额发放，预算执行率100%，年末无资金结余情况。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值班天数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赴省人数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值班在岗率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社会大局和谐安定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0" w:type="pct"/>
            <w:gridSpan w:val="3"/>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2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7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7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6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51081223T000007565090-党的二十大期间信访安保维稳工作经费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顺利完成党的二十大期间的信访维稳工作，会议期间未发生大规模聚集、信访极端事件和舆论炒作事件，社会大局和谐稳定。</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该项目为特定目标类项目，主要保障2022年党的二十大期间值班人员伙食费、住宿费、公杂费以及往返车费。2022年，该预算项目资金按月支付，及时足额发放，预算执行率100%，年末无资金结余情况。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3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值班天数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进京上访人数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在岗率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项目经费保障率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社会大局和谐稳定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2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904" w:hRule="atLeast"/>
        </w:trPr>
        <w:tc>
          <w:tcPr>
            <w:tcW w:w="361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51081223T000008331716-《信访工作条例》宣传活动经费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12"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中共广元市朝天区委群众工作局部门</w:t>
            </w:r>
          </w:p>
        </w:tc>
        <w:tc>
          <w:tcPr>
            <w:tcW w:w="34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中共广元市朝天区委群众工作局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70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提高《信访工作条例》的知晓率，在全区营造依法信访的良好环境。</w:t>
            </w:r>
          </w:p>
        </w:tc>
        <w:tc>
          <w:tcPr>
            <w:tcW w:w="13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93"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298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该项目为特定目标类项目，为我部门在信访工作条例宣传活动中所产生的印刷费、广告制作费以及人员差旅费等。2022年，该预算项目资金按月支付，及时足额发放，预算执行率100%，年末无资金结余情况。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6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8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3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47"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02"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379"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52"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宣传“口袋书、宣传单页数量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悬挂横幅数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宣传覆盖率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宣传内容丰富度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宣传活动经费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提高《信访工作条例》知晓率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营造全区依法信访的良好氛围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48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26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0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572"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633"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3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380" w:type="pct"/>
          <w:trHeight w:val="286"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项目负责人：王青霞</w:t>
            </w:r>
          </w:p>
        </w:tc>
        <w:tc>
          <w:tcPr>
            <w:tcW w:w="18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财务负责人：徐荣</w:t>
            </w:r>
          </w:p>
        </w:tc>
      </w:tr>
    </w:tbl>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sectPr>
          <w:pgSz w:w="11906" w:h="16838"/>
          <w:pgMar w:top="2098" w:right="1474" w:bottom="1984" w:left="1587" w:header="851" w:footer="992" w:gutter="0"/>
          <w:pgNumType w:fmt="decimal"/>
          <w:cols w:space="425" w:num="1"/>
          <w:titlePg/>
          <w:docGrid w:type="lines" w:linePitch="312" w:charSpace="0"/>
        </w:sectPr>
      </w:pPr>
    </w:p>
    <w:p>
      <w:pPr>
        <w:pStyle w:val="6"/>
        <w:outlineLvl w:val="1"/>
        <w:rPr>
          <w:rFonts w:hint="eastAsia" w:eastAsia="仿宋_GB2312"/>
          <w:color w:val="auto"/>
          <w:sz w:val="32"/>
          <w:szCs w:val="32"/>
          <w:highlight w:val="none"/>
          <w:lang w:val="en-US" w:eastAsia="zh-CN"/>
        </w:rPr>
      </w:pPr>
      <w:bookmarkStart w:id="98" w:name="_Toc23546"/>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98"/>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ascii="宋体" w:hAnsi="宋体"/>
          <w:color w:val="auto"/>
          <w:kern w:val="2"/>
          <w:sz w:val="32"/>
          <w:szCs w:val="32"/>
          <w:highlight w:val="none"/>
        </w:rPr>
      </w:pPr>
      <w:r>
        <w:rPr>
          <w:rFonts w:hint="eastAsia" w:ascii="方正小标宋简体" w:hAnsi="方正小标宋简体" w:eastAsia="方正小标宋简体" w:cs="方正小标宋简体"/>
          <w:color w:val="auto"/>
          <w:kern w:val="2"/>
          <w:sz w:val="32"/>
          <w:szCs w:val="32"/>
          <w:highlight w:val="none"/>
          <w:lang w:val="en-US" w:eastAsia="zh-CN"/>
        </w:rPr>
        <w:t>2022年部门专项资金预算项目绩效自评报告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99" w:name="_Toc31396"/>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99"/>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0" w:name="_Toc1815"/>
      <w:r>
        <w:rPr>
          <w:rFonts w:hint="eastAsia" w:ascii="楷体_GB2312" w:hAnsi="宋体" w:eastAsia="楷体_GB2312"/>
          <w:b/>
          <w:color w:val="auto"/>
          <w:sz w:val="32"/>
          <w:szCs w:val="32"/>
          <w:highlight w:val="none"/>
          <w:u w:val="none"/>
          <w:lang w:val="zh-CN"/>
        </w:rPr>
        <w:t>（一）项目基本情况。</w:t>
      </w:r>
      <w:bookmarkEnd w:id="10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特殊疑难信访资金项目的设立是为了解决复杂、长期积累、久拖未决、难以划分责任主体或无法追查责任单位的特殊疑难信访问题，特别是对事关民生的</w:t>
      </w:r>
      <w:r>
        <w:rPr>
          <w:rFonts w:hint="default" w:ascii="仿宋_GB2312" w:hAnsi="宋体"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无头案、钉子案、骨头案</w:t>
      </w:r>
      <w:r>
        <w:rPr>
          <w:rFonts w:hint="default" w:ascii="仿宋_GB2312" w:hAnsi="宋体"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的当事人实施适度救助，达到息访息诉，实现事要解决、案结事了、和谐社会的工作目标，极大限度降低进京赴省到市非正常重复上访量，确保全</w:t>
      </w:r>
      <w:r>
        <w:rPr>
          <w:rFonts w:hint="eastAsia" w:ascii="仿宋_GB2312" w:hAnsi="宋体" w:eastAsia="仿宋_GB2312" w:cs="仿宋_GB2312"/>
          <w:i w:val="0"/>
          <w:iCs w:val="0"/>
          <w:caps w:val="0"/>
          <w:color w:val="000000"/>
          <w:spacing w:val="0"/>
          <w:sz w:val="32"/>
          <w:szCs w:val="32"/>
          <w:shd w:val="clear" w:fill="FFFFFF"/>
          <w:lang w:eastAsia="zh-CN"/>
        </w:rPr>
        <w:t>区</w:t>
      </w:r>
      <w:r>
        <w:rPr>
          <w:rFonts w:hint="eastAsia" w:ascii="仿宋_GB2312" w:hAnsi="宋体" w:eastAsia="仿宋_GB2312" w:cs="仿宋_GB2312"/>
          <w:i w:val="0"/>
          <w:iCs w:val="0"/>
          <w:caps w:val="0"/>
          <w:color w:val="000000"/>
          <w:spacing w:val="0"/>
          <w:sz w:val="32"/>
          <w:szCs w:val="32"/>
          <w:shd w:val="clear" w:fill="FFFFFF"/>
        </w:rPr>
        <w:t>社会和谐稳定。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1" w:name="_Toc17374"/>
      <w:r>
        <w:rPr>
          <w:rFonts w:hint="eastAsia" w:ascii="楷体_GB2312" w:hAnsi="宋体" w:eastAsia="楷体_GB2312"/>
          <w:b/>
          <w:color w:val="auto"/>
          <w:sz w:val="32"/>
          <w:szCs w:val="32"/>
          <w:highlight w:val="none"/>
          <w:u w:val="none"/>
          <w:lang w:val="zh-CN"/>
        </w:rPr>
        <w:t>（二）项目绩效目标。</w:t>
      </w:r>
      <w:bookmarkEnd w:id="101"/>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1．项目主要内容。一是</w:t>
      </w:r>
      <w:r>
        <w:rPr>
          <w:rFonts w:hint="eastAsia" w:ascii="仿宋_GB2312" w:hAnsi="宋体" w:eastAsia="仿宋_GB2312" w:cs="仿宋_GB2312"/>
          <w:i w:val="0"/>
          <w:iCs w:val="0"/>
          <w:caps w:val="0"/>
          <w:color w:val="000000"/>
          <w:spacing w:val="0"/>
          <w:sz w:val="32"/>
          <w:szCs w:val="32"/>
          <w:shd w:val="clear" w:fill="FFFFFF"/>
        </w:rPr>
        <w:t>开展到省、进京疑难信访事项化解工作，确保到省、进京信访老户逐步化解。</w:t>
      </w:r>
      <w:r>
        <w:rPr>
          <w:rFonts w:hint="eastAsia" w:ascii="仿宋_GB2312" w:hAnsi="宋体" w:eastAsia="仿宋_GB2312" w:cs="仿宋_GB2312"/>
          <w:i w:val="0"/>
          <w:iCs w:val="0"/>
          <w:caps w:val="0"/>
          <w:color w:val="000000"/>
          <w:spacing w:val="0"/>
          <w:sz w:val="32"/>
          <w:szCs w:val="32"/>
          <w:shd w:val="clear" w:fill="FFFFFF"/>
          <w:lang w:eastAsia="zh-CN"/>
        </w:rPr>
        <w:t>二是</w:t>
      </w:r>
      <w:r>
        <w:rPr>
          <w:rFonts w:hint="eastAsia" w:ascii="仿宋_GB2312" w:hAnsi="宋体" w:eastAsia="仿宋_GB2312" w:cs="仿宋_GB2312"/>
          <w:i w:val="0"/>
          <w:iCs w:val="0"/>
          <w:caps w:val="0"/>
          <w:color w:val="000000"/>
          <w:spacing w:val="0"/>
          <w:sz w:val="32"/>
          <w:szCs w:val="32"/>
          <w:shd w:val="clear" w:fill="FFFFFF"/>
        </w:rPr>
        <w:t>召开信访听证会，邀请专家、居民代表、当事人对难已息诉息访的信访事项进行听证支付务工报复、咨询费等。</w:t>
      </w:r>
      <w:r>
        <w:rPr>
          <w:rFonts w:hint="eastAsia" w:ascii="仿宋_GB2312" w:hAnsi="宋体" w:eastAsia="仿宋_GB2312" w:cs="仿宋_GB2312"/>
          <w:i w:val="0"/>
          <w:iCs w:val="0"/>
          <w:caps w:val="0"/>
          <w:color w:val="000000"/>
          <w:spacing w:val="0"/>
          <w:sz w:val="32"/>
          <w:szCs w:val="32"/>
          <w:shd w:val="clear" w:fill="FFFFFF"/>
          <w:lang w:eastAsia="zh-CN"/>
        </w:rPr>
        <w:t>三是</w:t>
      </w:r>
      <w:r>
        <w:rPr>
          <w:rFonts w:hint="eastAsia" w:ascii="仿宋_GB2312" w:hAnsi="宋体" w:eastAsia="仿宋_GB2312" w:cs="仿宋_GB2312"/>
          <w:i w:val="0"/>
          <w:iCs w:val="0"/>
          <w:caps w:val="0"/>
          <w:color w:val="000000"/>
          <w:spacing w:val="0"/>
          <w:sz w:val="32"/>
          <w:szCs w:val="32"/>
          <w:shd w:val="clear" w:fill="FFFFFF"/>
        </w:rPr>
        <w:t>用于解决“三跨三分离”特殊信访事项的解决。</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2022年至少化解1件信访疑难事项，并对化解后的信访事项，群众息诉息访，不再反弹。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3．申报内容与实际相符，</w:t>
      </w:r>
      <w:r>
        <w:rPr>
          <w:rFonts w:hint="eastAsia" w:ascii="仿宋_GB2312" w:hAnsi="宋体" w:eastAsia="仿宋_GB2312" w:cs="Times New Roman"/>
          <w:w w:val="99"/>
          <w:sz w:val="32"/>
          <w:szCs w:val="32"/>
          <w:lang w:val="en-US" w:eastAsia="zh-CN"/>
        </w:rPr>
        <w:t>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2" w:name="_Toc21721"/>
      <w:r>
        <w:rPr>
          <w:rFonts w:hint="eastAsia" w:ascii="楷体_GB2312" w:hAnsi="宋体" w:eastAsia="楷体_GB2312"/>
          <w:b/>
          <w:color w:val="auto"/>
          <w:sz w:val="32"/>
          <w:szCs w:val="32"/>
          <w:highlight w:val="none"/>
          <w:u w:val="none"/>
          <w:lang w:val="zh-CN"/>
        </w:rPr>
        <w:t>（三）项目自评步骤及方法。</w:t>
      </w:r>
      <w:bookmarkEnd w:id="102"/>
    </w:p>
    <w:p>
      <w:pPr>
        <w:autoSpaceDN/>
        <w:snapToGrid w:val="0"/>
        <w:spacing w:line="540" w:lineRule="exact"/>
        <w:ind w:firstLine="720"/>
        <w:jc w:val="both"/>
        <w:rPr>
          <w:rFonts w:hint="eastAsia" w:ascii="仿宋_GB2312" w:hAnsi="宋体" w:eastAsia="仿宋_GB2312" w:cs="Times New Roman"/>
          <w:w w:val="99"/>
          <w:sz w:val="32"/>
          <w:szCs w:val="32"/>
          <w:lang w:eastAsia="zh-CN"/>
        </w:rPr>
      </w:pPr>
      <w:r>
        <w:rPr>
          <w:rFonts w:hint="eastAsia" w:ascii="仿宋_GB2312" w:hAnsi="宋体" w:eastAsia="仿宋_GB2312" w:cs="Times New Roman"/>
          <w:w w:val="99"/>
          <w:sz w:val="32"/>
          <w:szCs w:val="32"/>
          <w:lang w:eastAsia="zh-CN"/>
        </w:rPr>
        <w:t>主要采用对项目实施进度和完成情况考核，组织验收小组对项目实施尽量进行验收，验收合格后进行支付，对项目实施全过程进行绩效监控。</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3" w:name="_Toc17125"/>
      <w:r>
        <w:rPr>
          <w:rFonts w:hint="eastAsia" w:ascii="黑体" w:hAnsi="宋体" w:eastAsia="黑体"/>
          <w:color w:val="auto"/>
          <w:sz w:val="32"/>
          <w:szCs w:val="32"/>
          <w:highlight w:val="none"/>
          <w:u w:val="none"/>
        </w:rPr>
        <w:t>二、项目资金申报及使用情况</w:t>
      </w:r>
      <w:bookmarkEnd w:id="103"/>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4" w:name="_Toc28923"/>
      <w:r>
        <w:rPr>
          <w:rFonts w:hint="eastAsia" w:ascii="楷体_GB2312" w:hAnsi="宋体" w:eastAsia="楷体_GB2312"/>
          <w:b/>
          <w:color w:val="auto"/>
          <w:sz w:val="32"/>
          <w:szCs w:val="32"/>
          <w:highlight w:val="none"/>
          <w:u w:val="none"/>
          <w:lang w:val="zh-CN"/>
        </w:rPr>
        <w:t>（一）项目资金申报及批复情况。</w:t>
      </w:r>
      <w:bookmarkEnd w:id="104"/>
    </w:p>
    <w:p>
      <w:pPr>
        <w:spacing w:line="540" w:lineRule="exact"/>
        <w:ind w:firstLine="632" w:firstLineChars="200"/>
        <w:jc w:val="both"/>
        <w:rPr>
          <w:rFonts w:hint="eastAsia" w:ascii="仿宋_GB2312" w:hAnsi="仿宋" w:eastAsia="仿宋_GB2312"/>
          <w:sz w:val="30"/>
          <w:szCs w:val="24"/>
          <w:lang w:val="en-US" w:eastAsia="zh-CN"/>
        </w:rPr>
      </w:pPr>
      <w:r>
        <w:rPr>
          <w:rFonts w:hint="eastAsia" w:ascii="仿宋_GB2312" w:hAnsi="宋体" w:eastAsia="仿宋_GB2312" w:cs="Times New Roman"/>
          <w:w w:val="99"/>
          <w:sz w:val="32"/>
          <w:szCs w:val="32"/>
          <w:lang w:val="en-US" w:eastAsia="zh-CN"/>
        </w:rPr>
        <w:t>2022年，</w:t>
      </w:r>
      <w:r>
        <w:rPr>
          <w:rFonts w:hint="eastAsia" w:ascii="仿宋_GB2312" w:hAnsi="宋体" w:eastAsia="仿宋_GB2312" w:cs="仿宋_GB2312"/>
          <w:i w:val="0"/>
          <w:iCs w:val="0"/>
          <w:caps w:val="0"/>
          <w:color w:val="000000"/>
          <w:spacing w:val="0"/>
          <w:sz w:val="32"/>
          <w:szCs w:val="32"/>
          <w:shd w:val="clear" w:fill="FFFFFF"/>
        </w:rPr>
        <w:t>特殊疑难信访资金项目</w:t>
      </w:r>
      <w:r>
        <w:rPr>
          <w:rFonts w:hint="eastAsia" w:ascii="仿宋_GB2312" w:hAnsi="宋体" w:eastAsia="仿宋_GB2312" w:cs="Times New Roman"/>
          <w:w w:val="99"/>
          <w:sz w:val="32"/>
          <w:szCs w:val="32"/>
          <w:lang w:val="en-US" w:eastAsia="zh-CN"/>
        </w:rPr>
        <w:t>预算3.00万元。资金及时批复到位，申报程序符合资金管理办法相关规定</w:t>
      </w:r>
      <w:r>
        <w:rPr>
          <w:rFonts w:hint="eastAsia" w:ascii="仿宋_GB2312" w:hAnsi="仿宋" w:eastAsia="仿宋_GB2312"/>
          <w:sz w:val="30"/>
          <w:szCs w:val="24"/>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仿宋_GB2312" w:hAnsi="宋体"/>
          <w:color w:val="auto"/>
          <w:sz w:val="32"/>
          <w:szCs w:val="32"/>
          <w:highlight w:val="none"/>
          <w:u w:val="none"/>
          <w:lang w:val="zh-CN"/>
        </w:rPr>
      </w:pPr>
      <w:bookmarkStart w:id="105" w:name="_Toc11390"/>
      <w:r>
        <w:rPr>
          <w:rFonts w:hint="eastAsia" w:ascii="楷体_GB2312" w:hAnsi="宋体" w:eastAsia="楷体_GB2312"/>
          <w:b/>
          <w:color w:val="auto"/>
          <w:sz w:val="32"/>
          <w:szCs w:val="32"/>
          <w:highlight w:val="none"/>
          <w:u w:val="none"/>
          <w:lang w:val="zh-CN"/>
        </w:rPr>
        <w:t>（二）资金计划、到位及使用情况。</w:t>
      </w:r>
      <w:bookmarkEnd w:id="105"/>
    </w:p>
    <w:p>
      <w:pPr>
        <w:spacing w:line="540" w:lineRule="exact"/>
        <w:ind w:firstLine="640" w:firstLineChars="200"/>
        <w:jc w:val="both"/>
        <w:rPr>
          <w:rFonts w:hint="eastAsia" w:ascii="仿宋_GB2312" w:hAnsi="Times New Roman" w:eastAsia="仿宋_GB2312" w:cs="Times New Roman"/>
          <w:spacing w:val="-6"/>
          <w:sz w:val="32"/>
          <w:szCs w:val="32"/>
          <w:lang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1．资金计划及到位。</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2022年12月31日，</w:t>
      </w:r>
      <w:r>
        <w:rPr>
          <w:rFonts w:hint="eastAsia" w:ascii="仿宋_GB2312" w:hAnsi="Times New Roman" w:eastAsia="仿宋_GB2312" w:cs="Times New Roman"/>
          <w:spacing w:val="-6"/>
          <w:sz w:val="32"/>
          <w:szCs w:val="32"/>
          <w:lang w:eastAsia="zh-CN"/>
        </w:rPr>
        <w:t>项目经费预算资金已全额到账，并全额支付使用。</w:t>
      </w:r>
    </w:p>
    <w:p>
      <w:pPr>
        <w:keepNext w:val="0"/>
        <w:keepLines w:val="0"/>
        <w:pageBreakBefore w:val="0"/>
        <w:kinsoku/>
        <w:wordWrap/>
        <w:overflowPunct/>
        <w:topLinePunct w:val="0"/>
        <w:autoSpaceDE w:val="0"/>
        <w:autoSpaceDN/>
        <w:bidi w:val="0"/>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w:t>
      </w:r>
      <w:r>
        <w:rPr>
          <w:rFonts w:hint="eastAsia" w:ascii="仿宋_GB2312" w:hAnsi="仿宋_GB2312" w:eastAsia="仿宋_GB2312" w:cs="仿宋_GB2312"/>
          <w:color w:val="auto"/>
          <w:kern w:val="0"/>
          <w:sz w:val="32"/>
          <w:szCs w:val="32"/>
          <w:highlight w:val="none"/>
          <w:u w:val="none"/>
          <w:shd w:val="clear" w:color="auto" w:fill="FFFFFF"/>
          <w:lang w:val="zh-CN"/>
        </w:rPr>
        <w:t>．资金使用。</w:t>
      </w:r>
      <w:r>
        <w:rPr>
          <w:rFonts w:hint="eastAsia" w:ascii="仿宋_GB2312" w:hAnsi="Times New Roman" w:eastAsia="仿宋_GB2312" w:cs="Times New Roman"/>
          <w:spacing w:val="-6"/>
          <w:sz w:val="32"/>
          <w:szCs w:val="32"/>
        </w:rPr>
        <w:t>截止</w:t>
      </w:r>
      <w:r>
        <w:rPr>
          <w:rFonts w:hint="eastAsia" w:ascii="仿宋_GB2312" w:hAnsi="Times New Roman" w:eastAsia="仿宋_GB2312" w:cs="Times New Roman"/>
          <w:spacing w:val="-6"/>
          <w:sz w:val="32"/>
          <w:szCs w:val="32"/>
          <w:lang w:val="en-US" w:eastAsia="zh-CN"/>
        </w:rPr>
        <w:t>2022年12月31日，</w:t>
      </w:r>
      <w:r>
        <w:rPr>
          <w:rFonts w:hint="eastAsia" w:ascii="仿宋_GB2312" w:hAnsi="宋体" w:eastAsia="仿宋_GB2312" w:cs="仿宋_GB2312"/>
          <w:i w:val="0"/>
          <w:iCs w:val="0"/>
          <w:caps w:val="0"/>
          <w:color w:val="000000"/>
          <w:spacing w:val="0"/>
          <w:sz w:val="32"/>
          <w:szCs w:val="32"/>
          <w:shd w:val="clear" w:fill="FFFFFF"/>
        </w:rPr>
        <w:t>特殊疑难信访资金项目</w:t>
      </w:r>
      <w:r>
        <w:rPr>
          <w:rFonts w:hint="eastAsia" w:ascii="仿宋_GB2312" w:hAnsi="宋体" w:eastAsia="仿宋_GB2312" w:cs="Times New Roman"/>
          <w:w w:val="99"/>
          <w:sz w:val="32"/>
          <w:szCs w:val="32"/>
          <w:lang w:val="en-US" w:eastAsia="zh-CN"/>
        </w:rPr>
        <w:t>预算3.00万元</w:t>
      </w:r>
      <w:r>
        <w:rPr>
          <w:rFonts w:hint="eastAsia" w:ascii="仿宋_GB2312" w:hAnsi="Times New Roman" w:eastAsia="仿宋_GB2312" w:cs="Times New Roman"/>
          <w:spacing w:val="-6"/>
          <w:sz w:val="32"/>
          <w:szCs w:val="32"/>
          <w:lang w:val="en-US" w:eastAsia="zh-CN"/>
        </w:rPr>
        <w:t>，全额支付。</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6" w:name="_Toc23891"/>
      <w:r>
        <w:rPr>
          <w:rFonts w:hint="eastAsia" w:ascii="楷体_GB2312" w:hAnsi="宋体" w:eastAsia="楷体_GB2312"/>
          <w:b/>
          <w:color w:val="auto"/>
          <w:sz w:val="32"/>
          <w:szCs w:val="32"/>
          <w:highlight w:val="none"/>
          <w:u w:val="none"/>
          <w:lang w:val="zh-CN"/>
        </w:rPr>
        <w:t>（三）项目财务管理情况。</w:t>
      </w:r>
      <w:bookmarkEnd w:id="106"/>
    </w:p>
    <w:p>
      <w:pPr>
        <w:spacing w:line="540" w:lineRule="exact"/>
        <w:ind w:firstLine="600" w:firstLineChars="200"/>
        <w:jc w:val="both"/>
        <w:rPr>
          <w:rFonts w:hint="eastAsia" w:ascii="仿宋_GB2312" w:hAnsi="仿宋" w:eastAsia="仿宋_GB2312"/>
          <w:sz w:val="30"/>
          <w:szCs w:val="24"/>
          <w:lang w:eastAsia="zh-CN"/>
        </w:rPr>
      </w:pPr>
      <w:r>
        <w:rPr>
          <w:rFonts w:hint="eastAsia" w:ascii="仿宋_GB2312" w:hAnsi="仿宋" w:eastAsia="仿宋_GB2312"/>
          <w:sz w:val="30"/>
          <w:szCs w:val="24"/>
          <w:lang w:eastAsia="zh-CN"/>
        </w:rPr>
        <w:t>我局执行建立健全的</w:t>
      </w:r>
      <w:r>
        <w:rPr>
          <w:rFonts w:hint="eastAsia" w:ascii="仿宋_GB2312" w:hAnsi="仿宋" w:eastAsia="仿宋_GB2312"/>
          <w:sz w:val="30"/>
          <w:szCs w:val="24"/>
        </w:rPr>
        <w:t>财务管理制度，严格执行财务管理制度，账务处理及时，会计核算规范</w:t>
      </w:r>
      <w:r>
        <w:rPr>
          <w:rFonts w:hint="eastAsia" w:ascii="仿宋_GB2312" w:hAnsi="仿宋" w:eastAsia="仿宋_GB2312"/>
          <w:sz w:val="30"/>
          <w:szCs w:val="24"/>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07" w:name="_Toc17060"/>
      <w:r>
        <w:rPr>
          <w:rFonts w:hint="eastAsia" w:ascii="黑体" w:hAnsi="宋体" w:eastAsia="黑体"/>
          <w:color w:val="auto"/>
          <w:sz w:val="32"/>
          <w:szCs w:val="32"/>
          <w:highlight w:val="none"/>
          <w:u w:val="none"/>
        </w:rPr>
        <w:t>三、项目实施及管理情况</w:t>
      </w:r>
      <w:bookmarkEnd w:id="107"/>
    </w:p>
    <w:p>
      <w:pPr>
        <w:pStyle w:val="15"/>
        <w:keepNext w:val="0"/>
        <w:keepLines w:val="0"/>
        <w:pageBreakBefore w:val="0"/>
        <w:widowControl w:val="0"/>
        <w:kinsoku/>
        <w:wordWrap/>
        <w:overflowPunct/>
        <w:topLinePunct w:val="0"/>
        <w:autoSpaceDN/>
        <w:bidi w:val="0"/>
        <w:spacing w:beforeAutospacing="0" w:afterAutospacing="0" w:line="576" w:lineRule="exact"/>
        <w:ind w:firstLine="643" w:firstLineChars="200"/>
        <w:textAlignment w:val="auto"/>
        <w:rPr>
          <w:rFonts w:hint="eastAsia" w:ascii="仿宋_GB2312" w:hAnsi="Times New Roman" w:eastAsia="仿宋_GB2312" w:cs="仿宋_GB2312"/>
          <w:b w:val="0"/>
          <w:bCs w:val="0"/>
          <w:i w:val="0"/>
          <w:iCs w:val="0"/>
          <w:caps w:val="0"/>
          <w:color w:val="000000"/>
          <w:spacing w:val="0"/>
          <w:kern w:val="2"/>
          <w:sz w:val="32"/>
          <w:szCs w:val="32"/>
          <w:lang w:val="en-US" w:eastAsia="zh-CN" w:bidi="ar-SA"/>
        </w:rPr>
      </w:pPr>
      <w:r>
        <w:rPr>
          <w:rFonts w:hint="eastAsia" w:ascii="楷体_GB2312" w:hAnsi="宋体" w:eastAsia="楷体_GB2312"/>
          <w:b/>
          <w:color w:val="auto"/>
          <w:sz w:val="32"/>
          <w:szCs w:val="32"/>
          <w:highlight w:val="none"/>
          <w:u w:val="none"/>
          <w:lang w:val="zh-CN"/>
        </w:rPr>
        <w:t>（一）项目组织架构及实施流程。</w:t>
      </w:r>
      <w:r>
        <w:rPr>
          <w:rFonts w:hint="eastAsia" w:ascii="仿宋_GB2312" w:hAnsi="Times New Roman" w:eastAsia="仿宋_GB2312" w:cs="仿宋_GB2312"/>
          <w:b w:val="0"/>
          <w:bCs w:val="0"/>
          <w:i w:val="0"/>
          <w:iCs w:val="0"/>
          <w:caps w:val="0"/>
          <w:color w:val="000000"/>
          <w:spacing w:val="0"/>
          <w:kern w:val="2"/>
          <w:sz w:val="32"/>
          <w:szCs w:val="32"/>
          <w:lang w:val="en-US" w:eastAsia="zh-CN" w:bidi="ar-SA"/>
        </w:rPr>
        <w:t>在项目实施时，项目资金管理严格按制度执行，如需会议纪要、实施方案、稳控措施、审核报告、息诉息访承诺书、办结报告等一系列文件，严格审批程序，确定上报项目。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p>
    <w:p>
      <w:pPr>
        <w:pStyle w:val="15"/>
        <w:keepNext w:val="0"/>
        <w:keepLines w:val="0"/>
        <w:pageBreakBefore w:val="0"/>
        <w:widowControl w:val="0"/>
        <w:kinsoku/>
        <w:wordWrap/>
        <w:overflowPunct/>
        <w:topLinePunct w:val="0"/>
        <w:autoSpaceDN/>
        <w:bidi w:val="0"/>
        <w:spacing w:beforeAutospacing="0" w:afterAutospacing="0" w:line="576" w:lineRule="exact"/>
        <w:ind w:firstLine="643"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b/>
          <w:color w:val="auto"/>
          <w:sz w:val="32"/>
          <w:szCs w:val="32"/>
          <w:highlight w:val="none"/>
          <w:u w:val="none"/>
          <w:lang w:val="zh-CN"/>
        </w:rPr>
        <w:t>（二）项目管理情况。</w:t>
      </w:r>
      <w:r>
        <w:rPr>
          <w:rFonts w:hint="eastAsia" w:ascii="仿宋_GB2312" w:hAnsi="仿宋_GB2312" w:eastAsia="仿宋_GB2312" w:cs="仿宋_GB2312"/>
          <w:sz w:val="32"/>
          <w:szCs w:val="32"/>
          <w:lang w:val="zh-CN" w:bidi="ar"/>
        </w:rPr>
        <w:t>本项目资金仅限于化解特殊疑难信访问题工作，实行专款专用，资金使用合规，支出依据规范，无虚列支出，无截留、挤占、挪用现象。</w:t>
      </w:r>
    </w:p>
    <w:p>
      <w:pPr>
        <w:keepNext w:val="0"/>
        <w:keepLines w:val="0"/>
        <w:pageBreakBefore w:val="0"/>
        <w:widowControl w:val="0"/>
        <w:kinsoku/>
        <w:wordWrap/>
        <w:overflowPunct/>
        <w:topLinePunct w:val="0"/>
        <w:autoSpaceDN/>
        <w:bidi w:val="0"/>
        <w:adjustRightInd w:val="0"/>
        <w:snapToGrid w:val="0"/>
        <w:spacing w:beforeAutospacing="0" w:afterAutospacing="0" w:line="576" w:lineRule="exact"/>
        <w:ind w:firstLine="643"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b/>
          <w:color w:val="auto"/>
          <w:sz w:val="32"/>
          <w:szCs w:val="32"/>
          <w:highlight w:val="none"/>
          <w:u w:val="none"/>
          <w:lang w:val="zh-CN"/>
        </w:rPr>
        <w:t>（三）项目监管情况。</w:t>
      </w:r>
      <w:r>
        <w:rPr>
          <w:rFonts w:ascii="仿宋_GB2312" w:hAnsi="Times New Roman" w:eastAsia="仿宋_GB2312" w:cs="仿宋_GB2312"/>
          <w:b w:val="0"/>
          <w:bCs w:val="0"/>
          <w:i w:val="0"/>
          <w:iCs w:val="0"/>
          <w:caps w:val="0"/>
          <w:color w:val="333333"/>
          <w:spacing w:val="0"/>
          <w:sz w:val="32"/>
          <w:szCs w:val="32"/>
          <w:shd w:val="clear" w:fill="FFFFFF"/>
        </w:rPr>
        <w:t>实施</w:t>
      </w:r>
      <w:r>
        <w:rPr>
          <w:rFonts w:hint="eastAsia" w:ascii="仿宋_GB2312" w:hAnsi="Times New Roman" w:eastAsia="仿宋_GB2312" w:cs="仿宋_GB2312"/>
          <w:b w:val="0"/>
          <w:bCs w:val="0"/>
          <w:i w:val="0"/>
          <w:iCs w:val="0"/>
          <w:caps w:val="0"/>
          <w:color w:val="000000"/>
          <w:spacing w:val="0"/>
          <w:sz w:val="32"/>
          <w:szCs w:val="32"/>
          <w:shd w:val="clear" w:fill="FFFFFF"/>
        </w:rPr>
        <w:t>特殊疑难信访资金</w:t>
      </w:r>
      <w:r>
        <w:rPr>
          <w:rFonts w:hint="eastAsia" w:ascii="仿宋_GB2312" w:hAnsi="Times New Roman" w:eastAsia="仿宋_GB2312" w:cs="仿宋_GB2312"/>
          <w:b w:val="0"/>
          <w:bCs w:val="0"/>
          <w:i w:val="0"/>
          <w:iCs w:val="0"/>
          <w:caps w:val="0"/>
          <w:color w:val="333333"/>
          <w:spacing w:val="0"/>
          <w:sz w:val="32"/>
          <w:szCs w:val="32"/>
          <w:shd w:val="clear" w:fill="FFFFFF"/>
        </w:rPr>
        <w:t>项目时，加强资金监管，规范监管程序，</w:t>
      </w:r>
      <w:r>
        <w:rPr>
          <w:rFonts w:hint="eastAsia" w:ascii="仿宋_GB2312" w:hAnsi="Times New Roman" w:eastAsia="仿宋_GB2312" w:cs="仿宋_GB2312"/>
          <w:b w:val="0"/>
          <w:bCs w:val="0"/>
          <w:i w:val="0"/>
          <w:iCs w:val="0"/>
          <w:caps w:val="0"/>
          <w:color w:val="000000"/>
          <w:spacing w:val="0"/>
          <w:sz w:val="32"/>
          <w:szCs w:val="32"/>
          <w:shd w:val="clear" w:fill="FFFFFF"/>
        </w:rPr>
        <w:t>监管工作有序开展，有效化解了</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一件</w:t>
      </w:r>
      <w:r>
        <w:rPr>
          <w:rFonts w:hint="eastAsia" w:ascii="仿宋_GB2312" w:hAnsi="Times New Roman" w:eastAsia="仿宋_GB2312" w:cs="仿宋_GB2312"/>
          <w:b w:val="0"/>
          <w:bCs w:val="0"/>
          <w:i w:val="0"/>
          <w:iCs w:val="0"/>
          <w:caps w:val="0"/>
          <w:color w:val="000000"/>
          <w:spacing w:val="0"/>
          <w:sz w:val="32"/>
          <w:szCs w:val="32"/>
          <w:shd w:val="clear" w:fill="FFFFFF"/>
        </w:rPr>
        <w:t>疑难信访问题，</w:t>
      </w:r>
      <w:r>
        <w:rPr>
          <w:rFonts w:hint="eastAsia" w:ascii="仿宋_GB2312" w:hAnsi="Times New Roman" w:eastAsia="仿宋_GB2312" w:cs="仿宋_GB2312"/>
          <w:b w:val="0"/>
          <w:bCs w:val="0"/>
          <w:i w:val="0"/>
          <w:iCs w:val="0"/>
          <w:caps w:val="0"/>
          <w:color w:val="353535"/>
          <w:spacing w:val="0"/>
          <w:sz w:val="32"/>
          <w:szCs w:val="32"/>
          <w:shd w:val="clear" w:fill="FFFFFF"/>
        </w:rPr>
        <w:t>保证了全</w:t>
      </w:r>
      <w:r>
        <w:rPr>
          <w:rFonts w:hint="eastAsia" w:ascii="仿宋_GB2312" w:hAnsi="Times New Roman" w:eastAsia="仿宋_GB2312" w:cs="仿宋_GB2312"/>
          <w:b w:val="0"/>
          <w:bCs w:val="0"/>
          <w:i w:val="0"/>
          <w:iCs w:val="0"/>
          <w:caps w:val="0"/>
          <w:color w:val="353535"/>
          <w:spacing w:val="0"/>
          <w:sz w:val="32"/>
          <w:szCs w:val="32"/>
          <w:shd w:val="clear" w:fill="FFFFFF"/>
          <w:lang w:eastAsia="zh-CN"/>
        </w:rPr>
        <w:t>区</w:t>
      </w:r>
      <w:r>
        <w:rPr>
          <w:rFonts w:hint="eastAsia" w:ascii="仿宋_GB2312" w:hAnsi="Times New Roman" w:eastAsia="仿宋_GB2312" w:cs="仿宋_GB2312"/>
          <w:b w:val="0"/>
          <w:bCs w:val="0"/>
          <w:i w:val="0"/>
          <w:iCs w:val="0"/>
          <w:caps w:val="0"/>
          <w:color w:val="353535"/>
          <w:spacing w:val="0"/>
          <w:sz w:val="32"/>
          <w:szCs w:val="32"/>
          <w:shd w:val="clear" w:fill="FFFFFF"/>
        </w:rPr>
        <w:t>社会和谐稳定。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08" w:name="_Toc1391"/>
      <w:r>
        <w:rPr>
          <w:rFonts w:hint="eastAsia" w:ascii="黑体" w:hAnsi="宋体" w:eastAsia="黑体"/>
          <w:color w:val="auto"/>
          <w:sz w:val="32"/>
          <w:szCs w:val="32"/>
          <w:highlight w:val="none"/>
          <w:u w:val="none"/>
        </w:rPr>
        <w:t>四、项目绩效情况</w:t>
      </w:r>
      <w:bookmarkEnd w:id="108"/>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9" w:name="_Toc5702"/>
      <w:r>
        <w:rPr>
          <w:rFonts w:hint="eastAsia" w:ascii="楷体_GB2312" w:hAnsi="宋体" w:eastAsia="楷体_GB2312"/>
          <w:b/>
          <w:color w:val="auto"/>
          <w:sz w:val="32"/>
          <w:szCs w:val="32"/>
          <w:highlight w:val="none"/>
          <w:u w:val="none"/>
          <w:lang w:val="zh-CN"/>
        </w:rPr>
        <w:t>（一）项目完成情况。</w:t>
      </w:r>
      <w:bookmarkEnd w:id="109"/>
    </w:p>
    <w:p>
      <w:pPr>
        <w:keepNext w:val="0"/>
        <w:keepLines w:val="0"/>
        <w:pageBreakBefore w:val="0"/>
        <w:kinsoku/>
        <w:wordWrap/>
        <w:overflowPunct/>
        <w:topLinePunct w:val="0"/>
        <w:autoSpaceDE w:val="0"/>
        <w:autoSpaceDN/>
        <w:bidi w:val="0"/>
        <w:spacing w:line="576" w:lineRule="exact"/>
        <w:ind w:firstLine="640" w:firstLineChars="200"/>
        <w:textAlignment w:val="auto"/>
        <w:rPr>
          <w:rFonts w:hint="eastAsia" w:ascii="仿宋_GB2312" w:hAnsi="Times New Roman" w:eastAsia="仿宋_GB2312" w:cs="仿宋_GB2312"/>
          <w:b w:val="0"/>
          <w:bCs w:val="0"/>
          <w:i w:val="0"/>
          <w:iCs w:val="0"/>
          <w:caps w:val="0"/>
          <w:color w:val="000000"/>
          <w:spacing w:val="0"/>
          <w:sz w:val="32"/>
          <w:szCs w:val="32"/>
        </w:rPr>
      </w:pPr>
      <w:r>
        <w:rPr>
          <w:rFonts w:ascii="仿宋_GB2312" w:hAnsi="Times New Roman" w:eastAsia="仿宋_GB2312" w:cs="仿宋_GB2312"/>
          <w:b w:val="0"/>
          <w:bCs w:val="0"/>
          <w:i w:val="0"/>
          <w:iCs w:val="0"/>
          <w:caps w:val="0"/>
          <w:color w:val="000000"/>
          <w:spacing w:val="0"/>
          <w:sz w:val="32"/>
          <w:szCs w:val="32"/>
        </w:rPr>
        <w:t>截止</w:t>
      </w:r>
      <w:r>
        <w:rPr>
          <w:rFonts w:hint="default" w:ascii="Times New Roman" w:hAnsi="Times New Roman" w:eastAsia="宋体" w:cs="Times New Roman"/>
          <w:b w:val="0"/>
          <w:bCs w:val="0"/>
          <w:i w:val="0"/>
          <w:iCs w:val="0"/>
          <w:caps w:val="0"/>
          <w:color w:val="000000"/>
          <w:spacing w:val="0"/>
          <w:sz w:val="32"/>
          <w:szCs w:val="32"/>
        </w:rPr>
        <w:t>202</w:t>
      </w:r>
      <w:r>
        <w:rPr>
          <w:rFonts w:hint="eastAsia" w:ascii="Times New Roman" w:hAnsi="Times New Roman" w:eastAsia="宋体" w:cs="Times New Roman"/>
          <w:b w:val="0"/>
          <w:bCs w:val="0"/>
          <w:i w:val="0"/>
          <w:iCs w:val="0"/>
          <w:caps w:val="0"/>
          <w:color w:val="000000"/>
          <w:spacing w:val="0"/>
          <w:sz w:val="32"/>
          <w:szCs w:val="32"/>
          <w:lang w:val="en-US" w:eastAsia="zh-CN"/>
        </w:rPr>
        <w:t>2</w:t>
      </w:r>
      <w:r>
        <w:rPr>
          <w:rFonts w:hint="eastAsia" w:ascii="仿宋_GB2312" w:hAnsi="Times New Roman" w:eastAsia="仿宋_GB2312" w:cs="仿宋_GB2312"/>
          <w:b w:val="0"/>
          <w:bCs w:val="0"/>
          <w:i w:val="0"/>
          <w:iCs w:val="0"/>
          <w:caps w:val="0"/>
          <w:color w:val="000000"/>
          <w:spacing w:val="0"/>
          <w:sz w:val="32"/>
          <w:szCs w:val="32"/>
        </w:rPr>
        <w:t>年</w:t>
      </w:r>
      <w:r>
        <w:rPr>
          <w:rFonts w:hint="default" w:ascii="Times New Roman" w:hAnsi="Times New Roman" w:eastAsia="宋体" w:cs="Times New Roman"/>
          <w:b w:val="0"/>
          <w:bCs w:val="0"/>
          <w:i w:val="0"/>
          <w:iCs w:val="0"/>
          <w:caps w:val="0"/>
          <w:color w:val="000000"/>
          <w:spacing w:val="0"/>
          <w:sz w:val="32"/>
          <w:szCs w:val="32"/>
        </w:rPr>
        <w:t>12</w:t>
      </w:r>
      <w:r>
        <w:rPr>
          <w:rFonts w:hint="eastAsia" w:ascii="仿宋_GB2312" w:hAnsi="Times New Roman" w:eastAsia="仿宋_GB2312" w:cs="仿宋_GB2312"/>
          <w:b w:val="0"/>
          <w:bCs w:val="0"/>
          <w:i w:val="0"/>
          <w:iCs w:val="0"/>
          <w:caps w:val="0"/>
          <w:color w:val="000000"/>
          <w:spacing w:val="0"/>
          <w:sz w:val="32"/>
          <w:szCs w:val="32"/>
        </w:rPr>
        <w:t>月</w:t>
      </w:r>
      <w:r>
        <w:rPr>
          <w:rFonts w:hint="default" w:ascii="Times New Roman" w:hAnsi="Times New Roman" w:eastAsia="宋体" w:cs="Times New Roman"/>
          <w:b w:val="0"/>
          <w:bCs w:val="0"/>
          <w:i w:val="0"/>
          <w:iCs w:val="0"/>
          <w:caps w:val="0"/>
          <w:color w:val="000000"/>
          <w:spacing w:val="0"/>
          <w:sz w:val="32"/>
          <w:szCs w:val="32"/>
        </w:rPr>
        <w:t>31</w:t>
      </w:r>
      <w:r>
        <w:rPr>
          <w:rFonts w:hint="eastAsia" w:ascii="仿宋_GB2312" w:hAnsi="Times New Roman" w:eastAsia="仿宋_GB2312" w:cs="仿宋_GB2312"/>
          <w:b w:val="0"/>
          <w:bCs w:val="0"/>
          <w:i w:val="0"/>
          <w:iCs w:val="0"/>
          <w:caps w:val="0"/>
          <w:color w:val="000000"/>
          <w:spacing w:val="0"/>
          <w:sz w:val="32"/>
          <w:szCs w:val="32"/>
        </w:rPr>
        <w:t>日，</w:t>
      </w:r>
      <w:r>
        <w:rPr>
          <w:rFonts w:hint="eastAsia" w:ascii="仿宋_GB2312" w:hAnsi="Times New Roman" w:eastAsia="仿宋_GB2312" w:cs="仿宋_GB2312"/>
          <w:b w:val="0"/>
          <w:bCs w:val="0"/>
          <w:i w:val="0"/>
          <w:iCs w:val="0"/>
          <w:caps w:val="0"/>
          <w:color w:val="000000"/>
          <w:spacing w:val="0"/>
          <w:sz w:val="32"/>
          <w:szCs w:val="32"/>
          <w:lang w:eastAsia="zh-CN"/>
        </w:rPr>
        <w:t>我局</w:t>
      </w:r>
      <w:r>
        <w:rPr>
          <w:rFonts w:hint="eastAsia" w:ascii="仿宋_GB2312" w:hAnsi="Times New Roman" w:eastAsia="仿宋_GB2312" w:cs="仿宋_GB2312"/>
          <w:b w:val="0"/>
          <w:bCs w:val="0"/>
          <w:i w:val="0"/>
          <w:iCs w:val="0"/>
          <w:caps w:val="0"/>
          <w:color w:val="000000"/>
          <w:spacing w:val="0"/>
          <w:sz w:val="32"/>
          <w:szCs w:val="32"/>
        </w:rPr>
        <w:t>特殊疑难信访资金支出</w:t>
      </w:r>
      <w:r>
        <w:rPr>
          <w:rFonts w:hint="eastAsia" w:ascii="Times New Roman" w:hAnsi="Times New Roman" w:eastAsia="宋体" w:cs="Times New Roman"/>
          <w:b w:val="0"/>
          <w:bCs w:val="0"/>
          <w:i w:val="0"/>
          <w:iCs w:val="0"/>
          <w:caps w:val="0"/>
          <w:color w:val="000000"/>
          <w:spacing w:val="0"/>
          <w:sz w:val="32"/>
          <w:szCs w:val="32"/>
          <w:lang w:val="en-US" w:eastAsia="zh-CN"/>
        </w:rPr>
        <w:t>3</w:t>
      </w:r>
      <w:r>
        <w:rPr>
          <w:rFonts w:hint="eastAsia" w:ascii="仿宋_GB2312" w:hAnsi="Times New Roman" w:eastAsia="仿宋_GB2312" w:cs="仿宋_GB2312"/>
          <w:b w:val="0"/>
          <w:bCs w:val="0"/>
          <w:i w:val="0"/>
          <w:iCs w:val="0"/>
          <w:caps w:val="0"/>
          <w:color w:val="000000"/>
          <w:spacing w:val="0"/>
          <w:sz w:val="32"/>
          <w:szCs w:val="32"/>
        </w:rPr>
        <w:t>万元。该项目在上级有关部门的关心、帮助下，顺利推进，圆满完成目标任务。数量指标上完成一</w:t>
      </w:r>
      <w:r>
        <w:rPr>
          <w:rFonts w:hint="eastAsia" w:ascii="仿宋_GB2312" w:hAnsi="Times New Roman" w:eastAsia="仿宋_GB2312" w:cs="仿宋_GB2312"/>
          <w:b w:val="0"/>
          <w:bCs w:val="0"/>
          <w:i w:val="0"/>
          <w:iCs w:val="0"/>
          <w:caps w:val="0"/>
          <w:color w:val="000000"/>
          <w:spacing w:val="0"/>
          <w:sz w:val="32"/>
          <w:szCs w:val="32"/>
          <w:lang w:eastAsia="zh-CN"/>
        </w:rPr>
        <w:t>件</w:t>
      </w:r>
      <w:r>
        <w:rPr>
          <w:rFonts w:hint="eastAsia" w:ascii="仿宋_GB2312" w:hAnsi="Times New Roman" w:eastAsia="仿宋_GB2312" w:cs="仿宋_GB2312"/>
          <w:b w:val="0"/>
          <w:bCs w:val="0"/>
          <w:i w:val="0"/>
          <w:iCs w:val="0"/>
          <w:caps w:val="0"/>
          <w:color w:val="000000"/>
          <w:spacing w:val="0"/>
          <w:sz w:val="32"/>
          <w:szCs w:val="32"/>
        </w:rPr>
        <w:t>信访积案化解，按上级交办数按期办理全力攻坚</w:t>
      </w:r>
      <w:r>
        <w:rPr>
          <w:rFonts w:hint="default" w:ascii="Times New Roman" w:hAnsi="Times New Roman" w:eastAsia="宋体" w:cs="Times New Roman"/>
          <w:b w:val="0"/>
          <w:bCs w:val="0"/>
          <w:i w:val="0"/>
          <w:iCs w:val="0"/>
          <w:caps w:val="0"/>
          <w:color w:val="000000"/>
          <w:spacing w:val="0"/>
          <w:sz w:val="32"/>
          <w:szCs w:val="32"/>
        </w:rPr>
        <w:t>“</w:t>
      </w:r>
      <w:r>
        <w:rPr>
          <w:rFonts w:hint="eastAsia" w:ascii="仿宋_GB2312" w:hAnsi="Times New Roman" w:eastAsia="仿宋_GB2312" w:cs="仿宋_GB2312"/>
          <w:b w:val="0"/>
          <w:bCs w:val="0"/>
          <w:i w:val="0"/>
          <w:iCs w:val="0"/>
          <w:caps w:val="0"/>
          <w:color w:val="000000"/>
          <w:spacing w:val="0"/>
          <w:sz w:val="32"/>
          <w:szCs w:val="32"/>
        </w:rPr>
        <w:t>治重化积</w:t>
      </w:r>
      <w:r>
        <w:rPr>
          <w:rFonts w:hint="default" w:ascii="Times New Roman" w:hAnsi="Times New Roman" w:eastAsia="宋体" w:cs="Times New Roman"/>
          <w:b w:val="0"/>
          <w:bCs w:val="0"/>
          <w:i w:val="0"/>
          <w:iCs w:val="0"/>
          <w:caps w:val="0"/>
          <w:color w:val="000000"/>
          <w:spacing w:val="0"/>
          <w:sz w:val="32"/>
          <w:szCs w:val="32"/>
        </w:rPr>
        <w:t>”</w:t>
      </w:r>
      <w:r>
        <w:rPr>
          <w:rFonts w:hint="eastAsia" w:ascii="仿宋_GB2312" w:hAnsi="Times New Roman" w:eastAsia="仿宋_GB2312" w:cs="仿宋_GB2312"/>
          <w:b w:val="0"/>
          <w:bCs w:val="0"/>
          <w:i w:val="0"/>
          <w:iCs w:val="0"/>
          <w:caps w:val="0"/>
          <w:color w:val="000000"/>
          <w:spacing w:val="0"/>
          <w:sz w:val="32"/>
          <w:szCs w:val="32"/>
        </w:rPr>
        <w:t>工作，难案疑案积案得到有效突破；完成质量高，受理率</w:t>
      </w:r>
      <w:r>
        <w:rPr>
          <w:rFonts w:hint="default" w:ascii="Times New Roman" w:hAnsi="Times New Roman" w:eastAsia="宋体" w:cs="Times New Roman"/>
          <w:b w:val="0"/>
          <w:bCs w:val="0"/>
          <w:i w:val="0"/>
          <w:iCs w:val="0"/>
          <w:caps w:val="0"/>
          <w:color w:val="000000"/>
          <w:spacing w:val="0"/>
          <w:sz w:val="32"/>
          <w:szCs w:val="32"/>
        </w:rPr>
        <w:t>100%</w:t>
      </w:r>
      <w:r>
        <w:rPr>
          <w:rFonts w:hint="eastAsia" w:ascii="仿宋_GB2312" w:hAnsi="Times New Roman" w:eastAsia="仿宋_GB2312" w:cs="仿宋_GB2312"/>
          <w:b w:val="0"/>
          <w:bCs w:val="0"/>
          <w:i w:val="0"/>
          <w:iCs w:val="0"/>
          <w:caps w:val="0"/>
          <w:color w:val="000000"/>
          <w:spacing w:val="0"/>
          <w:sz w:val="32"/>
          <w:szCs w:val="32"/>
        </w:rPr>
        <w:t>，圆满化解；计划完成进度快，受理时效性高，及时处理信访案件，信访案件办结率、息诉息访率高；成本支出严格控制</w:t>
      </w:r>
      <w:r>
        <w:rPr>
          <w:rFonts w:hint="default" w:ascii="Times New Roman" w:hAnsi="Times New Roman" w:eastAsia="宋体" w:cs="Times New Roman"/>
          <w:b w:val="0"/>
          <w:bCs w:val="0"/>
          <w:i w:val="0"/>
          <w:iCs w:val="0"/>
          <w:caps w:val="0"/>
          <w:color w:val="000000"/>
          <w:spacing w:val="0"/>
          <w:sz w:val="32"/>
          <w:szCs w:val="32"/>
        </w:rPr>
        <w:t>202</w:t>
      </w:r>
      <w:r>
        <w:rPr>
          <w:rFonts w:hint="eastAsia" w:ascii="Times New Roman" w:hAnsi="Times New Roman" w:eastAsia="宋体" w:cs="Times New Roman"/>
          <w:b w:val="0"/>
          <w:bCs w:val="0"/>
          <w:i w:val="0"/>
          <w:iCs w:val="0"/>
          <w:caps w:val="0"/>
          <w:color w:val="000000"/>
          <w:spacing w:val="0"/>
          <w:sz w:val="32"/>
          <w:szCs w:val="32"/>
          <w:lang w:val="en-US" w:eastAsia="zh-CN"/>
        </w:rPr>
        <w:t>2</w:t>
      </w:r>
      <w:r>
        <w:rPr>
          <w:rFonts w:hint="eastAsia" w:ascii="仿宋_GB2312" w:hAnsi="Times New Roman" w:eastAsia="仿宋_GB2312" w:cs="仿宋_GB2312"/>
          <w:b w:val="0"/>
          <w:bCs w:val="0"/>
          <w:i w:val="0"/>
          <w:iCs w:val="0"/>
          <w:caps w:val="0"/>
          <w:color w:val="000000"/>
          <w:spacing w:val="0"/>
          <w:sz w:val="32"/>
          <w:szCs w:val="32"/>
        </w:rPr>
        <w:t>年特殊疑难信访资金项目财政预算安排资金</w:t>
      </w:r>
      <w:r>
        <w:rPr>
          <w:rFonts w:hint="eastAsia" w:ascii="Times New Roman" w:hAnsi="Times New Roman" w:eastAsia="宋体" w:cs="Times New Roman"/>
          <w:b w:val="0"/>
          <w:bCs w:val="0"/>
          <w:i w:val="0"/>
          <w:iCs w:val="0"/>
          <w:caps w:val="0"/>
          <w:color w:val="000000"/>
          <w:spacing w:val="0"/>
          <w:sz w:val="32"/>
          <w:szCs w:val="32"/>
          <w:lang w:val="en-US" w:eastAsia="zh-CN"/>
        </w:rPr>
        <w:t>3</w:t>
      </w:r>
      <w:r>
        <w:rPr>
          <w:rFonts w:hint="eastAsia" w:ascii="仿宋_GB2312" w:hAnsi="Times New Roman" w:eastAsia="仿宋_GB2312" w:cs="仿宋_GB2312"/>
          <w:b w:val="0"/>
          <w:bCs w:val="0"/>
          <w:i w:val="0"/>
          <w:iCs w:val="0"/>
          <w:caps w:val="0"/>
          <w:color w:val="000000"/>
          <w:spacing w:val="0"/>
          <w:sz w:val="32"/>
          <w:szCs w:val="32"/>
        </w:rPr>
        <w:t>万元，</w:t>
      </w:r>
      <w:r>
        <w:rPr>
          <w:rFonts w:hint="eastAsia" w:ascii="仿宋_GB2312" w:hAnsi="Times New Roman" w:eastAsia="仿宋_GB2312" w:cs="仿宋_GB2312"/>
          <w:b w:val="0"/>
          <w:bCs w:val="0"/>
          <w:i w:val="0"/>
          <w:iCs w:val="0"/>
          <w:caps w:val="0"/>
          <w:color w:val="353535"/>
          <w:spacing w:val="0"/>
          <w:sz w:val="32"/>
          <w:szCs w:val="32"/>
        </w:rPr>
        <w:t>实际支付额度</w:t>
      </w:r>
      <w:r>
        <w:rPr>
          <w:rFonts w:hint="eastAsia" w:ascii="Times New Roman" w:hAnsi="Times New Roman" w:eastAsia="宋体" w:cs="Times New Roman"/>
          <w:b w:val="0"/>
          <w:bCs w:val="0"/>
          <w:i w:val="0"/>
          <w:iCs w:val="0"/>
          <w:caps w:val="0"/>
          <w:color w:val="353535"/>
          <w:spacing w:val="0"/>
          <w:sz w:val="32"/>
          <w:szCs w:val="32"/>
          <w:lang w:val="en-US" w:eastAsia="zh-CN"/>
        </w:rPr>
        <w:t>3</w:t>
      </w:r>
      <w:r>
        <w:rPr>
          <w:rFonts w:hint="eastAsia" w:ascii="仿宋_GB2312" w:hAnsi="Times New Roman" w:eastAsia="仿宋_GB2312" w:cs="仿宋_GB2312"/>
          <w:b w:val="0"/>
          <w:bCs w:val="0"/>
          <w:i w:val="0"/>
          <w:iCs w:val="0"/>
          <w:caps w:val="0"/>
          <w:color w:val="353535"/>
          <w:spacing w:val="0"/>
          <w:sz w:val="32"/>
          <w:szCs w:val="32"/>
        </w:rPr>
        <w:t>万元，</w:t>
      </w:r>
      <w:r>
        <w:rPr>
          <w:rFonts w:hint="eastAsia" w:ascii="仿宋_GB2312" w:hAnsi="Times New Roman" w:eastAsia="仿宋_GB2312" w:cs="仿宋_GB2312"/>
          <w:b w:val="0"/>
          <w:bCs w:val="0"/>
          <w:i w:val="0"/>
          <w:iCs w:val="0"/>
          <w:caps w:val="0"/>
          <w:color w:val="000000"/>
          <w:spacing w:val="0"/>
          <w:sz w:val="32"/>
          <w:szCs w:val="32"/>
        </w:rPr>
        <w:t>成本控制目标实现良好，该项目全面完成并无违规记录等情况。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10" w:name="_Toc971"/>
      <w:r>
        <w:rPr>
          <w:rFonts w:hint="eastAsia" w:ascii="楷体_GB2312" w:hAnsi="宋体" w:eastAsia="楷体_GB2312"/>
          <w:b/>
          <w:color w:val="auto"/>
          <w:sz w:val="32"/>
          <w:szCs w:val="32"/>
          <w:highlight w:val="none"/>
          <w:u w:val="none"/>
          <w:lang w:val="zh-CN"/>
        </w:rPr>
        <w:t>（二）项目效益情况。</w:t>
      </w:r>
      <w:bookmarkEnd w:id="11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Times New Roman"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kern w:val="2"/>
          <w:sz w:val="32"/>
        </w:rPr>
        <w:t>1.社会效益。</w:t>
      </w:r>
      <w:r>
        <w:rPr>
          <w:rFonts w:ascii="仿宋_GB2312" w:hAnsi="Times New Roman" w:eastAsia="仿宋_GB2312" w:cs="仿宋_GB2312"/>
          <w:b w:val="0"/>
          <w:bCs w:val="0"/>
          <w:i w:val="0"/>
          <w:iCs w:val="0"/>
          <w:caps w:val="0"/>
          <w:color w:val="000000"/>
          <w:spacing w:val="0"/>
          <w:sz w:val="32"/>
          <w:szCs w:val="32"/>
          <w:shd w:val="clear" w:fill="FFFFFF"/>
        </w:rPr>
        <w:t>通过特殊疑难信访资金的使用，妥善解决了疑难信访突出问题，</w:t>
      </w:r>
      <w:r>
        <w:rPr>
          <w:rFonts w:hint="eastAsia" w:ascii="仿宋_GB2312" w:hAnsi="Times New Roman" w:eastAsia="仿宋_GB2312" w:cs="仿宋_GB2312"/>
          <w:b w:val="0"/>
          <w:bCs w:val="0"/>
          <w:i w:val="0"/>
          <w:iCs w:val="0"/>
          <w:caps w:val="0"/>
          <w:color w:val="000000"/>
          <w:spacing w:val="0"/>
          <w:sz w:val="32"/>
          <w:szCs w:val="32"/>
          <w:shd w:val="clear" w:fill="FFFFFF"/>
        </w:rPr>
        <w:t>加强网上信访办理，化解信访积案和疑难突出问题，</w:t>
      </w:r>
      <w:r>
        <w:rPr>
          <w:rFonts w:ascii="仿宋_GB2312" w:hAnsi="Times New Roman" w:eastAsia="仿宋_GB2312" w:cs="仿宋_GB2312"/>
          <w:b w:val="0"/>
          <w:bCs w:val="0"/>
          <w:i w:val="0"/>
          <w:iCs w:val="0"/>
          <w:caps w:val="0"/>
          <w:color w:val="000000"/>
          <w:spacing w:val="0"/>
          <w:sz w:val="32"/>
          <w:szCs w:val="32"/>
          <w:shd w:val="clear" w:fill="FFFFFF"/>
        </w:rPr>
        <w:t>确保了我</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区</w:t>
      </w:r>
      <w:r>
        <w:rPr>
          <w:rFonts w:ascii="仿宋_GB2312" w:hAnsi="Times New Roman" w:eastAsia="仿宋_GB2312" w:cs="仿宋_GB2312"/>
          <w:b w:val="0"/>
          <w:bCs w:val="0"/>
          <w:i w:val="0"/>
          <w:iCs w:val="0"/>
          <w:caps w:val="0"/>
          <w:color w:val="000000"/>
          <w:spacing w:val="0"/>
          <w:sz w:val="32"/>
          <w:szCs w:val="32"/>
          <w:shd w:val="clear" w:fill="FFFFFF"/>
        </w:rPr>
        <w:t>社会和谐</w:t>
      </w:r>
      <w:r>
        <w:rPr>
          <w:rFonts w:hint="eastAsia" w:ascii="仿宋_GB2312" w:hAnsi="Times New Roman" w:eastAsia="仿宋_GB2312" w:cs="仿宋_GB2312"/>
          <w:b w:val="0"/>
          <w:bCs w:val="0"/>
          <w:i w:val="0"/>
          <w:iCs w:val="0"/>
          <w:caps w:val="0"/>
          <w:color w:val="000000"/>
          <w:spacing w:val="0"/>
          <w:sz w:val="32"/>
          <w:szCs w:val="32"/>
          <w:shd w:val="clear" w:fill="FFFFFF"/>
        </w:rPr>
        <w:t>，保障全</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区</w:t>
      </w:r>
      <w:r>
        <w:rPr>
          <w:rFonts w:hint="eastAsia" w:ascii="仿宋_GB2312" w:hAnsi="Times New Roman" w:eastAsia="仿宋_GB2312" w:cs="仿宋_GB2312"/>
          <w:b w:val="0"/>
          <w:bCs w:val="0"/>
          <w:i w:val="0"/>
          <w:iCs w:val="0"/>
          <w:caps w:val="0"/>
          <w:color w:val="000000"/>
          <w:spacing w:val="0"/>
          <w:sz w:val="32"/>
          <w:szCs w:val="32"/>
          <w:shd w:val="clear" w:fill="FFFFFF"/>
        </w:rPr>
        <w:t>社会稳定</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11" w:name="_Toc6157"/>
      <w:r>
        <w:rPr>
          <w:rFonts w:hint="eastAsia" w:ascii="黑体" w:hAnsi="宋体" w:eastAsia="黑体"/>
          <w:color w:val="auto"/>
          <w:sz w:val="32"/>
          <w:szCs w:val="32"/>
          <w:highlight w:val="none"/>
          <w:u w:val="none"/>
        </w:rPr>
        <w:t>五、评价结论及建议</w:t>
      </w:r>
      <w:bookmarkEnd w:id="111"/>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12" w:name="_Toc19975"/>
      <w:r>
        <w:rPr>
          <w:rFonts w:hint="eastAsia" w:ascii="楷体_GB2312" w:hAnsi="宋体" w:eastAsia="楷体_GB2312"/>
          <w:b/>
          <w:color w:val="auto"/>
          <w:sz w:val="32"/>
          <w:szCs w:val="32"/>
          <w:highlight w:val="none"/>
          <w:u w:val="none"/>
          <w:lang w:val="zh-CN"/>
        </w:rPr>
        <w:t>（一）评价结论。</w:t>
      </w:r>
      <w:bookmarkEnd w:id="112"/>
    </w:p>
    <w:p>
      <w:pPr>
        <w:keepNext w:val="0"/>
        <w:keepLines w:val="0"/>
        <w:pageBreakBefore w:val="0"/>
        <w:kinsoku/>
        <w:wordWrap/>
        <w:overflowPunct/>
        <w:topLinePunct w:val="0"/>
        <w:autoSpaceDE w:val="0"/>
        <w:autoSpaceDN/>
        <w:bidi w:val="0"/>
        <w:spacing w:line="576" w:lineRule="exact"/>
        <w:ind w:firstLine="640" w:firstLineChars="200"/>
        <w:textAlignment w:val="auto"/>
        <w:rPr>
          <w:rFonts w:hint="eastAsia" w:ascii="仿宋_GB2312" w:hAnsi="Times New Roman" w:eastAsia="仿宋_GB2312" w:cs="仿宋_GB2312"/>
          <w:b w:val="0"/>
          <w:bCs w:val="0"/>
          <w:i w:val="0"/>
          <w:iCs w:val="0"/>
          <w:caps w:val="0"/>
          <w:color w:val="000000"/>
          <w:spacing w:val="0"/>
          <w:sz w:val="32"/>
          <w:szCs w:val="32"/>
          <w:shd w:val="clear" w:fill="FFFFFF"/>
          <w:lang w:val="zh-CN"/>
        </w:rPr>
      </w:pPr>
      <w:r>
        <w:rPr>
          <w:rFonts w:hint="eastAsia" w:ascii="仿宋_GB2312" w:hAnsi="Times New Roman" w:eastAsia="仿宋_GB2312" w:cs="仿宋_GB2312"/>
          <w:b w:val="0"/>
          <w:bCs w:val="0"/>
          <w:i w:val="0"/>
          <w:iCs w:val="0"/>
          <w:caps w:val="0"/>
          <w:color w:val="000000"/>
          <w:spacing w:val="0"/>
          <w:sz w:val="32"/>
          <w:szCs w:val="32"/>
          <w:shd w:val="clear" w:fill="FFFFFF"/>
          <w:lang w:val="zh-CN" w:eastAsia="zh-CN"/>
        </w:rPr>
        <w:t>2022</w:t>
      </w:r>
      <w:r>
        <w:rPr>
          <w:rFonts w:hint="eastAsia" w:ascii="仿宋_GB2312" w:hAnsi="Times New Roman" w:eastAsia="仿宋_GB2312" w:cs="仿宋_GB2312"/>
          <w:b w:val="0"/>
          <w:bCs w:val="0"/>
          <w:i w:val="0"/>
          <w:iCs w:val="0"/>
          <w:caps w:val="0"/>
          <w:color w:val="000000"/>
          <w:spacing w:val="0"/>
          <w:sz w:val="32"/>
          <w:szCs w:val="32"/>
          <w:shd w:val="clear" w:fill="FFFFFF"/>
          <w:lang w:val="zh-CN"/>
        </w:rPr>
        <w:t>年，特殊疑难信访问题资金全年支出</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3</w:t>
      </w:r>
      <w:r>
        <w:rPr>
          <w:rFonts w:hint="eastAsia" w:ascii="仿宋_GB2312" w:hAnsi="Times New Roman" w:eastAsia="仿宋_GB2312" w:cs="仿宋_GB2312"/>
          <w:b w:val="0"/>
          <w:bCs w:val="0"/>
          <w:i w:val="0"/>
          <w:iCs w:val="0"/>
          <w:caps w:val="0"/>
          <w:color w:val="000000"/>
          <w:spacing w:val="0"/>
          <w:sz w:val="32"/>
          <w:szCs w:val="32"/>
          <w:shd w:val="clear" w:fill="FFFFFF"/>
          <w:lang w:val="zh-CN"/>
        </w:rPr>
        <w:t>万元，化解特殊疑难信访事项</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1件，</w:t>
      </w:r>
      <w:r>
        <w:rPr>
          <w:rFonts w:hint="eastAsia" w:ascii="仿宋_GB2312" w:hAnsi="Times New Roman" w:eastAsia="仿宋_GB2312" w:cs="仿宋_GB2312"/>
          <w:b w:val="0"/>
          <w:bCs w:val="0"/>
          <w:i w:val="0"/>
          <w:iCs w:val="0"/>
          <w:caps w:val="0"/>
          <w:color w:val="000000"/>
          <w:spacing w:val="0"/>
          <w:sz w:val="32"/>
          <w:szCs w:val="32"/>
          <w:shd w:val="clear" w:fill="FFFFFF"/>
          <w:lang w:val="zh-CN" w:eastAsia="zh-CN"/>
        </w:rPr>
        <w:t>得以彻底化解、停访息诉</w:t>
      </w:r>
      <w:r>
        <w:rPr>
          <w:rFonts w:hint="eastAsia" w:ascii="仿宋_GB2312" w:hAnsi="Times New Roman" w:eastAsia="仿宋_GB2312" w:cs="仿宋_GB2312"/>
          <w:b w:val="0"/>
          <w:bCs w:val="0"/>
          <w:i w:val="0"/>
          <w:iCs w:val="0"/>
          <w:caps w:val="0"/>
          <w:color w:val="000000"/>
          <w:spacing w:val="0"/>
          <w:sz w:val="32"/>
          <w:szCs w:val="32"/>
          <w:shd w:val="clear" w:fill="FFFFFF"/>
          <w:lang w:val="zh-CN"/>
        </w:rPr>
        <w:t>，总体绩效目标完成情况优秀。</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13" w:name="_Toc30798"/>
      <w:r>
        <w:rPr>
          <w:rFonts w:hint="eastAsia" w:ascii="楷体_GB2312" w:hAnsi="宋体" w:eastAsia="楷体_GB2312"/>
          <w:b/>
          <w:color w:val="auto"/>
          <w:sz w:val="32"/>
          <w:szCs w:val="32"/>
          <w:highlight w:val="none"/>
          <w:u w:val="none"/>
          <w:lang w:val="zh-CN"/>
        </w:rPr>
        <w:t>（二）存在的问题。</w:t>
      </w:r>
      <w:bookmarkEnd w:id="113"/>
    </w:p>
    <w:p>
      <w:pPr>
        <w:keepNext w:val="0"/>
        <w:keepLines w:val="0"/>
        <w:pageBreakBefore w:val="0"/>
        <w:kinsoku/>
        <w:wordWrap/>
        <w:overflowPunct/>
        <w:topLinePunct w:val="0"/>
        <w:autoSpaceDE w:val="0"/>
        <w:autoSpaceDN/>
        <w:bidi w:val="0"/>
        <w:spacing w:line="576" w:lineRule="exact"/>
        <w:ind w:firstLine="640" w:firstLineChars="200"/>
        <w:textAlignment w:val="auto"/>
        <w:rPr>
          <w:rFonts w:hint="eastAsia" w:ascii="仿宋_GB2312" w:hAnsi="宋体" w:eastAsia="仿宋_GB2312" w:cs="仿宋_GB2312"/>
          <w:sz w:val="32"/>
          <w:szCs w:val="32"/>
          <w:lang w:val="zh-CN"/>
        </w:rPr>
      </w:pPr>
      <w:r>
        <w:rPr>
          <w:rFonts w:ascii="仿宋_GB2312" w:hAnsi="Times New Roman" w:eastAsia="仿宋_GB2312" w:cs="仿宋_GB2312"/>
          <w:b w:val="0"/>
          <w:bCs w:val="0"/>
          <w:i w:val="0"/>
          <w:iCs w:val="0"/>
          <w:caps w:val="0"/>
          <w:color w:val="000000"/>
          <w:spacing w:val="0"/>
          <w:sz w:val="32"/>
          <w:szCs w:val="32"/>
          <w:shd w:val="clear" w:fill="FFFFFF"/>
        </w:rPr>
        <w:t>由于信访工作具有其特殊性，投入产出评价指标难以用数据直接体现</w:t>
      </w:r>
      <w:r>
        <w:rPr>
          <w:rFonts w:hint="eastAsia" w:ascii="仿宋_GB2312" w:hAnsi="Times New Roman" w:eastAsia="仿宋_GB2312" w:cs="仿宋_GB2312"/>
          <w:b w:val="0"/>
          <w:bCs w:val="0"/>
          <w:i w:val="0"/>
          <w:iCs w:val="0"/>
          <w:caps w:val="0"/>
          <w:color w:val="000000"/>
          <w:spacing w:val="0"/>
          <w:sz w:val="32"/>
          <w:szCs w:val="32"/>
          <w:shd w:val="clear" w:fill="FFFFFF"/>
        </w:rPr>
        <w:t>，定量分析还有待加强。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14" w:name="_Toc26505"/>
      <w:r>
        <w:rPr>
          <w:rFonts w:hint="eastAsia" w:ascii="楷体_GB2312" w:hAnsi="宋体" w:eastAsia="楷体_GB2312"/>
          <w:b/>
          <w:color w:val="auto"/>
          <w:sz w:val="32"/>
          <w:szCs w:val="32"/>
          <w:highlight w:val="none"/>
          <w:u w:val="none"/>
          <w:lang w:val="zh-CN"/>
        </w:rPr>
        <w:t>（三）相关建议。</w:t>
      </w:r>
      <w:bookmarkEnd w:id="114"/>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bidi="ar"/>
        </w:rPr>
      </w:pP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outlineLvl w:val="1"/>
        <w:rPr>
          <w:rFonts w:hint="eastAsia" w:ascii="方正大标宋简体" w:hAnsi="??" w:eastAsia="方正大标宋简体" w:cs="Times New Roman"/>
          <w:b/>
          <w:color w:val="000000"/>
          <w:spacing w:val="-6"/>
          <w:kern w:val="0"/>
          <w:sz w:val="44"/>
          <w:szCs w:val="44"/>
        </w:rPr>
      </w:pPr>
      <w:bookmarkStart w:id="115" w:name="_Toc6037"/>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2年</w:t>
      </w:r>
      <w:r>
        <w:rPr>
          <w:rFonts w:hint="eastAsia" w:ascii="方正大标宋简体" w:hAnsi="??" w:eastAsia="方正大标宋简体" w:cs="Times New Roman"/>
          <w:b/>
          <w:color w:val="000000"/>
          <w:spacing w:val="-6"/>
          <w:kern w:val="0"/>
          <w:sz w:val="44"/>
          <w:szCs w:val="44"/>
        </w:rPr>
        <w:t>部门</w:t>
      </w:r>
      <w:r>
        <w:rPr>
          <w:rFonts w:hint="eastAsia" w:ascii="方正大标宋简体" w:hAnsi="??" w:eastAsia="方正大标宋简体" w:cs="Times New Roman"/>
          <w:b/>
          <w:color w:val="000000"/>
          <w:spacing w:val="-6"/>
          <w:kern w:val="0"/>
          <w:sz w:val="44"/>
          <w:szCs w:val="44"/>
          <w:lang w:eastAsia="zh-CN"/>
        </w:rPr>
        <w:t>专项</w:t>
      </w:r>
      <w:r>
        <w:rPr>
          <w:rFonts w:hint="eastAsia" w:ascii="方正大标宋简体" w:hAnsi="??" w:eastAsia="方正大标宋简体" w:cs="Times New Roman"/>
          <w:b/>
          <w:color w:val="000000"/>
          <w:spacing w:val="-6"/>
          <w:kern w:val="0"/>
          <w:sz w:val="44"/>
          <w:szCs w:val="44"/>
        </w:rPr>
        <w:t>预算项目支出绩效自评报告</w:t>
      </w:r>
      <w:bookmarkEnd w:id="115"/>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《信访工作条例》宣传活动经费</w:t>
      </w:r>
      <w:r>
        <w:rPr>
          <w:rFonts w:hint="eastAsia" w:ascii="仿宋_GB2312" w:hAnsi="宋体" w:eastAsia="仿宋_GB2312" w:cs="Times New Roman"/>
          <w:spacing w:val="-6"/>
          <w:sz w:val="32"/>
          <w:szCs w:val="32"/>
        </w:rPr>
        <w:t>项目）</w:t>
      </w:r>
    </w:p>
    <w:p>
      <w:pPr>
        <w:keepNext w:val="0"/>
        <w:keepLines w:val="0"/>
        <w:pageBreakBefore w:val="0"/>
        <w:numPr>
          <w:ilvl w:val="0"/>
          <w:numId w:val="9"/>
        </w:numPr>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16" w:name="_Toc30316"/>
      <w:r>
        <w:rPr>
          <w:rFonts w:hint="eastAsia" w:ascii="黑体" w:hAnsi="黑体" w:eastAsia="黑体" w:cs="Times New Roman"/>
          <w:spacing w:val="-6"/>
          <w:sz w:val="32"/>
          <w:szCs w:val="32"/>
        </w:rPr>
        <w:t>项目概况</w:t>
      </w:r>
      <w:bookmarkEnd w:id="116"/>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sz w:val="32"/>
          <w:szCs w:val="32"/>
        </w:rPr>
        <w:t>中共中央、国务院印发的《信访工作条例》（以下简称《条例》）于2022年5月1日起正式施行。</w:t>
      </w:r>
      <w:r>
        <w:rPr>
          <w:rFonts w:hint="eastAsia" w:ascii="仿宋_GB2312" w:hAnsi="仿宋_GB2312" w:eastAsia="仿宋_GB2312" w:cs="仿宋_GB2312"/>
          <w:sz w:val="32"/>
          <w:szCs w:val="32"/>
          <w:lang w:eastAsia="zh-CN"/>
        </w:rPr>
        <w:t>按照国家、省、市要求，各地要广泛抓好</w:t>
      </w:r>
      <w:r>
        <w:rPr>
          <w:rFonts w:hint="eastAsia" w:ascii="仿宋_GB2312" w:hAnsi="仿宋_GB2312" w:eastAsia="仿宋_GB2312" w:cs="仿宋_GB2312"/>
          <w:sz w:val="32"/>
          <w:szCs w:val="32"/>
        </w:rPr>
        <w:t>《条例》宣传贯彻落实，营造学条例、用条例、守条例的浓厚氛围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t>结合我区实际情况，</w:t>
      </w:r>
      <w:r>
        <w:rPr>
          <w:rFonts w:hint="eastAsia" w:ascii="仿宋_GB2312" w:hAnsi="仿宋_GB2312" w:eastAsia="仿宋_GB2312" w:cs="仿宋_GB2312"/>
          <w:color w:val="auto"/>
          <w:sz w:val="32"/>
          <w:szCs w:val="32"/>
          <w:shd w:val="clear" w:color="auto" w:fill="FFFFFF"/>
        </w:rPr>
        <w:t>我局</w:t>
      </w:r>
      <w:r>
        <w:rPr>
          <w:rFonts w:hint="eastAsia" w:ascii="仿宋_GB2312" w:hAnsi="仿宋_GB2312" w:eastAsia="仿宋_GB2312" w:cs="仿宋_GB2312"/>
          <w:color w:val="auto"/>
          <w:sz w:val="32"/>
          <w:szCs w:val="32"/>
          <w:shd w:val="clear" w:color="auto" w:fill="FFFFFF"/>
          <w:lang w:eastAsia="zh-CN"/>
        </w:rPr>
        <w:t>从</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lang w:eastAsia="zh-CN"/>
        </w:rPr>
        <w:t>月份开始</w:t>
      </w:r>
      <w:r>
        <w:rPr>
          <w:rFonts w:hint="eastAsia" w:ascii="仿宋_GB2312" w:hAnsi="仿宋_GB2312" w:eastAsia="仿宋_GB2312" w:cs="仿宋_GB2312"/>
          <w:i w:val="0"/>
          <w:iCs w:val="0"/>
          <w:caps w:val="0"/>
          <w:color w:val="auto"/>
          <w:spacing w:val="0"/>
          <w:sz w:val="32"/>
          <w:szCs w:val="32"/>
          <w:shd w:val="clear" w:fill="FFFFFF"/>
        </w:rPr>
        <w:t>以悬挂横幅标语、张贴宣传画、播放宣传片、发放宣传册等多种形式，在</w:t>
      </w:r>
      <w:r>
        <w:rPr>
          <w:rFonts w:hint="eastAsia" w:ascii="仿宋_GB2312" w:hAnsi="仿宋_GB2312" w:eastAsia="仿宋_GB2312" w:cs="仿宋_GB2312"/>
          <w:i w:val="0"/>
          <w:iCs w:val="0"/>
          <w:caps w:val="0"/>
          <w:color w:val="auto"/>
          <w:spacing w:val="0"/>
          <w:sz w:val="32"/>
          <w:szCs w:val="32"/>
          <w:shd w:val="clear" w:fill="FFFFFF"/>
          <w:lang w:eastAsia="zh-CN"/>
        </w:rPr>
        <w:t>城区及各乡镇</w:t>
      </w:r>
      <w:r>
        <w:rPr>
          <w:rFonts w:hint="eastAsia" w:ascii="仿宋_GB2312" w:hAnsi="仿宋_GB2312" w:eastAsia="仿宋_GB2312" w:cs="仿宋_GB2312"/>
          <w:i w:val="0"/>
          <w:iCs w:val="0"/>
          <w:caps w:val="0"/>
          <w:color w:val="auto"/>
          <w:spacing w:val="0"/>
          <w:sz w:val="32"/>
          <w:szCs w:val="32"/>
          <w:shd w:val="clear" w:fill="FFFFFF"/>
        </w:rPr>
        <w:t>人流密集地方开展</w:t>
      </w:r>
      <w:r>
        <w:rPr>
          <w:rFonts w:hint="eastAsia" w:ascii="仿宋_GB2312" w:hAnsi="仿宋_GB2312" w:eastAsia="仿宋_GB2312" w:cs="仿宋_GB2312"/>
          <w:i w:val="0"/>
          <w:iCs w:val="0"/>
          <w:caps w:val="0"/>
          <w:color w:val="auto"/>
          <w:spacing w:val="0"/>
          <w:sz w:val="32"/>
          <w:szCs w:val="32"/>
          <w:shd w:val="clear" w:fill="FFFFFF"/>
          <w:lang w:eastAsia="zh-CN"/>
        </w:rPr>
        <w:t>《条例》</w:t>
      </w:r>
      <w:r>
        <w:rPr>
          <w:rFonts w:hint="eastAsia" w:ascii="仿宋_GB2312" w:hAnsi="仿宋_GB2312" w:eastAsia="仿宋_GB2312" w:cs="仿宋_GB2312"/>
          <w:i w:val="0"/>
          <w:iCs w:val="0"/>
          <w:caps w:val="0"/>
          <w:color w:val="auto"/>
          <w:spacing w:val="0"/>
          <w:sz w:val="32"/>
          <w:szCs w:val="32"/>
          <w:shd w:val="clear" w:fill="FFFFFF"/>
        </w:rPr>
        <w:t>宣传</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w:t>
      </w:r>
      <w:r>
        <w:rPr>
          <w:rFonts w:hint="eastAsia" w:ascii="仿宋_GB2312" w:hAnsi="宋体" w:eastAsia="仿宋_GB2312" w:cs="Times New Roman"/>
          <w:spacing w:val="-6"/>
          <w:sz w:val="32"/>
          <w:szCs w:val="32"/>
          <w:lang w:eastAsia="zh-CN"/>
        </w:rPr>
        <w:t>《信访工作条例》宣传活动经费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16" w:firstLineChars="200"/>
        <w:textAlignment w:val="auto"/>
        <w:rPr>
          <w:rFonts w:hint="eastAsia" w:ascii="仿宋_GB2312" w:hAnsi="仿宋_GB2312" w:eastAsia="仿宋_GB2312" w:cs="仿宋_GB2312"/>
          <w:color w:val="auto"/>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保障202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w:t>
      </w:r>
      <w:r>
        <w:rPr>
          <w:rFonts w:hint="eastAsia" w:ascii="仿宋_GB2312" w:hAnsi="宋体" w:eastAsia="仿宋_GB2312" w:cs="Times New Roman"/>
          <w:spacing w:val="-6"/>
          <w:sz w:val="32"/>
          <w:szCs w:val="32"/>
          <w:lang w:eastAsia="zh-CN"/>
        </w:rPr>
        <w:t>《信访工作条例》宣传活动工作</w:t>
      </w:r>
      <w:r>
        <w:rPr>
          <w:rFonts w:hint="eastAsia" w:ascii="仿宋_GB2312" w:hAnsi="仿宋_GB2312" w:eastAsia="仿宋_GB2312" w:cs="仿宋_GB2312"/>
          <w:bCs/>
          <w:sz w:val="32"/>
          <w:szCs w:val="32"/>
          <w:lang w:val="zh-CN"/>
        </w:rPr>
        <w:t>有序开展，</w:t>
      </w:r>
      <w:r>
        <w:rPr>
          <w:rFonts w:hint="eastAsia" w:ascii="仿宋_GB2312" w:hAnsi="仿宋_GB2312" w:eastAsia="仿宋_GB2312" w:cs="仿宋_GB2312"/>
          <w:color w:val="auto"/>
          <w:sz w:val="32"/>
          <w:szCs w:val="32"/>
        </w:rPr>
        <w:t>使新《条例》逐渐在我区家喻户晓，深入人心，增强全民的法律意识和法律素质，提高各级领导干部依法办事的能力和水平，为信访工作的制度化、规范化、法制化建设奠定扎实基础</w:t>
      </w:r>
      <w:r>
        <w:rPr>
          <w:rFonts w:hint="eastAsia" w:ascii="仿宋_GB2312" w:hAnsi="仿宋_GB2312" w:eastAsia="仿宋_GB2312" w:cs="仿宋_GB2312"/>
          <w:color w:val="auto"/>
          <w:sz w:val="32"/>
          <w:szCs w:val="32"/>
          <w:lang w:eastAsia="zh-CN"/>
        </w:rPr>
        <w:t>，</w:t>
      </w:r>
      <w:r>
        <w:rPr>
          <w:rFonts w:hint="eastAsia" w:eastAsia="仿宋_GB2312"/>
          <w:sz w:val="32"/>
          <w:szCs w:val="32"/>
        </w:rPr>
        <w:t>在全</w:t>
      </w:r>
      <w:r>
        <w:rPr>
          <w:rFonts w:hint="eastAsia" w:eastAsia="仿宋_GB2312"/>
          <w:sz w:val="32"/>
          <w:szCs w:val="32"/>
          <w:lang w:eastAsia="zh-CN"/>
        </w:rPr>
        <w:t>区</w:t>
      </w:r>
      <w:r>
        <w:rPr>
          <w:rFonts w:hint="eastAsia" w:eastAsia="仿宋_GB2312"/>
          <w:sz w:val="32"/>
          <w:szCs w:val="32"/>
        </w:rPr>
        <w:t>营造办事依法、遇事找法、解决问题用法，化解矛盾靠法的良好环境。</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17" w:name="_Toc5221"/>
      <w:r>
        <w:rPr>
          <w:rFonts w:hint="eastAsia" w:ascii="黑体" w:hAnsi="黑体" w:eastAsia="黑体" w:cs="Times New Roman"/>
          <w:spacing w:val="-6"/>
          <w:sz w:val="32"/>
          <w:szCs w:val="32"/>
        </w:rPr>
        <w:t>二、项目实施及管理情况</w:t>
      </w:r>
      <w:bookmarkEnd w:id="117"/>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18" w:name="_Toc13487"/>
      <w:r>
        <w:rPr>
          <w:rFonts w:hint="eastAsia" w:ascii="楷体_GB2312" w:hAnsi="Times New Roman" w:eastAsia="楷体_GB2312" w:cs="Times New Roman"/>
          <w:bCs/>
          <w:spacing w:val="-6"/>
          <w:sz w:val="32"/>
          <w:szCs w:val="32"/>
        </w:rPr>
        <w:t>（一）资金计划、到位及使用情况</w:t>
      </w:r>
      <w:bookmarkEnd w:id="118"/>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宋体" w:eastAsia="仿宋_GB2312" w:cs="Times New Roman"/>
          <w:spacing w:val="-6"/>
          <w:sz w:val="32"/>
          <w:szCs w:val="32"/>
          <w:lang w:eastAsia="zh-CN"/>
        </w:rPr>
        <w:t>《信访工作条例》宣传活动</w:t>
      </w:r>
      <w:r>
        <w:rPr>
          <w:rFonts w:hint="eastAsia" w:ascii="仿宋_GB2312" w:hAnsi="Times New Roman" w:eastAsia="仿宋_GB2312" w:cs="Times New Roman"/>
          <w:spacing w:val="-6"/>
          <w:sz w:val="32"/>
          <w:szCs w:val="32"/>
          <w:lang w:val="zh-CN"/>
        </w:rPr>
        <w:t>经费</w:t>
      </w:r>
      <w:r>
        <w:rPr>
          <w:rFonts w:hint="eastAsia" w:ascii="仿宋_GB2312" w:hAnsi="Times New Roman" w:eastAsia="仿宋_GB2312" w:cs="Times New Roman"/>
          <w:spacing w:val="-6"/>
          <w:sz w:val="32"/>
          <w:szCs w:val="32"/>
          <w:lang w:val="en-US" w:eastAsia="zh-CN"/>
        </w:rPr>
        <w:t>5</w:t>
      </w:r>
      <w:r>
        <w:rPr>
          <w:rFonts w:hint="eastAsia" w:ascii="仿宋_GB2312" w:hAnsi="Times New Roman" w:eastAsia="仿宋_GB2312" w:cs="Times New Roman"/>
          <w:spacing w:val="-6"/>
          <w:sz w:val="32"/>
          <w:szCs w:val="32"/>
          <w:lang w:val="zh-CN"/>
        </w:rPr>
        <w:t>万元，资金全部到位及时，全部到位。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19" w:name="_Toc10277"/>
      <w:r>
        <w:rPr>
          <w:rFonts w:hint="eastAsia" w:ascii="楷体_GB2312" w:hAnsi="Times New Roman" w:eastAsia="楷体_GB2312" w:cs="Times New Roman"/>
          <w:bCs/>
          <w:spacing w:val="-6"/>
          <w:sz w:val="32"/>
          <w:szCs w:val="32"/>
        </w:rPr>
        <w:t>（二）项目财务管理情况</w:t>
      </w:r>
      <w:bookmarkEnd w:id="119"/>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20" w:name="_Toc18423"/>
      <w:r>
        <w:rPr>
          <w:rFonts w:hint="eastAsia" w:ascii="楷体_GB2312" w:hAnsi="Times New Roman" w:eastAsia="楷体_GB2312" w:cs="Times New Roman"/>
          <w:bCs/>
          <w:spacing w:val="-6"/>
          <w:sz w:val="32"/>
          <w:szCs w:val="32"/>
        </w:rPr>
        <w:t>（三）项目组织实施情况</w:t>
      </w:r>
      <w:bookmarkEnd w:id="120"/>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w:t>
      </w:r>
      <w:r>
        <w:rPr>
          <w:rFonts w:hint="eastAsia" w:ascii="仿宋_GB2312" w:hAnsi="宋体" w:eastAsia="仿宋_GB2312" w:cs="Times New Roman"/>
          <w:spacing w:val="-6"/>
          <w:sz w:val="32"/>
          <w:szCs w:val="32"/>
          <w:lang w:eastAsia="zh-CN"/>
        </w:rPr>
        <w:t>《信访工作条例》宣传活动</w:t>
      </w:r>
      <w:r>
        <w:rPr>
          <w:rFonts w:hint="eastAsia" w:ascii="仿宋_GB2312" w:hAnsi="仿宋_GB2312" w:eastAsia="仿宋_GB2312" w:cs="仿宋_GB2312"/>
          <w:sz w:val="32"/>
          <w:szCs w:val="32"/>
          <w:lang w:val="zh-CN" w:bidi="ar"/>
        </w:rPr>
        <w:t>，实行专款专用，资金使用合规，支出依据规范，无虚列支出，无截留、挤占、挪用现象。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21" w:name="_Toc21589"/>
      <w:r>
        <w:rPr>
          <w:rFonts w:hint="eastAsia" w:ascii="黑体" w:hAnsi="黑体" w:eastAsia="黑体" w:cs="Times New Roman"/>
          <w:spacing w:val="-6"/>
          <w:sz w:val="32"/>
          <w:szCs w:val="32"/>
        </w:rPr>
        <w:t>三、项目绩效情况</w:t>
      </w:r>
      <w:bookmarkEnd w:id="121"/>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22" w:name="_Toc7278"/>
      <w:r>
        <w:rPr>
          <w:rFonts w:hint="eastAsia" w:ascii="楷体_GB2312" w:hAnsi="Times New Roman" w:eastAsia="楷体_GB2312" w:cs="Times New Roman"/>
          <w:bCs/>
          <w:spacing w:val="-6"/>
          <w:sz w:val="32"/>
          <w:szCs w:val="32"/>
        </w:rPr>
        <w:t>（一）项目完成情况</w:t>
      </w:r>
      <w:bookmarkEnd w:id="12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我局顺利完成</w:t>
      </w:r>
      <w:r>
        <w:rPr>
          <w:rFonts w:hint="eastAsia" w:ascii="仿宋_GB2312" w:hAnsi="宋体" w:eastAsia="仿宋_GB2312" w:cs="Times New Roman"/>
          <w:spacing w:val="-6"/>
          <w:sz w:val="32"/>
          <w:szCs w:val="32"/>
          <w:lang w:eastAsia="zh-CN"/>
        </w:rPr>
        <w:t>《信访工作条例》宣传活动</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auto"/>
          <w:spacing w:val="0"/>
          <w:sz w:val="32"/>
          <w:szCs w:val="32"/>
          <w:shd w:val="clear" w:fill="FFFFFF"/>
          <w:lang w:eastAsia="zh-CN"/>
        </w:rPr>
        <w:t>宣传期间</w:t>
      </w:r>
      <w:r>
        <w:rPr>
          <w:rFonts w:hint="eastAsia" w:ascii="仿宋_GB2312" w:hAnsi="仿宋_GB2312" w:eastAsia="仿宋_GB2312" w:cs="仿宋_GB2312"/>
          <w:color w:val="auto"/>
          <w:sz w:val="32"/>
          <w:szCs w:val="32"/>
        </w:rPr>
        <w:t>用通俗易懂的语言，全方位、多角度向群众解读《信访工作条例》的相关内容，耐心向群众宣传法律知识，引导来访群众依法理性反映诉求，依法合理进行维权，正确选择信访渠道、维护自身合法权益。</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23" w:name="_Toc10874"/>
      <w:r>
        <w:rPr>
          <w:rFonts w:hint="eastAsia" w:ascii="楷体_GB2312" w:hAnsi="Times New Roman" w:eastAsia="楷体_GB2312" w:cs="Times New Roman"/>
          <w:bCs/>
          <w:spacing w:val="-6"/>
          <w:sz w:val="32"/>
          <w:szCs w:val="32"/>
        </w:rPr>
        <w:t>（二）项目效益情况</w:t>
      </w:r>
      <w:bookmarkEnd w:id="123"/>
    </w:p>
    <w:p>
      <w:pPr>
        <w:pStyle w:val="46"/>
        <w:keepNext w:val="0"/>
        <w:keepLines w:val="0"/>
        <w:pageBreakBefore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eastAsia="zh-CN"/>
        </w:rPr>
      </w:pPr>
      <w:r>
        <w:rPr>
          <w:rFonts w:hint="eastAsia" w:ascii="仿宋_GB2312" w:hAnsi="仿宋_GB2312" w:eastAsia="仿宋_GB2312" w:cs="仿宋_GB2312"/>
          <w:kern w:val="2"/>
          <w:sz w:val="32"/>
        </w:rPr>
        <w:t>1.社会效益。通过</w:t>
      </w:r>
      <w:r>
        <w:rPr>
          <w:rFonts w:hint="eastAsia" w:ascii="仿宋_GB2312" w:hAnsi="宋体" w:eastAsia="仿宋_GB2312" w:cs="Times New Roman"/>
          <w:spacing w:val="-6"/>
          <w:sz w:val="32"/>
          <w:szCs w:val="32"/>
          <w:lang w:eastAsia="zh-CN"/>
        </w:rPr>
        <w:t>《信访工作条例》宣传活动</w:t>
      </w:r>
      <w:r>
        <w:rPr>
          <w:rFonts w:hint="eastAsia" w:ascii="仿宋_GB2312" w:hAnsi="仿宋_GB2312" w:eastAsia="仿宋_GB2312" w:cs="仿宋_GB2312"/>
          <w:kern w:val="2"/>
          <w:sz w:val="32"/>
        </w:rPr>
        <w:t>的开展，</w:t>
      </w:r>
      <w:r>
        <w:rPr>
          <w:rFonts w:hint="eastAsia" w:eastAsia="仿宋_GB2312"/>
          <w:sz w:val="32"/>
          <w:szCs w:val="32"/>
        </w:rPr>
        <w:t>在全</w:t>
      </w:r>
      <w:r>
        <w:rPr>
          <w:rFonts w:hint="eastAsia" w:eastAsia="仿宋_GB2312"/>
          <w:sz w:val="32"/>
          <w:szCs w:val="32"/>
          <w:lang w:eastAsia="zh-CN"/>
        </w:rPr>
        <w:t>区</w:t>
      </w:r>
      <w:r>
        <w:rPr>
          <w:rFonts w:hint="eastAsia" w:eastAsia="仿宋_GB2312"/>
          <w:sz w:val="32"/>
          <w:szCs w:val="32"/>
        </w:rPr>
        <w:t>营造办事依法、遇事找法、解决问题用法，化解矛盾靠法的良好环境</w:t>
      </w:r>
      <w:r>
        <w:rPr>
          <w:rFonts w:hint="eastAsia" w:eastAsia="仿宋_GB2312"/>
          <w:sz w:val="32"/>
          <w:szCs w:val="32"/>
          <w:lang w:eastAsia="zh-CN"/>
        </w:rPr>
        <w:t>，</w:t>
      </w:r>
      <w:r>
        <w:rPr>
          <w:rFonts w:hint="eastAsia" w:ascii="仿宋_GB2312" w:hAnsi="仿宋_GB2312" w:eastAsia="仿宋_GB2312" w:cs="仿宋_GB2312"/>
          <w:color w:val="auto"/>
          <w:sz w:val="32"/>
          <w:szCs w:val="32"/>
        </w:rPr>
        <w:t>新《条例》逐渐在我区家喻户晓，深入人心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24" w:name="_Toc894"/>
      <w:r>
        <w:rPr>
          <w:rFonts w:hint="eastAsia" w:ascii="黑体" w:hAnsi="黑体" w:eastAsia="黑体" w:cs="Times New Roman"/>
          <w:spacing w:val="-6"/>
          <w:sz w:val="32"/>
          <w:szCs w:val="32"/>
        </w:rPr>
        <w:t>四、问题及建议</w:t>
      </w:r>
      <w:bookmarkEnd w:id="124"/>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仿宋_GB2312"/>
          <w:b w:val="0"/>
          <w:bCs w:val="0"/>
          <w:i w:val="0"/>
          <w:iCs w:val="0"/>
          <w:caps w:val="0"/>
          <w:color w:val="000000"/>
          <w:spacing w:val="0"/>
          <w:sz w:val="32"/>
          <w:szCs w:val="32"/>
          <w:shd w:val="clear" w:fill="FFFFFF"/>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根据本次绩效评价情况，存在预算绩效申报时，对信访事务项目编制不够明细和精准，绩效目标未完全细化分解为具体工作任务，部分绩效指标不清晰、可衡量性差。</w:t>
      </w:r>
    </w:p>
    <w:p>
      <w:pPr>
        <w:keepNext w:val="0"/>
        <w:keepLines w:val="0"/>
        <w:pageBreakBefore w:val="0"/>
        <w:kinsoku/>
        <w:wordWrap/>
        <w:overflowPunct/>
        <w:topLinePunct w:val="0"/>
        <w:autoSpaceDN/>
        <w:bidi w:val="0"/>
        <w:adjustRightInd/>
        <w:snapToGrid/>
        <w:spacing w:line="576" w:lineRule="exact"/>
        <w:ind w:firstLine="616" w:firstLineChars="200"/>
        <w:textAlignment w:val="auto"/>
        <w:rPr>
          <w:rFonts w:hint="eastAsia" w:ascii="仿宋_GB2312" w:hAnsi="Times New Roman" w:eastAsia="仿宋_GB2312" w:cs="仿宋_GB2312"/>
          <w:b w:val="0"/>
          <w:bCs w:val="0"/>
          <w:i w:val="0"/>
          <w:iCs w:val="0"/>
          <w:caps w:val="0"/>
          <w:color w:val="000000"/>
          <w:spacing w:val="0"/>
          <w:sz w:val="32"/>
          <w:szCs w:val="32"/>
          <w:shd w:val="clear" w:fill="FFFFFF"/>
          <w:lang w:eastAsia="zh-CN"/>
        </w:rPr>
      </w:pPr>
      <w:r>
        <w:rPr>
          <w:rFonts w:hint="eastAsia" w:ascii="楷体_GB2312" w:hAnsi="Times New Roman" w:eastAsia="楷体_GB2312" w:cs="Times New Roman"/>
          <w:bCs/>
          <w:spacing w:val="-6"/>
          <w:sz w:val="32"/>
          <w:szCs w:val="32"/>
        </w:rPr>
        <w:t>（二）相关建议。</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针对上述问题，单位在今后的预算绩效申报时，在财务部门的配合下，将全年工作任务细化分解为具体的工作目标，并尽量采取定量的方式制定清晰、可衡量的绩效指标。</w:t>
      </w:r>
    </w:p>
    <w:p>
      <w:pPr>
        <w:pStyle w:val="2"/>
        <w:keepNext w:val="0"/>
        <w:keepLines w:val="0"/>
        <w:pageBreakBefore w:val="0"/>
        <w:kinsoku/>
        <w:wordWrap/>
        <w:overflowPunct/>
        <w:topLinePunct w:val="0"/>
        <w:autoSpaceDN/>
        <w:bidi w:val="0"/>
        <w:spacing w:line="576" w:lineRule="exact"/>
        <w:rPr>
          <w:rFonts w:hint="eastAsia"/>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25" w:name="_Toc3176"/>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2年</w:t>
      </w:r>
      <w:r>
        <w:rPr>
          <w:rFonts w:hint="eastAsia" w:ascii="方正大标宋简体" w:hAnsi="??" w:eastAsia="方正大标宋简体" w:cs="Times New Roman"/>
          <w:b/>
          <w:color w:val="000000"/>
          <w:spacing w:val="-6"/>
          <w:kern w:val="0"/>
          <w:sz w:val="44"/>
          <w:szCs w:val="44"/>
        </w:rPr>
        <w:t>部门预算项目支出绩效自评报告</w:t>
      </w:r>
      <w:bookmarkEnd w:id="125"/>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党的二十大期间信访安保维稳工作经费</w:t>
      </w:r>
      <w:r>
        <w:rPr>
          <w:rFonts w:hint="eastAsia" w:ascii="仿宋_GB2312" w:hAnsi="宋体" w:eastAsia="仿宋_GB2312" w:cs="Times New Roman"/>
          <w:spacing w:val="-6"/>
          <w:sz w:val="32"/>
          <w:szCs w:val="32"/>
        </w:rPr>
        <w:t>项目）</w:t>
      </w:r>
    </w:p>
    <w:p>
      <w:pPr>
        <w:keepNext w:val="0"/>
        <w:keepLines w:val="0"/>
        <w:pageBreakBefore w:val="0"/>
        <w:numPr>
          <w:ilvl w:val="0"/>
          <w:numId w:val="9"/>
        </w:numPr>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26" w:name="_Toc7545"/>
      <w:r>
        <w:rPr>
          <w:rFonts w:hint="eastAsia" w:ascii="黑体" w:hAnsi="黑体" w:eastAsia="黑体" w:cs="Times New Roman"/>
          <w:spacing w:val="-6"/>
          <w:sz w:val="32"/>
          <w:szCs w:val="32"/>
        </w:rPr>
        <w:t>项目概况</w:t>
      </w:r>
      <w:bookmarkEnd w:id="126"/>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outlineLvl w:val="9"/>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区委群工局作为维护稳定的“第一道防线”，统筹协调全区各级各部门全力做好重大活动和敏感节点期间的信访维稳工作，确保社会大局和谐稳定。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党的二十大期间，</w:t>
      </w:r>
      <w:r>
        <w:rPr>
          <w:rFonts w:hint="eastAsia" w:ascii="仿宋_GB2312" w:eastAsia="仿宋_GB2312"/>
          <w:sz w:val="32"/>
          <w:szCs w:val="32"/>
        </w:rPr>
        <w:t>为营造和谐稳定的社会环境，</w:t>
      </w:r>
      <w:r>
        <w:rPr>
          <w:rFonts w:hint="eastAsia" w:ascii="仿宋_GB2312" w:eastAsia="仿宋_GB2312"/>
          <w:sz w:val="32"/>
          <w:szCs w:val="32"/>
          <w:lang w:eastAsia="zh-CN"/>
        </w:rPr>
        <w:t>一是从</w:t>
      </w:r>
      <w:r>
        <w:rPr>
          <w:rFonts w:hint="eastAsia" w:ascii="仿宋_GB2312" w:eastAsia="仿宋_GB2312"/>
          <w:sz w:val="32"/>
          <w:szCs w:val="32"/>
          <w:lang w:val="en-US" w:eastAsia="zh-CN"/>
        </w:rPr>
        <w:t>9月1日至10月31日，</w:t>
      </w:r>
      <w:r>
        <w:rPr>
          <w:rFonts w:hint="eastAsia" w:ascii="仿宋_GB2312" w:eastAsia="仿宋_GB2312"/>
          <w:sz w:val="32"/>
          <w:szCs w:val="32"/>
          <w:lang w:eastAsia="zh-CN"/>
        </w:rPr>
        <w:t>我局</w:t>
      </w:r>
      <w:r>
        <w:rPr>
          <w:rFonts w:hint="eastAsia" w:ascii="仿宋_GB2312" w:eastAsia="仿宋_GB2312"/>
          <w:sz w:val="32"/>
          <w:szCs w:val="32"/>
          <w:lang w:val="en-US" w:eastAsia="zh-CN"/>
        </w:rPr>
        <w:t>派出2名工作人员</w:t>
      </w:r>
      <w:r>
        <w:rPr>
          <w:rFonts w:hint="eastAsia" w:ascii="仿宋_GB2312" w:hAnsi="仿宋_GB2312" w:eastAsia="仿宋_GB2312" w:cs="仿宋_GB2312"/>
          <w:sz w:val="32"/>
          <w:szCs w:val="32"/>
          <w:lang w:val="en-US" w:eastAsia="zh-CN"/>
        </w:rPr>
        <w:t>组建快速劝返力量常驻广元火车站站点；</w:t>
      </w:r>
      <w:r>
        <w:rPr>
          <w:rFonts w:hint="eastAsia" w:ascii="仿宋_GB2312" w:eastAsia="仿宋_GB2312"/>
          <w:sz w:val="32"/>
          <w:szCs w:val="32"/>
          <w:lang w:val="en-US" w:eastAsia="zh-CN"/>
        </w:rPr>
        <w:t>二是按照惯例，从10月1日至10月31日，我局将派出8名工作人员前往北京、成都、河北等地值班，做好我区重点人员稳控和劝返工作；三是</w:t>
      </w:r>
      <w:r>
        <w:rPr>
          <w:rFonts w:hint="eastAsia" w:ascii="仿宋_GB2312" w:hAnsi="仿宋_GB2312" w:eastAsia="仿宋_GB2312" w:cs="仿宋_GB2312"/>
          <w:sz w:val="32"/>
          <w:szCs w:val="32"/>
          <w:lang w:val="en-US" w:eastAsia="zh-CN"/>
        </w:rPr>
        <w:t>牵头筹备召开党的二十大信访安保维稳暨信访工作联席扩大会议；四</w:t>
      </w:r>
      <w:r>
        <w:rPr>
          <w:rFonts w:hint="eastAsia" w:ascii="仿宋_GB2312" w:eastAsia="仿宋_GB2312"/>
          <w:sz w:val="32"/>
          <w:szCs w:val="32"/>
          <w:lang w:val="en-US" w:eastAsia="zh-CN"/>
        </w:rPr>
        <w:t>是</w:t>
      </w:r>
      <w:r>
        <w:rPr>
          <w:rFonts w:hint="eastAsia" w:ascii="仿宋_GB2312" w:hAnsi="仿宋_GB2312" w:eastAsia="仿宋_GB2312" w:cs="仿宋_GB2312"/>
          <w:sz w:val="32"/>
          <w:szCs w:val="32"/>
          <w:lang w:val="en-US" w:eastAsia="zh-CN"/>
        </w:rPr>
        <w:t>对全区信访重点问题和重点人员深入12个乡镇进行全面排查，建立专项稳控工作专班，在党的二十大期间，具体负责全区信访安保维稳工作统筹、调度。</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w:t>
      </w:r>
      <w:r>
        <w:rPr>
          <w:rFonts w:hint="eastAsia" w:ascii="仿宋_GB2312" w:hAnsi="宋体" w:eastAsia="仿宋_GB2312" w:cs="Times New Roman"/>
          <w:spacing w:val="-6"/>
          <w:sz w:val="32"/>
          <w:szCs w:val="32"/>
          <w:lang w:eastAsia="zh-CN"/>
        </w:rPr>
        <w:t>党的二十大期间信访安保维稳工作经费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万元，按程序进行申报，资金及时批复到位，申报程序符合资金管理办法相关规定。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16" w:firstLineChars="200"/>
        <w:jc w:val="left"/>
        <w:textAlignment w:val="auto"/>
        <w:outlineLvl w:val="9"/>
        <w:rPr>
          <w:rFonts w:hint="eastAsia" w:ascii="仿宋_GB2312" w:hAnsi="楷体" w:eastAsia="仿宋_GB2312"/>
          <w:sz w:val="32"/>
          <w:szCs w:val="32"/>
          <w:lang w:val="en-US" w:eastAsia="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保障202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w:t>
      </w:r>
      <w:r>
        <w:rPr>
          <w:rFonts w:hint="eastAsia" w:ascii="仿宋_GB2312" w:hAnsi="宋体" w:eastAsia="仿宋_GB2312" w:cs="Times New Roman"/>
          <w:spacing w:val="-6"/>
          <w:sz w:val="32"/>
          <w:szCs w:val="32"/>
          <w:lang w:eastAsia="zh-CN"/>
        </w:rPr>
        <w:t>党的二十大期间信访安保维稳工作</w:t>
      </w:r>
      <w:r>
        <w:rPr>
          <w:rFonts w:hint="eastAsia" w:ascii="仿宋_GB2312" w:hAnsi="仿宋_GB2312" w:eastAsia="仿宋_GB2312" w:cs="仿宋_GB2312"/>
          <w:bCs/>
          <w:sz w:val="32"/>
          <w:szCs w:val="32"/>
          <w:lang w:val="zh-CN"/>
        </w:rPr>
        <w:t>有序开展，</w:t>
      </w:r>
      <w:r>
        <w:rPr>
          <w:rFonts w:hint="eastAsia" w:ascii="仿宋_GB2312" w:hAnsi="楷体" w:eastAsia="仿宋_GB2312"/>
          <w:sz w:val="32"/>
          <w:szCs w:val="32"/>
          <w:lang w:val="en-US" w:eastAsia="zh-CN"/>
        </w:rPr>
        <w:t>统筹协调全区各级各部门全力做好重大活动和敏感节点期间的信访维稳工作，确保社会大局和谐稳定。</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27" w:name="_Toc28620"/>
      <w:r>
        <w:rPr>
          <w:rFonts w:hint="eastAsia" w:ascii="黑体" w:hAnsi="黑体" w:eastAsia="黑体" w:cs="Times New Roman"/>
          <w:spacing w:val="-6"/>
          <w:sz w:val="32"/>
          <w:szCs w:val="32"/>
        </w:rPr>
        <w:t>二、项目实施及管理情况</w:t>
      </w:r>
      <w:bookmarkEnd w:id="127"/>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28" w:name="_Toc3438"/>
      <w:r>
        <w:rPr>
          <w:rFonts w:hint="eastAsia" w:ascii="楷体_GB2312" w:hAnsi="Times New Roman" w:eastAsia="楷体_GB2312" w:cs="Times New Roman"/>
          <w:bCs/>
          <w:spacing w:val="-6"/>
          <w:sz w:val="32"/>
          <w:szCs w:val="32"/>
        </w:rPr>
        <w:t>（一）资金计划、到位及使用情况</w:t>
      </w:r>
      <w:bookmarkEnd w:id="128"/>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宋体" w:eastAsia="仿宋_GB2312" w:cs="Times New Roman"/>
          <w:spacing w:val="-6"/>
          <w:sz w:val="32"/>
          <w:szCs w:val="32"/>
          <w:lang w:eastAsia="zh-CN"/>
        </w:rPr>
        <w:t>党的二十大期间信访安保维稳</w:t>
      </w:r>
      <w:r>
        <w:rPr>
          <w:rFonts w:hint="eastAsia" w:ascii="仿宋_GB2312" w:hAnsi="仿宋_GB2312" w:eastAsia="仿宋_GB2312" w:cs="仿宋_GB2312"/>
          <w:bCs/>
          <w:sz w:val="32"/>
          <w:szCs w:val="32"/>
          <w:lang w:val="zh-CN"/>
        </w:rPr>
        <w:t>工作</w:t>
      </w:r>
      <w:r>
        <w:rPr>
          <w:rFonts w:hint="eastAsia" w:ascii="仿宋_GB2312" w:hAnsi="Times New Roman" w:eastAsia="仿宋_GB2312" w:cs="Times New Roman"/>
          <w:spacing w:val="-6"/>
          <w:sz w:val="32"/>
          <w:szCs w:val="32"/>
          <w:lang w:val="zh-CN"/>
        </w:rPr>
        <w:t>经费</w:t>
      </w:r>
      <w:r>
        <w:rPr>
          <w:rFonts w:hint="eastAsia" w:ascii="仿宋_GB2312" w:hAnsi="Times New Roman" w:eastAsia="仿宋_GB2312" w:cs="Times New Roman"/>
          <w:spacing w:val="-6"/>
          <w:sz w:val="32"/>
          <w:szCs w:val="32"/>
          <w:lang w:val="en-US" w:eastAsia="zh-CN"/>
        </w:rPr>
        <w:t>20</w:t>
      </w:r>
      <w:r>
        <w:rPr>
          <w:rFonts w:hint="eastAsia" w:ascii="仿宋_GB2312" w:hAnsi="Times New Roman" w:eastAsia="仿宋_GB2312" w:cs="Times New Roman"/>
          <w:spacing w:val="-6"/>
          <w:sz w:val="32"/>
          <w:szCs w:val="32"/>
          <w:lang w:val="zh-CN"/>
        </w:rPr>
        <w:t>万元，资金全部到位及时，全部到位。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29" w:name="_Toc18218"/>
      <w:r>
        <w:rPr>
          <w:rFonts w:hint="eastAsia" w:ascii="楷体_GB2312" w:hAnsi="Times New Roman" w:eastAsia="楷体_GB2312" w:cs="Times New Roman"/>
          <w:bCs/>
          <w:spacing w:val="-6"/>
          <w:sz w:val="32"/>
          <w:szCs w:val="32"/>
        </w:rPr>
        <w:t>（二）项目财务管理情况</w:t>
      </w:r>
      <w:bookmarkEnd w:id="129"/>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30" w:name="_Toc12474"/>
      <w:r>
        <w:rPr>
          <w:rFonts w:hint="eastAsia" w:ascii="楷体_GB2312" w:hAnsi="Times New Roman" w:eastAsia="楷体_GB2312" w:cs="Times New Roman"/>
          <w:bCs/>
          <w:spacing w:val="-6"/>
          <w:sz w:val="32"/>
          <w:szCs w:val="32"/>
        </w:rPr>
        <w:t>（三）项目组织实施情况</w:t>
      </w:r>
      <w:bookmarkEnd w:id="130"/>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w:t>
      </w:r>
      <w:r>
        <w:rPr>
          <w:rFonts w:hint="eastAsia" w:ascii="仿宋_GB2312" w:hAnsi="宋体" w:eastAsia="仿宋_GB2312" w:cs="Times New Roman"/>
          <w:spacing w:val="-6"/>
          <w:sz w:val="32"/>
          <w:szCs w:val="32"/>
          <w:lang w:eastAsia="zh-CN"/>
        </w:rPr>
        <w:t>党的二十大期间信访安保维稳</w:t>
      </w:r>
      <w:r>
        <w:rPr>
          <w:rFonts w:hint="eastAsia" w:ascii="仿宋_GB2312" w:hAnsi="仿宋_GB2312" w:eastAsia="仿宋_GB2312" w:cs="仿宋_GB2312"/>
          <w:sz w:val="32"/>
          <w:szCs w:val="32"/>
          <w:lang w:val="zh-CN" w:bidi="ar"/>
        </w:rPr>
        <w:t>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31" w:name="_Toc941"/>
      <w:r>
        <w:rPr>
          <w:rFonts w:hint="eastAsia" w:ascii="黑体" w:hAnsi="黑体" w:eastAsia="黑体" w:cs="Times New Roman"/>
          <w:spacing w:val="-6"/>
          <w:sz w:val="32"/>
          <w:szCs w:val="32"/>
        </w:rPr>
        <w:t>三、项目绩效情况</w:t>
      </w:r>
      <w:bookmarkEnd w:id="131"/>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32" w:name="_Toc8218"/>
      <w:r>
        <w:rPr>
          <w:rFonts w:hint="eastAsia" w:ascii="楷体_GB2312" w:hAnsi="Times New Roman" w:eastAsia="楷体_GB2312" w:cs="Times New Roman"/>
          <w:bCs/>
          <w:spacing w:val="-6"/>
          <w:sz w:val="32"/>
          <w:szCs w:val="32"/>
        </w:rPr>
        <w:t>（一）项目完成情况</w:t>
      </w:r>
      <w:bookmarkEnd w:id="13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我局顺利完成</w:t>
      </w:r>
      <w:r>
        <w:rPr>
          <w:rFonts w:hint="eastAsia" w:ascii="仿宋_GB2312" w:hAnsi="宋体" w:eastAsia="仿宋_GB2312" w:cs="Times New Roman"/>
          <w:spacing w:val="-6"/>
          <w:sz w:val="32"/>
          <w:szCs w:val="32"/>
          <w:lang w:eastAsia="zh-CN"/>
        </w:rPr>
        <w:t>党的二十大期间信访安保维稳工作</w:t>
      </w:r>
      <w:r>
        <w:rPr>
          <w:rFonts w:hint="eastAsia" w:ascii="仿宋_GB2312" w:hAnsi="仿宋_GB2312" w:eastAsia="仿宋_GB2312" w:cs="仿宋_GB2312"/>
          <w:sz w:val="32"/>
          <w:szCs w:val="32"/>
        </w:rPr>
        <w:t>，及时劝返</w:t>
      </w:r>
      <w:r>
        <w:rPr>
          <w:rFonts w:hint="eastAsia" w:ascii="仿宋_GB2312" w:hAnsi="仿宋_GB2312" w:eastAsia="仿宋_GB2312" w:cs="仿宋_GB2312"/>
          <w:sz w:val="32"/>
          <w:szCs w:val="32"/>
          <w:lang w:eastAsia="zh-CN"/>
        </w:rPr>
        <w:t>进京赴省到市</w:t>
      </w:r>
      <w:r>
        <w:rPr>
          <w:rFonts w:hint="eastAsia" w:ascii="仿宋_GB2312" w:hAnsi="仿宋_GB2312" w:eastAsia="仿宋_GB2312" w:cs="仿宋_GB2312"/>
          <w:sz w:val="32"/>
          <w:szCs w:val="32"/>
        </w:rPr>
        <w:t>上访人员，</w:t>
      </w:r>
      <w:r>
        <w:rPr>
          <w:rFonts w:hint="eastAsia" w:ascii="仿宋_GB2312" w:hAnsi="仿宋_GB2312" w:eastAsia="仿宋_GB2312" w:cs="仿宋_GB2312"/>
          <w:sz w:val="32"/>
          <w:szCs w:val="32"/>
          <w:lang w:eastAsia="zh-CN"/>
        </w:rPr>
        <w:t>将</w:t>
      </w:r>
      <w:r>
        <w:rPr>
          <w:rFonts w:hint="eastAsia" w:ascii="仿宋_GB2312" w:hAnsi="楷体" w:eastAsia="仿宋_GB2312"/>
          <w:sz w:val="32"/>
          <w:szCs w:val="32"/>
          <w:lang w:val="en-US" w:eastAsia="zh-CN"/>
        </w:rPr>
        <w:t>重点人员、重点群体稳控在当地，未出现脱管失控现象，会议期间未发生进京赴省到市上访、未发生大规模聚集、信访极端事件和舆论炒作事件。</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33" w:name="_Toc32369"/>
      <w:r>
        <w:rPr>
          <w:rFonts w:hint="eastAsia" w:ascii="楷体_GB2312" w:hAnsi="Times New Roman" w:eastAsia="楷体_GB2312" w:cs="Times New Roman"/>
          <w:bCs/>
          <w:spacing w:val="-6"/>
          <w:sz w:val="32"/>
          <w:szCs w:val="32"/>
        </w:rPr>
        <w:t>（二）项目效益情况</w:t>
      </w:r>
      <w:bookmarkEnd w:id="133"/>
    </w:p>
    <w:p>
      <w:pPr>
        <w:pStyle w:val="46"/>
        <w:keepNext w:val="0"/>
        <w:keepLines w:val="0"/>
        <w:pageBreakBefore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1.社会效益。通过信访维稳工作的开展，有效维护了社会秩序，确保各项活动有序开展，有效维护了国家、社会和会稳定，提高了群众满意度。</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34" w:name="_Toc11845"/>
      <w:r>
        <w:rPr>
          <w:rFonts w:hint="eastAsia" w:ascii="黑体" w:hAnsi="黑体" w:eastAsia="黑体" w:cs="Times New Roman"/>
          <w:spacing w:val="-6"/>
          <w:sz w:val="32"/>
          <w:szCs w:val="32"/>
        </w:rPr>
        <w:t>四、问题及建议</w:t>
      </w:r>
      <w:bookmarkEnd w:id="134"/>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spacing w:line="580" w:lineRule="exact"/>
        <w:rPr>
          <w:rStyle w:val="32"/>
          <w:rFonts w:ascii="黑体" w:hAnsi="黑体" w:eastAsia="黑体"/>
          <w:b w:val="0"/>
          <w:color w:val="auto"/>
          <w:highlight w:val="none"/>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rPr>
          <w:rFonts w:hint="eastAsia" w:ascii="方正大标宋简体" w:hAnsi="??" w:eastAsia="方正大标宋简体" w:cs="Times New Roman"/>
          <w:b/>
          <w:color w:val="000000"/>
          <w:spacing w:val="-6"/>
          <w:kern w:val="0"/>
          <w:sz w:val="44"/>
          <w:szCs w:val="44"/>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35" w:name="_Toc19765"/>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bookmarkEnd w:id="135"/>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领导视频接访系统运行费</w:t>
      </w:r>
      <w:r>
        <w:rPr>
          <w:rFonts w:hint="eastAsia" w:ascii="仿宋_GB2312" w:hAnsi="宋体" w:eastAsia="仿宋_GB2312" w:cs="Times New Roman"/>
          <w:spacing w:val="-6"/>
          <w:sz w:val="32"/>
          <w:szCs w:val="32"/>
        </w:rPr>
        <w:t>项目）</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36" w:name="_Toc30803"/>
      <w:r>
        <w:rPr>
          <w:rFonts w:hint="eastAsia" w:ascii="黑体" w:hAnsi="黑体" w:eastAsia="黑体" w:cs="Times New Roman"/>
          <w:spacing w:val="-6"/>
          <w:sz w:val="32"/>
          <w:szCs w:val="32"/>
        </w:rPr>
        <w:t>一、项目概况</w:t>
      </w:r>
      <w:bookmarkEnd w:id="136"/>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市主管部门要求，我局领导视频接访室与国家和省、市领导视频接访室联网，以满足信访信息化工作需求。领导视频接访系统是以中国电信股份有限公司广元朝天分公司光纤为传输媒质，专线接入互联网，实现系统正常运行，确保按期保质完成视频接访系统维护工作。</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w:t>
      </w:r>
      <w:r>
        <w:rPr>
          <w:rFonts w:hint="eastAsia" w:ascii="仿宋_GB2312" w:hAnsi="宋体" w:eastAsia="仿宋_GB2312" w:cs="Times New Roman"/>
          <w:spacing w:val="-6"/>
          <w:sz w:val="32"/>
          <w:szCs w:val="32"/>
          <w:lang w:eastAsia="zh-CN"/>
        </w:rPr>
        <w:t>领导接访系统运行费</w:t>
      </w:r>
      <w:r>
        <w:rPr>
          <w:rFonts w:hint="eastAsia" w:ascii="仿宋_GB2312" w:hAnsi="宋体" w:eastAsia="仿宋_GB2312" w:cs="Times New Roman"/>
          <w:spacing w:val="-6"/>
          <w:sz w:val="32"/>
          <w:szCs w:val="32"/>
        </w:rPr>
        <w:t>项目</w:t>
      </w:r>
      <w:r>
        <w:rPr>
          <w:rFonts w:hint="eastAsia" w:ascii="仿宋_GB2312" w:hAnsi="仿宋_GB2312" w:eastAsia="仿宋_GB2312" w:cs="仿宋_GB2312"/>
          <w:sz w:val="32"/>
          <w:szCs w:val="32"/>
        </w:rPr>
        <w:t>经费预算</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bCs/>
          <w:sz w:val="32"/>
          <w:szCs w:val="32"/>
          <w:lang w:val="en-US" w:eastAsia="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en-US" w:eastAsia="zh-CN"/>
        </w:rPr>
        <w:t>根据项目支出绩效评价指标体系，我局组织专门的班子负责此项工作，落实专人查阅项目相关资料，检查财务制度是否健全规范，资金使用范围是否按规定的标准执行，对资金的使用真实性、合法性、合规性负责。</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仿宋_GB2312" w:eastAsia="仿宋_GB2312" w:cs="仿宋_GB2312"/>
          <w:bCs/>
          <w:sz w:val="32"/>
          <w:szCs w:val="32"/>
          <w:lang w:val="en-US" w:eastAsia="zh-CN"/>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bCs/>
          <w:sz w:val="32"/>
          <w:szCs w:val="32"/>
          <w:lang w:val="en-US" w:eastAsia="zh-CN"/>
        </w:rPr>
        <w:t>2022年度领导接访系统运行费是为了方便群众投诉渠道和规范信访工作办理而发生的网络维护费用支出，项目申报内容与实际相符，申报目标合理可行。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37" w:name="_Toc26011"/>
      <w:r>
        <w:rPr>
          <w:rFonts w:hint="eastAsia" w:ascii="黑体" w:hAnsi="黑体" w:eastAsia="黑体" w:cs="Times New Roman"/>
          <w:spacing w:val="-6"/>
          <w:sz w:val="32"/>
          <w:szCs w:val="32"/>
        </w:rPr>
        <w:t>二、项目实施及管理情况</w:t>
      </w:r>
      <w:bookmarkEnd w:id="137"/>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38" w:name="_Toc32394"/>
      <w:r>
        <w:rPr>
          <w:rFonts w:hint="eastAsia" w:ascii="楷体_GB2312" w:hAnsi="Times New Roman" w:eastAsia="楷体_GB2312" w:cs="Times New Roman"/>
          <w:bCs/>
          <w:spacing w:val="-6"/>
          <w:sz w:val="32"/>
          <w:szCs w:val="32"/>
        </w:rPr>
        <w:t>（一）资金计划、到位及使用情况</w:t>
      </w:r>
      <w:bookmarkEnd w:id="138"/>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rPr>
        <w:t>预算</w:t>
      </w:r>
      <w:r>
        <w:rPr>
          <w:rFonts w:hint="eastAsia" w:ascii="仿宋_GB2312" w:hAnsi="宋体" w:eastAsia="仿宋_GB2312" w:cs="Times New Roman"/>
          <w:spacing w:val="-6"/>
          <w:sz w:val="32"/>
          <w:szCs w:val="32"/>
          <w:lang w:eastAsia="zh-CN"/>
        </w:rPr>
        <w:t>领导视频接访系统运行费</w:t>
      </w:r>
      <w:r>
        <w:rPr>
          <w:rFonts w:hint="eastAsia" w:ascii="仿宋_GB2312" w:hAnsi="宋体" w:eastAsia="仿宋_GB2312" w:cs="Times New Roman"/>
          <w:spacing w:val="-6"/>
          <w:sz w:val="32"/>
          <w:szCs w:val="32"/>
          <w:lang w:val="en-US" w:eastAsia="zh-CN"/>
        </w:rPr>
        <w:t>3.6</w:t>
      </w:r>
      <w:r>
        <w:rPr>
          <w:rFonts w:hint="eastAsia" w:ascii="仿宋_GB2312" w:hAnsi="Times New Roman" w:eastAsia="仿宋_GB2312" w:cs="Times New Roman"/>
          <w:spacing w:val="-6"/>
          <w:sz w:val="32"/>
          <w:szCs w:val="32"/>
          <w:lang w:val="zh-CN"/>
        </w:rPr>
        <w:t>万元。资金到位及时，全部到位。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39" w:name="_Toc19292"/>
      <w:r>
        <w:rPr>
          <w:rFonts w:hint="eastAsia" w:ascii="楷体_GB2312" w:hAnsi="Times New Roman" w:eastAsia="楷体_GB2312" w:cs="Times New Roman"/>
          <w:bCs/>
          <w:spacing w:val="-6"/>
          <w:sz w:val="32"/>
          <w:szCs w:val="32"/>
        </w:rPr>
        <w:t>（二）项目财务管理情况</w:t>
      </w:r>
      <w:bookmarkEnd w:id="139"/>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40" w:name="_Toc12345"/>
      <w:r>
        <w:rPr>
          <w:rFonts w:hint="eastAsia" w:ascii="楷体_GB2312" w:hAnsi="Times New Roman" w:eastAsia="楷体_GB2312" w:cs="Times New Roman"/>
          <w:bCs/>
          <w:spacing w:val="-6"/>
          <w:sz w:val="32"/>
          <w:szCs w:val="32"/>
        </w:rPr>
        <w:t>（三）项目组织实施情况</w:t>
      </w:r>
      <w:bookmarkEnd w:id="140"/>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本项目资金仅限于领导视频接访系统运行维护工作，实行专款专用，资金使用合规，支出依据规范，无虚列支出，无截留、挤占、挪用现象。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41" w:name="_Toc10519"/>
      <w:r>
        <w:rPr>
          <w:rFonts w:hint="eastAsia" w:ascii="黑体" w:hAnsi="黑体" w:eastAsia="黑体" w:cs="Times New Roman"/>
          <w:spacing w:val="-6"/>
          <w:sz w:val="32"/>
          <w:szCs w:val="32"/>
        </w:rPr>
        <w:t>三、项目绩效情况</w:t>
      </w:r>
      <w:bookmarkEnd w:id="141"/>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42" w:name="_Toc27598"/>
      <w:r>
        <w:rPr>
          <w:rFonts w:hint="eastAsia" w:ascii="楷体_GB2312" w:hAnsi="Times New Roman" w:eastAsia="楷体_GB2312" w:cs="Times New Roman"/>
          <w:bCs/>
          <w:spacing w:val="-6"/>
          <w:sz w:val="32"/>
          <w:szCs w:val="32"/>
        </w:rPr>
        <w:t>（一）项目完成情况</w:t>
      </w:r>
      <w:bookmarkEnd w:id="142"/>
    </w:p>
    <w:p>
      <w:pPr>
        <w:spacing w:line="560" w:lineRule="exact"/>
        <w:ind w:left="283" w:leftChars="135" w:firstLine="355" w:firstLineChars="111"/>
        <w:rPr>
          <w:rFonts w:hint="eastAsia" w:ascii="仿宋_GB2312" w:hAnsi="仿宋" w:eastAsia="仿宋_GB2312"/>
          <w:sz w:val="32"/>
          <w:szCs w:val="32"/>
        </w:rPr>
      </w:pPr>
      <w:r>
        <w:rPr>
          <w:rFonts w:hint="eastAsia" w:ascii="仿宋_GB2312" w:hAnsi="仿宋" w:eastAsia="仿宋_GB2312"/>
          <w:sz w:val="32"/>
          <w:szCs w:val="32"/>
        </w:rPr>
        <w:t>当年维护保障视频会议</w:t>
      </w:r>
      <w:r>
        <w:rPr>
          <w:rFonts w:hint="eastAsia" w:ascii="仿宋_GB2312" w:hAnsi="仿宋" w:eastAsia="仿宋_GB2312"/>
          <w:sz w:val="32"/>
          <w:szCs w:val="32"/>
          <w:lang w:val="en-US" w:eastAsia="zh-CN"/>
        </w:rPr>
        <w:t>70</w:t>
      </w:r>
      <w:r>
        <w:rPr>
          <w:rFonts w:hint="eastAsia" w:ascii="仿宋_GB2312" w:hAnsi="仿宋" w:eastAsia="仿宋_GB2312"/>
          <w:sz w:val="32"/>
          <w:szCs w:val="32"/>
        </w:rPr>
        <w:t>场左右，按时接收上级视频会议内容，及时传达上级会议精神，满足下延会议个性服务。</w:t>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43" w:name="_Toc28839"/>
      <w:r>
        <w:rPr>
          <w:rFonts w:hint="eastAsia" w:ascii="楷体_GB2312" w:hAnsi="Times New Roman" w:eastAsia="楷体_GB2312" w:cs="Times New Roman"/>
          <w:bCs/>
          <w:spacing w:val="-6"/>
          <w:sz w:val="32"/>
          <w:szCs w:val="32"/>
        </w:rPr>
        <w:t>（二）项目效益情况</w:t>
      </w:r>
      <w:bookmarkEnd w:id="143"/>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rPr>
        <w:t>1.社会效益。</w:t>
      </w:r>
      <w:r>
        <w:rPr>
          <w:rFonts w:hint="eastAsia" w:ascii="仿宋_GB2312" w:hAnsi="仿宋_GB2312" w:eastAsia="仿宋_GB2312" w:cs="仿宋_GB2312"/>
          <w:kern w:val="2"/>
          <w:sz w:val="32"/>
          <w:lang w:eastAsia="zh-CN"/>
        </w:rPr>
        <w:t>保障信访信息系统网络通畅，运行正常，系统服务器运行无故障率达到</w:t>
      </w:r>
      <w:r>
        <w:rPr>
          <w:rFonts w:hint="eastAsia" w:ascii="仿宋_GB2312" w:hAnsi="仿宋_GB2312" w:eastAsia="仿宋_GB2312" w:cs="仿宋_GB2312"/>
          <w:kern w:val="2"/>
          <w:sz w:val="32"/>
          <w:lang w:val="en-US" w:eastAsia="zh-CN"/>
        </w:rPr>
        <w:t>100%。</w:t>
      </w:r>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2.数量指标方面。年底完成系统数据准确率达100%。</w:t>
      </w:r>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3.实效指标方面。年底全面完成率达100%</w:t>
      </w:r>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default"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4.服务对象满意度方面。信访群众满意率达98%。</w:t>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44" w:name="_Toc15440"/>
      <w:r>
        <w:rPr>
          <w:rFonts w:hint="eastAsia" w:ascii="黑体" w:hAnsi="黑体" w:eastAsia="黑体" w:cs="Times New Roman"/>
          <w:spacing w:val="-6"/>
          <w:sz w:val="32"/>
          <w:szCs w:val="32"/>
        </w:rPr>
        <w:t>四、问题及建议</w:t>
      </w:r>
      <w:bookmarkEnd w:id="144"/>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Times New Roman" w:eastAsia="仿宋_GB2312" w:cs="仿宋_GB2312"/>
          <w:b w:val="0"/>
          <w:bCs w:val="0"/>
          <w:i w:val="0"/>
          <w:iCs w:val="0"/>
          <w:caps w:val="0"/>
          <w:color w:val="000000"/>
          <w:spacing w:val="0"/>
          <w:sz w:val="32"/>
          <w:szCs w:val="32"/>
          <w:shd w:val="clear" w:fill="FFFFFF"/>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pStyle w:val="2"/>
        <w:rPr>
          <w:rFonts w:hint="eastAsia" w:ascii="仿宋_GB2312" w:hAnsi="Times New Roman" w:eastAsia="仿宋_GB2312" w:cs="仿宋_GB2312"/>
          <w:b w:val="0"/>
          <w:bCs w:val="0"/>
          <w:i w:val="0"/>
          <w:iCs w:val="0"/>
          <w:caps w:val="0"/>
          <w:color w:val="000000"/>
          <w:spacing w:val="0"/>
          <w:sz w:val="32"/>
          <w:szCs w:val="32"/>
          <w:shd w:val="clear" w:fill="FFFFFF"/>
        </w:rPr>
      </w:pPr>
    </w:p>
    <w:p>
      <w:pPr>
        <w:rPr>
          <w:rFonts w:hint="eastAsia" w:ascii="仿宋_GB2312" w:hAnsi="Times New Roman" w:eastAsia="仿宋_GB2312" w:cs="仿宋_GB2312"/>
          <w:b w:val="0"/>
          <w:bCs w:val="0"/>
          <w:i w:val="0"/>
          <w:iCs w:val="0"/>
          <w:caps w:val="0"/>
          <w:color w:val="000000"/>
          <w:spacing w:val="0"/>
          <w:sz w:val="32"/>
          <w:szCs w:val="32"/>
          <w:shd w:val="clear" w:fill="FFFFFF"/>
        </w:rPr>
      </w:pPr>
    </w:p>
    <w:p>
      <w:pPr>
        <w:pStyle w:val="2"/>
        <w:rPr>
          <w:rFonts w:hint="eastAsia" w:ascii="仿宋_GB2312" w:hAnsi="Times New Roman" w:eastAsia="仿宋_GB2312" w:cs="仿宋_GB2312"/>
          <w:b w:val="0"/>
          <w:bCs w:val="0"/>
          <w:i w:val="0"/>
          <w:iCs w:val="0"/>
          <w:caps w:val="0"/>
          <w:color w:val="000000"/>
          <w:spacing w:val="0"/>
          <w:sz w:val="32"/>
          <w:szCs w:val="32"/>
          <w:shd w:val="clear" w:fill="FFFFFF"/>
        </w:rPr>
      </w:pPr>
    </w:p>
    <w:p>
      <w:pPr>
        <w:rPr>
          <w:rFonts w:hint="eastAsia" w:ascii="仿宋_GB2312" w:hAnsi="Times New Roman" w:eastAsia="仿宋_GB2312" w:cs="仿宋_GB2312"/>
          <w:b w:val="0"/>
          <w:bCs w:val="0"/>
          <w:i w:val="0"/>
          <w:iCs w:val="0"/>
          <w:caps w:val="0"/>
          <w:color w:val="000000"/>
          <w:spacing w:val="0"/>
          <w:sz w:val="32"/>
          <w:szCs w:val="32"/>
          <w:shd w:val="clear" w:fill="FFFFFF"/>
        </w:rPr>
      </w:pPr>
    </w:p>
    <w:p>
      <w:pPr>
        <w:pStyle w:val="2"/>
        <w:rPr>
          <w:rFonts w:hint="eastAsia" w:ascii="仿宋_GB2312" w:hAnsi="Times New Roman" w:eastAsia="仿宋_GB2312" w:cs="仿宋_GB2312"/>
          <w:b w:val="0"/>
          <w:bCs w:val="0"/>
          <w:i w:val="0"/>
          <w:iCs w:val="0"/>
          <w:caps w:val="0"/>
          <w:color w:val="000000"/>
          <w:spacing w:val="0"/>
          <w:sz w:val="32"/>
          <w:szCs w:val="32"/>
          <w:shd w:val="clear" w:fill="FFFFFF"/>
        </w:rPr>
      </w:pPr>
    </w:p>
    <w:p>
      <w:pPr>
        <w:rPr>
          <w:rFonts w:hint="eastAsia" w:ascii="仿宋_GB2312" w:hAnsi="Times New Roman" w:eastAsia="仿宋_GB2312" w:cs="仿宋_GB2312"/>
          <w:b w:val="0"/>
          <w:bCs w:val="0"/>
          <w:i w:val="0"/>
          <w:iCs w:val="0"/>
          <w:caps w:val="0"/>
          <w:color w:val="000000"/>
          <w:spacing w:val="0"/>
          <w:sz w:val="32"/>
          <w:szCs w:val="32"/>
          <w:shd w:val="clear" w:fill="FFFFFF"/>
        </w:rPr>
      </w:pPr>
    </w:p>
    <w:p>
      <w:pPr>
        <w:pStyle w:val="2"/>
        <w:rPr>
          <w:rFonts w:hint="eastAsia" w:ascii="仿宋_GB2312" w:hAnsi="Times New Roman" w:eastAsia="仿宋_GB2312" w:cs="仿宋_GB2312"/>
          <w:b w:val="0"/>
          <w:bCs w:val="0"/>
          <w:i w:val="0"/>
          <w:iCs w:val="0"/>
          <w:caps w:val="0"/>
          <w:color w:val="000000"/>
          <w:spacing w:val="0"/>
          <w:sz w:val="32"/>
          <w:szCs w:val="32"/>
          <w:shd w:val="clear" w:fill="FFFFFF"/>
        </w:rPr>
      </w:pPr>
    </w:p>
    <w:p>
      <w:pPr>
        <w:rPr>
          <w:rFonts w:hint="eastAsia" w:ascii="仿宋_GB2312" w:hAnsi="Times New Roman" w:eastAsia="仿宋_GB2312" w:cs="仿宋_GB2312"/>
          <w:b w:val="0"/>
          <w:bCs w:val="0"/>
          <w:i w:val="0"/>
          <w:iCs w:val="0"/>
          <w:caps w:val="0"/>
          <w:color w:val="000000"/>
          <w:spacing w:val="0"/>
          <w:sz w:val="32"/>
          <w:szCs w:val="32"/>
          <w:shd w:val="clear" w:fill="FFFFFF"/>
        </w:rPr>
      </w:pPr>
    </w:p>
    <w:p>
      <w:pPr>
        <w:pStyle w:val="2"/>
        <w:rPr>
          <w:rFonts w:hint="eastAsia" w:ascii="仿宋_GB2312" w:hAnsi="Times New Roman" w:eastAsia="仿宋_GB2312" w:cs="仿宋_GB2312"/>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45" w:name="_Toc18215"/>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bookmarkEnd w:id="145"/>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bookmarkStart w:id="146" w:name="_Hlk88392353"/>
      <w:r>
        <w:rPr>
          <w:rFonts w:hint="eastAsia" w:ascii="仿宋_GB2312" w:hAnsi="宋体" w:eastAsia="仿宋_GB2312" w:cs="Times New Roman"/>
          <w:spacing w:val="-6"/>
          <w:sz w:val="32"/>
          <w:szCs w:val="32"/>
        </w:rPr>
        <w:t>社情民意手机短信平台运行</w:t>
      </w:r>
      <w:bookmarkEnd w:id="146"/>
      <w:r>
        <w:rPr>
          <w:rFonts w:hint="eastAsia" w:ascii="仿宋_GB2312" w:hAnsi="宋体" w:eastAsia="仿宋_GB2312" w:cs="Times New Roman"/>
          <w:spacing w:val="-6"/>
          <w:sz w:val="32"/>
          <w:szCs w:val="32"/>
        </w:rPr>
        <w:t>项目）</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47" w:name="_Toc10204"/>
      <w:r>
        <w:rPr>
          <w:rFonts w:hint="eastAsia" w:ascii="黑体" w:hAnsi="黑体" w:eastAsia="黑体" w:cs="Times New Roman"/>
          <w:spacing w:val="-6"/>
          <w:sz w:val="32"/>
          <w:szCs w:val="32"/>
        </w:rPr>
        <w:t>一、项目概况</w:t>
      </w:r>
      <w:bookmarkEnd w:id="147"/>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群工局与移动公司</w:t>
      </w:r>
      <w:r>
        <w:rPr>
          <w:rFonts w:hint="eastAsia" w:ascii="仿宋_GB2312" w:hAnsi="仿宋_GB2312" w:eastAsia="仿宋_GB2312" w:cs="仿宋_GB2312"/>
          <w:sz w:val="32"/>
          <w:szCs w:val="32"/>
          <w:lang w:eastAsia="zh-CN"/>
        </w:rPr>
        <w:t>朝天</w:t>
      </w:r>
      <w:r>
        <w:rPr>
          <w:rFonts w:hint="eastAsia" w:ascii="仿宋_GB2312" w:hAnsi="仿宋_GB2312" w:eastAsia="仿宋_GB2312" w:cs="仿宋_GB2312"/>
          <w:sz w:val="32"/>
          <w:szCs w:val="32"/>
        </w:rPr>
        <w:t>分公司</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朝天</w:t>
      </w:r>
      <w:r>
        <w:rPr>
          <w:rFonts w:hint="eastAsia" w:ascii="仿宋_GB2312" w:hAnsi="仿宋_GB2312" w:eastAsia="仿宋_GB2312" w:cs="仿宋_GB2312"/>
          <w:sz w:val="32"/>
          <w:szCs w:val="32"/>
        </w:rPr>
        <w:t>区社情民意手机短信平台合作协议》约定移动公司为群工局提供社情民意手机短信平台，负责平台的日常维护，平台使用费为区级平台</w:t>
      </w:r>
      <w:r>
        <w:rPr>
          <w:rFonts w:hint="eastAsia" w:ascii="仿宋_GB2312" w:hAnsi="仿宋_GB2312" w:eastAsia="仿宋_GB2312" w:cs="仿宋_GB2312"/>
          <w:sz w:val="32"/>
          <w:szCs w:val="32"/>
          <w:lang w:val="en-US" w:eastAsia="zh-CN"/>
        </w:rPr>
        <w:t>15万/年。</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年度财政下达我局社情民意手机短信平台运行项目经费预算</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进一步畅通群众诉求表达渠道，搭建多种形式的沟通对话平台，在建立领导下访、写信、公开电话、12345热线电话、群众走访等信访渠道的基础上，利用现代化通讯手段，建立起让群众通过手机短信的形式，反映社情民意和诉求的新渠道。</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48" w:name="_Toc25095"/>
      <w:r>
        <w:rPr>
          <w:rFonts w:hint="eastAsia" w:ascii="黑体" w:hAnsi="黑体" w:eastAsia="黑体" w:cs="Times New Roman"/>
          <w:spacing w:val="-6"/>
          <w:sz w:val="32"/>
          <w:szCs w:val="32"/>
        </w:rPr>
        <w:t>二、项目实施及管理情况</w:t>
      </w:r>
      <w:bookmarkEnd w:id="148"/>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49" w:name="_Toc16087"/>
      <w:r>
        <w:rPr>
          <w:rFonts w:hint="eastAsia" w:ascii="楷体_GB2312" w:hAnsi="Times New Roman" w:eastAsia="楷体_GB2312" w:cs="Times New Roman"/>
          <w:bCs/>
          <w:spacing w:val="-6"/>
          <w:sz w:val="32"/>
          <w:szCs w:val="32"/>
        </w:rPr>
        <w:t>（一）资金计划、到位及使用情况</w:t>
      </w:r>
      <w:bookmarkEnd w:id="149"/>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rPr>
        <w:t>预算</w:t>
      </w:r>
      <w:r>
        <w:rPr>
          <w:rFonts w:hint="eastAsia" w:ascii="仿宋_GB2312" w:hAnsi="Times New Roman" w:eastAsia="仿宋_GB2312" w:cs="Times New Roman"/>
          <w:spacing w:val="-6"/>
          <w:sz w:val="32"/>
          <w:szCs w:val="32"/>
        </w:rPr>
        <w:t>社情民意手机短信平台运行</w:t>
      </w:r>
      <w:r>
        <w:rPr>
          <w:rFonts w:hint="eastAsia" w:ascii="仿宋_GB2312" w:hAnsi="Times New Roman" w:eastAsia="仿宋_GB2312" w:cs="Times New Roman"/>
          <w:spacing w:val="-6"/>
          <w:sz w:val="32"/>
          <w:szCs w:val="32"/>
          <w:lang w:val="zh-CN"/>
        </w:rPr>
        <w:t>经费15万元。资金全部到位及时，全部到位。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50" w:name="_Toc26083"/>
      <w:r>
        <w:rPr>
          <w:rFonts w:hint="eastAsia" w:ascii="楷体_GB2312" w:hAnsi="Times New Roman" w:eastAsia="楷体_GB2312" w:cs="Times New Roman"/>
          <w:bCs/>
          <w:spacing w:val="-6"/>
          <w:sz w:val="32"/>
          <w:szCs w:val="32"/>
        </w:rPr>
        <w:t>（二）项目财务管理情况</w:t>
      </w:r>
      <w:bookmarkEnd w:id="15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51" w:name="_Toc23031"/>
      <w:r>
        <w:rPr>
          <w:rFonts w:hint="eastAsia" w:ascii="楷体_GB2312" w:hAnsi="Times New Roman" w:eastAsia="楷体_GB2312" w:cs="Times New Roman"/>
          <w:bCs/>
          <w:spacing w:val="-6"/>
          <w:sz w:val="32"/>
          <w:szCs w:val="32"/>
        </w:rPr>
        <w:t>（三）项目组织实施情况</w:t>
      </w:r>
      <w:bookmarkEnd w:id="151"/>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w:t>
      </w:r>
      <w:r>
        <w:rPr>
          <w:rFonts w:hint="eastAsia" w:ascii="仿宋_GB2312" w:hAnsi="仿宋_GB2312" w:eastAsia="仿宋_GB2312" w:cs="仿宋_GB2312"/>
          <w:sz w:val="32"/>
          <w:szCs w:val="32"/>
        </w:rPr>
        <w:t>社情民意手机短信平台运行</w:t>
      </w:r>
      <w:r>
        <w:rPr>
          <w:rFonts w:hint="eastAsia" w:ascii="仿宋_GB2312" w:hAnsi="仿宋_GB2312" w:eastAsia="仿宋_GB2312" w:cs="仿宋_GB2312"/>
          <w:sz w:val="32"/>
          <w:szCs w:val="32"/>
          <w:lang w:val="zh-CN" w:bidi="ar"/>
        </w:rPr>
        <w:t>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52" w:name="_Toc7422"/>
      <w:r>
        <w:rPr>
          <w:rFonts w:hint="eastAsia" w:ascii="黑体" w:hAnsi="黑体" w:eastAsia="黑体" w:cs="Times New Roman"/>
          <w:spacing w:val="-6"/>
          <w:sz w:val="32"/>
          <w:szCs w:val="32"/>
        </w:rPr>
        <w:t>三、项目绩效情况</w:t>
      </w:r>
      <w:bookmarkEnd w:id="152"/>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53" w:name="_Toc9557"/>
      <w:r>
        <w:rPr>
          <w:rFonts w:hint="eastAsia" w:ascii="楷体_GB2312" w:hAnsi="Times New Roman" w:eastAsia="楷体_GB2312" w:cs="Times New Roman"/>
          <w:bCs/>
          <w:spacing w:val="-6"/>
          <w:sz w:val="32"/>
          <w:szCs w:val="32"/>
        </w:rPr>
        <w:t>（一）项目完成情况</w:t>
      </w:r>
      <w:bookmarkEnd w:id="153"/>
    </w:p>
    <w:p>
      <w:pPr>
        <w:pStyle w:val="6"/>
        <w:keepNext w:val="0"/>
        <w:keepLines w:val="0"/>
        <w:pageBreakBefore w:val="0"/>
        <w:widowControl w:val="0"/>
        <w:kinsoku/>
        <w:wordWrap/>
        <w:overflowPunct/>
        <w:topLinePunct w:val="0"/>
        <w:autoSpaceDN/>
        <w:bidi w:val="0"/>
        <w:spacing w:after="0" w:afterLines="0" w:line="576" w:lineRule="exact"/>
        <w:ind w:firstLine="640" w:firstLineChars="200"/>
        <w:textAlignment w:val="auto"/>
        <w:rPr>
          <w:rFonts w:eastAsia="仿宋_GB2312"/>
        </w:rPr>
      </w:pPr>
      <w:r>
        <w:rPr>
          <w:rFonts w:hint="eastAsia" w:ascii="仿宋_GB2312" w:hAnsi="仿宋_GB2312" w:eastAsia="仿宋_GB2312" w:cs="仿宋_GB2312"/>
          <w:sz w:val="32"/>
          <w:szCs w:val="32"/>
        </w:rPr>
        <w:t>我局顺利完成社情民意手机短信平台运行工作，社情民意手机短信平台正常运行，信访群众的诉求及时送达，并及时受理，按时完成回复，有效维护了社会安定和谐，人民群众满意度提高。</w:t>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54" w:name="_Toc19074"/>
      <w:r>
        <w:rPr>
          <w:rFonts w:hint="eastAsia" w:ascii="楷体_GB2312" w:hAnsi="Times New Roman" w:eastAsia="楷体_GB2312" w:cs="Times New Roman"/>
          <w:bCs/>
          <w:spacing w:val="-6"/>
          <w:sz w:val="32"/>
          <w:szCs w:val="32"/>
        </w:rPr>
        <w:t>（二）项目效益情况</w:t>
      </w:r>
      <w:bookmarkEnd w:id="154"/>
    </w:p>
    <w:p>
      <w:pPr>
        <w:keepNext w:val="0"/>
        <w:keepLines w:val="0"/>
        <w:pageBreakBefore w:val="0"/>
        <w:widowControl w:val="0"/>
        <w:kinsoku/>
        <w:wordWrap/>
        <w:overflowPunct/>
        <w:topLinePunct w:val="0"/>
        <w:autoSpaceDE w:val="0"/>
        <w:autoSpaceDN/>
        <w:bidi w:val="0"/>
        <w:spacing w:line="576" w:lineRule="exact"/>
        <w:ind w:firstLine="640" w:firstLineChars="200"/>
        <w:textAlignment w:val="auto"/>
        <w:rPr>
          <w:rFonts w:hint="eastAsia" w:ascii="仿宋_GB2312" w:hAnsi="宋体" w:eastAsia="仿宋_GB2312" w:cs="仿宋_GB2312"/>
          <w:sz w:val="32"/>
          <w:szCs w:val="32"/>
          <w:lang w:val="zh-CN" w:bidi="ar"/>
        </w:rPr>
      </w:pPr>
      <w:r>
        <w:rPr>
          <w:rFonts w:hint="eastAsia" w:ascii="仿宋_GB2312" w:hAnsi="宋体" w:eastAsia="仿宋_GB2312" w:cs="仿宋_GB2312"/>
          <w:sz w:val="32"/>
          <w:szCs w:val="32"/>
          <w:lang w:val="en-US" w:eastAsia="zh-CN" w:bidi="ar"/>
        </w:rPr>
        <w:t>1.社会效益。</w:t>
      </w:r>
      <w:r>
        <w:rPr>
          <w:rFonts w:hint="eastAsia" w:ascii="仿宋_GB2312" w:hAnsi="宋体" w:eastAsia="仿宋_GB2312" w:cs="仿宋_GB2312"/>
          <w:sz w:val="32"/>
          <w:szCs w:val="32"/>
          <w:lang w:val="zh-CN" w:bidi="ar"/>
        </w:rPr>
        <w:t>宣传和预防结合，确保安全稳定和谐，教育信访群众，让群众少跑路，让上级政府及时能就地解决问题。</w:t>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55" w:name="_Toc18708"/>
      <w:r>
        <w:rPr>
          <w:rFonts w:hint="eastAsia" w:ascii="黑体" w:hAnsi="黑体" w:eastAsia="黑体" w:cs="Times New Roman"/>
          <w:spacing w:val="-6"/>
          <w:sz w:val="32"/>
          <w:szCs w:val="32"/>
        </w:rPr>
        <w:t>四、问题及建议</w:t>
      </w:r>
      <w:bookmarkEnd w:id="155"/>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56" w:name="_Toc18691"/>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2年</w:t>
      </w:r>
      <w:r>
        <w:rPr>
          <w:rFonts w:hint="eastAsia" w:ascii="方正大标宋简体" w:hAnsi="??" w:eastAsia="方正大标宋简体" w:cs="Times New Roman"/>
          <w:b/>
          <w:color w:val="000000"/>
          <w:spacing w:val="-6"/>
          <w:kern w:val="0"/>
          <w:sz w:val="44"/>
          <w:szCs w:val="44"/>
        </w:rPr>
        <w:t>部门预算项目支出绩效自评报告</w:t>
      </w:r>
      <w:bookmarkEnd w:id="156"/>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省第十二次党代会期间信访安全保障工作经费</w:t>
      </w:r>
      <w:r>
        <w:rPr>
          <w:rFonts w:hint="eastAsia" w:ascii="仿宋_GB2312" w:hAnsi="宋体" w:eastAsia="仿宋_GB2312" w:cs="Times New Roman"/>
          <w:spacing w:val="-6"/>
          <w:sz w:val="32"/>
          <w:szCs w:val="32"/>
        </w:rPr>
        <w:t>项目）</w:t>
      </w:r>
    </w:p>
    <w:p>
      <w:pPr>
        <w:keepNext w:val="0"/>
        <w:keepLines w:val="0"/>
        <w:pageBreakBefore w:val="0"/>
        <w:numPr>
          <w:ilvl w:val="0"/>
          <w:numId w:val="9"/>
        </w:numPr>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57" w:name="_Toc17524"/>
      <w:r>
        <w:rPr>
          <w:rFonts w:hint="eastAsia" w:ascii="黑体" w:hAnsi="黑体" w:eastAsia="黑体" w:cs="Times New Roman"/>
          <w:spacing w:val="-6"/>
          <w:sz w:val="32"/>
          <w:szCs w:val="32"/>
        </w:rPr>
        <w:t>项目概况</w:t>
      </w:r>
      <w:bookmarkEnd w:id="157"/>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outlineLvl w:val="9"/>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按上级要求，我局抽派4人于5月20日起至省第十二次党代会结束，进驻成都驻守值班，以户籍地为准开展劝返接回、疏导稳控、应急处突等工作。同期，我局成立两个工作组，每个工作组由三人构成，每天前往各乡镇排查重点群体和重点人员情况，随时掌握动态，确保重点人员、重点群体稳控在当地，坚决杜绝脱管失控现象，确保会议期间不发生进京赴省到市上访、不发生大规模聚集、不发生信访极端事件和舆论炒作事件。</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w:t>
      </w:r>
      <w:r>
        <w:rPr>
          <w:rFonts w:hint="eastAsia" w:ascii="仿宋_GB2312" w:hAnsi="宋体" w:eastAsia="仿宋_GB2312" w:cs="Times New Roman"/>
          <w:spacing w:val="-6"/>
          <w:sz w:val="32"/>
          <w:szCs w:val="32"/>
          <w:lang w:eastAsia="zh-CN"/>
        </w:rPr>
        <w:t>省第十二次党代会期间信访安全保障工作经费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仿宋_GB2312" w:eastAsia="仿宋_GB2312" w:cs="仿宋_GB2312"/>
          <w:bCs/>
          <w:sz w:val="32"/>
          <w:szCs w:val="32"/>
          <w:lang w:val="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保障202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w:t>
      </w:r>
      <w:r>
        <w:rPr>
          <w:rFonts w:hint="eastAsia" w:ascii="仿宋_GB2312" w:hAnsi="宋体" w:eastAsia="仿宋_GB2312" w:cs="Times New Roman"/>
          <w:spacing w:val="-6"/>
          <w:sz w:val="32"/>
          <w:szCs w:val="32"/>
          <w:lang w:eastAsia="zh-CN"/>
        </w:rPr>
        <w:t>省第十二次党代会期间信访安全保障</w:t>
      </w:r>
      <w:r>
        <w:rPr>
          <w:rFonts w:hint="eastAsia" w:ascii="仿宋_GB2312" w:hAnsi="仿宋_GB2312" w:eastAsia="仿宋_GB2312" w:cs="仿宋_GB2312"/>
          <w:bCs/>
          <w:sz w:val="32"/>
          <w:szCs w:val="32"/>
          <w:lang w:val="zh-CN"/>
        </w:rPr>
        <w:t>工作有序开展，</w:t>
      </w:r>
      <w:r>
        <w:rPr>
          <w:rFonts w:hint="eastAsia" w:ascii="仿宋_GB2312" w:hAnsi="楷体" w:eastAsia="仿宋_GB2312"/>
          <w:sz w:val="32"/>
          <w:szCs w:val="32"/>
          <w:lang w:val="en-US" w:eastAsia="zh-CN"/>
        </w:rPr>
        <w:t>确保会议期间不发生进京赴省到市上访、不发生大规模聚集、不发生信访极端事件和舆论炒作事件。</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58" w:name="_Toc21973"/>
      <w:r>
        <w:rPr>
          <w:rFonts w:hint="eastAsia" w:ascii="黑体" w:hAnsi="黑体" w:eastAsia="黑体" w:cs="Times New Roman"/>
          <w:spacing w:val="-6"/>
          <w:sz w:val="32"/>
          <w:szCs w:val="32"/>
        </w:rPr>
        <w:t>二、项目实施及管理情况</w:t>
      </w:r>
      <w:bookmarkEnd w:id="158"/>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59" w:name="_Toc30278"/>
      <w:r>
        <w:rPr>
          <w:rFonts w:hint="eastAsia" w:ascii="楷体_GB2312" w:hAnsi="Times New Roman" w:eastAsia="楷体_GB2312" w:cs="Times New Roman"/>
          <w:bCs/>
          <w:spacing w:val="-6"/>
          <w:sz w:val="32"/>
          <w:szCs w:val="32"/>
        </w:rPr>
        <w:t>（一）资金计划、到位及使用情况</w:t>
      </w:r>
      <w:bookmarkEnd w:id="159"/>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宋体" w:eastAsia="仿宋_GB2312" w:cs="Times New Roman"/>
          <w:spacing w:val="-6"/>
          <w:sz w:val="32"/>
          <w:szCs w:val="32"/>
          <w:lang w:eastAsia="zh-CN"/>
        </w:rPr>
        <w:t>省第十二次党代会期间信访安全保障</w:t>
      </w:r>
      <w:r>
        <w:rPr>
          <w:rFonts w:hint="eastAsia" w:ascii="仿宋_GB2312" w:hAnsi="仿宋_GB2312" w:eastAsia="仿宋_GB2312" w:cs="仿宋_GB2312"/>
          <w:bCs/>
          <w:sz w:val="32"/>
          <w:szCs w:val="32"/>
          <w:lang w:val="zh-CN"/>
        </w:rPr>
        <w:t>工作</w:t>
      </w:r>
      <w:r>
        <w:rPr>
          <w:rFonts w:hint="eastAsia" w:ascii="仿宋_GB2312" w:hAnsi="Times New Roman" w:eastAsia="仿宋_GB2312" w:cs="Times New Roman"/>
          <w:spacing w:val="-6"/>
          <w:sz w:val="32"/>
          <w:szCs w:val="32"/>
          <w:lang w:val="zh-CN"/>
        </w:rPr>
        <w:t>经费</w:t>
      </w:r>
      <w:r>
        <w:rPr>
          <w:rFonts w:hint="eastAsia" w:ascii="仿宋_GB2312" w:hAnsi="Times New Roman" w:eastAsia="仿宋_GB2312" w:cs="Times New Roman"/>
          <w:spacing w:val="-6"/>
          <w:sz w:val="32"/>
          <w:szCs w:val="32"/>
          <w:lang w:val="en-US" w:eastAsia="zh-CN"/>
        </w:rPr>
        <w:t>5</w:t>
      </w:r>
      <w:r>
        <w:rPr>
          <w:rFonts w:hint="eastAsia" w:ascii="仿宋_GB2312" w:hAnsi="Times New Roman" w:eastAsia="仿宋_GB2312" w:cs="Times New Roman"/>
          <w:spacing w:val="-6"/>
          <w:sz w:val="32"/>
          <w:szCs w:val="32"/>
          <w:lang w:val="zh-CN"/>
        </w:rPr>
        <w:t>万元，资金全部到位及时，全部到位。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60" w:name="_Toc14376"/>
      <w:r>
        <w:rPr>
          <w:rFonts w:hint="eastAsia" w:ascii="楷体_GB2312" w:hAnsi="Times New Roman" w:eastAsia="楷体_GB2312" w:cs="Times New Roman"/>
          <w:bCs/>
          <w:spacing w:val="-6"/>
          <w:sz w:val="32"/>
          <w:szCs w:val="32"/>
        </w:rPr>
        <w:t>（二）项目财务管理情况</w:t>
      </w:r>
      <w:bookmarkEnd w:id="16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61" w:name="_Toc26130"/>
      <w:r>
        <w:rPr>
          <w:rFonts w:hint="eastAsia" w:ascii="楷体_GB2312" w:hAnsi="Times New Roman" w:eastAsia="楷体_GB2312" w:cs="Times New Roman"/>
          <w:bCs/>
          <w:spacing w:val="-6"/>
          <w:sz w:val="32"/>
          <w:szCs w:val="32"/>
        </w:rPr>
        <w:t>（三）项目组织实施情况</w:t>
      </w:r>
      <w:bookmarkEnd w:id="161"/>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w:t>
      </w:r>
      <w:r>
        <w:rPr>
          <w:rFonts w:hint="eastAsia" w:ascii="仿宋_GB2312" w:hAnsi="宋体" w:eastAsia="仿宋_GB2312" w:cs="Times New Roman"/>
          <w:spacing w:val="-6"/>
          <w:sz w:val="32"/>
          <w:szCs w:val="32"/>
          <w:lang w:eastAsia="zh-CN"/>
        </w:rPr>
        <w:t>省第十二次党代会期间信访安全保障</w:t>
      </w:r>
      <w:r>
        <w:rPr>
          <w:rFonts w:hint="eastAsia" w:ascii="仿宋_GB2312" w:hAnsi="仿宋_GB2312" w:eastAsia="仿宋_GB2312" w:cs="仿宋_GB2312"/>
          <w:sz w:val="32"/>
          <w:szCs w:val="32"/>
          <w:lang w:val="zh-CN" w:bidi="ar"/>
        </w:rPr>
        <w:t>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62" w:name="_Toc10772"/>
      <w:r>
        <w:rPr>
          <w:rFonts w:hint="eastAsia" w:ascii="黑体" w:hAnsi="黑体" w:eastAsia="黑体" w:cs="Times New Roman"/>
          <w:spacing w:val="-6"/>
          <w:sz w:val="32"/>
          <w:szCs w:val="32"/>
        </w:rPr>
        <w:t>三、项目绩效情况</w:t>
      </w:r>
      <w:bookmarkEnd w:id="162"/>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63" w:name="_Toc15226"/>
      <w:r>
        <w:rPr>
          <w:rFonts w:hint="eastAsia" w:ascii="楷体_GB2312" w:hAnsi="Times New Roman" w:eastAsia="楷体_GB2312" w:cs="Times New Roman"/>
          <w:bCs/>
          <w:spacing w:val="-6"/>
          <w:sz w:val="32"/>
          <w:szCs w:val="32"/>
        </w:rPr>
        <w:t>（一）项目完成情况</w:t>
      </w:r>
      <w:bookmarkEnd w:id="163"/>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outlineLvl w:val="9"/>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我局顺利完成</w:t>
      </w:r>
      <w:r>
        <w:rPr>
          <w:rFonts w:hint="eastAsia" w:ascii="仿宋_GB2312" w:hAnsi="宋体" w:eastAsia="仿宋_GB2312" w:cs="Times New Roman"/>
          <w:spacing w:val="-6"/>
          <w:sz w:val="32"/>
          <w:szCs w:val="32"/>
          <w:lang w:eastAsia="zh-CN"/>
        </w:rPr>
        <w:t>省第十二次党代会期间信访安全保障</w:t>
      </w:r>
      <w:r>
        <w:rPr>
          <w:rFonts w:hint="eastAsia" w:ascii="仿宋_GB2312" w:hAnsi="仿宋_GB2312" w:eastAsia="仿宋_GB2312" w:cs="仿宋_GB2312"/>
          <w:bCs/>
          <w:sz w:val="32"/>
          <w:szCs w:val="32"/>
          <w:lang w:val="zh-CN"/>
        </w:rPr>
        <w:t>工作</w:t>
      </w:r>
      <w:r>
        <w:rPr>
          <w:rFonts w:hint="eastAsia" w:ascii="仿宋_GB2312" w:hAnsi="仿宋_GB2312" w:eastAsia="仿宋_GB2312" w:cs="仿宋_GB2312"/>
          <w:sz w:val="32"/>
          <w:szCs w:val="32"/>
        </w:rPr>
        <w:t>，及时劝返</w:t>
      </w:r>
      <w:r>
        <w:rPr>
          <w:rFonts w:hint="eastAsia" w:ascii="仿宋_GB2312" w:hAnsi="仿宋_GB2312" w:eastAsia="仿宋_GB2312" w:cs="仿宋_GB2312"/>
          <w:sz w:val="32"/>
          <w:szCs w:val="32"/>
          <w:lang w:eastAsia="zh-CN"/>
        </w:rPr>
        <w:t>赴省</w:t>
      </w:r>
      <w:r>
        <w:rPr>
          <w:rFonts w:hint="eastAsia" w:ascii="仿宋_GB2312" w:hAnsi="仿宋_GB2312" w:eastAsia="仿宋_GB2312" w:cs="仿宋_GB2312"/>
          <w:sz w:val="32"/>
          <w:szCs w:val="32"/>
        </w:rPr>
        <w:t>上访人员，</w:t>
      </w:r>
      <w:r>
        <w:rPr>
          <w:rFonts w:hint="eastAsia" w:ascii="仿宋_GB2312" w:hAnsi="仿宋_GB2312" w:eastAsia="仿宋_GB2312" w:cs="仿宋_GB2312"/>
          <w:sz w:val="32"/>
          <w:szCs w:val="32"/>
          <w:lang w:eastAsia="zh-CN"/>
        </w:rPr>
        <w:t>将</w:t>
      </w:r>
      <w:r>
        <w:rPr>
          <w:rFonts w:hint="eastAsia" w:ascii="仿宋_GB2312" w:hAnsi="楷体" w:eastAsia="仿宋_GB2312"/>
          <w:sz w:val="32"/>
          <w:szCs w:val="32"/>
          <w:lang w:val="en-US" w:eastAsia="zh-CN"/>
        </w:rPr>
        <w:t>重点人员、重点群体稳控在当地，未出现脱管失控现象，会议期间未发生进京赴省到市上访、未发生大规模聚集、信访极端事件和舆论炒作事件。</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64" w:name="_Toc23290"/>
      <w:r>
        <w:rPr>
          <w:rFonts w:hint="eastAsia" w:ascii="楷体_GB2312" w:hAnsi="Times New Roman" w:eastAsia="楷体_GB2312" w:cs="Times New Roman"/>
          <w:bCs/>
          <w:spacing w:val="-6"/>
          <w:sz w:val="32"/>
          <w:szCs w:val="32"/>
        </w:rPr>
        <w:t>（二）项目效益情况</w:t>
      </w:r>
      <w:bookmarkEnd w:id="164"/>
    </w:p>
    <w:p>
      <w:pPr>
        <w:pStyle w:val="46"/>
        <w:keepNext w:val="0"/>
        <w:keepLines w:val="0"/>
        <w:pageBreakBefore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1.社会效益。通过信访维稳工作的开展，有效维护了社会秩序，确保各项活动有序开展，有效维护了国家、社会和会稳定，提高了群众满意度。</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65" w:name="_Toc32150"/>
      <w:r>
        <w:rPr>
          <w:rFonts w:hint="eastAsia" w:ascii="黑体" w:hAnsi="黑体" w:eastAsia="黑体" w:cs="Times New Roman"/>
          <w:spacing w:val="-6"/>
          <w:sz w:val="32"/>
          <w:szCs w:val="32"/>
        </w:rPr>
        <w:t>四、问题及建议</w:t>
      </w:r>
      <w:bookmarkEnd w:id="165"/>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pStyle w:val="2"/>
        <w:ind w:left="0" w:leftChars="0" w:firstLine="0" w:firstLineChars="0"/>
        <w:rPr>
          <w:rFonts w:hint="eastAsia"/>
        </w:rPr>
      </w:pPr>
    </w:p>
    <w:p>
      <w:pPr>
        <w:rPr>
          <w:rFonts w:hint="eastAsia"/>
        </w:rPr>
      </w:pPr>
    </w:p>
    <w:p>
      <w:pPr>
        <w:pStyle w:val="16"/>
        <w:outlineLvl w:val="9"/>
        <w:rPr>
          <w:rFonts w:hint="eastAsia"/>
        </w:rPr>
      </w:pPr>
    </w:p>
    <w:p>
      <w:pPr>
        <w:pStyle w:val="16"/>
        <w:outlineLvl w:val="9"/>
        <w:rPr>
          <w:rFonts w:hint="eastAsia"/>
        </w:rPr>
      </w:pPr>
    </w:p>
    <w:p>
      <w:pPr>
        <w:pStyle w:val="16"/>
        <w:outlineLvl w:val="9"/>
        <w:rPr>
          <w:rFonts w:hint="eastAsia"/>
        </w:rPr>
      </w:pPr>
    </w:p>
    <w:p>
      <w:pPr>
        <w:pStyle w:val="16"/>
        <w:jc w:val="both"/>
        <w:outlineLvl w:val="9"/>
        <w:rPr>
          <w:rFonts w:hint="eastAsia"/>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66" w:name="_Toc24029"/>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年部门预算项目支出绩效自评报告</w:t>
      </w:r>
      <w:bookmarkEnd w:id="166"/>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网上投诉平台运行</w:t>
      </w:r>
      <w:r>
        <w:rPr>
          <w:rFonts w:hint="eastAsia" w:ascii="仿宋_GB2312" w:hAnsi="宋体" w:eastAsia="仿宋_GB2312" w:cs="Times New Roman"/>
          <w:spacing w:val="-6"/>
          <w:sz w:val="32"/>
          <w:szCs w:val="32"/>
        </w:rPr>
        <w:t>项目）</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67" w:name="_Toc16996"/>
      <w:r>
        <w:rPr>
          <w:rFonts w:hint="eastAsia" w:ascii="黑体" w:hAnsi="黑体" w:eastAsia="黑体" w:cs="Times New Roman"/>
          <w:spacing w:val="-6"/>
          <w:sz w:val="32"/>
          <w:szCs w:val="32"/>
        </w:rPr>
        <w:t>一、项目概况</w:t>
      </w:r>
      <w:bookmarkEnd w:id="167"/>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上投诉受理平台是为贯彻落实省委办公厅、省政府办公厅《关于进一步加强网上信访工作的意见》工作部署，在全省范围内统一组织网上投诉平台的程序开发和应用，按照一对一点位，直连省级系统，具有独立的网上投诉平台开设信访网投栏目链接，与省信访局实现资源共享。网上投诉平台包含注册登录、网上投诉、实名认证、信件查询、满意度评价、政策宣传、通行公告、意见建议等功能，是为了与四川省网上信访信息系统互联互通，群众网上投诉后，受理平台通过数据推送程序，将案件数据推送至主系统的主数据库，然后再根据数据验证程序和数据解析程序，归集到网上投诉受理模块，自行流转到相应工作人员进行办理。同时，主系统再将办理信息反馈给各级的网上投诉受理平台，供信访群众查询进度和结果，开展满意度评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w:t>
      </w:r>
      <w:r>
        <w:rPr>
          <w:rFonts w:hint="eastAsia" w:ascii="仿宋_GB2312" w:hAnsi="宋体" w:eastAsia="仿宋_GB2312" w:cs="Times New Roman"/>
          <w:spacing w:val="-6"/>
          <w:sz w:val="32"/>
          <w:szCs w:val="32"/>
          <w:lang w:eastAsia="zh-CN"/>
        </w:rPr>
        <w:t>网上投诉平台运行</w:t>
      </w:r>
      <w:r>
        <w:rPr>
          <w:rFonts w:hint="eastAsia" w:ascii="仿宋_GB2312" w:hAnsi="宋体" w:eastAsia="仿宋_GB2312" w:cs="Times New Roman"/>
          <w:spacing w:val="-6"/>
          <w:sz w:val="32"/>
          <w:szCs w:val="32"/>
        </w:rPr>
        <w:t>项目</w:t>
      </w:r>
      <w:r>
        <w:rPr>
          <w:rFonts w:hint="eastAsia" w:ascii="仿宋_GB2312" w:hAnsi="仿宋_GB2312" w:eastAsia="仿宋_GB2312" w:cs="仿宋_GB2312"/>
          <w:sz w:val="32"/>
          <w:szCs w:val="32"/>
        </w:rPr>
        <w:t>经费预算</w:t>
      </w:r>
      <w:r>
        <w:rPr>
          <w:rFonts w:hint="eastAsia" w:ascii="仿宋_GB2312" w:hAnsi="仿宋_GB2312" w:eastAsia="仿宋_GB2312" w:cs="仿宋_GB2312"/>
          <w:sz w:val="32"/>
          <w:szCs w:val="32"/>
          <w:lang w:val="en-US" w:eastAsia="zh-CN"/>
        </w:rPr>
        <w:t>0.84</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bCs/>
          <w:sz w:val="32"/>
          <w:szCs w:val="32"/>
          <w:lang w:val="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年度网上信访投诉受理平台运行费是为了方便群众投诉渠道和规范信访工作办理而发生的网络维护费用支出，确保信访群众的诉求及时送达，并及时受理，按时完成回复，提高社会安定和谐，人民群众满意度。</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lang w:val="zh-CN"/>
        </w:rPr>
        <w:t>202</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lang w:val="zh-CN"/>
        </w:rPr>
        <w:t>年度网上投诉受理平台运行费是为了方便群众投诉渠道和规范信访工作办理而发生的网络维护费用支出，项目申报内容与实际相符，申报目标合理可行。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68" w:name="_Toc11176"/>
      <w:r>
        <w:rPr>
          <w:rFonts w:hint="eastAsia" w:ascii="黑体" w:hAnsi="黑体" w:eastAsia="黑体" w:cs="Times New Roman"/>
          <w:spacing w:val="-6"/>
          <w:sz w:val="32"/>
          <w:szCs w:val="32"/>
        </w:rPr>
        <w:t>二、项目实施及管理情况</w:t>
      </w:r>
      <w:bookmarkEnd w:id="168"/>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69" w:name="_Toc30336"/>
      <w:r>
        <w:rPr>
          <w:rFonts w:hint="eastAsia" w:ascii="楷体_GB2312" w:hAnsi="Times New Roman" w:eastAsia="楷体_GB2312" w:cs="Times New Roman"/>
          <w:bCs/>
          <w:spacing w:val="-6"/>
          <w:sz w:val="32"/>
          <w:szCs w:val="32"/>
        </w:rPr>
        <w:t>（一）资金计划、到位及使用情况</w:t>
      </w:r>
      <w:bookmarkEnd w:id="169"/>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rPr>
        <w:t>预算</w:t>
      </w:r>
      <w:r>
        <w:rPr>
          <w:rFonts w:hint="eastAsia" w:ascii="仿宋_GB2312" w:hAnsi="宋体" w:eastAsia="仿宋_GB2312" w:cs="Times New Roman"/>
          <w:spacing w:val="-6"/>
          <w:sz w:val="32"/>
          <w:szCs w:val="32"/>
          <w:lang w:eastAsia="zh-CN"/>
        </w:rPr>
        <w:t>网上投诉平台运行</w:t>
      </w:r>
      <w:r>
        <w:rPr>
          <w:rFonts w:hint="eastAsia" w:ascii="仿宋_GB2312" w:hAnsi="Times New Roman" w:eastAsia="仿宋_GB2312" w:cs="Times New Roman"/>
          <w:spacing w:val="-6"/>
          <w:sz w:val="32"/>
          <w:szCs w:val="32"/>
          <w:lang w:eastAsia="zh-CN"/>
        </w:rPr>
        <w:t>费</w:t>
      </w:r>
      <w:r>
        <w:rPr>
          <w:rFonts w:hint="eastAsia" w:ascii="仿宋_GB2312" w:hAnsi="Times New Roman" w:eastAsia="仿宋_GB2312" w:cs="Times New Roman"/>
          <w:spacing w:val="-6"/>
          <w:sz w:val="32"/>
          <w:szCs w:val="32"/>
          <w:lang w:val="en-US" w:eastAsia="zh-CN"/>
        </w:rPr>
        <w:t>0.84</w:t>
      </w:r>
      <w:r>
        <w:rPr>
          <w:rFonts w:hint="eastAsia" w:ascii="仿宋_GB2312" w:hAnsi="Times New Roman" w:eastAsia="仿宋_GB2312" w:cs="Times New Roman"/>
          <w:spacing w:val="-6"/>
          <w:sz w:val="32"/>
          <w:szCs w:val="32"/>
          <w:lang w:val="zh-CN"/>
        </w:rPr>
        <w:t>万元。资金到位及时，全部到位。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70" w:name="_Toc24698"/>
      <w:r>
        <w:rPr>
          <w:rFonts w:hint="eastAsia" w:ascii="楷体_GB2312" w:hAnsi="Times New Roman" w:eastAsia="楷体_GB2312" w:cs="Times New Roman"/>
          <w:bCs/>
          <w:spacing w:val="-6"/>
          <w:sz w:val="32"/>
          <w:szCs w:val="32"/>
        </w:rPr>
        <w:t>（二）项目财务管理情况</w:t>
      </w:r>
      <w:bookmarkEnd w:id="17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71" w:name="_Toc26553"/>
      <w:r>
        <w:rPr>
          <w:rFonts w:hint="eastAsia" w:ascii="楷体_GB2312" w:hAnsi="Times New Roman" w:eastAsia="楷体_GB2312" w:cs="Times New Roman"/>
          <w:bCs/>
          <w:spacing w:val="-6"/>
          <w:sz w:val="32"/>
          <w:szCs w:val="32"/>
        </w:rPr>
        <w:t>（三）项目组织实施情况</w:t>
      </w:r>
      <w:bookmarkEnd w:id="171"/>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w:t>
      </w:r>
      <w:r>
        <w:rPr>
          <w:rFonts w:hint="eastAsia" w:ascii="仿宋_GB2312" w:hAnsi="仿宋_GB2312" w:eastAsia="仿宋_GB2312" w:cs="仿宋_GB2312"/>
          <w:sz w:val="32"/>
          <w:szCs w:val="32"/>
          <w:lang w:eastAsia="zh-CN"/>
        </w:rPr>
        <w:t>网上投诉平台运行</w:t>
      </w:r>
      <w:r>
        <w:rPr>
          <w:rFonts w:hint="eastAsia" w:ascii="仿宋_GB2312" w:hAnsi="仿宋_GB2312" w:eastAsia="仿宋_GB2312" w:cs="仿宋_GB2312"/>
          <w:sz w:val="32"/>
          <w:szCs w:val="32"/>
          <w:lang w:val="zh-CN" w:bidi="ar"/>
        </w:rPr>
        <w:t>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72" w:name="_Toc21608"/>
      <w:r>
        <w:rPr>
          <w:rFonts w:hint="eastAsia" w:ascii="黑体" w:hAnsi="黑体" w:eastAsia="黑体" w:cs="Times New Roman"/>
          <w:spacing w:val="-6"/>
          <w:sz w:val="32"/>
          <w:szCs w:val="32"/>
        </w:rPr>
        <w:t>三、项目绩效情况</w:t>
      </w:r>
      <w:bookmarkEnd w:id="172"/>
      <w:r>
        <w:rPr>
          <w:rFonts w:hint="eastAsia" w:ascii="黑体" w:hAnsi="黑体" w:eastAsia="黑体" w:cs="Times New Roman"/>
          <w:spacing w:val="-6"/>
          <w:sz w:val="32"/>
          <w:szCs w:val="32"/>
        </w:rPr>
        <w:tab/>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73" w:name="_Toc20805"/>
      <w:r>
        <w:rPr>
          <w:rFonts w:hint="eastAsia" w:ascii="楷体_GB2312" w:hAnsi="Times New Roman" w:eastAsia="楷体_GB2312" w:cs="Times New Roman"/>
          <w:bCs/>
          <w:spacing w:val="-6"/>
          <w:sz w:val="32"/>
          <w:szCs w:val="32"/>
        </w:rPr>
        <w:t>（一）项目完成情况</w:t>
      </w:r>
      <w:bookmarkEnd w:id="173"/>
    </w:p>
    <w:p>
      <w:pPr>
        <w:pStyle w:val="6"/>
        <w:keepNext w:val="0"/>
        <w:keepLines w:val="0"/>
        <w:pageBreakBefore w:val="0"/>
        <w:widowControl w:val="0"/>
        <w:kinsoku/>
        <w:wordWrap/>
        <w:overflowPunct/>
        <w:topLinePunct w:val="0"/>
        <w:autoSpaceDN/>
        <w:bidi w:val="0"/>
        <w:spacing w:after="0" w:afterLines="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年网上投诉平台运行正常，未出现故障，平台主页年点击量超过1万人次，信访群众的诉求均及时送达，并及时处理完成回复，信访群众满意度达到9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74" w:name="_Toc29539"/>
      <w:r>
        <w:rPr>
          <w:rFonts w:hint="eastAsia" w:ascii="楷体_GB2312" w:hAnsi="Times New Roman" w:eastAsia="楷体_GB2312" w:cs="Times New Roman"/>
          <w:bCs/>
          <w:spacing w:val="-6"/>
          <w:sz w:val="32"/>
          <w:szCs w:val="32"/>
        </w:rPr>
        <w:t>（二）项目效益情况</w:t>
      </w:r>
      <w:bookmarkEnd w:id="174"/>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rPr>
        <w:t>1.社会效益。</w:t>
      </w:r>
      <w:r>
        <w:rPr>
          <w:rFonts w:hint="eastAsia" w:ascii="仿宋_GB2312" w:hAnsi="仿宋_GB2312" w:eastAsia="仿宋_GB2312" w:cs="仿宋_GB2312"/>
          <w:kern w:val="2"/>
          <w:sz w:val="32"/>
          <w:lang w:eastAsia="zh-CN"/>
        </w:rPr>
        <w:t>保障信访信息系统网络通畅，运行正常，系统服务器运行无故障率达到</w:t>
      </w:r>
      <w:r>
        <w:rPr>
          <w:rFonts w:hint="eastAsia" w:ascii="仿宋_GB2312" w:hAnsi="仿宋_GB2312" w:eastAsia="仿宋_GB2312" w:cs="仿宋_GB2312"/>
          <w:kern w:val="2"/>
          <w:sz w:val="32"/>
          <w:lang w:val="en-US" w:eastAsia="zh-CN"/>
        </w:rPr>
        <w:t>100%。</w:t>
      </w:r>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2.数量指标方面。年底完成系统数据准确率达100%。</w:t>
      </w:r>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3.实效指标方面。年底全面完成率达100%</w:t>
      </w:r>
    </w:p>
    <w:p>
      <w:pPr>
        <w:pStyle w:val="46"/>
        <w:keepNext w:val="0"/>
        <w:keepLines w:val="0"/>
        <w:pageBreakBefore w:val="0"/>
        <w:widowControl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default"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4.服务对象满意度方面。信访群众满意率达98%。</w:t>
      </w:r>
    </w:p>
    <w:p>
      <w:pPr>
        <w:keepNext w:val="0"/>
        <w:keepLines w:val="0"/>
        <w:pageBreakBefore w:val="0"/>
        <w:widowControl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75" w:name="_Toc24223"/>
      <w:r>
        <w:rPr>
          <w:rFonts w:hint="eastAsia" w:ascii="黑体" w:hAnsi="黑体" w:eastAsia="黑体" w:cs="Times New Roman"/>
          <w:spacing w:val="-6"/>
          <w:sz w:val="32"/>
          <w:szCs w:val="32"/>
        </w:rPr>
        <w:t>四、问题及建议</w:t>
      </w:r>
      <w:bookmarkEnd w:id="175"/>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keepNext w:val="0"/>
        <w:keepLines w:val="0"/>
        <w:pageBreakBefore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bidi="ar"/>
        </w:rPr>
      </w:pPr>
    </w:p>
    <w:p>
      <w:pPr>
        <w:pStyle w:val="16"/>
        <w:jc w:val="both"/>
        <w:outlineLvl w:val="9"/>
        <w:rPr>
          <w:rFonts w:hint="eastAsia"/>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76" w:name="_Toc5399"/>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2年</w:t>
      </w:r>
      <w:r>
        <w:rPr>
          <w:rFonts w:hint="eastAsia" w:ascii="方正大标宋简体" w:hAnsi="??" w:eastAsia="方正大标宋简体" w:cs="Times New Roman"/>
          <w:b/>
          <w:color w:val="000000"/>
          <w:spacing w:val="-6"/>
          <w:kern w:val="0"/>
          <w:sz w:val="44"/>
          <w:szCs w:val="44"/>
        </w:rPr>
        <w:t>部门预算项目支出绩效自评报告</w:t>
      </w:r>
      <w:bookmarkEnd w:id="176"/>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信访维稳工作经费</w:t>
      </w:r>
      <w:r>
        <w:rPr>
          <w:rFonts w:hint="eastAsia" w:ascii="仿宋_GB2312" w:hAnsi="宋体" w:eastAsia="仿宋_GB2312" w:cs="Times New Roman"/>
          <w:spacing w:val="-6"/>
          <w:sz w:val="32"/>
          <w:szCs w:val="32"/>
        </w:rPr>
        <w:t>项目）</w:t>
      </w:r>
    </w:p>
    <w:p>
      <w:pPr>
        <w:keepNext w:val="0"/>
        <w:keepLines w:val="0"/>
        <w:pageBreakBefore w:val="0"/>
        <w:numPr>
          <w:ilvl w:val="0"/>
          <w:numId w:val="9"/>
        </w:numPr>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77" w:name="_Toc601"/>
      <w:r>
        <w:rPr>
          <w:rFonts w:hint="eastAsia" w:ascii="黑体" w:hAnsi="黑体" w:eastAsia="黑体" w:cs="Times New Roman"/>
          <w:spacing w:val="-6"/>
          <w:sz w:val="32"/>
          <w:szCs w:val="32"/>
        </w:rPr>
        <w:t>项目概况</w:t>
      </w:r>
      <w:bookmarkEnd w:id="177"/>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outlineLvl w:val="9"/>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全国全省全市“两会”意义重大，北京冬奥会、冬残奥会是展示国家形象、促进国家发展、振奋民族精神的重要契机，做好全国全省全市“两会”和北京冬奥会冬残奥会期间信访安全保障是一项重要的政治任务。我局作为维护稳定的“第一道防线”，担负统筹协调全区各级各部门全力做好信访维稳工作任务，根据省市相关文件要求，精心组织安排，抽派政治素质高、业务能力强的干部组成工作组，到北京、成都、广元开展信访维稳工作。</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w:t>
      </w:r>
      <w:r>
        <w:rPr>
          <w:rFonts w:hint="eastAsia" w:ascii="仿宋_GB2312" w:hAnsi="宋体" w:eastAsia="仿宋_GB2312" w:cs="Times New Roman"/>
          <w:spacing w:val="-6"/>
          <w:sz w:val="32"/>
          <w:szCs w:val="32"/>
          <w:lang w:eastAsia="zh-CN"/>
        </w:rPr>
        <w:t>信访维稳工作经费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万元，按程序进行申报，资金及时批复到位，申报程序符合资金管理办法相关规定。</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firstLine="616" w:firstLineChars="200"/>
        <w:jc w:val="left"/>
        <w:textAlignment w:val="auto"/>
        <w:outlineLvl w:val="9"/>
        <w:rPr>
          <w:rFonts w:hint="default" w:ascii="仿宋_GB2312" w:hAnsi="楷体" w:eastAsia="仿宋_GB2312"/>
          <w:sz w:val="32"/>
          <w:szCs w:val="32"/>
          <w:lang w:val="en-US" w:eastAsia="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保障202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w:t>
      </w:r>
      <w:r>
        <w:rPr>
          <w:rFonts w:hint="eastAsia" w:ascii="仿宋_GB2312" w:hAnsi="宋体" w:eastAsia="仿宋_GB2312" w:cs="Times New Roman"/>
          <w:spacing w:val="-6"/>
          <w:sz w:val="32"/>
          <w:szCs w:val="32"/>
          <w:lang w:eastAsia="zh-CN"/>
        </w:rPr>
        <w:t>信访维稳</w:t>
      </w:r>
      <w:r>
        <w:rPr>
          <w:rFonts w:hint="eastAsia" w:ascii="仿宋_GB2312" w:hAnsi="仿宋_GB2312" w:eastAsia="仿宋_GB2312" w:cs="仿宋_GB2312"/>
          <w:bCs/>
          <w:sz w:val="32"/>
          <w:szCs w:val="32"/>
          <w:lang w:val="zh-CN"/>
        </w:rPr>
        <w:t>工作有序开展，</w:t>
      </w:r>
      <w:r>
        <w:rPr>
          <w:rFonts w:hint="eastAsia" w:ascii="仿宋_GB2312" w:hAnsi="楷体" w:eastAsia="仿宋_GB2312"/>
          <w:sz w:val="32"/>
          <w:szCs w:val="32"/>
          <w:lang w:val="en-US" w:eastAsia="zh-CN"/>
        </w:rPr>
        <w:t>确保活动、会议期间不发生大规模聚集、信访极端事件和舆论炒作事件，实现零进京、零到省、零到市的“三零”目标。</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78" w:name="_Toc23811"/>
      <w:r>
        <w:rPr>
          <w:rFonts w:hint="eastAsia" w:ascii="黑体" w:hAnsi="黑体" w:eastAsia="黑体" w:cs="Times New Roman"/>
          <w:spacing w:val="-6"/>
          <w:sz w:val="32"/>
          <w:szCs w:val="32"/>
        </w:rPr>
        <w:t>二、项目实施及管理情况</w:t>
      </w:r>
      <w:bookmarkEnd w:id="178"/>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79" w:name="_Toc10338"/>
      <w:r>
        <w:rPr>
          <w:rFonts w:hint="eastAsia" w:ascii="楷体_GB2312" w:hAnsi="Times New Roman" w:eastAsia="楷体_GB2312" w:cs="Times New Roman"/>
          <w:bCs/>
          <w:spacing w:val="-6"/>
          <w:sz w:val="32"/>
          <w:szCs w:val="32"/>
        </w:rPr>
        <w:t>（一）资金计划、到位及使用情况</w:t>
      </w:r>
      <w:bookmarkEnd w:id="179"/>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宋体" w:eastAsia="仿宋_GB2312" w:cs="Times New Roman"/>
          <w:spacing w:val="-6"/>
          <w:sz w:val="32"/>
          <w:szCs w:val="32"/>
          <w:lang w:eastAsia="zh-CN"/>
        </w:rPr>
        <w:t>信访维稳工作</w:t>
      </w:r>
      <w:r>
        <w:rPr>
          <w:rFonts w:hint="eastAsia" w:ascii="仿宋_GB2312" w:hAnsi="Times New Roman" w:eastAsia="仿宋_GB2312" w:cs="Times New Roman"/>
          <w:spacing w:val="-6"/>
          <w:sz w:val="32"/>
          <w:szCs w:val="32"/>
          <w:lang w:val="zh-CN"/>
        </w:rPr>
        <w:t>经费</w:t>
      </w:r>
      <w:r>
        <w:rPr>
          <w:rFonts w:hint="eastAsia" w:ascii="仿宋_GB2312" w:hAnsi="Times New Roman" w:eastAsia="仿宋_GB2312" w:cs="Times New Roman"/>
          <w:spacing w:val="-6"/>
          <w:sz w:val="32"/>
          <w:szCs w:val="32"/>
          <w:lang w:val="en-US" w:eastAsia="zh-CN"/>
        </w:rPr>
        <w:t>20</w:t>
      </w:r>
      <w:r>
        <w:rPr>
          <w:rFonts w:hint="eastAsia" w:ascii="仿宋_GB2312" w:hAnsi="Times New Roman" w:eastAsia="仿宋_GB2312" w:cs="Times New Roman"/>
          <w:spacing w:val="-6"/>
          <w:sz w:val="32"/>
          <w:szCs w:val="32"/>
          <w:lang w:val="zh-CN"/>
        </w:rPr>
        <w:t>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80" w:name="_Toc11295"/>
      <w:r>
        <w:rPr>
          <w:rFonts w:hint="eastAsia" w:ascii="楷体_GB2312" w:hAnsi="Times New Roman" w:eastAsia="楷体_GB2312" w:cs="Times New Roman"/>
          <w:bCs/>
          <w:spacing w:val="-6"/>
          <w:sz w:val="32"/>
          <w:szCs w:val="32"/>
        </w:rPr>
        <w:t>（二）项目财务管理情况</w:t>
      </w:r>
      <w:bookmarkEnd w:id="18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81" w:name="_Toc18317"/>
      <w:r>
        <w:rPr>
          <w:rFonts w:hint="eastAsia" w:ascii="楷体_GB2312" w:hAnsi="Times New Roman" w:eastAsia="楷体_GB2312" w:cs="Times New Roman"/>
          <w:bCs/>
          <w:spacing w:val="-6"/>
          <w:sz w:val="32"/>
          <w:szCs w:val="32"/>
        </w:rPr>
        <w:t>（三）项目组织实施情况</w:t>
      </w:r>
      <w:bookmarkEnd w:id="181"/>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w:t>
      </w:r>
      <w:r>
        <w:rPr>
          <w:rFonts w:hint="eastAsia" w:ascii="仿宋_GB2312" w:hAnsi="宋体" w:eastAsia="仿宋_GB2312" w:cs="Times New Roman"/>
          <w:spacing w:val="-6"/>
          <w:sz w:val="32"/>
          <w:szCs w:val="32"/>
          <w:lang w:eastAsia="zh-CN"/>
        </w:rPr>
        <w:t>信访维稳工作</w:t>
      </w:r>
      <w:r>
        <w:rPr>
          <w:rFonts w:hint="eastAsia" w:ascii="仿宋_GB2312" w:hAnsi="仿宋_GB2312" w:eastAsia="仿宋_GB2312" w:cs="仿宋_GB2312"/>
          <w:sz w:val="32"/>
          <w:szCs w:val="32"/>
          <w:lang w:val="zh-CN" w:bidi="ar"/>
        </w:rPr>
        <w:t>，实行专款专用，资金使用合规，支出依据规范，无虚列支出，无截留、挤占、挪用现象。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82" w:name="_Toc14527"/>
      <w:r>
        <w:rPr>
          <w:rFonts w:hint="eastAsia" w:ascii="黑体" w:hAnsi="黑体" w:eastAsia="黑体" w:cs="Times New Roman"/>
          <w:spacing w:val="-6"/>
          <w:sz w:val="32"/>
          <w:szCs w:val="32"/>
        </w:rPr>
        <w:t>三、项目绩效情况</w:t>
      </w:r>
      <w:bookmarkEnd w:id="182"/>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83" w:name="_Toc13416"/>
      <w:r>
        <w:rPr>
          <w:rFonts w:hint="eastAsia" w:ascii="楷体_GB2312" w:hAnsi="Times New Roman" w:eastAsia="楷体_GB2312" w:cs="Times New Roman"/>
          <w:bCs/>
          <w:spacing w:val="-6"/>
          <w:sz w:val="32"/>
          <w:szCs w:val="32"/>
        </w:rPr>
        <w:t>（一）项目完成情况</w:t>
      </w:r>
      <w:bookmarkEnd w:id="183"/>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outlineLvl w:val="9"/>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我局顺利完成</w:t>
      </w:r>
      <w:r>
        <w:rPr>
          <w:rFonts w:hint="eastAsia" w:ascii="仿宋_GB2312" w:hAnsi="楷体" w:eastAsia="仿宋_GB2312"/>
          <w:sz w:val="32"/>
          <w:szCs w:val="32"/>
          <w:lang w:val="en-US" w:eastAsia="zh-CN"/>
        </w:rPr>
        <w:t>全国全省全市“两会”、北京冬奥会、冬残奥会</w:t>
      </w:r>
      <w:r>
        <w:rPr>
          <w:rFonts w:hint="eastAsia" w:ascii="仿宋_GB2312" w:hAnsi="宋体" w:eastAsia="仿宋_GB2312" w:cs="Times New Roman"/>
          <w:spacing w:val="-6"/>
          <w:sz w:val="32"/>
          <w:szCs w:val="32"/>
          <w:lang w:eastAsia="zh-CN"/>
        </w:rPr>
        <w:t>期间信访安全保障</w:t>
      </w:r>
      <w:r>
        <w:rPr>
          <w:rFonts w:hint="eastAsia" w:ascii="仿宋_GB2312" w:hAnsi="仿宋_GB2312" w:eastAsia="仿宋_GB2312" w:cs="仿宋_GB2312"/>
          <w:bCs/>
          <w:sz w:val="32"/>
          <w:szCs w:val="32"/>
          <w:lang w:val="zh-CN"/>
        </w:rPr>
        <w:t>工作</w:t>
      </w:r>
      <w:r>
        <w:rPr>
          <w:rFonts w:hint="eastAsia" w:ascii="仿宋_GB2312" w:hAnsi="仿宋_GB2312" w:eastAsia="仿宋_GB2312" w:cs="仿宋_GB2312"/>
          <w:sz w:val="32"/>
          <w:szCs w:val="32"/>
        </w:rPr>
        <w:t>，及时劝返</w:t>
      </w:r>
      <w:r>
        <w:rPr>
          <w:rFonts w:hint="eastAsia" w:ascii="仿宋_GB2312" w:hAnsi="仿宋_GB2312" w:eastAsia="仿宋_GB2312" w:cs="仿宋_GB2312"/>
          <w:sz w:val="32"/>
          <w:szCs w:val="32"/>
          <w:lang w:eastAsia="zh-CN"/>
        </w:rPr>
        <w:t>赴省</w:t>
      </w:r>
      <w:r>
        <w:rPr>
          <w:rFonts w:hint="eastAsia" w:ascii="仿宋_GB2312" w:hAnsi="仿宋_GB2312" w:eastAsia="仿宋_GB2312" w:cs="仿宋_GB2312"/>
          <w:sz w:val="32"/>
          <w:szCs w:val="32"/>
        </w:rPr>
        <w:t>上访人员，</w:t>
      </w:r>
      <w:r>
        <w:rPr>
          <w:rFonts w:hint="eastAsia" w:ascii="仿宋_GB2312" w:hAnsi="仿宋_GB2312" w:eastAsia="仿宋_GB2312" w:cs="仿宋_GB2312"/>
          <w:sz w:val="32"/>
          <w:szCs w:val="32"/>
          <w:lang w:eastAsia="zh-CN"/>
        </w:rPr>
        <w:t>将</w:t>
      </w:r>
      <w:r>
        <w:rPr>
          <w:rFonts w:hint="eastAsia" w:ascii="仿宋_GB2312" w:hAnsi="楷体" w:eastAsia="仿宋_GB2312"/>
          <w:sz w:val="32"/>
          <w:szCs w:val="32"/>
          <w:lang w:val="en-US" w:eastAsia="zh-CN"/>
        </w:rPr>
        <w:t>重点人员、重点群体稳控在当地，未出现脱管失控现象，会议期间未发生进京赴省到市上访、未发生大规模聚集、信访极端事件和舆论炒作事件。</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84" w:name="_Toc18078"/>
      <w:r>
        <w:rPr>
          <w:rFonts w:hint="eastAsia" w:ascii="楷体_GB2312" w:hAnsi="Times New Roman" w:eastAsia="楷体_GB2312" w:cs="Times New Roman"/>
          <w:bCs/>
          <w:spacing w:val="-6"/>
          <w:sz w:val="32"/>
          <w:szCs w:val="32"/>
        </w:rPr>
        <w:t>（二）项目效益情况</w:t>
      </w:r>
      <w:bookmarkEnd w:id="184"/>
    </w:p>
    <w:p>
      <w:pPr>
        <w:pStyle w:val="46"/>
        <w:keepNext w:val="0"/>
        <w:keepLines w:val="0"/>
        <w:pageBreakBefore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1.社会效益。通过信访维稳工作的开展，有效维护了社会秩序，确保各项活动有序开展，有效维护了国家、社会和会稳定，提高了群众满意度。</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85" w:name="_Toc26523"/>
      <w:r>
        <w:rPr>
          <w:rFonts w:hint="eastAsia" w:ascii="黑体" w:hAnsi="黑体" w:eastAsia="黑体" w:cs="Times New Roman"/>
          <w:spacing w:val="-6"/>
          <w:sz w:val="32"/>
          <w:szCs w:val="32"/>
        </w:rPr>
        <w:t>四、问题及建议</w:t>
      </w:r>
      <w:bookmarkEnd w:id="185"/>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86" w:name="_Toc2101"/>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2年</w:t>
      </w:r>
      <w:r>
        <w:rPr>
          <w:rFonts w:hint="eastAsia" w:ascii="方正大标宋简体" w:hAnsi="??" w:eastAsia="方正大标宋简体" w:cs="Times New Roman"/>
          <w:b/>
          <w:color w:val="000000"/>
          <w:spacing w:val="-6"/>
          <w:kern w:val="0"/>
          <w:sz w:val="44"/>
          <w:szCs w:val="44"/>
        </w:rPr>
        <w:t>部门预算项目支出绩效自评报告</w:t>
      </w:r>
      <w:bookmarkEnd w:id="186"/>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驻京轮流值班</w:t>
      </w:r>
      <w:r>
        <w:rPr>
          <w:rFonts w:hint="eastAsia" w:ascii="仿宋_GB2312" w:hAnsi="宋体" w:eastAsia="仿宋_GB2312" w:cs="Times New Roman"/>
          <w:spacing w:val="-6"/>
          <w:sz w:val="32"/>
          <w:szCs w:val="32"/>
        </w:rPr>
        <w:t>项目）</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87" w:name="_Toc15463"/>
      <w:r>
        <w:rPr>
          <w:rFonts w:hint="eastAsia" w:ascii="黑体" w:hAnsi="黑体" w:eastAsia="黑体" w:cs="Times New Roman"/>
          <w:spacing w:val="-6"/>
          <w:sz w:val="32"/>
          <w:szCs w:val="32"/>
        </w:rPr>
        <w:t>一、项目概况</w:t>
      </w:r>
      <w:bookmarkEnd w:id="187"/>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驻京</w:t>
      </w:r>
      <w:r>
        <w:rPr>
          <w:rFonts w:hint="eastAsia" w:ascii="仿宋_GB2312" w:hAnsi="仿宋_GB2312" w:eastAsia="仿宋_GB2312" w:cs="仿宋_GB2312"/>
          <w:sz w:val="32"/>
          <w:szCs w:val="32"/>
          <w:lang w:eastAsia="zh-CN"/>
        </w:rPr>
        <w:t>轮流值班</w:t>
      </w:r>
      <w:r>
        <w:rPr>
          <w:rFonts w:hint="eastAsia" w:ascii="仿宋_GB2312" w:hAnsi="仿宋_GB2312" w:eastAsia="仿宋_GB2312" w:cs="仿宋_GB2312"/>
          <w:sz w:val="32"/>
          <w:szCs w:val="32"/>
        </w:rPr>
        <w:t>工作经费主要负责组织协调我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日常驻京信访工作；负责组织协调我区群众进京到非接待场所上访处置工作；负责群众进京走访涉及的日常管理工作等</w:t>
      </w:r>
      <w:r>
        <w:rPr>
          <w:rFonts w:hint="default"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年度财政下达我局驻京轮流值班项目经费预算</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仿宋_GB2312" w:eastAsia="仿宋_GB2312" w:cs="仿宋_GB2312"/>
          <w:bCs/>
          <w:sz w:val="32"/>
          <w:szCs w:val="32"/>
          <w:lang w:val="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保障202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年度驻京信访轮流值班工作有序开展，值班期间广元市各项信访维稳工作有序开展，不出现极端信访事件和负面舆情炒作。</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88" w:name="_Toc15301"/>
      <w:r>
        <w:rPr>
          <w:rFonts w:hint="eastAsia" w:ascii="黑体" w:hAnsi="黑体" w:eastAsia="黑体" w:cs="Times New Roman"/>
          <w:spacing w:val="-6"/>
          <w:sz w:val="32"/>
          <w:szCs w:val="32"/>
        </w:rPr>
        <w:t>二、项目实施及管理情况</w:t>
      </w:r>
      <w:bookmarkEnd w:id="188"/>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89" w:name="_Toc4095"/>
      <w:r>
        <w:rPr>
          <w:rFonts w:hint="eastAsia" w:ascii="楷体_GB2312" w:hAnsi="Times New Roman" w:eastAsia="楷体_GB2312" w:cs="Times New Roman"/>
          <w:bCs/>
          <w:spacing w:val="-6"/>
          <w:sz w:val="32"/>
          <w:szCs w:val="32"/>
        </w:rPr>
        <w:t>（一）资金计划、到位及使用情况</w:t>
      </w:r>
      <w:bookmarkEnd w:id="189"/>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rPr>
        <w:t>驻京轮流值班经费1</w:t>
      </w: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lang w:val="zh-CN"/>
        </w:rPr>
        <w:t>万元，资金全部到位及时，全部到位。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90" w:name="_Toc27073"/>
      <w:r>
        <w:rPr>
          <w:rFonts w:hint="eastAsia" w:ascii="楷体_GB2312" w:hAnsi="Times New Roman" w:eastAsia="楷体_GB2312" w:cs="Times New Roman"/>
          <w:bCs/>
          <w:spacing w:val="-6"/>
          <w:sz w:val="32"/>
          <w:szCs w:val="32"/>
        </w:rPr>
        <w:t>（二）项目财务管理情况</w:t>
      </w:r>
      <w:bookmarkEnd w:id="19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91" w:name="_Toc12501"/>
      <w:r>
        <w:rPr>
          <w:rFonts w:hint="eastAsia" w:ascii="楷体_GB2312" w:hAnsi="Times New Roman" w:eastAsia="楷体_GB2312" w:cs="Times New Roman"/>
          <w:bCs/>
          <w:spacing w:val="-6"/>
          <w:sz w:val="32"/>
          <w:szCs w:val="32"/>
        </w:rPr>
        <w:t>（三）项目组织实施情况</w:t>
      </w:r>
      <w:bookmarkEnd w:id="191"/>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本项目资金仅限于驻京轮流值班工作，实行专款专用，资金使用合规，支出依据规范，无虚列支出，无截留、挤占、挪用现象。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92" w:name="_Toc6014"/>
      <w:r>
        <w:rPr>
          <w:rFonts w:hint="eastAsia" w:ascii="黑体" w:hAnsi="黑体" w:eastAsia="黑体" w:cs="Times New Roman"/>
          <w:spacing w:val="-6"/>
          <w:sz w:val="32"/>
          <w:szCs w:val="32"/>
        </w:rPr>
        <w:t>三、项目绩效情况</w:t>
      </w:r>
      <w:bookmarkEnd w:id="192"/>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93" w:name="_Toc17673"/>
      <w:r>
        <w:rPr>
          <w:rFonts w:hint="eastAsia" w:ascii="楷体_GB2312" w:hAnsi="Times New Roman" w:eastAsia="楷体_GB2312" w:cs="Times New Roman"/>
          <w:bCs/>
          <w:spacing w:val="-6"/>
          <w:sz w:val="32"/>
          <w:szCs w:val="32"/>
        </w:rPr>
        <w:t>（一）项目完成情况</w:t>
      </w:r>
      <w:bookmarkEnd w:id="193"/>
    </w:p>
    <w:p>
      <w:pPr>
        <w:pStyle w:val="6"/>
        <w:keepNext w:val="0"/>
        <w:keepLines w:val="0"/>
        <w:pageBreakBefore w:val="0"/>
        <w:kinsoku/>
        <w:wordWrap/>
        <w:overflowPunct/>
        <w:topLinePunct w:val="0"/>
        <w:autoSpaceDN/>
        <w:bidi w:val="0"/>
        <w:spacing w:after="0" w:afterLines="0" w:line="576" w:lineRule="exact"/>
        <w:ind w:firstLine="640" w:firstLineChars="200"/>
        <w:textAlignment w:val="auto"/>
        <w:rPr>
          <w:rFonts w:eastAsia="仿宋_GB2312"/>
        </w:rPr>
      </w:pPr>
      <w:r>
        <w:rPr>
          <w:rFonts w:hint="eastAsia" w:ascii="仿宋_GB2312" w:hAnsi="仿宋_GB2312" w:eastAsia="仿宋_GB2312" w:cs="仿宋_GB2312"/>
          <w:sz w:val="32"/>
          <w:szCs w:val="32"/>
        </w:rPr>
        <w:t>我局顺利完成驻京轮流值班工作，及时劝返进京上访人员，</w:t>
      </w:r>
      <w:r>
        <w:rPr>
          <w:rFonts w:hint="eastAsia" w:ascii="仿宋_GB2312" w:hAnsi="仿宋_GB2312" w:eastAsia="仿宋_GB2312" w:cs="仿宋_GB2312"/>
          <w:bCs/>
          <w:sz w:val="32"/>
          <w:szCs w:val="32"/>
          <w:lang w:val="zh-CN"/>
        </w:rPr>
        <w:t>值班期间广元市各项信访维稳工作有序开展，</w:t>
      </w:r>
      <w:r>
        <w:rPr>
          <w:rFonts w:hint="eastAsia" w:ascii="仿宋_GB2312" w:hAnsi="仿宋_GB2312" w:eastAsia="仿宋_GB2312" w:cs="仿宋_GB2312"/>
          <w:sz w:val="32"/>
          <w:szCs w:val="32"/>
        </w:rPr>
        <w:t>没有极端不良事件发生，未引发社会舆情舆论，有效维护了社会和谐稳定。</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94" w:name="_Toc6214"/>
      <w:r>
        <w:rPr>
          <w:rFonts w:hint="eastAsia" w:ascii="楷体_GB2312" w:hAnsi="Times New Roman" w:eastAsia="楷体_GB2312" w:cs="Times New Roman"/>
          <w:bCs/>
          <w:spacing w:val="-6"/>
          <w:sz w:val="32"/>
          <w:szCs w:val="32"/>
        </w:rPr>
        <w:t>（二）项目效益情况</w:t>
      </w:r>
      <w:bookmarkEnd w:id="194"/>
    </w:p>
    <w:p>
      <w:pPr>
        <w:pStyle w:val="46"/>
        <w:keepNext w:val="0"/>
        <w:keepLines w:val="0"/>
        <w:pageBreakBefore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1.社会效益。通过信访维稳工作的开展，有效维护了社会秩序，确保各项活动有序开展，有效维护了国家、社会和会稳定，提高了群众满意度。</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95" w:name="_Toc18848"/>
      <w:r>
        <w:rPr>
          <w:rFonts w:hint="eastAsia" w:ascii="黑体" w:hAnsi="黑体" w:eastAsia="黑体" w:cs="Times New Roman"/>
          <w:spacing w:val="-6"/>
          <w:sz w:val="32"/>
          <w:szCs w:val="32"/>
        </w:rPr>
        <w:t>四、问题及建议</w:t>
      </w:r>
      <w:bookmarkEnd w:id="195"/>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pStyle w:val="2"/>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pStyle w:val="16"/>
        <w:jc w:val="both"/>
        <w:outlineLvl w:val="9"/>
        <w:rPr>
          <w:rFonts w:hint="eastAsia"/>
        </w:rPr>
      </w:pPr>
    </w:p>
    <w:p>
      <w:pPr>
        <w:keepNext w:val="0"/>
        <w:keepLines w:val="0"/>
        <w:pageBreakBefore w:val="0"/>
        <w:kinsoku/>
        <w:wordWrap/>
        <w:overflowPunct/>
        <w:topLinePunct w:val="0"/>
        <w:autoSpaceDE w:val="0"/>
        <w:autoSpaceDN/>
        <w:bidi w:val="0"/>
        <w:spacing w:line="576" w:lineRule="exact"/>
        <w:jc w:val="center"/>
        <w:textAlignment w:val="auto"/>
        <w:outlineLvl w:val="2"/>
        <w:rPr>
          <w:rFonts w:hint="eastAsia" w:ascii="方正大标宋简体" w:hAnsi="??" w:eastAsia="方正大标宋简体" w:cs="Times New Roman"/>
          <w:b/>
          <w:color w:val="000000"/>
          <w:spacing w:val="-6"/>
          <w:kern w:val="0"/>
          <w:sz w:val="44"/>
          <w:szCs w:val="44"/>
        </w:rPr>
      </w:pPr>
      <w:bookmarkStart w:id="196" w:name="_Toc14417"/>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2年</w:t>
      </w:r>
      <w:r>
        <w:rPr>
          <w:rFonts w:hint="eastAsia" w:ascii="方正大标宋简体" w:hAnsi="??" w:eastAsia="方正大标宋简体" w:cs="Times New Roman"/>
          <w:b/>
          <w:color w:val="000000"/>
          <w:spacing w:val="-6"/>
          <w:kern w:val="0"/>
          <w:sz w:val="44"/>
          <w:szCs w:val="44"/>
        </w:rPr>
        <w:t>部门预算项目支出绩效自评报告</w:t>
      </w:r>
      <w:bookmarkEnd w:id="196"/>
    </w:p>
    <w:p>
      <w:pPr>
        <w:keepNext w:val="0"/>
        <w:keepLines w:val="0"/>
        <w:pageBreakBefore w:val="0"/>
        <w:kinsoku/>
        <w:wordWrap/>
        <w:overflowPunct/>
        <w:topLinePunct w:val="0"/>
        <w:autoSpaceDE w:val="0"/>
        <w:autoSpaceDN/>
        <w:bidi w:val="0"/>
        <w:spacing w:line="576" w:lineRule="exact"/>
        <w:jc w:val="center"/>
        <w:textAlignment w:val="auto"/>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驻省轮流值班</w:t>
      </w:r>
      <w:r>
        <w:rPr>
          <w:rFonts w:hint="eastAsia" w:ascii="仿宋_GB2312" w:hAnsi="宋体" w:eastAsia="仿宋_GB2312" w:cs="Times New Roman"/>
          <w:spacing w:val="-6"/>
          <w:sz w:val="32"/>
          <w:szCs w:val="32"/>
        </w:rPr>
        <w:t>项目）</w:t>
      </w:r>
    </w:p>
    <w:p>
      <w:pPr>
        <w:keepNext w:val="0"/>
        <w:keepLines w:val="0"/>
        <w:pageBreakBefore w:val="0"/>
        <w:numPr>
          <w:ilvl w:val="0"/>
          <w:numId w:val="9"/>
        </w:numPr>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97" w:name="_Toc6193"/>
      <w:r>
        <w:rPr>
          <w:rFonts w:hint="eastAsia" w:ascii="黑体" w:hAnsi="黑体" w:eastAsia="黑体" w:cs="Times New Roman"/>
          <w:spacing w:val="-6"/>
          <w:sz w:val="32"/>
          <w:szCs w:val="32"/>
        </w:rPr>
        <w:t>项目概况</w:t>
      </w:r>
      <w:bookmarkEnd w:id="197"/>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rPr>
      </w:pP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省轮流值班</w:t>
      </w:r>
      <w:r>
        <w:rPr>
          <w:rFonts w:hint="eastAsia" w:ascii="仿宋_GB2312" w:hAnsi="仿宋_GB2312" w:eastAsia="仿宋_GB2312" w:cs="仿宋_GB2312"/>
          <w:sz w:val="32"/>
          <w:szCs w:val="32"/>
        </w:rPr>
        <w:t>工作经费主要负责组织协调我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日常驻</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信访工作；负责组织协调我区群众</w:t>
      </w:r>
      <w:r>
        <w:rPr>
          <w:rFonts w:hint="eastAsia" w:ascii="仿宋_GB2312" w:hAnsi="仿宋_GB2312" w:eastAsia="仿宋_GB2312" w:cs="仿宋_GB2312"/>
          <w:sz w:val="32"/>
          <w:szCs w:val="32"/>
          <w:lang w:eastAsia="zh-CN"/>
        </w:rPr>
        <w:t>赴省</w:t>
      </w:r>
      <w:r>
        <w:rPr>
          <w:rFonts w:hint="eastAsia" w:ascii="仿宋_GB2312" w:hAnsi="仿宋_GB2312" w:eastAsia="仿宋_GB2312" w:cs="仿宋_GB2312"/>
          <w:sz w:val="32"/>
          <w:szCs w:val="32"/>
        </w:rPr>
        <w:t>到非接待场所上访处置工作；负责群众</w:t>
      </w:r>
      <w:r>
        <w:rPr>
          <w:rFonts w:hint="eastAsia" w:ascii="仿宋_GB2312" w:hAnsi="仿宋_GB2312" w:eastAsia="仿宋_GB2312" w:cs="仿宋_GB2312"/>
          <w:sz w:val="32"/>
          <w:szCs w:val="32"/>
          <w:lang w:eastAsia="zh-CN"/>
        </w:rPr>
        <w:t>赴省</w:t>
      </w:r>
      <w:r>
        <w:rPr>
          <w:rFonts w:hint="eastAsia" w:ascii="仿宋_GB2312" w:hAnsi="仿宋_GB2312" w:eastAsia="仿宋_GB2312" w:cs="仿宋_GB2312"/>
          <w:sz w:val="32"/>
          <w:szCs w:val="32"/>
        </w:rPr>
        <w:t>走访涉及的日常管理工作等</w:t>
      </w:r>
      <w:r>
        <w:rPr>
          <w:rFonts w:hint="default"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仿宋_GB2312" w:eastAsia="仿宋_GB2312" w:cs="仿宋_GB2312"/>
          <w:sz w:val="32"/>
          <w:szCs w:val="32"/>
          <w:lang w:val="zh-CN"/>
        </w:rPr>
        <w:t>朝天区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年度财政下达我局驻</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轮流值班项目经费预算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万元，按程序进行申报，资金及时批复到位，申报程序符合资金管理办法相关规定。</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仿宋_GB2312" w:eastAsia="仿宋_GB2312" w:cs="仿宋_GB2312"/>
          <w:bCs/>
          <w:sz w:val="32"/>
          <w:szCs w:val="32"/>
          <w:lang w:val="zh-CN"/>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lang w:val="zh-CN"/>
        </w:rPr>
        <w:t>保障202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年度驻省信访轮流值班工作有序开展，值班期间广元市各项信访维稳工作有序开展，不出现极端信访事件和负面舆情炒作。</w:t>
      </w:r>
    </w:p>
    <w:p>
      <w:pPr>
        <w:keepNext w:val="0"/>
        <w:keepLines w:val="0"/>
        <w:pageBreakBefore w:val="0"/>
        <w:kinsoku/>
        <w:wordWrap/>
        <w:overflowPunct/>
        <w:topLinePunct w:val="0"/>
        <w:autoSpaceDN/>
        <w:bidi w:val="0"/>
        <w:adjustRightInd w:val="0"/>
        <w:snapToGrid w:val="0"/>
        <w:spacing w:line="576" w:lineRule="exact"/>
        <w:ind w:firstLine="616"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仿宋_GB2312" w:eastAsia="仿宋_GB2312" w:cs="仿宋_GB2312"/>
          <w:sz w:val="32"/>
          <w:szCs w:val="32"/>
          <w:lang w:val="zh-CN"/>
        </w:rPr>
        <w:t>项目申报内容与具体实施内容相符、申报目标合理可行。</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198" w:name="_Toc6187"/>
      <w:r>
        <w:rPr>
          <w:rFonts w:hint="eastAsia" w:ascii="黑体" w:hAnsi="黑体" w:eastAsia="黑体" w:cs="Times New Roman"/>
          <w:spacing w:val="-6"/>
          <w:sz w:val="32"/>
          <w:szCs w:val="32"/>
        </w:rPr>
        <w:t>二、项目实施及管理情况</w:t>
      </w:r>
      <w:bookmarkEnd w:id="198"/>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199" w:name="_Toc3872"/>
      <w:r>
        <w:rPr>
          <w:rFonts w:hint="eastAsia" w:ascii="楷体_GB2312" w:hAnsi="Times New Roman" w:eastAsia="楷体_GB2312" w:cs="Times New Roman"/>
          <w:bCs/>
          <w:spacing w:val="-6"/>
          <w:sz w:val="32"/>
          <w:szCs w:val="32"/>
        </w:rPr>
        <w:t>（一）资金计划、到位及使用情况</w:t>
      </w:r>
      <w:bookmarkEnd w:id="199"/>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lang w:val="zh-CN"/>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rPr>
        <w:t>驻省轮流值班经费1</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lang w:val="zh-CN"/>
        </w:rPr>
        <w:t>万元，资金全部到位及时，全部到位。</w:t>
      </w:r>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val="zh-CN"/>
        </w:rPr>
        <w:t>严格按单位项目管理制度执行，根据项目的进度，达到付款条件后，经单位领导审核后授权支付。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200" w:name="_Toc1160"/>
      <w:r>
        <w:rPr>
          <w:rFonts w:hint="eastAsia" w:ascii="楷体_GB2312" w:hAnsi="Times New Roman" w:eastAsia="楷体_GB2312" w:cs="Times New Roman"/>
          <w:bCs/>
          <w:spacing w:val="-6"/>
          <w:sz w:val="32"/>
          <w:szCs w:val="32"/>
        </w:rPr>
        <w:t>（二）项目财务管理情况</w:t>
      </w:r>
      <w:bookmarkEnd w:id="200"/>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严格执行财务支出的报销制度，应附与经济业务事项相关的合法合规的原始凭证和附件，必须按规定的程序审核、审批，并有具体经办人、证明人、领导审批签字，才进行支付。</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201" w:name="_Toc6314"/>
      <w:r>
        <w:rPr>
          <w:rFonts w:hint="eastAsia" w:ascii="楷体_GB2312" w:hAnsi="Times New Roman" w:eastAsia="楷体_GB2312" w:cs="Times New Roman"/>
          <w:bCs/>
          <w:spacing w:val="-6"/>
          <w:sz w:val="32"/>
          <w:szCs w:val="32"/>
        </w:rPr>
        <w:t>（三）项目组织实施情况</w:t>
      </w:r>
      <w:bookmarkEnd w:id="201"/>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宋体" w:eastAsia="楷体_GB2312" w:cs="楷体_GB2312"/>
          <w:sz w:val="32"/>
          <w:szCs w:val="32"/>
          <w:lang w:bidi="ar"/>
        </w:rPr>
        <w:t>1.</w:t>
      </w:r>
      <w:r>
        <w:rPr>
          <w:rFonts w:hint="eastAsia" w:ascii="楷体_GB2312" w:hAnsi="宋体" w:eastAsia="楷体_GB2312" w:cs="楷体_GB2312"/>
          <w:sz w:val="32"/>
          <w:szCs w:val="32"/>
          <w:lang w:val="zh-CN" w:bidi="ar"/>
        </w:rPr>
        <w:t>项目组织架构及实施流程。</w:t>
      </w:r>
      <w:r>
        <w:rPr>
          <w:rFonts w:hint="eastAsia" w:ascii="仿宋_GB2312" w:hAnsi="仿宋_GB2312" w:eastAsia="仿宋_GB2312" w:cs="仿宋_GB2312"/>
          <w:sz w:val="32"/>
          <w:szCs w:val="32"/>
          <w:lang w:val="zh-CN" w:bidi="ar"/>
        </w:rPr>
        <w:t>根据区委、政府信访工作统一安排，由我局根据工作需要进行确定和安排。资金分配严格按照审批流程操作执行，符合相关管理办法，分配结果公平合理。</w:t>
      </w:r>
    </w:p>
    <w:p>
      <w:pPr>
        <w:pStyle w:val="15"/>
        <w:keepNext w:val="0"/>
        <w:keepLines w:val="0"/>
        <w:pageBreakBefore w:val="0"/>
        <w:kinsoku/>
        <w:wordWrap/>
        <w:overflowPunct/>
        <w:topLinePunct w:val="0"/>
        <w:autoSpaceDN/>
        <w:bidi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2.</w:t>
      </w:r>
      <w:r>
        <w:rPr>
          <w:rFonts w:hint="eastAsia" w:ascii="楷体_GB2312" w:hAnsi="宋体" w:eastAsia="楷体_GB2312" w:cs="楷体_GB2312"/>
          <w:sz w:val="32"/>
          <w:szCs w:val="32"/>
          <w:lang w:val="zh-CN" w:bidi="ar"/>
        </w:rPr>
        <w:t>项目管理情况。</w:t>
      </w:r>
      <w:r>
        <w:rPr>
          <w:rFonts w:hint="eastAsia" w:ascii="仿宋_GB2312" w:hAnsi="仿宋_GB2312" w:eastAsia="仿宋_GB2312" w:cs="仿宋_GB2312"/>
          <w:sz w:val="32"/>
          <w:szCs w:val="32"/>
          <w:lang w:val="zh-CN" w:bidi="ar"/>
        </w:rPr>
        <w:t>本项目资金仅限于驻省轮流值班工作，实行专款专用，资金使用合规，支出依据规范，无虚列支出，无截留、挤占、挪用现象。</w:t>
      </w:r>
    </w:p>
    <w:p>
      <w:pPr>
        <w:keepNext w:val="0"/>
        <w:keepLines w:val="0"/>
        <w:pageBreakBefore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bidi="ar"/>
        </w:rPr>
      </w:pPr>
      <w:r>
        <w:rPr>
          <w:rFonts w:hint="eastAsia" w:ascii="楷体_GB2312" w:hAnsi="宋体" w:eastAsia="楷体_GB2312" w:cs="楷体_GB2312"/>
          <w:sz w:val="32"/>
          <w:szCs w:val="32"/>
          <w:lang w:bidi="ar"/>
        </w:rPr>
        <w:t>3.</w:t>
      </w:r>
      <w:r>
        <w:rPr>
          <w:rFonts w:hint="eastAsia" w:ascii="楷体_GB2312" w:hAnsi="宋体" w:eastAsia="楷体_GB2312" w:cs="楷体_GB2312"/>
          <w:sz w:val="32"/>
          <w:szCs w:val="32"/>
          <w:lang w:val="zh-CN" w:bidi="ar"/>
        </w:rPr>
        <w:t>项目监管情况。</w:t>
      </w:r>
      <w:r>
        <w:rPr>
          <w:rFonts w:hint="eastAsia" w:ascii="仿宋_GB2312" w:hAnsi="仿宋_GB2312" w:eastAsia="仿宋_GB2312" w:cs="仿宋_GB2312"/>
          <w:sz w:val="32"/>
          <w:szCs w:val="32"/>
          <w:lang w:val="zh-CN" w:bidi="ar"/>
        </w:rPr>
        <w:t>群工局严格按照单位项目管理制度执行监管。</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202" w:name="_Toc13731"/>
      <w:r>
        <w:rPr>
          <w:rFonts w:hint="eastAsia" w:ascii="黑体" w:hAnsi="黑体" w:eastAsia="黑体" w:cs="Times New Roman"/>
          <w:spacing w:val="-6"/>
          <w:sz w:val="32"/>
          <w:szCs w:val="32"/>
        </w:rPr>
        <w:t>三、项目绩效情况</w:t>
      </w:r>
      <w:bookmarkEnd w:id="202"/>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203" w:name="_Toc28490"/>
      <w:r>
        <w:rPr>
          <w:rFonts w:hint="eastAsia" w:ascii="楷体_GB2312" w:hAnsi="Times New Roman" w:eastAsia="楷体_GB2312" w:cs="Times New Roman"/>
          <w:bCs/>
          <w:spacing w:val="-6"/>
          <w:sz w:val="32"/>
          <w:szCs w:val="32"/>
        </w:rPr>
        <w:t>（一）项目完成情况</w:t>
      </w:r>
      <w:bookmarkEnd w:id="203"/>
    </w:p>
    <w:p>
      <w:pPr>
        <w:pStyle w:val="6"/>
        <w:keepNext w:val="0"/>
        <w:keepLines w:val="0"/>
        <w:pageBreakBefore w:val="0"/>
        <w:kinsoku/>
        <w:wordWrap/>
        <w:overflowPunct/>
        <w:topLinePunct w:val="0"/>
        <w:autoSpaceDN/>
        <w:bidi w:val="0"/>
        <w:spacing w:after="0" w:afterLines="0" w:line="576" w:lineRule="exact"/>
        <w:ind w:firstLine="640" w:firstLineChars="200"/>
        <w:textAlignment w:val="auto"/>
        <w:rPr>
          <w:rFonts w:eastAsia="仿宋_GB2312"/>
        </w:rPr>
      </w:pPr>
      <w:r>
        <w:rPr>
          <w:rFonts w:hint="eastAsia" w:ascii="仿宋_GB2312" w:hAnsi="仿宋_GB2312" w:eastAsia="仿宋_GB2312" w:cs="仿宋_GB2312"/>
          <w:sz w:val="32"/>
          <w:szCs w:val="32"/>
        </w:rPr>
        <w:t>我局顺利完成驻</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轮流值班工作，及时劝返</w:t>
      </w:r>
      <w:r>
        <w:rPr>
          <w:rFonts w:hint="eastAsia" w:ascii="仿宋_GB2312" w:hAnsi="仿宋_GB2312" w:eastAsia="仿宋_GB2312" w:cs="仿宋_GB2312"/>
          <w:sz w:val="32"/>
          <w:szCs w:val="32"/>
          <w:lang w:eastAsia="zh-CN"/>
        </w:rPr>
        <w:t>赴省</w:t>
      </w:r>
      <w:r>
        <w:rPr>
          <w:rFonts w:hint="eastAsia" w:ascii="仿宋_GB2312" w:hAnsi="仿宋_GB2312" w:eastAsia="仿宋_GB2312" w:cs="仿宋_GB2312"/>
          <w:sz w:val="32"/>
          <w:szCs w:val="32"/>
        </w:rPr>
        <w:t>上访人员，</w:t>
      </w:r>
      <w:r>
        <w:rPr>
          <w:rFonts w:hint="eastAsia" w:ascii="仿宋_GB2312" w:hAnsi="仿宋_GB2312" w:eastAsia="仿宋_GB2312" w:cs="仿宋_GB2312"/>
          <w:bCs/>
          <w:sz w:val="32"/>
          <w:szCs w:val="32"/>
          <w:lang w:val="zh-CN"/>
        </w:rPr>
        <w:t>值班期间广元市各项信访维稳工作有序开展，</w:t>
      </w:r>
      <w:r>
        <w:rPr>
          <w:rFonts w:hint="eastAsia" w:ascii="仿宋_GB2312" w:hAnsi="仿宋_GB2312" w:eastAsia="仿宋_GB2312" w:cs="仿宋_GB2312"/>
          <w:sz w:val="32"/>
          <w:szCs w:val="32"/>
        </w:rPr>
        <w:t>没有极端不良事件发生，未引发社会舆情舆论，有效维护了社会和谐稳定。</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2"/>
        <w:rPr>
          <w:rFonts w:hint="eastAsia" w:ascii="楷体_GB2312" w:hAnsi="Times New Roman" w:eastAsia="楷体_GB2312" w:cs="Times New Roman"/>
          <w:bCs/>
          <w:spacing w:val="-6"/>
          <w:sz w:val="32"/>
          <w:szCs w:val="32"/>
        </w:rPr>
      </w:pPr>
      <w:bookmarkStart w:id="204" w:name="_Toc31377"/>
      <w:r>
        <w:rPr>
          <w:rFonts w:hint="eastAsia" w:ascii="楷体_GB2312" w:hAnsi="Times New Roman" w:eastAsia="楷体_GB2312" w:cs="Times New Roman"/>
          <w:bCs/>
          <w:spacing w:val="-6"/>
          <w:sz w:val="32"/>
          <w:szCs w:val="32"/>
        </w:rPr>
        <w:t>（二）项目效益情况</w:t>
      </w:r>
      <w:bookmarkEnd w:id="204"/>
    </w:p>
    <w:p>
      <w:pPr>
        <w:pStyle w:val="46"/>
        <w:keepNext w:val="0"/>
        <w:keepLines w:val="0"/>
        <w:pageBreakBefore w:val="0"/>
        <w:kinsoku/>
        <w:wordWrap/>
        <w:overflowPunct/>
        <w:topLinePunct w:val="0"/>
        <w:autoSpaceDN/>
        <w:bidi w:val="0"/>
        <w:adjustRightInd w:val="0"/>
        <w:snapToGrid w:val="0"/>
        <w:spacing w:before="0" w:beforeLines="0" w:after="0" w:afterLines="0" w:line="576" w:lineRule="exact"/>
        <w:ind w:firstLine="640"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1.社会效益。通过信访维稳工作的开展，有效维护了社会秩序，确保各项活动有序开展，有效维护了国家、社会和会稳定，提高了群众满意度。</w:t>
      </w:r>
    </w:p>
    <w:p>
      <w:pPr>
        <w:keepNext w:val="0"/>
        <w:keepLines w:val="0"/>
        <w:pageBreakBefore w:val="0"/>
        <w:kinsoku/>
        <w:wordWrap/>
        <w:overflowPunct/>
        <w:topLinePunct w:val="0"/>
        <w:autoSpaceDE w:val="0"/>
        <w:autoSpaceDN/>
        <w:bidi w:val="0"/>
        <w:spacing w:line="576" w:lineRule="exact"/>
        <w:ind w:firstLine="616" w:firstLineChars="200"/>
        <w:textAlignment w:val="auto"/>
        <w:outlineLvl w:val="1"/>
        <w:rPr>
          <w:rFonts w:hint="eastAsia" w:ascii="黑体" w:hAnsi="黑体" w:eastAsia="黑体" w:cs="Times New Roman"/>
          <w:spacing w:val="-6"/>
          <w:sz w:val="32"/>
          <w:szCs w:val="32"/>
        </w:rPr>
      </w:pPr>
      <w:bookmarkStart w:id="205" w:name="_Toc12858"/>
      <w:r>
        <w:rPr>
          <w:rFonts w:hint="eastAsia" w:ascii="黑体" w:hAnsi="黑体" w:eastAsia="黑体" w:cs="Times New Roman"/>
          <w:spacing w:val="-6"/>
          <w:sz w:val="32"/>
          <w:szCs w:val="32"/>
        </w:rPr>
        <w:t>四、问题及建议</w:t>
      </w:r>
      <w:bookmarkEnd w:id="205"/>
    </w:p>
    <w:p>
      <w:pPr>
        <w:keepNext w:val="0"/>
        <w:keepLines w:val="0"/>
        <w:pageBreakBefore w:val="0"/>
        <w:kinsoku/>
        <w:wordWrap/>
        <w:overflowPunct/>
        <w:topLinePunct w:val="0"/>
        <w:autoSpaceDE w:val="0"/>
        <w:autoSpaceDN/>
        <w:bidi w:val="0"/>
        <w:spacing w:line="576" w:lineRule="exact"/>
        <w:ind w:firstLine="616" w:firstLineChars="200"/>
        <w:textAlignment w:val="auto"/>
        <w:rPr>
          <w:rFonts w:hint="eastAsia" w:ascii="仿宋_GB2312" w:hAnsi="宋体" w:eastAsia="仿宋_GB2312" w:cs="仿宋_GB2312"/>
          <w:sz w:val="32"/>
          <w:szCs w:val="32"/>
          <w:lang w:val="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宋体" w:eastAsia="仿宋_GB2312" w:cs="仿宋_GB2312"/>
          <w:sz w:val="32"/>
          <w:szCs w:val="32"/>
          <w:lang w:val="zh-CN" w:bidi="ar"/>
        </w:rPr>
        <w:t>预算编制细化程度还不够科学。资金使用效率结合还不够紧密。</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z w:val="32"/>
          <w:szCs w:val="32"/>
          <w:lang w:bidi="ar"/>
        </w:rPr>
      </w:pPr>
      <w:r>
        <w:rPr>
          <w:rFonts w:hint="eastAsia" w:ascii="楷体_GB2312" w:hAnsi="Times New Roman" w:eastAsia="楷体_GB2312" w:cs="Times New Roman"/>
          <w:bCs/>
          <w:spacing w:val="-6"/>
          <w:sz w:val="32"/>
          <w:szCs w:val="32"/>
        </w:rPr>
        <w:t>（二）相关建议。</w:t>
      </w:r>
      <w:r>
        <w:rPr>
          <w:rFonts w:ascii="仿宋_GB2312" w:hAnsi="Times New Roman" w:eastAsia="仿宋_GB2312" w:cs="仿宋_GB2312"/>
          <w:b w:val="0"/>
          <w:bCs w:val="0"/>
          <w:i w:val="0"/>
          <w:iCs w:val="0"/>
          <w:caps w:val="0"/>
          <w:color w:val="000000"/>
          <w:spacing w:val="0"/>
          <w:sz w:val="32"/>
          <w:szCs w:val="32"/>
          <w:shd w:val="clear" w:fill="FFFFFF"/>
        </w:rPr>
        <w:t>一是科学合理编制预算，严格执行预算；二是规范账务处理，提高财务信息</w:t>
      </w:r>
      <w:r>
        <w:rPr>
          <w:rFonts w:hint="eastAsia" w:ascii="仿宋_GB2312" w:hAnsi="Times New Roman" w:eastAsia="仿宋_GB2312" w:cs="仿宋_GB2312"/>
          <w:b w:val="0"/>
          <w:bCs w:val="0"/>
          <w:i w:val="0"/>
          <w:iCs w:val="0"/>
          <w:caps w:val="0"/>
          <w:color w:val="000000"/>
          <w:spacing w:val="0"/>
          <w:sz w:val="32"/>
          <w:szCs w:val="32"/>
          <w:shd w:val="clear" w:fill="FFFFFF"/>
        </w:rPr>
        <w:t>质量；三是完善管理制度，进一步加强资金管理；四是</w:t>
      </w:r>
      <w:r>
        <w:rPr>
          <w:rFonts w:hint="eastAsia" w:ascii="仿宋_GB2312" w:hAnsi="Times New Roman" w:eastAsia="仿宋_GB2312" w:cs="仿宋_GB2312"/>
          <w:b w:val="0"/>
          <w:bCs w:val="0"/>
          <w:i w:val="0"/>
          <w:iCs w:val="0"/>
          <w:caps w:val="0"/>
          <w:color w:val="333333"/>
          <w:spacing w:val="0"/>
          <w:sz w:val="32"/>
          <w:szCs w:val="32"/>
          <w:shd w:val="clear" w:fill="FFFFFF"/>
        </w:rPr>
        <w:t>坚持问题导向，建立预算支出绩效评价长效机制</w:t>
      </w:r>
      <w:r>
        <w:rPr>
          <w:rFonts w:hint="eastAsia" w:ascii="仿宋_GB2312" w:hAnsi="Times New Roman" w:eastAsia="仿宋_GB2312" w:cs="仿宋_GB2312"/>
          <w:b w:val="0"/>
          <w:bCs w:val="0"/>
          <w:i w:val="0"/>
          <w:iCs w:val="0"/>
          <w:caps w:val="0"/>
          <w:color w:val="000000"/>
          <w:spacing w:val="0"/>
          <w:sz w:val="32"/>
          <w:szCs w:val="32"/>
          <w:shd w:val="clear" w:fill="FFFFFF"/>
        </w:rPr>
        <w:t>。</w:t>
      </w:r>
    </w:p>
    <w:p>
      <w:pPr>
        <w:pStyle w:val="16"/>
        <w:jc w:val="both"/>
        <w:outlineLvl w:val="9"/>
        <w:rPr>
          <w:rFonts w:hint="eastAsia"/>
        </w:rPr>
      </w:pPr>
    </w:p>
    <w:p>
      <w:pPr>
        <w:widowControl/>
        <w:jc w:val="left"/>
        <w:rPr>
          <w:rStyle w:val="32"/>
          <w:rFonts w:ascii="黑体" w:hAnsi="黑体" w:eastAsia="黑体"/>
          <w:b w:val="0"/>
          <w:color w:val="auto"/>
          <w:highlight w:val="none"/>
        </w:rPr>
      </w:pPr>
      <w:r>
        <w:rPr>
          <w:rStyle w:val="32"/>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206" w:name="_Toc15396618"/>
      <w:bookmarkStart w:id="207" w:name="_Toc14386"/>
      <w:r>
        <w:rPr>
          <w:rFonts w:hint="eastAsia" w:ascii="黑体" w:hAnsi="黑体" w:eastAsia="黑体"/>
          <w:color w:val="auto"/>
          <w:sz w:val="44"/>
          <w:szCs w:val="44"/>
          <w:highlight w:val="none"/>
        </w:rPr>
        <w:t>第</w:t>
      </w:r>
      <w:r>
        <w:rPr>
          <w:rStyle w:val="32"/>
          <w:rFonts w:hint="eastAsia" w:ascii="黑体" w:hAnsi="黑体" w:eastAsia="黑体"/>
          <w:b w:val="0"/>
          <w:color w:val="auto"/>
          <w:highlight w:val="none"/>
        </w:rPr>
        <w:t>五部分 附表</w:t>
      </w:r>
      <w:bookmarkEnd w:id="82"/>
      <w:bookmarkEnd w:id="206"/>
      <w:bookmarkEnd w:id="207"/>
      <w:bookmarkStart w:id="208" w:name="_Toc15396619"/>
    </w:p>
    <w:p>
      <w:pPr>
        <w:pStyle w:val="4"/>
        <w:rPr>
          <w:rFonts w:ascii="仿宋" w:hAnsi="仿宋" w:eastAsia="仿宋"/>
          <w:color w:val="auto"/>
          <w:highlight w:val="none"/>
        </w:rPr>
      </w:pPr>
      <w:bookmarkStart w:id="209" w:name="_Toc13094"/>
      <w:r>
        <w:rPr>
          <w:rFonts w:hint="eastAsia" w:ascii="仿宋" w:hAnsi="仿宋" w:eastAsia="仿宋"/>
          <w:b w:val="0"/>
          <w:color w:val="auto"/>
          <w:highlight w:val="none"/>
        </w:rPr>
        <w:t>一、收</w:t>
      </w:r>
      <w:r>
        <w:rPr>
          <w:rStyle w:val="33"/>
          <w:rFonts w:hint="eastAsia" w:ascii="仿宋" w:hAnsi="仿宋" w:eastAsia="仿宋"/>
          <w:b w:val="0"/>
          <w:bCs w:val="0"/>
          <w:color w:val="auto"/>
          <w:highlight w:val="none"/>
        </w:rPr>
        <w:t>入支出决算总表</w:t>
      </w:r>
      <w:bookmarkEnd w:id="208"/>
      <w:bookmarkEnd w:id="209"/>
    </w:p>
    <w:p>
      <w:pPr>
        <w:pStyle w:val="4"/>
        <w:rPr>
          <w:rFonts w:ascii="仿宋" w:hAnsi="仿宋" w:eastAsia="仿宋"/>
          <w:color w:val="auto"/>
          <w:highlight w:val="none"/>
        </w:rPr>
      </w:pPr>
      <w:bookmarkStart w:id="210" w:name="_Toc15396620"/>
      <w:bookmarkStart w:id="211" w:name="_Toc8357"/>
      <w:r>
        <w:rPr>
          <w:rFonts w:hint="eastAsia" w:ascii="仿宋" w:hAnsi="仿宋" w:eastAsia="仿宋"/>
          <w:b w:val="0"/>
          <w:color w:val="auto"/>
          <w:highlight w:val="none"/>
        </w:rPr>
        <w:t>二、收</w:t>
      </w:r>
      <w:r>
        <w:rPr>
          <w:rStyle w:val="33"/>
          <w:rFonts w:hint="eastAsia" w:ascii="仿宋" w:hAnsi="仿宋" w:eastAsia="仿宋"/>
          <w:b w:val="0"/>
          <w:bCs w:val="0"/>
          <w:color w:val="auto"/>
          <w:highlight w:val="none"/>
        </w:rPr>
        <w:t>入决算表</w:t>
      </w:r>
      <w:bookmarkEnd w:id="210"/>
      <w:bookmarkEnd w:id="211"/>
    </w:p>
    <w:p>
      <w:pPr>
        <w:pStyle w:val="4"/>
        <w:rPr>
          <w:rFonts w:ascii="仿宋" w:hAnsi="仿宋" w:eastAsia="仿宋"/>
          <w:color w:val="auto"/>
          <w:highlight w:val="none"/>
        </w:rPr>
      </w:pPr>
      <w:bookmarkStart w:id="212" w:name="_Toc15396621"/>
      <w:bookmarkStart w:id="213" w:name="_Toc28232"/>
      <w:r>
        <w:rPr>
          <w:rStyle w:val="3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3"/>
          <w:rFonts w:hint="eastAsia" w:ascii="仿宋" w:hAnsi="仿宋" w:eastAsia="仿宋"/>
          <w:b w:val="0"/>
          <w:bCs w:val="0"/>
          <w:color w:val="auto"/>
          <w:highlight w:val="none"/>
        </w:rPr>
        <w:t>出决算表</w:t>
      </w:r>
      <w:bookmarkEnd w:id="212"/>
      <w:bookmarkEnd w:id="213"/>
    </w:p>
    <w:p>
      <w:pPr>
        <w:pStyle w:val="4"/>
        <w:rPr>
          <w:rFonts w:ascii="仿宋" w:hAnsi="仿宋" w:eastAsia="仿宋"/>
          <w:b w:val="0"/>
          <w:color w:val="auto"/>
          <w:highlight w:val="none"/>
        </w:rPr>
      </w:pPr>
      <w:bookmarkStart w:id="214" w:name="_Toc15396622"/>
      <w:bookmarkStart w:id="215" w:name="_Toc28525"/>
      <w:r>
        <w:rPr>
          <w:rStyle w:val="3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政拨款收入支出决算总表</w:t>
      </w:r>
      <w:bookmarkEnd w:id="214"/>
      <w:bookmarkEnd w:id="215"/>
    </w:p>
    <w:p>
      <w:pPr>
        <w:pStyle w:val="4"/>
        <w:rPr>
          <w:rStyle w:val="33"/>
          <w:rFonts w:ascii="仿宋" w:hAnsi="仿宋" w:eastAsia="仿宋"/>
          <w:b w:val="0"/>
          <w:bCs w:val="0"/>
          <w:color w:val="auto"/>
          <w:highlight w:val="none"/>
        </w:rPr>
      </w:pPr>
      <w:bookmarkStart w:id="216" w:name="_Toc15396623"/>
      <w:bookmarkStart w:id="217" w:name="_Toc26755"/>
      <w:r>
        <w:rPr>
          <w:rStyle w:val="3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政拨款支出决算明细表</w:t>
      </w:r>
      <w:bookmarkEnd w:id="216"/>
      <w:bookmarkEnd w:id="217"/>
      <w:bookmarkStart w:id="218" w:name="_Toc15396624"/>
    </w:p>
    <w:p>
      <w:pPr>
        <w:pStyle w:val="4"/>
        <w:rPr>
          <w:rFonts w:ascii="仿宋" w:hAnsi="仿宋" w:eastAsia="仿宋"/>
          <w:color w:val="auto"/>
          <w:highlight w:val="none"/>
        </w:rPr>
      </w:pPr>
      <w:bookmarkStart w:id="219" w:name="_Toc6055"/>
      <w:r>
        <w:rPr>
          <w:rStyle w:val="3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般公共预算财政拨款支出决算表</w:t>
      </w:r>
      <w:bookmarkEnd w:id="218"/>
      <w:bookmarkEnd w:id="219"/>
    </w:p>
    <w:p>
      <w:pPr>
        <w:pStyle w:val="4"/>
        <w:rPr>
          <w:rFonts w:ascii="仿宋" w:hAnsi="仿宋" w:eastAsia="仿宋"/>
          <w:color w:val="auto"/>
          <w:highlight w:val="none"/>
        </w:rPr>
      </w:pPr>
      <w:bookmarkStart w:id="220" w:name="_Toc15396625"/>
      <w:bookmarkStart w:id="221" w:name="_Toc19255"/>
      <w:r>
        <w:rPr>
          <w:rStyle w:val="3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般公共预算财政拨款支出决算明细表</w:t>
      </w:r>
      <w:bookmarkEnd w:id="220"/>
      <w:bookmarkEnd w:id="221"/>
    </w:p>
    <w:p>
      <w:pPr>
        <w:pStyle w:val="4"/>
        <w:rPr>
          <w:rFonts w:ascii="仿宋" w:hAnsi="仿宋" w:eastAsia="仿宋"/>
          <w:color w:val="auto"/>
          <w:highlight w:val="none"/>
        </w:rPr>
      </w:pPr>
      <w:bookmarkStart w:id="222" w:name="_Toc15396626"/>
      <w:bookmarkStart w:id="223" w:name="_Toc32001"/>
      <w:r>
        <w:rPr>
          <w:rStyle w:val="3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般公共预算财政拨款基本支出决算表</w:t>
      </w:r>
      <w:bookmarkEnd w:id="222"/>
      <w:bookmarkEnd w:id="223"/>
    </w:p>
    <w:p>
      <w:pPr>
        <w:pStyle w:val="4"/>
        <w:rPr>
          <w:rFonts w:ascii="仿宋" w:hAnsi="仿宋" w:eastAsia="仿宋"/>
          <w:color w:val="auto"/>
          <w:highlight w:val="none"/>
        </w:rPr>
      </w:pPr>
      <w:bookmarkStart w:id="224" w:name="_Toc15396627"/>
      <w:bookmarkStart w:id="225" w:name="_Toc5097"/>
      <w:r>
        <w:rPr>
          <w:rStyle w:val="3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般公共预算财政拨款项目支出决算表</w:t>
      </w:r>
      <w:bookmarkEnd w:id="224"/>
      <w:bookmarkEnd w:id="225"/>
    </w:p>
    <w:p>
      <w:pPr>
        <w:pStyle w:val="4"/>
        <w:rPr>
          <w:rFonts w:ascii="仿宋" w:hAnsi="仿宋" w:eastAsia="仿宋"/>
          <w:color w:val="auto"/>
          <w:highlight w:val="none"/>
        </w:rPr>
      </w:pPr>
      <w:bookmarkStart w:id="226" w:name="_Toc15396628"/>
      <w:bookmarkStart w:id="227" w:name="_Toc21839"/>
      <w:r>
        <w:rPr>
          <w:rStyle w:val="33"/>
          <w:rFonts w:hint="eastAsia" w:ascii="仿宋" w:hAnsi="仿宋" w:eastAsia="仿宋"/>
          <w:b w:val="0"/>
          <w:bCs w:val="0"/>
          <w:color w:val="auto"/>
          <w:highlight w:val="none"/>
        </w:rPr>
        <w:t>十、</w:t>
      </w:r>
      <w:bookmarkEnd w:id="226"/>
      <w:r>
        <w:rPr>
          <w:rFonts w:hint="eastAsia" w:ascii="仿宋" w:hAnsi="仿宋" w:eastAsia="仿宋"/>
          <w:b w:val="0"/>
          <w:color w:val="auto"/>
          <w:highlight w:val="none"/>
        </w:rPr>
        <w:t>政</w:t>
      </w:r>
      <w:r>
        <w:rPr>
          <w:rStyle w:val="33"/>
          <w:rFonts w:hint="eastAsia" w:ascii="仿宋" w:hAnsi="仿宋" w:eastAsia="仿宋"/>
          <w:b w:val="0"/>
          <w:bCs w:val="0"/>
          <w:color w:val="auto"/>
          <w:highlight w:val="none"/>
        </w:rPr>
        <w:t>府性基金预算财政拨款收入支出决算表</w:t>
      </w:r>
      <w:bookmarkEnd w:id="227"/>
    </w:p>
    <w:p>
      <w:pPr>
        <w:pStyle w:val="4"/>
        <w:rPr>
          <w:rFonts w:ascii="仿宋" w:hAnsi="仿宋" w:eastAsia="仿宋"/>
          <w:color w:val="auto"/>
          <w:highlight w:val="none"/>
        </w:rPr>
      </w:pPr>
      <w:bookmarkStart w:id="228" w:name="_Toc15396629"/>
      <w:bookmarkStart w:id="229" w:name="_Toc7666"/>
      <w:r>
        <w:rPr>
          <w:rStyle w:val="33"/>
          <w:rFonts w:hint="eastAsia" w:ascii="仿宋" w:hAnsi="仿宋" w:eastAsia="仿宋"/>
          <w:b w:val="0"/>
          <w:bCs w:val="0"/>
          <w:color w:val="auto"/>
          <w:highlight w:val="none"/>
        </w:rPr>
        <w:t>十一、</w:t>
      </w:r>
      <w:bookmarkEnd w:id="228"/>
      <w:r>
        <w:rPr>
          <w:rFonts w:hint="eastAsia" w:ascii="仿宋" w:hAnsi="仿宋" w:eastAsia="仿宋"/>
          <w:b w:val="0"/>
          <w:color w:val="auto"/>
          <w:highlight w:val="none"/>
        </w:rPr>
        <w:t>国</w:t>
      </w:r>
      <w:r>
        <w:rPr>
          <w:rStyle w:val="33"/>
          <w:rFonts w:hint="eastAsia" w:ascii="仿宋" w:hAnsi="仿宋" w:eastAsia="仿宋"/>
          <w:b w:val="0"/>
          <w:bCs w:val="0"/>
          <w:color w:val="auto"/>
          <w:highlight w:val="none"/>
        </w:rPr>
        <w:t>有资本经营预算</w:t>
      </w:r>
      <w:r>
        <w:rPr>
          <w:rStyle w:val="33"/>
          <w:rFonts w:hint="eastAsia" w:ascii="仿宋" w:hAnsi="仿宋" w:eastAsia="仿宋"/>
          <w:b w:val="0"/>
          <w:bCs w:val="0"/>
          <w:color w:val="auto"/>
          <w:highlight w:val="none"/>
          <w:lang w:eastAsia="zh-CN"/>
        </w:rPr>
        <w:t>财政拨款收入</w:t>
      </w:r>
      <w:r>
        <w:rPr>
          <w:rStyle w:val="33"/>
          <w:rFonts w:hint="eastAsia" w:ascii="仿宋" w:hAnsi="仿宋" w:eastAsia="仿宋"/>
          <w:b w:val="0"/>
          <w:bCs w:val="0"/>
          <w:color w:val="auto"/>
          <w:highlight w:val="none"/>
        </w:rPr>
        <w:t>支出决算表</w:t>
      </w:r>
      <w:bookmarkEnd w:id="229"/>
    </w:p>
    <w:p>
      <w:pPr>
        <w:pStyle w:val="4"/>
        <w:rPr>
          <w:rFonts w:ascii="仿宋" w:hAnsi="仿宋" w:eastAsia="仿宋"/>
          <w:color w:val="auto"/>
          <w:highlight w:val="none"/>
        </w:rPr>
      </w:pPr>
      <w:bookmarkStart w:id="230" w:name="_Toc15396630"/>
      <w:bookmarkStart w:id="231" w:name="_Toc32758"/>
      <w:r>
        <w:rPr>
          <w:rStyle w:val="33"/>
          <w:rFonts w:hint="eastAsia" w:ascii="仿宋" w:hAnsi="仿宋" w:eastAsia="仿宋"/>
          <w:b w:val="0"/>
          <w:bCs w:val="0"/>
          <w:color w:val="auto"/>
          <w:highlight w:val="none"/>
        </w:rPr>
        <w:t>十二、</w:t>
      </w:r>
      <w:bookmarkEnd w:id="230"/>
      <w:r>
        <w:rPr>
          <w:rStyle w:val="33"/>
          <w:rFonts w:hint="eastAsia" w:ascii="仿宋" w:hAnsi="仿宋" w:eastAsia="仿宋"/>
          <w:b w:val="0"/>
          <w:bCs w:val="0"/>
          <w:color w:val="auto"/>
          <w:highlight w:val="none"/>
          <w:lang w:eastAsia="zh-CN"/>
        </w:rPr>
        <w:t>国有资本经营预算财政拨款支出决算表</w:t>
      </w:r>
      <w:bookmarkEnd w:id="231"/>
    </w:p>
    <w:p>
      <w:pPr>
        <w:pStyle w:val="4"/>
        <w:rPr>
          <w:rFonts w:hint="eastAsia" w:eastAsia="仿宋"/>
          <w:color w:val="auto"/>
          <w:highlight w:val="none"/>
          <w:lang w:eastAsia="zh-CN"/>
        </w:rPr>
      </w:pPr>
      <w:bookmarkStart w:id="232" w:name="_Toc15396631"/>
      <w:bookmarkStart w:id="233" w:name="_Toc16079"/>
      <w:r>
        <w:rPr>
          <w:rStyle w:val="33"/>
          <w:rFonts w:hint="eastAsia" w:ascii="仿宋" w:hAnsi="仿宋" w:eastAsia="仿宋"/>
          <w:b w:val="0"/>
          <w:bCs w:val="0"/>
          <w:color w:val="auto"/>
          <w:highlight w:val="none"/>
        </w:rPr>
        <w:t>十三、</w:t>
      </w:r>
      <w:bookmarkEnd w:id="232"/>
      <w:r>
        <w:rPr>
          <w:rStyle w:val="33"/>
          <w:rFonts w:hint="eastAsia" w:ascii="仿宋" w:hAnsi="仿宋" w:eastAsia="仿宋"/>
          <w:b w:val="0"/>
          <w:bCs w:val="0"/>
          <w:color w:val="auto"/>
          <w:highlight w:val="none"/>
          <w:lang w:eastAsia="zh-CN"/>
        </w:rPr>
        <w:t>财政拨款“三公”经费支出决算表</w:t>
      </w:r>
      <w:bookmarkEnd w:id="233"/>
    </w:p>
    <w:sectPr>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2882265</wp:posOffset>
              </wp:positionH>
              <wp:positionV relativeFrom="paragraph">
                <wp:posOffset>0</wp:posOffset>
              </wp:positionV>
              <wp:extent cx="377190" cy="286385"/>
              <wp:effectExtent l="0" t="0" r="0" b="0"/>
              <wp:wrapNone/>
              <wp:docPr id="21" name="文本框 21"/>
              <wp:cNvGraphicFramePr/>
              <a:graphic xmlns:a="http://schemas.openxmlformats.org/drawingml/2006/main">
                <a:graphicData uri="http://schemas.microsoft.com/office/word/2010/wordprocessingShape">
                  <wps:wsp>
                    <wps:cNvSpPr txBox="1"/>
                    <wps:spPr>
                      <a:xfrm flipH="1">
                        <a:off x="0" y="0"/>
                        <a:ext cx="37719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sz w:val="44"/>
                              <w:szCs w:val="44"/>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26.95pt;margin-top:0pt;height:22.55pt;width:29.7pt;mso-position-horizontal-relative:margin;z-index:251667456;mso-width-relative:page;mso-height-relative:page;" filled="f" stroked="f" coordsize="21600,21600" o:gfxdata="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pt0z9YAAAAHAQAADwAAAAAAAAABACAAAAAiAAAAZHJz&#10;L2Rvd25yZXYueG1sUEsBAhQAFAAAAAgAh07iQKAHtRg/AgAAbQQAAA4AAAAAAAAAAQAgAAAAJQEA&#10;AGRycy9lMm9Eb2MueG1sUEsFBgAAAAAGAAYAWQEAANYFAAAAAA==&#10;">
              <v:fill on="f" focussize="0,0"/>
              <v:stroke on="f" weight="0.5pt"/>
              <v:imagedata o:title=""/>
              <o:lock v:ext="edit" aspectratio="f"/>
              <v:textbox inset="0mm,0mm,0mm,0mm">
                <w:txbxContent>
                  <w:p>
                    <w:pPr>
                      <w:pStyle w:val="11"/>
                      <w:rPr>
                        <w:rFonts w:hint="eastAsia" w:eastAsia="宋体"/>
                        <w:sz w:val="44"/>
                        <w:szCs w:val="44"/>
                        <w:lang w:val="en-US" w:eastAsia="zh-CN"/>
                      </w:rPr>
                    </w:pPr>
                  </w:p>
                </w:txbxContent>
              </v:textbox>
            </v:shape>
          </w:pict>
        </mc:Fallback>
      </mc:AlternateContent>
    </w:r>
  </w:p>
  <w:p>
    <w:pPr>
      <w:pStyle w:val="11"/>
      <w:jc w:val="center"/>
    </w:pPr>
  </w:p>
  <w:p>
    <w:pPr>
      <w:pStyle w:val="11"/>
      <w:jc w:val="both"/>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val="en-US" w:eastAsia="zh-CN"/>
                            </w:rPr>
                          </w:pP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val="en-US" w:eastAsia="zh-CN"/>
                      </w:rPr>
                    </w:pPr>
                    <w:r>
                      <w:rPr>
                        <w:rFonts w:hint="eastAsia"/>
                        <w:lang w:val="en-US" w:eastAsia="zh-CN"/>
                      </w:rPr>
                      <w:t>2</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612A8"/>
    <w:multiLevelType w:val="singleLevel"/>
    <w:tmpl w:val="846612A8"/>
    <w:lvl w:ilvl="0" w:tentative="0">
      <w:start w:val="1"/>
      <w:numFmt w:val="chineseCounting"/>
      <w:suff w:val="nothing"/>
      <w:lvlText w:val="%1、"/>
      <w:lvlJc w:val="left"/>
      <w:rPr>
        <w:rFonts w:hint="eastAsia"/>
      </w:rPr>
    </w:lvl>
  </w:abstractNum>
  <w:abstractNum w:abstractNumId="1">
    <w:nsid w:val="C32E4679"/>
    <w:multiLevelType w:val="singleLevel"/>
    <w:tmpl w:val="C32E4679"/>
    <w:lvl w:ilvl="0" w:tentative="0">
      <w:start w:val="4"/>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24D8DD4"/>
    <w:multiLevelType w:val="singleLevel"/>
    <w:tmpl w:val="D24D8DD4"/>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2391878"/>
    <w:multiLevelType w:val="singleLevel"/>
    <w:tmpl w:val="02391878"/>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34B770E"/>
    <w:multiLevelType w:val="singleLevel"/>
    <w:tmpl w:val="434B770E"/>
    <w:lvl w:ilvl="0" w:tentative="0">
      <w:start w:val="1"/>
      <w:numFmt w:val="chineseCounting"/>
      <w:suff w:val="nothing"/>
      <w:lvlText w:val="%1、"/>
      <w:lvlJc w:val="left"/>
      <w:rPr>
        <w:rFonts w:hint="eastAsia"/>
      </w:rPr>
    </w:lvl>
  </w:abstractNum>
  <w:abstractNum w:abstractNumId="8">
    <w:nsid w:val="7BBAF049"/>
    <w:multiLevelType w:val="singleLevel"/>
    <w:tmpl w:val="7BBAF049"/>
    <w:lvl w:ilvl="0" w:tentative="0">
      <w:start w:val="1"/>
      <w:numFmt w:val="chineseCounting"/>
      <w:suff w:val="nothing"/>
      <w:lvlText w:val="（%1）"/>
      <w:lvlJc w:val="left"/>
      <w:rPr>
        <w:rFonts w:hint="eastAsia"/>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4E32B89"/>
    <w:rsid w:val="066E0107"/>
    <w:rsid w:val="07996F6E"/>
    <w:rsid w:val="0A2032A3"/>
    <w:rsid w:val="0EA06B7E"/>
    <w:rsid w:val="0F98263C"/>
    <w:rsid w:val="101860EC"/>
    <w:rsid w:val="10C055FF"/>
    <w:rsid w:val="118107EC"/>
    <w:rsid w:val="13D50BC4"/>
    <w:rsid w:val="16BB723D"/>
    <w:rsid w:val="1BE8440E"/>
    <w:rsid w:val="1CFF2AD9"/>
    <w:rsid w:val="1D155CEE"/>
    <w:rsid w:val="1FF35744"/>
    <w:rsid w:val="23860B96"/>
    <w:rsid w:val="240371BF"/>
    <w:rsid w:val="28B90CF7"/>
    <w:rsid w:val="29FD04D3"/>
    <w:rsid w:val="2C8A61B5"/>
    <w:rsid w:val="2DF04E50"/>
    <w:rsid w:val="2F040D46"/>
    <w:rsid w:val="319F7F4E"/>
    <w:rsid w:val="3304709D"/>
    <w:rsid w:val="36AA5135"/>
    <w:rsid w:val="376D39B2"/>
    <w:rsid w:val="37E16F03"/>
    <w:rsid w:val="38D469F0"/>
    <w:rsid w:val="3D98207C"/>
    <w:rsid w:val="3E78745D"/>
    <w:rsid w:val="41A9043F"/>
    <w:rsid w:val="4350409A"/>
    <w:rsid w:val="44E268DA"/>
    <w:rsid w:val="4A627F82"/>
    <w:rsid w:val="4B0E749A"/>
    <w:rsid w:val="4B4F25DA"/>
    <w:rsid w:val="4BE068DB"/>
    <w:rsid w:val="4D577224"/>
    <w:rsid w:val="4EAB630A"/>
    <w:rsid w:val="4ECE2238"/>
    <w:rsid w:val="4F9D2800"/>
    <w:rsid w:val="537E6D0A"/>
    <w:rsid w:val="55064CA1"/>
    <w:rsid w:val="56C06B2F"/>
    <w:rsid w:val="574A3461"/>
    <w:rsid w:val="5AF92295"/>
    <w:rsid w:val="5CD71FC4"/>
    <w:rsid w:val="61561495"/>
    <w:rsid w:val="67C9071E"/>
    <w:rsid w:val="6C4A05C8"/>
    <w:rsid w:val="6E7E3605"/>
    <w:rsid w:val="6FF5CC65"/>
    <w:rsid w:val="715C0E4B"/>
    <w:rsid w:val="71843F8A"/>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suppressAutoHyphens/>
      <w:ind w:leftChars="200" w:hanging="200" w:hangingChars="200"/>
      <w:jc w:val="both"/>
      <w:textAlignment w:val="baseline"/>
    </w:pPr>
  </w:style>
  <w:style w:type="paragraph" w:styleId="6">
    <w:name w:val="Body Text"/>
    <w:basedOn w:val="1"/>
    <w:next w:val="7"/>
    <w:link w:val="29"/>
    <w:qFormat/>
    <w:uiPriority w:val="99"/>
    <w:pPr>
      <w:spacing w:beforeLines="30"/>
    </w:pPr>
    <w:rPr>
      <w:rFonts w:ascii="仿宋_GB2312" w:eastAsia="仿宋_GB2312"/>
      <w:kern w:val="0"/>
      <w:sz w:val="30"/>
    </w:rPr>
  </w:style>
  <w:style w:type="paragraph" w:styleId="7">
    <w:name w:val="Subtitle"/>
    <w:next w:val="1"/>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after="60" w:line="700" w:lineRule="exact"/>
      <w:jc w:val="center"/>
      <w:outlineLvl w:val="0"/>
    </w:pPr>
    <w:rPr>
      <w:rFonts w:ascii="Arial" w:hAnsi="Arial" w:eastAsia="方正小标宋简体"/>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23"/>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23">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9"/>
    <w:link w:val="3"/>
    <w:qFormat/>
    <w:uiPriority w:val="9"/>
    <w:rPr>
      <w:rFonts w:ascii="Times New Roman" w:hAnsi="Times New Roman"/>
      <w:b/>
      <w:bCs/>
      <w:kern w:val="44"/>
      <w:sz w:val="44"/>
      <w:szCs w:val="44"/>
    </w:rPr>
  </w:style>
  <w:style w:type="character" w:customStyle="1" w:styleId="33">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10"/>
    <w:semiHidden/>
    <w:qFormat/>
    <w:uiPriority w:val="99"/>
    <w:rPr>
      <w:rFonts w:ascii="Times New Roman" w:hAnsi="Times New Roman"/>
      <w:kern w:val="2"/>
      <w:sz w:val="18"/>
      <w:szCs w:val="18"/>
    </w:rPr>
  </w:style>
  <w:style w:type="character" w:customStyle="1" w:styleId="36">
    <w:name w:val="标题 3 Char"/>
    <w:basedOn w:val="19"/>
    <w:link w:val="5"/>
    <w:qFormat/>
    <w:uiPriority w:val="9"/>
    <w:rPr>
      <w:rFonts w:ascii="Times New Roman" w:hAnsi="Times New Roman"/>
      <w:b/>
      <w:bCs/>
      <w:kern w:val="2"/>
      <w:sz w:val="32"/>
      <w:szCs w:val="32"/>
    </w:rPr>
  </w:style>
  <w:style w:type="paragraph" w:customStyle="1" w:styleId="3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9">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font31"/>
    <w:basedOn w:val="19"/>
    <w:qFormat/>
    <w:uiPriority w:val="0"/>
    <w:rPr>
      <w:rFonts w:hint="eastAsia" w:ascii="宋体" w:hAnsi="宋体" w:eastAsia="宋体" w:cs="宋体"/>
      <w:color w:val="000000"/>
      <w:sz w:val="24"/>
      <w:szCs w:val="24"/>
      <w:u w:val="none"/>
    </w:rPr>
  </w:style>
  <w:style w:type="character" w:customStyle="1" w:styleId="41">
    <w:name w:val="font61"/>
    <w:basedOn w:val="19"/>
    <w:qFormat/>
    <w:uiPriority w:val="0"/>
    <w:rPr>
      <w:rFonts w:hint="default" w:ascii="Times New Roman" w:hAnsi="Times New Roman" w:cs="Times New Roman"/>
      <w:color w:val="000000"/>
      <w:sz w:val="24"/>
      <w:szCs w:val="24"/>
      <w:u w:val="none"/>
    </w:rPr>
  </w:style>
  <w:style w:type="character" w:customStyle="1" w:styleId="42">
    <w:name w:val="font51"/>
    <w:basedOn w:val="19"/>
    <w:qFormat/>
    <w:uiPriority w:val="0"/>
    <w:rPr>
      <w:rFonts w:hint="eastAsia" w:ascii="宋体" w:hAnsi="宋体" w:eastAsia="宋体" w:cs="宋体"/>
      <w:b/>
      <w:bCs/>
      <w:color w:val="000000"/>
      <w:sz w:val="18"/>
      <w:szCs w:val="18"/>
      <w:u w:val="none"/>
    </w:rPr>
  </w:style>
  <w:style w:type="character" w:customStyle="1" w:styleId="43">
    <w:name w:val="font71"/>
    <w:basedOn w:val="19"/>
    <w:qFormat/>
    <w:uiPriority w:val="0"/>
    <w:rPr>
      <w:rFonts w:hint="eastAsia" w:ascii="宋体" w:hAnsi="宋体" w:eastAsia="宋体" w:cs="宋体"/>
      <w:color w:val="000000"/>
      <w:sz w:val="16"/>
      <w:szCs w:val="16"/>
      <w:u w:val="none"/>
    </w:rPr>
  </w:style>
  <w:style w:type="character" w:customStyle="1" w:styleId="44">
    <w:name w:val="font21"/>
    <w:basedOn w:val="19"/>
    <w:qFormat/>
    <w:uiPriority w:val="0"/>
    <w:rPr>
      <w:rFonts w:hint="eastAsia" w:ascii="宋体" w:hAnsi="宋体" w:eastAsia="宋体" w:cs="宋体"/>
      <w:b/>
      <w:bCs/>
      <w:color w:val="000000"/>
      <w:sz w:val="36"/>
      <w:szCs w:val="36"/>
      <w:u w:val="none"/>
    </w:rPr>
  </w:style>
  <w:style w:type="character" w:customStyle="1" w:styleId="45">
    <w:name w:val="font81"/>
    <w:basedOn w:val="19"/>
    <w:qFormat/>
    <w:uiPriority w:val="0"/>
    <w:rPr>
      <w:rFonts w:hint="eastAsia" w:ascii="宋体" w:hAnsi="宋体" w:eastAsia="宋体" w:cs="宋体"/>
      <w:b/>
      <w:bCs/>
      <w:color w:val="000000"/>
      <w:sz w:val="32"/>
      <w:szCs w:val="32"/>
      <w:u w:val="none"/>
    </w:rPr>
  </w:style>
  <w:style w:type="paragraph" w:customStyle="1" w:styleId="4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rPr>
  </w:style>
  <w:style w:type="paragraph" w:customStyle="1" w:styleId="47">
    <w:name w:val="WPSOffice手动目录 1"/>
    <w:uiPriority w:val="0"/>
    <w:pPr>
      <w:ind w:leftChars="0"/>
    </w:pPr>
    <w:rPr>
      <w:sz w:val="20"/>
      <w:szCs w:val="20"/>
    </w:rPr>
  </w:style>
  <w:style w:type="paragraph" w:customStyle="1" w:styleId="48">
    <w:name w:val="WPSOffice手动目录 2"/>
    <w:uiPriority w:val="0"/>
    <w:pPr>
      <w:ind w:leftChars="200"/>
    </w:pPr>
    <w:rPr>
      <w:sz w:val="20"/>
      <w:szCs w:val="20"/>
    </w:rPr>
  </w:style>
  <w:style w:type="paragraph" w:customStyle="1" w:styleId="4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4.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a:solidFill>
                  <a:schemeClr val="tx1"/>
                </a:solidFill>
              </a:rPr>
              <a:t>收、支决算总计变动情况图</a:t>
            </a:r>
            <a:endParaRPr>
              <a:solidFill>
                <a:schemeClr val="tx1"/>
              </a:solidFill>
            </a:endParaRPr>
          </a:p>
          <a:p>
            <a:pPr defTabSz="914400">
              <a:defRPr lang="zh-CN" sz="1400" b="1" i="0" u="none" strike="noStrike" kern="1200" baseline="0">
                <a:solidFill>
                  <a:schemeClr val="tx1"/>
                </a:solidFill>
                <a:latin typeface="+mn-lt"/>
                <a:ea typeface="+mn-ea"/>
                <a:cs typeface="+mn-cs"/>
              </a:defRPr>
            </a:pPr>
            <a:r>
              <a:rPr>
                <a:solidFill>
                  <a:schemeClr val="tx1"/>
                </a:solidFill>
              </a:rPr>
              <a:t>（单位：万元）</a:t>
            </a:r>
            <a:endParaRPr>
              <a:solidFill>
                <a:schemeClr val="tx1"/>
              </a:solidFill>
            </a:endParaRPr>
          </a:p>
        </c:rich>
      </c:tx>
      <c:layout/>
      <c:overlay val="0"/>
      <c:spPr>
        <a:noFill/>
        <a:ln>
          <a:noFill/>
        </a:ln>
        <a:effectLst/>
      </c:spPr>
    </c:title>
    <c:autoTitleDeleted val="0"/>
    <c:plotArea>
      <c:layout>
        <c:manualLayout>
          <c:layoutTarget val="inner"/>
          <c:xMode val="edge"/>
          <c:yMode val="edge"/>
          <c:x val="0.0636143996134332"/>
          <c:y val="0.16325551646946"/>
          <c:w val="0.908359507127325"/>
          <c:h val="0.696098496961944"/>
        </c:manualLayout>
      </c:layout>
      <c:barChart>
        <c:barDir val="col"/>
        <c:grouping val="clustered"/>
        <c:varyColors val="0"/>
        <c:ser>
          <c:idx val="0"/>
          <c:order val="0"/>
          <c:tx>
            <c:strRef>
              <c:f>Sheet1!$B$1</c:f>
              <c:strCache>
                <c:ptCount val="1"/>
                <c:pt idx="0">
                  <c:v>收入决算</c:v>
                </c:pt>
              </c:strCache>
            </c:strRef>
          </c:tx>
          <c:spPr>
            <a:solidFill>
              <a:schemeClr val="accent2">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2021年</c:v>
                </c:pt>
                <c:pt idx="3">
                  <c:v>2022年</c:v>
                </c:pt>
              </c:strCache>
            </c:strRef>
          </c:cat>
          <c:val>
            <c:numRef>
              <c:f>Sheet1!$B$2:$B$5</c:f>
              <c:numCache>
                <c:formatCode>General</c:formatCode>
                <c:ptCount val="4"/>
                <c:pt idx="0">
                  <c:v>284.02</c:v>
                </c:pt>
                <c:pt idx="1">
                  <c:v>344.57</c:v>
                </c:pt>
              </c:numCache>
            </c:numRef>
          </c:val>
        </c:ser>
        <c:ser>
          <c:idx val="1"/>
          <c:order val="1"/>
          <c:tx>
            <c:strRef>
              <c:f>Sheet1!$C$1</c:f>
              <c:strCache>
                <c:ptCount val="1"/>
                <c:pt idx="0">
                  <c:v>支出决算</c:v>
                </c:pt>
              </c:strCache>
            </c:strRef>
          </c:tx>
          <c:spPr>
            <a:solidFill>
              <a:schemeClr val="accent1"/>
            </a:solidFill>
            <a:ln>
              <a:noFill/>
            </a:ln>
            <a:effectLst/>
          </c:spPr>
          <c:invertIfNegative val="0"/>
          <c:dPt>
            <c:idx val="2"/>
            <c:invertIfNegative val="0"/>
            <c:bubble3D val="0"/>
            <c:spPr>
              <a:solidFill>
                <a:schemeClr val="tx2">
                  <a:lumMod val="40000"/>
                  <a:lumOff val="60000"/>
                </a:schemeClr>
              </a:solidFill>
              <a:ln>
                <a:noFill/>
              </a:ln>
              <a:effectLst/>
            </c:spPr>
          </c:dPt>
          <c:dPt>
            <c:idx val="3"/>
            <c:invertIfNegative val="0"/>
            <c:bubble3D val="0"/>
            <c:spPr>
              <a:solidFill>
                <a:schemeClr val="tx2">
                  <a:lumMod val="40000"/>
                  <a:lumOff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2021年</c:v>
                </c:pt>
                <c:pt idx="3">
                  <c:v>2022年</c:v>
                </c:pt>
              </c:strCache>
            </c:strRef>
          </c:cat>
          <c:val>
            <c:numRef>
              <c:f>Sheet1!$C$2:$C$5</c:f>
              <c:numCache>
                <c:formatCode>General</c:formatCode>
                <c:ptCount val="4"/>
                <c:pt idx="2">
                  <c:v>284.02</c:v>
                </c:pt>
                <c:pt idx="3">
                  <c:v>344.57</c:v>
                </c:pt>
              </c:numCache>
            </c:numRef>
          </c:val>
        </c:ser>
        <c:dLbls>
          <c:showLegendKey val="0"/>
          <c:showVal val="1"/>
          <c:showCatName val="0"/>
          <c:showSerName val="0"/>
          <c:showPercent val="0"/>
          <c:showBubbleSize val="0"/>
        </c:dLbls>
        <c:gapWidth val="75"/>
        <c:overlap val="-25"/>
        <c:axId val="12109241"/>
        <c:axId val="683182618"/>
      </c:barChart>
      <c:catAx>
        <c:axId val="121092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83182618"/>
        <c:crosses val="autoZero"/>
        <c:auto val="1"/>
        <c:lblAlgn val="ctr"/>
        <c:lblOffset val="100"/>
        <c:noMultiLvlLbl val="0"/>
      </c:catAx>
      <c:valAx>
        <c:axId val="68318261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10924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solidFill>
        <a:schemeClr val="accent1"/>
      </a:solidFill>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chemeClr val="bg2">
                    <a:lumMod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2022</a:t>
            </a:r>
            <a:r>
              <a:rPr altLang="en-US"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年</a:t>
            </a:r>
            <a:r>
              <a:rPr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收入决算结构图</a:t>
            </a:r>
            <a:endParaRPr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336104783599089"/>
          <c:y val="0.0228690228690229"/>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rgbClr val="1F497D">
                <a:lumMod val="40000"/>
                <a:lumOff val="60000"/>
              </a:srgbClr>
            </a:solidFill>
            <a:ln w="19050">
              <a:noFill/>
            </a:ln>
          </c:spPr>
          <c:explosion val="0"/>
          <c:dPt>
            <c:idx val="0"/>
            <c:bubble3D val="0"/>
            <c:spPr>
              <a:solidFill>
                <a:srgbClr val="1F497D">
                  <a:lumMod val="40000"/>
                  <a:lumOff val="60000"/>
                </a:srgbClr>
              </a:solidFill>
              <a:ln w="19050">
                <a:noFill/>
              </a:ln>
              <a:effectLst/>
            </c:spPr>
          </c:dPt>
          <c:dPt>
            <c:idx val="1"/>
            <c:bubble3D val="0"/>
            <c:spPr>
              <a:solidFill>
                <a:srgbClr val="C0504D">
                  <a:lumMod val="40000"/>
                  <a:lumOff val="60000"/>
                </a:srgbClr>
              </a:solidFill>
              <a:ln w="19050">
                <a:noFill/>
              </a:ln>
              <a:effectLst/>
            </c:spPr>
          </c:dPt>
          <c:dLbls>
            <c:dLbl>
              <c:idx val="0"/>
              <c:layout>
                <c:manualLayout>
                  <c:x val="0.112964780797387"/>
                  <c:y val="0.030504550229837"/>
                </c:manualLayout>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2">
                            <a:lumMod val="25000"/>
                          </a:schemeClr>
                        </a:solidFill>
                        <a:latin typeface="+mn-lt"/>
                        <a:ea typeface="+mn-ea"/>
                        <a:cs typeface="+mn-cs"/>
                      </a:defRPr>
                    </a:pPr>
                    <a:r>
                      <a:rPr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一般公共预算财政拨款收入</a:t>
                    </a:r>
                    <a:r>
                      <a:rPr lang="en-US" altLang="zh-CN"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99.37%</a:t>
                    </a:r>
                    <a:endParaRPr lang="en-US" altLang="zh-CN"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1F497D">
                    <a:lumMod val="40000"/>
                    <a:lumOff val="60000"/>
                  </a:srgbClr>
                </a:solid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0478359908884"/>
                      <c:h val="0.144203374972606"/>
                    </c:manualLayout>
                  </c15:layout>
                </c:ext>
              </c:extLst>
            </c:dLbl>
            <c:dLbl>
              <c:idx val="1"/>
              <c:layout>
                <c:manualLayout>
                  <c:x val="-0.104308818539514"/>
                  <c:y val="-0.0835809356474142"/>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2">
                            <a:lumMod val="25000"/>
                          </a:schemeClr>
                        </a:solidFill>
                        <a:latin typeface="+mn-lt"/>
                        <a:ea typeface="+mn-ea"/>
                        <a:cs typeface="+mn-cs"/>
                      </a:defRPr>
                    </a:pPr>
                    <a:r>
                      <a:rPr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其他收入</a:t>
                    </a:r>
                    <a:endParaRPr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a:p>
                    <a:pPr defTabSz="914400">
                      <a:defRPr lang="zh-CN" sz="900" b="0" i="0" u="none" strike="noStrike" kern="1200" baseline="0">
                        <a:solidFill>
                          <a:schemeClr val="bg2">
                            <a:lumMod val="25000"/>
                          </a:schemeClr>
                        </a:solidFill>
                        <a:latin typeface="+mn-lt"/>
                        <a:ea typeface="+mn-ea"/>
                        <a:cs typeface="+mn-cs"/>
                      </a:defRPr>
                    </a:pPr>
                    <a:r>
                      <a:rPr lang="en-US" altLang="zh-CN"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0.63</a:t>
                    </a:r>
                    <a:r>
                      <a:rPr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a:t>
                    </a:r>
                    <a:endParaRPr sz="10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C0504D">
                    <a:lumMod val="40000"/>
                    <a:lumOff val="60000"/>
                  </a:srgbClr>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3530751708428"/>
                      <c:h val="0.141354372123603"/>
                    </c:manualLayout>
                  </c15:layout>
                </c:ext>
              </c:extLst>
            </c:dLbl>
            <c:numFmt formatCode="General" sourceLinked="1"/>
            <c:spPr>
              <a:solidFill>
                <a:srgbClr val="C0504D">
                  <a:lumMod val="40000"/>
                  <a:lumOff val="60000"/>
                </a:srgbClr>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342.4</c:v>
                </c:pt>
                <c:pt idx="1">
                  <c:v>2.17</c:v>
                </c:pt>
              </c:numCache>
            </c:numRef>
          </c:val>
        </c:ser>
        <c:dLbls>
          <c:showLegendKey val="0"/>
          <c:showVal val="1"/>
          <c:showCatName val="0"/>
          <c:showSerName val="0"/>
          <c:showPercent val="0"/>
          <c:showBubbleSize val="0"/>
          <c:showLeaderLines val="1"/>
        </c:dLbls>
        <c:firstSliceAng val="306"/>
      </c:pieChart>
      <c:spPr>
        <a:noFill/>
        <a:ln>
          <a:noFill/>
        </a:ln>
        <a:effectLst/>
      </c:spPr>
    </c:plotArea>
    <c:plotVisOnly val="1"/>
    <c:dispBlanksAs val="gap"/>
    <c:showDLblsOverMax val="0"/>
  </c:chart>
  <c:spPr>
    <a:noFill/>
    <a:ln w="9525" cap="flat" cmpd="sng" algn="ctr">
      <a:solidFill>
        <a:srgbClr val="4F81BD"/>
      </a:solidFill>
      <a:round/>
    </a:ln>
    <a:effectLst>
      <a:outerShdw blurRad="63500" dist="37357" dir="2700000" sx="0" sy="0" rotWithShape="0">
        <a:scrgbClr r="0" g="0" b="0"/>
      </a:outerShdw>
    </a:effectLst>
  </c:spPr>
  <c:txPr>
    <a:bodyPr/>
    <a:lstStyle/>
    <a:p>
      <a:pPr>
        <a:defRPr lang="zh-CN">
          <a:solidFill>
            <a:schemeClr val="bg2">
              <a:lumMod val="25000"/>
            </a:schemeClr>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chemeClr val="bg2">
                    <a:lumMod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2022</a:t>
            </a:r>
            <a:r>
              <a:rPr altLang="en-US"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年支出</a:t>
            </a:r>
            <a:r>
              <a:rPr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决算结构图</a:t>
            </a:r>
            <a:endParaRPr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338838268792711"/>
          <c:y val="0.0309917665513334"/>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rgbClr val="1F497D">
                <a:lumMod val="40000"/>
                <a:lumOff val="60000"/>
              </a:srgbClr>
            </a:solidFill>
            <a:ln w="19050">
              <a:noFill/>
            </a:ln>
          </c:spPr>
          <c:explosion val="0"/>
          <c:dPt>
            <c:idx val="0"/>
            <c:bubble3D val="0"/>
            <c:spPr>
              <a:solidFill>
                <a:srgbClr val="1F497D">
                  <a:lumMod val="40000"/>
                  <a:lumOff val="60000"/>
                </a:srgbClr>
              </a:solidFill>
              <a:ln w="19050">
                <a:noFill/>
              </a:ln>
              <a:effectLst/>
            </c:spPr>
          </c:dPt>
          <c:dPt>
            <c:idx val="1"/>
            <c:bubble3D val="0"/>
            <c:spPr>
              <a:solidFill>
                <a:srgbClr val="C0504D">
                  <a:lumMod val="40000"/>
                  <a:lumOff val="60000"/>
                </a:srgbClr>
              </a:solidFill>
              <a:ln w="19050">
                <a:noFill/>
              </a:ln>
              <a:effectLst/>
            </c:spPr>
          </c:dPt>
          <c:dLbls>
            <c:dLbl>
              <c:idx val="0"/>
              <c:layout>
                <c:manualLayout>
                  <c:x val="0.0432609083600295"/>
                  <c:y val="-0.125991033855306"/>
                </c:manualLayout>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2">
                            <a:lumMod val="25000"/>
                          </a:schemeClr>
                        </a:solidFill>
                        <a:latin typeface="+mn-lt"/>
                        <a:ea typeface="+mn-ea"/>
                        <a:cs typeface="+mn-cs"/>
                      </a:defRPr>
                    </a:pPr>
                    <a:r>
                      <a:rPr altLang="en-US"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基本支出</a:t>
                    </a:r>
                    <a:endParaRPr altLang="en-US"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a:p>
                    <a:pPr defTabSz="914400">
                      <a:defRPr lang="zh-CN" sz="1200" b="0" i="0" u="none" strike="noStrike" kern="1200" baseline="0">
                        <a:solidFill>
                          <a:schemeClr val="bg2">
                            <a:lumMod val="25000"/>
                          </a:schemeClr>
                        </a:solidFill>
                        <a:latin typeface="+mn-lt"/>
                        <a:ea typeface="+mn-ea"/>
                        <a:cs typeface="+mn-cs"/>
                      </a:defRPr>
                    </a:pPr>
                    <a:r>
                      <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70.78%</a:t>
                    </a:r>
                    <a:endPar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1F497D">
                    <a:lumMod val="40000"/>
                    <a:lumOff val="60000"/>
                  </a:srgbClr>
                </a:solid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5307517084282"/>
                      <c:h val="0.155009025270758"/>
                    </c:manualLayout>
                  </c15:layout>
                </c:ext>
              </c:extLst>
            </c:dLbl>
            <c:dLbl>
              <c:idx val="1"/>
              <c:layout>
                <c:manualLayout>
                  <c:x val="-0.0523725998606981"/>
                  <c:y val="0.11429263698317"/>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2">
                            <a:lumMod val="25000"/>
                          </a:schemeClr>
                        </a:solidFill>
                        <a:latin typeface="+mn-lt"/>
                        <a:ea typeface="+mn-ea"/>
                        <a:cs typeface="+mn-cs"/>
                      </a:defRPr>
                    </a:pPr>
                    <a:r>
                      <a:rPr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项目支出</a:t>
                    </a:r>
                    <a:endParaRPr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a:p>
                    <a:pPr defTabSz="914400">
                      <a:defRPr lang="zh-CN" sz="900" b="0" i="0" u="none" strike="noStrike" kern="1200" baseline="0">
                        <a:solidFill>
                          <a:schemeClr val="bg2">
                            <a:lumMod val="25000"/>
                          </a:schemeClr>
                        </a:solidFill>
                        <a:latin typeface="+mn-lt"/>
                        <a:ea typeface="+mn-ea"/>
                        <a:cs typeface="+mn-cs"/>
                      </a:defRPr>
                    </a:pPr>
                    <a:r>
                      <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29.22%</a:t>
                    </a:r>
                    <a:endPar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C0504D">
                    <a:lumMod val="40000"/>
                    <a:lumOff val="60000"/>
                  </a:srgbClr>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9020501138952"/>
                      <c:h val="0.160649819494585"/>
                    </c:manualLayout>
                  </c15:layout>
                </c:ext>
              </c:extLst>
            </c:dLbl>
            <c:numFmt formatCode="General" sourceLinked="1"/>
            <c:spPr>
              <a:solidFill>
                <a:srgbClr val="C0504D"/>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243.89</c:v>
                </c:pt>
                <c:pt idx="1">
                  <c:v>100.68</c:v>
                </c:pt>
              </c:numCache>
            </c:numRef>
          </c:val>
        </c:ser>
        <c:dLbls>
          <c:showLegendKey val="0"/>
          <c:showVal val="1"/>
          <c:showCatName val="0"/>
          <c:showSerName val="0"/>
          <c:showPercent val="0"/>
          <c:showBubbleSize val="0"/>
          <c:showLeaderLines val="1"/>
        </c:dLbls>
        <c:firstSliceAng val="306"/>
      </c:pieChart>
      <c:spPr>
        <a:noFill/>
        <a:ln>
          <a:noFill/>
        </a:ln>
        <a:effectLst/>
      </c:spPr>
    </c:plotArea>
    <c:plotVisOnly val="1"/>
    <c:dispBlanksAs val="gap"/>
    <c:showDLblsOverMax val="0"/>
  </c:chart>
  <c:spPr>
    <a:noFill/>
    <a:ln w="9525" cap="flat" cmpd="sng" algn="ctr">
      <a:solidFill>
        <a:srgbClr val="4F81BD"/>
      </a:solidFill>
      <a:round/>
    </a:ln>
    <a:effectLst>
      <a:outerShdw blurRad="63500" dist="37357" dir="2700000" sx="0" sy="0" rotWithShape="0">
        <a:scrgbClr r="0" g="0" b="0"/>
      </a:outerShdw>
    </a:effectLst>
  </c:spPr>
  <c:txPr>
    <a:bodyPr/>
    <a:lstStyle/>
    <a:p>
      <a:pPr>
        <a:defRPr lang="zh-CN">
          <a:solidFill>
            <a:schemeClr val="bg2">
              <a:lumMod val="25000"/>
            </a:schemeClr>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a:solidFill>
                  <a:schemeClr val="tx1"/>
                </a:solidFill>
                <a:latin typeface="仿宋_GB2312" panose="02010609030101010101" pitchFamily="3" charset="-122"/>
                <a:ea typeface="仿宋_GB2312" panose="02010609030101010101" pitchFamily="3" charset="-122"/>
              </a:rPr>
              <a:t>财政拨款收、支决算总计变动情况图</a:t>
            </a:r>
            <a:endParaRPr>
              <a:solidFill>
                <a:schemeClr val="tx1"/>
              </a:solidFill>
              <a:latin typeface="仿宋_GB2312" panose="02010609030101010101" pitchFamily="3" charset="-122"/>
              <a:ea typeface="仿宋_GB2312" panose="02010609030101010101" pitchFamily="3" charset="-122"/>
            </a:endParaRPr>
          </a:p>
          <a:p>
            <a:pPr defTabSz="914400">
              <a:defRPr lang="zh-CN" sz="1400" b="1" i="0" u="none" strike="noStrike" kern="1200" baseline="0">
                <a:solidFill>
                  <a:schemeClr val="tx1"/>
                </a:solidFill>
                <a:latin typeface="+mn-lt"/>
                <a:ea typeface="+mn-ea"/>
                <a:cs typeface="+mn-cs"/>
              </a:defRPr>
            </a:pPr>
            <a:r>
              <a:rPr>
                <a:solidFill>
                  <a:schemeClr val="tx1"/>
                </a:solidFill>
                <a:latin typeface="仿宋_GB2312" panose="02010609030101010101" pitchFamily="3" charset="-122"/>
                <a:ea typeface="仿宋_GB2312" panose="02010609030101010101" pitchFamily="3" charset="-122"/>
              </a:rPr>
              <a:t>（单位：万元）</a:t>
            </a:r>
            <a:endParaRPr>
              <a:solidFill>
                <a:schemeClr val="tx1"/>
              </a:solidFill>
              <a:latin typeface="仿宋_GB2312" panose="02010609030101010101" pitchFamily="3" charset="-122"/>
              <a:ea typeface="仿宋_GB2312" panose="02010609030101010101" pitchFamily="3" charset="-122"/>
            </a:endParaRPr>
          </a:p>
        </c:rich>
      </c:tx>
      <c:layout>
        <c:manualLayout>
          <c:xMode val="edge"/>
          <c:yMode val="edge"/>
          <c:x val="0.285938632519932"/>
          <c:y val="0.0218145761031234"/>
        </c:manualLayout>
      </c:layout>
      <c:overlay val="0"/>
      <c:spPr>
        <a:noFill/>
        <a:ln>
          <a:noFill/>
        </a:ln>
        <a:effectLst/>
      </c:spPr>
    </c:title>
    <c:autoTitleDeleted val="0"/>
    <c:plotArea>
      <c:layout>
        <c:manualLayout>
          <c:layoutTarget val="inner"/>
          <c:xMode val="edge"/>
          <c:yMode val="edge"/>
          <c:x val="0.0636143996134332"/>
          <c:y val="0.16325551646946"/>
          <c:w val="0.908359507127325"/>
          <c:h val="0.696098496961944"/>
        </c:manualLayout>
      </c:layout>
      <c:barChart>
        <c:barDir val="col"/>
        <c:grouping val="clustered"/>
        <c:varyColors val="0"/>
        <c:ser>
          <c:idx val="0"/>
          <c:order val="0"/>
          <c:tx>
            <c:strRef>
              <c:f>Sheet1!$B$1</c:f>
              <c:strCache>
                <c:ptCount val="1"/>
                <c:pt idx="0">
                  <c:v>财政拨款收入</c:v>
                </c:pt>
              </c:strCache>
            </c:strRef>
          </c:tx>
          <c:spPr>
            <a:solidFill>
              <a:schemeClr val="accent2">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2021年</c:v>
                </c:pt>
                <c:pt idx="3">
                  <c:v>2022年</c:v>
                </c:pt>
              </c:strCache>
            </c:strRef>
          </c:cat>
          <c:val>
            <c:numRef>
              <c:f>Sheet1!$B$2:$B$5</c:f>
              <c:numCache>
                <c:formatCode>General</c:formatCode>
                <c:ptCount val="4"/>
                <c:pt idx="0">
                  <c:v>284.02</c:v>
                </c:pt>
                <c:pt idx="1">
                  <c:v>342.4</c:v>
                </c:pt>
              </c:numCache>
            </c:numRef>
          </c:val>
        </c:ser>
        <c:ser>
          <c:idx val="1"/>
          <c:order val="1"/>
          <c:tx>
            <c:strRef>
              <c:f>Sheet1!$C$1</c:f>
              <c:strCache>
                <c:ptCount val="1"/>
                <c:pt idx="0">
                  <c:v>财政拨款支出</c:v>
                </c:pt>
              </c:strCache>
            </c:strRef>
          </c:tx>
          <c:spPr>
            <a:solidFill>
              <a:schemeClr val="tx2">
                <a:lumMod val="40000"/>
                <a:lumOff val="60000"/>
              </a:schemeClr>
            </a:solidFill>
            <a:ln>
              <a:noFill/>
            </a:ln>
            <a:effectLst/>
          </c:spPr>
          <c:invertIfNegative val="0"/>
          <c:dPt>
            <c:idx val="2"/>
            <c:invertIfNegative val="0"/>
            <c:bubble3D val="0"/>
            <c:spPr>
              <a:solidFill>
                <a:schemeClr val="tx2">
                  <a:lumMod val="40000"/>
                  <a:lumOff val="60000"/>
                </a:schemeClr>
              </a:solidFill>
              <a:ln>
                <a:noFill/>
              </a:ln>
              <a:effectLst/>
            </c:spPr>
          </c:dPt>
          <c:dPt>
            <c:idx val="3"/>
            <c:invertIfNegative val="0"/>
            <c:bubble3D val="0"/>
            <c:spPr>
              <a:solidFill>
                <a:schemeClr val="tx2">
                  <a:lumMod val="40000"/>
                  <a:lumOff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2021年</c:v>
                </c:pt>
                <c:pt idx="3">
                  <c:v>2022年</c:v>
                </c:pt>
              </c:strCache>
            </c:strRef>
          </c:cat>
          <c:val>
            <c:numRef>
              <c:f>Sheet1!$C$2:$C$5</c:f>
              <c:numCache>
                <c:formatCode>General</c:formatCode>
                <c:ptCount val="4"/>
                <c:pt idx="2">
                  <c:v>284.02</c:v>
                </c:pt>
                <c:pt idx="3">
                  <c:v>342.4</c:v>
                </c:pt>
              </c:numCache>
            </c:numRef>
          </c:val>
        </c:ser>
        <c:dLbls>
          <c:showLegendKey val="0"/>
          <c:showVal val="1"/>
          <c:showCatName val="0"/>
          <c:showSerName val="0"/>
          <c:showPercent val="0"/>
          <c:showBubbleSize val="0"/>
        </c:dLbls>
        <c:gapWidth val="75"/>
        <c:overlap val="-25"/>
        <c:axId val="12109241"/>
        <c:axId val="683182618"/>
      </c:barChart>
      <c:catAx>
        <c:axId val="121092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83182618"/>
        <c:crosses val="autoZero"/>
        <c:auto val="1"/>
        <c:lblAlgn val="ctr"/>
        <c:lblOffset val="100"/>
        <c:noMultiLvlLbl val="0"/>
      </c:catAx>
      <c:valAx>
        <c:axId val="68318261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10924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solidFill>
        <a:schemeClr val="accent1"/>
      </a:solidFill>
      <a:round/>
    </a:ln>
    <a:effectLst/>
  </c:spPr>
  <c:txPr>
    <a:bodyPr/>
    <a:lstStyle/>
    <a:p>
      <a:pPr>
        <a:defRPr lang="zh-CN">
          <a:solidFill>
            <a:schemeClr val="tx1"/>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a:solidFill>
                  <a:schemeClr val="tx1"/>
                </a:solidFill>
                <a:latin typeface="仿宋_GB2312" panose="02010609030101010101" pitchFamily="3" charset="-122"/>
                <a:ea typeface="仿宋_GB2312" panose="02010609030101010101" pitchFamily="3" charset="-122"/>
              </a:rPr>
              <a:t>一般公共预算财政拨款支出决算变动情况图</a:t>
            </a:r>
            <a:endParaRPr>
              <a:solidFill>
                <a:schemeClr val="tx1"/>
              </a:solidFill>
              <a:latin typeface="仿宋_GB2312" panose="02010609030101010101" pitchFamily="3" charset="-122"/>
              <a:ea typeface="仿宋_GB2312" panose="02010609030101010101" pitchFamily="3" charset="-122"/>
            </a:endParaRPr>
          </a:p>
          <a:p>
            <a:pPr defTabSz="914400">
              <a:defRPr lang="zh-CN" sz="1400" b="1" i="0" u="none" strike="noStrike" kern="1200" baseline="0">
                <a:solidFill>
                  <a:schemeClr val="tx1"/>
                </a:solidFill>
                <a:latin typeface="+mn-lt"/>
                <a:ea typeface="+mn-ea"/>
                <a:cs typeface="+mn-cs"/>
              </a:defRPr>
            </a:pPr>
            <a:r>
              <a:rPr>
                <a:solidFill>
                  <a:schemeClr val="tx1"/>
                </a:solidFill>
                <a:latin typeface="仿宋_GB2312" panose="02010609030101010101" pitchFamily="3" charset="-122"/>
                <a:ea typeface="仿宋_GB2312" panose="02010609030101010101" pitchFamily="3" charset="-122"/>
              </a:rPr>
              <a:t>（单位：万元）</a:t>
            </a:r>
            <a:endParaRPr>
              <a:solidFill>
                <a:schemeClr val="tx1"/>
              </a:solidFill>
              <a:latin typeface="仿宋_GB2312" panose="02010609030101010101" pitchFamily="3" charset="-122"/>
              <a:ea typeface="仿宋_GB2312" panose="02010609030101010101" pitchFamily="3" charset="-122"/>
            </a:endParaRPr>
          </a:p>
        </c:rich>
      </c:tx>
      <c:layout>
        <c:manualLayout>
          <c:xMode val="edge"/>
          <c:yMode val="edge"/>
          <c:x val="0.186313931052856"/>
          <c:y val="0.00628310870302633"/>
        </c:manualLayout>
      </c:layout>
      <c:overlay val="0"/>
      <c:spPr>
        <a:noFill/>
        <a:ln>
          <a:noFill/>
        </a:ln>
        <a:effectLst/>
      </c:spPr>
    </c:title>
    <c:autoTitleDeleted val="0"/>
    <c:plotArea>
      <c:layout>
        <c:manualLayout>
          <c:layoutTarget val="inner"/>
          <c:xMode val="edge"/>
          <c:yMode val="edge"/>
          <c:x val="0.0636143996134332"/>
          <c:y val="0.161314083044448"/>
          <c:w val="0.908359507127325"/>
          <c:h val="0.696098496961944"/>
        </c:manualLayout>
      </c:layout>
      <c:barChart>
        <c:barDir val="col"/>
        <c:grouping val="clustered"/>
        <c:varyColors val="0"/>
        <c:ser>
          <c:idx val="0"/>
          <c:order val="0"/>
          <c:tx>
            <c:strRef>
              <c:f>Sheet1!$B$1</c:f>
              <c:strCache>
                <c:ptCount val="1"/>
                <c:pt idx="0">
                  <c:v>一般公共预算财政拨款支出</c:v>
                </c:pt>
              </c:strCache>
            </c:strRef>
          </c:tx>
          <c:spPr>
            <a:solidFill>
              <a:schemeClr val="accent2">
                <a:lumMod val="40000"/>
                <a:lumOff val="60000"/>
              </a:schemeClr>
            </a:solidFill>
            <a:ln>
              <a:noFill/>
            </a:ln>
            <a:effectLst/>
          </c:spPr>
          <c:invertIfNegative val="0"/>
          <c:dPt>
            <c:idx val="1"/>
            <c:invertIfNegative val="0"/>
            <c:bubble3D val="0"/>
            <c:spPr>
              <a:solidFill>
                <a:schemeClr val="tx2">
                  <a:lumMod val="40000"/>
                  <a:lumOff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284.02</c:v>
                </c:pt>
                <c:pt idx="1">
                  <c:v>342.4</c:v>
                </c:pt>
              </c:numCache>
            </c:numRef>
          </c:val>
        </c:ser>
        <c:dLbls>
          <c:showLegendKey val="0"/>
          <c:showVal val="1"/>
          <c:showCatName val="0"/>
          <c:showSerName val="0"/>
          <c:showPercent val="0"/>
          <c:showBubbleSize val="0"/>
        </c:dLbls>
        <c:gapWidth val="75"/>
        <c:overlap val="-25"/>
        <c:axId val="12109241"/>
        <c:axId val="683182618"/>
      </c:barChart>
      <c:catAx>
        <c:axId val="121092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83182618"/>
        <c:crosses val="autoZero"/>
        <c:auto val="1"/>
        <c:lblAlgn val="ctr"/>
        <c:lblOffset val="100"/>
        <c:noMultiLvlLbl val="0"/>
      </c:catAx>
      <c:valAx>
        <c:axId val="68318261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109241"/>
        <c:crosses val="autoZero"/>
        <c:crossBetween val="between"/>
      </c:valAx>
      <c:spPr>
        <a:noFill/>
        <a:ln>
          <a:noFill/>
        </a:ln>
        <a:effectLst/>
      </c:spPr>
    </c:plotArea>
    <c:plotVisOnly val="1"/>
    <c:dispBlanksAs val="gap"/>
    <c:showDLblsOverMax val="0"/>
  </c:chart>
  <c:spPr>
    <a:noFill/>
    <a:ln w="9525" cap="flat" cmpd="sng" algn="ctr">
      <a:solidFill>
        <a:schemeClr val="accent1"/>
      </a:solidFill>
      <a:round/>
    </a:ln>
    <a:effectLst/>
  </c:spPr>
  <c:txPr>
    <a:bodyPr/>
    <a:lstStyle/>
    <a:p>
      <a:pPr>
        <a:defRPr lang="zh-CN">
          <a:solidFill>
            <a:schemeClr val="tx1"/>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chemeClr val="bg2">
                    <a:lumMod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2022</a:t>
            </a:r>
            <a:r>
              <a:rPr altLang="en-US"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年一般公共预算财政拨款支出结构图</a:t>
            </a:r>
            <a:endParaRPr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196697038724374"/>
          <c:y val="0.03640692900620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rgbClr val="1F497D">
                <a:lumMod val="40000"/>
                <a:lumOff val="60000"/>
              </a:srgbClr>
            </a:solidFill>
            <a:ln w="19050">
              <a:noFill/>
            </a:ln>
          </c:spPr>
          <c:explosion val="0"/>
          <c:dPt>
            <c:idx val="0"/>
            <c:bubble3D val="0"/>
            <c:spPr>
              <a:solidFill>
                <a:srgbClr val="1F497D">
                  <a:lumMod val="40000"/>
                  <a:lumOff val="60000"/>
                </a:srgbClr>
              </a:solidFill>
              <a:ln w="19050">
                <a:noFill/>
              </a:ln>
              <a:effectLst/>
            </c:spPr>
          </c:dPt>
          <c:dPt>
            <c:idx val="1"/>
            <c:bubble3D val="0"/>
            <c:spPr>
              <a:solidFill>
                <a:srgbClr val="F79646">
                  <a:lumMod val="40000"/>
                  <a:lumOff val="60000"/>
                </a:srgbClr>
              </a:solidFill>
              <a:ln w="19050">
                <a:noFill/>
              </a:ln>
              <a:effectLst/>
            </c:spPr>
          </c:dPt>
          <c:dPt>
            <c:idx val="2"/>
            <c:bubble3D val="0"/>
            <c:spPr>
              <a:solidFill>
                <a:srgbClr val="C0504D">
                  <a:lumMod val="40000"/>
                  <a:lumOff val="60000"/>
                </a:srgbClr>
              </a:solidFill>
              <a:ln w="19050">
                <a:noFill/>
              </a:ln>
              <a:effectLst/>
            </c:spPr>
          </c:dPt>
          <c:dPt>
            <c:idx val="3"/>
            <c:bubble3D val="0"/>
            <c:spPr>
              <a:solidFill>
                <a:sysClr val="window" lastClr="FFFFFF"/>
              </a:solidFill>
              <a:ln w="19050">
                <a:noFill/>
              </a:ln>
              <a:effectLst/>
            </c:spPr>
          </c:dPt>
          <c:dLbls>
            <c:dLbl>
              <c:idx val="0"/>
              <c:layout>
                <c:manualLayout>
                  <c:x val="0.0323269675855421"/>
                  <c:y val="0.0120956087439724"/>
                </c:manualLayout>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2">
                            <a:lumMod val="25000"/>
                          </a:schemeClr>
                        </a:solidFill>
                        <a:latin typeface="+mn-lt"/>
                        <a:ea typeface="+mn-ea"/>
                        <a:cs typeface="+mn-cs"/>
                      </a:defRPr>
                    </a:pPr>
                    <a:r>
                      <a:rPr altLang="en-US"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一般公共服务支出</a:t>
                    </a:r>
                    <a:r>
                      <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85.3%</a:t>
                    </a:r>
                    <a:endPar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1F497D">
                    <a:lumMod val="40000"/>
                    <a:lumOff val="60000"/>
                  </a:srgbClr>
                </a:solid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6719817767654"/>
                      <c:h val="0.16177797833935"/>
                    </c:manualLayout>
                  </c15:layout>
                </c:ext>
              </c:extLst>
            </c:dLbl>
            <c:dLbl>
              <c:idx val="1"/>
              <c:layout>
                <c:manualLayout>
                  <c:x val="-0.0455388868766435"/>
                  <c:y val="0.108877474528297"/>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2">
                            <a:lumMod val="25000"/>
                          </a:schemeClr>
                        </a:solidFill>
                        <a:latin typeface="+mn-lt"/>
                        <a:ea typeface="+mn-ea"/>
                        <a:cs typeface="+mn-cs"/>
                      </a:defRPr>
                    </a:pPr>
                    <a:r>
                      <a:rPr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社会保障和就业支出</a:t>
                    </a:r>
                    <a:r>
                      <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5.92%</a:t>
                    </a:r>
                    <a:endPar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F79646">
                    <a:lumMod val="40000"/>
                    <a:lumOff val="60000"/>
                  </a:srgbClr>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0432801822323"/>
                      <c:h val="0.152527075812274"/>
                    </c:manualLayout>
                  </c15:layout>
                </c:ext>
              </c:extLst>
            </c:dLbl>
            <c:dLbl>
              <c:idx val="2"/>
              <c:layout>
                <c:manualLayout>
                  <c:x val="-0.0948123073094614"/>
                  <c:y val="-0.03013514316079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bg2">
                            <a:lumMod val="25000"/>
                          </a:schemeClr>
                        </a:solidFill>
                        <a:latin typeface="+mn-lt"/>
                        <a:ea typeface="+mn-ea"/>
                        <a:cs typeface="+mn-cs"/>
                      </a:defRPr>
                    </a:pPr>
                    <a:r>
                      <a:rPr sz="1100">
                        <a:latin typeface="仿宋_GB2312" panose="02010609030101010101" pitchFamily="3" charset="-122"/>
                        <a:ea typeface="仿宋_GB2312" panose="02010609030101010101" pitchFamily="3" charset="-122"/>
                        <a:cs typeface="仿宋_GB2312" panose="02010609030101010101" pitchFamily="3" charset="-122"/>
                      </a:rPr>
                      <a:t>卫生健康支出</a:t>
                    </a:r>
                    <a:endParaRPr sz="1100">
                      <a:latin typeface="仿宋_GB2312" panose="02010609030101010101" pitchFamily="3" charset="-122"/>
                      <a:ea typeface="仿宋_GB2312" panose="02010609030101010101" pitchFamily="3" charset="-122"/>
                      <a:cs typeface="仿宋_GB2312" panose="02010609030101010101" pitchFamily="3" charset="-122"/>
                    </a:endParaRPr>
                  </a:p>
                  <a:p>
                    <a:pPr defTabSz="914400">
                      <a:defRPr lang="zh-CN" sz="900" b="0" i="0" u="none" strike="noStrike" kern="1200" baseline="0">
                        <a:solidFill>
                          <a:schemeClr val="bg2">
                            <a:lumMod val="25000"/>
                          </a:schemeClr>
                        </a:solidFill>
                        <a:latin typeface="+mn-lt"/>
                        <a:ea typeface="+mn-ea"/>
                        <a:cs typeface="+mn-cs"/>
                      </a:defRPr>
                    </a:pPr>
                    <a:r>
                      <a:rPr lang="en-US" altLang="zh-CN" sz="1100">
                        <a:latin typeface="仿宋_GB2312" panose="02010609030101010101" pitchFamily="3" charset="-122"/>
                        <a:ea typeface="仿宋_GB2312" panose="02010609030101010101" pitchFamily="3" charset="-122"/>
                        <a:cs typeface="仿宋_GB2312" panose="02010609030101010101" pitchFamily="3" charset="-122"/>
                      </a:rPr>
                      <a:t>3.06%</a:t>
                    </a:r>
                    <a:endParaRPr lang="en-US" altLang="zh-CN" sz="1100">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C0504D">
                    <a:lumMod val="40000"/>
                    <a:lumOff val="60000"/>
                  </a:srgb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6423690205011"/>
                      <c:h val="0.150496389891697"/>
                    </c:manualLayout>
                  </c15:layout>
                </c:ext>
              </c:extLst>
            </c:dLbl>
            <c:dLbl>
              <c:idx val="3"/>
              <c:layout>
                <c:manualLayout>
                  <c:x val="-0.0323944069781982"/>
                  <c:y val="-0.13455130378534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bg2">
                            <a:lumMod val="25000"/>
                          </a:schemeClr>
                        </a:solidFill>
                        <a:latin typeface="+mn-lt"/>
                        <a:ea typeface="+mn-ea"/>
                        <a:cs typeface="+mn-cs"/>
                      </a:defRPr>
                    </a:pPr>
                    <a:r>
                      <a:rPr sz="1100">
                        <a:latin typeface="仿宋_GB2312" panose="02010609030101010101" pitchFamily="3" charset="-122"/>
                        <a:ea typeface="仿宋_GB2312" panose="02010609030101010101" pitchFamily="3" charset="-122"/>
                        <a:cs typeface="仿宋_GB2312" panose="02010609030101010101" pitchFamily="3" charset="-122"/>
                      </a:rPr>
                      <a:t>住房保障支出</a:t>
                    </a:r>
                    <a:endParaRPr sz="1100">
                      <a:latin typeface="仿宋_GB2312" panose="02010609030101010101" pitchFamily="3" charset="-122"/>
                      <a:ea typeface="仿宋_GB2312" panose="02010609030101010101" pitchFamily="3" charset="-122"/>
                      <a:cs typeface="仿宋_GB2312" panose="02010609030101010101" pitchFamily="3" charset="-122"/>
                    </a:endParaRPr>
                  </a:p>
                  <a:p>
                    <a:pPr defTabSz="914400">
                      <a:defRPr lang="zh-CN" sz="900" b="0" i="0" u="none" strike="noStrike" kern="1200" baseline="0">
                        <a:solidFill>
                          <a:schemeClr val="bg2">
                            <a:lumMod val="25000"/>
                          </a:schemeClr>
                        </a:solidFill>
                        <a:latin typeface="+mn-lt"/>
                        <a:ea typeface="+mn-ea"/>
                        <a:cs typeface="+mn-cs"/>
                      </a:defRPr>
                    </a:pPr>
                    <a:r>
                      <a:rPr lang="en-US" altLang="zh-CN" sz="1100">
                        <a:latin typeface="仿宋_GB2312" panose="02010609030101010101" pitchFamily="3" charset="-122"/>
                        <a:ea typeface="仿宋_GB2312" panose="02010609030101010101" pitchFamily="3" charset="-122"/>
                        <a:cs typeface="仿宋_GB2312" panose="02010609030101010101" pitchFamily="3" charset="-122"/>
                      </a:rPr>
                      <a:t>5.72%</a:t>
                    </a:r>
                    <a:endParaRPr lang="en-US" altLang="zh-CN" sz="1100">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ysClr val="window" lastClr="FFFFFF"/>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1435079726651"/>
                      <c:h val="0.152301444043321"/>
                    </c:manualLayout>
                  </c15:layout>
                </c:ext>
              </c:extLst>
            </c:dLbl>
            <c:numFmt formatCode="General" sourceLinked="1"/>
            <c:spPr>
              <a:solidFill>
                <a:sysClr val="window" lastClr="FFFFFF">
                  <a:lumMod val="90000"/>
                </a:sysClr>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292.06</c:v>
                </c:pt>
                <c:pt idx="1">
                  <c:v>20.28</c:v>
                </c:pt>
                <c:pt idx="2">
                  <c:v>10.47</c:v>
                </c:pt>
                <c:pt idx="3">
                  <c:v>19.6</c:v>
                </c:pt>
              </c:numCache>
            </c:numRef>
          </c:val>
        </c:ser>
        <c:dLbls>
          <c:showLegendKey val="0"/>
          <c:showVal val="1"/>
          <c:showCatName val="0"/>
          <c:showSerName val="0"/>
          <c:showPercent val="0"/>
          <c:showBubbleSize val="0"/>
          <c:showLeaderLines val="1"/>
        </c:dLbls>
        <c:firstSliceAng val="306"/>
      </c:pieChart>
      <c:spPr>
        <a:noFill/>
        <a:ln>
          <a:noFill/>
        </a:ln>
        <a:effectLst/>
      </c:spPr>
    </c:plotArea>
    <c:plotVisOnly val="1"/>
    <c:dispBlanksAs val="gap"/>
    <c:showDLblsOverMax val="0"/>
  </c:chart>
  <c:spPr>
    <a:noFill/>
    <a:ln w="9525" cap="flat" cmpd="sng" algn="ctr">
      <a:solidFill>
        <a:srgbClr val="4F81BD"/>
      </a:solidFill>
      <a:round/>
    </a:ln>
    <a:effectLst>
      <a:outerShdw blurRad="63500" dist="37357" dir="2700000" sx="0" sy="0" rotWithShape="0">
        <a:scrgbClr r="0" g="0" b="0"/>
      </a:outerShdw>
    </a:effectLst>
  </c:spPr>
  <c:txPr>
    <a:bodyPr/>
    <a:lstStyle/>
    <a:p>
      <a:pPr>
        <a:defRPr lang="zh-CN">
          <a:solidFill>
            <a:schemeClr val="bg2">
              <a:lumMod val="25000"/>
            </a:schemeClr>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chemeClr val="bg2">
                    <a:lumMod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2022</a:t>
            </a:r>
            <a:r>
              <a:rPr altLang="en-US"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年</a:t>
            </a:r>
            <a:r>
              <a:rPr lang="en-US" altLang="zh-CN"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a:t>
            </a:r>
            <a:r>
              <a:rPr altLang="en-US"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三公</a:t>
            </a:r>
            <a:r>
              <a:rPr lang="en-US" altLang="zh-CN"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a:t>
            </a:r>
            <a:r>
              <a:rPr altLang="en-US"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经费财政拨款支出结构图</a:t>
            </a:r>
            <a:endParaRPr sz="14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196697038724374"/>
          <c:y val="0.03640692900620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rgbClr val="1F497D">
                <a:lumMod val="40000"/>
                <a:lumOff val="60000"/>
              </a:srgbClr>
            </a:solidFill>
            <a:ln w="19050">
              <a:noFill/>
            </a:ln>
          </c:spPr>
          <c:explosion val="0"/>
          <c:dPt>
            <c:idx val="0"/>
            <c:bubble3D val="0"/>
            <c:spPr>
              <a:solidFill>
                <a:srgbClr val="1F497D">
                  <a:lumMod val="40000"/>
                  <a:lumOff val="60000"/>
                </a:srgbClr>
              </a:solidFill>
              <a:ln w="19050">
                <a:noFill/>
              </a:ln>
              <a:effectLst/>
            </c:spPr>
          </c:dPt>
          <c:dLbls>
            <c:dLbl>
              <c:idx val="0"/>
              <c:layout>
                <c:manualLayout>
                  <c:x val="0.0323269675855421"/>
                  <c:y val="0.0120956087439724"/>
                </c:manualLayout>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2">
                            <a:lumMod val="25000"/>
                          </a:schemeClr>
                        </a:solidFill>
                        <a:latin typeface="+mn-lt"/>
                        <a:ea typeface="+mn-ea"/>
                        <a:cs typeface="+mn-cs"/>
                      </a:defRPr>
                    </a:pPr>
                    <a:r>
                      <a:rPr altLang="en-US"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公务接待费</a:t>
                    </a:r>
                    <a:r>
                      <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rPr>
                      <a:t>100%</a:t>
                    </a:r>
                    <a:endParaRPr lang="en-US" altLang="zh-CN" sz="1100">
                      <a:solidFill>
                        <a:schemeClr val="bg2">
                          <a:lumMod val="25000"/>
                        </a:schemeClr>
                      </a:solidFill>
                      <a:latin typeface="仿宋_GB2312" panose="02010609030101010101" pitchFamily="3" charset="-122"/>
                      <a:ea typeface="仿宋_GB2312" panose="02010609030101010101" pitchFamily="3" charset="-122"/>
                      <a:cs typeface="仿宋_GB2312" panose="02010609030101010101" pitchFamily="3" charset="-122"/>
                    </a:endParaRPr>
                  </a:p>
                </c:rich>
              </c:tx>
              <c:numFmt formatCode="General" sourceLinked="1"/>
              <c:spPr>
                <a:solidFill>
                  <a:srgbClr val="1F497D">
                    <a:lumMod val="40000"/>
                    <a:lumOff val="60000"/>
                  </a:srgbClr>
                </a:solid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6719817767654"/>
                      <c:h val="0.16177797833935"/>
                    </c:manualLayout>
                  </c15:layout>
                </c:ext>
              </c:extLst>
            </c:dLbl>
            <c:numFmt formatCode="General" sourceLinked="1"/>
            <c:spPr>
              <a:solidFill>
                <a:sysClr val="window" lastClr="FFFFFF">
                  <a:lumMod val="90000"/>
                </a:sysClr>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2">
                        <a:lumMod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0.19</c:v>
                </c:pt>
              </c:numCache>
            </c:numRef>
          </c:val>
        </c:ser>
        <c:dLbls>
          <c:showLegendKey val="0"/>
          <c:showVal val="1"/>
          <c:showCatName val="0"/>
          <c:showSerName val="0"/>
          <c:showPercent val="0"/>
          <c:showBubbleSize val="0"/>
          <c:showLeaderLines val="1"/>
        </c:dLbls>
        <c:firstSliceAng val="306"/>
      </c:pieChart>
      <c:spPr>
        <a:noFill/>
        <a:ln>
          <a:noFill/>
        </a:ln>
        <a:effectLst/>
      </c:spPr>
    </c:plotArea>
    <c:plotVisOnly val="1"/>
    <c:dispBlanksAs val="gap"/>
    <c:showDLblsOverMax val="0"/>
  </c:chart>
  <c:spPr>
    <a:noFill/>
    <a:ln w="9525" cap="flat" cmpd="sng" algn="ctr">
      <a:solidFill>
        <a:srgbClr val="4F81BD"/>
      </a:solidFill>
      <a:round/>
    </a:ln>
    <a:effectLst>
      <a:outerShdw blurRad="63500" dist="37357" dir="2700000" sx="0" sy="0" rotWithShape="0">
        <a:scrgbClr r="0" g="0" b="0"/>
      </a:outerShdw>
    </a:effectLst>
  </c:spPr>
  <c:txPr>
    <a:bodyPr/>
    <a:lstStyle/>
    <a:p>
      <a:pPr>
        <a:defRPr lang="zh-CN">
          <a:solidFill>
            <a:schemeClr val="bg2">
              <a:lumMod val="25000"/>
            </a:schemeClr>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2023-10-31T07:40:34Z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B5B2CEDE17D9452D9E09BED5D5E40106_13</vt:lpwstr>
  </property>
</Properties>
</file>