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8441"/>
      <w:bookmarkStart w:id="1" w:name="_Toc15396475"/>
      <w:bookmarkStart w:id="2" w:name="_Toc15377193"/>
      <w:bookmarkStart w:id="3" w:name="_Toc15396597"/>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rPr>
      </w:pPr>
      <w:r>
        <w:rPr>
          <w:rFonts w:hint="eastAsia" w:ascii="方正小标宋简体" w:hAnsi="方正小标宋简体" w:eastAsia="方正小标宋简体" w:cs="方正小标宋简体"/>
          <w:color w:val="auto"/>
          <w:sz w:val="56"/>
          <w:szCs w:val="56"/>
          <w:highlight w:val="none"/>
        </w:rPr>
        <w:t>20</w:t>
      </w:r>
      <w:r>
        <w:rPr>
          <w:rFonts w:hint="eastAsia" w:ascii="方正小标宋简体" w:hAnsi="方正小标宋简体" w:eastAsia="方正小标宋简体" w:cs="方正小标宋简体"/>
          <w:color w:val="auto"/>
          <w:sz w:val="56"/>
          <w:szCs w:val="56"/>
          <w:highlight w:val="none"/>
          <w:lang w:val="en-US" w:eastAsia="zh-CN"/>
        </w:rPr>
        <w:t>22</w:t>
      </w:r>
      <w:r>
        <w:rPr>
          <w:rFonts w:hint="eastAsia" w:ascii="方正小标宋简体" w:hAnsi="方正小标宋简体" w:eastAsia="方正小标宋简体" w:cs="方正小标宋简体"/>
          <w:color w:val="auto"/>
          <w:sz w:val="56"/>
          <w:szCs w:val="56"/>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6"/>
          <w:szCs w:val="56"/>
          <w:highlight w:val="none"/>
        </w:rPr>
      </w:pPr>
      <w:bookmarkStart w:id="6" w:name="_Toc15377194"/>
      <w:bookmarkStart w:id="7" w:name="_Toc15396476"/>
      <w:bookmarkStart w:id="8" w:name="_Toc15396598"/>
      <w:bookmarkStart w:id="9" w:name="_Toc15378442"/>
      <w:bookmarkStart w:id="10" w:name="_Toc15377426"/>
      <w:r>
        <w:rPr>
          <w:rFonts w:hint="eastAsia" w:ascii="方正小标宋简体" w:hAnsi="方正小标宋简体" w:eastAsia="方正小标宋简体" w:cs="方正小标宋简体"/>
          <w:color w:val="auto"/>
          <w:sz w:val="56"/>
          <w:szCs w:val="56"/>
          <w:highlight w:val="none"/>
        </w:rPr>
        <w:t>四川省</w:t>
      </w:r>
      <w:bookmarkEnd w:id="5"/>
      <w:bookmarkStart w:id="11" w:name="_Toc15306268"/>
      <w:r>
        <w:rPr>
          <w:rFonts w:hint="eastAsia" w:ascii="方正小标宋简体" w:hAnsi="方正小标宋简体" w:eastAsia="方正小标宋简体" w:cs="方正小标宋简体"/>
          <w:color w:val="auto"/>
          <w:sz w:val="56"/>
          <w:szCs w:val="56"/>
          <w:highlight w:val="none"/>
          <w:lang w:val="en-US" w:eastAsia="zh-CN"/>
        </w:rPr>
        <w:t xml:space="preserve">广元市朝天区行政审批局    </w:t>
      </w:r>
      <w:r>
        <w:rPr>
          <w:rFonts w:hint="eastAsia" w:ascii="方正小标宋简体" w:hAnsi="方正小标宋简体" w:eastAsia="方正小标宋简体" w:cs="方正小标宋简体"/>
          <w:color w:val="auto"/>
          <w:sz w:val="56"/>
          <w:szCs w:val="56"/>
          <w:highlight w:val="none"/>
        </w:rPr>
        <w:t>部</w:t>
      </w:r>
      <w:r>
        <w:rPr>
          <w:rFonts w:hint="eastAsia" w:ascii="方正小标宋简体" w:hAnsi="方正小标宋简体" w:eastAsia="方正小标宋简体" w:cs="方正小标宋简体"/>
          <w:color w:val="auto"/>
          <w:sz w:val="56"/>
          <w:szCs w:val="56"/>
          <w:highlight w:val="none"/>
          <w:lang w:val="en-US" w:eastAsia="zh-CN"/>
        </w:rPr>
        <w:t xml:space="preserve"> </w:t>
      </w:r>
      <w:r>
        <w:rPr>
          <w:rFonts w:hint="eastAsia" w:ascii="方正小标宋简体" w:hAnsi="方正小标宋简体" w:eastAsia="方正小标宋简体" w:cs="方正小标宋简体"/>
          <w:color w:val="auto"/>
          <w:sz w:val="56"/>
          <w:szCs w:val="56"/>
          <w:highlight w:val="none"/>
        </w:rPr>
        <w:t>门</w:t>
      </w:r>
      <w:r>
        <w:rPr>
          <w:rFonts w:hint="eastAsia" w:ascii="方正小标宋简体" w:hAnsi="方正小标宋简体" w:eastAsia="方正小标宋简体" w:cs="方正小标宋简体"/>
          <w:color w:val="auto"/>
          <w:sz w:val="56"/>
          <w:szCs w:val="56"/>
          <w:highlight w:val="none"/>
          <w:lang w:val="en-US" w:eastAsia="zh-CN"/>
        </w:rPr>
        <w:t xml:space="preserve"> </w:t>
      </w:r>
      <w:r>
        <w:rPr>
          <w:rFonts w:hint="eastAsia" w:ascii="方正小标宋简体" w:hAnsi="方正小标宋简体" w:eastAsia="方正小标宋简体" w:cs="方正小标宋简体"/>
          <w:color w:val="auto"/>
          <w:sz w:val="56"/>
          <w:szCs w:val="56"/>
          <w:highlight w:val="none"/>
        </w:rPr>
        <w:t>决</w:t>
      </w:r>
      <w:r>
        <w:rPr>
          <w:rFonts w:hint="eastAsia" w:ascii="方正小标宋简体" w:hAnsi="方正小标宋简体" w:eastAsia="方正小标宋简体" w:cs="方正小标宋简体"/>
          <w:color w:val="auto"/>
          <w:sz w:val="56"/>
          <w:szCs w:val="56"/>
          <w:highlight w:val="none"/>
          <w:lang w:val="en-US" w:eastAsia="zh-CN"/>
        </w:rPr>
        <w:t xml:space="preserve"> </w:t>
      </w:r>
      <w:r>
        <w:rPr>
          <w:rFonts w:hint="eastAsia" w:ascii="方正小标宋简体" w:hAnsi="方正小标宋简体" w:eastAsia="方正小标宋简体" w:cs="方正小标宋简体"/>
          <w:color w:val="auto"/>
          <w:sz w:val="56"/>
          <w:szCs w:val="56"/>
          <w:highlight w:val="none"/>
        </w:rPr>
        <w:t>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部门公开</w:t>
      </w:r>
      <w:r>
        <w:rPr>
          <w:rFonts w:hint="eastAsia" w:ascii="方正小标宋简体" w:hAnsi="宋体" w:eastAsia="方正小标宋简体"/>
          <w:color w:val="auto"/>
          <w:sz w:val="52"/>
          <w:szCs w:val="52"/>
          <w:highlight w:val="none"/>
        </w:rPr>
        <w:t>)</w:t>
      </w:r>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5"/>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rPr>
          <w:color w:val="auto"/>
          <w:highlight w:val="none"/>
        </w:rPr>
      </w:pPr>
    </w:p>
    <w:p>
      <w:pPr>
        <w:pStyle w:val="15"/>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eastAsia="仿宋" w:cstheme="minorBidi"/>
          <w:color w:val="auto"/>
          <w:sz w:val="24"/>
          <w:szCs w:val="24"/>
          <w:highlight w:val="none"/>
          <w:lang w:val="en-US" w:eastAsia="zh-CN"/>
        </w:rPr>
      </w:pPr>
      <w:r>
        <w:rPr>
          <w:rFonts w:hint="eastAsia"/>
          <w:color w:val="auto"/>
          <w:sz w:val="24"/>
          <w:highlight w:val="none"/>
          <w:lang w:val="en-US" w:eastAsia="zh-CN"/>
        </w:rPr>
        <w:t xml:space="preserve">第一部分 部门概况 </w:t>
      </w:r>
      <w:r>
        <w:rPr>
          <w:rFonts w:hint="eastAsia"/>
          <w:color w:val="auto"/>
          <w:sz w:val="24"/>
          <w:highlight w:val="none"/>
          <w:lang w:eastAsia="zh-CN"/>
        </w:rPr>
        <w:t>—————————————————————————</w:t>
      </w:r>
      <w:r>
        <w:rPr>
          <w:rFonts w:hint="eastAsia"/>
          <w:color w:val="auto"/>
          <w:sz w:val="24"/>
          <w:highlight w:val="none"/>
          <w:lang w:val="en-US" w:eastAsia="zh-CN"/>
        </w:rPr>
        <w:t>1</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pPr>
        <w:pStyle w:val="17"/>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1、主要职能———————————————————————————1</w:t>
      </w:r>
    </w:p>
    <w:p>
      <w:pPr>
        <w:pStyle w:val="17"/>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color w:val="auto"/>
          <w:sz w:val="24"/>
          <w:highlight w:val="none"/>
          <w:lang w:val="en-US" w:eastAsia="zh-CN"/>
        </w:rPr>
      </w:pPr>
      <w:r>
        <w:rPr>
          <w:rFonts w:hint="eastAsia"/>
          <w:color w:val="auto"/>
          <w:sz w:val="24"/>
          <w:highlight w:val="none"/>
          <w:lang w:val="en-US" w:eastAsia="zh-CN"/>
        </w:rPr>
        <w:t xml:space="preserve">2重点工作完成情况 </w:t>
      </w:r>
      <w:r>
        <w:rPr>
          <w:rFonts w:hint="eastAsia"/>
          <w:color w:val="auto"/>
          <w:sz w:val="24"/>
          <w:highlight w:val="none"/>
          <w:lang w:eastAsia="zh-CN"/>
        </w:rPr>
        <w:t>———————————————————————</w:t>
      </w:r>
      <w:r>
        <w:rPr>
          <w:rFonts w:hint="eastAsia"/>
          <w:color w:val="auto"/>
          <w:sz w:val="24"/>
          <w:highlight w:val="none"/>
          <w:lang w:val="en-US" w:eastAsia="zh-CN"/>
        </w:rPr>
        <w:t>2</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imes New Roman"/>
          <w:color w:val="auto"/>
          <w:kern w:val="2"/>
          <w:sz w:val="24"/>
          <w:szCs w:val="28"/>
          <w:highlight w:val="none"/>
          <w:lang w:val="en-US" w:eastAsia="zh-CN" w:bidi="ar-SA"/>
        </w:rPr>
      </w:pPr>
      <w:r>
        <w:rPr>
          <w:rFonts w:hint="eastAsia"/>
          <w:color w:val="auto"/>
          <w:sz w:val="24"/>
          <w:highlight w:val="none"/>
        </w:rPr>
        <w:t>二、机构设置</w:t>
      </w:r>
      <w:r>
        <w:rPr>
          <w:rFonts w:hint="eastAsia"/>
          <w:color w:val="auto"/>
          <w:sz w:val="24"/>
          <w:highlight w:val="none"/>
          <w:lang w:eastAsia="zh-CN"/>
        </w:rPr>
        <w:t>———————————————————————————</w:t>
      </w:r>
      <w:r>
        <w:rPr>
          <w:rFonts w:hint="eastAsia"/>
          <w:color w:val="auto"/>
          <w:sz w:val="24"/>
          <w:highlight w:val="none"/>
          <w:lang w:val="en-US" w:eastAsia="zh-CN"/>
        </w:rPr>
        <w:t>7</w:t>
      </w:r>
      <w:r>
        <w:rPr>
          <w:rFonts w:hint="eastAsia" w:ascii="仿宋" w:hAnsi="仿宋" w:eastAsia="仿宋" w:cs="Times New Roman"/>
          <w:color w:val="auto"/>
          <w:kern w:val="2"/>
          <w:sz w:val="24"/>
          <w:szCs w:val="28"/>
          <w:highlight w:val="none"/>
          <w:lang w:val="en-US" w:eastAsia="zh-CN" w:bidi="ar-SA"/>
        </w:rPr>
        <w:t>第二部分2022年度部门决算情况说明 —————————————————7</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7</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b w:val="0"/>
          <w:bCs w:val="0"/>
          <w:color w:val="auto"/>
          <w:sz w:val="24"/>
          <w:highlight w:val="none"/>
        </w:rPr>
      </w:pPr>
      <w:r>
        <w:rPr>
          <w:rFonts w:hint="eastAsia"/>
          <w:color w:val="auto"/>
          <w:sz w:val="24"/>
          <w:highlight w:val="none"/>
        </w:rPr>
        <w:t>二、收入决算情况说明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8</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三、支出决算情况说明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9</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9</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10</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12</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13</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color w:val="auto"/>
          <w:sz w:val="24"/>
          <w:highlight w:val="none"/>
        </w:rPr>
        <w:t>八、政府性基金预算支出决算情况说明</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15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十、</w:t>
      </w:r>
      <w:r>
        <w:rPr>
          <w:rFonts w:hint="eastAsia" w:ascii="Times New Roman" w:hAnsi="Times New Roman" w:cs="Times New Roman"/>
          <w:color w:val="auto"/>
          <w:sz w:val="24"/>
          <w:highlight w:val="none"/>
        </w:rPr>
        <w:t>其他重要事项的情况说明</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1、机关运行经费支出情况</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 xml:space="preserve">2、政府采购支出情况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eastAsia"/>
          <w:lang w:val="en-US" w:eastAsia="zh-CN"/>
        </w:rPr>
      </w:pPr>
      <w:r>
        <w:rPr>
          <w:rFonts w:hint="eastAsia" w:ascii="Times New Roman" w:hAnsi="Times New Roman" w:cs="Times New Roman"/>
          <w:color w:val="auto"/>
          <w:sz w:val="24"/>
          <w:highlight w:val="none"/>
          <w:lang w:val="en-US" w:eastAsia="zh-CN"/>
        </w:rPr>
        <w:t xml:space="preserve">3、国有资产占有使用情况 </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5</w:t>
      </w:r>
    </w:p>
    <w:p>
      <w:pPr>
        <w:pStyle w:val="17"/>
        <w:keepNext w:val="0"/>
        <w:keepLines w:val="0"/>
        <w:pageBreakBefore w:val="0"/>
        <w:widowControl w:val="0"/>
        <w:kinsoku/>
        <w:wordWrap/>
        <w:overflowPunct/>
        <w:topLinePunct w:val="0"/>
        <w:autoSpaceDE/>
        <w:autoSpaceDN/>
        <w:bidi w:val="0"/>
        <w:adjustRightInd w:val="0"/>
        <w:snapToGrid w:val="0"/>
        <w:spacing w:line="540" w:lineRule="exact"/>
        <w:ind w:left="0" w:leftChars="0" w:firstLine="480" w:firstLineChars="200"/>
        <w:jc w:val="left"/>
        <w:textAlignment w:val="auto"/>
        <w:rPr>
          <w:rFonts w:hint="eastAsia"/>
          <w:lang w:val="en-US" w:eastAsia="zh-CN"/>
        </w:rPr>
      </w:pPr>
      <w:r>
        <w:rPr>
          <w:rFonts w:hint="eastAsia"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预算绩效管理情况</w:t>
      </w:r>
      <w:r>
        <w:rPr>
          <w:rFonts w:hint="eastAsia"/>
          <w:color w:val="auto"/>
          <w:sz w:val="24"/>
          <w:highlight w:val="none"/>
          <w:lang w:eastAsia="zh-CN"/>
        </w:rPr>
        <w:t>—</w:t>
      </w:r>
      <w:r>
        <w:rPr>
          <w:rFonts w:hint="eastAsia" w:ascii="Times New Roman" w:hAnsi="Times New Roman" w:cs="Times New Roman"/>
          <w:color w:val="auto"/>
          <w:sz w:val="24"/>
          <w:highlight w:val="none"/>
          <w:lang w:eastAsia="zh-CN"/>
        </w:rPr>
        <w:t>—</w:t>
      </w:r>
      <w:r>
        <w:rPr>
          <w:rFonts w:hint="eastAsia"/>
          <w:color w:val="auto"/>
          <w:sz w:val="24"/>
          <w:highlight w:val="none"/>
          <w:lang w:eastAsia="zh-CN"/>
        </w:rPr>
        <w:t>————————————————————</w:t>
      </w:r>
      <w:r>
        <w:rPr>
          <w:rFonts w:hint="eastAsia"/>
          <w:color w:val="auto"/>
          <w:sz w:val="24"/>
          <w:highlight w:val="none"/>
          <w:lang w:val="en-US" w:eastAsia="zh-CN"/>
        </w:rPr>
        <w:t>16</w:t>
      </w:r>
    </w:p>
    <w:p>
      <w:pPr>
        <w:pStyle w:val="15"/>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eastAsia="zh-CN"/>
        </w:rPr>
        <w:t>—————————————————————————</w:t>
      </w:r>
      <w:r>
        <w:rPr>
          <w:rFonts w:hint="eastAsia"/>
          <w:color w:val="auto"/>
          <w:sz w:val="24"/>
          <w:highlight w:val="none"/>
          <w:lang w:val="en-US" w:eastAsia="zh-CN"/>
        </w:rPr>
        <w:t>16</w:t>
      </w:r>
    </w:p>
    <w:p>
      <w:pPr>
        <w:pStyle w:val="15"/>
        <w:keepNext w:val="0"/>
        <w:keepLines w:val="0"/>
        <w:pageBreakBefore w:val="0"/>
        <w:widowControl w:val="0"/>
        <w:kinsoku/>
        <w:wordWrap/>
        <w:overflowPunct/>
        <w:topLinePunct w:val="0"/>
        <w:autoSpaceDE/>
        <w:autoSpaceDN/>
        <w:bidi w:val="0"/>
        <w:adjustRightInd w:val="0"/>
        <w:snapToGrid w:val="0"/>
        <w:spacing w:before="0" w:line="540" w:lineRule="exact"/>
        <w:jc w:val="left"/>
        <w:textAlignment w:val="auto"/>
        <w:rPr>
          <w:rFonts w:hint="default"/>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20</w:t>
      </w:r>
    </w:p>
    <w:p>
      <w:pPr>
        <w:keepNext w:val="0"/>
        <w:keepLines w:val="0"/>
        <w:pageBreakBefore w:val="0"/>
        <w:widowControl w:val="0"/>
        <w:kinsoku/>
        <w:wordWrap/>
        <w:overflowPunct/>
        <w:topLinePunct w:val="0"/>
        <w:autoSpaceDE/>
        <w:autoSpaceDN/>
        <w:bidi w:val="0"/>
        <w:spacing w:line="540" w:lineRule="exact"/>
        <w:textAlignment w:val="auto"/>
        <w:rPr>
          <w:rFonts w:hint="default"/>
          <w:color w:val="auto"/>
          <w:sz w:val="24"/>
          <w:highlight w:val="none"/>
          <w:lang w:val="en-US" w:eastAsia="zh-CN"/>
        </w:rPr>
      </w:pPr>
      <w:r>
        <w:rPr>
          <w:rFonts w:hint="eastAsia"/>
          <w:color w:val="auto"/>
          <w:sz w:val="24"/>
          <w:highlight w:val="none"/>
          <w:lang w:val="en-US" w:eastAsia="zh-CN"/>
        </w:rPr>
        <w:t xml:space="preserve">  一、2022年度部门整体绩效自评报告</w:t>
      </w:r>
      <w:r>
        <w:rPr>
          <w:rFonts w:hint="eastAsia"/>
          <w:color w:val="auto"/>
          <w:sz w:val="24"/>
          <w:highlight w:val="none"/>
          <w:lang w:eastAsia="zh-CN"/>
        </w:rPr>
        <w:t>—</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20</w:t>
      </w:r>
    </w:p>
    <w:p>
      <w:pPr>
        <w:pStyle w:val="15"/>
        <w:keepNext w:val="0"/>
        <w:keepLines w:val="0"/>
        <w:pageBreakBefore w:val="0"/>
        <w:kinsoku/>
        <w:wordWrap/>
        <w:overflowPunct/>
        <w:topLinePunct w:val="0"/>
        <w:autoSpaceDE/>
        <w:autoSpaceDN/>
        <w:bidi w:val="0"/>
        <w:adjustRightInd w:val="0"/>
        <w:snapToGrid w:val="0"/>
        <w:spacing w:before="0" w:line="540" w:lineRule="exact"/>
        <w:jc w:val="left"/>
        <w:textAlignment w:val="auto"/>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lang w:val="en-US" w:eastAsia="zh-CN"/>
        </w:rPr>
        <w:t>71</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十、政府性基金预算财政拨款收入支出决算表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十一、国有资本经营预算财政拨款收入支出决算表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十二、国有资本经营预算财政拨款支出决算表</w:t>
      </w:r>
    </w:p>
    <w:p>
      <w:pPr>
        <w:pStyle w:val="17"/>
        <w:keepNext w:val="0"/>
        <w:keepLines w:val="0"/>
        <w:pageBreakBefore w:val="0"/>
        <w:kinsoku/>
        <w:wordWrap/>
        <w:overflowPunct/>
        <w:topLinePunct w:val="0"/>
        <w:autoSpaceDE/>
        <w:autoSpaceDN/>
        <w:bidi w:val="0"/>
        <w:adjustRightInd w:val="0"/>
        <w:snapToGrid w:val="0"/>
        <w:spacing w:line="540" w:lineRule="exact"/>
        <w:ind w:left="0" w:leftChars="0" w:firstLine="240" w:firstLineChars="100"/>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十三、财政拨款“三公”经费支出决算表</w:t>
      </w:r>
    </w:p>
    <w:p>
      <w:pPr>
        <w:pStyle w:val="3"/>
        <w:jc w:val="left"/>
        <w:rPr>
          <w:rFonts w:hint="eastAsia" w:ascii="黑体" w:hAnsi="黑体" w:eastAsia="黑体"/>
          <w:b w:val="0"/>
          <w:color w:val="auto"/>
          <w:highlight w:val="none"/>
        </w:rPr>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pPr>
      <w:bookmarkStart w:id="12" w:name="_Toc15396599"/>
      <w:bookmarkStart w:id="13" w:name="_Toc15377196"/>
    </w:p>
    <w:p>
      <w:pPr>
        <w:pStyle w:val="3"/>
        <w:jc w:val="center"/>
        <w:rPr>
          <w:rStyle w:val="3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5"/>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keepNext/>
        <w:keepLines/>
        <w:pageBreakBefore w:val="0"/>
        <w:widowControl w:val="0"/>
        <w:kinsoku/>
        <w:wordWrap/>
        <w:overflowPunct/>
        <w:topLinePunct w:val="0"/>
        <w:autoSpaceDE/>
        <w:autoSpaceDN/>
        <w:bidi w:val="0"/>
        <w:adjustRightInd/>
        <w:snapToGrid/>
        <w:spacing w:line="300" w:lineRule="exact"/>
        <w:ind w:firstLine="643" w:firstLineChars="200"/>
        <w:textAlignment w:val="auto"/>
        <w:rPr>
          <w:rStyle w:val="41"/>
          <w:rFonts w:hint="default" w:ascii="仿宋" w:hAnsi="仿宋" w:eastAsia="黑体" w:cs="Times New Roman"/>
          <w:b/>
          <w:bCs/>
          <w:lang w:val="en-US" w:eastAsia="zh-CN"/>
        </w:rPr>
      </w:pPr>
      <w:bookmarkStart w:id="14" w:name="_Toc15377199"/>
      <w:bookmarkStart w:id="15" w:name="_Toc15378446"/>
      <w:r>
        <w:rPr>
          <w:rFonts w:hint="eastAsia" w:ascii="黑体" w:hAnsi="黑体" w:eastAsia="黑体" w:cs="黑体"/>
          <w:b/>
          <w:bCs/>
          <w:color w:val="000000"/>
        </w:rPr>
        <w:t>一、</w:t>
      </w:r>
      <w:r>
        <w:rPr>
          <w:rFonts w:hint="eastAsia" w:ascii="黑体" w:hAnsi="黑体" w:eastAsia="黑体" w:cs="黑体"/>
          <w:b/>
          <w:bCs/>
          <w:color w:val="000000"/>
          <w:lang w:val="en-US" w:eastAsia="zh-CN"/>
        </w:rPr>
        <w:t>部门职责</w:t>
      </w:r>
    </w:p>
    <w:p>
      <w:pPr>
        <w:snapToGrid w:val="0"/>
        <w:spacing w:line="60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（一）主要职能</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因党和国家机构改革，我局在2019年3月由原区政务服务中心更名后挂牌成立，为区政府工作部门，正科级，区政务服务和公共资源交易中心为我局管理公益一类事业单位，为正科级。主要职责是：</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贯彻落实国家、省、市、区有关行政审批制度改革决策部署，制定和完善行政审批工作机制和监管机制，健全完善行政审批服务体系。</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根据法律法规和行政管理体制改革的要求，配合相关部门做好简政放权、清理规范行政审批事项等工作。</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负责区发展和改革局、区经济和信息局、区财政局、区人力资源和社会保障局、区商务局等部门划转行政审批事项的依法受理、办理，并承担相应的法律责任，负责与主管部门“审管分离、审管联动”的信息互通工作。</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负责规范行政审批服务行为，制定和优化行政4）负责规范行政审批服务行为，制定和优化行政</w:t>
      </w:r>
      <w:r>
        <w:rPr>
          <w:rFonts w:hint="eastAsia" w:ascii="仿宋" w:hAnsi="仿宋" w:eastAsia="仿宋"/>
          <w:color w:val="auto"/>
          <w:sz w:val="32"/>
          <w:szCs w:val="32"/>
          <w:highlight w:val="none"/>
          <w:lang w:val="en-US" w:eastAsia="zh-CN"/>
        </w:rPr>
        <w:t>审</w:t>
      </w:r>
      <w:r>
        <w:rPr>
          <w:rFonts w:hint="eastAsia" w:ascii="仿宋" w:hAnsi="仿宋" w:eastAsia="仿宋"/>
          <w:color w:val="auto"/>
          <w:sz w:val="32"/>
          <w:szCs w:val="32"/>
          <w:highlight w:val="none"/>
        </w:rPr>
        <w:t>批服务流程，创新行政审批服务方式，健全审批与监管有效协调沟通和信息双向反馈机制，提高行政审批效能，推进行政审批标准化建设和行政审批依法规范公开运行工作。</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负责建立和完善高效便民的政务服务体系，负责对部门独立办事服务大厅、乡（镇）便民服务中心和村（社区）便民服务代办站的业务指导。</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负责推进审批服务便民化，组织协调区级相关部门按照“三集中、三到位”的原则进驻区政务大厅，将依申请适合在窗口办理的事项全部纳入区政务大厅受理、办理。对退出区政务大厅集中受理、办理的事项进行初审并报区人民政府决定，负责监督检查上级已废止、停止和取消的事项继续在区政务大厅实施。</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负责全区公共资源交易的指导、协调和管理工作。</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完成区委、区政府交办的其他任务。</w:t>
      </w:r>
    </w:p>
    <w:p>
      <w:pPr>
        <w:numPr>
          <w:ilvl w:val="0"/>
          <w:numId w:val="0"/>
        </w:numPr>
        <w:spacing w:line="600" w:lineRule="exact"/>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职能转变。践行以人民为中心的发展思想，聚焦重点领域和关键环节攻坚突破，深入推进“一网办、一门办、一次办”改革，打造“廉洁、规范、高效、便民”的审批服务模式，不断优化政务服务环境。</w:t>
      </w:r>
    </w:p>
    <w:p>
      <w:pPr>
        <w:keepNext w:val="0"/>
        <w:keepLines w:val="0"/>
        <w:pageBreakBefore w:val="0"/>
        <w:widowControl w:val="0"/>
        <w:kinsoku/>
        <w:wordWrap/>
        <w:overflowPunct/>
        <w:topLinePunct w:val="0"/>
        <w:autoSpaceDE/>
        <w:autoSpaceDN/>
        <w:bidi w:val="0"/>
        <w:adjustRightInd/>
        <w:snapToGrid w:val="0"/>
        <w:spacing w:line="800" w:lineRule="exact"/>
        <w:ind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（二）202</w:t>
      </w:r>
      <w:r>
        <w:rPr>
          <w:rFonts w:hint="eastAsia" w:ascii="宋体" w:hAnsi="宋体" w:eastAsia="宋体" w:cs="宋体"/>
          <w:b/>
          <w:bCs/>
          <w:color w:val="000000"/>
          <w:sz w:val="32"/>
          <w:szCs w:val="32"/>
          <w:lang w:val="en-US" w:eastAsia="zh-CN"/>
        </w:rPr>
        <w:t>2</w:t>
      </w:r>
      <w:r>
        <w:rPr>
          <w:rFonts w:hint="eastAsia" w:ascii="宋体" w:hAnsi="宋体" w:eastAsia="宋体" w:cs="宋体"/>
          <w:b/>
          <w:bCs/>
          <w:color w:val="000000"/>
          <w:sz w:val="32"/>
          <w:szCs w:val="32"/>
        </w:rPr>
        <w:t>年重点工作完成情况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强力推进实体大厅规范化建设。</w:t>
      </w:r>
      <w:r>
        <w:rPr>
          <w:rFonts w:hint="eastAsia" w:ascii="仿宋" w:hAnsi="仿宋" w:eastAsia="仿宋"/>
          <w:color w:val="auto"/>
          <w:sz w:val="32"/>
          <w:szCs w:val="32"/>
          <w:highlight w:val="none"/>
        </w:rPr>
        <w:t>一是加快综合办事窗口建设。全面推行“前台综合受理、后台分类审批”服务模式，区本级大厅设置“办税服务区”“市场准入区”等5个专区及10个无差别综合受理窗口，负责24个部门710个许可事项的收件、发证工作。乡镇便民服务中心平均设立“社会事务、民生事务、农业综合、市政公用”等分领域综合窗口7-8个，村（社区）平均设立综合窗口1-2个。二是全面推进“三集中三到位”工作。按照“事进、人进、权进、章进”要求，严格落实“三集中三到位”，目前，全区入驻37个部门，1415项依申请服务事项，部门及事项入驻率均达100%。三是实施企业全生命周期“一站式”服务机制。设立企业全生命周期服务中心，建立企业开办、生产建设、政策兑现四类专区，将项目建设审批、经营行政许可等涉企事项全部纳入专区统一办理，大力提高企业办事便利度。工作经验《“四个一”推动惠企政策“一站式”兑现服务直达快享》在《四川省优化营商环境经验做法（第七批）》上刊发，并获董里市长签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2.持续提升网上政务服务能力。</w:t>
      </w:r>
      <w:r>
        <w:rPr>
          <w:rFonts w:hint="eastAsia" w:ascii="仿宋" w:hAnsi="仿宋" w:eastAsia="仿宋"/>
          <w:color w:val="auto"/>
          <w:sz w:val="32"/>
          <w:szCs w:val="32"/>
          <w:highlight w:val="none"/>
        </w:rPr>
        <w:t>一是强化平台应用。加大省一体化政务服务平台4.0版本使用力度，常态化推进事项认领、发布、更新等工作，推广应用电子证照和电子印章，加强政务数据资源共享和“一件事一次办”工作，今年以来，共办理各类政务服务事项18万余件，制作电子印章101枚，完成“一件事一次办”线上配置63个，事项认领率、一次办事项占比、网上可办比率均为100%，材料减免率68.38%，承诺提速93.93%，全程网办率97.28%，即办比例80.46%，企业群众办事平均跑动次数均为1次。二是深化业务协同。严格落实通办工作规程，开展线上网办、线下代收代办，与陕西省宁强县、湖南省永兴县成功签订“跨省通办”政务服务战略合作协议，分别确定跨省联办事项26项和34项，梳理“川渝通办”事项186项，“跨省通办”事项50项，“省内通办”170项。今年以来，累计办理“跨省通办”事项40余件。工作经验《广元朝天区与宁强县政务服务实现“跨省通办”》在今日头条、学习强国等媒体刊发。三是畅通评价渠道。依托12345政务服务热线、“好差评”评价仪等，引导办事群众对所办事项进行满意度评价，设置“办不成事”反映窗口，受理办事群众对政务服务的各类投诉及意见建议。今年以来，办件评价数为 18万余次，主动评价率为99.81% ，满意度100%。工作经验《打好便民利企组合拳 助推营商环境再升级》在中国新闻网、中国改革报等媒体刊发。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3.积极开展镇村便民服务体系建设。</w:t>
      </w:r>
      <w:r>
        <w:rPr>
          <w:rFonts w:hint="eastAsia" w:ascii="仿宋" w:hAnsi="仿宋" w:eastAsia="仿宋"/>
          <w:color w:val="auto"/>
          <w:sz w:val="32"/>
          <w:szCs w:val="32"/>
          <w:highlight w:val="none"/>
        </w:rPr>
        <w:t>一是持续开展镇村便民服务“三化”建设，确定曾家镇等6个乡镇为创建市级以上“示范便民服务中心”，文安村等68个村（社区）为创建市级“示范便民服务站”，积极推动便民服务事项下沉，今年以来，下放（委托）事项265项，其中依申请服务事项217项。目前试点乡镇、村（社区）已全面建成。二是积极推进“村能办”“家门办”建设，制定印发《朝天区全面推进“村能办”“家门办”便民服务体系建设工作方案》，梳理发布《朝天区2022年第一批“村能办”便民服务事项清单》135项、《朝天区2022年第一批“家门办”便民服务事项清单》30项，依托村社党群服务中心，因地制宜打造“村能办”“家门办”场地，配备完善办公设施设备，目前已全面完成“村能办”“家门办”建设任务，实现功能全覆盖。《政务服务下沉到景区 游客畅游办事更无忧》《广元朝天推行“村能办”“家门办” 打通为民服务“最后一米”》等经验做法在人民日报、中国改革报上刊发。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宋体" w:hAnsi="宋体" w:cs="宋体"/>
          <w:sz w:val="32"/>
          <w:szCs w:val="32"/>
        </w:rPr>
      </w:pPr>
      <w:r>
        <w:rPr>
          <w:rFonts w:hint="eastAsia" w:ascii="仿宋" w:hAnsi="仿宋" w:eastAsia="仿宋" w:cs="仿宋"/>
          <w:b/>
          <w:bCs/>
          <w:sz w:val="32"/>
          <w:szCs w:val="32"/>
          <w:lang w:val="en-US" w:eastAsia="zh-CN"/>
        </w:rPr>
        <w:t>4.深入推进公共资源交易标准化。</w:t>
      </w:r>
      <w:r>
        <w:rPr>
          <w:rFonts w:hint="eastAsia" w:ascii="仿宋" w:hAnsi="仿宋" w:eastAsia="仿宋"/>
          <w:color w:val="auto"/>
          <w:sz w:val="32"/>
          <w:szCs w:val="32"/>
          <w:highlight w:val="none"/>
        </w:rPr>
        <w:t>积极开展“示范交易中心”创建“回头看”工作，深刻自查自纠，梳理排查出风险防控等问题3大项，制定对应整改措施8个，目前已全面整改完成。深入落实减环节、减材料、减时限、减费用、减风险等“五减”政策，优化场地预约、保证金退付等工作流程2个，减少公告信息发布申请、发放中选通知书等工作环节2个。常态化推进远程异地评标，积极拓宽合作交流范围，分别与泸州市、苍溪县、剑阁县开展了政府采购项目远程异地评标，远程异地评标能力持续提升。今年以来，累计实施交易项目24个，受理金额24003.50万元，交易金额 18443.85万元，节约资金104.98万元，总节资率为5%。</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5.优化工程建设项目联合审批服务。</w:t>
      </w:r>
      <w:r>
        <w:rPr>
          <w:rFonts w:hint="eastAsia" w:ascii="仿宋" w:hAnsi="仿宋" w:eastAsia="仿宋"/>
          <w:color w:val="auto"/>
          <w:sz w:val="32"/>
          <w:szCs w:val="32"/>
          <w:highlight w:val="none"/>
        </w:rPr>
        <w:t>进一步深化工程建设项目审批制度改革，全面推进工改2.0系统上线运行，制定印发《朝天区工程建设项目审批制度改革“十大方案”》，严格执行一窗进出、并联审批制度，成立帮办代办综合窗口，建立健全事前事中事后“全过程”监管体系。今年以来，上线170个项目，审批服务办件数452件，实行并联审批办件数228件，实行联合审图项目13件，网上中介超市已入驻中介机构33家，实行中介超市模块办件157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6.纵深推进机关党的建设。</w:t>
      </w:r>
      <w:r>
        <w:rPr>
          <w:rFonts w:hint="eastAsia" w:ascii="仿宋" w:hAnsi="仿宋" w:eastAsia="仿宋"/>
          <w:color w:val="auto"/>
          <w:sz w:val="32"/>
          <w:szCs w:val="32"/>
          <w:highlight w:val="none"/>
        </w:rPr>
        <w:t>一是强化理论学习。严格落实党组中心组学习、“三会一课”等制度，深入学习习近平新时代中国特色社会主义思想、李克强总理来四川考察重要讲话精神、党的二十大精神等，切实提升干部职工政治理论水平。坚持以学促用，成功举办朝天区首届政务服务和公共资源交易服务技能大赛，并在市技能大赛中荣获团体二等奖。今年以来，组织中心组学习13次，专题研讨4次，开展主题党日活动12次。二是推进从严治党。认真落实全面从严治党主体责任，党组书记认真履行第一责任人职责，党组班子成员严格落实“一岗双责”。制定印发《2022年党风廉政建设和反腐败工作实施方案》，完善更新党风廉政建设“三张清单”内容，常态化开展谈心谈话、廉政警示教育、红色教育等。健全党组落实意识形态工作责任清单，加强意识形态阵地管理，规范干部线上线下言论。扎实开展文明城市创建和法治政府示范市创建工作，持续深化干部纪律作风整顿“回头看”工作和“窗口腐败”问题专项整治工作，共查找问题32个，制定整改措施58条，截至目前，问题已全部整改到位。三是全面落实巡察整改工作。召开局党组巡察整改专题会议，成立整改落实区委第二巡察组巡察反馈意见工作领导小组，研究巡察反馈意见，制定整改方案，建立反馈问题清单和整改责任清单,明确责任领导、责任人和整改时限。截止</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rPr>
        <w:t>6月底，问题全部整改到位。</w:t>
      </w:r>
    </w:p>
    <w:p>
      <w:pPr>
        <w:pStyle w:val="4"/>
        <w:keepNext/>
        <w:keepLines/>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黑体" w:hAnsi="黑体" w:eastAsia="黑体" w:cs="黑体"/>
          <w:b/>
          <w:bCs/>
          <w:color w:val="000000"/>
        </w:rPr>
      </w:pPr>
      <w:r>
        <w:rPr>
          <w:rFonts w:hint="eastAsia" w:ascii="黑体" w:hAnsi="黑体" w:eastAsia="黑体" w:cs="黑体"/>
          <w:b/>
          <w:bCs/>
          <w:color w:val="000000"/>
          <w:lang w:val="en-US" w:eastAsia="zh-CN"/>
        </w:rPr>
        <w:t>二、机构设置</w:t>
      </w:r>
    </w:p>
    <w:p>
      <w:pPr>
        <w:spacing w:line="600" w:lineRule="exact"/>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广元市朝天区行政审批局属一级预算单位，内设综合股（含行政审批股）。区政务服务和公共资源交易中心内设综合管理股、交易受理股、交易组织股、交易评审股、网管股、现场监督股、政务服务股和区政府采购中心8个内设股室。我局核定行政编制5名，事业编制12名。区行政审批局行政编制5名，其中：局长1名，副局长3名，股级职数1名。区政务服务和公共资源中心事业编制12名，其中：主任1名（正科级），副主任1名（副科级），股级职数7名。我局现实有行政人员</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人，事业编制</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人。</w:t>
      </w:r>
      <w:bookmarkEnd w:id="14"/>
      <w:bookmarkEnd w:id="15"/>
      <w:r>
        <w:rPr>
          <w:rFonts w:hint="eastAsia" w:ascii="仿宋" w:hAnsi="仿宋" w:eastAsia="仿宋"/>
          <w:color w:val="auto"/>
          <w:sz w:val="32"/>
          <w:szCs w:val="32"/>
          <w:highlight w:val="none"/>
        </w:rPr>
        <w:t>另聘用人员15人</w:t>
      </w:r>
      <w:r>
        <w:rPr>
          <w:rFonts w:hint="eastAsia" w:ascii="仿宋" w:hAnsi="仿宋" w:eastAsia="仿宋"/>
          <w:color w:val="auto"/>
          <w:sz w:val="32"/>
          <w:szCs w:val="32"/>
          <w:highlight w:val="none"/>
          <w:lang w:eastAsia="zh-CN"/>
        </w:rPr>
        <w:t>，</w:t>
      </w:r>
    </w:p>
    <w:p>
      <w:pPr>
        <w:spacing w:line="600" w:lineRule="exact"/>
        <w:jc w:val="left"/>
        <w:rPr>
          <w:rFonts w:hint="eastAsia"/>
          <w:lang w:eastAsia="zh-CN"/>
        </w:rPr>
      </w:pPr>
      <w:r>
        <w:rPr>
          <w:rFonts w:hint="eastAsia" w:ascii="仿宋" w:hAnsi="仿宋" w:eastAsia="仿宋"/>
          <w:color w:val="auto"/>
          <w:sz w:val="32"/>
          <w:szCs w:val="32"/>
          <w:highlight w:val="none"/>
          <w:lang w:val="en-US" w:eastAsia="zh-CN"/>
        </w:rPr>
        <w:t>退休人员3人。</w:t>
      </w:r>
    </w:p>
    <w:p>
      <w:pPr>
        <w:pStyle w:val="3"/>
        <w:numPr>
          <w:ilvl w:val="0"/>
          <w:numId w:val="2"/>
        </w:numPr>
        <w:ind w:right="440"/>
        <w:jc w:val="center"/>
        <w:rPr>
          <w:rStyle w:val="3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lang w:val="en-US" w:eastAsia="zh-CN"/>
        </w:rPr>
        <w:t>2022年度</w:t>
      </w:r>
      <w:r>
        <w:rPr>
          <w:rStyle w:val="35"/>
          <w:rFonts w:hint="eastAsia" w:ascii="黑体" w:hAnsi="黑体" w:eastAsia="黑体"/>
          <w:b w:val="0"/>
          <w:bCs/>
          <w:color w:val="auto"/>
          <w:highlight w:val="none"/>
        </w:rPr>
        <w:t>部门决算情况说明</w:t>
      </w:r>
      <w:bookmarkEnd w:id="16"/>
      <w:bookmarkEnd w:id="17"/>
      <w:bookmarkStart w:id="18" w:name="_Toc15396603"/>
      <w:bookmarkStart w:id="19" w:name="_Toc15377205"/>
    </w:p>
    <w:p>
      <w:pPr>
        <w:pStyle w:val="34"/>
        <w:numPr>
          <w:ilvl w:val="0"/>
          <w:numId w:val="3"/>
        </w:numPr>
        <w:spacing w:line="600" w:lineRule="exact"/>
        <w:ind w:firstLineChars="0"/>
        <w:outlineLvl w:val="1"/>
        <w:rPr>
          <w:rStyle w:val="36"/>
          <w:rFonts w:ascii="黑体" w:hAnsi="黑体" w:eastAsia="黑体"/>
          <w:b w:val="0"/>
          <w:color w:val="auto"/>
          <w:highlight w:val="none"/>
        </w:rPr>
      </w:pPr>
      <w:r>
        <w:rPr>
          <w:rFonts w:hint="eastAsia" w:ascii="黑体" w:hAnsi="黑体" w:eastAsia="黑体"/>
          <w:color w:val="auto"/>
          <w:sz w:val="32"/>
          <w:szCs w:val="32"/>
          <w:highlight w:val="none"/>
        </w:rPr>
        <w:t>收</w:t>
      </w:r>
      <w:r>
        <w:rPr>
          <w:rStyle w:val="36"/>
          <w:rFonts w:hint="eastAsia" w:ascii="黑体" w:hAnsi="黑体" w:eastAsia="黑体"/>
          <w:b w:val="0"/>
          <w:color w:val="auto"/>
          <w:highlight w:val="none"/>
        </w:rPr>
        <w:t>入支出决算总体情况说明</w:t>
      </w:r>
      <w:bookmarkEnd w:id="18"/>
      <w:bookmarkEnd w:id="19"/>
    </w:p>
    <w:p>
      <w:pPr>
        <w:spacing w:line="600" w:lineRule="exact"/>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分别为1311.45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含2022年</w:t>
      </w:r>
      <w:r>
        <w:rPr>
          <w:rFonts w:hint="eastAsia" w:ascii="仿宋" w:hAnsi="仿宋" w:eastAsia="仿宋" w:cs="Times New Roman"/>
          <w:color w:val="auto"/>
          <w:sz w:val="32"/>
          <w:szCs w:val="32"/>
          <w:highlight w:val="none"/>
          <w:lang w:val="en-US" w:eastAsia="zh-CN"/>
        </w:rPr>
        <w:t>初结转结余774.92万元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905.37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222.95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sz w:val="32"/>
          <w:szCs w:val="32"/>
          <w:u w:val="none"/>
        </w:rPr>
        <w:t>主要增加原因：一是人员经费增加，如工资、目标绩效、保险及公积金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二是公用经费增加</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rPr>
        <w:t>是项目资金增加，如村能办”“家门办”便民服务体系建设项目资金100万元</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四是其他收入增多</w:t>
      </w:r>
      <w:r>
        <w:rPr>
          <w:rFonts w:hint="eastAsia" w:ascii="仿宋" w:hAnsi="仿宋" w:eastAsia="仿宋"/>
          <w:color w:val="000000"/>
          <w:sz w:val="32"/>
          <w:szCs w:val="32"/>
          <w:lang w:val="en-US" w:eastAsia="zh-CN"/>
        </w:rPr>
        <w:t>。</w:t>
      </w:r>
    </w:p>
    <w:p>
      <w:pPr>
        <w:pStyle w:val="16"/>
        <w:rPr>
          <w:rFonts w:hint="eastAsia"/>
          <w:lang w:val="en-US" w:eastAsia="zh-CN"/>
        </w:rPr>
      </w:pPr>
    </w:p>
    <w:p>
      <w:pPr>
        <w:pStyle w:val="16"/>
        <w:jc w:val="center"/>
        <w:rPr>
          <w:rFonts w:ascii="宋体"/>
          <w:kern w:val="0"/>
          <w:sz w:val="24"/>
          <w:szCs w:val="24"/>
        </w:rPr>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jc w:val="center"/>
        <w:rPr>
          <w:rFonts w:ascii="宋体"/>
          <w:kern w:val="0"/>
          <w:sz w:val="24"/>
          <w:szCs w:val="24"/>
        </w:rPr>
      </w:pPr>
    </w:p>
    <w:p>
      <w:pPr>
        <w:pStyle w:val="19"/>
        <w:ind w:left="0" w:leftChars="0" w:firstLine="0" w:firstLineChars="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：收入支出决算总体情况说明图）（柱状图）</w:t>
      </w:r>
    </w:p>
    <w:p>
      <w:pPr>
        <w:pStyle w:val="34"/>
        <w:numPr>
          <w:ilvl w:val="0"/>
          <w:numId w:val="3"/>
        </w:numPr>
        <w:spacing w:line="600" w:lineRule="exact"/>
        <w:ind w:firstLineChars="0"/>
        <w:outlineLvl w:val="1"/>
        <w:rPr>
          <w:rStyle w:val="3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3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s="仿宋"/>
          <w:sz w:val="32"/>
          <w:szCs w:val="32"/>
          <w:lang w:val="en-US" w:eastAsia="zh-CN"/>
        </w:rPr>
        <w:t>536.53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531.45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99.05</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5.08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widowControl/>
        <w:jc w:val="center"/>
        <w:rPr>
          <w:rFonts w:ascii="仿宋" w:hAnsi="仿宋" w:eastAsia="仿宋"/>
          <w:color w:val="000000"/>
          <w:sz w:val="32"/>
          <w:szCs w:val="32"/>
        </w:rPr>
      </w:pPr>
      <w:r>
        <w:drawing>
          <wp:inline distT="0" distB="0" distL="114300" distR="114300">
            <wp:extent cx="4808855" cy="3123565"/>
            <wp:effectExtent l="4445" t="5080" r="6350" b="14605"/>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jc w:val="center"/>
        <w:rPr>
          <w:rFonts w:ascii="仿宋_GB2312" w:eastAsia="仿宋_GB2312"/>
          <w:color w:val="auto"/>
          <w:sz w:val="32"/>
          <w:szCs w:val="32"/>
          <w:highlight w:val="none"/>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pStyle w:val="34"/>
        <w:numPr>
          <w:ilvl w:val="0"/>
          <w:numId w:val="3"/>
        </w:numPr>
        <w:spacing w:line="600" w:lineRule="exact"/>
        <w:ind w:firstLineChars="0"/>
        <w:outlineLvl w:val="1"/>
        <w:rPr>
          <w:rStyle w:val="3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3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000000" w:themeColor="text1"/>
          <w:sz w:val="32"/>
          <w:szCs w:val="32"/>
          <w:highlight w:val="none"/>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1311.45</w:t>
      </w:r>
      <w:r>
        <w:rPr>
          <w:rFonts w:hint="eastAsia" w:ascii="仿宋" w:hAnsi="仿宋" w:eastAsia="仿宋"/>
          <w:color w:val="auto"/>
          <w:sz w:val="32"/>
          <w:szCs w:val="32"/>
          <w:highlight w:val="none"/>
        </w:rPr>
        <w:t>万元，其中：基本支出</w:t>
      </w:r>
      <w:r>
        <w:rPr>
          <w:rFonts w:hint="eastAsia" w:ascii="仿宋" w:hAnsi="仿宋" w:eastAsia="仿宋"/>
          <w:color w:val="000000" w:themeColor="text1"/>
          <w:sz w:val="32"/>
          <w:szCs w:val="32"/>
          <w:highlight w:val="none"/>
          <w:lang w:val="en-US" w:eastAsia="zh-CN"/>
          <w14:textFill>
            <w14:solidFill>
              <w14:schemeClr w14:val="tx1"/>
            </w14:solidFill>
          </w14:textFill>
        </w:rPr>
        <w:t>325.11</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24.79</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lang w:val="en-US" w:eastAsia="zh-CN"/>
          <w14:textFill>
            <w14:solidFill>
              <w14:schemeClr w14:val="tx1"/>
            </w14:solidFill>
          </w14:textFill>
        </w:rPr>
        <w:t>986.34</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lang w:val="en-US" w:eastAsia="zh-CN"/>
          <w14:textFill>
            <w14:solidFill>
              <w14:schemeClr w14:val="tx1"/>
            </w14:solidFill>
          </w14:textFill>
        </w:rPr>
        <w:t>75.21</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pPr>
        <w:rPr>
          <w:rFonts w:hint="eastAsia"/>
          <w:lang w:eastAsia="zh-CN"/>
        </w:rPr>
      </w:pPr>
    </w:p>
    <w:p>
      <w:pPr>
        <w:widowControl/>
        <w:jc w:val="center"/>
        <w:rPr>
          <w:rFonts w:hint="eastAsia" w:ascii="仿宋" w:hAnsi="仿宋" w:eastAsia="仿宋"/>
          <w:color w:val="auto"/>
          <w:sz w:val="32"/>
          <w:szCs w:val="32"/>
          <w:highlight w:val="none"/>
        </w:rPr>
      </w:pPr>
      <w:r>
        <w:drawing>
          <wp:inline distT="0" distB="0" distL="114300" distR="114300">
            <wp:extent cx="4572000" cy="3620770"/>
            <wp:effectExtent l="4445" t="4445" r="14605" b="1333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jc w:val="center"/>
        <w:rPr>
          <w:rFonts w:hint="eastAsia" w:ascii="仿宋" w:hAnsi="仿宋" w:eastAsia="仿宋"/>
          <w:color w:val="auto"/>
          <w:sz w:val="32"/>
          <w:szCs w:val="32"/>
          <w:highlight w:val="none"/>
        </w:rPr>
      </w:pPr>
    </w:p>
    <w:p>
      <w:pPr>
        <w:numPr>
          <w:ilvl w:val="0"/>
          <w:numId w:val="3"/>
        </w:numPr>
        <w:spacing w:line="600" w:lineRule="exact"/>
        <w:ind w:left="1360" w:leftChars="0" w:hanging="720" w:firstLineChars="0"/>
        <w:outlineLvl w:val="1"/>
        <w:rPr>
          <w:rStyle w:val="36"/>
          <w:rFonts w:hint="eastAsia"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财</w:t>
      </w:r>
      <w:r>
        <w:rPr>
          <w:rStyle w:val="3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jc w:val="left"/>
        <w:rPr>
          <w:rFonts w:hint="eastAsia" w:ascii="仿宋" w:hAnsi="仿宋" w:eastAsia="仿宋"/>
          <w:color w:val="000000"/>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分别为1306.37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年收、支总计相比，财政拨款收、支</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900.3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221.71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sz w:val="32"/>
          <w:szCs w:val="32"/>
          <w:u w:val="none"/>
        </w:rPr>
        <w:t>主要增加原因：一是人员经费增加，如工资、目标绩效、保险及公积金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二是公用经费增加</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rPr>
        <w:t>是项目资金增加，如村能办”“家门办”便民服务体系建设项目资金100万元</w:t>
      </w:r>
      <w:r>
        <w:rPr>
          <w:rFonts w:hint="eastAsia" w:ascii="仿宋" w:hAnsi="仿宋" w:eastAsia="仿宋"/>
          <w:color w:val="000000"/>
          <w:sz w:val="32"/>
          <w:szCs w:val="32"/>
          <w:lang w:val="en-US" w:eastAsia="zh-CN"/>
        </w:rPr>
        <w:t>。</w:t>
      </w:r>
    </w:p>
    <w:p>
      <w:pPr>
        <w:pStyle w:val="16"/>
        <w:rPr>
          <w:rFonts w:hint="eastAsia"/>
          <w:lang w:eastAsia="zh-CN"/>
        </w:rPr>
      </w:pPr>
    </w:p>
    <w:p>
      <w:pPr>
        <w:pStyle w:val="26"/>
        <w:jc w:val="center"/>
      </w:pPr>
      <w:r>
        <w:drawing>
          <wp:inline distT="0" distB="0" distL="114300" distR="114300">
            <wp:extent cx="4114800" cy="2351405"/>
            <wp:effectExtent l="4445" t="4445" r="14605" b="635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640" w:firstLineChars="200"/>
        <w:rPr>
          <w:rFonts w:hint="eastAsia" w:ascii="仿宋" w:hAnsi="仿宋" w:eastAsia="仿宋"/>
          <w:color w:val="auto"/>
          <w:sz w:val="10"/>
          <w:szCs w:val="10"/>
          <w:highlight w:val="none"/>
        </w:rPr>
      </w:pPr>
      <w:r>
        <w:rPr>
          <w:rFonts w:hint="eastAsia" w:ascii="仿宋" w:hAnsi="仿宋" w:eastAsia="仿宋"/>
          <w:color w:val="auto"/>
          <w:sz w:val="32"/>
          <w:szCs w:val="32"/>
          <w:highlight w:val="none"/>
        </w:rPr>
        <w:t>（图4：财政拨款收、支决算总计变动情况）（柱状图）</w:t>
      </w:r>
    </w:p>
    <w:p>
      <w:pPr>
        <w:pStyle w:val="16"/>
      </w:pPr>
    </w:p>
    <w:p>
      <w:pPr>
        <w:spacing w:line="600" w:lineRule="exact"/>
        <w:ind w:firstLine="640" w:firstLineChars="200"/>
        <w:outlineLvl w:val="1"/>
        <w:rPr>
          <w:rStyle w:val="3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jc w:val="left"/>
        <w:rPr>
          <w:rFonts w:hint="eastAsia" w:ascii="仿宋" w:hAnsi="仿宋" w:eastAsia="仿宋"/>
          <w:color w:val="000000"/>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1306.37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900.3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221.71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sz w:val="32"/>
          <w:szCs w:val="32"/>
          <w:u w:val="none"/>
        </w:rPr>
        <w:t>主要增加原因：一是人员经费增加，如工资、目标绩效、保险及公积金</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二是公用经费增加</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三</w:t>
      </w:r>
      <w:r>
        <w:rPr>
          <w:rFonts w:hint="eastAsia" w:ascii="仿宋" w:hAnsi="仿宋" w:eastAsia="仿宋" w:cs="仿宋"/>
          <w:sz w:val="32"/>
          <w:szCs w:val="32"/>
          <w:u w:val="none"/>
        </w:rPr>
        <w:t>是项目资金增加，如村能办”“家门办”便民服务体系建设项目资金100万元</w:t>
      </w:r>
      <w:r>
        <w:rPr>
          <w:rFonts w:hint="eastAsia" w:ascii="仿宋" w:hAnsi="仿宋" w:eastAsia="仿宋"/>
          <w:color w:val="000000"/>
          <w:sz w:val="32"/>
          <w:szCs w:val="32"/>
          <w:lang w:val="en-US" w:eastAsia="zh-CN"/>
        </w:rPr>
        <w:t>。</w:t>
      </w:r>
    </w:p>
    <w:p>
      <w:pPr>
        <w:pStyle w:val="26"/>
        <w:jc w:val="center"/>
        <w:rPr>
          <w:rFonts w:ascii="仿宋" w:hAnsi="仿宋" w:eastAsia="仿宋"/>
          <w:color w:val="auto"/>
          <w:sz w:val="32"/>
          <w:szCs w:val="32"/>
          <w:highlight w:val="none"/>
        </w:rPr>
      </w:pPr>
      <w:r>
        <w:drawing>
          <wp:inline distT="0" distB="0" distL="114300" distR="114300">
            <wp:extent cx="4319905" cy="2278380"/>
            <wp:effectExtent l="4445" t="4445" r="19050" b="222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firstLineChars="200"/>
        <w:outlineLvl w:val="1"/>
        <w:rPr>
          <w:rFonts w:hint="eastAsia" w:ascii="楷体_GB2312" w:eastAsia="楷体_GB2312"/>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1306.37</w:t>
      </w:r>
      <w:r>
        <w:rPr>
          <w:rFonts w:hint="eastAsia" w:ascii="仿宋" w:hAnsi="仿宋" w:eastAsia="仿宋"/>
          <w:color w:val="auto"/>
          <w:sz w:val="32"/>
          <w:szCs w:val="32"/>
          <w:highlight w:val="none"/>
        </w:rPr>
        <w:t>万元，</w:t>
      </w:r>
      <w:r>
        <w:rPr>
          <w:rFonts w:hint="eastAsia" w:ascii="楷体_GB2312" w:eastAsia="楷体_GB2312"/>
          <w:sz w:val="32"/>
          <w:szCs w:val="32"/>
        </w:rPr>
        <w:t>主要用于以下方面：</w:t>
      </w:r>
      <w:r>
        <w:rPr>
          <w:rFonts w:hint="eastAsia" w:ascii="楷体_GB2312" w:eastAsia="楷体_GB2312"/>
          <w:b/>
          <w:bCs/>
          <w:sz w:val="32"/>
          <w:szCs w:val="32"/>
        </w:rPr>
        <w:t>一般公共服务</w:t>
      </w:r>
      <w:r>
        <w:rPr>
          <w:rFonts w:hint="eastAsia" w:ascii="楷体_GB2312" w:eastAsia="楷体_GB2312"/>
          <w:b/>
          <w:bCs/>
          <w:sz w:val="32"/>
          <w:szCs w:val="32"/>
          <w:lang w:val="en-US" w:eastAsia="zh-CN"/>
        </w:rPr>
        <w:t>支出1249.74</w:t>
      </w:r>
      <w:r>
        <w:rPr>
          <w:rFonts w:hint="eastAsia" w:ascii="仿宋" w:hAnsi="仿宋" w:eastAsia="仿宋"/>
          <w:color w:val="000000"/>
          <w:sz w:val="32"/>
          <w:szCs w:val="32"/>
          <w:lang w:val="en-US" w:eastAsia="zh-CN"/>
        </w:rPr>
        <w:t>万</w:t>
      </w:r>
      <w:r>
        <w:rPr>
          <w:rFonts w:hint="eastAsia" w:ascii="楷体_GB2312" w:eastAsia="楷体_GB2312"/>
          <w:sz w:val="32"/>
          <w:szCs w:val="32"/>
        </w:rPr>
        <w:t>元，占</w:t>
      </w:r>
      <w:r>
        <w:rPr>
          <w:rFonts w:hint="eastAsia" w:ascii="楷体_GB2312" w:eastAsia="楷体_GB2312"/>
          <w:sz w:val="32"/>
          <w:szCs w:val="32"/>
          <w:lang w:val="en-US" w:eastAsia="zh-CN"/>
        </w:rPr>
        <w:t>95.67</w:t>
      </w:r>
      <w:r>
        <w:rPr>
          <w:rFonts w:hint="eastAsia" w:ascii="楷体_GB2312" w:eastAsia="楷体_GB2312"/>
          <w:sz w:val="32"/>
          <w:szCs w:val="32"/>
        </w:rPr>
        <w:t>%；</w:t>
      </w:r>
      <w:r>
        <w:rPr>
          <w:rFonts w:hint="eastAsia" w:ascii="楷体_GB2312" w:eastAsia="楷体_GB2312"/>
          <w:b/>
          <w:bCs/>
          <w:sz w:val="32"/>
          <w:szCs w:val="32"/>
        </w:rPr>
        <w:t>社会保障和就业</w:t>
      </w:r>
      <w:r>
        <w:rPr>
          <w:rFonts w:hint="eastAsia" w:ascii="楷体_GB2312" w:eastAsia="楷体_GB2312"/>
          <w:b/>
          <w:bCs/>
          <w:sz w:val="32"/>
          <w:szCs w:val="32"/>
          <w:lang w:val="en-US" w:eastAsia="zh-CN"/>
        </w:rPr>
        <w:t>支出</w:t>
      </w:r>
      <w:r>
        <w:rPr>
          <w:rFonts w:hint="eastAsia" w:ascii="仿宋" w:hAnsi="仿宋" w:eastAsia="仿宋"/>
          <w:color w:val="000000"/>
          <w:sz w:val="32"/>
          <w:szCs w:val="32"/>
          <w:lang w:val="en-US" w:eastAsia="zh-CN"/>
        </w:rPr>
        <w:t>21.86</w:t>
      </w:r>
      <w:r>
        <w:rPr>
          <w:rFonts w:hint="eastAsia" w:ascii="楷体_GB2312" w:eastAsia="楷体_GB2312"/>
          <w:sz w:val="32"/>
          <w:szCs w:val="32"/>
        </w:rPr>
        <w:t>万元，占</w:t>
      </w:r>
      <w:r>
        <w:rPr>
          <w:rFonts w:hint="eastAsia" w:ascii="楷体_GB2312" w:eastAsia="楷体_GB2312"/>
          <w:sz w:val="32"/>
          <w:szCs w:val="32"/>
          <w:lang w:val="en-US" w:eastAsia="zh-CN"/>
        </w:rPr>
        <w:t>1.67</w:t>
      </w:r>
      <w:r>
        <w:rPr>
          <w:rFonts w:hint="eastAsia" w:ascii="楷体_GB2312" w:eastAsia="楷体_GB2312"/>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10.95</w:t>
      </w:r>
      <w:r>
        <w:rPr>
          <w:rFonts w:hint="eastAsia" w:ascii="楷体_GB2312" w:eastAsia="楷体_GB2312"/>
          <w:sz w:val="32"/>
          <w:szCs w:val="32"/>
        </w:rPr>
        <w:t>万元，占</w:t>
      </w:r>
      <w:r>
        <w:rPr>
          <w:rFonts w:hint="eastAsia" w:ascii="楷体_GB2312" w:eastAsia="楷体_GB2312"/>
          <w:sz w:val="32"/>
          <w:szCs w:val="32"/>
          <w:lang w:val="en-US" w:eastAsia="zh-CN"/>
        </w:rPr>
        <w:t>0.84</w:t>
      </w:r>
      <w:r>
        <w:rPr>
          <w:rFonts w:hint="eastAsia" w:ascii="楷体_GB2312" w:eastAsia="楷体_GB2312"/>
          <w:sz w:val="32"/>
          <w:szCs w:val="32"/>
        </w:rPr>
        <w:t>%；</w:t>
      </w:r>
      <w:r>
        <w:rPr>
          <w:rFonts w:hint="eastAsia" w:ascii="楷体_GB2312" w:eastAsia="楷体_GB2312"/>
          <w:b/>
          <w:bCs/>
          <w:sz w:val="32"/>
          <w:szCs w:val="32"/>
        </w:rPr>
        <w:t>住房保障支出</w:t>
      </w:r>
      <w:r>
        <w:rPr>
          <w:rFonts w:hint="eastAsia" w:ascii="仿宋" w:hAnsi="仿宋" w:eastAsia="仿宋"/>
          <w:color w:val="000000"/>
          <w:sz w:val="32"/>
          <w:szCs w:val="32"/>
          <w:lang w:val="en-US" w:eastAsia="zh-CN"/>
        </w:rPr>
        <w:t>23.82</w:t>
      </w:r>
      <w:r>
        <w:rPr>
          <w:rFonts w:hint="eastAsia" w:ascii="楷体_GB2312" w:eastAsia="楷体_GB2312"/>
          <w:sz w:val="32"/>
          <w:szCs w:val="32"/>
        </w:rPr>
        <w:t>万元，占</w:t>
      </w:r>
      <w:r>
        <w:rPr>
          <w:rFonts w:hint="eastAsia" w:ascii="楷体_GB2312" w:eastAsia="楷体_GB2312"/>
          <w:sz w:val="32"/>
          <w:szCs w:val="32"/>
          <w:lang w:val="en-US" w:eastAsia="zh-CN"/>
        </w:rPr>
        <w:t>1.82</w:t>
      </w:r>
      <w:r>
        <w:rPr>
          <w:rFonts w:hint="eastAsia" w:ascii="楷体_GB2312" w:eastAsia="楷体_GB2312"/>
          <w:sz w:val="32"/>
          <w:szCs w:val="32"/>
        </w:rPr>
        <w:t>%。</w:t>
      </w:r>
    </w:p>
    <w:p>
      <w:pPr>
        <w:pStyle w:val="16"/>
        <w:rPr>
          <w:rFonts w:hint="eastAsia"/>
        </w:rPr>
      </w:pPr>
    </w:p>
    <w:p>
      <w:pPr>
        <w:pStyle w:val="26"/>
        <w:jc w:val="center"/>
        <w:rPr>
          <w:rFonts w:hint="eastAsia" w:ascii="仿宋" w:hAnsi="仿宋" w:eastAsia="仿宋"/>
          <w:b/>
          <w:color w:val="auto"/>
          <w:sz w:val="32"/>
          <w:szCs w:val="32"/>
          <w:highlight w:val="none"/>
        </w:rPr>
      </w:pPr>
      <w:r>
        <w:drawing>
          <wp:inline distT="0" distB="0" distL="114300" distR="114300">
            <wp:extent cx="4227195" cy="2769235"/>
            <wp:effectExtent l="4445" t="4445" r="16510" b="7620"/>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（图6：一般公共预算财政拨款支出决算结构）（饼状图）</w:t>
      </w:r>
    </w:p>
    <w:p>
      <w:pPr>
        <w:pStyle w:val="16"/>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Style w:val="23"/>
          <w:rFonts w:hint="eastAsia" w:ascii="仿宋" w:hAnsi="仿宋" w:eastAsia="仿宋"/>
          <w:bCs/>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1306.37万元</w:t>
      </w:r>
      <w:r>
        <w:rPr>
          <w:rFonts w:hint="eastAsia" w:ascii="仿宋" w:hAnsi="仿宋" w:eastAsia="仿宋"/>
          <w:color w:val="auto"/>
          <w:sz w:val="32"/>
          <w:szCs w:val="32"/>
          <w:highlight w:val="none"/>
        </w:rPr>
        <w:t>，</w:t>
      </w:r>
      <w:r>
        <w:rPr>
          <w:rStyle w:val="23"/>
          <w:rFonts w:hint="eastAsia" w:ascii="仿宋" w:hAnsi="仿宋" w:eastAsia="仿宋"/>
          <w:bCs/>
          <w:color w:val="auto"/>
          <w:sz w:val="32"/>
          <w:szCs w:val="32"/>
          <w:highlight w:val="none"/>
        </w:rPr>
        <w:t>完成预算</w:t>
      </w:r>
      <w:r>
        <w:rPr>
          <w:rStyle w:val="23"/>
          <w:rFonts w:hint="eastAsia" w:ascii="仿宋" w:hAnsi="仿宋" w:eastAsia="仿宋"/>
          <w:bCs/>
          <w:color w:val="auto"/>
          <w:sz w:val="32"/>
          <w:szCs w:val="32"/>
          <w:highlight w:val="none"/>
          <w:lang w:val="en-US" w:eastAsia="zh-CN"/>
        </w:rPr>
        <w:t>100</w:t>
      </w:r>
      <w:r>
        <w:rPr>
          <w:rStyle w:val="23"/>
          <w:rFonts w:ascii="仿宋" w:hAnsi="仿宋" w:eastAsia="仿宋"/>
          <w:bCs/>
          <w:color w:val="auto"/>
          <w:sz w:val="32"/>
          <w:szCs w:val="32"/>
          <w:highlight w:val="none"/>
        </w:rPr>
        <w:t>%</w:t>
      </w:r>
      <w:r>
        <w:rPr>
          <w:rStyle w:val="23"/>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Style w:val="23"/>
          <w:rFonts w:ascii="仿宋" w:hAnsi="仿宋" w:eastAsia="仿宋"/>
          <w:color w:val="000000"/>
          <w:sz w:val="32"/>
          <w:szCs w:val="32"/>
        </w:rPr>
      </w:pPr>
      <w:r>
        <w:rPr>
          <w:rStyle w:val="23"/>
          <w:rFonts w:ascii="仿宋" w:hAnsi="仿宋" w:eastAsia="仿宋" w:cs="仿宋"/>
          <w:color w:val="000000"/>
          <w:sz w:val="32"/>
          <w:szCs w:val="32"/>
        </w:rPr>
        <w:t>1.</w:t>
      </w:r>
      <w:r>
        <w:rPr>
          <w:rStyle w:val="23"/>
          <w:rFonts w:hint="eastAsia" w:ascii="仿宋" w:hAnsi="仿宋" w:eastAsia="仿宋" w:cs="仿宋"/>
          <w:color w:val="000000"/>
          <w:sz w:val="32"/>
          <w:szCs w:val="32"/>
        </w:rPr>
        <w:t>一般公共服务</w:t>
      </w:r>
      <w:r>
        <w:rPr>
          <w:rStyle w:val="23"/>
          <w:rFonts w:hint="eastAsia" w:ascii="仿宋" w:hAnsi="仿宋" w:eastAsia="仿宋" w:cs="仿宋"/>
          <w:color w:val="000000"/>
          <w:sz w:val="32"/>
          <w:szCs w:val="32"/>
          <w:lang w:val="en-US" w:eastAsia="zh-CN"/>
        </w:rPr>
        <w:t>支出</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201</w:t>
      </w:r>
      <w:r>
        <w:rPr>
          <w:rStyle w:val="23"/>
          <w:rFonts w:hint="eastAsia" w:ascii="仿宋" w:hAnsi="仿宋" w:eastAsia="仿宋" w:cs="仿宋"/>
          <w:color w:val="000000"/>
          <w:sz w:val="32"/>
          <w:szCs w:val="32"/>
        </w:rPr>
        <w:t>）</w:t>
      </w:r>
      <w:r>
        <w:rPr>
          <w:rStyle w:val="23"/>
          <w:rFonts w:hint="eastAsia" w:ascii="仿宋" w:hAnsi="仿宋" w:eastAsia="仿宋" w:cs="仿宋"/>
          <w:b w:val="0"/>
          <w:bCs w:val="0"/>
          <w:color w:val="000000"/>
          <w:sz w:val="32"/>
          <w:szCs w:val="32"/>
          <w:lang w:val="en-US" w:eastAsia="zh-CN"/>
        </w:rPr>
        <w:t>政府办公厅（室）及相关机构事务</w:t>
      </w:r>
      <w:r>
        <w:rPr>
          <w:rStyle w:val="23"/>
          <w:rFonts w:hint="eastAsia" w:ascii="仿宋" w:hAnsi="仿宋" w:eastAsia="仿宋" w:cs="仿宋"/>
          <w:color w:val="000000"/>
          <w:sz w:val="32"/>
          <w:szCs w:val="32"/>
          <w:lang w:val="en-US" w:eastAsia="zh-CN"/>
        </w:rPr>
        <w:t>（03）</w:t>
      </w:r>
      <w:r>
        <w:rPr>
          <w:rStyle w:val="23"/>
          <w:rFonts w:ascii="仿宋" w:hAnsi="仿宋" w:eastAsia="仿宋" w:cs="仿宋"/>
          <w:color w:val="000000"/>
          <w:sz w:val="32"/>
          <w:szCs w:val="32"/>
        </w:rPr>
        <w:t>:</w:t>
      </w:r>
      <w:r>
        <w:rPr>
          <w:rStyle w:val="23"/>
          <w:rFonts w:ascii="仿宋" w:hAnsi="仿宋" w:eastAsia="仿宋" w:cs="仿宋"/>
          <w:b w:val="0"/>
          <w:bCs w:val="0"/>
          <w:color w:val="000000"/>
          <w:sz w:val="32"/>
          <w:szCs w:val="32"/>
        </w:rPr>
        <w:t xml:space="preserve"> </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1249.95</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cs="仿宋"/>
          <w:b w:val="0"/>
          <w:bCs w:val="0"/>
          <w:color w:val="000000"/>
          <w:sz w:val="32"/>
          <w:szCs w:val="32"/>
        </w:rPr>
        <w:t>预算</w:t>
      </w:r>
      <w:r>
        <w:rPr>
          <w:rStyle w:val="23"/>
          <w:rFonts w:hint="eastAsia" w:ascii="仿宋" w:hAnsi="仿宋" w:eastAsia="仿宋" w:cs="仿宋"/>
          <w:b w:val="0"/>
          <w:bCs w:val="0"/>
          <w:color w:val="000000"/>
          <w:sz w:val="32"/>
          <w:szCs w:val="32"/>
          <w:lang w:val="en-US" w:eastAsia="zh-CN"/>
        </w:rPr>
        <w:t>的</w:t>
      </w:r>
      <w:r>
        <w:rPr>
          <w:rStyle w:val="23"/>
          <w:rFonts w:ascii="仿宋" w:hAnsi="仿宋" w:eastAsia="仿宋" w:cs="仿宋"/>
          <w:b w:val="0"/>
          <w:bCs w:val="0"/>
          <w:color w:val="000000"/>
          <w:sz w:val="32"/>
          <w:szCs w:val="32"/>
        </w:rPr>
        <w:t>100%</w:t>
      </w:r>
      <w:r>
        <w:rPr>
          <w:rStyle w:val="23"/>
          <w:rFonts w:hint="eastAsia" w:ascii="仿宋" w:hAnsi="仿宋" w:eastAsia="仿宋" w:cs="仿宋"/>
          <w:b w:val="0"/>
          <w:bCs w:val="0"/>
          <w:color w:val="000000"/>
          <w:sz w:val="32"/>
          <w:szCs w:val="32"/>
        </w:rPr>
        <w:t>，其中：</w:t>
      </w:r>
    </w:p>
    <w:p>
      <w:pPr>
        <w:numPr>
          <w:ilvl w:val="0"/>
          <w:numId w:val="0"/>
        </w:numPr>
        <w:spacing w:line="600" w:lineRule="exact"/>
        <w:ind w:firstLine="640" w:firstLineChars="200"/>
        <w:rPr>
          <w:rStyle w:val="23"/>
          <w:rFonts w:hint="eastAsia" w:ascii="仿宋" w:hAnsi="仿宋" w:eastAsia="仿宋"/>
          <w:b w:val="0"/>
          <w:bCs/>
          <w:color w:val="000000"/>
          <w:sz w:val="32"/>
          <w:szCs w:val="32"/>
        </w:rPr>
      </w:pPr>
      <w:r>
        <w:rPr>
          <w:rStyle w:val="23"/>
          <w:rFonts w:hint="eastAsia" w:ascii="仿宋" w:hAnsi="仿宋" w:eastAsia="仿宋"/>
          <w:b w:val="0"/>
          <w:bCs w:val="0"/>
          <w:color w:val="000000"/>
          <w:sz w:val="32"/>
          <w:szCs w:val="32"/>
          <w:lang w:val="en-US" w:eastAsia="zh-CN"/>
        </w:rPr>
        <w:t>行政运行</w:t>
      </w:r>
      <w:r>
        <w:rPr>
          <w:rStyle w:val="23"/>
          <w:rFonts w:hint="eastAsia" w:ascii="仿宋" w:hAnsi="仿宋" w:eastAsia="仿宋"/>
          <w:b/>
          <w:bCs/>
          <w:color w:val="000000"/>
          <w:sz w:val="32"/>
          <w:szCs w:val="32"/>
        </w:rPr>
        <w:t>（20103</w:t>
      </w:r>
      <w:r>
        <w:rPr>
          <w:rStyle w:val="23"/>
          <w:rFonts w:hint="eastAsia" w:ascii="仿宋" w:hAnsi="仿宋" w:eastAsia="仿宋"/>
          <w:b/>
          <w:bCs/>
          <w:color w:val="000000"/>
          <w:sz w:val="32"/>
          <w:szCs w:val="32"/>
          <w:lang w:val="en-US" w:eastAsia="zh-CN"/>
        </w:rPr>
        <w:t>01</w:t>
      </w:r>
      <w:r>
        <w:rPr>
          <w:rStyle w:val="23"/>
          <w:rFonts w:hint="eastAsia" w:ascii="仿宋" w:hAnsi="仿宋" w:eastAsia="仿宋"/>
          <w:b/>
          <w:bCs/>
          <w:color w:val="000000"/>
          <w:sz w:val="32"/>
          <w:szCs w:val="32"/>
        </w:rPr>
        <w:t>）</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w:t>
      </w:r>
      <w:r>
        <w:rPr>
          <w:rStyle w:val="23"/>
          <w:rFonts w:hint="eastAsia" w:ascii="仿宋" w:hAnsi="仿宋" w:eastAsia="仿宋"/>
          <w:b w:val="0"/>
          <w:bCs/>
          <w:color w:val="000000" w:themeColor="text1"/>
          <w:sz w:val="32"/>
          <w:szCs w:val="32"/>
          <w:lang w:val="en-US" w:eastAsia="zh-CN"/>
          <w14:textFill>
            <w14:solidFill>
              <w14:schemeClr w14:val="tx1"/>
            </w14:solidFill>
          </w14:textFill>
        </w:rPr>
        <w:t>131.71</w:t>
      </w:r>
      <w:r>
        <w:rPr>
          <w:rStyle w:val="23"/>
          <w:rFonts w:hint="eastAsia" w:ascii="仿宋" w:hAnsi="仿宋" w:eastAsia="仿宋"/>
          <w:b w:val="0"/>
          <w:bCs/>
          <w:color w:val="000000"/>
          <w:sz w:val="32"/>
          <w:szCs w:val="32"/>
        </w:rPr>
        <w:t>万元，完成</w:t>
      </w:r>
      <w:r>
        <w:rPr>
          <w:rStyle w:val="23"/>
          <w:rFonts w:hint="eastAsia" w:ascii="仿宋" w:hAnsi="仿宋" w:eastAsia="仿宋"/>
          <w:b w:val="0"/>
          <w:bCs/>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p>
    <w:p>
      <w:pPr>
        <w:numPr>
          <w:ilvl w:val="0"/>
          <w:numId w:val="0"/>
        </w:numPr>
        <w:spacing w:line="600" w:lineRule="exact"/>
        <w:ind w:firstLine="640" w:firstLineChars="200"/>
      </w:pPr>
      <w:r>
        <w:rPr>
          <w:rStyle w:val="23"/>
          <w:rFonts w:hint="eastAsia" w:ascii="仿宋" w:hAnsi="仿宋" w:eastAsia="仿宋"/>
          <w:b w:val="0"/>
          <w:bCs w:val="0"/>
          <w:color w:val="000000" w:themeColor="text1"/>
          <w:sz w:val="32"/>
          <w:szCs w:val="32"/>
          <w:u w:val="none"/>
          <w:lang w:val="en-US" w:eastAsia="zh-CN"/>
          <w14:textFill>
            <w14:solidFill>
              <w14:schemeClr w14:val="tx1"/>
            </w14:solidFill>
          </w14:textFill>
        </w:rPr>
        <w:t>一般行政管理事</w:t>
      </w:r>
      <w:r>
        <w:rPr>
          <w:rStyle w:val="23"/>
          <w:rFonts w:hint="eastAsia" w:ascii="仿宋" w:hAnsi="仿宋" w:eastAsia="仿宋"/>
          <w:b/>
          <w:bCs/>
          <w:color w:val="000000" w:themeColor="text1"/>
          <w:sz w:val="32"/>
          <w:szCs w:val="32"/>
          <w:u w:val="none"/>
          <w:lang w:val="en-US" w:eastAsia="zh-CN"/>
          <w14:textFill>
            <w14:solidFill>
              <w14:schemeClr w14:val="tx1"/>
            </w14:solidFill>
          </w14:textFill>
        </w:rPr>
        <w:t>（2010302）：</w:t>
      </w:r>
      <w:r>
        <w:rPr>
          <w:rStyle w:val="23"/>
          <w:rFonts w:hint="eastAsia" w:ascii="仿宋" w:hAnsi="仿宋" w:eastAsia="仿宋"/>
          <w:b w:val="0"/>
          <w:bCs/>
          <w:color w:val="000000"/>
          <w:sz w:val="32"/>
          <w:szCs w:val="32"/>
        </w:rPr>
        <w:t>支出决算为</w:t>
      </w:r>
      <w:r>
        <w:rPr>
          <w:rStyle w:val="23"/>
          <w:rFonts w:hint="eastAsia" w:ascii="仿宋" w:hAnsi="仿宋" w:eastAsia="仿宋"/>
          <w:b w:val="0"/>
          <w:bCs/>
          <w:color w:val="000000" w:themeColor="text1"/>
          <w:sz w:val="32"/>
          <w:szCs w:val="32"/>
          <w:lang w:val="en-US" w:eastAsia="zh-CN"/>
          <w14:textFill>
            <w14:solidFill>
              <w14:schemeClr w14:val="tx1"/>
            </w14:solidFill>
          </w14:textFill>
        </w:rPr>
        <w:t>724.95</w:t>
      </w:r>
      <w:r>
        <w:rPr>
          <w:rStyle w:val="23"/>
          <w:rFonts w:hint="eastAsia" w:ascii="仿宋" w:hAnsi="仿宋" w:eastAsia="仿宋"/>
          <w:b w:val="0"/>
          <w:bCs/>
          <w:color w:val="000000" w:themeColor="text1"/>
          <w:sz w:val="32"/>
          <w:szCs w:val="32"/>
          <w14:textFill>
            <w14:solidFill>
              <w14:schemeClr w14:val="tx1"/>
            </w14:solidFill>
          </w14:textFill>
        </w:rPr>
        <w:t>万</w:t>
      </w:r>
      <w:r>
        <w:rPr>
          <w:rStyle w:val="23"/>
          <w:rFonts w:hint="eastAsia" w:ascii="仿宋" w:hAnsi="仿宋" w:eastAsia="仿宋"/>
          <w:b w:val="0"/>
          <w:bCs/>
          <w:color w:val="000000"/>
          <w:sz w:val="32"/>
          <w:szCs w:val="32"/>
        </w:rPr>
        <w:t>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p>
    <w:p>
      <w:pPr>
        <w:numPr>
          <w:ilvl w:val="0"/>
          <w:numId w:val="0"/>
        </w:numPr>
        <w:spacing w:line="600" w:lineRule="exact"/>
        <w:ind w:firstLine="640" w:firstLineChars="200"/>
        <w:rPr>
          <w:rStyle w:val="23"/>
          <w:rFonts w:hint="eastAsia" w:ascii="仿宋" w:hAnsi="仿宋" w:eastAsia="仿宋"/>
          <w:b w:val="0"/>
          <w:bCs/>
          <w:color w:val="000000"/>
          <w:sz w:val="32"/>
          <w:szCs w:val="32"/>
        </w:rPr>
      </w:pPr>
      <w:r>
        <w:rPr>
          <w:rStyle w:val="23"/>
          <w:rFonts w:hint="eastAsia" w:ascii="仿宋" w:hAnsi="仿宋" w:eastAsia="仿宋"/>
          <w:b w:val="0"/>
          <w:bCs w:val="0"/>
          <w:color w:val="000000"/>
          <w:sz w:val="32"/>
          <w:szCs w:val="32"/>
          <w:lang w:val="en-US" w:eastAsia="zh-CN"/>
        </w:rPr>
        <w:t>政务公开审批</w:t>
      </w:r>
      <w:r>
        <w:rPr>
          <w:rStyle w:val="23"/>
          <w:rFonts w:hint="eastAsia" w:ascii="仿宋" w:hAnsi="仿宋" w:eastAsia="仿宋"/>
          <w:b/>
          <w:bCs/>
          <w:color w:val="000000"/>
          <w:sz w:val="32"/>
          <w:szCs w:val="32"/>
        </w:rPr>
        <w:t>（20103</w:t>
      </w:r>
      <w:r>
        <w:rPr>
          <w:rStyle w:val="23"/>
          <w:rFonts w:hint="eastAsia" w:ascii="仿宋" w:hAnsi="仿宋" w:eastAsia="仿宋"/>
          <w:b/>
          <w:bCs/>
          <w:color w:val="000000"/>
          <w:sz w:val="32"/>
          <w:szCs w:val="32"/>
          <w:lang w:val="en-US" w:eastAsia="zh-CN"/>
        </w:rPr>
        <w:t>06</w:t>
      </w:r>
      <w:r>
        <w:rPr>
          <w:rStyle w:val="23"/>
          <w:rFonts w:hint="eastAsia" w:ascii="仿宋" w:hAnsi="仿宋" w:eastAsia="仿宋"/>
          <w:b/>
          <w:bCs/>
          <w:color w:val="000000"/>
          <w:sz w:val="32"/>
          <w:szCs w:val="32"/>
        </w:rPr>
        <w:t>）</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w:t>
      </w:r>
      <w:r>
        <w:rPr>
          <w:rFonts w:hint="eastAsia" w:ascii="楷体_GB2312" w:eastAsia="楷体_GB2312"/>
          <w:sz w:val="32"/>
          <w:szCs w:val="32"/>
          <w:lang w:val="en-US" w:eastAsia="zh-CN"/>
        </w:rPr>
        <w:t>261.42</w:t>
      </w:r>
      <w:r>
        <w:rPr>
          <w:rStyle w:val="23"/>
          <w:rFonts w:hint="eastAsia" w:ascii="仿宋" w:hAnsi="仿宋" w:eastAsia="仿宋"/>
          <w:b w:val="0"/>
          <w:bCs/>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p>
    <w:p>
      <w:pPr>
        <w:numPr>
          <w:ilvl w:val="0"/>
          <w:numId w:val="0"/>
        </w:numPr>
        <w:spacing w:line="600" w:lineRule="exact"/>
        <w:ind w:firstLine="640" w:firstLineChars="200"/>
      </w:pPr>
      <w:r>
        <w:rPr>
          <w:rStyle w:val="23"/>
          <w:rFonts w:hint="eastAsia" w:ascii="仿宋" w:hAnsi="仿宋" w:eastAsia="仿宋"/>
          <w:b w:val="0"/>
          <w:bCs w:val="0"/>
          <w:color w:val="000000"/>
          <w:sz w:val="32"/>
          <w:szCs w:val="32"/>
          <w:lang w:val="en-US" w:eastAsia="zh-CN"/>
        </w:rPr>
        <w:t>事业运行</w:t>
      </w:r>
      <w:r>
        <w:rPr>
          <w:rStyle w:val="23"/>
          <w:rFonts w:hint="eastAsia" w:ascii="仿宋" w:hAnsi="仿宋" w:eastAsia="仿宋"/>
          <w:b/>
          <w:bCs/>
          <w:color w:val="000000"/>
          <w:sz w:val="32"/>
          <w:szCs w:val="32"/>
        </w:rPr>
        <w:t>（20103</w:t>
      </w:r>
      <w:r>
        <w:rPr>
          <w:rStyle w:val="23"/>
          <w:rFonts w:hint="eastAsia" w:ascii="仿宋" w:hAnsi="仿宋" w:eastAsia="仿宋"/>
          <w:b/>
          <w:bCs/>
          <w:color w:val="000000"/>
          <w:sz w:val="32"/>
          <w:szCs w:val="32"/>
          <w:lang w:val="en-US" w:eastAsia="zh-CN"/>
        </w:rPr>
        <w:t>50</w:t>
      </w:r>
      <w:r>
        <w:rPr>
          <w:rStyle w:val="23"/>
          <w:rFonts w:hint="eastAsia" w:ascii="仿宋" w:hAnsi="仿宋" w:eastAsia="仿宋"/>
          <w:b/>
          <w:bCs/>
          <w:color w:val="000000"/>
          <w:sz w:val="32"/>
          <w:szCs w:val="32"/>
        </w:rPr>
        <w:t>）</w:t>
      </w:r>
      <w:r>
        <w:rPr>
          <w:rStyle w:val="23"/>
          <w:rFonts w:ascii="仿宋" w:hAnsi="仿宋" w:eastAsia="仿宋"/>
          <w:b w:val="0"/>
          <w:bCs w:val="0"/>
          <w:color w:val="000000"/>
          <w:sz w:val="32"/>
          <w:szCs w:val="32"/>
        </w:rPr>
        <w:t xml:space="preserve">: </w:t>
      </w:r>
      <w:r>
        <w:rPr>
          <w:rStyle w:val="23"/>
          <w:rFonts w:hint="eastAsia" w:ascii="仿宋" w:hAnsi="仿宋" w:eastAsia="仿宋"/>
          <w:b w:val="0"/>
          <w:bCs/>
          <w:color w:val="000000"/>
          <w:sz w:val="32"/>
          <w:szCs w:val="32"/>
        </w:rPr>
        <w:t>支出决算为</w:t>
      </w:r>
      <w:r>
        <w:rPr>
          <w:rFonts w:hint="eastAsia" w:ascii="楷体_GB2312" w:eastAsia="楷体_GB2312"/>
          <w:color w:val="000000" w:themeColor="text1"/>
          <w:sz w:val="32"/>
          <w:szCs w:val="32"/>
          <w:lang w:val="en-US" w:eastAsia="zh-CN"/>
          <w14:textFill>
            <w14:solidFill>
              <w14:schemeClr w14:val="tx1"/>
            </w14:solidFill>
          </w14:textFill>
        </w:rPr>
        <w:t>131.69</w:t>
      </w:r>
      <w:r>
        <w:rPr>
          <w:rStyle w:val="23"/>
          <w:rFonts w:hint="eastAsia" w:ascii="仿宋" w:hAnsi="仿宋" w:eastAsia="仿宋"/>
          <w:b w:val="0"/>
          <w:bCs/>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p>
    <w:p>
      <w:pPr>
        <w:numPr>
          <w:ilvl w:val="0"/>
          <w:numId w:val="0"/>
        </w:numPr>
        <w:spacing w:line="600" w:lineRule="exact"/>
        <w:ind w:firstLine="643" w:firstLineChars="200"/>
        <w:rPr>
          <w:rStyle w:val="23"/>
          <w:rFonts w:hint="eastAsia" w:ascii="仿宋" w:hAnsi="仿宋" w:eastAsia="仿宋" w:cs="仿宋"/>
          <w:b w:val="0"/>
          <w:bCs w:val="0"/>
          <w:color w:val="000000"/>
          <w:sz w:val="32"/>
          <w:szCs w:val="32"/>
        </w:rPr>
      </w:pPr>
      <w:r>
        <w:rPr>
          <w:rStyle w:val="23"/>
          <w:rFonts w:hint="eastAsia" w:ascii="仿宋" w:hAnsi="仿宋" w:eastAsia="仿宋" w:cs="仿宋"/>
          <w:color w:val="000000"/>
          <w:sz w:val="32"/>
          <w:szCs w:val="32"/>
          <w:lang w:val="en-US" w:eastAsia="zh-CN"/>
        </w:rPr>
        <w:t>2.</w:t>
      </w:r>
      <w:r>
        <w:rPr>
          <w:rStyle w:val="23"/>
          <w:rFonts w:hint="eastAsia" w:ascii="仿宋" w:hAnsi="仿宋" w:eastAsia="仿宋" w:cs="仿宋"/>
          <w:color w:val="000000"/>
          <w:sz w:val="32"/>
          <w:szCs w:val="32"/>
        </w:rPr>
        <w:t>社会保障和就业</w:t>
      </w:r>
      <w:r>
        <w:rPr>
          <w:rStyle w:val="23"/>
          <w:rFonts w:hint="eastAsia" w:ascii="仿宋" w:hAnsi="仿宋" w:eastAsia="仿宋" w:cs="仿宋"/>
          <w:color w:val="000000"/>
          <w:sz w:val="32"/>
          <w:szCs w:val="32"/>
          <w:lang w:val="en-US" w:eastAsia="zh-CN"/>
        </w:rPr>
        <w:t>支出</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208</w:t>
      </w:r>
      <w:r>
        <w:rPr>
          <w:rStyle w:val="23"/>
          <w:rFonts w:hint="eastAsia" w:ascii="仿宋" w:hAnsi="仿宋" w:eastAsia="仿宋" w:cs="仿宋"/>
          <w:color w:val="000000"/>
          <w:sz w:val="32"/>
          <w:szCs w:val="32"/>
        </w:rPr>
        <w:t>）</w:t>
      </w:r>
      <w:r>
        <w:rPr>
          <w:rStyle w:val="23"/>
          <w:rFonts w:hint="eastAsia" w:ascii="仿宋" w:hAnsi="仿宋" w:eastAsia="仿宋" w:cs="仿宋"/>
          <w:color w:val="000000"/>
          <w:sz w:val="32"/>
          <w:szCs w:val="32"/>
          <w:lang w:eastAsia="zh-CN"/>
        </w:rPr>
        <w:t>：</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21.86</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numPr>
          <w:ilvl w:val="0"/>
          <w:numId w:val="0"/>
        </w:numPr>
        <w:spacing w:line="600" w:lineRule="exact"/>
        <w:ind w:firstLine="640" w:firstLineChars="200"/>
        <w:rPr>
          <w:rStyle w:val="23"/>
          <w:rFonts w:hint="eastAsia" w:ascii="仿宋" w:hAnsi="仿宋" w:eastAsia="仿宋" w:cs="仿宋"/>
          <w:b w:val="0"/>
          <w:bCs w:val="0"/>
          <w:color w:val="000000"/>
          <w:sz w:val="32"/>
          <w:szCs w:val="32"/>
        </w:rPr>
      </w:pPr>
      <w:r>
        <w:rPr>
          <w:rStyle w:val="23"/>
          <w:rFonts w:hint="eastAsia" w:ascii="仿宋" w:hAnsi="仿宋" w:eastAsia="仿宋" w:cs="仿宋"/>
          <w:b w:val="0"/>
          <w:bCs/>
          <w:color w:val="000000"/>
          <w:sz w:val="32"/>
          <w:szCs w:val="32"/>
          <w:lang w:val="en-US" w:eastAsia="zh-CN"/>
        </w:rPr>
        <w:t>行政单位离退休</w:t>
      </w:r>
      <w:r>
        <w:rPr>
          <w:rStyle w:val="23"/>
          <w:rFonts w:hint="eastAsia" w:ascii="仿宋" w:hAnsi="仿宋" w:eastAsia="仿宋" w:cs="仿宋"/>
          <w:color w:val="000000"/>
          <w:sz w:val="32"/>
          <w:szCs w:val="32"/>
          <w:lang w:val="en-US" w:eastAsia="zh-CN"/>
        </w:rPr>
        <w:t>（20805）</w:t>
      </w:r>
      <w:r>
        <w:rPr>
          <w:rStyle w:val="23"/>
          <w:rFonts w:hint="eastAsia" w:ascii="仿宋" w:hAnsi="仿宋" w:eastAsia="仿宋" w:cs="仿宋"/>
          <w:b w:val="0"/>
          <w:bCs/>
          <w:color w:val="000000"/>
          <w:sz w:val="32"/>
          <w:szCs w:val="32"/>
        </w:rPr>
        <w:t>机关事业单位基本养老保险缴费支出</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208</w:t>
      </w:r>
      <w:r>
        <w:rPr>
          <w:rStyle w:val="23"/>
          <w:rFonts w:hint="eastAsia" w:ascii="仿宋" w:hAnsi="仿宋" w:eastAsia="仿宋" w:cs="仿宋"/>
          <w:color w:val="000000"/>
          <w:sz w:val="32"/>
          <w:szCs w:val="32"/>
          <w:lang w:val="en-US" w:eastAsia="zh-CN"/>
        </w:rPr>
        <w:t>0505</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w:t>
      </w:r>
      <w:r>
        <w:rPr>
          <w:rStyle w:val="23"/>
          <w:rFonts w:ascii="仿宋" w:hAnsi="仿宋" w:eastAsia="仿宋" w:cs="仿宋"/>
          <w:b w:val="0"/>
          <w:bCs w:val="0"/>
          <w:color w:val="000000"/>
          <w:sz w:val="32"/>
          <w:szCs w:val="32"/>
        </w:rPr>
        <w:t xml:space="preserve"> </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19.89</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pStyle w:val="16"/>
        <w:ind w:left="0" w:leftChars="0" w:firstLine="640" w:firstLineChars="200"/>
      </w:pPr>
      <w:r>
        <w:rPr>
          <w:rStyle w:val="23"/>
          <w:rFonts w:hint="eastAsia" w:ascii="仿宋" w:hAnsi="仿宋" w:eastAsia="仿宋" w:cs="仿宋"/>
          <w:b w:val="0"/>
          <w:bCs/>
          <w:color w:val="000000"/>
          <w:sz w:val="32"/>
          <w:szCs w:val="32"/>
        </w:rPr>
        <w:t>其他社会保障和就业支出</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208</w:t>
      </w:r>
      <w:r>
        <w:rPr>
          <w:rStyle w:val="23"/>
          <w:rFonts w:hint="eastAsia" w:ascii="仿宋" w:hAnsi="仿宋" w:eastAsia="仿宋" w:cs="仿宋"/>
          <w:color w:val="000000"/>
          <w:sz w:val="32"/>
          <w:szCs w:val="32"/>
          <w:lang w:val="en-US" w:eastAsia="zh-CN"/>
        </w:rPr>
        <w:t>99</w:t>
      </w:r>
      <w:r>
        <w:rPr>
          <w:rStyle w:val="23"/>
          <w:rFonts w:hint="eastAsia" w:ascii="仿宋" w:hAnsi="仿宋" w:eastAsia="仿宋" w:cs="仿宋"/>
          <w:color w:val="000000"/>
          <w:sz w:val="32"/>
          <w:szCs w:val="32"/>
        </w:rPr>
        <w:t>）</w:t>
      </w:r>
      <w:r>
        <w:rPr>
          <w:rStyle w:val="23"/>
          <w:rFonts w:hint="eastAsia" w:ascii="仿宋" w:hAnsi="仿宋" w:eastAsia="仿宋" w:cs="仿宋"/>
          <w:b w:val="0"/>
          <w:bCs/>
          <w:color w:val="000000"/>
          <w:sz w:val="32"/>
          <w:szCs w:val="32"/>
        </w:rPr>
        <w:t>其他社会保障和就业支出</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208</w:t>
      </w:r>
      <w:r>
        <w:rPr>
          <w:rStyle w:val="23"/>
          <w:rFonts w:hint="eastAsia" w:ascii="仿宋" w:hAnsi="仿宋" w:eastAsia="仿宋" w:cs="仿宋"/>
          <w:color w:val="000000"/>
          <w:sz w:val="32"/>
          <w:szCs w:val="32"/>
          <w:lang w:val="en-US" w:eastAsia="zh-CN"/>
        </w:rPr>
        <w:t>9999</w:t>
      </w:r>
      <w:r>
        <w:rPr>
          <w:rStyle w:val="23"/>
          <w:rFonts w:hint="eastAsia" w:ascii="仿宋" w:hAnsi="仿宋" w:eastAsia="仿宋" w:cs="仿宋"/>
          <w:color w:val="000000"/>
          <w:sz w:val="32"/>
          <w:szCs w:val="32"/>
        </w:rPr>
        <w:t>）</w:t>
      </w:r>
      <w:r>
        <w:rPr>
          <w:rStyle w:val="23"/>
          <w:rFonts w:ascii="仿宋" w:hAnsi="仿宋" w:eastAsia="仿宋" w:cs="仿宋"/>
          <w:color w:val="000000"/>
          <w:sz w:val="32"/>
          <w:szCs w:val="32"/>
        </w:rPr>
        <w:t>:</w:t>
      </w:r>
      <w:r>
        <w:rPr>
          <w:rStyle w:val="23"/>
          <w:rFonts w:ascii="仿宋" w:hAnsi="仿宋" w:eastAsia="仿宋" w:cs="仿宋"/>
          <w:b w:val="0"/>
          <w:bCs w:val="0"/>
          <w:color w:val="000000"/>
          <w:sz w:val="32"/>
          <w:szCs w:val="32"/>
        </w:rPr>
        <w:t xml:space="preserve"> </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1.97</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spacing w:line="600" w:lineRule="exact"/>
        <w:ind w:firstLine="643" w:firstLineChars="200"/>
        <w:rPr>
          <w:rFonts w:ascii="仿宋" w:hAnsi="仿宋" w:eastAsia="仿宋"/>
          <w:b/>
          <w:bCs/>
          <w:color w:val="000000"/>
          <w:sz w:val="32"/>
          <w:szCs w:val="32"/>
        </w:rPr>
      </w:pPr>
      <w:r>
        <w:rPr>
          <w:rStyle w:val="23"/>
          <w:rFonts w:ascii="仿宋" w:hAnsi="仿宋" w:eastAsia="仿宋" w:cs="仿宋"/>
          <w:color w:val="000000"/>
          <w:sz w:val="32"/>
          <w:szCs w:val="32"/>
        </w:rPr>
        <w:t>3.</w:t>
      </w:r>
      <w:r>
        <w:rPr>
          <w:rStyle w:val="23"/>
          <w:rFonts w:hint="eastAsia" w:ascii="仿宋" w:hAnsi="仿宋" w:eastAsia="仿宋" w:cs="仿宋"/>
          <w:color w:val="000000"/>
          <w:sz w:val="32"/>
          <w:szCs w:val="32"/>
        </w:rPr>
        <w:t>卫生健康支出（</w:t>
      </w:r>
      <w:r>
        <w:rPr>
          <w:rStyle w:val="23"/>
          <w:rFonts w:ascii="仿宋" w:hAnsi="仿宋" w:eastAsia="仿宋" w:cs="仿宋"/>
          <w:color w:val="000000"/>
          <w:sz w:val="32"/>
          <w:szCs w:val="32"/>
        </w:rPr>
        <w:t>210</w:t>
      </w:r>
      <w:r>
        <w:rPr>
          <w:rStyle w:val="23"/>
          <w:rFonts w:hint="eastAsia" w:ascii="仿宋" w:hAnsi="仿宋" w:eastAsia="仿宋" w:cs="仿宋"/>
          <w:color w:val="000000"/>
          <w:sz w:val="32"/>
          <w:szCs w:val="32"/>
        </w:rPr>
        <w:t>）</w:t>
      </w:r>
      <w:r>
        <w:rPr>
          <w:rStyle w:val="23"/>
          <w:rFonts w:hint="eastAsia" w:ascii="仿宋" w:hAnsi="仿宋" w:eastAsia="仿宋" w:cs="仿宋"/>
          <w:b w:val="0"/>
          <w:bCs w:val="0"/>
          <w:color w:val="000000"/>
          <w:sz w:val="32"/>
          <w:szCs w:val="32"/>
        </w:rPr>
        <w:t>行政事业单位医疗</w:t>
      </w:r>
      <w:r>
        <w:rPr>
          <w:rStyle w:val="23"/>
          <w:rFonts w:hint="eastAsia" w:ascii="仿宋" w:hAnsi="仿宋" w:eastAsia="仿宋" w:cs="仿宋"/>
          <w:color w:val="000000"/>
          <w:sz w:val="32"/>
          <w:szCs w:val="32"/>
          <w:lang w:eastAsia="zh-CN"/>
        </w:rPr>
        <w:t>（</w:t>
      </w:r>
      <w:r>
        <w:rPr>
          <w:rStyle w:val="23"/>
          <w:rFonts w:hint="eastAsia" w:ascii="仿宋" w:hAnsi="仿宋" w:eastAsia="仿宋" w:cs="仿宋"/>
          <w:color w:val="000000"/>
          <w:sz w:val="32"/>
          <w:szCs w:val="32"/>
          <w:lang w:val="en-US" w:eastAsia="zh-CN"/>
        </w:rPr>
        <w:t>11</w:t>
      </w:r>
      <w:r>
        <w:rPr>
          <w:rStyle w:val="23"/>
          <w:rFonts w:hint="eastAsia" w:ascii="仿宋" w:hAnsi="仿宋" w:eastAsia="仿宋" w:cs="仿宋"/>
          <w:color w:val="000000"/>
          <w:sz w:val="32"/>
          <w:szCs w:val="32"/>
          <w:lang w:eastAsia="zh-CN"/>
        </w:rPr>
        <w:t>）</w:t>
      </w:r>
      <w:r>
        <w:rPr>
          <w:rStyle w:val="23"/>
          <w:rFonts w:ascii="仿宋" w:hAnsi="仿宋" w:eastAsia="仿宋" w:cs="仿宋"/>
          <w:color w:val="000000"/>
          <w:sz w:val="32"/>
          <w:szCs w:val="32"/>
        </w:rPr>
        <w:t>:</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10.95</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spacing w:line="600" w:lineRule="exact"/>
        <w:ind w:firstLine="640" w:firstLineChars="200"/>
        <w:rPr>
          <w:rFonts w:ascii="仿宋" w:hAnsi="仿宋" w:eastAsia="仿宋"/>
          <w:b/>
          <w:bCs/>
          <w:color w:val="000000"/>
          <w:sz w:val="32"/>
          <w:szCs w:val="32"/>
        </w:rPr>
      </w:pPr>
      <w:r>
        <w:rPr>
          <w:rStyle w:val="23"/>
          <w:rFonts w:hint="eastAsia" w:ascii="仿宋" w:hAnsi="仿宋" w:eastAsia="仿宋" w:cs="仿宋"/>
          <w:b w:val="0"/>
          <w:bCs w:val="0"/>
          <w:color w:val="000000"/>
          <w:sz w:val="32"/>
          <w:szCs w:val="32"/>
          <w:lang w:eastAsia="zh-CN"/>
        </w:rPr>
        <w:t>行政单位医疗</w:t>
      </w:r>
      <w:r>
        <w:rPr>
          <w:rStyle w:val="23"/>
          <w:rFonts w:hint="eastAsia" w:ascii="仿宋" w:hAnsi="仿宋" w:eastAsia="仿宋" w:cs="仿宋"/>
          <w:color w:val="000000"/>
          <w:sz w:val="32"/>
          <w:szCs w:val="32"/>
          <w:lang w:eastAsia="zh-CN"/>
        </w:rPr>
        <w:t>（</w:t>
      </w:r>
      <w:r>
        <w:rPr>
          <w:rStyle w:val="23"/>
          <w:rFonts w:hint="eastAsia" w:ascii="仿宋" w:hAnsi="仿宋" w:eastAsia="仿宋" w:cs="仿宋"/>
          <w:color w:val="000000"/>
          <w:sz w:val="32"/>
          <w:szCs w:val="32"/>
          <w:lang w:val="en-US" w:eastAsia="zh-CN"/>
        </w:rPr>
        <w:t>2101101</w:t>
      </w:r>
      <w:r>
        <w:rPr>
          <w:rStyle w:val="23"/>
          <w:rFonts w:hint="eastAsia" w:ascii="仿宋" w:hAnsi="仿宋" w:eastAsia="仿宋" w:cs="仿宋"/>
          <w:color w:val="000000"/>
          <w:sz w:val="32"/>
          <w:szCs w:val="32"/>
          <w:lang w:eastAsia="zh-CN"/>
        </w:rPr>
        <w:t>）</w:t>
      </w:r>
      <w:r>
        <w:rPr>
          <w:rStyle w:val="23"/>
          <w:rFonts w:ascii="仿宋" w:hAnsi="仿宋" w:eastAsia="仿宋" w:cs="仿宋"/>
          <w:color w:val="000000"/>
          <w:sz w:val="32"/>
          <w:szCs w:val="32"/>
        </w:rPr>
        <w:t>:</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3.90</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spacing w:line="600" w:lineRule="exact"/>
        <w:ind w:firstLine="640" w:firstLineChars="200"/>
        <w:rPr>
          <w:rFonts w:ascii="仿宋" w:hAnsi="仿宋" w:eastAsia="仿宋"/>
          <w:b/>
          <w:bCs/>
          <w:color w:val="000000"/>
          <w:sz w:val="32"/>
          <w:szCs w:val="32"/>
        </w:rPr>
      </w:pPr>
      <w:r>
        <w:rPr>
          <w:rStyle w:val="23"/>
          <w:rFonts w:hint="eastAsia" w:ascii="仿宋" w:hAnsi="仿宋" w:eastAsia="仿宋" w:cs="仿宋"/>
          <w:b w:val="0"/>
          <w:bCs w:val="0"/>
          <w:color w:val="000000"/>
          <w:sz w:val="32"/>
          <w:szCs w:val="32"/>
          <w:lang w:val="en-US" w:eastAsia="zh-CN"/>
        </w:rPr>
        <w:t>事业</w:t>
      </w:r>
      <w:r>
        <w:rPr>
          <w:rStyle w:val="23"/>
          <w:rFonts w:hint="eastAsia" w:ascii="仿宋" w:hAnsi="仿宋" w:eastAsia="仿宋" w:cs="仿宋"/>
          <w:b w:val="0"/>
          <w:bCs w:val="0"/>
          <w:color w:val="000000"/>
          <w:sz w:val="32"/>
          <w:szCs w:val="32"/>
          <w:lang w:eastAsia="zh-CN"/>
        </w:rPr>
        <w:t>单位医疗</w:t>
      </w:r>
      <w:r>
        <w:rPr>
          <w:rStyle w:val="23"/>
          <w:rFonts w:hint="eastAsia" w:ascii="仿宋" w:hAnsi="仿宋" w:eastAsia="仿宋" w:cs="仿宋"/>
          <w:color w:val="000000"/>
          <w:sz w:val="32"/>
          <w:szCs w:val="32"/>
          <w:lang w:eastAsia="zh-CN"/>
        </w:rPr>
        <w:t>（</w:t>
      </w:r>
      <w:r>
        <w:rPr>
          <w:rStyle w:val="23"/>
          <w:rFonts w:hint="eastAsia" w:ascii="仿宋" w:hAnsi="仿宋" w:eastAsia="仿宋" w:cs="仿宋"/>
          <w:color w:val="000000"/>
          <w:sz w:val="32"/>
          <w:szCs w:val="32"/>
          <w:lang w:val="en-US" w:eastAsia="zh-CN"/>
        </w:rPr>
        <w:t>2101102</w:t>
      </w:r>
      <w:r>
        <w:rPr>
          <w:rStyle w:val="23"/>
          <w:rFonts w:hint="eastAsia" w:ascii="仿宋" w:hAnsi="仿宋" w:eastAsia="仿宋" w:cs="仿宋"/>
          <w:color w:val="000000"/>
          <w:sz w:val="32"/>
          <w:szCs w:val="32"/>
          <w:lang w:eastAsia="zh-CN"/>
        </w:rPr>
        <w:t>）</w:t>
      </w:r>
      <w:r>
        <w:rPr>
          <w:rStyle w:val="23"/>
          <w:rFonts w:ascii="仿宋" w:hAnsi="仿宋" w:eastAsia="仿宋" w:cs="仿宋"/>
          <w:color w:val="000000"/>
          <w:sz w:val="32"/>
          <w:szCs w:val="32"/>
        </w:rPr>
        <w:t>:</w:t>
      </w:r>
      <w:r>
        <w:rPr>
          <w:rStyle w:val="23"/>
          <w:rFonts w:hint="eastAsia" w:ascii="仿宋" w:hAnsi="仿宋" w:eastAsia="仿宋" w:cs="仿宋"/>
          <w:b w:val="0"/>
          <w:bCs w:val="0"/>
          <w:color w:val="000000"/>
          <w:sz w:val="32"/>
          <w:szCs w:val="32"/>
        </w:rPr>
        <w:t>支出决算为</w:t>
      </w:r>
      <w:r>
        <w:rPr>
          <w:rFonts w:hint="eastAsia" w:ascii="楷体_GB2312" w:eastAsia="楷体_GB2312" w:cs="楷体_GB2312"/>
          <w:sz w:val="32"/>
          <w:szCs w:val="32"/>
          <w:lang w:val="en-US" w:eastAsia="zh-CN"/>
        </w:rPr>
        <w:t>7.05</w:t>
      </w:r>
      <w:r>
        <w:rPr>
          <w:rStyle w:val="23"/>
          <w:rFonts w:hint="eastAsia" w:ascii="仿宋" w:hAnsi="仿宋" w:eastAsia="仿宋" w:cs="仿宋"/>
          <w:b w:val="0"/>
          <w:bCs w:val="0"/>
          <w:color w:val="000000"/>
          <w:sz w:val="32"/>
          <w:szCs w:val="32"/>
        </w:rPr>
        <w:t>万元，完成</w:t>
      </w:r>
      <w:r>
        <w:rPr>
          <w:rStyle w:val="23"/>
          <w:rFonts w:hint="eastAsia" w:ascii="仿宋" w:hAnsi="仿宋" w:eastAsia="仿宋" w:cs="仿宋"/>
          <w:b w:val="0"/>
          <w:bCs w:val="0"/>
          <w:color w:val="000000"/>
          <w:sz w:val="32"/>
          <w:szCs w:val="32"/>
          <w:lang w:val="en-US" w:eastAsia="zh-CN"/>
        </w:rPr>
        <w:t>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rPr>
        <w:t>。</w:t>
      </w:r>
    </w:p>
    <w:p>
      <w:pPr>
        <w:spacing w:line="600" w:lineRule="exact"/>
        <w:ind w:firstLine="643" w:firstLineChars="200"/>
        <w:rPr>
          <w:rFonts w:hint="eastAsia" w:ascii="黑体" w:eastAsia="黑体"/>
          <w:color w:val="auto"/>
          <w:sz w:val="32"/>
          <w:szCs w:val="32"/>
          <w:highlight w:val="none"/>
        </w:rPr>
      </w:pPr>
      <w:r>
        <w:rPr>
          <w:rStyle w:val="23"/>
          <w:rFonts w:ascii="仿宋" w:hAnsi="仿宋" w:eastAsia="仿宋" w:cs="仿宋"/>
          <w:color w:val="000000"/>
          <w:sz w:val="32"/>
          <w:szCs w:val="32"/>
        </w:rPr>
        <w:t>4.</w:t>
      </w:r>
      <w:r>
        <w:rPr>
          <w:rStyle w:val="23"/>
          <w:rFonts w:hint="eastAsia" w:ascii="仿宋" w:hAnsi="仿宋" w:eastAsia="仿宋" w:cs="仿宋"/>
          <w:color w:val="000000"/>
          <w:sz w:val="32"/>
          <w:szCs w:val="32"/>
          <w:lang w:val="en-US" w:eastAsia="zh-CN"/>
        </w:rPr>
        <w:t>住房保障支出（221）</w:t>
      </w:r>
      <w:r>
        <w:rPr>
          <w:rStyle w:val="23"/>
          <w:rFonts w:hint="eastAsia" w:ascii="仿宋" w:hAnsi="仿宋" w:eastAsia="仿宋" w:cs="仿宋"/>
          <w:b w:val="0"/>
          <w:bCs w:val="0"/>
          <w:color w:val="000000"/>
          <w:sz w:val="32"/>
          <w:szCs w:val="32"/>
          <w:lang w:val="en-US" w:eastAsia="zh-CN"/>
        </w:rPr>
        <w:t>住房改革支出</w:t>
      </w:r>
      <w:r>
        <w:rPr>
          <w:rStyle w:val="23"/>
          <w:rFonts w:hint="eastAsia" w:ascii="仿宋" w:hAnsi="仿宋" w:eastAsia="仿宋" w:cs="仿宋"/>
          <w:color w:val="000000"/>
          <w:sz w:val="32"/>
          <w:szCs w:val="32"/>
          <w:lang w:val="en-US" w:eastAsia="zh-CN"/>
        </w:rPr>
        <w:t>（02）</w:t>
      </w:r>
      <w:r>
        <w:rPr>
          <w:rStyle w:val="23"/>
          <w:rFonts w:hint="eastAsia" w:ascii="仿宋" w:hAnsi="仿宋" w:eastAsia="仿宋" w:cs="仿宋"/>
          <w:b w:val="0"/>
          <w:bCs w:val="0"/>
          <w:color w:val="000000"/>
          <w:sz w:val="32"/>
          <w:szCs w:val="32"/>
          <w:lang w:val="en-US" w:eastAsia="zh-CN"/>
        </w:rPr>
        <w:t>住房公积金</w:t>
      </w:r>
      <w:r>
        <w:rPr>
          <w:rStyle w:val="23"/>
          <w:rFonts w:hint="eastAsia" w:ascii="仿宋" w:hAnsi="仿宋" w:eastAsia="仿宋" w:cs="仿宋"/>
          <w:color w:val="000000"/>
          <w:sz w:val="32"/>
          <w:szCs w:val="32"/>
          <w:lang w:val="en-US" w:eastAsia="zh-CN"/>
        </w:rPr>
        <w:t>（01）</w:t>
      </w:r>
      <w:r>
        <w:rPr>
          <w:rFonts w:hint="eastAsia" w:ascii="楷体_GB2312" w:hAnsi="Times New Roman" w:eastAsia="楷体_GB2312" w:cs="楷体_GB2312"/>
          <w:sz w:val="32"/>
          <w:szCs w:val="32"/>
          <w:lang w:val="en-US" w:eastAsia="zh-CN"/>
        </w:rPr>
        <w:t xml:space="preserve">: </w:t>
      </w:r>
      <w:r>
        <w:rPr>
          <w:rStyle w:val="23"/>
          <w:rFonts w:hint="eastAsia" w:ascii="仿宋" w:hAnsi="仿宋" w:eastAsia="仿宋" w:cs="仿宋"/>
          <w:b w:val="0"/>
          <w:bCs w:val="0"/>
          <w:color w:val="000000"/>
          <w:sz w:val="32"/>
          <w:szCs w:val="32"/>
          <w:lang w:val="en-US" w:eastAsia="zh-CN"/>
        </w:rPr>
        <w:t>支出决算为23.82万元，完成全年</w:t>
      </w:r>
      <w:r>
        <w:rPr>
          <w:rStyle w:val="23"/>
          <w:rFonts w:hint="eastAsia" w:ascii="仿宋" w:hAnsi="仿宋" w:eastAsia="仿宋"/>
          <w:b w:val="0"/>
          <w:bCs/>
          <w:color w:val="000000"/>
          <w:sz w:val="32"/>
          <w:szCs w:val="32"/>
        </w:rPr>
        <w:t>预算</w:t>
      </w:r>
      <w:r>
        <w:rPr>
          <w:rStyle w:val="23"/>
          <w:rFonts w:hint="eastAsia" w:ascii="仿宋" w:hAnsi="仿宋" w:eastAsia="仿宋"/>
          <w:b w:val="0"/>
          <w:bCs/>
          <w:color w:val="000000"/>
          <w:sz w:val="32"/>
          <w:szCs w:val="32"/>
          <w:lang w:val="en-US" w:eastAsia="zh-CN"/>
        </w:rPr>
        <w:t>的</w:t>
      </w:r>
      <w:r>
        <w:rPr>
          <w:rStyle w:val="23"/>
          <w:rFonts w:hint="eastAsia" w:ascii="仿宋" w:hAnsi="仿宋" w:eastAsia="仿宋"/>
          <w:b w:val="0"/>
          <w:bCs/>
          <w:color w:val="000000"/>
          <w:sz w:val="32"/>
          <w:szCs w:val="32"/>
        </w:rPr>
        <w:t>100</w:t>
      </w:r>
      <w:r>
        <w:rPr>
          <w:rStyle w:val="23"/>
          <w:rFonts w:ascii="仿宋" w:hAnsi="仿宋" w:eastAsia="仿宋"/>
          <w:b w:val="0"/>
          <w:bCs/>
          <w:color w:val="000000"/>
          <w:sz w:val="32"/>
          <w:szCs w:val="32"/>
        </w:rPr>
        <w:t>%</w:t>
      </w:r>
      <w:r>
        <w:rPr>
          <w:rStyle w:val="23"/>
          <w:rFonts w:hint="eastAsia" w:ascii="仿宋" w:hAnsi="仿宋" w:eastAsia="仿宋" w:cs="仿宋"/>
          <w:b w:val="0"/>
          <w:bCs w:val="0"/>
          <w:color w:val="000000"/>
          <w:sz w:val="32"/>
          <w:szCs w:val="32"/>
          <w:lang w:val="en-US" w:eastAsia="zh-CN"/>
        </w:rPr>
        <w:t>。</w:t>
      </w:r>
      <w:bookmarkStart w:id="34" w:name="_Toc15377214"/>
      <w:bookmarkStart w:id="35" w:name="_Toc15396608"/>
    </w:p>
    <w:p>
      <w:pPr>
        <w:numPr>
          <w:ilvl w:val="0"/>
          <w:numId w:val="4"/>
        </w:numPr>
        <w:tabs>
          <w:tab w:val="right" w:pos="8306"/>
        </w:tabs>
        <w:spacing w:line="600" w:lineRule="exact"/>
        <w:ind w:firstLine="640"/>
        <w:outlineLvl w:val="1"/>
        <w:rPr>
          <w:rStyle w:val="36"/>
          <w:color w:val="auto"/>
          <w:highlight w:val="none"/>
        </w:rPr>
      </w:pPr>
      <w:r>
        <w:rPr>
          <w:rFonts w:hint="eastAsia" w:ascii="黑体" w:hAnsi="黑体" w:eastAsia="黑体"/>
          <w:b/>
          <w:color w:val="auto"/>
          <w:sz w:val="32"/>
          <w:szCs w:val="32"/>
          <w:highlight w:val="none"/>
        </w:rPr>
        <w:t>一</w:t>
      </w:r>
      <w:r>
        <w:rPr>
          <w:rStyle w:val="36"/>
          <w:rFonts w:hint="eastAsia" w:ascii="黑体" w:hAnsi="黑体" w:eastAsia="黑体"/>
          <w:b w:val="0"/>
          <w:color w:val="auto"/>
          <w:highlight w:val="none"/>
        </w:rPr>
        <w:t>般公共预算财政拨款基本支出决算情况说明</w:t>
      </w:r>
      <w:bookmarkEnd w:id="34"/>
      <w:bookmarkEnd w:id="35"/>
      <w:r>
        <w:rPr>
          <w:rStyle w:val="3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pacing w:val="1"/>
          <w:w w:val="88"/>
          <w:kern w:val="0"/>
          <w:sz w:val="32"/>
          <w:szCs w:val="32"/>
          <w:highlight w:val="none"/>
          <w:fitText w:val="6720" w:id="1412912617"/>
        </w:rPr>
        <w:t>20</w:t>
      </w:r>
      <w:r>
        <w:rPr>
          <w:rFonts w:hint="eastAsia" w:ascii="仿宋" w:hAnsi="仿宋" w:eastAsia="仿宋"/>
          <w:color w:val="auto"/>
          <w:spacing w:val="1"/>
          <w:w w:val="88"/>
          <w:kern w:val="0"/>
          <w:sz w:val="32"/>
          <w:szCs w:val="32"/>
          <w:highlight w:val="none"/>
          <w:fitText w:val="6720" w:id="1412912617"/>
          <w:lang w:val="en-US" w:eastAsia="zh-CN"/>
        </w:rPr>
        <w:t>22</w:t>
      </w:r>
      <w:r>
        <w:rPr>
          <w:rFonts w:hint="eastAsia" w:ascii="仿宋" w:hAnsi="仿宋" w:eastAsia="仿宋"/>
          <w:color w:val="auto"/>
          <w:spacing w:val="1"/>
          <w:w w:val="88"/>
          <w:kern w:val="0"/>
          <w:sz w:val="32"/>
          <w:szCs w:val="32"/>
          <w:highlight w:val="none"/>
          <w:fitText w:val="6720" w:id="1412912617"/>
        </w:rPr>
        <w:t>年一般公共预算财政拨款基本支出</w:t>
      </w:r>
      <w:r>
        <w:rPr>
          <w:rFonts w:hint="eastAsia" w:ascii="仿宋" w:hAnsi="仿宋" w:eastAsia="仿宋"/>
          <w:color w:val="000000" w:themeColor="text1"/>
          <w:spacing w:val="1"/>
          <w:w w:val="88"/>
          <w:kern w:val="0"/>
          <w:sz w:val="32"/>
          <w:szCs w:val="32"/>
          <w:highlight w:val="none"/>
          <w:fitText w:val="6720" w:id="1412912617"/>
          <w:lang w:val="en-US" w:eastAsia="zh-CN"/>
          <w14:textFill>
            <w14:solidFill>
              <w14:schemeClr w14:val="tx1"/>
            </w14:solidFill>
          </w14:textFill>
        </w:rPr>
        <w:t>320.03</w:t>
      </w:r>
      <w:r>
        <w:rPr>
          <w:rFonts w:hint="eastAsia" w:ascii="仿宋" w:hAnsi="仿宋" w:eastAsia="仿宋"/>
          <w:color w:val="auto"/>
          <w:spacing w:val="1"/>
          <w:w w:val="88"/>
          <w:kern w:val="0"/>
          <w:sz w:val="32"/>
          <w:szCs w:val="32"/>
          <w:highlight w:val="none"/>
          <w:fitText w:val="6720" w:id="1412912617"/>
        </w:rPr>
        <w:t>万元</w:t>
      </w:r>
      <w:r>
        <w:rPr>
          <w:rFonts w:hint="eastAsia" w:ascii="仿宋" w:hAnsi="仿宋" w:eastAsia="仿宋"/>
          <w:color w:val="auto"/>
          <w:spacing w:val="7"/>
          <w:w w:val="88"/>
          <w:kern w:val="0"/>
          <w:sz w:val="32"/>
          <w:szCs w:val="32"/>
          <w:highlight w:val="none"/>
          <w:fitText w:val="6720" w:id="1412912617"/>
        </w:rPr>
        <w:t>，</w:t>
      </w:r>
      <w:r>
        <w:rPr>
          <w:rFonts w:hint="eastAsia" w:ascii="仿宋" w:hAnsi="仿宋" w:eastAsia="仿宋"/>
          <w:color w:val="auto"/>
          <w:sz w:val="32"/>
          <w:szCs w:val="32"/>
          <w:highlight w:val="none"/>
        </w:rPr>
        <w:t>其中：</w:t>
      </w:r>
    </w:p>
    <w:p>
      <w:pPr>
        <w:spacing w:line="600" w:lineRule="exact"/>
        <w:ind w:firstLine="645"/>
      </w:pPr>
      <w:r>
        <w:rPr>
          <w:rFonts w:hint="eastAsia" w:ascii="仿宋" w:hAnsi="仿宋" w:eastAsia="仿宋"/>
          <w:color w:val="auto"/>
          <w:sz w:val="32"/>
          <w:szCs w:val="32"/>
          <w:highlight w:val="none"/>
        </w:rPr>
        <w:t>人员经费</w:t>
      </w:r>
      <w:r>
        <w:rPr>
          <w:rFonts w:hint="eastAsia" w:ascii="仿宋" w:hAnsi="仿宋" w:eastAsia="仿宋"/>
          <w:color w:val="000000" w:themeColor="text1"/>
          <w:sz w:val="32"/>
          <w:szCs w:val="32"/>
          <w:highlight w:val="none"/>
          <w:lang w:val="en-US" w:eastAsia="zh-CN"/>
          <w14:textFill>
            <w14:solidFill>
              <w14:schemeClr w14:val="tx1"/>
            </w14:solidFill>
          </w14:textFill>
        </w:rPr>
        <w:t>294.96</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val="en-US" w:eastAsia="zh-CN"/>
        </w:rPr>
        <w:t>职工基本医疗保险</w:t>
      </w:r>
      <w:r>
        <w:rPr>
          <w:rFonts w:hint="eastAsia" w:ascii="仿宋" w:hAnsi="仿宋" w:eastAsia="仿宋"/>
          <w:color w:val="auto"/>
          <w:sz w:val="32"/>
          <w:szCs w:val="32"/>
          <w:highlight w:val="none"/>
        </w:rPr>
        <w:t>缴费</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其他工资福利支出、奖励金等。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25.07</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手续费、水费、电费、邮电费、</w:t>
      </w:r>
      <w:r>
        <w:rPr>
          <w:rFonts w:hint="eastAsia" w:ascii="仿宋" w:hAnsi="仿宋" w:eastAsia="仿宋"/>
          <w:color w:val="auto"/>
          <w:sz w:val="32"/>
          <w:szCs w:val="32"/>
          <w:highlight w:val="none"/>
        </w:rPr>
        <w:t>差旅费、维修（护）费、</w:t>
      </w:r>
      <w:r>
        <w:rPr>
          <w:rFonts w:hint="eastAsia" w:ascii="仿宋" w:hAnsi="仿宋" w:eastAsia="仿宋"/>
          <w:color w:val="auto"/>
          <w:sz w:val="32"/>
          <w:szCs w:val="32"/>
          <w:highlight w:val="none"/>
          <w:lang w:val="en-US" w:eastAsia="zh-CN"/>
        </w:rPr>
        <w:t>租赁费、培训</w:t>
      </w:r>
      <w:r>
        <w:rPr>
          <w:rFonts w:hint="eastAsia" w:ascii="仿宋" w:hAnsi="仿宋" w:eastAsia="仿宋"/>
          <w:color w:val="auto"/>
          <w:sz w:val="32"/>
          <w:szCs w:val="32"/>
          <w:highlight w:val="none"/>
        </w:rPr>
        <w:t>费、公务接待费、劳务费、其他交通费、其他商品和服务支出等。</w:t>
      </w:r>
    </w:p>
    <w:p>
      <w:pPr>
        <w:spacing w:line="600" w:lineRule="exact"/>
        <w:ind w:firstLine="640"/>
        <w:outlineLvl w:val="1"/>
        <w:rPr>
          <w:rStyle w:val="36"/>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6"/>
          <w:rFonts w:hint="eastAsia" w:ascii="黑体" w:hAnsi="黑体" w:eastAsia="黑体"/>
          <w:color w:val="auto"/>
          <w:highlight w:val="none"/>
        </w:rPr>
        <w:t>“</w:t>
      </w:r>
      <w:r>
        <w:rPr>
          <w:rStyle w:val="3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1.51</w:t>
      </w:r>
      <w:r>
        <w:rPr>
          <w:rFonts w:hint="eastAsia" w:ascii="仿宋" w:hAnsi="仿宋" w:eastAsia="仿宋"/>
          <w:color w:val="auto"/>
          <w:sz w:val="32"/>
          <w:szCs w:val="32"/>
          <w:highlight w:val="none"/>
        </w:rPr>
        <w:t>万元，完成</w:t>
      </w:r>
      <w:r>
        <w:rPr>
          <w:rStyle w:val="23"/>
          <w:rFonts w:hint="eastAsia" w:ascii="仿宋" w:hAnsi="仿宋" w:eastAsia="仿宋" w:cs="仿宋"/>
          <w:b w:val="0"/>
          <w:bCs w:val="0"/>
          <w:color w:val="000000"/>
          <w:sz w:val="32"/>
          <w:szCs w:val="32"/>
          <w:lang w:val="en-US" w:eastAsia="zh-CN"/>
        </w:rPr>
        <w:t>全年</w:t>
      </w:r>
      <w:r>
        <w:rPr>
          <w:rFonts w:hint="eastAsia" w:ascii="仿宋" w:hAnsi="仿宋" w:eastAsia="仿宋"/>
          <w:color w:val="auto"/>
          <w:sz w:val="32"/>
          <w:szCs w:val="32"/>
          <w:highlight w:val="none"/>
        </w:rPr>
        <w:t>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0.06万元，增长4.14%。</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rPr>
        <w:t>原因：</w:t>
      </w:r>
      <w:r>
        <w:rPr>
          <w:rFonts w:hint="eastAsia" w:ascii="仿宋" w:hAnsi="仿宋" w:eastAsia="仿宋" w:cs="仿宋"/>
          <w:sz w:val="32"/>
          <w:szCs w:val="32"/>
          <w:u w:val="none"/>
        </w:rPr>
        <w:t>村能办”“家门办”便民服务体系建设项目</w:t>
      </w:r>
      <w:r>
        <w:rPr>
          <w:rFonts w:hint="eastAsia" w:ascii="仿宋" w:hAnsi="仿宋" w:eastAsia="仿宋" w:cs="仿宋"/>
          <w:sz w:val="32"/>
          <w:szCs w:val="32"/>
          <w:u w:val="none"/>
          <w:lang w:val="en-US" w:eastAsia="zh-CN"/>
        </w:rPr>
        <w:t>督导、检查验收等</w:t>
      </w:r>
      <w:r>
        <w:rPr>
          <w:rFonts w:hint="eastAsia" w:ascii="仿宋" w:hAnsi="仿宋" w:eastAsia="仿宋" w:cs="仿宋"/>
          <w:color w:val="000000"/>
          <w:sz w:val="32"/>
          <w:szCs w:val="32"/>
          <w:lang w:val="en-US" w:eastAsia="zh-CN"/>
        </w:rPr>
        <w:t>接待增多</w:t>
      </w:r>
      <w:r>
        <w:rPr>
          <w:rFonts w:hint="eastAsia" w:ascii="仿宋" w:hAnsi="仿宋" w:eastAsia="仿宋" w:cs="仿宋"/>
          <w:color w:val="000000"/>
          <w:sz w:val="32"/>
          <w:szCs w:val="32"/>
        </w:rPr>
        <w:t>。</w:t>
      </w:r>
    </w:p>
    <w:p>
      <w:pPr>
        <w:numPr>
          <w:ilvl w:val="0"/>
          <w:numId w:val="5"/>
        </w:numPr>
        <w:spacing w:line="600" w:lineRule="exact"/>
        <w:ind w:firstLine="640"/>
        <w:outlineLvl w:val="2"/>
        <w:rPr>
          <w:rFonts w:hint="eastAsia"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“三公”经费财政拨款支出决算具体情况说明</w:t>
      </w:r>
      <w:bookmarkEnd w:id="39"/>
    </w:p>
    <w:p>
      <w:pPr>
        <w:spacing w:line="600" w:lineRule="exact"/>
        <w:ind w:firstLine="645"/>
        <w:rPr>
          <w:rFonts w:hint="default" w:ascii="仿宋" w:hAnsi="仿宋" w:eastAsia="仿宋"/>
          <w:color w:val="000000"/>
          <w:sz w:val="32"/>
          <w:szCs w:val="32"/>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年“三公”经费财政拨款支出决算中，因公出国（境）费支出决算0万元，年初未安排预算；公务用车购置及运行维护费支出决算0万元，年初未安排预算；公务接待费支出决算1.</w:t>
      </w:r>
      <w:r>
        <w:rPr>
          <w:rFonts w:hint="eastAsia" w:ascii="仿宋" w:hAnsi="仿宋" w:eastAsia="仿宋"/>
          <w:color w:val="auto"/>
          <w:sz w:val="32"/>
          <w:szCs w:val="32"/>
          <w:highlight w:val="none"/>
          <w:lang w:val="en-US" w:eastAsia="zh-CN"/>
        </w:rPr>
        <w:t>51</w:t>
      </w:r>
      <w:r>
        <w:rPr>
          <w:rFonts w:hint="eastAsia" w:ascii="仿宋" w:hAnsi="仿宋" w:eastAsia="仿宋"/>
          <w:color w:val="auto"/>
          <w:sz w:val="32"/>
          <w:szCs w:val="32"/>
          <w:highlight w:val="none"/>
        </w:rPr>
        <w:t>万元，占100%。具体情况如下：</w:t>
      </w:r>
    </w:p>
    <w:p>
      <w:pPr>
        <w:pStyle w:val="26"/>
        <w:jc w:val="center"/>
        <w:rPr>
          <w:rFonts w:hint="eastAsia" w:ascii="仿宋" w:hAnsi="仿宋" w:eastAsia="仿宋"/>
          <w:color w:val="auto"/>
          <w:sz w:val="32"/>
          <w:szCs w:val="32"/>
          <w:highlight w:val="none"/>
        </w:rPr>
      </w:pPr>
      <w:r>
        <w:drawing>
          <wp:inline distT="0" distB="0" distL="114300" distR="114300">
            <wp:extent cx="4572000" cy="2200910"/>
            <wp:effectExtent l="4445" t="4445" r="14605" b="23495"/>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600" w:lineRule="exact"/>
        <w:ind w:firstLine="640"/>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3"/>
          <w:rFonts w:hint="eastAsia" w:ascii="仿宋" w:hAnsi="仿宋" w:eastAsia="仿宋"/>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Style w:val="23"/>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1.51</w:t>
      </w:r>
      <w:r>
        <w:rPr>
          <w:rFonts w:hint="eastAsia" w:ascii="仿宋_GB2312" w:eastAsia="仿宋_GB2312"/>
          <w:color w:val="auto"/>
          <w:sz w:val="32"/>
          <w:szCs w:val="32"/>
          <w:highlight w:val="none"/>
        </w:rPr>
        <w:t>万元，</w:t>
      </w:r>
      <w:r>
        <w:rPr>
          <w:rStyle w:val="23"/>
          <w:rFonts w:hint="eastAsia" w:ascii="仿宋" w:hAnsi="仿宋" w:eastAsia="仿宋"/>
          <w:b w:val="0"/>
          <w:bCs/>
          <w:color w:val="auto"/>
          <w:sz w:val="32"/>
          <w:szCs w:val="32"/>
          <w:highlight w:val="none"/>
        </w:rPr>
        <w:t>完成预算</w:t>
      </w:r>
      <w:r>
        <w:rPr>
          <w:rStyle w:val="23"/>
          <w:rFonts w:hint="eastAsia" w:ascii="仿宋" w:hAnsi="仿宋" w:eastAsia="仿宋"/>
          <w:b w:val="0"/>
          <w:bCs/>
          <w:color w:val="auto"/>
          <w:sz w:val="32"/>
          <w:szCs w:val="32"/>
          <w:highlight w:val="none"/>
          <w:lang w:val="en-US" w:eastAsia="zh-CN"/>
        </w:rPr>
        <w:t>100</w:t>
      </w:r>
      <w:r>
        <w:rPr>
          <w:rStyle w:val="23"/>
          <w:rFonts w:ascii="仿宋" w:hAnsi="仿宋" w:eastAsia="仿宋"/>
          <w:b w:val="0"/>
          <w:bCs/>
          <w:color w:val="auto"/>
          <w:sz w:val="32"/>
          <w:szCs w:val="32"/>
          <w:highlight w:val="none"/>
        </w:rPr>
        <w:t>%</w:t>
      </w:r>
      <w:r>
        <w:rPr>
          <w:rStyle w:val="23"/>
          <w:rFonts w:hint="eastAsia" w:ascii="仿宋" w:hAnsi="仿宋" w:eastAsia="仿宋"/>
          <w:b w:val="0"/>
          <w:bCs/>
          <w:color w:val="auto"/>
          <w:sz w:val="32"/>
          <w:szCs w:val="32"/>
          <w:highlight w:val="none"/>
        </w:rPr>
        <w:t>。</w:t>
      </w:r>
      <w:r>
        <w:rPr>
          <w:rFonts w:hint="eastAsia" w:ascii="仿宋" w:hAnsi="仿宋" w:eastAsia="仿宋" w:cs="仿宋"/>
          <w:color w:val="000000"/>
          <w:sz w:val="32"/>
          <w:szCs w:val="32"/>
        </w:rPr>
        <w:t>公务接待费支出决算比20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增加0.06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增长4.14</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增加</w:t>
      </w:r>
      <w:r>
        <w:rPr>
          <w:rFonts w:hint="eastAsia" w:ascii="仿宋" w:hAnsi="仿宋" w:eastAsia="仿宋" w:cs="仿宋"/>
          <w:color w:val="000000"/>
          <w:sz w:val="32"/>
          <w:szCs w:val="32"/>
        </w:rPr>
        <w:t>原因：</w:t>
      </w:r>
      <w:r>
        <w:rPr>
          <w:rFonts w:hint="eastAsia" w:ascii="仿宋" w:hAnsi="仿宋" w:eastAsia="仿宋" w:cs="仿宋"/>
          <w:sz w:val="32"/>
          <w:szCs w:val="32"/>
          <w:u w:val="none"/>
        </w:rPr>
        <w:t>村能办”“家门办”便民服务体系建设项目</w:t>
      </w:r>
      <w:r>
        <w:rPr>
          <w:rFonts w:hint="eastAsia" w:ascii="仿宋" w:hAnsi="仿宋" w:eastAsia="仿宋" w:cs="仿宋"/>
          <w:sz w:val="32"/>
          <w:szCs w:val="32"/>
          <w:u w:val="none"/>
          <w:lang w:val="en-US" w:eastAsia="zh-CN"/>
        </w:rPr>
        <w:t>督导、检查验收等</w:t>
      </w:r>
      <w:r>
        <w:rPr>
          <w:rFonts w:hint="eastAsia" w:ascii="仿宋" w:hAnsi="仿宋" w:eastAsia="仿宋" w:cs="仿宋"/>
          <w:color w:val="000000"/>
          <w:sz w:val="32"/>
          <w:szCs w:val="32"/>
          <w:lang w:val="en-US" w:eastAsia="zh-CN"/>
        </w:rPr>
        <w:t>接待增多</w:t>
      </w:r>
      <w:r>
        <w:rPr>
          <w:rFonts w:hint="eastAsia" w:ascii="仿宋" w:hAnsi="仿宋" w:eastAsia="仿宋" w:cs="仿宋"/>
          <w:color w:val="000000"/>
          <w:sz w:val="32"/>
          <w:szCs w:val="32"/>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1.51</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151</w:t>
      </w:r>
      <w:r>
        <w:rPr>
          <w:rFonts w:hint="eastAsia" w:ascii="仿宋_GB2312" w:eastAsia="仿宋_GB2312"/>
          <w:color w:val="auto"/>
          <w:sz w:val="32"/>
          <w:szCs w:val="32"/>
          <w:highlight w:val="none"/>
        </w:rPr>
        <w:t>人次（包括陪同人员），共计支出</w:t>
      </w:r>
      <w:r>
        <w:rPr>
          <w:rFonts w:hint="eastAsia" w:ascii="仿宋_GB2312" w:eastAsia="仿宋_GB2312"/>
          <w:color w:val="auto"/>
          <w:sz w:val="32"/>
          <w:szCs w:val="32"/>
          <w:highlight w:val="none"/>
          <w:lang w:val="en-US" w:eastAsia="zh-CN"/>
        </w:rPr>
        <w:t>1.51</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省政务和公共资源交易中心副主任一行来广调研用餐0.29万元（</w:t>
      </w:r>
      <w:r>
        <w:rPr>
          <w:rFonts w:hint="eastAsia" w:ascii="仿宋_GB2312" w:eastAsia="仿宋_GB2312"/>
          <w:b w:val="0"/>
          <w:bCs w:val="0"/>
          <w:color w:val="auto"/>
          <w:sz w:val="32"/>
          <w:szCs w:val="32"/>
          <w:highlight w:val="none"/>
          <w:lang w:val="en-US" w:eastAsia="zh-CN"/>
        </w:rPr>
        <w:t>2天2次）、市政务中心督导工作组检查指导工作用餐0.12万元、市工改督导检查工作用餐0.08万元、旺苍行政审批局来我局考察“一网通办”工作用餐0.14万元、市中心领导一行调研“村能办”“家门办”工作用餐0.22万元、首届技能大赛初赛用餐0.36万元（2次）、区纪委、两改办督导工作用餐0.03万元、市检查组验收“三化</w:t>
      </w:r>
      <w:r>
        <w:rPr>
          <w:rFonts w:hint="eastAsia" w:ascii="仿宋_GB2312" w:eastAsia="仿宋_GB2312"/>
          <w:color w:val="auto"/>
          <w:sz w:val="32"/>
          <w:szCs w:val="32"/>
          <w:highlight w:val="none"/>
          <w:lang w:val="en-US" w:eastAsia="zh-CN"/>
        </w:rPr>
        <w:t>”“村能办”建设用餐0.27万元（2天4次）。</w:t>
      </w:r>
    </w:p>
    <w:p>
      <w:pPr>
        <w:spacing w:line="600" w:lineRule="exact"/>
        <w:ind w:firstLine="643" w:firstLineChars="200"/>
        <w:rPr>
          <w:rFonts w:hint="eastAsia" w:ascii="仿宋_GB2312" w:eastAsia="仿宋"/>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rPr>
        <w:t>年初未安排预算</w:t>
      </w:r>
      <w:r>
        <w:rPr>
          <w:rFonts w:hint="eastAsia" w:ascii="仿宋" w:hAnsi="仿宋" w:eastAsia="仿宋"/>
          <w:color w:val="auto"/>
          <w:sz w:val="32"/>
          <w:szCs w:val="32"/>
          <w:highlight w:val="none"/>
          <w:lang w:eastAsia="zh-CN"/>
        </w:rPr>
        <w:t>。</w:t>
      </w:r>
    </w:p>
    <w:p>
      <w:pPr>
        <w:spacing w:line="600" w:lineRule="exact"/>
        <w:ind w:firstLine="640"/>
        <w:outlineLvl w:val="1"/>
        <w:rPr>
          <w:rStyle w:val="36"/>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36"/>
          <w:rFonts w:hint="eastAsia" w:ascii="黑体" w:hAnsi="黑体" w:eastAsia="黑体"/>
          <w:b w:val="0"/>
          <w:color w:val="auto"/>
          <w:highlight w:val="none"/>
        </w:rPr>
        <w:t>政府性基金预算支出决算情况说明</w:t>
      </w:r>
      <w:bookmarkEnd w:id="40"/>
      <w:bookmarkEnd w:id="41"/>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p>
    <w:p>
      <w:pPr>
        <w:numPr>
          <w:ilvl w:val="0"/>
          <w:numId w:val="6"/>
        </w:numPr>
        <w:spacing w:line="600" w:lineRule="exact"/>
        <w:ind w:firstLine="640"/>
        <w:outlineLvl w:val="1"/>
        <w:rPr>
          <w:rStyle w:val="36"/>
          <w:rFonts w:ascii="黑体" w:hAnsi="黑体" w:eastAsia="黑体"/>
          <w:b w:val="0"/>
          <w:color w:val="auto"/>
          <w:highlight w:val="none"/>
        </w:rPr>
      </w:pPr>
      <w:bookmarkStart w:id="42" w:name="_Toc15396611"/>
      <w:bookmarkStart w:id="43" w:name="_Toc15377219"/>
      <w:r>
        <w:rPr>
          <w:rStyle w:val="36"/>
          <w:rFonts w:hint="eastAsia" w:ascii="黑体" w:hAnsi="黑体" w:eastAsia="黑体"/>
          <w:b w:val="0"/>
          <w:color w:val="auto"/>
          <w:highlight w:val="none"/>
        </w:rPr>
        <w:t>国有资本经营预算支出决算情况说明</w:t>
      </w:r>
      <w:bookmarkEnd w:id="42"/>
      <w:bookmarkEnd w:id="43"/>
    </w:p>
    <w:p>
      <w:pPr>
        <w:numPr>
          <w:ilvl w:val="0"/>
          <w:numId w:val="0"/>
        </w:numPr>
        <w:spacing w:line="600" w:lineRule="exact"/>
        <w:ind w:firstLine="640" w:firstLineChars="200"/>
        <w:outlineLvl w:val="1"/>
        <w:rPr>
          <w:rStyle w:val="36"/>
          <w:rFonts w:hint="eastAsia" w:ascii="黑体" w:hAnsi="黑体" w:eastAsia="黑体"/>
          <w:b w:val="0"/>
          <w:color w:val="auto"/>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 w:hAnsi="仿宋" w:eastAsia="仿宋"/>
          <w:color w:val="auto"/>
          <w:sz w:val="32"/>
          <w:szCs w:val="32"/>
          <w:highlight w:val="none"/>
        </w:rPr>
        <w:t>年初未安排预算</w:t>
      </w:r>
      <w:r>
        <w:rPr>
          <w:rFonts w:hint="eastAsia" w:ascii="仿宋_GB2312" w:eastAsia="仿宋_GB2312"/>
          <w:color w:val="auto"/>
          <w:sz w:val="32"/>
          <w:szCs w:val="32"/>
          <w:highlight w:val="none"/>
        </w:rPr>
        <w:t>。</w:t>
      </w:r>
      <w:bookmarkStart w:id="44" w:name="_Toc15377221"/>
      <w:bookmarkStart w:id="45" w:name="_Toc15396612"/>
    </w:p>
    <w:p>
      <w:pPr>
        <w:numPr>
          <w:ilvl w:val="0"/>
          <w:numId w:val="0"/>
        </w:numPr>
        <w:spacing w:line="600" w:lineRule="exact"/>
        <w:ind w:firstLine="640" w:firstLineChars="200"/>
        <w:outlineLvl w:val="1"/>
        <w:rPr>
          <w:rStyle w:val="36"/>
          <w:rFonts w:hint="eastAsia" w:ascii="黑体" w:hAnsi="黑体" w:eastAsia="黑体"/>
          <w:b w:val="0"/>
          <w:color w:val="auto"/>
          <w:highlight w:val="none"/>
        </w:rPr>
      </w:pPr>
      <w:r>
        <w:rPr>
          <w:rStyle w:val="36"/>
          <w:rFonts w:hint="eastAsia" w:ascii="黑体" w:hAnsi="黑体" w:eastAsia="黑体"/>
          <w:b w:val="0"/>
          <w:color w:val="auto"/>
          <w:highlight w:val="none"/>
          <w:lang w:val="en-US" w:eastAsia="zh-CN"/>
        </w:rPr>
        <w:t>十、</w:t>
      </w:r>
      <w:r>
        <w:rPr>
          <w:rStyle w:val="36"/>
          <w:rFonts w:hint="eastAsia" w:ascii="黑体" w:hAnsi="黑体" w:eastAsia="黑体"/>
          <w:b w:val="0"/>
          <w:color w:val="auto"/>
          <w:highlight w:val="none"/>
        </w:rPr>
        <w:t>其他重要事项的情况说明</w:t>
      </w:r>
    </w:p>
    <w:p>
      <w:pPr>
        <w:spacing w:line="600" w:lineRule="exact"/>
        <w:ind w:firstLine="643" w:firstLineChars="200"/>
        <w:outlineLvl w:val="2"/>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（一）机关运行经费支出情况</w:t>
      </w:r>
    </w:p>
    <w:p>
      <w:pPr>
        <w:spacing w:line="60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22</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eastAsia="zh-CN"/>
          <w14:textFill>
            <w14:solidFill>
              <w14:schemeClr w14:val="tx1"/>
            </w14:solidFill>
          </w14:textFill>
        </w:rPr>
        <w:t>区</w:t>
      </w:r>
      <w:r>
        <w:rPr>
          <w:rFonts w:hint="eastAsia" w:ascii="仿宋_GB2312" w:eastAsia="仿宋_GB2312"/>
          <w:color w:val="000000" w:themeColor="text1"/>
          <w:sz w:val="32"/>
          <w:szCs w:val="32"/>
          <w:highlight w:val="none"/>
          <w:lang w:val="en-US" w:eastAsia="zh-CN"/>
          <w14:textFill>
            <w14:solidFill>
              <w14:schemeClr w14:val="tx1"/>
            </w14:solidFill>
          </w14:textFill>
        </w:rPr>
        <w:t>行政审批</w:t>
      </w:r>
      <w:r>
        <w:rPr>
          <w:rFonts w:hint="eastAsia" w:ascii="仿宋_GB2312" w:eastAsia="仿宋_GB2312"/>
          <w:color w:val="000000" w:themeColor="text1"/>
          <w:sz w:val="32"/>
          <w:szCs w:val="32"/>
          <w:highlight w:val="none"/>
          <w:lang w:eastAsia="zh-CN"/>
          <w14:textFill>
            <w14:solidFill>
              <w14:schemeClr w14:val="tx1"/>
            </w14:solidFill>
          </w14:textFill>
        </w:rPr>
        <w:t>局机关</w:t>
      </w:r>
      <w:r>
        <w:rPr>
          <w:rFonts w:hint="eastAsia" w:ascii="仿宋_GB2312" w:eastAsia="仿宋_GB2312"/>
          <w:color w:val="000000" w:themeColor="text1"/>
          <w:sz w:val="32"/>
          <w:szCs w:val="32"/>
          <w:highlight w:val="none"/>
          <w14:textFill>
            <w14:solidFill>
              <w14:schemeClr w14:val="tx1"/>
            </w14:solidFill>
          </w14:textFill>
        </w:rPr>
        <w:t>运行经费支出</w:t>
      </w:r>
      <w:r>
        <w:rPr>
          <w:rFonts w:hint="eastAsia" w:ascii="仿宋_GB2312" w:eastAsia="仿宋_GB2312"/>
          <w:color w:val="000000" w:themeColor="text1"/>
          <w:sz w:val="32"/>
          <w:szCs w:val="32"/>
          <w:highlight w:val="none"/>
          <w:lang w:val="en-US" w:eastAsia="zh-CN"/>
          <w14:textFill>
            <w14:solidFill>
              <w14:schemeClr w14:val="tx1"/>
            </w14:solidFill>
          </w14:textFill>
        </w:rPr>
        <w:t>25.07</w:t>
      </w:r>
      <w:r>
        <w:rPr>
          <w:rFonts w:hint="eastAsia" w:ascii="仿宋_GB2312" w:eastAsia="仿宋_GB2312"/>
          <w:color w:val="000000" w:themeColor="text1"/>
          <w:sz w:val="32"/>
          <w:szCs w:val="32"/>
          <w:highlight w:val="none"/>
          <w14:textFill>
            <w14:solidFill>
              <w14:schemeClr w14:val="tx1"/>
            </w14:solidFill>
          </w14:textFill>
        </w:rPr>
        <w:t>万元，比</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val="en-US" w:eastAsia="zh-CN"/>
          <w14:textFill>
            <w14:solidFill>
              <w14:schemeClr w14:val="tx1"/>
            </w14:solidFill>
          </w14:textFill>
        </w:rPr>
        <w:t>增加5.96</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val="en-US" w:eastAsia="zh-CN"/>
          <w14:textFill>
            <w14:solidFill>
              <w14:schemeClr w14:val="tx1"/>
            </w14:solidFill>
          </w14:textFill>
        </w:rPr>
        <w:t>增长31.19</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。主要</w:t>
      </w:r>
      <w:r>
        <w:rPr>
          <w:rFonts w:hint="eastAsia" w:ascii="仿宋_GB2312" w:eastAsia="仿宋_GB2312"/>
          <w:color w:val="000000" w:themeColor="text1"/>
          <w:sz w:val="32"/>
          <w:szCs w:val="32"/>
          <w:highlight w:val="none"/>
          <w:lang w:val="en-US" w:eastAsia="zh-CN"/>
          <w14:textFill>
            <w14:solidFill>
              <w14:schemeClr w14:val="tx1"/>
            </w14:solidFill>
          </w14:textFill>
        </w:rPr>
        <w:t>增加</w:t>
      </w:r>
      <w:r>
        <w:rPr>
          <w:rFonts w:hint="eastAsia" w:ascii="仿宋_GB2312" w:eastAsia="仿宋_GB2312"/>
          <w:color w:val="000000" w:themeColor="text1"/>
          <w:sz w:val="32"/>
          <w:szCs w:val="32"/>
          <w:highlight w:val="none"/>
          <w14:textFill>
            <w14:solidFill>
              <w14:schemeClr w14:val="tx1"/>
            </w14:solidFill>
          </w14:textFill>
        </w:rPr>
        <w:t>原因是</w:t>
      </w:r>
      <w:r>
        <w:rPr>
          <w:rFonts w:hint="eastAsia" w:ascii="仿宋_GB2312" w:eastAsia="仿宋_GB2312"/>
          <w:color w:val="000000" w:themeColor="text1"/>
          <w:sz w:val="32"/>
          <w:szCs w:val="32"/>
          <w:highlight w:val="none"/>
          <w:lang w:val="en-US" w:eastAsia="zh-CN"/>
          <w14:textFill>
            <w14:solidFill>
              <w14:schemeClr w14:val="tx1"/>
            </w14:solidFill>
          </w14:textFill>
        </w:rPr>
        <w:t>该经费包含公务交通补贴5.4万元</w:t>
      </w:r>
      <w:r>
        <w:rPr>
          <w:rFonts w:hint="eastAsia" w:ascii="仿宋_GB2312" w:eastAsia="仿宋_GB2312"/>
          <w:color w:val="000000" w:themeColor="text1"/>
          <w:sz w:val="32"/>
          <w:szCs w:val="32"/>
          <w:highlight w:val="none"/>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（二）政府采购支出情况</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20</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年，区行政审批局政府采购支出总额</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万元，其中：政府采购货物支出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万元、政府采购工程支出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万元、政府采购服务支出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万元。授予中小企业合同金额</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万元，占政府采购支出总额的</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%，其中：授予小微企业合同金额</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万元，占政府采购支出总额的</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highlight w:val="none"/>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截至2022年12月31日，区行政审批局办共有车辆0辆，其中：主要领导干部用车0辆、机要通信用车0辆、应急保障用车0辆、其他用车0辆0。单价100万元以上专用设备0台（套）。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根据预算绩效管理要求，本部门在2022年度预算编制阶段，组织对</w:t>
      </w:r>
      <w:r>
        <w:rPr>
          <w:rFonts w:hint="eastAsia" w:ascii="仿宋_GB2312" w:hAnsi="仿宋_GB2312" w:eastAsia="仿宋_GB2312" w:cs="仿宋_GB2312"/>
          <w:sz w:val="32"/>
          <w:szCs w:val="32"/>
          <w:lang w:val="en-US" w:eastAsia="zh-CN" w:bidi="ar"/>
        </w:rPr>
        <w:t>“村能办”“家门办”便民服务体系建设项目</w:t>
      </w:r>
      <w:r>
        <w:rPr>
          <w:rFonts w:hint="eastAsia" w:ascii="仿宋_GB2312" w:hAnsi="仿宋_GB2312" w:eastAsia="仿宋_GB2312" w:cs="仿宋_GB2312"/>
          <w:color w:val="auto"/>
          <w:sz w:val="32"/>
          <w:szCs w:val="32"/>
          <w:highlight w:val="none"/>
        </w:rPr>
        <w:t>开展了预算事前绩效评估，对房屋租赁费、水费、物业管理费等</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w:t>
      </w:r>
    </w:p>
    <w:p>
      <w:pPr>
        <w:numPr>
          <w:ilvl w:val="0"/>
          <w:numId w:val="0"/>
        </w:num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w:t>
      </w:r>
      <w:r>
        <w:rPr>
          <w:rFonts w:hint="eastAsia" w:ascii="仿宋_GB2312" w:hAnsi="仿宋_GB2312" w:eastAsia="仿宋_GB2312" w:cs="仿宋_GB2312"/>
          <w:color w:val="000000" w:themeColor="text1"/>
          <w:sz w:val="32"/>
          <w:szCs w:val="32"/>
          <w:highlight w:val="none"/>
          <w14:textFill>
            <w14:solidFill>
              <w14:schemeClr w14:val="tx1"/>
            </w14:solidFill>
          </w14:textFill>
        </w:rPr>
        <w:t>及资本资产</w:t>
      </w:r>
      <w:r>
        <w:rPr>
          <w:rFonts w:hint="eastAsia" w:ascii="仿宋_GB2312" w:hAnsi="仿宋_GB2312" w:eastAsia="仿宋_GB2312" w:cs="仿宋_GB2312"/>
          <w:color w:val="auto"/>
          <w:sz w:val="32"/>
          <w:szCs w:val="32"/>
          <w:highlight w:val="none"/>
        </w:rPr>
        <w:t>全面开展绩效自评，形成</w:t>
      </w:r>
      <w:r>
        <w:rPr>
          <w:rFonts w:hint="eastAsia" w:ascii="仿宋_GB2312" w:hAnsi="仿宋_GB2312" w:eastAsia="仿宋_GB2312" w:cs="仿宋_GB2312"/>
          <w:color w:val="auto"/>
          <w:sz w:val="32"/>
          <w:szCs w:val="32"/>
          <w:highlight w:val="none"/>
          <w:lang w:val="en-US" w:eastAsia="zh-CN"/>
        </w:rPr>
        <w:t>广元市朝天区行政审批局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绩效自评得分为9</w:t>
      </w:r>
      <w:r>
        <w:rPr>
          <w:rFonts w:hint="eastAsia" w:ascii="仿宋_GB2312" w:hAnsi="仿宋_GB2312" w:eastAsia="仿宋_GB2312" w:cs="仿宋_GB2312"/>
          <w:color w:val="auto"/>
          <w:sz w:val="32"/>
          <w:szCs w:val="32"/>
          <w:highlight w:val="none"/>
          <w:lang w:val="en-US" w:eastAsia="zh-CN"/>
        </w:rPr>
        <w:t>8.63</w:t>
      </w:r>
      <w:r>
        <w:rPr>
          <w:rFonts w:hint="eastAsia" w:ascii="仿宋_GB2312" w:hAnsi="仿宋_GB2312" w:eastAsia="仿宋_GB2312" w:cs="仿宋_GB2312"/>
          <w:color w:val="auto"/>
          <w:sz w:val="32"/>
          <w:szCs w:val="32"/>
          <w:highlight w:val="none"/>
        </w:rPr>
        <w:t>分，从总体上看，根据预算绩效管理工作要求及安排，我单位对2022年部门整体支出绩效管理工作进行了自评考核，</w:t>
      </w:r>
      <w:r>
        <w:rPr>
          <w:rFonts w:hint="eastAsia" w:ascii="仿宋_GB2312" w:hAnsi="仿宋_GB2312" w:eastAsia="仿宋_GB2312" w:cs="仿宋_GB2312"/>
          <w:color w:val="auto"/>
          <w:sz w:val="32"/>
          <w:szCs w:val="32"/>
          <w:highlight w:val="none"/>
          <w:lang w:val="en-US" w:eastAsia="zh-CN"/>
        </w:rPr>
        <w:t>所得分全为</w:t>
      </w:r>
      <w:r>
        <w:rPr>
          <w:rFonts w:hint="eastAsia" w:ascii="仿宋_GB2312" w:hAnsi="仿宋_GB2312" w:eastAsia="仿宋_GB2312" w:cs="仿宋_GB2312"/>
          <w:color w:val="auto"/>
          <w:sz w:val="32"/>
          <w:szCs w:val="32"/>
          <w:highlight w:val="none"/>
        </w:rPr>
        <w:t>基础自评得分，</w:t>
      </w:r>
      <w:r>
        <w:rPr>
          <w:rFonts w:hint="eastAsia" w:ascii="仿宋_GB2312" w:hAnsi="仿宋_GB2312" w:eastAsia="仿宋_GB2312" w:cs="仿宋_GB2312"/>
          <w:color w:val="auto"/>
          <w:sz w:val="32"/>
          <w:szCs w:val="32"/>
          <w:highlight w:val="none"/>
          <w:lang w:val="en-US" w:eastAsia="zh-CN"/>
        </w:rPr>
        <w:t>无</w:t>
      </w:r>
      <w:r>
        <w:rPr>
          <w:rFonts w:hint="eastAsia" w:ascii="仿宋_GB2312" w:hAnsi="仿宋_GB2312" w:eastAsia="仿宋_GB2312" w:cs="仿宋_GB2312"/>
          <w:color w:val="auto"/>
          <w:sz w:val="32"/>
          <w:szCs w:val="32"/>
          <w:highlight w:val="none"/>
        </w:rPr>
        <w:t>加分项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总体自评为优。</w:t>
      </w:r>
      <w:r>
        <w:rPr>
          <w:rFonts w:hint="eastAsia" w:ascii="仿宋_GB2312" w:hAnsi="仿宋_GB2312" w:eastAsia="仿宋_GB2312" w:cs="仿宋_GB2312"/>
          <w:color w:val="auto"/>
          <w:sz w:val="32"/>
          <w:szCs w:val="32"/>
          <w:highlight w:val="none"/>
        </w:rPr>
        <w:t>绩效自评报告详见附件。</w:t>
      </w:r>
    </w:p>
    <w:p>
      <w:pPr>
        <w:numPr>
          <w:ilvl w:val="0"/>
          <w:numId w:val="0"/>
        </w:numPr>
        <w:spacing w:line="600" w:lineRule="exact"/>
        <w:outlineLvl w:val="1"/>
        <w:rPr>
          <w:rFonts w:hint="eastAsia" w:ascii="仿宋_GB2312" w:hAnsi="仿宋_GB2312" w:eastAsia="仿宋_GB2312" w:cs="仿宋_GB2312"/>
          <w:color w:val="auto"/>
          <w:sz w:val="32"/>
          <w:szCs w:val="32"/>
          <w:highlight w:val="none"/>
        </w:rPr>
      </w:pPr>
    </w:p>
    <w:bookmarkEnd w:id="44"/>
    <w:bookmarkEnd w:id="45"/>
    <w:p>
      <w:pPr>
        <w:numPr>
          <w:ilvl w:val="0"/>
          <w:numId w:val="7"/>
        </w:numPr>
        <w:spacing w:line="600" w:lineRule="exact"/>
        <w:ind w:firstLine="660" w:firstLineChars="150"/>
        <w:jc w:val="center"/>
        <w:outlineLvl w:val="0"/>
        <w:rPr>
          <w:rStyle w:val="35"/>
          <w:rFonts w:ascii="黑体" w:hAnsi="黑体" w:eastAsia="黑体"/>
          <w:b w:val="0"/>
          <w:color w:val="auto"/>
          <w:highlight w:val="none"/>
        </w:rPr>
      </w:pPr>
      <w:bookmarkStart w:id="46" w:name="_Toc15377225"/>
      <w:bookmarkStart w:id="47" w:name="_Toc15396613"/>
      <w:r>
        <w:rPr>
          <w:rFonts w:hint="eastAsia" w:ascii="黑体" w:hAnsi="黑体" w:eastAsia="黑体"/>
          <w:color w:val="auto"/>
          <w:sz w:val="44"/>
          <w:szCs w:val="44"/>
          <w:highlight w:val="none"/>
        </w:rPr>
        <w:t>名</w:t>
      </w:r>
      <w:r>
        <w:rPr>
          <w:rStyle w:val="35"/>
          <w:rFonts w:hint="eastAsia" w:ascii="黑体" w:hAnsi="黑体" w:eastAsia="黑体"/>
          <w:b w:val="0"/>
          <w:color w:val="auto"/>
          <w:highlight w:val="none"/>
        </w:rPr>
        <w:t>词解释</w:t>
      </w:r>
      <w:bookmarkEnd w:id="46"/>
      <w:bookmarkEnd w:id="47"/>
    </w:p>
    <w:p>
      <w:pPr>
        <w:spacing w:line="600" w:lineRule="exact"/>
        <w:jc w:val="left"/>
        <w:rPr>
          <w:rFonts w:ascii="宋体"/>
          <w:b/>
          <w:color w:val="auto"/>
          <w:sz w:val="44"/>
          <w:szCs w:val="44"/>
          <w:highlight w:val="none"/>
        </w:rPr>
      </w:pP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Calibri" w:eastAsia="Times New Roman" w:cs="??_GB2312"/>
          <w:b/>
          <w:bCs/>
          <w:color w:val="000000"/>
          <w:sz w:val="32"/>
          <w:szCs w:val="32"/>
        </w:rPr>
        <w:t>1.</w:t>
      </w:r>
      <w:r>
        <w:rPr>
          <w:rFonts w:ascii="??_GB2312" w:hAnsi="Calibri" w:eastAsia="Times New Roman" w:cs="Times New Roman"/>
          <w:b/>
          <w:bCs/>
          <w:color w:val="000000"/>
          <w:sz w:val="32"/>
          <w:szCs w:val="32"/>
        </w:rPr>
        <w:t>财政拨款收入：</w:t>
      </w:r>
      <w:r>
        <w:rPr>
          <w:rFonts w:hint="eastAsia" w:ascii="仿宋" w:hAnsi="仿宋" w:eastAsia="仿宋" w:cs="仿宋"/>
          <w:kern w:val="2"/>
          <w:sz w:val="32"/>
          <w:szCs w:val="32"/>
          <w:lang w:val="en-US" w:eastAsia="zh-CN" w:bidi="ar-SA"/>
        </w:rPr>
        <w:t>指单位从同级财政部门取得的财政预算资金。</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Calibri" w:eastAsia="Times New Roman" w:cs="??_GB2312"/>
          <w:b/>
          <w:bCs/>
          <w:color w:val="000000"/>
          <w:sz w:val="32"/>
          <w:szCs w:val="32"/>
        </w:rPr>
        <w:t>2.</w:t>
      </w:r>
      <w:r>
        <w:rPr>
          <w:rFonts w:ascii="??_GB2312" w:hAnsi="Calibri" w:eastAsia="Times New Roman" w:cs="Times New Roman"/>
          <w:b/>
          <w:bCs/>
          <w:color w:val="000000"/>
          <w:sz w:val="32"/>
          <w:szCs w:val="32"/>
        </w:rPr>
        <w:t>其他收入：</w:t>
      </w:r>
      <w:r>
        <w:rPr>
          <w:rFonts w:hint="eastAsia" w:ascii="仿宋" w:hAnsi="仿宋" w:eastAsia="仿宋" w:cs="仿宋"/>
          <w:kern w:val="2"/>
          <w:sz w:val="32"/>
          <w:szCs w:val="32"/>
          <w:lang w:val="en-US" w:eastAsia="zh-CN" w:bidi="ar-SA"/>
        </w:rPr>
        <w:t xml:space="preserve">指单位取得的除上述收入以外的各项收入。主要是利息收入。 </w:t>
      </w:r>
    </w:p>
    <w:p>
      <w:pPr>
        <w:pStyle w:val="33"/>
        <w:spacing w:line="560" w:lineRule="exact"/>
        <w:ind w:firstLine="640" w:firstLineChars="200"/>
        <w:rPr>
          <w:rFonts w:hint="eastAsia" w:ascii="仿宋" w:hAnsi="仿宋" w:eastAsia="仿宋" w:cs="仿宋"/>
          <w:kern w:val="2"/>
          <w:sz w:val="32"/>
          <w:szCs w:val="32"/>
          <w:lang w:val="en-US" w:eastAsia="zh-CN" w:bidi="ar-SA"/>
        </w:rPr>
      </w:pPr>
      <w:r>
        <w:rPr>
          <w:rFonts w:hint="eastAsia" w:ascii="??_GB2312" w:eastAsia="Times New Roman" w:cs="??_GB2312"/>
          <w:b/>
          <w:bCs/>
          <w:color w:val="000000"/>
          <w:kern w:val="0"/>
          <w:sz w:val="32"/>
          <w:szCs w:val="32"/>
          <w:lang w:val="en-US" w:eastAsia="zh-CN" w:bidi="ar-SA"/>
        </w:rPr>
        <w:t>3</w:t>
      </w:r>
      <w:r>
        <w:rPr>
          <w:rFonts w:ascii="??_GB2312" w:hAnsi="Calibri" w:eastAsia="Times New Roman" w:cs="??_GB2312"/>
          <w:b/>
          <w:bCs/>
          <w:color w:val="000000"/>
          <w:kern w:val="0"/>
          <w:sz w:val="32"/>
          <w:szCs w:val="32"/>
          <w:lang w:val="en-US" w:eastAsia="zh-CN" w:bidi="ar-SA"/>
        </w:rPr>
        <w:t>.</w:t>
      </w:r>
      <w:r>
        <w:rPr>
          <w:rFonts w:hint="eastAsia" w:ascii="??_GB2312" w:hAnsi="Calibri" w:eastAsia="Times New Roman" w:cs="??_GB2312"/>
          <w:b/>
          <w:bCs/>
          <w:color w:val="000000"/>
          <w:kern w:val="0"/>
          <w:sz w:val="32"/>
          <w:szCs w:val="32"/>
          <w:lang w:val="en-US" w:eastAsia="zh-CN" w:bidi="ar-SA"/>
        </w:rPr>
        <w:t>年初结转和结余：</w:t>
      </w:r>
      <w:r>
        <w:rPr>
          <w:rFonts w:hint="eastAsia" w:ascii="仿宋" w:hAnsi="仿宋" w:eastAsia="仿宋" w:cs="仿宋"/>
          <w:color w:val="auto"/>
          <w:kern w:val="2"/>
          <w:sz w:val="32"/>
          <w:szCs w:val="32"/>
          <w:lang w:val="en-US" w:eastAsia="zh-CN" w:bidi="ar-SA"/>
        </w:rPr>
        <w:t>指以前年度尚未完成、结转到本年按有关规定继续使用的资金。</w:t>
      </w:r>
      <w:r>
        <w:rPr>
          <w:rFonts w:ascii="仿宋_GB2312" w:eastAsia="仿宋_GB2312"/>
          <w:color w:val="auto"/>
          <w:sz w:val="32"/>
          <w:szCs w:val="32"/>
          <w:highlight w:val="none"/>
        </w:rPr>
        <w:t xml:space="preserve"> </w:t>
      </w:r>
    </w:p>
    <w:p>
      <w:pPr>
        <w:pStyle w:val="18"/>
        <w:widowControl w:val="0"/>
        <w:autoSpaceDE w:val="0"/>
        <w:autoSpaceDN w:val="0"/>
        <w:adjustRightInd w:val="0"/>
        <w:spacing w:before="0" w:beforeAutospacing="0" w:after="0" w:afterAutospacing="0" w:line="560" w:lineRule="exact"/>
        <w:ind w:firstLine="643" w:firstLineChars="200"/>
        <w:rPr>
          <w:rFonts w:hint="eastAsia" w:ascii="仿宋" w:hAnsi="仿宋" w:eastAsia="仿宋" w:cs="仿宋"/>
          <w:kern w:val="2"/>
          <w:sz w:val="32"/>
          <w:szCs w:val="32"/>
          <w:lang w:val="en-US" w:eastAsia="zh-CN" w:bidi="ar-SA"/>
        </w:rPr>
      </w:pPr>
      <w:r>
        <w:rPr>
          <w:rFonts w:hint="eastAsia" w:ascii="??_GB2312" w:hAnsi="Calibri" w:eastAsia="宋体" w:cs="??_GB2312"/>
          <w:b/>
          <w:bCs/>
          <w:color w:val="000000"/>
          <w:sz w:val="32"/>
          <w:szCs w:val="32"/>
          <w:lang w:val="en-US" w:eastAsia="zh-CN"/>
        </w:rPr>
        <w:t>4</w:t>
      </w:r>
      <w:r>
        <w:rPr>
          <w:rFonts w:ascii="??_GB2312" w:hAnsi="Calibri" w:eastAsia="Times New Roman" w:cs="??_GB2312"/>
          <w:b/>
          <w:bCs/>
          <w:color w:val="000000"/>
          <w:sz w:val="32"/>
          <w:szCs w:val="32"/>
        </w:rPr>
        <w:t>.</w:t>
      </w:r>
      <w:r>
        <w:rPr>
          <w:rFonts w:ascii="??_GB2312" w:hAnsi="Calibri" w:eastAsia="Times New Roman" w:cs="Times New Roman"/>
          <w:b/>
          <w:bCs/>
          <w:color w:val="000000"/>
          <w:sz w:val="32"/>
          <w:szCs w:val="32"/>
        </w:rPr>
        <w:t>一般公共服务（</w:t>
      </w:r>
      <w:r>
        <w:rPr>
          <w:rFonts w:ascii="??_GB2312" w:hAnsi="Calibri" w:eastAsia="Times New Roman" w:cs="??_GB2312"/>
          <w:b/>
          <w:bCs/>
          <w:color w:val="000000"/>
          <w:sz w:val="32"/>
          <w:szCs w:val="32"/>
        </w:rPr>
        <w:t>201</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反映政府提供一般公共服务的支出，其中：</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行政运行</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2010301</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指反映行政单位（包括实行公务员管理的事业单位）的基本支出。</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一般行政管理事务</w:t>
      </w:r>
      <w:r>
        <w:rPr>
          <w:rFonts w:hint="eastAsia" w:ascii="楷体_GB2312" w:hAnsi="楷体_GB2312" w:eastAsia="楷体_GB2312" w:cs="楷体_GB2312"/>
          <w:b/>
          <w:bCs/>
          <w:color w:val="auto"/>
          <w:kern w:val="2"/>
          <w:sz w:val="32"/>
          <w:szCs w:val="32"/>
          <w:lang w:val="en-US" w:eastAsia="zh-CN" w:bidi="ar-SA"/>
        </w:rPr>
        <w:t>（2010302）</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指反映行政单位（包括实行公务员管理的事业单位）未单独设置项级科目的其他项目支出。</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政务公开审批</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2010306</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指反映各级政府政务公开审批方面的支出。</w:t>
      </w:r>
    </w:p>
    <w:p>
      <w:pPr>
        <w:pStyle w:val="18"/>
        <w:widowControl w:val="0"/>
        <w:autoSpaceDE w:val="0"/>
        <w:autoSpaceDN w:val="0"/>
        <w:adjustRightInd w:val="0"/>
        <w:spacing w:before="0" w:beforeAutospacing="0" w:after="0" w:afterAutospacing="0" w:line="560" w:lineRule="exac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事业运行</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20103</w:t>
      </w:r>
      <w:r>
        <w:rPr>
          <w:rFonts w:hint="eastAsia" w:ascii="??_GB2312" w:hAnsi="Calibri" w:eastAsia="宋体" w:cs="??_GB2312"/>
          <w:b/>
          <w:bCs/>
          <w:color w:val="000000"/>
          <w:sz w:val="32"/>
          <w:szCs w:val="32"/>
          <w:lang w:val="en-US" w:eastAsia="zh-CN"/>
        </w:rPr>
        <w:t>50</w:t>
      </w:r>
      <w:r>
        <w:rPr>
          <w:rFonts w:ascii="??_GB2312" w:hAnsi="Calibri" w:eastAsia="Times New Roman" w:cs="Times New Roman"/>
          <w:b/>
          <w:bCs/>
          <w:color w:val="000000"/>
          <w:sz w:val="32"/>
          <w:szCs w:val="32"/>
        </w:rPr>
        <w:t>）</w:t>
      </w:r>
      <w:r>
        <w:rPr>
          <w:rFonts w:ascii="??_GB2312" w:hAnsi="Calibri" w:eastAsia="Times New Roman" w:cs="Times New Roman"/>
          <w:color w:val="000000"/>
          <w:sz w:val="32"/>
          <w:szCs w:val="32"/>
        </w:rPr>
        <w:t>：</w:t>
      </w:r>
      <w:r>
        <w:rPr>
          <w:rFonts w:hint="eastAsia" w:ascii="仿宋" w:hAnsi="仿宋" w:eastAsia="仿宋" w:cs="仿宋"/>
          <w:kern w:val="2"/>
          <w:sz w:val="32"/>
          <w:szCs w:val="32"/>
          <w:lang w:val="en-US" w:eastAsia="zh-CN" w:bidi="ar-SA"/>
        </w:rPr>
        <w:t>指反映事业单位的基本支出，不包括行政单位（包括实行公务员管理的事业单位）后勤服务中心、医务室等附属事业单位。</w:t>
      </w:r>
    </w:p>
    <w:p>
      <w:pPr>
        <w:pStyle w:val="18"/>
        <w:widowControl w:val="0"/>
        <w:autoSpaceDE w:val="0"/>
        <w:autoSpaceDN w:val="0"/>
        <w:adjustRightInd w:val="0"/>
        <w:spacing w:before="0" w:beforeAutospacing="0" w:after="0" w:afterAutospacing="0" w:line="560" w:lineRule="exact"/>
        <w:ind w:firstLine="643"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5</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社会保障和就业</w:t>
      </w:r>
      <w:r>
        <w:rPr>
          <w:rFonts w:hint="eastAsia" w:ascii="??_GB2312" w:hAnsi="Times New Roman" w:eastAsia="宋体" w:cs="Times New Roman"/>
          <w:b/>
          <w:bCs/>
          <w:color w:val="000000"/>
          <w:kern w:val="2"/>
          <w:sz w:val="32"/>
          <w:szCs w:val="32"/>
          <w:lang w:val="en-US" w:eastAsia="zh-CN"/>
        </w:rPr>
        <w:t>支出</w:t>
      </w:r>
      <w:r>
        <w:rPr>
          <w:rFonts w:ascii="??_GB2312" w:hAnsi="Times New Roman" w:eastAsia="Times New Roman" w:cs="Times New Roman"/>
          <w:b/>
          <w:bCs/>
          <w:color w:val="000000"/>
          <w:kern w:val="2"/>
          <w:sz w:val="32"/>
          <w:szCs w:val="32"/>
        </w:rPr>
        <w:t>（</w:t>
      </w:r>
      <w:r>
        <w:rPr>
          <w:rFonts w:ascii="??_GB2312" w:eastAsia="Times New Roman" w:cs="??_GB2312"/>
          <w:b/>
          <w:bCs/>
          <w:color w:val="000000"/>
          <w:kern w:val="2"/>
          <w:sz w:val="32"/>
          <w:szCs w:val="32"/>
        </w:rPr>
        <w:t>208</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指反映政府在社会保障与就业方面的支出，其中：</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机关事业单位基本养老保险费支出</w:t>
      </w:r>
      <w:r>
        <w:rPr>
          <w:rFonts w:ascii="??_GB2312" w:eastAsia="Times New Roman"/>
          <w:b/>
          <w:bCs/>
          <w:color w:val="000000"/>
          <w:sz w:val="32"/>
          <w:szCs w:val="32"/>
        </w:rPr>
        <w:t>（</w:t>
      </w:r>
      <w:r>
        <w:rPr>
          <w:rFonts w:ascii="??_GB2312" w:eastAsia="Times New Roman" w:cs="??_GB2312"/>
          <w:b/>
          <w:bCs/>
          <w:color w:val="000000"/>
          <w:sz w:val="32"/>
          <w:szCs w:val="32"/>
        </w:rPr>
        <w:t>2080505</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指反映机关事业单位实施养老保险制度由单位缴纳的基本养老保险费支出。</w:t>
      </w:r>
    </w:p>
    <w:p>
      <w:pPr>
        <w:pStyle w:val="18"/>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kern w:val="2"/>
          <w:sz w:val="32"/>
          <w:szCs w:val="32"/>
          <w:lang w:val="en-US" w:eastAsia="zh-CN" w:bidi="ar-SA"/>
        </w:rPr>
      </w:pPr>
      <w:r>
        <w:rPr>
          <w:rFonts w:hint="default" w:ascii="仿宋_GB2312" w:hAnsi="Calibri" w:eastAsia="仿宋_GB2312" w:cs="仿宋_GB2312"/>
          <w:color w:val="000000"/>
          <w:kern w:val="0"/>
          <w:sz w:val="32"/>
          <w:szCs w:val="32"/>
          <w:lang w:val="en-US" w:eastAsia="zh-CN" w:bidi="ar"/>
        </w:rPr>
        <w:t>其他社会保障和就业支出</w:t>
      </w:r>
      <w:r>
        <w:rPr>
          <w:rFonts w:hint="eastAsia" w:ascii="仿宋_GB2312" w:hAnsi="Calibri" w:eastAsia="仿宋_GB2312" w:cs="仿宋_GB2312"/>
          <w:b/>
          <w:bCs/>
          <w:color w:val="000000"/>
          <w:kern w:val="0"/>
          <w:sz w:val="32"/>
          <w:szCs w:val="32"/>
          <w:lang w:val="en-US" w:eastAsia="zh-CN" w:bidi="ar"/>
        </w:rPr>
        <w:t>（2089999）</w:t>
      </w:r>
      <w:r>
        <w:rPr>
          <w:rFonts w:hint="eastAsia" w:ascii="仿宋_GB2312" w:hAnsi="Calibri" w:eastAsia="仿宋_GB2312" w:cs="仿宋_GB2312"/>
          <w:color w:val="000000"/>
          <w:kern w:val="0"/>
          <w:sz w:val="32"/>
          <w:szCs w:val="32"/>
          <w:lang w:val="en-US" w:eastAsia="zh-CN" w:bidi="ar"/>
        </w:rPr>
        <w:t>：指反映除上述项目以外其他用于社会保障和就业方面的支出。</w:t>
      </w:r>
    </w:p>
    <w:p>
      <w:pPr>
        <w:pStyle w:val="18"/>
        <w:widowControl w:val="0"/>
        <w:autoSpaceDE w:val="0"/>
        <w:autoSpaceDN w:val="0"/>
        <w:adjustRightInd w:val="0"/>
        <w:spacing w:before="0" w:beforeAutospacing="0" w:after="0" w:afterAutospacing="0" w:line="560" w:lineRule="exact"/>
        <w:ind w:firstLine="643" w:firstLineChars="200"/>
        <w:rPr>
          <w:rFonts w:hint="eastAsia" w:ascii="仿宋" w:hAnsi="仿宋" w:eastAsia="仿宋" w:cs="仿宋"/>
          <w:kern w:val="2"/>
          <w:sz w:val="32"/>
          <w:szCs w:val="32"/>
          <w:lang w:val="en-US" w:eastAsia="zh-CN" w:bidi="ar-SA"/>
        </w:rPr>
      </w:pPr>
      <w:r>
        <w:rPr>
          <w:rFonts w:hint="eastAsia" w:ascii="??_GB2312" w:hAnsi="Times New Roman" w:eastAsia="宋体" w:cs="??_GB2312"/>
          <w:b/>
          <w:bCs/>
          <w:color w:val="000000"/>
          <w:kern w:val="2"/>
          <w:sz w:val="32"/>
          <w:szCs w:val="32"/>
          <w:lang w:val="en-US" w:eastAsia="zh-CN"/>
        </w:rPr>
        <w:t>6</w:t>
      </w:r>
      <w:r>
        <w:rPr>
          <w:rFonts w:ascii="??_GB2312" w:hAnsi="Times New Roman" w:eastAsia="Times New Roman" w:cs="??_GB2312"/>
          <w:b/>
          <w:bCs/>
          <w:color w:val="000000"/>
          <w:kern w:val="2"/>
          <w:sz w:val="32"/>
          <w:szCs w:val="32"/>
        </w:rPr>
        <w:t>.</w:t>
      </w:r>
      <w:r>
        <w:rPr>
          <w:rFonts w:ascii="??_GB2312" w:hAnsi="Times New Roman" w:eastAsia="Times New Roman" w:cs="Times New Roman"/>
          <w:b/>
          <w:bCs/>
          <w:color w:val="000000"/>
          <w:kern w:val="2"/>
          <w:sz w:val="32"/>
          <w:szCs w:val="32"/>
        </w:rPr>
        <w:t>卫生健康支出（</w:t>
      </w:r>
      <w:r>
        <w:rPr>
          <w:rFonts w:ascii="??_GB2312" w:hAnsi="Times New Roman" w:eastAsia="Times New Roman" w:cs="??_GB2312"/>
          <w:b/>
          <w:bCs/>
          <w:color w:val="000000"/>
          <w:kern w:val="2"/>
          <w:sz w:val="32"/>
          <w:szCs w:val="32"/>
        </w:rPr>
        <w:t>210</w:t>
      </w:r>
      <w:r>
        <w:rPr>
          <w:rFonts w:ascii="??_GB2312" w:hAnsi="Times New Roman" w:eastAsia="Times New Roman" w:cs="Times New Roman"/>
          <w:b/>
          <w:bCs/>
          <w:color w:val="000000"/>
          <w:kern w:val="2"/>
          <w:sz w:val="32"/>
          <w:szCs w:val="32"/>
        </w:rPr>
        <w:t>）：</w:t>
      </w:r>
      <w:r>
        <w:rPr>
          <w:rFonts w:hint="eastAsia" w:ascii="仿宋" w:hAnsi="仿宋" w:eastAsia="仿宋" w:cs="仿宋"/>
          <w:kern w:val="2"/>
          <w:sz w:val="32"/>
          <w:szCs w:val="32"/>
          <w:lang w:val="en-US" w:eastAsia="zh-CN" w:bidi="ar-SA"/>
        </w:rPr>
        <w:t>指反映政府卫生健康方面的支出，其中：</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行政单位医疗</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2101101</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指反映财政部门安排的行政单位（包括实行公务员管理的事业单位）基本医疗保险缴费经费，未参加医疗保险的行政单位的公费医疗经费，按国家规定享受离休人员、红军老战士待遇人员的医疗经费。</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事业单位医疗</w:t>
      </w:r>
      <w:r>
        <w:rPr>
          <w:rFonts w:ascii="??_GB2312" w:hAnsi="Calibri" w:eastAsia="Times New Roman" w:cs="Times New Roman"/>
          <w:b/>
          <w:bCs/>
          <w:color w:val="000000"/>
          <w:sz w:val="32"/>
          <w:szCs w:val="32"/>
        </w:rPr>
        <w:t>（</w:t>
      </w:r>
      <w:r>
        <w:rPr>
          <w:rFonts w:ascii="??_GB2312" w:hAnsi="Calibri" w:eastAsia="Times New Roman" w:cs="??_GB2312"/>
          <w:b/>
          <w:bCs/>
          <w:color w:val="000000"/>
          <w:sz w:val="32"/>
          <w:szCs w:val="32"/>
        </w:rPr>
        <w:t>210110</w:t>
      </w:r>
      <w:r>
        <w:rPr>
          <w:rFonts w:hint="eastAsia" w:ascii="??_GB2312" w:hAnsi="Calibri" w:eastAsia="宋体" w:cs="??_GB2312"/>
          <w:b/>
          <w:bCs/>
          <w:color w:val="000000"/>
          <w:sz w:val="32"/>
          <w:szCs w:val="32"/>
          <w:lang w:val="en-US" w:eastAsia="zh-CN"/>
        </w:rPr>
        <w:t>2</w:t>
      </w:r>
      <w:r>
        <w:rPr>
          <w:rFonts w:ascii="??_GB2312" w:hAnsi="Calibri" w:eastAsia="Times New Roman" w:cs="Times New Roman"/>
          <w:b/>
          <w:bCs/>
          <w:color w:val="000000"/>
          <w:sz w:val="32"/>
          <w:szCs w:val="32"/>
        </w:rPr>
        <w:t>）：</w:t>
      </w:r>
      <w:r>
        <w:rPr>
          <w:rFonts w:hint="eastAsia" w:ascii="仿宋" w:hAnsi="仿宋" w:eastAsia="仿宋" w:cs="仿宋"/>
          <w:kern w:val="2"/>
          <w:sz w:val="32"/>
          <w:szCs w:val="32"/>
          <w:lang w:val="en-US" w:eastAsia="zh-CN" w:bidi="ar-SA"/>
        </w:rPr>
        <w:t>指反映财政部门安排的事业单位基本医疗保险缴费经费，未参加医疗保险的事业单位的公费医疗经费，按国家规定享受离休人员待遇人员的医疗经费。</w:t>
      </w:r>
    </w:p>
    <w:p>
      <w:pPr>
        <w:ind w:firstLine="643" w:firstLineChars="200"/>
        <w:jc w:val="left"/>
        <w:rPr>
          <w:rFonts w:hint="eastAsia" w:ascii="仿宋" w:hAnsi="仿宋" w:eastAsia="仿宋" w:cs="仿宋"/>
          <w:kern w:val="2"/>
          <w:sz w:val="32"/>
          <w:szCs w:val="32"/>
          <w:lang w:val="en-US" w:eastAsia="zh-CN" w:bidi="ar-SA"/>
        </w:rPr>
      </w:pPr>
      <w:r>
        <w:rPr>
          <w:rFonts w:hint="eastAsia" w:ascii="??_GB2312" w:eastAsia="宋体" w:cs="??_GB2312"/>
          <w:b/>
          <w:bCs/>
          <w:color w:val="000000"/>
          <w:sz w:val="32"/>
          <w:szCs w:val="32"/>
          <w:lang w:val="en-US" w:eastAsia="zh-CN"/>
        </w:rPr>
        <w:t>7</w:t>
      </w:r>
      <w:r>
        <w:rPr>
          <w:rFonts w:ascii="??_GB2312" w:eastAsia="Times New Roman" w:cs="??_GB2312"/>
          <w:b/>
          <w:bCs/>
          <w:color w:val="000000"/>
          <w:sz w:val="32"/>
          <w:szCs w:val="32"/>
        </w:rPr>
        <w:t>.</w:t>
      </w:r>
      <w:r>
        <w:rPr>
          <w:rFonts w:ascii="??_GB2312" w:eastAsia="Times New Roman"/>
          <w:b/>
          <w:bCs/>
          <w:color w:val="000000"/>
          <w:sz w:val="32"/>
          <w:szCs w:val="32"/>
        </w:rPr>
        <w:t>住房保障（</w:t>
      </w:r>
      <w:r>
        <w:rPr>
          <w:rFonts w:ascii="??_GB2312" w:eastAsia="Times New Roman" w:cs="??_GB2312"/>
          <w:b/>
          <w:bCs/>
          <w:color w:val="000000"/>
          <w:sz w:val="32"/>
          <w:szCs w:val="32"/>
        </w:rPr>
        <w:t>221</w:t>
      </w:r>
      <w:r>
        <w:rPr>
          <w:rFonts w:ascii="??_GB2312" w:eastAsia="Times New Roman"/>
          <w:b/>
          <w:bCs/>
          <w:color w:val="000000"/>
          <w:sz w:val="32"/>
          <w:szCs w:val="32"/>
        </w:rPr>
        <w:t>）：</w:t>
      </w:r>
      <w:r>
        <w:rPr>
          <w:rFonts w:hint="eastAsia" w:ascii="仿宋" w:hAnsi="仿宋" w:eastAsia="仿宋" w:cs="仿宋"/>
          <w:kern w:val="2"/>
          <w:sz w:val="32"/>
          <w:szCs w:val="32"/>
          <w:lang w:val="en-US" w:eastAsia="zh-CN" w:bidi="ar-SA"/>
        </w:rPr>
        <w:t>指集中反映政府用于住房方面的支出。</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住房公积金</w:t>
      </w:r>
      <w:r>
        <w:rPr>
          <w:rFonts w:ascii="??_GB2312" w:eastAsia="Times New Roman"/>
          <w:b/>
          <w:bCs/>
          <w:color w:val="000000"/>
          <w:sz w:val="32"/>
          <w:szCs w:val="32"/>
        </w:rPr>
        <w:t>（</w:t>
      </w:r>
      <w:r>
        <w:rPr>
          <w:rFonts w:ascii="??_GB2312" w:eastAsia="Times New Roman" w:cs="??_GB2312"/>
          <w:b/>
          <w:bCs/>
          <w:color w:val="000000"/>
          <w:sz w:val="32"/>
          <w:szCs w:val="32"/>
        </w:rPr>
        <w:t>2210201</w:t>
      </w:r>
      <w:r>
        <w:rPr>
          <w:rFonts w:ascii="??_GB2312" w:eastAsia="Times New Roman"/>
          <w:b/>
          <w:bCs/>
          <w:color w:val="000000"/>
          <w:sz w:val="32"/>
          <w:szCs w:val="32"/>
        </w:rPr>
        <w:t>）</w:t>
      </w:r>
      <w:r>
        <w:rPr>
          <w:rFonts w:ascii="??_GB2312" w:eastAsia="Times New Roman"/>
          <w:color w:val="000000"/>
          <w:sz w:val="32"/>
          <w:szCs w:val="32"/>
        </w:rPr>
        <w:t>：</w:t>
      </w:r>
      <w:r>
        <w:rPr>
          <w:rFonts w:hint="eastAsia" w:ascii="仿宋" w:hAnsi="仿宋" w:eastAsia="仿宋" w:cs="仿宋"/>
          <w:kern w:val="2"/>
          <w:sz w:val="32"/>
          <w:szCs w:val="32"/>
          <w:lang w:val="en-US" w:eastAsia="zh-CN" w:bidi="ar-SA"/>
        </w:rPr>
        <w:t>指反映行政事业单位按人力资源和社会保障部、财政部规定的基本工资和津贴补贴以及规定比例为职工缴纳的住房公积金。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kern w:val="2"/>
          <w:sz w:val="32"/>
          <w:szCs w:val="32"/>
          <w:lang w:val="en-US" w:eastAsia="zh-CN" w:bidi="ar-SA"/>
        </w:rPr>
      </w:pPr>
      <w:r>
        <w:rPr>
          <w:rFonts w:ascii="??_GB2312" w:eastAsia="Times New Roman" w:cs="??_GB2312"/>
          <w:b/>
          <w:bCs/>
          <w:color w:val="000000"/>
          <w:sz w:val="32"/>
          <w:szCs w:val="32"/>
        </w:rPr>
        <w:t>8.</w:t>
      </w:r>
      <w:r>
        <w:rPr>
          <w:rFonts w:ascii="??_GB2312" w:eastAsia="Times New Roman"/>
          <w:b/>
          <w:bCs/>
          <w:color w:val="000000"/>
          <w:sz w:val="32"/>
          <w:szCs w:val="32"/>
        </w:rPr>
        <w:t>基本支出：</w:t>
      </w:r>
      <w:r>
        <w:rPr>
          <w:rFonts w:hint="eastAsia" w:ascii="仿宋" w:hAnsi="仿宋" w:eastAsia="仿宋" w:cs="仿宋"/>
          <w:kern w:val="2"/>
          <w:sz w:val="32"/>
          <w:szCs w:val="32"/>
          <w:lang w:val="en-US" w:eastAsia="zh-CN" w:bidi="ar-SA"/>
        </w:rPr>
        <w:t>指为保障机构正常运转、完成日常工作任务而发生的人员支出和公用支出。</w:t>
      </w:r>
    </w:p>
    <w:p>
      <w:pPr>
        <w:ind w:firstLine="640" w:firstLineChars="200"/>
        <w:rPr>
          <w:rFonts w:ascii="??_GB2312" w:eastAsia="Times New Roman"/>
          <w:color w:val="000000"/>
          <w:sz w:val="32"/>
          <w:szCs w:val="32"/>
        </w:rPr>
      </w:pPr>
      <w:r>
        <w:rPr>
          <w:rFonts w:ascii="??_GB2312" w:eastAsia="Times New Roman" w:cs="??_GB2312"/>
          <w:b/>
          <w:bCs/>
          <w:color w:val="000000"/>
          <w:sz w:val="32"/>
          <w:szCs w:val="32"/>
        </w:rPr>
        <w:t>9.</w:t>
      </w:r>
      <w:r>
        <w:rPr>
          <w:rFonts w:ascii="??_GB2312" w:eastAsia="Times New Roman"/>
          <w:b/>
          <w:bCs/>
          <w:color w:val="000000"/>
          <w:sz w:val="32"/>
          <w:szCs w:val="32"/>
        </w:rPr>
        <w:t>项目支出：</w:t>
      </w:r>
      <w:r>
        <w:rPr>
          <w:rFonts w:hint="eastAsia" w:ascii="仿宋" w:hAnsi="仿宋" w:eastAsia="仿宋" w:cs="仿宋"/>
          <w:kern w:val="2"/>
          <w:sz w:val="32"/>
          <w:szCs w:val="32"/>
          <w:lang w:val="en-US" w:eastAsia="zh-CN" w:bidi="ar-SA"/>
        </w:rPr>
        <w:t>指在基本支出之外为完成特定行政任务和事业发展目标所发生的支出。</w:t>
      </w:r>
      <w:r>
        <w:rPr>
          <w:rFonts w:ascii="??_GB2312" w:eastAsia="Times New Roman" w:cs="??_GB2312"/>
          <w:color w:val="000000"/>
          <w:sz w:val="32"/>
          <w:szCs w:val="32"/>
        </w:rPr>
        <w:t xml:space="preserve"> </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10.</w:t>
      </w:r>
      <w:r>
        <w:rPr>
          <w:rFonts w:ascii="??_GB2312" w:hAnsi="Times New Roman" w:eastAsia="Times New Roman" w:cs="Times New Roman"/>
          <w:b/>
          <w:bCs/>
          <w:color w:val="000000"/>
          <w:kern w:val="2"/>
          <w:sz w:val="32"/>
          <w:szCs w:val="32"/>
        </w:rPr>
        <w:t>“三公”经费：</w:t>
      </w:r>
      <w:r>
        <w:rPr>
          <w:rFonts w:hint="eastAsia" w:ascii="仿宋" w:hAnsi="仿宋" w:eastAsia="仿宋" w:cs="仿宋"/>
          <w:kern w:val="2"/>
          <w:sz w:val="32"/>
          <w:szCs w:val="32"/>
          <w:lang w:val="en-US" w:eastAsia="zh-CN" w:bidi="ar-SA"/>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widowControl w:val="0"/>
        <w:autoSpaceDE w:val="0"/>
        <w:autoSpaceDN w:val="0"/>
        <w:adjustRightInd w:val="0"/>
        <w:spacing w:before="0"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ascii="??_GB2312" w:hAnsi="Times New Roman" w:eastAsia="Times New Roman" w:cs="??_GB2312"/>
          <w:b/>
          <w:bCs/>
          <w:color w:val="000000"/>
          <w:kern w:val="2"/>
          <w:sz w:val="32"/>
          <w:szCs w:val="32"/>
        </w:rPr>
        <w:t>11.</w:t>
      </w:r>
      <w:r>
        <w:rPr>
          <w:rFonts w:ascii="??_GB2312" w:hAnsi="Times New Roman" w:eastAsia="Times New Roman" w:cs="Times New Roman"/>
          <w:b/>
          <w:bCs/>
          <w:color w:val="000000"/>
          <w:kern w:val="2"/>
          <w:sz w:val="32"/>
          <w:szCs w:val="32"/>
        </w:rPr>
        <w:t>机关运行经费：</w:t>
      </w:r>
      <w:r>
        <w:rPr>
          <w:rFonts w:hint="eastAsia" w:ascii="仿宋" w:hAnsi="仿宋" w:eastAsia="仿宋" w:cs="仿宋"/>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5"/>
          <w:rFonts w:hint="eastAsia" w:ascii="黑体" w:hAnsi="黑体" w:eastAsia="黑体"/>
          <w:b w:val="0"/>
          <w:color w:val="auto"/>
          <w:highlight w:val="none"/>
        </w:rPr>
      </w:pPr>
      <w:bookmarkStart w:id="48" w:name="_Toc15377226"/>
      <w:r>
        <w:rPr>
          <w:rFonts w:ascii="宋体"/>
          <w:b/>
          <w:color w:val="auto"/>
          <w:sz w:val="44"/>
          <w:szCs w:val="44"/>
          <w:highlight w:val="none"/>
        </w:rPr>
        <w:br w:type="page"/>
      </w:r>
      <w:bookmarkStart w:id="49" w:name="_Toc15396614"/>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四部分 附件</w:t>
      </w:r>
      <w:bookmarkEnd w:id="49"/>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800" w:lineRule="exact"/>
        <w:contextualSpacing/>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shd w:val="clear" w:color="auto" w:fill="FFFFFF"/>
        </w:rPr>
        <w:t>202</w:t>
      </w:r>
      <w:r>
        <w:rPr>
          <w:rFonts w:hint="eastAsia" w:ascii="方正小标宋_GBK" w:hAnsi="方正小标宋_GBK" w:eastAsia="方正小标宋_GBK" w:cs="方正小标宋_GBK"/>
          <w:b w:val="0"/>
          <w:bCs w:val="0"/>
          <w:sz w:val="44"/>
          <w:szCs w:val="44"/>
          <w:shd w:val="clear" w:color="auto" w:fill="FFFFFF"/>
          <w:lang w:val="en-US" w:eastAsia="zh-CN"/>
        </w:rPr>
        <w:t>2</w:t>
      </w:r>
      <w:r>
        <w:rPr>
          <w:rFonts w:hint="eastAsia" w:ascii="方正小标宋_GBK" w:hAnsi="方正小标宋_GBK" w:eastAsia="方正小标宋_GBK" w:cs="方正小标宋_GBK"/>
          <w:b w:val="0"/>
          <w:bCs w:val="0"/>
          <w:sz w:val="44"/>
          <w:szCs w:val="44"/>
          <w:shd w:val="clear" w:color="auto" w:fill="FFFFFF"/>
        </w:rPr>
        <w:t>年</w:t>
      </w:r>
      <w:r>
        <w:rPr>
          <w:rFonts w:hint="eastAsia" w:ascii="方正小标宋_GBK" w:hAnsi="方正小标宋_GBK" w:eastAsia="方正小标宋_GBK" w:cs="方正小标宋_GBK"/>
          <w:b w:val="0"/>
          <w:bCs w:val="0"/>
          <w:sz w:val="44"/>
          <w:szCs w:val="44"/>
          <w:shd w:val="clear" w:color="auto" w:fill="FFFFFF"/>
          <w:lang w:val="en-US" w:eastAsia="zh-CN"/>
        </w:rPr>
        <w:t>度</w:t>
      </w:r>
      <w:r>
        <w:rPr>
          <w:rFonts w:hint="eastAsia" w:ascii="方正小标宋_GBK" w:hAnsi="方正小标宋_GBK" w:eastAsia="方正小标宋_GBK" w:cs="方正小标宋_GBK"/>
          <w:b w:val="0"/>
          <w:bCs w:val="0"/>
          <w:sz w:val="44"/>
          <w:szCs w:val="44"/>
          <w:shd w:val="clear" w:color="auto" w:fill="FFFFFF"/>
        </w:rPr>
        <w:t>部门整体绩效自评报告</w:t>
      </w:r>
    </w:p>
    <w:p>
      <w:pPr>
        <w:keepNext w:val="0"/>
        <w:keepLines w:val="0"/>
        <w:pageBreakBefore w:val="0"/>
        <w:widowControl/>
        <w:numPr>
          <w:ilvl w:val="0"/>
          <w:numId w:val="0"/>
        </w:numPr>
        <w:kinsoku/>
        <w:wordWrap/>
        <w:overflowPunct/>
        <w:topLinePunct w:val="0"/>
        <w:autoSpaceDE w:val="0"/>
        <w:autoSpaceDN/>
        <w:bidi w:val="0"/>
        <w:adjustRightInd w:val="0"/>
        <w:snapToGrid w:val="0"/>
        <w:spacing w:line="800" w:lineRule="exact"/>
        <w:ind w:firstLine="643" w:firstLineChars="200"/>
        <w:contextualSpacing/>
        <w:jc w:val="left"/>
        <w:textAlignment w:val="auto"/>
        <w:rPr>
          <w:rFonts w:hint="eastAsia" w:ascii="仿宋_GB2312" w:hAnsi="仿宋_GB2312" w:eastAsia="仿宋_GB2312" w:cs="仿宋_GB2312"/>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lang w:eastAsia="zh-CN"/>
        </w:rPr>
        <w:t>一、部门（单位）基本情况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（一）机构组成</w:t>
      </w:r>
    </w:p>
    <w:p>
      <w:pPr>
        <w:spacing w:line="600"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 w:hAnsi="仿宋" w:eastAsia="仿宋"/>
          <w:color w:val="auto"/>
          <w:sz w:val="32"/>
          <w:szCs w:val="32"/>
          <w:highlight w:val="none"/>
        </w:rPr>
        <w:t>广元市朝天区行政审批局属一级预算单位，内设综合股（含行政审批股）。区政务服务和公共资源交易中心内设综合管理股、交易受理股、交易组织股、交易评审股、网管股、现场监督股、政务服务股和区政府采购中心8个内设股室。</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（二）机构职能和人员概况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 w:hAnsi="仿宋" w:eastAsia="仿宋"/>
          <w:color w:val="auto"/>
          <w:sz w:val="32"/>
          <w:szCs w:val="32"/>
          <w:highlight w:val="none"/>
        </w:rPr>
        <w:t>因党和国家机构改革，我局在2019年3月由原区政务服务中心更名后挂牌成立，为区政府工作部门，正科级，区政务服务和公共资源交易中心为我局管理公益一类事业单位，为正科级。</w:t>
      </w:r>
      <w:r>
        <w:rPr>
          <w:rFonts w:hint="eastAsia" w:ascii="仿宋_GB2312" w:hAnsi="仿宋_GB2312" w:eastAsia="仿宋_GB2312" w:cs="仿宋_GB2312"/>
          <w:color w:val="000000"/>
          <w:kern w:val="0"/>
          <w:sz w:val="32"/>
          <w:szCs w:val="32"/>
          <w:shd w:val="clear" w:color="auto" w:fill="FFFFFF"/>
        </w:rPr>
        <w:t>其主要职责如下:</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1.贯彻落实国家、省、市、区有关行政审批制度改革决策部署，制定和完善行政审批工作机制和监管机制，健全完善行政审批服务体系。</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2.根据法律法规和行政管理体制改革的要求，配合相关部门做好简政放权、清理规范行政审批事项等工作。</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负责区发展和改革局、区经济和信息局、区财政局、区人力资源和社会保障局、区商务局等部门划转行政审批事项的依法受理、办理，并承担相应的法律责任，负责与主管部门“审管分离、审管联动”的信息互通工作。</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4.负责规范行政审批服务行为，制定和优化行政审批服务流程，创新行政审批服务方式，健全审批与监管有效协调沟通和信息双向反馈机制，提高行政审批效能，推进行政审批标准化建设和行政审批依法规范公开运行工作。</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5.负责建立和完善高效便民的政务服务体系，负责对部门独立办事服务大厅、乡（镇）便民服务中心和村（社区）便民服务代办站的业务指导。</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6.负责推进审批服务便民化，组织协调区级相关部门按照“三集中、三到位”的原则进驻区政务大厅，将依申请适合在窗口办理的事项全部纳入区政务大厅受理、办理。对退出区政务大厅集中受理、办理的事项进行初审并报区人民政府决定，负责监督检查上级已废止、停止和取消的事项继续在区政务大厅实施。</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7.负责全区公共资源交易的指导、协调和管理工作。</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8.完成区委、区政府交办的其他任务。</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9.职能转变。践行以人民为中心的发展思想，聚焦重点领域和关键环节攻坚突破，深入推进“一网办、一门办、一次办”改革，打造“廉洁、规范、高效、便民”的审批服务模式，不断优化政务服务环境。</w:t>
      </w:r>
    </w:p>
    <w:p>
      <w:pPr>
        <w:pStyle w:val="16"/>
        <w:ind w:left="0" w:leftChars="0"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rPr>
        <w:t>人员概况</w:t>
      </w:r>
      <w:r>
        <w:rPr>
          <w:rFonts w:hint="eastAsia" w:ascii="楷体_GB2312" w:hAnsi="楷体_GB2312" w:eastAsia="楷体_GB2312" w:cs="楷体_GB2312"/>
          <w:color w:val="000000"/>
          <w:kern w:val="0"/>
          <w:sz w:val="32"/>
          <w:szCs w:val="32"/>
          <w:shd w:val="clear" w:color="auto" w:fill="FFFFFF"/>
          <w:lang w:eastAsia="zh-CN"/>
        </w:rPr>
        <w:t>：</w:t>
      </w:r>
      <w:r>
        <w:rPr>
          <w:rFonts w:hint="eastAsia" w:ascii="仿宋" w:hAnsi="仿宋" w:eastAsia="仿宋"/>
          <w:color w:val="auto"/>
          <w:sz w:val="32"/>
          <w:szCs w:val="32"/>
          <w:highlight w:val="none"/>
        </w:rPr>
        <w:t>我局核定行政编制5名，事业编制12名。</w:t>
      </w:r>
      <w:r>
        <w:rPr>
          <w:rFonts w:hint="eastAsia" w:ascii="仿宋_GB2312" w:hAnsi="仿宋_GB2312" w:eastAsia="仿宋_GB2312" w:cs="仿宋_GB2312"/>
          <w:color w:val="000000"/>
          <w:kern w:val="0"/>
          <w:sz w:val="32"/>
          <w:szCs w:val="32"/>
          <w:shd w:val="clear" w:color="auto" w:fill="FFFFFF"/>
          <w:lang w:val="en-US" w:eastAsia="zh-CN" w:bidi="ar-SA"/>
        </w:rPr>
        <w:t>2022年底实有在职人员总数18人，其中行政人员6人，事业人员12人。另聘用人员15人，退休人员3人。</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lang w:val="zh-CN"/>
        </w:rPr>
        <w:t>（</w:t>
      </w:r>
      <w:r>
        <w:rPr>
          <w:rFonts w:hint="eastAsia" w:ascii="楷体_GB2312" w:hAnsi="楷体_GB2312" w:eastAsia="楷体_GB2312" w:cs="楷体_GB2312"/>
          <w:color w:val="000000"/>
          <w:kern w:val="0"/>
          <w:sz w:val="32"/>
          <w:szCs w:val="32"/>
          <w:shd w:val="clear" w:color="auto" w:fill="FFFFFF"/>
          <w:lang w:val="en-US" w:eastAsia="zh-CN"/>
        </w:rPr>
        <w:t>三</w:t>
      </w:r>
      <w:r>
        <w:rPr>
          <w:rFonts w:hint="eastAsia" w:ascii="楷体_GB2312" w:hAnsi="楷体_GB2312" w:eastAsia="楷体_GB2312" w:cs="楷体_GB2312"/>
          <w:color w:val="000000"/>
          <w:kern w:val="0"/>
          <w:sz w:val="32"/>
          <w:szCs w:val="32"/>
          <w:shd w:val="clear" w:color="auto" w:fill="FFFFFF"/>
          <w:lang w:val="zh-CN"/>
        </w:rPr>
        <w:t>）年度主要工作任务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强力推进实体大厅规范化建设。</w:t>
      </w:r>
      <w:r>
        <w:rPr>
          <w:rFonts w:hint="eastAsia" w:ascii="仿宋" w:hAnsi="仿宋" w:eastAsia="仿宋"/>
          <w:color w:val="auto"/>
          <w:sz w:val="32"/>
          <w:szCs w:val="32"/>
          <w:highlight w:val="none"/>
        </w:rPr>
        <w:t>一是加快综合办事窗口建设。全面推行“前台综合受理、后台分类审批”服务模式，区本级大厅设置“办税服务区”“市场准入区”等5个专区及10个无差别综合受理窗口，负责24个部门710个许可事项的收件、发证工作。乡镇便民服务中心平均设立“社会事务、民生事务、农业综合、市政公用”等分领域综合窗口7-8个，村（社区）平均设立综合窗口1-2个。二是全面推进“三集中三到位”工作。按照“事进、人进、权进、章进”要求，严格落实“三集中三到位”，目前，全区入驻37个部门，1415项依申请服务事项，部门及事项入驻率均达100%。三是实施企业全生命周期“一站式”服务机制。设立企业全生命周期服务中心，建立企业开办、生产建设、政策兑现四类专区，将项目建设审批、经营行政许可等涉企事项全部纳入专区统一办理，大力提高企业办事便利度。工作经验《“四个一”推动惠企政策“一站式”兑现服务直达快享》在《四川省优化营商环境经验做法（第七批）》上刊发，并获董里市长签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2、持续提升网上政务服务能力。</w:t>
      </w:r>
      <w:r>
        <w:rPr>
          <w:rFonts w:hint="eastAsia" w:ascii="仿宋" w:hAnsi="仿宋" w:eastAsia="仿宋"/>
          <w:color w:val="auto"/>
          <w:sz w:val="32"/>
          <w:szCs w:val="32"/>
          <w:highlight w:val="none"/>
        </w:rPr>
        <w:t>一是强化平台应用。加大省一体化政务服务平台4.0版本使用力度，常态化推进事项认领、发布、更新等工作，推广应用电子证照和电子印章，加强政务数据资源共享和“一件事一次办”工作，今年以来，共办理各类政务服务事项18万余件，制作电子印章101枚，完成“一件事一次办”线上配置63个，事项认领率、一次办事项占比、网上可办比率均为100%，材料减免率68.38%，承诺提速93.93%，全程网办率97.28%，即办比例80.46%，企业群众办事平均跑动次数均为1次。二是深化业务协同。严格落实通办工作规程，开展线上网办、线下代收代办，与陕西省宁强县、湖南省永兴县成功签订“跨省通办”政务服务战略合作协议，分别确定跨省联办事项26项和34项，梳理“川渝通办”事项186项，“跨省通办”事项50项，“省内通办”170项。今年以来，累计办理“跨省通办”事项40余件。工作经验《广元朝天区与宁强县政务服务实现“跨省通办”》在今日头条、学习强国等媒体刊发。三是畅通评价渠道。依托12345政务服务热线、“好差评”评价仪等，引导办事群众对所办事项进行满意度评价，设置“办不成事”反映窗口，受理办事群众对政务服务的各类投诉及意见建议。今年以来，办件评价数为 18万余次，主动评价率为99.81% ，满意度100%。工作经验《打好便民利企组合拳 助推营商环境再升级》在中国新闻网、中国改革报等媒体刊发。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3、积极开展镇村便民服务体系建设。</w:t>
      </w:r>
      <w:r>
        <w:rPr>
          <w:rFonts w:hint="eastAsia" w:ascii="仿宋" w:hAnsi="仿宋" w:eastAsia="仿宋"/>
          <w:color w:val="auto"/>
          <w:sz w:val="32"/>
          <w:szCs w:val="32"/>
          <w:highlight w:val="none"/>
        </w:rPr>
        <w:t>一是持续开展镇村便民服务“三化”建设，确定曾家镇等6个乡镇为创建市级以上“示范便民服务中心”，文安村等68个村（社区）为创建市级“示范便民服务站”，积极推动便民服务事项下沉，今年以来，下放（委托）事项265项，其中依申请服务事项217项。目前试点乡镇、村（社区）已全面建成。二是积极推进“村能办”“家门办”建设，制定印发《朝天区全面推进“村能办”“家门办”便民服务体系建设工作方案》，梳理发布《朝天区2022年第一批“村能办”便民服务事项清单》135项、《朝天区2022年第一批“家门办”便民服务事项清单》30项，依托村社党群服务中心，因地制宜打造“村能办”“家门办”场地，配备完善办公设施设备，目前已全面完成“村能办”“家门办”建设任务，实现功能全覆盖。《政务服务下沉到景区 游客畅游办事更无忧》《广元朝天推行“村能办”“家门办” 打通为民服务“最后一米”》等经验做法在人民日报、中国改革报上刊发。</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宋体" w:hAnsi="宋体" w:cs="宋体"/>
          <w:sz w:val="32"/>
          <w:szCs w:val="32"/>
        </w:rPr>
      </w:pPr>
      <w:r>
        <w:rPr>
          <w:rFonts w:hint="eastAsia" w:ascii="仿宋" w:hAnsi="仿宋" w:eastAsia="仿宋" w:cs="仿宋"/>
          <w:b/>
          <w:bCs/>
          <w:sz w:val="32"/>
          <w:szCs w:val="32"/>
          <w:lang w:val="en-US" w:eastAsia="zh-CN"/>
        </w:rPr>
        <w:t>4、深入推进公共资源交易标准化。</w:t>
      </w:r>
      <w:r>
        <w:rPr>
          <w:rFonts w:hint="eastAsia" w:ascii="仿宋" w:hAnsi="仿宋" w:eastAsia="仿宋"/>
          <w:color w:val="auto"/>
          <w:sz w:val="32"/>
          <w:szCs w:val="32"/>
          <w:highlight w:val="none"/>
        </w:rPr>
        <w:t>积极开展“示范交易中心”创建“回头看”工作，深刻自查自纠，梳理排查出风险防控等问题3大项，制定对应整改措施8个，目前已全面整改完成。深入落实减环节、减材料、减时限、减费用、减风险等“五减”政策，优化场地预约、保证金退付等工作流程2个，减少公告信息发布申请、发放中选通知书等工作环节2个。常态化推进远程异地评标，积极拓宽合作交流范围，分别与泸州市、苍溪县、剑阁县开展了政府采购项目远程异地评标，远程异地评标能力持续提升。今年以来，累计实施交易项目24个，受理金额24003.50万元，交易金额 18443.85万元，节约资金104.98万元，总节资率为5%。</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5、优化工程建设项目联合审批服务。</w:t>
      </w:r>
      <w:r>
        <w:rPr>
          <w:rFonts w:hint="eastAsia" w:ascii="仿宋" w:hAnsi="仿宋" w:eastAsia="仿宋"/>
          <w:color w:val="auto"/>
          <w:sz w:val="32"/>
          <w:szCs w:val="32"/>
          <w:highlight w:val="none"/>
        </w:rPr>
        <w:t>进一步深化工程建设项目审批制度改革，全面推进工改2.0系统上线运行，制定印发《朝天区工程建设项目审批制度改革“十大方案”》，严格执行一窗进出、并联审批制度，成立帮办代办综合窗口，建立健全事前事中事后“全过程”监管体系。今年以来，上线170个项目，审批服务办件数452件，实行并联审批办件数228件，实行联合审图项目13件，网上中介超市已入驻中介机构33家，实行中介超市模块办件157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cs="仿宋"/>
          <w:b/>
          <w:bCs/>
          <w:sz w:val="32"/>
          <w:szCs w:val="32"/>
          <w:lang w:val="en-US" w:eastAsia="zh-CN"/>
        </w:rPr>
        <w:t>6、纵深推进机关党的建设。</w:t>
      </w:r>
      <w:r>
        <w:rPr>
          <w:rFonts w:hint="eastAsia" w:ascii="仿宋" w:hAnsi="仿宋" w:eastAsia="仿宋"/>
          <w:color w:val="auto"/>
          <w:sz w:val="32"/>
          <w:szCs w:val="32"/>
          <w:highlight w:val="none"/>
        </w:rPr>
        <w:t>一是强化理论学习。严格落实党组中心组学习、“三会一课”等制度，深入学习习近平新时代中国特色社会主义思想、李克强总理来四川考察重要讲话精神、党的二十大精神等，切实提升干部职工政治理论水平。坚持以学促用，成功举办朝天区首届政务服务和公共资源交易服务技能大赛，并在市技能大赛中荣获团体二等奖。今年以来，组织中心组学习13次，专题研讨4次，开展主题党日活动12次。二是推进从严治党。认真落实全面从严治党主体责任，党组书记认真履行第一责任人职责，党组班子成员严格落实“一岗双责”。制定印发《2022年党风廉政建设和反腐败工作实施方案》，完善更新党风廉政建设“三张清单”内容，常态化开展谈心谈话、廉政警示教育、红色教育等。健全党组落实意识形态工作责任清单，加强意识形态阵地管理，规范干部线上线下言论。扎实开展文明城市创建和法治政府示范市创建工作，持续深化干部纪律作风整顿“回头看”工作和“窗口腐败”问题专项整治工作，共查找问题32个，制定整改措施58条，截至目前，问题已全部整改到位。三是全面落实巡察整改工作。召开局党组巡察整改专题会议，成立整改落实区委第二巡察组巡察反馈意见工作领导小组，研究巡察反馈意见，制定整改方案，建立反馈问题清单和整改责任清单,明确责任领导、责任人和整改时限。截止6月底，问题全部整改到位。</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（四）部门整体支出绩效目标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预算严格按照财政要求，结合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部门基本支出预算</w:t>
      </w:r>
      <w:r>
        <w:rPr>
          <w:rFonts w:hint="eastAsia" w:ascii="仿宋" w:hAnsi="仿宋" w:eastAsia="仿宋"/>
          <w:color w:val="auto"/>
          <w:sz w:val="32"/>
          <w:szCs w:val="32"/>
          <w:highlight w:val="none"/>
          <w:lang w:val="en-US" w:eastAsia="zh-CN"/>
        </w:rPr>
        <w:t>320.03</w:t>
      </w:r>
      <w:r>
        <w:rPr>
          <w:rFonts w:hint="eastAsia" w:ascii="仿宋" w:hAnsi="仿宋" w:eastAsia="仿宋"/>
          <w:color w:val="auto"/>
          <w:sz w:val="32"/>
          <w:szCs w:val="32"/>
          <w:highlight w:val="none"/>
        </w:rPr>
        <w:t>万元。其中：人员类支出</w:t>
      </w:r>
      <w:r>
        <w:rPr>
          <w:rFonts w:hint="eastAsia" w:ascii="仿宋" w:hAnsi="仿宋" w:eastAsia="仿宋"/>
          <w:color w:val="auto"/>
          <w:sz w:val="32"/>
          <w:szCs w:val="32"/>
          <w:highlight w:val="none"/>
          <w:lang w:val="en-US" w:eastAsia="zh-CN"/>
        </w:rPr>
        <w:t>294.96</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val="en-US" w:eastAsia="zh-CN"/>
        </w:rPr>
        <w:t>18</w:t>
      </w:r>
      <w:r>
        <w:rPr>
          <w:rFonts w:hint="eastAsia" w:ascii="仿宋" w:hAnsi="仿宋" w:eastAsia="仿宋"/>
          <w:color w:val="auto"/>
          <w:sz w:val="32"/>
          <w:szCs w:val="32"/>
          <w:highlight w:val="none"/>
        </w:rPr>
        <w:t>名单位职工</w:t>
      </w:r>
      <w:r>
        <w:rPr>
          <w:rFonts w:hint="eastAsia" w:ascii="仿宋" w:hAnsi="仿宋" w:eastAsia="仿宋"/>
          <w:color w:val="auto"/>
          <w:sz w:val="32"/>
          <w:szCs w:val="32"/>
          <w:highlight w:val="none"/>
          <w:lang w:val="en-US" w:eastAsia="zh-CN"/>
        </w:rPr>
        <w:t>和10名长聘</w:t>
      </w:r>
      <w:r>
        <w:rPr>
          <w:rFonts w:hint="eastAsia" w:ascii="仿宋" w:hAnsi="仿宋" w:eastAsia="仿宋"/>
          <w:color w:val="auto"/>
          <w:sz w:val="32"/>
          <w:szCs w:val="32"/>
          <w:highlight w:val="none"/>
        </w:rPr>
        <w:t>人员工资、津贴补贴、奖金、各类保险费用缴费、公积金缴费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其他工资福利</w:t>
      </w:r>
      <w:r>
        <w:rPr>
          <w:rFonts w:hint="eastAsia" w:ascii="仿宋" w:hAnsi="仿宋" w:eastAsia="仿宋"/>
          <w:color w:val="auto"/>
          <w:sz w:val="32"/>
          <w:szCs w:val="32"/>
          <w:highlight w:val="none"/>
        </w:rPr>
        <w:t>等。公用经费支出</w:t>
      </w:r>
      <w:r>
        <w:rPr>
          <w:rFonts w:hint="eastAsia" w:ascii="仿宋" w:hAnsi="仿宋" w:eastAsia="仿宋"/>
          <w:color w:val="auto"/>
          <w:sz w:val="32"/>
          <w:szCs w:val="32"/>
          <w:highlight w:val="none"/>
          <w:lang w:val="en-US" w:eastAsia="zh-CN"/>
        </w:rPr>
        <w:t>25.07</w:t>
      </w:r>
      <w:r>
        <w:rPr>
          <w:rFonts w:hint="eastAsia" w:ascii="仿宋" w:hAnsi="仿宋" w:eastAsia="仿宋"/>
          <w:color w:val="auto"/>
          <w:sz w:val="32"/>
          <w:szCs w:val="32"/>
          <w:highlight w:val="none"/>
        </w:rPr>
        <w:t>万元，主要包括1</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名</w:t>
      </w:r>
      <w:r>
        <w:rPr>
          <w:rFonts w:hint="eastAsia" w:ascii="仿宋" w:hAnsi="仿宋" w:eastAsia="仿宋"/>
          <w:color w:val="auto"/>
          <w:sz w:val="32"/>
          <w:szCs w:val="32"/>
          <w:highlight w:val="none"/>
          <w:lang w:val="en-US" w:eastAsia="zh-CN"/>
        </w:rPr>
        <w:t>职工</w:t>
      </w:r>
      <w:r>
        <w:rPr>
          <w:rFonts w:hint="eastAsia" w:ascii="仿宋" w:hAnsi="仿宋" w:eastAsia="仿宋"/>
          <w:color w:val="auto"/>
          <w:sz w:val="32"/>
          <w:szCs w:val="32"/>
          <w:highlight w:val="none"/>
        </w:rPr>
        <w:t>日常办公用品采购、印刷</w:t>
      </w:r>
      <w:r>
        <w:rPr>
          <w:rFonts w:hint="eastAsia" w:ascii="仿宋" w:hAnsi="仿宋" w:eastAsia="仿宋"/>
          <w:color w:val="auto"/>
          <w:sz w:val="32"/>
          <w:szCs w:val="32"/>
          <w:highlight w:val="none"/>
          <w:lang w:val="en-US" w:eastAsia="zh-CN"/>
        </w:rPr>
        <w:t>费</w:t>
      </w:r>
      <w:r>
        <w:rPr>
          <w:rFonts w:hint="eastAsia" w:ascii="仿宋" w:hAnsi="仿宋" w:eastAsia="仿宋"/>
          <w:color w:val="auto"/>
          <w:sz w:val="32"/>
          <w:szCs w:val="32"/>
          <w:highlight w:val="none"/>
        </w:rPr>
        <w:t>、水</w:t>
      </w:r>
      <w:r>
        <w:rPr>
          <w:rFonts w:hint="eastAsia" w:ascii="仿宋" w:hAnsi="仿宋" w:eastAsia="仿宋"/>
          <w:color w:val="auto"/>
          <w:sz w:val="32"/>
          <w:szCs w:val="32"/>
          <w:highlight w:val="none"/>
          <w:lang w:val="en-US" w:eastAsia="zh-CN"/>
        </w:rPr>
        <w:t>费</w:t>
      </w:r>
      <w:r>
        <w:rPr>
          <w:rFonts w:hint="eastAsia" w:ascii="仿宋" w:hAnsi="仿宋" w:eastAsia="仿宋"/>
          <w:color w:val="auto"/>
          <w:sz w:val="32"/>
          <w:szCs w:val="32"/>
          <w:highlight w:val="none"/>
        </w:rPr>
        <w:t>、电</w:t>
      </w:r>
      <w:r>
        <w:rPr>
          <w:rFonts w:hint="eastAsia" w:ascii="仿宋" w:hAnsi="仿宋" w:eastAsia="仿宋"/>
          <w:color w:val="auto"/>
          <w:sz w:val="32"/>
          <w:szCs w:val="32"/>
          <w:highlight w:val="none"/>
          <w:lang w:val="en-US" w:eastAsia="zh-CN"/>
        </w:rPr>
        <w:t>费</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邮电费</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维修（护）费、租赁费、培训费、</w:t>
      </w:r>
      <w:r>
        <w:rPr>
          <w:rFonts w:hint="eastAsia" w:ascii="仿宋" w:hAnsi="仿宋" w:eastAsia="仿宋"/>
          <w:color w:val="auto"/>
          <w:sz w:val="32"/>
          <w:szCs w:val="32"/>
          <w:highlight w:val="none"/>
        </w:rPr>
        <w:t>公务接待</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劳务费、其他交通费用、</w:t>
      </w:r>
      <w:r>
        <w:rPr>
          <w:rFonts w:hint="eastAsia" w:ascii="仿宋" w:hAnsi="仿宋" w:eastAsia="仿宋"/>
          <w:color w:val="auto"/>
          <w:sz w:val="32"/>
          <w:szCs w:val="32"/>
          <w:highlight w:val="none"/>
        </w:rPr>
        <w:t>其他商品和服务支出等。2022年1-8月整体绩效运行监控分析执行进度</w:t>
      </w:r>
      <w:r>
        <w:rPr>
          <w:rFonts w:hint="eastAsia" w:ascii="仿宋" w:hAnsi="仿宋" w:eastAsia="仿宋"/>
          <w:color w:val="auto"/>
          <w:sz w:val="32"/>
          <w:szCs w:val="32"/>
          <w:highlight w:val="none"/>
          <w:u w:val="none"/>
          <w:lang w:val="en-US" w:eastAsia="zh-CN"/>
        </w:rPr>
        <w:t>70</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u w:val="none"/>
          <w:lang w:eastAsia="zh-CN"/>
        </w:rPr>
        <w:t>，</w:t>
      </w:r>
      <w:r>
        <w:rPr>
          <w:rFonts w:hint="eastAsia" w:ascii="仿宋" w:hAnsi="仿宋" w:eastAsia="仿宋"/>
          <w:color w:val="auto"/>
          <w:sz w:val="32"/>
          <w:szCs w:val="32"/>
          <w:highlight w:val="none"/>
          <w:u w:val="none"/>
          <w:lang w:val="en-US" w:eastAsia="zh-CN"/>
        </w:rPr>
        <w:t>年底</w:t>
      </w:r>
      <w:r>
        <w:rPr>
          <w:rFonts w:hint="eastAsia" w:ascii="仿宋" w:hAnsi="仿宋" w:eastAsia="仿宋"/>
          <w:color w:val="auto"/>
          <w:sz w:val="32"/>
          <w:szCs w:val="32"/>
          <w:highlight w:val="none"/>
          <w:u w:val="none"/>
        </w:rPr>
        <w:t>完</w:t>
      </w:r>
      <w:r>
        <w:rPr>
          <w:rFonts w:hint="eastAsia" w:ascii="仿宋" w:hAnsi="仿宋" w:eastAsia="仿宋"/>
          <w:color w:val="auto"/>
          <w:sz w:val="32"/>
          <w:szCs w:val="32"/>
          <w:highlight w:val="none"/>
        </w:rPr>
        <w:t>成预算100%，年度无资金结余。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部门项目支出预算</w:t>
      </w:r>
      <w:r>
        <w:rPr>
          <w:rFonts w:hint="eastAsia" w:ascii="仿宋" w:hAnsi="仿宋" w:eastAsia="仿宋"/>
          <w:color w:val="auto"/>
          <w:sz w:val="32"/>
          <w:szCs w:val="32"/>
          <w:highlight w:val="none"/>
          <w:lang w:val="en-US" w:eastAsia="zh-CN"/>
        </w:rPr>
        <w:t>986.34</w:t>
      </w:r>
      <w:r>
        <w:rPr>
          <w:rFonts w:hint="eastAsia" w:ascii="仿宋" w:hAnsi="仿宋" w:eastAsia="仿宋"/>
          <w:color w:val="auto"/>
          <w:sz w:val="32"/>
          <w:szCs w:val="32"/>
          <w:highlight w:val="none"/>
        </w:rPr>
        <w:t>万元，其中：</w:t>
      </w:r>
      <w:r>
        <w:rPr>
          <w:rFonts w:hint="eastAsia" w:ascii="仿宋" w:hAnsi="仿宋" w:eastAsia="仿宋"/>
          <w:color w:val="auto"/>
          <w:sz w:val="32"/>
          <w:szCs w:val="32"/>
          <w:highlight w:val="none"/>
          <w:lang w:val="en-US" w:eastAsia="zh-CN"/>
        </w:rPr>
        <w:t>大厅网络租赁费5万元、房屋租赁费21.34万元、视频监察专用网络租赁费20.28万元、物业管理费17.63万元、电费27万元、水费4万元、保安保洁费用17.5万元、金财网维护费0.24万元、首届技能大赛6万元、省一体化政务服务平台向乡镇延伸3万元、红外线测温仪费用1.1万元、办税服务大厅购买办公设备2.87万元、国务院大督查费用尾款1万元、“好差评”终端设备资金15.5万元、综合后台办公设备购置尾款2万元、办税服务大厅改造12万元、“村能办”“家门办”便民服务体系建设项目100万元、安全设施和公卫维修4.96万元、政务大厅办公用房租赁费724.92万元。</w:t>
      </w:r>
      <w:r>
        <w:rPr>
          <w:rFonts w:hint="eastAsia" w:ascii="仿宋" w:hAnsi="仿宋" w:eastAsia="仿宋"/>
          <w:color w:val="auto"/>
          <w:sz w:val="32"/>
          <w:szCs w:val="32"/>
          <w:highlight w:val="none"/>
        </w:rPr>
        <w:t>主要用于保障单位</w:t>
      </w:r>
      <w:r>
        <w:rPr>
          <w:rFonts w:hint="eastAsia" w:ascii="仿宋" w:hAnsi="仿宋" w:eastAsia="仿宋"/>
          <w:color w:val="auto"/>
          <w:sz w:val="32"/>
          <w:szCs w:val="32"/>
          <w:highlight w:val="none"/>
          <w:lang w:val="en-US" w:eastAsia="zh-CN"/>
        </w:rPr>
        <w:t>特定项目的</w:t>
      </w:r>
      <w:r>
        <w:rPr>
          <w:rFonts w:hint="eastAsia" w:ascii="仿宋" w:hAnsi="仿宋" w:eastAsia="仿宋"/>
          <w:color w:val="auto"/>
          <w:sz w:val="32"/>
          <w:szCs w:val="32"/>
          <w:highlight w:val="none"/>
        </w:rPr>
        <w:t>正常运转。2022年1-8月整体绩效运行监控分析执行进度</w:t>
      </w:r>
      <w:r>
        <w:rPr>
          <w:rFonts w:hint="eastAsia" w:ascii="仿宋" w:hAnsi="仿宋" w:eastAsia="仿宋"/>
          <w:color w:val="auto"/>
          <w:sz w:val="32"/>
          <w:szCs w:val="32"/>
          <w:highlight w:val="none"/>
          <w:u w:val="none"/>
          <w:lang w:val="en-US" w:eastAsia="zh-CN"/>
        </w:rPr>
        <w:t>82</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u w:val="none"/>
          <w:lang w:eastAsia="zh-CN"/>
        </w:rPr>
        <w:t>，</w:t>
      </w:r>
      <w:r>
        <w:rPr>
          <w:rFonts w:hint="eastAsia" w:ascii="仿宋" w:hAnsi="仿宋" w:eastAsia="仿宋"/>
          <w:color w:val="auto"/>
          <w:sz w:val="32"/>
          <w:szCs w:val="32"/>
          <w:highlight w:val="none"/>
          <w:u w:val="none"/>
          <w:lang w:val="en-US" w:eastAsia="zh-CN"/>
        </w:rPr>
        <w:t>年底</w:t>
      </w:r>
      <w:r>
        <w:rPr>
          <w:rFonts w:hint="eastAsia" w:ascii="仿宋" w:hAnsi="仿宋" w:eastAsia="仿宋"/>
          <w:color w:val="auto"/>
          <w:sz w:val="32"/>
          <w:szCs w:val="32"/>
          <w:highlight w:val="none"/>
          <w:u w:val="none"/>
        </w:rPr>
        <w:t>完</w:t>
      </w:r>
      <w:r>
        <w:rPr>
          <w:rFonts w:hint="eastAsia" w:ascii="仿宋" w:hAnsi="仿宋" w:eastAsia="仿宋"/>
          <w:color w:val="auto"/>
          <w:sz w:val="32"/>
          <w:szCs w:val="32"/>
          <w:highlight w:val="none"/>
        </w:rPr>
        <w:t>成预算100%，年度无资金结余。</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支出均按照有关规章制度和项目实施完成情况进行支付，我单位严格按照项目预算要求使用和划拨资金、规范经费管理，专项资金按照项目内容使用，做到专款专用，使用专项资金时，通过财政专网统一支付。项目过程中严格按照管理办法执行，保障支出合法合规，做到了合法、有序，全年无违反规定的行为发生。</w:t>
      </w:r>
    </w:p>
    <w:p>
      <w:pPr>
        <w:keepNext w:val="0"/>
        <w:keepLines w:val="0"/>
        <w:pageBreakBefore w:val="0"/>
        <w:widowControl/>
        <w:kinsoku/>
        <w:wordWrap/>
        <w:overflowPunct/>
        <w:topLinePunct w:val="0"/>
        <w:autoSpaceDE w:val="0"/>
        <w:autoSpaceDN/>
        <w:bidi w:val="0"/>
        <w:adjustRightInd w:val="0"/>
        <w:snapToGrid w:val="0"/>
        <w:spacing w:line="700" w:lineRule="exact"/>
        <w:ind w:firstLine="643" w:firstLineChars="200"/>
        <w:contextualSpacing/>
        <w:jc w:val="left"/>
        <w:textAlignment w:val="auto"/>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二、部门资金收支情况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（一）部门总体收支情况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val="en-US" w:eastAsia="zh-CN"/>
        </w:rPr>
        <w:t>1.</w:t>
      </w:r>
      <w:r>
        <w:rPr>
          <w:rFonts w:hint="eastAsia" w:ascii="楷体_GB2312" w:hAnsi="楷体_GB2312" w:eastAsia="楷体_GB2312" w:cs="楷体_GB2312"/>
          <w:color w:val="auto"/>
          <w:kern w:val="0"/>
          <w:sz w:val="32"/>
          <w:szCs w:val="32"/>
          <w:shd w:val="clear" w:color="auto" w:fill="FFFFFF"/>
        </w:rPr>
        <w:t>部门总体收入情况。</w:t>
      </w:r>
      <w:r>
        <w:rPr>
          <w:rFonts w:hint="eastAsia" w:ascii="仿宋_GB2312" w:hAnsi="仿宋_GB2312" w:eastAsia="仿宋_GB2312" w:cs="仿宋_GB2312"/>
          <w:color w:val="auto"/>
          <w:kern w:val="0"/>
          <w:sz w:val="32"/>
          <w:szCs w:val="32"/>
          <w:shd w:val="clear" w:color="auto" w:fill="FFFFFF"/>
        </w:rPr>
        <w:t>2022年，我</w:t>
      </w:r>
      <w:r>
        <w:rPr>
          <w:rFonts w:hint="eastAsia" w:ascii="仿宋_GB2312" w:hAnsi="仿宋_GB2312" w:eastAsia="仿宋_GB2312" w:cs="仿宋_GB2312"/>
          <w:color w:val="auto"/>
          <w:kern w:val="0"/>
          <w:sz w:val="32"/>
          <w:szCs w:val="32"/>
          <w:shd w:val="clear" w:color="auto" w:fill="FFFFFF"/>
          <w:lang w:val="en-US" w:eastAsia="zh-CN"/>
        </w:rPr>
        <w:t>部门</w:t>
      </w:r>
      <w:r>
        <w:rPr>
          <w:rFonts w:hint="eastAsia" w:ascii="仿宋_GB2312" w:hAnsi="仿宋_GB2312" w:eastAsia="仿宋_GB2312" w:cs="仿宋_GB2312"/>
          <w:color w:val="auto"/>
          <w:kern w:val="0"/>
          <w:sz w:val="32"/>
          <w:szCs w:val="32"/>
          <w:shd w:val="clear" w:color="auto" w:fill="FFFFFF"/>
        </w:rPr>
        <w:t>总收入</w:t>
      </w:r>
      <w:r>
        <w:rPr>
          <w:rFonts w:hint="eastAsia" w:ascii="仿宋_GB2312" w:hAnsi="仿宋_GB2312" w:eastAsia="仿宋_GB2312" w:cs="仿宋_GB2312"/>
          <w:color w:val="auto"/>
          <w:kern w:val="0"/>
          <w:sz w:val="32"/>
          <w:szCs w:val="32"/>
          <w:shd w:val="clear" w:color="auto" w:fill="FFFFFF"/>
          <w:lang w:val="en-US" w:eastAsia="zh-CN"/>
        </w:rPr>
        <w:t>1311.45</w:t>
      </w:r>
      <w:r>
        <w:rPr>
          <w:rFonts w:hint="eastAsia" w:ascii="仿宋_GB2312" w:hAnsi="仿宋_GB2312" w:eastAsia="仿宋_GB2312" w:cs="仿宋_GB2312"/>
          <w:color w:val="auto"/>
          <w:kern w:val="0"/>
          <w:sz w:val="32"/>
          <w:szCs w:val="32"/>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含</w:t>
      </w: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年初</w:t>
      </w:r>
      <w:r>
        <w:rPr>
          <w:rFonts w:hint="eastAsia" w:ascii="仿宋_GB2312" w:hAnsi="仿宋_GB2312" w:eastAsia="仿宋_GB2312" w:cs="仿宋_GB2312"/>
          <w:color w:val="auto"/>
          <w:kern w:val="0"/>
          <w:sz w:val="32"/>
          <w:szCs w:val="32"/>
          <w:shd w:val="clear" w:color="auto" w:fill="FFFFFF"/>
          <w:lang w:val="en-US" w:eastAsia="zh-CN"/>
        </w:rPr>
        <w:t>结转</w:t>
      </w:r>
      <w:r>
        <w:rPr>
          <w:rFonts w:hint="eastAsia" w:ascii="仿宋_GB2312" w:hAnsi="仿宋_GB2312" w:eastAsia="仿宋_GB2312" w:cs="仿宋_GB2312"/>
          <w:color w:val="auto"/>
          <w:kern w:val="0"/>
          <w:sz w:val="32"/>
          <w:szCs w:val="32"/>
          <w:shd w:val="clear" w:color="auto" w:fill="FFFFFF"/>
        </w:rPr>
        <w:t>结余资金</w:t>
      </w:r>
      <w:r>
        <w:rPr>
          <w:rFonts w:hint="eastAsia" w:ascii="仿宋_GB2312" w:hAnsi="仿宋_GB2312" w:eastAsia="仿宋_GB2312" w:cs="仿宋_GB2312"/>
          <w:color w:val="auto"/>
          <w:kern w:val="0"/>
          <w:sz w:val="32"/>
          <w:szCs w:val="32"/>
          <w:shd w:val="clear" w:color="auto" w:fill="FFFFFF"/>
          <w:lang w:val="en-US" w:eastAsia="zh-CN"/>
        </w:rPr>
        <w:t>774.92</w:t>
      </w:r>
      <w:r>
        <w:rPr>
          <w:rFonts w:hint="eastAsia" w:ascii="仿宋_GB2312" w:hAnsi="仿宋_GB2312" w:eastAsia="仿宋_GB2312" w:cs="仿宋_GB2312"/>
          <w:color w:val="auto"/>
          <w:kern w:val="0"/>
          <w:sz w:val="32"/>
          <w:szCs w:val="32"/>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rPr>
        <w:t>，其中：财政拨款收入</w:t>
      </w:r>
      <w:r>
        <w:rPr>
          <w:rFonts w:hint="eastAsia" w:ascii="仿宋_GB2312" w:hAnsi="仿宋_GB2312" w:eastAsia="仿宋_GB2312" w:cs="仿宋_GB2312"/>
          <w:color w:val="auto"/>
          <w:kern w:val="0"/>
          <w:sz w:val="32"/>
          <w:szCs w:val="32"/>
          <w:shd w:val="clear" w:color="auto" w:fill="FFFFFF"/>
          <w:lang w:val="en-US" w:eastAsia="zh-CN"/>
        </w:rPr>
        <w:t>1306.37</w:t>
      </w:r>
      <w:r>
        <w:rPr>
          <w:rFonts w:hint="eastAsia" w:ascii="仿宋_GB2312" w:hAnsi="仿宋_GB2312" w:eastAsia="仿宋_GB2312" w:cs="仿宋_GB2312"/>
          <w:color w:val="auto"/>
          <w:kern w:val="0"/>
          <w:sz w:val="32"/>
          <w:szCs w:val="32"/>
          <w:shd w:val="clear" w:color="auto" w:fill="FFFFFF"/>
        </w:rPr>
        <w:t>万元，占总收入</w:t>
      </w:r>
      <w:r>
        <w:rPr>
          <w:rFonts w:hint="eastAsia" w:ascii="仿宋_GB2312" w:hAnsi="仿宋_GB2312" w:eastAsia="仿宋_GB2312" w:cs="仿宋_GB2312"/>
          <w:color w:val="auto"/>
          <w:kern w:val="0"/>
          <w:sz w:val="32"/>
          <w:szCs w:val="32"/>
          <w:shd w:val="clear" w:color="auto" w:fill="FFFFFF"/>
          <w:lang w:val="en-US" w:eastAsia="zh-CN"/>
        </w:rPr>
        <w:t>99.61</w:t>
      </w:r>
      <w:r>
        <w:rPr>
          <w:rFonts w:hint="eastAsia" w:ascii="仿宋_GB2312" w:hAnsi="仿宋_GB2312" w:eastAsia="仿宋_GB2312" w:cs="仿宋_GB2312"/>
          <w:color w:val="auto"/>
          <w:kern w:val="0"/>
          <w:sz w:val="32"/>
          <w:szCs w:val="32"/>
          <w:shd w:val="clear" w:color="auto" w:fill="FFFFFF"/>
        </w:rPr>
        <w:t>%；其他收入</w:t>
      </w:r>
      <w:r>
        <w:rPr>
          <w:rFonts w:hint="eastAsia" w:ascii="仿宋_GB2312" w:hAnsi="仿宋_GB2312" w:eastAsia="仿宋_GB2312" w:cs="仿宋_GB2312"/>
          <w:color w:val="auto"/>
          <w:kern w:val="0"/>
          <w:sz w:val="32"/>
          <w:szCs w:val="32"/>
          <w:shd w:val="clear" w:color="auto" w:fill="FFFFFF"/>
          <w:lang w:val="en-US" w:eastAsia="zh-CN"/>
        </w:rPr>
        <w:t>5.08</w:t>
      </w:r>
      <w:r>
        <w:rPr>
          <w:rFonts w:hint="eastAsia" w:ascii="仿宋_GB2312" w:hAnsi="仿宋_GB2312" w:eastAsia="仿宋_GB2312" w:cs="仿宋_GB2312"/>
          <w:color w:val="auto"/>
          <w:kern w:val="0"/>
          <w:sz w:val="32"/>
          <w:szCs w:val="32"/>
          <w:shd w:val="clear" w:color="auto" w:fill="FFFFFF"/>
        </w:rPr>
        <w:t>万元，占总收入0.</w:t>
      </w:r>
      <w:r>
        <w:rPr>
          <w:rFonts w:hint="eastAsia" w:ascii="仿宋_GB2312" w:hAnsi="仿宋_GB2312" w:eastAsia="仿宋_GB2312" w:cs="仿宋_GB2312"/>
          <w:color w:val="auto"/>
          <w:kern w:val="0"/>
          <w:sz w:val="32"/>
          <w:szCs w:val="32"/>
          <w:shd w:val="clear" w:color="auto" w:fill="FFFFFF"/>
          <w:lang w:val="en-US" w:eastAsia="zh-CN"/>
        </w:rPr>
        <w:t>39</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lang w:val="en-US" w:eastAsia="zh-CN"/>
        </w:rPr>
        <w:t>2.部门总体支出情况。</w:t>
      </w:r>
      <w:r>
        <w:rPr>
          <w:rFonts w:hint="eastAsia" w:ascii="仿宋_GB2312" w:hAnsi="仿宋_GB2312" w:eastAsia="仿宋_GB2312" w:cs="仿宋_GB2312"/>
          <w:color w:val="auto"/>
          <w:kern w:val="0"/>
          <w:sz w:val="32"/>
          <w:szCs w:val="32"/>
          <w:shd w:val="clear" w:color="auto" w:fill="FFFFFF"/>
        </w:rPr>
        <w:t>2022年，我</w:t>
      </w:r>
      <w:r>
        <w:rPr>
          <w:rFonts w:hint="eastAsia" w:ascii="仿宋_GB2312" w:hAnsi="仿宋_GB2312" w:eastAsia="仿宋_GB2312" w:cs="仿宋_GB2312"/>
          <w:color w:val="auto"/>
          <w:kern w:val="0"/>
          <w:sz w:val="32"/>
          <w:szCs w:val="32"/>
          <w:shd w:val="clear" w:color="auto" w:fill="FFFFFF"/>
          <w:lang w:val="en-US" w:eastAsia="zh-CN"/>
        </w:rPr>
        <w:t>部门</w:t>
      </w:r>
      <w:r>
        <w:rPr>
          <w:rFonts w:hint="eastAsia" w:ascii="仿宋_GB2312" w:hAnsi="仿宋_GB2312" w:eastAsia="仿宋_GB2312" w:cs="仿宋_GB2312"/>
          <w:color w:val="auto"/>
          <w:kern w:val="0"/>
          <w:sz w:val="32"/>
          <w:szCs w:val="32"/>
          <w:shd w:val="clear" w:color="auto" w:fill="FFFFFF"/>
        </w:rPr>
        <w:t>总支出</w:t>
      </w:r>
      <w:r>
        <w:rPr>
          <w:rFonts w:hint="eastAsia" w:ascii="仿宋_GB2312" w:hAnsi="仿宋_GB2312" w:eastAsia="仿宋_GB2312" w:cs="仿宋_GB2312"/>
          <w:color w:val="auto"/>
          <w:kern w:val="0"/>
          <w:sz w:val="32"/>
          <w:szCs w:val="32"/>
          <w:shd w:val="clear" w:color="auto" w:fill="FFFFFF"/>
          <w:lang w:val="en-US" w:eastAsia="zh-CN"/>
        </w:rPr>
        <w:t>1311.45</w:t>
      </w:r>
      <w:r>
        <w:rPr>
          <w:rFonts w:hint="eastAsia" w:ascii="仿宋_GB2312" w:hAnsi="仿宋_GB2312" w:eastAsia="仿宋_GB2312" w:cs="仿宋_GB2312"/>
          <w:color w:val="auto"/>
          <w:kern w:val="0"/>
          <w:sz w:val="32"/>
          <w:szCs w:val="32"/>
          <w:shd w:val="clear" w:color="auto" w:fill="FFFFFF"/>
        </w:rPr>
        <w:t>万元，其中：</w:t>
      </w:r>
      <w:r>
        <w:rPr>
          <w:rFonts w:hint="eastAsia" w:ascii="仿宋_GB2312" w:hAnsi="仿宋_GB2312" w:eastAsia="仿宋_GB2312" w:cs="仿宋_GB2312"/>
          <w:b/>
          <w:bCs/>
          <w:color w:val="auto"/>
          <w:kern w:val="0"/>
          <w:sz w:val="32"/>
          <w:szCs w:val="32"/>
          <w:shd w:val="clear" w:color="auto" w:fill="FFFFFF"/>
        </w:rPr>
        <w:t>按功能分类</w:t>
      </w:r>
      <w:r>
        <w:rPr>
          <w:rFonts w:hint="eastAsia" w:ascii="仿宋_GB2312" w:hAnsi="仿宋_GB2312" w:eastAsia="仿宋_GB2312" w:cs="仿宋_GB2312"/>
          <w:color w:val="auto"/>
          <w:kern w:val="0"/>
          <w:sz w:val="32"/>
          <w:szCs w:val="32"/>
          <w:shd w:val="clear" w:color="auto" w:fill="FFFFFF"/>
        </w:rPr>
        <w:t>一般公共服务支出</w:t>
      </w:r>
      <w:r>
        <w:rPr>
          <w:rFonts w:hint="eastAsia" w:ascii="仿宋_GB2312" w:hAnsi="仿宋_GB2312" w:eastAsia="仿宋_GB2312" w:cs="仿宋_GB2312"/>
          <w:color w:val="auto"/>
          <w:kern w:val="0"/>
          <w:sz w:val="32"/>
          <w:szCs w:val="32"/>
          <w:shd w:val="clear" w:color="auto" w:fill="FFFFFF"/>
          <w:lang w:val="en-US" w:eastAsia="zh-CN"/>
        </w:rPr>
        <w:t>1254.82</w:t>
      </w:r>
      <w:r>
        <w:rPr>
          <w:rFonts w:hint="eastAsia" w:ascii="仿宋_GB2312" w:hAnsi="仿宋_GB2312" w:eastAsia="仿宋_GB2312" w:cs="仿宋_GB2312"/>
          <w:color w:val="auto"/>
          <w:kern w:val="0"/>
          <w:sz w:val="32"/>
          <w:szCs w:val="32"/>
          <w:shd w:val="clear" w:color="auto" w:fill="FFFFFF"/>
        </w:rPr>
        <w:t>万元，占95.6</w:t>
      </w:r>
      <w:r>
        <w:rPr>
          <w:rFonts w:hint="eastAsia" w:ascii="仿宋_GB2312" w:hAnsi="仿宋_GB2312" w:eastAsia="仿宋_GB2312" w:cs="仿宋_GB2312"/>
          <w:color w:val="auto"/>
          <w:kern w:val="0"/>
          <w:sz w:val="32"/>
          <w:szCs w:val="32"/>
          <w:shd w:val="clear" w:color="auto" w:fill="FFFFFF"/>
          <w:lang w:val="en-US" w:eastAsia="zh-CN"/>
        </w:rPr>
        <w:t>8</w:t>
      </w:r>
      <w:r>
        <w:rPr>
          <w:rFonts w:hint="eastAsia" w:ascii="仿宋_GB2312" w:hAnsi="仿宋_GB2312" w:eastAsia="仿宋_GB2312" w:cs="仿宋_GB2312"/>
          <w:color w:val="auto"/>
          <w:kern w:val="0"/>
          <w:sz w:val="32"/>
          <w:szCs w:val="32"/>
          <w:shd w:val="clear" w:color="auto" w:fill="FFFFFF"/>
        </w:rPr>
        <w:t>%；社会保障和就业支出21.86万元，占1.67%；卫生健康支出10.95万元，占0.8</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%；住房保障支出23.82万元，占1.82%</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b/>
          <w:bCs/>
          <w:color w:val="auto"/>
          <w:kern w:val="0"/>
          <w:sz w:val="32"/>
          <w:szCs w:val="32"/>
          <w:shd w:val="clear" w:color="auto" w:fill="FFFFFF"/>
        </w:rPr>
        <w:t>按支出性质</w:t>
      </w:r>
      <w:r>
        <w:rPr>
          <w:rFonts w:hint="eastAsia" w:ascii="仿宋_GB2312" w:hAnsi="仿宋_GB2312" w:eastAsia="仿宋_GB2312" w:cs="仿宋_GB2312"/>
          <w:color w:val="auto"/>
          <w:kern w:val="0"/>
          <w:sz w:val="32"/>
          <w:szCs w:val="32"/>
          <w:shd w:val="clear" w:color="auto" w:fill="FFFFFF"/>
        </w:rPr>
        <w:t>人员经费支出</w:t>
      </w:r>
      <w:r>
        <w:rPr>
          <w:rFonts w:hint="eastAsia" w:ascii="仿宋_GB2312" w:hAnsi="仿宋_GB2312" w:eastAsia="仿宋_GB2312" w:cs="仿宋_GB2312"/>
          <w:color w:val="auto"/>
          <w:kern w:val="0"/>
          <w:sz w:val="32"/>
          <w:szCs w:val="32"/>
          <w:shd w:val="clear" w:color="auto" w:fill="FFFFFF"/>
          <w:lang w:val="en-US" w:eastAsia="zh-CN"/>
        </w:rPr>
        <w:t>294.96</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22.49</w:t>
      </w:r>
      <w:r>
        <w:rPr>
          <w:rFonts w:hint="eastAsia" w:ascii="仿宋_GB2312" w:hAnsi="仿宋_GB2312" w:eastAsia="仿宋_GB2312" w:cs="仿宋_GB2312"/>
          <w:color w:val="auto"/>
          <w:kern w:val="0"/>
          <w:sz w:val="32"/>
          <w:szCs w:val="32"/>
          <w:shd w:val="clear" w:color="auto" w:fill="FFFFFF"/>
        </w:rPr>
        <w:t>%；公用经费支出</w:t>
      </w:r>
      <w:r>
        <w:rPr>
          <w:rFonts w:hint="eastAsia" w:ascii="仿宋_GB2312" w:hAnsi="仿宋_GB2312" w:eastAsia="仿宋_GB2312" w:cs="仿宋_GB2312"/>
          <w:color w:val="auto"/>
          <w:kern w:val="0"/>
          <w:sz w:val="32"/>
          <w:szCs w:val="32"/>
          <w:shd w:val="clear" w:color="auto" w:fill="FFFFFF"/>
          <w:lang w:val="en-US" w:eastAsia="zh-CN"/>
        </w:rPr>
        <w:t>30.15</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2.30</w:t>
      </w:r>
      <w:r>
        <w:rPr>
          <w:rFonts w:hint="eastAsia" w:ascii="仿宋_GB2312" w:hAnsi="仿宋_GB2312" w:eastAsia="仿宋_GB2312" w:cs="仿宋_GB2312"/>
          <w:color w:val="auto"/>
          <w:kern w:val="0"/>
          <w:sz w:val="32"/>
          <w:szCs w:val="32"/>
          <w:shd w:val="clear" w:color="auto" w:fill="FFFFFF"/>
        </w:rPr>
        <w:t>%；项目支出</w:t>
      </w:r>
      <w:r>
        <w:rPr>
          <w:rFonts w:hint="eastAsia" w:ascii="仿宋_GB2312" w:hAnsi="仿宋_GB2312" w:eastAsia="仿宋_GB2312" w:cs="仿宋_GB2312"/>
          <w:color w:val="auto"/>
          <w:kern w:val="0"/>
          <w:sz w:val="32"/>
          <w:szCs w:val="32"/>
          <w:shd w:val="clear" w:color="auto" w:fill="FFFFFF"/>
          <w:lang w:val="en-US" w:eastAsia="zh-CN"/>
        </w:rPr>
        <w:t>986.34</w:t>
      </w:r>
      <w:r>
        <w:rPr>
          <w:rFonts w:hint="eastAsia" w:ascii="仿宋_GB2312" w:hAnsi="仿宋_GB2312" w:eastAsia="仿宋_GB2312" w:cs="仿宋_GB2312"/>
          <w:color w:val="auto"/>
          <w:kern w:val="0"/>
          <w:sz w:val="32"/>
          <w:szCs w:val="32"/>
          <w:shd w:val="clear" w:color="auto" w:fill="FFFFFF"/>
        </w:rPr>
        <w:t>万元，占总支出的</w:t>
      </w:r>
      <w:r>
        <w:rPr>
          <w:rFonts w:hint="eastAsia" w:ascii="仿宋_GB2312" w:hAnsi="仿宋_GB2312" w:eastAsia="仿宋_GB2312" w:cs="仿宋_GB2312"/>
          <w:color w:val="auto"/>
          <w:kern w:val="0"/>
          <w:sz w:val="32"/>
          <w:szCs w:val="32"/>
          <w:shd w:val="clear" w:color="auto" w:fill="FFFFFF"/>
          <w:lang w:val="en-US" w:eastAsia="zh-CN"/>
        </w:rPr>
        <w:t>75.21</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3.部门总体结转结余情况。</w:t>
      </w:r>
      <w:r>
        <w:rPr>
          <w:rFonts w:hint="eastAsia" w:ascii="仿宋_GB2312" w:hAnsi="仿宋_GB2312" w:eastAsia="仿宋_GB2312" w:cs="仿宋_GB2312"/>
          <w:color w:val="auto"/>
          <w:kern w:val="0"/>
          <w:sz w:val="32"/>
          <w:szCs w:val="32"/>
          <w:u w:val="none"/>
          <w:shd w:val="clear" w:color="auto" w:fill="FFFFFF"/>
        </w:rPr>
        <w:t>我单位2022年无结转结余。</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（二）部门财政拨款收支情况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kern w:val="0"/>
          <w:sz w:val="32"/>
          <w:szCs w:val="32"/>
          <w:u w:val="none"/>
          <w:shd w:val="clear" w:color="auto" w:fill="FFFFFF"/>
        </w:rPr>
        <w:t>1.部门财政拨款收入情况。2022年，我单位财政拨款收入</w:t>
      </w:r>
      <w:r>
        <w:rPr>
          <w:rFonts w:hint="eastAsia" w:ascii="仿宋_GB2312" w:hAnsi="仿宋_GB2312" w:eastAsia="仿宋_GB2312" w:cs="仿宋_GB2312"/>
          <w:color w:val="auto"/>
          <w:kern w:val="0"/>
          <w:sz w:val="32"/>
          <w:szCs w:val="32"/>
          <w:u w:val="none"/>
          <w:shd w:val="clear" w:color="auto" w:fill="FFFFFF"/>
          <w:lang w:val="en-US" w:eastAsia="zh-CN"/>
        </w:rPr>
        <w:t>1306.37</w:t>
      </w:r>
      <w:r>
        <w:rPr>
          <w:rFonts w:hint="eastAsia" w:ascii="仿宋_GB2312" w:hAnsi="仿宋_GB2312" w:eastAsia="仿宋_GB2312" w:cs="仿宋_GB2312"/>
          <w:color w:val="auto"/>
          <w:kern w:val="0"/>
          <w:sz w:val="32"/>
          <w:szCs w:val="32"/>
          <w:u w:val="none"/>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含</w:t>
      </w: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年初</w:t>
      </w:r>
      <w:r>
        <w:rPr>
          <w:rFonts w:hint="eastAsia" w:ascii="仿宋_GB2312" w:hAnsi="仿宋_GB2312" w:eastAsia="仿宋_GB2312" w:cs="仿宋_GB2312"/>
          <w:color w:val="auto"/>
          <w:kern w:val="0"/>
          <w:sz w:val="32"/>
          <w:szCs w:val="32"/>
          <w:shd w:val="clear" w:color="auto" w:fill="FFFFFF"/>
          <w:lang w:val="en-US" w:eastAsia="zh-CN"/>
        </w:rPr>
        <w:t>结转</w:t>
      </w:r>
      <w:r>
        <w:rPr>
          <w:rFonts w:hint="eastAsia" w:ascii="仿宋_GB2312" w:hAnsi="仿宋_GB2312" w:eastAsia="仿宋_GB2312" w:cs="仿宋_GB2312"/>
          <w:color w:val="auto"/>
          <w:kern w:val="0"/>
          <w:sz w:val="32"/>
          <w:szCs w:val="32"/>
          <w:shd w:val="clear" w:color="auto" w:fill="FFFFFF"/>
        </w:rPr>
        <w:t>结余资金</w:t>
      </w:r>
      <w:r>
        <w:rPr>
          <w:rFonts w:hint="eastAsia" w:ascii="仿宋_GB2312" w:hAnsi="仿宋_GB2312" w:eastAsia="仿宋_GB2312" w:cs="仿宋_GB2312"/>
          <w:color w:val="auto"/>
          <w:kern w:val="0"/>
          <w:sz w:val="32"/>
          <w:szCs w:val="32"/>
          <w:shd w:val="clear" w:color="auto" w:fill="FFFFFF"/>
          <w:lang w:val="en-US" w:eastAsia="zh-CN"/>
        </w:rPr>
        <w:t>774.92</w:t>
      </w:r>
      <w:r>
        <w:rPr>
          <w:rFonts w:hint="eastAsia" w:ascii="仿宋_GB2312" w:hAnsi="仿宋_GB2312" w:eastAsia="仿宋_GB2312" w:cs="仿宋_GB2312"/>
          <w:color w:val="auto"/>
          <w:kern w:val="0"/>
          <w:sz w:val="32"/>
          <w:szCs w:val="32"/>
          <w:shd w:val="clear" w:color="auto" w:fill="FFFFFF"/>
        </w:rPr>
        <w:t>万元</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u w:val="none"/>
          <w:shd w:val="clear" w:color="auto" w:fill="FFFFFF"/>
        </w:rPr>
        <w:t>，</w:t>
      </w:r>
      <w:r>
        <w:rPr>
          <w:rFonts w:hint="eastAsia" w:ascii="仿宋_GB2312" w:hAnsi="仿宋_GB2312" w:eastAsia="仿宋_GB2312" w:cs="仿宋_GB2312"/>
          <w:color w:val="auto"/>
          <w:kern w:val="0"/>
          <w:sz w:val="32"/>
          <w:szCs w:val="32"/>
          <w:u w:val="none"/>
          <w:shd w:val="clear" w:color="auto" w:fill="FFFFFF"/>
          <w:lang w:val="en-US" w:eastAsia="zh-CN"/>
        </w:rPr>
        <w:t>其中：一般公共预算财政拨款收入1306.37万元，</w:t>
      </w:r>
      <w:r>
        <w:rPr>
          <w:rFonts w:hint="eastAsia" w:ascii="仿宋_GB2312" w:hAnsi="仿宋_GB2312" w:eastAsia="仿宋_GB2312" w:cs="仿宋_GB2312"/>
          <w:color w:val="auto"/>
          <w:kern w:val="0"/>
          <w:sz w:val="32"/>
          <w:szCs w:val="32"/>
          <w:u w:val="none"/>
          <w:shd w:val="clear" w:color="auto" w:fill="FFFFFF"/>
        </w:rPr>
        <w:t>占</w:t>
      </w:r>
      <w:r>
        <w:rPr>
          <w:rFonts w:hint="eastAsia" w:ascii="仿宋_GB2312" w:hAnsi="仿宋_GB2312" w:eastAsia="仿宋_GB2312" w:cs="仿宋_GB2312"/>
          <w:color w:val="auto"/>
          <w:kern w:val="0"/>
          <w:sz w:val="32"/>
          <w:szCs w:val="32"/>
          <w:u w:val="none"/>
          <w:shd w:val="clear" w:color="auto" w:fill="FFFFFF"/>
          <w:lang w:val="en-US" w:eastAsia="zh-CN"/>
        </w:rPr>
        <w:t>100</w:t>
      </w:r>
      <w:r>
        <w:rPr>
          <w:rFonts w:hint="eastAsia" w:ascii="仿宋_GB2312" w:hAnsi="仿宋_GB2312" w:eastAsia="仿宋_GB2312" w:cs="仿宋_GB2312"/>
          <w:color w:val="auto"/>
          <w:kern w:val="0"/>
          <w:sz w:val="32"/>
          <w:szCs w:val="32"/>
          <w:u w:val="none"/>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u w:val="none"/>
          <w:shd w:val="clear" w:color="auto" w:fill="FFFFFF"/>
        </w:rPr>
      </w:pPr>
      <w:r>
        <w:rPr>
          <w:rFonts w:hint="eastAsia" w:ascii="仿宋_GB2312" w:hAnsi="仿宋_GB2312" w:eastAsia="仿宋_GB2312" w:cs="仿宋_GB2312"/>
          <w:color w:val="auto"/>
          <w:kern w:val="0"/>
          <w:sz w:val="32"/>
          <w:szCs w:val="32"/>
          <w:u w:val="none"/>
          <w:shd w:val="clear" w:color="auto" w:fill="FFFFFF"/>
        </w:rPr>
        <w:t>2.部门财政拨款支出情况。2022年，我单位财政拨款支出</w:t>
      </w:r>
      <w:r>
        <w:rPr>
          <w:rFonts w:hint="eastAsia" w:ascii="仿宋_GB2312" w:hAnsi="仿宋_GB2312" w:eastAsia="仿宋_GB2312" w:cs="仿宋_GB2312"/>
          <w:color w:val="auto"/>
          <w:kern w:val="0"/>
          <w:sz w:val="32"/>
          <w:szCs w:val="32"/>
          <w:u w:val="none"/>
          <w:shd w:val="clear" w:color="auto" w:fill="FFFFFF"/>
          <w:lang w:val="en-US" w:eastAsia="zh-CN"/>
        </w:rPr>
        <w:t>1306.37</w:t>
      </w:r>
      <w:r>
        <w:rPr>
          <w:rFonts w:hint="eastAsia" w:ascii="仿宋_GB2312" w:hAnsi="仿宋_GB2312" w:eastAsia="仿宋_GB2312" w:cs="仿宋_GB2312"/>
          <w:color w:val="auto"/>
          <w:kern w:val="0"/>
          <w:sz w:val="32"/>
          <w:szCs w:val="32"/>
          <w:u w:val="none"/>
          <w:shd w:val="clear" w:color="auto" w:fill="FFFFFF"/>
        </w:rPr>
        <w:t>万元，其中：基本支出</w:t>
      </w:r>
      <w:r>
        <w:rPr>
          <w:rFonts w:hint="eastAsia" w:ascii="仿宋_GB2312" w:hAnsi="仿宋_GB2312" w:eastAsia="仿宋_GB2312" w:cs="仿宋_GB2312"/>
          <w:color w:val="auto"/>
          <w:kern w:val="0"/>
          <w:sz w:val="32"/>
          <w:szCs w:val="32"/>
          <w:u w:val="none"/>
          <w:shd w:val="clear" w:color="auto" w:fill="FFFFFF"/>
          <w:lang w:val="en-US" w:eastAsia="zh-CN"/>
        </w:rPr>
        <w:t>320.03</w:t>
      </w:r>
      <w:r>
        <w:rPr>
          <w:rFonts w:hint="eastAsia" w:ascii="仿宋_GB2312" w:hAnsi="仿宋_GB2312" w:eastAsia="仿宋_GB2312" w:cs="仿宋_GB2312"/>
          <w:color w:val="auto"/>
          <w:kern w:val="0"/>
          <w:sz w:val="32"/>
          <w:szCs w:val="32"/>
          <w:u w:val="none"/>
          <w:shd w:val="clear" w:color="auto" w:fill="FFFFFF"/>
        </w:rPr>
        <w:t>万元，占支出的</w:t>
      </w:r>
      <w:r>
        <w:rPr>
          <w:rFonts w:hint="eastAsia" w:ascii="仿宋_GB2312" w:hAnsi="仿宋_GB2312" w:eastAsia="仿宋_GB2312" w:cs="仿宋_GB2312"/>
          <w:color w:val="auto"/>
          <w:kern w:val="0"/>
          <w:sz w:val="32"/>
          <w:szCs w:val="32"/>
          <w:u w:val="none"/>
          <w:shd w:val="clear" w:color="auto" w:fill="FFFFFF"/>
          <w:lang w:val="en-US" w:eastAsia="zh-CN"/>
        </w:rPr>
        <w:t>24.50</w:t>
      </w:r>
      <w:r>
        <w:rPr>
          <w:rFonts w:hint="eastAsia" w:ascii="仿宋_GB2312" w:hAnsi="仿宋_GB2312" w:eastAsia="仿宋_GB2312" w:cs="仿宋_GB2312"/>
          <w:color w:val="auto"/>
          <w:kern w:val="0"/>
          <w:sz w:val="32"/>
          <w:szCs w:val="32"/>
          <w:u w:val="none"/>
          <w:shd w:val="clear" w:color="auto" w:fill="FFFFFF"/>
        </w:rPr>
        <w:t>%；项目支出</w:t>
      </w:r>
      <w:r>
        <w:rPr>
          <w:rFonts w:hint="eastAsia" w:ascii="仿宋_GB2312" w:hAnsi="仿宋_GB2312" w:eastAsia="仿宋_GB2312" w:cs="仿宋_GB2312"/>
          <w:color w:val="auto"/>
          <w:kern w:val="0"/>
          <w:sz w:val="32"/>
          <w:szCs w:val="32"/>
          <w:u w:val="none"/>
          <w:shd w:val="clear" w:color="auto" w:fill="FFFFFF"/>
          <w:lang w:val="en-US" w:eastAsia="zh-CN"/>
        </w:rPr>
        <w:t>986.34</w:t>
      </w:r>
      <w:r>
        <w:rPr>
          <w:rFonts w:hint="eastAsia" w:ascii="仿宋_GB2312" w:hAnsi="仿宋_GB2312" w:eastAsia="仿宋_GB2312" w:cs="仿宋_GB2312"/>
          <w:color w:val="auto"/>
          <w:kern w:val="0"/>
          <w:sz w:val="32"/>
          <w:szCs w:val="32"/>
          <w:u w:val="none"/>
          <w:shd w:val="clear" w:color="auto" w:fill="FFFFFF"/>
        </w:rPr>
        <w:t>万元，占支出的</w:t>
      </w:r>
      <w:r>
        <w:rPr>
          <w:rFonts w:hint="eastAsia" w:ascii="仿宋_GB2312" w:hAnsi="仿宋_GB2312" w:eastAsia="仿宋_GB2312" w:cs="仿宋_GB2312"/>
          <w:color w:val="auto"/>
          <w:kern w:val="0"/>
          <w:sz w:val="32"/>
          <w:szCs w:val="32"/>
          <w:u w:val="none"/>
          <w:shd w:val="clear" w:color="auto" w:fill="FFFFFF"/>
          <w:lang w:val="en-US" w:eastAsia="zh-CN"/>
        </w:rPr>
        <w:t>75.50</w:t>
      </w:r>
      <w:r>
        <w:rPr>
          <w:rFonts w:hint="eastAsia" w:ascii="仿宋_GB2312" w:hAnsi="仿宋_GB2312" w:eastAsia="仿宋_GB2312" w:cs="仿宋_GB2312"/>
          <w:color w:val="auto"/>
          <w:kern w:val="0"/>
          <w:sz w:val="32"/>
          <w:szCs w:val="32"/>
          <w:u w:val="none"/>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u w:val="none"/>
          <w:shd w:val="clear" w:color="auto" w:fill="FFFFFF"/>
        </w:rPr>
        <w:t>3.部门财政拨款结转结余情况。我单位2022年当年财政拨款无结转结余。</w:t>
      </w:r>
    </w:p>
    <w:p>
      <w:pPr>
        <w:keepNext w:val="0"/>
        <w:keepLines w:val="0"/>
        <w:pageBreakBefore w:val="0"/>
        <w:widowControl/>
        <w:kinsoku/>
        <w:wordWrap/>
        <w:overflowPunct/>
        <w:topLinePunct w:val="0"/>
        <w:autoSpaceDE w:val="0"/>
        <w:autoSpaceDN/>
        <w:bidi w:val="0"/>
        <w:adjustRightInd w:val="0"/>
        <w:snapToGrid w:val="0"/>
        <w:spacing w:line="700" w:lineRule="exact"/>
        <w:ind w:firstLine="640" w:firstLineChars="200"/>
        <w:contextualSpacing/>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三、部门整体绩效分析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rPr>
      </w:pPr>
      <w:r>
        <w:rPr>
          <w:rFonts w:hint="eastAsia" w:ascii="楷体_GB2312" w:hAnsi="楷体_GB2312" w:eastAsia="楷体_GB2312" w:cs="楷体_GB2312"/>
          <w:color w:val="auto"/>
          <w:kern w:val="0"/>
          <w:sz w:val="32"/>
          <w:szCs w:val="32"/>
          <w:shd w:val="clear" w:color="auto" w:fill="FFFFFF"/>
        </w:rPr>
        <w:t>（一）部门预算项目绩效管理</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1</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rPr>
        <w:t>人员类项目绩效分析</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人员类支出</w:t>
      </w:r>
      <w:r>
        <w:rPr>
          <w:rFonts w:hint="eastAsia" w:ascii="仿宋_GB2312" w:hAnsi="仿宋_GB2312" w:eastAsia="仿宋_GB2312" w:cs="仿宋_GB2312"/>
          <w:color w:val="auto"/>
          <w:kern w:val="0"/>
          <w:sz w:val="32"/>
          <w:szCs w:val="32"/>
          <w:shd w:val="clear" w:color="auto" w:fill="FFFFFF"/>
          <w:lang w:val="en-US" w:eastAsia="zh-CN"/>
        </w:rPr>
        <w:t>294.96</w:t>
      </w:r>
      <w:r>
        <w:rPr>
          <w:rFonts w:hint="default" w:ascii="仿宋_GB2312" w:hAnsi="仿宋_GB2312" w:eastAsia="仿宋_GB2312" w:cs="仿宋_GB2312"/>
          <w:color w:val="auto"/>
          <w:kern w:val="0"/>
          <w:sz w:val="32"/>
          <w:szCs w:val="32"/>
          <w:shd w:val="clear" w:color="auto" w:fill="FFFFFF"/>
          <w:lang w:val="en-US" w:eastAsia="zh-CN"/>
        </w:rPr>
        <w:t>万元，主要包括</w:t>
      </w:r>
      <w:r>
        <w:rPr>
          <w:rFonts w:hint="eastAsia" w:ascii="仿宋_GB2312" w:hAnsi="仿宋_GB2312" w:eastAsia="仿宋_GB2312" w:cs="仿宋_GB2312"/>
          <w:color w:val="auto"/>
          <w:kern w:val="0"/>
          <w:sz w:val="32"/>
          <w:szCs w:val="32"/>
          <w:shd w:val="clear" w:color="auto" w:fill="FFFFFF"/>
          <w:lang w:val="en-US" w:eastAsia="zh-CN"/>
        </w:rPr>
        <w:t>29</w:t>
      </w:r>
      <w:r>
        <w:rPr>
          <w:rFonts w:hint="default" w:ascii="仿宋_GB2312" w:hAnsi="仿宋_GB2312" w:eastAsia="仿宋_GB2312" w:cs="仿宋_GB2312"/>
          <w:color w:val="auto"/>
          <w:kern w:val="0"/>
          <w:sz w:val="32"/>
          <w:szCs w:val="32"/>
          <w:shd w:val="clear" w:color="auto" w:fill="FFFFFF"/>
          <w:lang w:val="en-US" w:eastAsia="zh-CN"/>
        </w:rPr>
        <w:t>名单位职工人员工资、津贴补贴、奖金、绩效工资、机关事业单位基本养老保险缴费、职工基本医疗保险缴费、住房公积金、其他社会保障缴费、其他工资福利支出、奖励金等。根据相关规定和标准按时间节点发放干部职工工资</w:t>
      </w:r>
      <w:r>
        <w:rPr>
          <w:rFonts w:hint="eastAsia" w:ascii="仿宋_GB2312" w:hAnsi="仿宋_GB2312" w:eastAsia="仿宋_GB2312" w:cs="仿宋_GB2312"/>
          <w:color w:val="auto"/>
          <w:kern w:val="0"/>
          <w:sz w:val="32"/>
          <w:szCs w:val="32"/>
          <w:shd w:val="clear" w:color="auto" w:fill="FFFFFF"/>
          <w:lang w:val="en-US" w:eastAsia="zh-CN"/>
        </w:rPr>
        <w:t>福利、</w:t>
      </w:r>
      <w:r>
        <w:rPr>
          <w:rFonts w:hint="default" w:ascii="仿宋_GB2312" w:hAnsi="仿宋_GB2312" w:eastAsia="仿宋_GB2312" w:cs="仿宋_GB2312"/>
          <w:color w:val="auto"/>
          <w:kern w:val="0"/>
          <w:sz w:val="32"/>
          <w:szCs w:val="32"/>
          <w:shd w:val="clear" w:color="auto" w:fill="FFFFFF"/>
          <w:lang w:val="en-US" w:eastAsia="zh-CN"/>
        </w:rPr>
        <w:t>足额缴纳各类保险及公积金，保障了干部职工生活水平，确保顺利实现单位工作目标</w:t>
      </w:r>
      <w:r>
        <w:rPr>
          <w:rFonts w:hint="eastAsia" w:ascii="仿宋_GB2312" w:hAnsi="仿宋_GB2312" w:eastAsia="仿宋_GB2312" w:cs="仿宋_GB2312"/>
          <w:color w:val="auto"/>
          <w:kern w:val="0"/>
          <w:sz w:val="32"/>
          <w:szCs w:val="32"/>
          <w:shd w:val="clear" w:color="auto" w:fill="FFFFFF"/>
          <w:lang w:val="en-US" w:eastAsia="zh-CN"/>
        </w:rPr>
        <w:t>，</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无资金结余和</w:t>
      </w:r>
      <w:r>
        <w:rPr>
          <w:rFonts w:hint="default" w:ascii="仿宋_GB2312" w:hAnsi="仿宋_GB2312" w:eastAsia="仿宋_GB2312" w:cs="仿宋_GB2312"/>
          <w:color w:val="auto"/>
          <w:kern w:val="0"/>
          <w:sz w:val="32"/>
          <w:szCs w:val="32"/>
          <w:shd w:val="clear" w:color="auto" w:fill="FFFFFF"/>
          <w:lang w:val="en-US" w:eastAsia="zh-CN"/>
        </w:rPr>
        <w:t>违规行为。</w:t>
      </w:r>
    </w:p>
    <w:p>
      <w:pPr>
        <w:keepNext w:val="0"/>
        <w:keepLines w:val="0"/>
        <w:pageBreakBefore w:val="0"/>
        <w:widowControl/>
        <w:numPr>
          <w:ilvl w:val="0"/>
          <w:numId w:val="0"/>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2.运转类项目绩效分析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default" w:ascii="仿宋_GB2312" w:hAnsi="仿宋_GB2312" w:eastAsia="仿宋_GB2312" w:cs="仿宋_GB2312"/>
          <w:color w:val="auto"/>
          <w:kern w:val="0"/>
          <w:sz w:val="32"/>
          <w:szCs w:val="32"/>
          <w:shd w:val="clear" w:color="auto" w:fill="FFFFFF"/>
          <w:lang w:val="en-US" w:eastAsia="zh-CN"/>
        </w:rPr>
        <w:t>运转类项目支出</w:t>
      </w:r>
      <w:r>
        <w:rPr>
          <w:rFonts w:hint="eastAsia" w:ascii="仿宋_GB2312" w:hAnsi="仿宋_GB2312" w:eastAsia="仿宋_GB2312" w:cs="仿宋_GB2312"/>
          <w:color w:val="auto"/>
          <w:kern w:val="0"/>
          <w:sz w:val="32"/>
          <w:szCs w:val="32"/>
          <w:shd w:val="clear" w:color="auto" w:fill="FFFFFF"/>
          <w:lang w:val="en-US" w:eastAsia="zh-CN"/>
        </w:rPr>
        <w:t>30.15</w:t>
      </w:r>
      <w:r>
        <w:rPr>
          <w:rFonts w:hint="default" w:ascii="仿宋_GB2312" w:hAnsi="仿宋_GB2312" w:eastAsia="仿宋_GB2312" w:cs="仿宋_GB2312"/>
          <w:color w:val="auto"/>
          <w:kern w:val="0"/>
          <w:sz w:val="32"/>
          <w:szCs w:val="32"/>
          <w:shd w:val="clear" w:color="auto" w:fill="FFFFFF"/>
          <w:lang w:val="en-US" w:eastAsia="zh-CN"/>
        </w:rPr>
        <w:t>万元，主要包括</w:t>
      </w:r>
      <w:r>
        <w:rPr>
          <w:rFonts w:hint="eastAsia" w:ascii="仿宋_GB2312" w:hAnsi="仿宋_GB2312" w:eastAsia="仿宋_GB2312" w:cs="仿宋_GB2312"/>
          <w:color w:val="auto"/>
          <w:kern w:val="0"/>
          <w:sz w:val="32"/>
          <w:szCs w:val="32"/>
          <w:shd w:val="clear" w:color="auto" w:fill="FFFFFF"/>
          <w:lang w:val="en-US" w:eastAsia="zh-CN"/>
        </w:rPr>
        <w:t>29</w:t>
      </w:r>
      <w:r>
        <w:rPr>
          <w:rFonts w:hint="default" w:ascii="仿宋_GB2312" w:hAnsi="仿宋_GB2312" w:eastAsia="仿宋_GB2312" w:cs="仿宋_GB2312"/>
          <w:color w:val="auto"/>
          <w:kern w:val="0"/>
          <w:sz w:val="32"/>
          <w:szCs w:val="32"/>
          <w:shd w:val="clear" w:color="auto" w:fill="FFFFFF"/>
          <w:lang w:val="en-US" w:eastAsia="zh-CN"/>
        </w:rPr>
        <w:t>名</w:t>
      </w:r>
      <w:r>
        <w:rPr>
          <w:rFonts w:hint="eastAsia" w:ascii="仿宋_GB2312" w:hAnsi="仿宋_GB2312" w:eastAsia="仿宋_GB2312" w:cs="仿宋_GB2312"/>
          <w:color w:val="auto"/>
          <w:kern w:val="0"/>
          <w:sz w:val="32"/>
          <w:szCs w:val="32"/>
          <w:shd w:val="clear" w:color="auto" w:fill="FFFFFF"/>
          <w:lang w:val="en-US" w:eastAsia="zh-CN"/>
        </w:rPr>
        <w:t>干部</w:t>
      </w:r>
      <w:r>
        <w:rPr>
          <w:rFonts w:hint="default" w:ascii="仿宋_GB2312" w:hAnsi="仿宋_GB2312" w:eastAsia="仿宋_GB2312" w:cs="仿宋_GB2312"/>
          <w:color w:val="auto"/>
          <w:kern w:val="0"/>
          <w:sz w:val="32"/>
          <w:szCs w:val="32"/>
          <w:shd w:val="clear" w:color="auto" w:fill="FFFFFF"/>
          <w:lang w:val="en-US" w:eastAsia="zh-CN"/>
        </w:rPr>
        <w:t>职工日常</w:t>
      </w:r>
      <w:r>
        <w:rPr>
          <w:rFonts w:hint="eastAsia" w:ascii="仿宋_GB2312" w:hAnsi="仿宋_GB2312" w:eastAsia="仿宋_GB2312" w:cs="仿宋_GB2312"/>
          <w:color w:val="auto"/>
          <w:kern w:val="0"/>
          <w:sz w:val="32"/>
          <w:szCs w:val="32"/>
          <w:shd w:val="clear" w:color="auto" w:fill="FFFFFF"/>
        </w:rPr>
        <w:t>办公费、手续费</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水费、电费、邮电费</w:t>
      </w:r>
      <w:r>
        <w:rPr>
          <w:rFonts w:hint="eastAsia" w:ascii="仿宋_GB2312" w:hAnsi="仿宋_GB2312" w:eastAsia="仿宋_GB2312" w:cs="仿宋_GB2312"/>
          <w:color w:val="auto"/>
          <w:kern w:val="0"/>
          <w:sz w:val="32"/>
          <w:szCs w:val="32"/>
          <w:shd w:val="clear" w:color="auto" w:fill="FFFFFF"/>
        </w:rPr>
        <w:t>、差旅费、维修（护）费、</w:t>
      </w:r>
      <w:r>
        <w:rPr>
          <w:rFonts w:hint="eastAsia" w:ascii="仿宋_GB2312" w:hAnsi="仿宋_GB2312" w:eastAsia="仿宋_GB2312" w:cs="仿宋_GB2312"/>
          <w:color w:val="auto"/>
          <w:kern w:val="0"/>
          <w:sz w:val="32"/>
          <w:szCs w:val="32"/>
          <w:shd w:val="clear" w:color="auto" w:fill="FFFFFF"/>
          <w:lang w:val="en-US" w:eastAsia="zh-CN"/>
        </w:rPr>
        <w:t>租赁费、培训</w:t>
      </w:r>
      <w:r>
        <w:rPr>
          <w:rFonts w:hint="eastAsia" w:ascii="仿宋_GB2312" w:hAnsi="仿宋_GB2312" w:eastAsia="仿宋_GB2312" w:cs="仿宋_GB2312"/>
          <w:color w:val="auto"/>
          <w:kern w:val="0"/>
          <w:sz w:val="32"/>
          <w:szCs w:val="32"/>
          <w:shd w:val="clear" w:color="auto" w:fill="FFFFFF"/>
        </w:rPr>
        <w:t>费、公务接待费、劳务费、其他交通费用、其他商品和服务支出等</w:t>
      </w:r>
      <w:r>
        <w:rPr>
          <w:rFonts w:hint="eastAsia" w:ascii="仿宋_GB2312" w:hAnsi="仿宋_GB2312" w:eastAsia="仿宋_GB2312" w:cs="仿宋_GB2312"/>
          <w:color w:val="auto"/>
          <w:kern w:val="0"/>
          <w:sz w:val="32"/>
          <w:szCs w:val="32"/>
          <w:shd w:val="clear" w:color="auto" w:fill="FFFFFF"/>
          <w:lang w:val="en-US" w:eastAsia="zh-CN"/>
        </w:rPr>
        <w:t>支出</w:t>
      </w:r>
      <w:r>
        <w:rPr>
          <w:rFonts w:hint="default"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rPr>
        <w:t>确保了全年局机关各项工作正常运行和高效落实</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达到日常工作开展需要的经济效益和社会效益，</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无资金结余和违规记录。</w:t>
      </w:r>
    </w:p>
    <w:p>
      <w:pPr>
        <w:keepNext w:val="0"/>
        <w:keepLines w:val="0"/>
        <w:pageBreakBefore w:val="0"/>
        <w:widowControl/>
        <w:numPr>
          <w:ilvl w:val="0"/>
          <w:numId w:val="8"/>
        </w:numPr>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特定目标类项目绩效分析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val="0"/>
          <w:spacing w:val="0"/>
          <w:kern w:val="0"/>
          <w:sz w:val="32"/>
          <w:szCs w:val="32"/>
          <w:lang w:eastAsia="zh-CN"/>
        </w:rPr>
        <w:t>特定</w:t>
      </w:r>
      <w:r>
        <w:rPr>
          <w:rFonts w:hint="eastAsia" w:ascii="仿宋_GB2312" w:hAnsi="仿宋_GB2312" w:eastAsia="仿宋_GB2312" w:cs="仿宋_GB2312"/>
          <w:snapToGrid w:val="0"/>
          <w:spacing w:val="0"/>
          <w:kern w:val="0"/>
          <w:sz w:val="32"/>
          <w:szCs w:val="32"/>
        </w:rPr>
        <w:t>项目</w:t>
      </w:r>
      <w:r>
        <w:rPr>
          <w:rFonts w:hint="eastAsia" w:ascii="仿宋_GB2312" w:hAnsi="仿宋_GB2312" w:eastAsia="仿宋_GB2312" w:cs="仿宋_GB2312"/>
          <w:snapToGrid w:val="0"/>
          <w:spacing w:val="0"/>
          <w:kern w:val="0"/>
          <w:sz w:val="32"/>
          <w:szCs w:val="32"/>
          <w:lang w:eastAsia="zh-CN"/>
        </w:rPr>
        <w:t>支出</w:t>
      </w:r>
      <w:r>
        <w:rPr>
          <w:rFonts w:hint="eastAsia" w:ascii="仿宋_GB2312" w:hAnsi="仿宋_GB2312" w:eastAsia="仿宋_GB2312" w:cs="仿宋_GB2312"/>
          <w:color w:val="auto"/>
          <w:kern w:val="0"/>
          <w:sz w:val="32"/>
          <w:szCs w:val="32"/>
          <w:shd w:val="clear" w:color="auto" w:fill="FFFFFF"/>
          <w:lang w:val="en-US" w:eastAsia="zh-CN"/>
        </w:rPr>
        <w:t>986.34</w:t>
      </w:r>
      <w:r>
        <w:rPr>
          <w:rFonts w:hint="eastAsia" w:ascii="仿宋_GB2312" w:hAnsi="仿宋_GB2312" w:eastAsia="仿宋_GB2312" w:cs="仿宋_GB2312"/>
          <w:snapToGrid w:val="0"/>
          <w:spacing w:val="0"/>
          <w:kern w:val="0"/>
          <w:sz w:val="32"/>
          <w:szCs w:val="32"/>
          <w:lang w:val="en-US" w:eastAsia="zh-CN"/>
        </w:rPr>
        <w:t>万元，其中：一般行政管理事务724.92万元，占比73.50%。政务公开审批261.42万元，占比26.50%。全年支出控制在预算成本范围内，完成当年特定项目任务，达到项目运行的经济效益和社会效益，满意度大于95%，</w:t>
      </w:r>
      <w:r>
        <w:rPr>
          <w:rFonts w:hint="default" w:ascii="仿宋_GB2312" w:hAnsi="仿宋_GB2312" w:eastAsia="仿宋_GB2312" w:cs="仿宋_GB2312"/>
          <w:color w:val="auto"/>
          <w:kern w:val="0"/>
          <w:sz w:val="32"/>
          <w:szCs w:val="32"/>
          <w:shd w:val="clear" w:color="auto" w:fill="FFFFFF"/>
          <w:lang w:val="en-US" w:eastAsia="zh-CN"/>
        </w:rPr>
        <w:t>执行率达到100％</w:t>
      </w:r>
      <w:r>
        <w:rPr>
          <w:rFonts w:hint="eastAsia" w:ascii="仿宋_GB2312" w:hAns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snapToGrid w:val="0"/>
          <w:spacing w:val="0"/>
          <w:kern w:val="0"/>
          <w:sz w:val="32"/>
          <w:szCs w:val="32"/>
          <w:lang w:val="en-US" w:eastAsia="zh-CN"/>
        </w:rPr>
        <w:t>无资金结余和违规记录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（二）部门整体履职绩效分析</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部门开展的部门整体绩效监控的项目达到了预期效果，产生了较好的社会效益，对在绩效监控中发现的问题，单位及时提出了整改意见并限期整改落实。逐步改变了长期以来“重分配轻监管、重使用轻效益”的现象，有效减少和防止盲目用款、无效支出及盲目支出等行为的发生，使财政资金的运行更加合理高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我部门按要求开展2022年部门整体绩效监控情况来看，项目产出达到了预期的数量、质量、实效和成本指标，提高了社会效益，促进了可持续发展，从监控情况来看有关项目预算执行及时、有效，绩效目标得到较好实现，绩效管理水平不断提高，绩效指标体系建设逐渐丰富和完善，较为充分地反映了我部门的工作目标和任务。</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（三）结果应用情况</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我部门积极配合财政部门开展绩效评价工作，及时提供了准确、真实的相关资料，在规定的时限内向财政局报送了部门整体支出绩效评价自评报告。自评报告内容完整，手续齐全，各项评价指标明确。评价结论合理有据、客观公正，如实地体现了部门取得绩效与存在的问题。按财政要求将相关绩效信息随同决算同步公开。针对绩效管理过程中出现的问题，及时进行整改。同时在规定时间内向财政部门反馈应用绩效结果报告。</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楷体_GB2312" w:hAnsi="楷体_GB2312" w:eastAsia="楷体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rPr>
        <w:t>（四）自评质量</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部门整体自评得分98.63</w:t>
      </w:r>
      <w:bookmarkStart w:id="64" w:name="_GoBack"/>
      <w:bookmarkEnd w:id="64"/>
      <w:r>
        <w:rPr>
          <w:rFonts w:hint="eastAsia" w:ascii="仿宋_GB2312" w:hAnsi="仿宋_GB2312" w:eastAsia="仿宋_GB2312" w:cs="仿宋_GB2312"/>
          <w:color w:val="auto"/>
          <w:kern w:val="0"/>
          <w:sz w:val="32"/>
          <w:szCs w:val="32"/>
          <w:shd w:val="clear" w:color="auto" w:fill="FFFFFF"/>
          <w:lang w:val="en-US" w:eastAsia="zh-CN"/>
        </w:rPr>
        <w:t>分。</w:t>
      </w:r>
    </w:p>
    <w:p>
      <w:pPr>
        <w:keepNext w:val="0"/>
        <w:keepLines w:val="0"/>
        <w:pageBreakBefore w:val="0"/>
        <w:widowControl/>
        <w:kinsoku/>
        <w:wordWrap/>
        <w:overflowPunct/>
        <w:topLinePunct w:val="0"/>
        <w:autoSpaceDE w:val="0"/>
        <w:autoSpaceDN/>
        <w:bidi w:val="0"/>
        <w:adjustRightInd w:val="0"/>
        <w:snapToGrid w:val="0"/>
        <w:spacing w:line="700" w:lineRule="exact"/>
        <w:ind w:firstLine="640" w:firstLineChars="200"/>
        <w:contextualSpacing/>
        <w:jc w:val="both"/>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四、自评结论及建议</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（一）评价结论。</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sz w:val="32"/>
          <w:szCs w:val="32"/>
        </w:rPr>
        <w:t>根据预算绩效管理工作要求及安排</w:t>
      </w:r>
      <w:r>
        <w:rPr>
          <w:rFonts w:hint="eastAsia" w:ascii="仿宋_GB2312" w:hAnsi="仿宋_GB2312" w:eastAsia="仿宋_GB2312" w:cs="仿宋_GB2312"/>
          <w:color w:val="auto"/>
          <w:kern w:val="0"/>
          <w:sz w:val="32"/>
          <w:szCs w:val="32"/>
          <w:shd w:val="clear" w:color="auto" w:fill="FFFFFF"/>
          <w:lang w:val="en-US" w:eastAsia="zh-CN"/>
        </w:rPr>
        <w:t>，我部门全面完成各项目标任务。通过这些项目的实施，保障了局机关人员支出、项目实施，确保了单位正常运转。通过自评，2022年度部门整体评价等次为：优。</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（二）存在问题</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i w:val="0"/>
          <w:iCs w:val="0"/>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1.预算执行存在偏差。编制预算时难以精确预计，存在预算</w:t>
      </w:r>
      <w:r>
        <w:rPr>
          <w:rFonts w:hint="eastAsia" w:ascii="仿宋_GB2312" w:hAnsi="仿宋_GB2312" w:eastAsia="仿宋_GB2312" w:cs="仿宋_GB2312"/>
          <w:i w:val="0"/>
          <w:iCs w:val="0"/>
          <w:color w:val="auto"/>
          <w:kern w:val="0"/>
          <w:sz w:val="32"/>
          <w:szCs w:val="32"/>
          <w:shd w:val="clear" w:color="auto" w:fill="FFFFFF"/>
          <w:lang w:val="en-US" w:eastAsia="zh-CN"/>
        </w:rPr>
        <w:t>漏项年中追加情况，造成预算执行出现偏差现象。</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i w:val="0"/>
          <w:iCs w:val="0"/>
          <w:color w:val="auto"/>
          <w:kern w:val="0"/>
          <w:sz w:val="32"/>
          <w:szCs w:val="32"/>
          <w:shd w:val="clear" w:color="auto" w:fill="FFFFFF"/>
          <w:lang w:val="en-US" w:eastAsia="zh-CN"/>
        </w:rPr>
      </w:pPr>
      <w:r>
        <w:rPr>
          <w:rFonts w:hint="eastAsia" w:ascii="仿宋_GB2312" w:hAnsi="仿宋_GB2312" w:eastAsia="仿宋_GB2312" w:cs="仿宋_GB2312"/>
          <w:i w:val="0"/>
          <w:iCs w:val="0"/>
          <w:color w:val="auto"/>
          <w:kern w:val="0"/>
          <w:sz w:val="32"/>
          <w:szCs w:val="32"/>
          <w:shd w:val="clear" w:color="auto" w:fill="FFFFFF"/>
          <w:lang w:val="en-US" w:eastAsia="zh-CN"/>
        </w:rPr>
        <w:t>2.绩效目标设立不够明确、细化和量化。</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both"/>
        <w:textAlignment w:val="auto"/>
        <w:rPr>
          <w:rFonts w:hint="eastAsia"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（三）改进建议</w:t>
      </w:r>
    </w:p>
    <w:p>
      <w:pPr>
        <w:keepNext w:val="0"/>
        <w:keepLines w:val="0"/>
        <w:pageBreakBefore w:val="0"/>
        <w:widowControl/>
        <w:kinsoku/>
        <w:wordWrap/>
        <w:overflowPunct/>
        <w:topLinePunct w:val="0"/>
        <w:autoSpaceDE w:val="0"/>
        <w:autoSpaceDN/>
        <w:bidi w:val="0"/>
        <w:adjustRightInd w:val="0"/>
        <w:snapToGrid w:val="0"/>
        <w:spacing w:line="600" w:lineRule="exact"/>
        <w:ind w:firstLine="640" w:firstLineChars="200"/>
        <w:contextualSpacing/>
        <w:jc w:val="left"/>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1.进一步健全和完善财务管理制度及内部控制制度，创新管理手段，用新思路、新方法，改进完善财务管理方法。</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2.按照财政支出绩效管理的要求，建立科学的财政资金效益考评制度体系，不断提高财政资金使用管理的水平和效率。</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3.加强新行政单位会计制度和新预算法学习培训。加强新《预算法》《政府会计制度》等制度法规的学习培训，规范部门预算收支核算。一是制定和完善基本支出、项目支出等各项支出标准，严格按照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附表：部门预算项目支出绩效自评表（2022年度）</w:t>
      </w:r>
      <w:r>
        <w:rPr>
          <w:rFonts w:hint="eastAsia" w:ascii="仿宋_GB2312" w:hAnsi="仿宋_GB2312" w:eastAsia="仿宋_GB2312" w:cs="仿宋_GB2312"/>
          <w:color w:val="000000"/>
          <w:spacing w:val="1"/>
          <w:w w:val="70"/>
          <w:kern w:val="0"/>
          <w:sz w:val="32"/>
          <w:szCs w:val="32"/>
          <w:shd w:val="clear" w:color="auto" w:fill="FFFFFF"/>
          <w:fitText w:val="960" w:id="377581148"/>
          <w:lang w:eastAsia="zh-CN"/>
        </w:rPr>
        <w:t>（</w:t>
      </w:r>
      <w:r>
        <w:rPr>
          <w:rFonts w:hint="eastAsia" w:ascii="仿宋_GB2312" w:hAnsi="仿宋_GB2312" w:eastAsia="仿宋_GB2312" w:cs="仿宋_GB2312"/>
          <w:color w:val="000000"/>
          <w:spacing w:val="1"/>
          <w:w w:val="70"/>
          <w:kern w:val="0"/>
          <w:sz w:val="32"/>
          <w:szCs w:val="32"/>
          <w:shd w:val="clear" w:color="auto" w:fill="FFFFFF"/>
          <w:fitText w:val="960" w:id="377581148"/>
          <w:lang w:val="en-US" w:eastAsia="zh-CN"/>
        </w:rPr>
        <w:t>38张</w:t>
      </w:r>
      <w:r>
        <w:rPr>
          <w:rFonts w:hint="eastAsia" w:ascii="仿宋_GB2312" w:hAnsi="仿宋_GB2312" w:eastAsia="仿宋_GB2312" w:cs="仿宋_GB2312"/>
          <w:color w:val="000000"/>
          <w:spacing w:val="2"/>
          <w:w w:val="70"/>
          <w:kern w:val="0"/>
          <w:sz w:val="32"/>
          <w:szCs w:val="32"/>
          <w:shd w:val="clear" w:color="auto" w:fill="FFFFFF"/>
          <w:fitText w:val="960" w:id="377581148"/>
          <w:lang w:eastAsia="zh-CN"/>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w:t>
      </w:r>
    </w:p>
    <w:p>
      <w:pPr>
        <w:pStyle w:val="9"/>
        <w:ind w:left="0" w:leftChars="0" w:firstLine="0" w:firstLineChars="0"/>
        <w:rPr>
          <w:rFonts w:hint="eastAsia"/>
        </w:rPr>
      </w:pPr>
    </w:p>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仿宋_GB2312" w:hAnsi="宋体" w:eastAsia="仿宋_GB2312"/>
          <w:color w:val="auto"/>
          <w:sz w:val="32"/>
          <w:szCs w:val="32"/>
          <w:highlight w:val="none"/>
          <w:shd w:val="clear" w:color="auto" w:fill="FFFFFF"/>
        </w:rPr>
      </w:pPr>
    </w:p>
    <w:p>
      <w:pPr>
        <w:sectPr>
          <w:headerReference r:id="rId9" w:type="first"/>
          <w:footerReference r:id="rId11" w:type="first"/>
          <w:headerReference r:id="rId8" w:type="default"/>
          <w:footerReference r:id="rId10" w:type="default"/>
          <w:pgSz w:w="11906" w:h="16838"/>
          <w:pgMar w:top="1440" w:right="1800" w:bottom="1440" w:left="1800" w:header="851" w:footer="992" w:gutter="0"/>
          <w:pgNumType w:fmt="numberInDash" w:start="1"/>
          <w:cols w:space="425" w:num="1"/>
          <w:titlePg/>
          <w:docGrid w:type="lines" w:linePitch="312" w:charSpace="0"/>
        </w:sectPr>
      </w:pPr>
      <w:r>
        <w:rPr>
          <w:rFonts w:ascii="黑体" w:hAnsi="宋体" w:eastAsia="黑体" w:cs="宋体"/>
          <w:color w:val="auto"/>
          <w:kern w:val="0"/>
          <w:sz w:val="24"/>
          <w:szCs w:val="32"/>
          <w:highlight w:val="none"/>
          <w:shd w:val="clear" w:color="auto" w:fill="FFFFFF"/>
        </w:rPr>
        <w:br w:type="page"/>
      </w:r>
    </w:p>
    <w:tbl>
      <w:tblPr>
        <w:tblStyle w:val="20"/>
        <w:tblW w:w="15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1"/>
        <w:gridCol w:w="1839"/>
        <w:gridCol w:w="1073"/>
        <w:gridCol w:w="1324"/>
        <w:gridCol w:w="1029"/>
        <w:gridCol w:w="912"/>
        <w:gridCol w:w="956"/>
        <w:gridCol w:w="1617"/>
        <w:gridCol w:w="794"/>
        <w:gridCol w:w="795"/>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51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0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1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5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67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保障工资及时足额发放</w:t>
            </w:r>
            <w:r>
              <w:rPr>
                <w:rFonts w:hint="eastAsia" w:ascii="宋体" w:hAnsi="宋体" w:cs="宋体"/>
                <w:i w:val="0"/>
                <w:iCs w:val="0"/>
                <w:color w:val="000000"/>
                <w:kern w:val="0"/>
                <w:sz w:val="18"/>
                <w:szCs w:val="18"/>
                <w:u w:val="none"/>
                <w:lang w:val="en-US" w:eastAsia="zh-CN" w:bidi="ar"/>
              </w:rPr>
              <w:t>，保险及时足额缴纳，无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0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8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保障工资及时足额发放</w:t>
            </w:r>
            <w:r>
              <w:rPr>
                <w:rFonts w:hint="eastAsia" w:ascii="宋体" w:hAnsi="宋体" w:cs="宋体"/>
                <w:i w:val="0"/>
                <w:iCs w:val="0"/>
                <w:color w:val="000000"/>
                <w:kern w:val="0"/>
                <w:sz w:val="18"/>
                <w:szCs w:val="18"/>
                <w:u w:val="none"/>
                <w:lang w:val="en-US" w:eastAsia="zh-CN" w:bidi="ar"/>
              </w:rPr>
              <w:t>，保险及时足额缴纳，无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8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8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pStyle w:val="44"/>
        <w:widowControl/>
        <w:ind w:left="0" w:firstLine="0" w:firstLineChars="0"/>
        <w:rPr>
          <w:rFonts w:hint="eastAsia" w:ascii="仿宋_GB2312" w:hAnsi="仿宋_GB2312" w:eastAsia="仿宋_GB2312" w:cs="仿宋_GB2312"/>
          <w:kern w:val="0"/>
          <w:sz w:val="32"/>
          <w:szCs w:val="32"/>
          <w:lang w:val="en-US"/>
        </w:rPr>
      </w:pPr>
    </w:p>
    <w:p>
      <w:pPr>
        <w:pStyle w:val="44"/>
        <w:widowControl/>
        <w:ind w:left="0" w:firstLine="0" w:firstLineChars="0"/>
        <w:rPr>
          <w:rFonts w:hint="eastAsia" w:ascii="仿宋_GB2312" w:hAnsi="仿宋_GB2312" w:eastAsia="仿宋_GB2312" w:cs="仿宋_GB2312"/>
          <w:kern w:val="0"/>
          <w:sz w:val="32"/>
          <w:szCs w:val="32"/>
          <w:lang w:val="en-US"/>
        </w:rPr>
      </w:pPr>
    </w:p>
    <w:tbl>
      <w:tblPr>
        <w:tblStyle w:val="20"/>
        <w:tblW w:w="22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44"/>
        <w:gridCol w:w="74"/>
        <w:gridCol w:w="1683"/>
        <w:gridCol w:w="37"/>
        <w:gridCol w:w="30"/>
        <w:gridCol w:w="59"/>
        <w:gridCol w:w="956"/>
        <w:gridCol w:w="14"/>
        <w:gridCol w:w="309"/>
        <w:gridCol w:w="1912"/>
        <w:gridCol w:w="15"/>
        <w:gridCol w:w="14"/>
        <w:gridCol w:w="956"/>
        <w:gridCol w:w="809"/>
        <w:gridCol w:w="15"/>
        <w:gridCol w:w="985"/>
        <w:gridCol w:w="15"/>
        <w:gridCol w:w="882"/>
        <w:gridCol w:w="691"/>
        <w:gridCol w:w="5"/>
        <w:gridCol w:w="10"/>
        <w:gridCol w:w="8"/>
        <w:gridCol w:w="580"/>
        <w:gridCol w:w="68"/>
        <w:gridCol w:w="5"/>
        <w:gridCol w:w="560"/>
        <w:gridCol w:w="88"/>
        <w:gridCol w:w="14"/>
        <w:gridCol w:w="3398"/>
        <w:gridCol w:w="14"/>
        <w:gridCol w:w="15"/>
        <w:gridCol w:w="884"/>
        <w:gridCol w:w="220"/>
        <w:gridCol w:w="3486"/>
        <w:gridCol w:w="450"/>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776" w:hRule="atLeast"/>
        </w:trPr>
        <w:tc>
          <w:tcPr>
            <w:tcW w:w="1518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380" w:hRule="atLeast"/>
        </w:trPr>
        <w:tc>
          <w:tcPr>
            <w:tcW w:w="2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9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291" w:hRule="atLeast"/>
        </w:trPr>
        <w:tc>
          <w:tcPr>
            <w:tcW w:w="2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22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51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cs="宋体"/>
                <w:i w:val="0"/>
                <w:iCs w:val="0"/>
                <w:color w:val="000000"/>
                <w:kern w:val="0"/>
                <w:sz w:val="18"/>
                <w:szCs w:val="18"/>
                <w:u w:val="none"/>
                <w:lang w:val="en-US" w:eastAsia="zh-CN" w:bidi="ar"/>
              </w:rPr>
              <w:t>公务员2021年度考核优秀补助</w:t>
            </w:r>
            <w:r>
              <w:rPr>
                <w:rFonts w:ascii="宋体" w:hAnsi="宋体" w:eastAsia="宋体" w:cs="宋体"/>
                <w:i w:val="0"/>
                <w:iCs w:val="0"/>
                <w:color w:val="000000"/>
                <w:kern w:val="0"/>
                <w:sz w:val="18"/>
                <w:szCs w:val="18"/>
                <w:u w:val="none"/>
                <w:lang w:val="en-US" w:eastAsia="zh-CN" w:bidi="ar"/>
              </w:rPr>
              <w:t>及时、足额发放，预算编制科学合理，减少结余资金。</w:t>
            </w:r>
          </w:p>
        </w:tc>
        <w:tc>
          <w:tcPr>
            <w:tcW w:w="63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公务员2021年度考核优秀补助，无结余资金。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19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9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452"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38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10</w:t>
            </w:r>
          </w:p>
        </w:tc>
        <w:tc>
          <w:tcPr>
            <w:tcW w:w="3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33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34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34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iCs/>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454"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60</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2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w:t>
            </w:r>
          </w:p>
        </w:tc>
        <w:tc>
          <w:tcPr>
            <w:tcW w:w="16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ascii="宋体" w:hAnsi="宋体" w:eastAsia="宋体" w:cs="宋体"/>
                <w:i w:val="0"/>
                <w:iCs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267" w:hRule="atLeast"/>
        </w:trPr>
        <w:tc>
          <w:tcPr>
            <w:tcW w:w="10459"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379"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1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公务员2021年度考核优秀补助，无结余资金。自评得分100分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619" w:type="dxa"/>
          <w:trHeight w:val="272"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1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619" w:type="dxa"/>
          <w:trHeight w:val="302"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18"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6486" w:type="dxa"/>
          <w:trHeight w:val="55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2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68"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91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8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2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8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03"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633" w:type="dxa"/>
            <w:gridSpan w:val="7"/>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732" w:hRule="atLeast"/>
        </w:trPr>
        <w:tc>
          <w:tcPr>
            <w:tcW w:w="151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5"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73"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5"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70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w:t>
            </w:r>
            <w:r>
              <w:rPr>
                <w:rFonts w:hint="eastAsia" w:ascii="宋体" w:hAnsi="宋体" w:cs="宋体"/>
                <w:i w:val="0"/>
                <w:iCs w:val="0"/>
                <w:color w:val="000000"/>
                <w:kern w:val="0"/>
                <w:sz w:val="18"/>
                <w:szCs w:val="18"/>
                <w:u w:val="none"/>
                <w:lang w:val="en-US" w:eastAsia="zh-CN" w:bidi="ar"/>
              </w:rPr>
              <w:t>独生费</w:t>
            </w:r>
            <w:r>
              <w:rPr>
                <w:rFonts w:ascii="宋体" w:hAnsi="宋体" w:eastAsia="宋体" w:cs="宋体"/>
                <w:i w:val="0"/>
                <w:iCs w:val="0"/>
                <w:color w:val="000000"/>
                <w:kern w:val="0"/>
                <w:sz w:val="18"/>
                <w:szCs w:val="18"/>
                <w:u w:val="none"/>
                <w:lang w:val="en-US" w:eastAsia="zh-CN" w:bidi="ar"/>
              </w:rPr>
              <w:t>及时、足额发放，预算编制科学合理，减少结余资金。</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独生费，无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69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60"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87"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9</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32"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0.09</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09</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47"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02"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7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54"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1044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30"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独生费，无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58"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62"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5" w:hRule="atLeast"/>
        </w:trPr>
        <w:tc>
          <w:tcPr>
            <w:tcW w:w="9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3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71"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31" w:hRule="atLeast"/>
        </w:trPr>
        <w:tc>
          <w:tcPr>
            <w:tcW w:w="151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21"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70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及时发放、足额发放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69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60"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0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36.43</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36.43</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32"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36.43</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36.43</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1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7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7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90"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6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55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72" w:hRule="atLeast"/>
        </w:trPr>
        <w:tc>
          <w:tcPr>
            <w:tcW w:w="1044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26"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及时发放、足额发放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，无结余资金。自评得分100分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58"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33"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5" w:hRule="atLeast"/>
        </w:trPr>
        <w:tc>
          <w:tcPr>
            <w:tcW w:w="9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3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71"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750" w:hRule="atLeast"/>
        </w:trPr>
        <w:tc>
          <w:tcPr>
            <w:tcW w:w="151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9"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596"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严格执行相关政策，保障公务用车改革补贴及时、足额发放，预算编制科学合理，减少结余资金。</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及时、足额发放公务用车改革补贴，预算编制科学合理，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2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60"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5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9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47"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9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7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54"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5" w:hRule="atLeast"/>
        </w:trPr>
        <w:tc>
          <w:tcPr>
            <w:tcW w:w="1044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604"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及时、足额发放公务用车改革补贴，预算编制科学合理，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506"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16"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90" w:hRule="atLeast"/>
        </w:trPr>
        <w:tc>
          <w:tcPr>
            <w:tcW w:w="9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3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71"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00" w:hRule="atLeast"/>
        </w:trPr>
        <w:tc>
          <w:tcPr>
            <w:tcW w:w="151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w:t>
            </w:r>
            <w:r>
              <w:rPr>
                <w:rFonts w:hint="eastAsia" w:ascii="黑体" w:hAnsi="宋体" w:eastAsia="黑体" w:cs="黑体"/>
                <w:b/>
                <w:bCs/>
                <w:i w:val="0"/>
                <w:iCs w:val="0"/>
                <w:color w:val="FF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5"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51081221T000000111120-视频监察专用网络租赁费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9"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87"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65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5"/>
                <w:szCs w:val="15"/>
                <w:u w:val="none"/>
                <w:lang w:val="en-US" w:eastAsia="zh-CN" w:bidi="ar"/>
              </w:rPr>
              <w:t>确保视频效能监察系统安全、持续正常运行，视频监控范围主要涉及全区现原25个乡镇</w:t>
            </w:r>
            <w:r>
              <w:rPr>
                <w:rFonts w:hint="eastAsia" w:ascii="宋体" w:hAnsi="宋体" w:cs="宋体"/>
                <w:i w:val="0"/>
                <w:iCs w:val="0"/>
                <w:color w:val="000000"/>
                <w:kern w:val="0"/>
                <w:sz w:val="15"/>
                <w:szCs w:val="15"/>
                <w:u w:val="none"/>
                <w:lang w:val="en-US" w:eastAsia="zh-CN" w:bidi="ar"/>
              </w:rPr>
              <w:t>、</w:t>
            </w:r>
            <w:r>
              <w:rPr>
                <w:rFonts w:hint="eastAsia" w:ascii="宋体" w:hAnsi="宋体" w:eastAsia="宋体" w:cs="宋体"/>
                <w:i w:val="0"/>
                <w:iCs w:val="0"/>
                <w:color w:val="000000"/>
                <w:kern w:val="0"/>
                <w:sz w:val="15"/>
                <w:szCs w:val="15"/>
                <w:u w:val="none"/>
                <w:lang w:val="en-US" w:eastAsia="zh-CN" w:bidi="ar"/>
              </w:rPr>
              <w:t>2个部门分大厅和政务服务大厅。</w:t>
            </w:r>
            <w:r>
              <w:rPr>
                <w:rFonts w:ascii="宋体" w:hAnsi="宋体" w:eastAsia="宋体" w:cs="宋体"/>
                <w:i w:val="0"/>
                <w:iCs w:val="0"/>
                <w:color w:val="000000"/>
                <w:kern w:val="0"/>
                <w:sz w:val="15"/>
                <w:szCs w:val="15"/>
                <w:u w:val="none"/>
                <w:lang w:val="en-US" w:eastAsia="zh-CN" w:bidi="ar"/>
              </w:rPr>
              <w:t>费用为每月1</w:t>
            </w:r>
            <w:r>
              <w:rPr>
                <w:rFonts w:hint="eastAsia" w:ascii="宋体" w:hAnsi="宋体" w:cs="宋体"/>
                <w:i w:val="0"/>
                <w:iCs w:val="0"/>
                <w:color w:val="000000"/>
                <w:kern w:val="0"/>
                <w:sz w:val="15"/>
                <w:szCs w:val="15"/>
                <w:u w:val="none"/>
                <w:lang w:val="en-US" w:eastAsia="zh-CN" w:bidi="ar"/>
              </w:rPr>
              <w:t>.万元，</w:t>
            </w:r>
            <w:r>
              <w:rPr>
                <w:rFonts w:ascii="宋体" w:hAnsi="宋体" w:eastAsia="宋体" w:cs="宋体"/>
                <w:i w:val="0"/>
                <w:iCs w:val="0"/>
                <w:color w:val="000000"/>
                <w:kern w:val="0"/>
                <w:sz w:val="15"/>
                <w:szCs w:val="15"/>
                <w:u w:val="none"/>
                <w:lang w:val="en-US" w:eastAsia="zh-CN" w:bidi="ar"/>
              </w:rPr>
              <w:t>年费用共计20</w:t>
            </w:r>
            <w:r>
              <w:rPr>
                <w:rFonts w:hint="eastAsia" w:ascii="宋体" w:hAnsi="宋体" w:cs="宋体"/>
                <w:i w:val="0"/>
                <w:iCs w:val="0"/>
                <w:color w:val="000000"/>
                <w:kern w:val="0"/>
                <w:sz w:val="15"/>
                <w:szCs w:val="15"/>
                <w:u w:val="none"/>
                <w:lang w:val="en-US" w:eastAsia="zh-CN" w:bidi="ar"/>
              </w:rPr>
              <w:t>.</w:t>
            </w:r>
            <w:r>
              <w:rPr>
                <w:rFonts w:ascii="宋体" w:hAnsi="宋体" w:eastAsia="宋体" w:cs="宋体"/>
                <w:i w:val="0"/>
                <w:iCs w:val="0"/>
                <w:color w:val="000000"/>
                <w:kern w:val="0"/>
                <w:sz w:val="15"/>
                <w:szCs w:val="15"/>
                <w:u w:val="none"/>
                <w:lang w:val="en-US" w:eastAsia="zh-CN" w:bidi="ar"/>
              </w:rPr>
              <w:t>28</w:t>
            </w:r>
            <w:r>
              <w:rPr>
                <w:rFonts w:hint="eastAsia" w:ascii="宋体" w:hAnsi="宋体" w:cs="宋体"/>
                <w:i w:val="0"/>
                <w:iCs w:val="0"/>
                <w:color w:val="000000"/>
                <w:kern w:val="0"/>
                <w:sz w:val="15"/>
                <w:szCs w:val="15"/>
                <w:u w:val="none"/>
                <w:lang w:val="en-US" w:eastAsia="zh-CN" w:bidi="ar"/>
              </w:rPr>
              <w:t>万</w:t>
            </w:r>
            <w:r>
              <w:rPr>
                <w:rFonts w:ascii="宋体" w:hAnsi="宋体" w:eastAsia="宋体" w:cs="宋体"/>
                <w:i w:val="0"/>
                <w:iCs w:val="0"/>
                <w:color w:val="000000"/>
                <w:kern w:val="0"/>
                <w:sz w:val="15"/>
                <w:szCs w:val="15"/>
                <w:u w:val="none"/>
                <w:lang w:val="en-US" w:eastAsia="zh-CN" w:bidi="ar"/>
              </w:rPr>
              <w:t>元。</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确保窗口工作人员有严格的工作纪律作风、良好的服务态度，提高</w:t>
            </w:r>
            <w:r>
              <w:rPr>
                <w:rFonts w:hint="eastAsia" w:ascii="黑体" w:hAnsi="黑体" w:eastAsia="黑体" w:cs="黑体"/>
                <w:i w:val="0"/>
                <w:iCs w:val="0"/>
                <w:color w:val="000000"/>
                <w:sz w:val="18"/>
                <w:szCs w:val="18"/>
                <w:u w:val="none"/>
                <w:lang w:val="en-US" w:eastAsia="zh-CN"/>
              </w:rPr>
              <w:t>办事</w:t>
            </w:r>
            <w:r>
              <w:rPr>
                <w:rFonts w:hint="eastAsia" w:ascii="黑体" w:hAnsi="黑体" w:eastAsia="黑体" w:cs="黑体"/>
                <w:i w:val="0"/>
                <w:iCs w:val="0"/>
                <w:color w:val="000000"/>
                <w:sz w:val="18"/>
                <w:szCs w:val="18"/>
                <w:u w:val="none"/>
              </w:rPr>
              <w:t>服务质量和效率。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14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03"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7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9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7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73"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17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97"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9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原25个乡镇、3个部门大厅视频监察网络租赁</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28</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66"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保障服务大厅视频网络通畅</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视频黑屏的现象时有发生，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14"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2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月费用标准16900元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202800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202800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497"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保障工作人员良好的工作态度，提升服务质量和效率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良</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rPr>
              <w:t>视</w:t>
            </w:r>
            <w:r>
              <w:rPr>
                <w:rFonts w:hint="eastAsia" w:ascii="微软雅黑" w:hAnsi="微软雅黑" w:eastAsia="微软雅黑" w:cs="微软雅黑"/>
                <w:i w:val="0"/>
                <w:iCs w:val="0"/>
                <w:color w:val="000000"/>
                <w:sz w:val="15"/>
                <w:szCs w:val="15"/>
                <w:u w:val="none"/>
              </w:rPr>
              <w:t>频黑屏的现象时有发生，影响视频的正常使用。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大厅办事人员</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大厅工作人员</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37" w:hRule="atLeast"/>
        </w:trPr>
        <w:tc>
          <w:tcPr>
            <w:tcW w:w="1044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12"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确保窗口工作人员有严格的工作纪律作风、良好的服务态度，提高</w:t>
            </w:r>
            <w:r>
              <w:rPr>
                <w:rFonts w:hint="eastAsia" w:ascii="黑体" w:hAnsi="黑体" w:eastAsia="黑体" w:cs="黑体"/>
                <w:i w:val="0"/>
                <w:iCs w:val="0"/>
                <w:color w:val="000000"/>
                <w:sz w:val="18"/>
                <w:szCs w:val="18"/>
                <w:u w:val="none"/>
                <w:lang w:val="en-US" w:eastAsia="zh-CN"/>
              </w:rPr>
              <w:t>办事</w:t>
            </w:r>
            <w:r>
              <w:rPr>
                <w:rFonts w:hint="eastAsia" w:ascii="黑体" w:hAnsi="黑体" w:eastAsia="黑体" w:cs="黑体"/>
                <w:i w:val="0"/>
                <w:iCs w:val="0"/>
                <w:color w:val="000000"/>
                <w:sz w:val="18"/>
                <w:szCs w:val="18"/>
                <w:u w:val="none"/>
              </w:rPr>
              <w:t>服务质量和效率。</w:t>
            </w:r>
            <w:r>
              <w:rPr>
                <w:rFonts w:hint="eastAsia" w:ascii="黑体" w:hAnsi="黑体" w:eastAsia="黑体" w:cs="黑体"/>
                <w:i w:val="0"/>
                <w:iCs w:val="0"/>
                <w:color w:val="000000"/>
                <w:sz w:val="18"/>
                <w:szCs w:val="18"/>
                <w:u w:val="none"/>
                <w:lang w:val="en-US" w:eastAsia="zh-CN"/>
              </w:rPr>
              <w:t>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188"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视频黑屏的现象时有发生，影响视频的正常使用。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59"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故障响应时效有待提升，及时处理故障，保障视频监察系统网络运行稳定、应用系统使用正常。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90" w:hRule="atLeast"/>
        </w:trPr>
        <w:tc>
          <w:tcPr>
            <w:tcW w:w="9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3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71"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40" w:hRule="atLeast"/>
        </w:trPr>
        <w:tc>
          <w:tcPr>
            <w:tcW w:w="151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43"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51081221T000000111345-房屋租赁费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60" w:hRule="atLeast"/>
        </w:trPr>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73"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14"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11"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5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按“最多跑一次”改革相关要求，租赁办公用房742平方米，建交易服务大厅和自助服务大厅，实现24小时自助服务。　</w:t>
            </w:r>
          </w:p>
        </w:tc>
        <w:tc>
          <w:tcPr>
            <w:tcW w:w="632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群众和企业办事方便度、快捷度、办事效率更快更高。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14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38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60"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30"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7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02"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45"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22"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56" w:hRule="atLeast"/>
        </w:trPr>
        <w:tc>
          <w:tcPr>
            <w:tcW w:w="9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3"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租赁自助服务大厅及交易大厅</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742</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511"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建24小时自助服务区，方便办事群众和企业</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338"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2022年全年</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83"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根据合同约定，每年支付费用</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194400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194400</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481"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社会效益指标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实现24小时自助服务，极大的方便办事群众和企业</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w:t>
            </w:r>
          </w:p>
        </w:tc>
        <w:tc>
          <w:tcPr>
            <w:tcW w:w="6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自主服务区利用率有待提高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229" w:hRule="atLeast"/>
        </w:trPr>
        <w:tc>
          <w:tcPr>
            <w:tcW w:w="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窗口和</w:t>
            </w:r>
            <w:r>
              <w:rPr>
                <w:rFonts w:ascii="宋体" w:hAnsi="宋体" w:eastAsia="宋体" w:cs="宋体"/>
                <w:i w:val="0"/>
                <w:iCs w:val="0"/>
                <w:color w:val="000000"/>
                <w:kern w:val="0"/>
                <w:sz w:val="18"/>
                <w:szCs w:val="18"/>
                <w:u w:val="none"/>
                <w:lang w:val="en-US" w:eastAsia="zh-CN" w:bidi="ar"/>
              </w:rPr>
              <w:t>办事人员</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73"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71"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w:t>
            </w:r>
          </w:p>
        </w:tc>
        <w:tc>
          <w:tcPr>
            <w:tcW w:w="667"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126" w:hRule="atLeast"/>
        </w:trPr>
        <w:tc>
          <w:tcPr>
            <w:tcW w:w="10449" w:type="dxa"/>
            <w:gridSpan w:val="21"/>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71"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6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605" w:type="dxa"/>
          <w:trHeight w:val="237"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群众和企业办事方便度、快捷度、办事效率更快更高。</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90"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自主服务区利用率有待提高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605" w:type="dxa"/>
          <w:trHeight w:val="330" w:hRule="atLeast"/>
        </w:trPr>
        <w:tc>
          <w:tcPr>
            <w:tcW w:w="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06"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sz w:val="18"/>
                <w:szCs w:val="18"/>
                <w:u w:val="none"/>
                <w:lang w:val="en-US" w:eastAsia="zh-CN"/>
              </w:rPr>
              <w:t>进一步为</w:t>
            </w:r>
            <w:r>
              <w:rPr>
                <w:rFonts w:hint="eastAsia" w:ascii="黑体" w:hAnsi="黑体" w:eastAsia="黑体" w:cs="黑体"/>
                <w:i w:val="0"/>
                <w:iCs w:val="0"/>
                <w:color w:val="000000"/>
                <w:sz w:val="18"/>
                <w:szCs w:val="18"/>
                <w:u w:val="none"/>
              </w:rPr>
              <w:t>群众和企业办</w:t>
            </w:r>
            <w:r>
              <w:rPr>
                <w:rFonts w:hint="eastAsia" w:ascii="黑体" w:hAnsi="黑体" w:eastAsia="黑体" w:cs="黑体"/>
                <w:i w:val="0"/>
                <w:iCs w:val="0"/>
                <w:color w:val="000000"/>
                <w:sz w:val="18"/>
                <w:szCs w:val="18"/>
                <w:u w:val="none"/>
                <w:lang w:val="en-US" w:eastAsia="zh-CN"/>
              </w:rPr>
              <w:t>提供高效率、高质量的服务。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83"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3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332" w:type="dxa"/>
            <w:gridSpan w:val="1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67"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51081221T000000111429-保安、保洁费用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04"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8"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626"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确保保安做好防火、防盗、防泄密等安保工作，保洁做好办公用房室内保洁、消杀灭、开标会议服务等工作</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聘请保安2人、保洁3人，共计17</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万</w:t>
            </w:r>
            <w:r>
              <w:rPr>
                <w:rFonts w:ascii="宋体" w:hAnsi="宋体" w:eastAsia="宋体" w:cs="宋体"/>
                <w:i w:val="0"/>
                <w:iCs w:val="0"/>
                <w:color w:val="000000"/>
                <w:kern w:val="0"/>
                <w:sz w:val="18"/>
                <w:szCs w:val="18"/>
                <w:u w:val="none"/>
                <w:lang w:val="en-US" w:eastAsia="zh-CN" w:bidi="ar"/>
              </w:rPr>
              <w:t>元。</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rPr>
              <w:t>为窗口人员及办事群众提供安全舒适整洁的环境。</w:t>
            </w:r>
            <w:r>
              <w:rPr>
                <w:rFonts w:hint="eastAsia" w:ascii="黑体" w:hAnsi="黑体" w:eastAsia="黑体" w:cs="黑体"/>
                <w:i w:val="0"/>
                <w:iCs w:val="0"/>
                <w:color w:val="000000"/>
                <w:sz w:val="18"/>
                <w:szCs w:val="18"/>
                <w:u w:val="none"/>
                <w:lang w:val="en-US" w:eastAsia="zh-CN"/>
              </w:rPr>
              <w:t>支付费用17.5万元。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55"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60"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16"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60"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90"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4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73"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39"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26"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根据大厅实际，核定保安保洁人数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1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保障政务大厅安全、整洁、有序运行</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保安保洁对可能存在的安全隐患有时预估不足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7"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3.5万元/人.年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175000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175000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54"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为窗口人员及办事群众提供舒适环境</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好</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保安保洁对可能存在的安全隐患有时预估不足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4"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大厅办事人员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大厅工作人员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firstLine="180" w:firstLineChars="10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97</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0"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为窗口人员及办事群众提供安全舒适整洁的环境</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56"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保安保洁对可能存在的安全隐患预估不足。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48"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5"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进一步加强对保洁保安的服务、礼仪、安全等方面的培训。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9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01"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6"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23"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51081221T000000111618-物业管理费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08"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1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为我单位办公用房提供维修、保洁、绿化、安保等综合服务的一体化物业管理，给我单位工作人员提供安全、文明、优美、舒适的办公环境。</w:t>
            </w:r>
            <w:r>
              <w:rPr>
                <w:rFonts w:ascii="宋体" w:hAnsi="宋体" w:eastAsia="宋体" w:cs="宋体"/>
                <w:i w:val="0"/>
                <w:iCs w:val="0"/>
                <w:color w:val="000000"/>
                <w:kern w:val="0"/>
                <w:sz w:val="18"/>
                <w:szCs w:val="18"/>
                <w:u w:val="none"/>
                <w:lang w:val="en-US" w:eastAsia="zh-CN" w:bidi="ar"/>
              </w:rPr>
              <w:t>房屋物业管理费，每月1.6元/平方米，共3792平方米，年需费用72800元</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rPr>
              <w:t>依据《物业服务收费管理办法》规定的标准缴纳物业管理费，该公司各项物业管理工作都能顺利开展，</w:t>
            </w:r>
            <w:r>
              <w:rPr>
                <w:rFonts w:hint="eastAsia" w:ascii="黑体" w:hAnsi="黑体" w:eastAsia="黑体" w:cs="黑体"/>
                <w:i w:val="0"/>
                <w:iCs w:val="0"/>
                <w:color w:val="000000"/>
                <w:sz w:val="18"/>
                <w:szCs w:val="18"/>
                <w:u w:val="none"/>
                <w:lang w:val="en-US" w:eastAsia="zh-CN"/>
              </w:rPr>
              <w:t>支付7万元。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6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05"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8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3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9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中心共用办公及业务用房面积</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3792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保障办公场所整洁、安全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2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0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按照单价1.6元/平方米计算全年费用。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7000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6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办公场所整洁、安全管理</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大厅办事人员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8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大厅工作人员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rPr>
              <w:t>从办公环境和基础设施上保证了各项工作、活动的正常开展，</w:t>
            </w:r>
            <w:r>
              <w:rPr>
                <w:rFonts w:hint="eastAsia" w:ascii="微软雅黑" w:hAnsi="微软雅黑" w:eastAsia="微软雅黑" w:cs="微软雅黑"/>
                <w:i/>
                <w:iCs/>
                <w:color w:val="000000"/>
                <w:sz w:val="16"/>
                <w:szCs w:val="16"/>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00"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我单位在现有的基础上，与小区物业管理公司加强沟通协调，不断提高物业管理水平。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40"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8"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51081221T000000111645-水费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23"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88"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83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5"/>
                <w:szCs w:val="15"/>
                <w:u w:val="none"/>
                <w:lang w:val="en-US" w:eastAsia="zh-CN" w:bidi="ar"/>
              </w:rPr>
              <w:t>按实按时缴纳水费，确保政务大厅28个窗口113名窗口工作人员及办事群众的桶装水饮用和自来水使用。</w:t>
            </w:r>
            <w:r>
              <w:rPr>
                <w:rFonts w:ascii="宋体" w:hAnsi="宋体" w:eastAsia="宋体" w:cs="宋体"/>
                <w:i w:val="0"/>
                <w:iCs w:val="0"/>
                <w:color w:val="000000"/>
                <w:kern w:val="0"/>
                <w:sz w:val="15"/>
                <w:szCs w:val="15"/>
                <w:u w:val="none"/>
                <w:lang w:val="en-US" w:eastAsia="zh-CN" w:bidi="ar"/>
              </w:rPr>
              <w:t>自来水按每月320吨计算，月需320吨，按3.2元每顿计算，需12300元，饮用水每周50桶，年54周，每桶12元，需32400元，共计44700元。</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rPr>
              <w:t>保障正常用水，打造整洁敞亮的办公环境，为办事群众和企业提供更高的服务。</w:t>
            </w:r>
            <w:r>
              <w:rPr>
                <w:rFonts w:hint="eastAsia" w:ascii="黑体" w:hAnsi="黑体" w:eastAsia="黑体" w:cs="黑体"/>
                <w:i w:val="0"/>
                <w:iCs w:val="0"/>
                <w:color w:val="000000"/>
                <w:sz w:val="18"/>
                <w:szCs w:val="18"/>
                <w:u w:val="none"/>
                <w:lang w:val="en-US" w:eastAsia="zh-CN"/>
              </w:rPr>
              <w:t>支付费用4万元。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7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7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5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0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3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67"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自来水消耗</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255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3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购桶装水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2500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保障大厅水质安全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好</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偶有换水不及时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4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9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桶装水12元/桶</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30000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6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自来水3.6元/吨</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提供舒适环境和正常饮用水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存在浪费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大厅工作人员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大厅办事人员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3"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90"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rPr>
              <w:t>保障正常用水，打造整洁敞亮的办公环境，为办事群众和企业提供更高的服务。</w:t>
            </w:r>
            <w:r>
              <w:rPr>
                <w:rFonts w:hint="eastAsia" w:ascii="微软雅黑" w:hAnsi="微软雅黑" w:eastAsia="微软雅黑" w:cs="微软雅黑"/>
                <w:i w:val="0"/>
                <w:iCs w:val="0"/>
                <w:color w:val="000000"/>
                <w:sz w:val="16"/>
                <w:szCs w:val="16"/>
                <w:u w:val="none"/>
                <w:lang w:val="en-US" w:eastAsia="zh-CN"/>
              </w:rPr>
              <w:t>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106"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3"/>
                <w:szCs w:val="13"/>
                <w:u w:val="none"/>
                <w:lang w:val="en-US" w:eastAsia="zh-CN"/>
              </w:rPr>
              <w:t>一是</w:t>
            </w:r>
            <w:r>
              <w:rPr>
                <w:rFonts w:hint="eastAsia" w:ascii="微软雅黑" w:hAnsi="微软雅黑" w:eastAsia="微软雅黑" w:cs="微软雅黑"/>
                <w:i w:val="0"/>
                <w:iCs w:val="0"/>
                <w:color w:val="000000"/>
                <w:sz w:val="13"/>
                <w:szCs w:val="13"/>
                <w:u w:val="none"/>
              </w:rPr>
              <w:t>桶装水方面：办事群众到大厅办事流动性快，在桶装饮用水方面存在浪费性较大</w:t>
            </w:r>
            <w:r>
              <w:rPr>
                <w:rFonts w:hint="eastAsia" w:ascii="微软雅黑" w:hAnsi="微软雅黑" w:eastAsia="微软雅黑" w:cs="微软雅黑"/>
                <w:i w:val="0"/>
                <w:iCs w:val="0"/>
                <w:color w:val="000000"/>
                <w:sz w:val="13"/>
                <w:szCs w:val="13"/>
                <w:u w:val="none"/>
                <w:lang w:val="en-US" w:eastAsia="zh-CN"/>
              </w:rPr>
              <w:t>和换水不及时</w:t>
            </w:r>
            <w:r>
              <w:rPr>
                <w:rFonts w:hint="eastAsia" w:ascii="微软雅黑" w:hAnsi="微软雅黑" w:eastAsia="微软雅黑" w:cs="微软雅黑"/>
                <w:i w:val="0"/>
                <w:iCs w:val="0"/>
                <w:color w:val="000000"/>
                <w:sz w:val="13"/>
                <w:szCs w:val="13"/>
                <w:u w:val="none"/>
              </w:rPr>
              <w:t>。</w:t>
            </w:r>
            <w:r>
              <w:rPr>
                <w:rFonts w:hint="eastAsia" w:ascii="微软雅黑" w:hAnsi="微软雅黑" w:eastAsia="微软雅黑" w:cs="微软雅黑"/>
                <w:i w:val="0"/>
                <w:iCs w:val="0"/>
                <w:color w:val="000000"/>
                <w:sz w:val="13"/>
                <w:szCs w:val="13"/>
                <w:u w:val="none"/>
                <w:lang w:val="en-US" w:eastAsia="zh-CN"/>
              </w:rPr>
              <w:t>二是</w:t>
            </w:r>
            <w:r>
              <w:rPr>
                <w:rFonts w:hint="eastAsia" w:ascii="微软雅黑" w:hAnsi="微软雅黑" w:eastAsia="微软雅黑" w:cs="微软雅黑"/>
                <w:i w:val="0"/>
                <w:iCs w:val="0"/>
                <w:color w:val="000000"/>
                <w:sz w:val="13"/>
                <w:szCs w:val="13"/>
                <w:u w:val="none"/>
              </w:rPr>
              <w:t>自来水方面：大厅洗手间冲水马桶按钮有时失灵，部分使用人员缺乏耐心，导致自来水长时间不停流失，存在一定的浪费。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161"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加强对大厅节约用水的宣传，确保办公水费逐年下降。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08"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40"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51081221T000000111759-大厅网络租赁费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18"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70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　</w:t>
            </w:r>
            <w:r>
              <w:rPr>
                <w:rFonts w:hint="eastAsia" w:ascii="宋体" w:hAnsi="宋体" w:eastAsia="宋体" w:cs="宋体"/>
                <w:i w:val="0"/>
                <w:iCs w:val="0"/>
                <w:color w:val="000000"/>
                <w:kern w:val="0"/>
                <w:sz w:val="15"/>
                <w:szCs w:val="15"/>
                <w:u w:val="none"/>
                <w:lang w:val="en-US" w:eastAsia="zh-CN" w:bidi="ar"/>
              </w:rPr>
              <w:t>确保政务服务大厅办公网络系统安全、高效、持续正常运行。</w:t>
            </w:r>
            <w:r>
              <w:rPr>
                <w:rFonts w:ascii="宋体" w:hAnsi="宋体" w:eastAsia="宋体" w:cs="宋体"/>
                <w:i w:val="0"/>
                <w:iCs w:val="0"/>
                <w:color w:val="000000"/>
                <w:kern w:val="0"/>
                <w:sz w:val="15"/>
                <w:szCs w:val="15"/>
                <w:u w:val="none"/>
                <w:lang w:val="en-US" w:eastAsia="zh-CN" w:bidi="ar"/>
              </w:rPr>
              <w:t>互联网费104台*40元/台.月*12=49920，党政网600元/月*12月=7200元，共计57000元.</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rPr>
              <w:t>保证网络安全，提升政务服务水平，更好地服务群众。</w:t>
            </w:r>
            <w:r>
              <w:rPr>
                <w:rFonts w:hint="eastAsia" w:ascii="黑体" w:hAnsi="黑体" w:eastAsia="黑体" w:cs="黑体"/>
                <w:i w:val="0"/>
                <w:iCs w:val="0"/>
                <w:color w:val="000000"/>
                <w:sz w:val="18"/>
                <w:szCs w:val="18"/>
                <w:u w:val="none"/>
                <w:lang w:val="en-US" w:eastAsia="zh-CN"/>
              </w:rPr>
              <w:t>支付费用5万元。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6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6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1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7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2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3"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政务大厅网络租赁</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104</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2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便捷为民办事程序，提升服务效率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好坏</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良</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3"/>
                <w:szCs w:val="13"/>
                <w:u w:val="none"/>
              </w:rPr>
              <w:t>网络故障偶有发生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55"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41"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大厅电脑40元/台.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3"/>
                <w:szCs w:val="13"/>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更便捷地为民服务</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3"/>
                <w:szCs w:val="13"/>
                <w:u w:val="none"/>
              </w:rPr>
              <w:t>网络故障给大厅的正常办公带来一定影响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服务对象满意度指标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大厅办事人员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大厅工作人员</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98"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val="0"/>
                <w:iCs w:val="0"/>
                <w:color w:val="000000"/>
                <w:sz w:val="16"/>
                <w:szCs w:val="16"/>
                <w:u w:val="none"/>
                <w:lang w:val="en-US" w:eastAsia="zh-CN"/>
              </w:rPr>
            </w:pPr>
            <w:r>
              <w:rPr>
                <w:rFonts w:hint="eastAsia" w:ascii="黑体" w:hAnsi="黑体" w:eastAsia="黑体" w:cs="黑体"/>
                <w:i w:val="0"/>
                <w:iCs w:val="0"/>
                <w:color w:val="000000"/>
                <w:sz w:val="18"/>
                <w:szCs w:val="18"/>
                <w:u w:val="none"/>
              </w:rPr>
              <w:t>保证网络安全，提升政务服务水平，更好地服务群众。</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17"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网络故障偶有发生，给大厅的正常办公带来一定影响。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97"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5"/>
                <w:szCs w:val="15"/>
                <w:u w:val="none"/>
              </w:rPr>
              <w:t>1、故障响应时效有待提升。需继续完善故障处理机制，能及时处理故障情况，保障网络运行稳定、系统使用正常。2、项目后期维护管理有待加强。定期对网络系统进行巡检，跟踪网络运行情况，进一步提高网络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3"/>
                <w:szCs w:val="13"/>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50"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63"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2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3"/>
                <w:szCs w:val="13"/>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color w:val="000000"/>
                <w:kern w:val="0"/>
                <w:sz w:val="15"/>
                <w:szCs w:val="15"/>
                <w:lang w:val="en-US" w:eastAsia="zh-CN" w:bidi="ar"/>
              </w:rPr>
              <w:t>保证金财网安全、正常运行，确保单位的各项费用及时、准确支付到位，为单位各项工作正常开展提供最基本的保障，年费用0.24万无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1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4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9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60"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66"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12"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93"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705"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22</w:t>
            </w:r>
            <w:r>
              <w:rPr>
                <w:rFonts w:ascii="宋体" w:hAnsi="宋体" w:eastAsia="宋体" w:cs="宋体"/>
                <w:i w:val="0"/>
                <w:iCs w:val="0"/>
                <w:color w:val="000000"/>
                <w:kern w:val="0"/>
                <w:sz w:val="18"/>
                <w:szCs w:val="18"/>
                <w:u w:val="none"/>
                <w:lang w:val="en-US" w:eastAsia="zh-CN" w:bidi="ar"/>
              </w:rPr>
              <w:t>.5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90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“三公经费”控制率[计算方法为：（三公经费实际支出数/预算安排数]×100%）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8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21.5</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rPr>
              <w:t>偶有网络故障发生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29"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hint="eastAsia" w:ascii="宋体" w:hAnsi="宋体" w:eastAsia="宋体" w:cs="宋体"/>
                <w:color w:val="000000"/>
                <w:kern w:val="0"/>
                <w:sz w:val="15"/>
                <w:szCs w:val="15"/>
                <w:lang w:val="en-US" w:eastAsia="zh-CN" w:bidi="ar"/>
              </w:rPr>
              <w:t>保证金财网安全、正常运行，确保单位的各项费用及时、准确支付到位，为单位各项工作正常开展提供最基本的保障</w:t>
            </w:r>
            <w:r>
              <w:rPr>
                <w:rFonts w:hint="eastAsia" w:ascii="宋体" w:hAnsi="宋体" w:cs="宋体"/>
                <w:color w:val="000000"/>
                <w:kern w:val="0"/>
                <w:sz w:val="15"/>
                <w:szCs w:val="15"/>
                <w:lang w:val="en-US" w:eastAsia="zh-CN" w:bidi="ar"/>
              </w:rPr>
              <w:t>，自评总分99分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14"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rPr>
              <w:t>偶有网络故障发生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74"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提高</w:t>
            </w:r>
            <w:r>
              <w:rPr>
                <w:rFonts w:hint="eastAsia" w:ascii="微软雅黑" w:hAnsi="微软雅黑" w:eastAsia="微软雅黑" w:cs="微软雅黑"/>
                <w:i w:val="0"/>
                <w:iCs w:val="0"/>
                <w:color w:val="000000"/>
                <w:sz w:val="16"/>
                <w:szCs w:val="16"/>
                <w:u w:val="none"/>
              </w:rPr>
              <w:t>故障</w:t>
            </w:r>
            <w:r>
              <w:rPr>
                <w:rFonts w:hint="eastAsia" w:ascii="微软雅黑" w:hAnsi="微软雅黑" w:eastAsia="微软雅黑" w:cs="微软雅黑"/>
                <w:i w:val="0"/>
                <w:iCs w:val="0"/>
                <w:color w:val="000000"/>
                <w:sz w:val="16"/>
                <w:szCs w:val="16"/>
                <w:u w:val="none"/>
                <w:lang w:val="en-US" w:eastAsia="zh-CN"/>
              </w:rPr>
              <w:t>处理及时性</w:t>
            </w:r>
            <w:r>
              <w:rPr>
                <w:rFonts w:hint="eastAsia" w:ascii="微软雅黑" w:hAnsi="微软雅黑" w:eastAsia="微软雅黑" w:cs="微软雅黑"/>
                <w:i w:val="0"/>
                <w:iCs w:val="0"/>
                <w:color w:val="000000"/>
                <w:sz w:val="16"/>
                <w:szCs w:val="16"/>
                <w:u w:val="none"/>
              </w:rPr>
              <w:t>，</w:t>
            </w:r>
            <w:r>
              <w:rPr>
                <w:rFonts w:hint="eastAsia" w:ascii="微软雅黑" w:hAnsi="微软雅黑" w:eastAsia="微软雅黑" w:cs="微软雅黑"/>
                <w:i w:val="0"/>
                <w:iCs w:val="0"/>
                <w:color w:val="000000"/>
                <w:sz w:val="16"/>
                <w:szCs w:val="16"/>
                <w:u w:val="none"/>
                <w:lang w:val="en-US" w:eastAsia="zh-CN"/>
              </w:rPr>
              <w:t>确保</w:t>
            </w:r>
            <w:r>
              <w:rPr>
                <w:rFonts w:hint="eastAsia" w:ascii="微软雅黑" w:hAnsi="微软雅黑" w:eastAsia="微软雅黑" w:cs="微软雅黑"/>
                <w:i w:val="0"/>
                <w:iCs w:val="0"/>
                <w:color w:val="000000"/>
                <w:sz w:val="16"/>
                <w:szCs w:val="16"/>
                <w:u w:val="none"/>
              </w:rPr>
              <w:t>网络运行稳定、系统使用正常。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67"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48"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70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足额发放</w:t>
            </w:r>
            <w:r>
              <w:rPr>
                <w:rFonts w:hint="eastAsia" w:ascii="宋体" w:hAnsi="宋体" w:cs="宋体"/>
                <w:i w:val="0"/>
                <w:iCs w:val="0"/>
                <w:color w:val="000000"/>
                <w:kern w:val="0"/>
                <w:sz w:val="18"/>
                <w:szCs w:val="18"/>
                <w:u w:val="none"/>
                <w:lang w:val="en-US" w:eastAsia="zh-CN" w:bidi="ar"/>
              </w:rPr>
              <w:t>工资，</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5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37.91</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47.43</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47.43</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3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37.91</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47.43</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47.43</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4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0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7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54"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62"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03"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92"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90"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514"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70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69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8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87.87</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87.87</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3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81.37</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87.87</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87.87</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4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0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7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54"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46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15"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及时足额发放</w:t>
            </w:r>
            <w:r>
              <w:rPr>
                <w:rFonts w:hint="eastAsia" w:ascii="宋体" w:hAnsi="宋体" w:cs="宋体"/>
                <w:i w:val="0"/>
                <w:iCs w:val="0"/>
                <w:color w:val="000000"/>
                <w:kern w:val="0"/>
                <w:sz w:val="18"/>
                <w:szCs w:val="18"/>
                <w:u w:val="none"/>
                <w:lang w:val="en-US" w:eastAsia="zh-CN" w:bidi="ar"/>
              </w:rPr>
              <w:t>工资</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14"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03"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96"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41"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904" w:hRule="atLeast"/>
        </w:trPr>
        <w:tc>
          <w:tcPr>
            <w:tcW w:w="15209"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514" w:hRule="atLeast"/>
        </w:trPr>
        <w:tc>
          <w:tcPr>
            <w:tcW w:w="27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96" w:type="dxa"/>
            <w:gridSpan w:val="5"/>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7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285"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70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694"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6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60"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8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6.04</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8.62</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8.62</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3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6.04</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8.62</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8.62</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47"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402"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79"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454" w:hRule="atLeast"/>
        </w:trPr>
        <w:tc>
          <w:tcPr>
            <w:tcW w:w="10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60</w:t>
            </w:r>
          </w:p>
        </w:tc>
        <w:tc>
          <w:tcPr>
            <w:tcW w:w="34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38" w:hRule="atLeast"/>
        </w:trPr>
        <w:tc>
          <w:tcPr>
            <w:tcW w:w="10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30</w:t>
            </w:r>
          </w:p>
        </w:tc>
        <w:tc>
          <w:tcPr>
            <w:tcW w:w="344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706" w:type="dxa"/>
          <w:trHeight w:val="285" w:hRule="atLeast"/>
        </w:trPr>
        <w:tc>
          <w:tcPr>
            <w:tcW w:w="9753"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3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4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84" w:type="dxa"/>
            <w:tcBorders>
              <w:top w:val="nil"/>
              <w:left w:val="single" w:color="auto"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590" w:type="dxa"/>
          <w:trHeight w:val="359"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147" w:type="dxa"/>
            <w:gridSpan w:val="29"/>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99"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7590" w:type="dxa"/>
          <w:trHeight w:val="285" w:hRule="atLeast"/>
        </w:trPr>
        <w:tc>
          <w:tcPr>
            <w:tcW w:w="10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1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6706" w:type="dxa"/>
          <w:trHeight w:val="285" w:hRule="atLeast"/>
        </w:trPr>
        <w:tc>
          <w:tcPr>
            <w:tcW w:w="106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8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8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64"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5"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362"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3"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325"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pStyle w:val="44"/>
        <w:widowControl/>
        <w:ind w:left="0" w:firstLine="0" w:firstLineChars="0"/>
        <w:rPr>
          <w:rFonts w:hint="eastAsia" w:ascii="仿宋_GB2312" w:hAnsi="仿宋_GB2312" w:eastAsia="仿宋_GB2312" w:cs="仿宋_GB2312"/>
          <w:kern w:val="0"/>
          <w:sz w:val="32"/>
          <w:szCs w:val="32"/>
          <w:lang w:val="en-US"/>
        </w:rPr>
      </w:pPr>
    </w:p>
    <w:tbl>
      <w:tblPr>
        <w:tblStyle w:val="20"/>
        <w:tblW w:w="23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30"/>
        <w:gridCol w:w="14"/>
        <w:gridCol w:w="1834"/>
        <w:gridCol w:w="1005"/>
        <w:gridCol w:w="210"/>
        <w:gridCol w:w="2069"/>
        <w:gridCol w:w="15"/>
        <w:gridCol w:w="14"/>
        <w:gridCol w:w="927"/>
        <w:gridCol w:w="15"/>
        <w:gridCol w:w="794"/>
        <w:gridCol w:w="14"/>
        <w:gridCol w:w="1015"/>
        <w:gridCol w:w="15"/>
        <w:gridCol w:w="15"/>
        <w:gridCol w:w="1617"/>
        <w:gridCol w:w="44"/>
        <w:gridCol w:w="589"/>
        <w:gridCol w:w="14"/>
        <w:gridCol w:w="15"/>
        <w:gridCol w:w="627"/>
        <w:gridCol w:w="3388"/>
        <w:gridCol w:w="5"/>
        <w:gridCol w:w="9"/>
        <w:gridCol w:w="15"/>
        <w:gridCol w:w="5"/>
        <w:gridCol w:w="1408"/>
        <w:gridCol w:w="3180"/>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69" w:hRule="atLeast"/>
        </w:trPr>
        <w:tc>
          <w:tcPr>
            <w:tcW w:w="1522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0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47"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285"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709"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694"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0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60"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87"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12.89</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14.34</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14.34</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3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12.89</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14.34</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14.34</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447"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40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79"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454"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3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3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285" w:hRule="atLeast"/>
        </w:trPr>
        <w:tc>
          <w:tcPr>
            <w:tcW w:w="105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17"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03"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23"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285" w:hRule="atLeast"/>
        </w:trPr>
        <w:tc>
          <w:tcPr>
            <w:tcW w:w="9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47"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38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904" w:hRule="atLeast"/>
        </w:trPr>
        <w:tc>
          <w:tcPr>
            <w:tcW w:w="1522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0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47"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285"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709"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7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694"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0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60"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87"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43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2.88</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47"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02"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79"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454" w:hRule="atLeast"/>
        </w:trPr>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3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38" w:hRule="atLeast"/>
        </w:trPr>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38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592" w:type="dxa"/>
          <w:trHeight w:val="285" w:hRule="atLeast"/>
        </w:trPr>
        <w:tc>
          <w:tcPr>
            <w:tcW w:w="105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393" w:type="dxa"/>
            <w:gridSpan w:val="2"/>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437" w:type="dxa"/>
            <w:gridSpan w:val="4"/>
            <w:tcBorders>
              <w:top w:val="nil"/>
              <w:left w:val="single" w:color="auto" w:sz="4" w:space="0"/>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44"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80" w:type="dxa"/>
            <w:gridSpan w:val="2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034" w:type="dxa"/>
          <w:trHeight w:val="387"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8034" w:type="dxa"/>
          <w:trHeight w:val="329" w:hRule="atLeast"/>
        </w:trPr>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592" w:type="dxa"/>
          <w:trHeight w:val="285" w:hRule="atLeast"/>
        </w:trPr>
        <w:tc>
          <w:tcPr>
            <w:tcW w:w="94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7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2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47"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830"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904" w:hRule="atLeast"/>
        </w:trPr>
        <w:tc>
          <w:tcPr>
            <w:tcW w:w="152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2"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70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694"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60"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8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6.44</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7.05</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7.05</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43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6.44</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7.05</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7.05</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4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0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7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52"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285" w:hRule="atLeast"/>
        </w:trPr>
        <w:tc>
          <w:tcPr>
            <w:tcW w:w="105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403"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社保及时足额缴纳，预算编制科学合理，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02"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74"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97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8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733" w:hRule="atLeast"/>
        </w:trPr>
        <w:tc>
          <w:tcPr>
            <w:tcW w:w="152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2"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70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公积金</w:t>
            </w:r>
            <w:r>
              <w:rPr>
                <w:rFonts w:ascii="宋体" w:hAnsi="宋体" w:eastAsia="宋体" w:cs="宋体"/>
                <w:i w:val="0"/>
                <w:iCs w:val="0"/>
                <w:color w:val="000000"/>
                <w:kern w:val="0"/>
                <w:sz w:val="18"/>
                <w:szCs w:val="18"/>
                <w:u w:val="none"/>
                <w:lang w:val="en-US" w:eastAsia="zh-CN" w:bidi="ar"/>
              </w:rPr>
              <w:t>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694"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60"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8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7.96</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7.96</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3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7.96</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7.96</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4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40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7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454"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105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58"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公积金</w:t>
            </w:r>
            <w:r>
              <w:rPr>
                <w:rFonts w:ascii="宋体" w:hAnsi="宋体" w:eastAsia="宋体" w:cs="宋体"/>
                <w:i w:val="0"/>
                <w:iCs w:val="0"/>
                <w:color w:val="000000"/>
                <w:kern w:val="0"/>
                <w:sz w:val="18"/>
                <w:szCs w:val="18"/>
                <w:u w:val="none"/>
                <w:lang w:val="en-US" w:eastAsia="zh-CN" w:bidi="ar"/>
              </w:rPr>
              <w:t>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43"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88"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285" w:hRule="atLeast"/>
        </w:trPr>
        <w:tc>
          <w:tcPr>
            <w:tcW w:w="97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8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904" w:hRule="atLeast"/>
        </w:trPr>
        <w:tc>
          <w:tcPr>
            <w:tcW w:w="15238"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FF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2"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285"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70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公积金</w:t>
            </w:r>
            <w:r>
              <w:rPr>
                <w:rFonts w:ascii="宋体" w:hAnsi="宋体" w:eastAsia="宋体" w:cs="宋体"/>
                <w:i w:val="0"/>
                <w:iCs w:val="0"/>
                <w:color w:val="000000"/>
                <w:kern w:val="0"/>
                <w:sz w:val="18"/>
                <w:szCs w:val="18"/>
                <w:u w:val="none"/>
                <w:lang w:val="en-US" w:eastAsia="zh-CN" w:bidi="ar"/>
              </w:rPr>
              <w:t>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694"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60"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8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15.86</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15.86</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3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15.86</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15.86</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47"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402"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79"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454" w:hRule="atLeast"/>
        </w:trPr>
        <w:tc>
          <w:tcPr>
            <w:tcW w:w="9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38" w:hRule="atLeast"/>
        </w:trPr>
        <w:tc>
          <w:tcPr>
            <w:tcW w:w="9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1054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73"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公积金</w:t>
            </w:r>
            <w:r>
              <w:rPr>
                <w:rFonts w:ascii="宋体" w:hAnsi="宋体" w:eastAsia="宋体" w:cs="宋体"/>
                <w:i w:val="0"/>
                <w:iCs w:val="0"/>
                <w:color w:val="000000"/>
                <w:kern w:val="0"/>
                <w:sz w:val="18"/>
                <w:szCs w:val="18"/>
                <w:u w:val="none"/>
                <w:lang w:val="en-US" w:eastAsia="zh-CN" w:bidi="ar"/>
              </w:rPr>
              <w:t>及时足额缴纳，预算编制科学合理，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344"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8020" w:type="dxa"/>
          <w:trHeight w:val="360" w:hRule="atLeast"/>
        </w:trPr>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4"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8020" w:type="dxa"/>
          <w:trHeight w:val="285" w:hRule="atLeast"/>
        </w:trPr>
        <w:tc>
          <w:tcPr>
            <w:tcW w:w="97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294"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56"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80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3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62"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02"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673" w:hRule="atLeast"/>
        </w:trPr>
        <w:tc>
          <w:tcPr>
            <w:tcW w:w="1525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FF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项目名称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61"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5"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70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w:t>
            </w:r>
            <w:r>
              <w:rPr>
                <w:rFonts w:ascii="宋体" w:hAnsi="宋体" w:eastAsia="宋体" w:cs="宋体"/>
                <w:i w:val="0"/>
                <w:iCs w:val="0"/>
                <w:color w:val="000000"/>
                <w:kern w:val="0"/>
                <w:sz w:val="18"/>
                <w:szCs w:val="18"/>
                <w:u w:val="none"/>
                <w:lang w:val="en-US" w:eastAsia="zh-CN" w:bidi="ar"/>
              </w:rPr>
              <w:t>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694"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60"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90"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29.63</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29.63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1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46.80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29.63</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29.63</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45"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402"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7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54"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54"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5" w:hRule="atLeast"/>
        </w:trPr>
        <w:tc>
          <w:tcPr>
            <w:tcW w:w="105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17"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及</w:t>
            </w:r>
            <w:r>
              <w:rPr>
                <w:rFonts w:ascii="宋体" w:hAnsi="宋体" w:eastAsia="宋体" w:cs="宋体"/>
                <w:i w:val="0"/>
                <w:iCs w:val="0"/>
                <w:color w:val="000000"/>
                <w:kern w:val="0"/>
                <w:sz w:val="18"/>
                <w:szCs w:val="18"/>
                <w:u w:val="none"/>
                <w:lang w:val="en-US" w:eastAsia="zh-CN" w:bidi="ar"/>
              </w:rPr>
              <w:t>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70"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15"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5" w:hRule="atLeast"/>
        </w:trPr>
        <w:tc>
          <w:tcPr>
            <w:tcW w:w="98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9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904" w:hRule="atLeast"/>
        </w:trPr>
        <w:tc>
          <w:tcPr>
            <w:tcW w:w="1525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61"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85"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70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及</w:t>
            </w:r>
            <w:r>
              <w:rPr>
                <w:rFonts w:ascii="宋体" w:hAnsi="宋体" w:eastAsia="宋体" w:cs="宋体"/>
                <w:i w:val="0"/>
                <w:iCs w:val="0"/>
                <w:color w:val="000000"/>
                <w:kern w:val="0"/>
                <w:sz w:val="18"/>
                <w:szCs w:val="18"/>
                <w:u w:val="none"/>
                <w:lang w:val="en-US" w:eastAsia="zh-CN" w:bidi="ar"/>
              </w:rPr>
              <w:t>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694"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60"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87"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32"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47"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02"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7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454"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社会效益指标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85" w:hRule="atLeast"/>
        </w:trPr>
        <w:tc>
          <w:tcPr>
            <w:tcW w:w="105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402"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宋体" w:hAnsi="宋体" w:cs="宋体"/>
                <w:i w:val="0"/>
                <w:iCs w:val="0"/>
                <w:color w:val="000000"/>
                <w:kern w:val="0"/>
                <w:sz w:val="18"/>
                <w:szCs w:val="18"/>
                <w:u w:val="none"/>
                <w:lang w:val="en-US" w:eastAsia="zh-CN" w:bidi="ar"/>
              </w:rPr>
              <w:t>及</w:t>
            </w:r>
            <w:r>
              <w:rPr>
                <w:rFonts w:ascii="宋体" w:hAnsi="宋体" w:eastAsia="宋体" w:cs="宋体"/>
                <w:i w:val="0"/>
                <w:iCs w:val="0"/>
                <w:color w:val="000000"/>
                <w:kern w:val="0"/>
                <w:sz w:val="18"/>
                <w:szCs w:val="18"/>
                <w:u w:val="none"/>
                <w:lang w:val="en-US" w:eastAsia="zh-CN" w:bidi="ar"/>
              </w:rPr>
              <w:t>时发放、足额发放</w:t>
            </w:r>
            <w:r>
              <w:rPr>
                <w:rFonts w:hint="eastAsia" w:ascii="宋体" w:hAnsi="宋体" w:cs="宋体"/>
                <w:i w:val="0"/>
                <w:iCs w:val="0"/>
                <w:color w:val="000000"/>
                <w:kern w:val="0"/>
                <w:sz w:val="18"/>
                <w:szCs w:val="18"/>
                <w:u w:val="none"/>
                <w:lang w:val="en-US" w:eastAsia="zh-CN" w:bidi="ar"/>
              </w:rPr>
              <w:t>工资福利</w:t>
            </w:r>
            <w:r>
              <w:rPr>
                <w:rFonts w:ascii="宋体" w:hAnsi="宋体" w:eastAsia="宋体" w:cs="宋体"/>
                <w:i w:val="0"/>
                <w:iCs w:val="0"/>
                <w:color w:val="000000"/>
                <w:kern w:val="0"/>
                <w:sz w:val="18"/>
                <w:szCs w:val="18"/>
                <w:u w:val="none"/>
                <w:lang w:val="en-US" w:eastAsia="zh-CN" w:bidi="ar"/>
              </w:rPr>
              <w:t>，预算编制科学合理，</w:t>
            </w:r>
            <w:r>
              <w:rPr>
                <w:rFonts w:hint="eastAsia" w:ascii="宋体" w:hAnsi="宋体" w:cs="宋体"/>
                <w:i w:val="0"/>
                <w:iCs w:val="0"/>
                <w:color w:val="000000"/>
                <w:kern w:val="0"/>
                <w:sz w:val="18"/>
                <w:szCs w:val="18"/>
                <w:u w:val="none"/>
                <w:lang w:val="en-US" w:eastAsia="zh-CN" w:bidi="ar"/>
              </w:rPr>
              <w:t>无</w:t>
            </w:r>
            <w:r>
              <w:rPr>
                <w:rFonts w:ascii="宋体" w:hAnsi="宋体" w:eastAsia="宋体" w:cs="宋体"/>
                <w:i w:val="0"/>
                <w:iCs w:val="0"/>
                <w:color w:val="000000"/>
                <w:kern w:val="0"/>
                <w:sz w:val="18"/>
                <w:szCs w:val="18"/>
                <w:u w:val="none"/>
                <w:lang w:val="en-US" w:eastAsia="zh-CN" w:bidi="ar"/>
              </w:rPr>
              <w:t>结余资金。</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402"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57"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85" w:hRule="atLeast"/>
        </w:trPr>
        <w:tc>
          <w:tcPr>
            <w:tcW w:w="98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21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09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9"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6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7" w:type="dxa"/>
            <w:gridSpan w:val="4"/>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419" w:hRule="atLeast"/>
        </w:trPr>
        <w:tc>
          <w:tcPr>
            <w:tcW w:w="15253"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85"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51081222T000005584836-办税服务大厅改造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514" w:hRule="atLeast"/>
        </w:trPr>
        <w:tc>
          <w:tcPr>
            <w:tcW w:w="28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61" w:type="dxa"/>
            <w:gridSpan w:val="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5"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70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在保持现有办税服务大厅整体设置基本格局的基础上，对服务环境进行必了的改造，进一步规范办税服务大厅的设置，拓展和强化办税服务大厅功能，统一办税服务大厅业务流程、明确办税服务标准，实现整体纳税服务工作质量和水平进一步提高，充分体现便捷、高效、热情、优质的服务目标。</w:t>
            </w:r>
          </w:p>
        </w:tc>
        <w:tc>
          <w:tcPr>
            <w:tcW w:w="632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lang w:eastAsia="zh-CN"/>
              </w:rPr>
            </w:pPr>
            <w:r>
              <w:rPr>
                <w:rFonts w:hint="eastAsia" w:ascii="黑体" w:hAnsi="黑体" w:eastAsia="黑体" w:cs="黑体"/>
                <w:i w:val="0"/>
                <w:iCs w:val="0"/>
                <w:color w:val="000000"/>
                <w:sz w:val="18"/>
                <w:szCs w:val="18"/>
                <w:u w:val="none"/>
              </w:rPr>
              <w:t>确保办税服务窗口实现整体纳税服务工作质量和水平进一步提高，从而提高服务质量和效率。</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09"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12431"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60" w:hRule="atLeast"/>
        </w:trPr>
        <w:tc>
          <w:tcPr>
            <w:tcW w:w="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152"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42"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287"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197"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234" w:hRule="atLeast"/>
        </w:trPr>
        <w:tc>
          <w:tcPr>
            <w:tcW w:w="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454" w:hRule="atLeast"/>
        </w:trPr>
        <w:tc>
          <w:tcPr>
            <w:tcW w:w="988" w:type="dxa"/>
            <w:gridSpan w:val="3"/>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163" w:hRule="atLeast"/>
        </w:trPr>
        <w:tc>
          <w:tcPr>
            <w:tcW w:w="988" w:type="dxa"/>
            <w:gridSpan w:val="3"/>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产出指标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数量指标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5"/>
                <w:szCs w:val="15"/>
                <w:u w:val="none"/>
                <w:lang w:val="en-US" w:eastAsia="zh-CN"/>
              </w:rPr>
              <w:t>改造区域、接件台、网络</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处</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质量指标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设备、网络使用率</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98</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98</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时效指标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完成期限</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月</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成本指标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项目成本</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万元</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12</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8" w:hRule="atLeast"/>
        </w:trPr>
        <w:tc>
          <w:tcPr>
            <w:tcW w:w="988" w:type="dxa"/>
            <w:gridSpan w:val="3"/>
            <w:vMerge w:val="continue"/>
            <w:tcBorders>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效益指标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3"/>
                <w:szCs w:val="13"/>
                <w:u w:val="none"/>
                <w:lang w:val="en-US" w:eastAsia="zh-CN"/>
              </w:rPr>
              <w:t>社会效益指标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确保办税服务窗口实现整体纳税服务工作质量和水平进一步提高</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高中低</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高</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184" w:hRule="atLeast"/>
        </w:trPr>
        <w:tc>
          <w:tcPr>
            <w:tcW w:w="988" w:type="dxa"/>
            <w:gridSpan w:val="3"/>
            <w:vMerge w:val="continue"/>
            <w:tcBorders>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5"/>
                <w:szCs w:val="15"/>
                <w:u w:val="none"/>
                <w:lang w:val="en-US" w:eastAsia="zh-CN"/>
              </w:rPr>
              <w:t>满意度指标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1"/>
                <w:szCs w:val="11"/>
                <w:u w:val="none"/>
                <w:lang w:val="en-US" w:eastAsia="zh-CN" w:bidi="ar-SA"/>
              </w:rPr>
              <w:t>服务对象满意指标</w:t>
            </w:r>
          </w:p>
        </w:tc>
        <w:tc>
          <w:tcPr>
            <w:tcW w:w="20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5"/>
                <w:szCs w:val="15"/>
                <w:u w:val="none"/>
                <w:lang w:val="en-US" w:eastAsia="zh-CN"/>
              </w:rPr>
              <w:t>窗口办事群众和企业满意度</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1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64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0591"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588" w:type="dxa"/>
            <w:gridSpan w:val="2"/>
            <w:tcBorders>
              <w:top w:val="nil"/>
              <w:left w:val="single" w:color="auto" w:sz="4" w:space="0"/>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8005" w:type="dxa"/>
          <w:trHeight w:val="333" w:hRule="atLeast"/>
        </w:trPr>
        <w:tc>
          <w:tcPr>
            <w:tcW w:w="98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5"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确保办税服务窗口实现整体纳税服务工作质量和水平进一步提高，从而提高服务质量和效率。</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19"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5" w:type="dxa"/>
            <w:gridSpan w:val="2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8005" w:type="dxa"/>
          <w:trHeight w:val="379" w:hRule="atLeast"/>
        </w:trPr>
        <w:tc>
          <w:tcPr>
            <w:tcW w:w="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15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8"/>
        <w:gridCol w:w="1849"/>
        <w:gridCol w:w="975"/>
        <w:gridCol w:w="2323"/>
        <w:gridCol w:w="942"/>
        <w:gridCol w:w="794"/>
        <w:gridCol w:w="1059"/>
        <w:gridCol w:w="1661"/>
        <w:gridCol w:w="603"/>
        <w:gridCol w:w="628"/>
        <w:gridCol w:w="3431"/>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34"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51081222T000005585003-综合后台办公设备购置尾款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69"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6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4"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成立综合后办公室是为实行“前台综合受理、后台分类审批、统一窗口出件”的受理模式，实现群众办事只进一扇门、只到一个窗、办成一件事，从而增加工作的效率让大家在更好的环境工作</w:t>
            </w:r>
          </w:p>
        </w:tc>
        <w:tc>
          <w:tcPr>
            <w:tcW w:w="6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sz w:val="18"/>
                <w:szCs w:val="18"/>
                <w:u w:val="none"/>
              </w:rPr>
              <w:t>实现</w:t>
            </w:r>
            <w:r>
              <w:rPr>
                <w:rFonts w:hint="eastAsia" w:ascii="宋体" w:hAnsi="宋体" w:cs="宋体"/>
                <w:i w:val="0"/>
                <w:iCs w:val="0"/>
                <w:color w:val="000000"/>
                <w:sz w:val="18"/>
                <w:szCs w:val="18"/>
                <w:u w:val="none"/>
                <w:lang w:val="en-US" w:eastAsia="zh-CN"/>
              </w:rPr>
              <w:t>了</w:t>
            </w:r>
            <w:r>
              <w:rPr>
                <w:rFonts w:hint="eastAsia" w:ascii="宋体" w:hAnsi="宋体" w:eastAsia="宋体" w:cs="宋体"/>
                <w:i w:val="0"/>
                <w:iCs w:val="0"/>
                <w:color w:val="000000"/>
                <w:sz w:val="18"/>
                <w:szCs w:val="18"/>
                <w:u w:val="none"/>
              </w:rPr>
              <w:t>群众办事只进一扇门、只到一个窗、办成一件事，</w:t>
            </w:r>
            <w:r>
              <w:rPr>
                <w:rFonts w:hint="eastAsia" w:ascii="宋体" w:hAnsi="宋体" w:cs="宋体"/>
                <w:i w:val="0"/>
                <w:iCs w:val="0"/>
                <w:color w:val="000000"/>
                <w:sz w:val="18"/>
                <w:szCs w:val="18"/>
                <w:u w:val="none"/>
                <w:lang w:val="en-US" w:eastAsia="zh-CN"/>
              </w:rPr>
              <w:t>提高了窗口</w:t>
            </w:r>
            <w:r>
              <w:rPr>
                <w:rFonts w:hint="eastAsia" w:ascii="宋体" w:hAnsi="宋体" w:eastAsia="宋体" w:cs="宋体"/>
                <w:i w:val="0"/>
                <w:iCs w:val="0"/>
                <w:color w:val="000000"/>
                <w:sz w:val="18"/>
                <w:szCs w:val="18"/>
                <w:u w:val="none"/>
              </w:rPr>
              <w:t>工作的效率</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29"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2.实施内容及过程概述</w:t>
            </w:r>
          </w:p>
        </w:tc>
        <w:tc>
          <w:tcPr>
            <w:tcW w:w="12416"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36"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6"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配套进驻人员桌椅电脑</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套</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质量指标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设备使用率</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98</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98</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时效指标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完成期限</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月</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成本指标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项目尾款成本</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万元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2</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1"/>
                <w:szCs w:val="11"/>
                <w:u w:val="none"/>
                <w:lang w:val="en-US" w:eastAsia="zh-CN"/>
              </w:rPr>
              <w:t>社会效益指标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3"/>
                <w:szCs w:val="13"/>
                <w:lang w:val="en-US" w:eastAsia="zh-CN" w:bidi="ar"/>
              </w:rPr>
              <w:t>实行“前台综合受理、后台分类审批、统一窗口出件”的受理模式，实现群众办事只进一扇门、只到一个窗、办成一件事，</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高中低</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高</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2"/>
                <w:sz w:val="13"/>
                <w:szCs w:val="13"/>
                <w:u w:val="none"/>
                <w:lang w:val="en-US" w:eastAsia="zh-CN" w:bidi="ar-SA"/>
              </w:rPr>
              <w:t>服务对象满意度</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窗口办事群众和企业满意度</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2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39"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65"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宋体" w:cs="微软雅黑"/>
                <w:i/>
                <w:iCs/>
                <w:color w:val="000000"/>
                <w:sz w:val="16"/>
                <w:szCs w:val="16"/>
                <w:u w:val="none"/>
                <w:lang w:val="en-US" w:eastAsia="zh-CN"/>
              </w:rPr>
            </w:pPr>
            <w:r>
              <w:rPr>
                <w:rFonts w:hint="eastAsia" w:ascii="宋体" w:hAnsi="宋体" w:eastAsia="宋体" w:cs="宋体"/>
                <w:i w:val="0"/>
                <w:iCs w:val="0"/>
                <w:color w:val="000000"/>
                <w:sz w:val="18"/>
                <w:szCs w:val="18"/>
                <w:u w:val="none"/>
              </w:rPr>
              <w:t>实现</w:t>
            </w:r>
            <w:r>
              <w:rPr>
                <w:rFonts w:hint="eastAsia" w:ascii="宋体" w:hAnsi="宋体" w:cs="宋体"/>
                <w:i w:val="0"/>
                <w:iCs w:val="0"/>
                <w:color w:val="000000"/>
                <w:sz w:val="18"/>
                <w:szCs w:val="18"/>
                <w:u w:val="none"/>
                <w:lang w:val="en-US" w:eastAsia="zh-CN"/>
              </w:rPr>
              <w:t>了</w:t>
            </w:r>
            <w:r>
              <w:rPr>
                <w:rFonts w:hint="eastAsia" w:ascii="宋体" w:hAnsi="宋体" w:eastAsia="宋体" w:cs="宋体"/>
                <w:i w:val="0"/>
                <w:iCs w:val="0"/>
                <w:color w:val="000000"/>
                <w:sz w:val="18"/>
                <w:szCs w:val="18"/>
                <w:u w:val="none"/>
              </w:rPr>
              <w:t>群众办事只进一扇门、只到一个窗、办成一件事，</w:t>
            </w:r>
            <w:r>
              <w:rPr>
                <w:rFonts w:hint="eastAsia" w:ascii="宋体" w:hAnsi="宋体" w:cs="宋体"/>
                <w:i w:val="0"/>
                <w:iCs w:val="0"/>
                <w:color w:val="000000"/>
                <w:sz w:val="18"/>
                <w:szCs w:val="18"/>
                <w:u w:val="none"/>
                <w:lang w:val="en-US" w:eastAsia="zh-CN"/>
              </w:rPr>
              <w:t>提高了窗口</w:t>
            </w:r>
            <w:r>
              <w:rPr>
                <w:rFonts w:hint="eastAsia" w:ascii="宋体" w:hAnsi="宋体" w:eastAsia="宋体" w:cs="宋体"/>
                <w:i w:val="0"/>
                <w:iCs w:val="0"/>
                <w:color w:val="000000"/>
                <w:sz w:val="18"/>
                <w:szCs w:val="18"/>
                <w:u w:val="none"/>
              </w:rPr>
              <w:t>工作的效率</w:t>
            </w:r>
            <w:r>
              <w:rPr>
                <w:rFonts w:hint="eastAsia" w:ascii="宋体" w:hAnsi="宋体" w:cs="宋体"/>
                <w:i w:val="0"/>
                <w:iCs w:val="0"/>
                <w:color w:val="000000"/>
                <w:sz w:val="18"/>
                <w:szCs w:val="18"/>
                <w:u w:val="none"/>
                <w:lang w:eastAsia="zh-CN"/>
              </w:rPr>
              <w:t>。</w:t>
            </w:r>
            <w:r>
              <w:rPr>
                <w:rFonts w:hint="eastAsia" w:ascii="宋体" w:hAnsi="宋体" w:cs="宋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44"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23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4"/>
        <w:gridCol w:w="1750"/>
        <w:gridCol w:w="1074"/>
        <w:gridCol w:w="2323"/>
        <w:gridCol w:w="15"/>
        <w:gridCol w:w="927"/>
        <w:gridCol w:w="14"/>
        <w:gridCol w:w="780"/>
        <w:gridCol w:w="14"/>
        <w:gridCol w:w="1045"/>
        <w:gridCol w:w="24"/>
        <w:gridCol w:w="1637"/>
        <w:gridCol w:w="586"/>
        <w:gridCol w:w="659"/>
        <w:gridCol w:w="3417"/>
        <w:gridCol w:w="4593"/>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8" w:type="dxa"/>
            <w:gridSpan w:val="2"/>
            <w:tcBorders>
              <w:top w:val="nil"/>
              <w:left w:val="nil"/>
              <w:bottom w:val="nil"/>
              <w:right w:val="nil"/>
            </w:tcBorders>
            <w:shd w:val="clear" w:color="auto" w:fill="auto"/>
            <w:vAlign w:val="center"/>
          </w:tcPr>
          <w:p>
            <w:pPr>
              <w:pStyle w:val="2"/>
              <w:rPr>
                <w:rFonts w:hint="eastAsia"/>
                <w:sz w:val="10"/>
                <w:szCs w:val="10"/>
              </w:rPr>
            </w:pPr>
          </w:p>
        </w:tc>
        <w:tc>
          <w:tcPr>
            <w:tcW w:w="17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7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232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942"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79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5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66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58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8669"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341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459" w:hRule="atLeast"/>
        </w:trPr>
        <w:tc>
          <w:tcPr>
            <w:tcW w:w="1525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85" w:hRule="atLeast"/>
        </w:trPr>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51081222T000005585065-国务院大督查费用尾款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59" w:hRule="atLeast"/>
        </w:trPr>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42"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709"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办</w:t>
            </w:r>
            <w:r>
              <w:rPr>
                <w:rFonts w:hint="eastAsia" w:ascii="宋体" w:hAnsi="宋体" w:eastAsia="宋体" w:cs="宋体"/>
                <w:i w:val="0"/>
                <w:iCs w:val="0"/>
                <w:color w:val="000000"/>
                <w:sz w:val="13"/>
                <w:szCs w:val="13"/>
                <w:u w:val="none"/>
              </w:rPr>
              <w:t>事指南以便携性、实用性为目的，制作成一本仅手掌大小的“口袋书”，方便群众翻阅携带。办事指南编纸质印刷版在大厅醒目位置摆放，让群众看得懂；办事指南同时摆放到每个窗口，确保工作人员学会简单办，真正做到“一目了然”，实现方便群众办事的目的。</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确保窗口工作人员学会简单办，真正做到“一目了然”，实现方便群众办事的目的，从而提高服务质量和效率。</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189"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3"/>
                <w:szCs w:val="13"/>
                <w:u w:val="none"/>
                <w:lang w:val="en-US" w:eastAsia="zh-CN" w:bidi="ar"/>
              </w:rPr>
              <w:t>2.实施内容及过程概述</w:t>
            </w:r>
          </w:p>
        </w:tc>
        <w:tc>
          <w:tcPr>
            <w:tcW w:w="1251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6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2"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197"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57"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152"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279"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454"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指南印制份数</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14</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万份</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质量指标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印制合格率</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99</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99</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时效指标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完成期限</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12</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成本指标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项目尾款成本</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3"/>
                <w:szCs w:val="13"/>
                <w:u w:val="none"/>
                <w:lang w:val="en-US" w:eastAsia="zh-CN"/>
              </w:rPr>
              <w:t>社会效益指标</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5"/>
                <w:szCs w:val="15"/>
                <w:lang w:val="en-US" w:eastAsia="zh-CN" w:bidi="ar"/>
              </w:rPr>
              <w:t>确保窗口工作人员学会简单办，真正做到“一目了然”</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定性</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高中低</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高</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2"/>
                <w:sz w:val="13"/>
                <w:szCs w:val="13"/>
                <w:u w:val="none"/>
                <w:lang w:val="en-US" w:eastAsia="zh-CN" w:bidi="ar-SA"/>
              </w:rPr>
              <w:t>服务对象满意度</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窗口办事群众和企业满意度</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285" w:hRule="atLeast"/>
        </w:trPr>
        <w:tc>
          <w:tcPr>
            <w:tcW w:w="1059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5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7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确保窗口工作人员学会简单办，真正做到“一目了然”，实现方便群众办事的目的，从而提高服务质量和效率。</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3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7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9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7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4"/>
        <w:gridCol w:w="1764"/>
        <w:gridCol w:w="1074"/>
        <w:gridCol w:w="2338"/>
        <w:gridCol w:w="941"/>
        <w:gridCol w:w="794"/>
        <w:gridCol w:w="1069"/>
        <w:gridCol w:w="1637"/>
        <w:gridCol w:w="586"/>
        <w:gridCol w:w="659"/>
        <w:gridCol w:w="3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4" w:type="dxa"/>
            <w:tcBorders>
              <w:top w:val="nil"/>
              <w:left w:val="nil"/>
              <w:bottom w:val="nil"/>
              <w:right w:val="nil"/>
            </w:tcBorders>
            <w:shd w:val="clear" w:color="auto" w:fill="auto"/>
            <w:vAlign w:val="center"/>
          </w:tcPr>
          <w:p>
            <w:pPr>
              <w:pStyle w:val="2"/>
              <w:rPr>
                <w:rFonts w:hint="eastAsia"/>
              </w:rPr>
            </w:pPr>
          </w:p>
        </w:tc>
        <w:tc>
          <w:tcPr>
            <w:tcW w:w="17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6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86"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1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51081222T000005585094-“好差评”终端设备资金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sz w:val="13"/>
                <w:szCs w:val="13"/>
                <w:u w:val="none"/>
              </w:rPr>
              <w:t>完善硬件配套设施，安装完成“好差评”评价器90余套并应用完善评价功能充分利用全区“一窗综合受理平台”实现了政务服务统一评价，依托“好差评”窗口评价器、手机短信、窗口满意度调查表、大厅自助终端或二维码等方式开展线上及线下政务服务评价。</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3"/>
                <w:szCs w:val="13"/>
                <w:u w:val="none"/>
              </w:rPr>
            </w:pPr>
            <w:r>
              <w:rPr>
                <w:rFonts w:hint="eastAsia" w:ascii="黑体" w:hAnsi="黑体" w:eastAsia="黑体" w:cs="黑体"/>
                <w:i w:val="0"/>
                <w:iCs w:val="0"/>
                <w:color w:val="000000"/>
                <w:sz w:val="13"/>
                <w:szCs w:val="13"/>
                <w:u w:val="none"/>
              </w:rPr>
              <w:t>确保做到现场服务“一次一评”、网上服务“一事一评”，通过意见箱、12345服务热线、电子邮箱、微信公众号等平台，主动接受社会各界的综合性评价，促进政务服务质量持续提升。</w:t>
            </w:r>
            <w:r>
              <w:rPr>
                <w:rFonts w:hint="eastAsia" w:ascii="黑体" w:hAnsi="黑体" w:eastAsia="黑体" w:cs="黑体"/>
                <w:i w:val="0"/>
                <w:iCs w:val="0"/>
                <w:color w:val="000000"/>
                <w:sz w:val="13"/>
                <w:szCs w:val="13"/>
                <w:u w:val="none"/>
                <w:lang w:eastAsia="zh-CN"/>
              </w:rPr>
              <w:t>（</w:t>
            </w:r>
            <w:r>
              <w:rPr>
                <w:rFonts w:hint="eastAsia" w:ascii="黑体" w:hAnsi="黑体" w:eastAsia="黑体" w:cs="黑体"/>
                <w:i w:val="0"/>
                <w:iCs w:val="0"/>
                <w:color w:val="000000"/>
                <w:sz w:val="13"/>
                <w:szCs w:val="13"/>
                <w:u w:val="none"/>
                <w:lang w:val="en-US" w:eastAsia="zh-CN"/>
              </w:rPr>
              <w:t>年初结转结余资金</w:t>
            </w:r>
            <w:r>
              <w:rPr>
                <w:rFonts w:hint="eastAsia" w:ascii="黑体" w:hAnsi="黑体" w:eastAsia="黑体" w:cs="黑体"/>
                <w:i w:val="0"/>
                <w:iCs w:val="0"/>
                <w:color w:val="000000"/>
                <w:sz w:val="13"/>
                <w:szCs w:val="13"/>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15.50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9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974"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乡镇、区大厅设备</w:t>
            </w:r>
            <w:r>
              <w:rPr>
                <w:rFonts w:hint="eastAsia" w:ascii="宋体" w:hAnsi="宋体" w:eastAsia="宋体" w:cs="宋体"/>
                <w:i w:val="0"/>
                <w:iCs w:val="0"/>
                <w:color w:val="000000"/>
                <w:sz w:val="18"/>
                <w:szCs w:val="18"/>
                <w:u w:val="none"/>
              </w:rPr>
              <w:t>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95</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套</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90</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质量指标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设备运行</w:t>
            </w:r>
            <w:r>
              <w:rPr>
                <w:rFonts w:hint="eastAsia" w:ascii="宋体" w:hAnsi="宋体" w:eastAsia="宋体" w:cs="宋体"/>
                <w:i w:val="0"/>
                <w:iCs w:val="0"/>
                <w:color w:val="000000"/>
                <w:sz w:val="18"/>
                <w:szCs w:val="18"/>
                <w:u w:val="none"/>
              </w:rPr>
              <w:t>合格率</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99</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99</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时效指标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完成期限</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12</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月</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成本指标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项目成本</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15.5</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万元</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15.5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效益指标</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3"/>
                <w:szCs w:val="13"/>
                <w:u w:val="none"/>
                <w:lang w:val="en-US" w:eastAsia="zh-CN"/>
              </w:rPr>
              <w:t>社会效益指标</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5"/>
                <w:szCs w:val="15"/>
                <w:lang w:val="en-US" w:eastAsia="zh-CN" w:bidi="ar"/>
              </w:rPr>
              <w:t>确保做到现场服务“一次一评”、网上服务“一事一评””</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定性</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高中低</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高</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2"/>
                <w:sz w:val="11"/>
                <w:szCs w:val="11"/>
                <w:u w:val="none"/>
                <w:lang w:val="en-US" w:eastAsia="zh-CN" w:bidi="ar-SA"/>
              </w:rPr>
              <w:t>服务对象满意度</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窗口办事群众和企业满意度</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1059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确保做到现场服务“一次一评”、网上服务“一事一评”，通过意见箱、12345服务热线、电子邮箱、微信公众号等平台，主动接受社会各界的综合性评价，促进政务服务质量持续提升。</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7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23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5"/>
        <w:gridCol w:w="1764"/>
        <w:gridCol w:w="1074"/>
        <w:gridCol w:w="2338"/>
        <w:gridCol w:w="15"/>
        <w:gridCol w:w="926"/>
        <w:gridCol w:w="15"/>
        <w:gridCol w:w="779"/>
        <w:gridCol w:w="15"/>
        <w:gridCol w:w="1054"/>
        <w:gridCol w:w="1637"/>
        <w:gridCol w:w="631"/>
        <w:gridCol w:w="649"/>
        <w:gridCol w:w="3382"/>
        <w:gridCol w:w="4593"/>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4" w:type="dxa"/>
            <w:gridSpan w:val="2"/>
            <w:tcBorders>
              <w:top w:val="nil"/>
              <w:left w:val="nil"/>
              <w:bottom w:val="nil"/>
              <w:right w:val="nil"/>
            </w:tcBorders>
            <w:shd w:val="clear" w:color="auto" w:fill="auto"/>
            <w:vAlign w:val="center"/>
          </w:tcPr>
          <w:p>
            <w:pPr>
              <w:pStyle w:val="2"/>
              <w:rPr>
                <w:rFonts w:hint="eastAsia"/>
                <w:sz w:val="10"/>
                <w:szCs w:val="10"/>
              </w:rPr>
            </w:pPr>
          </w:p>
        </w:tc>
        <w:tc>
          <w:tcPr>
            <w:tcW w:w="176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7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94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79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69"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6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6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8624"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341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29" w:hRule="atLeast"/>
        </w:trPr>
        <w:tc>
          <w:tcPr>
            <w:tcW w:w="1525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285" w:hRule="atLeast"/>
        </w:trPr>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51081222T000005585241-办税服务大厅购买办公设备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284" w:hRule="atLeast"/>
        </w:trPr>
        <w:tc>
          <w:tcPr>
            <w:tcW w:w="2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2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项目基本情况</w:t>
            </w:r>
          </w:p>
        </w:tc>
        <w:tc>
          <w:tcPr>
            <w:tcW w:w="17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1.项目年度目标完成情况</w:t>
            </w:r>
          </w:p>
        </w:tc>
        <w:tc>
          <w:tcPr>
            <w:tcW w:w="6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70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p>
        </w:tc>
        <w:tc>
          <w:tcPr>
            <w:tcW w:w="62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在</w:t>
            </w:r>
            <w:r>
              <w:rPr>
                <w:rFonts w:hint="eastAsia" w:ascii="宋体" w:hAnsi="宋体" w:eastAsia="宋体" w:cs="宋体"/>
                <w:i w:val="0"/>
                <w:iCs w:val="0"/>
                <w:color w:val="000000"/>
                <w:sz w:val="13"/>
                <w:szCs w:val="13"/>
                <w:u w:val="none"/>
              </w:rPr>
              <w:t>保持现有办税服务大厅整体设置基本格局的基础上，对服务环境进行必了的改造，进一步规范办税服务大厅的设置，拓展和强化办税服务大厅功能，统一办税服务大厅业务流程、明确办税服务标准，实现整体纳税服务工作质量和水平进一步提高，充分体现便捷、高效、热情、优质的服务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确保办税服务窗口实现整体纳税服务工作质量和水平进一步提高。</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0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5"/>
                <w:szCs w:val="15"/>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18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18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2.87</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10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454"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购置税务大厅设备</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套</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质量指标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设备运行</w:t>
            </w:r>
            <w:r>
              <w:rPr>
                <w:rFonts w:hint="eastAsia" w:ascii="宋体" w:hAnsi="宋体" w:eastAsia="宋体" w:cs="宋体"/>
                <w:i w:val="0"/>
                <w:iCs w:val="0"/>
                <w:color w:val="000000"/>
                <w:sz w:val="18"/>
                <w:szCs w:val="18"/>
                <w:u w:val="none"/>
              </w:rPr>
              <w:t>合格率</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时效指标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完成期限</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成本指标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项目尾款成本</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2.87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2.87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3"/>
                <w:szCs w:val="13"/>
                <w:u w:val="none"/>
                <w:lang w:val="en-US" w:eastAsia="zh-CN"/>
              </w:rPr>
              <w:t>社会效益指标</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5"/>
                <w:szCs w:val="15"/>
                <w:lang w:val="en-US" w:eastAsia="zh-CN" w:bidi="ar"/>
              </w:rPr>
              <w:t>确保办税服务窗口实现整体纳税服务工作质量和水平进一步提高</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定性</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高</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2"/>
                <w:sz w:val="11"/>
                <w:szCs w:val="11"/>
                <w:u w:val="none"/>
                <w:lang w:val="en-US" w:eastAsia="zh-CN" w:bidi="ar-SA"/>
              </w:rPr>
              <w:t>服务对象满意度</w:t>
            </w:r>
          </w:p>
        </w:tc>
        <w:tc>
          <w:tcPr>
            <w:tcW w:w="2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办事群众和企业满意度</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38" w:hRule="atLeast"/>
        </w:trPr>
        <w:tc>
          <w:tcPr>
            <w:tcW w:w="1059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合计</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005" w:type="dxa"/>
          <w:trHeight w:val="31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确保办税服务窗口实现整体纳税服务工作质量和水平进一步提高。</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3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005" w:type="dxa"/>
          <w:trHeight w:val="18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bl>
    <w:p>
      <w:pPr>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p>
      <w:pPr>
        <w:pStyle w:val="2"/>
        <w:rPr>
          <w:rFonts w:hint="eastAsia" w:ascii="宋体" w:hAnsi="宋体" w:eastAsia="宋体" w:cs="宋体"/>
          <w:i w:val="0"/>
          <w:iCs w:val="0"/>
          <w:color w:val="000000"/>
          <w:sz w:val="18"/>
          <w:szCs w:val="18"/>
          <w:u w:val="none"/>
        </w:rPr>
      </w:pP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779"/>
        <w:gridCol w:w="1074"/>
        <w:gridCol w:w="2353"/>
        <w:gridCol w:w="941"/>
        <w:gridCol w:w="794"/>
        <w:gridCol w:w="1054"/>
        <w:gridCol w:w="1637"/>
        <w:gridCol w:w="601"/>
        <w:gridCol w:w="630"/>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5" w:hRule="atLeast"/>
        </w:trPr>
        <w:tc>
          <w:tcPr>
            <w:tcW w:w="959" w:type="dxa"/>
            <w:tcBorders>
              <w:top w:val="nil"/>
              <w:left w:val="nil"/>
              <w:bottom w:val="nil"/>
              <w:right w:val="nil"/>
            </w:tcBorders>
            <w:shd w:val="clear" w:color="auto" w:fill="auto"/>
            <w:vAlign w:val="center"/>
          </w:tcPr>
          <w:p>
            <w:pPr>
              <w:pStyle w:val="2"/>
              <w:rPr>
                <w:rFonts w:hint="eastAsia"/>
                <w:sz w:val="10"/>
                <w:szCs w:val="10"/>
              </w:rPr>
            </w:pPr>
          </w:p>
        </w:tc>
        <w:tc>
          <w:tcPr>
            <w:tcW w:w="177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7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235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9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79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0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16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60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c>
          <w:tcPr>
            <w:tcW w:w="4061"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51081222T000005585642-物业管理费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sz w:val="15"/>
                <w:szCs w:val="15"/>
                <w:u w:val="none"/>
              </w:rPr>
              <w:t>为我单位办公用房提供维修、保洁、绿化、安保等综合服务的一体化物业管理，给我单位工作人员提供安全、文明、优美、舒适的办公环境。</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sz w:val="15"/>
                <w:szCs w:val="15"/>
                <w:u w:val="none"/>
              </w:rPr>
              <w:t>从办公环境和基础设施上保证了各项工作、活动的正常开展，如保洁、垃圾清运、24小时安保监控服务、定期对大楼的维护管理、车辆的行驶、停泊管理等。</w:t>
            </w:r>
            <w:r>
              <w:rPr>
                <w:rFonts w:hint="eastAsia" w:ascii="黑体" w:hAnsi="黑体" w:eastAsia="黑体" w:cs="黑体"/>
                <w:i w:val="0"/>
                <w:iCs w:val="0"/>
                <w:color w:val="000000"/>
                <w:sz w:val="15"/>
                <w:szCs w:val="15"/>
                <w:u w:val="none"/>
                <w:lang w:eastAsia="zh-CN"/>
              </w:rPr>
              <w:t>（</w:t>
            </w:r>
            <w:r>
              <w:rPr>
                <w:rFonts w:hint="eastAsia" w:ascii="黑体" w:hAnsi="黑体" w:eastAsia="黑体" w:cs="黑体"/>
                <w:i w:val="0"/>
                <w:iCs w:val="0"/>
                <w:color w:val="000000"/>
                <w:sz w:val="15"/>
                <w:szCs w:val="15"/>
                <w:u w:val="none"/>
                <w:lang w:val="en-US" w:eastAsia="zh-CN"/>
              </w:rPr>
              <w:t>年初结转结余资金</w:t>
            </w:r>
            <w:r>
              <w:rPr>
                <w:rFonts w:hint="eastAsia" w:ascii="黑体" w:hAnsi="黑体" w:eastAsia="黑体" w:cs="黑体"/>
                <w:i w:val="0"/>
                <w:iCs w:val="0"/>
                <w:color w:val="000000"/>
                <w:sz w:val="15"/>
                <w:szCs w:val="15"/>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10.63</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31"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iCs/>
                <w:color w:val="000000"/>
                <w:kern w:val="2"/>
                <w:sz w:val="18"/>
                <w:szCs w:val="18"/>
                <w:u w:val="none"/>
                <w:lang w:val="en-US" w:eastAsia="zh-CN" w:bidi="ar-SA"/>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10.63</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10.63</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中心共用办公及业务用房面积</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3792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3792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保障办公场所整洁、安全</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1</w:t>
            </w:r>
            <w:r>
              <w:rPr>
                <w:rFonts w:ascii="宋体" w:hAnsi="宋体" w:eastAsia="宋体" w:cs="宋体"/>
                <w:i w:val="0"/>
                <w:iCs w:val="0"/>
                <w:color w:val="000000"/>
                <w:kern w:val="0"/>
                <w:sz w:val="18"/>
                <w:szCs w:val="18"/>
                <w:u w:val="none"/>
                <w:lang w:val="en-US" w:eastAsia="zh-CN" w:bidi="ar"/>
              </w:rPr>
              <w:t>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年初结转结余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10.63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710.63</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办公场所整洁、安全管理</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良</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18</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2"/>
                <w:sz w:val="15"/>
                <w:szCs w:val="15"/>
                <w:u w:val="none"/>
                <w:lang w:val="en-US" w:eastAsia="zh-CN" w:bidi="ar-SA"/>
              </w:rPr>
              <w:t>服务对象满意度</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办事群众和企业满意度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96</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微软雅黑" w:hAnsi="微软雅黑" w:eastAsia="黑体"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rPr>
              <w:t>从办公环境和基础设施上保证了各项工作、活动的正常开展，</w:t>
            </w:r>
            <w:r>
              <w:rPr>
                <w:rFonts w:hint="eastAsia" w:ascii="微软雅黑" w:hAnsi="微软雅黑" w:eastAsia="微软雅黑" w:cs="微软雅黑"/>
                <w:i/>
                <w:iCs/>
                <w:color w:val="000000"/>
                <w:sz w:val="16"/>
                <w:szCs w:val="16"/>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存在监管有时不到位。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rPr>
              <w:t>我单位在现有的基础上，与小区物业管理公司加强沟通协调，不断提高物业管理水平。</w:t>
            </w: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779"/>
        <w:gridCol w:w="1074"/>
        <w:gridCol w:w="2353"/>
        <w:gridCol w:w="941"/>
        <w:gridCol w:w="794"/>
        <w:gridCol w:w="1054"/>
        <w:gridCol w:w="1637"/>
        <w:gridCol w:w="601"/>
        <w:gridCol w:w="630"/>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51081222T000005585814-红外线测温仪费用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8"/>
                <w:szCs w:val="18"/>
                <w:u w:val="none"/>
              </w:rPr>
              <w:t>红外测温仪无需工作人员近距离检查通关人员</w:t>
            </w:r>
            <w:r>
              <w:rPr>
                <w:rFonts w:hint="eastAsia" w:ascii="宋体" w:hAnsi="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减少了近距离接触和人员聚集引起的交叉感染的风险；综合智能测温平台系统实现了无人化操作，增加安全，可实时储存也可及时智能报警，且可以满足事后查证的需要</w:t>
            </w:r>
            <w:r>
              <w:rPr>
                <w:rFonts w:hint="eastAsia" w:ascii="宋体" w:hAnsi="宋体" w:cs="宋体"/>
                <w:i w:val="0"/>
                <w:iCs w:val="0"/>
                <w:color w:val="000000"/>
                <w:sz w:val="18"/>
                <w:szCs w:val="18"/>
                <w:u w:val="none"/>
                <w:lang w:eastAsia="zh-CN"/>
              </w:rPr>
              <w:t>。</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sz w:val="18"/>
                <w:szCs w:val="18"/>
                <w:u w:val="none"/>
              </w:rPr>
              <w:t>无需工作人员近距离检查通关人员，远距离测温既尊重了彼此隐私，也减少了近距离接触和人员聚集引起的交叉感染的风险</w:t>
            </w:r>
            <w:r>
              <w:rPr>
                <w:rFonts w:hint="eastAsia" w:ascii="黑体" w:hAnsi="黑体" w:eastAsia="黑体" w:cs="黑体"/>
                <w:i w:val="0"/>
                <w:iCs w:val="0"/>
                <w:color w:val="000000"/>
                <w:sz w:val="18"/>
                <w:szCs w:val="18"/>
                <w:u w:val="none"/>
                <w:lang w:eastAsia="zh-CN"/>
              </w:rPr>
              <w:t>，增加安全，可实时储存也可及时智能报警，且可以满足事后查证的需要。（</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31"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iCs/>
                <w:color w:val="000000"/>
                <w:kern w:val="2"/>
                <w:sz w:val="18"/>
                <w:szCs w:val="18"/>
                <w:u w:val="none"/>
                <w:lang w:val="en-US" w:eastAsia="zh-CN" w:bidi="ar-SA"/>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红外线测温仪</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套</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仪器使用</w:t>
            </w:r>
            <w:r>
              <w:rPr>
                <w:rFonts w:hint="eastAsia" w:ascii="宋体" w:hAnsi="宋体" w:cs="宋体"/>
                <w:i w:val="0"/>
                <w:iCs w:val="0"/>
                <w:color w:val="000000"/>
                <w:sz w:val="18"/>
                <w:szCs w:val="18"/>
                <w:u w:val="none"/>
                <w:lang w:val="en-US" w:eastAsia="zh-CN"/>
              </w:rPr>
              <w:t>合格</w:t>
            </w:r>
            <w:r>
              <w:rPr>
                <w:rFonts w:hint="eastAsia" w:ascii="宋体" w:hAnsi="宋体" w:eastAsia="宋体" w:cs="宋体"/>
                <w:i w:val="0"/>
                <w:iCs w:val="0"/>
                <w:color w:val="000000"/>
                <w:sz w:val="18"/>
                <w:szCs w:val="18"/>
                <w:u w:val="none"/>
              </w:rPr>
              <w:t>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99</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完成时限</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年初结转结余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1.1</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3"/>
                <w:szCs w:val="13"/>
                <w:lang w:val="en-US" w:eastAsia="zh-CN" w:bidi="ar"/>
              </w:rPr>
              <w:t>无需工作人员近距离检查通关人员，远距离测温既尊重了彼此隐私。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2"/>
                <w:sz w:val="15"/>
                <w:szCs w:val="15"/>
                <w:u w:val="none"/>
                <w:lang w:val="en-US" w:eastAsia="zh-CN" w:bidi="ar-SA"/>
              </w:rPr>
              <w:t>服务对象满意度</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5"/>
                <w:szCs w:val="15"/>
                <w:u w:val="none"/>
                <w:lang w:val="en-US" w:eastAsia="zh-CN"/>
              </w:rPr>
              <w:t>办事群众和企业满意度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lang w:eastAsia="zh-CN"/>
              </w:rPr>
              <w:t>增加安全，可实时储存也可及时智能报警，且可以满足事后查证的需要。有着响应时间快、非接触、使用安全及使用寿命长等优点。</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pStyle w:val="2"/>
        <w:rPr>
          <w:rFonts w:hint="eastAsia"/>
        </w:rPr>
      </w:pP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779"/>
        <w:gridCol w:w="1074"/>
        <w:gridCol w:w="2353"/>
        <w:gridCol w:w="941"/>
        <w:gridCol w:w="794"/>
        <w:gridCol w:w="1054"/>
        <w:gridCol w:w="1637"/>
        <w:gridCol w:w="601"/>
        <w:gridCol w:w="630"/>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51081222T000005585873-房屋租赁费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5"/>
                <w:szCs w:val="15"/>
                <w:u w:val="none"/>
                <w:lang w:eastAsia="zh-CN"/>
              </w:rPr>
            </w:pPr>
            <w:r>
              <w:rPr>
                <w:rFonts w:hint="eastAsia" w:ascii="宋体" w:hAnsi="宋体" w:eastAsia="宋体" w:cs="宋体"/>
                <w:i w:val="0"/>
                <w:iCs w:val="0"/>
                <w:color w:val="000000"/>
                <w:sz w:val="18"/>
                <w:szCs w:val="18"/>
                <w:u w:val="none"/>
              </w:rPr>
              <w:t>为24小时政务服务自助服务区、公共资源交易中心的开标室和评标室等服务场地提供必要的经费支持。</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5"/>
                <w:szCs w:val="15"/>
                <w:u w:val="none"/>
              </w:rPr>
            </w:pPr>
            <w:r>
              <w:rPr>
                <w:rFonts w:hint="eastAsia" w:ascii="黑体" w:hAnsi="黑体" w:eastAsia="黑体" w:cs="黑体"/>
                <w:i w:val="0"/>
                <w:iCs w:val="0"/>
                <w:color w:val="000000"/>
                <w:sz w:val="18"/>
                <w:szCs w:val="18"/>
                <w:u w:val="none"/>
                <w:lang w:val="en-US" w:eastAsia="zh-CN"/>
              </w:rPr>
              <w:t>实现了</w:t>
            </w:r>
            <w:r>
              <w:rPr>
                <w:rFonts w:hint="eastAsia" w:ascii="黑体" w:hAnsi="黑体" w:eastAsia="黑体" w:cs="黑体"/>
                <w:i w:val="0"/>
                <w:iCs w:val="0"/>
                <w:color w:val="000000"/>
                <w:sz w:val="18"/>
                <w:szCs w:val="18"/>
                <w:u w:val="none"/>
              </w:rPr>
              <w:t>群众和企业办事方便度、快捷度、办事效率更快更高。</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31"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iCs/>
                <w:color w:val="000000"/>
                <w:kern w:val="2"/>
                <w:sz w:val="18"/>
                <w:szCs w:val="18"/>
                <w:u w:val="none"/>
                <w:lang w:val="en-US" w:eastAsia="zh-CN" w:bidi="ar-SA"/>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租赁自助服务大厅及交易大厅</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742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平方米</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742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建24小时自助服务区，方便办事群众和企业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2022年全年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5"/>
                <w:szCs w:val="15"/>
                <w:u w:val="none"/>
                <w:lang w:val="en-US" w:eastAsia="zh-CN" w:bidi="ar"/>
              </w:rPr>
              <w:t>年初结转结余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1.9</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实现24小时自助服务，极大的方便办事群众和企业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16</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hint="eastAsia" w:ascii="微软雅黑" w:hAnsi="微软雅黑" w:eastAsia="微软雅黑" w:cs="微软雅黑"/>
                <w:i w:val="0"/>
                <w:iCs w:val="0"/>
                <w:color w:val="000000"/>
                <w:sz w:val="16"/>
                <w:szCs w:val="16"/>
                <w:u w:val="none"/>
                <w:lang w:val="en-US" w:eastAsia="zh-CN"/>
              </w:rPr>
              <w:t>自主服务区利用率有待提高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窗口和</w:t>
            </w:r>
            <w:r>
              <w:rPr>
                <w:rFonts w:ascii="宋体" w:hAnsi="宋体" w:eastAsia="宋体" w:cs="宋体"/>
                <w:i w:val="0"/>
                <w:iCs w:val="0"/>
                <w:color w:val="000000"/>
                <w:kern w:val="0"/>
                <w:sz w:val="18"/>
                <w:szCs w:val="18"/>
                <w:u w:val="none"/>
                <w:lang w:val="en-US" w:eastAsia="zh-CN" w:bidi="ar"/>
              </w:rPr>
              <w:t>办事人员</w:t>
            </w:r>
            <w:r>
              <w:rPr>
                <w:rFonts w:hint="eastAsia" w:ascii="宋体" w:hAnsi="宋体" w:cs="宋体"/>
                <w:i w:val="0"/>
                <w:iCs w:val="0"/>
                <w:color w:val="000000"/>
                <w:kern w:val="0"/>
                <w:sz w:val="18"/>
                <w:szCs w:val="18"/>
                <w:u w:val="none"/>
                <w:lang w:val="en-US" w:eastAsia="zh-CN" w:bidi="ar"/>
              </w:rPr>
              <w:t>满意度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ascii="宋体" w:hAnsi="宋体" w:eastAsia="宋体" w:cs="宋体"/>
                <w:i w:val="0"/>
                <w:iCs w:val="0"/>
                <w:color w:val="000000"/>
                <w:kern w:val="0"/>
                <w:sz w:val="18"/>
                <w:szCs w:val="18"/>
                <w:u w:val="none"/>
                <w:lang w:val="en-US" w:eastAsia="zh-CN" w:bidi="ar"/>
              </w:rPr>
              <w:t>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96</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群众和企业办事方便度、快捷度、办事效率更快更高。</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自主服务区利用率有待提高。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sz w:val="18"/>
                <w:szCs w:val="18"/>
                <w:u w:val="none"/>
                <w:lang w:val="en-US" w:eastAsia="zh-CN"/>
              </w:rPr>
              <w:t>进一步为</w:t>
            </w:r>
            <w:r>
              <w:rPr>
                <w:rFonts w:hint="eastAsia" w:ascii="黑体" w:hAnsi="黑体" w:eastAsia="黑体" w:cs="黑体"/>
                <w:i w:val="0"/>
                <w:iCs w:val="0"/>
                <w:color w:val="000000"/>
                <w:sz w:val="18"/>
                <w:szCs w:val="18"/>
                <w:u w:val="none"/>
              </w:rPr>
              <w:t>群众和企业办</w:t>
            </w:r>
            <w:r>
              <w:rPr>
                <w:rFonts w:hint="eastAsia" w:ascii="黑体" w:hAnsi="黑体" w:eastAsia="黑体" w:cs="黑体"/>
                <w:i w:val="0"/>
                <w:iCs w:val="0"/>
                <w:color w:val="000000"/>
                <w:sz w:val="18"/>
                <w:szCs w:val="18"/>
                <w:u w:val="none"/>
                <w:lang w:val="en-US" w:eastAsia="zh-CN"/>
              </w:rPr>
              <w:t>提供高效率、高质量的服务。</w:t>
            </w:r>
          </w:p>
        </w:tc>
      </w:tr>
    </w:tbl>
    <w:p>
      <w:pPr>
        <w:pStyle w:val="2"/>
        <w:rPr>
          <w:rFonts w:hint="eastAsia"/>
        </w:rPr>
      </w:pPr>
    </w:p>
    <w:p>
      <w:pPr>
        <w:pStyle w:val="2"/>
        <w:rPr>
          <w:rFonts w:hint="eastAsia"/>
        </w:rPr>
      </w:pP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779"/>
        <w:gridCol w:w="1074"/>
        <w:gridCol w:w="2353"/>
        <w:gridCol w:w="941"/>
        <w:gridCol w:w="794"/>
        <w:gridCol w:w="1054"/>
        <w:gridCol w:w="1637"/>
        <w:gridCol w:w="601"/>
        <w:gridCol w:w="630"/>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51081222T000005586055-省一体化政务服务平台向乡镇延伸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以利企便民为出发点，强力推进省一体化政务服务平台向基层延伸，最大限度缩小政务服务半径，打通政务服务“最后一公里”，让数据多跑路、群众少跑腿。</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sz w:val="16"/>
                <w:szCs w:val="16"/>
                <w:u w:val="none"/>
                <w:lang w:val="en-US" w:eastAsia="zh-CN"/>
              </w:rPr>
              <w:t>实现了</w:t>
            </w:r>
            <w:r>
              <w:rPr>
                <w:rFonts w:hint="eastAsia" w:ascii="黑体" w:hAnsi="黑体" w:eastAsia="黑体" w:cs="黑体"/>
                <w:i w:val="0"/>
                <w:iCs w:val="0"/>
                <w:color w:val="000000"/>
                <w:sz w:val="16"/>
                <w:szCs w:val="16"/>
                <w:u w:val="none"/>
              </w:rPr>
              <w:t>群众和企业办事方便度、快捷度、办事效率更快更高。</w:t>
            </w:r>
            <w:r>
              <w:rPr>
                <w:rFonts w:hint="eastAsia" w:ascii="黑体" w:hAnsi="黑体" w:eastAsia="黑体" w:cs="黑体"/>
                <w:i w:val="0"/>
                <w:iCs w:val="0"/>
                <w:color w:val="000000"/>
                <w:sz w:val="16"/>
                <w:szCs w:val="16"/>
                <w:u w:val="none"/>
                <w:lang w:eastAsia="zh-CN"/>
              </w:rPr>
              <w:t>（</w:t>
            </w:r>
            <w:r>
              <w:rPr>
                <w:rFonts w:hint="eastAsia" w:ascii="黑体" w:hAnsi="黑体" w:eastAsia="黑体" w:cs="黑体"/>
                <w:i w:val="0"/>
                <w:iCs w:val="0"/>
                <w:color w:val="000000"/>
                <w:sz w:val="16"/>
                <w:szCs w:val="16"/>
                <w:u w:val="none"/>
                <w:lang w:val="en-US" w:eastAsia="zh-CN"/>
              </w:rPr>
              <w:t>年初结转结余资金</w:t>
            </w:r>
            <w:r>
              <w:rPr>
                <w:rFonts w:hint="eastAsia" w:ascii="黑体" w:hAnsi="黑体" w:eastAsia="黑体" w:cs="黑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31"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iCs/>
                <w:color w:val="000000"/>
                <w:kern w:val="2"/>
                <w:sz w:val="18"/>
                <w:szCs w:val="18"/>
                <w:u w:val="none"/>
                <w:lang w:val="en-US" w:eastAsia="zh-CN" w:bidi="ar-SA"/>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5"/>
                <w:szCs w:val="15"/>
                <w:u w:val="none"/>
                <w:lang w:val="en-US" w:eastAsia="zh-CN" w:bidi="ar"/>
              </w:rPr>
              <w:t>全区乡镇、社区、村组及区大厅</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18"/>
                <w:szCs w:val="18"/>
                <w:u w:val="none"/>
                <w:lang w:val="en-US" w:eastAsia="zh-CN" w:bidi="ar"/>
              </w:rPr>
              <w:t>个</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150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6"/>
                <w:szCs w:val="16"/>
                <w:u w:val="none"/>
                <w:lang w:val="en-US" w:eastAsia="zh-CN" w:bidi="ar"/>
              </w:rPr>
              <w:t>业务、系统运行率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98</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2022年全年</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5"/>
                <w:szCs w:val="15"/>
                <w:u w:val="none"/>
                <w:lang w:val="en-US" w:eastAsia="zh-CN" w:bidi="ar"/>
              </w:rPr>
              <w:t>年初结转结余</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6"/>
                <w:szCs w:val="16"/>
                <w:u w:val="none"/>
              </w:rPr>
              <w:t>以利企便民为出发点，最大限度缩小政务服务半径，打通政务服务“最后一公里”</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办事企业和群众满意度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ascii="宋体" w:hAnsi="宋体" w:eastAsia="宋体" w:cs="宋体"/>
                <w:i w:val="0"/>
                <w:iCs w:val="0"/>
                <w:color w:val="000000"/>
                <w:kern w:val="0"/>
                <w:sz w:val="18"/>
                <w:szCs w:val="18"/>
                <w:u w:val="none"/>
                <w:lang w:val="en-US" w:eastAsia="zh-CN" w:bidi="ar"/>
              </w:rPr>
              <w:t>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lang w:val="en-US" w:eastAsia="zh-CN"/>
              </w:rPr>
              <w:t>实现了</w:t>
            </w:r>
            <w:r>
              <w:rPr>
                <w:rFonts w:hint="eastAsia" w:ascii="黑体" w:hAnsi="黑体" w:eastAsia="黑体" w:cs="黑体"/>
                <w:i w:val="0"/>
                <w:iCs w:val="0"/>
                <w:color w:val="000000"/>
                <w:sz w:val="18"/>
                <w:szCs w:val="18"/>
                <w:u w:val="none"/>
              </w:rPr>
              <w:t>群众和企业办事方便度、快捷度、办事效率更快更高。</w:t>
            </w:r>
            <w:r>
              <w:rPr>
                <w:rFonts w:hint="eastAsia" w:ascii="黑体" w:hAnsi="黑体" w:eastAsia="黑体" w:cs="黑体"/>
                <w:i w:val="0"/>
                <w:iCs w:val="0"/>
                <w:color w:val="000000"/>
                <w:sz w:val="18"/>
                <w:szCs w:val="18"/>
                <w:u w:val="none"/>
                <w:lang w:val="en-US" w:eastAsia="zh-CN"/>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p>
        </w:tc>
      </w:tr>
    </w:tbl>
    <w:p>
      <w:pPr>
        <w:pStyle w:val="2"/>
        <w:rPr>
          <w:rFonts w:hint="eastAsia"/>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bl>
      <w:tblPr>
        <w:tblStyle w:val="20"/>
        <w:tblW w:w="152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779"/>
        <w:gridCol w:w="1074"/>
        <w:gridCol w:w="2353"/>
        <w:gridCol w:w="941"/>
        <w:gridCol w:w="794"/>
        <w:gridCol w:w="1054"/>
        <w:gridCol w:w="1637"/>
        <w:gridCol w:w="601"/>
        <w:gridCol w:w="630"/>
        <w:gridCol w:w="3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51081222T000005940109-政务大厅电费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3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kern w:val="0"/>
                <w:sz w:val="15"/>
                <w:szCs w:val="15"/>
                <w:u w:val="none"/>
                <w:lang w:val="en-US" w:eastAsia="zh-CN" w:bidi="ar"/>
              </w:rPr>
              <w:t>按实按时缴纳电费，确保大厅各类办公设备、照明设施的正常运行，确保大厅办公区亮灯率达到98%以上。</w:t>
            </w:r>
            <w:r>
              <w:rPr>
                <w:rFonts w:ascii="宋体" w:hAnsi="宋体" w:eastAsia="宋体" w:cs="宋体"/>
                <w:i w:val="0"/>
                <w:iCs w:val="0"/>
                <w:color w:val="000000"/>
                <w:kern w:val="0"/>
                <w:sz w:val="15"/>
                <w:szCs w:val="15"/>
                <w:u w:val="none"/>
                <w:lang w:val="en-US" w:eastAsia="zh-CN" w:bidi="ar"/>
              </w:rPr>
              <w:t>政务大厅每天用电1</w:t>
            </w:r>
            <w:r>
              <w:rPr>
                <w:rFonts w:hint="eastAsia" w:ascii="宋体" w:hAnsi="宋体" w:cs="宋体"/>
                <w:i w:val="0"/>
                <w:iCs w:val="0"/>
                <w:color w:val="000000"/>
                <w:kern w:val="0"/>
                <w:sz w:val="15"/>
                <w:szCs w:val="15"/>
                <w:u w:val="none"/>
                <w:lang w:val="en-US" w:eastAsia="zh-CN" w:bidi="ar"/>
              </w:rPr>
              <w:t>70</w:t>
            </w:r>
            <w:r>
              <w:rPr>
                <w:rFonts w:ascii="宋体" w:hAnsi="宋体" w:eastAsia="宋体" w:cs="宋体"/>
                <w:i w:val="0"/>
                <w:iCs w:val="0"/>
                <w:color w:val="000000"/>
                <w:kern w:val="0"/>
                <w:sz w:val="15"/>
                <w:szCs w:val="15"/>
                <w:u w:val="none"/>
                <w:lang w:val="en-US" w:eastAsia="zh-CN" w:bidi="ar"/>
              </w:rPr>
              <w:t>千瓦时，每天8小时，每月22天，每度0.7元计。全年共计2</w:t>
            </w:r>
            <w:r>
              <w:rPr>
                <w:rFonts w:hint="eastAsia" w:ascii="宋体" w:hAnsi="宋体" w:cs="宋体"/>
                <w:i w:val="0"/>
                <w:iCs w:val="0"/>
                <w:color w:val="000000"/>
                <w:kern w:val="0"/>
                <w:sz w:val="15"/>
                <w:szCs w:val="15"/>
                <w:u w:val="none"/>
                <w:lang w:val="en-US" w:eastAsia="zh-CN" w:bidi="ar"/>
              </w:rPr>
              <w:t>7</w:t>
            </w:r>
            <w:r>
              <w:rPr>
                <w:rFonts w:ascii="宋体" w:hAnsi="宋体" w:eastAsia="宋体" w:cs="宋体"/>
                <w:i w:val="0"/>
                <w:iCs w:val="0"/>
                <w:color w:val="000000"/>
                <w:kern w:val="0"/>
                <w:sz w:val="15"/>
                <w:szCs w:val="15"/>
                <w:u w:val="none"/>
                <w:lang w:val="en-US" w:eastAsia="zh-CN" w:bidi="ar"/>
              </w:rPr>
              <w:t>万元。</w:t>
            </w:r>
          </w:p>
        </w:tc>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sz w:val="18"/>
                <w:szCs w:val="18"/>
                <w:u w:val="none"/>
              </w:rPr>
              <w:t>主要保障了三个方面：一是保障政务大厅监控、空调、饮水机、LED显示屏等设备正常运行;二是保障大厅各窗口电脑、打印机等办公设备的正常运行；三是24小时自评服务区的各类设备正常运行。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2.实施内容及过程概述</w:t>
            </w:r>
          </w:p>
        </w:tc>
        <w:tc>
          <w:tcPr>
            <w:tcW w:w="12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31"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黑体" w:hAnsi="黑体" w:eastAsia="黑体" w:cs="黑体"/>
                <w:i/>
                <w:iCs/>
                <w:color w:val="000000"/>
                <w:kern w:val="2"/>
                <w:sz w:val="18"/>
                <w:szCs w:val="18"/>
                <w:u w:val="none"/>
                <w:lang w:val="en-US" w:eastAsia="zh-CN" w:bidi="ar-SA"/>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27.00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7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31"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3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3"/>
                <w:szCs w:val="13"/>
                <w:u w:val="none"/>
                <w:lang w:val="en-US" w:eastAsia="zh-CN" w:bidi="ar"/>
              </w:rPr>
              <w:t>局机关及政务服务大厅运行用电量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34</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万千瓦</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为办事群众提供便利。</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val="en-US" w:eastAsia="zh-CN"/>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高</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pPr>
            <w:r>
              <w:rPr>
                <w:rFonts w:hint="eastAsia"/>
                <w:sz w:val="13"/>
                <w:szCs w:val="1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完成时限</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每千瓦按0.7元计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7</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27</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保障正常办公用电，方便办事群众和企业。</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16</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left"/>
            </w:pPr>
            <w:r>
              <w:rPr>
                <w:rFonts w:hint="eastAsia"/>
                <w:sz w:val="13"/>
                <w:szCs w:val="13"/>
              </w:rPr>
              <w:t>大厅窗口人员未养成下班离岗前主动关闭电脑等办公设备电源的习惯。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6"/>
                <w:szCs w:val="16"/>
                <w:u w:val="none"/>
                <w:lang w:val="en-US" w:eastAsia="zh-CN" w:bidi="ar"/>
              </w:rPr>
              <w:t>办事企业群众和窗口满意度</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val="en-US" w:eastAsia="zh-CN"/>
              </w:rPr>
              <w:t>20</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ascii="宋体" w:hAnsi="宋体" w:eastAsia="宋体" w:cs="宋体"/>
                <w:i w:val="0"/>
                <w:iCs w:val="0"/>
                <w:color w:val="000000"/>
                <w:kern w:val="0"/>
                <w:sz w:val="18"/>
                <w:szCs w:val="18"/>
                <w:u w:val="none"/>
                <w:lang w:val="en-US" w:eastAsia="zh-CN" w:bidi="ar"/>
              </w:rPr>
              <w:t>合计</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34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294" w:type="dxa"/>
            <w:gridSpan w:val="10"/>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微软雅黑" w:hAnsi="微软雅黑" w:eastAsia="黑体"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rPr>
              <w:t>保障正常办公用电，确保为办事群众和企业提供更好的服务。</w:t>
            </w:r>
            <w:r>
              <w:rPr>
                <w:rFonts w:hint="eastAsia" w:ascii="微软雅黑" w:hAnsi="微软雅黑" w:eastAsia="微软雅黑" w:cs="微软雅黑"/>
                <w:i/>
                <w:iCs/>
                <w:color w:val="000000"/>
                <w:sz w:val="16"/>
                <w:szCs w:val="16"/>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sz w:val="13"/>
                <w:szCs w:val="13"/>
              </w:rPr>
              <w:t>大厅窗口人员未养成下班离岗前主动关闭电脑等办公设备电源的习惯。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2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rPr>
              <w:t>加强对大厅节约用电的宣传，确保办公电费逐年下降。</w:t>
            </w:r>
          </w:p>
        </w:tc>
      </w:tr>
    </w:tbl>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tbl>
      <w:tblPr>
        <w:tblStyle w:val="20"/>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963"/>
        <w:gridCol w:w="875"/>
        <w:gridCol w:w="1015"/>
        <w:gridCol w:w="15"/>
        <w:gridCol w:w="2338"/>
        <w:gridCol w:w="941"/>
        <w:gridCol w:w="29"/>
        <w:gridCol w:w="765"/>
        <w:gridCol w:w="30"/>
        <w:gridCol w:w="1024"/>
        <w:gridCol w:w="49"/>
        <w:gridCol w:w="187"/>
        <w:gridCol w:w="508"/>
        <w:gridCol w:w="923"/>
        <w:gridCol w:w="632"/>
        <w:gridCol w:w="603"/>
        <w:gridCol w:w="2759"/>
        <w:gridCol w:w="667"/>
        <w:gridCol w:w="4588"/>
        <w:gridCol w:w="450"/>
        <w:gridCol w:w="3701"/>
        <w:gridCol w:w="6133"/>
        <w:gridCol w:w="3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9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5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4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54"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5425"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5539" w:type="dxa"/>
            <w:gridSpan w:val="5"/>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38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449" w:hRule="atLeast"/>
        </w:trPr>
        <w:tc>
          <w:tcPr>
            <w:tcW w:w="152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30"/>
                <w:szCs w:val="30"/>
                <w:u w:val="none"/>
                <w:lang w:val="en-US" w:eastAsia="zh-CN" w:bidi="ar"/>
              </w:rPr>
              <w:t>部门预算项目支出绩效自评表（2022年度）33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51081222T000006972018-政务大厅办公用房租赁费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129"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18"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7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47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为区政务服务大厅二楼2500㎡办公场地提供必要的经费支持，为进驻单位窗口提供安全、舒适、整洁的服务环境。</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为进驻单位窗口提供安全、舒适、整洁的服务环境，从而为群众和企业提供报务更好地服务质量更高地办事效率。</w:t>
            </w:r>
            <w:r>
              <w:rPr>
                <w:rFonts w:hint="eastAsia" w:ascii="黑体" w:hAnsi="黑体" w:eastAsia="黑体" w:cs="黑体"/>
                <w:i w:val="0"/>
                <w:iCs w:val="0"/>
                <w:color w:val="000000"/>
                <w:sz w:val="18"/>
                <w:szCs w:val="18"/>
                <w:u w:val="none"/>
                <w:lang w:eastAsia="zh-CN"/>
              </w:rPr>
              <w:t>（</w:t>
            </w:r>
            <w:r>
              <w:rPr>
                <w:rFonts w:hint="eastAsia" w:ascii="黑体" w:hAnsi="黑体" w:eastAsia="黑体" w:cs="黑体"/>
                <w:i w:val="0"/>
                <w:iCs w:val="0"/>
                <w:color w:val="000000"/>
                <w:sz w:val="18"/>
                <w:szCs w:val="18"/>
                <w:u w:val="none"/>
                <w:lang w:val="en-US" w:eastAsia="zh-CN"/>
              </w:rPr>
              <w:t>年初结转结余资金</w:t>
            </w:r>
            <w:r>
              <w:rPr>
                <w:rFonts w:hint="eastAsia" w:ascii="黑体" w:hAnsi="黑体" w:eastAsia="黑体" w:cs="黑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1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2.实施内容及过程概述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724.92</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724.92</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4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724.92</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724.92</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3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4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3"/>
                <w:szCs w:val="13"/>
                <w:u w:val="none"/>
                <w:lang w:val="en-US" w:eastAsia="zh-CN" w:bidi="ar"/>
              </w:rPr>
              <w:t>租赁面积</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平方米</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2500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租</w:t>
            </w:r>
            <w:r>
              <w:rPr>
                <w:rFonts w:hint="eastAsia" w:ascii="宋体" w:hAnsi="宋体" w:eastAsia="宋体" w:cs="宋体"/>
                <w:i w:val="0"/>
                <w:iCs w:val="0"/>
                <w:color w:val="000000"/>
                <w:sz w:val="18"/>
                <w:szCs w:val="18"/>
                <w:u w:val="none"/>
              </w:rPr>
              <w:t>赁面积使用率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eastAsia" w:ascii="微软雅黑" w:hAnsi="微软雅黑" w:eastAsia="微软雅黑" w:cs="微软雅黑"/>
                <w:i/>
                <w:iCs/>
                <w:color w:val="000000"/>
                <w:sz w:val="16"/>
                <w:szCs w:val="16"/>
                <w:u w:val="none"/>
              </w:rPr>
            </w:pPr>
            <w:r>
              <w:rPr>
                <w:rFonts w:hint="eastAsia"/>
                <w:sz w:val="13"/>
                <w:szCs w:val="1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完成时限</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5年租赁费用</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724.92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724.92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3"/>
                <w:szCs w:val="13"/>
                <w:lang w:val="en-US" w:eastAsia="zh-CN" w:bidi="ar"/>
              </w:rPr>
              <w:t>为进驻单位窗口提供安全、舒适、整洁的服务环境，</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微软雅黑" w:hAnsi="微软雅黑" w:eastAsia="微软雅黑" w:cs="微软雅黑"/>
                <w:i/>
                <w:iCs/>
                <w:color w:val="000000"/>
                <w:sz w:val="16"/>
                <w:szCs w:val="16"/>
                <w:u w:val="none"/>
                <w:lang w:val="en-US" w:eastAsia="zh-CN"/>
              </w:rPr>
            </w:pPr>
            <w:r>
              <w:rPr>
                <w:rFonts w:hint="eastAsia" w:eastAsia="微软雅黑"/>
                <w:sz w:val="15"/>
                <w:szCs w:val="15"/>
                <w:lang w:val="en-US" w:eastAsia="zh-CN"/>
              </w:rPr>
              <w:t>租赁面积有限，某些方面不能完全达到服务要求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办事企业群众和窗口满意度</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1062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96</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43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为进驻单位窗口提供安全、舒适、整洁的服务环境，从而为群众和企业提供报务更好地服务质量更高地办事效率。</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eastAsia="微软雅黑"/>
                <w:sz w:val="15"/>
                <w:szCs w:val="15"/>
                <w:lang w:val="en-US" w:eastAsia="zh-CN"/>
              </w:rPr>
              <w:t>租赁面积有限，某些方面不能完全达到服务要求。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4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进一步争取区委区政府同意，尽最大努力达到服务要求。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85" w:hRule="atLeast"/>
        </w:trPr>
        <w:tc>
          <w:tcPr>
            <w:tcW w:w="9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1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2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74" w:hRule="atLeast"/>
        </w:trPr>
        <w:tc>
          <w:tcPr>
            <w:tcW w:w="152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85"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51081222T000007173959-“村能办”“家门办”便民服务体系建设项目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14"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18"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523"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根据深化“放管服”改革要求，不断优化营商环境，以一体化政务服务平台为依托，完善便明服务体系设施设备，将群众经常办理且村级便民服务站有承接能力的事项，以委托受理、授权受理等方式下沉到村、社区，最多限度的方便办事群众和企业，提升服务质量，提高办事效率。</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sz w:val="16"/>
                <w:szCs w:val="16"/>
                <w:u w:val="none"/>
              </w:rPr>
              <w:t>将群众经常办理且村级便民服务站有承接能力的事项下沉到村、社区，实现村能办、家门办的模式，提升基层便民服务的水平。方便村、社区群众办事，最大限度让群众少跑路，提升办事效率。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44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2.实施内容及过程概述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该项目由公共资源和政务服务中心主任负责牵头，政务服务股具体负责实施和运行情况。严格按照相关规定，明确责任，合理分工，密切协作，为保障“村能办”“家门办”便民服务体系建设项目顺利实施提供强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18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p>
        </w:tc>
        <w:tc>
          <w:tcPr>
            <w:tcW w:w="3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9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15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69"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涉及</w:t>
            </w:r>
            <w:r>
              <w:rPr>
                <w:rFonts w:hint="eastAsia" w:ascii="宋体" w:hAnsi="宋体" w:cs="宋体"/>
                <w:i w:val="0"/>
                <w:iCs w:val="0"/>
                <w:color w:val="000000"/>
                <w:sz w:val="18"/>
                <w:szCs w:val="18"/>
                <w:u w:val="none"/>
                <w:lang w:val="en-US" w:eastAsia="zh-CN"/>
              </w:rPr>
              <w:t>乡镇、</w:t>
            </w:r>
            <w:r>
              <w:rPr>
                <w:rFonts w:hint="eastAsia" w:ascii="宋体" w:hAnsi="宋体" w:eastAsia="宋体" w:cs="宋体"/>
                <w:i w:val="0"/>
                <w:iCs w:val="0"/>
                <w:color w:val="000000"/>
                <w:sz w:val="18"/>
                <w:szCs w:val="18"/>
                <w:u w:val="none"/>
              </w:rPr>
              <w:t>村、社区</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72</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个</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72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服务体系运行</w:t>
            </w:r>
            <w:r>
              <w:rPr>
                <w:rFonts w:hint="eastAsia" w:ascii="宋体" w:hAnsi="宋体" w:eastAsia="宋体" w:cs="宋体"/>
                <w:i w:val="0"/>
                <w:iCs w:val="0"/>
                <w:color w:val="000000"/>
                <w:sz w:val="18"/>
                <w:szCs w:val="18"/>
                <w:u w:val="none"/>
              </w:rPr>
              <w:t>使用率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eastAsia" w:ascii="微软雅黑" w:hAnsi="微软雅黑" w:eastAsia="微软雅黑" w:cs="微软雅黑"/>
                <w:i/>
                <w:iCs/>
                <w:color w:val="000000"/>
                <w:sz w:val="16"/>
                <w:szCs w:val="16"/>
                <w:u w:val="none"/>
              </w:rPr>
            </w:pPr>
            <w:r>
              <w:rPr>
                <w:rFonts w:hint="eastAsia"/>
                <w:sz w:val="13"/>
                <w:szCs w:val="1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完成时限</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微软雅黑" w:hAnsi="微软雅黑" w:eastAsia="微软雅黑" w:cs="微软雅黑"/>
                <w:i/>
                <w:iCs/>
                <w:color w:val="000000"/>
                <w:sz w:val="16"/>
                <w:szCs w:val="16"/>
                <w:u w:val="none"/>
              </w:rPr>
            </w:pPr>
            <w:r>
              <w:rPr>
                <w:rFonts w:hint="eastAsia" w:ascii="宋体" w:hAnsi="宋体" w:eastAsia="宋体" w:cs="宋体"/>
                <w:color w:val="000000"/>
                <w:kern w:val="2"/>
                <w:sz w:val="15"/>
                <w:szCs w:val="15"/>
                <w:lang w:val="en-US" w:eastAsia="zh-CN" w:bidi="ar"/>
              </w:rPr>
              <w:t>5个月          （2022年8月-12月）</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5"/>
                <w:szCs w:val="15"/>
                <w:lang w:val="en-US" w:eastAsia="zh-CN" w:bidi="ar"/>
              </w:rPr>
              <w:t>经政府常委会研究建设资金额度</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2"/>
                <w:sz w:val="16"/>
                <w:szCs w:val="16"/>
                <w:lang w:val="en-US" w:eastAsia="zh-CN" w:bidi="ar"/>
              </w:rPr>
              <w:t>方便村、社区群众办事，最大限度让群众少跑路，</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好</w:t>
            </w:r>
            <w:r>
              <w:rPr>
                <w:rFonts w:ascii="宋体" w:hAnsi="宋体" w:eastAsia="宋体" w:cs="宋体"/>
                <w:i w:val="0"/>
                <w:iCs w:val="0"/>
                <w:color w:val="000000"/>
                <w:kern w:val="0"/>
                <w:sz w:val="18"/>
                <w:szCs w:val="18"/>
                <w:u w:val="none"/>
                <w:lang w:val="en-US" w:eastAsia="zh-CN" w:bidi="ar"/>
              </w:rPr>
              <w:t>中</w:t>
            </w:r>
            <w:r>
              <w:rPr>
                <w:rFonts w:hint="eastAsia" w:ascii="宋体" w:hAnsi="宋体" w:cs="宋体"/>
                <w:i w:val="0"/>
                <w:iCs w:val="0"/>
                <w:color w:val="000000"/>
                <w:kern w:val="0"/>
                <w:sz w:val="18"/>
                <w:szCs w:val="18"/>
                <w:u w:val="none"/>
                <w:lang w:val="en-US" w:eastAsia="zh-CN" w:bidi="ar"/>
              </w:rPr>
              <w:t>坏</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18</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微软雅黑" w:hAnsi="微软雅黑" w:eastAsia="微软雅黑" w:cs="微软雅黑"/>
                <w:i/>
                <w:iCs/>
                <w:color w:val="000000"/>
                <w:sz w:val="16"/>
                <w:szCs w:val="16"/>
                <w:u w:val="none"/>
                <w:lang w:val="en-US"/>
              </w:rPr>
            </w:pPr>
            <w:r>
              <w:rPr>
                <w:rFonts w:hint="eastAsia" w:eastAsia="微软雅黑"/>
                <w:sz w:val="15"/>
                <w:szCs w:val="15"/>
                <w:lang w:val="en-US" w:eastAsia="zh-CN"/>
              </w:rPr>
              <w:t>该服务体系新建，社会效益方面还有待提高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ascii="宋体" w:hAnsi="宋体" w:eastAsia="宋体" w:cs="宋体"/>
                <w:i w:val="0"/>
                <w:iCs w:val="0"/>
                <w:color w:val="000000"/>
                <w:kern w:val="0"/>
                <w:sz w:val="13"/>
                <w:szCs w:val="13"/>
                <w:u w:val="none"/>
                <w:lang w:val="en-US" w:eastAsia="zh-CN" w:bidi="ar"/>
              </w:rPr>
            </w:pPr>
            <w:r>
              <w:rPr>
                <w:rFonts w:hint="eastAsia" w:ascii="宋体" w:hAnsi="宋体" w:eastAsia="宋体" w:cs="宋体"/>
                <w:color w:val="000000"/>
                <w:kern w:val="0"/>
                <w:sz w:val="15"/>
                <w:szCs w:val="15"/>
                <w:lang w:val="en-US" w:eastAsia="zh-CN" w:bidi="ar"/>
              </w:rPr>
              <w:t>可持续影响 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color w:val="000000"/>
                <w:kern w:val="2"/>
                <w:sz w:val="16"/>
                <w:szCs w:val="16"/>
                <w:lang w:val="en-US" w:eastAsia="zh-CN" w:bidi="ar"/>
              </w:rPr>
            </w:pPr>
            <w:r>
              <w:rPr>
                <w:rFonts w:hint="eastAsia" w:ascii="宋体" w:hAnsi="宋体" w:eastAsia="宋体" w:cs="宋体"/>
                <w:color w:val="000000"/>
                <w:kern w:val="0"/>
                <w:sz w:val="16"/>
                <w:szCs w:val="16"/>
                <w:lang w:val="en-US" w:eastAsia="zh-CN" w:bidi="ar"/>
              </w:rPr>
              <w:t>完善便民服务体系，让基层网络代替办事人员跑路，</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好</w:t>
            </w:r>
            <w:r>
              <w:rPr>
                <w:rFonts w:ascii="宋体" w:hAnsi="宋体" w:eastAsia="宋体" w:cs="宋体"/>
                <w:i w:val="0"/>
                <w:iCs w:val="0"/>
                <w:color w:val="000000"/>
                <w:kern w:val="0"/>
                <w:sz w:val="18"/>
                <w:szCs w:val="18"/>
                <w:u w:val="none"/>
                <w:lang w:val="en-US" w:eastAsia="zh-CN" w:bidi="ar"/>
              </w:rPr>
              <w:t>中</w:t>
            </w:r>
            <w:r>
              <w:rPr>
                <w:rFonts w:hint="eastAsia" w:ascii="宋体" w:hAnsi="宋体" w:cs="宋体"/>
                <w:i w:val="0"/>
                <w:iCs w:val="0"/>
                <w:color w:val="000000"/>
                <w:kern w:val="0"/>
                <w:sz w:val="18"/>
                <w:szCs w:val="18"/>
                <w:u w:val="none"/>
                <w:lang w:val="en-US" w:eastAsia="zh-CN" w:bidi="ar"/>
              </w:rPr>
              <w:t>坏</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中</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eastAsia="微软雅黑"/>
                <w:sz w:val="15"/>
                <w:szCs w:val="15"/>
                <w:lang w:val="en-US" w:eastAsia="zh-CN"/>
              </w:rPr>
            </w:pPr>
            <w:r>
              <w:rPr>
                <w:rFonts w:hint="eastAsia" w:eastAsia="微软雅黑"/>
                <w:sz w:val="15"/>
                <w:szCs w:val="15"/>
                <w:lang w:val="en-US" w:eastAsia="zh-CN"/>
              </w:rPr>
              <w:t>该服务体系新建，可持续影响还有待提升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办事企业群众和窗口满意度</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85" w:hRule="atLeast"/>
        </w:trPr>
        <w:tc>
          <w:tcPr>
            <w:tcW w:w="1062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96</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9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方便村、社区群众办事，最大限度让群众少跑路，提升办事效率。</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19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hint="eastAsia" w:eastAsia="微软雅黑"/>
                <w:sz w:val="15"/>
                <w:szCs w:val="15"/>
                <w:lang w:val="en-US" w:eastAsia="zh-CN"/>
              </w:rPr>
              <w:t>该服务体系新建，社会效益方面和可持续影响还有待提高、提升。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进一步加强指导“村能办”“家门办”便民服务体系业务办理水平，提高办事质量和效率。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9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1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2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468" w:hRule="atLeast"/>
        </w:trPr>
        <w:tc>
          <w:tcPr>
            <w:tcW w:w="152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85"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77"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18"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58"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7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43"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6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6.38</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6.38</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6.38</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6.38</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4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7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9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41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67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90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029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2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严格执行预算，保障单位日常运转。</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2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433"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515" w:type="dxa"/>
          <w:trHeight w:val="285" w:hRule="atLeast"/>
        </w:trPr>
        <w:tc>
          <w:tcPr>
            <w:tcW w:w="9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9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172" w:type="dxa"/>
            <w:gridSpan w:val="6"/>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70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442" w:hRule="atLeast"/>
        </w:trPr>
        <w:tc>
          <w:tcPr>
            <w:tcW w:w="15282"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1"/>
                <w:szCs w:val="21"/>
                <w:u w:val="none"/>
                <w:lang w:val="en-US" w:eastAsia="zh-CN" w:bidi="ar"/>
              </w:rPr>
              <w:t>部门预算项目支出绩效自评表（2022年度）36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85" w:hRule="atLeast"/>
        </w:trPr>
        <w:tc>
          <w:tcPr>
            <w:tcW w:w="2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804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618"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28"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23"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2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62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8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19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13.29</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13.29</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4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13.29</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13.29</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21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9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21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1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67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预算编制准确率（计算方法为：∣（执行数-预算数）/预算数∣）</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90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33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170" w:hRule="atLeast"/>
        </w:trPr>
        <w:tc>
          <w:tcPr>
            <w:tcW w:w="1062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126"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rPr>
            </w:pPr>
            <w:r>
              <w:rPr>
                <w:rFonts w:ascii="宋体" w:hAnsi="宋体" w:eastAsia="宋体" w:cs="宋体"/>
                <w:i w:val="0"/>
                <w:iCs w:val="0"/>
                <w:color w:val="000000"/>
                <w:kern w:val="0"/>
                <w:sz w:val="18"/>
                <w:szCs w:val="18"/>
                <w:u w:val="none"/>
                <w:lang w:val="en-US" w:eastAsia="zh-CN" w:bidi="ar"/>
              </w:rPr>
              <w:t>严格执行预算，保障单位日常运转。</w:t>
            </w:r>
            <w:r>
              <w:rPr>
                <w:rFonts w:hint="eastAsia" w:ascii="宋体" w:hAnsi="宋体" w:cs="宋体"/>
                <w:i w:val="0"/>
                <w:iCs w:val="0"/>
                <w:color w:val="000000"/>
                <w:kern w:val="0"/>
                <w:sz w:val="18"/>
                <w:szCs w:val="18"/>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254" w:type="dxa"/>
          <w:trHeight w:val="14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143"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23"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254" w:type="dxa"/>
          <w:trHeight w:val="90" w:hRule="atLeast"/>
        </w:trPr>
        <w:tc>
          <w:tcPr>
            <w:tcW w:w="959"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38"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3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2338"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970"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795"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07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618" w:type="dxa"/>
            <w:gridSpan w:val="3"/>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3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0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3426"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0"/>
          <w:sz w:val="32"/>
          <w:szCs w:val="32"/>
          <w:lang w:val="en-US" w:eastAsia="zh-CN" w:bidi="ar"/>
        </w:rPr>
        <w:sectPr>
          <w:pgSz w:w="16838" w:h="11906" w:orient="landscape"/>
          <w:pgMar w:top="283" w:right="850" w:bottom="283" w:left="850" w:header="851" w:footer="992" w:gutter="0"/>
          <w:pgNumType w:fmt="numberInDash"/>
          <w:cols w:space="0" w:num="1"/>
          <w:titlePg/>
          <w:rtlGutter w:val="0"/>
          <w:docGrid w:type="lines" w:linePitch="312" w:charSpace="0"/>
        </w:sectPr>
      </w:pPr>
    </w:p>
    <w:tbl>
      <w:tblPr>
        <w:tblStyle w:val="20"/>
        <w:tblW w:w="152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1868"/>
        <w:gridCol w:w="1000"/>
        <w:gridCol w:w="2323"/>
        <w:gridCol w:w="1000"/>
        <w:gridCol w:w="780"/>
        <w:gridCol w:w="1088"/>
        <w:gridCol w:w="1587"/>
        <w:gridCol w:w="633"/>
        <w:gridCol w:w="618"/>
        <w:gridCol w:w="3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2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51081223T000008287777-首届技能大赛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8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6"/>
                <w:szCs w:val="16"/>
                <w:u w:val="none"/>
              </w:rPr>
              <w:t>为扎实开展政务服务和公共资源交易服务系统“提能争优”夯基行动和全系统干部职工队伍建设，根据省、市《关于开展首届政府服务和公共资源交易服务技能大赛的通知》相关要求，在区、乡（镇）、村三级政务服务系统开展技能大赛初赛。</w:t>
            </w:r>
          </w:p>
        </w:tc>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培训政务大厅和乡镇便民服务中心工作人员业务技能，提升服务质量。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2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我单位安排分管理领导专门负责该项工作的组织、协调、开展，大赛结果我单位荣获四川省首届政务服务和公共资源交易服务技能大赛初赛（广元市）团体二等奖，2人荣获个人二等奖和3人荣获个人三等奖，个人获奖者均被评定为“广元市政务服务技术能手”。通过本次竞赛，不仅检验了个人的业务知识水平，也增强了个人的服务意识和服务能力，达到了凝聚政务力量、提升政务效能的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rPr>
              <w:t>涉及</w:t>
            </w:r>
            <w:r>
              <w:rPr>
                <w:rFonts w:hint="eastAsia" w:ascii="宋体" w:hAnsi="宋体" w:cs="宋体"/>
                <w:i w:val="0"/>
                <w:iCs w:val="0"/>
                <w:color w:val="000000"/>
                <w:sz w:val="18"/>
                <w:szCs w:val="18"/>
                <w:u w:val="none"/>
                <w:lang w:val="en-US" w:eastAsia="zh-CN"/>
              </w:rPr>
              <w:t>参赛人员</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400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网络试题练习完成率率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eastAsia" w:ascii="微软雅黑" w:hAnsi="微软雅黑" w:eastAsia="微软雅黑" w:cs="微软雅黑"/>
                <w:i/>
                <w:iCs/>
                <w:color w:val="000000"/>
                <w:sz w:val="16"/>
                <w:szCs w:val="16"/>
                <w:u w:val="none"/>
              </w:rPr>
            </w:pPr>
            <w:r>
              <w:rPr>
                <w:rFonts w:hint="eastAsia"/>
                <w:sz w:val="13"/>
                <w:szCs w:val="1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完成时限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3"/>
                <w:szCs w:val="13"/>
                <w:u w:val="none"/>
              </w:rPr>
              <w:t>4个月</w:t>
            </w:r>
            <w:r>
              <w:rPr>
                <w:rFonts w:hint="eastAsia" w:ascii="微软雅黑" w:hAnsi="微软雅黑" w:eastAsia="微软雅黑" w:cs="微软雅黑"/>
                <w:i/>
                <w:iCs/>
                <w:color w:val="000000"/>
                <w:sz w:val="13"/>
                <w:szCs w:val="13"/>
                <w:u w:val="none"/>
                <w:lang w:val="en-US" w:eastAsia="zh-CN"/>
              </w:rPr>
              <w:t xml:space="preserve">              </w:t>
            </w:r>
            <w:r>
              <w:rPr>
                <w:rFonts w:hint="eastAsia" w:ascii="微软雅黑" w:hAnsi="微软雅黑" w:eastAsia="微软雅黑" w:cs="微软雅黑"/>
                <w:i/>
                <w:iCs/>
                <w:color w:val="000000"/>
                <w:sz w:val="13"/>
                <w:szCs w:val="13"/>
                <w:u w:val="none"/>
              </w:rPr>
              <w:t>（3月1日-6月30日）</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color w:val="000000"/>
                <w:kern w:val="2"/>
                <w:sz w:val="15"/>
                <w:szCs w:val="15"/>
                <w:lang w:val="en-US" w:eastAsia="zh-CN" w:bidi="ar"/>
              </w:rPr>
              <w:t>依</w:t>
            </w:r>
            <w:r>
              <w:rPr>
                <w:rFonts w:hint="eastAsia" w:ascii="微软雅黑" w:hAnsi="微软雅黑" w:eastAsia="微软雅黑" w:cs="微软雅黑"/>
                <w:b w:val="0"/>
                <w:bCs w:val="0"/>
                <w:i/>
                <w:iCs/>
                <w:color w:val="000000"/>
                <w:sz w:val="15"/>
                <w:szCs w:val="15"/>
                <w:u w:val="none"/>
                <w:lang w:val="en-US" w:eastAsia="zh-CN"/>
              </w:rPr>
              <w:t>据</w:t>
            </w:r>
            <w:r>
              <w:rPr>
                <w:rFonts w:hint="eastAsia" w:ascii="微软雅黑" w:hAnsi="微软雅黑" w:eastAsia="微软雅黑" w:cs="微软雅黑"/>
                <w:b w:val="0"/>
                <w:bCs w:val="0"/>
                <w:i/>
                <w:iCs/>
                <w:color w:val="000000"/>
                <w:sz w:val="13"/>
                <w:szCs w:val="13"/>
                <w:u w:val="none"/>
                <w:lang w:val="en-US" w:eastAsia="zh-CN"/>
              </w:rPr>
              <w:t>大赛实际运行情况，凭票据报请区政府审定，财政核拨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3"/>
                <w:szCs w:val="13"/>
                <w:u w:val="none"/>
              </w:rPr>
              <w:t>培训政务大厅和乡镇便民服</w:t>
            </w:r>
            <w:r>
              <w:rPr>
                <w:rFonts w:hint="eastAsia" w:ascii="宋体" w:hAnsi="宋体" w:eastAsia="宋体" w:cs="宋体"/>
                <w:i w:val="0"/>
                <w:iCs w:val="0"/>
                <w:color w:val="000000"/>
                <w:sz w:val="13"/>
                <w:szCs w:val="13"/>
                <w:u w:val="none"/>
              </w:rPr>
              <w:t>务中心工作人员业务技能，提升服务质量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好</w:t>
            </w:r>
            <w:r>
              <w:rPr>
                <w:rFonts w:ascii="宋体" w:hAnsi="宋体" w:eastAsia="宋体" w:cs="宋体"/>
                <w:i w:val="0"/>
                <w:iCs w:val="0"/>
                <w:color w:val="000000"/>
                <w:kern w:val="0"/>
                <w:sz w:val="18"/>
                <w:szCs w:val="18"/>
                <w:u w:val="none"/>
                <w:lang w:val="en-US" w:eastAsia="zh-CN" w:bidi="ar"/>
              </w:rPr>
              <w:t>中</w:t>
            </w:r>
            <w:r>
              <w:rPr>
                <w:rFonts w:hint="eastAsia" w:ascii="宋体" w:hAnsi="宋体" w:cs="宋体"/>
                <w:i w:val="0"/>
                <w:iCs w:val="0"/>
                <w:color w:val="000000"/>
                <w:kern w:val="0"/>
                <w:sz w:val="18"/>
                <w:szCs w:val="18"/>
                <w:u w:val="none"/>
                <w:lang w:val="en-US" w:eastAsia="zh-CN" w:bidi="ar"/>
              </w:rPr>
              <w:t>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参与培训的深度和广度还有提升的空间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pPr>
            <w:r>
              <w:rPr>
                <w:rFonts w:ascii="宋体" w:hAnsi="宋体" w:eastAsia="宋体" w:cs="宋体"/>
                <w:i w:val="0"/>
                <w:iCs w:val="0"/>
                <w:color w:val="000000"/>
                <w:kern w:val="0"/>
                <w:sz w:val="18"/>
                <w:szCs w:val="18"/>
                <w:u w:val="none"/>
                <w:lang w:val="en-US" w:eastAsia="zh-CN" w:bidi="ar"/>
              </w:rPr>
              <w:t>满意度指标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pPr>
            <w:r>
              <w:rPr>
                <w:rFonts w:ascii="宋体" w:hAnsi="宋体" w:eastAsia="宋体" w:cs="宋体"/>
                <w:i w:val="0"/>
                <w:iCs w:val="0"/>
                <w:color w:val="000000"/>
                <w:kern w:val="0"/>
                <w:sz w:val="15"/>
                <w:szCs w:val="15"/>
                <w:u w:val="none"/>
                <w:lang w:val="en-US" w:eastAsia="zh-CN" w:bidi="ar"/>
              </w:rPr>
              <w:t>服务对象满意度指标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pPr>
            <w:r>
              <w:rPr>
                <w:rFonts w:hint="eastAsia" w:ascii="宋体" w:hAnsi="宋体" w:cs="宋体"/>
                <w:i w:val="0"/>
                <w:iCs w:val="0"/>
                <w:color w:val="000000"/>
                <w:kern w:val="0"/>
                <w:sz w:val="16"/>
                <w:szCs w:val="16"/>
                <w:u w:val="none"/>
                <w:lang w:val="en-US" w:eastAsia="zh-CN" w:bidi="ar"/>
              </w:rPr>
              <w:t>乡镇、企业群众和窗口满意度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pPr>
            <w:r>
              <w:rPr>
                <w:rFonts w:ascii="宋体" w:hAnsi="宋体" w:eastAsia="宋体" w:cs="宋体"/>
                <w:i w:val="0"/>
                <w:iCs w:val="0"/>
                <w:color w:val="000000"/>
                <w:kern w:val="0"/>
                <w:sz w:val="18"/>
                <w:szCs w:val="18"/>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pPr>
            <w:r>
              <w:rPr>
                <w:rFonts w:ascii="宋体" w:hAnsi="宋体" w:eastAsia="宋体" w:cs="宋体"/>
                <w:i w:val="0"/>
                <w:iCs w:val="0"/>
                <w:color w:val="000000"/>
                <w:kern w:val="0"/>
                <w:sz w:val="18"/>
                <w:szCs w:val="18"/>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hint="eastAsia" w:ascii="微软雅黑" w:hAnsi="微软雅黑" w:eastAsia="微软雅黑" w:cs="微软雅黑"/>
                <w:i/>
                <w:iCs/>
                <w:color w:val="000000"/>
                <w:sz w:val="16"/>
                <w:szCs w:val="16"/>
                <w:u w:val="none"/>
                <w:lang w:val="en-US" w:eastAsia="zh-CN"/>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rPr>
              <w:t>培训政务大厅和乡镇便民服务中心工作人员业务技能，提升服务质量。</w:t>
            </w:r>
            <w:r>
              <w:rPr>
                <w:rFonts w:hint="eastAsia" w:ascii="微软雅黑" w:hAnsi="微软雅黑" w:eastAsia="微软雅黑" w:cs="微软雅黑"/>
                <w:i/>
                <w:iCs/>
                <w:color w:val="000000"/>
                <w:sz w:val="16"/>
                <w:szCs w:val="16"/>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参与培训的深度和广度还有提升的空间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争取在下一次技能比赛吸取此次经验，取得更好收获。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52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000000"/>
                <w:sz w:val="30"/>
                <w:szCs w:val="30"/>
                <w:u w:val="none"/>
                <w:lang w:val="en-US"/>
              </w:rPr>
            </w:pPr>
            <w:r>
              <w:rPr>
                <w:rFonts w:hint="eastAsia" w:ascii="黑体" w:hAnsi="宋体" w:eastAsia="黑体" w:cs="黑体"/>
                <w:b/>
                <w:bCs/>
                <w:i w:val="0"/>
                <w:iCs w:val="0"/>
                <w:color w:val="FF0000"/>
                <w:kern w:val="0"/>
                <w:sz w:val="24"/>
                <w:szCs w:val="24"/>
                <w:u w:val="none"/>
                <w:lang w:val="en-US" w:eastAsia="zh-CN" w:bidi="ar"/>
              </w:rPr>
              <w:t>部门预算项目支出绩效自评表（2022年度）38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2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51081223T000008287890-安全设施和公卫维修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广元市朝天区行政审批局部门</w:t>
            </w:r>
          </w:p>
        </w:tc>
        <w:tc>
          <w:tcPr>
            <w:tcW w:w="158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61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6"/>
                <w:szCs w:val="16"/>
                <w:u w:val="none"/>
              </w:rPr>
              <w:t>区政务服务大厅厕所长期漏水，严重影响一楼保险公司正常办公和大厅环境，经党组研究，拟对大厅厕所进行维修改造；同时，政务服务大厅灭火器即将到期，为确保大厅的消防安全，急需采购一批新的消防设施。</w:t>
            </w:r>
          </w:p>
        </w:tc>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sz w:val="18"/>
                <w:szCs w:val="18"/>
                <w:u w:val="none"/>
              </w:rPr>
              <w:t>给办事群众、企业和窗口工作人员提供安全、舒适的服务环境，从而提高服务质量和效率。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2.实施内容及过程概述</w:t>
            </w:r>
          </w:p>
        </w:tc>
        <w:tc>
          <w:tcPr>
            <w:tcW w:w="12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6"/>
                <w:szCs w:val="16"/>
                <w:u w:val="none"/>
              </w:rPr>
              <w:t>该项目由分管办公室副局长负责牵头，办公室具体负责实施。严格按照相关规定，明确责任，合理分工，密切协作，为保障大厅营造舒适、安全的环境提供强有力保障。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4.96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4.96</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4.96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iCs/>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维修厕所和更换消防设施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处</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2</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维修和设施合格</w:t>
            </w:r>
            <w:r>
              <w:rPr>
                <w:rFonts w:hint="eastAsia" w:ascii="宋体" w:hAnsi="宋体" w:eastAsia="宋体" w:cs="宋体"/>
                <w:i w:val="0"/>
                <w:iCs w:val="0"/>
                <w:color w:val="000000"/>
                <w:sz w:val="16"/>
                <w:szCs w:val="16"/>
                <w:u w:val="none"/>
              </w:rPr>
              <w:t>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auto"/>
              <w:rPr>
                <w:rFonts w:hint="eastAsia" w:ascii="微软雅黑" w:hAnsi="微软雅黑" w:eastAsia="微软雅黑" w:cs="微软雅黑"/>
                <w:i/>
                <w:iCs/>
                <w:color w:val="000000"/>
                <w:sz w:val="16"/>
                <w:szCs w:val="16"/>
                <w:u w:val="none"/>
              </w:rPr>
            </w:pPr>
            <w:r>
              <w:rPr>
                <w:rFonts w:hint="eastAsia"/>
                <w:sz w:val="13"/>
                <w:szCs w:val="1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完成时限</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auto"/>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3"/>
                <w:szCs w:val="13"/>
                <w:u w:val="none"/>
                <w:lang w:val="en-US" w:eastAsia="zh-CN"/>
              </w:rPr>
              <w:t>5</w:t>
            </w:r>
            <w:r>
              <w:rPr>
                <w:rFonts w:hint="eastAsia" w:ascii="微软雅黑" w:hAnsi="微软雅黑" w:eastAsia="微软雅黑" w:cs="微软雅黑"/>
                <w:i/>
                <w:iCs/>
                <w:color w:val="000000"/>
                <w:sz w:val="13"/>
                <w:szCs w:val="13"/>
                <w:u w:val="none"/>
              </w:rPr>
              <w:t>个月</w:t>
            </w:r>
            <w:r>
              <w:rPr>
                <w:rFonts w:hint="eastAsia" w:ascii="微软雅黑" w:hAnsi="微软雅黑" w:eastAsia="微软雅黑" w:cs="微软雅黑"/>
                <w:i/>
                <w:iCs/>
                <w:color w:val="000000"/>
                <w:sz w:val="13"/>
                <w:szCs w:val="13"/>
                <w:u w:val="none"/>
                <w:lang w:val="en-US" w:eastAsia="zh-CN"/>
              </w:rPr>
              <w:t xml:space="preserve">              </w:t>
            </w:r>
            <w:r>
              <w:rPr>
                <w:rFonts w:hint="eastAsia" w:ascii="微软雅黑" w:hAnsi="微软雅黑" w:eastAsia="微软雅黑" w:cs="微软雅黑"/>
                <w:i/>
                <w:iCs/>
                <w:color w:val="000000"/>
                <w:sz w:val="13"/>
                <w:szCs w:val="13"/>
                <w:u w:val="none"/>
              </w:rPr>
              <w:t>（</w:t>
            </w:r>
            <w:r>
              <w:rPr>
                <w:rFonts w:hint="eastAsia" w:ascii="微软雅黑" w:hAnsi="微软雅黑" w:eastAsia="微软雅黑" w:cs="微软雅黑"/>
                <w:i/>
                <w:iCs/>
                <w:color w:val="000000"/>
                <w:sz w:val="13"/>
                <w:szCs w:val="13"/>
                <w:u w:val="none"/>
                <w:lang w:val="en-US" w:eastAsia="zh-CN"/>
              </w:rPr>
              <w:t>8</w:t>
            </w:r>
            <w:r>
              <w:rPr>
                <w:rFonts w:hint="eastAsia" w:ascii="微软雅黑" w:hAnsi="微软雅黑" w:eastAsia="微软雅黑" w:cs="微软雅黑"/>
                <w:i/>
                <w:iCs/>
                <w:color w:val="000000"/>
                <w:sz w:val="13"/>
                <w:szCs w:val="13"/>
                <w:u w:val="none"/>
              </w:rPr>
              <w:t>月-</w:t>
            </w:r>
            <w:r>
              <w:rPr>
                <w:rFonts w:hint="eastAsia" w:ascii="微软雅黑" w:hAnsi="微软雅黑" w:eastAsia="微软雅黑" w:cs="微软雅黑"/>
                <w:i/>
                <w:iCs/>
                <w:color w:val="000000"/>
                <w:sz w:val="13"/>
                <w:szCs w:val="13"/>
                <w:u w:val="none"/>
                <w:lang w:val="en-US" w:eastAsia="zh-CN"/>
              </w:rPr>
              <w:t>12</w:t>
            </w:r>
            <w:r>
              <w:rPr>
                <w:rFonts w:hint="eastAsia" w:ascii="微软雅黑" w:hAnsi="微软雅黑" w:eastAsia="微软雅黑" w:cs="微软雅黑"/>
                <w:i/>
                <w:iCs/>
                <w:color w:val="000000"/>
                <w:sz w:val="13"/>
                <w:szCs w:val="13"/>
                <w:u w:val="none"/>
              </w:rPr>
              <w:t>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18"/>
                <w:szCs w:val="18"/>
                <w:lang w:val="en-US" w:eastAsia="zh-CN" w:bidi="ar"/>
              </w:rPr>
              <w:t>根据实际核算成本</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万元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6</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社会效益指标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kern w:val="2"/>
                <w:sz w:val="16"/>
                <w:szCs w:val="16"/>
                <w:lang w:val="en-US" w:eastAsia="zh-CN" w:bidi="ar"/>
              </w:rPr>
              <w:t>给办事群众和窗口工作人员提供安全、舒适的服务环境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好</w:t>
            </w:r>
            <w:r>
              <w:rPr>
                <w:rFonts w:ascii="宋体" w:hAnsi="宋体" w:eastAsia="宋体" w:cs="宋体"/>
                <w:i w:val="0"/>
                <w:iCs w:val="0"/>
                <w:color w:val="000000"/>
                <w:kern w:val="0"/>
                <w:sz w:val="18"/>
                <w:szCs w:val="18"/>
                <w:u w:val="none"/>
                <w:lang w:val="en-US" w:eastAsia="zh-CN" w:bidi="ar"/>
              </w:rPr>
              <w:t>中</w:t>
            </w:r>
            <w:r>
              <w:rPr>
                <w:rFonts w:hint="eastAsia" w:ascii="宋体" w:hAnsi="宋体" w:cs="宋体"/>
                <w:i w:val="0"/>
                <w:iCs w:val="0"/>
                <w:color w:val="000000"/>
                <w:kern w:val="0"/>
                <w:sz w:val="18"/>
                <w:szCs w:val="18"/>
                <w:u w:val="none"/>
                <w:lang w:val="en-US" w:eastAsia="zh-CN" w:bidi="ar"/>
              </w:rPr>
              <w:t>坏</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中</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sz w:val="16"/>
                <w:szCs w:val="16"/>
                <w:u w:val="none"/>
                <w:lang w:val="en-US" w:eastAsia="zh-CN"/>
              </w:rPr>
              <w:t>消防设施的正确使用还有待培训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5"/>
                <w:szCs w:val="15"/>
                <w:u w:val="none"/>
                <w:lang w:val="en-US" w:eastAsia="zh-CN" w:bidi="ar"/>
              </w:rPr>
              <w:t>服务对象满意度指标</w:t>
            </w:r>
          </w:p>
        </w:tc>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6"/>
                <w:szCs w:val="16"/>
                <w:u w:val="none"/>
                <w:lang w:val="en-US" w:eastAsia="zh-CN" w:bidi="ar"/>
              </w:rPr>
              <w:t>办事企业群众和窗口满意度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95</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合计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pPr>
            <w:r>
              <w:rPr>
                <w:rFonts w:hint="eastAsia" w:ascii="宋体" w:hAnsi="宋体" w:cs="宋体"/>
                <w:i w:val="0"/>
                <w:iCs w:val="0"/>
                <w:color w:val="000000"/>
                <w:sz w:val="18"/>
                <w:szCs w:val="18"/>
                <w:u w:val="none"/>
                <w:lang w:val="en-US" w:eastAsia="zh-CN"/>
              </w:rPr>
              <w:t>96</w:t>
            </w:r>
          </w:p>
        </w:tc>
        <w:tc>
          <w:tcPr>
            <w:tcW w:w="3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黑体" w:cs="微软雅黑"/>
                <w:i/>
                <w:iCs/>
                <w:color w:val="000000"/>
                <w:sz w:val="16"/>
                <w:szCs w:val="16"/>
                <w:u w:val="none"/>
                <w:lang w:val="en-US" w:eastAsia="zh-CN"/>
              </w:rPr>
            </w:pPr>
            <w:r>
              <w:rPr>
                <w:rFonts w:hint="eastAsia" w:ascii="黑体" w:hAnsi="黑体" w:eastAsia="黑体" w:cs="黑体"/>
                <w:i w:val="0"/>
                <w:iCs w:val="0"/>
                <w:color w:val="000000"/>
                <w:sz w:val="18"/>
                <w:szCs w:val="18"/>
                <w:u w:val="none"/>
              </w:rPr>
              <w:t>给办事群众、企业和窗口工作人员提供安全、舒适的服务环境，从而提高服务质量和效率。</w:t>
            </w:r>
            <w:r>
              <w:rPr>
                <w:rFonts w:hint="eastAsia" w:ascii="黑体" w:hAnsi="黑体" w:eastAsia="黑体" w:cs="黑体"/>
                <w:i w:val="0"/>
                <w:iCs w:val="0"/>
                <w:color w:val="000000"/>
                <w:sz w:val="18"/>
                <w:szCs w:val="18"/>
                <w:u w:val="none"/>
                <w:lang w:val="en-US" w:eastAsia="zh-CN"/>
              </w:rPr>
              <w:t>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消防设施的正确使用还有待培训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43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来年积极组织大厅人员对消防设施的正确使用进行培训演练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6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26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268"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r>
              <w:rPr>
                <w:rFonts w:hint="eastAsia" w:ascii="宋体" w:hAnsi="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适用用户：部门用户、单位用户</w:t>
            </w:r>
          </w:p>
        </w:tc>
      </w:tr>
    </w:tbl>
    <w:p>
      <w:pPr>
        <w:rPr>
          <w:rFonts w:hint="eastAsia" w:ascii="仿宋_GB2312" w:hAnsi="仿宋_GB2312" w:eastAsia="仿宋_GB2312" w:cs="仿宋_GB2312"/>
          <w:sz w:val="28"/>
          <w:szCs w:val="28"/>
          <w:lang w:val="en-US" w:eastAsia="zh-CN" w:bidi="ar"/>
        </w:rPr>
        <w:sectPr>
          <w:pgSz w:w="16838" w:h="11906" w:orient="landscape"/>
          <w:pgMar w:top="283" w:right="850" w:bottom="283" w:left="850" w:header="851" w:footer="992" w:gutter="0"/>
          <w:pgNumType w:fmt="numberInDash"/>
          <w:cols w:space="0" w:num="1"/>
          <w:titlePg/>
          <w:rtlGutter w:val="0"/>
          <w:docGrid w:type="lines" w:linePitch="319" w:charSpace="0"/>
        </w:sectPr>
      </w:pPr>
    </w:p>
    <w:p>
      <w:pPr>
        <w:rPr>
          <w:rFonts w:hint="eastAsia" w:ascii="黑体" w:hAnsi="黑体" w:eastAsia="黑体"/>
          <w:color w:val="auto"/>
          <w:sz w:val="44"/>
          <w:szCs w:val="44"/>
          <w:highlight w:val="none"/>
        </w:rPr>
        <w:sectPr>
          <w:type w:val="continuous"/>
          <w:pgSz w:w="16838" w:h="11906" w:orient="landscape"/>
          <w:pgMar w:top="1800" w:right="1440" w:bottom="1800" w:left="1440" w:header="851" w:footer="992" w:gutter="0"/>
          <w:pgNumType w:fmt="numberInDash"/>
          <w:cols w:space="425" w:num="1"/>
          <w:titlePg/>
          <w:docGrid w:type="lines" w:linePitch="312" w:charSpace="0"/>
        </w:sectPr>
      </w:pPr>
      <w:bookmarkStart w:id="50" w:name="_Toc15396618"/>
    </w:p>
    <w:p>
      <w:pPr>
        <w:rPr>
          <w:rFonts w:hint="eastAsia"/>
        </w:rPr>
      </w:pPr>
    </w:p>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olor w:val="auto"/>
          <w:sz w:val="44"/>
          <w:szCs w:val="44"/>
          <w:highlight w:val="none"/>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5"/>
          <w:rFonts w:hint="eastAsia" w:ascii="黑体" w:hAnsi="黑体" w:eastAsia="黑体"/>
          <w:b w:val="0"/>
          <w:color w:val="auto"/>
          <w:highlight w:val="none"/>
        </w:rPr>
        <w:t>五部分 附表</w:t>
      </w:r>
      <w:bookmarkEnd w:id="48"/>
      <w:bookmarkEnd w:id="50"/>
      <w:bookmarkStart w:id="51" w:name="_Toc15396619"/>
    </w:p>
    <w:bookmarkEnd w:id="51"/>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6"/>
          <w:rFonts w:hint="eastAsia" w:ascii="仿宋" w:hAnsi="仿宋" w:eastAsia="仿宋"/>
          <w:b w:val="0"/>
          <w:bCs w:val="0"/>
          <w:color w:val="auto"/>
          <w:highlight w:val="none"/>
        </w:rPr>
        <w:t>入支出决算总表</w:t>
      </w:r>
    </w:p>
    <w:p>
      <w:pPr>
        <w:pStyle w:val="4"/>
        <w:rPr>
          <w:rFonts w:ascii="仿宋" w:hAnsi="仿宋" w:eastAsia="仿宋"/>
          <w:color w:val="auto"/>
          <w:highlight w:val="none"/>
        </w:rPr>
      </w:pPr>
      <w:bookmarkStart w:id="52" w:name="_Toc15396620"/>
      <w:r>
        <w:rPr>
          <w:rFonts w:hint="eastAsia" w:ascii="仿宋" w:hAnsi="仿宋" w:eastAsia="仿宋"/>
          <w:b w:val="0"/>
          <w:color w:val="auto"/>
          <w:highlight w:val="none"/>
        </w:rPr>
        <w:t>二、收</w:t>
      </w:r>
      <w:r>
        <w:rPr>
          <w:rStyle w:val="36"/>
          <w:rFonts w:hint="eastAsia" w:ascii="仿宋" w:hAnsi="仿宋" w:eastAsia="仿宋"/>
          <w:b w:val="0"/>
          <w:bCs w:val="0"/>
          <w:color w:val="auto"/>
          <w:highlight w:val="none"/>
        </w:rPr>
        <w:t>入决算表</w:t>
      </w:r>
      <w:bookmarkEnd w:id="52"/>
    </w:p>
    <w:p>
      <w:pPr>
        <w:pStyle w:val="4"/>
        <w:rPr>
          <w:rFonts w:ascii="仿宋" w:hAnsi="仿宋" w:eastAsia="仿宋"/>
          <w:color w:val="auto"/>
          <w:highlight w:val="none"/>
        </w:rPr>
      </w:pPr>
      <w:bookmarkStart w:id="53" w:name="_Toc15396621"/>
      <w:r>
        <w:rPr>
          <w:rStyle w:val="3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6"/>
          <w:rFonts w:hint="eastAsia" w:ascii="仿宋" w:hAnsi="仿宋" w:eastAsia="仿宋"/>
          <w:b w:val="0"/>
          <w:bCs w:val="0"/>
          <w:color w:val="auto"/>
          <w:highlight w:val="none"/>
        </w:rPr>
        <w:t>出决算表</w:t>
      </w:r>
      <w:bookmarkEnd w:id="53"/>
    </w:p>
    <w:p>
      <w:pPr>
        <w:pStyle w:val="4"/>
        <w:rPr>
          <w:rFonts w:ascii="仿宋" w:hAnsi="仿宋" w:eastAsia="仿宋"/>
          <w:b w:val="0"/>
          <w:color w:val="auto"/>
          <w:highlight w:val="none"/>
        </w:rPr>
      </w:pPr>
      <w:bookmarkStart w:id="54" w:name="_Toc15396622"/>
      <w:r>
        <w:rPr>
          <w:rStyle w:val="3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6"/>
          <w:rFonts w:hint="eastAsia" w:ascii="仿宋" w:hAnsi="仿宋" w:eastAsia="仿宋"/>
          <w:b w:val="0"/>
          <w:bCs w:val="0"/>
          <w:color w:val="auto"/>
          <w:highlight w:val="none"/>
        </w:rPr>
        <w:t>政拨款收入支出决算总表</w:t>
      </w:r>
      <w:bookmarkEnd w:id="54"/>
    </w:p>
    <w:p>
      <w:pPr>
        <w:pStyle w:val="4"/>
        <w:rPr>
          <w:rStyle w:val="36"/>
          <w:rFonts w:ascii="仿宋" w:hAnsi="仿宋" w:eastAsia="仿宋"/>
          <w:b w:val="0"/>
          <w:bCs w:val="0"/>
          <w:color w:val="auto"/>
          <w:highlight w:val="none"/>
        </w:rPr>
      </w:pPr>
      <w:bookmarkStart w:id="55" w:name="_Toc15396623"/>
      <w:r>
        <w:rPr>
          <w:rStyle w:val="3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6"/>
          <w:rFonts w:hint="eastAsia" w:ascii="仿宋" w:hAnsi="仿宋" w:eastAsia="仿宋"/>
          <w:b w:val="0"/>
          <w:bCs w:val="0"/>
          <w:color w:val="auto"/>
          <w:highlight w:val="none"/>
        </w:rPr>
        <w:t>政拨款支出决算明细表</w:t>
      </w:r>
      <w:bookmarkEnd w:id="55"/>
      <w:bookmarkStart w:id="56" w:name="_Toc15396624"/>
    </w:p>
    <w:p>
      <w:pPr>
        <w:pStyle w:val="4"/>
        <w:rPr>
          <w:rFonts w:ascii="仿宋" w:hAnsi="仿宋" w:eastAsia="仿宋"/>
          <w:color w:val="auto"/>
          <w:highlight w:val="none"/>
        </w:rPr>
      </w:pPr>
      <w:r>
        <w:rPr>
          <w:rStyle w:val="3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6"/>
          <w:rFonts w:hint="eastAsia" w:ascii="仿宋" w:hAnsi="仿宋" w:eastAsia="仿宋"/>
          <w:b w:val="0"/>
          <w:bCs w:val="0"/>
          <w:color w:val="auto"/>
          <w:highlight w:val="none"/>
        </w:rPr>
        <w:t>般公共预算财政拨款支出决算表</w:t>
      </w:r>
      <w:bookmarkEnd w:id="56"/>
    </w:p>
    <w:p>
      <w:pPr>
        <w:pStyle w:val="4"/>
        <w:rPr>
          <w:rFonts w:ascii="仿宋" w:hAnsi="仿宋" w:eastAsia="仿宋"/>
          <w:color w:val="auto"/>
          <w:highlight w:val="none"/>
        </w:rPr>
      </w:pPr>
      <w:bookmarkStart w:id="57" w:name="_Toc15396625"/>
      <w:r>
        <w:rPr>
          <w:rStyle w:val="3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6"/>
          <w:rFonts w:hint="eastAsia" w:ascii="仿宋" w:hAnsi="仿宋" w:eastAsia="仿宋"/>
          <w:b w:val="0"/>
          <w:bCs w:val="0"/>
          <w:color w:val="auto"/>
          <w:highlight w:val="none"/>
        </w:rPr>
        <w:t>般公共预算财政拨款支出决算明细表</w:t>
      </w:r>
      <w:bookmarkEnd w:id="57"/>
    </w:p>
    <w:p>
      <w:pPr>
        <w:pStyle w:val="4"/>
        <w:rPr>
          <w:rFonts w:ascii="仿宋" w:hAnsi="仿宋" w:eastAsia="仿宋"/>
          <w:color w:val="auto"/>
          <w:highlight w:val="none"/>
        </w:rPr>
      </w:pPr>
      <w:bookmarkStart w:id="58" w:name="_Toc15396626"/>
      <w:r>
        <w:rPr>
          <w:rStyle w:val="3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6"/>
          <w:rFonts w:hint="eastAsia" w:ascii="仿宋" w:hAnsi="仿宋" w:eastAsia="仿宋"/>
          <w:b w:val="0"/>
          <w:bCs w:val="0"/>
          <w:color w:val="auto"/>
          <w:highlight w:val="none"/>
        </w:rPr>
        <w:t>般公共预算财政拨款基本支出决算表</w:t>
      </w:r>
      <w:bookmarkEnd w:id="58"/>
    </w:p>
    <w:p>
      <w:pPr>
        <w:pStyle w:val="4"/>
        <w:rPr>
          <w:rFonts w:ascii="仿宋" w:hAnsi="仿宋" w:eastAsia="仿宋"/>
          <w:color w:val="auto"/>
          <w:highlight w:val="none"/>
        </w:rPr>
      </w:pPr>
      <w:bookmarkStart w:id="59" w:name="_Toc15396627"/>
      <w:r>
        <w:rPr>
          <w:rStyle w:val="3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6"/>
          <w:rFonts w:hint="eastAsia" w:ascii="仿宋" w:hAnsi="仿宋" w:eastAsia="仿宋"/>
          <w:b w:val="0"/>
          <w:bCs w:val="0"/>
          <w:color w:val="auto"/>
          <w:highlight w:val="none"/>
        </w:rPr>
        <w:t>般公共预算财政拨款项目支出决算表</w:t>
      </w:r>
      <w:bookmarkEnd w:id="59"/>
    </w:p>
    <w:p>
      <w:pPr>
        <w:pStyle w:val="4"/>
        <w:rPr>
          <w:rFonts w:ascii="仿宋" w:hAnsi="仿宋" w:eastAsia="仿宋"/>
          <w:color w:val="auto"/>
          <w:highlight w:val="none"/>
        </w:rPr>
      </w:pPr>
      <w:bookmarkStart w:id="60" w:name="_Toc15396628"/>
      <w:r>
        <w:rPr>
          <w:rStyle w:val="36"/>
          <w:rFonts w:hint="eastAsia" w:ascii="仿宋" w:hAnsi="仿宋" w:eastAsia="仿宋"/>
          <w:b w:val="0"/>
          <w:bCs w:val="0"/>
          <w:color w:val="auto"/>
          <w:highlight w:val="none"/>
        </w:rPr>
        <w:t>十、</w:t>
      </w:r>
      <w:bookmarkEnd w:id="60"/>
      <w:r>
        <w:rPr>
          <w:rFonts w:hint="eastAsia" w:ascii="仿宋" w:hAnsi="仿宋" w:eastAsia="仿宋"/>
          <w:b w:val="0"/>
          <w:color w:val="auto"/>
          <w:highlight w:val="none"/>
        </w:rPr>
        <w:t>政</w:t>
      </w:r>
      <w:r>
        <w:rPr>
          <w:rStyle w:val="3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1" w:name="_Toc15396629"/>
      <w:r>
        <w:rPr>
          <w:rStyle w:val="36"/>
          <w:rFonts w:hint="eastAsia" w:ascii="仿宋" w:hAnsi="仿宋" w:eastAsia="仿宋"/>
          <w:b w:val="0"/>
          <w:bCs w:val="0"/>
          <w:color w:val="auto"/>
          <w:highlight w:val="none"/>
        </w:rPr>
        <w:t>十一、</w:t>
      </w:r>
      <w:bookmarkEnd w:id="61"/>
      <w:r>
        <w:rPr>
          <w:rFonts w:hint="eastAsia" w:ascii="仿宋" w:hAnsi="仿宋" w:eastAsia="仿宋"/>
          <w:b w:val="0"/>
          <w:color w:val="auto"/>
          <w:highlight w:val="none"/>
        </w:rPr>
        <w:t>国</w:t>
      </w:r>
      <w:r>
        <w:rPr>
          <w:rStyle w:val="36"/>
          <w:rFonts w:hint="eastAsia" w:ascii="仿宋" w:hAnsi="仿宋" w:eastAsia="仿宋"/>
          <w:b w:val="0"/>
          <w:bCs w:val="0"/>
          <w:color w:val="auto"/>
          <w:highlight w:val="none"/>
        </w:rPr>
        <w:t>有资本经营预算</w:t>
      </w:r>
      <w:r>
        <w:rPr>
          <w:rStyle w:val="36"/>
          <w:rFonts w:hint="eastAsia" w:ascii="仿宋" w:hAnsi="仿宋" w:eastAsia="仿宋"/>
          <w:b w:val="0"/>
          <w:bCs w:val="0"/>
          <w:color w:val="auto"/>
          <w:highlight w:val="none"/>
          <w:lang w:eastAsia="zh-CN"/>
        </w:rPr>
        <w:t>财政拨款收入</w:t>
      </w:r>
      <w:r>
        <w:rPr>
          <w:rStyle w:val="3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2" w:name="_Toc15396630"/>
      <w:r>
        <w:rPr>
          <w:rStyle w:val="36"/>
          <w:rFonts w:hint="eastAsia" w:ascii="仿宋" w:hAnsi="仿宋" w:eastAsia="仿宋"/>
          <w:b w:val="0"/>
          <w:bCs w:val="0"/>
          <w:color w:val="auto"/>
          <w:highlight w:val="none"/>
        </w:rPr>
        <w:t>十二、</w:t>
      </w:r>
      <w:bookmarkEnd w:id="62"/>
      <w:r>
        <w:rPr>
          <w:rStyle w:val="3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3" w:name="_Toc15396631"/>
      <w:r>
        <w:rPr>
          <w:rStyle w:val="36"/>
          <w:rFonts w:hint="eastAsia" w:ascii="仿宋" w:hAnsi="仿宋" w:eastAsia="仿宋"/>
          <w:b w:val="0"/>
          <w:bCs w:val="0"/>
          <w:color w:val="auto"/>
          <w:highlight w:val="none"/>
        </w:rPr>
        <w:t>十三、</w:t>
      </w:r>
      <w:bookmarkEnd w:id="63"/>
      <w:r>
        <w:rPr>
          <w:rStyle w:val="36"/>
          <w:rFonts w:hint="eastAsia" w:ascii="仿宋" w:hAnsi="仿宋" w:eastAsia="仿宋"/>
          <w:b w:val="0"/>
          <w:bCs w:val="0"/>
          <w:color w:val="auto"/>
          <w:highlight w:val="none"/>
          <w:lang w:eastAsia="zh-CN"/>
        </w:rPr>
        <w:t>财政拨款“三公”经费支出决算表</w:t>
      </w:r>
    </w:p>
    <w:p>
      <w:pPr>
        <w:pageBreakBefore w:val="0"/>
        <w:widowControl w:val="0"/>
        <w:kinsoku/>
        <w:wordWrap/>
        <w:overflowPunct/>
        <w:topLinePunct w:val="0"/>
        <w:autoSpaceDE/>
        <w:autoSpaceDN/>
        <w:bidi w:val="0"/>
        <w:adjustRightInd/>
        <w:snapToGrid/>
        <w:spacing w:line="400" w:lineRule="exact"/>
        <w:textAlignment w:val="auto"/>
        <w:rPr>
          <w:rFonts w:hint="eastAsia" w:eastAsia="仿宋"/>
          <w:color w:val="auto"/>
          <w:sz w:val="32"/>
          <w:szCs w:val="32"/>
          <w:highlight w:val="none"/>
          <w:lang w:eastAsia="zh-CN"/>
        </w:rPr>
      </w:pP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Malgun Gothic Semilight"/>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方正仿宋简体">
    <w:altName w:val="仿宋"/>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Malgun Gothic Semilight">
    <w:panose1 w:val="020B0502040204020203"/>
    <w:charset w:val="86"/>
    <w:family w:val="auto"/>
    <w:pitch w:val="default"/>
    <w:sig w:usb0="900002AF" w:usb1="01D77CFB" w:usb2="00000012" w:usb3="00000000" w:csb0="203E01BD" w:csb1="D7FF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3"/>
                                <w:jc w:val="center"/>
                                <w:rPr>
                                  <w:rFonts w:hint="default"/>
                                  <w:lang w:val="en-US"/>
                                </w:rPr>
                              </w:pPr>
                            </w:p>
                          </w:sdtContent>
                        </w:sd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3"/>
                          <w:jc w:val="center"/>
                          <w:rPr>
                            <w:rFonts w:hint="default"/>
                            <w:lang w:val="en-US"/>
                          </w:rPr>
                        </w:pPr>
                      </w:p>
                    </w:sdtContent>
                  </w:sdt>
                  <w:p>
                    <w:pPr>
                      <w:pStyle w:val="9"/>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lang w:val="en-US"/>
                            </w:rPr>
                            <w:id w:val="-1994781956"/>
                          </w:sdtPr>
                          <w:sdtEndPr>
                            <w:rPr>
                              <w:rFonts w:hint="default"/>
                              <w:lang w:val="en-US"/>
                            </w:rPr>
                          </w:sdtEndPr>
                          <w:sdtContent>
                            <w:p>
                              <w:pPr>
                                <w:pStyle w:val="13"/>
                                <w:jc w:val="center"/>
                                <w:rPr>
                                  <w:rFonts w:hint="default"/>
                                  <w:lang w:val="en-US"/>
                                </w:rPr>
                              </w:pPr>
                            </w:p>
                          </w:sdtContent>
                        </w:sd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sdt>
                    <w:sdtPr>
                      <w:rPr>
                        <w:rFonts w:hint="default"/>
                        <w:lang w:val="en-US"/>
                      </w:rPr>
                      <w:id w:val="-1994781956"/>
                    </w:sdtPr>
                    <w:sdtEndPr>
                      <w:rPr>
                        <w:rFonts w:hint="default"/>
                        <w:lang w:val="en-US"/>
                      </w:rPr>
                    </w:sdtEndPr>
                    <w:sdtContent>
                      <w:p>
                        <w:pPr>
                          <w:pStyle w:val="13"/>
                          <w:jc w:val="center"/>
                          <w:rPr>
                            <w:rFonts w:hint="default"/>
                            <w:lang w:val="en-US"/>
                          </w:rPr>
                        </w:pPr>
                      </w:p>
                    </w:sdtContent>
                  </w:sdt>
                  <w:p>
                    <w:pPr>
                      <w:pStyle w:val="9"/>
                    </w:pP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9"/>
                      <w:ind w:left="0" w:leftChars="0" w:firstLine="0" w:firstLineChars="0"/>
                    </w:pP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40"/>
        <w:tab w:val="left" w:pos="3150"/>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宋体"/>
                        <w:lang w:val="en-US" w:eastAsia="zh-CN"/>
                      </w:rPr>
                    </w:pPr>
                    <w:r>
                      <w:rPr>
                        <w:rFonts w:hint="eastAsia"/>
                        <w:lang w:val="en-US" w:eastAsia="zh-CN"/>
                      </w:rPr>
                      <w:t>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7D635"/>
    <w:multiLevelType w:val="singleLevel"/>
    <w:tmpl w:val="8DD7D635"/>
    <w:lvl w:ilvl="0" w:tentative="0">
      <w:start w:val="6"/>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3B0C2FF"/>
    <w:multiLevelType w:val="singleLevel"/>
    <w:tmpl w:val="E3B0C2FF"/>
    <w:lvl w:ilvl="0" w:tentative="0">
      <w:start w:val="3"/>
      <w:numFmt w:val="decimal"/>
      <w:lvlText w:val="%1."/>
      <w:lvlJc w:val="left"/>
      <w:pPr>
        <w:tabs>
          <w:tab w:val="left" w:pos="312"/>
        </w:tabs>
      </w:pPr>
    </w:lvl>
  </w:abstractNum>
  <w:abstractNum w:abstractNumId="4">
    <w:nsid w:val="00000004"/>
    <w:multiLevelType w:val="multilevel"/>
    <w:tmpl w:val="0000000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6C0E2D0"/>
    <w:multiLevelType w:val="singleLevel"/>
    <w:tmpl w:val="26C0E2D0"/>
    <w:lvl w:ilvl="0" w:tentative="0">
      <w:start w:val="2"/>
      <w:numFmt w:val="chineseCounting"/>
      <w:suff w:val="nothing"/>
      <w:lvlText w:val="（%1）"/>
      <w:lvlJc w:val="left"/>
      <w:rPr>
        <w:rFonts w:hint="eastAsia"/>
      </w:rPr>
    </w:lvl>
  </w:abstractNum>
  <w:abstractNum w:abstractNumId="7">
    <w:nsid w:val="68D263A1"/>
    <w:multiLevelType w:val="singleLevel"/>
    <w:tmpl w:val="68D263A1"/>
    <w:lvl w:ilvl="0" w:tentative="0">
      <w:start w:val="2"/>
      <w:numFmt w:val="chineseCounting"/>
      <w:suff w:val="space"/>
      <w:lvlText w:val="第%1部分"/>
      <w:lvlJc w:val="left"/>
      <w:rPr>
        <w:rFonts w:hint="eastAsia"/>
      </w:rPr>
    </w:lvl>
  </w:abstractNum>
  <w:num w:numId="1">
    <w:abstractNumId w:val="4"/>
  </w:num>
  <w:num w:numId="2">
    <w:abstractNumId w:val="7"/>
  </w:num>
  <w:num w:numId="3">
    <w:abstractNumId w:val="5"/>
  </w:num>
  <w:num w:numId="4">
    <w:abstractNumId w:val="0"/>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ZTcxOTRjM2I0NGU5M2EzYzIwYjIzZTE4MjRmY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0A3"/>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22069"/>
    <w:rsid w:val="01565C22"/>
    <w:rsid w:val="01583748"/>
    <w:rsid w:val="017568FB"/>
    <w:rsid w:val="01D86637"/>
    <w:rsid w:val="01DF345B"/>
    <w:rsid w:val="03891527"/>
    <w:rsid w:val="04025BED"/>
    <w:rsid w:val="04FE5970"/>
    <w:rsid w:val="05CF7D50"/>
    <w:rsid w:val="05D30AB3"/>
    <w:rsid w:val="0608269B"/>
    <w:rsid w:val="060A6FDB"/>
    <w:rsid w:val="06380333"/>
    <w:rsid w:val="066E0107"/>
    <w:rsid w:val="066F0F41"/>
    <w:rsid w:val="069B6A3E"/>
    <w:rsid w:val="07996F6E"/>
    <w:rsid w:val="0811040D"/>
    <w:rsid w:val="084E1401"/>
    <w:rsid w:val="08C276F9"/>
    <w:rsid w:val="08E17C4D"/>
    <w:rsid w:val="0995305F"/>
    <w:rsid w:val="0A2032A3"/>
    <w:rsid w:val="0AE51E8A"/>
    <w:rsid w:val="0B6739D2"/>
    <w:rsid w:val="0C85724D"/>
    <w:rsid w:val="0C9910B8"/>
    <w:rsid w:val="0CC84FD1"/>
    <w:rsid w:val="0D892EDB"/>
    <w:rsid w:val="0E73375D"/>
    <w:rsid w:val="0EE23F2E"/>
    <w:rsid w:val="0F0649A8"/>
    <w:rsid w:val="0F0B10F5"/>
    <w:rsid w:val="0F9A4F2B"/>
    <w:rsid w:val="0FAC3298"/>
    <w:rsid w:val="0FCD38C8"/>
    <w:rsid w:val="0FF37867"/>
    <w:rsid w:val="0FF524F9"/>
    <w:rsid w:val="101174DB"/>
    <w:rsid w:val="101860EC"/>
    <w:rsid w:val="10A2678D"/>
    <w:rsid w:val="10C055FF"/>
    <w:rsid w:val="11380EA0"/>
    <w:rsid w:val="118107EC"/>
    <w:rsid w:val="1195008D"/>
    <w:rsid w:val="11F528ED"/>
    <w:rsid w:val="121F2D08"/>
    <w:rsid w:val="12557610"/>
    <w:rsid w:val="126D3C74"/>
    <w:rsid w:val="128C134C"/>
    <w:rsid w:val="137658CD"/>
    <w:rsid w:val="138A0BB7"/>
    <w:rsid w:val="13D50BC4"/>
    <w:rsid w:val="14A80541"/>
    <w:rsid w:val="14BC27A4"/>
    <w:rsid w:val="15DC1EEF"/>
    <w:rsid w:val="168432C2"/>
    <w:rsid w:val="169F0B7A"/>
    <w:rsid w:val="16BB723D"/>
    <w:rsid w:val="16D90EA0"/>
    <w:rsid w:val="17710C68"/>
    <w:rsid w:val="17B6418E"/>
    <w:rsid w:val="17D15BAA"/>
    <w:rsid w:val="17DF606D"/>
    <w:rsid w:val="181C6579"/>
    <w:rsid w:val="181C6C23"/>
    <w:rsid w:val="186034E0"/>
    <w:rsid w:val="191E2EA7"/>
    <w:rsid w:val="19505997"/>
    <w:rsid w:val="19B43327"/>
    <w:rsid w:val="1B102545"/>
    <w:rsid w:val="1B9E0526"/>
    <w:rsid w:val="1BA54A74"/>
    <w:rsid w:val="1BD6512B"/>
    <w:rsid w:val="1BDB2B53"/>
    <w:rsid w:val="1BE8440E"/>
    <w:rsid w:val="1C9A4858"/>
    <w:rsid w:val="1CB47CD2"/>
    <w:rsid w:val="1D155CEE"/>
    <w:rsid w:val="1D5B6FC3"/>
    <w:rsid w:val="1D7F73A9"/>
    <w:rsid w:val="1E530BE4"/>
    <w:rsid w:val="1F271663"/>
    <w:rsid w:val="1F3C258B"/>
    <w:rsid w:val="1F764D61"/>
    <w:rsid w:val="1FC82C64"/>
    <w:rsid w:val="205E1FA5"/>
    <w:rsid w:val="207A7375"/>
    <w:rsid w:val="21371D65"/>
    <w:rsid w:val="213842C8"/>
    <w:rsid w:val="22525D60"/>
    <w:rsid w:val="22771FA7"/>
    <w:rsid w:val="22DD1AA4"/>
    <w:rsid w:val="22EE46D6"/>
    <w:rsid w:val="22EF73AB"/>
    <w:rsid w:val="233B037C"/>
    <w:rsid w:val="235D02F2"/>
    <w:rsid w:val="23860B96"/>
    <w:rsid w:val="23947872"/>
    <w:rsid w:val="240371BF"/>
    <w:rsid w:val="2440624E"/>
    <w:rsid w:val="244D65B8"/>
    <w:rsid w:val="24585435"/>
    <w:rsid w:val="24BE67C5"/>
    <w:rsid w:val="24CC1BD3"/>
    <w:rsid w:val="24F47B46"/>
    <w:rsid w:val="24F804B5"/>
    <w:rsid w:val="25145328"/>
    <w:rsid w:val="25675458"/>
    <w:rsid w:val="25BD776E"/>
    <w:rsid w:val="260E1D77"/>
    <w:rsid w:val="262558D7"/>
    <w:rsid w:val="26CB1A16"/>
    <w:rsid w:val="27206206"/>
    <w:rsid w:val="274F2647"/>
    <w:rsid w:val="275656C8"/>
    <w:rsid w:val="27994F87"/>
    <w:rsid w:val="27A02EA3"/>
    <w:rsid w:val="27A1608A"/>
    <w:rsid w:val="27B02913"/>
    <w:rsid w:val="283F446A"/>
    <w:rsid w:val="28506677"/>
    <w:rsid w:val="28FB6B38"/>
    <w:rsid w:val="296E14AB"/>
    <w:rsid w:val="29FD04D3"/>
    <w:rsid w:val="2A16459C"/>
    <w:rsid w:val="2A4B5348"/>
    <w:rsid w:val="2A6254EB"/>
    <w:rsid w:val="2A816FBC"/>
    <w:rsid w:val="2AC86999"/>
    <w:rsid w:val="2B3919BB"/>
    <w:rsid w:val="2B697D26"/>
    <w:rsid w:val="2B762899"/>
    <w:rsid w:val="2BC01D66"/>
    <w:rsid w:val="2C1A76C8"/>
    <w:rsid w:val="2C5373DC"/>
    <w:rsid w:val="2C7A1F15"/>
    <w:rsid w:val="2C8A61B5"/>
    <w:rsid w:val="2DB01889"/>
    <w:rsid w:val="2DE32579"/>
    <w:rsid w:val="2DF04E50"/>
    <w:rsid w:val="2F012479"/>
    <w:rsid w:val="2F733E85"/>
    <w:rsid w:val="2F8A2FB6"/>
    <w:rsid w:val="2F9406C7"/>
    <w:rsid w:val="2FF975F4"/>
    <w:rsid w:val="30657FDD"/>
    <w:rsid w:val="30894B0D"/>
    <w:rsid w:val="30C96FC7"/>
    <w:rsid w:val="30FB0A63"/>
    <w:rsid w:val="312468F3"/>
    <w:rsid w:val="314C64B9"/>
    <w:rsid w:val="314D19A6"/>
    <w:rsid w:val="319A0963"/>
    <w:rsid w:val="319F7F4E"/>
    <w:rsid w:val="31E71DFA"/>
    <w:rsid w:val="324B7CDD"/>
    <w:rsid w:val="324E75E7"/>
    <w:rsid w:val="326C67A3"/>
    <w:rsid w:val="32996234"/>
    <w:rsid w:val="32F522F5"/>
    <w:rsid w:val="34602E7F"/>
    <w:rsid w:val="350D601C"/>
    <w:rsid w:val="356F0FA5"/>
    <w:rsid w:val="35793F0F"/>
    <w:rsid w:val="35802BA4"/>
    <w:rsid w:val="359F7AA1"/>
    <w:rsid w:val="35C16C5C"/>
    <w:rsid w:val="361F517C"/>
    <w:rsid w:val="366A2FFA"/>
    <w:rsid w:val="36AA5135"/>
    <w:rsid w:val="36FD3ED4"/>
    <w:rsid w:val="371E7934"/>
    <w:rsid w:val="372E4027"/>
    <w:rsid w:val="376B053F"/>
    <w:rsid w:val="37E16F03"/>
    <w:rsid w:val="385B0DC2"/>
    <w:rsid w:val="390019F4"/>
    <w:rsid w:val="3AA765CB"/>
    <w:rsid w:val="3C780A0A"/>
    <w:rsid w:val="3CDE5C4B"/>
    <w:rsid w:val="3D2B08B0"/>
    <w:rsid w:val="3D6002C1"/>
    <w:rsid w:val="3D6F7148"/>
    <w:rsid w:val="3D98207C"/>
    <w:rsid w:val="3D9A7112"/>
    <w:rsid w:val="3E1F0B6E"/>
    <w:rsid w:val="3E483C21"/>
    <w:rsid w:val="3EF43DA9"/>
    <w:rsid w:val="3F825149"/>
    <w:rsid w:val="3FDF6625"/>
    <w:rsid w:val="41200A90"/>
    <w:rsid w:val="41270465"/>
    <w:rsid w:val="41851A34"/>
    <w:rsid w:val="41A03D74"/>
    <w:rsid w:val="427C3788"/>
    <w:rsid w:val="42CB3072"/>
    <w:rsid w:val="42F14BBA"/>
    <w:rsid w:val="43557285"/>
    <w:rsid w:val="43566DE0"/>
    <w:rsid w:val="436C6603"/>
    <w:rsid w:val="43BB7669"/>
    <w:rsid w:val="447C2876"/>
    <w:rsid w:val="44AD299B"/>
    <w:rsid w:val="44B33DBE"/>
    <w:rsid w:val="44E268DA"/>
    <w:rsid w:val="44FC56D5"/>
    <w:rsid w:val="45052B5C"/>
    <w:rsid w:val="450F36EA"/>
    <w:rsid w:val="45137ED3"/>
    <w:rsid w:val="4548798E"/>
    <w:rsid w:val="45BC2E2C"/>
    <w:rsid w:val="45E1035A"/>
    <w:rsid w:val="462B138A"/>
    <w:rsid w:val="46582E6F"/>
    <w:rsid w:val="474B300D"/>
    <w:rsid w:val="477D3C52"/>
    <w:rsid w:val="47AB4DBB"/>
    <w:rsid w:val="47AC789F"/>
    <w:rsid w:val="486A7E1A"/>
    <w:rsid w:val="486C2C02"/>
    <w:rsid w:val="48712F45"/>
    <w:rsid w:val="488F5A00"/>
    <w:rsid w:val="48F826E7"/>
    <w:rsid w:val="491102ED"/>
    <w:rsid w:val="49492F43"/>
    <w:rsid w:val="49831FB1"/>
    <w:rsid w:val="49A346C1"/>
    <w:rsid w:val="4A1F0AC8"/>
    <w:rsid w:val="4A627F82"/>
    <w:rsid w:val="4ABE08AA"/>
    <w:rsid w:val="4AF113A3"/>
    <w:rsid w:val="4B0233A9"/>
    <w:rsid w:val="4B4F25DA"/>
    <w:rsid w:val="4BDC3BFA"/>
    <w:rsid w:val="4BE068DB"/>
    <w:rsid w:val="4C0A0767"/>
    <w:rsid w:val="4C136DB7"/>
    <w:rsid w:val="4C6A62D1"/>
    <w:rsid w:val="4D083549"/>
    <w:rsid w:val="4D157048"/>
    <w:rsid w:val="4D1D44CA"/>
    <w:rsid w:val="4D3C6647"/>
    <w:rsid w:val="4D577224"/>
    <w:rsid w:val="4D91247E"/>
    <w:rsid w:val="4DF83669"/>
    <w:rsid w:val="4E3C6BD2"/>
    <w:rsid w:val="4EAB630A"/>
    <w:rsid w:val="4ECE2238"/>
    <w:rsid w:val="4EE367EA"/>
    <w:rsid w:val="4F235162"/>
    <w:rsid w:val="4F2F0144"/>
    <w:rsid w:val="4FAB400F"/>
    <w:rsid w:val="4FB8497E"/>
    <w:rsid w:val="50007446"/>
    <w:rsid w:val="50A21011"/>
    <w:rsid w:val="50F554A0"/>
    <w:rsid w:val="5108483D"/>
    <w:rsid w:val="514258E2"/>
    <w:rsid w:val="515D3BC6"/>
    <w:rsid w:val="517B5710"/>
    <w:rsid w:val="52190638"/>
    <w:rsid w:val="522B0134"/>
    <w:rsid w:val="523458EA"/>
    <w:rsid w:val="525A7F6F"/>
    <w:rsid w:val="52780ACB"/>
    <w:rsid w:val="52806EB4"/>
    <w:rsid w:val="52ED2B91"/>
    <w:rsid w:val="53407DE6"/>
    <w:rsid w:val="534641A2"/>
    <w:rsid w:val="53B042EA"/>
    <w:rsid w:val="53DD2C05"/>
    <w:rsid w:val="54AA0D3A"/>
    <w:rsid w:val="54CA5BEF"/>
    <w:rsid w:val="552865AE"/>
    <w:rsid w:val="552F56E3"/>
    <w:rsid w:val="55564A1D"/>
    <w:rsid w:val="55A47409"/>
    <w:rsid w:val="55A734CB"/>
    <w:rsid w:val="55DD513F"/>
    <w:rsid w:val="567C04B4"/>
    <w:rsid w:val="56A40E7F"/>
    <w:rsid w:val="5707112B"/>
    <w:rsid w:val="5759265D"/>
    <w:rsid w:val="57CA16F3"/>
    <w:rsid w:val="584C2527"/>
    <w:rsid w:val="590D4A54"/>
    <w:rsid w:val="592A1893"/>
    <w:rsid w:val="59787A8E"/>
    <w:rsid w:val="59AA320E"/>
    <w:rsid w:val="5A461504"/>
    <w:rsid w:val="5A7914CD"/>
    <w:rsid w:val="5A9102A6"/>
    <w:rsid w:val="5AF91A22"/>
    <w:rsid w:val="5AF92295"/>
    <w:rsid w:val="5B223F16"/>
    <w:rsid w:val="5BED775E"/>
    <w:rsid w:val="5C1523E9"/>
    <w:rsid w:val="5CD71FC4"/>
    <w:rsid w:val="5CF315D6"/>
    <w:rsid w:val="5CF74D38"/>
    <w:rsid w:val="5CF97DDB"/>
    <w:rsid w:val="5D010274"/>
    <w:rsid w:val="5D2B6790"/>
    <w:rsid w:val="5D417540"/>
    <w:rsid w:val="5E3706B3"/>
    <w:rsid w:val="5EA70F06"/>
    <w:rsid w:val="5F8328B3"/>
    <w:rsid w:val="602156CA"/>
    <w:rsid w:val="603B085D"/>
    <w:rsid w:val="60936B26"/>
    <w:rsid w:val="60C45117"/>
    <w:rsid w:val="60CB66CE"/>
    <w:rsid w:val="611F0BCF"/>
    <w:rsid w:val="61555597"/>
    <w:rsid w:val="61BD7BD2"/>
    <w:rsid w:val="61C43E5B"/>
    <w:rsid w:val="61D513C0"/>
    <w:rsid w:val="62165C60"/>
    <w:rsid w:val="62595B4D"/>
    <w:rsid w:val="627554A1"/>
    <w:rsid w:val="630E456D"/>
    <w:rsid w:val="63793D94"/>
    <w:rsid w:val="642108EC"/>
    <w:rsid w:val="647B5838"/>
    <w:rsid w:val="647B624F"/>
    <w:rsid w:val="64C37BF6"/>
    <w:rsid w:val="65141320"/>
    <w:rsid w:val="6514485B"/>
    <w:rsid w:val="65962C14"/>
    <w:rsid w:val="66376316"/>
    <w:rsid w:val="66456B14"/>
    <w:rsid w:val="680622D3"/>
    <w:rsid w:val="68CD06E2"/>
    <w:rsid w:val="68DE733A"/>
    <w:rsid w:val="69E01F40"/>
    <w:rsid w:val="6A8614A9"/>
    <w:rsid w:val="6C2275AB"/>
    <w:rsid w:val="6C4A05C8"/>
    <w:rsid w:val="6CA218CA"/>
    <w:rsid w:val="6CD417B7"/>
    <w:rsid w:val="6D3827FE"/>
    <w:rsid w:val="6D4672D9"/>
    <w:rsid w:val="6E216B43"/>
    <w:rsid w:val="6E3336F6"/>
    <w:rsid w:val="6E7D5C33"/>
    <w:rsid w:val="6E7E3605"/>
    <w:rsid w:val="6FF5CC65"/>
    <w:rsid w:val="70A97482"/>
    <w:rsid w:val="70EA1CAC"/>
    <w:rsid w:val="711E6125"/>
    <w:rsid w:val="71457634"/>
    <w:rsid w:val="715C0E4B"/>
    <w:rsid w:val="71C17073"/>
    <w:rsid w:val="71D86CA0"/>
    <w:rsid w:val="71F6302D"/>
    <w:rsid w:val="721E43A0"/>
    <w:rsid w:val="72695938"/>
    <w:rsid w:val="726C367A"/>
    <w:rsid w:val="72734D90"/>
    <w:rsid w:val="72813E43"/>
    <w:rsid w:val="72B56DCF"/>
    <w:rsid w:val="72D440E1"/>
    <w:rsid w:val="72DE420F"/>
    <w:rsid w:val="72F82C08"/>
    <w:rsid w:val="73AD73D5"/>
    <w:rsid w:val="73B6EB34"/>
    <w:rsid w:val="75DF5F11"/>
    <w:rsid w:val="75F75C0E"/>
    <w:rsid w:val="760504D0"/>
    <w:rsid w:val="76174B66"/>
    <w:rsid w:val="76595CC4"/>
    <w:rsid w:val="766A1E62"/>
    <w:rsid w:val="766A3987"/>
    <w:rsid w:val="76B547FD"/>
    <w:rsid w:val="77A22D00"/>
    <w:rsid w:val="77E62117"/>
    <w:rsid w:val="77E860C6"/>
    <w:rsid w:val="78523FC0"/>
    <w:rsid w:val="78894CD0"/>
    <w:rsid w:val="78A135E5"/>
    <w:rsid w:val="78A436B1"/>
    <w:rsid w:val="7912140C"/>
    <w:rsid w:val="7940702D"/>
    <w:rsid w:val="79CD61AE"/>
    <w:rsid w:val="79E615BF"/>
    <w:rsid w:val="79EE5BA4"/>
    <w:rsid w:val="79FF2F27"/>
    <w:rsid w:val="7A894339"/>
    <w:rsid w:val="7ABB289A"/>
    <w:rsid w:val="7B03180C"/>
    <w:rsid w:val="7BC276F6"/>
    <w:rsid w:val="7BFD3E6C"/>
    <w:rsid w:val="7D4A0A5C"/>
    <w:rsid w:val="7EC91B47"/>
    <w:rsid w:val="7EEF11D3"/>
    <w:rsid w:val="7F6A6A30"/>
    <w:rsid w:val="7F6A7194"/>
    <w:rsid w:val="7FA30C79"/>
    <w:rsid w:val="7FA43A20"/>
    <w:rsid w:val="7FA86318"/>
    <w:rsid w:val="7FAB67DA"/>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420" w:firstLineChars="200"/>
    </w:pPr>
  </w:style>
  <w:style w:type="paragraph" w:styleId="7">
    <w:name w:val="Salutation"/>
    <w:basedOn w:val="1"/>
    <w:next w:val="1"/>
    <w:qFormat/>
    <w:uiPriority w:val="0"/>
    <w:pPr>
      <w:textAlignment w:val="baseline"/>
    </w:pPr>
    <w:rPr>
      <w:szCs w:val="22"/>
    </w:rPr>
  </w:style>
  <w:style w:type="paragraph" w:styleId="8">
    <w:name w:val="Body Text Indent"/>
    <w:basedOn w:val="1"/>
    <w:next w:val="9"/>
    <w:link w:val="46"/>
    <w:qFormat/>
    <w:uiPriority w:val="0"/>
    <w:pPr>
      <w:spacing w:after="120" w:afterLines="0" w:afterAutospacing="0"/>
      <w:ind w:left="420" w:leftChars="200"/>
    </w:pPr>
  </w:style>
  <w:style w:type="paragraph" w:styleId="9">
    <w:name w:val="Body Text First Indent 2"/>
    <w:basedOn w:val="8"/>
    <w:next w:val="1"/>
    <w:link w:val="45"/>
    <w:qFormat/>
    <w:uiPriority w:val="0"/>
    <w:pPr>
      <w:ind w:firstLine="420" w:firstLineChars="200"/>
    </w:pPr>
    <w:rPr>
      <w:rFonts w:ascii="Calibri" w:hAnsi="Calibri" w:eastAsia="宋体" w:cs="Times New Roman"/>
      <w:szCs w:val="22"/>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link w:val="42"/>
    <w:semiHidden/>
    <w:unhideWhenUsed/>
    <w:qFormat/>
    <w:uiPriority w:val="99"/>
    <w:rPr>
      <w:rFonts w:ascii="宋体" w:hAnsi="Courier New"/>
    </w:rPr>
  </w:style>
  <w:style w:type="paragraph" w:styleId="12">
    <w:name w:val="Balloon Text"/>
    <w:basedOn w:val="1"/>
    <w:link w:val="38"/>
    <w:semiHidden/>
    <w:unhideWhenUsed/>
    <w:qFormat/>
    <w:uiPriority w:val="99"/>
    <w:rPr>
      <w:sz w:val="18"/>
      <w:szCs w:val="18"/>
    </w:rPr>
  </w:style>
  <w:style w:type="paragraph" w:styleId="13">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able of figures"/>
    <w:basedOn w:val="1"/>
    <w:next w:val="1"/>
    <w:qFormat/>
    <w:uiPriority w:val="0"/>
    <w:pPr>
      <w:spacing w:line="240" w:lineRule="auto"/>
      <w:ind w:left="400" w:leftChars="200" w:hanging="200" w:hangingChars="200"/>
    </w:pPr>
    <w:rPr>
      <w:rFonts w:ascii="Times New Roman" w:eastAsia="宋体" w:cs="Times New Roman"/>
      <w:sz w:val="21"/>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2"/>
    <w:qFormat/>
    <w:uiPriority w:val="0"/>
    <w:pPr>
      <w:spacing w:after="120"/>
      <w:ind w:firstLine="100" w:firstLineChars="1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paragraph" w:customStyle="1" w:styleId="25">
    <w:name w:val="标题 5（有编号）（绿盟科技）"/>
    <w:basedOn w:val="1"/>
    <w:next w:val="26"/>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26">
    <w:name w:val="正文（绿盟科技）"/>
    <w:qFormat/>
    <w:uiPriority w:val="99"/>
    <w:pPr>
      <w:spacing w:line="300" w:lineRule="auto"/>
    </w:pPr>
    <w:rPr>
      <w:rFonts w:ascii="Arial" w:hAnsi="Arial" w:eastAsia="宋体" w:cs="Arial"/>
      <w:kern w:val="0"/>
      <w:sz w:val="21"/>
      <w:szCs w:val="21"/>
      <w:lang w:val="en-US" w:eastAsia="zh-CN" w:bidi="ar-SA"/>
    </w:rPr>
  </w:style>
  <w:style w:type="character" w:customStyle="1" w:styleId="27">
    <w:name w:val="Header Char"/>
    <w:basedOn w:val="22"/>
    <w:semiHidden/>
    <w:qFormat/>
    <w:uiPriority w:val="99"/>
    <w:rPr>
      <w:rFonts w:ascii="Times New Roman" w:hAnsi="Times New Roman"/>
      <w:sz w:val="18"/>
      <w:szCs w:val="18"/>
    </w:rPr>
  </w:style>
  <w:style w:type="character" w:customStyle="1" w:styleId="28">
    <w:name w:val="页眉 Char"/>
    <w:link w:val="14"/>
    <w:semiHidden/>
    <w:qFormat/>
    <w:locked/>
    <w:uiPriority w:val="99"/>
    <w:rPr>
      <w:sz w:val="18"/>
    </w:rPr>
  </w:style>
  <w:style w:type="character" w:customStyle="1" w:styleId="29">
    <w:name w:val="Footer Char"/>
    <w:basedOn w:val="22"/>
    <w:semiHidden/>
    <w:qFormat/>
    <w:uiPriority w:val="99"/>
    <w:rPr>
      <w:rFonts w:ascii="Times New Roman" w:hAnsi="Times New Roman"/>
      <w:sz w:val="18"/>
      <w:szCs w:val="18"/>
    </w:rPr>
  </w:style>
  <w:style w:type="character" w:customStyle="1" w:styleId="30">
    <w:name w:val="页脚 Char"/>
    <w:link w:val="13"/>
    <w:qFormat/>
    <w:locked/>
    <w:uiPriority w:val="99"/>
    <w:rPr>
      <w:sz w:val="18"/>
    </w:rPr>
  </w:style>
  <w:style w:type="character" w:customStyle="1" w:styleId="31">
    <w:name w:val="Body Text Char"/>
    <w:basedOn w:val="22"/>
    <w:semiHidden/>
    <w:qFormat/>
    <w:uiPriority w:val="99"/>
    <w:rPr>
      <w:rFonts w:ascii="Times New Roman" w:hAnsi="Times New Roman"/>
      <w:szCs w:val="24"/>
    </w:rPr>
  </w:style>
  <w:style w:type="character" w:customStyle="1" w:styleId="32">
    <w:name w:val="正文文本 Char"/>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34"/>
    <w:pPr>
      <w:ind w:firstLine="420" w:firstLineChars="200"/>
    </w:pPr>
  </w:style>
  <w:style w:type="character" w:customStyle="1" w:styleId="35">
    <w:name w:val="标题 1 Char"/>
    <w:basedOn w:val="22"/>
    <w:link w:val="3"/>
    <w:qFormat/>
    <w:uiPriority w:val="9"/>
    <w:rPr>
      <w:rFonts w:ascii="Times New Roman" w:hAnsi="Times New Roman"/>
      <w:b/>
      <w:bCs/>
      <w:kern w:val="44"/>
      <w:sz w:val="44"/>
      <w:szCs w:val="44"/>
    </w:rPr>
  </w:style>
  <w:style w:type="character" w:customStyle="1" w:styleId="36">
    <w:name w:val="标题 2 Char"/>
    <w:basedOn w:val="22"/>
    <w:link w:val="4"/>
    <w:qFormat/>
    <w:uiPriority w:val="9"/>
    <w:rPr>
      <w:rFonts w:asciiTheme="majorHAnsi" w:hAnsiTheme="majorHAnsi" w:eastAsiaTheme="majorEastAsia" w:cstheme="majorBidi"/>
      <w:b/>
      <w:bCs/>
      <w:kern w:val="2"/>
      <w:sz w:val="32"/>
      <w:szCs w:val="32"/>
    </w:rPr>
  </w:style>
  <w:style w:type="paragraph" w:customStyle="1" w:styleId="3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2"/>
    <w:link w:val="12"/>
    <w:semiHidden/>
    <w:qFormat/>
    <w:uiPriority w:val="99"/>
    <w:rPr>
      <w:rFonts w:ascii="Times New Roman" w:hAnsi="Times New Roman"/>
      <w:kern w:val="2"/>
      <w:sz w:val="18"/>
      <w:szCs w:val="18"/>
    </w:rPr>
  </w:style>
  <w:style w:type="character" w:customStyle="1" w:styleId="39">
    <w:name w:val="标题 3 Char"/>
    <w:basedOn w:val="22"/>
    <w:link w:val="5"/>
    <w:qFormat/>
    <w:uiPriority w:val="9"/>
    <w:rPr>
      <w:rFonts w:ascii="Times New Roman" w:hAnsi="Times New Roman"/>
      <w:b/>
      <w:bCs/>
      <w:kern w:val="2"/>
      <w:sz w:val="32"/>
      <w:szCs w:val="32"/>
    </w:rPr>
  </w:style>
  <w:style w:type="paragraph" w:customStyle="1" w:styleId="4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Heading 2 Char"/>
    <w:basedOn w:val="22"/>
    <w:link w:val="4"/>
    <w:qFormat/>
    <w:locked/>
    <w:uiPriority w:val="99"/>
    <w:rPr>
      <w:rFonts w:ascii="Cambria" w:hAnsi="Cambria" w:eastAsia="宋体" w:cs="Cambria"/>
      <w:b/>
      <w:bCs/>
      <w:kern w:val="2"/>
      <w:sz w:val="32"/>
      <w:szCs w:val="32"/>
    </w:rPr>
  </w:style>
  <w:style w:type="character" w:customStyle="1" w:styleId="42">
    <w:name w:val="纯文本 Char"/>
    <w:basedOn w:val="22"/>
    <w:link w:val="11"/>
    <w:qFormat/>
    <w:uiPriority w:val="0"/>
    <w:rPr>
      <w:rFonts w:hint="eastAsia" w:ascii="宋体" w:hAnsi="Courier New" w:eastAsia="宋体" w:cs="Courier New"/>
      <w:kern w:val="2"/>
      <w:sz w:val="21"/>
      <w:szCs w:val="21"/>
    </w:rPr>
  </w:style>
  <w:style w:type="character" w:customStyle="1" w:styleId="43">
    <w:name w:val="font31"/>
    <w:basedOn w:val="22"/>
    <w:qFormat/>
    <w:uiPriority w:val="0"/>
    <w:rPr>
      <w:rFonts w:hint="eastAsia" w:ascii="宋体" w:hAnsi="宋体" w:eastAsia="宋体" w:cs="宋体"/>
      <w:b/>
      <w:bCs/>
      <w:color w:val="000000"/>
      <w:sz w:val="36"/>
      <w:szCs w:val="36"/>
      <w:u w:val="none"/>
    </w:rPr>
  </w:style>
  <w:style w:type="paragraph" w:customStyle="1" w:styleId="44">
    <w:name w:val="常用样式（方正仿宋简）"/>
    <w:basedOn w:val="1"/>
    <w:qFormat/>
    <w:uiPriority w:val="0"/>
    <w:pPr>
      <w:keepNext w:val="0"/>
      <w:keepLines w:val="0"/>
      <w:widowControl w:val="0"/>
      <w:suppressLineNumbers w:val="0"/>
      <w:spacing w:before="0" w:beforeAutospacing="0" w:after="0" w:afterAutospacing="0" w:line="560" w:lineRule="exact"/>
      <w:ind w:left="0" w:right="0" w:firstLine="640" w:firstLineChars="200"/>
      <w:jc w:val="both"/>
    </w:pPr>
    <w:rPr>
      <w:rFonts w:hint="default" w:ascii="Times New Roman" w:hAnsi="Times New Roman" w:eastAsia="方正仿宋简体" w:cs="Times New Roman"/>
      <w:kern w:val="2"/>
      <w:sz w:val="21"/>
      <w:szCs w:val="24"/>
      <w:lang w:val="en-US" w:eastAsia="zh-CN" w:bidi="ar"/>
    </w:rPr>
  </w:style>
  <w:style w:type="character" w:customStyle="1" w:styleId="45">
    <w:name w:val="正文首行缩进 2 Char"/>
    <w:basedOn w:val="46"/>
    <w:link w:val="9"/>
    <w:qFormat/>
    <w:uiPriority w:val="0"/>
    <w:rPr>
      <w:kern w:val="2"/>
      <w:sz w:val="21"/>
      <w:szCs w:val="24"/>
    </w:rPr>
  </w:style>
  <w:style w:type="character" w:customStyle="1" w:styleId="46">
    <w:name w:val="正文文本缩进 Char"/>
    <w:basedOn w:val="22"/>
    <w:link w:val="8"/>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4892;&#25919;&#23457;&#25209;&#23616;\&#36130;&#21153;\&#22806;&#21333;&#20301;\&#20915;&#31639;&#36164;&#26009;\2022&#24180;&#20915;&#31639;\2022&#24180;&#20915;&#31639;&#20998;&#26512;\&#65288;&#34892;&#25919;&#23457;&#25209;&#23616;&#65289;2022&#24180;&#20915;&#31639;&#20998;&#26512;&#25253;&#21578;\&#65288;&#21306;&#34892;&#25919;&#23457;&#25209;&#23616;&#65289;2022&#24180;&#20915;&#31639;&#20998;&#26512;&#25253;&#21578;\&#30011;&#22270;&#24037;&#20855;&#65288;&#34892;&#25919;&#23457;&#25209;&#236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收入支出决算总体情况说明图</a:t>
            </a:r>
            <a:r>
              <a:rPr lang="en-US" altLang="zh-CN"/>
              <a:t>                         </a:t>
            </a:r>
            <a:r>
              <a:t>（单位：万元）</a:t>
            </a:r>
          </a:p>
        </c:rich>
      </c:tx>
      <c:layout>
        <c:manualLayout>
          <c:xMode val="edge"/>
          <c:yMode val="edge"/>
          <c:x val="0.235277777777778"/>
          <c:y val="0.0347222222222222"/>
        </c:manualLayout>
      </c:layout>
      <c:overlay val="0"/>
      <c:spPr>
        <a:noFill/>
        <a:ln>
          <a:noFill/>
        </a:ln>
        <a:effectLst/>
      </c:spPr>
    </c:title>
    <c:autoTitleDeleted val="0"/>
    <c:plotArea>
      <c:layout/>
      <c:barChart>
        <c:barDir val="col"/>
        <c:grouping val="clustered"/>
        <c:varyColors val="0"/>
        <c:ser>
          <c:idx val="0"/>
          <c:order val="0"/>
          <c:tx>
            <c:strRef>
              <c:f>'[画图工具（行政审批局).xlsx]收支总计 (7)'!$B$1</c:f>
              <c:strCache>
                <c:ptCount val="1"/>
                <c:pt idx="0">
                  <c:v>收入实际执行数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(7)'!$A$2:$A$6</c:f>
              <c:strCache>
                <c:ptCount val="5"/>
                <c:pt idx="0">
                  <c:v>2021年</c:v>
                </c:pt>
                <c:pt idx="1">
                  <c:v>2022年</c:v>
                </c:pt>
                <c:pt idx="2">
                  <c:v>2021年</c:v>
                </c:pt>
                <c:pt idx="3">
                  <c:v>2022年</c:v>
                </c:pt>
              </c:strCache>
            </c:strRef>
          </c:cat>
          <c:val>
            <c:numRef>
              <c:f>'[画图工具（行政审批局).xlsx]收支总计 (7)'!$B$2:$B$6</c:f>
              <c:numCache>
                <c:formatCode>0.00_ </c:formatCode>
                <c:ptCount val="5"/>
                <c:pt idx="0">
                  <c:v>406.08</c:v>
                </c:pt>
                <c:pt idx="1">
                  <c:v>1311.45</c:v>
                </c:pt>
              </c:numCache>
            </c:numRef>
          </c:val>
        </c:ser>
        <c:ser>
          <c:idx val="1"/>
          <c:order val="1"/>
          <c:tx>
            <c:strRef>
              <c:f>'[画图工具（行政审批局).xlsx]收支总计 (7)'!$C$1</c:f>
              <c:strCache>
                <c:ptCount val="1"/>
                <c:pt idx="0">
                  <c:v>支出实际执行数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(7)'!$A$2:$A$6</c:f>
              <c:strCache>
                <c:ptCount val="5"/>
                <c:pt idx="0">
                  <c:v>2021年</c:v>
                </c:pt>
                <c:pt idx="1">
                  <c:v>2022年</c:v>
                </c:pt>
                <c:pt idx="2">
                  <c:v>2021年</c:v>
                </c:pt>
                <c:pt idx="3">
                  <c:v>2022年</c:v>
                </c:pt>
              </c:strCache>
            </c:strRef>
          </c:cat>
          <c:val>
            <c:numRef>
              <c:f>'[画图工具（行政审批局).xlsx]收支总计 (7)'!$C$2:$C$6</c:f>
              <c:numCache>
                <c:formatCode>General</c:formatCode>
                <c:ptCount val="5"/>
                <c:pt idx="2" c:formatCode="0.00_ ">
                  <c:v>406.08</c:v>
                </c:pt>
                <c:pt idx="3" c:formatCode="0.00_ ">
                  <c:v>1311.45</c:v>
                </c:pt>
              </c:numCache>
            </c:numRef>
          </c:val>
        </c:ser>
        <c:ser>
          <c:idx val="2"/>
          <c:order val="2"/>
          <c:tx>
            <c:strRef>
              <c:f>'[画图工具（行政审批局).xlsx]收支总计 (7)'!$D$1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'[画图工具（行政审批局).xlsx]收支总计 (7)'!$A$2:$A$6</c:f>
              <c:strCache>
                <c:ptCount val="5"/>
                <c:pt idx="0">
                  <c:v>2021年</c:v>
                </c:pt>
                <c:pt idx="1">
                  <c:v>2022年</c:v>
                </c:pt>
                <c:pt idx="2">
                  <c:v>2021年</c:v>
                </c:pt>
                <c:pt idx="3">
                  <c:v>2022年</c:v>
                </c:pt>
              </c:strCache>
            </c:strRef>
          </c:cat>
          <c:val>
            <c:numRef>
              <c:f>'[画图工具（行政审批局).xlsx]收支总计 (7)'!$D$2:$D$6</c:f>
              <c:numCache>
                <c:formatCode>General</c:formatCode>
                <c:ptCount val="5"/>
              </c:numCache>
            </c:numRef>
          </c:val>
        </c:ser>
        <c:dLbls>
          <c:showLegendKey val="0"/>
          <c:showVal val="0"/>
          <c:showCatName val="0"/>
          <c:showSerName val="0"/>
          <c:showPercent val="0"/>
          <c:showBubbleSize val="0"/>
        </c:dLbls>
        <c:gapWidth val="100"/>
        <c:overlap val="-24"/>
        <c:axId val="250727424"/>
        <c:axId val="250745600"/>
      </c:barChart>
      <c:catAx>
        <c:axId val="25072742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45600"/>
        <c:crosses val="autoZero"/>
        <c:auto val="1"/>
        <c:lblAlgn val="ctr"/>
        <c:lblOffset val="100"/>
        <c:noMultiLvlLbl val="0"/>
      </c:catAx>
      <c:valAx>
        <c:axId val="250745600"/>
        <c:scaling>
          <c:orientation val="minMax"/>
        </c:scaling>
        <c:delete val="0"/>
        <c:axPos val="l"/>
        <c:majorGridlines>
          <c:spPr>
            <a:ln w="9525" cap="flat" cmpd="sng" algn="ctr">
              <a:solidFill>
                <a:schemeClr val="tx2">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'[画图工具（行政审批局).xlsx]收入决算结构'!$B$1</c:f>
              <c:strCache>
                <c:ptCount val="1"/>
                <c:pt idx="0">
                  <c:v>收入决算结构（单位：万元）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extLst>
                <c:ext xmlns:c15="http://schemas.microsoft.com/office/drawing/2012/chart" uri="{02D57815-91ED-43cb-92C2-25804820EDAC}">
                  <c15:fullRef>
                    <c15:sqref>'[画图工具（行政审批局).xlsx]收入决算结构'!$A$2:$A$11</c15:sqref>
                  </c15:fullRef>
                </c:ext>
              </c:extLst>
              <c:f>('[画图工具（行政审批局).xlsx]收入决算结构'!$A$2,'[画图工具（行政审批局).xlsx]收入决算结构'!$A$8)</c:f>
              <c:strCache>
                <c:ptCount val="2"/>
                <c:pt idx="0">
                  <c:v>一般公共预算财政拨款收入</c:v>
                </c:pt>
                <c:pt idx="1">
                  <c:v>其他收入</c:v>
                </c:pt>
              </c:strCache>
            </c:strRef>
          </c:cat>
          <c:val>
            <c:numRef>
              <c:extLst>
                <c:ext xmlns:c15="http://schemas.microsoft.com/office/drawing/2012/chart" uri="{02D57815-91ED-43cb-92C2-25804820EDAC}">
                  <c15:fullRef>
                    <c15:sqref>收入决算结构!$B$2:$B$11</c15:sqref>
                  </c15:fullRef>
                </c:ext>
              </c:extLst>
              <c:f>('[画图工具（行政审批局).xlsx]收入决算结构'!$B$2,'[画图工具（行政审批局).xlsx]收入决算结构'!$B$8)</c:f>
              <c:numCache>
                <c:formatCode>General</c:formatCode>
                <c:ptCount val="2"/>
                <c:pt idx="0">
                  <c:v>531.45</c:v>
                </c:pt>
                <c:pt idx="1">
                  <c:v>5.08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tx>
            <c:strRef>
              <c:f>'[画图工具（行政审批局).xlsx]总支出'!$B$1</c:f>
              <c:strCache>
                <c:ptCount val="1"/>
                <c:pt idx="0">
                  <c:v>2022年支出合计（单位：万元）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'[画图工具（行政审批局).xlsx]总支出'!$A$2:$A$3</c:f>
              <c:strCache>
                <c:ptCount val="2"/>
                <c:pt idx="0">
                  <c:v>基本支出</c:v>
                </c:pt>
                <c:pt idx="1">
                  <c:v>项目支出</c:v>
                </c:pt>
              </c:strCache>
            </c:strRef>
          </c:cat>
          <c:val>
            <c:numRef>
              <c:f>'[画图工具（行政审批局).xlsx]总支出'!$B$2:$B$3</c:f>
              <c:numCache>
                <c:formatCode>General</c:formatCode>
                <c:ptCount val="2"/>
                <c:pt idx="0">
                  <c:v>325.11</c:v>
                </c:pt>
                <c:pt idx="1">
                  <c:v>986.34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财政拨款收、支决算总计变动情况图</a:t>
            </a:r>
            <a:r>
              <a:rPr lang="en-US" altLang="zh-CN"/>
              <a:t>                         </a:t>
            </a:r>
            <a:r>
              <a:t>（单位：万元）</a:t>
            </a:r>
          </a:p>
        </c:rich>
      </c:tx>
      <c:layout>
        <c:manualLayout>
          <c:xMode val="edge"/>
          <c:yMode val="edge"/>
          <c:x val="0.141527777777778"/>
          <c:y val="0.0208333333333333"/>
        </c:manualLayout>
      </c:layout>
      <c:overlay val="0"/>
      <c:spPr>
        <a:noFill/>
        <a:ln>
          <a:noFill/>
        </a:ln>
        <a:effectLst/>
      </c:spPr>
    </c:title>
    <c:autoTitleDeleted val="0"/>
    <c:plotArea>
      <c:layout/>
      <c:barChart>
        <c:barDir val="col"/>
        <c:grouping val="clustered"/>
        <c:varyColors val="0"/>
        <c:ser>
          <c:idx val="0"/>
          <c:order val="0"/>
          <c:tx>
            <c:strRef>
              <c:f>'[画图工具（行政审批局).xlsx]收支总计 (8)'!$B$1</c:f>
              <c:strCache>
                <c:ptCount val="1"/>
                <c:pt idx="0">
                  <c:v>财政拨款收入总计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(8)'!$A$2:$A$6</c:f>
              <c:strCache>
                <c:ptCount val="5"/>
                <c:pt idx="0">
                  <c:v>2021年</c:v>
                </c:pt>
                <c:pt idx="1">
                  <c:v>2022年</c:v>
                </c:pt>
                <c:pt idx="2">
                  <c:v>2021年</c:v>
                </c:pt>
                <c:pt idx="3">
                  <c:v>2022年</c:v>
                </c:pt>
              </c:strCache>
            </c:strRef>
          </c:cat>
          <c:val>
            <c:numRef>
              <c:f>'[画图工具（行政审批局).xlsx]收支总计 (8)'!$B$2:$B$6</c:f>
              <c:numCache>
                <c:formatCode>0.00_ </c:formatCode>
                <c:ptCount val="5"/>
                <c:pt idx="0">
                  <c:v>406.08</c:v>
                </c:pt>
                <c:pt idx="1">
                  <c:v>1311.45</c:v>
                </c:pt>
              </c:numCache>
            </c:numRef>
          </c:val>
        </c:ser>
        <c:ser>
          <c:idx val="1"/>
          <c:order val="1"/>
          <c:tx>
            <c:strRef>
              <c:f>'[画图工具（行政审批局).xlsx]收支总计 (8)'!$C$1</c:f>
              <c:strCache>
                <c:ptCount val="1"/>
                <c:pt idx="0">
                  <c:v>财政拨款支出总计</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'[画图工具（行政审批局).xlsx]收支总计 (8)'!$A$2:$A$6</c:f>
              <c:strCache>
                <c:ptCount val="5"/>
                <c:pt idx="0">
                  <c:v>2021年</c:v>
                </c:pt>
                <c:pt idx="1">
                  <c:v>2022年</c:v>
                </c:pt>
                <c:pt idx="2">
                  <c:v>2021年</c:v>
                </c:pt>
                <c:pt idx="3">
                  <c:v>2022年</c:v>
                </c:pt>
              </c:strCache>
            </c:strRef>
          </c:cat>
          <c:val>
            <c:numRef>
              <c:f>'[画图工具（行政审批局).xlsx]收支总计 (8)'!$C$2:$C$6</c:f>
              <c:numCache>
                <c:formatCode>General</c:formatCode>
                <c:ptCount val="5"/>
                <c:pt idx="2" c:formatCode="0.00_ ">
                  <c:v>406.08</c:v>
                </c:pt>
                <c:pt idx="3" c:formatCode="0.00_ ">
                  <c:v>1311.45</c:v>
                </c:pt>
              </c:numCache>
            </c:numRef>
          </c:val>
        </c:ser>
        <c:ser>
          <c:idx val="2"/>
          <c:order val="2"/>
          <c:tx>
            <c:strRef>
              <c:f>'[画图工具（行政审批局).xlsx]收支总计 (8)'!$D$1</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'[画图工具（行政审批局).xlsx]收支总计 (8)'!$A$2:$A$6</c:f>
              <c:strCache>
                <c:ptCount val="5"/>
                <c:pt idx="0">
                  <c:v>2021年</c:v>
                </c:pt>
                <c:pt idx="1">
                  <c:v>2022年</c:v>
                </c:pt>
                <c:pt idx="2">
                  <c:v>2021年</c:v>
                </c:pt>
                <c:pt idx="3">
                  <c:v>2022年</c:v>
                </c:pt>
              </c:strCache>
            </c:strRef>
          </c:cat>
          <c:val>
            <c:numRef>
              <c:f>'[画图工具（行政审批局).xlsx]收支总计 (8)'!$D$2:$D$6</c:f>
              <c:numCache>
                <c:formatCode>General</c:formatCode>
                <c:ptCount val="5"/>
              </c:numCache>
            </c:numRef>
          </c:val>
        </c:ser>
        <c:dLbls>
          <c:showLegendKey val="0"/>
          <c:showVal val="0"/>
          <c:showCatName val="0"/>
          <c:showSerName val="0"/>
          <c:showPercent val="0"/>
          <c:showBubbleSize val="0"/>
        </c:dLbls>
        <c:gapWidth val="100"/>
        <c:overlap val="-24"/>
        <c:axId val="250727424"/>
        <c:axId val="250745600"/>
      </c:barChart>
      <c:catAx>
        <c:axId val="25072742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45600"/>
        <c:crosses val="autoZero"/>
        <c:auto val="1"/>
        <c:lblAlgn val="ctr"/>
        <c:lblOffset val="100"/>
        <c:noMultiLvlLbl val="0"/>
      </c:catAx>
      <c:valAx>
        <c:axId val="250745600"/>
        <c:scaling>
          <c:orientation val="minMax"/>
        </c:scaling>
        <c:delete val="0"/>
        <c:axPos val="l"/>
        <c:majorGridlines>
          <c:spPr>
            <a:ln w="9525" cap="flat" cmpd="sng" algn="ctr">
              <a:solidFill>
                <a:schemeClr val="tx2">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0727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nchor="ct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一般公共预算财政拨款支出</a:t>
            </a: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tx>
            <c:strRef>
              <c:f>'[画图工具（行政审批局).xlsx]Sheet1 (4)'!$B$1</c:f>
              <c:strCache>
                <c:ptCount val="1"/>
                <c:pt idx="0">
                  <c:v>一般公共预算财政拨款支出（单位：万元）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'[画图工具（行政审批局).xlsx]Sheet1 (4)'!$A$2:$A$3</c:f>
              <c:strCache>
                <c:ptCount val="2"/>
                <c:pt idx="0">
                  <c:v>2021年</c:v>
                </c:pt>
                <c:pt idx="1">
                  <c:v>2022年</c:v>
                </c:pt>
              </c:strCache>
            </c:strRef>
          </c:cat>
          <c:val>
            <c:numRef>
              <c:f>'[画图工具（行政审批局).xlsx]Sheet1 (4)'!$B$2:$B$3</c:f>
              <c:numCache>
                <c:formatCode>General</c:formatCode>
                <c:ptCount val="2"/>
                <c:pt idx="0">
                  <c:v>406.07</c:v>
                </c:pt>
                <c:pt idx="1">
                  <c:v>1306.37</c:v>
                </c:pt>
              </c:numCache>
            </c:numRef>
          </c:val>
        </c:ser>
        <c:dLbls>
          <c:showLegendKey val="0"/>
          <c:showVal val="1"/>
          <c:showCatName val="0"/>
          <c:showSerName val="0"/>
          <c:showPercent val="0"/>
          <c:showBubbleSize val="0"/>
        </c:dLbls>
        <c:gapWidth val="100"/>
        <c:overlap val="-24"/>
        <c:axId val="252047360"/>
        <c:axId val="252048896"/>
      </c:barChart>
      <c:catAx>
        <c:axId val="252047360"/>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048896"/>
        <c:crosses val="autoZero"/>
        <c:auto val="1"/>
        <c:lblAlgn val="ctr"/>
        <c:lblOffset val="100"/>
        <c:noMultiLvlLbl val="0"/>
      </c:catAx>
      <c:valAx>
        <c:axId val="2520488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047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一般公共预算财政拨款支出决算结构图（单位：万元）</a:t>
            </a:r>
          </a:p>
        </c:rich>
      </c:tx>
      <c:layout>
        <c:manualLayout>
          <c:xMode val="edge"/>
          <c:yMode val="edge"/>
          <c:x val="0.108949100834939"/>
          <c:y val="0.049645390070922"/>
        </c:manualLayout>
      </c:layout>
      <c:overlay val="0"/>
      <c:spPr>
        <a:noFill/>
        <a:ln>
          <a:noFill/>
        </a:ln>
        <a:effectLst/>
      </c:spPr>
    </c:title>
    <c:autoTitleDeleted val="0"/>
    <c:plotArea>
      <c:layout/>
      <c:pieChart>
        <c:varyColors val="1"/>
        <c:ser>
          <c:idx val="0"/>
          <c:order val="0"/>
          <c:tx>
            <c:strRef>
              <c:f>'[画图工具（行政审批局).xlsx]一般公共预算财政拨款支出'!$B$1</c:f>
              <c:strCache>
                <c:ptCount val="1"/>
                <c:pt idx="0">
                  <c:v>一般公共预算财政拨款支出决算结构图（单位：万元）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1"/>
              <c:layout>
                <c:manualLayout>
                  <c:x val="-0.0178316741841854"/>
                  <c:y val="0.2213162877987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737276703718319"/>
                  <c:y val="0.09922174111621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704621337781759"/>
                  <c:y val="0.21222121797633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'[画图工具（行政审批局).xlsx]一般公共预算财政拨款支出'!$A$2:$A$5</c:f>
              <c:strCache>
                <c:ptCount val="4"/>
                <c:pt idx="0">
                  <c:v>一般公共服务支出</c:v>
                </c:pt>
                <c:pt idx="1">
                  <c:v>社会保障和就业支出</c:v>
                </c:pt>
                <c:pt idx="2">
                  <c:v>卫生健康支出</c:v>
                </c:pt>
                <c:pt idx="3">
                  <c:v>住房保障支出</c:v>
                </c:pt>
              </c:strCache>
            </c:strRef>
          </c:cat>
          <c:val>
            <c:numRef>
              <c:f>'[画图工具（行政审批局).xlsx]一般公共预算财政拨款支出'!$B$2:$B$5</c:f>
              <c:numCache>
                <c:formatCode>General</c:formatCode>
                <c:ptCount val="4"/>
                <c:pt idx="0">
                  <c:v>1249.74</c:v>
                </c:pt>
                <c:pt idx="1">
                  <c:v>21.86</c:v>
                </c:pt>
                <c:pt idx="2">
                  <c:v>10.95</c:v>
                </c:pt>
                <c:pt idx="3">
                  <c:v>23.82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“三公”经费</a:t>
            </a:r>
            <a:r>
              <a:rPr lang="en-US" altLang="zh-CN"/>
              <a:t> </a:t>
            </a:r>
            <a:r>
              <a:t>财政拨款支出结构图</a:t>
            </a:r>
            <a:r>
              <a:rPr lang="en-US" altLang="zh-CN"/>
              <a:t>         </a:t>
            </a:r>
            <a:r>
              <a:t>（单位：万元）</a:t>
            </a:r>
          </a:p>
        </c:rich>
      </c:tx>
      <c:layout>
        <c:manualLayout>
          <c:xMode val="edge"/>
          <c:yMode val="edge"/>
          <c:x val="0.113472222222222"/>
          <c:y val="0.0419161676646707"/>
        </c:manualLayout>
      </c:layout>
      <c:overlay val="0"/>
      <c:spPr>
        <a:noFill/>
        <a:ln>
          <a:noFill/>
        </a:ln>
        <a:effectLst/>
      </c:spPr>
    </c:title>
    <c:autoTitleDeleted val="0"/>
    <c:plotArea>
      <c:layout/>
      <c:pieChart>
        <c:varyColors val="1"/>
        <c:ser>
          <c:idx val="0"/>
          <c:order val="0"/>
          <c:tx>
            <c:strRef>
              <c:f>'[画图工具（行政审批局).xlsx]“三公”经费财政拨款支出'!$B$1</c:f>
              <c:strCache>
                <c:ptCount val="1"/>
                <c:pt idx="0">
                  <c:v>“三公”经费财政拨款支出结构图（单位：万元）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'[画图工具（行政审批局).xlsx]“三公”经费财政拨款支出'!$A$2:$A$4</c:f>
              <c:strCache>
                <c:ptCount val="3"/>
                <c:pt idx="0">
                  <c:v>因公出国（境）费支出</c:v>
                </c:pt>
                <c:pt idx="1">
                  <c:v>公务用车购置及运行维护费支出</c:v>
                </c:pt>
                <c:pt idx="2">
                  <c:v>公务接待费支出</c:v>
                </c:pt>
              </c:strCache>
            </c:strRef>
          </c:cat>
          <c:val>
            <c:numRef>
              <c:f>'[画图工具（行政审批局).xlsx]“三公”经费财政拨款支出'!$B$2:$B$4</c:f>
              <c:numCache>
                <c:formatCode>General</c:formatCode>
                <c:ptCount val="3"/>
                <c:pt idx="0">
                  <c:v>0</c:v>
                </c:pt>
                <c:pt idx="1">
                  <c:v>0</c:v>
                </c:pt>
                <c:pt idx="2">
                  <c:v>1.59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79</Pages>
  <Words>38605</Words>
  <Characters>41008</Characters>
  <Lines>61</Lines>
  <Paragraphs>17</Paragraphs>
  <TotalTime>11</TotalTime>
  <ScaleCrop>false</ScaleCrop>
  <LinksUpToDate>false</LinksUpToDate>
  <CharactersWithSpaces>59351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何素琴</cp:lastModifiedBy>
  <cp:lastPrinted>2022-08-08T09:11:00Z</cp:lastPrinted>
  <dcterms:modified xsi:type="dcterms:W3CDTF">2023-10-30T11:21:59Z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EEADA8DE725A46B0B533D2F15A97F771_13</vt:lpwstr>
  </property>
</Properties>
</file>