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78441"/>
      <w:bookmarkStart w:id="3" w:name="_Toc15377193"/>
      <w:bookmarkStart w:id="4" w:name="_Toc15396597"/>
      <w:bookmarkStart w:id="5" w:name="_Toc29168"/>
      <w:bookmarkStart w:id="6"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7" w:name="_Toc8104"/>
      <w:bookmarkStart w:id="8" w:name="_Toc15396476"/>
      <w:bookmarkStart w:id="9" w:name="_Toc15377426"/>
      <w:bookmarkStart w:id="10" w:name="_Toc15378442"/>
      <w:bookmarkStart w:id="11" w:name="_Toc15396598"/>
      <w:bookmarkStart w:id="12" w:name="_Toc15377194"/>
      <w:r>
        <w:rPr>
          <w:rFonts w:hint="eastAsia" w:ascii="方正小标宋简体" w:hAnsi="方正小标宋简体" w:eastAsia="方正小标宋简体" w:cs="方正小标宋简体"/>
          <w:color w:val="auto"/>
          <w:sz w:val="72"/>
          <w:szCs w:val="72"/>
          <w:highlight w:val="none"/>
        </w:rPr>
        <w:t>四川省</w:t>
      </w:r>
      <w:bookmarkEnd w:id="0"/>
      <w:bookmarkStart w:id="13" w:name="_Toc15306268"/>
      <w:r>
        <w:rPr>
          <w:rFonts w:hint="eastAsia" w:ascii="方正小标宋简体" w:hAnsi="方正小标宋简体" w:eastAsia="方正小标宋简体" w:cs="方正小标宋简体"/>
          <w:color w:val="auto"/>
          <w:sz w:val="72"/>
          <w:szCs w:val="72"/>
          <w:highlight w:val="none"/>
        </w:rPr>
        <w:t>广元市朝天区</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4" w:name="_Toc27589"/>
      <w:r>
        <w:rPr>
          <w:rFonts w:hint="eastAsia" w:ascii="方正小标宋简体" w:hAnsi="方正小标宋简体" w:eastAsia="方正小标宋简体" w:cs="方正小标宋简体"/>
          <w:color w:val="auto"/>
          <w:sz w:val="72"/>
          <w:szCs w:val="72"/>
          <w:highlight w:val="none"/>
        </w:rPr>
        <w:t>水利局</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bookmarkEnd w:id="14"/>
    </w:p>
    <w:p>
      <w:pPr>
        <w:widowControl/>
        <w:jc w:val="both"/>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pStyle w:val="2"/>
        <w:rPr>
          <w:rFonts w:ascii="黑体" w:hAnsi="黑体" w:eastAsia="黑体"/>
          <w:color w:val="auto"/>
          <w:sz w:val="48"/>
          <w:szCs w:val="4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widowControl/>
        <w:jc w:val="center"/>
        <w:rPr>
          <w:rFonts w:ascii="黑体" w:hAnsi="黑体" w:eastAsia="黑体" w:cstheme="minorBidi"/>
          <w:color w:val="auto"/>
          <w:sz w:val="28"/>
          <w:szCs w:val="28"/>
          <w:highlight w:val="none"/>
        </w:rPr>
      </w:pPr>
    </w:p>
    <w:sdt>
      <w:sdtPr>
        <w:rPr>
          <w:rFonts w:ascii="宋体" w:hAnsi="宋体" w:eastAsia="宋体" w:cs="Times New Roman"/>
          <w:kern w:val="2"/>
          <w:sz w:val="21"/>
          <w:szCs w:val="24"/>
          <w:lang w:val="en-US" w:eastAsia="zh-CN" w:bidi="ar-SA"/>
        </w:rPr>
        <w:id w:val="14746002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eastAsia="宋体"/>
              <w:lang w:val="en-US" w:eastAsia="zh-CN"/>
            </w:rPr>
          </w:pPr>
          <w:bookmarkStart w:id="122" w:name="_GoBack"/>
          <w:bookmarkEnd w:id="122"/>
          <w:r>
            <w:rPr>
              <w:rFonts w:hint="eastAsia" w:ascii="宋体" w:hAnsi="宋体" w:cs="Times New Roman"/>
              <w:kern w:val="2"/>
              <w:sz w:val="21"/>
              <w:szCs w:val="24"/>
              <w:lang w:val="en-US" w:eastAsia="zh-CN" w:bidi="ar-SA"/>
            </w:rPr>
            <w:t>目录</w:t>
          </w:r>
        </w:p>
        <w:p>
          <w:pPr>
            <w:pStyle w:val="40"/>
            <w:tabs>
              <w:tab w:val="right" w:leader="dot" w:pos="8306"/>
            </w:tabs>
          </w:pPr>
          <w:r>
            <w:fldChar w:fldCharType="begin"/>
          </w:r>
          <w:r>
            <w:instrText xml:space="preserve">TOC \o "1-3" \h \u </w:instrText>
          </w:r>
          <w:r>
            <w:fldChar w:fldCharType="separate"/>
          </w:r>
        </w:p>
        <w:p>
          <w:pPr>
            <w:pStyle w:val="40"/>
            <w:tabs>
              <w:tab w:val="right" w:leader="dot" w:pos="8306"/>
            </w:tabs>
          </w:pPr>
          <w:r>
            <w:fldChar w:fldCharType="begin"/>
          </w:r>
          <w:r>
            <w:instrText xml:space="preserve"> HYPERLINK \l _Toc20435 </w:instrText>
          </w:r>
          <w: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_Toc20435 \h </w:instrText>
          </w:r>
          <w:r>
            <w:fldChar w:fldCharType="separate"/>
          </w:r>
          <w:r>
            <w:t>3</w:t>
          </w:r>
          <w:r>
            <w:fldChar w:fldCharType="end"/>
          </w:r>
          <w:r>
            <w:fldChar w:fldCharType="end"/>
          </w:r>
        </w:p>
        <w:p>
          <w:pPr>
            <w:pStyle w:val="41"/>
            <w:tabs>
              <w:tab w:val="right" w:leader="dot" w:pos="8306"/>
            </w:tabs>
          </w:pPr>
          <w:r>
            <w:fldChar w:fldCharType="begin"/>
          </w:r>
          <w:r>
            <w:instrText xml:space="preserve"> HYPERLINK \l _Toc30146 </w:instrText>
          </w:r>
          <w:r>
            <w:fldChar w:fldCharType="separate"/>
          </w:r>
          <w:r>
            <w:rPr>
              <w:rFonts w:hint="eastAsia" w:ascii="黑体" w:hAnsi="黑体" w:eastAsia="黑体"/>
              <w:bCs w:val="0"/>
              <w:lang w:eastAsia="zh-CN"/>
            </w:rPr>
            <w:t xml:space="preserve">一、 </w:t>
          </w:r>
          <w:r>
            <w:rPr>
              <w:rFonts w:hint="eastAsia" w:ascii="黑体" w:hAnsi="黑体" w:eastAsia="黑体"/>
              <w:bCs w:val="0"/>
              <w:highlight w:val="none"/>
              <w:lang w:eastAsia="zh-CN"/>
            </w:rPr>
            <w:t>主要职责</w:t>
          </w:r>
          <w:r>
            <w:tab/>
          </w:r>
          <w:r>
            <w:fldChar w:fldCharType="begin"/>
          </w:r>
          <w:r>
            <w:instrText xml:space="preserve"> PAGEREF _Toc30146 \h </w:instrText>
          </w:r>
          <w:r>
            <w:fldChar w:fldCharType="separate"/>
          </w:r>
          <w:r>
            <w:t>3</w:t>
          </w:r>
          <w:r>
            <w:fldChar w:fldCharType="end"/>
          </w:r>
          <w:r>
            <w:fldChar w:fldCharType="end"/>
          </w:r>
        </w:p>
        <w:p>
          <w:pPr>
            <w:pStyle w:val="41"/>
            <w:tabs>
              <w:tab w:val="right" w:leader="dot" w:pos="8306"/>
            </w:tabs>
          </w:pPr>
          <w:r>
            <w:fldChar w:fldCharType="begin"/>
          </w:r>
          <w:r>
            <w:instrText xml:space="preserve"> HYPERLINK \l _Toc11660 </w:instrText>
          </w:r>
          <w:r>
            <w:fldChar w:fldCharType="separate"/>
          </w:r>
          <w:r>
            <w:rPr>
              <w:rFonts w:hint="eastAsia" w:ascii="黑体" w:hAnsi="黑体" w:eastAsia="黑体"/>
              <w:highlight w:val="none"/>
              <w:lang w:val="en-US" w:eastAsia="zh-CN"/>
            </w:rPr>
            <w:t>二、机构设置</w:t>
          </w:r>
          <w:r>
            <w:tab/>
          </w:r>
          <w:r>
            <w:fldChar w:fldCharType="begin"/>
          </w:r>
          <w:r>
            <w:instrText xml:space="preserve"> PAGEREF _Toc11660 \h </w:instrText>
          </w:r>
          <w:r>
            <w:fldChar w:fldCharType="separate"/>
          </w:r>
          <w:r>
            <w:t>5</w:t>
          </w:r>
          <w:r>
            <w:fldChar w:fldCharType="end"/>
          </w:r>
          <w:r>
            <w:fldChar w:fldCharType="end"/>
          </w:r>
        </w:p>
        <w:p>
          <w:pPr>
            <w:pStyle w:val="40"/>
            <w:tabs>
              <w:tab w:val="right" w:leader="dot" w:pos="8306"/>
            </w:tabs>
          </w:pPr>
          <w:r>
            <w:fldChar w:fldCharType="begin"/>
          </w:r>
          <w:r>
            <w:instrText xml:space="preserve"> HYPERLINK \l _Toc8179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_Toc8179 \h </w:instrText>
          </w:r>
          <w:r>
            <w:fldChar w:fldCharType="separate"/>
          </w:r>
          <w:r>
            <w:t>6</w:t>
          </w:r>
          <w:r>
            <w:fldChar w:fldCharType="end"/>
          </w:r>
          <w:r>
            <w:fldChar w:fldCharType="end"/>
          </w:r>
        </w:p>
        <w:p>
          <w:pPr>
            <w:pStyle w:val="41"/>
            <w:tabs>
              <w:tab w:val="right" w:leader="dot" w:pos="8306"/>
            </w:tabs>
          </w:pPr>
          <w:r>
            <w:fldChar w:fldCharType="begin"/>
          </w:r>
          <w:r>
            <w:instrText xml:space="preserve"> HYPERLINK \l _Toc254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_Toc254 \h </w:instrText>
          </w:r>
          <w:r>
            <w:fldChar w:fldCharType="separate"/>
          </w:r>
          <w:r>
            <w:t>6</w:t>
          </w:r>
          <w:r>
            <w:fldChar w:fldCharType="end"/>
          </w:r>
          <w:r>
            <w:fldChar w:fldCharType="end"/>
          </w:r>
        </w:p>
        <w:p>
          <w:pPr>
            <w:pStyle w:val="41"/>
            <w:tabs>
              <w:tab w:val="right" w:leader="dot" w:pos="8306"/>
            </w:tabs>
          </w:pPr>
          <w:r>
            <w:fldChar w:fldCharType="begin"/>
          </w:r>
          <w:r>
            <w:instrText xml:space="preserve"> HYPERLINK \l _Toc18120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_Toc18120 \h </w:instrText>
          </w:r>
          <w:r>
            <w:fldChar w:fldCharType="separate"/>
          </w:r>
          <w:r>
            <w:t>7</w:t>
          </w:r>
          <w:r>
            <w:fldChar w:fldCharType="end"/>
          </w:r>
          <w:r>
            <w:fldChar w:fldCharType="end"/>
          </w:r>
        </w:p>
        <w:p>
          <w:pPr>
            <w:pStyle w:val="41"/>
            <w:tabs>
              <w:tab w:val="right" w:leader="dot" w:pos="8306"/>
            </w:tabs>
          </w:pPr>
          <w:r>
            <w:fldChar w:fldCharType="begin"/>
          </w:r>
          <w:r>
            <w:instrText xml:space="preserve"> HYPERLINK \l _Toc9679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_Toc9679 \h </w:instrText>
          </w:r>
          <w:r>
            <w:fldChar w:fldCharType="separate"/>
          </w:r>
          <w:r>
            <w:t>7</w:t>
          </w:r>
          <w:r>
            <w:fldChar w:fldCharType="end"/>
          </w:r>
          <w:r>
            <w:fldChar w:fldCharType="end"/>
          </w:r>
        </w:p>
        <w:p>
          <w:pPr>
            <w:pStyle w:val="41"/>
            <w:tabs>
              <w:tab w:val="right" w:leader="dot" w:pos="8306"/>
            </w:tabs>
          </w:pPr>
          <w:r>
            <w:fldChar w:fldCharType="begin"/>
          </w:r>
          <w:r>
            <w:instrText xml:space="preserve"> HYPERLINK \l _Toc5485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_Toc5485 \h </w:instrText>
          </w:r>
          <w:r>
            <w:fldChar w:fldCharType="separate"/>
          </w:r>
          <w:r>
            <w:t>8</w:t>
          </w:r>
          <w:r>
            <w:fldChar w:fldCharType="end"/>
          </w:r>
          <w:r>
            <w:fldChar w:fldCharType="end"/>
          </w:r>
        </w:p>
        <w:p>
          <w:pPr>
            <w:pStyle w:val="41"/>
            <w:tabs>
              <w:tab w:val="right" w:leader="dot" w:pos="8306"/>
            </w:tabs>
          </w:pPr>
          <w:r>
            <w:fldChar w:fldCharType="begin"/>
          </w:r>
          <w:r>
            <w:instrText xml:space="preserve"> HYPERLINK \l _Toc20458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_Toc20458 \h </w:instrText>
          </w:r>
          <w:r>
            <w:fldChar w:fldCharType="separate"/>
          </w:r>
          <w:r>
            <w:t>9</w:t>
          </w:r>
          <w:r>
            <w:fldChar w:fldCharType="end"/>
          </w:r>
          <w:r>
            <w:fldChar w:fldCharType="end"/>
          </w:r>
        </w:p>
        <w:p>
          <w:pPr>
            <w:pStyle w:val="42"/>
            <w:tabs>
              <w:tab w:val="right" w:leader="dot" w:pos="8306"/>
            </w:tabs>
          </w:pPr>
          <w:r>
            <w:fldChar w:fldCharType="begin"/>
          </w:r>
          <w:r>
            <w:instrText xml:space="preserve"> HYPERLINK \l _Toc15319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_Toc15319 \h </w:instrText>
          </w:r>
          <w:r>
            <w:fldChar w:fldCharType="separate"/>
          </w:r>
          <w:r>
            <w:t>9</w:t>
          </w:r>
          <w:r>
            <w:fldChar w:fldCharType="end"/>
          </w:r>
          <w:r>
            <w:fldChar w:fldCharType="end"/>
          </w:r>
        </w:p>
        <w:p>
          <w:pPr>
            <w:pStyle w:val="41"/>
            <w:tabs>
              <w:tab w:val="right" w:leader="dot" w:pos="8306"/>
            </w:tabs>
          </w:pPr>
          <w:r>
            <w:fldChar w:fldCharType="begin"/>
          </w:r>
          <w:r>
            <w:instrText xml:space="preserve"> HYPERLINK \l _Toc26069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_Toc26069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_Toc3473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_Toc3473 \h </w:instrText>
          </w:r>
          <w:r>
            <w:fldChar w:fldCharType="separate"/>
          </w:r>
          <w:r>
            <w:t>12</w:t>
          </w:r>
          <w:r>
            <w:fldChar w:fldCharType="end"/>
          </w:r>
          <w:r>
            <w:fldChar w:fldCharType="end"/>
          </w:r>
        </w:p>
        <w:p>
          <w:pPr>
            <w:pStyle w:val="42"/>
            <w:tabs>
              <w:tab w:val="right" w:leader="dot" w:pos="8306"/>
            </w:tabs>
          </w:pPr>
          <w:r>
            <w:fldChar w:fldCharType="begin"/>
          </w:r>
          <w:r>
            <w:instrText xml:space="preserve"> HYPERLINK \l _Toc2848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_Toc2848 \h </w:instrText>
          </w:r>
          <w:r>
            <w:fldChar w:fldCharType="separate"/>
          </w:r>
          <w:r>
            <w:t>12</w:t>
          </w:r>
          <w:r>
            <w:fldChar w:fldCharType="end"/>
          </w:r>
          <w:r>
            <w:fldChar w:fldCharType="end"/>
          </w:r>
        </w:p>
        <w:p>
          <w:pPr>
            <w:pStyle w:val="41"/>
            <w:tabs>
              <w:tab w:val="right" w:leader="dot" w:pos="8306"/>
            </w:tabs>
          </w:pPr>
          <w:r>
            <w:fldChar w:fldCharType="begin"/>
          </w:r>
          <w:r>
            <w:instrText xml:space="preserve"> HYPERLINK \l _Toc614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_Toc614 \h </w:instrText>
          </w:r>
          <w:r>
            <w:fldChar w:fldCharType="separate"/>
          </w:r>
          <w:r>
            <w:t>14</w:t>
          </w:r>
          <w:r>
            <w:fldChar w:fldCharType="end"/>
          </w:r>
          <w:r>
            <w:fldChar w:fldCharType="end"/>
          </w:r>
        </w:p>
        <w:p>
          <w:pPr>
            <w:pStyle w:val="41"/>
            <w:tabs>
              <w:tab w:val="right" w:leader="dot" w:pos="8306"/>
            </w:tabs>
          </w:pPr>
          <w:r>
            <w:fldChar w:fldCharType="begin"/>
          </w:r>
          <w:r>
            <w:instrText xml:space="preserve"> HYPERLINK \l _Toc2248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_Toc2248 \h </w:instrText>
          </w:r>
          <w:r>
            <w:fldChar w:fldCharType="separate"/>
          </w:r>
          <w:r>
            <w:t>15</w:t>
          </w:r>
          <w:r>
            <w:fldChar w:fldCharType="end"/>
          </w:r>
          <w:r>
            <w:fldChar w:fldCharType="end"/>
          </w:r>
        </w:p>
        <w:p>
          <w:pPr>
            <w:pStyle w:val="41"/>
            <w:tabs>
              <w:tab w:val="right" w:leader="dot" w:pos="8306"/>
            </w:tabs>
          </w:pPr>
          <w:r>
            <w:fldChar w:fldCharType="begin"/>
          </w:r>
          <w:r>
            <w:instrText xml:space="preserve"> HYPERLINK \l _Toc31492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_Toc31492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_Toc25943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_Toc25943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_Toc12214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_Toc12214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_Toc3909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_Toc3909 \h </w:instrText>
          </w:r>
          <w:r>
            <w:fldChar w:fldCharType="separate"/>
          </w:r>
          <w:r>
            <w:t>15</w:t>
          </w:r>
          <w:r>
            <w:fldChar w:fldCharType="end"/>
          </w:r>
          <w:r>
            <w:fldChar w:fldCharType="end"/>
          </w:r>
        </w:p>
        <w:p>
          <w:pPr>
            <w:pStyle w:val="42"/>
            <w:tabs>
              <w:tab w:val="right" w:leader="dot" w:pos="8306"/>
            </w:tabs>
          </w:pPr>
          <w:r>
            <w:fldChar w:fldCharType="begin"/>
          </w:r>
          <w:r>
            <w:instrText xml:space="preserve"> HYPERLINK \l _Toc25735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_Toc25735 \h </w:instrText>
          </w:r>
          <w:r>
            <w:fldChar w:fldCharType="separate"/>
          </w:r>
          <w:r>
            <w:t>15</w:t>
          </w:r>
          <w:r>
            <w:fldChar w:fldCharType="end"/>
          </w:r>
          <w:r>
            <w:fldChar w:fldCharType="end"/>
          </w:r>
        </w:p>
        <w:p>
          <w:pPr>
            <w:pStyle w:val="40"/>
            <w:tabs>
              <w:tab w:val="right" w:leader="dot" w:pos="8306"/>
            </w:tabs>
          </w:pPr>
          <w:r>
            <w:fldChar w:fldCharType="begin"/>
          </w:r>
          <w:r>
            <w:instrText xml:space="preserve"> HYPERLINK \l _Toc14629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_Toc14629 \h </w:instrText>
          </w:r>
          <w:r>
            <w:fldChar w:fldCharType="separate"/>
          </w:r>
          <w:r>
            <w:t>17</w:t>
          </w:r>
          <w:r>
            <w:fldChar w:fldCharType="end"/>
          </w:r>
          <w:r>
            <w:fldChar w:fldCharType="end"/>
          </w:r>
        </w:p>
        <w:p>
          <w:pPr>
            <w:pStyle w:val="40"/>
            <w:tabs>
              <w:tab w:val="right" w:leader="dot" w:pos="8306"/>
            </w:tabs>
          </w:pPr>
          <w:r>
            <w:fldChar w:fldCharType="begin"/>
          </w:r>
          <w:r>
            <w:instrText xml:space="preserve"> HYPERLINK \l _Toc19510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_Toc19510 \h </w:instrText>
          </w:r>
          <w:r>
            <w:fldChar w:fldCharType="separate"/>
          </w:r>
          <w:r>
            <w:t>21</w:t>
          </w:r>
          <w:r>
            <w:fldChar w:fldCharType="end"/>
          </w:r>
          <w:r>
            <w:fldChar w:fldCharType="end"/>
          </w:r>
        </w:p>
        <w:p>
          <w:pPr>
            <w:pStyle w:val="40"/>
            <w:tabs>
              <w:tab w:val="right" w:leader="dot" w:pos="8306"/>
            </w:tabs>
          </w:pPr>
          <w:r>
            <w:fldChar w:fldCharType="begin"/>
          </w:r>
          <w:r>
            <w:instrText xml:space="preserve"> HYPERLINK \l _Toc23082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_Toc23082 \h </w:instrText>
          </w:r>
          <w:r>
            <w:fldChar w:fldCharType="separate"/>
          </w:r>
          <w:r>
            <w:t>79</w:t>
          </w:r>
          <w:r>
            <w:fldChar w:fldCharType="end"/>
          </w:r>
          <w:r>
            <w:fldChar w:fldCharType="end"/>
          </w:r>
        </w:p>
        <w:p>
          <w:r>
            <w:fldChar w:fldCharType="end"/>
          </w:r>
        </w:p>
      </w:sdtContent>
    </w:sdt>
    <w:p>
      <w:pPr>
        <w:widowControl/>
        <w:spacing w:line="440" w:lineRule="exact"/>
        <w:jc w:val="left"/>
        <w:rPr>
          <w:rFonts w:ascii="仿宋" w:hAnsi="仿宋" w:eastAsia="仿宋"/>
          <w:bCs/>
          <w:color w:val="auto"/>
          <w:kern w:val="44"/>
          <w:sz w:val="24"/>
          <w:highlight w:val="none"/>
        </w:rPr>
      </w:pPr>
      <w:bookmarkStart w:id="15" w:name="_Toc15377196"/>
      <w:bookmarkStart w:id="16" w:name="_Toc15396599"/>
      <w:r>
        <w:rPr>
          <w:rFonts w:ascii="仿宋" w:hAnsi="仿宋" w:eastAsia="仿宋"/>
          <w:b/>
          <w:color w:val="auto"/>
          <w:sz w:val="24"/>
          <w:highlight w:val="none"/>
        </w:rPr>
        <w:br w:type="page"/>
      </w:r>
    </w:p>
    <w:p>
      <w:pPr>
        <w:pStyle w:val="3"/>
        <w:jc w:val="center"/>
        <w:rPr>
          <w:rStyle w:val="27"/>
          <w:rFonts w:ascii="黑体" w:hAnsi="黑体" w:eastAsia="黑体"/>
          <w:b/>
          <w:bCs w:val="0"/>
          <w:color w:val="auto"/>
          <w:highlight w:val="none"/>
        </w:rPr>
      </w:pPr>
      <w:bookmarkStart w:id="17" w:name="_Toc20435"/>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15"/>
      <w:bookmarkEnd w:id="16"/>
      <w:bookmarkEnd w:id="17"/>
    </w:p>
    <w:p>
      <w:pPr>
        <w:widowControl/>
        <w:jc w:val="left"/>
        <w:rPr>
          <w:rFonts w:ascii="黑体" w:eastAsia="黑体"/>
          <w:color w:val="auto"/>
          <w:sz w:val="32"/>
          <w:szCs w:val="32"/>
          <w:highlight w:val="none"/>
        </w:rPr>
      </w:pPr>
    </w:p>
    <w:p>
      <w:pPr>
        <w:pStyle w:val="4"/>
        <w:numPr>
          <w:ilvl w:val="0"/>
          <w:numId w:val="1"/>
        </w:numPr>
        <w:rPr>
          <w:rStyle w:val="28"/>
          <w:rFonts w:hint="eastAsia" w:ascii="黑体" w:hAnsi="黑体" w:eastAsia="黑体"/>
          <w:b w:val="0"/>
          <w:bCs w:val="0"/>
          <w:color w:val="auto"/>
          <w:highlight w:val="none"/>
          <w:lang w:eastAsia="zh-CN"/>
        </w:rPr>
      </w:pPr>
      <w:bookmarkStart w:id="18" w:name="_Toc30146"/>
      <w:bookmarkStart w:id="19" w:name="_Toc15377197"/>
      <w:bookmarkStart w:id="20" w:name="_Toc15396600"/>
      <w:r>
        <w:rPr>
          <w:rStyle w:val="28"/>
          <w:rFonts w:hint="eastAsia" w:ascii="黑体" w:hAnsi="黑体" w:eastAsia="黑体"/>
          <w:b w:val="0"/>
          <w:bCs w:val="0"/>
          <w:color w:val="auto"/>
          <w:highlight w:val="none"/>
          <w:lang w:eastAsia="zh-CN"/>
        </w:rPr>
        <w:t>主要职责</w:t>
      </w:r>
      <w:bookmarkEnd w:id="18"/>
    </w:p>
    <w:p>
      <w:pPr>
        <w:spacing w:line="56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根据《中共广元市朝天区委  广元市朝天区人民政府关于印发&lt;广元市朝天区人民政府机构改革方案&gt;和&lt;广元市朝天区人民政府机构改革方案的实施意见&gt;的通知》（广朝委〔2011〕）1号）精神，设立广元市朝天区水务局（</w:t>
      </w:r>
      <w:r>
        <w:rPr>
          <w:rFonts w:hint="eastAsia" w:ascii="仿宋" w:hAnsi="仿宋" w:eastAsia="仿宋" w:cs="仿宋"/>
          <w:sz w:val="32"/>
          <w:szCs w:val="32"/>
          <w:lang w:eastAsia="zh-CN"/>
        </w:rPr>
        <w:t>现更名为</w:t>
      </w:r>
      <w:r>
        <w:rPr>
          <w:rFonts w:hint="eastAsia" w:ascii="仿宋" w:hAnsi="仿宋" w:eastAsia="仿宋" w:cs="仿宋"/>
          <w:sz w:val="32"/>
          <w:szCs w:val="32"/>
        </w:rPr>
        <w:t>广元市朝天区水</w:t>
      </w:r>
      <w:r>
        <w:rPr>
          <w:rFonts w:hint="eastAsia" w:ascii="仿宋" w:hAnsi="仿宋" w:eastAsia="仿宋" w:cs="仿宋"/>
          <w:sz w:val="32"/>
          <w:szCs w:val="32"/>
          <w:lang w:eastAsia="zh-CN"/>
        </w:rPr>
        <w:t>利</w:t>
      </w:r>
      <w:r>
        <w:rPr>
          <w:rFonts w:hint="eastAsia" w:ascii="仿宋" w:hAnsi="仿宋" w:eastAsia="仿宋" w:cs="仿宋"/>
          <w:sz w:val="32"/>
          <w:szCs w:val="32"/>
        </w:rPr>
        <w:t>局），为区政府工作部门。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eastAsia="仿宋_GB2312"/>
          <w:sz w:val="32"/>
          <w:szCs w:val="32"/>
        </w:rPr>
        <w:t>贯彻执行有关法律、法规，研究起草水利工作规范性文件并组织实施；拟定全区水利工作发展、战略和中长期规划。</w:t>
      </w:r>
      <w:r>
        <w:rPr>
          <w:rFonts w:hint="eastAsia" w:ascii="仿宋_GB2312" w:hAnsi="仿宋" w:eastAsia="仿宋_GB2312" w:cs="仿宋"/>
          <w:sz w:val="32"/>
          <w:szCs w:val="32"/>
        </w:rPr>
        <w:t xml:space="preserve">      </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负责生活、生产经营和生态环境用水的统筹和保障。组织实施最严格水资源管理制度，实施水资源的统一监督管理，拟订全区水资源中长期供求规划、水量分配方案并监督实施。组织实施取水许可、水资源论证和防洪论证制度，指导开展水资源有偿使用工作。指导水利行业供水和乡镇供水工作。</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指导水资源保护工作。负责保障水资源的合理开发利用。组织编制并实施水资源保护规划。指导饮用水水源保护有关工作，指导地下水开发利用和地下水资源管理保护。组织指导地下水超采区综合治理。</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负责节约用水工作。拟订节约用水政策，组织编制节约用水规划并监督实施，组织制定有关标准。组织实施用水总量控制等管理制度，指导和推动节水型社会建设工作。</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指导水利设施、水域及其岸线的管理、保护与综合利用。组织指导水利基础设施网络建设。指导重要江河湖泊及河口的治理、开发和保护。指导河湖水生态保护与修复、河湖生态流量水量管理以及河湖水系连通工作。</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、按规定制定水利工程建设有关制度并组织实施，指导监督水利工程建设与运行管理。指导监督工程安全运行，组织工程验收有关工作。</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、负责水土保持工作。拟订水土保持规划并监督实施，组织实施水土流失的综合防治、监测预报并定期公告。负责建设项目水土保持监督管理工作，指导重点水土保持建设项目的实施。</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指导农村水利工作。组织开展骨干灌排工程建设与改造。指导农村饮水安全工程建设管理工作，指导节水灌溉有关工作。指导农村水利改革创新和社会化服务体系建设。指导农村水能资源开发、小水电改造和水电农村电气化工作。</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、负责重大涉水违法事件的查处，协调和仲裁。依法负责水利行业安全生产工作，组织指导水库、水电站大坝、农村水电站的安全监管。指导水利建设市场的监督管理，组织实施水利工程建设的监督。</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 xml:space="preserve">、开展水利科技工作。组织开展水利行业质量监督工作，组织实施水利行业的技术标准、规程规范。                                 </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11</w:t>
      </w:r>
      <w:r>
        <w:rPr>
          <w:rFonts w:hint="eastAsia" w:ascii="仿宋_GB2312" w:hAnsi="仿宋" w:eastAsia="仿宋_GB2312" w:cs="仿宋"/>
          <w:sz w:val="32"/>
          <w:szCs w:val="32"/>
        </w:rPr>
        <w:t xml:space="preserve">、负责落实综合防灾减灾规划相关要求，组织编制洪水干旱灾害防治规划和防护标准并指导实施。承担水情旱情监测预警工作。组织编制重要江河湖泊和重要水工程的防御洪水方案，按程序报批并组织实施。承担防御洪水应急抢险的技术支撑工作。      </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职能转变。应切实加强水资源合理利用、优化配置和节约保护。坚持节水优先，从增加供给转向更加重视需求管理，严格控制用水总量和提高用水效率。坚持保护优先，加强水资源、水城和水利工程的管理保护，维护河湖健康美丽。坚持统筹兼顾，保障合理用水需求和水资源的可持续利用，为经济社会发展提供水安全保障。</w:t>
      </w:r>
    </w:p>
    <w:p>
      <w:pPr>
        <w:pStyle w:val="6"/>
        <w:ind w:left="0" w:leftChars="0" w:firstLine="640" w:firstLineChars="200"/>
        <w:rPr>
          <w:rFonts w:hint="eastAsia" w:eastAsia="仿宋_GB2312"/>
          <w:lang w:val="en-US" w:eastAsia="zh-CN"/>
        </w:rPr>
      </w:pPr>
      <w:r>
        <w:rPr>
          <w:rFonts w:hint="eastAsia" w:ascii="仿宋_GB2312" w:eastAsia="仿宋_GB2312"/>
          <w:sz w:val="32"/>
          <w:szCs w:val="32"/>
          <w:lang w:val="en-US" w:eastAsia="zh-CN"/>
        </w:rPr>
        <w:t>13</w:t>
      </w:r>
      <w:r>
        <w:rPr>
          <w:rFonts w:hint="eastAsia" w:ascii="仿宋_GB2312" w:eastAsia="仿宋_GB2312"/>
          <w:sz w:val="32"/>
          <w:szCs w:val="32"/>
        </w:rPr>
        <w:t>、编制大中型水利水电工程移民安置规划大纲和移民安置规划；拟定大型水电工程移民安置概算，承担大型水利水电工程移民安置综合监理，负责移民后扶工作，组织大中型水利水电工程移民安置验收</w:t>
      </w:r>
      <w:r>
        <w:rPr>
          <w:rFonts w:hint="eastAsia" w:ascii="仿宋_GB2312" w:eastAsia="仿宋_GB2312"/>
          <w:sz w:val="32"/>
          <w:szCs w:val="32"/>
          <w:lang w:eastAsia="zh-CN"/>
        </w:rPr>
        <w:t>。</w:t>
      </w:r>
    </w:p>
    <w:p>
      <w:pPr>
        <w:outlineLvl w:val="2"/>
        <w:rPr>
          <w:rFonts w:hint="eastAsia"/>
          <w:lang w:eastAsia="zh-CN"/>
        </w:rPr>
      </w:pPr>
      <w:bookmarkStart w:id="21" w:name="_Toc22811"/>
      <w:r>
        <w:rPr>
          <w:rFonts w:hint="eastAsia" w:ascii="仿宋_GB2312" w:eastAsia="仿宋_GB2312"/>
          <w:sz w:val="32"/>
          <w:szCs w:val="32"/>
          <w:lang w:val="en-US" w:eastAsia="zh-CN"/>
        </w:rPr>
        <w:t>14</w:t>
      </w:r>
      <w:r>
        <w:rPr>
          <w:rFonts w:hint="eastAsia" w:ascii="仿宋_GB2312" w:eastAsia="仿宋_GB2312"/>
          <w:sz w:val="32"/>
          <w:szCs w:val="32"/>
        </w:rPr>
        <w:t>、承办区委、区政府交办的其它事项。</w:t>
      </w:r>
      <w:bookmarkEnd w:id="21"/>
    </w:p>
    <w:p>
      <w:pPr>
        <w:pStyle w:val="4"/>
        <w:numPr>
          <w:ilvl w:val="0"/>
          <w:numId w:val="0"/>
        </w:numPr>
        <w:rPr>
          <w:rFonts w:hint="eastAsia" w:ascii="黑体" w:hAnsi="黑体" w:eastAsia="黑体"/>
          <w:b w:val="0"/>
          <w:color w:val="auto"/>
          <w:highlight w:val="none"/>
          <w:lang w:val="en-US" w:eastAsia="zh-CN"/>
        </w:rPr>
      </w:pPr>
      <w:bookmarkStart w:id="22" w:name="_Toc11660"/>
      <w:r>
        <w:rPr>
          <w:rFonts w:hint="eastAsia" w:ascii="黑体" w:hAnsi="黑体" w:eastAsia="黑体"/>
          <w:b w:val="0"/>
          <w:color w:val="auto"/>
          <w:highlight w:val="none"/>
          <w:lang w:val="en-US" w:eastAsia="zh-CN"/>
        </w:rPr>
        <w:t>二、机构设置</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val="en-US" w:eastAsia="zh-CN"/>
        </w:rPr>
        <w:t>一、内设机构（11个）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u w:val="single"/>
        </w:rPr>
      </w:pPr>
      <w:r>
        <w:rPr>
          <w:rFonts w:hint="eastAsia" w:ascii="方正楷体简体" w:hAnsi="方正楷体简体" w:eastAsia="方正楷体简体" w:cs="方正楷体简体"/>
          <w:b w:val="0"/>
          <w:bCs/>
          <w:sz w:val="32"/>
          <w:szCs w:val="32"/>
          <w:lang w:eastAsia="zh-CN"/>
        </w:rPr>
        <w:t>（一）</w:t>
      </w:r>
      <w:r>
        <w:rPr>
          <w:rFonts w:hint="eastAsia" w:ascii="方正楷体简体" w:hAnsi="方正楷体简体" w:eastAsia="方正楷体简体" w:cs="方正楷体简体"/>
          <w:b w:val="0"/>
          <w:bCs/>
          <w:sz w:val="32"/>
          <w:szCs w:val="32"/>
        </w:rPr>
        <w:t>办公室</w:t>
      </w:r>
    </w:p>
    <w:p>
      <w:pPr>
        <w:keepNext w:val="0"/>
        <w:keepLines w:val="0"/>
        <w:pageBreakBefore w:val="0"/>
        <w:widowControl w:val="0"/>
        <w:tabs>
          <w:tab w:val="left" w:pos="5373"/>
        </w:tabs>
        <w:kinsoku/>
        <w:wordWrap/>
        <w:overflowPunct/>
        <w:topLinePunct w:val="0"/>
        <w:autoSpaceDE/>
        <w:autoSpaceDN/>
        <w:bidi w:val="0"/>
        <w:adjustRightInd/>
        <w:snapToGrid/>
        <w:spacing w:line="560" w:lineRule="exact"/>
        <w:ind w:left="64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（二）</w:t>
      </w:r>
      <w:r>
        <w:rPr>
          <w:rFonts w:hint="eastAsia" w:ascii="方正楷体简体" w:hAnsi="方正楷体简体" w:eastAsia="方正楷体简体" w:cs="方正楷体简体"/>
          <w:b w:val="0"/>
          <w:bCs/>
          <w:sz w:val="32"/>
          <w:szCs w:val="32"/>
        </w:rPr>
        <w:t>财务股</w:t>
      </w:r>
      <w:r>
        <w:rPr>
          <w:rFonts w:hint="eastAsia" w:ascii="方正楷体简体" w:hAnsi="方正楷体简体" w:eastAsia="方正楷体简体" w:cs="方正楷体简体"/>
          <w:b w:val="0"/>
          <w:bCs/>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方正楷体简体" w:hAnsi="方正楷体简体" w:eastAsia="方正楷体简体" w:cs="方正楷体简体"/>
          <w:b w:val="0"/>
          <w:bCs/>
          <w:sz w:val="32"/>
          <w:szCs w:val="32"/>
          <w:u w:val="single"/>
        </w:rPr>
      </w:pPr>
      <w:r>
        <w:rPr>
          <w:rFonts w:hint="eastAsia" w:ascii="方正楷体简体" w:hAnsi="方正楷体简体" w:eastAsia="方正楷体简体" w:cs="方正楷体简体"/>
          <w:b w:val="0"/>
          <w:bCs/>
          <w:sz w:val="32"/>
          <w:szCs w:val="32"/>
          <w:lang w:eastAsia="zh-CN"/>
        </w:rPr>
        <w:t>（三）</w:t>
      </w:r>
      <w:r>
        <w:rPr>
          <w:rFonts w:hint="eastAsia" w:ascii="方正楷体简体" w:hAnsi="方正楷体简体" w:eastAsia="方正楷体简体" w:cs="方正楷体简体"/>
          <w:b w:val="0"/>
          <w:bCs/>
          <w:sz w:val="32"/>
          <w:szCs w:val="32"/>
        </w:rPr>
        <w:t>规划和计划股</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（四）</w:t>
      </w:r>
      <w:r>
        <w:rPr>
          <w:rFonts w:hint="eastAsia" w:ascii="方正楷体简体" w:hAnsi="方正楷体简体" w:eastAsia="方正楷体简体" w:cs="方正楷体简体"/>
          <w:b w:val="0"/>
          <w:bCs/>
          <w:sz w:val="32"/>
          <w:szCs w:val="32"/>
        </w:rPr>
        <w:t>行政审批股</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eastAsia="zh-CN"/>
        </w:rPr>
        <w:t>（五）</w:t>
      </w:r>
      <w:r>
        <w:rPr>
          <w:rFonts w:hint="eastAsia" w:ascii="方正楷体简体" w:hAnsi="方正楷体简体" w:eastAsia="方正楷体简体" w:cs="方正楷体简体"/>
          <w:b w:val="0"/>
          <w:bCs/>
          <w:sz w:val="32"/>
          <w:szCs w:val="32"/>
          <w:lang w:val="en-US" w:eastAsia="zh-CN"/>
        </w:rPr>
        <w:t>水利建设管理股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（六）水土保持股（区水土保持委员会办公室）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（七）农村水利股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（八）水资源股（区节约用水办公室）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（九）河湖管理和水旱灾害防御股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（十）综合执法股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 xml:space="preserve">    （十一）移民安置股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简体" w:hAnsi="方正黑体简体" w:eastAsia="方正黑体简体" w:cs="方正黑体简体"/>
          <w:b w:val="0"/>
          <w:bCs/>
          <w:sz w:val="32"/>
          <w:szCs w:val="32"/>
          <w:lang w:val="en-US" w:eastAsia="zh-CN"/>
        </w:rPr>
      </w:pPr>
      <w:bookmarkStart w:id="23" w:name="_Toc31478"/>
      <w:r>
        <w:rPr>
          <w:rFonts w:hint="eastAsia" w:ascii="方正黑体简体" w:hAnsi="方正黑体简体" w:eastAsia="方正黑体简体" w:cs="方正黑体简体"/>
          <w:b w:val="0"/>
          <w:bCs/>
          <w:sz w:val="32"/>
          <w:szCs w:val="32"/>
          <w:lang w:val="en-US" w:eastAsia="zh-CN"/>
        </w:rPr>
        <w:t>二、所属事业单位设置（7个）</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（一）区水库事务中心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val="en-US" w:eastAsia="zh-CN"/>
        </w:rPr>
      </w:pPr>
      <w:r>
        <w:rPr>
          <w:rFonts w:hint="eastAsia" w:ascii="方正楷体简体" w:hAnsi="方正楷体简体" w:eastAsia="方正楷体简体" w:cs="方正楷体简体"/>
          <w:b w:val="0"/>
          <w:bCs/>
          <w:sz w:val="32"/>
          <w:szCs w:val="32"/>
          <w:lang w:val="en-US" w:eastAsia="zh-CN"/>
        </w:rPr>
        <w:t>（二）区水利水电工程质量监督站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（三）区水利工程建设管理站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lang w:eastAsia="zh-CN"/>
        </w:rPr>
        <w:t>（四）区堤防工程管理所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（五）区河道管理站（区河长制办公室）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简体" w:hAnsi="方正楷体简体" w:eastAsia="方正楷体简体" w:cs="方正楷体简体"/>
          <w:b w:val="0"/>
          <w:bCs/>
          <w:sz w:val="32"/>
          <w:szCs w:val="32"/>
          <w:lang w:eastAsia="zh-CN"/>
        </w:rPr>
      </w:pPr>
      <w:r>
        <w:rPr>
          <w:rFonts w:hint="eastAsia" w:ascii="方正楷体简体" w:hAnsi="方正楷体简体" w:eastAsia="方正楷体简体" w:cs="方正楷体简体"/>
          <w:b w:val="0"/>
          <w:bCs/>
          <w:sz w:val="32"/>
          <w:szCs w:val="32"/>
          <w:lang w:eastAsia="zh-CN"/>
        </w:rPr>
        <w:t>（六）区小型水利工程运营维护管理站</w:t>
      </w:r>
    </w:p>
    <w:p>
      <w:pPr>
        <w:rPr>
          <w:rFonts w:hint="eastAsia"/>
          <w:lang w:val="en-US" w:eastAsia="zh-CN"/>
        </w:rPr>
      </w:pPr>
    </w:p>
    <w:p>
      <w:pPr>
        <w:rPr>
          <w:rFonts w:hint="eastAsia"/>
          <w:lang w:val="en-US" w:eastAsia="zh-CN"/>
        </w:rPr>
      </w:pPr>
    </w:p>
    <w:bookmarkEnd w:id="19"/>
    <w:bookmarkEnd w:id="20"/>
    <w:p>
      <w:pPr>
        <w:widowControl/>
        <w:jc w:val="left"/>
        <w:rPr>
          <w:rFonts w:ascii="仿宋" w:hAnsi="仿宋" w:eastAsia="仿宋"/>
          <w:color w:val="auto"/>
          <w:kern w:val="0"/>
          <w:sz w:val="32"/>
          <w:szCs w:val="32"/>
          <w:highlight w:val="none"/>
        </w:rPr>
      </w:pPr>
    </w:p>
    <w:p>
      <w:pPr>
        <w:pStyle w:val="3"/>
        <w:ind w:right="440"/>
        <w:jc w:val="center"/>
        <w:rPr>
          <w:rStyle w:val="27"/>
          <w:rFonts w:ascii="黑体" w:hAnsi="黑体" w:eastAsia="黑体"/>
          <w:b w:val="0"/>
          <w:bCs/>
          <w:color w:val="auto"/>
          <w:highlight w:val="none"/>
        </w:rPr>
      </w:pPr>
      <w:bookmarkStart w:id="24" w:name="_Toc8179"/>
      <w:bookmarkStart w:id="25" w:name="_Toc15377204"/>
      <w:bookmarkStart w:id="26"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24"/>
      <w:bookmarkEnd w:id="25"/>
      <w:bookmarkEnd w:id="26"/>
    </w:p>
    <w:p>
      <w:pPr>
        <w:rPr>
          <w:color w:val="auto"/>
          <w:highlight w:val="none"/>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27" w:name="_Toc15377205"/>
      <w:bookmarkStart w:id="28" w:name="_Toc15396603"/>
      <w:bookmarkStart w:id="29" w:name="_Toc254"/>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27"/>
      <w:bookmarkEnd w:id="28"/>
      <w:bookmarkEnd w:id="2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年度收、支总计15,980.78万元。与20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年相比，收、支总计各减少620.14万元，下降</w:t>
      </w:r>
      <w:r>
        <w:rPr>
          <w:rFonts w:hint="eastAsia" w:ascii="仿宋" w:hAnsi="仿宋" w:eastAsia="仿宋"/>
          <w:color w:val="auto"/>
          <w:sz w:val="32"/>
          <w:szCs w:val="32"/>
          <w:highlight w:val="none"/>
          <w:lang w:val="en-US" w:eastAsia="zh-CN"/>
        </w:rPr>
        <w:t>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eastAsia="zh-CN"/>
        </w:rPr>
        <w:t>本年度较上年度项目建设内容小幅减少，该变动为正常收支变动</w:t>
      </w:r>
      <w:r>
        <w:rPr>
          <w:rFonts w:hint="eastAsia" w:ascii="仿宋" w:hAnsi="仿宋" w:eastAsia="仿宋"/>
          <w:color w:val="auto"/>
          <w:sz w:val="32"/>
          <w:szCs w:val="32"/>
          <w:highlight w:val="none"/>
          <w:lang w:eastAsia="zh-CN"/>
        </w:rPr>
        <w:t>。</w:t>
      </w:r>
    </w:p>
    <w:p>
      <w:pPr>
        <w:spacing w:line="240" w:lineRule="auto"/>
        <w:ind w:firstLine="640" w:firstLineChars="200"/>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505200" cy="2298065"/>
            <wp:effectExtent l="0" t="0" r="0" b="31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3505200" cy="2298065"/>
                    </a:xfrm>
                    <a:prstGeom prst="rect">
                      <a:avLst/>
                    </a:prstGeom>
                  </pic:spPr>
                </pic:pic>
              </a:graphicData>
            </a:graphic>
          </wp:inline>
        </w:drawing>
      </w: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30" w:name="_Toc15396604"/>
      <w:bookmarkStart w:id="31" w:name="_Toc15377206"/>
      <w:bookmarkStart w:id="32" w:name="_Toc18120"/>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30"/>
      <w:bookmarkEnd w:id="31"/>
      <w:bookmarkEnd w:id="32"/>
    </w:p>
    <w:p>
      <w:pPr>
        <w:spacing w:line="600" w:lineRule="exact"/>
        <w:ind w:firstLine="640" w:firstLineChars="200"/>
        <w:outlineLvl w:val="1"/>
        <w:rPr>
          <w:rFonts w:hint="eastAsia" w:ascii="仿宋" w:hAnsi="仿宋" w:eastAsia="仿宋"/>
          <w:color w:val="auto"/>
          <w:sz w:val="32"/>
          <w:szCs w:val="32"/>
          <w:highlight w:val="none"/>
        </w:rPr>
      </w:pPr>
      <w:bookmarkStart w:id="33" w:name="_Toc2863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年本年收入合计15,980.78万元，其中：一般公共预算财政拨款收入4,757.45万元，占29.8%；政府性基金预算财政拨款收入11,223.33万元，占70.2%。</w:t>
      </w:r>
      <w:bookmarkEnd w:id="33"/>
    </w:p>
    <w:p>
      <w:pPr>
        <w:spacing w:line="240" w:lineRule="auto"/>
        <w:ind w:firstLine="640" w:firstLineChars="20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drawing>
          <wp:inline distT="0" distB="0" distL="114300" distR="114300">
            <wp:extent cx="3552825" cy="2168525"/>
            <wp:effectExtent l="0" t="0" r="13335" b="1079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3552825" cy="2168525"/>
                    </a:xfrm>
                    <a:prstGeom prst="rect">
                      <a:avLst/>
                    </a:prstGeom>
                  </pic:spPr>
                </pic:pic>
              </a:graphicData>
            </a:graphic>
          </wp:inline>
        </w:drawing>
      </w:r>
    </w:p>
    <w:p>
      <w:pPr>
        <w:spacing w:line="240" w:lineRule="auto"/>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spacing w:line="600" w:lineRule="exact"/>
        <w:ind w:firstLine="640" w:firstLineChars="200"/>
        <w:rPr>
          <w:rFonts w:ascii="仿宋_GB2312" w:eastAsia="仿宋_GB2312"/>
          <w:color w:val="auto"/>
          <w:sz w:val="32"/>
          <w:szCs w:val="32"/>
          <w:highlight w:val="none"/>
        </w:rPr>
      </w:pPr>
    </w:p>
    <w:p>
      <w:pPr>
        <w:pStyle w:val="26"/>
        <w:numPr>
          <w:ilvl w:val="0"/>
          <w:numId w:val="2"/>
        </w:numPr>
        <w:spacing w:line="600" w:lineRule="exact"/>
        <w:ind w:firstLineChars="0"/>
        <w:outlineLvl w:val="1"/>
        <w:rPr>
          <w:rStyle w:val="28"/>
          <w:rFonts w:ascii="黑体" w:hAnsi="黑体" w:eastAsia="黑体"/>
          <w:b w:val="0"/>
          <w:color w:val="auto"/>
          <w:highlight w:val="none"/>
        </w:rPr>
      </w:pPr>
      <w:bookmarkStart w:id="34" w:name="_Toc15377207"/>
      <w:bookmarkStart w:id="35" w:name="_Toc15396605"/>
      <w:bookmarkStart w:id="36" w:name="_Toc9679"/>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34"/>
      <w:bookmarkEnd w:id="35"/>
      <w:bookmarkEnd w:id="36"/>
    </w:p>
    <w:p>
      <w:pPr>
        <w:spacing w:line="600" w:lineRule="exact"/>
        <w:ind w:firstLine="640" w:firstLineChars="200"/>
        <w:outlineLvl w:val="1"/>
        <w:rPr>
          <w:rFonts w:ascii="仿宋" w:hAnsi="仿宋" w:eastAsia="仿宋"/>
          <w:color w:val="auto"/>
          <w:sz w:val="32"/>
          <w:szCs w:val="32"/>
          <w:highlight w:val="none"/>
        </w:rPr>
      </w:pPr>
      <w:bookmarkStart w:id="37" w:name="_Toc20259"/>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年本年支出合计15,980.78万元，其中：基本支出710.19万元，占4.4%；项目支出15,270.59万元，占95.6%；上缴上级支出0万元，占0%；经营支出0万元，占0%；对附属单位补助支出0万元，占0%。</w:t>
      </w:r>
      <w:bookmarkEnd w:id="37"/>
    </w:p>
    <w:p>
      <w:pPr>
        <w:spacing w:line="240" w:lineRule="auto"/>
        <w:ind w:firstLine="640"/>
        <w:jc w:val="center"/>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inline distT="0" distB="0" distL="114300" distR="114300">
            <wp:extent cx="3376930" cy="2252345"/>
            <wp:effectExtent l="0" t="0" r="6350" b="317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3376930" cy="2252345"/>
                    </a:xfrm>
                    <a:prstGeom prst="rect">
                      <a:avLst/>
                    </a:prstGeom>
                  </pic:spPr>
                </pic:pic>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38" w:name="_Toc15377208"/>
      <w:bookmarkStart w:id="39" w:name="_Toc15396606"/>
      <w:bookmarkStart w:id="40" w:name="_Toc5485"/>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38"/>
      <w:bookmarkEnd w:id="39"/>
      <w:bookmarkEnd w:id="40"/>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年财政拨款收、支15,980.78万元。与20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年相比，收、支总计各减少620.14万元，下降</w:t>
      </w:r>
      <w:r>
        <w:rPr>
          <w:rFonts w:hint="eastAsia" w:ascii="仿宋" w:hAnsi="仿宋" w:eastAsia="仿宋"/>
          <w:color w:val="auto"/>
          <w:sz w:val="32"/>
          <w:szCs w:val="32"/>
          <w:highlight w:val="none"/>
          <w:lang w:val="en-US" w:eastAsia="zh-CN"/>
        </w:rPr>
        <w:t>3.7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eastAsia="zh-CN"/>
        </w:rPr>
        <w:t>本年度较上年度项目建设内容小幅减少，该变动为正常收支变动</w:t>
      </w:r>
      <w:r>
        <w:rPr>
          <w:rFonts w:hint="eastAsia" w:ascii="仿宋" w:hAnsi="仿宋" w:eastAsia="仿宋"/>
          <w:color w:val="auto"/>
          <w:sz w:val="32"/>
          <w:szCs w:val="32"/>
          <w:highlight w:val="none"/>
          <w:lang w:eastAsia="zh-CN"/>
        </w:rPr>
        <w:t>。</w:t>
      </w:r>
    </w:p>
    <w:p>
      <w:pPr>
        <w:spacing w:line="240" w:lineRule="auto"/>
        <w:ind w:firstLine="640"/>
        <w:jc w:val="center"/>
        <w:rPr>
          <w:rFonts w:ascii="仿宋" w:hAnsi="仿宋" w:eastAsia="仿宋"/>
          <w:color w:val="auto"/>
          <w:sz w:val="32"/>
          <w:szCs w:val="32"/>
          <w:highlight w:val="none"/>
        </w:rPr>
      </w:pPr>
      <w:r>
        <w:rPr>
          <w:rFonts w:hint="eastAsia" w:ascii="仿宋" w:hAnsi="仿宋" w:eastAsia="仿宋"/>
          <w:b/>
          <w:color w:val="auto"/>
          <w:sz w:val="32"/>
          <w:szCs w:val="32"/>
          <w:highlight w:val="none"/>
          <w:lang w:eastAsia="zh-CN"/>
        </w:rPr>
        <w:drawing>
          <wp:inline distT="0" distB="0" distL="114300" distR="114300">
            <wp:extent cx="3505200" cy="2298065"/>
            <wp:effectExtent l="0" t="0" r="0" b="317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9"/>
                    <a:stretch>
                      <a:fillRect/>
                    </a:stretch>
                  </pic:blipFill>
                  <pic:spPr>
                    <a:xfrm>
                      <a:off x="0" y="0"/>
                      <a:ext cx="3505200" cy="2298065"/>
                    </a:xfrm>
                    <a:prstGeom prst="rect">
                      <a:avLst/>
                    </a:prstGeom>
                  </pic:spPr>
                </pic:pic>
              </a:graphicData>
            </a:graphic>
          </wp:inline>
        </w:drawing>
      </w:r>
    </w:p>
    <w:p>
      <w:pPr>
        <w:spacing w:line="600" w:lineRule="exact"/>
        <w:ind w:firstLine="640" w:firstLineChars="200"/>
        <w:jc w:val="center"/>
        <w:rPr>
          <w:rFonts w:ascii="仿宋" w:hAnsi="仿宋" w:eastAsia="仿宋"/>
          <w:color w:val="0000FF"/>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bookmarkStart w:id="41" w:name="_Toc15396607"/>
      <w:bookmarkStart w:id="42" w:name="_Toc15377209"/>
      <w:bookmarkStart w:id="43" w:name="_Toc20458"/>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41"/>
      <w:bookmarkEnd w:id="42"/>
      <w:bookmarkEnd w:id="43"/>
    </w:p>
    <w:p>
      <w:pPr>
        <w:spacing w:line="600" w:lineRule="exact"/>
        <w:ind w:firstLine="643" w:firstLineChars="200"/>
        <w:outlineLvl w:val="2"/>
        <w:rPr>
          <w:rFonts w:ascii="仿宋" w:hAnsi="仿宋" w:eastAsia="仿宋"/>
          <w:b/>
          <w:color w:val="auto"/>
          <w:sz w:val="32"/>
          <w:szCs w:val="32"/>
          <w:highlight w:val="none"/>
        </w:rPr>
      </w:pPr>
      <w:bookmarkStart w:id="44" w:name="_Toc15377210"/>
      <w:bookmarkStart w:id="45" w:name="_Toc15319"/>
      <w:r>
        <w:rPr>
          <w:rFonts w:hint="eastAsia" w:ascii="仿宋" w:hAnsi="仿宋" w:eastAsia="仿宋"/>
          <w:b/>
          <w:color w:val="auto"/>
          <w:sz w:val="32"/>
          <w:szCs w:val="32"/>
          <w:highlight w:val="none"/>
        </w:rPr>
        <w:t>（一）一般公共预算财政拨款支出决算总体情况</w:t>
      </w:r>
      <w:bookmarkEnd w:id="44"/>
      <w:bookmarkEnd w:id="45"/>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年一般公共预算财政拨款支出4,757.45万元，占本年支出合计的29.8%。与2021年相比，一般公共预算财政拨款支出减少1,557.92万元，下降24.7%。主要变动原因是</w:t>
      </w:r>
      <w:r>
        <w:rPr>
          <w:rFonts w:hint="eastAsia" w:ascii="仿宋" w:hAnsi="仿宋" w:eastAsia="仿宋"/>
          <w:color w:val="auto"/>
          <w:sz w:val="32"/>
          <w:szCs w:val="32"/>
          <w:highlight w:val="none"/>
          <w:lang w:eastAsia="zh-CN"/>
        </w:rPr>
        <w:t>本年度</w:t>
      </w:r>
      <w:r>
        <w:rPr>
          <w:rFonts w:hint="eastAsia" w:ascii="仿宋" w:hAnsi="仿宋" w:eastAsia="仿宋"/>
          <w:color w:val="auto"/>
          <w:sz w:val="32"/>
          <w:szCs w:val="32"/>
          <w:highlight w:val="none"/>
        </w:rPr>
        <w:t>一般公共预算财政拨款收入</w:t>
      </w:r>
      <w:r>
        <w:rPr>
          <w:rFonts w:hint="eastAsia" w:ascii="仿宋" w:hAnsi="仿宋" w:eastAsia="仿宋"/>
          <w:color w:val="auto"/>
          <w:sz w:val="32"/>
          <w:szCs w:val="32"/>
          <w:highlight w:val="none"/>
          <w:lang w:eastAsia="zh-CN"/>
        </w:rPr>
        <w:t>占总收入的</w:t>
      </w:r>
      <w:r>
        <w:rPr>
          <w:rFonts w:hint="eastAsia" w:ascii="仿宋" w:hAnsi="仿宋" w:eastAsia="仿宋"/>
          <w:color w:val="auto"/>
          <w:sz w:val="32"/>
          <w:szCs w:val="32"/>
          <w:highlight w:val="none"/>
          <w:lang w:val="en-US" w:eastAsia="zh-CN"/>
        </w:rPr>
        <w:t>29.8%，而上年度</w:t>
      </w:r>
      <w:r>
        <w:rPr>
          <w:rFonts w:hint="eastAsia" w:ascii="仿宋" w:hAnsi="仿宋" w:eastAsia="仿宋"/>
          <w:color w:val="auto"/>
          <w:sz w:val="32"/>
          <w:szCs w:val="32"/>
          <w:highlight w:val="none"/>
        </w:rPr>
        <w:t>一般公共预算财政拨款收入</w:t>
      </w:r>
      <w:r>
        <w:rPr>
          <w:rFonts w:hint="eastAsia" w:ascii="仿宋" w:hAnsi="仿宋" w:eastAsia="仿宋"/>
          <w:color w:val="auto"/>
          <w:sz w:val="32"/>
          <w:szCs w:val="32"/>
          <w:highlight w:val="none"/>
          <w:lang w:eastAsia="zh-CN"/>
        </w:rPr>
        <w:t>占总收入的</w:t>
      </w:r>
      <w:r>
        <w:rPr>
          <w:rFonts w:hint="eastAsia" w:ascii="仿宋" w:hAnsi="仿宋" w:eastAsia="仿宋"/>
          <w:color w:val="auto"/>
          <w:sz w:val="32"/>
          <w:szCs w:val="32"/>
          <w:highlight w:val="none"/>
          <w:lang w:val="en-US" w:eastAsia="zh-CN"/>
        </w:rPr>
        <w:t>92.89%，故支出比例大幅下降</w:t>
      </w:r>
      <w:r>
        <w:rPr>
          <w:rFonts w:hint="eastAsia" w:ascii="仿宋" w:hAnsi="仿宋" w:eastAsia="仿宋"/>
          <w:color w:val="auto"/>
          <w:sz w:val="32"/>
          <w:szCs w:val="32"/>
          <w:highlight w:val="none"/>
        </w:rPr>
        <w:t>。</w:t>
      </w:r>
    </w:p>
    <w:p>
      <w:pPr>
        <w:spacing w:line="240" w:lineRule="auto"/>
        <w:ind w:firstLine="640" w:firstLineChars="200"/>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505200" cy="2298065"/>
            <wp:effectExtent l="0" t="0" r="0" b="3175"/>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10"/>
                    <a:stretch>
                      <a:fillRect/>
                    </a:stretch>
                  </pic:blipFill>
                  <pic:spPr>
                    <a:xfrm>
                      <a:off x="0" y="0"/>
                      <a:ext cx="3505200" cy="2298065"/>
                    </a:xfrm>
                    <a:prstGeom prst="rect">
                      <a:avLst/>
                    </a:prstGeom>
                  </pic:spPr>
                </pic:pic>
              </a:graphicData>
            </a:graphic>
          </wp:inline>
        </w:drawing>
      </w:r>
    </w:p>
    <w:p>
      <w:pPr>
        <w:spacing w:line="600" w:lineRule="exact"/>
        <w:ind w:firstLine="640" w:firstLineChars="20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6" w:name="_Toc15377211"/>
      <w:bookmarkStart w:id="47" w:name="_Toc7066"/>
      <w:r>
        <w:rPr>
          <w:rFonts w:hint="eastAsia" w:ascii="仿宋" w:hAnsi="仿宋" w:eastAsia="仿宋"/>
          <w:b/>
          <w:color w:val="auto"/>
          <w:sz w:val="32"/>
          <w:szCs w:val="32"/>
          <w:highlight w:val="none"/>
        </w:rPr>
        <w:t>（二）一般公共预算财政拨款支出决算结构情况</w:t>
      </w:r>
      <w:bookmarkEnd w:id="46"/>
      <w:bookmarkEnd w:id="47"/>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年一般公共预算财政拨款支出4,757.45万元，主要用于以下方面:社会保障和就业支出74.05万元，占1.6%；卫生健康支出26.07万元，占0.5%；农林水支出4,612.36万元，占97%；住房保障支出44.98万元，占0.9%。</w:t>
      </w:r>
    </w:p>
    <w:p>
      <w:pPr>
        <w:spacing w:line="240" w:lineRule="auto"/>
        <w:ind w:firstLine="640"/>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339465" cy="2390140"/>
            <wp:effectExtent l="0" t="0" r="13335" b="2540"/>
            <wp:docPr id="6" name="图片 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1"/>
                    </pic:cNvPicPr>
                  </pic:nvPicPr>
                  <pic:blipFill>
                    <a:blip r:embed="rId11"/>
                    <a:stretch>
                      <a:fillRect/>
                    </a:stretch>
                  </pic:blipFill>
                  <pic:spPr>
                    <a:xfrm>
                      <a:off x="0" y="0"/>
                      <a:ext cx="3339465" cy="2390140"/>
                    </a:xfrm>
                    <a:prstGeom prst="rect">
                      <a:avLst/>
                    </a:prstGeom>
                  </pic:spPr>
                </pic:pic>
              </a:graphicData>
            </a:graphic>
          </wp:inline>
        </w:drawing>
      </w:r>
    </w:p>
    <w:p>
      <w:pPr>
        <w:spacing w:line="600" w:lineRule="exact"/>
        <w:ind w:firstLine="640" w:firstLineChars="20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48" w:name="_Toc15377212"/>
      <w:bookmarkStart w:id="49" w:name="_Toc28830"/>
      <w:r>
        <w:rPr>
          <w:rFonts w:hint="eastAsia" w:ascii="仿宋" w:hAnsi="仿宋" w:eastAsia="仿宋"/>
          <w:b/>
          <w:color w:val="auto"/>
          <w:sz w:val="32"/>
          <w:szCs w:val="32"/>
          <w:highlight w:val="none"/>
        </w:rPr>
        <w:t>（三）一般公共预算财政拨款支出决算具体情况</w:t>
      </w:r>
      <w:bookmarkEnd w:id="48"/>
      <w:bookmarkEnd w:id="49"/>
    </w:p>
    <w:p>
      <w:pPr>
        <w:spacing w:line="600" w:lineRule="exact"/>
        <w:ind w:firstLine="643" w:firstLineChars="200"/>
        <w:outlineLvl w:val="2"/>
        <w:rPr>
          <w:rFonts w:ascii="仿宋" w:hAnsi="仿宋" w:eastAsia="仿宋"/>
          <w:color w:val="auto"/>
          <w:sz w:val="32"/>
          <w:szCs w:val="32"/>
          <w:highlight w:val="none"/>
        </w:rPr>
      </w:pPr>
      <w:bookmarkStart w:id="50" w:name="_Toc15378460"/>
      <w:bookmarkStart w:id="51" w:name="_Toc15377444"/>
      <w:bookmarkStart w:id="52" w:name="_Toc15377213"/>
      <w:bookmarkStart w:id="53" w:name="_Toc1429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4757.45万元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50"/>
      <w:bookmarkEnd w:id="51"/>
      <w:bookmarkEnd w:id="52"/>
      <w:bookmarkEnd w:id="53"/>
    </w:p>
    <w:p>
      <w:pPr>
        <w:numPr>
          <w:ilvl w:val="0"/>
          <w:numId w:val="0"/>
        </w:numPr>
        <w:spacing w:line="600" w:lineRule="exact"/>
        <w:ind w:firstLine="643" w:firstLineChars="200"/>
        <w:rPr>
          <w:rStyle w:val="17"/>
          <w:rFonts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lang w:val="en-US" w:eastAsia="zh-CN"/>
        </w:rPr>
        <w:t>1.</w:t>
      </w:r>
      <w:r>
        <w:rPr>
          <w:rStyle w:val="17"/>
          <w:rFonts w:hint="eastAsia" w:ascii="仿宋" w:hAnsi="仿宋" w:eastAsia="仿宋"/>
          <w:bCs/>
          <w:color w:val="auto"/>
          <w:sz w:val="32"/>
          <w:szCs w:val="32"/>
          <w:highlight w:val="none"/>
          <w:lang w:eastAsia="zh-CN"/>
        </w:rPr>
        <w:t>农林水</w:t>
      </w:r>
      <w:r>
        <w:rPr>
          <w:rStyle w:val="17"/>
          <w:rFonts w:hint="eastAsia" w:ascii="仿宋" w:hAnsi="仿宋" w:eastAsia="仿宋"/>
          <w:bCs/>
          <w:color w:val="auto"/>
          <w:sz w:val="32"/>
          <w:szCs w:val="32"/>
          <w:highlight w:val="none"/>
        </w:rPr>
        <w:t>（类）</w:t>
      </w:r>
    </w:p>
    <w:p>
      <w:pPr>
        <w:numPr>
          <w:ilvl w:val="0"/>
          <w:numId w:val="0"/>
        </w:numPr>
        <w:spacing w:line="600" w:lineRule="exact"/>
        <w:ind w:firstLine="643" w:firstLineChars="200"/>
        <w:rPr>
          <w:rStyle w:val="17"/>
          <w:rFonts w:hint="eastAsia" w:ascii="仿宋" w:hAnsi="仿宋" w:eastAsia="仿宋"/>
          <w:b w:val="0"/>
          <w:bCs/>
          <w:color w:val="auto"/>
          <w:sz w:val="32"/>
          <w:szCs w:val="32"/>
          <w:highlight w:val="none"/>
          <w:lang w:eastAsia="zh-CN"/>
        </w:rPr>
      </w:pPr>
      <w:r>
        <w:rPr>
          <w:rStyle w:val="17"/>
          <w:rFonts w:hint="eastAsia" w:ascii="仿宋" w:hAnsi="仿宋" w:eastAsia="仿宋"/>
          <w:bCs/>
          <w:color w:val="auto"/>
          <w:sz w:val="32"/>
          <w:szCs w:val="32"/>
          <w:highlight w:val="none"/>
          <w:lang w:eastAsia="zh-CN"/>
        </w:rPr>
        <w:t>水利</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行政运行</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274.94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Cs/>
          <w:color w:val="auto"/>
          <w:sz w:val="32"/>
          <w:szCs w:val="32"/>
          <w:highlight w:val="none"/>
          <w:lang w:eastAsia="zh-CN"/>
        </w:rPr>
        <w:t>机关服务</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290.15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Cs/>
          <w:color w:val="auto"/>
          <w:sz w:val="32"/>
          <w:szCs w:val="32"/>
          <w:highlight w:val="none"/>
          <w:lang w:eastAsia="zh-CN"/>
        </w:rPr>
        <w:t>水利工程建设</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831.16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Cs/>
          <w:color w:val="auto"/>
          <w:sz w:val="32"/>
          <w:szCs w:val="32"/>
          <w:highlight w:val="none"/>
          <w:lang w:eastAsia="zh-CN"/>
        </w:rPr>
        <w:t>水利前期工作</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22.4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Cs/>
          <w:color w:val="auto"/>
          <w:sz w:val="32"/>
          <w:szCs w:val="32"/>
          <w:highlight w:val="none"/>
          <w:lang w:eastAsia="zh-CN"/>
        </w:rPr>
        <w:t>水土保持</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Cs/>
          <w:color w:val="auto"/>
          <w:sz w:val="32"/>
          <w:szCs w:val="32"/>
          <w:highlight w:val="none"/>
          <w:lang w:eastAsia="zh-CN"/>
        </w:rPr>
        <w:t>防汛</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Cs/>
          <w:color w:val="auto"/>
          <w:sz w:val="32"/>
          <w:szCs w:val="32"/>
          <w:highlight w:val="none"/>
          <w:lang w:eastAsia="zh-CN"/>
        </w:rPr>
        <w:t>其他水利支出</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2392.12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pStyle w:val="2"/>
        <w:ind w:firstLine="643" w:firstLineChars="200"/>
        <w:rPr>
          <w:rStyle w:val="17"/>
          <w:rFonts w:hint="eastAsia" w:ascii="仿宋" w:hAnsi="仿宋" w:eastAsia="仿宋"/>
          <w:b w:val="0"/>
          <w:bCs/>
          <w:color w:val="auto"/>
          <w:sz w:val="32"/>
          <w:szCs w:val="32"/>
          <w:highlight w:val="none"/>
          <w:lang w:eastAsia="zh-CN"/>
        </w:rPr>
      </w:pPr>
      <w:r>
        <w:rPr>
          <w:rStyle w:val="17"/>
          <w:rFonts w:hint="eastAsia" w:ascii="仿宋" w:hAnsi="仿宋" w:eastAsia="仿宋"/>
          <w:bCs/>
          <w:color w:val="auto"/>
          <w:sz w:val="32"/>
          <w:szCs w:val="32"/>
          <w:highlight w:val="none"/>
        </w:rPr>
        <w:t>巩固脱贫衔接乡村振兴（款）农村基础设施建设（项）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44.97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Cs/>
          <w:color w:val="auto"/>
          <w:sz w:val="32"/>
          <w:szCs w:val="32"/>
          <w:highlight w:val="none"/>
          <w:lang w:eastAsia="zh-CN"/>
        </w:rPr>
        <w:t>社会发展</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pStyle w:val="2"/>
        <w:ind w:firstLine="643" w:firstLineChars="200"/>
        <w:rPr>
          <w:rFonts w:hint="eastAsia" w:eastAsia="仿宋"/>
          <w:lang w:val="en-US" w:eastAsia="zh-CN"/>
        </w:rPr>
      </w:pPr>
      <w:r>
        <w:rPr>
          <w:rStyle w:val="17"/>
          <w:rFonts w:hint="eastAsia" w:ascii="仿宋" w:hAnsi="仿宋" w:eastAsia="仿宋"/>
          <w:bCs/>
          <w:color w:val="auto"/>
          <w:sz w:val="32"/>
          <w:szCs w:val="32"/>
          <w:highlight w:val="none"/>
          <w:lang w:eastAsia="zh-CN"/>
        </w:rPr>
        <w:t>其他农林水支出</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eastAsia="zh-CN"/>
        </w:rPr>
        <w:t>其他农林水支出</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652.41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numPr>
          <w:ilvl w:val="0"/>
          <w:numId w:val="3"/>
        </w:numPr>
        <w:spacing w:line="600" w:lineRule="exact"/>
        <w:ind w:firstLine="643" w:firstLineChars="200"/>
        <w:rPr>
          <w:rStyle w:val="17"/>
          <w:rFonts w:hint="eastAsia" w:ascii="仿宋" w:hAnsi="仿宋" w:eastAsia="仿宋"/>
          <w:bCs/>
          <w:color w:val="auto"/>
          <w:sz w:val="32"/>
          <w:szCs w:val="32"/>
          <w:highlight w:val="none"/>
        </w:rPr>
      </w:pPr>
      <w:r>
        <w:rPr>
          <w:rStyle w:val="17"/>
          <w:rFonts w:hint="eastAsia" w:ascii="仿宋" w:hAnsi="仿宋" w:eastAsia="仿宋"/>
          <w:bCs/>
          <w:color w:val="auto"/>
          <w:sz w:val="32"/>
          <w:szCs w:val="32"/>
          <w:highlight w:val="none"/>
        </w:rPr>
        <w:t>住房保障支出（类）</w:t>
      </w:r>
    </w:p>
    <w:p>
      <w:pPr>
        <w:numPr>
          <w:ilvl w:val="0"/>
          <w:numId w:val="0"/>
        </w:numPr>
        <w:spacing w:line="600" w:lineRule="exact"/>
        <w:ind w:firstLine="643" w:firstLineChars="200"/>
        <w:rPr>
          <w:rFonts w:ascii="仿宋" w:hAnsi="仿宋" w:eastAsia="仿宋"/>
          <w:b/>
          <w:color w:val="auto"/>
          <w:sz w:val="32"/>
          <w:szCs w:val="32"/>
          <w:highlight w:val="none"/>
        </w:rPr>
      </w:pPr>
      <w:r>
        <w:rPr>
          <w:rStyle w:val="17"/>
          <w:rFonts w:hint="eastAsia" w:ascii="仿宋" w:hAnsi="仿宋" w:eastAsia="仿宋"/>
          <w:bCs/>
          <w:color w:val="auto"/>
          <w:sz w:val="32"/>
          <w:szCs w:val="32"/>
          <w:highlight w:val="none"/>
        </w:rPr>
        <w:t>住房改革支出（款）住房公积金（项）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44.98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p>
    <w:p>
      <w:pPr>
        <w:spacing w:line="600" w:lineRule="exact"/>
        <w:ind w:firstLine="643" w:firstLineChars="200"/>
        <w:rPr>
          <w:rStyle w:val="17"/>
          <w:rFonts w:hint="eastAsia" w:ascii="仿宋" w:hAnsi="仿宋" w:eastAsia="仿宋"/>
          <w:bCs/>
          <w:color w:val="auto"/>
          <w:sz w:val="32"/>
          <w:szCs w:val="32"/>
          <w:highlight w:val="none"/>
        </w:rPr>
      </w:pPr>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w:t>
      </w:r>
    </w:p>
    <w:p>
      <w:pPr>
        <w:spacing w:line="600" w:lineRule="exact"/>
        <w:ind w:firstLine="643" w:firstLineChars="200"/>
        <w:rPr>
          <w:rStyle w:val="17"/>
          <w:rFonts w:ascii="仿宋" w:hAnsi="仿宋" w:eastAsia="仿宋"/>
          <w:b w:val="0"/>
          <w:bCs/>
          <w:color w:val="auto"/>
          <w:sz w:val="32"/>
          <w:szCs w:val="32"/>
          <w:highlight w:val="none"/>
        </w:rPr>
      </w:pPr>
      <w:r>
        <w:rPr>
          <w:rStyle w:val="17"/>
          <w:rFonts w:hint="eastAsia" w:ascii="仿宋" w:hAnsi="仿宋" w:eastAsia="仿宋"/>
          <w:bCs/>
          <w:color w:val="auto"/>
          <w:sz w:val="32"/>
          <w:szCs w:val="32"/>
          <w:highlight w:val="none"/>
        </w:rPr>
        <w:t>行政事业单位养老支出（款）机关事业单位基本养老保险缴费支出（项）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47.16</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 xml:space="preserve">；  </w:t>
      </w:r>
      <w:r>
        <w:rPr>
          <w:rStyle w:val="17"/>
          <w:rFonts w:hint="eastAsia" w:ascii="仿宋" w:hAnsi="仿宋" w:eastAsia="仿宋"/>
          <w:b/>
          <w:bCs w:val="0"/>
          <w:color w:val="auto"/>
          <w:sz w:val="32"/>
          <w:szCs w:val="32"/>
          <w:highlight w:val="none"/>
          <w:lang w:eastAsia="zh-CN"/>
        </w:rPr>
        <w:t>机关事业单位职业年金缴费支出</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5.21</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p>
    <w:p>
      <w:pPr>
        <w:pStyle w:val="2"/>
        <w:ind w:firstLine="643" w:firstLineChars="200"/>
        <w:rPr>
          <w:rFonts w:hint="eastAsia"/>
          <w:lang w:eastAsia="zh-CN"/>
        </w:rPr>
      </w:pPr>
      <w:r>
        <w:rPr>
          <w:rStyle w:val="17"/>
          <w:rFonts w:hint="eastAsia" w:ascii="仿宋" w:hAnsi="仿宋" w:eastAsia="仿宋"/>
          <w:bCs/>
          <w:color w:val="auto"/>
          <w:sz w:val="32"/>
          <w:szCs w:val="32"/>
          <w:highlight w:val="none"/>
        </w:rPr>
        <w:t>抚恤（款）</w:t>
      </w:r>
      <w:r>
        <w:rPr>
          <w:rStyle w:val="17"/>
          <w:rFonts w:hint="eastAsia" w:ascii="仿宋" w:hAnsi="仿宋" w:eastAsia="仿宋"/>
          <w:bCs/>
          <w:color w:val="auto"/>
          <w:sz w:val="32"/>
          <w:szCs w:val="32"/>
          <w:highlight w:val="none"/>
          <w:lang w:eastAsia="zh-CN"/>
        </w:rPr>
        <w:t>死亡抚恤</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21.68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p>
    <w:p>
      <w:pPr>
        <w:numPr>
          <w:ilvl w:val="0"/>
          <w:numId w:val="0"/>
        </w:numPr>
        <w:spacing w:line="600" w:lineRule="exact"/>
        <w:ind w:firstLine="643" w:firstLineChars="200"/>
        <w:rPr>
          <w:rStyle w:val="17"/>
          <w:rFonts w:hint="eastAsia" w:ascii="仿宋" w:hAnsi="仿宋" w:eastAsia="仿宋"/>
          <w:bCs/>
          <w:color w:val="auto"/>
          <w:sz w:val="32"/>
          <w:szCs w:val="32"/>
          <w:highlight w:val="none"/>
        </w:rPr>
      </w:pPr>
      <w:r>
        <w:rPr>
          <w:rFonts w:hint="eastAsia" w:ascii="仿宋" w:hAnsi="仿宋" w:eastAsia="仿宋"/>
          <w:b/>
          <w:bCs/>
          <w:color w:val="auto"/>
          <w:sz w:val="32"/>
          <w:szCs w:val="32"/>
          <w:highlight w:val="none"/>
          <w:lang w:val="en-US" w:eastAsia="zh-CN"/>
        </w:rPr>
        <w:t>4.</w:t>
      </w:r>
      <w:r>
        <w:rPr>
          <w:rFonts w:hint="eastAsia" w:ascii="仿宋" w:hAnsi="仿宋" w:eastAsia="仿宋"/>
          <w:b/>
          <w:bCs/>
          <w:color w:val="auto"/>
          <w:sz w:val="32"/>
          <w:szCs w:val="32"/>
          <w:highlight w:val="none"/>
        </w:rPr>
        <w:t>卫生健康</w:t>
      </w:r>
      <w:r>
        <w:rPr>
          <w:rStyle w:val="17"/>
          <w:rFonts w:hint="eastAsia" w:ascii="仿宋" w:hAnsi="仿宋" w:eastAsia="仿宋"/>
          <w:bCs/>
          <w:color w:val="auto"/>
          <w:sz w:val="32"/>
          <w:szCs w:val="32"/>
          <w:highlight w:val="none"/>
        </w:rPr>
        <w:t>（类）</w:t>
      </w:r>
    </w:p>
    <w:p>
      <w:pPr>
        <w:numPr>
          <w:ilvl w:val="0"/>
          <w:numId w:val="0"/>
        </w:numPr>
        <w:spacing w:line="600" w:lineRule="exact"/>
        <w:ind w:firstLine="643" w:firstLineChars="200"/>
        <w:rPr>
          <w:rFonts w:hint="eastAsia" w:ascii="仿宋" w:hAnsi="仿宋" w:eastAsia="仿宋"/>
          <w:b/>
          <w:color w:val="auto"/>
          <w:sz w:val="32"/>
          <w:szCs w:val="32"/>
          <w:highlight w:val="none"/>
          <w:lang w:val="en-US" w:eastAsia="zh-CN"/>
        </w:rPr>
      </w:pPr>
      <w:r>
        <w:rPr>
          <w:rStyle w:val="17"/>
          <w:rFonts w:hint="eastAsia" w:ascii="仿宋" w:hAnsi="仿宋" w:eastAsia="仿宋"/>
          <w:bCs/>
          <w:color w:val="auto"/>
          <w:sz w:val="32"/>
          <w:szCs w:val="32"/>
          <w:highlight w:val="none"/>
        </w:rPr>
        <w:t>行政事业单位医疗（款）行政单位医疗（项）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12.38</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r>
        <w:rPr>
          <w:rStyle w:val="17"/>
          <w:rFonts w:hint="eastAsia" w:ascii="仿宋" w:hAnsi="仿宋" w:eastAsia="仿宋"/>
          <w:bCs/>
          <w:color w:val="auto"/>
          <w:sz w:val="32"/>
          <w:szCs w:val="32"/>
          <w:highlight w:val="none"/>
          <w:lang w:eastAsia="zh-CN"/>
        </w:rPr>
        <w:t>事业</w:t>
      </w:r>
      <w:r>
        <w:rPr>
          <w:rStyle w:val="17"/>
          <w:rFonts w:hint="eastAsia" w:ascii="仿宋" w:hAnsi="仿宋" w:eastAsia="仿宋"/>
          <w:bCs/>
          <w:color w:val="auto"/>
          <w:sz w:val="32"/>
          <w:szCs w:val="32"/>
          <w:highlight w:val="none"/>
        </w:rPr>
        <w:t>单位医疗（项）</w:t>
      </w:r>
      <w:r>
        <w:rPr>
          <w:rStyle w:val="17"/>
          <w:rFonts w:ascii="仿宋" w:hAnsi="仿宋" w:eastAsia="仿宋"/>
          <w:bCs/>
          <w:color w:val="auto"/>
          <w:sz w:val="32"/>
          <w:szCs w:val="32"/>
          <w:highlight w:val="none"/>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13.69</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lang w:eastAsia="zh-CN"/>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8"/>
          <w:color w:val="auto"/>
          <w:highlight w:val="none"/>
        </w:rPr>
      </w:pPr>
      <w:bookmarkStart w:id="54" w:name="_Toc15396608"/>
      <w:bookmarkStart w:id="55" w:name="_Toc15377214"/>
      <w:bookmarkStart w:id="56" w:name="_Toc26069"/>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54"/>
      <w:bookmarkEnd w:id="55"/>
      <w:bookmarkEnd w:id="56"/>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年一般公共预算财政拨款基本支出710.19万元，其中：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人员经费647.25万元，主要包括：基本工资、津贴补贴、奖金、绩效工资、机关事业单位基本养老保险缴费、职业年金缴费、其他社会保障缴费、其他工资福利支出、离休费、</w:t>
      </w:r>
      <w:r>
        <w:rPr>
          <w:rFonts w:hint="eastAsia" w:ascii="仿宋" w:hAnsi="仿宋" w:eastAsia="仿宋"/>
          <w:color w:val="auto"/>
          <w:sz w:val="32"/>
          <w:szCs w:val="32"/>
          <w:highlight w:val="none"/>
          <w:lang w:eastAsia="zh-CN"/>
        </w:rPr>
        <w:t>引进人才生活补助及安家费、</w:t>
      </w:r>
      <w:r>
        <w:rPr>
          <w:rFonts w:hint="eastAsia" w:ascii="仿宋" w:hAnsi="仿宋" w:eastAsia="仿宋"/>
          <w:color w:val="auto"/>
          <w:sz w:val="32"/>
          <w:szCs w:val="32"/>
          <w:highlight w:val="none"/>
        </w:rPr>
        <w:t>生活补助、奖励金、住房公积金、其他对个人和家庭的补助支出等。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62.94万元，主要包括：办公费、印刷费、手续费、水费、电费、邮电费、物业管理费、差旅费、维修（护）费、租赁费、会议费、培训费、公务接待费、劳务费、委托业务费、工会经费、公务用车运行维护费、税金及附加费用、其他商品和服务支出、办公设备购置等。</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8"/>
          <w:rFonts w:ascii="黑体" w:hAnsi="黑体" w:eastAsia="黑体"/>
          <w:b w:val="0"/>
          <w:color w:val="auto"/>
          <w:highlight w:val="none"/>
        </w:rPr>
      </w:pPr>
      <w:bookmarkStart w:id="57" w:name="_Toc15396609"/>
      <w:bookmarkStart w:id="58" w:name="_Toc15377215"/>
      <w:bookmarkStart w:id="59" w:name="_Toc3473"/>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57"/>
      <w:bookmarkEnd w:id="58"/>
      <w:bookmarkEnd w:id="59"/>
    </w:p>
    <w:p>
      <w:pPr>
        <w:spacing w:line="600" w:lineRule="exact"/>
        <w:ind w:firstLine="640"/>
        <w:outlineLvl w:val="2"/>
        <w:rPr>
          <w:rFonts w:ascii="仿宋" w:hAnsi="仿宋" w:eastAsia="仿宋"/>
          <w:b/>
          <w:color w:val="auto"/>
          <w:sz w:val="32"/>
          <w:szCs w:val="32"/>
          <w:highlight w:val="none"/>
        </w:rPr>
      </w:pPr>
      <w:bookmarkStart w:id="60" w:name="_Toc15377216"/>
      <w:bookmarkStart w:id="61" w:name="_Toc2848"/>
      <w:r>
        <w:rPr>
          <w:rFonts w:hint="eastAsia" w:ascii="仿宋" w:hAnsi="仿宋" w:eastAsia="仿宋"/>
          <w:b/>
          <w:color w:val="auto"/>
          <w:sz w:val="32"/>
          <w:szCs w:val="32"/>
          <w:highlight w:val="none"/>
        </w:rPr>
        <w:t>（一）“三公”经费财政拨款支出决算总体情况说明</w:t>
      </w:r>
      <w:bookmarkEnd w:id="60"/>
      <w:bookmarkEnd w:id="6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_GB2312" w:hAnsi="仿宋_GB2312" w:eastAsia="仿宋_GB2312"/>
          <w:color w:val="000000"/>
          <w:sz w:val="32"/>
          <w:szCs w:val="24"/>
          <w:lang w:val="zh-CN"/>
        </w:rPr>
        <w:t>24.57万元，完成预算100%；较上年增加9.4万元，增长62%。</w:t>
      </w:r>
    </w:p>
    <w:p>
      <w:pPr>
        <w:spacing w:line="600" w:lineRule="exact"/>
        <w:ind w:firstLine="640"/>
        <w:outlineLvl w:val="2"/>
        <w:rPr>
          <w:rFonts w:ascii="仿宋" w:hAnsi="仿宋" w:eastAsia="仿宋"/>
          <w:b/>
          <w:color w:val="auto"/>
          <w:sz w:val="32"/>
          <w:szCs w:val="32"/>
          <w:highlight w:val="none"/>
        </w:rPr>
      </w:pPr>
      <w:bookmarkStart w:id="62" w:name="_Toc15377217"/>
      <w:bookmarkStart w:id="63" w:name="_Toc22106"/>
      <w:r>
        <w:rPr>
          <w:rFonts w:hint="eastAsia" w:ascii="仿宋" w:hAnsi="仿宋" w:eastAsia="仿宋"/>
          <w:b/>
          <w:color w:val="auto"/>
          <w:sz w:val="32"/>
          <w:szCs w:val="32"/>
          <w:highlight w:val="none"/>
        </w:rPr>
        <w:t>（二）“三公”经费财政拨款支出决算具体情况说明</w:t>
      </w:r>
      <w:bookmarkEnd w:id="62"/>
      <w:bookmarkEnd w:id="63"/>
    </w:p>
    <w:p>
      <w:pPr>
        <w:keepNext/>
        <w:keepLines/>
        <w:spacing w:beforeLines="0" w:afterLines="0" w:line="576" w:lineRule="exact"/>
        <w:ind w:firstLine="640"/>
        <w:rPr>
          <w:rFonts w:hint="eastAsia" w:ascii="仿宋_GB2312" w:hAnsi="仿宋_GB2312" w:eastAsia="仿宋_GB2312"/>
          <w:color w:val="000000"/>
          <w:sz w:val="32"/>
          <w:szCs w:val="24"/>
          <w:lang w:val="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_GB2312" w:hAnsi="仿宋_GB2312" w:eastAsia="仿宋_GB2312"/>
          <w:color w:val="000000"/>
          <w:sz w:val="32"/>
          <w:szCs w:val="24"/>
          <w:lang w:val="zh-CN"/>
        </w:rPr>
        <w:t>23.98万元，占97.6%；公务接待费支出决算0.6万元，占2.4%。具体情况如下：</w:t>
      </w:r>
    </w:p>
    <w:p>
      <w:pPr>
        <w:keepNext/>
        <w:keepLines/>
        <w:spacing w:beforeLines="0" w:afterLines="0" w:line="240" w:lineRule="auto"/>
        <w:ind w:firstLine="640"/>
        <w:jc w:val="center"/>
        <w:rPr>
          <w:rFonts w:hint="eastAsia" w:ascii="仿宋_GB2312" w:hAnsi="仿宋_GB2312" w:eastAsia="仿宋_GB2312"/>
          <w:color w:val="000000"/>
          <w:sz w:val="32"/>
          <w:szCs w:val="24"/>
          <w:lang w:val="zh-CN"/>
        </w:rPr>
      </w:pPr>
      <w:r>
        <w:rPr>
          <w:rFonts w:hint="eastAsia" w:ascii="仿宋_GB2312" w:hAnsi="仿宋_GB2312" w:eastAsia="仿宋_GB2312"/>
          <w:color w:val="000000"/>
          <w:sz w:val="32"/>
          <w:szCs w:val="24"/>
          <w:lang w:val="zh-CN"/>
        </w:rPr>
        <w:drawing>
          <wp:inline distT="0" distB="0" distL="114300" distR="114300">
            <wp:extent cx="3345180" cy="2298065"/>
            <wp:effectExtent l="0" t="0" r="7620" b="3175"/>
            <wp:docPr id="7" name="图片 7"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1"/>
                    </pic:cNvPicPr>
                  </pic:nvPicPr>
                  <pic:blipFill>
                    <a:blip r:embed="rId12"/>
                    <a:stretch>
                      <a:fillRect/>
                    </a:stretch>
                  </pic:blipFill>
                  <pic:spPr>
                    <a:xfrm>
                      <a:off x="0" y="0"/>
                      <a:ext cx="3345180" cy="2298065"/>
                    </a:xfrm>
                    <a:prstGeom prst="rect">
                      <a:avLst/>
                    </a:prstGeom>
                  </pic:spPr>
                </pic:pic>
              </a:graphicData>
            </a:graphic>
          </wp:inline>
        </w:drawing>
      </w:r>
    </w:p>
    <w:p>
      <w:pPr>
        <w:spacing w:line="600" w:lineRule="exact"/>
        <w:ind w:firstLine="64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23.98</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hAnsi="仿宋_GB2312" w:eastAsia="仿宋_GB2312"/>
          <w:color w:val="000000"/>
          <w:sz w:val="32"/>
          <w:szCs w:val="24"/>
          <w:lang w:val="zh-CN"/>
        </w:rPr>
        <w:t>9.26万元，增长62.9%</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去年由于疫情原因，下乡及出差的工作开展有所限制，公务用车费用大幅锐减；本年度户外工作有序开展，费用支出回归正常水平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仿宋_GB2312" w:eastAsia="仿宋_GB2312"/>
          <w:color w:val="000000"/>
          <w:sz w:val="32"/>
          <w:szCs w:val="24"/>
          <w:lang w:val="zh-CN"/>
        </w:rPr>
        <w:t>截至2022年12月底，本部门共有公务用车4辆，其中：轿车</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val="zh-CN"/>
        </w:rPr>
        <w:t>辆、越野车</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val="zh-CN"/>
        </w:rPr>
        <w:t>辆、其他车型</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val="zh-CN"/>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23.98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我单位在全区的水土保持治理工作、堤防新建及修复项目、水库新建项目、大中型水库移民后期扶持工作、乡村振兴农村安全人饮巩固提升、水利救灾、山洪灾害防治、防汛抗旱</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hAnsi="仿宋_GB2312" w:eastAsia="仿宋_GB2312"/>
          <w:color w:val="000000"/>
          <w:sz w:val="32"/>
          <w:szCs w:val="24"/>
          <w:lang w:val="zh-CN"/>
        </w:rPr>
        <w:t>0.6万元，完成预算100%。公务接待费支出决算比2021年增加0.15万元，增长33.3%。</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去年由于疫情原因，上级部门、外市区同级部门的来访工作开展有所限制，本年度回归正常所致支出幅度上升</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0.6</w:t>
      </w:r>
      <w:r>
        <w:rPr>
          <w:rFonts w:hint="eastAsia" w:ascii="仿宋_GB2312" w:eastAsia="仿宋_GB2312"/>
          <w:color w:val="auto"/>
          <w:sz w:val="32"/>
          <w:szCs w:val="32"/>
          <w:highlight w:val="none"/>
        </w:rPr>
        <w:t>万元，主要用于执行公务、开展业务活动开支的用餐费。国内公务接待</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0.6</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全省有限空间作业安全专项检查接待费用</w:t>
      </w:r>
      <w:r>
        <w:rPr>
          <w:rFonts w:hint="eastAsia" w:ascii="仿宋_GB2312" w:eastAsia="仿宋_GB2312"/>
          <w:color w:val="auto"/>
          <w:sz w:val="32"/>
          <w:szCs w:val="32"/>
          <w:highlight w:val="none"/>
          <w:lang w:val="en-US" w:eastAsia="zh-CN"/>
        </w:rPr>
        <w:t>990元</w:t>
      </w:r>
      <w:r>
        <w:rPr>
          <w:rFonts w:hint="eastAsia" w:ascii="仿宋_GB2312" w:eastAsia="仿宋_GB2312"/>
          <w:color w:val="auto"/>
          <w:sz w:val="32"/>
          <w:szCs w:val="32"/>
          <w:highlight w:val="none"/>
          <w:lang w:eastAsia="zh-CN"/>
        </w:rPr>
        <w:t>、全市水电站安全生产工作执法检查接待费用</w:t>
      </w:r>
      <w:r>
        <w:rPr>
          <w:rFonts w:hint="eastAsia" w:ascii="仿宋_GB2312" w:eastAsia="仿宋_GB2312"/>
          <w:color w:val="auto"/>
          <w:sz w:val="32"/>
          <w:szCs w:val="32"/>
          <w:highlight w:val="none"/>
          <w:lang w:val="en-US" w:eastAsia="zh-CN"/>
        </w:rPr>
        <w:t>680元、开展农村供水保障排查工作</w:t>
      </w:r>
      <w:r>
        <w:rPr>
          <w:rFonts w:hint="eastAsia" w:ascii="仿宋_GB2312" w:eastAsia="仿宋_GB2312"/>
          <w:color w:val="auto"/>
          <w:sz w:val="32"/>
          <w:szCs w:val="32"/>
          <w:highlight w:val="none"/>
          <w:lang w:eastAsia="zh-CN"/>
        </w:rPr>
        <w:t>接待费用</w:t>
      </w:r>
      <w:r>
        <w:rPr>
          <w:rFonts w:hint="eastAsia" w:ascii="仿宋_GB2312" w:eastAsia="仿宋_GB2312"/>
          <w:color w:val="auto"/>
          <w:sz w:val="32"/>
          <w:szCs w:val="32"/>
          <w:highlight w:val="none"/>
          <w:lang w:val="en-US" w:eastAsia="zh-CN"/>
        </w:rPr>
        <w:t>610元、省厅开展水利安全生产大检查工作</w:t>
      </w:r>
      <w:r>
        <w:rPr>
          <w:rFonts w:hint="eastAsia" w:ascii="仿宋_GB2312" w:eastAsia="仿宋_GB2312"/>
          <w:color w:val="auto"/>
          <w:sz w:val="32"/>
          <w:szCs w:val="32"/>
          <w:highlight w:val="none"/>
          <w:lang w:eastAsia="zh-CN"/>
        </w:rPr>
        <w:t>接待费用</w:t>
      </w:r>
      <w:r>
        <w:rPr>
          <w:rFonts w:hint="eastAsia" w:ascii="仿宋_GB2312" w:eastAsia="仿宋_GB2312"/>
          <w:color w:val="auto"/>
          <w:sz w:val="32"/>
          <w:szCs w:val="32"/>
          <w:highlight w:val="none"/>
          <w:lang w:val="en-US" w:eastAsia="zh-CN"/>
        </w:rPr>
        <w:t>710元、市局督察检查用水管理专项整治行动</w:t>
      </w:r>
      <w:r>
        <w:rPr>
          <w:rFonts w:hint="eastAsia" w:ascii="仿宋_GB2312" w:eastAsia="仿宋_GB2312"/>
          <w:color w:val="auto"/>
          <w:sz w:val="32"/>
          <w:szCs w:val="32"/>
          <w:highlight w:val="none"/>
          <w:lang w:eastAsia="zh-CN"/>
        </w:rPr>
        <w:t>接待费用</w:t>
      </w:r>
      <w:r>
        <w:rPr>
          <w:rFonts w:hint="eastAsia" w:ascii="仿宋_GB2312" w:eastAsia="仿宋_GB2312"/>
          <w:color w:val="auto"/>
          <w:sz w:val="32"/>
          <w:szCs w:val="32"/>
          <w:highlight w:val="none"/>
          <w:lang w:val="en-US" w:eastAsia="zh-CN"/>
        </w:rPr>
        <w:t>400元、省安办督导检查国庆期间及二十大期间安全生产工作</w:t>
      </w:r>
      <w:r>
        <w:rPr>
          <w:rFonts w:hint="eastAsia" w:ascii="仿宋_GB2312" w:eastAsia="仿宋_GB2312"/>
          <w:color w:val="auto"/>
          <w:sz w:val="32"/>
          <w:szCs w:val="32"/>
          <w:highlight w:val="none"/>
          <w:lang w:eastAsia="zh-CN"/>
        </w:rPr>
        <w:t>接待费用</w:t>
      </w:r>
      <w:r>
        <w:rPr>
          <w:rFonts w:hint="eastAsia" w:ascii="仿宋_GB2312" w:eastAsia="仿宋_GB2312"/>
          <w:color w:val="auto"/>
          <w:sz w:val="32"/>
          <w:szCs w:val="32"/>
          <w:highlight w:val="none"/>
          <w:lang w:val="en-US" w:eastAsia="zh-CN"/>
        </w:rPr>
        <w:t>580元、市局巡回指导水利工程招投标问题整治</w:t>
      </w:r>
      <w:r>
        <w:rPr>
          <w:rFonts w:hint="eastAsia" w:ascii="仿宋_GB2312" w:eastAsia="仿宋_GB2312"/>
          <w:color w:val="auto"/>
          <w:sz w:val="32"/>
          <w:szCs w:val="32"/>
          <w:highlight w:val="none"/>
          <w:lang w:eastAsia="zh-CN"/>
        </w:rPr>
        <w:t>接待费用</w:t>
      </w:r>
      <w:r>
        <w:rPr>
          <w:rFonts w:hint="eastAsia" w:ascii="仿宋_GB2312" w:eastAsia="仿宋_GB2312"/>
          <w:color w:val="auto"/>
          <w:sz w:val="32"/>
          <w:szCs w:val="32"/>
          <w:highlight w:val="none"/>
          <w:lang w:val="en-US" w:eastAsia="zh-CN"/>
        </w:rPr>
        <w:t>1054元、省安办专项督导水电行业“堵漏洞防事故保安全”</w:t>
      </w:r>
      <w:r>
        <w:rPr>
          <w:rFonts w:hint="eastAsia" w:ascii="仿宋_GB2312" w:eastAsia="仿宋_GB2312"/>
          <w:color w:val="auto"/>
          <w:sz w:val="32"/>
          <w:szCs w:val="32"/>
          <w:highlight w:val="none"/>
          <w:lang w:eastAsia="zh-CN"/>
        </w:rPr>
        <w:t>接待费用</w:t>
      </w:r>
      <w:r>
        <w:rPr>
          <w:rFonts w:hint="eastAsia" w:ascii="仿宋_GB2312" w:eastAsia="仿宋_GB2312"/>
          <w:color w:val="auto"/>
          <w:sz w:val="32"/>
          <w:szCs w:val="32"/>
          <w:highlight w:val="none"/>
          <w:lang w:val="en-US" w:eastAsia="zh-CN"/>
        </w:rPr>
        <w:t>952元。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9"/>
        <w:rPr>
          <w:rFonts w:ascii="黑体" w:eastAsia="黑体"/>
          <w:color w:val="auto"/>
          <w:sz w:val="32"/>
          <w:szCs w:val="32"/>
          <w:highlight w:val="none"/>
        </w:rPr>
      </w:pPr>
      <w:bookmarkStart w:id="64" w:name="_Toc15377218"/>
      <w:bookmarkStart w:id="65" w:name="_Toc15396610"/>
    </w:p>
    <w:p>
      <w:pPr>
        <w:spacing w:line="600" w:lineRule="exact"/>
        <w:ind w:firstLine="640"/>
        <w:outlineLvl w:val="1"/>
        <w:rPr>
          <w:rStyle w:val="28"/>
          <w:rFonts w:ascii="黑体" w:hAnsi="黑体" w:eastAsia="黑体"/>
          <w:color w:val="auto"/>
          <w:highlight w:val="none"/>
        </w:rPr>
      </w:pPr>
      <w:bookmarkStart w:id="66" w:name="_Toc614"/>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64"/>
      <w:bookmarkEnd w:id="65"/>
      <w:bookmarkEnd w:id="6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hAnsi="仿宋_GB2312" w:eastAsia="仿宋_GB2312"/>
          <w:color w:val="000000"/>
          <w:sz w:val="32"/>
          <w:szCs w:val="24"/>
          <w:lang w:val="zh-CN"/>
        </w:rPr>
        <w:t>11,223.33</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8"/>
          <w:rFonts w:ascii="黑体" w:hAnsi="黑体" w:eastAsia="黑体"/>
          <w:b w:val="0"/>
          <w:color w:val="auto"/>
          <w:highlight w:val="none"/>
        </w:rPr>
      </w:pPr>
      <w:bookmarkStart w:id="67" w:name="_Toc15396611"/>
      <w:bookmarkStart w:id="68" w:name="_Toc15377219"/>
      <w:bookmarkStart w:id="69" w:name="_Toc2248"/>
      <w:r>
        <w:rPr>
          <w:rStyle w:val="28"/>
          <w:rFonts w:hint="eastAsia" w:ascii="黑体" w:hAnsi="黑体" w:eastAsia="黑体"/>
          <w:b w:val="0"/>
          <w:color w:val="auto"/>
          <w:highlight w:val="none"/>
        </w:rPr>
        <w:t>国有资本经营预算支出决算情况说明</w:t>
      </w:r>
      <w:bookmarkEnd w:id="67"/>
      <w:bookmarkEnd w:id="68"/>
      <w:bookmarkEnd w:id="6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8"/>
          <w:rFonts w:hint="eastAsia" w:ascii="黑体" w:hAnsi="黑体" w:eastAsia="黑体"/>
          <w:b w:val="0"/>
          <w:color w:val="auto"/>
          <w:highlight w:val="none"/>
        </w:rPr>
      </w:pPr>
      <w:bookmarkStart w:id="70" w:name="_Toc15396612"/>
      <w:bookmarkStart w:id="71" w:name="_Toc15377221"/>
      <w:bookmarkStart w:id="72" w:name="_Toc31492"/>
      <w:r>
        <w:rPr>
          <w:rStyle w:val="28"/>
          <w:rFonts w:hint="eastAsia" w:ascii="黑体" w:hAnsi="黑体" w:eastAsia="黑体"/>
          <w:b w:val="0"/>
          <w:color w:val="auto"/>
          <w:highlight w:val="none"/>
        </w:rPr>
        <w:t>其他重要事项的情况说明</w:t>
      </w:r>
      <w:bookmarkEnd w:id="70"/>
      <w:bookmarkEnd w:id="71"/>
      <w:bookmarkEnd w:id="72"/>
    </w:p>
    <w:p>
      <w:pPr>
        <w:spacing w:line="600" w:lineRule="exact"/>
        <w:ind w:firstLine="643" w:firstLineChars="200"/>
        <w:outlineLvl w:val="2"/>
        <w:rPr>
          <w:rFonts w:ascii="仿宋" w:hAnsi="仿宋" w:eastAsia="仿宋"/>
          <w:color w:val="auto"/>
          <w:sz w:val="32"/>
          <w:szCs w:val="32"/>
          <w:highlight w:val="none"/>
        </w:rPr>
      </w:pPr>
      <w:bookmarkStart w:id="73" w:name="_Toc15377222"/>
      <w:bookmarkStart w:id="74" w:name="_Toc25943"/>
      <w:r>
        <w:rPr>
          <w:rFonts w:hint="eastAsia" w:ascii="仿宋" w:hAnsi="仿宋" w:eastAsia="仿宋"/>
          <w:b/>
          <w:color w:val="auto"/>
          <w:sz w:val="32"/>
          <w:szCs w:val="32"/>
          <w:highlight w:val="none"/>
        </w:rPr>
        <w:t>（一）机关运行经费支出情况</w:t>
      </w:r>
      <w:bookmarkEnd w:id="73"/>
      <w:bookmarkEnd w:id="74"/>
    </w:p>
    <w:p>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hAnsi="仿宋_GB2312" w:eastAsia="仿宋_GB2312"/>
          <w:color w:val="000000"/>
          <w:sz w:val="32"/>
          <w:szCs w:val="24"/>
          <w:lang w:val="zh-CN"/>
        </w:rPr>
        <w:t>广元市朝天区水利局（本级）</w:t>
      </w:r>
      <w:r>
        <w:rPr>
          <w:rFonts w:hint="eastAsia" w:ascii="仿宋_GB2312" w:eastAsia="仿宋_GB2312"/>
          <w:color w:val="auto"/>
          <w:sz w:val="32"/>
          <w:szCs w:val="32"/>
          <w:highlight w:val="none"/>
        </w:rPr>
        <w:t>机关运行经费支出</w:t>
      </w:r>
      <w:r>
        <w:rPr>
          <w:rFonts w:hint="eastAsia" w:ascii="仿宋_GB2312" w:hAnsi="仿宋_GB2312" w:eastAsia="仿宋_GB2312"/>
          <w:color w:val="000000"/>
          <w:sz w:val="32"/>
          <w:szCs w:val="24"/>
          <w:lang w:val="zh-CN"/>
        </w:rPr>
        <w:t>62.94万元，比2021年增加16.86万元，增长36.6%</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其他交通费用（公务员交通补贴）较上年度增加</w:t>
      </w:r>
      <w:r>
        <w:rPr>
          <w:rFonts w:hint="eastAsia" w:ascii="仿宋_GB2312" w:eastAsia="仿宋_GB2312"/>
          <w:color w:val="auto"/>
          <w:sz w:val="32"/>
          <w:szCs w:val="32"/>
          <w:highlight w:val="none"/>
          <w:lang w:val="en-US" w:eastAsia="zh-CN"/>
        </w:rPr>
        <w:t>12.15万元，上年度本项目在人员经费中核算；办公费较上年增加3.42万元。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5" w:name="_Toc15377223"/>
      <w:bookmarkStart w:id="76" w:name="_Toc12214"/>
      <w:r>
        <w:rPr>
          <w:rFonts w:hint="eastAsia" w:ascii="仿宋" w:hAnsi="仿宋" w:eastAsia="仿宋"/>
          <w:b/>
          <w:color w:val="auto"/>
          <w:sz w:val="32"/>
          <w:szCs w:val="32"/>
          <w:highlight w:val="none"/>
        </w:rPr>
        <w:t>（二）政府采购支出情况</w:t>
      </w:r>
      <w:bookmarkEnd w:id="75"/>
      <w:bookmarkEnd w:id="7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hAnsi="仿宋_GB2312" w:eastAsia="仿宋_GB2312"/>
          <w:color w:val="000000"/>
          <w:sz w:val="32"/>
          <w:szCs w:val="24"/>
          <w:lang w:val="zh-CN"/>
        </w:rPr>
        <w:t>广元市朝天区水利局（本级）政府采购支出总额0万元</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4"/>
      <w:bookmarkStart w:id="78" w:name="_Toc3909"/>
      <w:r>
        <w:rPr>
          <w:rFonts w:hint="eastAsia" w:ascii="仿宋" w:hAnsi="仿宋" w:eastAsia="仿宋"/>
          <w:b/>
          <w:color w:val="auto"/>
          <w:sz w:val="32"/>
          <w:szCs w:val="32"/>
          <w:highlight w:val="none"/>
        </w:rPr>
        <w:t>（三）国有资产占有使用情况</w:t>
      </w:r>
      <w:bookmarkEnd w:id="77"/>
      <w:bookmarkEnd w:id="7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hAnsi="仿宋_GB2312" w:eastAsia="仿宋_GB2312"/>
          <w:color w:val="000000"/>
          <w:sz w:val="32"/>
          <w:szCs w:val="24"/>
          <w:lang w:val="zh-CN"/>
        </w:rPr>
        <w:t>广元市朝天区水利局（本级）共有公务用车4辆，其中：轿车</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val="zh-CN"/>
        </w:rPr>
        <w:t>辆、越野车</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val="zh-CN"/>
        </w:rPr>
        <w:t>辆、其他车型</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val="zh-CN"/>
        </w:rPr>
        <w:t>辆。</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河道执法、防汛抢险。</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79" w:name="_Toc25735"/>
      <w:r>
        <w:rPr>
          <w:rFonts w:hint="eastAsia" w:ascii="仿宋" w:hAnsi="仿宋" w:eastAsia="仿宋"/>
          <w:b/>
          <w:color w:val="auto"/>
          <w:sz w:val="32"/>
          <w:szCs w:val="32"/>
          <w:highlight w:val="none"/>
        </w:rPr>
        <w:t>（四）预算绩效管理情况</w:t>
      </w:r>
      <w:bookmarkEnd w:id="79"/>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年度预算编制阶段，组织对石烛小流域水土流失综合治理等</w:t>
      </w:r>
      <w:r>
        <w:rPr>
          <w:rFonts w:hint="eastAsia" w:hAnsi="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7"/>
          <w:rFonts w:ascii="黑体" w:hAnsi="黑体" w:eastAsia="黑体"/>
          <w:b w:val="0"/>
          <w:color w:val="auto"/>
          <w:highlight w:val="none"/>
        </w:rPr>
      </w:pPr>
      <w:bookmarkStart w:id="80" w:name="_Toc15396613"/>
      <w:bookmarkStart w:id="81" w:name="_Toc14629"/>
      <w:bookmarkStart w:id="82" w:name="_Toc15377225"/>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80"/>
      <w:bookmarkEnd w:id="81"/>
      <w:bookmarkEnd w:id="82"/>
    </w:p>
    <w:p>
      <w:pPr>
        <w:spacing w:line="600" w:lineRule="exact"/>
        <w:jc w:val="left"/>
        <w:rPr>
          <w:rFonts w:ascii="宋体"/>
          <w:b/>
          <w:color w:val="auto"/>
          <w:sz w:val="44"/>
          <w:szCs w:val="44"/>
          <w:highlight w:val="none"/>
        </w:rPr>
      </w:pPr>
    </w:p>
    <w:p>
      <w:pPr>
        <w:pStyle w:val="25"/>
        <w:spacing w:line="560" w:lineRule="exact"/>
        <w:ind w:firstLine="640" w:firstLineChars="200"/>
        <w:outlineLvl w:val="1"/>
        <w:rPr>
          <w:rFonts w:ascii="仿宋_GB2312" w:eastAsia="仿宋_GB2312"/>
          <w:sz w:val="32"/>
          <w:szCs w:val="32"/>
        </w:rPr>
      </w:pPr>
      <w:bookmarkStart w:id="83" w:name="_Toc4728"/>
      <w:bookmarkStart w:id="84" w:name="_Toc20367"/>
      <w:bookmarkStart w:id="85" w:name="_Toc12631"/>
      <w:bookmarkStart w:id="86" w:name="_Toc28043"/>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bookmarkEnd w:id="83"/>
      <w:bookmarkEnd w:id="84"/>
      <w:bookmarkEnd w:id="85"/>
      <w:bookmarkEnd w:id="86"/>
    </w:p>
    <w:p>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5"/>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5"/>
        <w:spacing w:line="560" w:lineRule="exact"/>
        <w:ind w:firstLine="640" w:firstLineChars="200"/>
        <w:outlineLvl w:val="1"/>
        <w:rPr>
          <w:rFonts w:hint="eastAsia" w:ascii="仿宋_GB2312" w:eastAsia="仿宋_GB2312"/>
          <w:sz w:val="32"/>
          <w:szCs w:val="32"/>
        </w:rPr>
      </w:pPr>
      <w:bookmarkStart w:id="87" w:name="_Toc8650"/>
      <w:bookmarkStart w:id="88" w:name="_Toc11404"/>
      <w:bookmarkStart w:id="89" w:name="_Toc16555"/>
      <w:bookmarkStart w:id="90" w:name="_Toc27464"/>
      <w:r>
        <w:rPr>
          <w:rFonts w:ascii="仿宋_GB2312" w:eastAsia="仿宋_GB2312"/>
          <w:sz w:val="32"/>
          <w:szCs w:val="32"/>
        </w:rPr>
        <w:t>4.</w:t>
      </w:r>
      <w:r>
        <w:rPr>
          <w:rFonts w:hint="eastAsia" w:ascii="仿宋_GB2312" w:eastAsia="仿宋_GB2312"/>
          <w:sz w:val="32"/>
          <w:szCs w:val="32"/>
        </w:rPr>
        <w:t>其他收入：指单位取得的除上述收入以外的各项收入。</w:t>
      </w:r>
      <w:bookmarkEnd w:id="87"/>
      <w:bookmarkEnd w:id="88"/>
      <w:bookmarkEnd w:id="89"/>
      <w:bookmarkEnd w:id="90"/>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8</w:t>
      </w:r>
      <w:r>
        <w:rPr>
          <w:rFonts w:ascii="仿宋_GB2312" w:eastAsia="仿宋_GB2312"/>
          <w:b w:val="0"/>
          <w:bCs w:val="0"/>
          <w:color w:val="000000"/>
          <w:sz w:val="32"/>
          <w:szCs w:val="32"/>
        </w:rPr>
        <w:t>.</w:t>
      </w:r>
      <w:r>
        <w:rPr>
          <w:rStyle w:val="17"/>
          <w:rFonts w:hint="eastAsia" w:ascii="仿宋" w:hAnsi="仿宋" w:eastAsia="仿宋"/>
          <w:b w:val="0"/>
          <w:bCs w:val="0"/>
          <w:color w:val="000000"/>
          <w:sz w:val="32"/>
          <w:szCs w:val="32"/>
        </w:rPr>
        <w:t>教育支出（类）进修及培训（款）培训支出（项）</w:t>
      </w:r>
      <w:r>
        <w:rPr>
          <w:rStyle w:val="17"/>
          <w:rFonts w:hint="eastAsia" w:ascii="仿宋" w:hAnsi="仿宋" w:eastAsia="仿宋"/>
          <w:b w:val="0"/>
          <w:bCs w:val="0"/>
          <w:color w:val="000000"/>
          <w:sz w:val="32"/>
          <w:szCs w:val="32"/>
          <w:lang w:eastAsia="zh-CN"/>
        </w:rPr>
        <w:t>：</w:t>
      </w:r>
      <w:r>
        <w:rPr>
          <w:rFonts w:hint="eastAsia" w:ascii="仿宋_GB2312" w:eastAsia="仿宋_GB2312"/>
          <w:b w:val="0"/>
          <w:bCs w:val="0"/>
          <w:color w:val="000000"/>
          <w:sz w:val="32"/>
          <w:szCs w:val="32"/>
        </w:rPr>
        <w:t>指</w:t>
      </w:r>
      <w:r>
        <w:rPr>
          <w:rFonts w:hint="eastAsia" w:ascii="仿宋_GB2312" w:eastAsia="仿宋_GB2312"/>
          <w:b w:val="0"/>
          <w:bCs w:val="0"/>
          <w:color w:val="000000"/>
          <w:sz w:val="32"/>
          <w:szCs w:val="32"/>
          <w:lang w:eastAsia="zh-CN"/>
        </w:rPr>
        <w:t>本单位安排的用于培训的支出</w:t>
      </w:r>
      <w:r>
        <w:rPr>
          <w:rFonts w:hint="eastAsia" w:ascii="仿宋_GB2312" w:eastAsia="仿宋_GB2312"/>
          <w:b w:val="0"/>
          <w:bCs w:val="0"/>
          <w:color w:val="000000"/>
          <w:sz w:val="32"/>
          <w:szCs w:val="32"/>
        </w:rPr>
        <w:t>。</w:t>
      </w:r>
    </w:p>
    <w:p>
      <w:pPr>
        <w:spacing w:line="60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9</w:t>
      </w:r>
      <w:r>
        <w:rPr>
          <w:rFonts w:ascii="仿宋_GB2312" w:eastAsia="仿宋_GB2312"/>
          <w:b w:val="0"/>
          <w:bCs w:val="0"/>
          <w:color w:val="000000"/>
          <w:sz w:val="32"/>
          <w:szCs w:val="32"/>
        </w:rPr>
        <w:t>.</w:t>
      </w:r>
      <w:r>
        <w:rPr>
          <w:rStyle w:val="17"/>
          <w:rFonts w:hint="eastAsia" w:ascii="仿宋" w:hAnsi="仿宋" w:eastAsia="仿宋"/>
          <w:b w:val="0"/>
          <w:bCs w:val="0"/>
          <w:color w:val="000000"/>
          <w:sz w:val="32"/>
          <w:szCs w:val="32"/>
        </w:rPr>
        <w:t>社会保障和就业支出（类）行政事业单位离退休（款） 机关事业单位基本养老保险缴费支出（项）</w:t>
      </w:r>
      <w:r>
        <w:rPr>
          <w:rFonts w:hint="eastAsia" w:ascii="仿宋_GB2312" w:eastAsia="仿宋_GB2312"/>
          <w:b w:val="0"/>
          <w:bCs w:val="0"/>
          <w:color w:val="000000"/>
          <w:sz w:val="32"/>
          <w:szCs w:val="32"/>
        </w:rPr>
        <w:t>：指</w:t>
      </w:r>
      <w:r>
        <w:rPr>
          <w:rFonts w:hint="eastAsia" w:ascii="仿宋_GB2312" w:eastAsia="仿宋_GB2312"/>
          <w:b w:val="0"/>
          <w:bCs w:val="0"/>
          <w:color w:val="000000"/>
          <w:sz w:val="32"/>
          <w:szCs w:val="32"/>
          <w:lang w:eastAsia="zh-CN"/>
        </w:rPr>
        <w:t>本单位对机关事业基本养老保险的支出</w:t>
      </w:r>
      <w:r>
        <w:rPr>
          <w:rFonts w:hint="eastAsia" w:ascii="仿宋_GB2312" w:eastAsia="仿宋_GB2312"/>
          <w:b w:val="0"/>
          <w:bCs w:val="0"/>
          <w:color w:val="000000"/>
          <w:sz w:val="32"/>
          <w:szCs w:val="32"/>
        </w:rPr>
        <w:t>。</w:t>
      </w:r>
    </w:p>
    <w:p>
      <w:pPr>
        <w:spacing w:line="600" w:lineRule="exact"/>
        <w:ind w:firstLine="640" w:firstLineChars="200"/>
        <w:rPr>
          <w:rFonts w:ascii="仿宋_GB2312" w:eastAsia="仿宋_GB2312"/>
          <w:b w:val="0"/>
          <w:bCs w:val="0"/>
          <w:color w:val="000000"/>
          <w:sz w:val="32"/>
          <w:szCs w:val="32"/>
        </w:rPr>
      </w:pPr>
      <w:r>
        <w:rPr>
          <w:rStyle w:val="17"/>
          <w:rFonts w:hint="eastAsia" w:ascii="仿宋" w:hAnsi="仿宋" w:eastAsia="仿宋"/>
          <w:b w:val="0"/>
          <w:bCs w:val="0"/>
          <w:color w:val="000000"/>
          <w:sz w:val="32"/>
          <w:szCs w:val="32"/>
        </w:rPr>
        <w:t>社会保障和就业支出（类）</w:t>
      </w:r>
      <w:r>
        <w:rPr>
          <w:rStyle w:val="17"/>
          <w:rFonts w:hint="eastAsia" w:ascii="仿宋" w:hAnsi="仿宋" w:eastAsia="仿宋"/>
          <w:b w:val="0"/>
          <w:bCs w:val="0"/>
          <w:color w:val="000000"/>
          <w:sz w:val="32"/>
          <w:szCs w:val="32"/>
          <w:lang w:eastAsia="zh-CN"/>
        </w:rPr>
        <w:t>抚恤</w:t>
      </w:r>
      <w:r>
        <w:rPr>
          <w:rStyle w:val="17"/>
          <w:rFonts w:hint="eastAsia" w:ascii="仿宋" w:hAnsi="仿宋" w:eastAsia="仿宋"/>
          <w:b w:val="0"/>
          <w:bCs w:val="0"/>
          <w:color w:val="000000"/>
          <w:sz w:val="32"/>
          <w:szCs w:val="32"/>
        </w:rPr>
        <w:t>（</w:t>
      </w:r>
      <w:r>
        <w:rPr>
          <w:rStyle w:val="17"/>
          <w:rFonts w:hint="eastAsia" w:ascii="仿宋" w:hAnsi="仿宋" w:eastAsia="仿宋"/>
          <w:b w:val="0"/>
          <w:bCs w:val="0"/>
          <w:color w:val="000000"/>
          <w:sz w:val="32"/>
          <w:szCs w:val="32"/>
          <w:lang w:eastAsia="zh-CN"/>
        </w:rPr>
        <w:t>款</w:t>
      </w:r>
      <w:r>
        <w:rPr>
          <w:rStyle w:val="17"/>
          <w:rFonts w:hint="eastAsia" w:ascii="仿宋" w:hAnsi="仿宋" w:eastAsia="仿宋"/>
          <w:b w:val="0"/>
          <w:bCs w:val="0"/>
          <w:color w:val="000000"/>
          <w:sz w:val="32"/>
          <w:szCs w:val="32"/>
        </w:rPr>
        <w:t>）死亡抚恤（项）</w:t>
      </w:r>
      <w:r>
        <w:rPr>
          <w:rFonts w:hint="eastAsia" w:ascii="仿宋_GB2312" w:eastAsia="仿宋_GB2312"/>
          <w:b w:val="0"/>
          <w:bCs w:val="0"/>
          <w:color w:val="000000"/>
          <w:sz w:val="32"/>
          <w:szCs w:val="32"/>
        </w:rPr>
        <w:t>：指</w:t>
      </w:r>
      <w:r>
        <w:rPr>
          <w:rFonts w:hint="eastAsia" w:ascii="仿宋_GB2312" w:eastAsia="仿宋_GB2312"/>
          <w:b w:val="0"/>
          <w:bCs w:val="0"/>
          <w:color w:val="000000"/>
          <w:sz w:val="32"/>
          <w:szCs w:val="32"/>
          <w:lang w:eastAsia="zh-CN"/>
        </w:rPr>
        <w:t>本单位按规定用于烈士和牺牲、病故人员家属的一次性和定期抚恤金以及丧葬补助费。</w:t>
      </w:r>
    </w:p>
    <w:p>
      <w:pPr>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10</w:t>
      </w:r>
      <w:r>
        <w:rPr>
          <w:rFonts w:ascii="仿宋_GB2312" w:eastAsia="仿宋_GB2312"/>
          <w:b w:val="0"/>
          <w:bCs w:val="0"/>
          <w:color w:val="000000"/>
          <w:sz w:val="32"/>
          <w:szCs w:val="32"/>
        </w:rPr>
        <w:t>.</w:t>
      </w:r>
      <w:r>
        <w:rPr>
          <w:rStyle w:val="17"/>
          <w:rFonts w:hint="eastAsia" w:ascii="仿宋" w:hAnsi="仿宋" w:eastAsia="仿宋"/>
          <w:b w:val="0"/>
          <w:bCs w:val="0"/>
          <w:color w:val="000000"/>
          <w:sz w:val="32"/>
          <w:szCs w:val="32"/>
        </w:rPr>
        <w:t>卫生健康支出（类）行政事业单位医疗（款）行政单位医疗（项）</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eastAsia="zh-CN"/>
        </w:rPr>
        <w:t>反映财政部门安排的行政单位基本医疗保险缴费经费。</w:t>
      </w:r>
    </w:p>
    <w:p>
      <w:pPr>
        <w:spacing w:line="600" w:lineRule="exact"/>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11</w:t>
      </w:r>
      <w:r>
        <w:rPr>
          <w:rFonts w:ascii="仿宋_GB2312" w:eastAsia="仿宋_GB2312"/>
          <w:b w:val="0"/>
          <w:bCs w:val="0"/>
          <w:color w:val="000000"/>
          <w:sz w:val="32"/>
          <w:szCs w:val="32"/>
        </w:rPr>
        <w:t>.</w:t>
      </w:r>
      <w:r>
        <w:rPr>
          <w:rStyle w:val="17"/>
          <w:rFonts w:hint="eastAsia" w:ascii="仿宋" w:hAnsi="仿宋" w:eastAsia="仿宋"/>
          <w:b w:val="0"/>
          <w:bCs w:val="0"/>
          <w:color w:val="000000"/>
          <w:sz w:val="32"/>
          <w:szCs w:val="32"/>
        </w:rPr>
        <w:t>农林水支出（类）水利（款）行政运行（项）</w:t>
      </w:r>
      <w:r>
        <w:rPr>
          <w:rStyle w:val="17"/>
          <w:rFonts w:ascii="仿宋" w:hAnsi="仿宋" w:eastAsia="仿宋"/>
          <w:b w:val="0"/>
          <w:bCs w:val="0"/>
          <w:color w:val="000000"/>
          <w:sz w:val="32"/>
          <w:szCs w:val="32"/>
        </w:rPr>
        <w:t>:</w:t>
      </w:r>
      <w:r>
        <w:rPr>
          <w:rFonts w:hint="eastAsia" w:ascii="仿宋_GB2312" w:eastAsia="仿宋_GB2312"/>
          <w:b w:val="0"/>
          <w:bCs w:val="0"/>
          <w:color w:val="000000"/>
          <w:sz w:val="32"/>
          <w:szCs w:val="32"/>
          <w:lang w:eastAsia="zh-CN"/>
        </w:rPr>
        <w:t>反映行政单位的基本支出</w:t>
      </w:r>
      <w:r>
        <w:rPr>
          <w:rFonts w:hint="eastAsia" w:ascii="仿宋_GB2312" w:eastAsia="仿宋_GB2312"/>
          <w:b w:val="0"/>
          <w:bCs w:val="0"/>
          <w:color w:val="000000"/>
          <w:sz w:val="32"/>
          <w:szCs w:val="32"/>
        </w:rPr>
        <w:t>。</w:t>
      </w:r>
    </w:p>
    <w:p>
      <w:pPr>
        <w:ind w:firstLine="640" w:firstLineChars="200"/>
        <w:rPr>
          <w:rFonts w:hint="eastAsia" w:ascii="仿宋_GB2312" w:eastAsia="仿宋_GB2312"/>
          <w:b w:val="0"/>
          <w:bCs w:val="0"/>
          <w:color w:val="000000"/>
          <w:sz w:val="32"/>
          <w:szCs w:val="32"/>
        </w:rPr>
      </w:pPr>
      <w:r>
        <w:rPr>
          <w:rStyle w:val="17"/>
          <w:rFonts w:hint="eastAsia" w:ascii="仿宋" w:hAnsi="仿宋" w:eastAsia="仿宋"/>
          <w:b w:val="0"/>
          <w:bCs w:val="0"/>
          <w:color w:val="000000"/>
          <w:sz w:val="32"/>
          <w:szCs w:val="32"/>
        </w:rPr>
        <w:t>农林水支出（类）水利（款）</w:t>
      </w:r>
      <w:r>
        <w:rPr>
          <w:rStyle w:val="17"/>
          <w:rFonts w:hint="eastAsia" w:ascii="仿宋" w:hAnsi="仿宋" w:eastAsia="仿宋"/>
          <w:b w:val="0"/>
          <w:bCs w:val="0"/>
          <w:color w:val="auto"/>
          <w:sz w:val="32"/>
          <w:szCs w:val="32"/>
          <w:lang w:eastAsia="zh-CN"/>
        </w:rPr>
        <w:t>机关服务</w:t>
      </w:r>
      <w:r>
        <w:rPr>
          <w:rStyle w:val="17"/>
          <w:rFonts w:hint="eastAsia" w:ascii="仿宋" w:hAnsi="仿宋" w:eastAsia="仿宋"/>
          <w:b w:val="0"/>
          <w:bCs w:val="0"/>
          <w:color w:val="auto"/>
          <w:sz w:val="32"/>
          <w:szCs w:val="32"/>
        </w:rPr>
        <w:t>（项）</w:t>
      </w:r>
      <w:r>
        <w:rPr>
          <w:rFonts w:hint="eastAsia" w:ascii="仿宋_GB2312" w:eastAsia="仿宋_GB2312"/>
          <w:b w:val="0"/>
          <w:bCs w:val="0"/>
          <w:color w:val="auto"/>
          <w:sz w:val="32"/>
          <w:szCs w:val="32"/>
        </w:rPr>
        <w:t>：</w:t>
      </w:r>
      <w:r>
        <w:rPr>
          <w:rFonts w:hint="eastAsia" w:ascii="仿宋_GB2312" w:eastAsia="仿宋_GB2312"/>
          <w:b w:val="0"/>
          <w:bCs w:val="0"/>
          <w:color w:val="000000"/>
          <w:sz w:val="32"/>
          <w:szCs w:val="32"/>
          <w:lang w:eastAsia="zh-CN"/>
        </w:rPr>
        <w:t>反映事业单位的基本支出</w:t>
      </w:r>
      <w:r>
        <w:rPr>
          <w:rFonts w:hint="eastAsia" w:ascii="仿宋_GB2312" w:eastAsia="仿宋_GB2312"/>
          <w:b w:val="0"/>
          <w:bCs w:val="0"/>
          <w:color w:val="000000"/>
          <w:sz w:val="32"/>
          <w:szCs w:val="32"/>
        </w:rPr>
        <w:t>。</w:t>
      </w:r>
    </w:p>
    <w:p>
      <w:pPr>
        <w:ind w:firstLine="640" w:firstLineChars="200"/>
        <w:rPr>
          <w:rFonts w:hint="default" w:ascii="仿宋_GB2312" w:eastAsia="仿宋_GB2312"/>
          <w:b w:val="0"/>
          <w:bCs w:val="0"/>
          <w:color w:val="auto"/>
          <w:sz w:val="32"/>
          <w:szCs w:val="32"/>
          <w:lang w:val="en-US" w:eastAsia="zh-CN"/>
        </w:rPr>
      </w:pPr>
      <w:r>
        <w:rPr>
          <w:rStyle w:val="17"/>
          <w:rFonts w:hint="eastAsia" w:ascii="仿宋" w:hAnsi="仿宋" w:eastAsia="仿宋"/>
          <w:b w:val="0"/>
          <w:bCs w:val="0"/>
          <w:color w:val="auto"/>
          <w:sz w:val="32"/>
          <w:szCs w:val="32"/>
        </w:rPr>
        <w:t>农林水支出（类）水利（款）</w:t>
      </w:r>
      <w:r>
        <w:rPr>
          <w:rStyle w:val="17"/>
          <w:rFonts w:hint="eastAsia" w:ascii="仿宋" w:hAnsi="仿宋" w:eastAsia="仿宋"/>
          <w:b w:val="0"/>
          <w:bCs w:val="0"/>
          <w:color w:val="auto"/>
          <w:sz w:val="32"/>
          <w:szCs w:val="32"/>
          <w:lang w:eastAsia="zh-CN"/>
        </w:rPr>
        <w:t>防汛</w:t>
      </w:r>
      <w:r>
        <w:rPr>
          <w:rStyle w:val="17"/>
          <w:rFonts w:hint="eastAsia" w:ascii="仿宋" w:hAnsi="仿宋" w:eastAsia="仿宋"/>
          <w:b w:val="0"/>
          <w:bCs w:val="0"/>
          <w:color w:val="auto"/>
          <w:sz w:val="32"/>
          <w:szCs w:val="32"/>
        </w:rPr>
        <w:t>（项）</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反映防汛业务支出。有关事项包括防汛物资购置管护、防汛通信设施设备、网络系统、防汛值班、水情报讯、防汛指挥系统运行维护、水毁修复以及防汛组织、山洪灾害防治、防汛视频会商</w:t>
      </w:r>
      <w:r>
        <w:rPr>
          <w:rFonts w:hint="eastAsia" w:ascii="仿宋_GB2312" w:eastAsia="仿宋_GB2312"/>
          <w:b w:val="0"/>
          <w:bCs w:val="0"/>
          <w:color w:val="auto"/>
          <w:sz w:val="32"/>
          <w:szCs w:val="32"/>
          <w:lang w:val="en-US" w:eastAsia="zh-CN"/>
        </w:rPr>
        <w:t>...</w:t>
      </w:r>
    </w:p>
    <w:p>
      <w:pPr>
        <w:ind w:firstLine="640" w:firstLineChars="200"/>
        <w:rPr>
          <w:rFonts w:hint="eastAsia" w:ascii="仿宋_GB2312" w:eastAsia="仿宋_GB2312"/>
          <w:b w:val="0"/>
          <w:bCs w:val="0"/>
          <w:color w:val="auto"/>
          <w:sz w:val="32"/>
          <w:szCs w:val="32"/>
          <w:lang w:val="en-US" w:eastAsia="zh-CN"/>
        </w:rPr>
      </w:pPr>
      <w:r>
        <w:rPr>
          <w:rStyle w:val="17"/>
          <w:rFonts w:hint="eastAsia" w:ascii="仿宋" w:hAnsi="仿宋" w:eastAsia="仿宋"/>
          <w:b w:val="0"/>
          <w:bCs w:val="0"/>
          <w:color w:val="auto"/>
          <w:sz w:val="32"/>
          <w:szCs w:val="32"/>
        </w:rPr>
        <w:t>农林水支出（类）水利（款）</w:t>
      </w:r>
      <w:r>
        <w:rPr>
          <w:rStyle w:val="17"/>
          <w:rFonts w:hint="eastAsia" w:ascii="仿宋" w:hAnsi="仿宋" w:eastAsia="仿宋"/>
          <w:b w:val="0"/>
          <w:bCs w:val="0"/>
          <w:color w:val="auto"/>
          <w:sz w:val="32"/>
          <w:szCs w:val="32"/>
          <w:lang w:eastAsia="zh-CN"/>
        </w:rPr>
        <w:t>水利工程建设</w:t>
      </w:r>
      <w:r>
        <w:rPr>
          <w:rStyle w:val="17"/>
          <w:rFonts w:hint="eastAsia" w:ascii="仿宋" w:hAnsi="仿宋" w:eastAsia="仿宋"/>
          <w:b w:val="0"/>
          <w:bCs w:val="0"/>
          <w:color w:val="auto"/>
          <w:sz w:val="32"/>
          <w:szCs w:val="32"/>
        </w:rPr>
        <w:t>（项）</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反映水利系统用于江、河、湖、滩等水利工程建设支出，包括地方、河道、水库、水利枢纽、涵闸、灌区、供水等水利工程及其附属设施、设备的建设、更新改造、大中型病险水库防险、大型灌区改造等支出。</w:t>
      </w:r>
    </w:p>
    <w:p>
      <w:pPr>
        <w:ind w:firstLine="640" w:firstLineChars="200"/>
        <w:rPr>
          <w:rFonts w:hint="default" w:ascii="仿宋_GB2312" w:eastAsia="仿宋_GB2312"/>
          <w:b w:val="0"/>
          <w:bCs w:val="0"/>
          <w:color w:val="auto"/>
          <w:sz w:val="32"/>
          <w:szCs w:val="32"/>
          <w:lang w:val="en-US" w:eastAsia="zh-CN"/>
        </w:rPr>
      </w:pPr>
      <w:r>
        <w:rPr>
          <w:rStyle w:val="17"/>
          <w:rFonts w:hint="eastAsia" w:ascii="仿宋" w:hAnsi="仿宋" w:eastAsia="仿宋"/>
          <w:b w:val="0"/>
          <w:bCs w:val="0"/>
          <w:color w:val="auto"/>
          <w:sz w:val="32"/>
          <w:szCs w:val="32"/>
        </w:rPr>
        <w:t>农林水支出（类）水利（款）</w:t>
      </w:r>
      <w:r>
        <w:rPr>
          <w:rStyle w:val="17"/>
          <w:rFonts w:hint="eastAsia" w:ascii="仿宋" w:hAnsi="仿宋" w:eastAsia="仿宋"/>
          <w:b w:val="0"/>
          <w:bCs w:val="0"/>
          <w:color w:val="auto"/>
          <w:sz w:val="32"/>
          <w:szCs w:val="32"/>
          <w:lang w:eastAsia="zh-CN"/>
        </w:rPr>
        <w:t>水利前期工作</w:t>
      </w:r>
      <w:r>
        <w:rPr>
          <w:rStyle w:val="17"/>
          <w:rFonts w:hint="eastAsia" w:ascii="仿宋" w:hAnsi="仿宋" w:eastAsia="仿宋"/>
          <w:b w:val="0"/>
          <w:bCs w:val="0"/>
          <w:color w:val="auto"/>
          <w:sz w:val="32"/>
          <w:szCs w:val="32"/>
        </w:rPr>
        <w:t>（项）</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反映水利规划、勘测、设计、科研等相关管理办法编制、资料整编、设备购置等基础性前期工作的支出。</w:t>
      </w:r>
    </w:p>
    <w:p>
      <w:pPr>
        <w:pStyle w:val="14"/>
        <w:ind w:left="0" w:leftChars="0" w:firstLine="640" w:firstLineChars="200"/>
        <w:rPr>
          <w:rFonts w:hint="eastAsia" w:ascii="仿宋_GB2312" w:eastAsia="仿宋_GB2312"/>
          <w:b w:val="0"/>
          <w:bCs w:val="0"/>
          <w:color w:val="auto"/>
          <w:sz w:val="32"/>
          <w:szCs w:val="32"/>
          <w:lang w:eastAsia="zh-CN"/>
        </w:rPr>
      </w:pPr>
      <w:r>
        <w:rPr>
          <w:rStyle w:val="17"/>
          <w:rFonts w:hint="eastAsia" w:ascii="仿宋" w:hAnsi="仿宋" w:eastAsia="仿宋"/>
          <w:b w:val="0"/>
          <w:bCs w:val="0"/>
          <w:color w:val="auto"/>
          <w:sz w:val="32"/>
          <w:szCs w:val="32"/>
        </w:rPr>
        <w:t>农林水支出（类）水利（款）</w:t>
      </w:r>
      <w:r>
        <w:rPr>
          <w:rStyle w:val="17"/>
          <w:rFonts w:hint="eastAsia" w:ascii="仿宋" w:hAnsi="仿宋" w:eastAsia="仿宋"/>
          <w:b w:val="0"/>
          <w:bCs w:val="0"/>
          <w:color w:val="auto"/>
          <w:sz w:val="32"/>
          <w:szCs w:val="32"/>
          <w:lang w:eastAsia="zh-CN"/>
        </w:rPr>
        <w:t>水土保持</w:t>
      </w:r>
      <w:r>
        <w:rPr>
          <w:rStyle w:val="17"/>
          <w:rFonts w:hint="eastAsia" w:ascii="仿宋" w:hAnsi="仿宋" w:eastAsia="仿宋"/>
          <w:b w:val="0"/>
          <w:bCs w:val="0"/>
          <w:color w:val="auto"/>
          <w:sz w:val="32"/>
          <w:szCs w:val="32"/>
        </w:rPr>
        <w:t>（项）</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反映水利系统纳入预算管理的水土保持事业单位的支出、包括规划制定和实施、治理、生态修复、预防检测、综合治理、开发技术的示范等支出以及水土保持生态工程措施和各项管理保护活动的支出。</w:t>
      </w:r>
    </w:p>
    <w:p>
      <w:pPr>
        <w:ind w:firstLine="640" w:firstLineChars="200"/>
        <w:rPr>
          <w:rFonts w:ascii="仿宋_GB2312" w:eastAsia="仿宋_GB2312"/>
          <w:b w:val="0"/>
          <w:bCs w:val="0"/>
          <w:color w:val="auto"/>
          <w:sz w:val="32"/>
          <w:szCs w:val="32"/>
        </w:rPr>
      </w:pPr>
      <w:r>
        <w:rPr>
          <w:rStyle w:val="17"/>
          <w:rFonts w:hint="eastAsia" w:ascii="仿宋" w:hAnsi="仿宋" w:eastAsia="仿宋"/>
          <w:b w:val="0"/>
          <w:bCs w:val="0"/>
          <w:color w:val="auto"/>
          <w:sz w:val="32"/>
          <w:szCs w:val="32"/>
        </w:rPr>
        <w:t>农林水支出（类）巩固脱贫衔接乡村振兴（款）</w:t>
      </w:r>
      <w:r>
        <w:rPr>
          <w:rStyle w:val="17"/>
          <w:rFonts w:hint="eastAsia" w:ascii="仿宋" w:hAnsi="仿宋" w:eastAsia="仿宋"/>
          <w:b w:val="0"/>
          <w:bCs w:val="0"/>
          <w:color w:val="auto"/>
          <w:sz w:val="32"/>
          <w:szCs w:val="32"/>
          <w:lang w:eastAsia="zh-CN"/>
        </w:rPr>
        <w:t>农村基础设施建设</w:t>
      </w:r>
      <w:r>
        <w:rPr>
          <w:rStyle w:val="17"/>
          <w:rFonts w:hint="eastAsia" w:ascii="仿宋" w:hAnsi="仿宋" w:eastAsia="仿宋"/>
          <w:b w:val="0"/>
          <w:bCs w:val="0"/>
          <w:color w:val="auto"/>
          <w:sz w:val="32"/>
          <w:szCs w:val="32"/>
        </w:rPr>
        <w:t>（项）</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反映用于农村贫困地区乡村道路、住房、基本农田、水利设施、人畜饮水</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w:t>
      </w:r>
    </w:p>
    <w:p>
      <w:pPr>
        <w:ind w:firstLine="640" w:firstLineChars="200"/>
        <w:rPr>
          <w:rFonts w:hint="eastAsia" w:ascii="仿宋_GB2312" w:eastAsia="仿宋_GB2312"/>
          <w:b w:val="0"/>
          <w:bCs w:val="0"/>
          <w:color w:val="000000"/>
          <w:sz w:val="32"/>
          <w:szCs w:val="32"/>
          <w:lang w:eastAsia="zh-CN"/>
        </w:rPr>
      </w:pPr>
      <w:r>
        <w:rPr>
          <w:rStyle w:val="17"/>
          <w:rFonts w:hint="eastAsia" w:ascii="仿宋" w:hAnsi="仿宋" w:eastAsia="仿宋"/>
          <w:b w:val="0"/>
          <w:bCs w:val="0"/>
          <w:color w:val="auto"/>
          <w:sz w:val="32"/>
          <w:szCs w:val="32"/>
        </w:rPr>
        <w:t>农林水支出（类）巩固脱贫衔接乡村振兴（款）社会发展（项）</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反映用于农村贫困地区教育、文化、广播、电视、医疗、卫</w:t>
      </w:r>
      <w:r>
        <w:rPr>
          <w:rFonts w:hint="eastAsia" w:ascii="仿宋_GB2312" w:eastAsia="仿宋_GB2312"/>
          <w:b w:val="0"/>
          <w:bCs w:val="0"/>
          <w:color w:val="000000"/>
          <w:sz w:val="32"/>
          <w:szCs w:val="32"/>
          <w:lang w:eastAsia="zh-CN"/>
        </w:rPr>
        <w:t>生等方面的项目支出。</w:t>
      </w:r>
    </w:p>
    <w:p>
      <w:pPr>
        <w:ind w:firstLine="640" w:firstLineChars="200"/>
        <w:rPr>
          <w:rFonts w:hint="eastAsia" w:ascii="仿宋_GB2312" w:eastAsia="仿宋_GB2312"/>
          <w:b w:val="0"/>
          <w:bCs w:val="0"/>
          <w:color w:val="000000"/>
          <w:sz w:val="32"/>
          <w:szCs w:val="32"/>
          <w:lang w:eastAsia="zh-CN"/>
        </w:rPr>
      </w:pPr>
      <w:r>
        <w:rPr>
          <w:rStyle w:val="17"/>
          <w:rFonts w:hint="eastAsia" w:ascii="仿宋" w:hAnsi="仿宋" w:eastAsia="仿宋"/>
          <w:b w:val="0"/>
          <w:bCs w:val="0"/>
          <w:color w:val="000000"/>
          <w:sz w:val="32"/>
          <w:szCs w:val="32"/>
        </w:rPr>
        <w:t>农林水支出（类）</w:t>
      </w:r>
      <w:r>
        <w:rPr>
          <w:rStyle w:val="17"/>
          <w:rFonts w:hint="eastAsia" w:ascii="仿宋" w:hAnsi="仿宋" w:eastAsia="仿宋"/>
          <w:b w:val="0"/>
          <w:bCs w:val="0"/>
          <w:color w:val="000000"/>
          <w:sz w:val="32"/>
          <w:szCs w:val="32"/>
          <w:lang w:eastAsia="zh-CN"/>
        </w:rPr>
        <w:t>其他农林水支出</w:t>
      </w:r>
      <w:r>
        <w:rPr>
          <w:rStyle w:val="17"/>
          <w:rFonts w:hint="eastAsia" w:ascii="仿宋" w:hAnsi="仿宋" w:eastAsia="仿宋"/>
          <w:b w:val="0"/>
          <w:bCs w:val="0"/>
          <w:color w:val="000000"/>
          <w:sz w:val="32"/>
          <w:szCs w:val="32"/>
        </w:rPr>
        <w:t>（款）其他农林水支出（项）</w:t>
      </w:r>
      <w:r>
        <w:rPr>
          <w:rFonts w:hint="eastAsia" w:ascii="仿宋_GB2312" w:eastAsia="仿宋_GB2312"/>
          <w:b w:val="0"/>
          <w:bCs w:val="0"/>
          <w:color w:val="000000"/>
          <w:sz w:val="32"/>
          <w:szCs w:val="32"/>
        </w:rPr>
        <w:t>：指</w:t>
      </w:r>
      <w:r>
        <w:rPr>
          <w:rFonts w:hint="eastAsia" w:ascii="仿宋_GB2312" w:eastAsia="仿宋_GB2312"/>
          <w:b w:val="0"/>
          <w:bCs w:val="0"/>
          <w:color w:val="000000"/>
          <w:sz w:val="32"/>
          <w:szCs w:val="32"/>
          <w:lang w:eastAsia="zh-CN"/>
        </w:rPr>
        <w:t>除上述项目以外的用于其他水利方面的支出</w:t>
      </w:r>
    </w:p>
    <w:p>
      <w:pPr>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lang w:val="en-US" w:eastAsia="zh-CN"/>
        </w:rPr>
        <w:t>12.</w:t>
      </w:r>
      <w:r>
        <w:rPr>
          <w:rFonts w:hint="eastAsia" w:ascii="仿宋" w:hAnsi="仿宋" w:eastAsia="仿宋"/>
          <w:b w:val="0"/>
          <w:bCs w:val="0"/>
          <w:color w:val="000000"/>
          <w:sz w:val="32"/>
          <w:szCs w:val="32"/>
        </w:rPr>
        <w:t>住房保障支出</w:t>
      </w:r>
      <w:r>
        <w:rPr>
          <w:rStyle w:val="17"/>
          <w:rFonts w:hint="eastAsia" w:ascii="仿宋" w:hAnsi="仿宋" w:eastAsia="仿宋"/>
          <w:b w:val="0"/>
          <w:bCs w:val="0"/>
          <w:color w:val="000000"/>
          <w:sz w:val="32"/>
          <w:szCs w:val="32"/>
        </w:rPr>
        <w:t>（类）住房改革支出（款）住房公积金（项）</w:t>
      </w:r>
      <w:r>
        <w:rPr>
          <w:rFonts w:hint="eastAsia" w:ascii="仿宋_GB2312" w:eastAsia="仿宋_GB2312"/>
          <w:b w:val="0"/>
          <w:bCs w:val="0"/>
          <w:color w:val="000000"/>
          <w:sz w:val="32"/>
          <w:szCs w:val="32"/>
        </w:rPr>
        <w:t>：</w:t>
      </w:r>
      <w:r>
        <w:rPr>
          <w:rFonts w:hint="eastAsia" w:ascii="仿宋_GB2312" w:eastAsia="仿宋_GB2312"/>
          <w:b w:val="0"/>
          <w:bCs w:val="0"/>
          <w:color w:val="000000"/>
          <w:sz w:val="32"/>
          <w:szCs w:val="32"/>
          <w:lang w:eastAsia="zh-CN"/>
        </w:rPr>
        <w:t>反映行政事业单位按人力资源和社会保障部、财政部规定的基本工资和津贴补贴以及规定比例为职工缴纳的住房公积金</w:t>
      </w:r>
      <w:r>
        <w:rPr>
          <w:rFonts w:hint="eastAsia" w:ascii="仿宋_GB2312" w:eastAsia="仿宋_GB2312"/>
          <w:b w:val="0"/>
          <w:bCs w:val="0"/>
          <w:color w:val="000000"/>
          <w:sz w:val="32"/>
          <w:szCs w:val="32"/>
        </w:rPr>
        <w:t>。</w:t>
      </w:r>
    </w:p>
    <w:p>
      <w:pPr>
        <w:numPr>
          <w:ilvl w:val="0"/>
          <w:numId w:val="0"/>
        </w:numPr>
        <w:ind w:leftChars="0"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 w:hAnsi="仿宋" w:eastAsia="仿宋"/>
          <w:b/>
          <w:color w:val="auto"/>
          <w:sz w:val="32"/>
          <w:szCs w:val="32"/>
          <w:highlight w:val="none"/>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outlineLvl w:val="0"/>
        <w:rPr>
          <w:rStyle w:val="27"/>
          <w:rFonts w:ascii="黑体" w:hAnsi="黑体" w:eastAsia="黑体"/>
          <w:b w:val="0"/>
          <w:color w:val="auto"/>
          <w:highlight w:val="none"/>
        </w:rPr>
      </w:pPr>
      <w:bookmarkStart w:id="91" w:name="_Toc15377226"/>
      <w:r>
        <w:rPr>
          <w:rFonts w:ascii="宋体"/>
          <w:b/>
          <w:color w:val="auto"/>
          <w:sz w:val="44"/>
          <w:szCs w:val="44"/>
          <w:highlight w:val="none"/>
        </w:rPr>
        <w:br w:type="page"/>
      </w:r>
      <w:bookmarkStart w:id="92" w:name="_Toc15396614"/>
      <w:bookmarkStart w:id="93" w:name="_Toc19510"/>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92"/>
      <w:bookmarkEnd w:id="93"/>
    </w:p>
    <w:tbl>
      <w:tblPr>
        <w:tblStyle w:val="15"/>
        <w:tblW w:w="11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616"/>
        <w:gridCol w:w="1439"/>
        <w:gridCol w:w="1985"/>
        <w:gridCol w:w="459"/>
        <w:gridCol w:w="1456"/>
        <w:gridCol w:w="756"/>
        <w:gridCol w:w="1206"/>
        <w:gridCol w:w="576"/>
        <w:gridCol w:w="576"/>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94"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该项目为人员类项目，主要保障部门内2名定补人员工资发放及保险、公积金的缴纳。该预算项目资金按月支付，及时足额发放，预算执行率100%，年末无资金结余情况。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该项目为人员类项目，主要保障部门内4名优秀公务员奖励金的发放。该预算项目资金及时足额发放，预算执行率100%，年末无资金结余情况。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该项目为人员类项目，主要保障部门内在职人员中有独生子女的，为其发放独子费。2022年，该预算项目资金按月支付，及时足额发放，预算执行率100%，年末无资金结余情况。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该项目为人员类项目，主要保障退休已故人员家属生活补助，为其发放遗嘱补助。2022年，该预算项目资金按月支付，及时足额发放，预算执行率100%，年末无资金结余情况。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该项目为人员类项目，主要保障部门14名公务员目标绩效奖。2022年，该预算项目资金按月支付，及时足额发放，预算执行率100%，年末无资金结余情况。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61.44</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93.62%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61.44</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93.62%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该项目为人员类项目，主要保障部门14名公务员2名机关工勤人员2022年度车补。2022年，该预算项目资金按季度支付，及时足额发放，预算执行率100%，年末无资金结余情况。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15.99</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15.99</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该项目为人员类项目，主要保障部门05年以前退休人员2022年度医疗保险缴费等。2022年，该预算项目资金按月支付，及时足额缴纳，预算执行率100%，年末无资金结余情况。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51081221R000000052071-引进人才安家费及工作补助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该项目为人员类项目，主要保障部门2名引进人才2022年安家费2万元/人/年及每月的工作补助800元/人/月。2022年，该预算项目资金按月/年支付，预算执行率100%，年末无资金结余情况。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该项目为人员类项目，主要保障部门14名公务员2名机关工勤人员2022年度工资，包括基本工资、津贴补贴等。2022年，该预算项目资金按月支付，及时足额发放，预算执行率100%，年末无资金结余情况。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166.03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166.03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162.53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166.03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166.03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该项目为人员类项目，主要保障部门27名事业人员2022年度工资，包括基本工资、津贴补贴等。2022年，该预算项目资金按月支付，及时足额发放，预算执行率100%，年末无资金结余情况。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172.50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172.50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163.08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172.50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172.50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该项目为人员类项目，主要保障部门14名公务员2名机关工勤人员2022年度养老保险缴费等。2022年，该预算项目资金按月支付，及时足额缴纳，预算执行率100%，年末无资金结余情况。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该项目为人员类项目，主要保障部门27名事业人员2022年度养老保险缴费等。2022年，该预算项目资金按月支付，及时足额缴纳，预算执行率100%，年末无资金结余情况。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19.66</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19.66</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该项目为人员类项目，主要保障部门14名公务员2名机关工勤人员2022年度医疗保险缴费等。2022年，该预算项目资金按月支付，及时足额缴纳，预算执行率100%，年末无资金结余情况。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该项目为人员类项目，主要保障部门27名事业人员2022年度医疗保险缴费等。2022年，该预算项目资金按月支付，及时足额缴纳，预算执行率100%，年末无资金结余情况。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13.69</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13.69</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13.69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该项目为人员类项目，主要保障部门14名公务员和2名机关工勤人员2022年度住房公积金缴费等。2022年，该预算项目资金按月支付，及时足额缴纳，预算执行率100%，年末无资金结余情况。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22.86</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22.86</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该项目为人员类项目，主要保障部门27名事业人员2022年度住房公积金缴费等。2022年，该预算项目资金按月支付，及时足额缴纳，预算执行率100%，年末无资金结余情况。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22.12</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22.12</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该项目为人员类项目，主要保障部门内调走1名公务员的单位部分职业年金。2022年，该预算项目资金及时足额缴纳，预算执行率100%，年末无资金结余情况。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该项目为人员类项目，主要保障部门27名事业人员目标绩效奖。2022年，该预算项目资金按月支付，及时足额发放，预算执行率100%，年末无资金结余情况。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83.40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83.40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83.40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83.40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该项目为人员类项目，主要保障部门2名工勤人员目标绩效奖。2022年，该预算项目资金按月支付，及时足额发放，预算执行率100%，年末无资金结余情况。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51081222R000005610160-遗属补助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该项目为人员类项目，主要保障部门1名退休人员的死亡抚恤及丧葬费。2022年，该预算项目资金及时足额发放，预算执行率100%，年末无资金结余情况。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21.68</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21.68</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51081222T000005299678-革命老区转移支付资金项目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修复7.11洪灾受损嘉陵江大中坝段和羊木镇段。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412.03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412.03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412.03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412.03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412.03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412.03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修复河堤长度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1550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1550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总投资</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2321.87</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2321.87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切实改善河湖水生态环境，确保一江清水出朝天</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科学合理治理和管理河湖资源，确保防洪安全，河势稳定和生态环境安全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项目负责人：杨帆</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51081222T000005299738-水源井迁建项目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完成大中坝自来水厂净化设备改造和水源井迁建任务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年供水量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900000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立方米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迁建水源井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出水合格率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2022年末前完工</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保障城区供水覆盖</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保障饮水安全，改善生态环境</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集中统一供水，关闭自备水源，保护潜溪河水资源，提高饮水安全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项目成本控制数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11221.79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11221.79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项目负责人：仇良</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51081222T000005299789-水利救灾资金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保障山洪灾害监测预警系统正常运行、19个野外山洪灾害点视频站点正常运行。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野外视频站点正常运行</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平台维护时效：2022年01月-2022年12月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平台维护质量符合水利行业标准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保障山洪灾害监测预警系统运行</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山洪灾害监测预警系统野外监测站点光伏电源覆盖率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促进地区生态和谐发展、保障群众生命财产安全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群众对防汛减灾工作的满意度达</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预算控制数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项目负责人：任民</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51081222T000005378168-农村安全饮水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规划安全饮水维修养护项目共涉及5个乡镇，计划维修各类供水工程14处，其中集中供水工程12处，分散供水工程2处，计划巩固、解决3001户16135人饮水安全问题。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67.47</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67.47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67.47</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67.47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达到或超过国家规范和相关质量要求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项目（工程）验收合格率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回填土方量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1146</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立方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1146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开挖土方量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2174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立方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2174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混泥土方量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立方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更换PE管道长度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32600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32600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一体化设备采购</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6</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计划维修工程处数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6</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工程时间：2022年4月至12月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月</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PE管标准:GB/T13663-2018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项目覆盖村个数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饮水方便和节约劳动力成本</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改善水质，减少人畜疾病，节约医药费用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受益群众户数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3001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3001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受益群众人数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16135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16135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促进地区生态和谐发展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管材采购费用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一体化设备采购及智能水表安装</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56.75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56.75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iCs/>
                <w:color w:val="000000"/>
                <w:sz w:val="18"/>
                <w:szCs w:val="18"/>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项目负责人：蒋兴富</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51081222T000005727659-大中型水库移民后期扶持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新建中子镇转北村河堤310米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新建河堤</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提升移民群众幸福感、获得感</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改善项目区人居环境</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项目负责人：张勇</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51081222T000005727702-中央水利发展（安全人饮）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规划安全饮水项目共涉及12个乡镇，计划新建及维修各类供水工程50处，其中集中供水工程15处，分散供水工程35处，计划巩固、解决7256户30400人饮水不安全问题。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359.16</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359.16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359.16</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359.16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新建供水工程数量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服务乡镇数量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购买PE管道长度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256000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256000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工程竣工时间：2022年10月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项目（工程）验收合格率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受益群众人数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30400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30400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饮水方便和节约劳动力成本</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预算控制数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359.16</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359.16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项目负责人：蒋兴富</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51081222T000005727718-中央水利发展资金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综合治理河长8.86km，新建堤防2572m，新建护岸1112m，河道疏浚1453m，新建排涝设施9处。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新建堤防</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2572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2572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新建护岸</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1112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1112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排涝工程</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河道清淤</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1453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1453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开工时间至竣工时间：2022年1月-7月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中小河流治理每公里财政投入</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282.84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282.84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 xml:space="preserve"> 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经济净现值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212.95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212.95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保护人口数量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0.25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0.25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保护耕地数量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防汛减灾、美化环境</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受益建档立卡贫困群众满意度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项目负责人：杨帆</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51081222T000005727752-嘉陵江朝天区域江河治理工作经费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完成景观闸坝工程包括嘉陵江明月峡闸坝、嘉陵江大巴口闸坝和羊木河闸坝，嘉陵江明月峡闸坝位于朝天城区下游，明月峡大桥上游150m处，库容约175万m3。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98.14</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98.14</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98.14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生态闸形成湖面</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0.45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平方千米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0.45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闸坝库容量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1880000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立方米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1880000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新建及修复堤防</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7</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千米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打造区域水环境和城市滨河景观，提高城市品位，带动城区周边景区旅游产业的发展，为朝天城区的经济发展注入新活力。</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将抬高嘉陵江朝天区城区河段枯期水位，增加水体面积，为河段生态修复与保护创造条件。</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项目负责人：何勇志</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51081222T000005727779-水源井迁建工程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1.改造水厂控制系统。2.迁建取水井：新建2座大口井（井深12米，直径9亩，每座井取水量50立方米）；3，铺设管网3.5千米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新建大口井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铺设管网</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12375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12375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改善水质，用水需求，提高区内居民生活质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促进该区内人民安居乐业和国民经济持续稳定发展。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项目负责人：仇良</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51081222T000005727803-龙洞背水厂遗留问题经费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完善龙洞背水厂供水设施，保障水厂设备检修维护。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龙洞背水厂设备检修维护</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场次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龙洞背水厂设备正常运行率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保障供水设施运行周期：2023年1月—12月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保障龙洞背水厂供水覆盖率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龙洞背水厂供水收入</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保障龙洞背水厂供区内水质合格、居民饮水得到保障。</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制水水资源节约率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群众对供水工作的满意度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龙洞背水厂设备检修维护成本</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项目负责人：仇良</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51081222T000005728285-嘉陵江左岸大滩防洪堤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新建嘉陵江左岸大滩堤防622.18米、右岸暗线整治173.86米。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221.11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221.11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221.11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221.11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左岸新建堤防</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622.18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622.18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右岸暗线整治</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173.86米</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173.86米</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年度工程质量合格率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中央预算内投资支付率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80.67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完成年度投资</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明显带定性动区域经济发展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对本行业未来可持续发展的影响</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群众对水利建设工作的满意度达</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项目负责人：杨帆</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51081222T000005940128-水旱灾害防御工作经费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山洪灾害监测预警系统1个、野外视频站点19个正常运行。完成落实山洪灾害监测预警系统运行单位1个，负责本年度朝天区山洪灾害监测预警系统运行维护。合同约定金额：15.75万元；服务单位：中国联合网络、中国移动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10.62</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10.62</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完成落实山洪灾害监测预警系统运行单位</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野外视频站点正常运行</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2022年01月-2022年12月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按合同金额控制成本</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山洪灾害监测预警系统预警报讯率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山洪灾害监测预警系统预警避险率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山洪灾害监测预警系统野外监测站点光伏电源覆盖率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发生山洪灾害时危险区有监测、能预警、转移快。</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群众对防汛减灾工作的满意度达</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项目负责人：任民</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51081222T000005940175-消防设施运行维护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完成朝天镇、羊木镇、中子镇、曾家镇、朝天城区97处消防栓的维修、养护和修复。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消防栓维修数量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个（台、套、件、辆）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覆盖乡镇场镇数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符合《四川省公共消防设施条例》</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2022.01-2022.12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改善火灾预防程度，效益成本。</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受益群众人数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保障消防设施设备安全完善，挽救人民生命财产安全。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提高消防安全水平，稳定社会环境，维护生态环境。</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消防栓使用年限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受益群众满意度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项目负责人：刘松</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51081222T000006351153-2022年中省财政衔接乡村振兴补助资金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2022年乡村振兴配套安全人饮工程共涉及100个乡镇，规划新建各类供水工程45处，其中集中供水工程19处，分散供水工程26处；将巩固、提质改善1096户4072人饮水安全质量。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44.97</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44.97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44.97</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44.97</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PE管材采购（元/吨）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2101104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2101104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工程时间：2022年4月-10月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钢筋制安（元/吨）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PE管标准：GB/T13663-2018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服务乡镇数量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个（台、套、件、辆）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PE管道长度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194664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194664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项目（工程）验收合格率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可持续发展指标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受益群众户数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1096</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1096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项目覆盖村个数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个（台、套、件、辆）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受益群众人数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4072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人/户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4072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饮水方便和节约劳动力成本</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项目负责人：刘松</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51081222T000006648919-2022年中央水利资金—石烛小流域水土流失综合治理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计划治理水土流失面积11.43km2，其中:坡改梯12.54hm2(全部为石埂梯田),保土耕作323.7hm2，封禁治理806.76hm2。新建蓄水池1座，沉沙凼9口，截排水沟1.18km，生产道路1.10km，敷设预制砼涵管6m。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改坡梯</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12.54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公顷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12.54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封禁治理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806.76</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公顷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806.76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本年项目资金支出在控制范围内</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工程完成及时率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水土流失治理程度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作业道路</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千米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沉砂池</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保土耕作</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323.7</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公顷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323.7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排水沟渠</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千米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蓄水池</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每人增加基本农田，提高了土地生产力</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直接经济效益</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49.71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万元/每项目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49.71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保土量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3.12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3.12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提高森林覆盖率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项目区群众满意度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项目负责人：杨帆</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51081222T000006670248-2021年中央和省级水利发展资金预算（中央资金）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新建小一型水库一座，总库容105万立方，配套灌区供水管道15km；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1,303.41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1,303.41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1,303.41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1,303.41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新建小一型水库</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工程建设任务完成时效：2023年12月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月</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达到或超过国家规范和相关质量要求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长导流取水隧洞开挖及支护</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210.95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210.95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竖井开挖及支护</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40.33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40.33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溢洪道开挖及支护</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新建水库总库容</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1050000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立方米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1050000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新增及改变灌溉面积</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5600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5600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建成后直接经济效益</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1073.9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1073.9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水库工程使用年限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新增粮食生产能力</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新增劳动岗位</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中省水利发展资金预算控制数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1303.411863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1303.411863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项目负责人：杨帆</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51081222T000006736759-潜溪河转斗镇防洪治理—2021年中省水利发展资金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综合治理河长8.86km，新建堤防3653.97m，新建护岸1111.95m，河道疏浚1453m，新建排涝设施10处。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排涝工程</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工程使用时间：2023年10月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月</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河道清淤</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1453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1453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新建护岸</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1111.95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1111.95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新建堤防</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33653.97</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33653.97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保护耕地数量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保护人口数量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资金使用控制数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491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491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项目负责人：杨帆</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51081222T000006736765-中央、省级农业生产和水利救灾资金—2020年、21年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水利抗旱救灾，兴建修复抗旱供水工程103处，管网延伸工程5处，添置提水设备购水泵35台套，购置应急管道295公里（ppr63：0.45公里、Φ160：2公里、Φ110:1.68公里、Φ63：3.3公里、Φ50：6.9公里、Φ40：12.4公里、Φ32：83.8公里、Φ25：179.8公里、Φ20：35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57.63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57.63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57.63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57.63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工程施工设计标准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资金下达6个月内预算执行率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兴建修复抗旱供水工程</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保障抗旱供水安全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本年预算控制数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57.63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57.63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项目负责人：任民</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51081222T000006736841-2021年大中型水库移民后期扶持资金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实施小安村9组村道维修3.2公里；新建云雾山镇场镇雨污管网2000米；新建中子镇转北村河堤310米；新建小安村10组至朱家村6组村道4.8公里。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145.00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村道维修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千米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新建雨污管网</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千米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新建河堤</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新建村道</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千米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工程验收合格率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开工至竣工时间：2022年3月-10月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每吨降低农村品运输成本</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提升移民群众幸福感、获得感</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改善项目区人居环境</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工程使用年限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项目负责人：张勇</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51081222T000006846591-2022年度中央大中型水库移民后扶补助资金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目标1：补发35人搬迁安置移民2020年度后扶补助</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目标2：补发86人生产安置移民2020及2021年移民后扶补助</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目标3：2021年73人老移民差口资金</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 目标4：2022年159人移民后扶补助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23.33</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23.33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直补资金按时发放率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资金直补受益移民</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人/户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项目支出控制在批复的预算范围内的项目比例</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提高移民收入占当地农村居民收入比例</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交办的信访事项及时处理率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增加移民人均可支配收入</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600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元/户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600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移民对后期扶持政策实施满意度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项目负责人：张勇</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51081222T000006946967-地方政府专项债券项目资金（双峡湖水库）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目标1：完成隧洞开挖5公里；</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目标2：完成管道铺设8公里；</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目标3：完成工程总进度70%。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国家技术标准及符合水利行业技术标准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开挖文家梁隧洞</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256</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沟槽开挖，完成PCCP管铺设、球墨铸铁管铺设</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公里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开挖小地坡隧洞</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413.49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413.49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开挖龙洞背隧洞</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1414.77</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1414.77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修建小沟里隧洞</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2117</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2117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开挖长梁隧洞</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446</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446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开挖王家坪隧洞</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352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352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持续保障区域农业、乡村用水量，促进经济发展。危机情况启动应急备用水源，满足应急用水需求。</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优先选用节能环保产品，保护生态，促进绿色发展。提升区域水环境质量，构建生态健康发展。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保障农田灌溉面积，促进农民增收。满足场镇生产生活、农村人畜用水。作为朝天城区应急备用水源</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项目负责人：张宜俊</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51081222T000007017099-办公用房租金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水利局办公楼使用权租金（2012年10月-今）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632.41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632.41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632.41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632.41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办公楼使用权年限：2012年10月-2022年10月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办公楼使用建筑面积</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1713.84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平方米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1713.84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本着节约国有资源的原则，严格执行干部人员数量及职务职级匹配相应面积的制度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每平方米租金控制单价</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元/月</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可持续发展指标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确保政府机关行政事务正常运行开展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优良中低差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干部满意度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51081222T000007040033-曾家镇集中供水工程水土保持补偿费用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新建集中供水厂1座的水土保持补偿费兑付。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18.20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新建供水厂水土保持保持费</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设计及施工符合水利行业标准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2021年10月至2022年10月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财政核算金额</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解决安全饮水10万人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万人次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项目负责人：张娟</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51081222T000007040080-转斗堤防工程水土保持补偿费用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治理河长8.86KM,新建堤防2572m,新建排涝设施9处的堤防建设兑付水土保持保持补偿费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8.46</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兑付转斗堤防建设工程水土保持补偿费</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财政核算</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8.463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8.463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设计及施工符合水利行业标准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2022年1月至2022年7月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保护耕地数量</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受益群众</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项目负责人：张娟</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51081222T000007230653-2022年山洪灾害防治工程措施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目标1：完成广元市朝天区水利局山洪灾害监测预警信息系统运行维护1项；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目标2：完成2022年朝天区山洪灾害监测预警信息系统汛前设备检修服务1项；</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目标3：完成朝天区山洪灾害监测预警系统预警广播、遥测站点、干网通讯服务1项。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山洪灾害监测预警信息系统运行维护平台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2022年1-12月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山洪灾害监测预警系统预警报讯率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可持续发展指标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发生山洪灾害时危险区有监测、能预警、转移快。</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山洪灾害监测预警系统预警避险率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山洪灾害监测预警系统野外监测站点光伏电源覆盖率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群众对防汛减灾工作的满意度达</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成本控制范围</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项目负责人：任民</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51081222T000007307923-2022年山洪灾害危险区基层责任人履职补贴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完成全区137处山洪灾害危险区监测巡查和预警转移工作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落实山洪灾害危险区监测巡查和预警转移责任人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137</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人/年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137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按水利行业标准执行</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2022年1-12月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最大限度地减少人员伤亡和财产损失</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为促进社会经济环境协调发展提供安全保障。</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可持续影响指标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发生山洪灾害时危险区有监测、能预警、转移快</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群众对防汛减灾工作的满意度群众对防汛减灾工作的满意度群众对防汛减灾工作的满意度群众对防汛减灾工作的满意度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预算控制范围</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49.32</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项目负责人：任民</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该项目为运转类项目，主要保障部门日常运转开支。该资金有需支付，年末无资金结余情况。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该项目为运转类项目，主要保障部门日常运转开支。该资金有需支付，年末无资金结余情况。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24.71</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项目负责人：刘桂英</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保障驻村工作队2人开展工作的经费需求。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项目负责人：曾国莲</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51081223T000007655840-城镇供水工程“一案两书”费用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新建供水工程3处，设计总供水规模为16000m3/d。分别为：云雾山镇供水工程规模为5000 m3/d；双峡湖供水工程规模为10000 m3/d；大滩镇供水工程规模为1000 m3/d。保障该项目专项债券发行方案、作业指导书和作业计划书费用。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发行方案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作业指导书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作业计划书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计划书出具合格率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时效指标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“一案两书”出具时间22年1月-2022年12月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保障群众供水，解决饮水问题</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6.45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万人次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6.45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保障群众社会生活平稳，保障群众生活供水</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改善群众生产和生活环境</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服务提供方满意度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项目负责人：李忠琴</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51081223T000007655999-大沟水库工程“一案两书”费用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新建小一型水库一座，总库容105万立方，配套灌区供水管道15km。保障该项目专项债券发行方案、作业指导书和作业计划书费用。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发行方案</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作业指导书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作业计划书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计划书出具合格率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本工程正常运行后年直接经济效益</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1073.9</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1073.9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工程建成后新增及改善灌溉面积5600亩，供水人口4000人。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可持续发展指标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保障项目区灌溉及人畜饮水，带动旅游业发展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服务提供方满意度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项目资金支出在控制范围内</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22.4</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22.4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项目负责人：李忠琴</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51081223T000007898254-地方政府专项债券资金（大沟水库）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新建小一型水库一座，总库容105万立方，配套灌区供水管道15km；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2,800.00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粘土心墙石渣坝</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45.5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45.5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导流放空隧洞</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210.95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210.95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竖井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40.33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40.33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溢洪道</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185.36</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185.36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灌区供水管道</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千米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质量指标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符合相应国家技术标准及符合水利行业技术标准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新增及改善灌溉面积</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5600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5600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减轻山洪灾害对人民生命的威胁，避免人员伤亡。</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生态效益指标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优先选用节能环保产品，保护生态，促进绿色发展</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可持续发展指标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促进地区生态和谐发展、保障群众生命财产安全。</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满意度指标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服务对象满意度指标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群众满意度</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98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专项债券预算控制数</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2800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2800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项目负责人：杨帆</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51081223T000008128473-广元市朝天区双峡湖水库工程（灌区）资本金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目标1：完成隧洞开挖5公里；</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目标2：完成管道铺设8公里；</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目标3：完成工程总进度70%。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85.99</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85.99</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85.99</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开挖隧洞</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公里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铺设管道</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公里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保障农田灌溉面积，促进农民增收。</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定性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优良中差</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优</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资本金预算</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87</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85.99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项目负责人：张宜俊</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1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1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11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51081223T000008128478-广元市朝天区大沟水库资本金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广元市朝天区水利局部门</w:t>
            </w:r>
          </w:p>
        </w:tc>
        <w:tc>
          <w:tcPr>
            <w:tcW w:w="9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严格执行相关政策，保障工程项目按计划进度实施建设，达到预计目标值，预算编制科学合理，减少结余资金。</w:t>
            </w:r>
          </w:p>
        </w:tc>
        <w:tc>
          <w:tcPr>
            <w:tcW w:w="32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93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新建小一型水库一座，总库容105万立方，配套灌区供水管道15km；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3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45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绩效指标（90分）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一级指标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二级指标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三级指标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指标性质</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指标值</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度量单位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完成值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权重</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得分</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产出指标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新建小型水库</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数量指标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水库总库容</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1050000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立方米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1050000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效益指标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社会效益指标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新增及改善灌溉面积</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5600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5600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SimSun-ExtB" w:hAnsi="SimSun-ExtB" w:eastAsia="SimSun-ExtB" w:cs="SimSun-ExtB"/>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成本指标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经济成本指标</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资本金预算</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3</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万元</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2.24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15</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合计</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ExtB" w:hAnsi="SimSun-ExtB" w:eastAsia="SimSun-ExtB" w:cs="SimSun-ExtB"/>
                <w:i w:val="0"/>
                <w:iCs w:val="0"/>
                <w:color w:val="000000"/>
                <w:sz w:val="18"/>
                <w:szCs w:val="18"/>
                <w:u w:val="none"/>
              </w:rPr>
            </w:pPr>
            <w:r>
              <w:rPr>
                <w:rFonts w:hint="eastAsia" w:ascii="SimSun-ExtB" w:hAnsi="SimSun-ExtB" w:eastAsia="SimSun-ExtB" w:cs="SimSun-ExtB"/>
                <w:i w:val="0"/>
                <w:iCs w:val="0"/>
                <w:color w:val="000000"/>
                <w:kern w:val="0"/>
                <w:sz w:val="18"/>
                <w:szCs w:val="18"/>
                <w:u w:val="none"/>
                <w:lang w:val="en-US" w:eastAsia="zh-CN" w:bidi="ar"/>
              </w:rPr>
              <w:t>100</w:t>
            </w:r>
          </w:p>
        </w:tc>
        <w:tc>
          <w:tcPr>
            <w:tcW w:w="128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1182" w:type="dxa"/>
            <w:gridSpan w:val="10"/>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1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项目负责人：杨帆</w:t>
            </w:r>
          </w:p>
        </w:tc>
        <w:tc>
          <w:tcPr>
            <w:tcW w:w="5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财务负责人：蔺开平</w:t>
            </w:r>
          </w:p>
        </w:tc>
      </w:tr>
    </w:tbl>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bookmarkStart w:id="95" w:name="_Toc23082"/>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91"/>
      <w:bookmarkEnd w:id="94"/>
      <w:bookmarkEnd w:id="95"/>
      <w:bookmarkStart w:id="96" w:name="_Toc15396619"/>
    </w:p>
    <w:p>
      <w:pPr>
        <w:pStyle w:val="4"/>
        <w:rPr>
          <w:rFonts w:ascii="仿宋" w:hAnsi="仿宋" w:eastAsia="仿宋"/>
          <w:color w:val="auto"/>
          <w:highlight w:val="none"/>
        </w:rPr>
      </w:pPr>
      <w:bookmarkStart w:id="97" w:name="_Toc8325"/>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96"/>
      <w:bookmarkEnd w:id="97"/>
    </w:p>
    <w:p>
      <w:pPr>
        <w:pStyle w:val="4"/>
        <w:rPr>
          <w:rFonts w:ascii="仿宋" w:hAnsi="仿宋" w:eastAsia="仿宋"/>
          <w:color w:val="auto"/>
          <w:highlight w:val="none"/>
        </w:rPr>
      </w:pPr>
      <w:bookmarkStart w:id="98" w:name="_Toc13697"/>
      <w:bookmarkStart w:id="99"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98"/>
      <w:bookmarkEnd w:id="99"/>
    </w:p>
    <w:p>
      <w:pPr>
        <w:pStyle w:val="4"/>
        <w:rPr>
          <w:rFonts w:ascii="仿宋" w:hAnsi="仿宋" w:eastAsia="仿宋"/>
          <w:color w:val="auto"/>
          <w:highlight w:val="none"/>
        </w:rPr>
      </w:pPr>
      <w:bookmarkStart w:id="100" w:name="_Toc21590"/>
      <w:bookmarkStart w:id="101"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100"/>
      <w:bookmarkEnd w:id="101"/>
    </w:p>
    <w:p>
      <w:pPr>
        <w:pStyle w:val="4"/>
        <w:rPr>
          <w:rFonts w:ascii="仿宋" w:hAnsi="仿宋" w:eastAsia="仿宋"/>
          <w:b w:val="0"/>
          <w:color w:val="auto"/>
          <w:highlight w:val="none"/>
        </w:rPr>
      </w:pPr>
      <w:bookmarkStart w:id="102" w:name="_Toc23723"/>
      <w:bookmarkStart w:id="103"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102"/>
      <w:bookmarkEnd w:id="103"/>
    </w:p>
    <w:p>
      <w:pPr>
        <w:pStyle w:val="4"/>
        <w:rPr>
          <w:rStyle w:val="28"/>
          <w:rFonts w:ascii="仿宋" w:hAnsi="仿宋" w:eastAsia="仿宋"/>
          <w:b w:val="0"/>
          <w:bCs w:val="0"/>
          <w:color w:val="auto"/>
          <w:highlight w:val="none"/>
        </w:rPr>
      </w:pPr>
      <w:bookmarkStart w:id="104" w:name="_Toc15396623"/>
      <w:bookmarkStart w:id="105" w:name="_Toc23204"/>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104"/>
      <w:bookmarkEnd w:id="105"/>
      <w:bookmarkStart w:id="106" w:name="_Toc15396624"/>
    </w:p>
    <w:p>
      <w:pPr>
        <w:pStyle w:val="4"/>
        <w:rPr>
          <w:rFonts w:ascii="仿宋" w:hAnsi="仿宋" w:eastAsia="仿宋"/>
          <w:color w:val="auto"/>
          <w:highlight w:val="none"/>
        </w:rPr>
      </w:pPr>
      <w:bookmarkStart w:id="107" w:name="_Toc2945"/>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106"/>
      <w:bookmarkEnd w:id="107"/>
    </w:p>
    <w:p>
      <w:pPr>
        <w:pStyle w:val="4"/>
        <w:rPr>
          <w:rFonts w:ascii="仿宋" w:hAnsi="仿宋" w:eastAsia="仿宋"/>
          <w:color w:val="auto"/>
          <w:highlight w:val="none"/>
        </w:rPr>
      </w:pPr>
      <w:bookmarkStart w:id="108" w:name="_Toc15396625"/>
      <w:bookmarkStart w:id="109" w:name="_Toc27010"/>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108"/>
      <w:bookmarkEnd w:id="109"/>
    </w:p>
    <w:p>
      <w:pPr>
        <w:pStyle w:val="4"/>
        <w:rPr>
          <w:rFonts w:ascii="仿宋" w:hAnsi="仿宋" w:eastAsia="仿宋"/>
          <w:color w:val="auto"/>
          <w:highlight w:val="none"/>
        </w:rPr>
      </w:pPr>
      <w:bookmarkStart w:id="110" w:name="_Toc15396626"/>
      <w:bookmarkStart w:id="111" w:name="_Toc27361"/>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110"/>
      <w:bookmarkEnd w:id="111"/>
    </w:p>
    <w:p>
      <w:pPr>
        <w:pStyle w:val="4"/>
        <w:rPr>
          <w:rFonts w:ascii="仿宋" w:hAnsi="仿宋" w:eastAsia="仿宋"/>
          <w:color w:val="auto"/>
          <w:highlight w:val="none"/>
        </w:rPr>
      </w:pPr>
      <w:bookmarkStart w:id="112" w:name="_Toc15396627"/>
      <w:bookmarkStart w:id="113" w:name="_Toc3338"/>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112"/>
      <w:bookmarkEnd w:id="113"/>
    </w:p>
    <w:p>
      <w:pPr>
        <w:pStyle w:val="4"/>
        <w:rPr>
          <w:rFonts w:ascii="仿宋" w:hAnsi="仿宋" w:eastAsia="仿宋"/>
          <w:color w:val="auto"/>
          <w:highlight w:val="none"/>
        </w:rPr>
      </w:pPr>
      <w:bookmarkStart w:id="114" w:name="_Toc15396628"/>
      <w:bookmarkStart w:id="115" w:name="_Toc2671"/>
      <w:r>
        <w:rPr>
          <w:rStyle w:val="28"/>
          <w:rFonts w:hint="eastAsia" w:ascii="仿宋" w:hAnsi="仿宋" w:eastAsia="仿宋"/>
          <w:b w:val="0"/>
          <w:bCs w:val="0"/>
          <w:color w:val="auto"/>
          <w:highlight w:val="none"/>
        </w:rPr>
        <w:t>十、</w:t>
      </w:r>
      <w:bookmarkEnd w:id="114"/>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115"/>
    </w:p>
    <w:p>
      <w:pPr>
        <w:pStyle w:val="4"/>
        <w:rPr>
          <w:rFonts w:ascii="仿宋" w:hAnsi="仿宋" w:eastAsia="仿宋"/>
          <w:color w:val="auto"/>
          <w:highlight w:val="none"/>
        </w:rPr>
      </w:pPr>
      <w:bookmarkStart w:id="116" w:name="_Toc15396629"/>
      <w:bookmarkStart w:id="117" w:name="_Toc8854"/>
      <w:r>
        <w:rPr>
          <w:rStyle w:val="28"/>
          <w:rFonts w:hint="eastAsia" w:ascii="仿宋" w:hAnsi="仿宋" w:eastAsia="仿宋"/>
          <w:b w:val="0"/>
          <w:bCs w:val="0"/>
          <w:color w:val="auto"/>
          <w:highlight w:val="none"/>
        </w:rPr>
        <w:t>十一、</w:t>
      </w:r>
      <w:bookmarkEnd w:id="116"/>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117"/>
    </w:p>
    <w:p>
      <w:pPr>
        <w:pStyle w:val="4"/>
        <w:rPr>
          <w:rFonts w:ascii="仿宋" w:hAnsi="仿宋" w:eastAsia="仿宋"/>
          <w:color w:val="auto"/>
          <w:highlight w:val="none"/>
        </w:rPr>
      </w:pPr>
      <w:bookmarkStart w:id="118" w:name="_Toc15396630"/>
      <w:bookmarkStart w:id="119" w:name="_Toc13648"/>
      <w:r>
        <w:rPr>
          <w:rStyle w:val="28"/>
          <w:rFonts w:hint="eastAsia" w:ascii="仿宋" w:hAnsi="仿宋" w:eastAsia="仿宋"/>
          <w:b w:val="0"/>
          <w:bCs w:val="0"/>
          <w:color w:val="auto"/>
          <w:highlight w:val="none"/>
        </w:rPr>
        <w:t>十二、</w:t>
      </w:r>
      <w:bookmarkEnd w:id="118"/>
      <w:r>
        <w:rPr>
          <w:rStyle w:val="28"/>
          <w:rFonts w:hint="eastAsia" w:ascii="仿宋" w:hAnsi="仿宋" w:eastAsia="仿宋"/>
          <w:b w:val="0"/>
          <w:bCs w:val="0"/>
          <w:color w:val="auto"/>
          <w:highlight w:val="none"/>
          <w:lang w:eastAsia="zh-CN"/>
        </w:rPr>
        <w:t>国有资本经营预算财政拨款支出决算表</w:t>
      </w:r>
      <w:bookmarkEnd w:id="119"/>
    </w:p>
    <w:p>
      <w:pPr>
        <w:pStyle w:val="4"/>
        <w:rPr>
          <w:rFonts w:hint="eastAsia" w:eastAsia="仿宋"/>
          <w:color w:val="auto"/>
          <w:highlight w:val="none"/>
          <w:lang w:eastAsia="zh-CN"/>
        </w:rPr>
      </w:pPr>
      <w:bookmarkStart w:id="120" w:name="_Toc15396631"/>
      <w:bookmarkStart w:id="121" w:name="_Toc1794"/>
      <w:r>
        <w:rPr>
          <w:rStyle w:val="28"/>
          <w:rFonts w:hint="eastAsia" w:ascii="仿宋" w:hAnsi="仿宋" w:eastAsia="仿宋"/>
          <w:b w:val="0"/>
          <w:bCs w:val="0"/>
          <w:color w:val="auto"/>
          <w:highlight w:val="none"/>
        </w:rPr>
        <w:t>十三、</w:t>
      </w:r>
      <w:bookmarkEnd w:id="120"/>
      <w:r>
        <w:rPr>
          <w:rStyle w:val="28"/>
          <w:rFonts w:hint="eastAsia" w:ascii="仿宋" w:hAnsi="仿宋" w:eastAsia="仿宋"/>
          <w:b w:val="0"/>
          <w:bCs w:val="0"/>
          <w:color w:val="auto"/>
          <w:highlight w:val="none"/>
          <w:lang w:eastAsia="zh-CN"/>
        </w:rPr>
        <w:t>财政拨款“三公”经费支出决算表</w:t>
      </w:r>
      <w:bookmarkEnd w:id="12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856C5CA"/>
    <w:multiLevelType w:val="singleLevel"/>
    <w:tmpl w:val="E856C5CA"/>
    <w:lvl w:ilvl="0" w:tentative="0">
      <w:start w:val="2"/>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2A0"/>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31421D"/>
    <w:rsid w:val="04117BDE"/>
    <w:rsid w:val="053A62B5"/>
    <w:rsid w:val="06336531"/>
    <w:rsid w:val="0A2032A3"/>
    <w:rsid w:val="0B8A37D8"/>
    <w:rsid w:val="0D8238FA"/>
    <w:rsid w:val="0DBB1446"/>
    <w:rsid w:val="10C055FF"/>
    <w:rsid w:val="118107EC"/>
    <w:rsid w:val="11DD6519"/>
    <w:rsid w:val="12A84323"/>
    <w:rsid w:val="16BB723D"/>
    <w:rsid w:val="18015F3F"/>
    <w:rsid w:val="18B42547"/>
    <w:rsid w:val="1BE8440E"/>
    <w:rsid w:val="1CBB1081"/>
    <w:rsid w:val="1D155CEE"/>
    <w:rsid w:val="20F57F95"/>
    <w:rsid w:val="21EA7F94"/>
    <w:rsid w:val="23CD5689"/>
    <w:rsid w:val="240371BF"/>
    <w:rsid w:val="25711CC6"/>
    <w:rsid w:val="25C741E6"/>
    <w:rsid w:val="26B93589"/>
    <w:rsid w:val="271909D4"/>
    <w:rsid w:val="27457CE6"/>
    <w:rsid w:val="27842671"/>
    <w:rsid w:val="2822558E"/>
    <w:rsid w:val="29937C57"/>
    <w:rsid w:val="29FD04D3"/>
    <w:rsid w:val="2AA63964"/>
    <w:rsid w:val="2ABE7A3E"/>
    <w:rsid w:val="2CA234A8"/>
    <w:rsid w:val="2D6C3F53"/>
    <w:rsid w:val="2EFA178C"/>
    <w:rsid w:val="30B46D73"/>
    <w:rsid w:val="311957CC"/>
    <w:rsid w:val="319F7F4E"/>
    <w:rsid w:val="31C3435E"/>
    <w:rsid w:val="34CC6AF3"/>
    <w:rsid w:val="379F0A81"/>
    <w:rsid w:val="383D272C"/>
    <w:rsid w:val="39AE70AB"/>
    <w:rsid w:val="3C0C0783"/>
    <w:rsid w:val="3DD443B6"/>
    <w:rsid w:val="3E285C74"/>
    <w:rsid w:val="3F9F3A96"/>
    <w:rsid w:val="414654FB"/>
    <w:rsid w:val="41B4781F"/>
    <w:rsid w:val="44D02BC2"/>
    <w:rsid w:val="46F522DA"/>
    <w:rsid w:val="48BF60AB"/>
    <w:rsid w:val="493C27E9"/>
    <w:rsid w:val="496F39ED"/>
    <w:rsid w:val="49FF41D3"/>
    <w:rsid w:val="4B045373"/>
    <w:rsid w:val="4BE068DB"/>
    <w:rsid w:val="4BF6002B"/>
    <w:rsid w:val="4ECE2238"/>
    <w:rsid w:val="4FC450D1"/>
    <w:rsid w:val="50445253"/>
    <w:rsid w:val="51DB4B86"/>
    <w:rsid w:val="53513120"/>
    <w:rsid w:val="5492579E"/>
    <w:rsid w:val="54B8256C"/>
    <w:rsid w:val="55333C3E"/>
    <w:rsid w:val="57B91294"/>
    <w:rsid w:val="57DB745C"/>
    <w:rsid w:val="59266DFD"/>
    <w:rsid w:val="5BF62AB6"/>
    <w:rsid w:val="600357A2"/>
    <w:rsid w:val="604A517F"/>
    <w:rsid w:val="627110E9"/>
    <w:rsid w:val="64CA39A1"/>
    <w:rsid w:val="67E61C31"/>
    <w:rsid w:val="69630ADE"/>
    <w:rsid w:val="6C4A05C8"/>
    <w:rsid w:val="6C5C0714"/>
    <w:rsid w:val="6CB467A2"/>
    <w:rsid w:val="6D3B1A89"/>
    <w:rsid w:val="6D57712D"/>
    <w:rsid w:val="6E69536A"/>
    <w:rsid w:val="70307D4D"/>
    <w:rsid w:val="71BF4EC2"/>
    <w:rsid w:val="72734D90"/>
    <w:rsid w:val="7412278C"/>
    <w:rsid w:val="74820F33"/>
    <w:rsid w:val="75CA2B92"/>
    <w:rsid w:val="79E7B28D"/>
    <w:rsid w:val="7B256ABC"/>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Normal Indent"/>
    <w:basedOn w:val="1"/>
    <w:next w:val="1"/>
    <w:qFormat/>
    <w:uiPriority w:val="0"/>
    <w:pPr>
      <w:ind w:firstLine="420"/>
    </w:pPr>
  </w:style>
  <w:style w:type="paragraph" w:styleId="7">
    <w:name w:val="Body Text Indent"/>
    <w:basedOn w:val="1"/>
    <w:unhideWhenUsed/>
    <w:qFormat/>
    <w:uiPriority w:val="99"/>
    <w:pPr>
      <w:spacing w:after="120"/>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41"/>
    <w:basedOn w:val="16"/>
    <w:qFormat/>
    <w:uiPriority w:val="0"/>
    <w:rPr>
      <w:rFonts w:hint="eastAsia" w:ascii="宋体" w:hAnsi="宋体" w:eastAsia="宋体" w:cs="宋体"/>
      <w:color w:val="000000"/>
      <w:sz w:val="24"/>
      <w:szCs w:val="24"/>
      <w:u w:val="none"/>
    </w:rPr>
  </w:style>
  <w:style w:type="character" w:customStyle="1" w:styleId="34">
    <w:name w:val="font71"/>
    <w:basedOn w:val="16"/>
    <w:qFormat/>
    <w:uiPriority w:val="0"/>
    <w:rPr>
      <w:rFonts w:hint="default" w:ascii="Times New Roman" w:hAnsi="Times New Roman" w:cs="Times New Roman"/>
      <w:color w:val="000000"/>
      <w:sz w:val="24"/>
      <w:szCs w:val="24"/>
      <w:u w:val="none"/>
    </w:rPr>
  </w:style>
  <w:style w:type="character" w:customStyle="1" w:styleId="35">
    <w:name w:val="font61"/>
    <w:basedOn w:val="16"/>
    <w:qFormat/>
    <w:uiPriority w:val="0"/>
    <w:rPr>
      <w:rFonts w:hint="eastAsia" w:ascii="宋体" w:hAnsi="宋体" w:eastAsia="宋体" w:cs="宋体"/>
      <w:b/>
      <w:bCs/>
      <w:color w:val="000000"/>
      <w:sz w:val="18"/>
      <w:szCs w:val="18"/>
      <w:u w:val="none"/>
    </w:rPr>
  </w:style>
  <w:style w:type="character" w:customStyle="1" w:styleId="36">
    <w:name w:val="font31"/>
    <w:basedOn w:val="16"/>
    <w:qFormat/>
    <w:uiPriority w:val="0"/>
    <w:rPr>
      <w:rFonts w:hint="eastAsia" w:ascii="宋体" w:hAnsi="宋体" w:eastAsia="宋体" w:cs="宋体"/>
      <w:color w:val="000000"/>
      <w:sz w:val="16"/>
      <w:szCs w:val="16"/>
      <w:u w:val="none"/>
    </w:rPr>
  </w:style>
  <w:style w:type="character" w:customStyle="1" w:styleId="37">
    <w:name w:val="font51"/>
    <w:basedOn w:val="16"/>
    <w:qFormat/>
    <w:uiPriority w:val="0"/>
    <w:rPr>
      <w:rFonts w:hint="eastAsia" w:ascii="宋体" w:hAnsi="宋体" w:eastAsia="宋体" w:cs="宋体"/>
      <w:color w:val="000000"/>
      <w:sz w:val="18"/>
      <w:szCs w:val="18"/>
      <w:u w:val="none"/>
    </w:rPr>
  </w:style>
  <w:style w:type="character" w:customStyle="1" w:styleId="38">
    <w:name w:val="font81"/>
    <w:basedOn w:val="16"/>
    <w:qFormat/>
    <w:uiPriority w:val="0"/>
    <w:rPr>
      <w:rFonts w:hint="eastAsia" w:ascii="宋体" w:hAnsi="宋体" w:eastAsia="宋体" w:cs="宋体"/>
      <w:color w:val="000000"/>
      <w:sz w:val="20"/>
      <w:szCs w:val="20"/>
      <w:u w:val="none"/>
    </w:rPr>
  </w:style>
  <w:style w:type="character" w:customStyle="1" w:styleId="39">
    <w:name w:val="font01"/>
    <w:basedOn w:val="16"/>
    <w:qFormat/>
    <w:uiPriority w:val="0"/>
    <w:rPr>
      <w:rFonts w:hint="eastAsia" w:ascii="宋体" w:hAnsi="宋体" w:eastAsia="宋体" w:cs="宋体"/>
      <w:color w:val="000000"/>
      <w:sz w:val="20"/>
      <w:szCs w:val="20"/>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14002</Words>
  <Characters>15452</Characters>
  <Lines>61</Lines>
  <Paragraphs>17</Paragraphs>
  <TotalTime>9</TotalTime>
  <ScaleCrop>false</ScaleCrop>
  <LinksUpToDate>false</LinksUpToDate>
  <CharactersWithSpaces>17648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2023-07-31T02:35:00Z</cp:lastPrinted>
  <dcterms:modified xsi:type="dcterms:W3CDTF">2023-10-28T06:51:49Z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71EA8CF7A4824E51952DD7F7FAADD3D1_13</vt:lpwstr>
  </property>
</Properties>
</file>