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auto"/>
          <w:sz w:val="72"/>
          <w:szCs w:val="72"/>
          <w:highlight w:val="none"/>
        </w:rPr>
      </w:pPr>
      <w:bookmarkStart w:id="0" w:name="_Toc15377193"/>
      <w:bookmarkStart w:id="1" w:name="_Toc15396475"/>
      <w:bookmarkStart w:id="2" w:name="_Toc15378441"/>
      <w:bookmarkStart w:id="3" w:name="_Toc15396597"/>
      <w:bookmarkStart w:id="4" w:name="_Toc15377425"/>
      <w:bookmarkStart w:id="5"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48"/>
          <w:szCs w:val="48"/>
          <w:highlight w:val="none"/>
        </w:rPr>
      </w:pPr>
      <w:bookmarkStart w:id="6" w:name="_Toc2203"/>
      <w:r>
        <w:rPr>
          <w:rFonts w:hint="eastAsia" w:ascii="方正小标宋简体" w:hAnsi="方正小标宋简体" w:eastAsia="方正小标宋简体" w:cs="方正小标宋简体"/>
          <w:color w:val="auto"/>
          <w:sz w:val="48"/>
          <w:szCs w:val="48"/>
          <w:highlight w:val="none"/>
        </w:rPr>
        <w:t>20</w:t>
      </w:r>
      <w:r>
        <w:rPr>
          <w:rFonts w:hint="eastAsia" w:ascii="方正小标宋简体" w:hAnsi="方正小标宋简体" w:eastAsia="方正小标宋简体" w:cs="方正小标宋简体"/>
          <w:color w:val="auto"/>
          <w:sz w:val="48"/>
          <w:szCs w:val="48"/>
          <w:highlight w:val="none"/>
          <w:lang w:val="en-US" w:eastAsia="zh-CN"/>
        </w:rPr>
        <w:t>22</w:t>
      </w:r>
      <w:r>
        <w:rPr>
          <w:rFonts w:hint="eastAsia" w:ascii="方正小标宋简体" w:hAnsi="方正小标宋简体" w:eastAsia="方正小标宋简体" w:cs="方正小标宋简体"/>
          <w:color w:val="auto"/>
          <w:sz w:val="48"/>
          <w:szCs w:val="48"/>
          <w:highlight w:val="none"/>
        </w:rPr>
        <w:t>年度</w:t>
      </w:r>
      <w:bookmarkEnd w:id="0"/>
      <w:bookmarkEnd w:id="1"/>
      <w:bookmarkEnd w:id="2"/>
      <w:bookmarkEnd w:id="3"/>
      <w:bookmarkEnd w:id="4"/>
      <w:bookmarkEnd w:id="6"/>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48"/>
          <w:szCs w:val="48"/>
          <w:highlight w:val="none"/>
          <w:lang w:eastAsia="zh-CN"/>
        </w:rPr>
      </w:pPr>
      <w:bookmarkStart w:id="7" w:name="_Toc7106"/>
      <w:bookmarkStart w:id="8" w:name="_Toc15377194"/>
      <w:bookmarkStart w:id="9" w:name="_Toc15378442"/>
      <w:bookmarkStart w:id="10" w:name="_Toc15396598"/>
      <w:bookmarkStart w:id="11" w:name="_Toc15396476"/>
      <w:bookmarkStart w:id="12" w:name="_Toc15377426"/>
      <w:r>
        <w:rPr>
          <w:rFonts w:hint="eastAsia" w:ascii="方正小标宋简体" w:hAnsi="方正小标宋简体" w:eastAsia="方正小标宋简体" w:cs="方正小标宋简体"/>
          <w:color w:val="auto"/>
          <w:sz w:val="48"/>
          <w:szCs w:val="48"/>
          <w:highlight w:val="none"/>
        </w:rPr>
        <w:t>四川省</w:t>
      </w:r>
      <w:bookmarkEnd w:id="5"/>
      <w:bookmarkStart w:id="13" w:name="_Toc15306268"/>
      <w:r>
        <w:rPr>
          <w:rFonts w:hint="eastAsia" w:ascii="方正小标宋简体" w:hAnsi="方正小标宋简体" w:eastAsia="方正小标宋简体" w:cs="方正小标宋简体"/>
          <w:color w:val="auto"/>
          <w:sz w:val="48"/>
          <w:szCs w:val="48"/>
          <w:highlight w:val="none"/>
          <w:lang w:eastAsia="zh-CN"/>
        </w:rPr>
        <w:t>广元市朝天区老干部事务中心</w:t>
      </w:r>
      <w:bookmarkEnd w:id="7"/>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48"/>
          <w:szCs w:val="48"/>
          <w:highlight w:val="none"/>
        </w:rPr>
      </w:pPr>
      <w:bookmarkStart w:id="14" w:name="_Toc5946"/>
      <w:r>
        <w:rPr>
          <w:rFonts w:hint="eastAsia" w:ascii="方正小标宋简体" w:hAnsi="方正小标宋简体" w:eastAsia="方正小标宋简体" w:cs="方正小标宋简体"/>
          <w:color w:val="auto"/>
          <w:sz w:val="48"/>
          <w:szCs w:val="48"/>
          <w:highlight w:val="none"/>
        </w:rPr>
        <w:t>部门决算</w:t>
      </w:r>
      <w:bookmarkEnd w:id="8"/>
      <w:bookmarkEnd w:id="9"/>
      <w:bookmarkEnd w:id="10"/>
      <w:bookmarkEnd w:id="11"/>
      <w:bookmarkEnd w:id="12"/>
      <w:bookmarkEnd w:id="13"/>
      <w:bookmarkEnd w:id="14"/>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rFonts w:hint="eastAsia"/>
          <w:color w:val="auto"/>
          <w:highlight w:val="none"/>
        </w:rPr>
      </w:pPr>
    </w:p>
    <w:p>
      <w:pPr>
        <w:pStyle w:val="11"/>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p>
    <w:p>
      <w:pPr>
        <w:widowControl/>
        <w:spacing w:line="440" w:lineRule="exact"/>
        <w:jc w:val="left"/>
        <w:rPr>
          <w:rFonts w:ascii="仿宋" w:hAnsi="仿宋" w:eastAsia="仿宋"/>
          <w:bCs/>
          <w:color w:val="auto"/>
          <w:kern w:val="44"/>
          <w:sz w:val="24"/>
          <w:highlight w:val="none"/>
        </w:rPr>
      </w:pPr>
      <w:r>
        <w:rPr>
          <w:rFonts w:ascii="方正小标宋简体" w:hAnsi="宋体" w:eastAsia="方正小标宋简体"/>
          <w:color w:val="auto"/>
          <w:sz w:val="36"/>
          <w:szCs w:val="36"/>
          <w:highlight w:val="none"/>
        </w:rPr>
        <w:br w:type="page"/>
      </w:r>
      <w:bookmarkStart w:id="15" w:name="_Toc15396599"/>
      <w:bookmarkStart w:id="16" w:name="_Toc15377196"/>
    </w:p>
    <w:sdt>
      <w:sdtPr>
        <w:rPr>
          <w:rFonts w:ascii="宋体" w:hAnsi="宋体" w:eastAsia="宋体" w:cs="Times New Roman"/>
          <w:kern w:val="2"/>
          <w:sz w:val="21"/>
          <w:szCs w:val="24"/>
          <w:lang w:val="en-US" w:eastAsia="zh-CN" w:bidi="ar-SA"/>
        </w:rPr>
        <w:id w:val="147474806"/>
        <w15:color w:val="DBDBDB"/>
        <w:docPartObj>
          <w:docPartGallery w:val="Table of Contents"/>
          <w:docPartUnique/>
        </w:docPartObj>
      </w:sdtPr>
      <w:sdtEndPr>
        <w:rPr>
          <w:rFonts w:hint="eastAsia" w:ascii="黑体" w:hAnsi="黑体" w:eastAsia="黑体" w:cs="Times New Roman"/>
          <w:b/>
          <w:bCs/>
          <w:color w:val="auto"/>
          <w:kern w:val="44"/>
          <w:sz w:val="44"/>
          <w:szCs w:val="44"/>
          <w:highlight w:val="none"/>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35"/>
            <w:tabs>
              <w:tab w:val="right" w:leader="dot" w:pos="8845"/>
            </w:tabs>
          </w:pPr>
          <w:r>
            <w:rPr>
              <w:rFonts w:hint="eastAsia" w:ascii="黑体" w:hAnsi="黑体" w:eastAsia="黑体"/>
              <w:b w:val="0"/>
              <w:color w:val="auto"/>
              <w:highlight w:val="none"/>
            </w:rPr>
            <w:fldChar w:fldCharType="begin"/>
          </w:r>
          <w:r>
            <w:rPr>
              <w:rFonts w:hint="eastAsia" w:ascii="黑体" w:hAnsi="黑体" w:eastAsia="黑体"/>
              <w:b w:val="0"/>
              <w:color w:val="auto"/>
              <w:highlight w:val="none"/>
            </w:rPr>
            <w:instrText xml:space="preserve">TOC \o "1-3" \h \u </w:instrText>
          </w:r>
          <w:r>
            <w:rPr>
              <w:rFonts w:hint="eastAsia" w:ascii="黑体" w:hAnsi="黑体" w:eastAsia="黑体"/>
              <w:b w:val="0"/>
              <w:color w:val="auto"/>
              <w:highlight w:val="none"/>
            </w:rPr>
            <w:fldChar w:fldCharType="separate"/>
          </w: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_Toc32628 </w:instrText>
          </w:r>
          <w:r>
            <w:rPr>
              <w:rFonts w:hint="eastAsia" w:ascii="黑体" w:hAnsi="黑体" w:eastAsia="黑体"/>
              <w:highlight w:val="none"/>
            </w:rPr>
            <w:fldChar w:fldCharType="separate"/>
          </w:r>
          <w:r>
            <w:rPr>
              <w:rFonts w:hint="eastAsia" w:ascii="黑体" w:hAnsi="黑体" w:eastAsia="黑体"/>
              <w:highlight w:val="none"/>
            </w:rPr>
            <w:t xml:space="preserve">第一部分 </w:t>
          </w:r>
          <w:r>
            <w:rPr>
              <w:rFonts w:hint="eastAsia" w:ascii="黑体" w:hAnsi="黑体" w:eastAsia="黑体"/>
              <w:bCs w:val="0"/>
              <w:highlight w:val="none"/>
            </w:rPr>
            <w:t>部门概况</w:t>
          </w:r>
          <w:r>
            <w:tab/>
          </w:r>
          <w:r>
            <w:fldChar w:fldCharType="begin"/>
          </w:r>
          <w:r>
            <w:instrText xml:space="preserve"> PAGEREF _Toc32628 \h </w:instrText>
          </w:r>
          <w:r>
            <w:fldChar w:fldCharType="separate"/>
          </w:r>
          <w:r>
            <w:t>3</w:t>
          </w:r>
          <w:r>
            <w:fldChar w:fldCharType="end"/>
          </w:r>
          <w:r>
            <w:rPr>
              <w:rFonts w:hint="eastAsia" w:ascii="黑体" w:hAnsi="黑体" w:eastAsia="黑体"/>
              <w:color w:val="auto"/>
              <w:highlight w:val="none"/>
            </w:rPr>
            <w:fldChar w:fldCharType="end"/>
          </w:r>
        </w:p>
        <w:p>
          <w:pPr>
            <w:pStyle w:val="36"/>
            <w:tabs>
              <w:tab w:val="right" w:leader="dot" w:pos="8845"/>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_Toc2708 </w:instrText>
          </w:r>
          <w:r>
            <w:rPr>
              <w:rFonts w:hint="eastAsia" w:ascii="黑体" w:hAnsi="黑体" w:eastAsia="黑体"/>
              <w:highlight w:val="none"/>
            </w:rPr>
            <w:fldChar w:fldCharType="separate"/>
          </w:r>
          <w:r>
            <w:rPr>
              <w:rFonts w:hint="eastAsia" w:ascii="黑体" w:hAnsi="黑体" w:eastAsia="黑体"/>
              <w:highlight w:val="none"/>
            </w:rPr>
            <w:t>一、</w:t>
          </w:r>
          <w:r>
            <w:rPr>
              <w:rFonts w:hint="eastAsia" w:ascii="黑体" w:hAnsi="黑体" w:eastAsia="黑体"/>
              <w:highlight w:val="none"/>
              <w:lang w:eastAsia="zh-CN"/>
            </w:rPr>
            <w:t>部门职责</w:t>
          </w:r>
          <w:r>
            <w:tab/>
          </w:r>
          <w:r>
            <w:fldChar w:fldCharType="begin"/>
          </w:r>
          <w:r>
            <w:instrText xml:space="preserve"> PAGEREF _Toc2708 \h </w:instrText>
          </w:r>
          <w:r>
            <w:fldChar w:fldCharType="separate"/>
          </w:r>
          <w:r>
            <w:t>3</w:t>
          </w:r>
          <w:r>
            <w:fldChar w:fldCharType="end"/>
          </w:r>
          <w:r>
            <w:rPr>
              <w:rFonts w:hint="eastAsia" w:ascii="黑体" w:hAnsi="黑体" w:eastAsia="黑体"/>
              <w:color w:val="auto"/>
              <w:highlight w:val="none"/>
            </w:rPr>
            <w:fldChar w:fldCharType="end"/>
          </w:r>
        </w:p>
        <w:p>
          <w:pPr>
            <w:pStyle w:val="36"/>
            <w:tabs>
              <w:tab w:val="right" w:leader="dot" w:pos="8845"/>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_Toc25276 </w:instrText>
          </w:r>
          <w:r>
            <w:rPr>
              <w:rFonts w:hint="eastAsia" w:ascii="黑体" w:hAnsi="黑体" w:eastAsia="黑体"/>
              <w:highlight w:val="none"/>
            </w:rPr>
            <w:fldChar w:fldCharType="separate"/>
          </w:r>
          <w:r>
            <w:rPr>
              <w:rFonts w:hint="eastAsia" w:ascii="黑体" w:eastAsia="黑体"/>
              <w:highlight w:val="none"/>
            </w:rPr>
            <w:t>二、</w:t>
          </w:r>
          <w:r>
            <w:rPr>
              <w:rFonts w:hint="eastAsia" w:ascii="黑体" w:hAnsi="黑体" w:eastAsia="黑体"/>
              <w:highlight w:val="none"/>
            </w:rPr>
            <w:t>机</w:t>
          </w:r>
          <w:r>
            <w:rPr>
              <w:rFonts w:hint="eastAsia" w:ascii="黑体" w:hAnsi="黑体" w:eastAsia="黑体"/>
              <w:bCs w:val="0"/>
              <w:highlight w:val="none"/>
            </w:rPr>
            <w:t>构设置</w:t>
          </w:r>
          <w:r>
            <w:tab/>
          </w:r>
          <w:r>
            <w:fldChar w:fldCharType="begin"/>
          </w:r>
          <w:r>
            <w:instrText xml:space="preserve"> PAGEREF _Toc25276 \h </w:instrText>
          </w:r>
          <w:r>
            <w:fldChar w:fldCharType="separate"/>
          </w:r>
          <w:r>
            <w:t>3</w:t>
          </w:r>
          <w:r>
            <w:fldChar w:fldCharType="end"/>
          </w:r>
          <w:r>
            <w:rPr>
              <w:rFonts w:hint="eastAsia" w:ascii="黑体" w:hAnsi="黑体" w:eastAsia="黑体"/>
              <w:color w:val="auto"/>
              <w:highlight w:val="none"/>
            </w:rPr>
            <w:fldChar w:fldCharType="end"/>
          </w:r>
        </w:p>
        <w:p>
          <w:pPr>
            <w:pStyle w:val="35"/>
            <w:tabs>
              <w:tab w:val="right" w:leader="dot" w:pos="8845"/>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_Toc24277 </w:instrText>
          </w:r>
          <w:r>
            <w:rPr>
              <w:rFonts w:hint="eastAsia" w:ascii="黑体" w:hAnsi="黑体" w:eastAsia="黑体"/>
              <w:highlight w:val="none"/>
            </w:rPr>
            <w:fldChar w:fldCharType="separate"/>
          </w:r>
          <w:r>
            <w:rPr>
              <w:rFonts w:hint="eastAsia" w:ascii="黑体" w:hAnsi="黑体" w:eastAsia="黑体"/>
              <w:bCs/>
              <w:highlight w:val="none"/>
            </w:rPr>
            <w:t xml:space="preserve">第二部分 </w:t>
          </w:r>
          <w:r>
            <w:rPr>
              <w:rFonts w:hint="eastAsia" w:ascii="黑体" w:hAnsi="黑体" w:eastAsia="黑体"/>
              <w:bCs/>
              <w:highlight w:val="none"/>
              <w:lang w:val="en-US" w:eastAsia="zh-CN"/>
            </w:rPr>
            <w:t>2022年度</w:t>
          </w:r>
          <w:r>
            <w:rPr>
              <w:rFonts w:hint="eastAsia" w:ascii="黑体" w:hAnsi="黑体" w:eastAsia="黑体"/>
              <w:bCs/>
              <w:highlight w:val="none"/>
            </w:rPr>
            <w:t>部门决算情况说明</w:t>
          </w:r>
          <w:r>
            <w:tab/>
          </w:r>
          <w:r>
            <w:fldChar w:fldCharType="begin"/>
          </w:r>
          <w:r>
            <w:instrText xml:space="preserve"> PAGEREF _Toc24277 \h </w:instrText>
          </w:r>
          <w:r>
            <w:fldChar w:fldCharType="separate"/>
          </w:r>
          <w:r>
            <w:t>5</w:t>
          </w:r>
          <w:r>
            <w:fldChar w:fldCharType="end"/>
          </w:r>
          <w:r>
            <w:rPr>
              <w:rFonts w:hint="eastAsia" w:ascii="黑体" w:hAnsi="黑体" w:eastAsia="黑体"/>
              <w:color w:val="auto"/>
              <w:highlight w:val="none"/>
            </w:rPr>
            <w:fldChar w:fldCharType="end"/>
          </w:r>
        </w:p>
        <w:p>
          <w:pPr>
            <w:pStyle w:val="36"/>
            <w:tabs>
              <w:tab w:val="right" w:leader="dot" w:pos="8845"/>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_Toc18761 </w:instrText>
          </w:r>
          <w:r>
            <w:rPr>
              <w:rFonts w:hint="eastAsia" w:ascii="黑体" w:hAnsi="黑体" w:eastAsia="黑体"/>
              <w:highlight w:val="none"/>
            </w:rP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_Toc18761 \h </w:instrText>
          </w:r>
          <w:r>
            <w:fldChar w:fldCharType="separate"/>
          </w:r>
          <w:r>
            <w:t>5</w:t>
          </w:r>
          <w:r>
            <w:fldChar w:fldCharType="end"/>
          </w:r>
          <w:r>
            <w:rPr>
              <w:rFonts w:hint="eastAsia" w:ascii="黑体" w:hAnsi="黑体" w:eastAsia="黑体"/>
              <w:color w:val="auto"/>
              <w:highlight w:val="none"/>
            </w:rPr>
            <w:fldChar w:fldCharType="end"/>
          </w:r>
        </w:p>
        <w:p>
          <w:pPr>
            <w:pStyle w:val="36"/>
            <w:tabs>
              <w:tab w:val="right" w:leader="dot" w:pos="8845"/>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_Toc26720 </w:instrText>
          </w:r>
          <w:r>
            <w:rPr>
              <w:rFonts w:hint="eastAsia" w:ascii="黑体" w:hAnsi="黑体" w:eastAsia="黑体"/>
              <w:highlight w:val="none"/>
            </w:rPr>
            <w:fldChar w:fldCharType="separate"/>
          </w:r>
          <w:r>
            <w:rPr>
              <w:rFonts w:hint="default" w:ascii="黑体" w:hAnsi="黑体" w:eastAsia="黑体"/>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_Toc26720 \h </w:instrText>
          </w:r>
          <w:r>
            <w:fldChar w:fldCharType="separate"/>
          </w:r>
          <w:r>
            <w:t>5</w:t>
          </w:r>
          <w:r>
            <w:fldChar w:fldCharType="end"/>
          </w:r>
          <w:r>
            <w:rPr>
              <w:rFonts w:hint="eastAsia" w:ascii="黑体" w:hAnsi="黑体" w:eastAsia="黑体"/>
              <w:color w:val="auto"/>
              <w:highlight w:val="none"/>
            </w:rPr>
            <w:fldChar w:fldCharType="end"/>
          </w:r>
        </w:p>
        <w:p>
          <w:pPr>
            <w:pStyle w:val="36"/>
            <w:tabs>
              <w:tab w:val="right" w:leader="dot" w:pos="8845"/>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_Toc27689 </w:instrText>
          </w:r>
          <w:r>
            <w:rPr>
              <w:rFonts w:hint="eastAsia" w:ascii="黑体" w:hAnsi="黑体" w:eastAsia="黑体"/>
              <w:highlight w:val="none"/>
            </w:rPr>
            <w:fldChar w:fldCharType="separate"/>
          </w:r>
          <w:r>
            <w:rPr>
              <w:rFonts w:hint="default" w:ascii="黑体" w:hAnsi="黑体" w:eastAsia="黑体"/>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_Toc27689 \h </w:instrText>
          </w:r>
          <w:r>
            <w:fldChar w:fldCharType="separate"/>
          </w:r>
          <w:r>
            <w:t>6</w:t>
          </w:r>
          <w:r>
            <w:fldChar w:fldCharType="end"/>
          </w:r>
          <w:r>
            <w:rPr>
              <w:rFonts w:hint="eastAsia" w:ascii="黑体" w:hAnsi="黑体" w:eastAsia="黑体"/>
              <w:color w:val="auto"/>
              <w:highlight w:val="none"/>
            </w:rPr>
            <w:fldChar w:fldCharType="end"/>
          </w:r>
        </w:p>
        <w:p>
          <w:pPr>
            <w:pStyle w:val="36"/>
            <w:tabs>
              <w:tab w:val="right" w:leader="dot" w:pos="8845"/>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_Toc12246 </w:instrText>
          </w:r>
          <w:r>
            <w:rPr>
              <w:rFonts w:hint="eastAsia" w:ascii="黑体" w:hAnsi="黑体" w:eastAsia="黑体"/>
              <w:highlight w:val="none"/>
            </w:rP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_Toc12246 \h </w:instrText>
          </w:r>
          <w:r>
            <w:fldChar w:fldCharType="separate"/>
          </w:r>
          <w:r>
            <w:t>6</w:t>
          </w:r>
          <w:r>
            <w:fldChar w:fldCharType="end"/>
          </w:r>
          <w:r>
            <w:rPr>
              <w:rFonts w:hint="eastAsia" w:ascii="黑体" w:hAnsi="黑体" w:eastAsia="黑体"/>
              <w:color w:val="auto"/>
              <w:highlight w:val="none"/>
            </w:rPr>
            <w:fldChar w:fldCharType="end"/>
          </w:r>
        </w:p>
        <w:p>
          <w:pPr>
            <w:pStyle w:val="36"/>
            <w:tabs>
              <w:tab w:val="right" w:leader="dot" w:pos="8845"/>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_Toc19562 </w:instrText>
          </w:r>
          <w:r>
            <w:rPr>
              <w:rFonts w:hint="eastAsia" w:ascii="黑体" w:hAnsi="黑体" w:eastAsia="黑体"/>
              <w:highlight w:val="none"/>
            </w:rP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_Toc19562 \h </w:instrText>
          </w:r>
          <w:r>
            <w:fldChar w:fldCharType="separate"/>
          </w:r>
          <w:r>
            <w:t>7</w:t>
          </w:r>
          <w:r>
            <w:fldChar w:fldCharType="end"/>
          </w:r>
          <w:r>
            <w:rPr>
              <w:rFonts w:hint="eastAsia" w:ascii="黑体" w:hAnsi="黑体" w:eastAsia="黑体"/>
              <w:color w:val="auto"/>
              <w:highlight w:val="none"/>
            </w:rPr>
            <w:fldChar w:fldCharType="end"/>
          </w:r>
        </w:p>
        <w:p>
          <w:pPr>
            <w:pStyle w:val="37"/>
            <w:tabs>
              <w:tab w:val="right" w:leader="dot" w:pos="8845"/>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_Toc26611 </w:instrText>
          </w:r>
          <w:r>
            <w:rPr>
              <w:rFonts w:hint="eastAsia" w:ascii="黑体" w:hAnsi="黑体" w:eastAsia="黑体"/>
              <w:highlight w:val="none"/>
            </w:rPr>
            <w:fldChar w:fldCharType="separate"/>
          </w:r>
          <w:r>
            <w:rPr>
              <w:rFonts w:hint="eastAsia" w:ascii="楷体_GB2312" w:hAnsi="楷体_GB2312" w:eastAsia="楷体_GB2312" w:cs="楷体_GB2312"/>
              <w:bCs/>
              <w:szCs w:val="32"/>
              <w:highlight w:val="none"/>
            </w:rPr>
            <w:t>（一）一般公共预算财政拨款支出决算总体情况</w:t>
          </w:r>
          <w:r>
            <w:tab/>
          </w:r>
          <w:r>
            <w:fldChar w:fldCharType="begin"/>
          </w:r>
          <w:r>
            <w:instrText xml:space="preserve"> PAGEREF _Toc26611 \h </w:instrText>
          </w:r>
          <w:r>
            <w:fldChar w:fldCharType="separate"/>
          </w:r>
          <w:r>
            <w:t>7</w:t>
          </w:r>
          <w:r>
            <w:fldChar w:fldCharType="end"/>
          </w:r>
          <w:r>
            <w:rPr>
              <w:rFonts w:hint="eastAsia" w:ascii="黑体" w:hAnsi="黑体" w:eastAsia="黑体"/>
              <w:color w:val="auto"/>
              <w:highlight w:val="none"/>
            </w:rPr>
            <w:fldChar w:fldCharType="end"/>
          </w:r>
        </w:p>
        <w:p>
          <w:pPr>
            <w:pStyle w:val="37"/>
            <w:tabs>
              <w:tab w:val="right" w:leader="dot" w:pos="8845"/>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_Toc25592 </w:instrText>
          </w:r>
          <w:r>
            <w:rPr>
              <w:rFonts w:hint="eastAsia" w:ascii="黑体" w:hAnsi="黑体" w:eastAsia="黑体"/>
              <w:highlight w:val="none"/>
            </w:rPr>
            <w:fldChar w:fldCharType="separate"/>
          </w:r>
          <w:r>
            <w:rPr>
              <w:rFonts w:hint="eastAsia" w:ascii="楷体_GB2312" w:hAnsi="楷体_GB2312" w:eastAsia="楷体_GB2312" w:cs="楷体_GB2312"/>
              <w:bCs/>
              <w:szCs w:val="32"/>
              <w:highlight w:val="none"/>
            </w:rPr>
            <w:t>（二）一般公共预算财政拨款支出决算结构情况</w:t>
          </w:r>
          <w:r>
            <w:tab/>
          </w:r>
          <w:r>
            <w:fldChar w:fldCharType="begin"/>
          </w:r>
          <w:r>
            <w:instrText xml:space="preserve"> PAGEREF _Toc25592 \h </w:instrText>
          </w:r>
          <w:r>
            <w:fldChar w:fldCharType="separate"/>
          </w:r>
          <w:r>
            <w:t>7</w:t>
          </w:r>
          <w:r>
            <w:fldChar w:fldCharType="end"/>
          </w:r>
          <w:r>
            <w:rPr>
              <w:rFonts w:hint="eastAsia" w:ascii="黑体" w:hAnsi="黑体" w:eastAsia="黑体"/>
              <w:color w:val="auto"/>
              <w:highlight w:val="none"/>
            </w:rPr>
            <w:fldChar w:fldCharType="end"/>
          </w:r>
        </w:p>
        <w:p>
          <w:pPr>
            <w:pStyle w:val="37"/>
            <w:tabs>
              <w:tab w:val="right" w:leader="dot" w:pos="8845"/>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_Toc23741 </w:instrText>
          </w:r>
          <w:r>
            <w:rPr>
              <w:rFonts w:hint="eastAsia" w:ascii="黑体" w:hAnsi="黑体" w:eastAsia="黑体"/>
              <w:highlight w:val="none"/>
            </w:rPr>
            <w:fldChar w:fldCharType="separate"/>
          </w:r>
          <w:r>
            <w:rPr>
              <w:rFonts w:hint="eastAsia" w:ascii="楷体_GB2312" w:hAnsi="楷体_GB2312" w:eastAsia="楷体_GB2312" w:cs="楷体_GB2312"/>
              <w:bCs/>
              <w:szCs w:val="32"/>
              <w:highlight w:val="none"/>
            </w:rPr>
            <w:t>（三）一般公共预算财政拨款支出决算具体情况</w:t>
          </w:r>
          <w:r>
            <w:tab/>
          </w:r>
          <w:r>
            <w:fldChar w:fldCharType="begin"/>
          </w:r>
          <w:r>
            <w:instrText xml:space="preserve"> PAGEREF _Toc23741 \h </w:instrText>
          </w:r>
          <w:r>
            <w:fldChar w:fldCharType="separate"/>
          </w:r>
          <w:r>
            <w:t>8</w:t>
          </w:r>
          <w:r>
            <w:fldChar w:fldCharType="end"/>
          </w:r>
          <w:r>
            <w:rPr>
              <w:rFonts w:hint="eastAsia" w:ascii="黑体" w:hAnsi="黑体" w:eastAsia="黑体"/>
              <w:color w:val="auto"/>
              <w:highlight w:val="none"/>
            </w:rPr>
            <w:fldChar w:fldCharType="end"/>
          </w:r>
        </w:p>
        <w:p>
          <w:pPr>
            <w:pStyle w:val="36"/>
            <w:tabs>
              <w:tab w:val="right" w:leader="dot" w:pos="8845"/>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_Toc26430 </w:instrText>
          </w:r>
          <w:r>
            <w:rPr>
              <w:rFonts w:hint="eastAsia" w:ascii="黑体" w:hAnsi="黑体" w:eastAsia="黑体"/>
              <w:highlight w:val="none"/>
            </w:rP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_Toc26430 \h </w:instrText>
          </w:r>
          <w:r>
            <w:fldChar w:fldCharType="separate"/>
          </w:r>
          <w:r>
            <w:t>9</w:t>
          </w:r>
          <w:r>
            <w:fldChar w:fldCharType="end"/>
          </w:r>
          <w:r>
            <w:rPr>
              <w:rFonts w:hint="eastAsia" w:ascii="黑体" w:hAnsi="黑体" w:eastAsia="黑体"/>
              <w:color w:val="auto"/>
              <w:highlight w:val="none"/>
            </w:rPr>
            <w:fldChar w:fldCharType="end"/>
          </w:r>
        </w:p>
        <w:p>
          <w:pPr>
            <w:pStyle w:val="36"/>
            <w:tabs>
              <w:tab w:val="right" w:leader="dot" w:pos="8845"/>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_Toc15593 </w:instrText>
          </w:r>
          <w:r>
            <w:rPr>
              <w:rFonts w:hint="eastAsia" w:ascii="黑体" w:hAnsi="黑体" w:eastAsia="黑体"/>
              <w:highlight w:val="none"/>
            </w:rP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tab/>
          </w:r>
          <w:r>
            <w:fldChar w:fldCharType="begin"/>
          </w:r>
          <w:r>
            <w:instrText xml:space="preserve"> PAGEREF _Toc15593 \h </w:instrText>
          </w:r>
          <w:r>
            <w:fldChar w:fldCharType="separate"/>
          </w:r>
          <w:r>
            <w:t>9</w:t>
          </w:r>
          <w:r>
            <w:fldChar w:fldCharType="end"/>
          </w:r>
          <w:r>
            <w:rPr>
              <w:rFonts w:hint="eastAsia" w:ascii="黑体" w:hAnsi="黑体" w:eastAsia="黑体"/>
              <w:color w:val="auto"/>
              <w:highlight w:val="none"/>
            </w:rPr>
            <w:fldChar w:fldCharType="end"/>
          </w:r>
        </w:p>
        <w:p>
          <w:pPr>
            <w:pStyle w:val="37"/>
            <w:tabs>
              <w:tab w:val="right" w:leader="dot" w:pos="8845"/>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_Toc13523 </w:instrText>
          </w:r>
          <w:r>
            <w:rPr>
              <w:rFonts w:hint="eastAsia" w:ascii="黑体" w:hAnsi="黑体" w:eastAsia="黑体"/>
              <w:highlight w:val="none"/>
            </w:rPr>
            <w:fldChar w:fldCharType="separate"/>
          </w:r>
          <w:r>
            <w:rPr>
              <w:rFonts w:hint="eastAsia" w:ascii="楷体_GB2312" w:hAnsi="楷体_GB2312" w:eastAsia="楷体_GB2312" w:cs="楷体_GB2312"/>
              <w:bCs/>
              <w:szCs w:val="32"/>
              <w:highlight w:val="none"/>
            </w:rPr>
            <w:t>（一）“三公”经费财政拨款支出决算总体情况说明</w:t>
          </w:r>
          <w:r>
            <w:tab/>
          </w:r>
          <w:r>
            <w:fldChar w:fldCharType="begin"/>
          </w:r>
          <w:r>
            <w:instrText xml:space="preserve"> PAGEREF _Toc13523 \h </w:instrText>
          </w:r>
          <w:r>
            <w:fldChar w:fldCharType="separate"/>
          </w:r>
          <w:r>
            <w:t>9</w:t>
          </w:r>
          <w:r>
            <w:fldChar w:fldCharType="end"/>
          </w:r>
          <w:r>
            <w:rPr>
              <w:rFonts w:hint="eastAsia" w:ascii="黑体" w:hAnsi="黑体" w:eastAsia="黑体"/>
              <w:color w:val="auto"/>
              <w:highlight w:val="none"/>
            </w:rPr>
            <w:fldChar w:fldCharType="end"/>
          </w:r>
        </w:p>
        <w:p>
          <w:pPr>
            <w:pStyle w:val="37"/>
            <w:tabs>
              <w:tab w:val="right" w:leader="dot" w:pos="8845"/>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_Toc31427 </w:instrText>
          </w:r>
          <w:r>
            <w:rPr>
              <w:rFonts w:hint="eastAsia" w:ascii="黑体" w:hAnsi="黑体" w:eastAsia="黑体"/>
              <w:highlight w:val="none"/>
            </w:rPr>
            <w:fldChar w:fldCharType="separate"/>
          </w:r>
          <w:r>
            <w:rPr>
              <w:rFonts w:hint="eastAsia" w:ascii="楷体_GB2312" w:hAnsi="楷体_GB2312" w:eastAsia="楷体_GB2312" w:cs="楷体_GB2312"/>
              <w:bCs/>
              <w:szCs w:val="32"/>
              <w:highlight w:val="none"/>
            </w:rPr>
            <w:t>（二）“三公”经费财政拨款支出决算具体情况说明</w:t>
          </w:r>
          <w:r>
            <w:tab/>
          </w:r>
          <w:r>
            <w:fldChar w:fldCharType="begin"/>
          </w:r>
          <w:r>
            <w:instrText xml:space="preserve"> PAGEREF _Toc31427 \h </w:instrText>
          </w:r>
          <w:r>
            <w:fldChar w:fldCharType="separate"/>
          </w:r>
          <w:r>
            <w:t>10</w:t>
          </w:r>
          <w:r>
            <w:fldChar w:fldCharType="end"/>
          </w:r>
          <w:r>
            <w:rPr>
              <w:rFonts w:hint="eastAsia" w:ascii="黑体" w:hAnsi="黑体" w:eastAsia="黑体"/>
              <w:color w:val="auto"/>
              <w:highlight w:val="none"/>
            </w:rPr>
            <w:fldChar w:fldCharType="end"/>
          </w:r>
        </w:p>
        <w:p>
          <w:pPr>
            <w:pStyle w:val="36"/>
            <w:tabs>
              <w:tab w:val="right" w:leader="dot" w:pos="8845"/>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_Toc5784 </w:instrText>
          </w:r>
          <w:r>
            <w:rPr>
              <w:rFonts w:hint="eastAsia" w:ascii="黑体" w:hAnsi="黑体" w:eastAsia="黑体"/>
              <w:highlight w:val="none"/>
            </w:rP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_Toc5784 \h </w:instrText>
          </w:r>
          <w:r>
            <w:fldChar w:fldCharType="separate"/>
          </w:r>
          <w:r>
            <w:t>11</w:t>
          </w:r>
          <w:r>
            <w:fldChar w:fldCharType="end"/>
          </w:r>
          <w:r>
            <w:rPr>
              <w:rFonts w:hint="eastAsia" w:ascii="黑体" w:hAnsi="黑体" w:eastAsia="黑体"/>
              <w:color w:val="auto"/>
              <w:highlight w:val="none"/>
            </w:rPr>
            <w:fldChar w:fldCharType="end"/>
          </w:r>
        </w:p>
        <w:p>
          <w:pPr>
            <w:pStyle w:val="36"/>
            <w:tabs>
              <w:tab w:val="right" w:leader="dot" w:pos="8845"/>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_Toc22038 </w:instrText>
          </w:r>
          <w:r>
            <w:rPr>
              <w:rFonts w:hint="eastAsia" w:ascii="黑体" w:hAnsi="黑体" w:eastAsia="黑体"/>
              <w:highlight w:val="none"/>
            </w:rP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_Toc22038 \h </w:instrText>
          </w:r>
          <w:r>
            <w:fldChar w:fldCharType="separate"/>
          </w:r>
          <w:r>
            <w:t>11</w:t>
          </w:r>
          <w:r>
            <w:fldChar w:fldCharType="end"/>
          </w:r>
          <w:r>
            <w:rPr>
              <w:rFonts w:hint="eastAsia" w:ascii="黑体" w:hAnsi="黑体" w:eastAsia="黑体"/>
              <w:color w:val="auto"/>
              <w:highlight w:val="none"/>
            </w:rPr>
            <w:fldChar w:fldCharType="end"/>
          </w:r>
        </w:p>
        <w:p>
          <w:pPr>
            <w:pStyle w:val="36"/>
            <w:tabs>
              <w:tab w:val="right" w:leader="dot" w:pos="8845"/>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_Toc2773 </w:instrText>
          </w:r>
          <w:r>
            <w:rPr>
              <w:rFonts w:hint="eastAsia" w:ascii="黑体" w:hAnsi="黑体" w:eastAsia="黑体"/>
              <w:highlight w:val="none"/>
            </w:rPr>
            <w:fldChar w:fldCharType="separate"/>
          </w:r>
          <w:r>
            <w:rPr>
              <w:rFonts w:hint="eastAsia" w:ascii="黑体" w:hAnsi="黑体" w:eastAsia="黑体"/>
            </w:rPr>
            <w:t xml:space="preserve">十、 </w:t>
          </w:r>
          <w:r>
            <w:rPr>
              <w:rFonts w:hint="eastAsia" w:ascii="黑体" w:hAnsi="黑体" w:eastAsia="黑体"/>
              <w:highlight w:val="none"/>
            </w:rPr>
            <w:t>其他重要事项的情况说明</w:t>
          </w:r>
          <w:r>
            <w:tab/>
          </w:r>
          <w:r>
            <w:fldChar w:fldCharType="begin"/>
          </w:r>
          <w:r>
            <w:instrText xml:space="preserve"> PAGEREF _Toc2773 \h </w:instrText>
          </w:r>
          <w:r>
            <w:fldChar w:fldCharType="separate"/>
          </w:r>
          <w:r>
            <w:t>11</w:t>
          </w:r>
          <w:r>
            <w:fldChar w:fldCharType="end"/>
          </w:r>
          <w:r>
            <w:rPr>
              <w:rFonts w:hint="eastAsia" w:ascii="黑体" w:hAnsi="黑体" w:eastAsia="黑体"/>
              <w:color w:val="auto"/>
              <w:highlight w:val="none"/>
            </w:rPr>
            <w:fldChar w:fldCharType="end"/>
          </w:r>
        </w:p>
        <w:p>
          <w:pPr>
            <w:pStyle w:val="37"/>
            <w:tabs>
              <w:tab w:val="right" w:leader="dot" w:pos="8845"/>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_Toc20065 </w:instrText>
          </w:r>
          <w:r>
            <w:rPr>
              <w:rFonts w:hint="eastAsia" w:ascii="黑体" w:hAnsi="黑体" w:eastAsia="黑体"/>
              <w:highlight w:val="none"/>
            </w:rPr>
            <w:fldChar w:fldCharType="separate"/>
          </w:r>
          <w:r>
            <w:rPr>
              <w:rFonts w:hint="eastAsia" w:ascii="楷体_GB2312" w:hAnsi="楷体_GB2312" w:eastAsia="楷体_GB2312" w:cs="楷体_GB2312"/>
              <w:bCs/>
              <w:szCs w:val="32"/>
              <w:highlight w:val="none"/>
            </w:rPr>
            <w:t>（一）机关运行经费支出情况</w:t>
          </w:r>
          <w:r>
            <w:tab/>
          </w:r>
          <w:r>
            <w:fldChar w:fldCharType="begin"/>
          </w:r>
          <w:r>
            <w:instrText xml:space="preserve"> PAGEREF _Toc20065 \h </w:instrText>
          </w:r>
          <w:r>
            <w:fldChar w:fldCharType="separate"/>
          </w:r>
          <w:r>
            <w:t>11</w:t>
          </w:r>
          <w:r>
            <w:fldChar w:fldCharType="end"/>
          </w:r>
          <w:r>
            <w:rPr>
              <w:rFonts w:hint="eastAsia" w:ascii="黑体" w:hAnsi="黑体" w:eastAsia="黑体"/>
              <w:color w:val="auto"/>
              <w:highlight w:val="none"/>
            </w:rPr>
            <w:fldChar w:fldCharType="end"/>
          </w:r>
        </w:p>
        <w:p>
          <w:pPr>
            <w:pStyle w:val="37"/>
            <w:tabs>
              <w:tab w:val="right" w:leader="dot" w:pos="8845"/>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_Toc27670 </w:instrText>
          </w:r>
          <w:r>
            <w:rPr>
              <w:rFonts w:hint="eastAsia" w:ascii="黑体" w:hAnsi="黑体" w:eastAsia="黑体"/>
              <w:highlight w:val="none"/>
            </w:rPr>
            <w:fldChar w:fldCharType="separate"/>
          </w:r>
          <w:r>
            <w:rPr>
              <w:rFonts w:hint="eastAsia" w:ascii="楷体_GB2312" w:hAnsi="楷体_GB2312" w:eastAsia="楷体_GB2312" w:cs="楷体_GB2312"/>
              <w:bCs/>
              <w:szCs w:val="32"/>
              <w:highlight w:val="none"/>
            </w:rPr>
            <w:t>（二）政府采购支出情况</w:t>
          </w:r>
          <w:r>
            <w:tab/>
          </w:r>
          <w:r>
            <w:fldChar w:fldCharType="begin"/>
          </w:r>
          <w:r>
            <w:instrText xml:space="preserve"> PAGEREF _Toc27670 \h </w:instrText>
          </w:r>
          <w:r>
            <w:fldChar w:fldCharType="separate"/>
          </w:r>
          <w:r>
            <w:t>11</w:t>
          </w:r>
          <w:r>
            <w:fldChar w:fldCharType="end"/>
          </w:r>
          <w:r>
            <w:rPr>
              <w:rFonts w:hint="eastAsia" w:ascii="黑体" w:hAnsi="黑体" w:eastAsia="黑体"/>
              <w:color w:val="auto"/>
              <w:highlight w:val="none"/>
            </w:rPr>
            <w:fldChar w:fldCharType="end"/>
          </w:r>
        </w:p>
        <w:p>
          <w:pPr>
            <w:pStyle w:val="37"/>
            <w:tabs>
              <w:tab w:val="right" w:leader="dot" w:pos="8845"/>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_Toc28891 </w:instrText>
          </w:r>
          <w:r>
            <w:rPr>
              <w:rFonts w:hint="eastAsia" w:ascii="黑体" w:hAnsi="黑体" w:eastAsia="黑体"/>
              <w:highlight w:val="none"/>
            </w:rPr>
            <w:fldChar w:fldCharType="separate"/>
          </w:r>
          <w:r>
            <w:rPr>
              <w:rFonts w:hint="eastAsia" w:ascii="楷体_GB2312" w:hAnsi="楷体_GB2312" w:eastAsia="楷体_GB2312" w:cs="楷体_GB2312"/>
              <w:bCs/>
              <w:szCs w:val="32"/>
              <w:highlight w:val="none"/>
            </w:rPr>
            <w:t>（三）国有资产占有使用情况</w:t>
          </w:r>
          <w:r>
            <w:tab/>
          </w:r>
          <w:r>
            <w:fldChar w:fldCharType="begin"/>
          </w:r>
          <w:r>
            <w:instrText xml:space="preserve"> PAGEREF _Toc28891 \h </w:instrText>
          </w:r>
          <w:r>
            <w:fldChar w:fldCharType="separate"/>
          </w:r>
          <w:r>
            <w:t>12</w:t>
          </w:r>
          <w:r>
            <w:fldChar w:fldCharType="end"/>
          </w:r>
          <w:r>
            <w:rPr>
              <w:rFonts w:hint="eastAsia" w:ascii="黑体" w:hAnsi="黑体" w:eastAsia="黑体"/>
              <w:color w:val="auto"/>
              <w:highlight w:val="none"/>
            </w:rPr>
            <w:fldChar w:fldCharType="end"/>
          </w:r>
        </w:p>
        <w:p>
          <w:pPr>
            <w:pStyle w:val="37"/>
            <w:tabs>
              <w:tab w:val="right" w:leader="dot" w:pos="8845"/>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_Toc17420 </w:instrText>
          </w:r>
          <w:r>
            <w:rPr>
              <w:rFonts w:hint="eastAsia" w:ascii="黑体" w:hAnsi="黑体" w:eastAsia="黑体"/>
              <w:highlight w:val="none"/>
            </w:rPr>
            <w:fldChar w:fldCharType="separate"/>
          </w:r>
          <w:r>
            <w:rPr>
              <w:rFonts w:hint="eastAsia" w:ascii="楷体_GB2312" w:hAnsi="楷体_GB2312" w:eastAsia="楷体_GB2312" w:cs="楷体_GB2312"/>
              <w:bCs/>
              <w:szCs w:val="32"/>
              <w:highlight w:val="none"/>
            </w:rPr>
            <w:t>（四）预算绩效管理情况</w:t>
          </w:r>
          <w:r>
            <w:tab/>
          </w:r>
          <w:r>
            <w:fldChar w:fldCharType="begin"/>
          </w:r>
          <w:r>
            <w:instrText xml:space="preserve"> PAGEREF _Toc17420 \h </w:instrText>
          </w:r>
          <w:r>
            <w:fldChar w:fldCharType="separate"/>
          </w:r>
          <w:r>
            <w:t>12</w:t>
          </w:r>
          <w:r>
            <w:fldChar w:fldCharType="end"/>
          </w:r>
          <w:r>
            <w:rPr>
              <w:rFonts w:hint="eastAsia" w:ascii="黑体" w:hAnsi="黑体" w:eastAsia="黑体"/>
              <w:color w:val="auto"/>
              <w:highlight w:val="none"/>
            </w:rPr>
            <w:fldChar w:fldCharType="end"/>
          </w:r>
        </w:p>
        <w:p>
          <w:pPr>
            <w:pStyle w:val="35"/>
            <w:tabs>
              <w:tab w:val="right" w:leader="dot" w:pos="8845"/>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_Toc29799 </w:instrText>
          </w:r>
          <w:r>
            <w:rPr>
              <w:rFonts w:hint="eastAsia" w:ascii="黑体" w:hAnsi="黑体" w:eastAsia="黑体"/>
              <w:highlight w:val="none"/>
            </w:rPr>
            <w:fldChar w:fldCharType="separate"/>
          </w:r>
          <w:r>
            <w:rPr>
              <w:rFonts w:hint="eastAsia" w:ascii="黑体" w:hAnsi="黑体" w:eastAsia="黑体"/>
            </w:rPr>
            <w:t xml:space="preserve">第三部分 </w:t>
          </w:r>
          <w:r>
            <w:rPr>
              <w:rFonts w:hint="eastAsia" w:ascii="黑体" w:hAnsi="黑体" w:eastAsia="黑体"/>
              <w:szCs w:val="44"/>
              <w:highlight w:val="none"/>
            </w:rPr>
            <w:t>名</w:t>
          </w:r>
          <w:r>
            <w:rPr>
              <w:rFonts w:hint="eastAsia" w:ascii="黑体" w:hAnsi="黑体" w:eastAsia="黑体"/>
              <w:highlight w:val="none"/>
            </w:rPr>
            <w:t>词解释</w:t>
          </w:r>
          <w:r>
            <w:tab/>
          </w:r>
          <w:r>
            <w:fldChar w:fldCharType="begin"/>
          </w:r>
          <w:r>
            <w:instrText xml:space="preserve"> PAGEREF _Toc29799 \h </w:instrText>
          </w:r>
          <w:r>
            <w:fldChar w:fldCharType="separate"/>
          </w:r>
          <w:r>
            <w:t>14</w:t>
          </w:r>
          <w:r>
            <w:fldChar w:fldCharType="end"/>
          </w:r>
          <w:r>
            <w:rPr>
              <w:rFonts w:hint="eastAsia" w:ascii="黑体" w:hAnsi="黑体" w:eastAsia="黑体"/>
              <w:color w:val="auto"/>
              <w:highlight w:val="none"/>
            </w:rPr>
            <w:fldChar w:fldCharType="end"/>
          </w:r>
        </w:p>
        <w:p>
          <w:pPr>
            <w:pStyle w:val="35"/>
            <w:keepNext w:val="0"/>
            <w:keepLines w:val="0"/>
            <w:pageBreakBefore w:val="0"/>
            <w:widowControl/>
            <w:tabs>
              <w:tab w:val="right" w:leader="dot" w:pos="8845"/>
            </w:tabs>
            <w:kinsoku/>
            <w:wordWrap/>
            <w:overflowPunct/>
            <w:topLinePunct w:val="0"/>
            <w:autoSpaceDE/>
            <w:autoSpaceDN/>
            <w:bidi w:val="0"/>
            <w:adjustRightInd/>
            <w:snapToGrid/>
            <w:spacing w:line="300" w:lineRule="exact"/>
            <w:textAlignment w:val="auto"/>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_Toc14911 </w:instrText>
          </w:r>
          <w:r>
            <w:rPr>
              <w:rFonts w:hint="eastAsia" w:ascii="黑体" w:hAnsi="黑体" w:eastAsia="黑体"/>
              <w:highlight w:val="none"/>
            </w:rPr>
            <w:fldChar w:fldCharType="separate"/>
          </w:r>
          <w:r>
            <w:rPr>
              <w:rFonts w:hint="eastAsia" w:ascii="黑体" w:hAnsi="黑体" w:eastAsia="黑体"/>
              <w:szCs w:val="44"/>
              <w:highlight w:val="none"/>
            </w:rPr>
            <w:t>第</w:t>
          </w:r>
          <w:r>
            <w:rPr>
              <w:rFonts w:hint="eastAsia" w:ascii="黑体" w:hAnsi="黑体" w:eastAsia="黑体"/>
              <w:highlight w:val="none"/>
            </w:rPr>
            <w:t>四部分 附件</w:t>
          </w:r>
          <w:r>
            <w:tab/>
          </w:r>
          <w:r>
            <w:fldChar w:fldCharType="begin"/>
          </w:r>
          <w:r>
            <w:instrText xml:space="preserve"> PAGEREF _Toc14911 \h </w:instrText>
          </w:r>
          <w:r>
            <w:fldChar w:fldCharType="separate"/>
          </w:r>
          <w:r>
            <w:t>16</w:t>
          </w:r>
          <w:r>
            <w:fldChar w:fldCharType="end"/>
          </w:r>
          <w:r>
            <w:rPr>
              <w:rFonts w:hint="eastAsia" w:ascii="黑体" w:hAnsi="黑体" w:eastAsia="黑体"/>
              <w:color w:val="auto"/>
              <w:highlight w:val="none"/>
            </w:rPr>
            <w:fldChar w:fldCharType="end"/>
          </w:r>
        </w:p>
        <w:p>
          <w:pPr>
            <w:pStyle w:val="35"/>
            <w:tabs>
              <w:tab w:val="right" w:leader="dot" w:pos="8845"/>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_Toc9568 </w:instrText>
          </w:r>
          <w:r>
            <w:rPr>
              <w:rFonts w:hint="eastAsia" w:ascii="黑体" w:hAnsi="黑体" w:eastAsia="黑体"/>
              <w:highlight w:val="none"/>
            </w:rPr>
            <w:fldChar w:fldCharType="separate"/>
          </w:r>
          <w:r>
            <w:rPr>
              <w:rFonts w:hint="eastAsia" w:ascii="方正小标宋简体" w:hAnsi="方正小标宋简体" w:eastAsia="方正小标宋简体" w:cs="方正小标宋简体"/>
              <w:bCs w:val="0"/>
              <w:kern w:val="0"/>
              <w:szCs w:val="44"/>
              <w:lang w:val="en-US" w:eastAsia="zh-CN" w:bidi="ar-SA"/>
            </w:rPr>
            <w:t>2022年度部门整体支出绩效评价报告</w:t>
          </w:r>
          <w:r>
            <w:tab/>
          </w:r>
          <w:r>
            <w:fldChar w:fldCharType="begin"/>
          </w:r>
          <w:r>
            <w:instrText xml:space="preserve"> PAGEREF _Toc9568 \h </w:instrText>
          </w:r>
          <w:r>
            <w:fldChar w:fldCharType="separate"/>
          </w:r>
          <w:r>
            <w:t>16</w:t>
          </w:r>
          <w:r>
            <w:fldChar w:fldCharType="end"/>
          </w:r>
          <w:r>
            <w:rPr>
              <w:rFonts w:hint="eastAsia" w:ascii="黑体" w:hAnsi="黑体" w:eastAsia="黑体"/>
              <w:color w:val="auto"/>
              <w:highlight w:val="none"/>
            </w:rPr>
            <w:fldChar w:fldCharType="end"/>
          </w:r>
        </w:p>
        <w:p>
          <w:pPr>
            <w:pStyle w:val="35"/>
            <w:tabs>
              <w:tab w:val="right" w:leader="dot" w:pos="8845"/>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_Toc22430 </w:instrText>
          </w:r>
          <w:r>
            <w:rPr>
              <w:rFonts w:hint="eastAsia" w:ascii="黑体" w:hAnsi="黑体" w:eastAsia="黑体"/>
              <w:highlight w:val="none"/>
            </w:rPr>
            <w:fldChar w:fldCharType="separate"/>
          </w:r>
          <w:r>
            <w:rPr>
              <w:rFonts w:hint="eastAsia" w:ascii="黑体" w:hAnsi="黑体" w:eastAsia="黑体"/>
              <w:szCs w:val="44"/>
              <w:highlight w:val="none"/>
            </w:rPr>
            <w:t>第</w:t>
          </w:r>
          <w:r>
            <w:rPr>
              <w:rFonts w:hint="eastAsia" w:ascii="黑体" w:hAnsi="黑体" w:eastAsia="黑体"/>
              <w:highlight w:val="none"/>
            </w:rPr>
            <w:t>五部分 附表</w:t>
          </w:r>
          <w:r>
            <w:tab/>
          </w:r>
          <w:r>
            <w:fldChar w:fldCharType="begin"/>
          </w:r>
          <w:r>
            <w:instrText xml:space="preserve"> PAGEREF _Toc22430 \h </w:instrText>
          </w:r>
          <w:r>
            <w:fldChar w:fldCharType="separate"/>
          </w:r>
          <w:r>
            <w:t>70</w:t>
          </w:r>
          <w:r>
            <w:fldChar w:fldCharType="end"/>
          </w:r>
          <w:r>
            <w:rPr>
              <w:rFonts w:hint="eastAsia" w:ascii="黑体" w:hAnsi="黑体" w:eastAsia="黑体"/>
              <w:color w:val="auto"/>
              <w:highlight w:val="none"/>
            </w:rPr>
            <w:fldChar w:fldCharType="end"/>
          </w:r>
        </w:p>
        <w:p>
          <w:pPr>
            <w:pStyle w:val="36"/>
            <w:tabs>
              <w:tab w:val="right" w:leader="dot" w:pos="8845"/>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_Toc12420 </w:instrText>
          </w:r>
          <w:r>
            <w:rPr>
              <w:rFonts w:hint="eastAsia" w:ascii="黑体" w:hAnsi="黑体" w:eastAsia="黑体"/>
              <w:highlight w:val="none"/>
            </w:rP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_Toc12420 \h </w:instrText>
          </w:r>
          <w:r>
            <w:fldChar w:fldCharType="separate"/>
          </w:r>
          <w:r>
            <w:t>70</w:t>
          </w:r>
          <w:r>
            <w:fldChar w:fldCharType="end"/>
          </w:r>
          <w:r>
            <w:rPr>
              <w:rFonts w:hint="eastAsia" w:ascii="黑体" w:hAnsi="黑体" w:eastAsia="黑体"/>
              <w:color w:val="auto"/>
              <w:highlight w:val="none"/>
            </w:rPr>
            <w:fldChar w:fldCharType="end"/>
          </w:r>
        </w:p>
        <w:p>
          <w:pPr>
            <w:pStyle w:val="36"/>
            <w:tabs>
              <w:tab w:val="right" w:leader="dot" w:pos="8845"/>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_Toc13603 </w:instrText>
          </w:r>
          <w:r>
            <w:rPr>
              <w:rFonts w:hint="eastAsia" w:ascii="黑体" w:hAnsi="黑体" w:eastAsia="黑体"/>
              <w:highlight w:val="none"/>
            </w:rP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_Toc13603 \h </w:instrText>
          </w:r>
          <w:r>
            <w:fldChar w:fldCharType="separate"/>
          </w:r>
          <w:r>
            <w:t>70</w:t>
          </w:r>
          <w:r>
            <w:fldChar w:fldCharType="end"/>
          </w:r>
          <w:r>
            <w:rPr>
              <w:rFonts w:hint="eastAsia" w:ascii="黑体" w:hAnsi="黑体" w:eastAsia="黑体"/>
              <w:color w:val="auto"/>
              <w:highlight w:val="none"/>
            </w:rPr>
            <w:fldChar w:fldCharType="end"/>
          </w:r>
        </w:p>
        <w:p>
          <w:pPr>
            <w:pStyle w:val="36"/>
            <w:tabs>
              <w:tab w:val="right" w:leader="dot" w:pos="8845"/>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_Toc11390 </w:instrText>
          </w:r>
          <w:r>
            <w:rPr>
              <w:rFonts w:hint="eastAsia" w:ascii="黑体" w:hAnsi="黑体" w:eastAsia="黑体"/>
              <w:highlight w:val="none"/>
            </w:rP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_Toc11390 \h </w:instrText>
          </w:r>
          <w:r>
            <w:fldChar w:fldCharType="separate"/>
          </w:r>
          <w:r>
            <w:t>70</w:t>
          </w:r>
          <w:r>
            <w:fldChar w:fldCharType="end"/>
          </w:r>
          <w:r>
            <w:rPr>
              <w:rFonts w:hint="eastAsia" w:ascii="黑体" w:hAnsi="黑体" w:eastAsia="黑体"/>
              <w:color w:val="auto"/>
              <w:highlight w:val="none"/>
            </w:rPr>
            <w:fldChar w:fldCharType="end"/>
          </w:r>
        </w:p>
        <w:p>
          <w:pPr>
            <w:pStyle w:val="36"/>
            <w:tabs>
              <w:tab w:val="right" w:leader="dot" w:pos="8845"/>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_Toc23866 </w:instrText>
          </w:r>
          <w:r>
            <w:rPr>
              <w:rFonts w:hint="eastAsia" w:ascii="黑体" w:hAnsi="黑体" w:eastAsia="黑体"/>
              <w:highlight w:val="none"/>
            </w:rP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_Toc23866 \h </w:instrText>
          </w:r>
          <w:r>
            <w:fldChar w:fldCharType="separate"/>
          </w:r>
          <w:r>
            <w:t>70</w:t>
          </w:r>
          <w:r>
            <w:fldChar w:fldCharType="end"/>
          </w:r>
          <w:r>
            <w:rPr>
              <w:rFonts w:hint="eastAsia" w:ascii="黑体" w:hAnsi="黑体" w:eastAsia="黑体"/>
              <w:color w:val="auto"/>
              <w:highlight w:val="none"/>
            </w:rPr>
            <w:fldChar w:fldCharType="end"/>
          </w:r>
        </w:p>
        <w:p>
          <w:pPr>
            <w:pStyle w:val="36"/>
            <w:tabs>
              <w:tab w:val="right" w:leader="dot" w:pos="8845"/>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_Toc21332 </w:instrText>
          </w:r>
          <w:r>
            <w:rPr>
              <w:rFonts w:hint="eastAsia" w:ascii="黑体" w:hAnsi="黑体" w:eastAsia="黑体"/>
              <w:highlight w:val="none"/>
            </w:rP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_Toc21332 \h </w:instrText>
          </w:r>
          <w:r>
            <w:fldChar w:fldCharType="separate"/>
          </w:r>
          <w:r>
            <w:t>70</w:t>
          </w:r>
          <w:r>
            <w:fldChar w:fldCharType="end"/>
          </w:r>
          <w:r>
            <w:rPr>
              <w:rFonts w:hint="eastAsia" w:ascii="黑体" w:hAnsi="黑体" w:eastAsia="黑体"/>
              <w:color w:val="auto"/>
              <w:highlight w:val="none"/>
            </w:rPr>
            <w:fldChar w:fldCharType="end"/>
          </w:r>
        </w:p>
        <w:p>
          <w:pPr>
            <w:pStyle w:val="36"/>
            <w:tabs>
              <w:tab w:val="right" w:leader="dot" w:pos="8845"/>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_Toc12812 </w:instrText>
          </w:r>
          <w:r>
            <w:rPr>
              <w:rFonts w:hint="eastAsia" w:ascii="黑体" w:hAnsi="黑体" w:eastAsia="黑体"/>
              <w:highlight w:val="none"/>
            </w:rP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_Toc12812 \h </w:instrText>
          </w:r>
          <w:r>
            <w:fldChar w:fldCharType="separate"/>
          </w:r>
          <w:r>
            <w:t>70</w:t>
          </w:r>
          <w:r>
            <w:fldChar w:fldCharType="end"/>
          </w:r>
          <w:r>
            <w:rPr>
              <w:rFonts w:hint="eastAsia" w:ascii="黑体" w:hAnsi="黑体" w:eastAsia="黑体"/>
              <w:color w:val="auto"/>
              <w:highlight w:val="none"/>
            </w:rPr>
            <w:fldChar w:fldCharType="end"/>
          </w:r>
        </w:p>
        <w:p>
          <w:pPr>
            <w:pStyle w:val="36"/>
            <w:tabs>
              <w:tab w:val="right" w:leader="dot" w:pos="8845"/>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_Toc1278 </w:instrText>
          </w:r>
          <w:r>
            <w:rPr>
              <w:rFonts w:hint="eastAsia" w:ascii="黑体" w:hAnsi="黑体" w:eastAsia="黑体"/>
              <w:highlight w:val="none"/>
            </w:rP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_Toc1278 \h </w:instrText>
          </w:r>
          <w:r>
            <w:fldChar w:fldCharType="separate"/>
          </w:r>
          <w:r>
            <w:t>70</w:t>
          </w:r>
          <w:r>
            <w:fldChar w:fldCharType="end"/>
          </w:r>
          <w:r>
            <w:rPr>
              <w:rFonts w:hint="eastAsia" w:ascii="黑体" w:hAnsi="黑体" w:eastAsia="黑体"/>
              <w:color w:val="auto"/>
              <w:highlight w:val="none"/>
            </w:rPr>
            <w:fldChar w:fldCharType="end"/>
          </w:r>
        </w:p>
        <w:p>
          <w:pPr>
            <w:pStyle w:val="36"/>
            <w:tabs>
              <w:tab w:val="right" w:leader="dot" w:pos="8845"/>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_Toc26693 </w:instrText>
          </w:r>
          <w:r>
            <w:rPr>
              <w:rFonts w:hint="eastAsia" w:ascii="黑体" w:hAnsi="黑体" w:eastAsia="黑体"/>
              <w:highlight w:val="none"/>
            </w:rP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_Toc26693 \h </w:instrText>
          </w:r>
          <w:r>
            <w:fldChar w:fldCharType="separate"/>
          </w:r>
          <w:r>
            <w:t>70</w:t>
          </w:r>
          <w:r>
            <w:fldChar w:fldCharType="end"/>
          </w:r>
          <w:r>
            <w:rPr>
              <w:rFonts w:hint="eastAsia" w:ascii="黑体" w:hAnsi="黑体" w:eastAsia="黑体"/>
              <w:color w:val="auto"/>
              <w:highlight w:val="none"/>
            </w:rPr>
            <w:fldChar w:fldCharType="end"/>
          </w:r>
        </w:p>
        <w:p>
          <w:pPr>
            <w:pStyle w:val="36"/>
            <w:tabs>
              <w:tab w:val="right" w:leader="dot" w:pos="8845"/>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_Toc28105 </w:instrText>
          </w:r>
          <w:r>
            <w:rPr>
              <w:rFonts w:hint="eastAsia" w:ascii="黑体" w:hAnsi="黑体" w:eastAsia="黑体"/>
              <w:highlight w:val="none"/>
            </w:rP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_Toc28105 \h </w:instrText>
          </w:r>
          <w:r>
            <w:fldChar w:fldCharType="separate"/>
          </w:r>
          <w:r>
            <w:t>70</w:t>
          </w:r>
          <w:r>
            <w:fldChar w:fldCharType="end"/>
          </w:r>
          <w:r>
            <w:rPr>
              <w:rFonts w:hint="eastAsia" w:ascii="黑体" w:hAnsi="黑体" w:eastAsia="黑体"/>
              <w:color w:val="auto"/>
              <w:highlight w:val="none"/>
            </w:rPr>
            <w:fldChar w:fldCharType="end"/>
          </w:r>
        </w:p>
        <w:p>
          <w:pPr>
            <w:pStyle w:val="36"/>
            <w:tabs>
              <w:tab w:val="right" w:leader="dot" w:pos="8845"/>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_Toc17442 </w:instrText>
          </w:r>
          <w:r>
            <w:rPr>
              <w:rFonts w:hint="eastAsia" w:ascii="黑体" w:hAnsi="黑体" w:eastAsia="黑体"/>
              <w:highlight w:val="none"/>
            </w:rP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_Toc17442 \h </w:instrText>
          </w:r>
          <w:r>
            <w:fldChar w:fldCharType="separate"/>
          </w:r>
          <w:r>
            <w:t>70</w:t>
          </w:r>
          <w:r>
            <w:fldChar w:fldCharType="end"/>
          </w:r>
          <w:r>
            <w:rPr>
              <w:rFonts w:hint="eastAsia" w:ascii="黑体" w:hAnsi="黑体" w:eastAsia="黑体"/>
              <w:color w:val="auto"/>
              <w:highlight w:val="none"/>
            </w:rPr>
            <w:fldChar w:fldCharType="end"/>
          </w:r>
        </w:p>
        <w:p>
          <w:pPr>
            <w:pStyle w:val="36"/>
            <w:tabs>
              <w:tab w:val="right" w:leader="dot" w:pos="8845"/>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_Toc28052 </w:instrText>
          </w:r>
          <w:r>
            <w:rPr>
              <w:rFonts w:hint="eastAsia" w:ascii="黑体" w:hAnsi="黑体" w:eastAsia="黑体"/>
              <w:highlight w:val="none"/>
            </w:rP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_Toc28052 \h </w:instrText>
          </w:r>
          <w:r>
            <w:fldChar w:fldCharType="separate"/>
          </w:r>
          <w:r>
            <w:t>70</w:t>
          </w:r>
          <w:r>
            <w:fldChar w:fldCharType="end"/>
          </w:r>
          <w:r>
            <w:rPr>
              <w:rFonts w:hint="eastAsia" w:ascii="黑体" w:hAnsi="黑体" w:eastAsia="黑体"/>
              <w:color w:val="auto"/>
              <w:highlight w:val="none"/>
            </w:rPr>
            <w:fldChar w:fldCharType="end"/>
          </w:r>
        </w:p>
        <w:p>
          <w:pPr>
            <w:pStyle w:val="36"/>
            <w:tabs>
              <w:tab w:val="right" w:leader="dot" w:pos="8845"/>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_Toc2106 </w:instrText>
          </w:r>
          <w:r>
            <w:rPr>
              <w:rFonts w:hint="eastAsia" w:ascii="黑体" w:hAnsi="黑体" w:eastAsia="黑体"/>
              <w:highlight w:val="none"/>
            </w:rP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fldChar w:fldCharType="begin"/>
          </w:r>
          <w:r>
            <w:instrText xml:space="preserve"> PAGEREF _Toc2106 \h </w:instrText>
          </w:r>
          <w:r>
            <w:fldChar w:fldCharType="separate"/>
          </w:r>
          <w:r>
            <w:t>70</w:t>
          </w:r>
          <w:r>
            <w:fldChar w:fldCharType="end"/>
          </w:r>
          <w:r>
            <w:rPr>
              <w:rFonts w:hint="eastAsia" w:ascii="黑体" w:hAnsi="黑体" w:eastAsia="黑体"/>
              <w:color w:val="auto"/>
              <w:highlight w:val="none"/>
            </w:rPr>
            <w:fldChar w:fldCharType="end"/>
          </w:r>
        </w:p>
        <w:p>
          <w:pPr>
            <w:pStyle w:val="36"/>
            <w:tabs>
              <w:tab w:val="right" w:leader="dot" w:pos="8845"/>
            </w:tabs>
          </w:pPr>
          <w:r>
            <w:rPr>
              <w:rFonts w:hint="eastAsia" w:ascii="黑体" w:hAnsi="黑体" w:eastAsia="黑体"/>
              <w:color w:val="auto"/>
              <w:highlight w:val="none"/>
            </w:rPr>
            <w:fldChar w:fldCharType="begin"/>
          </w:r>
          <w:r>
            <w:rPr>
              <w:rFonts w:hint="eastAsia" w:ascii="黑体" w:hAnsi="黑体" w:eastAsia="黑体"/>
              <w:highlight w:val="none"/>
            </w:rPr>
            <w:instrText xml:space="preserve"> HYPERLINK \l _Toc24072 </w:instrText>
          </w:r>
          <w:r>
            <w:rPr>
              <w:rFonts w:hint="eastAsia" w:ascii="黑体" w:hAnsi="黑体" w:eastAsia="黑体"/>
              <w:highlight w:val="none"/>
            </w:rP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fldChar w:fldCharType="begin"/>
          </w:r>
          <w:r>
            <w:instrText xml:space="preserve"> PAGEREF _Toc24072 \h </w:instrText>
          </w:r>
          <w:r>
            <w:fldChar w:fldCharType="separate"/>
          </w:r>
          <w:r>
            <w:t>70</w:t>
          </w:r>
          <w:r>
            <w:fldChar w:fldCharType="end"/>
          </w:r>
          <w:r>
            <w:rPr>
              <w:rFonts w:hint="eastAsia" w:ascii="黑体" w:hAnsi="黑体" w:eastAsia="黑体"/>
              <w:color w:val="auto"/>
              <w:highlight w:val="none"/>
            </w:rPr>
            <w:fldChar w:fldCharType="end"/>
          </w:r>
        </w:p>
        <w:p>
          <w:pPr>
            <w:pStyle w:val="2"/>
            <w:jc w:val="both"/>
            <w:outlineLvl w:val="9"/>
          </w:pPr>
          <w:r>
            <w:rPr>
              <w:rFonts w:hint="eastAsia" w:ascii="黑体" w:hAnsi="黑体" w:eastAsia="黑体"/>
              <w:color w:val="auto"/>
              <w:highlight w:val="none"/>
            </w:rPr>
            <w:fldChar w:fldCharType="end"/>
          </w:r>
          <w:bookmarkStart w:id="17" w:name="_Toc32628"/>
        </w:p>
      </w:sdtContent>
    </w:sdt>
    <w:p>
      <w:pPr>
        <w:pStyle w:val="2"/>
        <w:jc w:val="center"/>
        <w:outlineLvl w:val="9"/>
        <w:rPr>
          <w:rStyle w:val="28"/>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28"/>
          <w:rFonts w:hint="eastAsia" w:ascii="黑体" w:hAnsi="黑体" w:eastAsia="黑体"/>
          <w:b w:val="0"/>
          <w:bCs w:val="0"/>
          <w:color w:val="auto"/>
          <w:highlight w:val="none"/>
        </w:rPr>
        <w:t>部门概况</w:t>
      </w:r>
      <w:bookmarkEnd w:id="15"/>
      <w:bookmarkEnd w:id="16"/>
      <w:bookmarkEnd w:id="17"/>
    </w:p>
    <w:p>
      <w:pPr>
        <w:pStyle w:val="3"/>
        <w:ind w:firstLine="640" w:firstLineChars="200"/>
        <w:rPr>
          <w:rFonts w:hint="eastAsia" w:ascii="黑体" w:hAnsi="黑体" w:eastAsia="黑体"/>
          <w:b w:val="0"/>
          <w:color w:val="auto"/>
          <w:highlight w:val="none"/>
          <w:lang w:eastAsia="zh-CN"/>
        </w:rPr>
      </w:pPr>
      <w:bookmarkStart w:id="18" w:name="_Toc15396600"/>
      <w:bookmarkStart w:id="19" w:name="_Toc15377197"/>
      <w:bookmarkStart w:id="20" w:name="_Toc2708"/>
      <w:r>
        <w:rPr>
          <w:rFonts w:hint="eastAsia" w:ascii="黑体" w:hAnsi="黑体" w:eastAsia="黑体"/>
          <w:b w:val="0"/>
          <w:color w:val="auto"/>
          <w:highlight w:val="none"/>
        </w:rPr>
        <w:t>一、</w:t>
      </w:r>
      <w:bookmarkEnd w:id="18"/>
      <w:bookmarkEnd w:id="19"/>
      <w:r>
        <w:rPr>
          <w:rFonts w:hint="eastAsia" w:ascii="黑体" w:hAnsi="黑体" w:eastAsia="黑体"/>
          <w:b w:val="0"/>
          <w:color w:val="auto"/>
          <w:highlight w:val="none"/>
          <w:lang w:eastAsia="zh-CN"/>
        </w:rPr>
        <w:t>部门职责</w:t>
      </w:r>
      <w:bookmarkEnd w:id="20"/>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sz w:val="32"/>
          <w:szCs w:val="32"/>
          <w:lang w:eastAsia="zh-CN"/>
        </w:rPr>
      </w:pPr>
      <w:r>
        <w:rPr>
          <w:rFonts w:hint="eastAsia" w:ascii="仿宋_GB2312" w:hAnsi="仿宋_GB2312" w:eastAsia="仿宋_GB2312" w:cs="仿宋_GB2312"/>
          <w:sz w:val="32"/>
          <w:szCs w:val="32"/>
        </w:rPr>
        <w:t>负责宣传贯彻执行有关离退休干部工作的方针政策、法律法规；负责全区离退休干部工作的综合指导和协调工作；负责拟订全区离退休干部工作有关规范性文件；负责中心支部党建工作和离退休干部党建工作，抓好离退休干部政治建设、组织建设和思想建设；负责收集整理离退休干部提出的各种意见建议；负责组织离退休干部开展正能量活动；负责离退休干部（含老红军遗属、离休干部无工作遗属、易地安置离休干部）服务工作，落实离退休干部政治、生活待遇；负责离退休干部活动学习阵地建设；负责离退休干部工作信息化建设；负责离退休干部来信来访及突出问题呈报与调查处理工作；负责外地离退休干部和离退休干部工作部门来朝天学习、参观的协调接洽工作；</w:t>
      </w:r>
      <w:r>
        <w:rPr>
          <w:rFonts w:hint="eastAsia" w:ascii="仿宋_GB2312" w:hAnsi="仿宋_GB2312" w:eastAsia="仿宋_GB2312" w:cs="仿宋_GB2312"/>
          <w:sz w:val="32"/>
          <w:szCs w:val="32"/>
          <w:lang w:eastAsia="zh-CN"/>
        </w:rPr>
        <w:t>关心下一代工作；</w:t>
      </w:r>
      <w:r>
        <w:rPr>
          <w:rFonts w:hint="eastAsia" w:ascii="仿宋_GB2312" w:hAnsi="仿宋_GB2312" w:eastAsia="仿宋_GB2312" w:cs="仿宋_GB2312"/>
          <w:sz w:val="32"/>
          <w:szCs w:val="32"/>
        </w:rPr>
        <w:t>完成其他有关事项。</w:t>
      </w:r>
    </w:p>
    <w:p>
      <w:pPr>
        <w:pStyle w:val="3"/>
        <w:ind w:firstLine="640" w:firstLineChars="200"/>
        <w:rPr>
          <w:rStyle w:val="29"/>
          <w:b w:val="0"/>
          <w:bCs w:val="0"/>
          <w:color w:val="auto"/>
          <w:highlight w:val="none"/>
        </w:rPr>
      </w:pPr>
      <w:bookmarkStart w:id="21" w:name="_Toc15377200"/>
      <w:bookmarkStart w:id="22" w:name="_Toc15396601"/>
      <w:bookmarkStart w:id="23" w:name="_Toc25276"/>
      <w:r>
        <w:rPr>
          <w:rFonts w:hint="eastAsia" w:ascii="黑体" w:eastAsia="黑体"/>
          <w:b w:val="0"/>
          <w:color w:val="auto"/>
          <w:highlight w:val="none"/>
        </w:rPr>
        <w:t>二、</w:t>
      </w:r>
      <w:r>
        <w:rPr>
          <w:rFonts w:hint="eastAsia" w:ascii="黑体" w:hAnsi="黑体" w:eastAsia="黑体"/>
          <w:b w:val="0"/>
          <w:color w:val="auto"/>
          <w:highlight w:val="none"/>
        </w:rPr>
        <w:t>机</w:t>
      </w:r>
      <w:r>
        <w:rPr>
          <w:rStyle w:val="29"/>
          <w:rFonts w:hint="eastAsia" w:ascii="黑体" w:hAnsi="黑体" w:eastAsia="黑体"/>
          <w:b w:val="0"/>
          <w:bCs w:val="0"/>
          <w:color w:val="auto"/>
          <w:highlight w:val="none"/>
        </w:rPr>
        <w:t>构设置</w:t>
      </w:r>
      <w:bookmarkEnd w:id="21"/>
      <w:bookmarkEnd w:id="22"/>
      <w:bookmarkEnd w:id="23"/>
    </w:p>
    <w:p>
      <w:pPr>
        <w:keepNext w:val="0"/>
        <w:keepLines w:val="0"/>
        <w:pageBreakBefore w:val="0"/>
        <w:kinsoku/>
        <w:wordWrap/>
        <w:overflowPunct/>
        <w:topLinePunct w:val="0"/>
        <w:bidi w:val="0"/>
        <w:adjustRightInd w:val="0"/>
        <w:snapToGrid w:val="0"/>
        <w:spacing w:line="576" w:lineRule="exact"/>
        <w:ind w:firstLine="640" w:firstLineChars="200"/>
        <w:textAlignment w:val="auto"/>
        <w:rPr>
          <w:rFonts w:hint="eastAsia"/>
          <w:lang w:val="zh-CN"/>
        </w:rPr>
      </w:pPr>
      <w:r>
        <w:rPr>
          <w:rFonts w:hint="eastAsia" w:ascii="仿宋_GB2312" w:hAnsi="仿宋_GB2312" w:eastAsia="仿宋_GB2312" w:cs="仿宋_GB2312"/>
          <w:sz w:val="32"/>
          <w:szCs w:val="32"/>
        </w:rPr>
        <w:t>广元市朝天区老干部事务中心</w:t>
      </w:r>
      <w:r>
        <w:rPr>
          <w:rFonts w:hint="eastAsia" w:ascii="仿宋_GB2312" w:hAnsi="仿宋_GB2312" w:eastAsia="仿宋_GB2312" w:cs="仿宋_GB2312"/>
          <w:color w:val="auto"/>
          <w:sz w:val="32"/>
          <w:szCs w:val="32"/>
          <w:highlight w:val="none"/>
        </w:rPr>
        <w:t>下属二级</w:t>
      </w:r>
      <w:r>
        <w:rPr>
          <w:rFonts w:hint="eastAsia" w:ascii="仿宋_GB2312" w:hAnsi="仿宋_GB2312" w:eastAsia="仿宋_GB2312" w:cs="仿宋_GB2312"/>
          <w:color w:val="auto"/>
          <w:sz w:val="32"/>
          <w:szCs w:val="32"/>
          <w:highlight w:val="none"/>
          <w:lang w:eastAsia="zh-CN"/>
        </w:rPr>
        <w:t>预算</w:t>
      </w:r>
      <w:r>
        <w:rPr>
          <w:rFonts w:hint="eastAsia" w:ascii="仿宋_GB2312" w:hAnsi="仿宋_GB2312" w:eastAsia="仿宋_GB2312" w:cs="仿宋_GB2312"/>
          <w:color w:val="auto"/>
          <w:sz w:val="32"/>
          <w:szCs w:val="32"/>
          <w:highlight w:val="none"/>
        </w:rPr>
        <w:t>单位</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个，其中行政单位</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个，参照公务员法管理的事业单位</w:t>
      </w:r>
      <w:r>
        <w:rPr>
          <w:rFonts w:hint="eastAsia" w:ascii="仿宋_GB2312" w:hAnsi="仿宋_GB2312" w:eastAsia="仿宋_GB2312" w:cs="仿宋_GB2312"/>
          <w:bCs/>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个，其他事业单位</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sz w:val="32"/>
          <w:szCs w:val="32"/>
          <w:lang w:val="en-US" w:eastAsia="zh-CN"/>
        </w:rPr>
        <w:t>内设机构1个，即办公室。</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2"/>
        <w:ind w:right="440"/>
        <w:jc w:val="center"/>
        <w:rPr>
          <w:rStyle w:val="28"/>
          <w:rFonts w:ascii="黑体" w:hAnsi="黑体" w:eastAsia="黑体"/>
          <w:b w:val="0"/>
          <w:bCs/>
          <w:color w:val="auto"/>
          <w:highlight w:val="none"/>
        </w:rPr>
      </w:pPr>
      <w:bookmarkStart w:id="24" w:name="_Toc15396602"/>
      <w:bookmarkStart w:id="25" w:name="_Toc15377204"/>
      <w:bookmarkStart w:id="26" w:name="_Toc24277"/>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8"/>
          <w:rFonts w:hint="eastAsia" w:ascii="黑体" w:hAnsi="黑体" w:eastAsia="黑体"/>
          <w:b w:val="0"/>
          <w:bCs/>
          <w:color w:val="auto"/>
          <w:highlight w:val="none"/>
        </w:rPr>
        <w:t>部门决算情况说明</w:t>
      </w:r>
      <w:bookmarkEnd w:id="24"/>
      <w:bookmarkEnd w:id="25"/>
      <w:bookmarkEnd w:id="26"/>
    </w:p>
    <w:p>
      <w:pPr>
        <w:pStyle w:val="27"/>
        <w:numPr>
          <w:ilvl w:val="0"/>
          <w:numId w:val="1"/>
        </w:numPr>
        <w:spacing w:line="600" w:lineRule="exact"/>
        <w:ind w:firstLineChars="0"/>
        <w:outlineLvl w:val="1"/>
        <w:rPr>
          <w:rStyle w:val="29"/>
          <w:rFonts w:ascii="黑体" w:hAnsi="黑体" w:eastAsia="黑体"/>
          <w:b w:val="0"/>
          <w:color w:val="auto"/>
          <w:highlight w:val="none"/>
        </w:rPr>
      </w:pPr>
      <w:bookmarkStart w:id="27" w:name="_Toc15396603"/>
      <w:bookmarkStart w:id="28" w:name="_Toc15377205"/>
      <w:bookmarkStart w:id="29" w:name="_Toc18761"/>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入支出决算总体情况说明</w:t>
      </w:r>
      <w:bookmarkEnd w:id="27"/>
      <w:bookmarkEnd w:id="28"/>
      <w:bookmarkEnd w:id="29"/>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rPr>
          <w:rFonts w:hint="eastAsia"/>
          <w:sz w:val="32"/>
          <w:szCs w:val="32"/>
          <w:lang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年度收、支总计</w:t>
      </w:r>
      <w:r>
        <w:rPr>
          <w:rFonts w:hint="eastAsia" w:ascii="仿宋_GB2312" w:hAnsi="仿宋_GB2312" w:eastAsia="仿宋_GB2312" w:cs="仿宋_GB2312"/>
          <w:color w:val="auto"/>
          <w:sz w:val="32"/>
          <w:szCs w:val="32"/>
          <w:highlight w:val="none"/>
          <w:lang w:val="en-US" w:eastAsia="zh-CN"/>
        </w:rPr>
        <w:t>87.13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sz w:val="32"/>
          <w:szCs w:val="32"/>
          <w:lang w:eastAsia="zh-CN"/>
        </w:rPr>
        <w:t>其中，当年财政拨款收入</w:t>
      </w:r>
      <w:r>
        <w:rPr>
          <w:rFonts w:hint="eastAsia" w:ascii="仿宋_GB2312" w:hAnsi="仿宋_GB2312" w:eastAsia="仿宋_GB2312" w:cs="仿宋_GB2312"/>
          <w:b w:val="0"/>
          <w:bCs w:val="0"/>
          <w:sz w:val="32"/>
          <w:szCs w:val="32"/>
          <w:lang w:val="en-US" w:eastAsia="zh-CN"/>
        </w:rPr>
        <w:t>83.08</w:t>
      </w:r>
      <w:r>
        <w:rPr>
          <w:rFonts w:hint="eastAsia" w:ascii="仿宋_GB2312" w:hAnsi="仿宋_GB2312" w:eastAsia="仿宋_GB2312" w:cs="仿宋_GB2312"/>
          <w:b w:val="0"/>
          <w:bCs w:val="0"/>
          <w:sz w:val="32"/>
          <w:szCs w:val="32"/>
          <w:lang w:eastAsia="zh-CN"/>
        </w:rPr>
        <w:t>万元，年初结转上年存量资金</w:t>
      </w:r>
      <w:r>
        <w:rPr>
          <w:rFonts w:hint="eastAsia" w:ascii="仿宋_GB2312" w:hAnsi="仿宋_GB2312" w:eastAsia="仿宋_GB2312" w:cs="仿宋_GB2312"/>
          <w:b w:val="0"/>
          <w:bCs w:val="0"/>
          <w:sz w:val="32"/>
          <w:szCs w:val="32"/>
          <w:lang w:val="en-US" w:eastAsia="zh-CN"/>
        </w:rPr>
        <w:t>4.05</w:t>
      </w:r>
      <w:r>
        <w:rPr>
          <w:rFonts w:hint="eastAsia" w:ascii="仿宋_GB2312" w:hAnsi="仿宋_GB2312" w:eastAsia="仿宋_GB2312" w:cs="仿宋_GB2312"/>
          <w:b w:val="0"/>
          <w:bCs w:val="0"/>
          <w:sz w:val="32"/>
          <w:szCs w:val="32"/>
          <w:lang w:eastAsia="zh-CN"/>
        </w:rPr>
        <w:t>万元。</w:t>
      </w:r>
      <w:r>
        <w:rPr>
          <w:rFonts w:hint="eastAsia" w:ascii="仿宋_GB2312" w:hAnsi="仿宋_GB2312" w:eastAsia="仿宋_GB2312" w:cs="仿宋_GB2312"/>
          <w:color w:val="auto"/>
          <w:sz w:val="32"/>
          <w:szCs w:val="32"/>
          <w:highlight w:val="none"/>
        </w:rPr>
        <w:t>与20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年相比，收、支总计各增加</w:t>
      </w:r>
      <w:r>
        <w:rPr>
          <w:rFonts w:hint="eastAsia" w:ascii="仿宋_GB2312" w:hAnsi="仿宋_GB2312" w:eastAsia="仿宋_GB2312" w:cs="仿宋_GB2312"/>
          <w:color w:val="auto"/>
          <w:sz w:val="32"/>
          <w:szCs w:val="32"/>
          <w:highlight w:val="none"/>
          <w:lang w:val="en-US" w:eastAsia="zh-CN"/>
        </w:rPr>
        <w:t>24.26</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38.59</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color w:val="auto"/>
          <w:sz w:val="32"/>
          <w:szCs w:val="32"/>
          <w:highlight w:val="none"/>
          <w:lang w:eastAsia="zh-CN"/>
        </w:rPr>
        <w:t>区关工委机改将办公室设在我单位，导致</w:t>
      </w:r>
      <w:r>
        <w:rPr>
          <w:rFonts w:hint="eastAsia" w:ascii="仿宋_GB2312" w:hAnsi="仿宋_GB2312" w:eastAsia="仿宋_GB2312" w:cs="仿宋_GB2312"/>
          <w:b w:val="0"/>
          <w:bCs w:val="0"/>
          <w:sz w:val="32"/>
          <w:szCs w:val="32"/>
          <w:lang w:eastAsia="zh-CN"/>
        </w:rPr>
        <w:t>项目增加、人员经费增加</w:t>
      </w:r>
      <w:r>
        <w:rPr>
          <w:rFonts w:hint="eastAsia" w:ascii="仿宋_GB2312" w:hAnsi="仿宋_GB2312" w:eastAsia="仿宋_GB2312" w:cs="仿宋_GB2312"/>
          <w:b w:val="0"/>
          <w:bCs w:val="0"/>
          <w:sz w:val="32"/>
          <w:szCs w:val="32"/>
          <w:lang w:val="en-US" w:eastAsia="zh-CN"/>
        </w:rPr>
        <w:t>和2022年将目标绩效纳入年初预算</w:t>
      </w:r>
      <w:r>
        <w:rPr>
          <w:rFonts w:hint="eastAsia" w:ascii="仿宋_GB2312" w:hAnsi="仿宋_GB2312" w:eastAsia="仿宋_GB2312" w:cs="仿宋_GB2312"/>
          <w:b w:val="0"/>
          <w:bCs w:val="0"/>
          <w:sz w:val="32"/>
          <w:szCs w:val="32"/>
          <w:lang w:eastAsia="zh-CN"/>
        </w:rPr>
        <w:t>。</w:t>
      </w:r>
    </w:p>
    <w:p>
      <w:pPr>
        <w:pStyle w:val="27"/>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lang w:eastAsia="zh-CN"/>
        </w:rPr>
      </w:pPr>
      <w:r>
        <w:rPr>
          <w:rFonts w:hint="eastAsia" w:ascii="仿宋" w:hAnsi="仿宋" w:eastAsia="仿宋"/>
          <w:sz w:val="32"/>
          <w:szCs w:val="32"/>
          <w:lang w:val="en-US" w:eastAsia="zh-CN"/>
        </w:rPr>
        <w:t xml:space="preserve">       </w:t>
      </w:r>
      <w:r>
        <w:rPr>
          <w:rFonts w:hint="eastAsia" w:ascii="仿宋_GB2312" w:hAnsi="仿宋_GB2312" w:eastAsia="仿宋_GB2312" w:cs="仿宋_GB2312"/>
          <w:b w:val="0"/>
          <w:bCs w:val="0"/>
          <w:sz w:val="32"/>
          <w:szCs w:val="32"/>
          <w:lang w:eastAsia="zh-CN"/>
        </w:rPr>
        <w:drawing>
          <wp:inline distT="0" distB="0" distL="114300" distR="114300">
            <wp:extent cx="3150235" cy="1852930"/>
            <wp:effectExtent l="4445" t="4445" r="7620"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（图1：收、支决算总计变动情况图）（柱状图）</w:t>
      </w:r>
    </w:p>
    <w:p>
      <w:pPr>
        <w:pStyle w:val="27"/>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Chars="0"/>
        <w:textAlignment w:val="auto"/>
        <w:outlineLvl w:val="1"/>
        <w:rPr>
          <w:rStyle w:val="29"/>
          <w:rFonts w:ascii="黑体" w:hAnsi="黑体" w:eastAsia="黑体"/>
          <w:b w:val="0"/>
          <w:color w:val="auto"/>
          <w:highlight w:val="none"/>
        </w:rPr>
      </w:pPr>
      <w:bookmarkStart w:id="30" w:name="_Toc15396604"/>
      <w:bookmarkStart w:id="31" w:name="_Toc15377206"/>
      <w:bookmarkStart w:id="32" w:name="_Toc26720"/>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入决算情况说明</w:t>
      </w:r>
      <w:bookmarkEnd w:id="30"/>
      <w:bookmarkEnd w:id="31"/>
      <w:bookmarkEnd w:id="32"/>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仿宋_GB2312" w:hAnsi="仿宋_GB2312" w:eastAsia="仿宋_GB2312" w:cs="仿宋_GB2312"/>
          <w:color w:val="auto"/>
          <w:sz w:val="32"/>
          <w:szCs w:val="32"/>
          <w:highlight w:val="none"/>
        </w:rPr>
      </w:pPr>
      <w:bookmarkStart w:id="33" w:name="_Toc16306"/>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年本年收入合计</w:t>
      </w:r>
      <w:r>
        <w:rPr>
          <w:rFonts w:hint="eastAsia" w:ascii="仿宋_GB2312" w:hAnsi="仿宋_GB2312" w:eastAsia="仿宋_GB2312" w:cs="仿宋_GB2312"/>
          <w:color w:val="auto"/>
          <w:sz w:val="32"/>
          <w:szCs w:val="32"/>
          <w:highlight w:val="none"/>
          <w:lang w:val="en-US" w:eastAsia="zh-CN"/>
        </w:rPr>
        <w:t>83.08</w:t>
      </w:r>
      <w:r>
        <w:rPr>
          <w:rFonts w:hint="eastAsia" w:ascii="仿宋_GB2312" w:hAnsi="仿宋_GB2312" w:eastAsia="仿宋_GB2312" w:cs="仿宋_GB2312"/>
          <w:color w:val="auto"/>
          <w:sz w:val="32"/>
          <w:szCs w:val="32"/>
          <w:highlight w:val="none"/>
        </w:rPr>
        <w:t>万元，其中：一般公共预算财政拨款收入</w:t>
      </w:r>
      <w:r>
        <w:rPr>
          <w:rFonts w:hint="eastAsia" w:ascii="仿宋_GB2312" w:hAnsi="仿宋_GB2312" w:eastAsia="仿宋_GB2312" w:cs="仿宋_GB2312"/>
          <w:color w:val="auto"/>
          <w:sz w:val="32"/>
          <w:szCs w:val="32"/>
          <w:highlight w:val="none"/>
          <w:lang w:val="en-US" w:eastAsia="zh-CN"/>
        </w:rPr>
        <w:t>83.08</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w:t>
      </w:r>
      <w:bookmarkEnd w:id="33"/>
    </w:p>
    <w:p>
      <w:pPr>
        <w:pStyle w:val="14"/>
        <w:rPr>
          <w:rFonts w:ascii="仿宋" w:hAnsi="仿宋" w:eastAsia="仿宋"/>
          <w:color w:val="auto"/>
          <w:sz w:val="32"/>
          <w:szCs w:val="32"/>
          <w:highlight w:val="none"/>
        </w:rPr>
      </w:pPr>
      <w:r>
        <w:rPr>
          <w:rFonts w:hint="eastAsia" w:ascii="仿宋" w:hAnsi="仿宋" w:eastAsia="仿宋"/>
          <w:sz w:val="32"/>
          <w:szCs w:val="32"/>
        </w:rPr>
        <w:drawing>
          <wp:inline distT="0" distB="0" distL="114300" distR="114300">
            <wp:extent cx="3604260" cy="1569085"/>
            <wp:effectExtent l="4445" t="4445" r="10795" b="762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1600" w:firstLineChars="5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（图2：收入决算结构图）（饼状图）</w:t>
      </w:r>
    </w:p>
    <w:p>
      <w:pPr>
        <w:pStyle w:val="27"/>
        <w:numPr>
          <w:ilvl w:val="0"/>
          <w:numId w:val="1"/>
        </w:numPr>
        <w:spacing w:line="600" w:lineRule="exact"/>
        <w:ind w:firstLineChars="0"/>
        <w:outlineLvl w:val="1"/>
        <w:rPr>
          <w:rStyle w:val="29"/>
          <w:rFonts w:ascii="黑体" w:hAnsi="黑体" w:eastAsia="黑体"/>
          <w:b w:val="0"/>
          <w:color w:val="auto"/>
          <w:highlight w:val="none"/>
        </w:rPr>
      </w:pPr>
      <w:bookmarkStart w:id="34" w:name="_Toc15396605"/>
      <w:bookmarkStart w:id="35" w:name="_Toc15377207"/>
      <w:bookmarkStart w:id="36" w:name="_Toc27689"/>
      <w:r>
        <w:rPr>
          <w:rFonts w:hint="eastAsia" w:ascii="黑体" w:hAnsi="黑体" w:eastAsia="黑体"/>
          <w:color w:val="auto"/>
          <w:sz w:val="32"/>
          <w:szCs w:val="32"/>
          <w:highlight w:val="none"/>
        </w:rPr>
        <w:t>支</w:t>
      </w:r>
      <w:r>
        <w:rPr>
          <w:rStyle w:val="29"/>
          <w:rFonts w:hint="eastAsia" w:ascii="黑体" w:hAnsi="黑体" w:eastAsia="黑体"/>
          <w:b w:val="0"/>
          <w:color w:val="auto"/>
          <w:highlight w:val="none"/>
        </w:rPr>
        <w:t>出决算情况说明</w:t>
      </w:r>
      <w:bookmarkEnd w:id="34"/>
      <w:bookmarkEnd w:id="35"/>
      <w:bookmarkEnd w:id="36"/>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eastAsia" w:ascii="仿宋_GB2312" w:hAnsi="仿宋_GB2312" w:eastAsia="仿宋_GB2312" w:cs="仿宋_GB2312"/>
          <w:color w:val="auto"/>
          <w:sz w:val="32"/>
          <w:szCs w:val="32"/>
          <w:highlight w:val="none"/>
        </w:rPr>
      </w:pPr>
      <w:bookmarkStart w:id="37" w:name="_Toc7917"/>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年本年支出合计</w:t>
      </w:r>
      <w:r>
        <w:rPr>
          <w:rFonts w:hint="eastAsia" w:ascii="仿宋_GB2312" w:hAnsi="仿宋_GB2312" w:eastAsia="仿宋_GB2312" w:cs="仿宋_GB2312"/>
          <w:color w:val="auto"/>
          <w:sz w:val="32"/>
          <w:szCs w:val="32"/>
          <w:highlight w:val="none"/>
          <w:lang w:val="en-US" w:eastAsia="zh-CN"/>
        </w:rPr>
        <w:t>87.13</w:t>
      </w:r>
      <w:r>
        <w:rPr>
          <w:rFonts w:hint="eastAsia" w:ascii="仿宋_GB2312" w:hAnsi="仿宋_GB2312" w:eastAsia="仿宋_GB2312" w:cs="仿宋_GB2312"/>
          <w:color w:val="auto"/>
          <w:sz w:val="32"/>
          <w:szCs w:val="32"/>
          <w:highlight w:val="none"/>
        </w:rPr>
        <w:t>万元，其中：基本支出</w:t>
      </w:r>
      <w:r>
        <w:rPr>
          <w:rFonts w:hint="eastAsia" w:ascii="仿宋_GB2312" w:hAnsi="仿宋_GB2312" w:eastAsia="仿宋_GB2312" w:cs="仿宋_GB2312"/>
          <w:color w:val="auto"/>
          <w:sz w:val="32"/>
          <w:szCs w:val="32"/>
          <w:highlight w:val="none"/>
          <w:lang w:val="en-US" w:eastAsia="zh-CN"/>
        </w:rPr>
        <w:t>48.15</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55.26</w:t>
      </w:r>
      <w:r>
        <w:rPr>
          <w:rFonts w:hint="eastAsia" w:ascii="仿宋_GB2312" w:hAnsi="仿宋_GB2312" w:eastAsia="仿宋_GB2312" w:cs="仿宋_GB2312"/>
          <w:color w:val="auto"/>
          <w:sz w:val="32"/>
          <w:szCs w:val="32"/>
          <w:highlight w:val="none"/>
        </w:rPr>
        <w:t>%；项目支出</w:t>
      </w:r>
      <w:r>
        <w:rPr>
          <w:rFonts w:hint="eastAsia" w:ascii="仿宋_GB2312" w:hAnsi="仿宋_GB2312" w:eastAsia="仿宋_GB2312" w:cs="仿宋_GB2312"/>
          <w:color w:val="auto"/>
          <w:sz w:val="32"/>
          <w:szCs w:val="32"/>
          <w:highlight w:val="none"/>
          <w:lang w:val="en-US" w:eastAsia="zh-CN"/>
        </w:rPr>
        <w:t>38.98</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44.74</w:t>
      </w:r>
      <w:r>
        <w:rPr>
          <w:rFonts w:hint="eastAsia" w:ascii="仿宋_GB2312" w:hAnsi="仿宋_GB2312" w:eastAsia="仿宋_GB2312" w:cs="仿宋_GB2312"/>
          <w:color w:val="auto"/>
          <w:sz w:val="32"/>
          <w:szCs w:val="32"/>
          <w:highlight w:val="none"/>
        </w:rPr>
        <w:t>%。</w:t>
      </w:r>
      <w:bookmarkEnd w:id="37"/>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仿宋" w:hAnsi="仿宋" w:eastAsia="仿宋"/>
          <w:color w:val="auto"/>
          <w:sz w:val="32"/>
          <w:szCs w:val="32"/>
          <w:highlight w:val="none"/>
          <w:shd w:val="pct10" w:color="auto" w:fill="FFFFFF"/>
        </w:rPr>
      </w:pPr>
      <w:r>
        <w:rPr>
          <w:rFonts w:ascii="仿宋" w:hAnsi="仿宋" w:eastAsia="仿宋"/>
          <w:sz w:val="32"/>
          <w:szCs w:val="32"/>
        </w:rPr>
        <w:drawing>
          <wp:inline distT="0" distB="0" distL="114300" distR="114300">
            <wp:extent cx="4166870" cy="2091690"/>
            <wp:effectExtent l="5080" t="4445" r="19050" b="1841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1280" w:firstLineChars="4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（图3：支出决算结构图）（饼状图）</w:t>
      </w:r>
    </w:p>
    <w:p>
      <w:pPr>
        <w:spacing w:line="600" w:lineRule="exact"/>
        <w:ind w:firstLine="640" w:firstLineChars="200"/>
        <w:outlineLvl w:val="1"/>
        <w:rPr>
          <w:rStyle w:val="29"/>
          <w:rFonts w:ascii="黑体" w:hAnsi="黑体" w:eastAsia="黑体"/>
          <w:b w:val="0"/>
          <w:color w:val="auto"/>
          <w:highlight w:val="none"/>
        </w:rPr>
      </w:pPr>
      <w:bookmarkStart w:id="38" w:name="_Toc15396606"/>
      <w:bookmarkStart w:id="39" w:name="_Toc15377208"/>
      <w:bookmarkStart w:id="40" w:name="_Toc12246"/>
      <w:r>
        <w:rPr>
          <w:rFonts w:hint="eastAsia" w:ascii="黑体" w:hAnsi="黑体" w:eastAsia="黑体"/>
          <w:color w:val="auto"/>
          <w:sz w:val="32"/>
          <w:szCs w:val="32"/>
          <w:highlight w:val="none"/>
        </w:rPr>
        <w:t>四、财</w:t>
      </w:r>
      <w:r>
        <w:rPr>
          <w:rStyle w:val="29"/>
          <w:rFonts w:hint="eastAsia" w:ascii="黑体" w:hAnsi="黑体" w:eastAsia="黑体"/>
          <w:b w:val="0"/>
          <w:color w:val="auto"/>
          <w:highlight w:val="none"/>
        </w:rPr>
        <w:t>政拨款收入支出决算总体情况说明</w:t>
      </w:r>
      <w:bookmarkEnd w:id="38"/>
      <w:bookmarkEnd w:id="39"/>
      <w:bookmarkEnd w:id="40"/>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年财政拨款收、支总计</w:t>
      </w:r>
      <w:r>
        <w:rPr>
          <w:rFonts w:hint="eastAsia" w:ascii="仿宋_GB2312" w:hAnsi="仿宋_GB2312" w:eastAsia="仿宋_GB2312" w:cs="仿宋_GB2312"/>
          <w:color w:val="auto"/>
          <w:sz w:val="32"/>
          <w:szCs w:val="32"/>
          <w:highlight w:val="none"/>
          <w:lang w:val="en-US" w:eastAsia="zh-CN"/>
        </w:rPr>
        <w:t>87.13</w:t>
      </w:r>
      <w:r>
        <w:rPr>
          <w:rFonts w:hint="eastAsia" w:ascii="仿宋_GB2312" w:hAnsi="仿宋_GB2312" w:eastAsia="仿宋_GB2312" w:cs="仿宋_GB2312"/>
          <w:color w:val="auto"/>
          <w:sz w:val="32"/>
          <w:szCs w:val="32"/>
          <w:highlight w:val="none"/>
        </w:rPr>
        <w:t>万元。与20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年相比，财政拨款收、支总计各增加</w:t>
      </w:r>
      <w:r>
        <w:rPr>
          <w:rFonts w:hint="eastAsia" w:ascii="仿宋_GB2312" w:hAnsi="仿宋_GB2312" w:eastAsia="仿宋_GB2312" w:cs="仿宋_GB2312"/>
          <w:color w:val="auto"/>
          <w:sz w:val="32"/>
          <w:szCs w:val="32"/>
          <w:highlight w:val="none"/>
          <w:lang w:val="en-US" w:eastAsia="zh-CN"/>
        </w:rPr>
        <w:t>24.26</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38.59</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color w:val="auto"/>
          <w:sz w:val="32"/>
          <w:szCs w:val="32"/>
          <w:highlight w:val="none"/>
          <w:lang w:eastAsia="zh-CN"/>
        </w:rPr>
        <w:t>区关工委机改将办公室设在我单位，导致</w:t>
      </w:r>
      <w:r>
        <w:rPr>
          <w:rFonts w:hint="eastAsia" w:ascii="仿宋_GB2312" w:hAnsi="仿宋_GB2312" w:eastAsia="仿宋_GB2312" w:cs="仿宋_GB2312"/>
          <w:b w:val="0"/>
          <w:bCs w:val="0"/>
          <w:sz w:val="32"/>
          <w:szCs w:val="32"/>
          <w:lang w:eastAsia="zh-CN"/>
        </w:rPr>
        <w:t>项目增加、人员经费增加</w:t>
      </w:r>
      <w:r>
        <w:rPr>
          <w:rFonts w:hint="eastAsia" w:ascii="仿宋_GB2312" w:hAnsi="仿宋_GB2312" w:eastAsia="仿宋_GB2312" w:cs="仿宋_GB2312"/>
          <w:b w:val="0"/>
          <w:bCs w:val="0"/>
          <w:sz w:val="32"/>
          <w:szCs w:val="32"/>
          <w:lang w:val="en-US" w:eastAsia="zh-CN"/>
        </w:rPr>
        <w:t>和2022年将目标绩效纳入年初预算</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 w:hAnsi="仿宋" w:eastAsia="仿宋"/>
          <w:color w:val="auto"/>
          <w:sz w:val="32"/>
          <w:szCs w:val="32"/>
          <w:highlight w:val="none"/>
        </w:rPr>
      </w:pPr>
      <w:r>
        <w:rPr>
          <w:rFonts w:hint="eastAsia" w:ascii="仿宋" w:hAnsi="仿宋" w:eastAsia="仿宋"/>
          <w:sz w:val="32"/>
          <w:szCs w:val="32"/>
          <w:lang w:val="en-US" w:eastAsia="zh-CN"/>
        </w:rPr>
        <w:t xml:space="preserve">     </w:t>
      </w:r>
      <w:r>
        <w:rPr>
          <w:rFonts w:hint="eastAsia" w:ascii="仿宋" w:hAnsi="仿宋" w:eastAsia="仿宋"/>
          <w:sz w:val="32"/>
          <w:szCs w:val="32"/>
        </w:rPr>
        <w:drawing>
          <wp:inline distT="0" distB="0" distL="114300" distR="114300">
            <wp:extent cx="4382770" cy="1957705"/>
            <wp:effectExtent l="4445" t="4445" r="13335" b="1905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（图4：财政拨款收、支决算总计变动情况）（柱状图）</w:t>
      </w:r>
    </w:p>
    <w:p>
      <w:pPr>
        <w:spacing w:line="600" w:lineRule="exact"/>
        <w:ind w:firstLine="640" w:firstLineChars="200"/>
        <w:outlineLvl w:val="1"/>
        <w:rPr>
          <w:rStyle w:val="29"/>
          <w:rFonts w:ascii="黑体" w:hAnsi="黑体" w:eastAsia="黑体"/>
          <w:b w:val="0"/>
          <w:color w:val="auto"/>
          <w:highlight w:val="none"/>
        </w:rPr>
      </w:pPr>
      <w:bookmarkStart w:id="41" w:name="_Toc15396607"/>
      <w:bookmarkStart w:id="42" w:name="_Toc15377209"/>
      <w:bookmarkStart w:id="43" w:name="_Toc19562"/>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般公共预算财政拨款支出决算情况说明</w:t>
      </w:r>
      <w:bookmarkEnd w:id="41"/>
      <w:bookmarkEnd w:id="42"/>
      <w:bookmarkEnd w:id="43"/>
    </w:p>
    <w:p>
      <w:pPr>
        <w:spacing w:line="600" w:lineRule="exact"/>
        <w:ind w:firstLine="640" w:firstLineChars="200"/>
        <w:outlineLvl w:val="2"/>
        <w:rPr>
          <w:rFonts w:hint="eastAsia" w:ascii="楷体_GB2312" w:hAnsi="楷体_GB2312" w:eastAsia="楷体_GB2312" w:cs="楷体_GB2312"/>
          <w:b w:val="0"/>
          <w:bCs/>
          <w:color w:val="auto"/>
          <w:sz w:val="32"/>
          <w:szCs w:val="32"/>
          <w:highlight w:val="none"/>
        </w:rPr>
      </w:pPr>
      <w:bookmarkStart w:id="44" w:name="_Toc15377210"/>
      <w:bookmarkStart w:id="45" w:name="_Toc26611"/>
      <w:r>
        <w:rPr>
          <w:rFonts w:hint="eastAsia" w:ascii="楷体_GB2312" w:hAnsi="楷体_GB2312" w:eastAsia="楷体_GB2312" w:cs="楷体_GB2312"/>
          <w:b w:val="0"/>
          <w:bCs/>
          <w:color w:val="auto"/>
          <w:sz w:val="32"/>
          <w:szCs w:val="32"/>
          <w:highlight w:val="none"/>
        </w:rPr>
        <w:t>（一）一般公共预算财政拨款支出决算总体情况</w:t>
      </w:r>
      <w:bookmarkEnd w:id="44"/>
      <w:bookmarkEnd w:id="45"/>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年一般公共预算财政拨款支出</w:t>
      </w:r>
      <w:r>
        <w:rPr>
          <w:rFonts w:hint="eastAsia" w:ascii="仿宋_GB2312" w:hAnsi="仿宋_GB2312" w:eastAsia="仿宋_GB2312" w:cs="仿宋_GB2312"/>
          <w:color w:val="auto"/>
          <w:sz w:val="32"/>
          <w:szCs w:val="32"/>
          <w:highlight w:val="none"/>
          <w:lang w:val="en-US" w:eastAsia="zh-CN"/>
        </w:rPr>
        <w:t>87.13</w:t>
      </w:r>
      <w:r>
        <w:rPr>
          <w:rFonts w:hint="eastAsia" w:ascii="仿宋_GB2312" w:hAnsi="仿宋_GB2312" w:eastAsia="仿宋_GB2312" w:cs="仿宋_GB2312"/>
          <w:color w:val="auto"/>
          <w:sz w:val="32"/>
          <w:szCs w:val="32"/>
          <w:highlight w:val="none"/>
        </w:rPr>
        <w:t>万元，占本年支出合计的</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%。与20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年相比，一般公共预算财政拨款</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增加</w:t>
      </w:r>
      <w:r>
        <w:rPr>
          <w:rFonts w:hint="eastAsia" w:ascii="仿宋_GB2312" w:hAnsi="仿宋_GB2312" w:eastAsia="仿宋_GB2312" w:cs="仿宋_GB2312"/>
          <w:color w:val="auto"/>
          <w:sz w:val="32"/>
          <w:szCs w:val="32"/>
          <w:highlight w:val="none"/>
          <w:lang w:val="en-US" w:eastAsia="zh-CN"/>
        </w:rPr>
        <w:t>24.26</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38.59</w:t>
      </w:r>
      <w:r>
        <w:rPr>
          <w:rFonts w:hint="eastAsia" w:ascii="仿宋_GB2312" w:hAnsi="仿宋_GB2312" w:eastAsia="仿宋_GB2312" w:cs="仿宋_GB2312"/>
          <w:color w:val="auto"/>
          <w:sz w:val="32"/>
          <w:szCs w:val="32"/>
          <w:highlight w:val="none"/>
        </w:rPr>
        <w:t>%。主要变动原因是</w:t>
      </w:r>
      <w:r>
        <w:rPr>
          <w:rFonts w:hint="eastAsia" w:ascii="仿宋_GB2312" w:hAnsi="仿宋_GB2312" w:eastAsia="仿宋_GB2312" w:cs="仿宋_GB2312"/>
          <w:color w:val="auto"/>
          <w:sz w:val="32"/>
          <w:szCs w:val="32"/>
          <w:highlight w:val="none"/>
          <w:lang w:eastAsia="zh-CN"/>
        </w:rPr>
        <w:t>区关工委机改将办公室设在我单位，导致</w:t>
      </w:r>
      <w:r>
        <w:rPr>
          <w:rFonts w:hint="eastAsia" w:ascii="仿宋_GB2312" w:hAnsi="仿宋_GB2312" w:eastAsia="仿宋_GB2312" w:cs="仿宋_GB2312"/>
          <w:b w:val="0"/>
          <w:bCs w:val="0"/>
          <w:sz w:val="32"/>
          <w:szCs w:val="32"/>
          <w:lang w:eastAsia="zh-CN"/>
        </w:rPr>
        <w:t>项目增加、人员经费增加</w:t>
      </w:r>
      <w:r>
        <w:rPr>
          <w:rFonts w:hint="eastAsia" w:ascii="仿宋_GB2312" w:hAnsi="仿宋_GB2312" w:eastAsia="仿宋_GB2312" w:cs="仿宋_GB2312"/>
          <w:b w:val="0"/>
          <w:bCs w:val="0"/>
          <w:sz w:val="32"/>
          <w:szCs w:val="32"/>
          <w:lang w:val="en-US" w:eastAsia="zh-CN"/>
        </w:rPr>
        <w:t>和2022年将目标绩效纳入年初预算</w:t>
      </w:r>
      <w:r>
        <w:rPr>
          <w:rFonts w:hint="eastAsia" w:ascii="仿宋_GB2312" w:hAnsi="仿宋_GB2312" w:eastAsia="仿宋_GB2312" w:cs="仿宋_GB2312"/>
          <w:b w:val="0"/>
          <w:bCs w:val="0"/>
          <w:sz w:val="32"/>
          <w:szCs w:val="32"/>
          <w:lang w:eastAsia="zh-CN"/>
        </w:rPr>
        <w:t>。</w:t>
      </w:r>
    </w:p>
    <w:p>
      <w:pPr>
        <w:pStyle w:val="5"/>
        <w:spacing w:beforeLines="0"/>
        <w:jc w:val="center"/>
        <w:rPr>
          <w:rFonts w:ascii="仿宋" w:hAnsi="仿宋" w:eastAsia="仿宋"/>
          <w:color w:val="auto"/>
          <w:sz w:val="32"/>
          <w:szCs w:val="32"/>
          <w:highlight w:val="none"/>
        </w:rPr>
      </w:pPr>
      <w:r>
        <w:rPr>
          <w:rFonts w:hint="eastAsia" w:ascii="仿宋" w:hAnsi="仿宋" w:eastAsia="仿宋"/>
          <w:sz w:val="32"/>
          <w:szCs w:val="32"/>
        </w:rPr>
        <w:drawing>
          <wp:inline distT="0" distB="0" distL="114300" distR="114300">
            <wp:extent cx="3971925" cy="2764155"/>
            <wp:effectExtent l="4445" t="4445" r="5080" b="1270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rPr>
          <w:rFonts w:hint="eastAsia" w:ascii="仿宋_GB2312" w:hAnsi="仿宋_GB2312" w:eastAsia="仿宋_GB2312" w:cs="仿宋_GB2312"/>
          <w:color w:val="auto"/>
          <w:spacing w:val="-20"/>
          <w:sz w:val="32"/>
          <w:szCs w:val="32"/>
          <w:highlight w:val="none"/>
        </w:rPr>
      </w:pPr>
      <w:r>
        <w:rPr>
          <w:rFonts w:hint="eastAsia" w:ascii="仿宋_GB2312" w:hAnsi="仿宋_GB2312" w:eastAsia="仿宋_GB2312" w:cs="仿宋_GB2312"/>
          <w:color w:val="auto"/>
          <w:spacing w:val="-20"/>
          <w:sz w:val="32"/>
          <w:szCs w:val="32"/>
          <w:highlight w:val="none"/>
        </w:rPr>
        <w:t>（图5：一般公共预算财政拨款支出决算变动情况）（柱状图）</w:t>
      </w:r>
    </w:p>
    <w:p>
      <w:pPr>
        <w:spacing w:line="600" w:lineRule="exact"/>
        <w:ind w:firstLine="640" w:firstLineChars="200"/>
        <w:outlineLvl w:val="2"/>
        <w:rPr>
          <w:rFonts w:hint="eastAsia" w:ascii="楷体_GB2312" w:hAnsi="楷体_GB2312" w:eastAsia="楷体_GB2312" w:cs="楷体_GB2312"/>
          <w:b w:val="0"/>
          <w:bCs/>
          <w:color w:val="auto"/>
          <w:sz w:val="32"/>
          <w:szCs w:val="32"/>
          <w:highlight w:val="none"/>
        </w:rPr>
      </w:pPr>
      <w:bookmarkStart w:id="46" w:name="_Toc15377211"/>
      <w:bookmarkStart w:id="47" w:name="_Toc25592"/>
      <w:r>
        <w:rPr>
          <w:rFonts w:hint="eastAsia" w:ascii="楷体_GB2312" w:hAnsi="楷体_GB2312" w:eastAsia="楷体_GB2312" w:cs="楷体_GB2312"/>
          <w:b w:val="0"/>
          <w:bCs/>
          <w:color w:val="auto"/>
          <w:sz w:val="32"/>
          <w:szCs w:val="32"/>
          <w:highlight w:val="none"/>
        </w:rPr>
        <w:t>（二）一般公共预算财政拨款支出决算结构情况</w:t>
      </w:r>
      <w:bookmarkEnd w:id="46"/>
      <w:bookmarkEnd w:id="47"/>
    </w:p>
    <w:p>
      <w:pPr>
        <w:spacing w:line="600" w:lineRule="exact"/>
        <w:ind w:firstLine="640"/>
        <w:rPr>
          <w:rFonts w:ascii="仿宋" w:hAnsi="仿宋" w:eastAsia="仿宋"/>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年一般公共预算财政拨款支出</w:t>
      </w:r>
      <w:r>
        <w:rPr>
          <w:rFonts w:hint="eastAsia" w:ascii="仿宋_GB2312" w:hAnsi="仿宋_GB2312" w:eastAsia="仿宋_GB2312" w:cs="仿宋_GB2312"/>
          <w:color w:val="auto"/>
          <w:sz w:val="32"/>
          <w:szCs w:val="32"/>
          <w:highlight w:val="none"/>
          <w:lang w:val="en-US" w:eastAsia="zh-CN"/>
        </w:rPr>
        <w:t>87.13</w:t>
      </w:r>
      <w:r>
        <w:rPr>
          <w:rFonts w:hint="eastAsia" w:ascii="仿宋_GB2312" w:hAnsi="仿宋_GB2312" w:eastAsia="仿宋_GB2312" w:cs="仿宋_GB2312"/>
          <w:color w:val="auto"/>
          <w:sz w:val="32"/>
          <w:szCs w:val="32"/>
          <w:highlight w:val="none"/>
        </w:rPr>
        <w:t>万元，主要用于以下方面:</w:t>
      </w:r>
      <w:r>
        <w:rPr>
          <w:rFonts w:hint="eastAsia" w:ascii="仿宋_GB2312" w:hAnsi="仿宋_GB2312" w:eastAsia="仿宋_GB2312" w:cs="仿宋_GB2312"/>
          <w:b/>
          <w:color w:val="auto"/>
          <w:sz w:val="32"/>
          <w:szCs w:val="32"/>
          <w:highlight w:val="none"/>
        </w:rPr>
        <w:t>一般公共服务</w:t>
      </w:r>
      <w:r>
        <w:rPr>
          <w:rFonts w:hint="eastAsia" w:ascii="仿宋_GB2312" w:hAnsi="仿宋_GB2312" w:eastAsia="仿宋_GB2312" w:cs="仿宋_GB2312"/>
          <w:b/>
          <w:bCs/>
          <w:color w:val="auto"/>
          <w:sz w:val="32"/>
          <w:szCs w:val="32"/>
          <w:highlight w:val="none"/>
        </w:rPr>
        <w:t>支出</w:t>
      </w:r>
      <w:r>
        <w:rPr>
          <w:rFonts w:hint="eastAsia" w:ascii="仿宋_GB2312" w:hAnsi="仿宋_GB2312" w:eastAsia="仿宋_GB2312" w:cs="仿宋_GB2312"/>
          <w:color w:val="auto"/>
          <w:sz w:val="32"/>
          <w:szCs w:val="32"/>
          <w:highlight w:val="none"/>
          <w:lang w:val="en-US" w:eastAsia="zh-CN"/>
        </w:rPr>
        <w:t>77.75</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89.23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color w:val="auto"/>
          <w:sz w:val="32"/>
          <w:szCs w:val="32"/>
          <w:highlight w:val="none"/>
        </w:rPr>
        <w:t>社会保障和就业</w:t>
      </w:r>
      <w:r>
        <w:rPr>
          <w:rFonts w:hint="eastAsia" w:ascii="仿宋_GB2312" w:hAnsi="仿宋_GB2312" w:eastAsia="仿宋_GB2312" w:cs="仿宋_GB2312"/>
          <w:b/>
          <w:bCs/>
          <w:color w:val="auto"/>
          <w:sz w:val="32"/>
          <w:szCs w:val="32"/>
          <w:highlight w:val="none"/>
        </w:rPr>
        <w:t>支出</w:t>
      </w:r>
      <w:r>
        <w:rPr>
          <w:rFonts w:hint="eastAsia" w:ascii="仿宋_GB2312" w:hAnsi="仿宋_GB2312" w:eastAsia="仿宋_GB2312" w:cs="仿宋_GB2312"/>
          <w:color w:val="auto"/>
          <w:sz w:val="32"/>
          <w:szCs w:val="32"/>
          <w:highlight w:val="none"/>
          <w:lang w:val="en-US" w:eastAsia="zh-CN"/>
        </w:rPr>
        <w:t>3.92</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4.5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卫生健康支出</w:t>
      </w:r>
      <w:r>
        <w:rPr>
          <w:rFonts w:hint="eastAsia" w:ascii="仿宋_GB2312" w:hAnsi="仿宋_GB2312" w:eastAsia="仿宋_GB2312" w:cs="仿宋_GB2312"/>
          <w:color w:val="auto"/>
          <w:sz w:val="32"/>
          <w:szCs w:val="32"/>
          <w:highlight w:val="none"/>
          <w:lang w:val="en-US" w:eastAsia="zh-CN"/>
        </w:rPr>
        <w:t>1.83</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住房保障支出</w:t>
      </w:r>
      <w:r>
        <w:rPr>
          <w:rFonts w:hint="eastAsia" w:ascii="仿宋_GB2312" w:hAnsi="仿宋_GB2312" w:eastAsia="仿宋_GB2312" w:cs="仿宋_GB2312"/>
          <w:color w:val="auto"/>
          <w:sz w:val="32"/>
          <w:szCs w:val="32"/>
          <w:highlight w:val="none"/>
          <w:lang w:val="en-US" w:eastAsia="zh-CN"/>
        </w:rPr>
        <w:t>3.63</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4.17</w:t>
      </w:r>
      <w:r>
        <w:rPr>
          <w:rFonts w:hint="eastAsia" w:ascii="仿宋_GB2312" w:hAnsi="仿宋_GB2312" w:eastAsia="仿宋_GB2312" w:cs="仿宋_GB2312"/>
          <w:color w:val="auto"/>
          <w:sz w:val="32"/>
          <w:szCs w:val="32"/>
          <w:highlight w:val="none"/>
        </w:rPr>
        <w:t>%。</w:t>
      </w:r>
    </w:p>
    <w:p>
      <w:pPr>
        <w:pStyle w:val="5"/>
      </w:pPr>
      <w:r>
        <w:rPr>
          <w:rFonts w:hint="eastAsia" w:ascii="仿宋" w:hAnsi="仿宋" w:eastAsia="仿宋"/>
          <w:sz w:val="32"/>
          <w:szCs w:val="32"/>
          <w:lang w:val="en-US" w:eastAsia="zh-CN"/>
        </w:rPr>
        <w:t xml:space="preserve">      </w:t>
      </w:r>
      <w:r>
        <w:rPr>
          <w:rFonts w:hint="eastAsia" w:ascii="仿宋" w:hAnsi="仿宋" w:eastAsia="仿宋"/>
          <w:sz w:val="32"/>
          <w:szCs w:val="32"/>
        </w:rPr>
        <w:drawing>
          <wp:inline distT="0" distB="0" distL="114300" distR="114300">
            <wp:extent cx="3985895" cy="3006090"/>
            <wp:effectExtent l="4445" t="4445" r="10160" b="1841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（图6：一般公共预算财政拨款支出决算结构）（饼状图）</w:t>
      </w:r>
    </w:p>
    <w:p>
      <w:pPr>
        <w:spacing w:line="600" w:lineRule="exact"/>
        <w:ind w:firstLine="640" w:firstLineChars="200"/>
        <w:outlineLvl w:val="2"/>
        <w:rPr>
          <w:rFonts w:hint="eastAsia" w:ascii="楷体_GB2312" w:hAnsi="楷体_GB2312" w:eastAsia="楷体_GB2312" w:cs="楷体_GB2312"/>
          <w:b w:val="0"/>
          <w:bCs/>
          <w:color w:val="auto"/>
          <w:sz w:val="32"/>
          <w:szCs w:val="32"/>
          <w:highlight w:val="none"/>
        </w:rPr>
      </w:pPr>
      <w:bookmarkStart w:id="48" w:name="_Toc15377212"/>
      <w:bookmarkStart w:id="49" w:name="_Toc23741"/>
      <w:r>
        <w:rPr>
          <w:rFonts w:hint="eastAsia" w:ascii="楷体_GB2312" w:hAnsi="楷体_GB2312" w:eastAsia="楷体_GB2312" w:cs="楷体_GB2312"/>
          <w:b w:val="0"/>
          <w:bCs/>
          <w:color w:val="auto"/>
          <w:sz w:val="32"/>
          <w:szCs w:val="32"/>
          <w:highlight w:val="none"/>
        </w:rPr>
        <w:t>（三）一般公共预算财政拨款支出决算具体情况</w:t>
      </w:r>
      <w:bookmarkEnd w:id="48"/>
      <w:bookmarkEnd w:id="49"/>
    </w:p>
    <w:p>
      <w:pPr>
        <w:spacing w:line="600" w:lineRule="exact"/>
        <w:ind w:firstLine="643" w:firstLineChars="200"/>
        <w:outlineLvl w:val="2"/>
        <w:rPr>
          <w:rFonts w:hint="eastAsia" w:ascii="仿宋_GB2312" w:hAnsi="仿宋_GB2312" w:eastAsia="仿宋_GB2312" w:cs="仿宋_GB2312"/>
          <w:color w:val="auto"/>
          <w:sz w:val="32"/>
          <w:szCs w:val="32"/>
          <w:highlight w:val="none"/>
        </w:rPr>
      </w:pPr>
      <w:bookmarkStart w:id="50" w:name="_Toc15377213"/>
      <w:bookmarkStart w:id="51" w:name="_Toc15377444"/>
      <w:bookmarkStart w:id="52" w:name="_Toc15378460"/>
      <w:bookmarkStart w:id="53" w:name="_Toc25057"/>
      <w:r>
        <w:rPr>
          <w:rFonts w:hint="eastAsia" w:ascii="仿宋_GB2312" w:hAnsi="仿宋_GB2312" w:eastAsia="仿宋_GB2312" w:cs="仿宋_GB2312"/>
          <w:b/>
          <w:color w:val="auto"/>
          <w:sz w:val="32"/>
          <w:szCs w:val="32"/>
          <w:highlight w:val="none"/>
        </w:rPr>
        <w:t>20</w:t>
      </w:r>
      <w:r>
        <w:rPr>
          <w:rFonts w:hint="eastAsia" w:ascii="仿宋_GB2312" w:hAnsi="仿宋_GB2312" w:eastAsia="仿宋_GB2312" w:cs="仿宋_GB2312"/>
          <w:b/>
          <w:color w:val="auto"/>
          <w:sz w:val="32"/>
          <w:szCs w:val="32"/>
          <w:highlight w:val="none"/>
          <w:lang w:val="en-US" w:eastAsia="zh-CN"/>
        </w:rPr>
        <w:t>22</w:t>
      </w:r>
      <w:r>
        <w:rPr>
          <w:rFonts w:hint="eastAsia" w:ascii="仿宋_GB2312" w:hAnsi="仿宋_GB2312" w:eastAsia="仿宋_GB2312" w:cs="仿宋_GB2312"/>
          <w:b/>
          <w:color w:val="auto"/>
          <w:sz w:val="32"/>
          <w:szCs w:val="32"/>
          <w:highlight w:val="none"/>
        </w:rPr>
        <w:t>年</w:t>
      </w:r>
      <w:r>
        <w:rPr>
          <w:rFonts w:hint="eastAsia" w:ascii="仿宋_GB2312" w:hAnsi="仿宋_GB2312" w:eastAsia="仿宋_GB2312" w:cs="仿宋_GB2312"/>
          <w:b/>
          <w:color w:val="auto"/>
          <w:sz w:val="32"/>
          <w:szCs w:val="32"/>
          <w:highlight w:val="none"/>
          <w:lang w:eastAsia="zh-CN"/>
        </w:rPr>
        <w:t>一</w:t>
      </w:r>
      <w:r>
        <w:rPr>
          <w:rFonts w:hint="eastAsia" w:ascii="仿宋_GB2312" w:hAnsi="仿宋_GB2312" w:eastAsia="仿宋_GB2312" w:cs="仿宋_GB2312"/>
          <w:b/>
          <w:color w:val="auto"/>
          <w:sz w:val="32"/>
          <w:szCs w:val="32"/>
          <w:highlight w:val="none"/>
        </w:rPr>
        <w:t>般公共预算支出决算数为</w:t>
      </w:r>
      <w:r>
        <w:rPr>
          <w:rFonts w:hint="eastAsia" w:ascii="仿宋_GB2312" w:hAnsi="仿宋_GB2312" w:eastAsia="仿宋_GB2312" w:cs="仿宋_GB2312"/>
          <w:b/>
          <w:color w:val="auto"/>
          <w:sz w:val="32"/>
          <w:szCs w:val="32"/>
          <w:highlight w:val="none"/>
          <w:lang w:val="en-US" w:eastAsia="zh-CN"/>
        </w:rPr>
        <w:t>87.13万元</w:t>
      </w:r>
      <w:r>
        <w:rPr>
          <w:rFonts w:hint="eastAsia" w:ascii="仿宋_GB2312" w:hAnsi="仿宋_GB2312" w:eastAsia="仿宋_GB2312" w:cs="仿宋_GB2312"/>
          <w:color w:val="auto"/>
          <w:sz w:val="32"/>
          <w:szCs w:val="32"/>
          <w:highlight w:val="none"/>
        </w:rPr>
        <w:t>，</w:t>
      </w:r>
      <w:r>
        <w:rPr>
          <w:rStyle w:val="17"/>
          <w:rFonts w:hint="eastAsia" w:ascii="仿宋_GB2312" w:hAnsi="仿宋_GB2312" w:eastAsia="仿宋_GB2312" w:cs="仿宋_GB2312"/>
          <w:bCs/>
          <w:color w:val="auto"/>
          <w:sz w:val="32"/>
          <w:szCs w:val="32"/>
          <w:highlight w:val="none"/>
        </w:rPr>
        <w:t>完成预算</w:t>
      </w:r>
      <w:r>
        <w:rPr>
          <w:rStyle w:val="17"/>
          <w:rFonts w:hint="eastAsia" w:ascii="仿宋_GB2312" w:hAnsi="仿宋_GB2312" w:eastAsia="仿宋_GB2312" w:cs="仿宋_GB2312"/>
          <w:bCs/>
          <w:color w:val="auto"/>
          <w:sz w:val="32"/>
          <w:szCs w:val="32"/>
          <w:highlight w:val="none"/>
          <w:lang w:val="en-US" w:eastAsia="zh-CN"/>
        </w:rPr>
        <w:t>100</w:t>
      </w:r>
      <w:r>
        <w:rPr>
          <w:rStyle w:val="17"/>
          <w:rFonts w:hint="eastAsia" w:ascii="仿宋_GB2312" w:hAnsi="仿宋_GB2312" w:eastAsia="仿宋_GB2312" w:cs="仿宋_GB2312"/>
          <w:bCs/>
          <w:color w:val="auto"/>
          <w:sz w:val="32"/>
          <w:szCs w:val="32"/>
          <w:highlight w:val="none"/>
        </w:rPr>
        <w:t>%。其中：</w:t>
      </w:r>
      <w:bookmarkEnd w:id="50"/>
      <w:bookmarkEnd w:id="51"/>
      <w:bookmarkEnd w:id="52"/>
      <w:bookmarkEnd w:id="53"/>
    </w:p>
    <w:p>
      <w:pPr>
        <w:spacing w:line="600" w:lineRule="exact"/>
        <w:ind w:firstLine="643" w:firstLineChars="200"/>
        <w:rPr>
          <w:rStyle w:val="17"/>
          <w:rFonts w:hint="eastAsia" w:ascii="仿宋_GB2312" w:hAnsi="仿宋_GB2312" w:eastAsia="仿宋_GB2312" w:cs="仿宋_GB2312"/>
          <w:b w:val="0"/>
          <w:bCs/>
          <w:color w:val="auto"/>
          <w:sz w:val="32"/>
          <w:szCs w:val="32"/>
          <w:highlight w:val="none"/>
        </w:rPr>
      </w:pPr>
      <w:r>
        <w:rPr>
          <w:rStyle w:val="17"/>
          <w:rFonts w:hint="eastAsia" w:ascii="仿宋_GB2312" w:hAnsi="仿宋_GB2312" w:eastAsia="仿宋_GB2312" w:cs="仿宋_GB2312"/>
          <w:bCs/>
          <w:color w:val="auto"/>
          <w:sz w:val="32"/>
          <w:szCs w:val="32"/>
          <w:highlight w:val="none"/>
        </w:rPr>
        <w:t>1.一般公共服务（类）</w:t>
      </w:r>
      <w:r>
        <w:rPr>
          <w:rStyle w:val="17"/>
          <w:rFonts w:hint="eastAsia" w:ascii="仿宋_GB2312" w:hAnsi="仿宋_GB2312" w:eastAsia="仿宋_GB2312" w:cs="仿宋_GB2312"/>
          <w:bCs/>
          <w:color w:val="auto"/>
          <w:sz w:val="32"/>
          <w:szCs w:val="32"/>
          <w:highlight w:val="none"/>
          <w:lang w:val="en-US" w:eastAsia="zh-CN"/>
        </w:rPr>
        <w:t>群众团体事务支出</w:t>
      </w:r>
      <w:r>
        <w:rPr>
          <w:rStyle w:val="17"/>
          <w:rFonts w:hint="eastAsia" w:ascii="仿宋_GB2312" w:hAnsi="仿宋_GB2312" w:eastAsia="仿宋_GB2312" w:cs="仿宋_GB2312"/>
          <w:bCs/>
          <w:color w:val="auto"/>
          <w:sz w:val="32"/>
          <w:szCs w:val="32"/>
          <w:highlight w:val="none"/>
        </w:rPr>
        <w:t>（款）</w:t>
      </w:r>
      <w:r>
        <w:rPr>
          <w:rStyle w:val="17"/>
          <w:rFonts w:hint="eastAsia" w:ascii="仿宋_GB2312" w:hAnsi="仿宋_GB2312" w:eastAsia="仿宋_GB2312" w:cs="仿宋_GB2312"/>
          <w:bCs/>
          <w:color w:val="auto"/>
          <w:sz w:val="32"/>
          <w:szCs w:val="32"/>
          <w:highlight w:val="none"/>
          <w:lang w:val="en-US" w:eastAsia="zh-CN"/>
        </w:rPr>
        <w:t>其他群众团体事务支出</w:t>
      </w:r>
      <w:r>
        <w:rPr>
          <w:rStyle w:val="17"/>
          <w:rFonts w:hint="eastAsia" w:ascii="仿宋_GB2312" w:hAnsi="仿宋_GB2312" w:eastAsia="仿宋_GB2312" w:cs="仿宋_GB2312"/>
          <w:bCs/>
          <w:color w:val="auto"/>
          <w:sz w:val="32"/>
          <w:szCs w:val="32"/>
          <w:highlight w:val="none"/>
        </w:rPr>
        <w:t>（项）:</w:t>
      </w:r>
      <w:r>
        <w:rPr>
          <w:rStyle w:val="17"/>
          <w:rFonts w:hint="eastAsia" w:ascii="仿宋_GB2312" w:hAnsi="仿宋_GB2312" w:eastAsia="仿宋_GB2312" w:cs="仿宋_GB2312"/>
          <w:b w:val="0"/>
          <w:bCs/>
          <w:color w:val="auto"/>
          <w:sz w:val="32"/>
          <w:szCs w:val="32"/>
          <w:highlight w:val="none"/>
        </w:rPr>
        <w:t>支出决算为</w:t>
      </w:r>
      <w:r>
        <w:rPr>
          <w:rStyle w:val="17"/>
          <w:rFonts w:hint="eastAsia" w:ascii="仿宋_GB2312" w:hAnsi="仿宋_GB2312" w:eastAsia="仿宋_GB2312" w:cs="仿宋_GB2312"/>
          <w:b w:val="0"/>
          <w:bCs/>
          <w:color w:val="auto"/>
          <w:sz w:val="32"/>
          <w:szCs w:val="32"/>
          <w:highlight w:val="none"/>
          <w:lang w:val="en-US" w:eastAsia="zh-CN"/>
        </w:rPr>
        <w:t>5</w:t>
      </w:r>
      <w:r>
        <w:rPr>
          <w:rStyle w:val="17"/>
          <w:rFonts w:hint="eastAsia" w:ascii="仿宋_GB2312" w:hAnsi="仿宋_GB2312" w:eastAsia="仿宋_GB2312" w:cs="仿宋_GB2312"/>
          <w:b w:val="0"/>
          <w:bCs/>
          <w:color w:val="auto"/>
          <w:sz w:val="32"/>
          <w:szCs w:val="32"/>
          <w:highlight w:val="none"/>
        </w:rPr>
        <w:t>万元，完成预算</w:t>
      </w:r>
      <w:r>
        <w:rPr>
          <w:rStyle w:val="17"/>
          <w:rFonts w:hint="eastAsia" w:ascii="仿宋_GB2312" w:hAnsi="仿宋_GB2312" w:eastAsia="仿宋_GB2312" w:cs="仿宋_GB2312"/>
          <w:b w:val="0"/>
          <w:bCs/>
          <w:color w:val="auto"/>
          <w:sz w:val="32"/>
          <w:szCs w:val="32"/>
          <w:highlight w:val="none"/>
          <w:lang w:val="en-US" w:eastAsia="zh-CN"/>
        </w:rPr>
        <w:t>100</w:t>
      </w:r>
      <w:r>
        <w:rPr>
          <w:rStyle w:val="17"/>
          <w:rFonts w:hint="eastAsia" w:ascii="仿宋_GB2312" w:hAnsi="仿宋_GB2312" w:eastAsia="仿宋_GB2312" w:cs="仿宋_GB2312"/>
          <w:b w:val="0"/>
          <w:bCs/>
          <w:color w:val="auto"/>
          <w:sz w:val="32"/>
          <w:szCs w:val="32"/>
          <w:highlight w:val="none"/>
        </w:rPr>
        <w:t>%，决算数等于预算数。</w:t>
      </w:r>
    </w:p>
    <w:p>
      <w:pPr>
        <w:spacing w:line="600" w:lineRule="exact"/>
        <w:ind w:firstLine="643" w:firstLineChars="200"/>
        <w:rPr>
          <w:rStyle w:val="17"/>
          <w:rFonts w:hint="eastAsia" w:ascii="仿宋_GB2312" w:hAnsi="仿宋_GB2312" w:eastAsia="仿宋_GB2312" w:cs="仿宋_GB2312"/>
          <w:b w:val="0"/>
          <w:bCs/>
          <w:color w:val="auto"/>
          <w:sz w:val="32"/>
          <w:szCs w:val="32"/>
          <w:highlight w:val="none"/>
        </w:rPr>
      </w:pPr>
      <w:r>
        <w:rPr>
          <w:rStyle w:val="17"/>
          <w:rFonts w:hint="eastAsia" w:ascii="仿宋_GB2312" w:hAnsi="仿宋_GB2312" w:eastAsia="仿宋_GB2312" w:cs="仿宋_GB2312"/>
          <w:bCs/>
          <w:color w:val="auto"/>
          <w:sz w:val="32"/>
          <w:szCs w:val="32"/>
          <w:highlight w:val="none"/>
          <w:lang w:val="en-US" w:eastAsia="zh-CN"/>
        </w:rPr>
        <w:t>2</w:t>
      </w:r>
      <w:r>
        <w:rPr>
          <w:rStyle w:val="17"/>
          <w:rFonts w:hint="eastAsia" w:ascii="仿宋_GB2312" w:hAnsi="仿宋_GB2312" w:eastAsia="仿宋_GB2312" w:cs="仿宋_GB2312"/>
          <w:bCs/>
          <w:color w:val="auto"/>
          <w:sz w:val="32"/>
          <w:szCs w:val="32"/>
          <w:highlight w:val="none"/>
        </w:rPr>
        <w:t>.一般公共服务（类）</w:t>
      </w:r>
      <w:r>
        <w:rPr>
          <w:rStyle w:val="17"/>
          <w:rFonts w:hint="eastAsia" w:ascii="仿宋_GB2312" w:hAnsi="仿宋_GB2312" w:eastAsia="仿宋_GB2312" w:cs="仿宋_GB2312"/>
          <w:bCs/>
          <w:color w:val="auto"/>
          <w:sz w:val="32"/>
          <w:szCs w:val="32"/>
          <w:highlight w:val="none"/>
          <w:lang w:val="en-US" w:eastAsia="zh-CN"/>
        </w:rPr>
        <w:t>组织事务支出</w:t>
      </w:r>
      <w:r>
        <w:rPr>
          <w:rStyle w:val="17"/>
          <w:rFonts w:hint="eastAsia" w:ascii="仿宋_GB2312" w:hAnsi="仿宋_GB2312" w:eastAsia="仿宋_GB2312" w:cs="仿宋_GB2312"/>
          <w:bCs/>
          <w:color w:val="auto"/>
          <w:sz w:val="32"/>
          <w:szCs w:val="32"/>
          <w:highlight w:val="none"/>
        </w:rPr>
        <w:t>（款）</w:t>
      </w:r>
      <w:r>
        <w:rPr>
          <w:rStyle w:val="17"/>
          <w:rFonts w:hint="eastAsia" w:ascii="仿宋_GB2312" w:hAnsi="仿宋_GB2312" w:eastAsia="仿宋_GB2312" w:cs="仿宋_GB2312"/>
          <w:bCs/>
          <w:color w:val="auto"/>
          <w:sz w:val="32"/>
          <w:szCs w:val="32"/>
          <w:highlight w:val="none"/>
          <w:lang w:val="en-US" w:eastAsia="zh-CN"/>
        </w:rPr>
        <w:t>事业运行支出</w:t>
      </w:r>
      <w:r>
        <w:rPr>
          <w:rStyle w:val="17"/>
          <w:rFonts w:hint="eastAsia" w:ascii="仿宋_GB2312" w:hAnsi="仿宋_GB2312" w:eastAsia="仿宋_GB2312" w:cs="仿宋_GB2312"/>
          <w:bCs/>
          <w:color w:val="auto"/>
          <w:sz w:val="32"/>
          <w:szCs w:val="32"/>
          <w:highlight w:val="none"/>
        </w:rPr>
        <w:t>（项）:</w:t>
      </w:r>
      <w:r>
        <w:rPr>
          <w:rStyle w:val="17"/>
          <w:rFonts w:hint="eastAsia" w:ascii="仿宋_GB2312" w:hAnsi="仿宋_GB2312" w:eastAsia="仿宋_GB2312" w:cs="仿宋_GB2312"/>
          <w:b w:val="0"/>
          <w:bCs/>
          <w:color w:val="auto"/>
          <w:sz w:val="32"/>
          <w:szCs w:val="32"/>
          <w:highlight w:val="none"/>
        </w:rPr>
        <w:t>支出决算为</w:t>
      </w:r>
      <w:r>
        <w:rPr>
          <w:rStyle w:val="17"/>
          <w:rFonts w:hint="eastAsia" w:ascii="仿宋_GB2312" w:hAnsi="仿宋_GB2312" w:eastAsia="仿宋_GB2312" w:cs="仿宋_GB2312"/>
          <w:b w:val="0"/>
          <w:bCs/>
          <w:color w:val="auto"/>
          <w:sz w:val="32"/>
          <w:szCs w:val="32"/>
          <w:highlight w:val="none"/>
          <w:lang w:val="en-US" w:eastAsia="zh-CN"/>
        </w:rPr>
        <w:t>38.77</w:t>
      </w:r>
      <w:r>
        <w:rPr>
          <w:rStyle w:val="17"/>
          <w:rFonts w:hint="eastAsia" w:ascii="仿宋_GB2312" w:hAnsi="仿宋_GB2312" w:eastAsia="仿宋_GB2312" w:cs="仿宋_GB2312"/>
          <w:b w:val="0"/>
          <w:bCs/>
          <w:color w:val="auto"/>
          <w:sz w:val="32"/>
          <w:szCs w:val="32"/>
          <w:highlight w:val="none"/>
        </w:rPr>
        <w:t>万元，完成预算</w:t>
      </w:r>
      <w:r>
        <w:rPr>
          <w:rStyle w:val="17"/>
          <w:rFonts w:hint="eastAsia" w:ascii="仿宋_GB2312" w:hAnsi="仿宋_GB2312" w:eastAsia="仿宋_GB2312" w:cs="仿宋_GB2312"/>
          <w:b w:val="0"/>
          <w:bCs/>
          <w:color w:val="auto"/>
          <w:sz w:val="32"/>
          <w:szCs w:val="32"/>
          <w:highlight w:val="none"/>
          <w:lang w:val="en-US" w:eastAsia="zh-CN"/>
        </w:rPr>
        <w:t>100</w:t>
      </w:r>
      <w:r>
        <w:rPr>
          <w:rStyle w:val="17"/>
          <w:rFonts w:hint="eastAsia" w:ascii="仿宋_GB2312" w:hAnsi="仿宋_GB2312" w:eastAsia="仿宋_GB2312" w:cs="仿宋_GB2312"/>
          <w:b w:val="0"/>
          <w:bCs/>
          <w:color w:val="auto"/>
          <w:sz w:val="32"/>
          <w:szCs w:val="32"/>
          <w:highlight w:val="none"/>
        </w:rPr>
        <w:t>%，决算数等于预算数。</w:t>
      </w:r>
    </w:p>
    <w:p>
      <w:pPr>
        <w:spacing w:line="600" w:lineRule="exact"/>
        <w:ind w:firstLine="643" w:firstLineChars="200"/>
        <w:rPr>
          <w:rFonts w:hint="eastAsia" w:ascii="仿宋_GB2312" w:hAnsi="仿宋_GB2312" w:eastAsia="仿宋_GB2312" w:cs="仿宋_GB2312"/>
          <w:sz w:val="32"/>
          <w:szCs w:val="32"/>
        </w:rPr>
      </w:pPr>
      <w:r>
        <w:rPr>
          <w:rStyle w:val="17"/>
          <w:rFonts w:hint="eastAsia" w:ascii="仿宋_GB2312" w:hAnsi="仿宋_GB2312" w:eastAsia="仿宋_GB2312" w:cs="仿宋_GB2312"/>
          <w:bCs/>
          <w:color w:val="auto"/>
          <w:sz w:val="32"/>
          <w:szCs w:val="32"/>
          <w:highlight w:val="none"/>
          <w:lang w:val="en-US" w:eastAsia="zh-CN"/>
        </w:rPr>
        <w:t>3</w:t>
      </w:r>
      <w:r>
        <w:rPr>
          <w:rStyle w:val="17"/>
          <w:rFonts w:hint="eastAsia" w:ascii="仿宋_GB2312" w:hAnsi="仿宋_GB2312" w:eastAsia="仿宋_GB2312" w:cs="仿宋_GB2312"/>
          <w:bCs/>
          <w:color w:val="auto"/>
          <w:sz w:val="32"/>
          <w:szCs w:val="32"/>
          <w:highlight w:val="none"/>
        </w:rPr>
        <w:t>.一般公共服务（类）</w:t>
      </w:r>
      <w:r>
        <w:rPr>
          <w:rStyle w:val="17"/>
          <w:rFonts w:hint="eastAsia" w:ascii="仿宋_GB2312" w:hAnsi="仿宋_GB2312" w:eastAsia="仿宋_GB2312" w:cs="仿宋_GB2312"/>
          <w:bCs/>
          <w:color w:val="auto"/>
          <w:sz w:val="32"/>
          <w:szCs w:val="32"/>
          <w:highlight w:val="none"/>
          <w:lang w:val="en-US" w:eastAsia="zh-CN"/>
        </w:rPr>
        <w:t>组织事务支出</w:t>
      </w:r>
      <w:r>
        <w:rPr>
          <w:rStyle w:val="17"/>
          <w:rFonts w:hint="eastAsia" w:ascii="仿宋_GB2312" w:hAnsi="仿宋_GB2312" w:eastAsia="仿宋_GB2312" w:cs="仿宋_GB2312"/>
          <w:bCs/>
          <w:color w:val="auto"/>
          <w:sz w:val="32"/>
          <w:szCs w:val="32"/>
          <w:highlight w:val="none"/>
        </w:rPr>
        <w:t>（款）</w:t>
      </w:r>
      <w:r>
        <w:rPr>
          <w:rStyle w:val="17"/>
          <w:rFonts w:hint="eastAsia" w:ascii="仿宋_GB2312" w:hAnsi="仿宋_GB2312" w:eastAsia="仿宋_GB2312" w:cs="仿宋_GB2312"/>
          <w:bCs/>
          <w:color w:val="auto"/>
          <w:sz w:val="32"/>
          <w:szCs w:val="32"/>
          <w:highlight w:val="none"/>
          <w:lang w:val="en-US" w:eastAsia="zh-CN"/>
        </w:rPr>
        <w:t xml:space="preserve"> 其他组织事务支出</w:t>
      </w:r>
      <w:r>
        <w:rPr>
          <w:rStyle w:val="17"/>
          <w:rFonts w:hint="eastAsia" w:ascii="仿宋_GB2312" w:hAnsi="仿宋_GB2312" w:eastAsia="仿宋_GB2312" w:cs="仿宋_GB2312"/>
          <w:bCs/>
          <w:color w:val="auto"/>
          <w:sz w:val="32"/>
          <w:szCs w:val="32"/>
          <w:highlight w:val="none"/>
        </w:rPr>
        <w:t>（项）:</w:t>
      </w:r>
      <w:r>
        <w:rPr>
          <w:rStyle w:val="17"/>
          <w:rFonts w:hint="eastAsia" w:ascii="仿宋_GB2312" w:hAnsi="仿宋_GB2312" w:eastAsia="仿宋_GB2312" w:cs="仿宋_GB2312"/>
          <w:b w:val="0"/>
          <w:bCs/>
          <w:color w:val="auto"/>
          <w:sz w:val="32"/>
          <w:szCs w:val="32"/>
          <w:highlight w:val="none"/>
        </w:rPr>
        <w:t>支出决算为</w:t>
      </w:r>
      <w:r>
        <w:rPr>
          <w:rStyle w:val="17"/>
          <w:rFonts w:hint="eastAsia" w:ascii="仿宋_GB2312" w:hAnsi="仿宋_GB2312" w:eastAsia="仿宋_GB2312" w:cs="仿宋_GB2312"/>
          <w:b w:val="0"/>
          <w:bCs/>
          <w:color w:val="auto"/>
          <w:sz w:val="32"/>
          <w:szCs w:val="32"/>
          <w:highlight w:val="none"/>
          <w:lang w:val="en-US" w:eastAsia="zh-CN"/>
        </w:rPr>
        <w:t>33.98</w:t>
      </w:r>
      <w:r>
        <w:rPr>
          <w:rStyle w:val="17"/>
          <w:rFonts w:hint="eastAsia" w:ascii="仿宋_GB2312" w:hAnsi="仿宋_GB2312" w:eastAsia="仿宋_GB2312" w:cs="仿宋_GB2312"/>
          <w:b w:val="0"/>
          <w:bCs/>
          <w:color w:val="auto"/>
          <w:sz w:val="32"/>
          <w:szCs w:val="32"/>
          <w:highlight w:val="none"/>
        </w:rPr>
        <w:t>万元，完成预算</w:t>
      </w:r>
      <w:r>
        <w:rPr>
          <w:rStyle w:val="17"/>
          <w:rFonts w:hint="eastAsia" w:ascii="仿宋_GB2312" w:hAnsi="仿宋_GB2312" w:eastAsia="仿宋_GB2312" w:cs="仿宋_GB2312"/>
          <w:b w:val="0"/>
          <w:bCs/>
          <w:color w:val="auto"/>
          <w:sz w:val="32"/>
          <w:szCs w:val="32"/>
          <w:highlight w:val="none"/>
          <w:lang w:val="en-US" w:eastAsia="zh-CN"/>
        </w:rPr>
        <w:t>100</w:t>
      </w:r>
      <w:r>
        <w:rPr>
          <w:rStyle w:val="17"/>
          <w:rFonts w:hint="eastAsia" w:ascii="仿宋_GB2312" w:hAnsi="仿宋_GB2312" w:eastAsia="仿宋_GB2312" w:cs="仿宋_GB2312"/>
          <w:b w:val="0"/>
          <w:bCs/>
          <w:color w:val="auto"/>
          <w:sz w:val="32"/>
          <w:szCs w:val="32"/>
          <w:highlight w:val="none"/>
        </w:rPr>
        <w:t>%，决算数等于预算数。</w:t>
      </w:r>
    </w:p>
    <w:p>
      <w:pPr>
        <w:spacing w:line="600" w:lineRule="exact"/>
        <w:ind w:firstLine="643" w:firstLineChars="200"/>
        <w:rPr>
          <w:rStyle w:val="17"/>
          <w:rFonts w:hint="eastAsia" w:ascii="仿宋_GB2312" w:hAnsi="仿宋_GB2312" w:eastAsia="仿宋_GB2312" w:cs="仿宋_GB2312"/>
          <w:b w:val="0"/>
          <w:bCs/>
          <w:color w:val="auto"/>
          <w:sz w:val="32"/>
          <w:szCs w:val="32"/>
          <w:highlight w:val="none"/>
        </w:rPr>
      </w:pPr>
      <w:r>
        <w:rPr>
          <w:rStyle w:val="17"/>
          <w:rFonts w:hint="eastAsia" w:ascii="仿宋_GB2312" w:hAnsi="仿宋_GB2312" w:eastAsia="仿宋_GB2312" w:cs="仿宋_GB2312"/>
          <w:bCs/>
          <w:color w:val="auto"/>
          <w:sz w:val="32"/>
          <w:szCs w:val="32"/>
          <w:highlight w:val="none"/>
          <w:lang w:val="en-US" w:eastAsia="zh-CN"/>
        </w:rPr>
        <w:t>4</w:t>
      </w:r>
      <w:r>
        <w:rPr>
          <w:rStyle w:val="17"/>
          <w:rFonts w:hint="eastAsia" w:ascii="仿宋_GB2312" w:hAnsi="仿宋_GB2312" w:eastAsia="仿宋_GB2312" w:cs="仿宋_GB2312"/>
          <w:bCs/>
          <w:color w:val="auto"/>
          <w:sz w:val="32"/>
          <w:szCs w:val="32"/>
          <w:highlight w:val="none"/>
        </w:rPr>
        <w:t>.社会保障和就业（类）</w:t>
      </w:r>
      <w:r>
        <w:rPr>
          <w:rStyle w:val="17"/>
          <w:rFonts w:hint="eastAsia" w:ascii="仿宋_GB2312" w:hAnsi="仿宋_GB2312" w:eastAsia="仿宋_GB2312" w:cs="仿宋_GB2312"/>
          <w:bCs/>
          <w:color w:val="auto"/>
          <w:sz w:val="32"/>
          <w:szCs w:val="32"/>
          <w:highlight w:val="none"/>
          <w:lang w:val="en-US" w:eastAsia="zh-CN"/>
        </w:rPr>
        <w:t>行政事业单位养老支出</w:t>
      </w:r>
      <w:r>
        <w:rPr>
          <w:rStyle w:val="17"/>
          <w:rFonts w:hint="eastAsia" w:ascii="仿宋_GB2312" w:hAnsi="仿宋_GB2312" w:eastAsia="仿宋_GB2312" w:cs="仿宋_GB2312"/>
          <w:bCs/>
          <w:color w:val="auto"/>
          <w:sz w:val="32"/>
          <w:szCs w:val="32"/>
          <w:highlight w:val="none"/>
        </w:rPr>
        <w:t>（款）</w:t>
      </w:r>
      <w:r>
        <w:rPr>
          <w:rStyle w:val="17"/>
          <w:rFonts w:hint="eastAsia" w:ascii="仿宋_GB2312" w:hAnsi="仿宋_GB2312" w:eastAsia="仿宋_GB2312" w:cs="仿宋_GB2312"/>
          <w:bCs/>
          <w:color w:val="auto"/>
          <w:sz w:val="32"/>
          <w:szCs w:val="32"/>
          <w:highlight w:val="none"/>
          <w:lang w:val="en-US" w:eastAsia="zh-CN"/>
        </w:rPr>
        <w:t>机关事业单位基本养老保险缴费支出</w:t>
      </w:r>
      <w:r>
        <w:rPr>
          <w:rStyle w:val="17"/>
          <w:rFonts w:hint="eastAsia" w:ascii="仿宋_GB2312" w:hAnsi="仿宋_GB2312" w:eastAsia="仿宋_GB2312" w:cs="仿宋_GB2312"/>
          <w:bCs/>
          <w:color w:val="auto"/>
          <w:sz w:val="32"/>
          <w:szCs w:val="32"/>
          <w:highlight w:val="none"/>
        </w:rPr>
        <w:t>（项）:</w:t>
      </w:r>
      <w:r>
        <w:rPr>
          <w:rStyle w:val="17"/>
          <w:rFonts w:hint="eastAsia" w:ascii="仿宋_GB2312" w:hAnsi="仿宋_GB2312" w:eastAsia="仿宋_GB2312" w:cs="仿宋_GB2312"/>
          <w:b w:val="0"/>
          <w:bCs/>
          <w:color w:val="auto"/>
          <w:sz w:val="32"/>
          <w:szCs w:val="32"/>
          <w:highlight w:val="none"/>
        </w:rPr>
        <w:t>支出决算为</w:t>
      </w:r>
      <w:r>
        <w:rPr>
          <w:rStyle w:val="17"/>
          <w:rFonts w:hint="eastAsia" w:ascii="仿宋_GB2312" w:hAnsi="仿宋_GB2312" w:eastAsia="仿宋_GB2312" w:cs="仿宋_GB2312"/>
          <w:b w:val="0"/>
          <w:bCs/>
          <w:color w:val="auto"/>
          <w:sz w:val="32"/>
          <w:szCs w:val="32"/>
          <w:highlight w:val="none"/>
          <w:lang w:val="en-US" w:eastAsia="zh-CN"/>
        </w:rPr>
        <w:t>3.81</w:t>
      </w:r>
      <w:r>
        <w:rPr>
          <w:rStyle w:val="17"/>
          <w:rFonts w:hint="eastAsia" w:ascii="仿宋_GB2312" w:hAnsi="仿宋_GB2312" w:eastAsia="仿宋_GB2312" w:cs="仿宋_GB2312"/>
          <w:b w:val="0"/>
          <w:bCs/>
          <w:color w:val="auto"/>
          <w:sz w:val="32"/>
          <w:szCs w:val="32"/>
          <w:highlight w:val="none"/>
        </w:rPr>
        <w:t>万元，完成预算</w:t>
      </w:r>
      <w:r>
        <w:rPr>
          <w:rStyle w:val="17"/>
          <w:rFonts w:hint="eastAsia" w:ascii="仿宋_GB2312" w:hAnsi="仿宋_GB2312" w:eastAsia="仿宋_GB2312" w:cs="仿宋_GB2312"/>
          <w:b w:val="0"/>
          <w:bCs/>
          <w:color w:val="auto"/>
          <w:sz w:val="32"/>
          <w:szCs w:val="32"/>
          <w:highlight w:val="none"/>
          <w:lang w:val="en-US" w:eastAsia="zh-CN"/>
        </w:rPr>
        <w:t>100</w:t>
      </w:r>
      <w:r>
        <w:rPr>
          <w:rStyle w:val="17"/>
          <w:rFonts w:hint="eastAsia" w:ascii="仿宋_GB2312" w:hAnsi="仿宋_GB2312" w:eastAsia="仿宋_GB2312" w:cs="仿宋_GB2312"/>
          <w:b w:val="0"/>
          <w:bCs/>
          <w:color w:val="auto"/>
          <w:sz w:val="32"/>
          <w:szCs w:val="32"/>
          <w:highlight w:val="none"/>
        </w:rPr>
        <w:t>%，决算数等于预算数。</w:t>
      </w:r>
    </w:p>
    <w:p>
      <w:pPr>
        <w:spacing w:line="600" w:lineRule="exact"/>
        <w:ind w:firstLine="643" w:firstLineChars="200"/>
        <w:rPr>
          <w:rFonts w:hint="eastAsia" w:ascii="仿宋_GB2312" w:hAnsi="仿宋_GB2312" w:eastAsia="仿宋_GB2312" w:cs="仿宋_GB2312"/>
          <w:sz w:val="32"/>
          <w:szCs w:val="32"/>
        </w:rPr>
      </w:pPr>
      <w:r>
        <w:rPr>
          <w:rStyle w:val="17"/>
          <w:rFonts w:hint="eastAsia" w:ascii="仿宋_GB2312" w:hAnsi="仿宋_GB2312" w:eastAsia="仿宋_GB2312" w:cs="仿宋_GB2312"/>
          <w:bCs/>
          <w:color w:val="auto"/>
          <w:sz w:val="32"/>
          <w:szCs w:val="32"/>
          <w:highlight w:val="none"/>
          <w:lang w:val="en-US" w:eastAsia="zh-CN"/>
        </w:rPr>
        <w:t>5</w:t>
      </w:r>
      <w:r>
        <w:rPr>
          <w:rStyle w:val="17"/>
          <w:rFonts w:hint="eastAsia" w:ascii="仿宋_GB2312" w:hAnsi="仿宋_GB2312" w:eastAsia="仿宋_GB2312" w:cs="仿宋_GB2312"/>
          <w:bCs/>
          <w:color w:val="auto"/>
          <w:sz w:val="32"/>
          <w:szCs w:val="32"/>
          <w:highlight w:val="none"/>
        </w:rPr>
        <w:t>.社会保障和就业（类）</w:t>
      </w:r>
      <w:r>
        <w:rPr>
          <w:rStyle w:val="17"/>
          <w:rFonts w:hint="eastAsia" w:ascii="仿宋_GB2312" w:hAnsi="仿宋_GB2312" w:eastAsia="仿宋_GB2312" w:cs="仿宋_GB2312"/>
          <w:bCs/>
          <w:color w:val="auto"/>
          <w:sz w:val="32"/>
          <w:szCs w:val="32"/>
          <w:highlight w:val="none"/>
          <w:lang w:val="en-US" w:eastAsia="zh-CN"/>
        </w:rPr>
        <w:t>其他社会保障和就业支出</w:t>
      </w:r>
      <w:r>
        <w:rPr>
          <w:rStyle w:val="17"/>
          <w:rFonts w:hint="eastAsia" w:ascii="仿宋_GB2312" w:hAnsi="仿宋_GB2312" w:eastAsia="仿宋_GB2312" w:cs="仿宋_GB2312"/>
          <w:bCs/>
          <w:color w:val="auto"/>
          <w:sz w:val="32"/>
          <w:szCs w:val="32"/>
          <w:highlight w:val="none"/>
        </w:rPr>
        <w:t>（款）</w:t>
      </w:r>
      <w:r>
        <w:rPr>
          <w:rStyle w:val="17"/>
          <w:rFonts w:hint="eastAsia" w:ascii="仿宋_GB2312" w:hAnsi="仿宋_GB2312" w:eastAsia="仿宋_GB2312" w:cs="仿宋_GB2312"/>
          <w:bCs/>
          <w:color w:val="auto"/>
          <w:sz w:val="32"/>
          <w:szCs w:val="32"/>
          <w:highlight w:val="none"/>
          <w:lang w:val="en-US" w:eastAsia="zh-CN"/>
        </w:rPr>
        <w:t>其他社会保障和就业支出</w:t>
      </w:r>
      <w:r>
        <w:rPr>
          <w:rStyle w:val="17"/>
          <w:rFonts w:hint="eastAsia" w:ascii="仿宋_GB2312" w:hAnsi="仿宋_GB2312" w:eastAsia="仿宋_GB2312" w:cs="仿宋_GB2312"/>
          <w:bCs/>
          <w:color w:val="auto"/>
          <w:sz w:val="32"/>
          <w:szCs w:val="32"/>
          <w:highlight w:val="none"/>
        </w:rPr>
        <w:t>（项）:</w:t>
      </w:r>
      <w:r>
        <w:rPr>
          <w:rStyle w:val="17"/>
          <w:rFonts w:hint="eastAsia" w:ascii="仿宋_GB2312" w:hAnsi="仿宋_GB2312" w:eastAsia="仿宋_GB2312" w:cs="仿宋_GB2312"/>
          <w:b w:val="0"/>
          <w:bCs/>
          <w:color w:val="auto"/>
          <w:sz w:val="32"/>
          <w:szCs w:val="32"/>
          <w:highlight w:val="none"/>
        </w:rPr>
        <w:t>支出决算为</w:t>
      </w:r>
      <w:r>
        <w:rPr>
          <w:rStyle w:val="17"/>
          <w:rFonts w:hint="eastAsia" w:ascii="仿宋_GB2312" w:hAnsi="仿宋_GB2312" w:eastAsia="仿宋_GB2312" w:cs="仿宋_GB2312"/>
          <w:b w:val="0"/>
          <w:bCs/>
          <w:color w:val="auto"/>
          <w:sz w:val="32"/>
          <w:szCs w:val="32"/>
          <w:highlight w:val="none"/>
          <w:lang w:val="en-US" w:eastAsia="zh-CN"/>
        </w:rPr>
        <w:t>0.11</w:t>
      </w:r>
      <w:r>
        <w:rPr>
          <w:rStyle w:val="17"/>
          <w:rFonts w:hint="eastAsia" w:ascii="仿宋_GB2312" w:hAnsi="仿宋_GB2312" w:eastAsia="仿宋_GB2312" w:cs="仿宋_GB2312"/>
          <w:b w:val="0"/>
          <w:bCs/>
          <w:color w:val="auto"/>
          <w:sz w:val="32"/>
          <w:szCs w:val="32"/>
          <w:highlight w:val="none"/>
        </w:rPr>
        <w:t>万元，完成预算</w:t>
      </w:r>
      <w:r>
        <w:rPr>
          <w:rStyle w:val="17"/>
          <w:rFonts w:hint="eastAsia" w:ascii="仿宋_GB2312" w:hAnsi="仿宋_GB2312" w:eastAsia="仿宋_GB2312" w:cs="仿宋_GB2312"/>
          <w:b w:val="0"/>
          <w:bCs/>
          <w:color w:val="auto"/>
          <w:sz w:val="32"/>
          <w:szCs w:val="32"/>
          <w:highlight w:val="none"/>
          <w:lang w:val="en-US" w:eastAsia="zh-CN"/>
        </w:rPr>
        <w:t>100</w:t>
      </w:r>
      <w:r>
        <w:rPr>
          <w:rStyle w:val="17"/>
          <w:rFonts w:hint="eastAsia" w:ascii="仿宋_GB2312" w:hAnsi="仿宋_GB2312" w:eastAsia="仿宋_GB2312" w:cs="仿宋_GB2312"/>
          <w:b w:val="0"/>
          <w:bCs/>
          <w:color w:val="auto"/>
          <w:sz w:val="32"/>
          <w:szCs w:val="32"/>
          <w:highlight w:val="none"/>
        </w:rPr>
        <w:t>%，决算数等于预算数。</w:t>
      </w:r>
    </w:p>
    <w:p>
      <w:pPr>
        <w:spacing w:line="600" w:lineRule="exact"/>
        <w:ind w:firstLine="643" w:firstLineChars="200"/>
        <w:outlineLvl w:val="2"/>
        <w:rPr>
          <w:rFonts w:hint="eastAsia" w:ascii="仿宋_GB2312" w:hAnsi="仿宋_GB2312" w:eastAsia="仿宋_GB2312" w:cs="仿宋_GB2312"/>
          <w:b/>
          <w:color w:val="auto"/>
          <w:sz w:val="32"/>
          <w:szCs w:val="32"/>
          <w:highlight w:val="none"/>
        </w:rPr>
      </w:pPr>
      <w:bookmarkStart w:id="54" w:name="_Toc8784"/>
      <w:r>
        <w:rPr>
          <w:rFonts w:hint="eastAsia" w:ascii="仿宋_GB2312" w:hAnsi="仿宋_GB2312" w:eastAsia="仿宋_GB2312" w:cs="仿宋_GB2312"/>
          <w:b/>
          <w:color w:val="auto"/>
          <w:sz w:val="32"/>
          <w:szCs w:val="32"/>
          <w:highlight w:val="none"/>
          <w:lang w:val="en-US" w:eastAsia="zh-CN"/>
        </w:rPr>
        <w:t>6</w:t>
      </w:r>
      <w:r>
        <w:rPr>
          <w:rFonts w:hint="eastAsia" w:ascii="仿宋_GB2312" w:hAnsi="仿宋_GB2312" w:eastAsia="仿宋_GB2312" w:cs="仿宋_GB2312"/>
          <w:b/>
          <w:color w:val="auto"/>
          <w:sz w:val="32"/>
          <w:szCs w:val="32"/>
          <w:highlight w:val="none"/>
        </w:rPr>
        <w:t>.卫生健康（类）</w:t>
      </w:r>
      <w:r>
        <w:rPr>
          <w:rFonts w:hint="eastAsia" w:ascii="仿宋_GB2312" w:hAnsi="仿宋_GB2312" w:eastAsia="仿宋_GB2312" w:cs="仿宋_GB2312"/>
          <w:b/>
          <w:color w:val="auto"/>
          <w:sz w:val="32"/>
          <w:szCs w:val="32"/>
          <w:highlight w:val="none"/>
          <w:lang w:val="en-US" w:eastAsia="zh-CN"/>
        </w:rPr>
        <w:t>行政事业单位医疗</w:t>
      </w:r>
      <w:r>
        <w:rPr>
          <w:rFonts w:hint="eastAsia" w:ascii="仿宋_GB2312" w:hAnsi="仿宋_GB2312" w:eastAsia="仿宋_GB2312" w:cs="仿宋_GB2312"/>
          <w:b/>
          <w:color w:val="auto"/>
          <w:sz w:val="32"/>
          <w:szCs w:val="32"/>
          <w:highlight w:val="none"/>
        </w:rPr>
        <w:t>（款）</w:t>
      </w:r>
      <w:r>
        <w:rPr>
          <w:rFonts w:hint="eastAsia" w:ascii="仿宋_GB2312" w:hAnsi="仿宋_GB2312" w:eastAsia="仿宋_GB2312" w:cs="仿宋_GB2312"/>
          <w:b/>
          <w:color w:val="auto"/>
          <w:sz w:val="32"/>
          <w:szCs w:val="32"/>
          <w:highlight w:val="none"/>
          <w:lang w:val="en-US" w:eastAsia="zh-CN"/>
        </w:rPr>
        <w:t>事业单位医疗</w:t>
      </w:r>
      <w:r>
        <w:rPr>
          <w:rFonts w:hint="eastAsia" w:ascii="仿宋_GB2312" w:hAnsi="仿宋_GB2312" w:eastAsia="仿宋_GB2312" w:cs="仿宋_GB2312"/>
          <w:b/>
          <w:color w:val="auto"/>
          <w:sz w:val="32"/>
          <w:szCs w:val="32"/>
          <w:highlight w:val="none"/>
        </w:rPr>
        <w:t>（项）:支出决算为</w:t>
      </w:r>
      <w:r>
        <w:rPr>
          <w:rFonts w:hint="eastAsia" w:ascii="仿宋_GB2312" w:hAnsi="仿宋_GB2312" w:eastAsia="仿宋_GB2312" w:cs="仿宋_GB2312"/>
          <w:b/>
          <w:color w:val="auto"/>
          <w:sz w:val="32"/>
          <w:szCs w:val="32"/>
          <w:highlight w:val="none"/>
          <w:lang w:val="en-US" w:eastAsia="zh-CN"/>
        </w:rPr>
        <w:t>1.83</w:t>
      </w:r>
      <w:r>
        <w:rPr>
          <w:rFonts w:hint="eastAsia" w:ascii="仿宋_GB2312" w:hAnsi="仿宋_GB2312" w:eastAsia="仿宋_GB2312" w:cs="仿宋_GB2312"/>
          <w:b/>
          <w:color w:val="auto"/>
          <w:sz w:val="32"/>
          <w:szCs w:val="32"/>
          <w:highlight w:val="none"/>
        </w:rPr>
        <w:t>万元，完成预算</w:t>
      </w:r>
      <w:r>
        <w:rPr>
          <w:rFonts w:hint="eastAsia" w:ascii="仿宋_GB2312" w:hAnsi="仿宋_GB2312" w:eastAsia="仿宋_GB2312" w:cs="仿宋_GB2312"/>
          <w:b/>
          <w:color w:val="auto"/>
          <w:sz w:val="32"/>
          <w:szCs w:val="32"/>
          <w:highlight w:val="none"/>
          <w:lang w:val="en-US" w:eastAsia="zh-CN"/>
        </w:rPr>
        <w:t>100</w:t>
      </w:r>
      <w:r>
        <w:rPr>
          <w:rFonts w:hint="eastAsia" w:ascii="仿宋_GB2312" w:hAnsi="仿宋_GB2312" w:eastAsia="仿宋_GB2312" w:cs="仿宋_GB2312"/>
          <w:b/>
          <w:color w:val="auto"/>
          <w:sz w:val="32"/>
          <w:szCs w:val="32"/>
          <w:highlight w:val="none"/>
        </w:rPr>
        <w:t>%，决算数等于预算数。</w:t>
      </w:r>
      <w:bookmarkEnd w:id="54"/>
    </w:p>
    <w:p>
      <w:pPr>
        <w:spacing w:line="600" w:lineRule="exact"/>
        <w:ind w:firstLine="643" w:firstLineChars="200"/>
        <w:outlineLvl w:val="2"/>
        <w:rPr>
          <w:rFonts w:hint="eastAsia" w:ascii="仿宋_GB2312" w:hAnsi="仿宋_GB2312" w:eastAsia="仿宋_GB2312" w:cs="仿宋_GB2312"/>
          <w:b/>
          <w:color w:val="auto"/>
          <w:sz w:val="32"/>
          <w:szCs w:val="32"/>
          <w:highlight w:val="none"/>
        </w:rPr>
      </w:pPr>
      <w:bookmarkStart w:id="55" w:name="_Toc22241"/>
      <w:r>
        <w:rPr>
          <w:rFonts w:hint="eastAsia" w:ascii="仿宋_GB2312" w:hAnsi="仿宋_GB2312" w:eastAsia="仿宋_GB2312" w:cs="仿宋_GB2312"/>
          <w:b/>
          <w:color w:val="auto"/>
          <w:sz w:val="32"/>
          <w:szCs w:val="32"/>
          <w:highlight w:val="none"/>
          <w:lang w:val="en-US" w:eastAsia="zh-CN"/>
        </w:rPr>
        <w:t>7</w:t>
      </w:r>
      <w:r>
        <w:rPr>
          <w:rFonts w:hint="eastAsia" w:ascii="仿宋_GB2312" w:hAnsi="仿宋_GB2312" w:eastAsia="仿宋_GB2312" w:cs="仿宋_GB2312"/>
          <w:b/>
          <w:color w:val="auto"/>
          <w:sz w:val="32"/>
          <w:szCs w:val="32"/>
          <w:highlight w:val="none"/>
        </w:rPr>
        <w:t>.住房保障（类）住房改革支出（款）住房公积金（项）:支出决算为</w:t>
      </w:r>
      <w:r>
        <w:rPr>
          <w:rFonts w:hint="eastAsia" w:ascii="仿宋_GB2312" w:hAnsi="仿宋_GB2312" w:eastAsia="仿宋_GB2312" w:cs="仿宋_GB2312"/>
          <w:b/>
          <w:color w:val="auto"/>
          <w:sz w:val="32"/>
          <w:szCs w:val="32"/>
          <w:highlight w:val="none"/>
          <w:lang w:val="en-US" w:eastAsia="zh-CN"/>
        </w:rPr>
        <w:t>3.63</w:t>
      </w:r>
      <w:r>
        <w:rPr>
          <w:rFonts w:hint="eastAsia" w:ascii="仿宋_GB2312" w:hAnsi="仿宋_GB2312" w:eastAsia="仿宋_GB2312" w:cs="仿宋_GB2312"/>
          <w:b/>
          <w:color w:val="auto"/>
          <w:sz w:val="32"/>
          <w:szCs w:val="32"/>
          <w:highlight w:val="none"/>
        </w:rPr>
        <w:t>万元，完成预算100%，决算数等于预算数。</w:t>
      </w:r>
      <w:bookmarkEnd w:id="55"/>
    </w:p>
    <w:p>
      <w:pPr>
        <w:tabs>
          <w:tab w:val="right" w:pos="8306"/>
        </w:tabs>
        <w:spacing w:line="600" w:lineRule="exact"/>
        <w:ind w:firstLine="640"/>
        <w:outlineLvl w:val="1"/>
        <w:rPr>
          <w:rStyle w:val="29"/>
          <w:color w:val="auto"/>
          <w:highlight w:val="none"/>
        </w:rPr>
      </w:pPr>
      <w:bookmarkStart w:id="56" w:name="_Toc15377214"/>
      <w:bookmarkStart w:id="57" w:name="_Toc15396608"/>
      <w:bookmarkStart w:id="58" w:name="_Toc26430"/>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般公共预算财政拨款基本支出决算情况说明</w:t>
      </w:r>
      <w:bookmarkEnd w:id="56"/>
      <w:bookmarkEnd w:id="57"/>
      <w:bookmarkEnd w:id="58"/>
      <w:r>
        <w:rPr>
          <w:rStyle w:val="29"/>
          <w:rFonts w:ascii="黑体" w:hAnsi="黑体" w:eastAsia="黑体"/>
          <w:b w:val="0"/>
          <w:color w:val="auto"/>
          <w:highlight w:val="none"/>
        </w:rPr>
        <w:tab/>
      </w:r>
    </w:p>
    <w:p>
      <w:pPr>
        <w:spacing w:line="600" w:lineRule="exact"/>
        <w:ind w:firstLine="64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年一般公共预算财政拨款基本支出</w:t>
      </w:r>
      <w:r>
        <w:rPr>
          <w:rFonts w:hint="eastAsia" w:ascii="仿宋_GB2312" w:hAnsi="仿宋_GB2312" w:eastAsia="仿宋_GB2312" w:cs="仿宋_GB2312"/>
          <w:color w:val="auto"/>
          <w:sz w:val="32"/>
          <w:szCs w:val="32"/>
          <w:highlight w:val="none"/>
          <w:lang w:val="en-US" w:eastAsia="zh-CN"/>
        </w:rPr>
        <w:t>48.15</w:t>
      </w:r>
      <w:r>
        <w:rPr>
          <w:rFonts w:hint="eastAsia" w:ascii="仿宋_GB2312" w:hAnsi="仿宋_GB2312" w:eastAsia="仿宋_GB2312" w:cs="仿宋_GB2312"/>
          <w:color w:val="auto"/>
          <w:sz w:val="32"/>
          <w:szCs w:val="32"/>
          <w:highlight w:val="none"/>
        </w:rPr>
        <w:t>万元，其中：</w:t>
      </w:r>
    </w:p>
    <w:p>
      <w:pPr>
        <w:spacing w:line="600" w:lineRule="exact"/>
        <w:ind w:firstLine="645"/>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人员经费</w:t>
      </w:r>
      <w:r>
        <w:rPr>
          <w:rFonts w:hint="eastAsia" w:ascii="仿宋_GB2312" w:hAnsi="仿宋_GB2312" w:eastAsia="仿宋_GB2312" w:cs="仿宋_GB2312"/>
          <w:color w:val="auto"/>
          <w:sz w:val="32"/>
          <w:szCs w:val="32"/>
          <w:highlight w:val="none"/>
          <w:lang w:val="en-US" w:eastAsia="zh-CN"/>
        </w:rPr>
        <w:t>42.83</w:t>
      </w:r>
      <w:r>
        <w:rPr>
          <w:rFonts w:hint="eastAsia" w:ascii="仿宋_GB2312" w:hAnsi="仿宋_GB2312" w:eastAsia="仿宋_GB2312" w:cs="仿宋_GB2312"/>
          <w:color w:val="auto"/>
          <w:sz w:val="32"/>
          <w:szCs w:val="32"/>
          <w:highlight w:val="none"/>
        </w:rPr>
        <w:t>万元，主要包括：基本工资、津贴补贴、奖金、机关事业单位基本养老保险缴费、</w:t>
      </w:r>
      <w:r>
        <w:rPr>
          <w:rFonts w:hint="eastAsia" w:ascii="仿宋_GB2312" w:hAnsi="仿宋_GB2312" w:eastAsia="仿宋_GB2312" w:cs="仿宋_GB2312"/>
          <w:color w:val="auto"/>
          <w:sz w:val="32"/>
          <w:szCs w:val="32"/>
          <w:highlight w:val="none"/>
          <w:lang w:eastAsia="zh-CN"/>
        </w:rPr>
        <w:t>职工基本医疗保险缴费、</w:t>
      </w:r>
      <w:r>
        <w:rPr>
          <w:rFonts w:hint="eastAsia" w:ascii="仿宋_GB2312" w:hAnsi="仿宋_GB2312" w:eastAsia="仿宋_GB2312" w:cs="仿宋_GB2312"/>
          <w:color w:val="auto"/>
          <w:sz w:val="32"/>
          <w:szCs w:val="32"/>
          <w:highlight w:val="none"/>
        </w:rPr>
        <w:t>其他社会保障缴费、住房公积金支出。</w:t>
      </w:r>
    </w:p>
    <w:p>
      <w:pPr>
        <w:spacing w:line="600" w:lineRule="exact"/>
        <w:ind w:firstLine="645"/>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公用经费</w:t>
      </w:r>
      <w:r>
        <w:rPr>
          <w:rFonts w:hint="eastAsia" w:ascii="仿宋_GB2312" w:hAnsi="仿宋_GB2312" w:eastAsia="仿宋_GB2312" w:cs="仿宋_GB2312"/>
          <w:color w:val="auto"/>
          <w:sz w:val="32"/>
          <w:szCs w:val="32"/>
          <w:highlight w:val="none"/>
          <w:lang w:val="en-US" w:eastAsia="zh-CN"/>
        </w:rPr>
        <w:t>5.32</w:t>
      </w:r>
      <w:r>
        <w:rPr>
          <w:rFonts w:hint="eastAsia" w:ascii="仿宋_GB2312" w:hAnsi="仿宋_GB2312" w:eastAsia="仿宋_GB2312" w:cs="仿宋_GB2312"/>
          <w:color w:val="auto"/>
          <w:sz w:val="32"/>
          <w:szCs w:val="32"/>
          <w:highlight w:val="none"/>
        </w:rPr>
        <w:t>万元，主要包括：办公费、水费、电费、邮电费、差旅费、公务接待费、其他交通费支出。</w:t>
      </w:r>
    </w:p>
    <w:p>
      <w:pPr>
        <w:spacing w:line="600" w:lineRule="exact"/>
        <w:ind w:firstLine="640"/>
        <w:outlineLvl w:val="1"/>
        <w:rPr>
          <w:rStyle w:val="29"/>
          <w:rFonts w:ascii="黑体" w:hAnsi="黑体" w:eastAsia="黑体"/>
          <w:b w:val="0"/>
          <w:color w:val="auto"/>
          <w:highlight w:val="none"/>
        </w:rPr>
      </w:pPr>
      <w:bookmarkStart w:id="59" w:name="_Toc15396609"/>
      <w:bookmarkStart w:id="60" w:name="_Toc15377215"/>
      <w:bookmarkStart w:id="61" w:name="_Toc15593"/>
      <w:r>
        <w:rPr>
          <w:rFonts w:hint="eastAsia" w:ascii="黑体" w:eastAsia="黑体"/>
          <w:color w:val="auto"/>
          <w:sz w:val="32"/>
          <w:szCs w:val="32"/>
          <w:highlight w:val="none"/>
        </w:rPr>
        <w:t>七、</w:t>
      </w:r>
      <w:r>
        <w:rPr>
          <w:rStyle w:val="29"/>
          <w:rFonts w:hint="eastAsia" w:ascii="黑体" w:hAnsi="黑体" w:eastAsia="黑体"/>
          <w:b w:val="0"/>
          <w:color w:val="auto"/>
          <w:highlight w:val="none"/>
        </w:rPr>
        <w:t>财政拨款</w:t>
      </w:r>
      <w:r>
        <w:rPr>
          <w:rStyle w:val="29"/>
          <w:rFonts w:hint="eastAsia" w:ascii="黑体" w:hAnsi="黑体" w:eastAsia="黑体"/>
          <w:color w:val="auto"/>
          <w:highlight w:val="none"/>
        </w:rPr>
        <w:t>“</w:t>
      </w:r>
      <w:r>
        <w:rPr>
          <w:rStyle w:val="29"/>
          <w:rFonts w:hint="eastAsia" w:ascii="黑体" w:hAnsi="黑体" w:eastAsia="黑体"/>
          <w:b w:val="0"/>
          <w:color w:val="auto"/>
          <w:highlight w:val="none"/>
        </w:rPr>
        <w:t>三公”经费支出决算情况说明</w:t>
      </w:r>
      <w:bookmarkEnd w:id="59"/>
      <w:bookmarkEnd w:id="60"/>
      <w:bookmarkEnd w:id="61"/>
    </w:p>
    <w:p>
      <w:pPr>
        <w:spacing w:line="600" w:lineRule="exact"/>
        <w:ind w:firstLine="640" w:firstLineChars="200"/>
        <w:outlineLvl w:val="2"/>
        <w:rPr>
          <w:rFonts w:hint="eastAsia" w:ascii="楷体_GB2312" w:hAnsi="楷体_GB2312" w:eastAsia="楷体_GB2312" w:cs="楷体_GB2312"/>
          <w:b w:val="0"/>
          <w:bCs/>
          <w:color w:val="auto"/>
          <w:sz w:val="32"/>
          <w:szCs w:val="32"/>
          <w:highlight w:val="none"/>
        </w:rPr>
      </w:pPr>
      <w:bookmarkStart w:id="62" w:name="_Toc15377216"/>
      <w:bookmarkStart w:id="63" w:name="_Toc13523"/>
      <w:r>
        <w:rPr>
          <w:rFonts w:hint="eastAsia" w:ascii="楷体_GB2312" w:hAnsi="楷体_GB2312" w:eastAsia="楷体_GB2312" w:cs="楷体_GB2312"/>
          <w:b w:val="0"/>
          <w:bCs/>
          <w:color w:val="auto"/>
          <w:sz w:val="32"/>
          <w:szCs w:val="32"/>
          <w:highlight w:val="none"/>
        </w:rPr>
        <w:t>（一）“三公”经费财政拨款支出决算总体情况说明</w:t>
      </w:r>
      <w:bookmarkEnd w:id="62"/>
      <w:bookmarkEnd w:id="63"/>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年“三公”经费财政拨款支出决算为</w:t>
      </w:r>
      <w:r>
        <w:rPr>
          <w:rFonts w:hint="eastAsia" w:ascii="仿宋_GB2312" w:hAnsi="仿宋_GB2312" w:eastAsia="仿宋_GB2312" w:cs="仿宋_GB2312"/>
          <w:color w:val="auto"/>
          <w:sz w:val="32"/>
          <w:szCs w:val="32"/>
          <w:highlight w:val="none"/>
          <w:lang w:val="en-US" w:eastAsia="zh-CN"/>
        </w:rPr>
        <w:t>0.49</w:t>
      </w:r>
      <w:r>
        <w:rPr>
          <w:rFonts w:hint="eastAsia" w:ascii="仿宋_GB2312" w:hAnsi="仿宋_GB2312" w:eastAsia="仿宋_GB2312" w:cs="仿宋_GB2312"/>
          <w:color w:val="auto"/>
          <w:sz w:val="32"/>
          <w:szCs w:val="32"/>
          <w:highlight w:val="none"/>
        </w:rPr>
        <w:t>万元，完成</w:t>
      </w:r>
      <w:r>
        <w:rPr>
          <w:rFonts w:hint="eastAsia" w:ascii="仿宋_GB2312" w:hAnsi="仿宋_GB2312" w:eastAsia="仿宋_GB2312" w:cs="仿宋_GB2312"/>
          <w:color w:val="auto"/>
          <w:spacing w:val="-17"/>
          <w:sz w:val="32"/>
          <w:szCs w:val="32"/>
          <w:highlight w:val="none"/>
        </w:rPr>
        <w:t>预算</w:t>
      </w:r>
      <w:r>
        <w:rPr>
          <w:rFonts w:hint="eastAsia" w:ascii="仿宋_GB2312" w:hAnsi="仿宋_GB2312" w:eastAsia="仿宋_GB2312" w:cs="仿宋_GB2312"/>
          <w:color w:val="auto"/>
          <w:spacing w:val="-17"/>
          <w:sz w:val="32"/>
          <w:szCs w:val="32"/>
          <w:highlight w:val="none"/>
          <w:lang w:val="en-US" w:eastAsia="zh-CN"/>
        </w:rPr>
        <w:t>100</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pacing w:val="-17"/>
          <w:sz w:val="32"/>
          <w:szCs w:val="32"/>
          <w:highlight w:val="none"/>
          <w:lang w:eastAsia="zh-CN"/>
        </w:rPr>
        <w:t>较上年</w:t>
      </w:r>
      <w:r>
        <w:rPr>
          <w:rFonts w:hint="eastAsia" w:ascii="仿宋_GB2312" w:hAnsi="仿宋_GB2312" w:eastAsia="仿宋_GB2312" w:cs="仿宋_GB2312"/>
          <w:color w:val="auto"/>
          <w:spacing w:val="-17"/>
          <w:sz w:val="32"/>
          <w:szCs w:val="32"/>
          <w:highlight w:val="none"/>
          <w:lang w:val="en-US" w:eastAsia="zh-CN"/>
        </w:rPr>
        <w:t>减少0.01万元，下降2%。</w:t>
      </w:r>
      <w:r>
        <w:rPr>
          <w:rFonts w:hint="eastAsia" w:ascii="仿宋_GB2312" w:hAnsi="仿宋_GB2312" w:eastAsia="仿宋_GB2312" w:cs="仿宋_GB2312"/>
          <w:color w:val="auto"/>
          <w:spacing w:val="-17"/>
          <w:sz w:val="32"/>
          <w:szCs w:val="32"/>
          <w:highlight w:val="none"/>
        </w:rPr>
        <w:t>决算数与预算数持平。</w:t>
      </w:r>
    </w:p>
    <w:p>
      <w:pPr>
        <w:spacing w:line="600" w:lineRule="exact"/>
        <w:ind w:firstLine="640" w:firstLineChars="200"/>
        <w:outlineLvl w:val="2"/>
        <w:rPr>
          <w:rFonts w:hint="eastAsia" w:ascii="楷体_GB2312" w:hAnsi="楷体_GB2312" w:eastAsia="楷体_GB2312" w:cs="楷体_GB2312"/>
          <w:b w:val="0"/>
          <w:bCs/>
          <w:color w:val="auto"/>
          <w:sz w:val="32"/>
          <w:szCs w:val="32"/>
          <w:highlight w:val="none"/>
        </w:rPr>
      </w:pPr>
      <w:bookmarkStart w:id="64" w:name="_Toc15377217"/>
      <w:bookmarkStart w:id="65" w:name="_Toc31427"/>
      <w:r>
        <w:rPr>
          <w:rFonts w:hint="eastAsia" w:ascii="楷体_GB2312" w:hAnsi="楷体_GB2312" w:eastAsia="楷体_GB2312" w:cs="楷体_GB2312"/>
          <w:b w:val="0"/>
          <w:bCs/>
          <w:color w:val="auto"/>
          <w:sz w:val="32"/>
          <w:szCs w:val="32"/>
          <w:highlight w:val="none"/>
        </w:rPr>
        <w:t>（二）“三公”经费财政拨款支出决算具体情况说明</w:t>
      </w:r>
      <w:bookmarkEnd w:id="64"/>
      <w:bookmarkEnd w:id="65"/>
    </w:p>
    <w:p>
      <w:pPr>
        <w:spacing w:line="600" w:lineRule="exact"/>
        <w:ind w:firstLine="640"/>
        <w:rPr>
          <w:rFonts w:hint="eastAsia" w:ascii="仿宋" w:hAnsi="仿宋" w:eastAsia="仿宋"/>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年“三公”经费财政拨款支出决算中，因公出国（境）费支出决算</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%；公务用车购置及运行维护费支出决算</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%；公务接待费支出决算</w:t>
      </w:r>
      <w:r>
        <w:rPr>
          <w:rFonts w:hint="eastAsia" w:ascii="仿宋_GB2312" w:hAnsi="仿宋_GB2312" w:eastAsia="仿宋_GB2312" w:cs="仿宋_GB2312"/>
          <w:color w:val="auto"/>
          <w:sz w:val="32"/>
          <w:szCs w:val="32"/>
          <w:highlight w:val="none"/>
          <w:lang w:val="en-US" w:eastAsia="zh-CN"/>
        </w:rPr>
        <w:t>0.49</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rPr>
        <w:t>%。具体情况如下：</w:t>
      </w:r>
    </w:p>
    <w:p>
      <w:pPr>
        <w:pStyle w:val="5"/>
      </w:pPr>
      <w:r>
        <w:rPr>
          <w:rFonts w:hint="eastAsia"/>
          <w:lang w:val="en-US" w:eastAsia="zh-CN"/>
        </w:rPr>
        <w:t xml:space="preserve">      </w:t>
      </w:r>
      <w:r>
        <w:rPr>
          <w:rFonts w:hint="eastAsia"/>
        </w:rPr>
        <w:drawing>
          <wp:inline distT="0" distB="0" distL="114300" distR="114300">
            <wp:extent cx="4198620" cy="2073275"/>
            <wp:effectExtent l="5080" t="4445" r="6350" b="17780"/>
            <wp:docPr id="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（图7：“三公”经费财政拨款支出结构）（饼状图）</w:t>
      </w:r>
    </w:p>
    <w:p>
      <w:pPr>
        <w:spacing w:line="600" w:lineRule="exact"/>
        <w:ind w:firstLine="640"/>
        <w:rPr>
          <w:rFonts w:hint="eastAsia" w:ascii="仿宋_GB2312" w:hAnsi="仿宋_GB2312" w:eastAsia="仿宋_GB2312" w:cs="仿宋_GB2312"/>
          <w:b/>
          <w:sz w:val="32"/>
          <w:szCs w:val="32"/>
        </w:rPr>
      </w:pPr>
      <w:r>
        <w:rPr>
          <w:rFonts w:hint="eastAsia" w:ascii="仿宋_GB2312" w:hAnsi="仿宋_GB2312" w:eastAsia="仿宋_GB2312" w:cs="仿宋_GB2312"/>
          <w:b/>
          <w:color w:val="auto"/>
          <w:sz w:val="32"/>
          <w:szCs w:val="32"/>
          <w:highlight w:val="none"/>
        </w:rPr>
        <w:t>1.因公出国（境）经费支出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Style w:val="17"/>
          <w:rFonts w:hint="eastAsia" w:ascii="仿宋_GB2312" w:hAnsi="仿宋_GB2312" w:eastAsia="仿宋_GB2312" w:cs="仿宋_GB2312"/>
          <w:b w:val="0"/>
          <w:bCs/>
          <w:color w:val="auto"/>
          <w:sz w:val="32"/>
          <w:szCs w:val="32"/>
          <w:highlight w:val="none"/>
        </w:rPr>
        <w:t>完成预算</w:t>
      </w:r>
      <w:r>
        <w:rPr>
          <w:rStyle w:val="17"/>
          <w:rFonts w:hint="eastAsia" w:ascii="仿宋_GB2312" w:hAnsi="仿宋_GB2312" w:eastAsia="仿宋_GB2312" w:cs="仿宋_GB2312"/>
          <w:b w:val="0"/>
          <w:bCs/>
          <w:color w:val="auto"/>
          <w:sz w:val="32"/>
          <w:szCs w:val="32"/>
          <w:highlight w:val="none"/>
          <w:lang w:val="en-US" w:eastAsia="zh-CN"/>
        </w:rPr>
        <w:t>0</w:t>
      </w:r>
      <w:r>
        <w:rPr>
          <w:rStyle w:val="17"/>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全年安排因公出国（境）团组</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次，出国（境）</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sz w:val="32"/>
          <w:szCs w:val="32"/>
        </w:rPr>
        <w:t>因公出国（境）支出决算较202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年无变化。</w:t>
      </w:r>
    </w:p>
    <w:p>
      <w:pPr>
        <w:spacing w:line="600" w:lineRule="exact"/>
        <w:ind w:firstLine="64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2.公务用车购置及运行维护费支出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Style w:val="17"/>
          <w:rFonts w:hint="eastAsia" w:ascii="仿宋_GB2312" w:hAnsi="仿宋_GB2312" w:eastAsia="仿宋_GB2312" w:cs="仿宋_GB2312"/>
          <w:b w:val="0"/>
          <w:bCs/>
          <w:color w:val="auto"/>
          <w:sz w:val="32"/>
          <w:szCs w:val="32"/>
          <w:highlight w:val="none"/>
        </w:rPr>
        <w:t>完成预算</w:t>
      </w:r>
      <w:r>
        <w:rPr>
          <w:rStyle w:val="17"/>
          <w:rFonts w:hint="eastAsia" w:ascii="仿宋_GB2312" w:hAnsi="仿宋_GB2312" w:eastAsia="仿宋_GB2312" w:cs="仿宋_GB2312"/>
          <w:b w:val="0"/>
          <w:bCs/>
          <w:color w:val="auto"/>
          <w:sz w:val="32"/>
          <w:szCs w:val="32"/>
          <w:highlight w:val="none"/>
          <w:lang w:val="en-US" w:eastAsia="zh-CN"/>
        </w:rPr>
        <w:t>0</w:t>
      </w:r>
      <w:r>
        <w:rPr>
          <w:rStyle w:val="17"/>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公务用车购置及运行维护费支出决算</w:t>
      </w:r>
      <w:r>
        <w:rPr>
          <w:rFonts w:hint="eastAsia" w:ascii="仿宋_GB2312" w:hAnsi="仿宋_GB2312" w:eastAsia="仿宋_GB2312" w:cs="仿宋_GB2312"/>
          <w:color w:val="auto"/>
          <w:sz w:val="32"/>
          <w:szCs w:val="32"/>
          <w:highlight w:val="none"/>
          <w:lang w:eastAsia="zh-CN"/>
        </w:rPr>
        <w:t>较</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无变化</w:t>
      </w:r>
      <w:r>
        <w:rPr>
          <w:rFonts w:hint="eastAsia" w:ascii="仿宋_GB2312" w:hAnsi="仿宋_GB2312" w:eastAsia="仿宋_GB2312" w:cs="仿宋_GB2312"/>
          <w:color w:val="auto"/>
          <w:sz w:val="32"/>
          <w:szCs w:val="32"/>
          <w:highlight w:val="none"/>
        </w:rPr>
        <w:t>。</w:t>
      </w:r>
    </w:p>
    <w:p>
      <w:pPr>
        <w:spacing w:line="600" w:lineRule="exact"/>
        <w:ind w:firstLine="640" w:firstLineChars="20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其中：</w:t>
      </w:r>
      <w:r>
        <w:rPr>
          <w:rFonts w:hint="eastAsia" w:ascii="仿宋_GB2312" w:hAnsi="仿宋_GB2312" w:eastAsia="仿宋_GB2312" w:cs="仿宋_GB2312"/>
          <w:b/>
          <w:color w:val="auto"/>
          <w:sz w:val="32"/>
          <w:szCs w:val="32"/>
          <w:highlight w:val="none"/>
        </w:rPr>
        <w:t>公务用车购置支出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万元。全年按规定更新购置公务用车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辆，其中：轿车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辆、金额</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万元，越野车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辆、金额</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万元，载客汽车</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辆、金额</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万元。截至20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年12月底，单位</w:t>
      </w:r>
      <w:r>
        <w:rPr>
          <w:rFonts w:hint="eastAsia" w:ascii="仿宋_GB2312" w:hAnsi="仿宋_GB2312" w:eastAsia="仿宋_GB2312" w:cs="仿宋_GB2312"/>
          <w:color w:val="auto"/>
          <w:spacing w:val="-17"/>
          <w:sz w:val="32"/>
          <w:szCs w:val="32"/>
          <w:highlight w:val="none"/>
        </w:rPr>
        <w:t>共有公务用车</w:t>
      </w:r>
      <w:r>
        <w:rPr>
          <w:rFonts w:hint="eastAsia" w:ascii="仿宋_GB2312" w:hAnsi="仿宋_GB2312" w:eastAsia="仿宋_GB2312" w:cs="仿宋_GB2312"/>
          <w:color w:val="auto"/>
          <w:spacing w:val="-17"/>
          <w:sz w:val="32"/>
          <w:szCs w:val="32"/>
          <w:highlight w:val="none"/>
          <w:lang w:val="en-US" w:eastAsia="zh-CN"/>
        </w:rPr>
        <w:t>0</w:t>
      </w:r>
      <w:r>
        <w:rPr>
          <w:rFonts w:hint="eastAsia" w:ascii="仿宋_GB2312" w:hAnsi="仿宋_GB2312" w:eastAsia="仿宋_GB2312" w:cs="仿宋_GB2312"/>
          <w:color w:val="auto"/>
          <w:spacing w:val="-17"/>
          <w:sz w:val="32"/>
          <w:szCs w:val="32"/>
          <w:highlight w:val="none"/>
        </w:rPr>
        <w:t>辆，其中：轿车</w:t>
      </w:r>
      <w:r>
        <w:rPr>
          <w:rFonts w:hint="eastAsia" w:ascii="仿宋_GB2312" w:hAnsi="仿宋_GB2312" w:eastAsia="仿宋_GB2312" w:cs="仿宋_GB2312"/>
          <w:color w:val="auto"/>
          <w:spacing w:val="-17"/>
          <w:sz w:val="32"/>
          <w:szCs w:val="32"/>
          <w:highlight w:val="none"/>
          <w:lang w:val="en-US" w:eastAsia="zh-CN"/>
        </w:rPr>
        <w:t>0</w:t>
      </w:r>
      <w:r>
        <w:rPr>
          <w:rFonts w:hint="eastAsia" w:ascii="仿宋_GB2312" w:hAnsi="仿宋_GB2312" w:eastAsia="仿宋_GB2312" w:cs="仿宋_GB2312"/>
          <w:color w:val="auto"/>
          <w:spacing w:val="-17"/>
          <w:sz w:val="32"/>
          <w:szCs w:val="32"/>
          <w:highlight w:val="none"/>
        </w:rPr>
        <w:t>辆、越野车</w:t>
      </w:r>
      <w:r>
        <w:rPr>
          <w:rFonts w:hint="eastAsia" w:ascii="仿宋_GB2312" w:hAnsi="仿宋_GB2312" w:eastAsia="仿宋_GB2312" w:cs="仿宋_GB2312"/>
          <w:color w:val="auto"/>
          <w:spacing w:val="-17"/>
          <w:sz w:val="32"/>
          <w:szCs w:val="32"/>
          <w:highlight w:val="none"/>
          <w:lang w:val="en-US" w:eastAsia="zh-CN"/>
        </w:rPr>
        <w:t>0</w:t>
      </w:r>
      <w:r>
        <w:rPr>
          <w:rFonts w:hint="eastAsia" w:ascii="仿宋_GB2312" w:hAnsi="仿宋_GB2312" w:eastAsia="仿宋_GB2312" w:cs="仿宋_GB2312"/>
          <w:color w:val="auto"/>
          <w:spacing w:val="-17"/>
          <w:sz w:val="32"/>
          <w:szCs w:val="32"/>
          <w:highlight w:val="none"/>
        </w:rPr>
        <w:t>辆、载客汽车</w:t>
      </w:r>
      <w:r>
        <w:rPr>
          <w:rFonts w:hint="eastAsia" w:ascii="仿宋_GB2312" w:hAnsi="仿宋_GB2312" w:eastAsia="仿宋_GB2312" w:cs="仿宋_GB2312"/>
          <w:color w:val="auto"/>
          <w:spacing w:val="-17"/>
          <w:sz w:val="32"/>
          <w:szCs w:val="32"/>
          <w:highlight w:val="none"/>
          <w:lang w:val="en-US" w:eastAsia="zh-CN"/>
        </w:rPr>
        <w:t>0</w:t>
      </w:r>
      <w:r>
        <w:rPr>
          <w:rFonts w:hint="eastAsia" w:ascii="仿宋_GB2312" w:hAnsi="仿宋_GB2312" w:eastAsia="仿宋_GB2312" w:cs="仿宋_GB2312"/>
          <w:color w:val="auto"/>
          <w:spacing w:val="-17"/>
          <w:sz w:val="32"/>
          <w:szCs w:val="32"/>
          <w:highlight w:val="none"/>
        </w:rPr>
        <w:t>辆。</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公务用车运行维护费支出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3.公务接待费支出</w:t>
      </w:r>
      <w:r>
        <w:rPr>
          <w:rFonts w:hint="eastAsia" w:ascii="仿宋_GB2312" w:hAnsi="仿宋_GB2312" w:eastAsia="仿宋_GB2312" w:cs="仿宋_GB2312"/>
          <w:color w:val="auto"/>
          <w:sz w:val="32"/>
          <w:szCs w:val="32"/>
          <w:highlight w:val="none"/>
          <w:lang w:val="en-US" w:eastAsia="zh-CN"/>
        </w:rPr>
        <w:t>0.49</w:t>
      </w:r>
      <w:r>
        <w:rPr>
          <w:rFonts w:hint="eastAsia" w:ascii="仿宋_GB2312" w:hAnsi="仿宋_GB2312" w:eastAsia="仿宋_GB2312" w:cs="仿宋_GB2312"/>
          <w:color w:val="auto"/>
          <w:sz w:val="32"/>
          <w:szCs w:val="32"/>
          <w:highlight w:val="none"/>
        </w:rPr>
        <w:t>万元，</w:t>
      </w:r>
      <w:r>
        <w:rPr>
          <w:rStyle w:val="17"/>
          <w:rFonts w:hint="eastAsia" w:ascii="仿宋_GB2312" w:hAnsi="仿宋_GB2312" w:eastAsia="仿宋_GB2312" w:cs="仿宋_GB2312"/>
          <w:b w:val="0"/>
          <w:bCs/>
          <w:color w:val="auto"/>
          <w:sz w:val="32"/>
          <w:szCs w:val="32"/>
          <w:highlight w:val="none"/>
        </w:rPr>
        <w:t>完成预算</w:t>
      </w:r>
      <w:r>
        <w:rPr>
          <w:rStyle w:val="17"/>
          <w:rFonts w:hint="eastAsia" w:ascii="仿宋_GB2312" w:hAnsi="仿宋_GB2312" w:eastAsia="仿宋_GB2312" w:cs="仿宋_GB2312"/>
          <w:b w:val="0"/>
          <w:bCs/>
          <w:color w:val="auto"/>
          <w:sz w:val="32"/>
          <w:szCs w:val="32"/>
          <w:highlight w:val="none"/>
          <w:lang w:val="en-US" w:eastAsia="zh-CN"/>
        </w:rPr>
        <w:t>100</w:t>
      </w:r>
      <w:r>
        <w:rPr>
          <w:rStyle w:val="17"/>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公务接待费支出决算比20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年减少</w:t>
      </w:r>
      <w:r>
        <w:rPr>
          <w:rFonts w:hint="eastAsia" w:ascii="仿宋_GB2312" w:hAnsi="仿宋_GB2312" w:eastAsia="仿宋_GB2312" w:cs="仿宋_GB2312"/>
          <w:color w:val="auto"/>
          <w:sz w:val="32"/>
          <w:szCs w:val="32"/>
          <w:highlight w:val="none"/>
          <w:lang w:val="en-US" w:eastAsia="zh-CN"/>
        </w:rPr>
        <w:t>0.01</w:t>
      </w:r>
      <w:r>
        <w:rPr>
          <w:rFonts w:hint="eastAsia" w:ascii="仿宋_GB2312" w:hAnsi="仿宋_GB2312" w:eastAsia="仿宋_GB2312" w:cs="仿宋_GB2312"/>
          <w:color w:val="auto"/>
          <w:sz w:val="32"/>
          <w:szCs w:val="32"/>
          <w:highlight w:val="none"/>
        </w:rPr>
        <w:t>万元，下降</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%。主要原因是</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厉行节约</w:t>
      </w:r>
      <w:r>
        <w:rPr>
          <w:rFonts w:hint="eastAsia" w:ascii="仿宋_GB2312" w:hAnsi="仿宋_GB2312" w:eastAsia="仿宋_GB2312" w:cs="仿宋_GB2312"/>
          <w:color w:val="auto"/>
          <w:sz w:val="32"/>
          <w:szCs w:val="32"/>
          <w:highlight w:val="none"/>
        </w:rPr>
        <w:t>。其中：</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color w:val="auto"/>
          <w:sz w:val="32"/>
          <w:szCs w:val="32"/>
          <w:highlight w:val="none"/>
        </w:rPr>
        <w:t>国内公务接待支出</w:t>
      </w:r>
      <w:r>
        <w:rPr>
          <w:rFonts w:hint="eastAsia" w:ascii="仿宋_GB2312" w:hAnsi="仿宋_GB2312" w:eastAsia="仿宋_GB2312" w:cs="仿宋_GB2312"/>
          <w:color w:val="auto"/>
          <w:sz w:val="32"/>
          <w:szCs w:val="32"/>
          <w:highlight w:val="none"/>
          <w:lang w:val="en-US" w:eastAsia="zh-CN"/>
        </w:rPr>
        <w:t>0.49</w:t>
      </w:r>
      <w:r>
        <w:rPr>
          <w:rFonts w:hint="eastAsia" w:ascii="仿宋_GB2312" w:hAnsi="仿宋_GB2312" w:eastAsia="仿宋_GB2312" w:cs="仿宋_GB2312"/>
          <w:color w:val="auto"/>
          <w:sz w:val="32"/>
          <w:szCs w:val="32"/>
          <w:highlight w:val="none"/>
        </w:rPr>
        <w:t>万元，主要用于</w:t>
      </w:r>
      <w:r>
        <w:rPr>
          <w:rFonts w:hint="eastAsia" w:ascii="仿宋_GB2312" w:hAnsi="仿宋_GB2312" w:eastAsia="仿宋_GB2312" w:cs="仿宋_GB2312"/>
          <w:sz w:val="32"/>
          <w:szCs w:val="32"/>
        </w:rPr>
        <w:t>执行公务、开展业务活动开支的交通费、住宿费、用餐费等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highlight w:val="none"/>
        </w:rPr>
        <w:t>国内公务接待</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批次，</w:t>
      </w:r>
      <w:r>
        <w:rPr>
          <w:rFonts w:hint="eastAsia" w:ascii="仿宋_GB2312" w:hAnsi="仿宋_GB2312" w:eastAsia="仿宋_GB2312" w:cs="仿宋_GB2312"/>
          <w:color w:val="auto"/>
          <w:sz w:val="32"/>
          <w:szCs w:val="32"/>
          <w:highlight w:val="none"/>
          <w:lang w:val="en-US" w:eastAsia="zh-CN"/>
        </w:rPr>
        <w:t>47</w:t>
      </w:r>
      <w:r>
        <w:rPr>
          <w:rFonts w:hint="eastAsia" w:ascii="仿宋_GB2312" w:hAnsi="仿宋_GB2312" w:eastAsia="仿宋_GB2312" w:cs="仿宋_GB2312"/>
          <w:color w:val="auto"/>
          <w:sz w:val="32"/>
          <w:szCs w:val="32"/>
          <w:highlight w:val="none"/>
        </w:rPr>
        <w:t>人次（不包括陪同人员），共计支出</w:t>
      </w:r>
      <w:r>
        <w:rPr>
          <w:rFonts w:hint="eastAsia" w:ascii="仿宋_GB2312" w:hAnsi="仿宋_GB2312" w:eastAsia="仿宋_GB2312" w:cs="仿宋_GB2312"/>
          <w:color w:val="auto"/>
          <w:sz w:val="32"/>
          <w:szCs w:val="32"/>
          <w:highlight w:val="none"/>
          <w:lang w:val="en-US" w:eastAsia="zh-CN"/>
        </w:rPr>
        <w:t>0.49</w:t>
      </w:r>
      <w:r>
        <w:rPr>
          <w:rFonts w:hint="eastAsia" w:ascii="仿宋_GB2312" w:hAnsi="仿宋_GB2312" w:eastAsia="仿宋_GB2312" w:cs="仿宋_GB2312"/>
          <w:color w:val="auto"/>
          <w:sz w:val="32"/>
          <w:szCs w:val="32"/>
          <w:highlight w:val="none"/>
        </w:rPr>
        <w:t>万元，具体内容包括：</w:t>
      </w:r>
      <w:r>
        <w:rPr>
          <w:rFonts w:hint="eastAsia" w:ascii="仿宋_GB2312" w:hAnsi="仿宋_GB2312" w:eastAsia="仿宋_GB2312" w:cs="仿宋_GB2312"/>
          <w:sz w:val="32"/>
          <w:szCs w:val="32"/>
        </w:rPr>
        <w:t>市委老干部局来检查、指导、调研、考察</w:t>
      </w:r>
      <w:r>
        <w:rPr>
          <w:rFonts w:hint="eastAsia" w:ascii="仿宋_GB2312" w:hAnsi="仿宋_GB2312" w:eastAsia="仿宋_GB2312" w:cs="仿宋_GB2312"/>
          <w:sz w:val="32"/>
          <w:szCs w:val="32"/>
          <w:lang w:eastAsia="zh-CN"/>
        </w:rPr>
        <w:t>（接待</w:t>
      </w:r>
      <w:r>
        <w:rPr>
          <w:rFonts w:hint="eastAsia" w:ascii="仿宋_GB2312" w:hAnsi="仿宋_GB2312" w:eastAsia="仿宋_GB2312" w:cs="仿宋_GB2312"/>
          <w:sz w:val="32"/>
          <w:szCs w:val="32"/>
          <w:lang w:val="en-US" w:eastAsia="zh-CN"/>
        </w:rPr>
        <w:t>1批次7人次0.07万元</w:t>
      </w:r>
      <w:r>
        <w:rPr>
          <w:rFonts w:hint="eastAsia" w:ascii="仿宋_GB2312" w:hAnsi="仿宋_GB2312" w:eastAsia="仿宋_GB2312" w:cs="仿宋_GB2312"/>
          <w:sz w:val="32"/>
          <w:szCs w:val="32"/>
          <w:lang w:eastAsia="zh-CN"/>
        </w:rPr>
        <w:t>）和县级离退休干部（接待</w:t>
      </w:r>
      <w:r>
        <w:rPr>
          <w:rFonts w:hint="eastAsia" w:ascii="仿宋_GB2312" w:hAnsi="仿宋_GB2312" w:eastAsia="仿宋_GB2312" w:cs="仿宋_GB2312"/>
          <w:sz w:val="32"/>
          <w:szCs w:val="32"/>
          <w:lang w:val="en-US" w:eastAsia="zh-CN"/>
        </w:rPr>
        <w:t>1批次40人次0.41万元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600" w:lineRule="exact"/>
        <w:ind w:firstLine="643"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外事接待支出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外事接待</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批次，</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次（不包括陪同人员）</w:t>
      </w:r>
      <w:r>
        <w:rPr>
          <w:rFonts w:hint="eastAsia" w:ascii="仿宋_GB2312" w:hAnsi="仿宋_GB2312" w:eastAsia="仿宋_GB2312" w:cs="仿宋_GB2312"/>
          <w:color w:val="auto"/>
          <w:sz w:val="32"/>
          <w:szCs w:val="32"/>
          <w:highlight w:val="none"/>
        </w:rPr>
        <w:t>，共计支出</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万元。</w:t>
      </w:r>
      <w:bookmarkStart w:id="66" w:name="_Toc15396610"/>
      <w:bookmarkStart w:id="67" w:name="_Toc15377218"/>
    </w:p>
    <w:p>
      <w:pPr>
        <w:spacing w:line="600" w:lineRule="exact"/>
        <w:ind w:firstLine="640"/>
        <w:outlineLvl w:val="1"/>
        <w:rPr>
          <w:rStyle w:val="29"/>
          <w:rFonts w:ascii="黑体" w:hAnsi="黑体" w:eastAsia="黑体"/>
          <w:color w:val="auto"/>
          <w:highlight w:val="none"/>
        </w:rPr>
      </w:pPr>
      <w:bookmarkStart w:id="68" w:name="_Toc5784"/>
      <w:r>
        <w:rPr>
          <w:rFonts w:hint="eastAsia" w:ascii="黑体" w:eastAsia="黑体"/>
          <w:color w:val="auto"/>
          <w:sz w:val="32"/>
          <w:szCs w:val="32"/>
          <w:highlight w:val="none"/>
        </w:rPr>
        <w:t>八、</w:t>
      </w:r>
      <w:r>
        <w:rPr>
          <w:rStyle w:val="29"/>
          <w:rFonts w:hint="eastAsia" w:ascii="黑体" w:hAnsi="黑体" w:eastAsia="黑体"/>
          <w:b w:val="0"/>
          <w:color w:val="auto"/>
          <w:highlight w:val="none"/>
        </w:rPr>
        <w:t>政府性基金预算支出决算情况说明</w:t>
      </w:r>
      <w:bookmarkEnd w:id="66"/>
      <w:bookmarkEnd w:id="67"/>
      <w:bookmarkEnd w:id="68"/>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29"/>
          <w:rFonts w:ascii="黑体" w:hAnsi="黑体" w:eastAsia="黑体"/>
          <w:b w:val="0"/>
          <w:color w:val="auto"/>
          <w:highlight w:val="none"/>
        </w:rPr>
      </w:pPr>
      <w:bookmarkStart w:id="69" w:name="_Toc15377219"/>
      <w:bookmarkStart w:id="70" w:name="_Toc15396611"/>
      <w:bookmarkStart w:id="71" w:name="_Toc22038"/>
      <w:r>
        <w:rPr>
          <w:rStyle w:val="29"/>
          <w:rFonts w:hint="eastAsia" w:ascii="黑体" w:hAnsi="黑体" w:eastAsia="黑体"/>
          <w:b w:val="0"/>
          <w:color w:val="auto"/>
          <w:highlight w:val="none"/>
        </w:rPr>
        <w:t>国有资本经营预算支出决算情况说明</w:t>
      </w:r>
      <w:bookmarkEnd w:id="69"/>
      <w:bookmarkEnd w:id="70"/>
      <w:bookmarkEnd w:id="71"/>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29"/>
          <w:rFonts w:hint="eastAsia" w:ascii="黑体" w:hAnsi="黑体" w:eastAsia="黑体"/>
          <w:b w:val="0"/>
          <w:color w:val="auto"/>
          <w:highlight w:val="none"/>
        </w:rPr>
      </w:pPr>
      <w:bookmarkStart w:id="72" w:name="_Toc15377221"/>
      <w:bookmarkStart w:id="73" w:name="_Toc15396612"/>
      <w:bookmarkStart w:id="74" w:name="_Toc2773"/>
      <w:r>
        <w:rPr>
          <w:rStyle w:val="29"/>
          <w:rFonts w:hint="eastAsia" w:ascii="黑体" w:hAnsi="黑体" w:eastAsia="黑体"/>
          <w:b w:val="0"/>
          <w:color w:val="auto"/>
          <w:highlight w:val="none"/>
        </w:rPr>
        <w:t>其他重要事项的情况说明</w:t>
      </w:r>
      <w:bookmarkEnd w:id="72"/>
      <w:bookmarkEnd w:id="73"/>
      <w:bookmarkEnd w:id="74"/>
    </w:p>
    <w:p>
      <w:pPr>
        <w:spacing w:line="600" w:lineRule="exact"/>
        <w:ind w:firstLine="640" w:firstLineChars="200"/>
        <w:outlineLvl w:val="2"/>
        <w:rPr>
          <w:rFonts w:hint="eastAsia" w:ascii="楷体_GB2312" w:hAnsi="楷体_GB2312" w:eastAsia="楷体_GB2312" w:cs="楷体_GB2312"/>
          <w:b w:val="0"/>
          <w:bCs/>
          <w:color w:val="auto"/>
          <w:sz w:val="32"/>
          <w:szCs w:val="32"/>
          <w:highlight w:val="none"/>
        </w:rPr>
      </w:pPr>
      <w:bookmarkStart w:id="75" w:name="_Toc15377222"/>
      <w:bookmarkStart w:id="76" w:name="_Toc20065"/>
      <w:r>
        <w:rPr>
          <w:rFonts w:hint="eastAsia" w:ascii="楷体_GB2312" w:hAnsi="楷体_GB2312" w:eastAsia="楷体_GB2312" w:cs="楷体_GB2312"/>
          <w:b w:val="0"/>
          <w:bCs/>
          <w:color w:val="auto"/>
          <w:sz w:val="32"/>
          <w:szCs w:val="32"/>
          <w:highlight w:val="none"/>
        </w:rPr>
        <w:t>（一）机关运行经费支出情况</w:t>
      </w:r>
      <w:bookmarkEnd w:id="75"/>
      <w:bookmarkEnd w:id="76"/>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eastAsia="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广元市朝天区老干部事务中心</w:t>
      </w:r>
      <w:r>
        <w:rPr>
          <w:rFonts w:hint="eastAsia" w:ascii="仿宋_GB2312" w:hAnsi="仿宋_GB2312" w:eastAsia="仿宋_GB2312" w:cs="仿宋_GB2312"/>
          <w:color w:val="auto"/>
          <w:sz w:val="32"/>
          <w:szCs w:val="32"/>
          <w:highlight w:val="none"/>
        </w:rPr>
        <w:t>机关运行经费支出</w:t>
      </w:r>
      <w:r>
        <w:rPr>
          <w:rFonts w:hint="eastAsia" w:ascii="仿宋_GB2312" w:hAnsi="仿宋_GB2312" w:eastAsia="仿宋_GB2312" w:cs="仿宋_GB2312"/>
          <w:color w:val="auto"/>
          <w:sz w:val="32"/>
          <w:szCs w:val="32"/>
          <w:highlight w:val="none"/>
          <w:lang w:val="en-US" w:eastAsia="zh-CN"/>
        </w:rPr>
        <w:t>5.32</w:t>
      </w:r>
      <w:r>
        <w:rPr>
          <w:rFonts w:hint="eastAsia" w:ascii="仿宋_GB2312" w:hAnsi="仿宋_GB2312" w:eastAsia="仿宋_GB2312" w:cs="仿宋_GB2312"/>
          <w:color w:val="auto"/>
          <w:sz w:val="32"/>
          <w:szCs w:val="32"/>
          <w:highlight w:val="none"/>
        </w:rPr>
        <w:t>万元，比20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年增加</w:t>
      </w:r>
      <w:r>
        <w:rPr>
          <w:rFonts w:hint="eastAsia" w:ascii="仿宋_GB2312" w:hAnsi="仿宋_GB2312" w:eastAsia="仿宋_GB2312" w:cs="仿宋_GB2312"/>
          <w:color w:val="auto"/>
          <w:sz w:val="32"/>
          <w:szCs w:val="32"/>
          <w:highlight w:val="none"/>
          <w:lang w:val="en-US" w:eastAsia="zh-CN"/>
        </w:rPr>
        <w:t>2.52</w:t>
      </w:r>
      <w:r>
        <w:rPr>
          <w:rFonts w:hint="eastAsia" w:ascii="仿宋_GB2312" w:hAnsi="仿宋_GB2312" w:eastAsia="仿宋_GB2312" w:cs="仿宋_GB2312"/>
          <w:color w:val="auto"/>
          <w:sz w:val="32"/>
          <w:szCs w:val="32"/>
          <w:highlight w:val="none"/>
        </w:rPr>
        <w:t>万元，增长</w:t>
      </w:r>
      <w:r>
        <w:rPr>
          <w:rFonts w:hint="eastAsia" w:ascii="仿宋_GB2312" w:hAnsi="仿宋_GB2312" w:eastAsia="仿宋_GB2312" w:cs="仿宋_GB2312"/>
          <w:color w:val="auto"/>
          <w:sz w:val="32"/>
          <w:szCs w:val="32"/>
          <w:highlight w:val="none"/>
          <w:lang w:val="en-US" w:eastAsia="zh-CN"/>
        </w:rPr>
        <w:t>90</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主要原因是</w:t>
      </w:r>
      <w:r>
        <w:rPr>
          <w:rFonts w:hint="eastAsia" w:ascii="仿宋_GB2312" w:hAnsi="仿宋_GB2312" w:eastAsia="仿宋_GB2312" w:cs="仿宋_GB2312"/>
          <w:color w:val="auto"/>
          <w:sz w:val="32"/>
          <w:szCs w:val="32"/>
          <w:highlight w:val="none"/>
          <w:lang w:eastAsia="zh-CN"/>
        </w:rPr>
        <w:t>区关工委机改将办公室设在我单位，导致</w:t>
      </w:r>
      <w:r>
        <w:rPr>
          <w:rFonts w:hint="eastAsia" w:ascii="仿宋_GB2312" w:hAnsi="仿宋_GB2312" w:eastAsia="仿宋_GB2312" w:cs="仿宋_GB2312"/>
          <w:b w:val="0"/>
          <w:bCs w:val="0"/>
          <w:sz w:val="32"/>
          <w:szCs w:val="32"/>
          <w:lang w:eastAsia="zh-CN"/>
        </w:rPr>
        <w:t>人员经费增加。</w:t>
      </w:r>
    </w:p>
    <w:p>
      <w:pPr>
        <w:autoSpaceDE w:val="0"/>
        <w:autoSpaceDN w:val="0"/>
        <w:adjustRightInd w:val="0"/>
        <w:spacing w:line="600" w:lineRule="exact"/>
        <w:ind w:firstLine="640" w:firstLineChars="200"/>
        <w:jc w:val="left"/>
        <w:outlineLvl w:val="2"/>
        <w:rPr>
          <w:rFonts w:hint="eastAsia" w:ascii="楷体_GB2312" w:hAnsi="楷体_GB2312" w:eastAsia="楷体_GB2312" w:cs="楷体_GB2312"/>
          <w:b w:val="0"/>
          <w:bCs/>
          <w:color w:val="auto"/>
          <w:sz w:val="32"/>
          <w:szCs w:val="32"/>
          <w:highlight w:val="none"/>
        </w:rPr>
      </w:pPr>
      <w:bookmarkStart w:id="77" w:name="_Toc15377223"/>
      <w:bookmarkStart w:id="78" w:name="_Toc27670"/>
      <w:r>
        <w:rPr>
          <w:rFonts w:hint="eastAsia" w:ascii="楷体_GB2312" w:hAnsi="楷体_GB2312" w:eastAsia="楷体_GB2312" w:cs="楷体_GB2312"/>
          <w:b w:val="0"/>
          <w:bCs/>
          <w:color w:val="auto"/>
          <w:sz w:val="32"/>
          <w:szCs w:val="32"/>
          <w:highlight w:val="none"/>
        </w:rPr>
        <w:t>（二）政府采购支出情况</w:t>
      </w:r>
      <w:bookmarkEnd w:id="77"/>
      <w:bookmarkEnd w:id="78"/>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广元市朝天区老干部事务中心</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0" w:firstLineChars="200"/>
        <w:jc w:val="left"/>
        <w:outlineLvl w:val="2"/>
        <w:rPr>
          <w:rFonts w:hint="eastAsia" w:ascii="楷体_GB2312" w:hAnsi="楷体_GB2312" w:eastAsia="楷体_GB2312" w:cs="楷体_GB2312"/>
          <w:b w:val="0"/>
          <w:bCs/>
          <w:color w:val="auto"/>
          <w:sz w:val="32"/>
          <w:szCs w:val="32"/>
          <w:highlight w:val="none"/>
        </w:rPr>
      </w:pPr>
      <w:bookmarkStart w:id="79" w:name="_Toc15377224"/>
      <w:bookmarkStart w:id="80" w:name="_Toc28891"/>
      <w:r>
        <w:rPr>
          <w:rFonts w:hint="eastAsia" w:ascii="楷体_GB2312" w:hAnsi="楷体_GB2312" w:eastAsia="楷体_GB2312" w:cs="楷体_GB2312"/>
          <w:b w:val="0"/>
          <w:bCs/>
          <w:color w:val="auto"/>
          <w:sz w:val="32"/>
          <w:szCs w:val="32"/>
          <w:highlight w:val="none"/>
        </w:rPr>
        <w:t>（三）国有资产占有使用情况</w:t>
      </w:r>
      <w:bookmarkEnd w:id="79"/>
      <w:bookmarkEnd w:id="80"/>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广元市朝天区老干部事务中心</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0" w:firstLineChars="200"/>
        <w:jc w:val="left"/>
        <w:outlineLvl w:val="2"/>
        <w:rPr>
          <w:rFonts w:hint="eastAsia" w:ascii="楷体_GB2312" w:hAnsi="楷体_GB2312" w:eastAsia="楷体_GB2312" w:cs="楷体_GB2312"/>
          <w:b w:val="0"/>
          <w:bCs/>
          <w:color w:val="auto"/>
          <w:sz w:val="32"/>
          <w:szCs w:val="32"/>
          <w:highlight w:val="none"/>
        </w:rPr>
      </w:pPr>
      <w:bookmarkStart w:id="81" w:name="_Toc17420"/>
      <w:r>
        <w:rPr>
          <w:rFonts w:hint="eastAsia" w:ascii="楷体_GB2312" w:hAnsi="楷体_GB2312" w:eastAsia="楷体_GB2312" w:cs="楷体_GB2312"/>
          <w:b w:val="0"/>
          <w:bCs/>
          <w:color w:val="auto"/>
          <w:sz w:val="32"/>
          <w:szCs w:val="32"/>
          <w:highlight w:val="none"/>
        </w:rPr>
        <w:t>（四）预算绩效管理情况</w:t>
      </w:r>
      <w:bookmarkEnd w:id="81"/>
    </w:p>
    <w:p>
      <w:pPr>
        <w:keepNext w:val="0"/>
        <w:keepLines w:val="0"/>
        <w:pageBreakBefore w:val="0"/>
        <w:widowControl/>
        <w:kinsoku/>
        <w:wordWrap/>
        <w:overflowPunct/>
        <w:topLinePunct w:val="0"/>
        <w:bidi w:val="0"/>
        <w:snapToGrid/>
        <w:spacing w:line="576"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ascii="仿宋_GB2312" w:hAnsi="仿宋" w:eastAsia="仿宋_GB2312" w:cs="Times New Roman"/>
          <w:b w:val="0"/>
          <w:bCs w:val="0"/>
          <w:sz w:val="32"/>
          <w:szCs w:val="32"/>
          <w:lang w:val="en-US" w:eastAsia="zh-CN"/>
        </w:rPr>
        <w:t>2022年老干部特殊困难帮扶资金项目、2022年区委区政府工作通报会项目、2022年老干部体检项目、2022年老干部慰问项目、区委区政府工作通报会项目、关工委工作经费项目、金财网维护</w:t>
      </w:r>
      <w:r>
        <w:rPr>
          <w:rFonts w:hint="eastAsia" w:ascii="仿宋_GB2312" w:hAnsi="仿宋_GB2312" w:eastAsia="仿宋_GB2312" w:cs="仿宋_GB2312"/>
          <w:color w:val="auto"/>
          <w:sz w:val="32"/>
          <w:szCs w:val="32"/>
          <w:highlight w:val="none"/>
        </w:rPr>
        <w:t>项目等</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个项目开展绩效监控。</w:t>
      </w:r>
    </w:p>
    <w:p>
      <w:pPr>
        <w:keepNext w:val="0"/>
        <w:keepLines w:val="0"/>
        <w:pageBreakBefore w:val="0"/>
        <w:widowControl w:val="0"/>
        <w:pBdr>
          <w:bottom w:val="single" w:color="FFFFFF" w:sz="4" w:space="15"/>
        </w:pBdr>
        <w:tabs>
          <w:tab w:val="left" w:pos="1440"/>
        </w:tabs>
        <w:kinsoku/>
        <w:wordWrap/>
        <w:overflowPunct/>
        <w:topLinePunct w:val="0"/>
        <w:autoSpaceDE w:val="0"/>
        <w:autoSpaceDN w:val="0"/>
        <w:bidi w:val="0"/>
        <w:adjustRightInd w:val="0"/>
        <w:snapToGrid/>
        <w:spacing w:line="560" w:lineRule="exact"/>
        <w:ind w:firstLine="640" w:firstLineChars="200"/>
        <w:contextualSpacing/>
        <w:textAlignment w:val="auto"/>
        <w:rPr>
          <w:rFonts w:hint="eastAsia" w:ascii="仿宋_GB2312" w:hAnsi="仿宋" w:eastAsia="仿宋_GB2312" w:cs="Times New Roman"/>
          <w:b w:val="0"/>
          <w:bCs w:val="0"/>
          <w:color w:val="auto"/>
          <w:sz w:val="32"/>
          <w:szCs w:val="32"/>
          <w:lang w:val="en-US" w:eastAsia="zh-CN"/>
        </w:rPr>
      </w:pPr>
      <w:r>
        <w:rPr>
          <w:rFonts w:hint="eastAsia" w:ascii="仿宋_GB2312" w:hAnsi="仿宋_GB2312" w:eastAsia="仿宋_GB2312" w:cs="仿宋_GB2312"/>
          <w:color w:val="auto"/>
          <w:sz w:val="32"/>
          <w:szCs w:val="32"/>
          <w:highlight w:val="none"/>
        </w:rPr>
        <w:t>组织对2022年度一般公共预算资金全面开展绩效自评，形成</w:t>
      </w:r>
      <w:r>
        <w:rPr>
          <w:rFonts w:hint="eastAsia" w:ascii="仿宋_GB2312" w:eastAsia="仿宋_GB2312"/>
          <w:color w:val="auto"/>
          <w:sz w:val="32"/>
          <w:szCs w:val="32"/>
          <w:highlight w:val="none"/>
          <w:lang w:eastAsia="zh-CN"/>
        </w:rPr>
        <w:t>广元市朝天区老干部事务中心</w:t>
      </w:r>
      <w:r>
        <w:rPr>
          <w:rFonts w:hint="eastAsia" w:ascii="仿宋_GB2312" w:hAnsi="仿宋_GB2312" w:eastAsia="仿宋_GB2312" w:cs="仿宋_GB2312"/>
          <w:color w:val="auto"/>
          <w:sz w:val="32"/>
          <w:szCs w:val="32"/>
          <w:highlight w:val="none"/>
        </w:rPr>
        <w:t>部门整体（含部门预算项目）绩效自评报告、</w:t>
      </w:r>
      <w:r>
        <w:rPr>
          <w:rFonts w:hint="eastAsia" w:ascii="仿宋_GB2312" w:hAnsi="仿宋" w:eastAsia="仿宋_GB2312" w:cs="Times New Roman"/>
          <w:b w:val="0"/>
          <w:bCs w:val="0"/>
          <w:color w:val="auto"/>
          <w:sz w:val="32"/>
          <w:szCs w:val="32"/>
          <w:lang w:val="en-US" w:eastAsia="zh-CN"/>
        </w:rPr>
        <w:t>2022年老干部特殊困难帮扶资金项目、2022年区委区政府工作通报会项目、2022年老干部体检项目、2022年老干部慰问项目、关工委工作经费项目</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val="en-US" w:eastAsia="zh-CN"/>
        </w:rPr>
        <w:t>5个</w:t>
      </w:r>
      <w:r>
        <w:rPr>
          <w:rFonts w:hint="eastAsia" w:ascii="仿宋_GB2312" w:hAnsi="仿宋_GB2312" w:eastAsia="仿宋_GB2312" w:cs="仿宋_GB2312"/>
          <w:color w:val="auto"/>
          <w:sz w:val="32"/>
          <w:szCs w:val="32"/>
          <w:highlight w:val="none"/>
          <w:lang w:eastAsia="zh-CN"/>
        </w:rPr>
        <w:t>部门</w:t>
      </w:r>
      <w:r>
        <w:rPr>
          <w:rFonts w:hint="eastAsia" w:ascii="仿宋_GB2312" w:hAnsi="仿宋_GB2312" w:eastAsia="仿宋_GB2312" w:cs="仿宋_GB2312"/>
          <w:color w:val="auto"/>
          <w:sz w:val="32"/>
          <w:szCs w:val="32"/>
          <w:highlight w:val="none"/>
        </w:rPr>
        <w:t>预算项目绩效自评报告，其中，</w:t>
      </w:r>
      <w:r>
        <w:rPr>
          <w:rFonts w:hint="eastAsia" w:ascii="仿宋_GB2312" w:eastAsia="仿宋_GB2312"/>
          <w:color w:val="auto"/>
          <w:sz w:val="32"/>
          <w:szCs w:val="32"/>
          <w:highlight w:val="none"/>
          <w:lang w:eastAsia="zh-CN"/>
        </w:rPr>
        <w:t>广元市朝天区老干部事务中心</w:t>
      </w:r>
      <w:r>
        <w:rPr>
          <w:rFonts w:hint="eastAsia" w:ascii="仿宋_GB2312" w:hAnsi="仿宋_GB2312" w:eastAsia="仿宋_GB2312" w:cs="仿宋_GB2312"/>
          <w:color w:val="auto"/>
          <w:sz w:val="32"/>
          <w:szCs w:val="32"/>
          <w:highlight w:val="none"/>
        </w:rPr>
        <w:t>部门整体（含部门预算项目）绩效自评得分为</w:t>
      </w:r>
      <w:r>
        <w:rPr>
          <w:rFonts w:hint="eastAsia" w:ascii="仿宋_GB2312" w:hAnsi="仿宋_GB2312" w:eastAsia="仿宋_GB2312" w:cs="仿宋_GB2312"/>
          <w:color w:val="auto"/>
          <w:sz w:val="32"/>
          <w:szCs w:val="32"/>
          <w:highlight w:val="none"/>
          <w:lang w:val="en-US" w:eastAsia="zh-CN"/>
        </w:rPr>
        <w:t>97</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auto"/>
          <w:sz w:val="32"/>
          <w:szCs w:val="32"/>
          <w:lang w:val="en-US" w:eastAsia="zh-CN"/>
        </w:rPr>
        <w:t>从总体上看，部门整体绩效目标合理，决策依据充分，圆满完成了全年工作任务，各项项目实施均达到了预期的社会效益，为制定相关政策提供了统计数据支撑</w:t>
      </w:r>
      <w:r>
        <w:rPr>
          <w:rFonts w:hint="eastAsia" w:ascii="仿宋_GB2312" w:hAnsi="仿宋_GB2312" w:eastAsia="仿宋_GB2312" w:cs="仿宋_GB2312"/>
          <w:color w:val="auto"/>
          <w:sz w:val="32"/>
          <w:szCs w:val="32"/>
          <w:highlight w:val="none"/>
        </w:rPr>
        <w:t>；</w:t>
      </w:r>
      <w:r>
        <w:rPr>
          <w:rFonts w:hint="eastAsia" w:ascii="仿宋_GB2312" w:hAnsi="仿宋" w:eastAsia="仿宋_GB2312" w:cs="Times New Roman"/>
          <w:b w:val="0"/>
          <w:bCs w:val="0"/>
          <w:color w:val="auto"/>
          <w:sz w:val="32"/>
          <w:szCs w:val="32"/>
          <w:lang w:val="en-US" w:eastAsia="zh-CN"/>
        </w:rPr>
        <w:t>2022年老干部特殊困难帮扶资金项目</w:t>
      </w:r>
      <w:r>
        <w:rPr>
          <w:rFonts w:hint="eastAsia" w:ascii="仿宋_GB2312" w:hAnsi="仿宋_GB2312" w:eastAsia="仿宋_GB2312" w:cs="仿宋_GB2312"/>
          <w:color w:val="auto"/>
          <w:sz w:val="32"/>
          <w:szCs w:val="32"/>
          <w:highlight w:val="none"/>
        </w:rPr>
        <w:t>绩效自评得分为</w:t>
      </w:r>
      <w:r>
        <w:rPr>
          <w:rFonts w:hint="eastAsia" w:ascii="仿宋_GB2312" w:hAnsi="仿宋_GB2312" w:eastAsia="仿宋_GB2312" w:cs="仿宋_GB2312"/>
          <w:color w:val="auto"/>
          <w:sz w:val="32"/>
          <w:szCs w:val="32"/>
          <w:highlight w:val="none"/>
          <w:lang w:val="en-US" w:eastAsia="zh-CN"/>
        </w:rPr>
        <w:t>99</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auto"/>
          <w:sz w:val="32"/>
          <w:szCs w:val="32"/>
        </w:rPr>
        <w:t>从总体上看，该项目绩效目标合理，决策依据充分，项目补助方式科学合理、规范有序，项目的实施使离退休干部晚年生活有保障</w:t>
      </w:r>
      <w:r>
        <w:rPr>
          <w:rFonts w:hint="eastAsia" w:ascii="仿宋_GB2312" w:hAnsi="仿宋_GB2312" w:eastAsia="仿宋_GB2312" w:cs="仿宋_GB2312"/>
          <w:color w:val="auto"/>
          <w:sz w:val="32"/>
          <w:szCs w:val="32"/>
          <w:highlight w:val="none"/>
        </w:rPr>
        <w:t>。</w:t>
      </w:r>
      <w:r>
        <w:rPr>
          <w:rFonts w:hint="eastAsia" w:ascii="仿宋_GB2312" w:hAnsi="仿宋" w:eastAsia="仿宋_GB2312" w:cs="Times New Roman"/>
          <w:b w:val="0"/>
          <w:bCs w:val="0"/>
          <w:color w:val="auto"/>
          <w:sz w:val="32"/>
          <w:szCs w:val="32"/>
          <w:lang w:val="en-US" w:eastAsia="zh-CN"/>
        </w:rPr>
        <w:t>2022年区委区政府工作通报会项目</w:t>
      </w:r>
      <w:r>
        <w:rPr>
          <w:rFonts w:hint="eastAsia" w:ascii="仿宋_GB2312" w:hAnsi="仿宋_GB2312" w:eastAsia="仿宋_GB2312" w:cs="仿宋_GB2312"/>
          <w:color w:val="auto"/>
          <w:sz w:val="32"/>
          <w:szCs w:val="32"/>
          <w:highlight w:val="none"/>
        </w:rPr>
        <w:t>绩效自评得分为</w:t>
      </w:r>
      <w:r>
        <w:rPr>
          <w:rFonts w:hint="eastAsia" w:ascii="仿宋_GB2312" w:hAnsi="仿宋_GB2312" w:eastAsia="仿宋_GB2312" w:cs="仿宋_GB2312"/>
          <w:color w:val="auto"/>
          <w:sz w:val="32"/>
          <w:szCs w:val="32"/>
          <w:highlight w:val="none"/>
          <w:lang w:val="en-US" w:eastAsia="zh-CN"/>
        </w:rPr>
        <w:t>99</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auto"/>
          <w:sz w:val="32"/>
          <w:szCs w:val="32"/>
        </w:rPr>
        <w:t>从总体上看，该项目绩效目标合理，决策依据充分，项目补助方式科学合理、规范有序，项目的实施提高了离退休干部政治待遇。</w:t>
      </w:r>
      <w:r>
        <w:rPr>
          <w:rFonts w:hint="eastAsia" w:ascii="仿宋_GB2312" w:hAnsi="仿宋" w:eastAsia="仿宋_GB2312" w:cs="Times New Roman"/>
          <w:b w:val="0"/>
          <w:bCs w:val="0"/>
          <w:color w:val="auto"/>
          <w:sz w:val="32"/>
          <w:szCs w:val="32"/>
          <w:lang w:val="en-US" w:eastAsia="zh-CN"/>
        </w:rPr>
        <w:t>2022年老干部体检项目</w:t>
      </w:r>
      <w:r>
        <w:rPr>
          <w:rFonts w:hint="eastAsia" w:ascii="仿宋_GB2312" w:hAnsi="仿宋_GB2312" w:eastAsia="仿宋_GB2312" w:cs="仿宋_GB2312"/>
          <w:color w:val="auto"/>
          <w:sz w:val="32"/>
          <w:szCs w:val="32"/>
          <w:highlight w:val="none"/>
        </w:rPr>
        <w:t>绩效自评得分为</w:t>
      </w:r>
      <w:r>
        <w:rPr>
          <w:rFonts w:hint="eastAsia" w:ascii="仿宋_GB2312" w:hAnsi="仿宋_GB2312" w:eastAsia="仿宋_GB2312" w:cs="仿宋_GB2312"/>
          <w:color w:val="auto"/>
          <w:sz w:val="32"/>
          <w:szCs w:val="32"/>
          <w:highlight w:val="none"/>
          <w:lang w:val="en-US" w:eastAsia="zh-CN"/>
        </w:rPr>
        <w:t>99</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auto"/>
          <w:sz w:val="32"/>
          <w:szCs w:val="32"/>
        </w:rPr>
        <w:t>从总体上看，该项目绩效目标合理，决策依据充分，项目补助方式科学合理、规范有序，项目的实施提高了县级离退休干部生活待遇。</w:t>
      </w:r>
    </w:p>
    <w:p>
      <w:pPr>
        <w:keepNext w:val="0"/>
        <w:keepLines w:val="0"/>
        <w:pageBreakBefore w:val="0"/>
        <w:widowControl w:val="0"/>
        <w:pBdr>
          <w:bottom w:val="single" w:color="FFFFFF" w:sz="4" w:space="15"/>
        </w:pBdr>
        <w:tabs>
          <w:tab w:val="left" w:pos="1440"/>
        </w:tabs>
        <w:kinsoku/>
        <w:wordWrap/>
        <w:overflowPunct/>
        <w:topLinePunct w:val="0"/>
        <w:autoSpaceDE w:val="0"/>
        <w:autoSpaceDN w:val="0"/>
        <w:bidi w:val="0"/>
        <w:adjustRightInd w:val="0"/>
        <w:snapToGrid/>
        <w:spacing w:line="560" w:lineRule="exact"/>
        <w:ind w:firstLine="640" w:firstLineChars="200"/>
        <w:contextualSpacing/>
        <w:textAlignment w:val="auto"/>
        <w:rPr>
          <w:rFonts w:hint="eastAsia" w:ascii="仿宋_GB2312" w:hAnsi="仿宋_GB2312" w:eastAsia="仿宋_GB2312" w:cs="仿宋_GB2312"/>
          <w:color w:val="0000FF"/>
          <w:sz w:val="32"/>
          <w:szCs w:val="32"/>
          <w:highlight w:val="none"/>
        </w:rPr>
      </w:pPr>
      <w:r>
        <w:rPr>
          <w:rFonts w:hint="eastAsia" w:ascii="仿宋_GB2312" w:hAnsi="仿宋" w:eastAsia="仿宋_GB2312" w:cs="Times New Roman"/>
          <w:b w:val="0"/>
          <w:bCs w:val="0"/>
          <w:color w:val="auto"/>
          <w:sz w:val="32"/>
          <w:szCs w:val="32"/>
          <w:lang w:val="en-US" w:eastAsia="zh-CN"/>
        </w:rPr>
        <w:t>2022年老干部慰问项目</w:t>
      </w:r>
      <w:r>
        <w:rPr>
          <w:rFonts w:hint="eastAsia" w:ascii="仿宋_GB2312" w:hAnsi="仿宋_GB2312" w:eastAsia="仿宋_GB2312" w:cs="仿宋_GB2312"/>
          <w:color w:val="auto"/>
          <w:sz w:val="32"/>
          <w:szCs w:val="32"/>
          <w:highlight w:val="none"/>
        </w:rPr>
        <w:t>绩效自评得分为</w:t>
      </w:r>
      <w:r>
        <w:rPr>
          <w:rFonts w:hint="eastAsia" w:ascii="仿宋_GB2312" w:hAnsi="仿宋_GB2312" w:eastAsia="仿宋_GB2312" w:cs="仿宋_GB2312"/>
          <w:color w:val="auto"/>
          <w:sz w:val="32"/>
          <w:szCs w:val="32"/>
          <w:highlight w:val="none"/>
          <w:lang w:val="en-US" w:eastAsia="zh-CN"/>
        </w:rPr>
        <w:t>99</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auto"/>
          <w:sz w:val="32"/>
          <w:szCs w:val="32"/>
        </w:rPr>
        <w:t>从总体上看，该项目绩效目标合理，决策依据充分，项目补助方式科学合理、规范有序，项目的实施提高了县级离退休干部生活待遇。</w:t>
      </w:r>
      <w:r>
        <w:rPr>
          <w:rFonts w:hint="eastAsia" w:ascii="仿宋_GB2312" w:hAnsi="仿宋" w:eastAsia="仿宋_GB2312" w:cs="Times New Roman"/>
          <w:b w:val="0"/>
          <w:bCs w:val="0"/>
          <w:color w:val="auto"/>
          <w:sz w:val="32"/>
          <w:szCs w:val="32"/>
          <w:lang w:val="en-US" w:eastAsia="zh-CN"/>
        </w:rPr>
        <w:t>关工委工作经费项目</w:t>
      </w:r>
      <w:r>
        <w:rPr>
          <w:rFonts w:hint="eastAsia" w:ascii="仿宋_GB2312" w:hAnsi="仿宋_GB2312" w:eastAsia="仿宋_GB2312" w:cs="仿宋_GB2312"/>
          <w:color w:val="auto"/>
          <w:sz w:val="32"/>
          <w:szCs w:val="32"/>
          <w:highlight w:val="none"/>
        </w:rPr>
        <w:t>绩效自评得分为</w:t>
      </w:r>
      <w:r>
        <w:rPr>
          <w:rFonts w:hint="eastAsia" w:ascii="仿宋_GB2312" w:hAnsi="仿宋_GB2312" w:eastAsia="仿宋_GB2312" w:cs="仿宋_GB2312"/>
          <w:color w:val="auto"/>
          <w:sz w:val="32"/>
          <w:szCs w:val="32"/>
          <w:highlight w:val="none"/>
          <w:lang w:val="en-US" w:eastAsia="zh-CN"/>
        </w:rPr>
        <w:t>99</w:t>
      </w:r>
      <w:r>
        <w:rPr>
          <w:rFonts w:hint="eastAsia" w:ascii="仿宋_GB2312" w:hAnsi="仿宋_GB2312" w:eastAsia="仿宋_GB2312" w:cs="仿宋_GB2312"/>
          <w:color w:val="auto"/>
          <w:sz w:val="32"/>
          <w:szCs w:val="32"/>
          <w:highlight w:val="none"/>
        </w:rPr>
        <w:t>分，绩效自评综述：</w:t>
      </w:r>
      <w:r>
        <w:rPr>
          <w:rFonts w:hint="eastAsia" w:ascii="仿宋_GB2312" w:hAnsi="仿宋_GB2312" w:eastAsia="仿宋_GB2312" w:cs="仿宋_GB2312"/>
          <w:color w:val="auto"/>
          <w:sz w:val="32"/>
          <w:szCs w:val="32"/>
        </w:rPr>
        <w:t>从总体上看，该项目绩效目标合理，决策依据充分，项目补助方式科学合理、规范有序，项目的实施提高了下一代健康成长质量。</w:t>
      </w:r>
      <w:r>
        <w:rPr>
          <w:rFonts w:hint="eastAsia" w:ascii="仿宋_GB2312" w:hAnsi="仿宋_GB2312" w:eastAsia="仿宋_GB2312" w:cs="仿宋_GB2312"/>
          <w:color w:val="auto"/>
          <w:sz w:val="32"/>
          <w:szCs w:val="32"/>
          <w:highlight w:val="none"/>
        </w:rPr>
        <w:t>绩效自评报告详见附件。</w:t>
      </w:r>
    </w:p>
    <w:p>
      <w:pPr>
        <w:numPr>
          <w:ilvl w:val="0"/>
          <w:numId w:val="3"/>
        </w:numPr>
        <w:spacing w:line="600" w:lineRule="exact"/>
        <w:ind w:firstLine="660" w:firstLineChars="150"/>
        <w:jc w:val="center"/>
        <w:outlineLvl w:val="0"/>
        <w:rPr>
          <w:rStyle w:val="28"/>
          <w:rFonts w:ascii="黑体" w:hAnsi="黑体" w:eastAsia="黑体"/>
          <w:b w:val="0"/>
          <w:color w:val="auto"/>
          <w:highlight w:val="none"/>
        </w:rPr>
      </w:pPr>
      <w:bookmarkStart w:id="82" w:name="_Toc15396613"/>
      <w:bookmarkStart w:id="83" w:name="_Toc15377225"/>
      <w:r>
        <w:rPr>
          <w:rFonts w:hint="eastAsia" w:ascii="黑体" w:hAnsi="黑体" w:eastAsia="黑体"/>
          <w:color w:val="auto"/>
          <w:sz w:val="44"/>
          <w:szCs w:val="44"/>
          <w:highlight w:val="none"/>
          <w:lang w:val="en-US" w:eastAsia="zh-CN"/>
        </w:rPr>
        <w:t xml:space="preserve"> </w:t>
      </w:r>
      <w:bookmarkStart w:id="84" w:name="_Toc29799"/>
      <w:r>
        <w:rPr>
          <w:rFonts w:hint="eastAsia" w:ascii="黑体" w:hAnsi="黑体" w:eastAsia="黑体"/>
          <w:color w:val="auto"/>
          <w:sz w:val="44"/>
          <w:szCs w:val="44"/>
          <w:highlight w:val="none"/>
        </w:rPr>
        <w:t>名</w:t>
      </w:r>
      <w:r>
        <w:rPr>
          <w:rStyle w:val="28"/>
          <w:rFonts w:hint="eastAsia" w:ascii="黑体" w:hAnsi="黑体" w:eastAsia="黑体"/>
          <w:b w:val="0"/>
          <w:color w:val="auto"/>
          <w:highlight w:val="none"/>
        </w:rPr>
        <w:t>词解释</w:t>
      </w:r>
      <w:bookmarkEnd w:id="82"/>
      <w:bookmarkEnd w:id="83"/>
      <w:bookmarkEnd w:id="84"/>
    </w:p>
    <w:p>
      <w:pPr>
        <w:spacing w:line="600" w:lineRule="exact"/>
        <w:jc w:val="left"/>
        <w:rPr>
          <w:rFonts w:ascii="宋体"/>
          <w:b/>
          <w:color w:val="auto"/>
          <w:sz w:val="44"/>
          <w:szCs w:val="44"/>
          <w:highlight w:val="none"/>
        </w:rPr>
      </w:pPr>
    </w:p>
    <w:p>
      <w:pPr>
        <w:pStyle w:val="26"/>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一般公共服务（类）</w:t>
      </w:r>
      <w:r>
        <w:rPr>
          <w:rFonts w:hint="eastAsia" w:ascii="仿宋_GB2312" w:eastAsia="仿宋_GB2312"/>
          <w:color w:val="auto"/>
          <w:sz w:val="32"/>
          <w:szCs w:val="32"/>
          <w:highlight w:val="none"/>
          <w:lang w:val="en-US" w:eastAsia="zh-CN"/>
        </w:rPr>
        <w:t>群众团体事务支出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其他群众团体事务支出</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eastAsia="zh-CN"/>
        </w:rPr>
        <w:t>其他群众团体事务支出</w:t>
      </w:r>
      <w:r>
        <w:rPr>
          <w:rFonts w:hint="eastAsia" w:ascii="仿宋_GB2312" w:eastAsia="仿宋_GB2312"/>
          <w:color w:val="auto"/>
          <w:sz w:val="32"/>
          <w:szCs w:val="32"/>
          <w:highlight w:val="none"/>
        </w:rPr>
        <w:t>。</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一般公共服务（类）</w:t>
      </w:r>
      <w:r>
        <w:rPr>
          <w:rFonts w:hint="eastAsia" w:ascii="仿宋_GB2312" w:eastAsia="仿宋_GB2312"/>
          <w:color w:val="auto"/>
          <w:sz w:val="32"/>
          <w:szCs w:val="32"/>
          <w:highlight w:val="none"/>
          <w:lang w:val="en-US" w:eastAsia="zh-CN"/>
        </w:rPr>
        <w:t>组织事务支出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事业运行支出</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eastAsia="zh-CN"/>
        </w:rPr>
        <w:t>事业运行支出</w:t>
      </w:r>
      <w:r>
        <w:rPr>
          <w:rFonts w:hint="eastAsia" w:ascii="仿宋_GB2312" w:eastAsia="仿宋_GB2312"/>
          <w:color w:val="auto"/>
          <w:sz w:val="32"/>
          <w:szCs w:val="32"/>
          <w:highlight w:val="none"/>
        </w:rPr>
        <w:t>。</w:t>
      </w:r>
    </w:p>
    <w:p>
      <w:pPr>
        <w:ind w:firstLine="640" w:firstLineChars="200"/>
      </w:pPr>
      <w:r>
        <w:rPr>
          <w:rFonts w:hint="eastAsia" w:ascii="仿宋_GB2312" w:eastAsia="仿宋_GB2312"/>
          <w:color w:val="auto"/>
          <w:sz w:val="32"/>
          <w:szCs w:val="32"/>
          <w:highlight w:val="none"/>
          <w:lang w:val="en-US" w:eastAsia="zh-CN"/>
        </w:rPr>
        <w:t>6</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一般公共服务（类）</w:t>
      </w:r>
      <w:r>
        <w:rPr>
          <w:rFonts w:hint="eastAsia" w:ascii="仿宋_GB2312" w:eastAsia="仿宋_GB2312"/>
          <w:color w:val="auto"/>
          <w:sz w:val="32"/>
          <w:szCs w:val="32"/>
          <w:highlight w:val="none"/>
          <w:lang w:val="en-US" w:eastAsia="zh-CN"/>
        </w:rPr>
        <w:t>组织事务支出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其他组织事务支出</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eastAsia="zh-CN"/>
        </w:rPr>
        <w:t>其他组织事务支出</w:t>
      </w:r>
      <w:r>
        <w:rPr>
          <w:rFonts w:hint="eastAsia" w:ascii="仿宋_GB2312" w:eastAsia="仿宋_GB2312"/>
          <w:color w:val="auto"/>
          <w:sz w:val="32"/>
          <w:szCs w:val="32"/>
          <w:highlight w:val="none"/>
        </w:rPr>
        <w:t>。</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7</w:t>
      </w:r>
      <w:r>
        <w:rPr>
          <w:rFonts w:ascii="仿宋_GB2312" w:eastAsia="仿宋_GB2312"/>
          <w:color w:val="auto"/>
          <w:sz w:val="32"/>
          <w:szCs w:val="32"/>
          <w:highlight w:val="none"/>
        </w:rPr>
        <w:t>.</w:t>
      </w:r>
      <w:r>
        <w:rPr>
          <w:rFonts w:hint="eastAsia" w:ascii="仿宋_GB2312" w:eastAsia="仿宋_GB2312"/>
          <w:color w:val="auto"/>
          <w:sz w:val="32"/>
          <w:szCs w:val="32"/>
          <w:highlight w:val="none"/>
        </w:rPr>
        <w:t>社会保障和就业（类）</w:t>
      </w:r>
      <w:r>
        <w:rPr>
          <w:rFonts w:hint="eastAsia" w:ascii="仿宋_GB2312" w:eastAsia="仿宋_GB2312"/>
          <w:color w:val="auto"/>
          <w:sz w:val="32"/>
          <w:szCs w:val="32"/>
          <w:highlight w:val="none"/>
          <w:lang w:val="en-US" w:eastAsia="zh-CN"/>
        </w:rPr>
        <w:t>行政事业单位养老支出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机关事业单位基本养老保险缴费支出</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eastAsia="zh-CN"/>
        </w:rPr>
        <w:t>我部门在职人员缴纳养老保险支出</w:t>
      </w:r>
      <w:r>
        <w:rPr>
          <w:rFonts w:hint="eastAsia" w:ascii="仿宋_GB2312" w:eastAsia="仿宋_GB2312"/>
          <w:color w:val="auto"/>
          <w:sz w:val="32"/>
          <w:szCs w:val="32"/>
          <w:highlight w:val="none"/>
        </w:rPr>
        <w:t>。</w:t>
      </w:r>
    </w:p>
    <w:p>
      <w:pPr>
        <w:ind w:firstLine="640" w:firstLineChars="200"/>
      </w:pPr>
      <w:r>
        <w:rPr>
          <w:rFonts w:hint="eastAsia" w:ascii="仿宋_GB2312" w:eastAsia="仿宋_GB2312"/>
          <w:color w:val="auto"/>
          <w:sz w:val="32"/>
          <w:szCs w:val="32"/>
          <w:highlight w:val="none"/>
          <w:lang w:val="en-US" w:eastAsia="zh-CN"/>
        </w:rPr>
        <w:t>8</w:t>
      </w:r>
      <w:r>
        <w:rPr>
          <w:rFonts w:ascii="仿宋_GB2312" w:eastAsia="仿宋_GB2312"/>
          <w:color w:val="auto"/>
          <w:sz w:val="32"/>
          <w:szCs w:val="32"/>
          <w:highlight w:val="none"/>
        </w:rPr>
        <w:t>.</w:t>
      </w:r>
      <w:r>
        <w:rPr>
          <w:rFonts w:hint="eastAsia" w:ascii="仿宋_GB2312" w:eastAsia="仿宋_GB2312"/>
          <w:color w:val="auto"/>
          <w:sz w:val="32"/>
          <w:szCs w:val="32"/>
          <w:highlight w:val="none"/>
        </w:rPr>
        <w:t>社会保障和就业（类）</w:t>
      </w:r>
      <w:r>
        <w:rPr>
          <w:rFonts w:hint="eastAsia" w:ascii="仿宋_GB2312" w:eastAsia="仿宋_GB2312"/>
          <w:color w:val="auto"/>
          <w:sz w:val="32"/>
          <w:szCs w:val="32"/>
          <w:highlight w:val="none"/>
          <w:lang w:val="en-US" w:eastAsia="zh-CN"/>
        </w:rPr>
        <w:t>其他社会保障和就业支出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其他社会保障和就业支出</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eastAsia="zh-CN"/>
        </w:rPr>
        <w:t>其他社会保障和就业支出</w:t>
      </w: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rPr>
        <w:t>.</w:t>
      </w:r>
      <w:r>
        <w:rPr>
          <w:rFonts w:hint="eastAsia" w:ascii="仿宋_GB2312" w:eastAsia="仿宋_GB2312"/>
          <w:color w:val="auto"/>
          <w:sz w:val="32"/>
          <w:szCs w:val="32"/>
          <w:highlight w:val="none"/>
          <w:lang w:eastAsia="zh-CN"/>
        </w:rPr>
        <w:t>卫生健康</w:t>
      </w:r>
      <w:r>
        <w:rPr>
          <w:rFonts w:hint="eastAsia" w:ascii="仿宋_GB2312" w:eastAsia="仿宋_GB2312"/>
          <w:color w:val="auto"/>
          <w:sz w:val="32"/>
          <w:szCs w:val="32"/>
          <w:highlight w:val="none"/>
        </w:rPr>
        <w:t>（类）</w:t>
      </w:r>
      <w:r>
        <w:rPr>
          <w:rFonts w:hint="eastAsia" w:ascii="仿宋_GB2312" w:eastAsia="仿宋_GB2312"/>
          <w:color w:val="auto"/>
          <w:sz w:val="32"/>
          <w:szCs w:val="32"/>
          <w:highlight w:val="none"/>
          <w:lang w:val="en-US" w:eastAsia="zh-CN"/>
        </w:rPr>
        <w:t>行政事业单位医疗支出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事业单位医疗支出</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eastAsia="zh-CN"/>
        </w:rPr>
        <w:t>我部门在职人员缴纳医疗保险支出</w:t>
      </w: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住房保障（类）</w:t>
      </w:r>
      <w:r>
        <w:rPr>
          <w:rFonts w:hint="eastAsia" w:ascii="仿宋_GB2312" w:eastAsia="仿宋_GB2312"/>
          <w:color w:val="auto"/>
          <w:sz w:val="32"/>
          <w:szCs w:val="32"/>
          <w:highlight w:val="none"/>
          <w:lang w:val="en-US" w:eastAsia="zh-CN"/>
        </w:rPr>
        <w:t>住房改革支出</w:t>
      </w:r>
      <w:r>
        <w:rPr>
          <w:rFonts w:hint="eastAsia" w:ascii="仿宋_GB2312" w:eastAsia="仿宋_GB2312"/>
          <w:color w:val="auto"/>
          <w:sz w:val="32"/>
          <w:szCs w:val="32"/>
          <w:highlight w:val="none"/>
        </w:rPr>
        <w:t>（款）</w:t>
      </w:r>
      <w:r>
        <w:rPr>
          <w:rFonts w:hint="eastAsia" w:ascii="仿宋_GB2312" w:eastAsia="仿宋_GB2312"/>
          <w:color w:val="auto"/>
          <w:sz w:val="32"/>
          <w:szCs w:val="32"/>
          <w:highlight w:val="none"/>
          <w:lang w:val="en-US" w:eastAsia="zh-CN"/>
        </w:rPr>
        <w:t>住房公积金支出</w:t>
      </w:r>
      <w:r>
        <w:rPr>
          <w:rFonts w:hint="eastAsia" w:ascii="仿宋_GB2312" w:eastAsia="仿宋_GB2312"/>
          <w:color w:val="auto"/>
          <w:sz w:val="32"/>
          <w:szCs w:val="32"/>
          <w:highlight w:val="none"/>
        </w:rPr>
        <w:t>（项）：指</w:t>
      </w:r>
      <w:r>
        <w:rPr>
          <w:rFonts w:hint="eastAsia" w:ascii="仿宋_GB2312" w:eastAsia="仿宋_GB2312"/>
          <w:color w:val="auto"/>
          <w:sz w:val="32"/>
          <w:szCs w:val="32"/>
          <w:highlight w:val="none"/>
          <w:lang w:eastAsia="zh-CN"/>
        </w:rPr>
        <w:t>我部门在职人员缴纳住房公积金支出</w:t>
      </w: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Style w:val="26"/>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s="黑体"/>
          <w:color w:val="auto"/>
          <w:sz w:val="32"/>
          <w:szCs w:val="32"/>
          <w:highlight w:val="none"/>
        </w:rPr>
      </w:pPr>
      <w:r>
        <w:rPr>
          <w:rFonts w:hint="eastAsia" w:ascii="仿宋_GB2312" w:eastAsia="仿宋_GB2312"/>
          <w:color w:val="auto"/>
          <w:sz w:val="32"/>
          <w:szCs w:val="32"/>
          <w:highlight w:val="none"/>
          <w:lang w:val="en-US" w:eastAsia="zh-CN"/>
        </w:rPr>
        <w:t>14</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8"/>
          <w:rFonts w:hint="eastAsia" w:ascii="黑体" w:hAnsi="黑体" w:eastAsia="黑体"/>
          <w:b w:val="0"/>
          <w:color w:val="auto"/>
          <w:highlight w:val="none"/>
          <w:lang w:eastAsia="zh-CN"/>
        </w:rPr>
      </w:pPr>
      <w:bookmarkStart w:id="85" w:name="_Toc15377226"/>
      <w:r>
        <w:rPr>
          <w:rFonts w:ascii="宋体"/>
          <w:b/>
          <w:color w:val="auto"/>
          <w:sz w:val="44"/>
          <w:szCs w:val="44"/>
          <w:highlight w:val="none"/>
        </w:rPr>
        <w:br w:type="page"/>
      </w:r>
      <w:bookmarkStart w:id="86" w:name="_Toc15396614"/>
      <w:bookmarkStart w:id="87" w:name="_Toc14911"/>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四部分 附件</w:t>
      </w:r>
      <w:bookmarkEnd w:id="86"/>
      <w:bookmarkEnd w:id="87"/>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lang w:val="en-US" w:eastAsia="zh-CN"/>
        </w:rPr>
      </w:pPr>
      <w:bookmarkStart w:id="88" w:name="_Toc9713"/>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bookmarkEnd w:id="88"/>
    </w:p>
    <w:p>
      <w:pPr>
        <w:pStyle w:val="14"/>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40" w:lineRule="exact"/>
        <w:ind w:firstLine="880" w:firstLineChars="200"/>
        <w:jc w:val="both"/>
        <w:textAlignment w:val="auto"/>
        <w:rPr>
          <w:rFonts w:hint="eastAsia" w:ascii="方正小标宋简体" w:hAnsi="方正小标宋简体" w:eastAsia="方正小标宋简体" w:cs="方正小标宋简体"/>
          <w:sz w:val="44"/>
          <w:szCs w:val="44"/>
          <w:lang w:val="en-US" w:eastAsia="zh-CN"/>
        </w:rPr>
      </w:pPr>
      <w:bookmarkStart w:id="89" w:name="_Toc9568"/>
      <w:r>
        <w:rPr>
          <w:rFonts w:hint="eastAsia" w:ascii="方正小标宋简体" w:hAnsi="方正小标宋简体" w:eastAsia="方正小标宋简体" w:cs="方正小标宋简体"/>
          <w:b w:val="0"/>
          <w:bCs w:val="0"/>
          <w:kern w:val="0"/>
          <w:sz w:val="44"/>
          <w:szCs w:val="44"/>
          <w:lang w:val="en-US" w:eastAsia="zh-CN" w:bidi="ar-SA"/>
        </w:rPr>
        <w:t>2022年度部门整体支出绩效评价报告</w:t>
      </w:r>
      <w:bookmarkEnd w:id="89"/>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p>
    <w:p>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lang w:val="zh-CN"/>
        </w:rPr>
        <w:t>部门（单位）基本情况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（一）机构组成</w:t>
      </w:r>
    </w:p>
    <w:p>
      <w:pPr>
        <w:keepNext w:val="0"/>
        <w:keepLines w:val="0"/>
        <w:pageBreakBefore w:val="0"/>
        <w:kinsoku/>
        <w:wordWrap/>
        <w:overflowPunct/>
        <w:topLinePunct w:val="0"/>
        <w:bidi w:val="0"/>
        <w:adjustRightInd w:val="0"/>
        <w:snapToGrid w:val="0"/>
        <w:spacing w:line="576" w:lineRule="exact"/>
        <w:ind w:firstLine="640" w:firstLineChars="200"/>
        <w:textAlignment w:val="auto"/>
        <w:rPr>
          <w:rFonts w:hint="eastAsia"/>
          <w:lang w:val="zh-CN"/>
        </w:rPr>
      </w:pPr>
      <w:r>
        <w:rPr>
          <w:rFonts w:hint="eastAsia" w:ascii="仿宋_GB2312" w:hAnsi="仿宋_GB2312" w:eastAsia="仿宋_GB2312" w:cs="仿宋_GB2312"/>
          <w:sz w:val="32"/>
          <w:szCs w:val="32"/>
        </w:rPr>
        <w:t>广元市朝天区老干部事务中心属财政一级预算单位，下属二级预算单位0个，其中参照公务员法管理的事业单位0个，（其他事业单位0个）。</w:t>
      </w:r>
      <w:r>
        <w:rPr>
          <w:rFonts w:hint="eastAsia" w:ascii="仿宋_GB2312" w:hAnsi="仿宋_GB2312" w:eastAsia="仿宋_GB2312" w:cs="仿宋_GB2312"/>
          <w:sz w:val="32"/>
          <w:szCs w:val="32"/>
          <w:lang w:val="en-US" w:eastAsia="zh-CN"/>
        </w:rPr>
        <w:t>内设机构1个，即办公室。</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（二）机构职能和人员概况</w:t>
      </w:r>
    </w:p>
    <w:p>
      <w:pPr>
        <w:keepNext w:val="0"/>
        <w:keepLines w:val="0"/>
        <w:pageBreakBefore w:val="0"/>
        <w:kinsoku/>
        <w:wordWrap/>
        <w:overflowPunct/>
        <w:topLinePunct w:val="0"/>
        <w:bidi w:val="0"/>
        <w:adjustRightInd w:val="0"/>
        <w:snapToGrid w:val="0"/>
        <w:spacing w:line="576" w:lineRule="exact"/>
        <w:ind w:firstLine="640" w:firstLineChars="200"/>
        <w:textAlignment w:val="auto"/>
        <w:rPr>
          <w:rFonts w:hint="eastAsia"/>
          <w:lang w:eastAsia="zh-CN"/>
        </w:rPr>
      </w:pPr>
      <w:r>
        <w:rPr>
          <w:rFonts w:hint="eastAsia" w:ascii="仿宋_GB2312" w:hAnsi="仿宋_GB2312" w:eastAsia="仿宋_GB2312" w:cs="仿宋_GB2312"/>
          <w:sz w:val="32"/>
          <w:szCs w:val="32"/>
        </w:rPr>
        <w:t>负责宣传贯彻执行有关离退休干部工作的方针政策、法律法规；负责全区离退休干部工作的综合指导和协调工作；负责拟订全区离退休干部工作有关规范性文件；负责中心支部党建工作和离退休干部党建工作，抓好离退休干部政治建设、组织建设和思想建设；负责收集整理离退休干部提出的各种意见建议；负责组织离退休干部开展正能量活动；负责离退休干部（含老红军遗属、离休干部无工作遗属、易地安置离休干部）服务工作，落实离退休干部政治、生活待遇；负责离退休干部活动学习阵地建设；负责离退休干部工作信息化建设；负责离退休干部来信来访及突出问题呈报与调查处理工作；负责外地离退休干部和离退休干部工作部门来朝天学习、参观的协调接洽工作；</w:t>
      </w:r>
      <w:r>
        <w:rPr>
          <w:rFonts w:hint="eastAsia" w:ascii="仿宋_GB2312" w:hAnsi="仿宋_GB2312" w:eastAsia="仿宋_GB2312" w:cs="仿宋_GB2312"/>
          <w:sz w:val="32"/>
          <w:szCs w:val="32"/>
          <w:lang w:eastAsia="zh-CN"/>
        </w:rPr>
        <w:t>关心下一代工作；</w:t>
      </w:r>
      <w:r>
        <w:rPr>
          <w:rFonts w:hint="eastAsia" w:ascii="仿宋_GB2312" w:hAnsi="仿宋_GB2312" w:eastAsia="仿宋_GB2312" w:cs="仿宋_GB2312"/>
          <w:sz w:val="32"/>
          <w:szCs w:val="32"/>
        </w:rPr>
        <w:t>完成其他有关事项。</w:t>
      </w:r>
    </w:p>
    <w:p>
      <w:pPr>
        <w:keepNext w:val="0"/>
        <w:keepLines w:val="0"/>
        <w:pageBreakBefore w:val="0"/>
        <w:kinsoku/>
        <w:wordWrap/>
        <w:overflowPunct/>
        <w:topLinePunct w:val="0"/>
        <w:bidi w:val="0"/>
        <w:adjustRightInd w:val="0"/>
        <w:snapToGrid w:val="0"/>
        <w:spacing w:line="576" w:lineRule="exact"/>
        <w:ind w:firstLine="640" w:firstLineChars="200"/>
        <w:textAlignment w:val="auto"/>
        <w:rPr>
          <w:rFonts w:hint="eastAsia"/>
          <w:sz w:val="32"/>
          <w:szCs w:val="32"/>
          <w:lang w:val="zh-CN"/>
        </w:rPr>
      </w:pPr>
      <w:r>
        <w:rPr>
          <w:rFonts w:hint="eastAsia" w:ascii="仿宋_GB2312" w:hAnsi="仿宋_GB2312" w:eastAsia="仿宋_GB2312" w:cs="仿宋_GB2312"/>
          <w:sz w:val="32"/>
          <w:szCs w:val="32"/>
          <w:lang w:val="en-US" w:eastAsia="zh-CN"/>
        </w:rPr>
        <w:t>我中心现有编制4名（参公）,实有在编人员3人（参公），实有在岗人员5人（其中2人的编制（事业编）在区委组织部。根据区委常委会议精神，这2个事业编制其中1个由区老干部事务中心使用，1个由区关工委办公室使用）。另退休人员1人。</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（三）年度主要工作任务。</w:t>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rPr>
        <w:t>2022年，朝天区</w:t>
      </w:r>
      <w:r>
        <w:rPr>
          <w:rFonts w:hint="eastAsia" w:ascii="仿宋_GB2312" w:hAnsi="仿宋" w:eastAsia="仿宋_GB2312" w:cs="Times New Roman"/>
          <w:b w:val="0"/>
          <w:bCs w:val="0"/>
          <w:sz w:val="32"/>
          <w:szCs w:val="32"/>
          <w:lang w:eastAsia="zh-CN"/>
        </w:rPr>
        <w:t>老干部工作在市委老干部局和区委的坚强领导下，</w:t>
      </w:r>
      <w:r>
        <w:rPr>
          <w:rFonts w:hint="eastAsia" w:ascii="仿宋_GB2312" w:hAnsi="仿宋" w:eastAsia="仿宋_GB2312" w:cs="Times New Roman"/>
          <w:b w:val="0"/>
          <w:bCs w:val="0"/>
          <w:sz w:val="32"/>
          <w:szCs w:val="32"/>
        </w:rPr>
        <w:t>全面贯彻落实</w:t>
      </w:r>
      <w:r>
        <w:rPr>
          <w:rFonts w:hint="eastAsia" w:ascii="仿宋_GB2312" w:hAnsi="仿宋" w:eastAsia="仿宋_GB2312" w:cs="Times New Roman"/>
          <w:b w:val="0"/>
          <w:bCs w:val="0"/>
          <w:sz w:val="32"/>
          <w:szCs w:val="32"/>
          <w:lang w:val="en-US" w:eastAsia="zh-CN"/>
        </w:rPr>
        <w:t>中共中央《关于加强新时代离退休干部党的建设工作的意见》</w:t>
      </w:r>
      <w:r>
        <w:rPr>
          <w:rFonts w:hint="eastAsia" w:ascii="仿宋_GB2312" w:hAnsi="仿宋" w:eastAsia="仿宋_GB2312" w:cs="Times New Roman"/>
          <w:b w:val="0"/>
          <w:bCs w:val="0"/>
          <w:sz w:val="32"/>
          <w:szCs w:val="32"/>
        </w:rPr>
        <w:t>和省、市委老干部</w:t>
      </w:r>
      <w:r>
        <w:rPr>
          <w:rFonts w:hint="eastAsia" w:ascii="仿宋_GB2312" w:hAnsi="仿宋" w:eastAsia="仿宋_GB2312" w:cs="Times New Roman"/>
          <w:b w:val="0"/>
          <w:bCs w:val="0"/>
          <w:sz w:val="32"/>
          <w:szCs w:val="32"/>
          <w:lang w:eastAsia="zh-CN"/>
        </w:rPr>
        <w:t>工作</w:t>
      </w:r>
      <w:r>
        <w:rPr>
          <w:rFonts w:hint="eastAsia" w:ascii="仿宋_GB2312" w:hAnsi="仿宋" w:eastAsia="仿宋_GB2312" w:cs="Times New Roman"/>
          <w:b w:val="0"/>
          <w:bCs w:val="0"/>
          <w:sz w:val="32"/>
          <w:szCs w:val="32"/>
        </w:rPr>
        <w:t>会议精神，对标对表</w:t>
      </w:r>
      <w:r>
        <w:rPr>
          <w:rFonts w:hint="eastAsia" w:ascii="仿宋_GB2312" w:hAnsi="仿宋" w:eastAsia="仿宋_GB2312" w:cs="Times New Roman"/>
          <w:b w:val="0"/>
          <w:bCs w:val="0"/>
          <w:sz w:val="32"/>
          <w:szCs w:val="32"/>
          <w:lang w:eastAsia="zh-CN"/>
        </w:rPr>
        <w:t>年度工作要点</w:t>
      </w:r>
      <w:r>
        <w:rPr>
          <w:rFonts w:hint="eastAsia" w:ascii="仿宋_GB2312" w:hAnsi="仿宋" w:eastAsia="仿宋_GB2312" w:cs="Times New Roman"/>
          <w:b w:val="0"/>
          <w:bCs w:val="0"/>
          <w:sz w:val="32"/>
          <w:szCs w:val="32"/>
        </w:rPr>
        <w:t>，</w:t>
      </w:r>
      <w:r>
        <w:rPr>
          <w:rFonts w:hint="eastAsia" w:ascii="仿宋_GB2312" w:hAnsi="仿宋" w:eastAsia="仿宋_GB2312" w:cs="Times New Roman"/>
          <w:b w:val="0"/>
          <w:bCs w:val="0"/>
          <w:sz w:val="32"/>
          <w:szCs w:val="32"/>
          <w:lang w:eastAsia="zh-CN"/>
        </w:rPr>
        <w:t>细化</w:t>
      </w:r>
      <w:r>
        <w:rPr>
          <w:rFonts w:hint="eastAsia" w:ascii="仿宋_GB2312" w:hAnsi="仿宋" w:eastAsia="仿宋_GB2312" w:cs="Times New Roman"/>
          <w:b w:val="0"/>
          <w:bCs w:val="0"/>
          <w:sz w:val="32"/>
          <w:szCs w:val="32"/>
        </w:rPr>
        <w:t>举措，</w:t>
      </w:r>
      <w:r>
        <w:rPr>
          <w:rFonts w:hint="eastAsia" w:ascii="仿宋_GB2312" w:hAnsi="仿宋" w:eastAsia="仿宋_GB2312" w:cs="Times New Roman"/>
          <w:b w:val="0"/>
          <w:bCs w:val="0"/>
          <w:sz w:val="32"/>
          <w:szCs w:val="32"/>
          <w:lang w:eastAsia="zh-CN"/>
        </w:rPr>
        <w:t>狠抓落实</w:t>
      </w:r>
      <w:r>
        <w:rPr>
          <w:rFonts w:hint="eastAsia" w:ascii="仿宋_GB2312" w:hAnsi="仿宋" w:eastAsia="仿宋_GB2312" w:cs="Times New Roman"/>
          <w:b w:val="0"/>
          <w:bCs w:val="0"/>
          <w:sz w:val="32"/>
          <w:szCs w:val="32"/>
        </w:rPr>
        <w:t>，较好地完成了全年各项目标任务。</w:t>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 w:eastAsia="仿宋_GB2312" w:cs="Times New Roman"/>
          <w:b w:val="0"/>
          <w:bCs w:val="0"/>
          <w:sz w:val="32"/>
          <w:szCs w:val="32"/>
        </w:rPr>
      </w:pPr>
      <w:r>
        <w:rPr>
          <w:rFonts w:hint="eastAsia" w:ascii="仿宋_GB2312" w:hAnsi="仿宋" w:eastAsia="仿宋_GB2312" w:cs="Times New Roman"/>
          <w:b w:val="0"/>
          <w:bCs w:val="0"/>
          <w:sz w:val="32"/>
          <w:szCs w:val="32"/>
          <w:lang w:val="en-US" w:eastAsia="zh-CN"/>
        </w:rPr>
        <w:t>1.</w:t>
      </w:r>
      <w:r>
        <w:rPr>
          <w:rFonts w:hint="eastAsia" w:ascii="仿宋_GB2312" w:hAnsi="仿宋" w:eastAsia="仿宋_GB2312" w:cs="Times New Roman"/>
          <w:b w:val="0"/>
          <w:bCs w:val="0"/>
          <w:sz w:val="32"/>
          <w:szCs w:val="32"/>
          <w:lang w:eastAsia="zh-CN"/>
        </w:rPr>
        <w:t>突出政治功能，夯实思想引领“主阵地”。一</w:t>
      </w:r>
      <w:r>
        <w:rPr>
          <w:rFonts w:hint="eastAsia" w:ascii="仿宋_GB2312" w:hAnsi="仿宋" w:eastAsia="仿宋_GB2312" w:cs="Times New Roman"/>
          <w:b w:val="0"/>
          <w:bCs w:val="0"/>
          <w:sz w:val="32"/>
          <w:szCs w:val="32"/>
        </w:rPr>
        <w:t>是创新组织设置。按照有利于教育管理、有利于发挥作用、有利于参加活动的原则</w:t>
      </w:r>
      <w:r>
        <w:rPr>
          <w:rFonts w:hint="eastAsia" w:ascii="仿宋_GB2312" w:hAnsi="仿宋" w:eastAsia="仿宋_GB2312" w:cs="Times New Roman"/>
          <w:b w:val="0"/>
          <w:bCs w:val="0"/>
          <w:sz w:val="32"/>
          <w:szCs w:val="32"/>
          <w:lang w:eastAsia="zh-CN"/>
        </w:rPr>
        <w:t>，</w:t>
      </w:r>
      <w:r>
        <w:rPr>
          <w:rFonts w:hint="eastAsia" w:ascii="仿宋_GB2312" w:hAnsi="仿宋" w:eastAsia="仿宋_GB2312" w:cs="Times New Roman"/>
          <w:b w:val="0"/>
          <w:bCs w:val="0"/>
          <w:sz w:val="32"/>
          <w:szCs w:val="32"/>
        </w:rPr>
        <w:t>对</w:t>
      </w:r>
      <w:r>
        <w:rPr>
          <w:rFonts w:hint="eastAsia" w:ascii="仿宋_GB2312" w:hAnsi="仿宋" w:eastAsia="仿宋_GB2312" w:cs="Times New Roman"/>
          <w:b w:val="0"/>
          <w:bCs w:val="0"/>
          <w:sz w:val="32"/>
          <w:szCs w:val="32"/>
          <w:lang w:eastAsia="zh-CN"/>
        </w:rPr>
        <w:t>行政</w:t>
      </w:r>
      <w:r>
        <w:rPr>
          <w:rFonts w:hint="eastAsia" w:ascii="仿宋_GB2312" w:hAnsi="仿宋" w:eastAsia="仿宋_GB2312" w:cs="Times New Roman"/>
          <w:b w:val="0"/>
          <w:bCs w:val="0"/>
          <w:sz w:val="32"/>
          <w:szCs w:val="32"/>
        </w:rPr>
        <w:t>区划调整后的12个乡镇全覆盖建立离退休干部党支部。同时，针对曾家山季</w:t>
      </w:r>
      <w:r>
        <w:rPr>
          <w:rFonts w:hint="eastAsia" w:ascii="仿宋_GB2312" w:hAnsi="仿宋" w:eastAsia="仿宋_GB2312" w:cs="Times New Roman"/>
          <w:b w:val="0"/>
          <w:bCs w:val="0"/>
          <w:sz w:val="32"/>
          <w:szCs w:val="32"/>
          <w:lang w:eastAsia="zh-CN"/>
        </w:rPr>
        <w:t>节</w:t>
      </w:r>
      <w:r>
        <w:rPr>
          <w:rFonts w:hint="eastAsia" w:ascii="仿宋_GB2312" w:hAnsi="仿宋" w:eastAsia="仿宋_GB2312" w:cs="Times New Roman"/>
          <w:b w:val="0"/>
          <w:bCs w:val="0"/>
          <w:sz w:val="32"/>
          <w:szCs w:val="32"/>
        </w:rPr>
        <w:t>性流动人口骤增现状，</w:t>
      </w:r>
      <w:r>
        <w:rPr>
          <w:rFonts w:hint="eastAsia" w:ascii="仿宋_GB2312" w:hAnsi="仿宋" w:eastAsia="仿宋_GB2312" w:cs="Times New Roman"/>
          <w:b w:val="0"/>
          <w:bCs w:val="0"/>
          <w:sz w:val="32"/>
          <w:szCs w:val="32"/>
          <w:lang w:eastAsia="zh-CN"/>
        </w:rPr>
        <w:t>探索建立</w:t>
      </w:r>
      <w:r>
        <w:rPr>
          <w:rFonts w:hint="eastAsia" w:ascii="仿宋_GB2312" w:hAnsi="仿宋" w:eastAsia="仿宋_GB2312" w:cs="Times New Roman"/>
          <w:b w:val="0"/>
          <w:bCs w:val="0"/>
          <w:sz w:val="32"/>
          <w:szCs w:val="32"/>
        </w:rPr>
        <w:t>离退休干部党组织联盟，聚力</w:t>
      </w:r>
      <w:r>
        <w:rPr>
          <w:rFonts w:hint="eastAsia" w:ascii="仿宋_GB2312" w:hAnsi="仿宋" w:eastAsia="仿宋_GB2312" w:cs="Times New Roman"/>
          <w:b w:val="0"/>
          <w:bCs w:val="0"/>
          <w:sz w:val="32"/>
          <w:szCs w:val="32"/>
          <w:lang w:eastAsia="zh-CN"/>
        </w:rPr>
        <w:t>助推</w:t>
      </w:r>
      <w:r>
        <w:rPr>
          <w:rFonts w:hint="eastAsia" w:ascii="仿宋_GB2312" w:hAnsi="仿宋" w:eastAsia="仿宋_GB2312" w:cs="Times New Roman"/>
          <w:b w:val="0"/>
          <w:bCs w:val="0"/>
          <w:sz w:val="32"/>
          <w:szCs w:val="32"/>
        </w:rPr>
        <w:t>旅游产业发展。</w:t>
      </w:r>
      <w:r>
        <w:rPr>
          <w:rFonts w:hint="eastAsia" w:ascii="仿宋_GB2312" w:hAnsi="仿宋" w:eastAsia="仿宋_GB2312" w:cs="Times New Roman"/>
          <w:b w:val="0"/>
          <w:bCs w:val="0"/>
          <w:sz w:val="32"/>
          <w:szCs w:val="32"/>
          <w:lang w:eastAsia="zh-CN"/>
        </w:rPr>
        <w:t>二是</w:t>
      </w:r>
      <w:r>
        <w:rPr>
          <w:rFonts w:hint="eastAsia" w:ascii="仿宋_GB2312" w:hAnsi="仿宋" w:eastAsia="仿宋_GB2312" w:cs="Times New Roman"/>
          <w:b w:val="0"/>
          <w:bCs w:val="0"/>
          <w:sz w:val="32"/>
          <w:szCs w:val="32"/>
        </w:rPr>
        <w:t>优化活动阵地。</w:t>
      </w:r>
      <w:r>
        <w:rPr>
          <w:rFonts w:hint="eastAsia" w:ascii="仿宋_GB2312" w:hAnsi="仿宋" w:eastAsia="仿宋_GB2312" w:cs="Times New Roman"/>
          <w:b w:val="0"/>
          <w:bCs w:val="0"/>
          <w:sz w:val="32"/>
          <w:szCs w:val="32"/>
          <w:lang w:eastAsia="zh-CN"/>
        </w:rPr>
        <w:t>实施优化提质行动，</w:t>
      </w:r>
      <w:r>
        <w:rPr>
          <w:rFonts w:hint="eastAsia" w:ascii="仿宋_GB2312" w:hAnsi="仿宋" w:eastAsia="仿宋_GB2312" w:cs="Times New Roman"/>
          <w:b w:val="0"/>
          <w:bCs w:val="0"/>
          <w:sz w:val="32"/>
          <w:szCs w:val="32"/>
        </w:rPr>
        <w:t>对21个离退休干部党组织活动阵地提标升级，</w:t>
      </w:r>
      <w:r>
        <w:rPr>
          <w:rFonts w:hint="eastAsia" w:ascii="仿宋_GB2312" w:hAnsi="仿宋" w:eastAsia="仿宋_GB2312" w:cs="Times New Roman"/>
          <w:b w:val="0"/>
          <w:bCs w:val="0"/>
          <w:sz w:val="32"/>
          <w:szCs w:val="32"/>
          <w:lang w:val="en-US" w:eastAsia="zh-CN"/>
        </w:rPr>
        <w:t>完善了老干部</w:t>
      </w:r>
      <w:r>
        <w:rPr>
          <w:rFonts w:hint="eastAsia" w:ascii="仿宋_GB2312" w:hAnsi="仿宋" w:eastAsia="仿宋_GB2312" w:cs="Times New Roman"/>
          <w:b w:val="0"/>
          <w:bCs w:val="0"/>
          <w:sz w:val="32"/>
          <w:szCs w:val="32"/>
        </w:rPr>
        <w:t>调解室、大讲堂等功能</w:t>
      </w:r>
      <w:r>
        <w:rPr>
          <w:rFonts w:hint="eastAsia" w:ascii="仿宋_GB2312" w:hAnsi="仿宋" w:eastAsia="仿宋_GB2312" w:cs="Times New Roman"/>
          <w:b w:val="0"/>
          <w:bCs w:val="0"/>
          <w:sz w:val="32"/>
          <w:szCs w:val="32"/>
          <w:lang w:eastAsia="zh-CN"/>
        </w:rPr>
        <w:t>设施</w:t>
      </w:r>
      <w:r>
        <w:rPr>
          <w:rFonts w:hint="eastAsia" w:ascii="仿宋_GB2312" w:hAnsi="仿宋" w:eastAsia="仿宋_GB2312" w:cs="Times New Roman"/>
          <w:b w:val="0"/>
          <w:bCs w:val="0"/>
          <w:sz w:val="32"/>
          <w:szCs w:val="32"/>
        </w:rPr>
        <w:t>。坚持资源共享</w:t>
      </w:r>
      <w:r>
        <w:rPr>
          <w:rFonts w:hint="eastAsia" w:ascii="仿宋_GB2312" w:hAnsi="仿宋" w:eastAsia="仿宋_GB2312" w:cs="Times New Roman"/>
          <w:b w:val="0"/>
          <w:bCs w:val="0"/>
          <w:sz w:val="32"/>
          <w:szCs w:val="32"/>
          <w:lang w:eastAsia="zh-CN"/>
        </w:rPr>
        <w:t>、</w:t>
      </w:r>
      <w:r>
        <w:rPr>
          <w:rFonts w:hint="eastAsia" w:ascii="仿宋_GB2312" w:hAnsi="仿宋" w:eastAsia="仿宋_GB2312" w:cs="Times New Roman"/>
          <w:b w:val="0"/>
          <w:bCs w:val="0"/>
          <w:sz w:val="32"/>
          <w:szCs w:val="32"/>
        </w:rPr>
        <w:t>活动共推原则，在朝天城区和乡镇社区建成便于老干部参与和开展活动的为老服务综合体</w:t>
      </w:r>
      <w:r>
        <w:rPr>
          <w:rFonts w:hint="eastAsia" w:ascii="仿宋_GB2312" w:hAnsi="仿宋" w:eastAsia="仿宋_GB2312" w:cs="Times New Roman"/>
          <w:b w:val="0"/>
          <w:bCs w:val="0"/>
          <w:sz w:val="32"/>
          <w:szCs w:val="32"/>
          <w:lang w:val="en-US" w:eastAsia="zh-CN"/>
        </w:rPr>
        <w:t>4</w:t>
      </w:r>
      <w:r>
        <w:rPr>
          <w:rFonts w:hint="eastAsia" w:ascii="仿宋_GB2312" w:hAnsi="仿宋" w:eastAsia="仿宋_GB2312" w:cs="Times New Roman"/>
          <w:b w:val="0"/>
          <w:bCs w:val="0"/>
          <w:sz w:val="32"/>
          <w:szCs w:val="32"/>
          <w:lang w:eastAsia="zh-CN"/>
        </w:rPr>
        <w:t>个</w:t>
      </w:r>
      <w:r>
        <w:rPr>
          <w:rFonts w:hint="eastAsia" w:ascii="仿宋_GB2312" w:hAnsi="仿宋" w:eastAsia="仿宋_GB2312" w:cs="Times New Roman"/>
          <w:b w:val="0"/>
          <w:bCs w:val="0"/>
          <w:sz w:val="32"/>
          <w:szCs w:val="32"/>
        </w:rPr>
        <w:t>。按照“六好”标准，建成</w:t>
      </w:r>
      <w:r>
        <w:rPr>
          <w:rFonts w:hint="eastAsia" w:ascii="仿宋_GB2312" w:hAnsi="仿宋" w:eastAsia="仿宋_GB2312" w:cs="Times New Roman"/>
          <w:b w:val="0"/>
          <w:bCs w:val="0"/>
          <w:sz w:val="32"/>
          <w:szCs w:val="32"/>
          <w:lang w:eastAsia="zh-CN"/>
        </w:rPr>
        <w:t>了</w:t>
      </w:r>
      <w:r>
        <w:rPr>
          <w:rFonts w:hint="eastAsia" w:ascii="仿宋_GB2312" w:hAnsi="仿宋" w:eastAsia="仿宋_GB2312" w:cs="Times New Roman"/>
          <w:b w:val="0"/>
          <w:bCs w:val="0"/>
          <w:sz w:val="32"/>
          <w:szCs w:val="32"/>
          <w:lang w:val="en-US" w:eastAsia="zh-CN"/>
        </w:rPr>
        <w:t>区</w:t>
      </w:r>
      <w:r>
        <w:rPr>
          <w:rFonts w:hint="eastAsia" w:ascii="仿宋_GB2312" w:hAnsi="仿宋" w:eastAsia="仿宋_GB2312" w:cs="Times New Roman"/>
          <w:b w:val="0"/>
          <w:bCs w:val="0"/>
          <w:sz w:val="32"/>
          <w:szCs w:val="32"/>
          <w:lang w:eastAsia="zh-CN"/>
        </w:rPr>
        <w:t>政协办、区教科局</w:t>
      </w:r>
      <w:r>
        <w:rPr>
          <w:rFonts w:hint="eastAsia" w:ascii="仿宋_GB2312" w:hAnsi="仿宋" w:eastAsia="仿宋_GB2312" w:cs="Times New Roman"/>
          <w:b w:val="0"/>
          <w:bCs w:val="0"/>
          <w:sz w:val="32"/>
          <w:szCs w:val="32"/>
        </w:rPr>
        <w:t>等</w:t>
      </w:r>
      <w:r>
        <w:rPr>
          <w:rFonts w:hint="eastAsia" w:ascii="仿宋_GB2312" w:hAnsi="仿宋" w:eastAsia="仿宋_GB2312" w:cs="Times New Roman"/>
          <w:b w:val="0"/>
          <w:bCs w:val="0"/>
          <w:sz w:val="32"/>
          <w:szCs w:val="32"/>
          <w:lang w:eastAsia="zh-CN"/>
        </w:rPr>
        <w:t>一批</w:t>
      </w:r>
      <w:r>
        <w:rPr>
          <w:rFonts w:hint="eastAsia" w:ascii="仿宋_GB2312" w:hAnsi="仿宋" w:eastAsia="仿宋_GB2312" w:cs="Times New Roman"/>
          <w:b w:val="0"/>
          <w:bCs w:val="0"/>
          <w:sz w:val="32"/>
          <w:szCs w:val="32"/>
        </w:rPr>
        <w:t>离退休干部党组织示范点</w:t>
      </w:r>
      <w:r>
        <w:rPr>
          <w:rFonts w:hint="eastAsia" w:ascii="仿宋_GB2312" w:hAnsi="仿宋" w:eastAsia="仿宋_GB2312" w:cs="Times New Roman"/>
          <w:b w:val="0"/>
          <w:bCs w:val="0"/>
          <w:sz w:val="32"/>
          <w:szCs w:val="32"/>
          <w:lang w:eastAsia="zh-CN"/>
        </w:rPr>
        <w:t>。三是</w:t>
      </w:r>
      <w:r>
        <w:rPr>
          <w:rFonts w:hint="eastAsia" w:ascii="仿宋_GB2312" w:hAnsi="仿宋" w:eastAsia="仿宋_GB2312" w:cs="Times New Roman"/>
          <w:b w:val="0"/>
          <w:bCs w:val="0"/>
          <w:sz w:val="32"/>
          <w:szCs w:val="32"/>
        </w:rPr>
        <w:t>强化政治引领</w:t>
      </w:r>
      <w:r>
        <w:rPr>
          <w:rFonts w:hint="eastAsia" w:ascii="仿宋_GB2312" w:hAnsi="仿宋" w:eastAsia="仿宋_GB2312" w:cs="Times New Roman"/>
          <w:b w:val="0"/>
          <w:bCs w:val="0"/>
          <w:sz w:val="32"/>
          <w:szCs w:val="32"/>
          <w:lang w:eastAsia="zh-CN"/>
        </w:rPr>
        <w:t>。实施</w:t>
      </w:r>
      <w:r>
        <w:rPr>
          <w:rFonts w:hint="eastAsia" w:ascii="仿宋_GB2312" w:hAnsi="仿宋" w:eastAsia="仿宋_GB2312" w:cs="Times New Roman"/>
          <w:b w:val="0"/>
          <w:bCs w:val="0"/>
          <w:sz w:val="32"/>
          <w:szCs w:val="32"/>
        </w:rPr>
        <w:t>离退休干部党组织书记提能培训计划，</w:t>
      </w:r>
      <w:r>
        <w:rPr>
          <w:rFonts w:hint="eastAsia" w:ascii="仿宋_GB2312" w:hAnsi="仿宋" w:eastAsia="仿宋_GB2312" w:cs="Times New Roman"/>
          <w:b w:val="0"/>
          <w:bCs w:val="0"/>
          <w:sz w:val="32"/>
          <w:szCs w:val="32"/>
          <w:lang w:eastAsia="zh-CN"/>
        </w:rPr>
        <w:t>全覆盖培训离退休党支部书记</w:t>
      </w:r>
      <w:r>
        <w:rPr>
          <w:rFonts w:hint="eastAsia" w:ascii="仿宋_GB2312" w:hAnsi="仿宋" w:eastAsia="仿宋_GB2312" w:cs="Times New Roman"/>
          <w:b w:val="0"/>
          <w:bCs w:val="0"/>
          <w:sz w:val="32"/>
          <w:szCs w:val="32"/>
          <w:lang w:val="en-US" w:eastAsia="zh-CN"/>
        </w:rPr>
        <w:t>21人。</w:t>
      </w:r>
      <w:r>
        <w:rPr>
          <w:rFonts w:hint="eastAsia" w:ascii="仿宋_GB2312" w:hAnsi="仿宋" w:eastAsia="仿宋_GB2312" w:cs="Times New Roman"/>
          <w:b w:val="0"/>
          <w:bCs w:val="0"/>
          <w:sz w:val="32"/>
          <w:szCs w:val="32"/>
        </w:rPr>
        <w:t>配强离</w:t>
      </w:r>
      <w:r>
        <w:rPr>
          <w:rFonts w:hint="eastAsia" w:ascii="仿宋_GB2312" w:hAnsi="仿宋" w:eastAsia="仿宋_GB2312" w:cs="Times New Roman"/>
          <w:b w:val="0"/>
          <w:bCs w:val="0"/>
          <w:sz w:val="32"/>
          <w:szCs w:val="32"/>
          <w:lang w:val="en-US" w:eastAsia="zh-CN"/>
        </w:rPr>
        <w:t>退休</w:t>
      </w:r>
      <w:r>
        <w:rPr>
          <w:rFonts w:hint="eastAsia" w:ascii="仿宋_GB2312" w:hAnsi="仿宋" w:eastAsia="仿宋_GB2312" w:cs="Times New Roman"/>
          <w:b w:val="0"/>
          <w:bCs w:val="0"/>
          <w:sz w:val="32"/>
          <w:szCs w:val="32"/>
        </w:rPr>
        <w:t>党支部班子成员，为每名党支部书记配备1名在职党员</w:t>
      </w:r>
      <w:r>
        <w:rPr>
          <w:rFonts w:hint="eastAsia" w:ascii="仿宋_GB2312" w:hAnsi="仿宋" w:eastAsia="仿宋_GB2312" w:cs="Times New Roman"/>
          <w:b w:val="0"/>
          <w:bCs w:val="0"/>
          <w:sz w:val="32"/>
          <w:szCs w:val="32"/>
          <w:lang w:eastAsia="zh-CN"/>
        </w:rPr>
        <w:t>作为</w:t>
      </w:r>
      <w:r>
        <w:rPr>
          <w:rFonts w:hint="eastAsia" w:ascii="仿宋_GB2312" w:hAnsi="仿宋" w:eastAsia="仿宋_GB2312" w:cs="Times New Roman"/>
          <w:b w:val="0"/>
          <w:bCs w:val="0"/>
          <w:sz w:val="32"/>
          <w:szCs w:val="32"/>
        </w:rPr>
        <w:t>“参谋员”，协助开展支部工作</w:t>
      </w:r>
      <w:r>
        <w:rPr>
          <w:rFonts w:hint="eastAsia" w:ascii="仿宋_GB2312" w:hAnsi="仿宋" w:eastAsia="仿宋_GB2312" w:cs="Times New Roman"/>
          <w:b w:val="0"/>
          <w:bCs w:val="0"/>
          <w:sz w:val="32"/>
          <w:szCs w:val="32"/>
          <w:lang w:eastAsia="zh-CN"/>
        </w:rPr>
        <w:t>。</w:t>
      </w:r>
      <w:r>
        <w:rPr>
          <w:rFonts w:hint="eastAsia" w:ascii="仿宋_GB2312" w:hAnsi="仿宋" w:eastAsia="仿宋_GB2312" w:cs="Times New Roman"/>
          <w:b w:val="0"/>
          <w:bCs w:val="0"/>
          <w:sz w:val="32"/>
          <w:szCs w:val="32"/>
        </w:rPr>
        <w:t>采取专题辅导、座谈交流等方式</w:t>
      </w:r>
      <w:r>
        <w:rPr>
          <w:rFonts w:hint="eastAsia" w:ascii="仿宋_GB2312" w:hAnsi="仿宋" w:eastAsia="仿宋_GB2312" w:cs="Times New Roman"/>
          <w:b w:val="0"/>
          <w:bCs w:val="0"/>
          <w:sz w:val="32"/>
          <w:szCs w:val="32"/>
          <w:lang w:eastAsia="zh-CN"/>
        </w:rPr>
        <w:t>组织老干部</w:t>
      </w:r>
      <w:r>
        <w:rPr>
          <w:rFonts w:hint="eastAsia" w:ascii="仿宋_GB2312" w:hAnsi="仿宋" w:eastAsia="仿宋_GB2312" w:cs="Times New Roman"/>
          <w:b w:val="0"/>
          <w:bCs w:val="0"/>
          <w:sz w:val="32"/>
          <w:szCs w:val="32"/>
        </w:rPr>
        <w:t>集中学习</w:t>
      </w:r>
      <w:r>
        <w:rPr>
          <w:rFonts w:hint="eastAsia" w:ascii="仿宋_GB2312" w:hAnsi="仿宋" w:eastAsia="仿宋_GB2312" w:cs="Times New Roman"/>
          <w:b w:val="0"/>
          <w:bCs w:val="0"/>
          <w:sz w:val="32"/>
          <w:szCs w:val="32"/>
          <w:lang w:val="en-US" w:eastAsia="zh-CN"/>
        </w:rPr>
        <w:t>6</w:t>
      </w:r>
      <w:r>
        <w:rPr>
          <w:rFonts w:hint="eastAsia" w:ascii="仿宋_GB2312" w:hAnsi="仿宋" w:eastAsia="仿宋_GB2312" w:cs="Times New Roman"/>
          <w:b w:val="0"/>
          <w:bCs w:val="0"/>
          <w:sz w:val="32"/>
          <w:szCs w:val="32"/>
        </w:rPr>
        <w:t>次，发放学习资料400余份，组织离退休干部深入学习习近平</w:t>
      </w:r>
      <w:r>
        <w:rPr>
          <w:rFonts w:hint="eastAsia" w:ascii="仿宋_GB2312" w:hAnsi="仿宋" w:eastAsia="仿宋_GB2312" w:cs="Times New Roman"/>
          <w:b w:val="0"/>
          <w:bCs w:val="0"/>
          <w:sz w:val="32"/>
          <w:szCs w:val="32"/>
          <w:lang w:eastAsia="zh-CN"/>
        </w:rPr>
        <w:t>新时代中国特色社会主义思想和党的二十大、</w:t>
      </w:r>
      <w:r>
        <w:rPr>
          <w:rFonts w:hint="eastAsia" w:ascii="仿宋_GB2312" w:hAnsi="仿宋" w:eastAsia="仿宋_GB2312" w:cs="Times New Roman"/>
          <w:b w:val="0"/>
          <w:bCs w:val="0"/>
          <w:sz w:val="32"/>
          <w:szCs w:val="32"/>
        </w:rPr>
        <w:t>省第十二次党代会</w:t>
      </w:r>
      <w:r>
        <w:rPr>
          <w:rFonts w:hint="eastAsia" w:ascii="仿宋_GB2312" w:hAnsi="仿宋" w:eastAsia="仿宋_GB2312" w:cs="Times New Roman"/>
          <w:b w:val="0"/>
          <w:bCs w:val="0"/>
          <w:sz w:val="32"/>
          <w:szCs w:val="32"/>
          <w:lang w:eastAsia="zh-CN"/>
        </w:rPr>
        <w:t>及省委、市委、区委工作会议</w:t>
      </w:r>
      <w:r>
        <w:rPr>
          <w:rFonts w:hint="eastAsia" w:ascii="仿宋_GB2312" w:hAnsi="仿宋" w:eastAsia="仿宋_GB2312" w:cs="Times New Roman"/>
          <w:b w:val="0"/>
          <w:bCs w:val="0"/>
          <w:sz w:val="32"/>
          <w:szCs w:val="32"/>
        </w:rPr>
        <w:t>精神</w:t>
      </w:r>
      <w:r>
        <w:rPr>
          <w:rFonts w:hint="eastAsia" w:ascii="仿宋_GB2312" w:hAnsi="仿宋" w:eastAsia="仿宋_GB2312" w:cs="Times New Roman"/>
          <w:b w:val="0"/>
          <w:bCs w:val="0"/>
          <w:sz w:val="32"/>
          <w:szCs w:val="32"/>
          <w:lang w:eastAsia="zh-CN"/>
        </w:rPr>
        <w:t>等</w:t>
      </w:r>
      <w:r>
        <w:rPr>
          <w:rFonts w:hint="eastAsia" w:ascii="仿宋_GB2312" w:hAnsi="仿宋" w:eastAsia="仿宋_GB2312" w:cs="Times New Roman"/>
          <w:b w:val="0"/>
          <w:bCs w:val="0"/>
          <w:sz w:val="32"/>
          <w:szCs w:val="32"/>
          <w:lang w:val="en-US" w:eastAsia="zh-CN"/>
        </w:rPr>
        <w:t>6</w:t>
      </w:r>
      <w:r>
        <w:rPr>
          <w:rFonts w:hint="eastAsia" w:ascii="仿宋_GB2312" w:hAnsi="仿宋" w:eastAsia="仿宋_GB2312" w:cs="Times New Roman"/>
          <w:b w:val="0"/>
          <w:bCs w:val="0"/>
          <w:sz w:val="32"/>
          <w:szCs w:val="32"/>
        </w:rPr>
        <w:t>场次</w:t>
      </w:r>
      <w:r>
        <w:rPr>
          <w:rFonts w:hint="eastAsia" w:ascii="仿宋_GB2312" w:hAnsi="仿宋" w:eastAsia="仿宋_GB2312" w:cs="Times New Roman"/>
          <w:b w:val="0"/>
          <w:bCs w:val="0"/>
          <w:sz w:val="32"/>
          <w:szCs w:val="32"/>
          <w:lang w:eastAsia="zh-CN"/>
        </w:rPr>
        <w:t>，</w:t>
      </w:r>
      <w:r>
        <w:rPr>
          <w:rFonts w:hint="eastAsia" w:ascii="仿宋_GB2312" w:hAnsi="仿宋" w:eastAsia="仿宋_GB2312" w:cs="Times New Roman"/>
          <w:b w:val="0"/>
          <w:bCs w:val="0"/>
          <w:sz w:val="32"/>
          <w:szCs w:val="32"/>
        </w:rPr>
        <w:t>引导老</w:t>
      </w:r>
      <w:r>
        <w:rPr>
          <w:rFonts w:hint="eastAsia" w:ascii="仿宋_GB2312" w:hAnsi="仿宋" w:eastAsia="仿宋_GB2312" w:cs="Times New Roman"/>
          <w:b w:val="0"/>
          <w:bCs w:val="0"/>
          <w:sz w:val="32"/>
          <w:szCs w:val="32"/>
          <w:lang w:eastAsia="zh-CN"/>
        </w:rPr>
        <w:t>干部</w:t>
      </w:r>
      <w:r>
        <w:rPr>
          <w:rFonts w:hint="eastAsia" w:ascii="仿宋_GB2312" w:hAnsi="仿宋" w:eastAsia="仿宋_GB2312" w:cs="Times New Roman"/>
          <w:b w:val="0"/>
          <w:bCs w:val="0"/>
          <w:sz w:val="32"/>
          <w:szCs w:val="32"/>
        </w:rPr>
        <w:t>拥护“两个确立”</w:t>
      </w:r>
      <w:r>
        <w:rPr>
          <w:rFonts w:hint="eastAsia" w:ascii="仿宋_GB2312" w:hAnsi="仿宋" w:eastAsia="仿宋_GB2312" w:cs="Times New Roman"/>
          <w:b w:val="0"/>
          <w:bCs w:val="0"/>
          <w:sz w:val="32"/>
          <w:szCs w:val="32"/>
          <w:lang w:eastAsia="zh-CN"/>
        </w:rPr>
        <w:t>，</w:t>
      </w:r>
      <w:r>
        <w:rPr>
          <w:rFonts w:hint="eastAsia" w:ascii="仿宋_GB2312" w:hAnsi="仿宋" w:eastAsia="仿宋_GB2312" w:cs="Times New Roman"/>
          <w:b w:val="0"/>
          <w:bCs w:val="0"/>
          <w:sz w:val="32"/>
          <w:szCs w:val="32"/>
        </w:rPr>
        <w:t>做到“两个维护”。</w:t>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 w:eastAsia="仿宋_GB2312" w:cs="Times New Roman"/>
          <w:b w:val="0"/>
          <w:bCs w:val="0"/>
          <w:sz w:val="32"/>
          <w:szCs w:val="32"/>
          <w:lang w:eastAsia="zh-CN"/>
        </w:rPr>
      </w:pPr>
      <w:r>
        <w:rPr>
          <w:rFonts w:hint="eastAsia" w:ascii="仿宋_GB2312" w:hAnsi="仿宋" w:eastAsia="仿宋_GB2312" w:cs="Times New Roman"/>
          <w:b w:val="0"/>
          <w:bCs w:val="0"/>
          <w:sz w:val="32"/>
          <w:szCs w:val="32"/>
          <w:lang w:val="en-US" w:eastAsia="zh-CN"/>
        </w:rPr>
        <w:t>2.</w:t>
      </w:r>
      <w:r>
        <w:rPr>
          <w:rFonts w:hint="eastAsia" w:ascii="仿宋_GB2312" w:hAnsi="仿宋" w:eastAsia="仿宋_GB2312" w:cs="Times New Roman"/>
          <w:b w:val="0"/>
          <w:bCs w:val="0"/>
          <w:sz w:val="32"/>
          <w:szCs w:val="32"/>
          <w:lang w:eastAsia="zh-CN"/>
        </w:rPr>
        <w:t>坚持精准精心，答好</w:t>
      </w:r>
      <w:r>
        <w:rPr>
          <w:rFonts w:hint="eastAsia" w:ascii="仿宋_GB2312" w:hAnsi="仿宋" w:eastAsia="仿宋_GB2312" w:cs="Times New Roman"/>
          <w:b w:val="0"/>
          <w:bCs w:val="0"/>
          <w:sz w:val="32"/>
          <w:szCs w:val="32"/>
          <w:lang w:val="en-US" w:eastAsia="zh-CN"/>
        </w:rPr>
        <w:t>为老服务“满意卷”。一是落实政治待遇</w:t>
      </w:r>
      <w:r>
        <w:rPr>
          <w:rFonts w:hint="eastAsia" w:ascii="仿宋_GB2312" w:hAnsi="仿宋" w:eastAsia="仿宋_GB2312" w:cs="Times New Roman"/>
          <w:b w:val="0"/>
          <w:bCs w:val="0"/>
          <w:sz w:val="32"/>
          <w:szCs w:val="32"/>
          <w:lang w:eastAsia="zh-CN"/>
        </w:rPr>
        <w:t>暖心。</w:t>
      </w:r>
      <w:r>
        <w:rPr>
          <w:rFonts w:hint="eastAsia" w:ascii="仿宋_GB2312" w:hAnsi="仿宋" w:eastAsia="仿宋_GB2312" w:cs="Times New Roman"/>
          <w:b w:val="0"/>
          <w:bCs w:val="0"/>
          <w:sz w:val="32"/>
          <w:szCs w:val="32"/>
          <w:lang w:val="zh-TW" w:eastAsia="zh-TW"/>
        </w:rPr>
        <w:t>健全完善情况</w:t>
      </w:r>
      <w:r>
        <w:rPr>
          <w:rFonts w:hint="eastAsia" w:ascii="仿宋_GB2312" w:hAnsi="仿宋" w:eastAsia="仿宋_GB2312" w:cs="Times New Roman"/>
          <w:b w:val="0"/>
          <w:bCs w:val="0"/>
          <w:sz w:val="32"/>
          <w:szCs w:val="32"/>
          <w:lang w:val="zh-TW" w:eastAsia="zh-CN"/>
        </w:rPr>
        <w:t>定期</w:t>
      </w:r>
      <w:r>
        <w:rPr>
          <w:rFonts w:hint="eastAsia" w:ascii="仿宋_GB2312" w:hAnsi="仿宋" w:eastAsia="仿宋_GB2312" w:cs="Times New Roman"/>
          <w:b w:val="0"/>
          <w:bCs w:val="0"/>
          <w:sz w:val="32"/>
          <w:szCs w:val="32"/>
          <w:lang w:val="zh-TW" w:eastAsia="zh-TW"/>
        </w:rPr>
        <w:t>通报、参加重要会议活动等制度机制，先后组织老干部参加</w:t>
      </w:r>
      <w:r>
        <w:rPr>
          <w:rFonts w:hint="eastAsia" w:ascii="仿宋_GB2312" w:hAnsi="仿宋" w:eastAsia="仿宋_GB2312" w:cs="Times New Roman"/>
          <w:b w:val="0"/>
          <w:bCs w:val="0"/>
          <w:sz w:val="32"/>
          <w:szCs w:val="32"/>
          <w:lang w:val="zh-TW" w:eastAsia="zh-CN"/>
        </w:rPr>
        <w:t>区</w:t>
      </w:r>
      <w:r>
        <w:rPr>
          <w:rFonts w:hint="eastAsia" w:ascii="仿宋_GB2312" w:hAnsi="仿宋" w:eastAsia="仿宋_GB2312" w:cs="Times New Roman"/>
          <w:b w:val="0"/>
          <w:bCs w:val="0"/>
          <w:sz w:val="32"/>
          <w:szCs w:val="32"/>
          <w:lang w:val="zh-TW" w:eastAsia="zh-TW"/>
        </w:rPr>
        <w:t>两会、情况通报会等重大会议</w:t>
      </w:r>
      <w:r>
        <w:rPr>
          <w:rFonts w:hint="eastAsia" w:ascii="仿宋_GB2312" w:hAnsi="仿宋" w:eastAsia="仿宋_GB2312" w:cs="Times New Roman"/>
          <w:b w:val="0"/>
          <w:bCs w:val="0"/>
          <w:sz w:val="32"/>
          <w:szCs w:val="32"/>
          <w:lang w:val="zh-TW" w:eastAsia="zh-CN"/>
        </w:rPr>
        <w:t>、考察</w:t>
      </w:r>
      <w:r>
        <w:rPr>
          <w:rFonts w:hint="eastAsia" w:ascii="仿宋_GB2312" w:hAnsi="仿宋" w:eastAsia="仿宋_GB2312" w:cs="Times New Roman"/>
          <w:b w:val="0"/>
          <w:bCs w:val="0"/>
          <w:sz w:val="32"/>
          <w:szCs w:val="32"/>
          <w:lang w:val="zh-TW" w:eastAsia="zh-TW"/>
        </w:rPr>
        <w:t>活动</w:t>
      </w:r>
      <w:r>
        <w:rPr>
          <w:rFonts w:hint="eastAsia" w:ascii="仿宋_GB2312" w:hAnsi="仿宋" w:eastAsia="仿宋_GB2312" w:cs="Times New Roman"/>
          <w:b w:val="0"/>
          <w:bCs w:val="0"/>
          <w:sz w:val="32"/>
          <w:szCs w:val="32"/>
          <w:lang w:val="zh-TW" w:eastAsia="zh-CN"/>
        </w:rPr>
        <w:t>等</w:t>
      </w:r>
      <w:r>
        <w:rPr>
          <w:rFonts w:hint="eastAsia" w:ascii="仿宋_GB2312" w:hAnsi="仿宋" w:eastAsia="仿宋_GB2312" w:cs="Times New Roman"/>
          <w:b w:val="0"/>
          <w:bCs w:val="0"/>
          <w:sz w:val="32"/>
          <w:szCs w:val="32"/>
          <w:lang w:val="en-US" w:eastAsia="zh-CN"/>
        </w:rPr>
        <w:t>6场</w:t>
      </w:r>
      <w:r>
        <w:rPr>
          <w:rFonts w:hint="eastAsia" w:ascii="仿宋_GB2312" w:hAnsi="仿宋" w:eastAsia="仿宋_GB2312" w:cs="Times New Roman"/>
          <w:b w:val="0"/>
          <w:bCs w:val="0"/>
          <w:sz w:val="32"/>
          <w:szCs w:val="32"/>
          <w:lang w:val="zh-TW" w:eastAsia="zh-TW"/>
        </w:rPr>
        <w:t>次。</w:t>
      </w:r>
      <w:r>
        <w:rPr>
          <w:rFonts w:hint="eastAsia" w:ascii="仿宋_GB2312" w:hAnsi="仿宋" w:eastAsia="仿宋_GB2312" w:cs="Times New Roman"/>
          <w:b w:val="0"/>
          <w:bCs w:val="0"/>
          <w:sz w:val="32"/>
          <w:szCs w:val="32"/>
          <w:lang w:val="zh-TW" w:eastAsia="zh-CN"/>
        </w:rPr>
        <w:t>二</w:t>
      </w:r>
      <w:r>
        <w:rPr>
          <w:rFonts w:hint="eastAsia" w:ascii="仿宋_GB2312" w:hAnsi="仿宋" w:eastAsia="仿宋_GB2312" w:cs="Times New Roman"/>
          <w:b w:val="0"/>
          <w:bCs w:val="0"/>
          <w:sz w:val="32"/>
          <w:szCs w:val="32"/>
          <w:lang w:val="en-US" w:eastAsia="zh-CN"/>
        </w:rPr>
        <w:t>是</w:t>
      </w:r>
      <w:r>
        <w:rPr>
          <w:rFonts w:hint="eastAsia" w:ascii="仿宋_GB2312" w:hAnsi="仿宋" w:eastAsia="仿宋_GB2312" w:cs="Times New Roman"/>
          <w:b w:val="0"/>
          <w:bCs w:val="0"/>
          <w:sz w:val="32"/>
          <w:szCs w:val="32"/>
        </w:rPr>
        <w:t>结对</w:t>
      </w:r>
      <w:r>
        <w:rPr>
          <w:rFonts w:hint="eastAsia" w:ascii="仿宋_GB2312" w:hAnsi="仿宋" w:eastAsia="仿宋_GB2312" w:cs="Times New Roman"/>
          <w:b w:val="0"/>
          <w:bCs w:val="0"/>
          <w:sz w:val="32"/>
          <w:szCs w:val="32"/>
          <w:lang w:eastAsia="zh-CN"/>
        </w:rPr>
        <w:t>联系服务贴</w:t>
      </w:r>
      <w:r>
        <w:rPr>
          <w:rFonts w:hint="eastAsia" w:ascii="仿宋_GB2312" w:hAnsi="仿宋" w:eastAsia="仿宋_GB2312" w:cs="Times New Roman"/>
          <w:b w:val="0"/>
          <w:bCs w:val="0"/>
          <w:sz w:val="32"/>
          <w:szCs w:val="32"/>
        </w:rPr>
        <w:t>心。</w:t>
      </w:r>
      <w:r>
        <w:rPr>
          <w:rFonts w:hint="eastAsia" w:ascii="仿宋_GB2312" w:hAnsi="仿宋" w:eastAsia="仿宋_GB2312" w:cs="Times New Roman"/>
          <w:b w:val="0"/>
          <w:bCs w:val="0"/>
          <w:sz w:val="32"/>
          <w:szCs w:val="32"/>
          <w:lang w:eastAsia="zh-CN"/>
        </w:rPr>
        <w:t>持续实施干部职工“荣退关爱”项目，先后组织200余名老干部与年轻干部结对，开展服务对接工作。年轻干部在退休后管理衔接、听取意见建议等方面为老干部提供精准服务。三</w:t>
      </w:r>
      <w:r>
        <w:rPr>
          <w:rFonts w:hint="eastAsia" w:ascii="仿宋_GB2312" w:hAnsi="仿宋" w:eastAsia="仿宋_GB2312" w:cs="Times New Roman"/>
          <w:b w:val="0"/>
          <w:bCs w:val="0"/>
          <w:sz w:val="32"/>
          <w:szCs w:val="32"/>
        </w:rPr>
        <w:t>是</w:t>
      </w:r>
      <w:r>
        <w:rPr>
          <w:rFonts w:hint="eastAsia" w:ascii="仿宋_GB2312" w:hAnsi="仿宋" w:eastAsia="仿宋_GB2312" w:cs="Times New Roman"/>
          <w:b w:val="0"/>
          <w:bCs w:val="0"/>
          <w:sz w:val="32"/>
          <w:szCs w:val="32"/>
          <w:lang w:eastAsia="zh-CN"/>
        </w:rPr>
        <w:t>医生</w:t>
      </w:r>
      <w:r>
        <w:rPr>
          <w:rFonts w:hint="eastAsia" w:ascii="仿宋_GB2312" w:hAnsi="仿宋" w:eastAsia="仿宋_GB2312" w:cs="Times New Roman"/>
          <w:b w:val="0"/>
          <w:bCs w:val="0"/>
          <w:sz w:val="32"/>
          <w:szCs w:val="32"/>
        </w:rPr>
        <w:t>签约服务</w:t>
      </w:r>
      <w:r>
        <w:rPr>
          <w:rFonts w:hint="eastAsia" w:ascii="仿宋_GB2312" w:hAnsi="仿宋" w:eastAsia="仿宋_GB2312" w:cs="Times New Roman"/>
          <w:b w:val="0"/>
          <w:bCs w:val="0"/>
          <w:sz w:val="32"/>
          <w:szCs w:val="32"/>
          <w:lang w:eastAsia="zh-CN"/>
        </w:rPr>
        <w:t>舒心</w:t>
      </w:r>
      <w:r>
        <w:rPr>
          <w:rFonts w:hint="eastAsia" w:ascii="仿宋_GB2312" w:hAnsi="仿宋" w:eastAsia="仿宋_GB2312" w:cs="Times New Roman"/>
          <w:b w:val="0"/>
          <w:bCs w:val="0"/>
          <w:sz w:val="32"/>
          <w:szCs w:val="32"/>
        </w:rPr>
        <w:t>。</w:t>
      </w:r>
      <w:r>
        <w:rPr>
          <w:rFonts w:hint="eastAsia" w:ascii="仿宋_GB2312" w:hAnsi="仿宋" w:eastAsia="仿宋_GB2312" w:cs="Times New Roman"/>
          <w:b w:val="0"/>
          <w:bCs w:val="0"/>
          <w:sz w:val="32"/>
          <w:szCs w:val="32"/>
          <w:lang w:eastAsia="zh-CN"/>
        </w:rPr>
        <w:t>始终</w:t>
      </w:r>
      <w:r>
        <w:rPr>
          <w:rFonts w:hint="eastAsia" w:ascii="仿宋_GB2312" w:hAnsi="仿宋" w:eastAsia="仿宋_GB2312" w:cs="Times New Roman"/>
          <w:b w:val="0"/>
          <w:bCs w:val="0"/>
          <w:sz w:val="32"/>
          <w:szCs w:val="32"/>
        </w:rPr>
        <w:t>把老干部身心健康放在工作</w:t>
      </w:r>
      <w:r>
        <w:rPr>
          <w:rFonts w:hint="eastAsia" w:ascii="仿宋_GB2312" w:hAnsi="仿宋" w:eastAsia="仿宋_GB2312" w:cs="Times New Roman"/>
          <w:b w:val="0"/>
          <w:bCs w:val="0"/>
          <w:sz w:val="32"/>
          <w:szCs w:val="32"/>
          <w:lang w:eastAsia="zh-CN"/>
        </w:rPr>
        <w:t>的</w:t>
      </w:r>
      <w:r>
        <w:rPr>
          <w:rFonts w:hint="eastAsia" w:ascii="仿宋_GB2312" w:hAnsi="仿宋" w:eastAsia="仿宋_GB2312" w:cs="Times New Roman"/>
          <w:b w:val="0"/>
          <w:bCs w:val="0"/>
          <w:sz w:val="32"/>
          <w:szCs w:val="32"/>
        </w:rPr>
        <w:t>重要位置，全覆盖组织老干部健康体检</w:t>
      </w:r>
      <w:r>
        <w:rPr>
          <w:rFonts w:hint="eastAsia" w:ascii="仿宋_GB2312" w:hAnsi="仿宋" w:eastAsia="仿宋_GB2312" w:cs="Times New Roman"/>
          <w:b w:val="0"/>
          <w:bCs w:val="0"/>
          <w:sz w:val="32"/>
          <w:szCs w:val="32"/>
          <w:lang w:eastAsia="zh-CN"/>
        </w:rPr>
        <w:t>，推行家庭医师签约服务，定期对离退休干部健康情况评估，开通健康咨询、就医和转诊绿色通道，按需提供优质便捷服务。四</w:t>
      </w:r>
      <w:r>
        <w:rPr>
          <w:rFonts w:hint="eastAsia" w:ascii="仿宋_GB2312" w:hAnsi="仿宋" w:eastAsia="仿宋_GB2312" w:cs="Times New Roman"/>
          <w:b w:val="0"/>
          <w:bCs w:val="0"/>
          <w:sz w:val="32"/>
          <w:szCs w:val="32"/>
        </w:rPr>
        <w:t>是</w:t>
      </w:r>
      <w:r>
        <w:rPr>
          <w:rFonts w:hint="eastAsia" w:ascii="仿宋_GB2312" w:hAnsi="仿宋" w:eastAsia="仿宋_GB2312" w:cs="Times New Roman"/>
          <w:b w:val="0"/>
          <w:bCs w:val="0"/>
          <w:sz w:val="32"/>
          <w:szCs w:val="32"/>
          <w:lang w:eastAsia="zh-CN"/>
        </w:rPr>
        <w:t>党内</w:t>
      </w:r>
      <w:r>
        <w:rPr>
          <w:rFonts w:hint="eastAsia" w:ascii="仿宋_GB2312" w:hAnsi="仿宋" w:eastAsia="仿宋_GB2312" w:cs="Times New Roman"/>
          <w:b w:val="0"/>
          <w:bCs w:val="0"/>
          <w:sz w:val="32"/>
          <w:szCs w:val="32"/>
        </w:rPr>
        <w:t>关怀温暖</w:t>
      </w:r>
      <w:r>
        <w:rPr>
          <w:rFonts w:hint="eastAsia" w:ascii="仿宋_GB2312" w:hAnsi="仿宋" w:eastAsia="仿宋_GB2312" w:cs="Times New Roman"/>
          <w:b w:val="0"/>
          <w:bCs w:val="0"/>
          <w:sz w:val="32"/>
          <w:szCs w:val="32"/>
          <w:lang w:eastAsia="zh-CN"/>
        </w:rPr>
        <w:t>安心</w:t>
      </w:r>
      <w:r>
        <w:rPr>
          <w:rFonts w:hint="eastAsia" w:ascii="仿宋_GB2312" w:hAnsi="仿宋" w:eastAsia="仿宋_GB2312" w:cs="Times New Roman"/>
          <w:b w:val="0"/>
          <w:bCs w:val="0"/>
          <w:sz w:val="32"/>
          <w:szCs w:val="32"/>
        </w:rPr>
        <w:t>。</w:t>
      </w:r>
      <w:r>
        <w:rPr>
          <w:rFonts w:hint="eastAsia" w:ascii="仿宋_GB2312" w:hAnsi="仿宋" w:eastAsia="仿宋_GB2312" w:cs="Times New Roman"/>
          <w:b w:val="0"/>
          <w:bCs w:val="0"/>
          <w:sz w:val="32"/>
          <w:szCs w:val="32"/>
          <w:lang w:eastAsia="zh-CN"/>
        </w:rPr>
        <w:t>采取众筹共享模式，创新设立干部职工“同舟”互助关爱基金，对符合条件的老干部及其家属纳入关爱互助对象，明确将患重大疾病、</w:t>
      </w:r>
      <w:r>
        <w:rPr>
          <w:rFonts w:hint="eastAsia" w:ascii="仿宋_GB2312" w:hAnsi="仿宋" w:eastAsia="仿宋_GB2312" w:cs="Times New Roman"/>
          <w:b w:val="0"/>
          <w:bCs w:val="0"/>
          <w:sz w:val="32"/>
          <w:szCs w:val="32"/>
          <w:lang w:val="en-US" w:eastAsia="zh-CN"/>
        </w:rPr>
        <w:t>遭遇重大人身意外伤害</w:t>
      </w:r>
      <w:r>
        <w:rPr>
          <w:rFonts w:hint="eastAsia" w:ascii="仿宋_GB2312" w:hAnsi="仿宋" w:eastAsia="仿宋_GB2312" w:cs="Times New Roman"/>
          <w:b w:val="0"/>
          <w:bCs w:val="0"/>
          <w:sz w:val="32"/>
          <w:szCs w:val="32"/>
          <w:lang w:eastAsia="zh-CN"/>
        </w:rPr>
        <w:t>等4类情形纳入救助范围。推行患病、病故、80岁以上生日、遇到困难问题的“四必到”和常态化走访慰问机制，全年走访慰问离退休干部</w:t>
      </w:r>
      <w:r>
        <w:rPr>
          <w:rFonts w:hint="eastAsia" w:ascii="仿宋_GB2312" w:hAnsi="仿宋" w:eastAsia="仿宋_GB2312" w:cs="Times New Roman"/>
          <w:b w:val="0"/>
          <w:bCs w:val="0"/>
          <w:sz w:val="32"/>
          <w:szCs w:val="32"/>
          <w:lang w:val="en-US" w:eastAsia="zh-CN"/>
        </w:rPr>
        <w:t>80</w:t>
      </w:r>
      <w:r>
        <w:rPr>
          <w:rFonts w:hint="eastAsia" w:ascii="仿宋_GB2312" w:hAnsi="仿宋" w:eastAsia="仿宋_GB2312" w:cs="Times New Roman"/>
          <w:b w:val="0"/>
          <w:bCs w:val="0"/>
          <w:sz w:val="32"/>
          <w:szCs w:val="32"/>
          <w:lang w:eastAsia="zh-CN"/>
        </w:rPr>
        <w:t>人次，</w:t>
      </w:r>
      <w:r>
        <w:rPr>
          <w:rFonts w:hint="eastAsia" w:ascii="仿宋_GB2312" w:hAnsi="仿宋" w:eastAsia="仿宋_GB2312" w:cs="Times New Roman"/>
          <w:b w:val="0"/>
          <w:bCs w:val="0"/>
          <w:sz w:val="32"/>
          <w:szCs w:val="32"/>
          <w:lang w:val="en-US" w:eastAsia="zh-CN"/>
        </w:rPr>
        <w:t>发放</w:t>
      </w:r>
      <w:r>
        <w:rPr>
          <w:rFonts w:hint="eastAsia" w:ascii="仿宋_GB2312" w:hAnsi="仿宋" w:eastAsia="仿宋_GB2312" w:cs="Times New Roman"/>
          <w:b w:val="0"/>
          <w:bCs w:val="0"/>
          <w:sz w:val="32"/>
          <w:szCs w:val="32"/>
          <w:lang w:eastAsia="zh-CN"/>
        </w:rPr>
        <w:t>慰问金</w:t>
      </w:r>
      <w:r>
        <w:rPr>
          <w:rFonts w:hint="eastAsia" w:ascii="仿宋_GB2312" w:hAnsi="仿宋" w:eastAsia="仿宋_GB2312" w:cs="Times New Roman"/>
          <w:b w:val="0"/>
          <w:bCs w:val="0"/>
          <w:sz w:val="32"/>
          <w:szCs w:val="32"/>
          <w:lang w:val="en-US" w:eastAsia="zh-CN"/>
        </w:rPr>
        <w:t>9.8万</w:t>
      </w:r>
      <w:r>
        <w:rPr>
          <w:rFonts w:hint="eastAsia" w:ascii="仿宋_GB2312" w:hAnsi="仿宋" w:eastAsia="仿宋_GB2312" w:cs="Times New Roman"/>
          <w:b w:val="0"/>
          <w:bCs w:val="0"/>
          <w:sz w:val="32"/>
          <w:szCs w:val="32"/>
          <w:lang w:eastAsia="zh-CN"/>
        </w:rPr>
        <w:t>元。</w:t>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lang w:val="zh-CN"/>
        </w:rPr>
      </w:pPr>
      <w:r>
        <w:rPr>
          <w:rFonts w:hint="eastAsia" w:ascii="仿宋_GB2312" w:hAnsi="仿宋" w:eastAsia="仿宋_GB2312" w:cs="Times New Roman"/>
          <w:b w:val="0"/>
          <w:bCs w:val="0"/>
          <w:sz w:val="32"/>
          <w:szCs w:val="32"/>
          <w:lang w:val="en-US" w:eastAsia="zh-CN"/>
        </w:rPr>
        <w:t>3.</w:t>
      </w:r>
      <w:r>
        <w:rPr>
          <w:rFonts w:hint="eastAsia" w:ascii="仿宋_GB2312" w:hAnsi="仿宋" w:eastAsia="仿宋_GB2312" w:cs="Times New Roman"/>
          <w:b w:val="0"/>
          <w:bCs w:val="0"/>
          <w:sz w:val="32"/>
          <w:szCs w:val="32"/>
          <w:lang w:eastAsia="zh-CN"/>
        </w:rPr>
        <w:t>紧扣作用发挥，激发推动发展“动力源”。</w:t>
      </w:r>
      <w:r>
        <w:rPr>
          <w:rFonts w:hint="eastAsia" w:ascii="仿宋_GB2312" w:hAnsi="仿宋" w:eastAsia="仿宋_GB2312" w:cs="Times New Roman"/>
          <w:b w:val="0"/>
          <w:bCs w:val="0"/>
          <w:sz w:val="32"/>
          <w:szCs w:val="32"/>
          <w:lang w:val="en-US" w:eastAsia="zh-CN"/>
        </w:rPr>
        <w:t>始终注重发挥老干部政治、阅历、经验、威望和智慧等优势，多维度展示银龄风采，持续打造“栈道银晖”</w:t>
      </w:r>
      <w:r>
        <w:rPr>
          <w:rFonts w:hint="eastAsia" w:ascii="仿宋_GB2312" w:hAnsi="仿宋" w:eastAsia="仿宋_GB2312" w:cs="Times New Roman"/>
          <w:b w:val="0"/>
          <w:bCs w:val="0"/>
          <w:sz w:val="32"/>
          <w:szCs w:val="32"/>
          <w:lang w:eastAsia="zh-CN"/>
        </w:rPr>
        <w:t>品牌。一是</w:t>
      </w:r>
      <w:r>
        <w:rPr>
          <w:rFonts w:hint="eastAsia" w:ascii="仿宋_GB2312" w:hAnsi="仿宋" w:eastAsia="仿宋_GB2312" w:cs="Times New Roman"/>
          <w:b w:val="0"/>
          <w:bCs w:val="0"/>
          <w:sz w:val="32"/>
          <w:szCs w:val="32"/>
        </w:rPr>
        <w:t>向中心</w:t>
      </w:r>
      <w:r>
        <w:rPr>
          <w:rFonts w:hint="eastAsia" w:ascii="仿宋_GB2312" w:hAnsi="仿宋" w:eastAsia="仿宋_GB2312" w:cs="Times New Roman"/>
          <w:b w:val="0"/>
          <w:bCs w:val="0"/>
          <w:sz w:val="32"/>
          <w:szCs w:val="32"/>
          <w:lang w:eastAsia="zh-CN"/>
        </w:rPr>
        <w:t>大局</w:t>
      </w:r>
      <w:r>
        <w:rPr>
          <w:rFonts w:hint="eastAsia" w:ascii="仿宋_GB2312" w:hAnsi="仿宋" w:eastAsia="仿宋_GB2312" w:cs="Times New Roman"/>
          <w:b w:val="0"/>
          <w:bCs w:val="0"/>
          <w:sz w:val="32"/>
          <w:szCs w:val="32"/>
        </w:rPr>
        <w:t>聚</w:t>
      </w:r>
      <w:r>
        <w:rPr>
          <w:rFonts w:hint="eastAsia" w:ascii="仿宋_GB2312" w:hAnsi="仿宋" w:eastAsia="仿宋_GB2312" w:cs="Times New Roman"/>
          <w:b w:val="0"/>
          <w:bCs w:val="0"/>
          <w:sz w:val="32"/>
          <w:szCs w:val="32"/>
          <w:lang w:eastAsia="zh-CN"/>
        </w:rPr>
        <w:t>力。</w:t>
      </w:r>
      <w:r>
        <w:rPr>
          <w:rFonts w:hint="eastAsia" w:ascii="仿宋_GB2312" w:hAnsi="仿宋" w:eastAsia="仿宋_GB2312" w:cs="Times New Roman"/>
          <w:b w:val="0"/>
          <w:bCs w:val="0"/>
          <w:sz w:val="32"/>
          <w:szCs w:val="32"/>
        </w:rPr>
        <w:t>依托“乡贤会”组建“银晖”乡贤智囊团，开展“我为家乡发展献策”活动。</w:t>
      </w:r>
      <w:r>
        <w:rPr>
          <w:rFonts w:hint="eastAsia" w:ascii="仿宋_GB2312" w:hAnsi="仿宋" w:eastAsia="仿宋_GB2312" w:cs="Times New Roman"/>
          <w:b w:val="0"/>
          <w:bCs w:val="0"/>
          <w:sz w:val="32"/>
          <w:szCs w:val="32"/>
          <w:lang w:eastAsia="zh-CN"/>
        </w:rPr>
        <w:t>全年收集关于乡村振兴，疫情防控、城乡基层治理等方面意见建议</w:t>
      </w:r>
      <w:r>
        <w:rPr>
          <w:rFonts w:hint="eastAsia" w:ascii="仿宋_GB2312" w:hAnsi="仿宋" w:eastAsia="仿宋_GB2312" w:cs="Times New Roman"/>
          <w:b w:val="0"/>
          <w:bCs w:val="0"/>
          <w:sz w:val="32"/>
          <w:szCs w:val="32"/>
          <w:lang w:val="en-US" w:eastAsia="zh-CN"/>
        </w:rPr>
        <w:t>60余条。</w:t>
      </w:r>
      <w:r>
        <w:rPr>
          <w:rFonts w:hint="eastAsia" w:ascii="仿宋_GB2312" w:hAnsi="仿宋" w:eastAsia="仿宋_GB2312" w:cs="Times New Roman"/>
          <w:b w:val="0"/>
          <w:bCs w:val="0"/>
          <w:sz w:val="32"/>
          <w:szCs w:val="32"/>
          <w:lang w:eastAsia="zh-CN"/>
        </w:rPr>
        <w:t>二是向储备力量聚力。大力开</w:t>
      </w:r>
      <w:r>
        <w:rPr>
          <w:rFonts w:hint="eastAsia" w:ascii="仿宋_GB2312" w:hAnsi="仿宋" w:eastAsia="仿宋_GB2312" w:cs="Times New Roman"/>
          <w:b w:val="0"/>
          <w:bCs w:val="0"/>
          <w:sz w:val="32"/>
          <w:szCs w:val="32"/>
        </w:rPr>
        <w:t>展“新老结对 携手共进”行动</w:t>
      </w:r>
      <w:r>
        <w:rPr>
          <w:rFonts w:hint="eastAsia" w:ascii="仿宋_GB2312" w:hAnsi="仿宋" w:eastAsia="仿宋_GB2312" w:cs="Times New Roman"/>
          <w:b w:val="0"/>
          <w:bCs w:val="0"/>
          <w:sz w:val="32"/>
          <w:szCs w:val="32"/>
          <w:lang w:eastAsia="zh-CN"/>
        </w:rPr>
        <w:t>，在</w:t>
      </w:r>
      <w:r>
        <w:rPr>
          <w:rFonts w:hint="eastAsia" w:ascii="仿宋_GB2312" w:hAnsi="仿宋" w:eastAsia="仿宋_GB2312" w:cs="Times New Roman"/>
          <w:b w:val="0"/>
          <w:bCs w:val="0"/>
          <w:sz w:val="32"/>
          <w:szCs w:val="32"/>
          <w:lang w:val="en-US" w:eastAsia="zh-CN"/>
        </w:rPr>
        <w:t>区农业农村局、区林业局建立老干部专家示范点2个。通过示范带动、新老干部结对，引导30余名各行业技术骨干重回“战场”，采取在工作上帮、实践中带、方法上传等方式，在理想信念教育、传授经验等方面发挥“传帮带”作用，助力年轻干部成长成才。</w:t>
      </w:r>
      <w:r>
        <w:rPr>
          <w:rFonts w:hint="eastAsia" w:ascii="仿宋_GB2312" w:hAnsi="仿宋" w:eastAsia="仿宋_GB2312" w:cs="Times New Roman"/>
          <w:b w:val="0"/>
          <w:bCs w:val="0"/>
          <w:sz w:val="32"/>
          <w:szCs w:val="32"/>
          <w:lang w:eastAsia="zh-CN"/>
        </w:rPr>
        <w:t>三是</w:t>
      </w:r>
      <w:r>
        <w:rPr>
          <w:rFonts w:hint="eastAsia" w:ascii="仿宋_GB2312" w:hAnsi="仿宋" w:eastAsia="仿宋_GB2312" w:cs="Times New Roman"/>
          <w:b w:val="0"/>
          <w:bCs w:val="0"/>
          <w:sz w:val="32"/>
          <w:szCs w:val="32"/>
        </w:rPr>
        <w:t>向</w:t>
      </w:r>
      <w:r>
        <w:rPr>
          <w:rFonts w:hint="eastAsia" w:ascii="仿宋_GB2312" w:hAnsi="仿宋" w:eastAsia="仿宋_GB2312" w:cs="Times New Roman"/>
          <w:b w:val="0"/>
          <w:bCs w:val="0"/>
          <w:sz w:val="32"/>
          <w:szCs w:val="32"/>
          <w:lang w:eastAsia="zh-CN"/>
        </w:rPr>
        <w:t>红色宣讲</w:t>
      </w:r>
      <w:r>
        <w:rPr>
          <w:rFonts w:hint="eastAsia" w:ascii="仿宋_GB2312" w:hAnsi="仿宋" w:eastAsia="仿宋_GB2312" w:cs="Times New Roman"/>
          <w:b w:val="0"/>
          <w:bCs w:val="0"/>
          <w:sz w:val="32"/>
          <w:szCs w:val="32"/>
        </w:rPr>
        <w:t>聚</w:t>
      </w:r>
      <w:r>
        <w:rPr>
          <w:rFonts w:hint="eastAsia" w:ascii="仿宋_GB2312" w:hAnsi="仿宋" w:eastAsia="仿宋_GB2312" w:cs="Times New Roman"/>
          <w:b w:val="0"/>
          <w:bCs w:val="0"/>
          <w:sz w:val="32"/>
          <w:szCs w:val="32"/>
          <w:lang w:eastAsia="zh-CN"/>
        </w:rPr>
        <w:t>力</w:t>
      </w:r>
      <w:r>
        <w:rPr>
          <w:rFonts w:hint="eastAsia" w:ascii="仿宋_GB2312" w:hAnsi="仿宋" w:eastAsia="仿宋_GB2312" w:cs="Times New Roman"/>
          <w:b w:val="0"/>
          <w:bCs w:val="0"/>
          <w:sz w:val="32"/>
          <w:szCs w:val="32"/>
        </w:rPr>
        <w:t>。组建五老“银晖宣讲团”，</w:t>
      </w:r>
      <w:r>
        <w:rPr>
          <w:rFonts w:hint="eastAsia" w:ascii="仿宋_GB2312" w:hAnsi="仿宋" w:eastAsia="仿宋_GB2312" w:cs="Times New Roman"/>
          <w:b w:val="0"/>
          <w:bCs w:val="0"/>
          <w:sz w:val="32"/>
          <w:szCs w:val="32"/>
          <w:lang w:eastAsia="zh-CN"/>
        </w:rPr>
        <w:t>利用</w:t>
      </w:r>
      <w:r>
        <w:rPr>
          <w:rFonts w:hint="eastAsia" w:ascii="仿宋_GB2312" w:hAnsi="仿宋" w:eastAsia="仿宋_GB2312" w:cs="Times New Roman"/>
          <w:b w:val="0"/>
          <w:bCs w:val="0"/>
          <w:sz w:val="32"/>
          <w:szCs w:val="32"/>
          <w:lang w:val="en-US" w:eastAsia="zh-CN"/>
        </w:rPr>
        <w:t>“栈道大讲堂”平台，组织17名老干部开展讲党史、讲法律等活动18场次。联合关工委开展“开学第一课”和“学党史、传家风、育新人”主题宣讲活动，覆盖学生、群众1000余人。其中，退休干部</w:t>
      </w:r>
      <w:r>
        <w:rPr>
          <w:rFonts w:hint="eastAsia" w:ascii="仿宋_GB2312" w:hAnsi="仿宋" w:eastAsia="仿宋_GB2312" w:cs="Times New Roman"/>
          <w:b w:val="0"/>
          <w:bCs w:val="0"/>
          <w:sz w:val="32"/>
          <w:szCs w:val="32"/>
        </w:rPr>
        <w:t>苏荣满</w:t>
      </w:r>
      <w:r>
        <w:rPr>
          <w:rFonts w:hint="eastAsia" w:ascii="仿宋_GB2312" w:hAnsi="仿宋" w:eastAsia="仿宋_GB2312" w:cs="Times New Roman"/>
          <w:b w:val="0"/>
          <w:bCs w:val="0"/>
          <w:sz w:val="32"/>
          <w:szCs w:val="32"/>
          <w:lang w:eastAsia="zh-CN"/>
        </w:rPr>
        <w:t>在两河口家风家训和社会教化宣讲点</w:t>
      </w:r>
      <w:r>
        <w:rPr>
          <w:rFonts w:hint="eastAsia" w:ascii="仿宋_GB2312" w:hAnsi="仿宋" w:eastAsia="仿宋_GB2312" w:cs="Times New Roman"/>
          <w:b w:val="0"/>
          <w:bCs w:val="0"/>
          <w:sz w:val="32"/>
          <w:szCs w:val="32"/>
        </w:rPr>
        <w:t>宣讲被“学习强国”</w:t>
      </w:r>
      <w:r>
        <w:rPr>
          <w:rFonts w:hint="eastAsia" w:ascii="仿宋_GB2312" w:hAnsi="仿宋" w:eastAsia="仿宋_GB2312" w:cs="Times New Roman"/>
          <w:b w:val="0"/>
          <w:bCs w:val="0"/>
          <w:sz w:val="32"/>
          <w:szCs w:val="32"/>
          <w:lang w:eastAsia="zh-CN"/>
        </w:rPr>
        <w:t>等媒体平台报道。四是向基层治理聚力。</w:t>
      </w:r>
      <w:r>
        <w:rPr>
          <w:rFonts w:hint="eastAsia" w:ascii="仿宋_GB2312" w:hAnsi="仿宋" w:eastAsia="仿宋_GB2312" w:cs="Times New Roman"/>
          <w:b w:val="0"/>
          <w:bCs w:val="0"/>
          <w:sz w:val="32"/>
          <w:szCs w:val="32"/>
        </w:rPr>
        <w:t>组建乡（镇）</w:t>
      </w:r>
      <w:r>
        <w:rPr>
          <w:rFonts w:hint="eastAsia" w:ascii="仿宋_GB2312" w:hAnsi="仿宋" w:eastAsia="仿宋_GB2312" w:cs="Times New Roman"/>
          <w:b w:val="0"/>
          <w:bCs w:val="0"/>
          <w:sz w:val="32"/>
          <w:szCs w:val="32"/>
          <w:lang w:eastAsia="zh-CN"/>
        </w:rPr>
        <w:t>、</w:t>
      </w:r>
      <w:r>
        <w:rPr>
          <w:rFonts w:hint="eastAsia" w:ascii="仿宋_GB2312" w:hAnsi="仿宋" w:eastAsia="仿宋_GB2312" w:cs="Times New Roman"/>
          <w:b w:val="0"/>
          <w:bCs w:val="0"/>
          <w:sz w:val="32"/>
          <w:szCs w:val="32"/>
          <w:lang w:val="en-US" w:eastAsia="zh-CN"/>
        </w:rPr>
        <w:t>村两级矛盾调解员队伍，大力开展</w:t>
      </w:r>
      <w:r>
        <w:rPr>
          <w:rFonts w:hint="default" w:ascii="仿宋_GB2312" w:hAnsi="仿宋" w:eastAsia="仿宋_GB2312" w:cs="Times New Roman"/>
          <w:b w:val="0"/>
          <w:bCs w:val="0"/>
          <w:sz w:val="32"/>
          <w:szCs w:val="32"/>
          <w:lang w:val="en-US" w:eastAsia="zh-CN"/>
        </w:rPr>
        <w:t>“我为基层治理出份力</w:t>
      </w:r>
      <w:r>
        <w:rPr>
          <w:rFonts w:hint="eastAsia" w:ascii="仿宋_GB2312" w:hAnsi="仿宋" w:eastAsia="仿宋_GB2312" w:cs="Times New Roman"/>
          <w:b w:val="0"/>
          <w:bCs w:val="0"/>
          <w:sz w:val="32"/>
          <w:szCs w:val="32"/>
          <w:lang w:val="en-US" w:eastAsia="zh-CN"/>
        </w:rPr>
        <w:t>”活动，60余名退休调解员和志愿者活跃在基层调解一线，先后调解民事纠纷、邻里矛盾110余件，调解成功率99%，朝天镇明月路社区“喜哈哈”调解室获得“四川省金牌调解工作室”荣誉称号。</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（四）部门整体支出绩效目标。</w:t>
      </w:r>
    </w:p>
    <w:p>
      <w:pPr>
        <w:keepNext w:val="0"/>
        <w:keepLines w:val="0"/>
        <w:pageBreakBefore w:val="0"/>
        <w:widowControl w:val="0"/>
        <w:pBdr>
          <w:bottom w:val="single" w:color="FFFFFF" w:sz="4" w:space="15"/>
        </w:pBdr>
        <w:tabs>
          <w:tab w:val="left" w:pos="1440"/>
        </w:tabs>
        <w:kinsoku/>
        <w:wordWrap/>
        <w:overflowPunct/>
        <w:topLinePunct w:val="0"/>
        <w:autoSpaceDE w:val="0"/>
        <w:autoSpaceDN w:val="0"/>
        <w:bidi w:val="0"/>
        <w:adjustRightInd w:val="0"/>
        <w:snapToGrid w:val="0"/>
        <w:spacing w:line="576" w:lineRule="exact"/>
        <w:ind w:firstLine="420" w:firstLineChars="200"/>
        <w:contextualSpacing/>
        <w:textAlignment w:val="auto"/>
        <w:rPr>
          <w:rFonts w:hint="eastAsia" w:ascii="仿宋_GB2312" w:hAnsi="仿宋_GB2312" w:eastAsia="仿宋_GB2312" w:cs="仿宋_GB2312"/>
          <w:color w:val="auto"/>
          <w:sz w:val="32"/>
          <w:szCs w:val="32"/>
          <w:lang w:val="en-US" w:eastAsia="zh-CN"/>
        </w:rPr>
      </w:pPr>
      <w:r>
        <w:rPr>
          <w:rFonts w:hint="eastAsia"/>
          <w:lang w:val="en-US" w:eastAsia="zh-CN"/>
        </w:rPr>
        <w:t xml:space="preserve">  </w:t>
      </w:r>
      <w:r>
        <w:rPr>
          <w:rFonts w:hint="eastAsia" w:ascii="仿宋_GB2312" w:hAnsi="仿宋_GB2312" w:eastAsia="仿宋_GB2312" w:cs="仿宋_GB2312"/>
          <w:color w:val="auto"/>
          <w:sz w:val="32"/>
          <w:szCs w:val="32"/>
          <w:lang w:val="en-US" w:eastAsia="zh-CN"/>
        </w:rPr>
        <w:t>2022年预算严格按照财政要求，本着单位实际，在规定的时间内完成了编制工作，绩效目标编制要素完整，对大部分绩效指标进行了细化量化。主要分基本支出和项目支出两大版块。基本支出按照单位实有人数和各单项定额标准编制；项目支出主要是根据本单位基本职能和职责要求，为保障完成单位特定的行政工作和社会事业发展目标而编制。整个预算包含了财政资金的安排使用、管理情况等。</w:t>
      </w:r>
    </w:p>
    <w:p>
      <w:pPr>
        <w:keepNext w:val="0"/>
        <w:keepLines w:val="0"/>
        <w:pageBreakBefore w:val="0"/>
        <w:widowControl w:val="0"/>
        <w:pBdr>
          <w:bottom w:val="single" w:color="FFFFFF" w:sz="4" w:space="15"/>
        </w:pBdr>
        <w:tabs>
          <w:tab w:val="left" w:pos="1440"/>
        </w:tabs>
        <w:kinsoku/>
        <w:wordWrap/>
        <w:overflowPunct/>
        <w:topLinePunct w:val="0"/>
        <w:autoSpaceDE w:val="0"/>
        <w:autoSpaceDN w:val="0"/>
        <w:bidi w:val="0"/>
        <w:adjustRightInd w:val="0"/>
        <w:snapToGrid w:val="0"/>
        <w:spacing w:line="576"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部门基本支出预算48.15万元。其中：人员经费42.83万元，主要包括：基本工资、</w:t>
      </w:r>
      <w:r>
        <w:rPr>
          <w:rFonts w:hint="eastAsia" w:ascii="仿宋_GB2312" w:hAnsi="仿宋_GB2312" w:eastAsia="仿宋_GB2312" w:cs="仿宋_GB2312"/>
          <w:color w:val="auto"/>
          <w:sz w:val="32"/>
          <w:szCs w:val="32"/>
          <w:highlight w:val="none"/>
        </w:rPr>
        <w:t>津贴补贴、奖金、机关事业单位基本养老保险缴费、</w:t>
      </w:r>
      <w:r>
        <w:rPr>
          <w:rFonts w:hint="eastAsia" w:ascii="仿宋_GB2312" w:hAnsi="仿宋_GB2312" w:eastAsia="仿宋_GB2312" w:cs="仿宋_GB2312"/>
          <w:color w:val="auto"/>
          <w:sz w:val="32"/>
          <w:szCs w:val="32"/>
          <w:highlight w:val="none"/>
          <w:lang w:eastAsia="zh-CN"/>
        </w:rPr>
        <w:t>职工基本医疗保险缴费、</w:t>
      </w:r>
      <w:r>
        <w:rPr>
          <w:rFonts w:hint="eastAsia" w:ascii="仿宋_GB2312" w:hAnsi="仿宋_GB2312" w:eastAsia="仿宋_GB2312" w:cs="仿宋_GB2312"/>
          <w:color w:val="auto"/>
          <w:sz w:val="32"/>
          <w:szCs w:val="32"/>
          <w:highlight w:val="none"/>
        </w:rPr>
        <w:t>其他社会保障缴费、住房公积金支出。公用经费</w:t>
      </w:r>
      <w:r>
        <w:rPr>
          <w:rFonts w:hint="eastAsia" w:ascii="仿宋_GB2312" w:hAnsi="仿宋_GB2312" w:eastAsia="仿宋_GB2312" w:cs="仿宋_GB2312"/>
          <w:color w:val="auto"/>
          <w:sz w:val="32"/>
          <w:szCs w:val="32"/>
          <w:highlight w:val="none"/>
          <w:lang w:val="en-US" w:eastAsia="zh-CN"/>
        </w:rPr>
        <w:t>5.32</w:t>
      </w:r>
      <w:r>
        <w:rPr>
          <w:rFonts w:hint="eastAsia" w:ascii="仿宋_GB2312" w:hAnsi="仿宋_GB2312" w:eastAsia="仿宋_GB2312" w:cs="仿宋_GB2312"/>
          <w:color w:val="auto"/>
          <w:sz w:val="32"/>
          <w:szCs w:val="32"/>
          <w:highlight w:val="none"/>
        </w:rPr>
        <w:t>万元，主要包括：办公费、水费、电费、邮电费、差旅费、公务接待费、其他交通费支出。</w:t>
      </w:r>
    </w:p>
    <w:p>
      <w:pPr>
        <w:keepNext w:val="0"/>
        <w:keepLines w:val="0"/>
        <w:pageBreakBefore w:val="0"/>
        <w:pBdr>
          <w:bottom w:val="single" w:color="FFFFFF" w:sz="4" w:space="15"/>
        </w:pBdr>
        <w:tabs>
          <w:tab w:val="left" w:pos="1440"/>
        </w:tabs>
        <w:kinsoku/>
        <w:wordWrap/>
        <w:overflowPunct/>
        <w:topLinePunct w:val="0"/>
        <w:autoSpaceDE w:val="0"/>
        <w:autoSpaceDN w:val="0"/>
        <w:bidi w:val="0"/>
        <w:adjustRightInd w:val="0"/>
        <w:snapToGrid w:val="0"/>
        <w:spacing w:line="576" w:lineRule="exact"/>
        <w:ind w:firstLine="640" w:firstLineChars="200"/>
        <w:contextualSpacing/>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部门项目</w:t>
      </w:r>
      <w:r>
        <w:rPr>
          <w:rFonts w:hint="eastAsia" w:ascii="仿宋_GB2312" w:hAnsi="仿宋_GB2312" w:eastAsia="仿宋_GB2312" w:cs="仿宋_GB2312"/>
          <w:color w:val="auto"/>
          <w:sz w:val="32"/>
          <w:szCs w:val="32"/>
          <w:lang w:eastAsia="zh-CN"/>
        </w:rPr>
        <w:t>支出预算</w:t>
      </w:r>
      <w:r>
        <w:rPr>
          <w:rFonts w:hint="eastAsia" w:ascii="仿宋_GB2312" w:hAnsi="仿宋_GB2312" w:eastAsia="仿宋_GB2312" w:cs="仿宋_GB2312"/>
          <w:color w:val="auto"/>
          <w:sz w:val="32"/>
          <w:szCs w:val="32"/>
          <w:lang w:val="en-US" w:eastAsia="zh-CN"/>
        </w:rPr>
        <w:t>38.98万元，</w:t>
      </w:r>
      <w:r>
        <w:rPr>
          <w:rFonts w:hint="eastAsia" w:ascii="仿宋_GB2312" w:hAnsi="仿宋_GB2312" w:eastAsia="仿宋_GB2312" w:cs="仿宋_GB2312"/>
          <w:color w:val="auto"/>
          <w:sz w:val="32"/>
          <w:szCs w:val="32"/>
        </w:rPr>
        <w:t>其中：</w:t>
      </w:r>
      <w:r>
        <w:rPr>
          <w:rFonts w:hint="eastAsia" w:ascii="仿宋_GB2312" w:hAnsi="仿宋_GB2312" w:eastAsia="仿宋_GB2312" w:cs="仿宋_GB2312"/>
          <w:color w:val="auto"/>
          <w:sz w:val="32"/>
          <w:szCs w:val="32"/>
          <w:lang w:val="en-US" w:eastAsia="zh-CN"/>
        </w:rPr>
        <w:t>2022年老干部特殊困难帮扶资金9.5万元、2022年区委区政府工作通报会经费4万元、2022年</w:t>
      </w:r>
      <w:r>
        <w:rPr>
          <w:rFonts w:hint="eastAsia" w:ascii="仿宋_GB2312" w:hAnsi="仿宋_GB2312" w:eastAsia="仿宋_GB2312" w:cs="仿宋_GB2312"/>
          <w:kern w:val="2"/>
          <w:sz w:val="32"/>
          <w:szCs w:val="32"/>
          <w:lang w:val="en-US" w:eastAsia="zh-CN" w:bidi="ar-SA"/>
        </w:rPr>
        <w:t>老干部体检项目经费9.4万元、</w:t>
      </w: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kern w:val="2"/>
          <w:sz w:val="32"/>
          <w:szCs w:val="32"/>
          <w:lang w:val="en-US" w:eastAsia="zh-CN" w:bidi="ar-SA"/>
        </w:rPr>
        <w:t>老干部慰问经费5.6万元、</w:t>
      </w:r>
      <w:r>
        <w:rPr>
          <w:rFonts w:hint="eastAsia" w:ascii="仿宋_GB2312" w:hAnsi="仿宋_GB2312" w:eastAsia="仿宋_GB2312" w:cs="仿宋_GB2312"/>
          <w:color w:val="auto"/>
          <w:sz w:val="32"/>
          <w:szCs w:val="32"/>
          <w:lang w:val="en-US" w:eastAsia="zh-CN"/>
        </w:rPr>
        <w:t>区委区政府工作通报会经费5万元、</w:t>
      </w:r>
      <w:r>
        <w:rPr>
          <w:rFonts w:hint="eastAsia" w:ascii="仿宋_GB2312" w:hAnsi="仿宋_GB2312" w:eastAsia="仿宋_GB2312" w:cs="仿宋_GB2312"/>
          <w:kern w:val="2"/>
          <w:sz w:val="32"/>
          <w:szCs w:val="32"/>
          <w:lang w:val="en-US" w:eastAsia="zh-CN" w:bidi="ar-SA"/>
        </w:rPr>
        <w:t>关工委工作经费5万元、金财网维护费0.48万</w:t>
      </w:r>
      <w:r>
        <w:rPr>
          <w:rFonts w:hint="eastAsia" w:ascii="仿宋_GB2312" w:hAnsi="仿宋_GB2312" w:eastAsia="仿宋_GB2312" w:cs="仿宋_GB2312"/>
          <w:color w:val="auto"/>
          <w:sz w:val="32"/>
          <w:szCs w:val="32"/>
          <w:lang w:val="en-US" w:eastAsia="zh-CN"/>
        </w:rPr>
        <w:t>元。</w:t>
      </w:r>
    </w:p>
    <w:p>
      <w:pPr>
        <w:keepNext w:val="0"/>
        <w:keepLines w:val="0"/>
        <w:pageBreakBefore w:val="0"/>
        <w:pBdr>
          <w:bottom w:val="single" w:color="FFFFFF" w:sz="4" w:space="15"/>
        </w:pBdr>
        <w:tabs>
          <w:tab w:val="left" w:pos="1440"/>
        </w:tabs>
        <w:kinsoku/>
        <w:wordWrap/>
        <w:overflowPunct/>
        <w:topLinePunct w:val="0"/>
        <w:autoSpaceDE w:val="0"/>
        <w:autoSpaceDN w:val="0"/>
        <w:bidi w:val="0"/>
        <w:adjustRightInd w:val="0"/>
        <w:snapToGrid w:val="0"/>
        <w:spacing w:line="576" w:lineRule="exact"/>
        <w:ind w:firstLine="640" w:firstLineChars="200"/>
        <w:contextualSpacing/>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sz w:val="32"/>
          <w:szCs w:val="32"/>
          <w:lang w:val="en-US" w:eastAsia="zh-CN"/>
        </w:rPr>
        <w:t>2022年，我</w:t>
      </w:r>
      <w:r>
        <w:rPr>
          <w:rFonts w:hint="default" w:ascii="仿宋_GB2312" w:hAnsi="仿宋_GB2312" w:eastAsia="仿宋_GB2312" w:cs="仿宋_GB2312"/>
          <w:color w:val="auto"/>
          <w:sz w:val="32"/>
          <w:szCs w:val="32"/>
          <w:lang w:eastAsia="zh-CN"/>
        </w:rPr>
        <w:t>中心</w:t>
      </w:r>
      <w:r>
        <w:rPr>
          <w:rFonts w:hint="eastAsia" w:ascii="仿宋_GB2312" w:hAnsi="仿宋_GB2312" w:eastAsia="仿宋_GB2312" w:cs="仿宋_GB2312"/>
          <w:color w:val="auto"/>
          <w:sz w:val="32"/>
          <w:szCs w:val="32"/>
          <w:lang w:val="en-US" w:eastAsia="zh-CN"/>
        </w:rPr>
        <w:t>高质量完成了各个项目，达到了预期绩效目标。项目支出均按照有关规章制度和项目实施完成情况进行支付，我单位严格按照项目预算要求使用和划拨资金、规范经费管理</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无超预算情况，专项资金按照项目内容使用，做到专款专用，使用专项资金时，要通过财政专网统一支付，项目过程中全部按照</w:t>
      </w:r>
      <w:r>
        <w:rPr>
          <w:rFonts w:hint="eastAsia" w:ascii="仿宋_GB2312" w:hAnsi="仿宋_GB2312" w:eastAsia="仿宋_GB2312" w:cs="仿宋_GB2312"/>
          <w:kern w:val="2"/>
          <w:sz w:val="32"/>
          <w:szCs w:val="32"/>
          <w:lang w:val="en-US" w:eastAsia="zh-CN" w:bidi="ar-SA"/>
        </w:rPr>
        <w:t>管理办法执行，保障支出合法合规，做到了合法、有序。我</w:t>
      </w:r>
      <w:r>
        <w:rPr>
          <w:rFonts w:hint="default" w:ascii="仿宋_GB2312" w:hAnsi="仿宋_GB2312" w:eastAsia="仿宋_GB2312" w:cs="仿宋_GB2312"/>
          <w:kern w:val="2"/>
          <w:sz w:val="32"/>
          <w:szCs w:val="32"/>
          <w:lang w:val="en-US" w:eastAsia="zh-CN" w:bidi="ar-SA"/>
        </w:rPr>
        <w:t>中心</w:t>
      </w:r>
      <w:r>
        <w:rPr>
          <w:rFonts w:hint="eastAsia" w:ascii="仿宋_GB2312" w:hAnsi="仿宋_GB2312" w:eastAsia="仿宋_GB2312" w:cs="仿宋_GB2312"/>
          <w:kern w:val="2"/>
          <w:sz w:val="32"/>
          <w:szCs w:val="32"/>
          <w:lang w:val="en-US" w:eastAsia="zh-CN" w:bidi="ar-SA"/>
        </w:rPr>
        <w:t>不定时对各个项目开展绩效运行监控，将绩效监控结果应用到预算调整中。2022年，我</w:t>
      </w:r>
      <w:r>
        <w:rPr>
          <w:rFonts w:hint="default" w:ascii="仿宋_GB2312" w:hAnsi="仿宋_GB2312" w:eastAsia="仿宋_GB2312" w:cs="仿宋_GB2312"/>
          <w:kern w:val="2"/>
          <w:sz w:val="32"/>
          <w:szCs w:val="32"/>
          <w:lang w:val="en-US" w:eastAsia="zh-CN" w:bidi="ar-SA"/>
        </w:rPr>
        <w:t>中心</w:t>
      </w:r>
      <w:r>
        <w:rPr>
          <w:rFonts w:hint="eastAsia" w:ascii="仿宋_GB2312" w:hAnsi="仿宋_GB2312" w:eastAsia="仿宋_GB2312" w:cs="仿宋_GB2312"/>
          <w:kern w:val="2"/>
          <w:sz w:val="32"/>
          <w:szCs w:val="32"/>
          <w:lang w:val="en-US" w:eastAsia="zh-CN" w:bidi="ar-SA"/>
        </w:rPr>
        <w:t>部门预算项目预算执行进度均达100%。全年无违反规定的行为发生。</w:t>
      </w:r>
    </w:p>
    <w:p>
      <w:pPr>
        <w:keepNext w:val="0"/>
        <w:keepLines w:val="0"/>
        <w:pageBreakBefore w:val="0"/>
        <w:pBdr>
          <w:bottom w:val="single" w:color="FFFFFF" w:sz="4" w:space="15"/>
        </w:pBdr>
        <w:tabs>
          <w:tab w:val="left" w:pos="1440"/>
        </w:tabs>
        <w:kinsoku/>
        <w:wordWrap/>
        <w:overflowPunct/>
        <w:topLinePunct w:val="0"/>
        <w:autoSpaceDE w:val="0"/>
        <w:autoSpaceDN w:val="0"/>
        <w:bidi w:val="0"/>
        <w:adjustRightInd w:val="0"/>
        <w:snapToGrid w:val="0"/>
        <w:spacing w:line="576" w:lineRule="exact"/>
        <w:ind w:firstLine="640" w:firstLineChars="200"/>
        <w:contextualSpacing/>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二、部门资金收支情况</w:t>
      </w:r>
    </w:p>
    <w:p>
      <w:pPr>
        <w:keepNext w:val="0"/>
        <w:keepLines w:val="0"/>
        <w:pageBreakBefore w:val="0"/>
        <w:pBdr>
          <w:bottom w:val="single" w:color="FFFFFF" w:sz="4" w:space="15"/>
        </w:pBdr>
        <w:tabs>
          <w:tab w:val="left" w:pos="1440"/>
        </w:tabs>
        <w:kinsoku/>
        <w:wordWrap/>
        <w:overflowPunct/>
        <w:topLinePunct w:val="0"/>
        <w:autoSpaceDE w:val="0"/>
        <w:autoSpaceDN w:val="0"/>
        <w:bidi w:val="0"/>
        <w:adjustRightInd w:val="0"/>
        <w:snapToGrid w:val="0"/>
        <w:spacing w:line="576" w:lineRule="exact"/>
        <w:ind w:firstLine="640" w:firstLineChars="200"/>
        <w:contextualSpacing/>
        <w:textAlignment w:val="auto"/>
        <w:rPr>
          <w:rFonts w:hint="eastAsia" w:ascii="楷体_GB2312" w:hAnsi="楷体_GB2312" w:eastAsia="楷体_GB2312" w:cs="楷体_GB2312"/>
          <w:kern w:val="2"/>
          <w:sz w:val="32"/>
          <w:szCs w:val="32"/>
          <w:lang w:val="zh-CN" w:eastAsia="zh-CN" w:bidi="ar-SA"/>
        </w:rPr>
      </w:pPr>
      <w:r>
        <w:rPr>
          <w:rFonts w:hint="eastAsia" w:ascii="楷体_GB2312" w:hAnsi="楷体_GB2312" w:eastAsia="楷体_GB2312" w:cs="楷体_GB2312"/>
          <w:kern w:val="2"/>
          <w:sz w:val="32"/>
          <w:szCs w:val="32"/>
          <w:lang w:val="zh-CN" w:eastAsia="zh-CN" w:bidi="ar-SA"/>
        </w:rPr>
        <w:t>（一）部门总体收支情况</w:t>
      </w:r>
    </w:p>
    <w:p>
      <w:pPr>
        <w:keepNext w:val="0"/>
        <w:keepLines w:val="0"/>
        <w:pageBreakBefore w:val="0"/>
        <w:widowControl w:val="0"/>
        <w:pBdr>
          <w:bottom w:val="single" w:color="FFFFFF" w:sz="4" w:space="15"/>
        </w:pBdr>
        <w:tabs>
          <w:tab w:val="left" w:pos="1440"/>
        </w:tabs>
        <w:kinsoku/>
        <w:wordWrap/>
        <w:overflowPunct/>
        <w:topLinePunct w:val="0"/>
        <w:autoSpaceDE w:val="0"/>
        <w:autoSpaceDN w:val="0"/>
        <w:bidi w:val="0"/>
        <w:adjustRightInd w:val="0"/>
        <w:snapToGrid w:val="0"/>
        <w:spacing w:line="576" w:lineRule="exact"/>
        <w:ind w:leftChars="0" w:firstLine="640" w:firstLineChars="200"/>
        <w:contextualSpacing/>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1.部门总体收入情况。</w:t>
      </w:r>
    </w:p>
    <w:p>
      <w:pPr>
        <w:keepNext w:val="0"/>
        <w:keepLines w:val="0"/>
        <w:pageBreakBefore w:val="0"/>
        <w:widowControl w:val="0"/>
        <w:pBdr>
          <w:bottom w:val="single" w:color="FFFFFF" w:sz="4" w:space="15"/>
        </w:pBdr>
        <w:tabs>
          <w:tab w:val="left" w:pos="1440"/>
        </w:tabs>
        <w:kinsoku/>
        <w:wordWrap/>
        <w:overflowPunct/>
        <w:topLinePunct w:val="0"/>
        <w:autoSpaceDE w:val="0"/>
        <w:autoSpaceDN w:val="0"/>
        <w:bidi w:val="0"/>
        <w:adjustRightInd w:val="0"/>
        <w:snapToGrid w:val="0"/>
        <w:spacing w:line="576" w:lineRule="exact"/>
        <w:ind w:leftChars="0" w:firstLine="640" w:firstLineChars="200"/>
        <w:contextualSpacing/>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广元市朝天区老干部事务中心2022年部门总体收入87.13万元，其中，当年财政拨款收入83.08万元，年初结转上年存量资金4.05万元。</w:t>
      </w:r>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val="0"/>
        <w:spacing w:line="576" w:lineRule="exact"/>
        <w:ind w:leftChars="0" w:firstLine="640" w:firstLineChars="200"/>
        <w:contextualSpacing/>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2.部门总体支出情况。</w:t>
      </w:r>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val="0"/>
        <w:spacing w:line="576" w:lineRule="exact"/>
        <w:ind w:leftChars="0" w:firstLine="640" w:firstLineChars="200"/>
        <w:contextualSpacing/>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广元市朝天区老干部事务中心2022年部门总体支出87.13万元，其中：基本支出48.15万元，占55.26%；项目支出38.98万元，占44.74%。</w:t>
      </w:r>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val="0"/>
        <w:spacing w:line="576" w:lineRule="exact"/>
        <w:ind w:leftChars="0" w:firstLine="640" w:firstLineChars="200"/>
        <w:contextualSpacing/>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3.部门总体结转结余情况。</w:t>
      </w:r>
    </w:p>
    <w:p>
      <w:pPr>
        <w:keepNext w:val="0"/>
        <w:keepLines w:val="0"/>
        <w:pageBreakBefore w:val="0"/>
        <w:widowControl w:val="0"/>
        <w:numPr>
          <w:ilvl w:val="0"/>
          <w:numId w:val="0"/>
        </w:numPr>
        <w:pBdr>
          <w:bottom w:val="single" w:color="FFFFFF" w:sz="4" w:space="15"/>
        </w:pBdr>
        <w:tabs>
          <w:tab w:val="left" w:pos="1440"/>
        </w:tabs>
        <w:kinsoku/>
        <w:wordWrap/>
        <w:overflowPunct/>
        <w:topLinePunct w:val="0"/>
        <w:autoSpaceDE w:val="0"/>
        <w:autoSpaceDN w:val="0"/>
        <w:bidi w:val="0"/>
        <w:adjustRightInd w:val="0"/>
        <w:snapToGrid w:val="0"/>
        <w:spacing w:line="576" w:lineRule="exact"/>
        <w:ind w:leftChars="0" w:firstLine="640" w:firstLineChars="200"/>
        <w:contextualSpacing/>
        <w:textAlignment w:val="auto"/>
        <w:rPr>
          <w:rFonts w:hint="eastAsia"/>
          <w:lang w:val="en-US" w:eastAsia="zh-CN"/>
        </w:rPr>
      </w:pPr>
      <w:r>
        <w:rPr>
          <w:rFonts w:hint="eastAsia" w:ascii="仿宋_GB2312" w:hAnsi="仿宋_GB2312" w:eastAsia="仿宋_GB2312" w:cs="仿宋_GB2312"/>
          <w:kern w:val="2"/>
          <w:sz w:val="32"/>
          <w:szCs w:val="32"/>
          <w:lang w:val="en-US" w:eastAsia="zh-CN" w:bidi="ar-SA"/>
        </w:rPr>
        <w:t>广元市朝天区老干部事务中心2022年当年无结转结余。</w:t>
      </w:r>
    </w:p>
    <w:p>
      <w:pPr>
        <w:keepNext w:val="0"/>
        <w:keepLines w:val="0"/>
        <w:pageBreakBefore w:val="0"/>
        <w:widowControl w:val="0"/>
        <w:kinsoku/>
        <w:wordWrap/>
        <w:overflowPunct/>
        <w:topLinePunct w:val="0"/>
        <w:autoSpaceDE/>
        <w:autoSpaceDN/>
        <w:bidi w:val="0"/>
        <w:adjustRightInd w:val="0"/>
        <w:snapToGrid w:val="0"/>
        <w:spacing w:line="576" w:lineRule="exact"/>
        <w:ind w:leftChars="0" w:firstLine="640" w:firstLineChars="200"/>
        <w:contextualSpacing/>
        <w:jc w:val="left"/>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（二）部门财政拨款收支情况。</w:t>
      </w:r>
    </w:p>
    <w:p>
      <w:pPr>
        <w:keepNext w:val="0"/>
        <w:keepLines w:val="0"/>
        <w:pageBreakBefore w:val="0"/>
        <w:widowControl w:val="0"/>
        <w:kinsoku/>
        <w:wordWrap/>
        <w:overflowPunct/>
        <w:topLinePunct w:val="0"/>
        <w:autoSpaceDE/>
        <w:autoSpaceDN/>
        <w:bidi w:val="0"/>
        <w:adjustRightInd w:val="0"/>
        <w:snapToGrid w:val="0"/>
        <w:spacing w:line="576" w:lineRule="exact"/>
        <w:ind w:leftChars="0"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1.部门财政拨款收入情况</w:t>
      </w:r>
    </w:p>
    <w:p>
      <w:pPr>
        <w:pStyle w:val="14"/>
        <w:keepNext w:val="0"/>
        <w:keepLines w:val="0"/>
        <w:pageBreakBefore w:val="0"/>
        <w:widowControl w:val="0"/>
        <w:kinsoku/>
        <w:wordWrap/>
        <w:overflowPunct/>
        <w:topLinePunct w:val="0"/>
        <w:bidi w:val="0"/>
        <w:adjustRightInd w:val="0"/>
        <w:snapToGrid w:val="0"/>
        <w:spacing w:after="0" w:line="576"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kern w:val="2"/>
          <w:sz w:val="32"/>
          <w:szCs w:val="32"/>
          <w:lang w:val="en-US" w:eastAsia="zh-CN" w:bidi="ar-SA"/>
        </w:rPr>
        <w:t>广元市朝天区老干部事务中心202</w:t>
      </w:r>
      <w:r>
        <w:rPr>
          <w:rFonts w:hint="default" w:ascii="仿宋_GB2312" w:hAnsi="仿宋_GB2312" w:eastAsia="仿宋_GB2312" w:cs="仿宋_GB2312"/>
          <w:kern w:val="2"/>
          <w:sz w:val="32"/>
          <w:szCs w:val="32"/>
          <w:lang w:eastAsia="zh-CN" w:bidi="ar-SA"/>
        </w:rPr>
        <w:t>2</w:t>
      </w:r>
      <w:r>
        <w:rPr>
          <w:rFonts w:hint="eastAsia" w:ascii="仿宋_GB2312" w:hAnsi="仿宋_GB2312" w:eastAsia="仿宋_GB2312" w:cs="仿宋_GB2312"/>
          <w:kern w:val="2"/>
          <w:sz w:val="32"/>
          <w:szCs w:val="32"/>
          <w:lang w:val="en-US" w:eastAsia="zh-CN" w:bidi="ar-SA"/>
        </w:rPr>
        <w:t>年部门</w:t>
      </w:r>
      <w:r>
        <w:rPr>
          <w:rFonts w:hint="eastAsia" w:hAnsi="仿宋_GB2312" w:eastAsia="仿宋_GB2312" w:cs="仿宋_GB2312"/>
          <w:kern w:val="2"/>
          <w:sz w:val="32"/>
          <w:szCs w:val="32"/>
          <w:lang w:val="en-US" w:eastAsia="zh-CN" w:bidi="ar-SA"/>
        </w:rPr>
        <w:t>财政拨款</w:t>
      </w:r>
      <w:r>
        <w:rPr>
          <w:rFonts w:hint="eastAsia" w:ascii="仿宋_GB2312" w:hAnsi="仿宋_GB2312" w:eastAsia="仿宋_GB2312" w:cs="仿宋_GB2312"/>
          <w:kern w:val="2"/>
          <w:sz w:val="32"/>
          <w:szCs w:val="32"/>
          <w:lang w:val="en-US" w:eastAsia="zh-CN" w:bidi="ar-SA"/>
        </w:rPr>
        <w:t>收入</w:t>
      </w:r>
      <w:r>
        <w:rPr>
          <w:rFonts w:hint="eastAsia" w:ascii="仿宋_GB2312" w:hAnsi="仿宋_GB2312" w:eastAsia="仿宋_GB2312" w:cs="仿宋_GB2312"/>
          <w:color w:val="auto"/>
          <w:sz w:val="32"/>
          <w:szCs w:val="32"/>
          <w:highlight w:val="none"/>
          <w:lang w:val="en-US" w:eastAsia="zh-CN"/>
        </w:rPr>
        <w:t>87.13</w:t>
      </w:r>
      <w:r>
        <w:rPr>
          <w:rFonts w:hint="eastAsia" w:ascii="仿宋_GB2312" w:hAnsi="仿宋_GB2312" w:eastAsia="仿宋_GB2312" w:cs="仿宋_GB2312"/>
          <w:kern w:val="2"/>
          <w:sz w:val="32"/>
          <w:szCs w:val="32"/>
          <w:lang w:val="en-US" w:eastAsia="zh-CN" w:bidi="ar-SA"/>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sz w:val="32"/>
          <w:szCs w:val="32"/>
          <w:lang w:eastAsia="zh-CN"/>
        </w:rPr>
        <w:t>其中，当年财政</w:t>
      </w:r>
      <w:r>
        <w:rPr>
          <w:rFonts w:hint="eastAsia" w:hAnsi="仿宋_GB2312" w:eastAsia="仿宋_GB2312" w:cs="仿宋_GB2312"/>
          <w:b w:val="0"/>
          <w:bCs w:val="0"/>
          <w:sz w:val="32"/>
          <w:szCs w:val="32"/>
          <w:lang w:eastAsia="zh-CN"/>
        </w:rPr>
        <w:t>拨款</w:t>
      </w:r>
      <w:r>
        <w:rPr>
          <w:rFonts w:hint="eastAsia" w:ascii="仿宋_GB2312" w:hAnsi="仿宋_GB2312" w:eastAsia="仿宋_GB2312" w:cs="仿宋_GB2312"/>
          <w:b w:val="0"/>
          <w:bCs w:val="0"/>
          <w:sz w:val="32"/>
          <w:szCs w:val="32"/>
          <w:lang w:eastAsia="zh-CN"/>
        </w:rPr>
        <w:t>收入</w:t>
      </w:r>
      <w:r>
        <w:rPr>
          <w:rFonts w:hint="eastAsia" w:ascii="仿宋_GB2312" w:hAnsi="仿宋_GB2312" w:eastAsia="仿宋_GB2312" w:cs="仿宋_GB2312"/>
          <w:b w:val="0"/>
          <w:bCs w:val="0"/>
          <w:sz w:val="32"/>
          <w:szCs w:val="32"/>
          <w:lang w:val="en-US" w:eastAsia="zh-CN"/>
        </w:rPr>
        <w:t>83.08</w:t>
      </w:r>
      <w:r>
        <w:rPr>
          <w:rFonts w:hint="eastAsia" w:ascii="仿宋_GB2312" w:hAnsi="仿宋_GB2312" w:eastAsia="仿宋_GB2312" w:cs="仿宋_GB2312"/>
          <w:b w:val="0"/>
          <w:bCs w:val="0"/>
          <w:sz w:val="32"/>
          <w:szCs w:val="32"/>
          <w:lang w:eastAsia="zh-CN"/>
        </w:rPr>
        <w:t>万元，年初结转上年存量资金</w:t>
      </w:r>
      <w:r>
        <w:rPr>
          <w:rFonts w:hint="eastAsia" w:ascii="仿宋_GB2312" w:hAnsi="仿宋_GB2312" w:eastAsia="仿宋_GB2312" w:cs="仿宋_GB2312"/>
          <w:b w:val="0"/>
          <w:bCs w:val="0"/>
          <w:sz w:val="32"/>
          <w:szCs w:val="32"/>
          <w:lang w:val="en-US" w:eastAsia="zh-CN"/>
        </w:rPr>
        <w:t>4.05</w:t>
      </w:r>
      <w:r>
        <w:rPr>
          <w:rFonts w:hint="eastAsia" w:ascii="仿宋_GB2312" w:hAnsi="仿宋_GB2312" w:eastAsia="仿宋_GB2312" w:cs="仿宋_GB2312"/>
          <w:b w:val="0"/>
          <w:bCs w:val="0"/>
          <w:sz w:val="32"/>
          <w:szCs w:val="32"/>
          <w:lang w:eastAsia="zh-CN"/>
        </w:rPr>
        <w:t>万元。</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2.部门财政拨款支出情况</w:t>
      </w:r>
    </w:p>
    <w:p>
      <w:pPr>
        <w:keepNext w:val="0"/>
        <w:keepLines w:val="0"/>
        <w:pageBreakBefore w:val="0"/>
        <w:kinsoku/>
        <w:wordWrap/>
        <w:overflowPunct/>
        <w:topLinePunct w:val="0"/>
        <w:bidi w:val="0"/>
        <w:adjustRightInd w:val="0"/>
        <w:snapToGrid w:val="0"/>
        <w:spacing w:line="576" w:lineRule="exact"/>
        <w:ind w:firstLine="640" w:firstLineChars="200"/>
        <w:textAlignment w:val="auto"/>
        <w:outlineLvl w:val="1"/>
        <w:rPr>
          <w:rFonts w:hint="eastAsia" w:ascii="仿宋_GB2312" w:hAnsi="仿宋_GB2312" w:eastAsia="仿宋_GB2312" w:cs="仿宋_GB2312"/>
          <w:kern w:val="2"/>
          <w:sz w:val="32"/>
          <w:szCs w:val="32"/>
          <w:lang w:val="en-US" w:eastAsia="zh-CN" w:bidi="ar-SA"/>
        </w:rPr>
      </w:pPr>
      <w:bookmarkStart w:id="90" w:name="_Toc12531"/>
      <w:r>
        <w:rPr>
          <w:rFonts w:hint="eastAsia" w:ascii="仿宋_GB2312" w:hAnsi="仿宋_GB2312" w:eastAsia="仿宋_GB2312" w:cs="仿宋_GB2312"/>
          <w:kern w:val="2"/>
          <w:sz w:val="32"/>
          <w:szCs w:val="32"/>
          <w:lang w:val="en-US" w:eastAsia="zh-CN" w:bidi="ar-SA"/>
        </w:rPr>
        <w:t>广元市朝天区老干部事务中心</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部门财政拨款</w:t>
      </w:r>
      <w:r>
        <w:rPr>
          <w:rFonts w:hint="eastAsia" w:ascii="仿宋_GB2312" w:hAnsi="仿宋_GB2312" w:eastAsia="仿宋_GB2312" w:cs="仿宋_GB2312"/>
          <w:sz w:val="32"/>
          <w:szCs w:val="32"/>
        </w:rPr>
        <w:t>支出</w:t>
      </w:r>
      <w:r>
        <w:rPr>
          <w:rFonts w:hint="eastAsia" w:ascii="仿宋_GB2312" w:hAnsi="仿宋_GB2312" w:eastAsia="仿宋_GB2312" w:cs="仿宋_GB2312"/>
          <w:kern w:val="2"/>
          <w:sz w:val="32"/>
          <w:szCs w:val="32"/>
          <w:lang w:val="en-US" w:eastAsia="zh-CN" w:bidi="ar-SA"/>
        </w:rPr>
        <w:t>87.13万元，其中：基本支出48.15万元，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55.26</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项目支出38.98万元，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44.74</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w:t>
      </w:r>
      <w:bookmarkEnd w:id="90"/>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3.部门财政拨款结转结余情况</w:t>
      </w:r>
    </w:p>
    <w:p>
      <w:pPr>
        <w:pStyle w:val="14"/>
        <w:keepNext w:val="0"/>
        <w:keepLines w:val="0"/>
        <w:pageBreakBefore w:val="0"/>
        <w:kinsoku/>
        <w:wordWrap/>
        <w:overflowPunct/>
        <w:topLinePunct w:val="0"/>
        <w:bidi w:val="0"/>
        <w:adjustRightInd w:val="0"/>
        <w:snapToGrid w:val="0"/>
        <w:spacing w:line="576"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广元市朝天区老干部事务中心</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当年无结转结余。</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部门整体绩效</w:t>
      </w:r>
      <w:r>
        <w:rPr>
          <w:rFonts w:hint="eastAsia" w:ascii="黑体" w:hAnsi="宋体" w:eastAsia="黑体" w:cs="宋体"/>
          <w:color w:val="auto"/>
          <w:kern w:val="0"/>
          <w:sz w:val="32"/>
          <w:szCs w:val="32"/>
          <w:highlight w:val="none"/>
          <w:u w:val="none"/>
          <w:shd w:val="clear" w:color="auto" w:fill="FFFFFF"/>
          <w:lang w:eastAsia="zh-CN"/>
        </w:rPr>
        <w:t>分析</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楷体_GB2312" w:hAnsi="楷体_GB2312" w:eastAsia="楷体_GB2312" w:cs="楷体_GB2312"/>
          <w:b w:val="0"/>
          <w:bCs w:val="0"/>
          <w:color w:val="auto"/>
          <w:kern w:val="0"/>
          <w:sz w:val="32"/>
          <w:szCs w:val="32"/>
          <w:highlight w:val="none"/>
          <w:shd w:val="clear" w:color="auto" w:fill="FFFFFF"/>
          <w:lang w:val="zh-CN"/>
        </w:rPr>
        <w:t>（一）部门预算项目绩效分析。</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1.人员类项目绩效分析</w:t>
      </w:r>
    </w:p>
    <w:p>
      <w:pPr>
        <w:keepNext w:val="0"/>
        <w:keepLines w:val="0"/>
        <w:pageBreakBefore w:val="0"/>
        <w:kinsoku/>
        <w:wordWrap/>
        <w:overflowPunct/>
        <w:topLinePunct w:val="0"/>
        <w:bidi w:val="0"/>
        <w:adjustRightInd w:val="0"/>
        <w:snapToGrid w:val="0"/>
        <w:spacing w:line="576" w:lineRule="exact"/>
        <w:ind w:firstLine="6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人员类项目支出42.83万元，</w:t>
      </w:r>
      <w:r>
        <w:rPr>
          <w:rFonts w:hint="eastAsia" w:ascii="仿宋_GB2312" w:hAnsi="仿宋_GB2312" w:eastAsia="仿宋_GB2312" w:cs="仿宋_GB2312"/>
          <w:color w:val="auto"/>
          <w:sz w:val="32"/>
          <w:szCs w:val="32"/>
          <w:highlight w:val="none"/>
        </w:rPr>
        <w:t>主要包括：基本工资、津贴补贴、奖金、机关事业单位基本养老保险缴费、</w:t>
      </w:r>
      <w:r>
        <w:rPr>
          <w:rFonts w:hint="eastAsia" w:ascii="仿宋_GB2312" w:hAnsi="仿宋_GB2312" w:eastAsia="仿宋_GB2312" w:cs="仿宋_GB2312"/>
          <w:color w:val="auto"/>
          <w:sz w:val="32"/>
          <w:szCs w:val="32"/>
          <w:highlight w:val="none"/>
          <w:lang w:eastAsia="zh-CN"/>
        </w:rPr>
        <w:t>职工基本医疗保险缴费、</w:t>
      </w:r>
      <w:r>
        <w:rPr>
          <w:rFonts w:hint="eastAsia" w:ascii="仿宋_GB2312" w:hAnsi="仿宋_GB2312" w:eastAsia="仿宋_GB2312" w:cs="仿宋_GB2312"/>
          <w:color w:val="auto"/>
          <w:sz w:val="32"/>
          <w:szCs w:val="32"/>
          <w:highlight w:val="none"/>
        </w:rPr>
        <w:t>其他社会保障缴费、住房公积金支出。</w:t>
      </w:r>
      <w:r>
        <w:rPr>
          <w:rFonts w:hint="eastAsia" w:ascii="仿宋_GB2312" w:hAnsi="仿宋_GB2312" w:eastAsia="仿宋_GB2312" w:cs="仿宋_GB2312"/>
          <w:sz w:val="32"/>
          <w:szCs w:val="32"/>
          <w:lang w:val="en-US" w:eastAsia="zh-CN"/>
        </w:rPr>
        <w:t>根据相关规定和标准按时间节点发放干部职工工资、</w:t>
      </w:r>
      <w:r>
        <w:rPr>
          <w:rFonts w:hint="eastAsia" w:ascii="仿宋_GB2312" w:hAnsi="仿宋_GB2312" w:eastAsia="仿宋_GB2312" w:cs="仿宋_GB2312"/>
          <w:color w:val="auto"/>
          <w:sz w:val="32"/>
          <w:szCs w:val="32"/>
          <w:highlight w:val="none"/>
        </w:rPr>
        <w:t>津贴补贴、奖金</w:t>
      </w:r>
      <w:r>
        <w:rPr>
          <w:rFonts w:hint="eastAsia" w:ascii="仿宋_GB2312" w:hAnsi="仿宋_GB2312" w:eastAsia="仿宋_GB2312" w:cs="仿宋_GB2312"/>
          <w:sz w:val="32"/>
          <w:szCs w:val="32"/>
          <w:lang w:val="en-US" w:eastAsia="zh-CN"/>
        </w:rPr>
        <w:t>，并为其足额缴纳各类保险及公积金，保障了干部职工生活水平，确保顺利实现单位工作目标。当年无结转结余，执行率达到100％。</w:t>
      </w:r>
      <w:r>
        <w:rPr>
          <w:rFonts w:hint="eastAsia" w:ascii="仿宋_GB2312" w:hAnsi="仿宋_GB2312" w:eastAsia="仿宋_GB2312" w:cs="仿宋_GB2312"/>
          <w:color w:val="auto"/>
          <w:sz w:val="32"/>
          <w:szCs w:val="32"/>
          <w:lang w:val="en-US" w:eastAsia="zh-CN"/>
        </w:rPr>
        <w:t>全年无违反规定的行为发生。</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2.运转类项目绩效分析</w:t>
      </w:r>
    </w:p>
    <w:p>
      <w:pPr>
        <w:keepNext w:val="0"/>
        <w:keepLines w:val="0"/>
        <w:pageBreakBefore w:val="0"/>
        <w:kinsoku/>
        <w:wordWrap/>
        <w:overflowPunct/>
        <w:topLinePunct w:val="0"/>
        <w:bidi w:val="0"/>
        <w:adjustRightInd w:val="0"/>
        <w:snapToGrid w:val="0"/>
        <w:spacing w:line="576"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运转类项目支出</w:t>
      </w:r>
      <w:r>
        <w:rPr>
          <w:rFonts w:hint="eastAsia" w:ascii="仿宋_GB2312" w:hAnsi="仿宋_GB2312" w:eastAsia="仿宋_GB2312" w:cs="仿宋_GB2312"/>
          <w:color w:val="auto"/>
          <w:sz w:val="32"/>
          <w:szCs w:val="32"/>
          <w:highlight w:val="none"/>
          <w:lang w:val="en-US" w:eastAsia="zh-CN"/>
        </w:rPr>
        <w:t>5.32</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sz w:val="32"/>
          <w:szCs w:val="32"/>
          <w:lang w:val="en-US" w:eastAsia="zh-CN"/>
        </w:rPr>
        <w:t>根据相关规定和标准按时间节点支付</w:t>
      </w:r>
      <w:r>
        <w:rPr>
          <w:rFonts w:hint="eastAsia" w:ascii="仿宋_GB2312" w:hAnsi="仿宋_GB2312" w:eastAsia="仿宋_GB2312" w:cs="仿宋_GB2312"/>
          <w:color w:val="auto"/>
          <w:sz w:val="32"/>
          <w:szCs w:val="32"/>
          <w:highlight w:val="none"/>
        </w:rPr>
        <w:t>办公费、水费、电费、邮电费、差旅费、公务接待费、其他交通费支出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lang w:val="en-US" w:eastAsia="zh-CN"/>
        </w:rPr>
        <w:t>保障单位正常运转。当年无结转结余，执行率达到100％。</w:t>
      </w:r>
      <w:r>
        <w:rPr>
          <w:rFonts w:hint="eastAsia" w:ascii="仿宋_GB2312" w:hAnsi="仿宋_GB2312" w:eastAsia="仿宋_GB2312" w:cs="仿宋_GB2312"/>
          <w:color w:val="auto"/>
          <w:sz w:val="32"/>
          <w:szCs w:val="32"/>
          <w:lang w:val="en-US" w:eastAsia="zh-CN"/>
        </w:rPr>
        <w:t>全年无违反规定的行为发生。</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3.特定目标类项目绩效分析</w:t>
      </w:r>
    </w:p>
    <w:p>
      <w:pPr>
        <w:pStyle w:val="13"/>
        <w:keepNext w:val="0"/>
        <w:keepLines w:val="0"/>
        <w:pageBreakBefore w:val="0"/>
        <w:kinsoku/>
        <w:wordWrap/>
        <w:overflowPunct/>
        <w:topLinePunct w:val="0"/>
        <w:autoSpaceDE/>
        <w:autoSpaceDN/>
        <w:bidi w:val="0"/>
        <w:adjustRightInd w:val="0"/>
        <w:snapToGrid w:val="0"/>
        <w:spacing w:before="0" w:beforeAutospacing="0" w:after="0" w:after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定目标类项目支出38.98万元，其中：2022年老干部特殊困难帮扶资金9.5万元，主要用于对有特殊困难的离退休干部，优先提供帮扶和照顾。对家庭收入低、长期身患重病、家庭突遭变故的离退休干部，实施帮扶和照顾，为离退休干部的晚年生活提供了保障。该项目当年无结转结余，执行率达到100％。</w:t>
      </w:r>
      <w:r>
        <w:rPr>
          <w:rFonts w:hint="eastAsia" w:ascii="仿宋_GB2312" w:hAnsi="仿宋_GB2312" w:eastAsia="仿宋_GB2312" w:cs="仿宋_GB2312"/>
          <w:color w:val="auto"/>
          <w:sz w:val="32"/>
          <w:szCs w:val="32"/>
          <w:lang w:val="en-US" w:eastAsia="zh-CN"/>
        </w:rPr>
        <w:t>全年无违反规定的行为发生。</w:t>
      </w:r>
      <w:r>
        <w:rPr>
          <w:rFonts w:hint="eastAsia" w:ascii="仿宋_GB2312" w:hAnsi="仿宋_GB2312" w:eastAsia="仿宋_GB2312" w:cs="仿宋_GB2312"/>
          <w:sz w:val="32"/>
          <w:szCs w:val="32"/>
          <w:lang w:val="en-US" w:eastAsia="zh-CN"/>
        </w:rPr>
        <w:t>2022年区委区政府工作通报会经费4万元，主要用于组织老干部集中学习党的大政方针和省、市、区委的决策部署，通报全区经济社会发展情况，组织参观考察建设成果，让老干部更好的发挥余热，为朝天区的发展建言献策和提出意见建议。该项目当年无结转结余，执行率达到100％。</w:t>
      </w:r>
      <w:r>
        <w:rPr>
          <w:rFonts w:hint="eastAsia" w:ascii="仿宋_GB2312" w:hAnsi="仿宋_GB2312" w:eastAsia="仿宋_GB2312" w:cs="仿宋_GB2312"/>
          <w:color w:val="auto"/>
          <w:sz w:val="32"/>
          <w:szCs w:val="32"/>
          <w:lang w:val="en-US" w:eastAsia="zh-CN"/>
        </w:rPr>
        <w:t>全年无违反规定的行为发生。</w:t>
      </w:r>
      <w:r>
        <w:rPr>
          <w:rFonts w:hint="eastAsia" w:ascii="仿宋_GB2312" w:hAnsi="仿宋_GB2312" w:eastAsia="仿宋_GB2312" w:cs="仿宋_GB2312"/>
          <w:sz w:val="32"/>
          <w:szCs w:val="32"/>
          <w:lang w:val="en-US" w:eastAsia="zh-CN"/>
        </w:rPr>
        <w:t>2022年老干部体检经费9.4万元，主要用于每年组织县级离退休干部开展一次健康体检，保障县级离退休干部的生活待遇。该项目当年无结转结余，执行率达到100％。</w:t>
      </w:r>
      <w:r>
        <w:rPr>
          <w:rFonts w:hint="eastAsia" w:ascii="仿宋_GB2312" w:hAnsi="仿宋_GB2312" w:eastAsia="仿宋_GB2312" w:cs="仿宋_GB2312"/>
          <w:color w:val="auto"/>
          <w:sz w:val="32"/>
          <w:szCs w:val="32"/>
          <w:lang w:val="en-US" w:eastAsia="zh-CN"/>
        </w:rPr>
        <w:t>全年无违反规定的行为发生。</w:t>
      </w:r>
      <w:r>
        <w:rPr>
          <w:rFonts w:hint="eastAsia" w:ascii="仿宋_GB2312" w:hAnsi="仿宋_GB2312" w:eastAsia="仿宋_GB2312" w:cs="仿宋_GB2312"/>
          <w:sz w:val="32"/>
          <w:szCs w:val="32"/>
          <w:lang w:val="en-US" w:eastAsia="zh-CN"/>
        </w:rPr>
        <w:t>2022年老干部慰问经费5.6万元，主要用于每年春节对县级离退休干部进行全覆盖慰问，体现了区委区政府对县级离退休干部的关心与关怀。该项目当年无结转结余，执行率达到100％。</w:t>
      </w:r>
      <w:r>
        <w:rPr>
          <w:rFonts w:hint="eastAsia" w:ascii="仿宋_GB2312" w:hAnsi="仿宋_GB2312" w:eastAsia="仿宋_GB2312" w:cs="仿宋_GB2312"/>
          <w:color w:val="auto"/>
          <w:sz w:val="32"/>
          <w:szCs w:val="32"/>
          <w:lang w:val="en-US" w:eastAsia="zh-CN"/>
        </w:rPr>
        <w:t>全年无违反规定的行为发生。</w:t>
      </w:r>
      <w:r>
        <w:rPr>
          <w:rFonts w:hint="eastAsia" w:ascii="仿宋_GB2312" w:hAnsi="仿宋_GB2312" w:eastAsia="仿宋_GB2312" w:cs="仿宋_GB2312"/>
          <w:sz w:val="32"/>
          <w:szCs w:val="32"/>
          <w:lang w:val="en-US" w:eastAsia="zh-CN"/>
        </w:rPr>
        <w:t>区委区政府工作通报会经费5万元，该项目当年无结转结余，执行率达到100％。</w:t>
      </w:r>
      <w:r>
        <w:rPr>
          <w:rFonts w:hint="eastAsia" w:ascii="仿宋_GB2312" w:hAnsi="仿宋_GB2312" w:eastAsia="仿宋_GB2312" w:cs="仿宋_GB2312"/>
          <w:color w:val="auto"/>
          <w:sz w:val="32"/>
          <w:szCs w:val="32"/>
          <w:lang w:val="en-US" w:eastAsia="zh-CN"/>
        </w:rPr>
        <w:t>全年无违反规定的行为发生。</w:t>
      </w:r>
      <w:r>
        <w:rPr>
          <w:rFonts w:hint="eastAsia" w:ascii="仿宋_GB2312" w:hAnsi="仿宋_GB2312" w:eastAsia="仿宋_GB2312" w:cs="仿宋_GB2312"/>
          <w:sz w:val="32"/>
          <w:szCs w:val="32"/>
          <w:lang w:val="en-US" w:eastAsia="zh-CN"/>
        </w:rPr>
        <w:t>关工委工作经费5万元，主要用于动员和组织广大五老关爱教育下一代健康成长。该项目当年无结转结余，执行率达到100％。</w:t>
      </w:r>
      <w:r>
        <w:rPr>
          <w:rFonts w:hint="eastAsia" w:ascii="仿宋_GB2312" w:hAnsi="仿宋_GB2312" w:eastAsia="仿宋_GB2312" w:cs="仿宋_GB2312"/>
          <w:color w:val="auto"/>
          <w:sz w:val="32"/>
          <w:szCs w:val="32"/>
          <w:lang w:val="en-US" w:eastAsia="zh-CN"/>
        </w:rPr>
        <w:t>全年无违反规定的行为发生。</w:t>
      </w:r>
      <w:r>
        <w:rPr>
          <w:rFonts w:hint="eastAsia" w:ascii="仿宋_GB2312" w:hAnsi="仿宋" w:eastAsia="仿宋_GB2312" w:cs="Times New Roman"/>
          <w:b w:val="0"/>
          <w:bCs w:val="0"/>
          <w:sz w:val="32"/>
          <w:szCs w:val="32"/>
          <w:lang w:val="en-US" w:eastAsia="zh-CN"/>
        </w:rPr>
        <w:t>金财网维护费0.48万元，主要用于保障金财网正常运行。</w:t>
      </w:r>
      <w:r>
        <w:rPr>
          <w:rFonts w:hint="eastAsia" w:ascii="仿宋_GB2312" w:hAnsi="仿宋_GB2312" w:eastAsia="仿宋_GB2312" w:cs="仿宋_GB2312"/>
          <w:sz w:val="32"/>
          <w:szCs w:val="32"/>
          <w:lang w:val="en-US" w:eastAsia="zh-CN"/>
        </w:rPr>
        <w:t>该项目当年无结转结余，执行率达到100％。</w:t>
      </w:r>
      <w:r>
        <w:rPr>
          <w:rFonts w:hint="eastAsia" w:ascii="仿宋_GB2312" w:hAnsi="仿宋_GB2312" w:eastAsia="仿宋_GB2312" w:cs="仿宋_GB2312"/>
          <w:color w:val="auto"/>
          <w:sz w:val="32"/>
          <w:szCs w:val="32"/>
          <w:lang w:val="en-US" w:eastAsia="zh-CN"/>
        </w:rPr>
        <w:t>全年无违反规定的行为发生。</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（二）部门整体履职绩效分析。</w:t>
      </w:r>
    </w:p>
    <w:p>
      <w:pPr>
        <w:keepNext w:val="0"/>
        <w:keepLines w:val="0"/>
        <w:pageBreakBefore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w:t>
      </w:r>
      <w:r>
        <w:rPr>
          <w:rFonts w:hint="eastAsia" w:ascii="仿宋_GB2312" w:hAnsi="仿宋_GB2312" w:eastAsia="仿宋_GB2312" w:cs="仿宋_GB2312"/>
          <w:color w:val="000000" w:themeColor="text1"/>
          <w:sz w:val="32"/>
          <w:szCs w:val="32"/>
          <w:lang w:eastAsia="zh-CN"/>
          <w14:textFill>
            <w14:solidFill>
              <w14:schemeClr w14:val="tx1"/>
            </w14:solidFill>
          </w14:textFill>
        </w:rPr>
        <w:t>中心</w:t>
      </w:r>
      <w:r>
        <w:rPr>
          <w:rFonts w:hint="eastAsia" w:ascii="仿宋_GB2312" w:hAnsi="仿宋_GB2312" w:eastAsia="仿宋_GB2312" w:cs="仿宋_GB2312"/>
          <w:color w:val="000000" w:themeColor="text1"/>
          <w:sz w:val="32"/>
          <w:szCs w:val="32"/>
          <w14:textFill>
            <w14:solidFill>
              <w14:schemeClr w14:val="tx1"/>
            </w14:solidFill>
          </w14:textFill>
        </w:rPr>
        <w:t>开展的</w:t>
      </w:r>
      <w:r>
        <w:rPr>
          <w:rFonts w:hint="eastAsia" w:ascii="仿宋_GB2312" w:hAnsi="仿宋_GB2312" w:eastAsia="仿宋_GB2312" w:cs="仿宋_GB2312"/>
          <w:color w:val="000000" w:themeColor="text1"/>
          <w:sz w:val="32"/>
          <w:szCs w:val="32"/>
          <w:lang w:eastAsia="zh-CN"/>
          <w14:textFill>
            <w14:solidFill>
              <w14:schemeClr w14:val="tx1"/>
            </w14:solidFill>
          </w14:textFill>
        </w:rPr>
        <w:t>部门整体</w:t>
      </w:r>
      <w:r>
        <w:rPr>
          <w:rFonts w:hint="eastAsia" w:ascii="仿宋_GB2312" w:hAnsi="仿宋_GB2312" w:eastAsia="仿宋_GB2312" w:cs="仿宋_GB2312"/>
          <w:color w:val="000000" w:themeColor="text1"/>
          <w:sz w:val="32"/>
          <w:szCs w:val="32"/>
          <w14:textFill>
            <w14:solidFill>
              <w14:schemeClr w14:val="tx1"/>
            </w14:solidFill>
          </w14:textFill>
        </w:rPr>
        <w:t>绩效</w:t>
      </w:r>
      <w:r>
        <w:rPr>
          <w:rFonts w:hint="eastAsia" w:ascii="仿宋_GB2312" w:hAnsi="仿宋_GB2312" w:eastAsia="仿宋_GB2312" w:cs="仿宋_GB2312"/>
          <w:color w:val="000000" w:themeColor="text1"/>
          <w:sz w:val="32"/>
          <w:szCs w:val="32"/>
          <w:lang w:eastAsia="zh-CN"/>
          <w14:textFill>
            <w14:solidFill>
              <w14:schemeClr w14:val="tx1"/>
            </w14:solidFill>
          </w14:textFill>
        </w:rPr>
        <w:t>监控</w:t>
      </w:r>
      <w:r>
        <w:rPr>
          <w:rFonts w:hint="eastAsia" w:ascii="仿宋_GB2312" w:hAnsi="仿宋_GB2312" w:eastAsia="仿宋_GB2312" w:cs="仿宋_GB2312"/>
          <w:color w:val="000000" w:themeColor="text1"/>
          <w:sz w:val="32"/>
          <w:szCs w:val="32"/>
          <w14:textFill>
            <w14:solidFill>
              <w14:schemeClr w14:val="tx1"/>
            </w14:solidFill>
          </w14:textFill>
        </w:rPr>
        <w:t>的项目达到了预期效果，产生了较好的社会效益，对在绩效</w:t>
      </w:r>
      <w:r>
        <w:rPr>
          <w:rFonts w:hint="eastAsia" w:ascii="仿宋_GB2312" w:hAnsi="仿宋_GB2312" w:eastAsia="仿宋_GB2312" w:cs="仿宋_GB2312"/>
          <w:color w:val="000000" w:themeColor="text1"/>
          <w:sz w:val="32"/>
          <w:szCs w:val="32"/>
          <w:lang w:eastAsia="zh-CN"/>
          <w14:textFill>
            <w14:solidFill>
              <w14:schemeClr w14:val="tx1"/>
            </w14:solidFill>
          </w14:textFill>
        </w:rPr>
        <w:t>监控</w:t>
      </w:r>
      <w:r>
        <w:rPr>
          <w:rFonts w:hint="eastAsia" w:ascii="仿宋_GB2312" w:hAnsi="仿宋_GB2312" w:eastAsia="仿宋_GB2312" w:cs="仿宋_GB2312"/>
          <w:color w:val="000000" w:themeColor="text1"/>
          <w:sz w:val="32"/>
          <w:szCs w:val="32"/>
          <w14:textFill>
            <w14:solidFill>
              <w14:schemeClr w14:val="tx1"/>
            </w14:solidFill>
          </w14:textFill>
        </w:rPr>
        <w:t>中发现的问题，单位及时提出</w:t>
      </w:r>
      <w:r>
        <w:rPr>
          <w:rFonts w:hint="eastAsia" w:ascii="仿宋_GB2312" w:hAnsi="仿宋_GB2312" w:eastAsia="仿宋_GB2312" w:cs="仿宋_GB2312"/>
          <w:color w:val="000000" w:themeColor="text1"/>
          <w:sz w:val="32"/>
          <w:szCs w:val="32"/>
          <w:lang w:eastAsia="zh-CN"/>
          <w14:textFill>
            <w14:solidFill>
              <w14:schemeClr w14:val="tx1"/>
            </w14:solidFill>
          </w14:textFill>
        </w:rPr>
        <w:t>了</w:t>
      </w:r>
      <w:r>
        <w:rPr>
          <w:rFonts w:hint="eastAsia" w:ascii="仿宋_GB2312" w:hAnsi="仿宋_GB2312" w:eastAsia="仿宋_GB2312" w:cs="仿宋_GB2312"/>
          <w:color w:val="000000" w:themeColor="text1"/>
          <w:sz w:val="32"/>
          <w:szCs w:val="32"/>
          <w14:textFill>
            <w14:solidFill>
              <w14:schemeClr w14:val="tx1"/>
            </w14:solidFill>
          </w14:textFill>
        </w:rPr>
        <w:t>整改意见并限期整改落实。逐步改变了长期以来“重分配轻监管、重使用轻效益”的现象，有效减少和防止盲目用款、无效支出及盲目支出等行为的发生，使财政资金的运行更加合理高效。</w:t>
      </w:r>
    </w:p>
    <w:p>
      <w:pPr>
        <w:pStyle w:val="14"/>
        <w:keepNext w:val="0"/>
        <w:keepLines w:val="0"/>
        <w:pageBreakBefore w:val="0"/>
        <w:widowControl w:val="0"/>
        <w:kinsoku/>
        <w:wordWrap/>
        <w:overflowPunct/>
        <w:topLinePunct w:val="0"/>
        <w:autoSpaceDE/>
        <w:autoSpaceDN/>
        <w:bidi w:val="0"/>
        <w:adjustRightInd w:val="0"/>
        <w:snapToGrid w:val="0"/>
        <w:spacing w:before="0" w:beforeAutospacing="0" w:after="0" w:line="576"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hAnsi="仿宋_GB2312" w:eastAsia="仿宋_GB2312" w:cs="仿宋_GB2312"/>
          <w:color w:val="000000" w:themeColor="text1"/>
          <w:sz w:val="32"/>
          <w:szCs w:val="32"/>
          <w:lang w:eastAsia="zh-CN"/>
          <w14:textFill>
            <w14:solidFill>
              <w14:schemeClr w14:val="tx1"/>
            </w14:solidFill>
          </w14:textFill>
        </w:rPr>
        <w:t>从</w:t>
      </w:r>
      <w:r>
        <w:rPr>
          <w:rFonts w:hint="eastAsia" w:ascii="仿宋_GB2312" w:hAnsi="仿宋_GB2312" w:eastAsia="仿宋_GB2312" w:cs="仿宋_GB2312"/>
          <w:color w:val="000000" w:themeColor="text1"/>
          <w:sz w:val="32"/>
          <w:szCs w:val="32"/>
          <w14:textFill>
            <w14:solidFill>
              <w14:schemeClr w14:val="tx1"/>
            </w14:solidFill>
          </w14:textFill>
        </w:rPr>
        <w:t>我</w:t>
      </w:r>
      <w:r>
        <w:rPr>
          <w:rFonts w:hint="eastAsia" w:ascii="仿宋_GB2312" w:hAnsi="仿宋_GB2312" w:eastAsia="仿宋_GB2312" w:cs="仿宋_GB2312"/>
          <w:color w:val="000000" w:themeColor="text1"/>
          <w:sz w:val="32"/>
          <w:szCs w:val="32"/>
          <w:lang w:eastAsia="zh-CN"/>
          <w14:textFill>
            <w14:solidFill>
              <w14:schemeClr w14:val="tx1"/>
            </w14:solidFill>
          </w14:textFill>
        </w:rPr>
        <w:t>中心</w:t>
      </w:r>
      <w:r>
        <w:rPr>
          <w:rFonts w:hint="eastAsia" w:ascii="仿宋_GB2312" w:hAnsi="仿宋_GB2312" w:eastAsia="仿宋_GB2312" w:cs="仿宋_GB2312"/>
          <w:color w:val="000000" w:themeColor="text1"/>
          <w:sz w:val="32"/>
          <w:szCs w:val="32"/>
          <w14:textFill>
            <w14:solidFill>
              <w14:schemeClr w14:val="tx1"/>
            </w14:solidFill>
          </w14:textFill>
        </w:rPr>
        <w:t>按要求</w:t>
      </w:r>
      <w:r>
        <w:rPr>
          <w:rFonts w:hint="eastAsia" w:hAnsi="仿宋_GB2312" w:eastAsia="仿宋_GB2312" w:cs="仿宋_GB2312"/>
          <w:color w:val="000000" w:themeColor="text1"/>
          <w:sz w:val="32"/>
          <w:szCs w:val="32"/>
          <w:lang w:eastAsia="zh-CN"/>
          <w14:textFill>
            <w14:solidFill>
              <w14:schemeClr w14:val="tx1"/>
            </w14:solidFill>
          </w14:textFill>
        </w:rPr>
        <w:t>开展</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hAnsi="仿宋_GB2312" w:eastAsia="仿宋_GB2312" w:cs="仿宋_GB2312"/>
          <w:color w:val="000000" w:themeColor="text1"/>
          <w:sz w:val="32"/>
          <w:szCs w:val="32"/>
          <w:lang w:eastAsia="zh-CN"/>
          <w14:textFill>
            <w14:solidFill>
              <w14:schemeClr w14:val="tx1"/>
            </w14:solidFill>
          </w14:textFill>
        </w:rPr>
        <w:t>部门整体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绩效监控</w:t>
      </w:r>
      <w:r>
        <w:rPr>
          <w:rFonts w:hint="eastAsia" w:ascii="仿宋_GB2312" w:hAnsi="仿宋_GB2312" w:eastAsia="仿宋_GB2312" w:cs="仿宋_GB2312"/>
          <w:color w:val="000000" w:themeColor="text1"/>
          <w:sz w:val="32"/>
          <w:szCs w:val="32"/>
          <w14:textFill>
            <w14:solidFill>
              <w14:schemeClr w14:val="tx1"/>
            </w14:solidFill>
          </w14:textFill>
        </w:rPr>
        <w:t>情况来看，项目产出达到了预期的数量、质量、实效和成本指标，提高了社会效益，促进了可持续发展，从</w:t>
      </w:r>
      <w:r>
        <w:rPr>
          <w:rFonts w:hint="eastAsia" w:ascii="仿宋_GB2312" w:hAnsi="仿宋_GB2312" w:eastAsia="仿宋_GB2312" w:cs="仿宋_GB2312"/>
          <w:color w:val="000000" w:themeColor="text1"/>
          <w:sz w:val="32"/>
          <w:szCs w:val="32"/>
          <w:lang w:eastAsia="zh-CN"/>
          <w14:textFill>
            <w14:solidFill>
              <w14:schemeClr w14:val="tx1"/>
            </w14:solidFill>
          </w14:textFill>
        </w:rPr>
        <w:t>监控</w:t>
      </w:r>
      <w:r>
        <w:rPr>
          <w:rFonts w:hint="eastAsia" w:ascii="仿宋_GB2312" w:hAnsi="仿宋_GB2312" w:eastAsia="仿宋_GB2312" w:cs="仿宋_GB2312"/>
          <w:color w:val="000000" w:themeColor="text1"/>
          <w:sz w:val="32"/>
          <w:szCs w:val="32"/>
          <w14:textFill>
            <w14:solidFill>
              <w14:schemeClr w14:val="tx1"/>
            </w14:solidFill>
          </w14:textFill>
        </w:rPr>
        <w:t>情况来看有关项目预算执行及时、有效，绩效目标得到较好实现，绩效管理水平不断提高，绩效指标体系建设逐渐丰富和完善，较为充分地反映了区</w:t>
      </w:r>
      <w:r>
        <w:rPr>
          <w:rFonts w:hint="eastAsia" w:ascii="仿宋_GB2312" w:hAnsi="仿宋_GB2312" w:eastAsia="仿宋_GB2312" w:cs="仿宋_GB2312"/>
          <w:color w:val="000000" w:themeColor="text1"/>
          <w:sz w:val="32"/>
          <w:szCs w:val="32"/>
          <w:lang w:eastAsia="zh-CN"/>
          <w14:textFill>
            <w14:solidFill>
              <w14:schemeClr w14:val="tx1"/>
            </w14:solidFill>
          </w14:textFill>
        </w:rPr>
        <w:t>老干部事务中心</w:t>
      </w:r>
      <w:r>
        <w:rPr>
          <w:rFonts w:hint="eastAsia" w:ascii="仿宋_GB2312" w:hAnsi="仿宋_GB2312" w:eastAsia="仿宋_GB2312" w:cs="仿宋_GB2312"/>
          <w:color w:val="000000" w:themeColor="text1"/>
          <w:sz w:val="32"/>
          <w:szCs w:val="32"/>
          <w14:textFill>
            <w14:solidFill>
              <w14:schemeClr w14:val="tx1"/>
            </w14:solidFill>
          </w14:textFill>
        </w:rPr>
        <w:t>的工作目标和任务。</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（三）结果应用情况。</w:t>
      </w:r>
    </w:p>
    <w:p>
      <w:pPr>
        <w:keepNext w:val="0"/>
        <w:keepLines w:val="0"/>
        <w:pageBreakBefore w:val="0"/>
        <w:pBdr>
          <w:bottom w:val="single" w:color="FFFFFF" w:sz="4" w:space="15"/>
        </w:pBdr>
        <w:tabs>
          <w:tab w:val="left" w:pos="1440"/>
        </w:tabs>
        <w:kinsoku/>
        <w:wordWrap/>
        <w:overflowPunct/>
        <w:topLinePunct w:val="0"/>
        <w:autoSpaceDE w:val="0"/>
        <w:autoSpaceDN w:val="0"/>
        <w:bidi w:val="0"/>
        <w:adjustRightInd w:val="0"/>
        <w:snapToGrid w:val="0"/>
        <w:spacing w:line="576" w:lineRule="exact"/>
        <w:ind w:firstLine="640" w:firstLineChars="200"/>
        <w:contextualSpacing/>
        <w:textAlignment w:val="auto"/>
        <w:rPr>
          <w:rFonts w:hint="eastAsia"/>
          <w:lang w:val="zh-CN"/>
        </w:rPr>
      </w:pPr>
      <w:r>
        <w:rPr>
          <w:rFonts w:hint="eastAsia" w:ascii="仿宋_GB2312" w:hAnsi="仿宋_GB2312" w:eastAsia="仿宋_GB2312" w:cs="仿宋_GB2312"/>
          <w:sz w:val="32"/>
          <w:szCs w:val="32"/>
        </w:rPr>
        <w:t>朝天区</w:t>
      </w:r>
      <w:r>
        <w:rPr>
          <w:rFonts w:hint="eastAsia" w:ascii="仿宋_GB2312" w:hAnsi="仿宋_GB2312" w:eastAsia="仿宋_GB2312" w:cs="仿宋_GB2312"/>
          <w:sz w:val="32"/>
          <w:szCs w:val="32"/>
          <w:lang w:eastAsia="zh-CN"/>
        </w:rPr>
        <w:t>老干部事务</w:t>
      </w:r>
      <w:r>
        <w:rPr>
          <w:rFonts w:hint="eastAsia" w:ascii="仿宋_GB2312" w:hAnsi="仿宋_GB2312" w:eastAsia="仿宋_GB2312" w:cs="仿宋_GB2312"/>
          <w:sz w:val="32"/>
          <w:szCs w:val="32"/>
        </w:rPr>
        <w:t>中心积极配合财政部门开展的绩效评价工作</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及时提供了准确、真实的相关资料</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在规定的时限内向财政局报送了部门整体支出绩效评价自评报告。自评报告内容完整，手续齐全，各项评价指标明确。评价结论合理有据、客观公正，如实地体现了单位取得绩效与存在的问题。</w:t>
      </w:r>
      <w:r>
        <w:rPr>
          <w:rFonts w:hint="eastAsia" w:ascii="仿宋_GB2312" w:hAnsi="仿宋_GB2312" w:eastAsia="仿宋_GB2312" w:cs="仿宋_GB2312"/>
          <w:sz w:val="32"/>
          <w:szCs w:val="32"/>
          <w:lang w:val="en-US" w:eastAsia="zh-CN"/>
        </w:rPr>
        <w:t>按财政要求将相关绩效信息随同决算同步公开</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针对绩效管理过程中出现的问题，及</w:t>
      </w:r>
      <w:r>
        <w:rPr>
          <w:rFonts w:hint="eastAsia" w:ascii="仿宋_GB2312" w:hAnsi="仿宋_GB2312" w:eastAsia="仿宋_GB2312" w:cs="仿宋_GB2312"/>
          <w:spacing w:val="-17"/>
          <w:sz w:val="32"/>
          <w:szCs w:val="32"/>
          <w:lang w:val="en-US" w:eastAsia="zh-CN"/>
        </w:rPr>
        <w:t>时进行整改</w:t>
      </w:r>
      <w:r>
        <w:rPr>
          <w:rFonts w:hint="default" w:ascii="仿宋_GB2312" w:hAnsi="仿宋_GB2312" w:eastAsia="仿宋_GB2312" w:cs="仿宋_GB2312"/>
          <w:spacing w:val="-17"/>
          <w:sz w:val="32"/>
          <w:szCs w:val="32"/>
          <w:lang w:eastAsia="zh-CN"/>
        </w:rPr>
        <w:t>。同时</w:t>
      </w:r>
      <w:r>
        <w:rPr>
          <w:rFonts w:hint="eastAsia" w:ascii="仿宋_GB2312" w:hAnsi="仿宋_GB2312" w:eastAsia="仿宋_GB2312" w:cs="仿宋_GB2312"/>
          <w:spacing w:val="-17"/>
          <w:sz w:val="32"/>
          <w:szCs w:val="32"/>
          <w:lang w:val="en-US" w:eastAsia="zh-CN"/>
        </w:rPr>
        <w:t>在规定时间内向财政部门反馈应用绩效结果报告。</w:t>
      </w:r>
    </w:p>
    <w:p>
      <w:pPr>
        <w:keepNext w:val="0"/>
        <w:keepLines w:val="0"/>
        <w:pageBreakBefore w:val="0"/>
        <w:widowControl/>
        <w:numPr>
          <w:ilvl w:val="0"/>
          <w:numId w:val="5"/>
        </w:numPr>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自评质量。</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部门整体支出自评得分97分。</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（一）评价结论。</w:t>
      </w:r>
    </w:p>
    <w:p>
      <w:pPr>
        <w:keepNext w:val="0"/>
        <w:keepLines w:val="0"/>
        <w:pageBreakBefore w:val="0"/>
        <w:pBdr>
          <w:bottom w:val="single" w:color="FFFFFF" w:sz="4" w:space="15"/>
        </w:pBdr>
        <w:tabs>
          <w:tab w:val="left" w:pos="1440"/>
        </w:tabs>
        <w:kinsoku/>
        <w:wordWrap/>
        <w:overflowPunct/>
        <w:topLinePunct w:val="0"/>
        <w:autoSpaceDE w:val="0"/>
        <w:autoSpaceDN w:val="0"/>
        <w:bidi w:val="0"/>
        <w:adjustRightInd w:val="0"/>
        <w:snapToGrid w:val="0"/>
        <w:spacing w:line="576" w:lineRule="exact"/>
        <w:ind w:firstLine="640" w:firstLineChars="200"/>
        <w:contextualSpacing/>
        <w:textAlignment w:val="auto"/>
        <w:rPr>
          <w:rFonts w:hint="eastAsia"/>
          <w:lang w:val="zh-CN"/>
        </w:rPr>
      </w:pPr>
      <w:r>
        <w:rPr>
          <w:rFonts w:hint="eastAsia" w:ascii="仿宋_GB2312" w:hAnsi="仿宋_GB2312" w:eastAsia="仿宋_GB2312" w:cs="仿宋_GB2312"/>
          <w:sz w:val="32"/>
          <w:szCs w:val="32"/>
          <w:lang w:val="en-US" w:eastAsia="zh-CN"/>
        </w:rPr>
        <w:t>从总体上看，部门整体绩效目标合理，决策依据充分，圆满完成了全年工作任务，各项项目实施均达到了预期的社会效益，为制定相关政策提供了统计数据支撑。</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（二）存在问题。</w:t>
      </w:r>
    </w:p>
    <w:p>
      <w:pPr>
        <w:keepNext w:val="0"/>
        <w:keepLines w:val="0"/>
        <w:pageBreakBefore w:val="0"/>
        <w:pBdr>
          <w:bottom w:val="single" w:color="FFFFFF" w:sz="4" w:space="15"/>
        </w:pBdr>
        <w:tabs>
          <w:tab w:val="left" w:pos="1440"/>
        </w:tabs>
        <w:kinsoku/>
        <w:wordWrap/>
        <w:overflowPunct/>
        <w:topLinePunct w:val="0"/>
        <w:autoSpaceDE w:val="0"/>
        <w:autoSpaceDN w:val="0"/>
        <w:bidi w:val="0"/>
        <w:adjustRightInd w:val="0"/>
        <w:snapToGrid w:val="0"/>
        <w:spacing w:line="576" w:lineRule="exact"/>
        <w:ind w:firstLine="640" w:firstLineChars="200"/>
        <w:contextualSpacing/>
        <w:textAlignment w:val="auto"/>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1.绩效目标管理工作重视程度还不够，部分项目绩效指标值未进行具体量化，有的指标表述不清楚</w:t>
      </w:r>
      <w:r>
        <w:rPr>
          <w:rFonts w:hint="default" w:ascii="仿宋_GB2312" w:hAnsi="仿宋_GB2312" w:eastAsia="仿宋_GB2312" w:cs="仿宋_GB2312"/>
          <w:b w:val="0"/>
          <w:bCs w:val="0"/>
          <w:kern w:val="2"/>
          <w:sz w:val="32"/>
          <w:szCs w:val="32"/>
          <w:highlight w:val="none"/>
          <w:lang w:val="en-US" w:eastAsia="zh-CN" w:bidi="ar-SA"/>
        </w:rPr>
        <w:t>。</w:t>
      </w:r>
    </w:p>
    <w:p>
      <w:pPr>
        <w:keepNext w:val="0"/>
        <w:keepLines w:val="0"/>
        <w:pageBreakBefore w:val="0"/>
        <w:pBdr>
          <w:bottom w:val="single" w:color="FFFFFF" w:sz="4" w:space="15"/>
        </w:pBdr>
        <w:tabs>
          <w:tab w:val="left" w:pos="1440"/>
        </w:tabs>
        <w:kinsoku/>
        <w:wordWrap/>
        <w:overflowPunct/>
        <w:topLinePunct w:val="0"/>
        <w:autoSpaceDE w:val="0"/>
        <w:autoSpaceDN w:val="0"/>
        <w:bidi w:val="0"/>
        <w:adjustRightInd w:val="0"/>
        <w:snapToGrid w:val="0"/>
        <w:spacing w:line="576" w:lineRule="exact"/>
        <w:ind w:firstLine="640" w:firstLineChars="200"/>
        <w:contextualSpacing/>
        <w:textAlignment w:val="auto"/>
        <w:rPr>
          <w:rFonts w:hint="eastAsia"/>
          <w:lang w:val="zh-CN"/>
        </w:rPr>
      </w:pPr>
      <w:r>
        <w:rPr>
          <w:rFonts w:hint="default" w:ascii="仿宋_GB2312" w:hAnsi="仿宋_GB2312" w:eastAsia="仿宋_GB2312" w:cs="仿宋_GB2312"/>
          <w:b w:val="0"/>
          <w:bCs w:val="0"/>
          <w:kern w:val="2"/>
          <w:sz w:val="32"/>
          <w:szCs w:val="32"/>
          <w:highlight w:val="none"/>
          <w:lang w:eastAsia="zh-CN" w:bidi="ar-SA"/>
        </w:rPr>
        <w:t>2.</w:t>
      </w:r>
      <w:r>
        <w:rPr>
          <w:rFonts w:hint="eastAsia" w:ascii="仿宋_GB2312" w:hAnsi="仿宋_GB2312" w:eastAsia="仿宋_GB2312" w:cs="仿宋_GB2312"/>
          <w:b w:val="0"/>
          <w:bCs w:val="0"/>
          <w:kern w:val="2"/>
          <w:sz w:val="32"/>
          <w:szCs w:val="32"/>
          <w:highlight w:val="none"/>
          <w:lang w:val="en-US" w:eastAsia="zh-CN" w:bidi="ar-SA"/>
        </w:rPr>
        <w:t>强化预算执行，提高预算完成率。严格按项目和进度执行预算，合理安排资金支出，增强预算执行的规范性和严肃性；完善项目责任制，定期做好预算执行分析，及时了解预算执行差异，合理调整、纠正预算执行偏差，加快预算的执行进度，切实提高预算完成率及资金使用效益。</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_GB2312" w:hAnsi="楷体_GB2312" w:eastAsia="楷体_GB2312" w:cs="楷体_GB2312"/>
          <w:b w:val="0"/>
          <w:bCs w:val="0"/>
          <w:color w:val="auto"/>
          <w:kern w:val="0"/>
          <w:sz w:val="32"/>
          <w:szCs w:val="32"/>
          <w:highlight w:val="none"/>
          <w:shd w:val="clear" w:color="auto" w:fill="FFFFFF"/>
          <w:lang w:val="zh-CN"/>
        </w:rPr>
      </w:pPr>
      <w:r>
        <w:rPr>
          <w:rFonts w:hint="eastAsia" w:ascii="楷体_GB2312" w:hAnsi="楷体_GB2312" w:eastAsia="楷体_GB2312" w:cs="楷体_GB2312"/>
          <w:b w:val="0"/>
          <w:bCs w:val="0"/>
          <w:color w:val="auto"/>
          <w:kern w:val="0"/>
          <w:sz w:val="32"/>
          <w:szCs w:val="32"/>
          <w:highlight w:val="none"/>
          <w:shd w:val="clear" w:color="auto" w:fill="FFFFFF"/>
          <w:lang w:val="zh-CN"/>
        </w:rPr>
        <w:t>（三）改进建议。</w:t>
      </w:r>
    </w:p>
    <w:p>
      <w:pPr>
        <w:keepNext w:val="0"/>
        <w:keepLines w:val="0"/>
        <w:pageBreakBefore w:val="0"/>
        <w:pBdr>
          <w:bottom w:val="single" w:color="FFFFFF" w:sz="4" w:space="15"/>
        </w:pBdr>
        <w:tabs>
          <w:tab w:val="left" w:pos="1440"/>
        </w:tabs>
        <w:kinsoku/>
        <w:wordWrap/>
        <w:overflowPunct/>
        <w:topLinePunct w:val="0"/>
        <w:autoSpaceDE w:val="0"/>
        <w:autoSpaceDN w:val="0"/>
        <w:bidi w:val="0"/>
        <w:adjustRightInd w:val="0"/>
        <w:snapToGrid w:val="0"/>
        <w:spacing w:line="576" w:lineRule="exact"/>
        <w:ind w:firstLine="640" w:firstLineChars="200"/>
        <w:contextualSpacing/>
        <w:textAlignment w:val="auto"/>
        <w:rPr>
          <w:rFonts w:hint="eastAsia" w:ascii="仿宋_GB2312" w:hAnsi="仿宋_GB2312" w:eastAsia="仿宋_GB2312" w:cs="仿宋_GB2312"/>
          <w:b w:val="0"/>
          <w:bCs w:val="0"/>
          <w:kern w:val="2"/>
          <w:sz w:val="32"/>
          <w:szCs w:val="32"/>
          <w:highlight w:val="none"/>
          <w:lang w:val="en-US" w:eastAsia="zh-CN" w:bidi="ar-SA"/>
        </w:rPr>
      </w:pPr>
      <w:r>
        <w:rPr>
          <w:rFonts w:hint="default" w:ascii="仿宋_GB2312" w:hAnsi="仿宋_GB2312" w:eastAsia="仿宋_GB2312" w:cs="仿宋_GB2312"/>
          <w:b w:val="0"/>
          <w:bCs w:val="0"/>
          <w:kern w:val="2"/>
          <w:sz w:val="32"/>
          <w:szCs w:val="32"/>
          <w:highlight w:val="none"/>
          <w:lang w:eastAsia="zh-CN" w:bidi="ar-SA"/>
        </w:rPr>
        <w:t>1.</w:t>
      </w:r>
      <w:r>
        <w:rPr>
          <w:rFonts w:hint="eastAsia" w:ascii="仿宋_GB2312" w:hAnsi="仿宋_GB2312" w:eastAsia="仿宋_GB2312" w:cs="仿宋_GB2312"/>
          <w:b w:val="0"/>
          <w:bCs w:val="0"/>
          <w:kern w:val="2"/>
          <w:sz w:val="32"/>
          <w:szCs w:val="32"/>
          <w:highlight w:val="none"/>
          <w:lang w:val="en-US" w:eastAsia="zh-CN" w:bidi="ar-SA"/>
        </w:rPr>
        <w:t>强化预算管理，结合单位职能职责及重点工作，统筹谋划，准确、合理编制年初预算。</w:t>
      </w:r>
    </w:p>
    <w:p>
      <w:pPr>
        <w:keepNext w:val="0"/>
        <w:keepLines w:val="0"/>
        <w:pageBreakBefore w:val="0"/>
        <w:pBdr>
          <w:bottom w:val="single" w:color="FFFFFF" w:sz="4" w:space="15"/>
        </w:pBdr>
        <w:tabs>
          <w:tab w:val="left" w:pos="1440"/>
        </w:tabs>
        <w:kinsoku/>
        <w:wordWrap/>
        <w:overflowPunct/>
        <w:topLinePunct w:val="0"/>
        <w:autoSpaceDE w:val="0"/>
        <w:autoSpaceDN w:val="0"/>
        <w:bidi w:val="0"/>
        <w:adjustRightInd w:val="0"/>
        <w:snapToGrid w:val="0"/>
        <w:spacing w:line="576" w:lineRule="exact"/>
        <w:ind w:firstLine="640" w:firstLineChars="200"/>
        <w:contextualSpacing/>
        <w:textAlignment w:val="auto"/>
        <w:rPr>
          <w:rFonts w:hint="default" w:ascii="仿宋_GB2312" w:hAnsi="仿宋_GB2312" w:eastAsia="仿宋_GB2312" w:cs="仿宋_GB2312"/>
          <w:b w:val="0"/>
          <w:bCs w:val="0"/>
          <w:kern w:val="2"/>
          <w:sz w:val="32"/>
          <w:szCs w:val="32"/>
          <w:highlight w:val="none"/>
          <w:lang w:eastAsia="zh-CN" w:bidi="ar-SA"/>
        </w:rPr>
      </w:pPr>
      <w:r>
        <w:rPr>
          <w:rFonts w:hint="default" w:ascii="仿宋_GB2312" w:hAnsi="仿宋_GB2312" w:eastAsia="仿宋_GB2312" w:cs="仿宋_GB2312"/>
          <w:b w:val="0"/>
          <w:bCs w:val="0"/>
          <w:kern w:val="2"/>
          <w:sz w:val="32"/>
          <w:szCs w:val="32"/>
          <w:highlight w:val="none"/>
          <w:lang w:eastAsia="zh-CN" w:bidi="ar-SA"/>
        </w:rPr>
        <w:t>2.</w:t>
      </w:r>
      <w:r>
        <w:rPr>
          <w:rFonts w:hint="eastAsia" w:ascii="仿宋_GB2312" w:hAnsi="仿宋_GB2312" w:eastAsia="仿宋_GB2312" w:cs="仿宋_GB2312"/>
          <w:b w:val="0"/>
          <w:bCs w:val="0"/>
          <w:kern w:val="2"/>
          <w:sz w:val="32"/>
          <w:szCs w:val="32"/>
          <w:highlight w:val="none"/>
          <w:lang w:val="en-US" w:eastAsia="zh-CN" w:bidi="ar-SA"/>
        </w:rPr>
        <w:t>高度重视绩效目标编制，认真按照绩效目标管理要求，规范完整、细化量化、科学合理编制项目绩效目标，提高编制质量</w:t>
      </w:r>
      <w:r>
        <w:rPr>
          <w:rFonts w:hint="default" w:ascii="仿宋_GB2312" w:hAnsi="仿宋_GB2312" w:eastAsia="仿宋_GB2312" w:cs="仿宋_GB2312"/>
          <w:b w:val="0"/>
          <w:bCs w:val="0"/>
          <w:kern w:val="2"/>
          <w:sz w:val="32"/>
          <w:szCs w:val="32"/>
          <w:highlight w:val="none"/>
          <w:lang w:eastAsia="zh-CN" w:bidi="ar-SA"/>
        </w:rPr>
        <w:t>。</w:t>
      </w:r>
    </w:p>
    <w:p>
      <w:pPr>
        <w:keepNext w:val="0"/>
        <w:keepLines w:val="0"/>
        <w:pageBreakBefore w:val="0"/>
        <w:pBdr>
          <w:bottom w:val="single" w:color="FFFFFF" w:sz="4" w:space="15"/>
        </w:pBdr>
        <w:tabs>
          <w:tab w:val="left" w:pos="1440"/>
        </w:tabs>
        <w:kinsoku/>
        <w:wordWrap/>
        <w:overflowPunct/>
        <w:topLinePunct w:val="0"/>
        <w:autoSpaceDE w:val="0"/>
        <w:autoSpaceDN w:val="0"/>
        <w:bidi w:val="0"/>
        <w:adjustRightInd w:val="0"/>
        <w:snapToGrid w:val="0"/>
        <w:spacing w:line="576" w:lineRule="exact"/>
        <w:ind w:firstLine="640" w:firstLineChars="200"/>
        <w:contextualSpacing/>
        <w:textAlignment w:val="auto"/>
        <w:rPr>
          <w:rFonts w:hint="default" w:ascii="仿宋_GB2312" w:hAnsi="仿宋_GB2312" w:eastAsia="仿宋_GB2312" w:cs="仿宋_GB2312"/>
          <w:b w:val="0"/>
          <w:bCs w:val="0"/>
          <w:kern w:val="2"/>
          <w:sz w:val="32"/>
          <w:szCs w:val="32"/>
          <w:highlight w:val="none"/>
          <w:lang w:eastAsia="zh-CN" w:bidi="ar-SA"/>
        </w:rPr>
      </w:pPr>
      <w:r>
        <w:rPr>
          <w:rFonts w:hint="default" w:ascii="仿宋_GB2312" w:hAnsi="仿宋_GB2312" w:eastAsia="仿宋_GB2312" w:cs="仿宋_GB2312"/>
          <w:b w:val="0"/>
          <w:bCs w:val="0"/>
          <w:kern w:val="2"/>
          <w:sz w:val="32"/>
          <w:szCs w:val="32"/>
          <w:highlight w:val="none"/>
          <w:lang w:eastAsia="zh-CN" w:bidi="ar-SA"/>
        </w:rPr>
        <w:t>3.</w:t>
      </w:r>
      <w:r>
        <w:rPr>
          <w:rFonts w:hint="eastAsia" w:ascii="仿宋_GB2312" w:hAnsi="仿宋_GB2312" w:eastAsia="仿宋_GB2312" w:cs="仿宋_GB2312"/>
          <w:b w:val="0"/>
          <w:bCs w:val="0"/>
          <w:kern w:val="2"/>
          <w:sz w:val="32"/>
          <w:szCs w:val="32"/>
          <w:highlight w:val="none"/>
          <w:lang w:val="en-US" w:eastAsia="zh-CN" w:bidi="ar-SA"/>
        </w:rPr>
        <w:t>加强培训学习，提高绩效目标管理水平，加强财务人员培训，熟练掌握预算编制和预算执行等各项政策，切实提高预算管理水平</w:t>
      </w:r>
      <w:r>
        <w:rPr>
          <w:rFonts w:hint="default" w:ascii="仿宋_GB2312" w:hAnsi="仿宋_GB2312" w:eastAsia="仿宋_GB2312" w:cs="仿宋_GB2312"/>
          <w:b w:val="0"/>
          <w:bCs w:val="0"/>
          <w:kern w:val="2"/>
          <w:sz w:val="32"/>
          <w:szCs w:val="32"/>
          <w:highlight w:val="none"/>
          <w:lang w:eastAsia="zh-CN" w:bidi="ar-SA"/>
        </w:rPr>
        <w:t>。</w:t>
      </w:r>
    </w:p>
    <w:p>
      <w:pPr>
        <w:keepNext w:val="0"/>
        <w:keepLines w:val="0"/>
        <w:pageBreakBefore w:val="0"/>
        <w:pBdr>
          <w:bottom w:val="single" w:color="FFFFFF" w:sz="4" w:space="15"/>
        </w:pBdr>
        <w:tabs>
          <w:tab w:val="left" w:pos="1440"/>
        </w:tabs>
        <w:kinsoku/>
        <w:wordWrap/>
        <w:overflowPunct/>
        <w:topLinePunct w:val="0"/>
        <w:autoSpaceDE w:val="0"/>
        <w:autoSpaceDN w:val="0"/>
        <w:bidi w:val="0"/>
        <w:adjustRightInd w:val="0"/>
        <w:snapToGrid w:val="0"/>
        <w:spacing w:line="576" w:lineRule="exact"/>
        <w:ind w:firstLine="640" w:firstLineChars="200"/>
        <w:contextualSpacing/>
        <w:textAlignment w:val="auto"/>
        <w:rPr>
          <w:rFonts w:hint="eastAsia"/>
          <w:lang w:val="zh-CN"/>
        </w:rPr>
      </w:pPr>
      <w:r>
        <w:rPr>
          <w:rFonts w:hint="default" w:ascii="仿宋_GB2312" w:hAnsi="仿宋_GB2312" w:eastAsia="仿宋_GB2312" w:cs="仿宋_GB2312"/>
          <w:b w:val="0"/>
          <w:bCs w:val="0"/>
          <w:kern w:val="2"/>
          <w:sz w:val="32"/>
          <w:szCs w:val="32"/>
          <w:highlight w:val="none"/>
          <w:lang w:eastAsia="zh-CN" w:bidi="ar-SA"/>
        </w:rPr>
        <w:t>4.</w:t>
      </w:r>
      <w:r>
        <w:rPr>
          <w:rFonts w:hint="eastAsia" w:ascii="仿宋_GB2312" w:hAnsi="仿宋_GB2312" w:eastAsia="仿宋_GB2312" w:cs="仿宋_GB2312"/>
          <w:b w:val="0"/>
          <w:bCs w:val="0"/>
          <w:kern w:val="2"/>
          <w:sz w:val="32"/>
          <w:szCs w:val="32"/>
          <w:highlight w:val="none"/>
          <w:lang w:val="en-US" w:eastAsia="zh-CN" w:bidi="ar-SA"/>
        </w:rPr>
        <w:t>督促项目实施进度，及时拨付资金，提高资金使用效率，确保财政资金及时发挥效益。</w:t>
      </w:r>
    </w:p>
    <w:p>
      <w:pPr>
        <w:pStyle w:val="1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附表：</w:t>
      </w:r>
      <w:r>
        <w:rPr>
          <w:rFonts w:hint="eastAsia" w:ascii="仿宋_GB2312" w:hAnsi="仿宋_GB2312" w:eastAsia="仿宋_GB2312" w:cs="仿宋_GB2312"/>
          <w:color w:val="auto"/>
          <w:sz w:val="32"/>
          <w:szCs w:val="32"/>
          <w:highlight w:val="none"/>
          <w:lang w:val="en-US" w:eastAsia="zh-CN"/>
        </w:rPr>
        <w:t>部门预算项目支出绩效自评表（2022年度）</w:t>
      </w:r>
    </w:p>
    <w:p>
      <w:pPr>
        <w:pStyle w:val="5"/>
        <w:rPr>
          <w:rFonts w:hint="eastAsia" w:hAnsi="宋体" w:cs="宋体"/>
          <w:color w:val="auto"/>
          <w:kern w:val="0"/>
          <w:sz w:val="32"/>
          <w:szCs w:val="32"/>
          <w:highlight w:val="none"/>
          <w:shd w:val="clear" w:color="auto" w:fill="FFFFFF"/>
          <w:lang w:val="zh-CN"/>
        </w:rPr>
      </w:pPr>
    </w:p>
    <w:p>
      <w:pPr>
        <w:rPr>
          <w:rFonts w:hint="eastAsia" w:hAnsi="宋体" w:cs="宋体"/>
          <w:color w:val="auto"/>
          <w:kern w:val="0"/>
          <w:sz w:val="32"/>
          <w:szCs w:val="32"/>
          <w:highlight w:val="none"/>
          <w:shd w:val="clear" w:color="auto" w:fill="FFFFFF"/>
          <w:lang w:val="zh-CN"/>
        </w:rPr>
      </w:pPr>
    </w:p>
    <w:p>
      <w:pPr>
        <w:pStyle w:val="5"/>
        <w:rPr>
          <w:rFonts w:hint="eastAsia" w:hAnsi="宋体" w:cs="宋体"/>
          <w:color w:val="auto"/>
          <w:kern w:val="0"/>
          <w:sz w:val="32"/>
          <w:szCs w:val="32"/>
          <w:highlight w:val="none"/>
          <w:shd w:val="clear" w:color="auto" w:fill="FFFFFF"/>
          <w:lang w:val="zh-CN"/>
        </w:rPr>
      </w:pPr>
    </w:p>
    <w:p>
      <w:pPr>
        <w:rPr>
          <w:rFonts w:hint="eastAsia" w:hAnsi="宋体" w:cs="宋体"/>
          <w:color w:val="auto"/>
          <w:kern w:val="0"/>
          <w:sz w:val="32"/>
          <w:szCs w:val="32"/>
          <w:highlight w:val="none"/>
          <w:shd w:val="clear" w:color="auto" w:fill="FFFFFF"/>
          <w:lang w:val="zh-CN"/>
        </w:rPr>
      </w:pPr>
    </w:p>
    <w:p>
      <w:pPr>
        <w:pStyle w:val="5"/>
        <w:rPr>
          <w:rFonts w:hint="eastAsia" w:hAnsi="宋体" w:cs="宋体"/>
          <w:color w:val="auto"/>
          <w:kern w:val="0"/>
          <w:sz w:val="32"/>
          <w:szCs w:val="32"/>
          <w:highlight w:val="none"/>
          <w:shd w:val="clear" w:color="auto" w:fill="FFFFFF"/>
          <w:lang w:val="zh-CN"/>
        </w:rPr>
      </w:pPr>
    </w:p>
    <w:p>
      <w:pPr>
        <w:rPr>
          <w:rFonts w:hint="eastAsia" w:hAnsi="宋体" w:cs="宋体"/>
          <w:color w:val="auto"/>
          <w:kern w:val="0"/>
          <w:sz w:val="32"/>
          <w:szCs w:val="32"/>
          <w:highlight w:val="none"/>
          <w:shd w:val="clear" w:color="auto" w:fill="FFFFFF"/>
          <w:lang w:val="zh-CN"/>
        </w:rPr>
      </w:pPr>
    </w:p>
    <w:p>
      <w:pPr>
        <w:pStyle w:val="5"/>
        <w:rPr>
          <w:rFonts w:hint="eastAsia" w:hAnsi="宋体" w:cs="宋体"/>
          <w:color w:val="auto"/>
          <w:kern w:val="0"/>
          <w:sz w:val="32"/>
          <w:szCs w:val="32"/>
          <w:highlight w:val="none"/>
          <w:shd w:val="clear" w:color="auto" w:fill="FFFFFF"/>
          <w:lang w:val="zh-CN"/>
        </w:rPr>
      </w:pPr>
    </w:p>
    <w:p>
      <w:pPr>
        <w:rPr>
          <w:rFonts w:hint="eastAsia" w:hAnsi="宋体" w:cs="宋体"/>
          <w:color w:val="auto"/>
          <w:kern w:val="0"/>
          <w:sz w:val="32"/>
          <w:szCs w:val="32"/>
          <w:highlight w:val="none"/>
          <w:shd w:val="clear" w:color="auto" w:fill="FFFFFF"/>
          <w:lang w:val="zh-CN"/>
        </w:rPr>
      </w:pPr>
    </w:p>
    <w:p>
      <w:pPr>
        <w:pStyle w:val="5"/>
        <w:rPr>
          <w:rFonts w:hint="eastAsia" w:hAnsi="宋体" w:cs="宋体"/>
          <w:color w:val="auto"/>
          <w:kern w:val="0"/>
          <w:sz w:val="32"/>
          <w:szCs w:val="32"/>
          <w:highlight w:val="none"/>
          <w:shd w:val="clear" w:color="auto" w:fill="FFFFFF"/>
          <w:lang w:val="zh-CN"/>
        </w:rPr>
      </w:pPr>
    </w:p>
    <w:p>
      <w:pPr>
        <w:rPr>
          <w:rFonts w:hint="eastAsia" w:hAnsi="宋体" w:cs="宋体"/>
          <w:color w:val="auto"/>
          <w:kern w:val="0"/>
          <w:sz w:val="32"/>
          <w:szCs w:val="32"/>
          <w:highlight w:val="none"/>
          <w:shd w:val="clear" w:color="auto" w:fill="FFFFFF"/>
          <w:lang w:val="zh-CN"/>
        </w:rPr>
      </w:pPr>
    </w:p>
    <w:p>
      <w:pPr>
        <w:pStyle w:val="5"/>
        <w:rPr>
          <w:rFonts w:hint="eastAsia"/>
          <w:lang w:val="zh-CN"/>
        </w:rPr>
      </w:pPr>
    </w:p>
    <w:tbl>
      <w:tblPr>
        <w:tblStyle w:val="15"/>
        <w:tblW w:w="11134" w:type="dxa"/>
        <w:tblInd w:w="-10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2"/>
        <w:gridCol w:w="243"/>
        <w:gridCol w:w="684"/>
        <w:gridCol w:w="83"/>
        <w:gridCol w:w="995"/>
        <w:gridCol w:w="287"/>
        <w:gridCol w:w="1320"/>
        <w:gridCol w:w="1035"/>
        <w:gridCol w:w="58"/>
        <w:gridCol w:w="436"/>
        <w:gridCol w:w="9"/>
        <w:gridCol w:w="18"/>
        <w:gridCol w:w="500"/>
        <w:gridCol w:w="27"/>
        <w:gridCol w:w="58"/>
        <w:gridCol w:w="515"/>
        <w:gridCol w:w="387"/>
        <w:gridCol w:w="388"/>
        <w:gridCol w:w="253"/>
        <w:gridCol w:w="323"/>
        <w:gridCol w:w="190"/>
        <w:gridCol w:w="130"/>
        <w:gridCol w:w="136"/>
        <w:gridCol w:w="211"/>
        <w:gridCol w:w="1664"/>
        <w:gridCol w:w="75"/>
        <w:gridCol w:w="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666" w:hRule="atLeast"/>
        </w:trPr>
        <w:tc>
          <w:tcPr>
            <w:tcW w:w="1082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18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94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512" w:hRule="atLeast"/>
        </w:trPr>
        <w:tc>
          <w:tcPr>
            <w:tcW w:w="18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广元市朝天区老干部事务中心部门</w:t>
            </w:r>
          </w:p>
        </w:tc>
        <w:tc>
          <w:tcPr>
            <w:tcW w:w="987"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广元市朝天区老干部事务中心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8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708"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8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831"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94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该项目为人员类项目，主要保障部门</w:t>
            </w:r>
            <w:r>
              <w:rPr>
                <w:rFonts w:hint="eastAsia" w:ascii="宋体" w:hAnsi="宋体" w:cs="宋体"/>
                <w:color w:val="000000"/>
                <w:sz w:val="18"/>
                <w:szCs w:val="18"/>
                <w:lang w:val="en-US" w:eastAsia="zh-CN" w:bidi="ar"/>
              </w:rPr>
              <w:t>3</w:t>
            </w:r>
            <w:r>
              <w:rPr>
                <w:rFonts w:hint="default" w:ascii="宋体" w:hAnsi="宋体" w:eastAsia="宋体" w:cs="宋体"/>
                <w:color w:val="000000"/>
                <w:sz w:val="18"/>
                <w:szCs w:val="18"/>
                <w:lang w:val="en-US" w:eastAsia="zh-CN" w:bidi="ar"/>
              </w:rPr>
              <w:t>名公务员目标绩效奖。2022年，该预算项目资金按月支付，及时足额发放，预算执行率100%，年末无资金结余情况。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61"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87"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8.</w:t>
            </w:r>
            <w:r>
              <w:rPr>
                <w:rFonts w:hint="eastAsia" w:ascii="宋体" w:hAnsi="宋体" w:cs="宋体"/>
                <w:i w:val="0"/>
                <w:iCs w:val="0"/>
                <w:color w:val="000000"/>
                <w:kern w:val="0"/>
                <w:sz w:val="18"/>
                <w:szCs w:val="18"/>
                <w:u w:val="none"/>
                <w:lang w:val="en-US" w:eastAsia="zh-CN" w:bidi="ar"/>
              </w:rPr>
              <w:t>54</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8.54</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0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32"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7.20</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8.</w:t>
            </w:r>
            <w:r>
              <w:rPr>
                <w:rFonts w:hint="eastAsia" w:ascii="宋体" w:hAnsi="宋体" w:cs="宋体"/>
                <w:i w:val="0"/>
                <w:iCs w:val="0"/>
                <w:color w:val="000000"/>
                <w:kern w:val="0"/>
                <w:sz w:val="18"/>
                <w:szCs w:val="18"/>
                <w:u w:val="none"/>
                <w:lang w:val="en-US" w:eastAsia="zh-CN" w:bidi="ar"/>
              </w:rPr>
              <w:t>54</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8.54</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47"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02"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68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52"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3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3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752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603"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w:t>
            </w:r>
            <w:r>
              <w:rPr>
                <w:rFonts w:hint="eastAsia"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t>结论</w:t>
            </w:r>
          </w:p>
        </w:tc>
        <w:tc>
          <w:tcPr>
            <w:tcW w:w="995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546"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w:t>
            </w:r>
            <w:r>
              <w:rPr>
                <w:rFonts w:hint="eastAsia"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t>问题</w:t>
            </w:r>
          </w:p>
        </w:tc>
        <w:tc>
          <w:tcPr>
            <w:tcW w:w="995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541"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w:t>
            </w:r>
            <w:r>
              <w:rPr>
                <w:rFonts w:hint="eastAsia" w:ascii="宋体" w:hAnsi="宋体" w:eastAsia="宋体" w:cs="宋体"/>
                <w:i w:val="0"/>
                <w:iCs w:val="0"/>
                <w:color w:val="000000"/>
                <w:kern w:val="0"/>
                <w:sz w:val="18"/>
                <w:szCs w:val="18"/>
                <w:u w:val="none"/>
                <w:lang w:val="en-US" w:eastAsia="zh-CN" w:bidi="ar"/>
              </w:rPr>
              <w:t xml:space="preserve">  </w:t>
            </w:r>
            <w:r>
              <w:rPr>
                <w:rFonts w:ascii="宋体" w:hAnsi="宋体" w:eastAsia="宋体" w:cs="宋体"/>
                <w:i w:val="0"/>
                <w:iCs w:val="0"/>
                <w:color w:val="000000"/>
                <w:kern w:val="0"/>
                <w:sz w:val="18"/>
                <w:szCs w:val="18"/>
                <w:u w:val="none"/>
                <w:lang w:val="en-US" w:eastAsia="zh-CN" w:bidi="ar"/>
              </w:rPr>
              <w:t>措施</w:t>
            </w:r>
          </w:p>
        </w:tc>
        <w:tc>
          <w:tcPr>
            <w:tcW w:w="995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11" w:hRule="atLeast"/>
        </w:trPr>
        <w:tc>
          <w:tcPr>
            <w:tcW w:w="601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项目负责人：董雄</w:t>
            </w:r>
          </w:p>
        </w:tc>
        <w:tc>
          <w:tcPr>
            <w:tcW w:w="480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财务负责人：何容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904" w:hRule="atLeast"/>
        </w:trPr>
        <w:tc>
          <w:tcPr>
            <w:tcW w:w="1082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18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94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512" w:hRule="atLeast"/>
        </w:trPr>
        <w:tc>
          <w:tcPr>
            <w:tcW w:w="18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广元市朝天区老干部事务中心部门</w:t>
            </w:r>
          </w:p>
        </w:tc>
        <w:tc>
          <w:tcPr>
            <w:tcW w:w="987"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广元市朝天区老干部事务中心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8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708"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8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color w:val="00000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693"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94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该项目为人员类项目，主要保障部门</w:t>
            </w:r>
            <w:r>
              <w:rPr>
                <w:rFonts w:hint="eastAsia" w:ascii="宋体" w:hAnsi="宋体" w:cs="宋体"/>
                <w:color w:val="000000"/>
                <w:sz w:val="18"/>
                <w:szCs w:val="18"/>
                <w:lang w:val="en-US" w:eastAsia="zh-CN" w:bidi="ar"/>
              </w:rPr>
              <w:t>3</w:t>
            </w:r>
            <w:r>
              <w:rPr>
                <w:rFonts w:hint="default" w:ascii="宋体" w:hAnsi="宋体" w:eastAsia="宋体" w:cs="宋体"/>
                <w:color w:val="000000"/>
                <w:sz w:val="18"/>
                <w:szCs w:val="18"/>
                <w:lang w:val="en-US" w:eastAsia="zh-CN" w:bidi="ar"/>
              </w:rPr>
              <w:t>名公务员2022年度车补。2022年，该预算项目资金按季度支付，及时足额发放，预算执行率100%，年末无资金结余情况。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61"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87"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2.34</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2.72</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2.72</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0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lang w:eastAsia="zh-CN"/>
              </w:rPr>
            </w:pPr>
            <w:r>
              <w:rPr>
                <w:rFonts w:hint="eastAsia" w:ascii="黑体" w:hAnsi="黑体" w:eastAsia="黑体" w:cs="黑体"/>
                <w:i/>
                <w:iCs/>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32"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2.34</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2.72</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2.72</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47"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02"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7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52"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3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3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752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603"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95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572"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95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633"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95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601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项目负责人：董雄</w:t>
            </w:r>
          </w:p>
        </w:tc>
        <w:tc>
          <w:tcPr>
            <w:tcW w:w="480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财务负责人：何容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8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700"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7"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1"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3"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1"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8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700"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7"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1"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3"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1"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594" w:hRule="atLeast"/>
        </w:trPr>
        <w:tc>
          <w:tcPr>
            <w:tcW w:w="1082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18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94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850" w:hRule="atLeast"/>
        </w:trPr>
        <w:tc>
          <w:tcPr>
            <w:tcW w:w="18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广元市朝天区老干部事务中心部门</w:t>
            </w:r>
          </w:p>
        </w:tc>
        <w:tc>
          <w:tcPr>
            <w:tcW w:w="987"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广元市朝天区老干部事务中心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1.项目年度目标完成情况</w:t>
            </w:r>
          </w:p>
        </w:tc>
        <w:tc>
          <w:tcPr>
            <w:tcW w:w="4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8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708"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428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color w:val="00000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776"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2.项目实施内容及过程概述</w:t>
            </w:r>
          </w:p>
        </w:tc>
        <w:tc>
          <w:tcPr>
            <w:tcW w:w="894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6"/>
                <w:szCs w:val="16"/>
                <w:u w:val="none"/>
                <w:lang w:val="en-US" w:eastAsia="zh-CN" w:bidi="ar-SA"/>
              </w:rPr>
            </w:pPr>
            <w:r>
              <w:rPr>
                <w:rFonts w:hint="default" w:ascii="宋体" w:hAnsi="宋体" w:eastAsia="宋体" w:cs="宋体"/>
                <w:color w:val="000000"/>
                <w:sz w:val="18"/>
                <w:szCs w:val="18"/>
                <w:lang w:val="en-US" w:eastAsia="zh-CN" w:bidi="ar"/>
              </w:rPr>
              <w:t>该项目为特定目标类项目，主要保障部门金财网专线正常运转。2022年，该预算项目资金年中一次性支付，预算执行率100%，年末无资金结余情况。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61"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87"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0.48</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0.48</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0.48</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0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宋体" w:hAnsi="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32"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0.48</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0.48</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0.48</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47"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02"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7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52"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3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678"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3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904"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22.5</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752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84"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评价结论</w:t>
            </w:r>
          </w:p>
        </w:tc>
        <w:tc>
          <w:tcPr>
            <w:tcW w:w="995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67"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存在问题</w:t>
            </w:r>
          </w:p>
        </w:tc>
        <w:tc>
          <w:tcPr>
            <w:tcW w:w="995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59"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改进措施</w:t>
            </w:r>
          </w:p>
        </w:tc>
        <w:tc>
          <w:tcPr>
            <w:tcW w:w="995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601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项目负责人：董雄</w:t>
            </w:r>
          </w:p>
        </w:tc>
        <w:tc>
          <w:tcPr>
            <w:tcW w:w="480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财务负责人：何容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904" w:hRule="atLeast"/>
        </w:trPr>
        <w:tc>
          <w:tcPr>
            <w:tcW w:w="1082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18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94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512" w:hRule="atLeast"/>
        </w:trPr>
        <w:tc>
          <w:tcPr>
            <w:tcW w:w="18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广元市朝天区老干部事务中心部门</w:t>
            </w:r>
          </w:p>
        </w:tc>
        <w:tc>
          <w:tcPr>
            <w:tcW w:w="987"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广元市朝天区老干部事务中心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8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708"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8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color w:val="00000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693"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94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该项目为人员类项目，主要保障部门</w:t>
            </w:r>
            <w:r>
              <w:rPr>
                <w:rFonts w:hint="eastAsia" w:ascii="宋体" w:hAnsi="宋体" w:cs="宋体"/>
                <w:color w:val="000000"/>
                <w:sz w:val="18"/>
                <w:szCs w:val="18"/>
                <w:lang w:val="en-US" w:eastAsia="zh-CN" w:bidi="ar"/>
              </w:rPr>
              <w:t>3</w:t>
            </w:r>
            <w:r>
              <w:rPr>
                <w:rFonts w:hint="default" w:ascii="宋体" w:hAnsi="宋体" w:eastAsia="宋体" w:cs="宋体"/>
                <w:color w:val="000000"/>
                <w:sz w:val="18"/>
                <w:szCs w:val="18"/>
                <w:lang w:val="en-US" w:eastAsia="zh-CN" w:bidi="ar"/>
              </w:rPr>
              <w:t>名公务员2022年度工资，包括基本工资、津贴补贴等。2022年，该预算项目资金按月支付，及时足额发放，预算执行率100%，年末无资金结余情况。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61"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87"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18.31</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25.</w:t>
            </w:r>
            <w:r>
              <w:rPr>
                <w:rFonts w:hint="eastAsia" w:ascii="宋体" w:hAnsi="宋体" w:cs="宋体"/>
                <w:i w:val="0"/>
                <w:iCs w:val="0"/>
                <w:color w:val="000000"/>
                <w:kern w:val="0"/>
                <w:sz w:val="18"/>
                <w:szCs w:val="18"/>
                <w:u w:val="none"/>
                <w:lang w:val="en-US" w:eastAsia="zh-CN" w:bidi="ar"/>
              </w:rPr>
              <w:t>20</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0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32"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18.31</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lang w:val="en-US" w:eastAsia="zh-CN" w:bidi="ar"/>
              </w:rPr>
              <w:t>25.</w:t>
            </w:r>
            <w:r>
              <w:rPr>
                <w:rFonts w:hint="eastAsia" w:ascii="宋体" w:hAnsi="宋体" w:cs="宋体"/>
                <w:i w:val="0"/>
                <w:iCs w:val="0"/>
                <w:color w:val="000000"/>
                <w:kern w:val="0"/>
                <w:sz w:val="18"/>
                <w:szCs w:val="18"/>
                <w:u w:val="none"/>
                <w:lang w:val="en-US" w:eastAsia="zh-CN" w:bidi="ar"/>
              </w:rPr>
              <w:t>20</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25.20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ascii="宋体" w:hAnsi="宋体" w:eastAsia="宋体" w:cs="宋体"/>
                <w:i w:val="0"/>
                <w:iCs w:val="0"/>
                <w:color w:val="000000"/>
                <w:kern w:val="0"/>
                <w:sz w:val="18"/>
                <w:szCs w:val="18"/>
                <w:u w:val="none"/>
                <w:lang w:val="en-US" w:eastAsia="zh-CN" w:bidi="ar"/>
              </w:rPr>
              <w:t>%</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47"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02"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7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52"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3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3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752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603"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95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572"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95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633"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95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601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项目负责人：董雄</w:t>
            </w:r>
          </w:p>
        </w:tc>
        <w:tc>
          <w:tcPr>
            <w:tcW w:w="480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财务负责人：何容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8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700"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7"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1"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3"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1"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8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700"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7"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1"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3"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1"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904" w:hRule="atLeast"/>
        </w:trPr>
        <w:tc>
          <w:tcPr>
            <w:tcW w:w="1082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18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94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512" w:hRule="atLeast"/>
        </w:trPr>
        <w:tc>
          <w:tcPr>
            <w:tcW w:w="18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广元市朝天区老干部事务中心部门</w:t>
            </w:r>
          </w:p>
        </w:tc>
        <w:tc>
          <w:tcPr>
            <w:tcW w:w="987"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广元市朝天区老干部事务中心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8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708"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8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color w:val="000000"/>
                <w:sz w:val="18"/>
                <w:szCs w:val="18"/>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693"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94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该项目为人员类项目，主要保障部门</w:t>
            </w:r>
            <w:r>
              <w:rPr>
                <w:rFonts w:hint="eastAsia" w:ascii="宋体" w:hAnsi="宋体" w:cs="宋体"/>
                <w:color w:val="000000"/>
                <w:sz w:val="18"/>
                <w:szCs w:val="18"/>
                <w:lang w:val="en-US" w:eastAsia="zh-CN" w:bidi="ar"/>
              </w:rPr>
              <w:t>3</w:t>
            </w:r>
            <w:r>
              <w:rPr>
                <w:rFonts w:hint="default" w:ascii="宋体" w:hAnsi="宋体" w:eastAsia="宋体" w:cs="宋体"/>
                <w:color w:val="000000"/>
                <w:sz w:val="18"/>
                <w:szCs w:val="18"/>
                <w:lang w:val="en-US" w:eastAsia="zh-CN" w:bidi="ar"/>
              </w:rPr>
              <w:t>名公务员2022年度养老保险缴费等。2022年，该预算项目资金按月支付，及时足额缴纳，预算执行率100%，年末无资金结余情况。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61"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87"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2.92</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3.81</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3.81</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0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32"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2.92</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3.81</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3.81</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47"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02"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7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52"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3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3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752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603"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95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572"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95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633"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95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601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项目负责人：董雄</w:t>
            </w:r>
          </w:p>
        </w:tc>
        <w:tc>
          <w:tcPr>
            <w:tcW w:w="480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财务负责人：何容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8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700"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7"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1"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3"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1"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8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700"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7"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1"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3"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1"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904" w:hRule="atLeast"/>
        </w:trPr>
        <w:tc>
          <w:tcPr>
            <w:tcW w:w="1082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18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94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51081222R000005137025-基本医疗保险（行政）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512" w:hRule="atLeast"/>
        </w:trPr>
        <w:tc>
          <w:tcPr>
            <w:tcW w:w="18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广元市朝天区老干部事务中心部门</w:t>
            </w:r>
          </w:p>
        </w:tc>
        <w:tc>
          <w:tcPr>
            <w:tcW w:w="987"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广元市朝天区老干部事务中心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8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708"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8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693"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94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该项目为人员类项目，主要保障部门</w:t>
            </w:r>
            <w:r>
              <w:rPr>
                <w:rFonts w:hint="eastAsia" w:ascii="宋体" w:hAnsi="宋体" w:cs="宋体"/>
                <w:color w:val="000000"/>
                <w:sz w:val="18"/>
                <w:szCs w:val="18"/>
                <w:lang w:val="en-US" w:eastAsia="zh-CN" w:bidi="ar"/>
              </w:rPr>
              <w:t>3</w:t>
            </w:r>
            <w:r>
              <w:rPr>
                <w:rFonts w:hint="default" w:ascii="宋体" w:hAnsi="宋体" w:eastAsia="宋体" w:cs="宋体"/>
                <w:color w:val="000000"/>
                <w:sz w:val="18"/>
                <w:szCs w:val="18"/>
                <w:lang w:val="en-US" w:eastAsia="zh-CN" w:bidi="ar"/>
              </w:rPr>
              <w:t>名公务员2022年度医疗保险缴费等。2022年，该预算项目资金按月支付，及时足额缴纳，预算执行率100%，年末无资金结余情况。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61"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87"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1.39</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1.83</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1.83</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0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32"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1.39</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1.83</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1.83</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47"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02"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7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52"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54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54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752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603"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95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572"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95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633"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95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601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项目负责人：董雄</w:t>
            </w:r>
          </w:p>
        </w:tc>
        <w:tc>
          <w:tcPr>
            <w:tcW w:w="480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财务负责人：何容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8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700"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7"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1"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3"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1"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8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700"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7"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1"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3"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1"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904" w:hRule="atLeast"/>
        </w:trPr>
        <w:tc>
          <w:tcPr>
            <w:tcW w:w="1082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18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94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512" w:hRule="atLeast"/>
        </w:trPr>
        <w:tc>
          <w:tcPr>
            <w:tcW w:w="18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广元市朝天区老干部事务中心部门</w:t>
            </w:r>
          </w:p>
        </w:tc>
        <w:tc>
          <w:tcPr>
            <w:tcW w:w="987"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广元市朝天区老干部事务中心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8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708"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严格执行相关政策，保障工资及时、足额发放或社保及时、足额缴纳，预算编制科学合理，减少结余资金。</w:t>
            </w:r>
          </w:p>
        </w:tc>
        <w:tc>
          <w:tcPr>
            <w:tcW w:w="428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693"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94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该项目为人员类项目，主要保障部门</w:t>
            </w:r>
            <w:r>
              <w:rPr>
                <w:rFonts w:hint="eastAsia" w:ascii="宋体" w:hAnsi="宋体" w:cs="宋体"/>
                <w:color w:val="000000"/>
                <w:sz w:val="18"/>
                <w:szCs w:val="18"/>
                <w:lang w:val="en-US" w:eastAsia="zh-CN" w:bidi="ar"/>
              </w:rPr>
              <w:t>3</w:t>
            </w:r>
            <w:r>
              <w:rPr>
                <w:rFonts w:hint="default" w:ascii="宋体" w:hAnsi="宋体" w:eastAsia="宋体" w:cs="宋体"/>
                <w:color w:val="000000"/>
                <w:sz w:val="18"/>
                <w:szCs w:val="18"/>
                <w:lang w:val="en-US" w:eastAsia="zh-CN" w:bidi="ar"/>
              </w:rPr>
              <w:t>名公务员2022年度住房公积金缴费等。2022年，该预算项目资金按月支付，及时足额缴纳，预算执行率100%，年末无资金结余情况。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61"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87"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3.64</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3.64</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0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32"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3.64</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3.64</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47"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02"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7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52"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3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发放（缴纳）覆盖率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3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足额保障率（参保率）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752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603"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95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微软雅黑" w:hAnsi="微软雅黑" w:eastAsia="微软雅黑" w:cs="微软雅黑"/>
                <w:color w:val="000000"/>
                <w:kern w:val="2"/>
                <w:sz w:val="16"/>
                <w:szCs w:val="16"/>
                <w:lang w:val="en-US" w:eastAsia="zh-CN" w:bidi="ar-SA"/>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572"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95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633"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95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601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项目负责人：董雄</w:t>
            </w:r>
          </w:p>
        </w:tc>
        <w:tc>
          <w:tcPr>
            <w:tcW w:w="480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财务负责人：何容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8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700"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7"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1"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3"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1"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8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700"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7"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1"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3"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1"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904" w:hRule="atLeast"/>
        </w:trPr>
        <w:tc>
          <w:tcPr>
            <w:tcW w:w="1082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18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94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51081222T000005596168-区委区政府工作通报</w:t>
            </w:r>
            <w:r>
              <w:rPr>
                <w:rFonts w:hint="eastAsia" w:ascii="宋体" w:hAnsi="宋体" w:cs="宋体"/>
                <w:i w:val="0"/>
                <w:iCs w:val="0"/>
                <w:color w:val="000000"/>
                <w:kern w:val="0"/>
                <w:sz w:val="18"/>
                <w:szCs w:val="18"/>
                <w:u w:val="none"/>
                <w:lang w:val="en-US" w:eastAsia="zh-CN" w:bidi="ar"/>
              </w:rPr>
              <w:t>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512" w:hRule="atLeast"/>
        </w:trPr>
        <w:tc>
          <w:tcPr>
            <w:tcW w:w="18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广元市朝天区老干部事务中心部门</w:t>
            </w:r>
          </w:p>
        </w:tc>
        <w:tc>
          <w:tcPr>
            <w:tcW w:w="987"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广元市朝天区老干部事务中心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8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708"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cs="宋体"/>
                <w:color w:val="000000"/>
                <w:sz w:val="18"/>
                <w:szCs w:val="18"/>
                <w:lang w:val="en-US" w:eastAsia="zh-CN" w:bidi="ar"/>
              </w:rPr>
              <w:t>区委区政府工作通报会</w:t>
            </w:r>
            <w:r>
              <w:rPr>
                <w:rFonts w:hint="default" w:ascii="宋体" w:hAnsi="宋体" w:eastAsia="宋体" w:cs="宋体"/>
                <w:color w:val="000000"/>
                <w:sz w:val="18"/>
                <w:szCs w:val="18"/>
                <w:lang w:val="en-US" w:eastAsia="zh-CN" w:bidi="ar"/>
              </w:rPr>
              <w:t>资金-项目支出</w:t>
            </w:r>
          </w:p>
        </w:tc>
        <w:tc>
          <w:tcPr>
            <w:tcW w:w="428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693"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94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每年组织县级离退休干部开展区委区政府工作通报会不少于4次，最大限度体现老干部的政治待遇和区委对老干部的重视与关心，为加快建设繁荣和谐美丽幸福现代化朝天作出新的更大贡献。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61"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87"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0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lang w:eastAsia="zh-CN"/>
              </w:rPr>
            </w:pPr>
            <w:r>
              <w:rPr>
                <w:rFonts w:hint="eastAsia" w:ascii="黑体" w:hAnsi="黑体" w:eastAsia="黑体" w:cs="黑体"/>
                <w:i/>
                <w:iCs/>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32"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47"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02"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7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52"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3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产出指标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default" w:ascii="宋体" w:hAnsi="宋体" w:eastAsia="宋体" w:cs="宋体"/>
                <w:color w:val="000000"/>
                <w:sz w:val="18"/>
                <w:szCs w:val="18"/>
                <w:lang w:val="en-US" w:eastAsia="zh-CN" w:bidi="ar"/>
              </w:rPr>
              <w:t>成本指标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color w:val="000000"/>
                <w:sz w:val="18"/>
                <w:szCs w:val="18"/>
                <w:lang w:val="en-US" w:eastAsia="zh-CN" w:bidi="ar"/>
              </w:rPr>
              <w:t>区委区政府工作通报会</w:t>
            </w:r>
            <w:r>
              <w:rPr>
                <w:rFonts w:hint="default" w:ascii="宋体" w:hAnsi="宋体" w:eastAsia="宋体" w:cs="宋体"/>
                <w:color w:val="000000"/>
                <w:sz w:val="18"/>
                <w:szCs w:val="18"/>
                <w:lang w:val="en-US" w:eastAsia="zh-CN" w:bidi="ar"/>
              </w:rPr>
              <w:t>支出</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752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603"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95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572"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95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633"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95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601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项目负责人：董雄</w:t>
            </w:r>
          </w:p>
        </w:tc>
        <w:tc>
          <w:tcPr>
            <w:tcW w:w="480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财务负责人：何容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8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700"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7"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1"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3"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1"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8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700"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7"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1"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3"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1"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8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700"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7"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1"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3"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1"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8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p>
            <w:pPr>
              <w:rPr>
                <w:rFonts w:hint="eastAsia" w:ascii="宋体" w:hAnsi="宋体" w:eastAsia="宋体" w:cs="宋体"/>
                <w:i w:val="0"/>
                <w:iCs w:val="0"/>
                <w:color w:val="000000"/>
                <w:sz w:val="18"/>
                <w:szCs w:val="18"/>
                <w:u w:val="none"/>
              </w:rPr>
            </w:pPr>
          </w:p>
        </w:tc>
        <w:tc>
          <w:tcPr>
            <w:tcW w:w="1010"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700"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43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27"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87" w:type="dxa"/>
            <w:gridSpan w:val="4"/>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1" w:type="dxa"/>
            <w:gridSpan w:val="2"/>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43"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11" w:type="dxa"/>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546" w:hRule="atLeast"/>
        </w:trPr>
        <w:tc>
          <w:tcPr>
            <w:tcW w:w="1082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18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94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51081222T000005678209-2022年老干部特殊困难帮扶资金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552" w:hRule="atLeast"/>
        </w:trPr>
        <w:tc>
          <w:tcPr>
            <w:tcW w:w="18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广元市朝天区老干部事务中心部门</w:t>
            </w:r>
          </w:p>
        </w:tc>
        <w:tc>
          <w:tcPr>
            <w:tcW w:w="987"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广元市朝天区老干部事务中心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8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803"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3"/>
                <w:szCs w:val="13"/>
                <w:u w:val="none"/>
                <w:lang w:val="en-US" w:eastAsia="zh-CN" w:bidi="ar"/>
              </w:rPr>
              <w:t>全面落实好离退休干部生活待遇，切实做好离退休干部生活特殊困难帮扶工作。对有特殊困难的离退休干部，优先提供帮扶和照顾（55人）。对家庭收入低、长期身患重病、家庭突遭变故的离退休干部，实施帮扶和照顾</w:t>
            </w:r>
            <w:r>
              <w:rPr>
                <w:rFonts w:hint="eastAsia" w:ascii="宋体" w:hAnsi="宋体" w:eastAsia="宋体" w:cs="宋体"/>
                <w:i w:val="0"/>
                <w:iCs w:val="0"/>
                <w:color w:val="000000"/>
                <w:kern w:val="0"/>
                <w:sz w:val="16"/>
                <w:szCs w:val="16"/>
                <w:u w:val="none"/>
                <w:lang w:val="en-US" w:eastAsia="zh-CN" w:bidi="ar"/>
              </w:rPr>
              <w:t>。</w:t>
            </w:r>
          </w:p>
        </w:tc>
        <w:tc>
          <w:tcPr>
            <w:tcW w:w="428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844"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6"/>
                <w:szCs w:val="16"/>
                <w:u w:val="none"/>
                <w:lang w:val="en-US" w:eastAsia="zh-CN" w:bidi="ar"/>
              </w:rPr>
              <w:t>2.项目实施内容及过程概述</w:t>
            </w:r>
          </w:p>
        </w:tc>
        <w:tc>
          <w:tcPr>
            <w:tcW w:w="894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全面落实好离退休干部生活待遇，切实做好离退休干部生活特殊困难帮扶工作。对有特殊困难的离退休干部，优先提供帮扶和照顾（57人）。对家庭收入低、长期身患重病、家庭突遭变故的离退休干部，实施帮扶和照顾。</w:t>
            </w:r>
            <w:r>
              <w:rPr>
                <w:rFonts w:hint="default" w:ascii="宋体" w:hAnsi="宋体" w:eastAsia="宋体" w:cs="宋体"/>
                <w:color w:val="000000"/>
                <w:sz w:val="18"/>
                <w:szCs w:val="18"/>
                <w:lang w:val="en-US" w:eastAsia="zh-CN" w:bidi="ar"/>
              </w:rPr>
              <w:t>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61"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年度预算数（万元）</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调整后预算数</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预算执行数</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87"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9.50</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0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iCs/>
                <w:color w:val="000000"/>
                <w:sz w:val="18"/>
                <w:szCs w:val="18"/>
                <w:u w:val="none"/>
              </w:rPr>
            </w:pPr>
            <w:r>
              <w:rPr>
                <w:rFonts w:hint="eastAsia" w:ascii="宋体" w:hAnsi="宋体" w:cs="宋体"/>
                <w:i/>
                <w:iCs/>
                <w:color w:val="000000"/>
                <w:kern w:val="0"/>
                <w:sz w:val="15"/>
                <w:szCs w:val="15"/>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32"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9.50</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47"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02"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2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6"/>
                <w:szCs w:val="16"/>
                <w:u w:val="none"/>
              </w:rPr>
            </w:pP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6"/>
                <w:szCs w:val="16"/>
                <w:u w:val="none"/>
              </w:rPr>
            </w:pP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6"/>
                <w:szCs w:val="16"/>
                <w:u w:val="none"/>
              </w:rPr>
            </w:pP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6"/>
                <w:szCs w:val="16"/>
                <w:u w:val="none"/>
              </w:rPr>
            </w:pP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52"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1"/>
                <w:szCs w:val="11"/>
                <w:u w:val="none"/>
                <w:lang w:val="en-US" w:eastAsia="zh-CN" w:bidi="ar"/>
              </w:rPr>
              <w:t>指标性质</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完成值</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权重</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3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帮扶人数</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iCs/>
                <w:color w:val="000000"/>
                <w:sz w:val="16"/>
                <w:szCs w:val="16"/>
                <w:u w:val="none"/>
                <w:lang w:val="en-US" w:eastAsia="zh-CN"/>
              </w:rPr>
            </w:pPr>
            <w:r>
              <w:rPr>
                <w:rFonts w:hint="eastAsia" w:ascii="宋体" w:hAnsi="宋体" w:cs="宋体"/>
                <w:i/>
                <w:iCs/>
                <w:color w:val="000000"/>
                <w:sz w:val="16"/>
                <w:szCs w:val="16"/>
                <w:u w:val="none"/>
                <w:lang w:val="en-US" w:eastAsia="zh-CN"/>
              </w:rPr>
              <w:t>55</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3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县级离退休干部覆盖率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iCs/>
                <w:color w:val="000000"/>
                <w:sz w:val="16"/>
                <w:szCs w:val="16"/>
                <w:u w:val="none"/>
                <w:lang w:val="en-US" w:eastAsia="zh-CN"/>
              </w:rPr>
            </w:pPr>
            <w:r>
              <w:rPr>
                <w:rFonts w:hint="eastAsia" w:ascii="宋体" w:hAnsi="宋体" w:cs="宋体"/>
                <w:i/>
                <w:iCs/>
                <w:color w:val="000000"/>
                <w:sz w:val="16"/>
                <w:szCs w:val="16"/>
                <w:u w:val="none"/>
                <w:lang w:val="en-US" w:eastAsia="zh-CN"/>
              </w:rPr>
              <w:t>100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3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完成时限</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2022</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iCs/>
                <w:color w:val="000000"/>
                <w:sz w:val="16"/>
                <w:szCs w:val="16"/>
                <w:u w:val="none"/>
                <w:lang w:val="en-US" w:eastAsia="zh-CN"/>
              </w:rPr>
            </w:pPr>
            <w:r>
              <w:rPr>
                <w:rFonts w:hint="eastAsia" w:ascii="宋体" w:hAnsi="宋体" w:cs="宋体"/>
                <w:i/>
                <w:iCs/>
                <w:color w:val="000000"/>
                <w:sz w:val="16"/>
                <w:szCs w:val="16"/>
                <w:u w:val="none"/>
                <w:lang w:val="en-US" w:eastAsia="zh-CN"/>
              </w:rPr>
              <w:t>2022</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3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帮扶成本</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iCs/>
                <w:color w:val="000000"/>
                <w:sz w:val="16"/>
                <w:szCs w:val="16"/>
                <w:u w:val="none"/>
                <w:lang w:val="en-US" w:eastAsia="zh-CN"/>
              </w:rPr>
            </w:pPr>
            <w:r>
              <w:rPr>
                <w:rFonts w:hint="eastAsia" w:ascii="宋体" w:hAnsi="宋体" w:cs="宋体"/>
                <w:i/>
                <w:iCs/>
                <w:color w:val="000000"/>
                <w:sz w:val="16"/>
                <w:szCs w:val="16"/>
                <w:u w:val="none"/>
                <w:lang w:val="en-US" w:eastAsia="zh-CN"/>
              </w:rPr>
              <w:t>100000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52"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提高县级离退休干部生活水平</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3"/>
                <w:szCs w:val="13"/>
                <w:u w:val="none"/>
                <w:lang w:val="en-US" w:eastAsia="zh-CN" w:bidi="ar"/>
              </w:rPr>
              <w:t>高中低</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6"/>
                <w:szCs w:val="16"/>
                <w:u w:val="none"/>
                <w:lang w:eastAsia="zh-CN"/>
              </w:rPr>
            </w:pPr>
            <w:r>
              <w:rPr>
                <w:rFonts w:hint="eastAsia" w:ascii="宋体" w:hAnsi="宋体" w:cs="宋体"/>
                <w:i/>
                <w:iCs/>
                <w:color w:val="000000"/>
                <w:sz w:val="16"/>
                <w:szCs w:val="16"/>
                <w:u w:val="none"/>
                <w:lang w:eastAsia="zh-CN"/>
              </w:rPr>
              <w:t>高</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52"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满意度指标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3"/>
                <w:szCs w:val="13"/>
                <w:u w:val="none"/>
                <w:lang w:val="en-US" w:eastAsia="zh-CN" w:bidi="ar"/>
              </w:rPr>
              <w:t>服务对象满意度指标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县级离退休干部满意率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iCs/>
                <w:color w:val="000000"/>
                <w:sz w:val="16"/>
                <w:szCs w:val="16"/>
                <w:u w:val="none"/>
                <w:lang w:val="en-US" w:eastAsia="zh-CN"/>
              </w:rPr>
            </w:pPr>
            <w:r>
              <w:rPr>
                <w:rFonts w:hint="eastAsia" w:ascii="宋体" w:hAnsi="宋体" w:cs="宋体"/>
                <w:i/>
                <w:iCs/>
                <w:color w:val="000000"/>
                <w:sz w:val="16"/>
                <w:szCs w:val="16"/>
                <w:u w:val="none"/>
                <w:lang w:val="en-US" w:eastAsia="zh-CN"/>
              </w:rPr>
              <w:t>90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33" w:hRule="atLeast"/>
        </w:trPr>
        <w:tc>
          <w:tcPr>
            <w:tcW w:w="752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93"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评价结论</w:t>
            </w:r>
          </w:p>
        </w:tc>
        <w:tc>
          <w:tcPr>
            <w:tcW w:w="995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34"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存在问题</w:t>
            </w:r>
          </w:p>
        </w:tc>
        <w:tc>
          <w:tcPr>
            <w:tcW w:w="995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4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6"/>
                <w:szCs w:val="16"/>
                <w:u w:val="none"/>
                <w:lang w:val="en-US" w:eastAsia="zh-CN" w:bidi="ar"/>
              </w:rPr>
              <w:t>改进措施</w:t>
            </w:r>
          </w:p>
        </w:tc>
        <w:tc>
          <w:tcPr>
            <w:tcW w:w="995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601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项目负责人：董雄</w:t>
            </w:r>
          </w:p>
        </w:tc>
        <w:tc>
          <w:tcPr>
            <w:tcW w:w="480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财务负责人：何容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513" w:hRule="atLeast"/>
        </w:trPr>
        <w:tc>
          <w:tcPr>
            <w:tcW w:w="1082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18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94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51081222T000005934329-2022年区委区政府工作通报会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539" w:hRule="atLeast"/>
        </w:trPr>
        <w:tc>
          <w:tcPr>
            <w:tcW w:w="18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广元市朝天区老干部事务中心部门</w:t>
            </w:r>
          </w:p>
        </w:tc>
        <w:tc>
          <w:tcPr>
            <w:tcW w:w="987"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广元市朝天区老干部事务中心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8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83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3"/>
                <w:szCs w:val="13"/>
                <w:u w:val="none"/>
                <w:lang w:val="en-US" w:eastAsia="zh-CN" w:bidi="ar"/>
              </w:rPr>
              <w:t>每年组织县级离退休干部开展区委区政府工作通报会不少于4次，参观不少于2次，最大限度体现老干部的政治待遇和区委对老干部的重视与关心，为加快建设繁荣和谐美丽幸福现代化朝天作出新的更大贡献。</w:t>
            </w:r>
          </w:p>
        </w:tc>
        <w:tc>
          <w:tcPr>
            <w:tcW w:w="428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lang w:eastAsia="zh-CN"/>
              </w:rPr>
            </w:pPr>
            <w:r>
              <w:rPr>
                <w:rFonts w:hint="eastAsia" w:ascii="黑体" w:hAnsi="黑体" w:eastAsia="黑体" w:cs="黑体"/>
                <w:i w:val="0"/>
                <w:iCs w:val="0"/>
                <w:color w:val="000000"/>
                <w:sz w:val="18"/>
                <w:szCs w:val="18"/>
                <w:u w:val="none"/>
                <w:lang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693"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3"/>
                <w:szCs w:val="13"/>
                <w:u w:val="none"/>
                <w:lang w:val="en-US" w:eastAsia="zh-CN" w:bidi="ar"/>
              </w:rPr>
              <w:t>2.项目实施内容及过程概述</w:t>
            </w:r>
          </w:p>
        </w:tc>
        <w:tc>
          <w:tcPr>
            <w:tcW w:w="894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default" w:ascii="宋体" w:hAnsi="宋体" w:eastAsia="宋体" w:cs="宋体"/>
                <w:color w:val="000000"/>
                <w:sz w:val="13"/>
                <w:szCs w:val="13"/>
                <w:lang w:val="en-US" w:eastAsia="zh-CN" w:bidi="ar"/>
              </w:rPr>
              <w:t>每年组织县级离退休干部开展区委区政府工作通报会不少于4次，最大限度体现老干部的政治待遇和区委对老干部的重视与关心，为加快建设繁荣和谐美丽幸福现代化朝天作出新的更大贡献。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61"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87"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0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50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47"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02"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7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52"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3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全年参观次数</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3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全年通报会场次</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4</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3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3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3"/>
                <w:szCs w:val="13"/>
                <w:u w:val="none"/>
                <w:lang w:val="en-US" w:eastAsia="zh-CN" w:bidi="ar"/>
              </w:rPr>
              <w:t>2022</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2022</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3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工作通报会成本</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1"/>
                <w:szCs w:val="11"/>
                <w:u w:val="none"/>
                <w:lang w:val="en-US" w:eastAsia="zh-CN" w:bidi="ar"/>
              </w:rPr>
              <w:t>40000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40000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678"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3"/>
                <w:szCs w:val="13"/>
                <w:u w:val="none"/>
                <w:lang w:val="en-US" w:eastAsia="zh-CN" w:bidi="ar"/>
              </w:rPr>
              <w:t>最大限度体现老干部的政治待遇和区委对老干部的重视与关心。</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高中低</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高</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52"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3"/>
                <w:szCs w:val="13"/>
                <w:u w:val="none"/>
                <w:lang w:val="en-US" w:eastAsia="zh-CN" w:bidi="ar"/>
              </w:rPr>
              <w:t>服务对象满意度指标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县级离退休干部满意率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90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752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9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评价结论</w:t>
            </w:r>
          </w:p>
        </w:tc>
        <w:tc>
          <w:tcPr>
            <w:tcW w:w="995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92"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存在问题</w:t>
            </w:r>
          </w:p>
        </w:tc>
        <w:tc>
          <w:tcPr>
            <w:tcW w:w="995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99"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改进措施</w:t>
            </w:r>
          </w:p>
        </w:tc>
        <w:tc>
          <w:tcPr>
            <w:tcW w:w="995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601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项目负责人：董雄</w:t>
            </w:r>
          </w:p>
        </w:tc>
        <w:tc>
          <w:tcPr>
            <w:tcW w:w="480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财务负责人：何容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539" w:hRule="atLeast"/>
        </w:trPr>
        <w:tc>
          <w:tcPr>
            <w:tcW w:w="1082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18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94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51081222T000005934335-2022年老干部体检经费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71" w:hRule="atLeast"/>
        </w:trPr>
        <w:tc>
          <w:tcPr>
            <w:tcW w:w="18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广元市朝天区老干部事务中心部门</w:t>
            </w:r>
          </w:p>
        </w:tc>
        <w:tc>
          <w:tcPr>
            <w:tcW w:w="987"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广元市朝天区老干部事务中心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8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708"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1"/>
                <w:szCs w:val="11"/>
                <w:u w:val="none"/>
                <w:lang w:val="en-US" w:eastAsia="zh-CN" w:bidi="ar"/>
              </w:rPr>
              <w:t>组织县级离退休干部开展一次健康体检（47人），最大限度体现老干部的生活待遇和区委对老干部的重视与关心，为加快建设繁荣和谐美丽幸福现代化朝天作出新的更大贡献。</w:t>
            </w:r>
          </w:p>
        </w:tc>
        <w:tc>
          <w:tcPr>
            <w:tcW w:w="428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693"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94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组织县级离退休干部开展一次健康体检，最大限度体现老干部的生活待遇和区委对老干部的重视与关心，为加快建设繁荣和谐美丽幸福现代化朝天作出新的更大贡献。</w:t>
            </w:r>
            <w:r>
              <w:rPr>
                <w:rFonts w:hint="default" w:ascii="宋体" w:hAnsi="宋体" w:eastAsia="宋体" w:cs="宋体"/>
                <w:color w:val="000000"/>
                <w:sz w:val="18"/>
                <w:szCs w:val="18"/>
                <w:lang w:val="en-US" w:eastAsia="zh-CN" w:bidi="ar"/>
              </w:rPr>
              <w:t>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61"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87"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9.40</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9.40</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0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32"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9.40</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9.40</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47"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02"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7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52"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3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体检人数</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47</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47</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3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资金使用合规率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3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1"/>
                <w:szCs w:val="11"/>
                <w:u w:val="none"/>
                <w:lang w:val="en-US" w:eastAsia="zh-CN" w:bidi="ar"/>
              </w:rPr>
              <w:t>2022</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2022</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3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体检成本</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1"/>
                <w:szCs w:val="11"/>
                <w:u w:val="none"/>
                <w:lang w:val="en-US" w:eastAsia="zh-CN" w:bidi="ar"/>
              </w:rPr>
              <w:t>94000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94000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52"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保障县级离退休干部身体健康</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高</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52"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3"/>
                <w:szCs w:val="13"/>
                <w:u w:val="none"/>
                <w:lang w:val="en-US" w:eastAsia="zh-CN" w:bidi="ar"/>
              </w:rPr>
              <w:t>服务对象满意度指标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县级离退休干部满意率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752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34"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评价结论</w:t>
            </w:r>
          </w:p>
        </w:tc>
        <w:tc>
          <w:tcPr>
            <w:tcW w:w="995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48"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存在问题</w:t>
            </w:r>
          </w:p>
        </w:tc>
        <w:tc>
          <w:tcPr>
            <w:tcW w:w="995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68"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改进措施</w:t>
            </w:r>
          </w:p>
        </w:tc>
        <w:tc>
          <w:tcPr>
            <w:tcW w:w="995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601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项目负责人：董雄</w:t>
            </w:r>
          </w:p>
        </w:tc>
        <w:tc>
          <w:tcPr>
            <w:tcW w:w="480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财务负责人：何容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553" w:hRule="atLeast"/>
        </w:trPr>
        <w:tc>
          <w:tcPr>
            <w:tcW w:w="10822"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18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94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51081222T000005934341-2022年老干部慰问经费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512" w:hRule="atLeast"/>
        </w:trPr>
        <w:tc>
          <w:tcPr>
            <w:tcW w:w="18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广元市朝天区老干部事务中心部门</w:t>
            </w:r>
          </w:p>
        </w:tc>
        <w:tc>
          <w:tcPr>
            <w:tcW w:w="987"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2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广元市朝天区老干部事务中心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28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744"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65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1"/>
                <w:szCs w:val="11"/>
                <w:u w:val="none"/>
                <w:lang w:val="en-US" w:eastAsia="zh-CN" w:bidi="ar"/>
              </w:rPr>
              <w:t>春节对县级离退休干部开展一次全覆盖慰问（56人），最大限度体现老干部的生活待遇和区委对老干部的重视与关心，为加快建设繁荣和谐美丽幸福现代化朝天作出新的更大贡献。</w:t>
            </w:r>
          </w:p>
        </w:tc>
        <w:tc>
          <w:tcPr>
            <w:tcW w:w="428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693"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94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春节对县级离退休干部开展一次全覆盖慰问，最大限度体现老干部的生活待遇和区委对老干部的重视与关心，为加快建设繁荣和谐美丽幸福现代化朝天作出新的更大贡献。</w:t>
            </w:r>
            <w:r>
              <w:rPr>
                <w:rFonts w:hint="default" w:ascii="宋体" w:hAnsi="宋体" w:eastAsia="宋体" w:cs="宋体"/>
                <w:color w:val="000000"/>
                <w:sz w:val="18"/>
                <w:szCs w:val="18"/>
                <w:lang w:val="en-US" w:eastAsia="zh-CN" w:bidi="ar"/>
              </w:rPr>
              <w:t>2022年，该预算项目资金有序支付，预算执行率100%，年末无资金结余情况。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61"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87"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0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32"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47"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02"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7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52"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3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慰问人数</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56</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56</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3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老干部慰问覆盖率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3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完成时限</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2022</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2022</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39"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慰问成本</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1"/>
                <w:szCs w:val="11"/>
                <w:u w:val="none"/>
                <w:lang w:val="en-US" w:eastAsia="zh-CN" w:bidi="ar"/>
              </w:rPr>
              <w:t>56000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56000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52"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体现了党对离退休老干部的关心和照顾。</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高中低</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i/>
                <w:iCs/>
                <w:color w:val="000000"/>
                <w:sz w:val="16"/>
                <w:szCs w:val="16"/>
                <w:u w:val="none"/>
                <w:lang w:eastAsia="zh-CN"/>
              </w:rPr>
              <w:t>高</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452"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满意度指标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3"/>
                <w:szCs w:val="13"/>
                <w:u w:val="none"/>
              </w:rPr>
            </w:pPr>
            <w:r>
              <w:rPr>
                <w:rFonts w:ascii="宋体" w:hAnsi="宋体" w:eastAsia="宋体" w:cs="宋体"/>
                <w:i w:val="0"/>
                <w:iCs w:val="0"/>
                <w:color w:val="000000"/>
                <w:kern w:val="0"/>
                <w:sz w:val="13"/>
                <w:szCs w:val="13"/>
                <w:u w:val="none"/>
                <w:lang w:val="en-US" w:eastAsia="zh-CN" w:bidi="ar"/>
              </w:rPr>
              <w:t>服务对象满意度指标</w:t>
            </w:r>
          </w:p>
        </w:tc>
        <w:tc>
          <w:tcPr>
            <w:tcW w:w="2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县级离退休干部满意率</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9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90</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7527"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20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66"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评价结论</w:t>
            </w:r>
          </w:p>
        </w:tc>
        <w:tc>
          <w:tcPr>
            <w:tcW w:w="995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03"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1"/>
                <w:szCs w:val="11"/>
                <w:u w:val="none"/>
              </w:rPr>
            </w:pPr>
            <w:r>
              <w:rPr>
                <w:rFonts w:ascii="宋体" w:hAnsi="宋体" w:eastAsia="宋体" w:cs="宋体"/>
                <w:i w:val="0"/>
                <w:iCs w:val="0"/>
                <w:color w:val="000000"/>
                <w:kern w:val="0"/>
                <w:sz w:val="11"/>
                <w:szCs w:val="11"/>
                <w:u w:val="none"/>
                <w:lang w:val="en-US" w:eastAsia="zh-CN" w:bidi="ar"/>
              </w:rPr>
              <w:t>存在问题</w:t>
            </w:r>
          </w:p>
        </w:tc>
        <w:tc>
          <w:tcPr>
            <w:tcW w:w="995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364"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3"/>
                <w:szCs w:val="13"/>
                <w:u w:val="none"/>
                <w:lang w:val="en-US" w:eastAsia="zh-CN" w:bidi="ar"/>
              </w:rPr>
              <w:t>改进措施</w:t>
            </w:r>
          </w:p>
        </w:tc>
        <w:tc>
          <w:tcPr>
            <w:tcW w:w="995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12" w:type="dxa"/>
          <w:trHeight w:val="286" w:hRule="atLeast"/>
        </w:trPr>
        <w:tc>
          <w:tcPr>
            <w:tcW w:w="601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项目负责人：董雄</w:t>
            </w:r>
          </w:p>
        </w:tc>
        <w:tc>
          <w:tcPr>
            <w:tcW w:w="4809"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财务负责人：何容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15" w:type="dxa"/>
          <w:wAfter w:w="237" w:type="dxa"/>
          <w:trHeight w:val="607" w:hRule="atLeast"/>
        </w:trPr>
        <w:tc>
          <w:tcPr>
            <w:tcW w:w="9782"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28"/>
                <w:szCs w:val="28"/>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15" w:type="dxa"/>
          <w:wAfter w:w="237" w:type="dxa"/>
          <w:trHeight w:val="286" w:hRule="atLeast"/>
        </w:trPr>
        <w:tc>
          <w:tcPr>
            <w:tcW w:w="20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73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15" w:type="dxa"/>
          <w:wAfter w:w="237" w:type="dxa"/>
          <w:trHeight w:val="471" w:hRule="atLeast"/>
        </w:trPr>
        <w:tc>
          <w:tcPr>
            <w:tcW w:w="20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39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广元市朝天区老干部事务中心部门</w:t>
            </w:r>
          </w:p>
        </w:tc>
        <w:tc>
          <w:tcPr>
            <w:tcW w:w="77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实施单位（盖章）</w:t>
            </w:r>
          </w:p>
        </w:tc>
        <w:tc>
          <w:tcPr>
            <w:tcW w:w="298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广元市朝天区老干部事务中心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15" w:type="dxa"/>
          <w:wAfter w:w="237"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项目基本情况</w:t>
            </w:r>
          </w:p>
        </w:tc>
        <w:tc>
          <w:tcPr>
            <w:tcW w:w="13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1.项目年度目标完成情况</w:t>
            </w:r>
          </w:p>
        </w:tc>
        <w:tc>
          <w:tcPr>
            <w:tcW w:w="39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项目年度目标</w:t>
            </w:r>
          </w:p>
        </w:tc>
        <w:tc>
          <w:tcPr>
            <w:tcW w:w="37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15" w:type="dxa"/>
          <w:wAfter w:w="237" w:type="dxa"/>
          <w:trHeight w:val="56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39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提高预算编制质量，严格执行预算，保障单位日常运转。</w:t>
            </w:r>
          </w:p>
        </w:tc>
        <w:tc>
          <w:tcPr>
            <w:tcW w:w="375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15" w:type="dxa"/>
          <w:wAfter w:w="237" w:type="dxa"/>
          <w:trHeight w:val="5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2.项目实施内容及过程概述</w:t>
            </w:r>
          </w:p>
        </w:tc>
        <w:tc>
          <w:tcPr>
            <w:tcW w:w="7733"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hint="default" w:ascii="宋体" w:hAnsi="宋体" w:eastAsia="宋体" w:cs="宋体"/>
                <w:color w:val="000000"/>
                <w:sz w:val="18"/>
                <w:szCs w:val="18"/>
                <w:lang w:val="en-US" w:eastAsia="zh-CN" w:bidi="ar"/>
              </w:rPr>
              <w:t>该项目为运转类项目，主要保障部门日常公用支出。2022年，该预算项目资金年中有序支付，预算执行率100%，年末无资金结余情况。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15" w:type="dxa"/>
          <w:wAfter w:w="237"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预算执行情况（10分）</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年度预算数  （万元）</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w:t>
            </w:r>
          </w:p>
        </w:tc>
        <w:tc>
          <w:tcPr>
            <w:tcW w:w="15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调整后预算数</w:t>
            </w:r>
          </w:p>
        </w:tc>
        <w:tc>
          <w:tcPr>
            <w:tcW w:w="1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预算执行数</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15" w:type="dxa"/>
          <w:wAfter w:w="237" w:type="dxa"/>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5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2.42</w:t>
            </w:r>
          </w:p>
        </w:tc>
        <w:tc>
          <w:tcPr>
            <w:tcW w:w="1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2.42</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100</w:t>
            </w:r>
            <w:r>
              <w:rPr>
                <w:rFonts w:hint="eastAsia" w:ascii="宋体" w:hAnsi="宋体" w:eastAsia="宋体" w:cs="宋体"/>
                <w:i w:val="0"/>
                <w:iCs w:val="0"/>
                <w:color w:val="000000"/>
                <w:kern w:val="0"/>
                <w:sz w:val="16"/>
                <w:szCs w:val="16"/>
                <w:u w:val="none"/>
                <w:lang w:val="en-US" w:eastAsia="zh-CN" w:bidi="ar"/>
              </w:rPr>
              <w:t>%</w:t>
            </w: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173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iCs/>
                <w:color w:val="000000"/>
                <w:sz w:val="16"/>
                <w:szCs w:val="16"/>
                <w:u w:val="none"/>
              </w:rPr>
            </w:pPr>
            <w:r>
              <w:rPr>
                <w:rFonts w:hint="eastAsia" w:ascii="宋体" w:hAnsi="宋体" w:cs="宋体"/>
                <w:i w:val="0"/>
                <w:iCs w:val="0"/>
                <w:color w:val="000000"/>
                <w:kern w:val="0"/>
                <w:sz w:val="13"/>
                <w:szCs w:val="13"/>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15" w:type="dxa"/>
          <w:wAfter w:w="237" w:type="dxa"/>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15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2.42</w:t>
            </w:r>
          </w:p>
        </w:tc>
        <w:tc>
          <w:tcPr>
            <w:tcW w:w="1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2.42</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100</w:t>
            </w:r>
            <w:r>
              <w:rPr>
                <w:rFonts w:hint="eastAsia" w:ascii="宋体" w:hAnsi="宋体" w:eastAsia="宋体" w:cs="宋体"/>
                <w:i w:val="0"/>
                <w:iCs w:val="0"/>
                <w:color w:val="000000"/>
                <w:kern w:val="0"/>
                <w:sz w:val="16"/>
                <w:szCs w:val="16"/>
                <w:u w:val="none"/>
                <w:lang w:val="en-US" w:eastAsia="zh-CN" w:bidi="ar"/>
              </w:rPr>
              <w:t>%</w:t>
            </w: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7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15" w:type="dxa"/>
          <w:wAfter w:w="237" w:type="dxa"/>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财政专户管理资金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5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7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15" w:type="dxa"/>
          <w:wAfter w:w="237" w:type="dxa"/>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5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7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15" w:type="dxa"/>
          <w:wAfter w:w="237" w:type="dxa"/>
          <w:trHeight w:val="4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6"/>
                <w:szCs w:val="16"/>
                <w:u w:val="none"/>
              </w:rPr>
            </w:pPr>
          </w:p>
        </w:tc>
        <w:tc>
          <w:tcPr>
            <w:tcW w:w="15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6"/>
                <w:szCs w:val="16"/>
                <w:u w:val="none"/>
              </w:rPr>
            </w:pPr>
          </w:p>
        </w:tc>
        <w:tc>
          <w:tcPr>
            <w:tcW w:w="11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6"/>
                <w:szCs w:val="16"/>
                <w:u w:val="none"/>
              </w:rPr>
            </w:pP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6"/>
                <w:szCs w:val="16"/>
                <w:u w:val="none"/>
              </w:rPr>
            </w:pP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173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15" w:type="dxa"/>
          <w:wAfter w:w="237"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绩效指标（90分）</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5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指标性质</w:t>
            </w: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完成值</w:t>
            </w: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15" w:type="dxa"/>
          <w:wAfter w:w="2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5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科目调整次数</w:t>
            </w:r>
          </w:p>
        </w:tc>
        <w:tc>
          <w:tcPr>
            <w:tcW w:w="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iCs/>
                <w:color w:val="000000"/>
                <w:sz w:val="16"/>
                <w:szCs w:val="16"/>
                <w:u w:val="none"/>
                <w:lang w:val="en-US" w:eastAsia="zh-CN"/>
              </w:rPr>
            </w:pPr>
            <w:r>
              <w:rPr>
                <w:rFonts w:hint="eastAsia" w:ascii="宋体" w:hAnsi="宋体" w:cs="宋体"/>
                <w:i/>
                <w:iCs/>
                <w:color w:val="000000"/>
                <w:sz w:val="16"/>
                <w:szCs w:val="16"/>
                <w:u w:val="none"/>
                <w:lang w:val="en-US" w:eastAsia="zh-CN"/>
              </w:rPr>
              <w:t>0</w:t>
            </w: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20</w:t>
            </w: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15" w:type="dxa"/>
          <w:wAfter w:w="237" w:type="dxa"/>
          <w:trHeight w:val="67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5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预算编制准确率（计算方法为：∣（执行数-预算数）/预算数∣）</w:t>
            </w:r>
          </w:p>
        </w:tc>
        <w:tc>
          <w:tcPr>
            <w:tcW w:w="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6"/>
                <w:szCs w:val="16"/>
                <w:u w:val="none"/>
                <w:lang w:val="en-US" w:eastAsia="zh-CN"/>
              </w:rPr>
            </w:pPr>
            <w:r>
              <w:rPr>
                <w:rFonts w:hint="eastAsia" w:ascii="宋体" w:hAnsi="宋体" w:cs="宋体"/>
                <w:i/>
                <w:iCs/>
                <w:color w:val="000000"/>
                <w:sz w:val="16"/>
                <w:szCs w:val="16"/>
                <w:u w:val="none"/>
                <w:lang w:val="en-US" w:eastAsia="zh-CN"/>
              </w:rPr>
              <w:t>0</w:t>
            </w: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30</w:t>
            </w: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15" w:type="dxa"/>
          <w:wAfter w:w="237" w:type="dxa"/>
          <w:trHeight w:val="904"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经济效益指标</w:t>
            </w:r>
          </w:p>
        </w:tc>
        <w:tc>
          <w:tcPr>
            <w:tcW w:w="15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“三公经费”控制率[计算方法为：（三公经费实际支出数/预算安排数]×100%）</w:t>
            </w:r>
          </w:p>
        </w:tc>
        <w:tc>
          <w:tcPr>
            <w:tcW w:w="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iCs/>
                <w:color w:val="000000"/>
                <w:sz w:val="16"/>
                <w:szCs w:val="16"/>
                <w:u w:val="none"/>
                <w:lang w:val="en-US" w:eastAsia="zh-CN"/>
              </w:rPr>
            </w:pPr>
            <w:r>
              <w:rPr>
                <w:rFonts w:hint="eastAsia" w:ascii="宋体" w:hAnsi="宋体" w:cs="宋体"/>
                <w:i/>
                <w:iCs/>
                <w:color w:val="000000"/>
                <w:sz w:val="16"/>
                <w:szCs w:val="16"/>
                <w:u w:val="none"/>
                <w:lang w:val="en-US" w:eastAsia="zh-CN"/>
              </w:rPr>
              <w:t>100</w:t>
            </w: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20</w:t>
            </w: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15" w:type="dxa"/>
          <w:wAfter w:w="237"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5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运转保障率</w:t>
            </w:r>
          </w:p>
        </w:tc>
        <w:tc>
          <w:tcPr>
            <w:tcW w:w="5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iCs/>
                <w:color w:val="000000"/>
                <w:sz w:val="16"/>
                <w:szCs w:val="16"/>
                <w:u w:val="none"/>
                <w:lang w:val="en-US" w:eastAsia="zh-CN"/>
              </w:rPr>
            </w:pPr>
            <w:r>
              <w:rPr>
                <w:rFonts w:hint="eastAsia" w:ascii="宋体" w:hAnsi="宋体" w:cs="宋体"/>
                <w:i/>
                <w:iCs/>
                <w:color w:val="000000"/>
                <w:sz w:val="16"/>
                <w:szCs w:val="16"/>
                <w:u w:val="none"/>
                <w:lang w:val="en-US" w:eastAsia="zh-CN"/>
              </w:rPr>
              <w:t>100</w:t>
            </w: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20</w:t>
            </w: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15" w:type="dxa"/>
          <w:wAfter w:w="237" w:type="dxa"/>
          <w:trHeight w:val="286" w:hRule="atLeast"/>
        </w:trPr>
        <w:tc>
          <w:tcPr>
            <w:tcW w:w="680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1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15" w:type="dxa"/>
          <w:wAfter w:w="237" w:type="dxa"/>
          <w:trHeight w:val="40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评价结论</w:t>
            </w:r>
          </w:p>
        </w:tc>
        <w:tc>
          <w:tcPr>
            <w:tcW w:w="9098"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15" w:type="dxa"/>
          <w:wAfter w:w="237" w:type="dxa"/>
          <w:trHeight w:val="371"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存在问题</w:t>
            </w:r>
          </w:p>
        </w:tc>
        <w:tc>
          <w:tcPr>
            <w:tcW w:w="9098"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iCs/>
                <w:color w:val="000000"/>
                <w:sz w:val="16"/>
                <w:szCs w:val="16"/>
                <w:u w:val="none"/>
              </w:rPr>
            </w:pPr>
            <w:r>
              <w:rPr>
                <w:rFonts w:hint="eastAsia" w:ascii="宋体" w:hAnsi="宋体" w:cs="宋体"/>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15" w:type="dxa"/>
          <w:wAfter w:w="237" w:type="dxa"/>
          <w:trHeight w:val="445"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改进措施</w:t>
            </w:r>
          </w:p>
        </w:tc>
        <w:tc>
          <w:tcPr>
            <w:tcW w:w="9098"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iCs/>
                <w:color w:val="000000"/>
                <w:sz w:val="16"/>
                <w:szCs w:val="16"/>
                <w:u w:val="none"/>
              </w:rPr>
            </w:pPr>
            <w:r>
              <w:rPr>
                <w:rFonts w:hint="eastAsia" w:ascii="宋体" w:hAnsi="宋体" w:cs="宋体"/>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gridAfter w:val="1"/>
          <w:wBefore w:w="1115" w:type="dxa"/>
          <w:wAfter w:w="237" w:type="dxa"/>
          <w:trHeight w:val="286" w:hRule="atLeast"/>
        </w:trPr>
        <w:tc>
          <w:tcPr>
            <w:tcW w:w="545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r>
              <w:rPr>
                <w:rFonts w:hint="eastAsia" w:ascii="宋体" w:hAnsi="宋体" w:cs="宋体"/>
                <w:i w:val="0"/>
                <w:iCs w:val="0"/>
                <w:color w:val="000000"/>
                <w:kern w:val="0"/>
                <w:sz w:val="16"/>
                <w:szCs w:val="16"/>
                <w:u w:val="none"/>
                <w:lang w:val="en-US" w:eastAsia="zh-CN" w:bidi="ar"/>
              </w:rPr>
              <w:t>董雄</w:t>
            </w:r>
          </w:p>
        </w:tc>
        <w:tc>
          <w:tcPr>
            <w:tcW w:w="433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财务负责人：</w:t>
            </w:r>
            <w:r>
              <w:rPr>
                <w:rFonts w:hint="eastAsia" w:ascii="宋体" w:hAnsi="宋体" w:cs="宋体"/>
                <w:i w:val="0"/>
                <w:iCs w:val="0"/>
                <w:color w:val="000000"/>
                <w:kern w:val="0"/>
                <w:sz w:val="16"/>
                <w:szCs w:val="16"/>
                <w:u w:val="none"/>
                <w:lang w:val="en-US" w:eastAsia="zh-CN" w:bidi="ar"/>
              </w:rPr>
              <w:t>何容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1115" w:type="dxa"/>
          <w:trHeight w:val="904" w:hRule="atLeast"/>
        </w:trPr>
        <w:tc>
          <w:tcPr>
            <w:tcW w:w="10019" w:type="dxa"/>
            <w:gridSpan w:val="2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黑体" w:hAnsi="黑体" w:eastAsia="黑体" w:cs="黑体"/>
                <w:i w:val="0"/>
                <w:iCs w:val="0"/>
                <w:color w:val="000000"/>
                <w:kern w:val="0"/>
                <w:sz w:val="32"/>
                <w:szCs w:val="32"/>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1115" w:type="dxa"/>
          <w:trHeight w:val="286" w:hRule="atLeast"/>
        </w:trPr>
        <w:tc>
          <w:tcPr>
            <w:tcW w:w="20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项目名称</w:t>
            </w:r>
          </w:p>
        </w:tc>
        <w:tc>
          <w:tcPr>
            <w:tcW w:w="797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51081223T000008190025-2022关工委工作经费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1115" w:type="dxa"/>
          <w:trHeight w:val="512" w:hRule="atLeast"/>
        </w:trPr>
        <w:tc>
          <w:tcPr>
            <w:tcW w:w="20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主管部门</w:t>
            </w:r>
          </w:p>
        </w:tc>
        <w:tc>
          <w:tcPr>
            <w:tcW w:w="346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广元市朝天区老干部事务中心部门</w:t>
            </w:r>
          </w:p>
        </w:tc>
        <w:tc>
          <w:tcPr>
            <w:tcW w:w="129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实施单位 （盖章）</w:t>
            </w:r>
          </w:p>
        </w:tc>
        <w:tc>
          <w:tcPr>
            <w:tcW w:w="32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广元市朝天区老干部事务中心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1115" w:type="dxa"/>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项目基本情况</w:t>
            </w:r>
          </w:p>
        </w:tc>
        <w:tc>
          <w:tcPr>
            <w:tcW w:w="13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1.项目年度目标完成情况</w:t>
            </w:r>
          </w:p>
        </w:tc>
        <w:tc>
          <w:tcPr>
            <w:tcW w:w="346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项目年度目标</w:t>
            </w:r>
          </w:p>
        </w:tc>
        <w:tc>
          <w:tcPr>
            <w:tcW w:w="450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1115" w:type="dxa"/>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346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关工委工作经费</w:t>
            </w:r>
            <w:r>
              <w:rPr>
                <w:rFonts w:hint="eastAsia" w:ascii="宋体" w:hAnsi="宋体" w:cs="宋体"/>
                <w:i w:val="0"/>
                <w:iCs w:val="0"/>
                <w:color w:val="000000"/>
                <w:kern w:val="0"/>
                <w:sz w:val="16"/>
                <w:szCs w:val="16"/>
                <w:u w:val="none"/>
                <w:lang w:val="en-US" w:eastAsia="zh-CN" w:bidi="ar"/>
              </w:rPr>
              <w:t>支出</w:t>
            </w:r>
          </w:p>
        </w:tc>
        <w:tc>
          <w:tcPr>
            <w:tcW w:w="450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1115" w:type="dxa"/>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2.项目实施内容及过程概述</w:t>
            </w:r>
          </w:p>
        </w:tc>
        <w:tc>
          <w:tcPr>
            <w:tcW w:w="797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动员和组织广大五老关爱教育下一代健康成长。</w:t>
            </w:r>
            <w:r>
              <w:rPr>
                <w:rFonts w:hint="default" w:ascii="宋体" w:hAnsi="宋体" w:eastAsia="宋体" w:cs="宋体"/>
                <w:color w:val="000000"/>
                <w:sz w:val="18"/>
                <w:szCs w:val="18"/>
                <w:lang w:val="en-US" w:eastAsia="zh-CN" w:bidi="ar"/>
              </w:rPr>
              <w:t>2022年，该预算项目资金年中有序支付，预算执行率100%，年末无资金结余情况。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1115" w:type="dxa"/>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预算执行情况（10分）</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年度预算数（万元）</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年初预算</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调整后预算数</w:t>
            </w:r>
          </w:p>
        </w:tc>
        <w:tc>
          <w:tcPr>
            <w:tcW w:w="110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预算执行数</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21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1115" w:type="dxa"/>
          <w:trHeight w:val="38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总额</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110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c>
          <w:tcPr>
            <w:tcW w:w="218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iCs/>
                <w:color w:val="000000"/>
                <w:sz w:val="16"/>
                <w:szCs w:val="16"/>
                <w:u w:val="none"/>
              </w:rPr>
            </w:pPr>
            <w:r>
              <w:rPr>
                <w:rFonts w:hint="eastAsia" w:ascii="宋体" w:hAnsi="宋体" w:cs="宋体"/>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1115" w:type="dxa"/>
          <w:trHeight w:val="43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110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18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1115" w:type="dxa"/>
          <w:trHeight w:val="44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财政专户管理资金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10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18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1115" w:type="dxa"/>
          <w:trHeight w:val="402"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10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18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1115" w:type="dxa"/>
          <w:trHeight w:val="37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6"/>
                <w:szCs w:val="16"/>
                <w:u w:val="none"/>
              </w:rPr>
            </w:pPr>
          </w:p>
        </w:tc>
        <w:tc>
          <w:tcPr>
            <w:tcW w:w="110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6"/>
                <w:szCs w:val="16"/>
                <w:u w:val="none"/>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6"/>
                <w:szCs w:val="16"/>
                <w:u w:val="none"/>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218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1115" w:type="dxa"/>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绩效指标（90分）</w:t>
            </w: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一级指标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二级指标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三级指标</w:t>
            </w:r>
          </w:p>
        </w:tc>
        <w:tc>
          <w:tcPr>
            <w:tcW w:w="5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指标性质</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指标值</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完成值</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权重</w:t>
            </w:r>
          </w:p>
        </w:tc>
        <w:tc>
          <w:tcPr>
            <w:tcW w:w="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得分</w:t>
            </w:r>
          </w:p>
        </w:tc>
        <w:tc>
          <w:tcPr>
            <w:tcW w:w="21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1115" w:type="dxa"/>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3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产出指标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成本指标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eastAsia="zh-CN"/>
              </w:rPr>
            </w:pPr>
            <w:r>
              <w:rPr>
                <w:rFonts w:hint="eastAsia" w:ascii="宋体" w:hAnsi="宋体" w:cs="宋体"/>
                <w:i w:val="0"/>
                <w:iCs w:val="0"/>
                <w:color w:val="000000"/>
                <w:sz w:val="16"/>
                <w:szCs w:val="16"/>
                <w:u w:val="none"/>
                <w:lang w:eastAsia="zh-CN"/>
              </w:rPr>
              <w:t>项目资金</w:t>
            </w:r>
          </w:p>
        </w:tc>
        <w:tc>
          <w:tcPr>
            <w:tcW w:w="5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5</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6"/>
                <w:szCs w:val="16"/>
                <w:u w:val="none"/>
                <w:lang w:val="en-US" w:eastAsia="zh-CN"/>
              </w:rPr>
            </w:pPr>
            <w:r>
              <w:rPr>
                <w:rFonts w:hint="eastAsia" w:ascii="宋体" w:hAnsi="宋体" w:cs="宋体"/>
                <w:i/>
                <w:iCs/>
                <w:color w:val="000000"/>
                <w:sz w:val="16"/>
                <w:szCs w:val="16"/>
                <w:u w:val="none"/>
                <w:lang w:val="en-US" w:eastAsia="zh-CN"/>
              </w:rPr>
              <w:t>5</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90</w:t>
            </w:r>
          </w:p>
        </w:tc>
        <w:tc>
          <w:tcPr>
            <w:tcW w:w="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90</w:t>
            </w:r>
          </w:p>
        </w:tc>
        <w:tc>
          <w:tcPr>
            <w:tcW w:w="21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1115" w:type="dxa"/>
          <w:trHeight w:val="286" w:hRule="atLeast"/>
        </w:trPr>
        <w:tc>
          <w:tcPr>
            <w:tcW w:w="6800"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21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1115" w:type="dxa"/>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评价结论</w:t>
            </w:r>
          </w:p>
        </w:tc>
        <w:tc>
          <w:tcPr>
            <w:tcW w:w="9335"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iCs/>
                <w:color w:val="000000"/>
                <w:sz w:val="16"/>
                <w:szCs w:val="16"/>
                <w:u w:val="none"/>
              </w:rPr>
            </w:pPr>
            <w:r>
              <w:rPr>
                <w:rFonts w:hint="eastAsia" w:ascii="微软雅黑" w:hAnsi="微软雅黑" w:eastAsia="微软雅黑" w:cs="微软雅黑"/>
                <w:color w:val="000000"/>
                <w:sz w:val="16"/>
                <w:szCs w:val="16"/>
                <w:lang w:val="en-US" w:eastAsia="zh-CN" w:bidi="ar"/>
              </w:rPr>
              <w:t>项目实施达到了预期的经济效益、社会效益，绩效目标完全实现，为我中心在下一年工作推进和预算安排上提供了对比数据。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2"/>
          <w:wBefore w:w="1115" w:type="dxa"/>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存在问题</w:t>
            </w:r>
          </w:p>
        </w:tc>
        <w:tc>
          <w:tcPr>
            <w:tcW w:w="9335"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iCs/>
                <w:color w:val="000000"/>
                <w:sz w:val="16"/>
                <w:szCs w:val="16"/>
                <w:u w:val="none"/>
              </w:rPr>
            </w:pPr>
            <w:r>
              <w:rPr>
                <w:rFonts w:hint="eastAsia" w:ascii="宋体" w:hAnsi="宋体" w:cs="宋体"/>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115" w:type="dxa"/>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改进措施</w:t>
            </w:r>
          </w:p>
        </w:tc>
        <w:tc>
          <w:tcPr>
            <w:tcW w:w="9335"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iCs/>
                <w:color w:val="000000"/>
                <w:sz w:val="16"/>
                <w:szCs w:val="16"/>
                <w:u w:val="none"/>
              </w:rPr>
            </w:pPr>
            <w:r>
              <w:rPr>
                <w:rFonts w:hint="eastAsia" w:ascii="宋体" w:hAnsi="宋体" w:cs="宋体"/>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1115" w:type="dxa"/>
          <w:trHeight w:val="286" w:hRule="atLeast"/>
        </w:trPr>
        <w:tc>
          <w:tcPr>
            <w:tcW w:w="49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项目负责人：</w:t>
            </w:r>
            <w:r>
              <w:rPr>
                <w:rFonts w:hint="eastAsia" w:ascii="宋体" w:hAnsi="宋体" w:cs="宋体"/>
                <w:i w:val="0"/>
                <w:iCs w:val="0"/>
                <w:color w:val="000000"/>
                <w:kern w:val="0"/>
                <w:sz w:val="16"/>
                <w:szCs w:val="16"/>
                <w:u w:val="none"/>
                <w:lang w:val="en-US" w:eastAsia="zh-CN" w:bidi="ar"/>
              </w:rPr>
              <w:t>董雄</w:t>
            </w:r>
          </w:p>
        </w:tc>
        <w:tc>
          <w:tcPr>
            <w:tcW w:w="5094"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财务负责人：</w:t>
            </w:r>
            <w:r>
              <w:rPr>
                <w:rFonts w:hint="eastAsia" w:ascii="宋体" w:hAnsi="宋体" w:cs="宋体"/>
                <w:i w:val="0"/>
                <w:iCs w:val="0"/>
                <w:color w:val="000000"/>
                <w:kern w:val="0"/>
                <w:sz w:val="16"/>
                <w:szCs w:val="16"/>
                <w:u w:val="none"/>
                <w:lang w:val="en-US" w:eastAsia="zh-CN" w:bidi="ar"/>
              </w:rPr>
              <w:t>何容</w:t>
            </w:r>
          </w:p>
        </w:tc>
      </w:tr>
    </w:tbl>
    <w:p>
      <w:pPr>
        <w:pStyle w:val="5"/>
        <w:rPr>
          <w:rFonts w:hint="eastAsia" w:ascii="黑体" w:hAnsi="黑体" w:eastAsia="黑体" w:cs="黑体"/>
          <w:color w:val="auto"/>
          <w:kern w:val="0"/>
          <w:sz w:val="32"/>
          <w:szCs w:val="32"/>
          <w:highlight w:val="none"/>
          <w:shd w:val="clear" w:color="auto" w:fill="FFFFFF"/>
          <w:lang w:val="zh-CN"/>
        </w:rPr>
      </w:pPr>
    </w:p>
    <w:p>
      <w:pPr>
        <w:pStyle w:val="5"/>
        <w:rPr>
          <w:rFonts w:hint="eastAsia" w:ascii="黑体" w:hAnsi="黑体" w:eastAsia="黑体" w:cs="黑体"/>
          <w:color w:val="auto"/>
          <w:kern w:val="0"/>
          <w:sz w:val="32"/>
          <w:szCs w:val="32"/>
          <w:highlight w:val="none"/>
          <w:shd w:val="clear" w:color="auto" w:fill="FFFFFF"/>
          <w:lang w:val="zh-CN"/>
        </w:rPr>
      </w:pPr>
    </w:p>
    <w:p>
      <w:pPr>
        <w:pStyle w:val="5"/>
        <w:rPr>
          <w:rFonts w:hint="eastAsia" w:ascii="黑体" w:hAnsi="黑体" w:eastAsia="黑体" w:cs="黑体"/>
          <w:color w:val="auto"/>
          <w:kern w:val="0"/>
          <w:sz w:val="32"/>
          <w:szCs w:val="32"/>
          <w:highlight w:val="none"/>
          <w:shd w:val="clear" w:color="auto" w:fill="FFFFFF"/>
          <w:lang w:val="zh-CN"/>
        </w:rPr>
      </w:pPr>
    </w:p>
    <w:p>
      <w:pPr>
        <w:pStyle w:val="5"/>
        <w:rPr>
          <w:rFonts w:hint="eastAsia" w:ascii="黑体" w:hAnsi="黑体" w:eastAsia="黑体" w:cs="黑体"/>
          <w:color w:val="auto"/>
          <w:sz w:val="32"/>
          <w:szCs w:val="32"/>
          <w:highlight w:val="none"/>
          <w:lang w:val="en-US" w:eastAsia="zh-CN"/>
        </w:rPr>
      </w:pPr>
      <w:bookmarkStart w:id="142" w:name="_GoBack"/>
      <w:bookmarkEnd w:id="142"/>
      <w:r>
        <w:rPr>
          <w:rFonts w:hint="eastAsia" w:ascii="黑体" w:hAnsi="黑体" w:eastAsia="黑体" w:cs="黑体"/>
          <w:color w:val="auto"/>
          <w:kern w:val="0"/>
          <w:sz w:val="32"/>
          <w:szCs w:val="32"/>
          <w:highlight w:val="none"/>
          <w:shd w:val="clear" w:color="auto" w:fill="FFFFFF"/>
          <w:lang w:val="zh-CN"/>
        </w:rPr>
        <w:t>附件</w:t>
      </w:r>
      <w:r>
        <w:rPr>
          <w:rFonts w:hint="eastAsia" w:ascii="黑体" w:hAnsi="黑体" w:eastAsia="黑体" w:cs="黑体"/>
          <w:color w:val="auto"/>
          <w:kern w:val="0"/>
          <w:sz w:val="32"/>
          <w:szCs w:val="32"/>
          <w:highlight w:val="none"/>
          <w:shd w:val="clear" w:color="auto" w:fill="FFFFFF"/>
          <w:lang w:val="en-US" w:eastAsia="zh-CN"/>
        </w:rPr>
        <w:t>2</w:t>
      </w:r>
    </w:p>
    <w:p>
      <w:pPr>
        <w:spacing w:line="576" w:lineRule="exact"/>
        <w:ind w:firstLine="880" w:firstLineChars="200"/>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老干部特殊困难帮扶资金项目</w:t>
      </w:r>
    </w:p>
    <w:p>
      <w:pPr>
        <w:spacing w:line="576" w:lineRule="exact"/>
        <w:ind w:firstLine="880" w:firstLineChars="200"/>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支出绩效自评报告</w:t>
      </w:r>
    </w:p>
    <w:p>
      <w:pPr>
        <w:pStyle w:val="34"/>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hint="eastAsia" w:ascii="黑体" w:hAnsi="宋体" w:eastAsia="黑体"/>
          <w:color w:val="auto"/>
          <w:sz w:val="32"/>
          <w:szCs w:val="32"/>
          <w:highlight w:val="none"/>
          <w:lang w:val="en-US" w:eastAsia="zh-CN"/>
        </w:rPr>
      </w:pPr>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r>
        <w:rPr>
          <w:rFonts w:hint="eastAsia" w:ascii="黑体" w:hAnsi="宋体" w:eastAsia="黑体"/>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pStyle w:val="5"/>
        <w:spacing w:beforeLines="0" w:line="576" w:lineRule="exact"/>
        <w:ind w:firstLine="640" w:firstLineChars="200"/>
        <w:rPr>
          <w:lang w:val="zh-CN"/>
        </w:rPr>
      </w:pPr>
      <w:r>
        <w:rPr>
          <w:rFonts w:hint="eastAsia" w:hAnsi="仿宋_GB2312" w:cs="仿宋_GB2312"/>
          <w:kern w:val="2"/>
          <w:sz w:val="32"/>
          <w:szCs w:val="32"/>
        </w:rPr>
        <w:t>按照中央组织部“要做好特殊困难离退休干部帮扶工作”的要求，结合我区特殊困难离退休干部实际情况，经区委同意，建立特困家庭离退休干部安度晚年救助机制，2013年区委、区政府《关于朝天区离退休干部管理办法（试行）的通知》（广朝委发〔2013〕12号），对符合救助条件的离退休干部实施救助工作，让他们心情舒畅地安度晚年，对特困离退休干部救助经费进行立项申报。</w:t>
      </w:r>
      <w:r>
        <w:rPr>
          <w:rFonts w:hint="eastAsia" w:hAnsi="仿宋" w:cs="Times New Roman"/>
          <w:sz w:val="32"/>
          <w:szCs w:val="32"/>
        </w:rPr>
        <w:t>该项目实施周期为2022年度，根据工作实际发生情况，及时拨付使用。</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lang w:val="zh-CN"/>
        </w:rPr>
      </w:pPr>
      <w:r>
        <w:rPr>
          <w:rFonts w:hint="eastAsia" w:ascii="楷体_GB2312" w:hAnsi="宋体" w:eastAsia="楷体_GB2312"/>
          <w:b/>
          <w:color w:val="auto"/>
          <w:sz w:val="32"/>
          <w:szCs w:val="32"/>
          <w:highlight w:val="none"/>
          <w:u w:val="none"/>
          <w:lang w:val="zh-CN"/>
        </w:rPr>
        <w:t>（二）项目绩效目标。</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1．项目主要内容。</w:t>
      </w:r>
    </w:p>
    <w:p>
      <w:pPr>
        <w:pStyle w:val="5"/>
        <w:spacing w:beforeLines="0" w:line="576" w:lineRule="exact"/>
        <w:ind w:firstLine="640" w:firstLineChars="200"/>
        <w:rPr>
          <w:rFonts w:hint="eastAsia"/>
          <w:lang w:val="zh-CN"/>
        </w:rPr>
      </w:pPr>
      <w:r>
        <w:rPr>
          <w:rFonts w:hint="eastAsia" w:hAnsi="仿宋_GB2312" w:cs="仿宋_GB2312"/>
          <w:kern w:val="2"/>
          <w:sz w:val="32"/>
          <w:szCs w:val="32"/>
        </w:rPr>
        <w:t>对有特殊困难的离退休干部，优先提供帮扶和照顾。对家庭收入低、长期身患重病、家庭突遭变故的离退休干部，实施帮扶和照顾。</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2．项目应实现的具体绩效目标，</w:t>
      </w:r>
      <w:r>
        <w:rPr>
          <w:rFonts w:hint="eastAsia" w:ascii="仿宋_GB2312" w:hAnsi="仿宋_GB2312" w:eastAsia="仿宋_GB2312" w:cs="仿宋_GB2312"/>
          <w:color w:val="auto"/>
          <w:kern w:val="0"/>
          <w:sz w:val="32"/>
          <w:szCs w:val="32"/>
          <w:highlight w:val="none"/>
          <w:u w:val="none"/>
          <w:shd w:val="clear" w:color="auto" w:fill="FFFFFF"/>
          <w:lang w:val="en-US" w:eastAsia="zh-CN"/>
        </w:rPr>
        <w:t>包括但不限于</w:t>
      </w:r>
      <w:r>
        <w:rPr>
          <w:rFonts w:hint="eastAsia" w:ascii="仿宋_GB2312" w:hAnsi="仿宋_GB2312" w:cs="仿宋_GB2312"/>
          <w:color w:val="auto"/>
          <w:kern w:val="0"/>
          <w:sz w:val="32"/>
          <w:szCs w:val="32"/>
          <w:highlight w:val="none"/>
          <w:u w:val="none"/>
          <w:shd w:val="clear" w:color="auto" w:fill="FFFFFF"/>
          <w:lang w:val="en-US" w:eastAsia="zh-CN"/>
        </w:rPr>
        <w:t>：绩效</w:t>
      </w:r>
      <w:r>
        <w:rPr>
          <w:rFonts w:hint="eastAsia" w:ascii="仿宋_GB2312" w:hAnsi="仿宋_GB2312" w:eastAsia="仿宋_GB2312" w:cs="仿宋_GB2312"/>
          <w:color w:val="auto"/>
          <w:kern w:val="0"/>
          <w:sz w:val="32"/>
          <w:szCs w:val="32"/>
          <w:highlight w:val="none"/>
          <w:u w:val="none"/>
          <w:shd w:val="clear" w:color="auto" w:fill="FFFFFF"/>
          <w:lang w:val="zh-CN"/>
        </w:rPr>
        <w:t>目标的量化细化情况</w:t>
      </w:r>
      <w:r>
        <w:rPr>
          <w:rFonts w:hint="eastAsia" w:ascii="仿宋_GB2312" w:hAnsi="仿宋_GB2312" w:cs="仿宋_GB2312"/>
          <w:color w:val="auto"/>
          <w:kern w:val="0"/>
          <w:sz w:val="32"/>
          <w:szCs w:val="32"/>
          <w:highlight w:val="none"/>
          <w:u w:val="none"/>
          <w:shd w:val="clear" w:color="auto" w:fill="FFFFFF"/>
          <w:lang w:val="zh-CN"/>
        </w:rPr>
        <w:t>、</w:t>
      </w:r>
      <w:r>
        <w:rPr>
          <w:rFonts w:hint="eastAsia" w:ascii="仿宋_GB2312" w:hAnsi="仿宋_GB2312" w:eastAsia="仿宋_GB2312" w:cs="仿宋_GB2312"/>
          <w:color w:val="auto"/>
          <w:kern w:val="0"/>
          <w:sz w:val="32"/>
          <w:szCs w:val="32"/>
          <w:highlight w:val="none"/>
          <w:u w:val="none"/>
          <w:shd w:val="clear" w:color="auto" w:fill="FFFFFF"/>
          <w:lang w:val="zh-CN"/>
        </w:rPr>
        <w:t>项目实施进度计划等。</w:t>
      </w:r>
    </w:p>
    <w:p>
      <w:pPr>
        <w:pStyle w:val="5"/>
        <w:spacing w:beforeLines="0" w:line="576" w:lineRule="exact"/>
        <w:ind w:firstLine="640" w:firstLineChars="200"/>
        <w:rPr>
          <w:rFonts w:hint="eastAsia"/>
          <w:lang w:val="zh-CN"/>
        </w:rPr>
      </w:pPr>
      <w:r>
        <w:rPr>
          <w:rFonts w:hint="eastAsia" w:hAnsi="仿宋_GB2312" w:cs="仿宋_GB2312"/>
          <w:kern w:val="2"/>
          <w:sz w:val="32"/>
          <w:szCs w:val="32"/>
        </w:rPr>
        <w:t>为遭受重大疾病、重大事故等造成家庭特别困难的离退休干部提供了困难帮扶。在解决燃眉之急，帮助渡过难关的同时，也送去了区委、区政府的关怀和温暖，为加快建设繁荣和谐美丽幸福现代化朝天作出新的更大贡献。截止2022年底，我中心对该项目预算已全额拨付。</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3．分析评价申报内容是否与实际相符，申报目标是否合理可行。</w:t>
      </w:r>
    </w:p>
    <w:p>
      <w:pPr>
        <w:autoSpaceDE w:val="0"/>
        <w:spacing w:line="576" w:lineRule="exact"/>
        <w:ind w:firstLine="640" w:firstLineChars="200"/>
        <w:rPr>
          <w:rFonts w:hint="eastAsia"/>
          <w:lang w:val="zh-CN"/>
        </w:rPr>
      </w:pPr>
      <w:r>
        <w:rPr>
          <w:rFonts w:hint="eastAsia" w:ascii="仿宋_GB2312" w:hAnsi="仿宋_GB2312" w:eastAsia="仿宋_GB2312" w:cs="仿宋_GB2312"/>
          <w:sz w:val="32"/>
          <w:szCs w:val="32"/>
        </w:rPr>
        <w:t>老干部特殊困难帮扶资金项目运行工作经费与年初预算相符，具体实施内容与项目申报内容相符，申报目标合理可行。</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（三）项目自评步骤及方法。</w:t>
      </w:r>
    </w:p>
    <w:p>
      <w:pPr>
        <w:autoSpaceDE w:val="0"/>
        <w:spacing w:line="576" w:lineRule="exact"/>
        <w:ind w:firstLine="640" w:firstLineChars="200"/>
        <w:rPr>
          <w:lang w:val="zh-CN"/>
        </w:rPr>
      </w:pPr>
      <w:r>
        <w:rPr>
          <w:rFonts w:hint="eastAsia" w:ascii="仿宋_GB2312" w:hAnsi="仿宋_GB2312" w:eastAsia="仿宋_GB2312" w:cs="仿宋_GB2312"/>
          <w:sz w:val="32"/>
          <w:szCs w:val="32"/>
        </w:rPr>
        <w:t>项目采取自评与他评相结合方式，成立项目自评小组，结合评价内容，做到有计划，有安排，扎实开展本次自评工作。按照区财政局下达的项目支出绩效目标自评表、项目支出绩效评价指标体系，自评小组针对申报内容、实施情况、资金兑现、财务管理、社会效益等做出自我评价，认真听取上级领导建议意见，做好自评工作。</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二、项目资金申报及使用情况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pStyle w:val="5"/>
        <w:spacing w:beforeLines="0" w:line="576" w:lineRule="exact"/>
        <w:ind w:firstLine="640" w:firstLineChars="200"/>
        <w:rPr>
          <w:lang w:val="zh-CN"/>
        </w:rPr>
      </w:pPr>
      <w:r>
        <w:rPr>
          <w:rFonts w:hint="eastAsia" w:hAnsi="仿宋_GB2312" w:cs="仿宋_GB2312"/>
          <w:kern w:val="2"/>
          <w:sz w:val="32"/>
          <w:szCs w:val="32"/>
        </w:rPr>
        <w:t>2022年度老干部特殊困难帮扶资金项目预算资金为10万元，项目测算在区委区政府的决策部署下，由我中心根据前期工作情况测算项目标准，按年度进行申报，资金及时批复到位，申报程序符合资金管理办法相关规定，年终无追加，项目执行预算为</w:t>
      </w:r>
      <w:r>
        <w:rPr>
          <w:rFonts w:hint="eastAsia" w:hAnsi="仿宋_GB2312" w:cs="仿宋_GB2312"/>
          <w:kern w:val="2"/>
          <w:sz w:val="32"/>
          <w:szCs w:val="32"/>
          <w:lang w:val="en-US" w:eastAsia="zh-CN"/>
        </w:rPr>
        <w:t>9.5</w:t>
      </w:r>
      <w:r>
        <w:rPr>
          <w:rFonts w:hint="eastAsia" w:hAnsi="仿宋_GB2312" w:cs="仿宋_GB2312"/>
          <w:kern w:val="2"/>
          <w:sz w:val="32"/>
          <w:szCs w:val="32"/>
        </w:rPr>
        <w:t>万元。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（二）资金计划、到位及使用情况（可用表格形式反映）。</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1．资金计划。</w:t>
      </w:r>
    </w:p>
    <w:p>
      <w:pPr>
        <w:autoSpaceDE w:val="0"/>
        <w:spacing w:line="576" w:lineRule="exact"/>
        <w:ind w:firstLine="640" w:firstLineChars="200"/>
        <w:rPr>
          <w:rFonts w:hint="eastAsia" w:ascii="仿宋_GB2312" w:hAnsi="仿宋_GB2312" w:eastAsia="仿宋_GB2312" w:cs="仿宋_GB2312"/>
          <w:color w:val="auto"/>
          <w:kern w:val="0"/>
          <w:sz w:val="32"/>
          <w:szCs w:val="32"/>
          <w:highlight w:val="none"/>
          <w:u w:val="none"/>
          <w:shd w:val="clear" w:color="auto" w:fill="FFFFFF"/>
          <w:lang w:val="zh-CN" w:eastAsia="zh-CN"/>
        </w:rPr>
      </w:pPr>
      <w:r>
        <w:rPr>
          <w:rFonts w:hint="eastAsia" w:ascii="仿宋_GB2312" w:hAnsi="仿宋_GB2312" w:eastAsia="仿宋_GB2312" w:cs="仿宋_GB2312"/>
          <w:sz w:val="32"/>
          <w:szCs w:val="32"/>
        </w:rPr>
        <w:t>本项经费，由财政局年初预算安排10万元下拨至我单位，用于帮扶特殊困难离退休干部</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2．资金到位。</w:t>
      </w:r>
    </w:p>
    <w:p>
      <w:pPr>
        <w:autoSpaceDE w:val="0"/>
        <w:spacing w:line="576" w:lineRule="exact"/>
        <w:ind w:firstLine="640" w:firstLineChars="200"/>
        <w:rPr>
          <w:rFonts w:hint="eastAsia"/>
          <w:lang w:val="zh-CN"/>
        </w:rPr>
      </w:pPr>
      <w:r>
        <w:rPr>
          <w:rFonts w:hint="eastAsia" w:ascii="仿宋_GB2312" w:hAnsi="仿宋_GB2312" w:eastAsia="仿宋_GB2312" w:cs="仿宋_GB2312"/>
          <w:sz w:val="32"/>
          <w:szCs w:val="32"/>
        </w:rPr>
        <w:t>项目资金已足额到账，资金到位率100%。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3．资金使用。</w:t>
      </w:r>
    </w:p>
    <w:p>
      <w:pPr>
        <w:autoSpaceDE w:val="0"/>
        <w:spacing w:line="576" w:lineRule="exact"/>
        <w:ind w:firstLine="640" w:firstLineChars="200"/>
        <w:rPr>
          <w:rFonts w:hint="eastAsia"/>
          <w:lang w:val="zh-CN"/>
        </w:rPr>
      </w:pPr>
      <w:r>
        <w:rPr>
          <w:rFonts w:hint="eastAsia" w:ascii="仿宋_GB2312" w:hAnsi="仿宋_GB2312" w:eastAsia="仿宋_GB2312" w:cs="仿宋_GB2312"/>
          <w:sz w:val="32"/>
          <w:szCs w:val="32"/>
        </w:rPr>
        <w:t>截至2022年12月31日,项目资金使用</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万元，资金使用率</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%。老干部特殊困难帮扶资金项目主要用于帮扶特殊困难离退休干部，项目资金无调整，资金支付依据合规合法与预算相符。</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（三）项目财务管理情况。</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2022年，我中心财务管理制度健全，并严格执行财务管理制度，账务处理及时，会计核算规范，主要采取了下列措施。</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（1）预算管理</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单位不断强化预算意识，保证预算编制质量。部门预算批复后，及时跟进预算执行进度，科学安排支出，降低预算支出的波动幅度。加强对预算执行过程中过程的控制和结果的反馈。</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（2）内控管理</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和完善内控制度，全面梳理业务流程，明确业务环节，分析风险隐患。有效运用不相容岗位相互分离，归口管理，预算控制，内部信息公开等控制方法，加强单位层面和业务层面的内部控制，建立监督机制，确保资金安全，完善内部控制体系，最大限度的发挥财政资金的使用效益。</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（3）绩效管理</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加强学习关于预算绩效的文件，树立“花钱必问效，无效必问责”的意识。在2022年的工作中，按照上级和财政部门的要求，研究和设立绩效指标，并在实施中进行分析，在决算报告中体现。</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（4）人才队伍建设</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加强财务管理队伍的业务能力提升；认真学习新制度新要求；积极组织参加上级和财政部门组织的培训活动；对工作严格要求，按时完成上级要求的报表编制和报告编写工作。</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rPr>
        <w:t>三、项目实施及管理情况</w:t>
      </w:r>
    </w:p>
    <w:p>
      <w:pPr>
        <w:autoSpaceDE w:val="0"/>
        <w:adjustRightInd w:val="0"/>
        <w:snapToGrid w:val="0"/>
        <w:spacing w:line="576" w:lineRule="exact"/>
        <w:ind w:firstLine="720"/>
        <w:rPr>
          <w:rFonts w:ascii="楷体_GB2312" w:hAnsi="宋体" w:eastAsia="楷体_GB2312" w:cs="Times New Roman"/>
          <w:b/>
          <w:w w:val="99"/>
          <w:sz w:val="32"/>
          <w:szCs w:val="32"/>
        </w:rPr>
      </w:pPr>
      <w:r>
        <w:rPr>
          <w:rFonts w:hint="eastAsia" w:ascii="楷体_GB2312" w:hAnsi="宋体" w:eastAsia="楷体_GB2312"/>
          <w:b/>
          <w:color w:val="auto"/>
          <w:sz w:val="32"/>
          <w:szCs w:val="32"/>
          <w:highlight w:val="none"/>
          <w:u w:val="none"/>
          <w:lang w:val="zh-CN"/>
        </w:rPr>
        <w:t>（一）项目组织架构及实施流程。</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根据我中心工作实际，经全体干部职工大会研究讨论决定，由副主任牵头负责此项工作，办公室负责日常业务工作，保障离退休干部的生活待遇。</w:t>
      </w:r>
    </w:p>
    <w:p>
      <w:pPr>
        <w:autoSpaceDE w:val="0"/>
        <w:spacing w:line="576" w:lineRule="exact"/>
        <w:ind w:firstLine="643" w:firstLineChars="200"/>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（二）项目管理情况。</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该项目为保障性经费支出项目，其项目管理制度合并在我中心财务管理制度、内控管理制度等规范性财务制度之下，未单独建立项目管理制度。</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cs="Times New Roman"/>
          <w:b/>
          <w:w w:val="99"/>
          <w:sz w:val="32"/>
          <w:szCs w:val="32"/>
        </w:rPr>
      </w:pPr>
      <w:r>
        <w:rPr>
          <w:rFonts w:hint="eastAsia" w:ascii="楷体_GB2312" w:hAnsi="宋体" w:eastAsia="楷体_GB2312"/>
          <w:b/>
          <w:color w:val="auto"/>
          <w:sz w:val="32"/>
          <w:szCs w:val="32"/>
          <w:highlight w:val="none"/>
          <w:u w:val="none"/>
          <w:lang w:val="zh-CN"/>
        </w:rPr>
        <w:t>（三）项目监管情况。</w:t>
      </w:r>
    </w:p>
    <w:p>
      <w:pPr>
        <w:pStyle w:val="5"/>
        <w:ind w:firstLine="640" w:firstLineChars="200"/>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sz w:val="32"/>
          <w:szCs w:val="32"/>
        </w:rPr>
        <w:t>项目资金使用方案由全体干部职工大会讨论决定，由副主任牵头负责，办公室负责日常业务及跟踪项目实施全过程，对实施效果进行客观评价。</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四、项目绩效情况</w:t>
      </w:r>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（一）项目完成情况。</w:t>
      </w:r>
    </w:p>
    <w:p>
      <w:pPr>
        <w:spacing w:line="576" w:lineRule="exact"/>
        <w:ind w:firstLine="645"/>
        <w:rPr>
          <w:lang w:val="zh-CN"/>
        </w:rPr>
      </w:pPr>
      <w:r>
        <w:rPr>
          <w:rFonts w:hint="eastAsia" w:ascii="仿宋_GB2312" w:hAnsi="仿宋_GB2312" w:eastAsia="仿宋_GB2312" w:cs="仿宋_GB2312"/>
          <w:sz w:val="32"/>
          <w:szCs w:val="32"/>
        </w:rPr>
        <w:t>2022年度，我中心完成了老干部特殊困难帮扶资金的使用，根据工作实际情况，按时足额的进行了拨付，无超支、超标准、超范围使用项目资金情况发生。截止2022年底，我中心圆满的完成了特殊困难离退休干部帮扶工作，工作成效显著，解决了特殊困难离退休干部生活困难，提高了离退休干部生活水平。</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（二）项目效益情况。</w:t>
      </w:r>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社会效益方面，通过本项目的实施，对有特殊困难的离退休干部提供帮扶和照顾，让特殊困难离退休干部安度晚年，让他们为加快建设繁荣和谐美丽幸福现代化朝天发挥余热具有十分重要的意义。</w:t>
      </w:r>
    </w:p>
    <w:p>
      <w:pPr>
        <w:spacing w:line="576" w:lineRule="exact"/>
        <w:ind w:firstLine="645"/>
        <w:rPr>
          <w:rFonts w:hint="eastAsia"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_GB2312" w:hAnsi="仿宋_GB2312" w:eastAsia="仿宋_GB2312" w:cs="仿宋_GB2312"/>
          <w:sz w:val="32"/>
          <w:szCs w:val="32"/>
        </w:rPr>
        <w:t>服务对象满意度方面，离退休干部非常满意，满意率达100%。</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五、评价结论及建议</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（一）评价结论。</w:t>
      </w:r>
    </w:p>
    <w:p>
      <w:pPr>
        <w:spacing w:line="576" w:lineRule="exact"/>
        <w:ind w:firstLine="645"/>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sz w:val="32"/>
          <w:szCs w:val="32"/>
        </w:rPr>
        <w:t>从总体上看，该项目绩效目标合理，决策依据充分，项目补助方式科学合理、规范有序，项目的实施使离退休干部晚年生活有保障。项目总体评分得99分。</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（二）存在的问题。</w:t>
      </w:r>
    </w:p>
    <w:p>
      <w:pPr>
        <w:spacing w:line="576" w:lineRule="exact"/>
        <w:ind w:firstLine="645"/>
        <w:rPr>
          <w:lang w:val="zh-CN"/>
        </w:rPr>
      </w:pPr>
      <w:r>
        <w:rPr>
          <w:rFonts w:hint="eastAsia" w:ascii="仿宋_GB2312" w:hAnsi="仿宋_GB2312" w:eastAsia="仿宋_GB2312" w:cs="仿宋_GB2312"/>
          <w:sz w:val="32"/>
          <w:szCs w:val="32"/>
        </w:rPr>
        <w:t>一是预算编制具体项目的细化程度和精准度不够高，合理性有待进一步加强。二是资金使用效益有待进一步提高，绩效目标设立不够明确、细化和量化。三是财政资金投入不够。主要原因是无专业财务人员，目前财务工作是办公室兼，对财务工作业务还不熟悉。</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（三）相关建议。</w:t>
      </w:r>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一是认真做好编制前的准备工作。认真测算支出范围、开支标准,并分析近年来的财务收支状况及预算执行情况。</w:t>
      </w:r>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二是要将预算支出细化,根据项目发展的重要性、可行性和效益,分轻重缓急,合理安排项目资金。</w:t>
      </w:r>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三是单位要加强绩效目标设立、细化和量化工作的力度，进一步提高资金使用效率。</w:t>
      </w:r>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四是加强财务工作业务学习。</w:t>
      </w:r>
    </w:p>
    <w:p>
      <w:pPr>
        <w:spacing w:line="580" w:lineRule="exact"/>
        <w:rPr>
          <w:rStyle w:val="28"/>
          <w:rFonts w:ascii="黑体" w:hAnsi="黑体" w:eastAsia="黑体"/>
          <w:b w:val="0"/>
          <w:color w:val="auto"/>
          <w:highlight w:val="none"/>
        </w:rPr>
      </w:pPr>
    </w:p>
    <w:p>
      <w:pPr>
        <w:widowControl/>
        <w:jc w:val="left"/>
        <w:rPr>
          <w:rStyle w:val="28"/>
          <w:rFonts w:ascii="黑体" w:hAnsi="黑体" w:eastAsia="黑体"/>
          <w:b w:val="0"/>
          <w:color w:val="auto"/>
          <w:highlight w:val="none"/>
        </w:rPr>
      </w:pPr>
      <w:r>
        <w:rPr>
          <w:rStyle w:val="28"/>
          <w:rFonts w:ascii="黑体" w:hAnsi="黑体" w:eastAsia="黑体"/>
          <w:b w:val="0"/>
          <w:color w:val="auto"/>
          <w:highlight w:val="none"/>
        </w:rPr>
        <w:br w:type="page"/>
      </w:r>
    </w:p>
    <w:p>
      <w:pPr>
        <w:spacing w:line="576" w:lineRule="exact"/>
        <w:ind w:firstLine="880" w:firstLineChars="200"/>
        <w:jc w:val="center"/>
        <w:rPr>
          <w:rFonts w:ascii="方正小标宋简体" w:hAnsi="方正小标宋简体" w:eastAsia="方正小标宋简体" w:cs="方正小标宋简体"/>
          <w:kern w:val="0"/>
          <w:sz w:val="44"/>
          <w:szCs w:val="44"/>
        </w:rPr>
      </w:pPr>
      <w:bookmarkStart w:id="91" w:name="_Toc15396618"/>
      <w:r>
        <w:rPr>
          <w:rFonts w:hint="eastAsia" w:ascii="方正小标宋简体" w:hAnsi="方正小标宋简体" w:eastAsia="方正小标宋简体" w:cs="方正小标宋简体"/>
          <w:kern w:val="0"/>
          <w:sz w:val="44"/>
          <w:szCs w:val="44"/>
        </w:rPr>
        <w:t>区委区政府工作通报会项目</w:t>
      </w:r>
    </w:p>
    <w:p>
      <w:pPr>
        <w:spacing w:line="576" w:lineRule="exact"/>
        <w:ind w:firstLine="880" w:firstLineChars="200"/>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支出绩效自评报告</w:t>
      </w:r>
    </w:p>
    <w:p>
      <w:pPr>
        <w:pStyle w:val="34"/>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hint="eastAsia" w:ascii="黑体" w:hAnsi="宋体" w:eastAsia="黑体"/>
          <w:color w:val="auto"/>
          <w:sz w:val="32"/>
          <w:szCs w:val="32"/>
          <w:highlight w:val="none"/>
          <w:lang w:val="en-US" w:eastAsia="zh-CN"/>
        </w:rPr>
      </w:pPr>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r>
        <w:rPr>
          <w:rFonts w:hint="eastAsia" w:ascii="黑体" w:hAnsi="宋体" w:eastAsia="黑体"/>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pStyle w:val="5"/>
        <w:spacing w:before="93"/>
        <w:ind w:firstLine="640" w:firstLineChars="200"/>
      </w:pPr>
      <w:r>
        <w:rPr>
          <w:rFonts w:hint="eastAsia" w:hAnsi="仿宋_GB2312" w:cs="仿宋_GB2312"/>
          <w:kern w:val="2"/>
          <w:sz w:val="32"/>
          <w:szCs w:val="32"/>
          <w:lang w:eastAsia="zh-CN"/>
        </w:rPr>
        <w:t>为贯彻广委办函</w:t>
      </w:r>
      <w:r>
        <w:rPr>
          <w:rFonts w:hint="eastAsia" w:ascii="仿宋_GB2312" w:hAnsi="仿宋_GB2312" w:eastAsia="仿宋_GB2312" w:cs="仿宋_GB2312"/>
          <w:kern w:val="0"/>
          <w:sz w:val="32"/>
          <w:szCs w:val="32"/>
        </w:rPr>
        <w:t>〔20</w:t>
      </w:r>
      <w:r>
        <w:rPr>
          <w:rFonts w:hint="eastAsia" w:hAnsi="仿宋_GB2312" w:cs="仿宋_GB2312"/>
          <w:kern w:val="0"/>
          <w:sz w:val="32"/>
          <w:szCs w:val="32"/>
          <w:lang w:val="en-US" w:eastAsia="zh-CN"/>
        </w:rPr>
        <w:t>14</w:t>
      </w:r>
      <w:r>
        <w:rPr>
          <w:rFonts w:hint="eastAsia" w:ascii="仿宋_GB2312" w:hAnsi="仿宋_GB2312" w:eastAsia="仿宋_GB2312" w:cs="仿宋_GB2312"/>
          <w:kern w:val="0"/>
          <w:sz w:val="32"/>
          <w:szCs w:val="32"/>
        </w:rPr>
        <w:t>〕</w:t>
      </w:r>
      <w:r>
        <w:rPr>
          <w:rFonts w:hint="eastAsia" w:hAnsi="仿宋_GB2312" w:cs="仿宋_GB2312"/>
          <w:kern w:val="0"/>
          <w:sz w:val="32"/>
          <w:szCs w:val="32"/>
          <w:lang w:val="en-US" w:eastAsia="zh-CN"/>
        </w:rPr>
        <w:t>38号文件精神，落实离退休干部政治待遇，让广大离退休干部及时了解区委、区政府关于全区经济社会发展的重大决策部署，更好地发挥离退休干部队伍在建设美丽朝天中的积极作用，特制订区委办、区政府办《关于</w:t>
      </w:r>
      <w:r>
        <w:rPr>
          <w:rFonts w:hint="eastAsia" w:hAnsi="仿宋_GB2312" w:cs="仿宋_GB2312"/>
          <w:kern w:val="2"/>
          <w:sz w:val="32"/>
          <w:szCs w:val="32"/>
        </w:rPr>
        <w:t>区委</w:t>
      </w:r>
      <w:r>
        <w:rPr>
          <w:rFonts w:hint="eastAsia" w:hAnsi="仿宋_GB2312" w:cs="仿宋_GB2312"/>
          <w:kern w:val="2"/>
          <w:sz w:val="32"/>
          <w:szCs w:val="32"/>
          <w:lang w:eastAsia="zh-CN"/>
        </w:rPr>
        <w:t>、</w:t>
      </w:r>
      <w:r>
        <w:rPr>
          <w:rFonts w:hint="eastAsia" w:hAnsi="仿宋_GB2312" w:cs="仿宋_GB2312"/>
          <w:kern w:val="2"/>
          <w:sz w:val="32"/>
          <w:szCs w:val="32"/>
        </w:rPr>
        <w:t>区政府定期向离退休干部通报（座谈）工作情况制度的通知</w:t>
      </w:r>
      <w:r>
        <w:rPr>
          <w:rFonts w:hint="eastAsia" w:hAnsi="仿宋_GB2312" w:cs="仿宋_GB2312"/>
          <w:kern w:val="0"/>
          <w:sz w:val="32"/>
          <w:szCs w:val="32"/>
          <w:lang w:val="en-US" w:eastAsia="zh-CN"/>
        </w:rPr>
        <w:t>》（</w:t>
      </w:r>
      <w:r>
        <w:rPr>
          <w:rFonts w:hint="eastAsia" w:hAnsi="仿宋_GB2312" w:cs="仿宋_GB2312"/>
          <w:kern w:val="2"/>
          <w:sz w:val="32"/>
          <w:szCs w:val="32"/>
        </w:rPr>
        <w:t>广朝委办函</w:t>
      </w:r>
      <w:r>
        <w:rPr>
          <w:rFonts w:hint="eastAsia" w:ascii="仿宋_GB2312" w:hAnsi="仿宋_GB2312" w:eastAsia="仿宋_GB2312" w:cs="仿宋_GB2312"/>
          <w:kern w:val="0"/>
          <w:sz w:val="32"/>
          <w:szCs w:val="32"/>
        </w:rPr>
        <w:t>〔20</w:t>
      </w:r>
      <w:r>
        <w:rPr>
          <w:rFonts w:hint="eastAsia" w:hAnsi="仿宋_GB2312" w:cs="仿宋_GB2312"/>
          <w:kern w:val="0"/>
          <w:sz w:val="32"/>
          <w:szCs w:val="32"/>
          <w:lang w:val="en-US" w:eastAsia="zh-CN"/>
        </w:rPr>
        <w:t>14</w:t>
      </w:r>
      <w:r>
        <w:rPr>
          <w:rFonts w:hint="eastAsia" w:ascii="仿宋_GB2312" w:hAnsi="仿宋_GB2312" w:eastAsia="仿宋_GB2312" w:cs="仿宋_GB2312"/>
          <w:kern w:val="0"/>
          <w:sz w:val="32"/>
          <w:szCs w:val="32"/>
        </w:rPr>
        <w:t>〕</w:t>
      </w:r>
      <w:r>
        <w:rPr>
          <w:rFonts w:hint="eastAsia" w:hAnsi="仿宋_GB2312" w:cs="仿宋_GB2312"/>
          <w:kern w:val="2"/>
          <w:sz w:val="32"/>
          <w:szCs w:val="32"/>
        </w:rPr>
        <w:t>2号</w:t>
      </w:r>
      <w:r>
        <w:rPr>
          <w:rFonts w:hint="eastAsia" w:hAnsi="仿宋_GB2312" w:cs="仿宋_GB2312"/>
          <w:kern w:val="0"/>
          <w:sz w:val="32"/>
          <w:szCs w:val="32"/>
          <w:lang w:val="en-US" w:eastAsia="zh-CN"/>
        </w:rPr>
        <w:t>），要求每季度组织县级离退休干部召开一次工作情况通报（座谈）会，传达中央、省委、市委、区委有关重要精神和区委、区政府关于全区经济社会发展的重大决策部署，通报全区经济社会发展情况和分管工作主要情况。听取离退休干部关于区委、区政府工作的意见建议。</w:t>
      </w:r>
      <w:r>
        <w:rPr>
          <w:rFonts w:hint="eastAsia" w:hAnsi="仿宋" w:cs="Times New Roman"/>
          <w:sz w:val="32"/>
          <w:szCs w:val="32"/>
        </w:rPr>
        <w:t>该项目实施周期为2022年度，根据工作实际发生情况，及时拨付使用。</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lang w:val="zh-CN"/>
        </w:rPr>
      </w:pPr>
      <w:r>
        <w:rPr>
          <w:rFonts w:hint="eastAsia" w:ascii="楷体_GB2312" w:hAnsi="宋体" w:eastAsia="楷体_GB2312"/>
          <w:b/>
          <w:color w:val="auto"/>
          <w:sz w:val="32"/>
          <w:szCs w:val="32"/>
          <w:highlight w:val="none"/>
          <w:u w:val="none"/>
          <w:lang w:val="zh-CN"/>
        </w:rPr>
        <w:t>（二）项目绩效目标。</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1．项目主要内容。</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每季度组织县级离退休干部召开一次工作情况通报（座谈）会，传达中央、省委、市委、区委有关重要精神和区委、区政府关于全区经济社会发展的重大决策部署，通报全区经济社会发展情况和分管工作主要情况。听取离退休干部关于区委、区政府工作的意见建议。根据实际情况需要，组织离退休干部到相关区级部门或市内其他县区现场参观考察。</w:t>
      </w:r>
      <w:r>
        <w:rPr>
          <w:rFonts w:hint="eastAsia" w:ascii="仿宋_GB2312" w:hAnsi="仿宋_GB2312" w:eastAsia="仿宋_GB2312" w:cs="仿宋_GB2312"/>
          <w:sz w:val="32"/>
          <w:szCs w:val="32"/>
        </w:rPr>
        <w:t>按要求积极组织老同志代表参加全区重大会议。</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2．项目应实现的具体绩效目标，</w:t>
      </w:r>
      <w:r>
        <w:rPr>
          <w:rFonts w:hint="eastAsia" w:ascii="仿宋_GB2312" w:hAnsi="仿宋_GB2312" w:eastAsia="仿宋_GB2312" w:cs="仿宋_GB2312"/>
          <w:color w:val="auto"/>
          <w:kern w:val="0"/>
          <w:sz w:val="32"/>
          <w:szCs w:val="32"/>
          <w:highlight w:val="none"/>
          <w:u w:val="none"/>
          <w:shd w:val="clear" w:color="auto" w:fill="FFFFFF"/>
          <w:lang w:val="en-US" w:eastAsia="zh-CN"/>
        </w:rPr>
        <w:t>包括但不限于</w:t>
      </w:r>
      <w:r>
        <w:rPr>
          <w:rFonts w:hint="eastAsia" w:ascii="仿宋_GB2312" w:hAnsi="仿宋_GB2312" w:cs="仿宋_GB2312"/>
          <w:color w:val="auto"/>
          <w:kern w:val="0"/>
          <w:sz w:val="32"/>
          <w:szCs w:val="32"/>
          <w:highlight w:val="none"/>
          <w:u w:val="none"/>
          <w:shd w:val="clear" w:color="auto" w:fill="FFFFFF"/>
          <w:lang w:val="en-US" w:eastAsia="zh-CN"/>
        </w:rPr>
        <w:t>：绩效</w:t>
      </w:r>
      <w:r>
        <w:rPr>
          <w:rFonts w:hint="eastAsia" w:ascii="仿宋_GB2312" w:hAnsi="仿宋_GB2312" w:eastAsia="仿宋_GB2312" w:cs="仿宋_GB2312"/>
          <w:color w:val="auto"/>
          <w:kern w:val="0"/>
          <w:sz w:val="32"/>
          <w:szCs w:val="32"/>
          <w:highlight w:val="none"/>
          <w:u w:val="none"/>
          <w:shd w:val="clear" w:color="auto" w:fill="FFFFFF"/>
          <w:lang w:val="zh-CN"/>
        </w:rPr>
        <w:t>目标的量化细化情况</w:t>
      </w:r>
      <w:r>
        <w:rPr>
          <w:rFonts w:hint="eastAsia" w:ascii="仿宋_GB2312" w:hAnsi="仿宋_GB2312" w:cs="仿宋_GB2312"/>
          <w:color w:val="auto"/>
          <w:kern w:val="0"/>
          <w:sz w:val="32"/>
          <w:szCs w:val="32"/>
          <w:highlight w:val="none"/>
          <w:u w:val="none"/>
          <w:shd w:val="clear" w:color="auto" w:fill="FFFFFF"/>
          <w:lang w:val="zh-CN"/>
        </w:rPr>
        <w:t>、</w:t>
      </w:r>
      <w:r>
        <w:rPr>
          <w:rFonts w:hint="eastAsia" w:ascii="仿宋_GB2312" w:hAnsi="仿宋_GB2312" w:eastAsia="仿宋_GB2312" w:cs="仿宋_GB2312"/>
          <w:color w:val="auto"/>
          <w:kern w:val="0"/>
          <w:sz w:val="32"/>
          <w:szCs w:val="32"/>
          <w:highlight w:val="none"/>
          <w:u w:val="none"/>
          <w:shd w:val="clear" w:color="auto" w:fill="FFFFFF"/>
          <w:lang w:val="zh-CN"/>
        </w:rPr>
        <w:t>项目实施进度计划等。</w:t>
      </w:r>
    </w:p>
    <w:p>
      <w:pPr>
        <w:spacing w:line="580" w:lineRule="exact"/>
        <w:ind w:firstLine="640"/>
        <w:rPr>
          <w:rFonts w:ascii="仿宋_GB2312" w:hAnsi="仿宋_GB2312" w:eastAsia="仿宋_GB2312" w:cs="仿宋_GB2312"/>
          <w:sz w:val="32"/>
          <w:szCs w:val="32"/>
        </w:rPr>
      </w:pPr>
      <w:r>
        <w:rPr>
          <w:rFonts w:hint="eastAsia" w:ascii="仿宋_GB2312" w:eastAsia="仿宋_GB2312" w:cs="仿宋_GB2312"/>
          <w:sz w:val="32"/>
          <w:szCs w:val="32"/>
        </w:rPr>
        <w:t>最大限度体现老干部的政治待遇和区委对老干部的重视与关心，</w:t>
      </w:r>
      <w:r>
        <w:rPr>
          <w:rFonts w:hint="eastAsia" w:ascii="仿宋_GB2312" w:hAnsi="仿宋_GB2312" w:eastAsia="仿宋_GB2312" w:cs="仿宋_GB2312"/>
          <w:sz w:val="32"/>
          <w:szCs w:val="32"/>
        </w:rPr>
        <w:t>为加快建设繁荣和谐美丽幸福现代化朝天作出新的更大贡献。截止2022年底，我中心对该项目预算已全额拨付。</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3．分析评价申报内容是否与实际相符，申报目标是否合理可行。</w:t>
      </w:r>
    </w:p>
    <w:p>
      <w:pPr>
        <w:autoSpaceDE w:val="0"/>
        <w:spacing w:line="540" w:lineRule="exact"/>
        <w:ind w:firstLine="640" w:firstLineChars="200"/>
        <w:rPr>
          <w:rFonts w:hint="eastAsia"/>
          <w:lang w:val="zh-CN"/>
        </w:rPr>
      </w:pPr>
      <w:r>
        <w:rPr>
          <w:rFonts w:hint="eastAsia" w:ascii="仿宋_GB2312" w:hAnsi="仿宋" w:eastAsia="仿宋_GB2312" w:cs="Times New Roman"/>
          <w:sz w:val="32"/>
          <w:szCs w:val="32"/>
        </w:rPr>
        <w:t>区委区政府工作通报会项目运行工作经费与年初预算相符，具体实施内容与项目申报内容相符，申报目标合理可行。</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（三）项目自评步骤及方法。</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采取自评与他评相结合方式，成立项目自评小组，结合评价内容，做到有计划，有安排，扎实开展本次自评工作。按照区财政局下达的项目支出绩效目标自评表、项目支出绩效评价指标体系，自评小组针对申报内容、实施情况、资金兑现、财务管理、社会效益等做出自我评价，认真听取上级领导建议意见，做好自评工作。</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二、项目资金申报及使用情况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b/>
          <w:color w:val="auto"/>
          <w:sz w:val="32"/>
          <w:szCs w:val="32"/>
          <w:highlight w:val="none"/>
          <w:u w:val="none"/>
          <w:lang w:val="zh-CN"/>
        </w:rPr>
      </w:pPr>
      <w:r>
        <w:rPr>
          <w:rFonts w:hint="eastAsia" w:ascii="仿宋_GB2312" w:hAnsi="仿宋_GB2312" w:eastAsia="仿宋_GB2312" w:cs="仿宋_GB2312"/>
          <w:kern w:val="2"/>
          <w:sz w:val="32"/>
          <w:szCs w:val="32"/>
        </w:rPr>
        <w:t>2022年度区委区政府工作通报会项目预算资金为4万元，项目测算在区委区政府的决策部署下，由我中心根据前期工作情况测算项目标准，按年度进行申报，资金及时批复到位，申报程序符合资金管理办法相关规定，年终无追加，项目执行预算为4万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（二）资金计划、到位及使用情况（可用表格形式反映）。</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1．资金计划。</w:t>
      </w:r>
    </w:p>
    <w:p>
      <w:pPr>
        <w:autoSpaceDE w:val="0"/>
        <w:spacing w:line="576" w:lineRule="exact"/>
        <w:ind w:firstLine="640" w:firstLineChars="200"/>
        <w:rPr>
          <w:rFonts w:hint="eastAsia" w:ascii="仿宋_GB2312" w:hAnsi="仿宋_GB2312" w:eastAsia="仿宋_GB2312" w:cs="仿宋_GB2312"/>
          <w:color w:val="auto"/>
          <w:kern w:val="0"/>
          <w:sz w:val="32"/>
          <w:szCs w:val="32"/>
          <w:highlight w:val="none"/>
          <w:u w:val="none"/>
          <w:shd w:val="clear" w:color="auto" w:fill="FFFFFF"/>
          <w:lang w:val="zh-CN" w:eastAsia="zh-CN"/>
        </w:rPr>
      </w:pPr>
      <w:r>
        <w:rPr>
          <w:rFonts w:hint="eastAsia" w:ascii="仿宋_GB2312" w:hAnsi="仿宋_GB2312" w:eastAsia="仿宋_GB2312" w:cs="仿宋_GB2312"/>
          <w:sz w:val="32"/>
          <w:szCs w:val="32"/>
        </w:rPr>
        <w:t>本项经费，由财政局年初预算安排4万元下拨至我单位，用于组织离退休干部开展区委区政府工作通报会</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2．资金到位。</w:t>
      </w:r>
    </w:p>
    <w:p>
      <w:pPr>
        <w:autoSpaceDE w:val="0"/>
        <w:spacing w:line="576" w:lineRule="exact"/>
        <w:ind w:firstLine="640" w:firstLineChars="200"/>
        <w:rPr>
          <w:rFonts w:hint="eastAsia"/>
          <w:lang w:val="zh-CN"/>
        </w:rPr>
      </w:pPr>
      <w:r>
        <w:rPr>
          <w:rFonts w:hint="eastAsia" w:ascii="仿宋_GB2312" w:hAnsi="仿宋_GB2312" w:eastAsia="仿宋_GB2312" w:cs="仿宋_GB2312"/>
          <w:sz w:val="32"/>
          <w:szCs w:val="32"/>
        </w:rPr>
        <w:t>项目资金已足额到账，资金到位率100%。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3．资金使用。</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截至2022年12月31日,项目资金使用4万元，资金使用率100%。项目主要用于组织离退休干部开展区委区政府工作通报会，项目资金无调整，资金支付依据合规合法与预算相符。</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（三）项目财务管理情况。</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2022年，我中心财务管理制度健全，并严格执行财务管理制度，账务处理及时，会计核算规范，主要采取了下列措施。</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（1）预算管理</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单位不断强化预算意识，保证预算编制质量。部门预算批复后，及时跟进预算执行进度，科学安排支出，降低预算支出的波动幅度。加强对预算执行过程中过程的控制和结果的反馈。</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（2）内控管理</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和完善内控制度，全面梳理业务流程，明确业务环节，分析风险隐患。有效运用不相容岗位相互分离，归口管理，预算控制，内部信息公开等控制方法，加强单位层面和业务层面的内部控制，建立监督机制，确保资金安全，完善内部控制体系，最大限度的发挥财政资金的使用效益。</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（3）绩效管理</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加强学习关于预算绩效的文件，树立“花钱必问效，无效必问责”的意识。在2022年的工作中，按照上级和财政部门的要求，研究和设立绩效指标，并在实施中进行分析，在决算报告中体现。</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）人才队伍建设</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财务管理队伍的业务能力提升；认真学习新制度新要求；积极组织参加上级和财政部门组织的培训活动；对工作严格要求，按时完成上级要求的报表编制和报告编写工作。2022年，我中心财务管理制度健全，并严格执行财务管理制度，账务处理及时，会计核算规范，主要采取了下列措施。</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rPr>
        <w:t>三、项目实施及管理情况</w:t>
      </w:r>
    </w:p>
    <w:p>
      <w:pPr>
        <w:autoSpaceDE w:val="0"/>
        <w:adjustRightInd w:val="0"/>
        <w:snapToGrid w:val="0"/>
        <w:spacing w:line="576" w:lineRule="exact"/>
        <w:ind w:firstLine="720"/>
        <w:rPr>
          <w:rFonts w:ascii="楷体_GB2312" w:hAnsi="宋体" w:eastAsia="楷体_GB2312" w:cs="Times New Roman"/>
          <w:b/>
          <w:w w:val="99"/>
          <w:sz w:val="32"/>
          <w:szCs w:val="32"/>
        </w:rPr>
      </w:pPr>
      <w:r>
        <w:rPr>
          <w:rFonts w:hint="eastAsia" w:ascii="楷体_GB2312" w:hAnsi="宋体" w:eastAsia="楷体_GB2312"/>
          <w:b/>
          <w:color w:val="auto"/>
          <w:sz w:val="32"/>
          <w:szCs w:val="32"/>
          <w:highlight w:val="none"/>
          <w:u w:val="none"/>
          <w:lang w:val="zh-CN"/>
        </w:rPr>
        <w:t>（一）项目组织架构及实施流程。</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根据我中心工作实际，经全体干部职工大会研究讨论决定，由副主任牵头负责此项工作，办公室负责日常业务工作，保障离退休干部的政治待遇。</w:t>
      </w:r>
    </w:p>
    <w:p>
      <w:pPr>
        <w:autoSpaceDE w:val="0"/>
        <w:spacing w:line="576" w:lineRule="exact"/>
        <w:ind w:firstLine="643" w:firstLineChars="200"/>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（二）项目管理情况。</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该项目为保障性经费支出项目，其项目管理制度合并在我中心财务管理制度、内控管理制度等规范性财务制度之下，未单独建立项目管理制度。</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cs="Times New Roman"/>
          <w:b/>
          <w:w w:val="99"/>
          <w:sz w:val="32"/>
          <w:szCs w:val="32"/>
        </w:rPr>
      </w:pPr>
      <w:r>
        <w:rPr>
          <w:rFonts w:hint="eastAsia" w:ascii="楷体_GB2312" w:hAnsi="宋体" w:eastAsia="楷体_GB2312"/>
          <w:b/>
          <w:color w:val="auto"/>
          <w:sz w:val="32"/>
          <w:szCs w:val="32"/>
          <w:highlight w:val="none"/>
          <w:u w:val="none"/>
          <w:lang w:val="zh-CN"/>
        </w:rPr>
        <w:t>（三）项目监管情况。</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项目资金使用方案由全体干部职工大会讨论决定，由副主任牵头负责，办公室负责日常业务及跟踪项目实施全过程，对实施效果进行客观评价。</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四、项目绩效情况</w:t>
      </w:r>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（一）项目完成情况。</w:t>
      </w:r>
    </w:p>
    <w:p>
      <w:pPr>
        <w:spacing w:line="580" w:lineRule="exact"/>
        <w:ind w:firstLine="640"/>
        <w:rPr>
          <w:lang w:val="zh-CN"/>
        </w:rPr>
      </w:pPr>
      <w:r>
        <w:rPr>
          <w:rFonts w:hint="eastAsia" w:ascii="仿宋_GB2312" w:hAnsi="仿宋_GB2312" w:eastAsia="仿宋_GB2312" w:cs="仿宋_GB2312"/>
          <w:sz w:val="32"/>
          <w:szCs w:val="32"/>
        </w:rPr>
        <w:t>2022年度，我中心完成了区委区政府工作通报会项目经费的使用，根据工作实际情况，按时足额的进行了拨付，无超支、超标准、超范围使用项目资金情况发生。</w:t>
      </w:r>
      <w:r>
        <w:rPr>
          <w:rFonts w:hint="eastAsia" w:ascii="仿宋_GB2312" w:eastAsia="仿宋_GB2312" w:cs="仿宋_GB2312"/>
          <w:sz w:val="32"/>
          <w:szCs w:val="32"/>
        </w:rPr>
        <w:t>坚持按季度向离退休干部通报全区经济社会发展情况，全年开展4次以上座谈会，</w:t>
      </w:r>
      <w:r>
        <w:rPr>
          <w:rFonts w:hint="eastAsia" w:ascii="仿宋_GB2312" w:hAnsi="仿宋_GB2312" w:eastAsia="仿宋_GB2312" w:cs="仿宋_GB2312"/>
          <w:sz w:val="32"/>
          <w:szCs w:val="32"/>
        </w:rPr>
        <w:t>年初的“两会”、全区的经济工作会、全省集中宣讲党的二十大精神视频会邀请县级离退休干部代表参加</w:t>
      </w:r>
      <w:r>
        <w:rPr>
          <w:rFonts w:hint="eastAsia" w:ascii="仿宋_GB2312" w:eastAsia="仿宋_GB2312" w:cs="仿宋_GB2312"/>
          <w:sz w:val="32"/>
          <w:szCs w:val="32"/>
        </w:rPr>
        <w:t>。最大限度体现老干部的政治待遇和区委对老干部的重视与关心</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（二）项目效益情况。</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社会效益方面，通过本项目的实施，</w:t>
      </w:r>
      <w:r>
        <w:rPr>
          <w:rFonts w:hint="eastAsia" w:ascii="仿宋_GB2312" w:eastAsia="仿宋_GB2312" w:cs="仿宋_GB2312"/>
          <w:sz w:val="32"/>
          <w:szCs w:val="32"/>
        </w:rPr>
        <w:t>最大限度体现老干部的政治待遇和区委对老干部的重视与关心，</w:t>
      </w:r>
      <w:r>
        <w:rPr>
          <w:rFonts w:hint="eastAsia" w:ascii="仿宋_GB2312" w:hAnsi="仿宋_GB2312" w:eastAsia="仿宋_GB2312" w:cs="仿宋_GB2312"/>
          <w:sz w:val="32"/>
          <w:szCs w:val="32"/>
        </w:rPr>
        <w:t>让他们为加快建设繁荣和谐美丽幸福现代化朝天发挥余热具有十分重要的意义。</w:t>
      </w:r>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服务对象满意度方面，离退休干部非常满意，满意率达100%。</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五、评价结论及建议</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（一）评价结论。</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从总体上看，该项目绩效目标合理，决策依据充分，项目补助方式科学合理、规范有序，项目的实施提高了离退休干部政治待遇。项目总体评分得99分。</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（二）存在的问题。</w:t>
      </w:r>
    </w:p>
    <w:p>
      <w:pPr>
        <w:spacing w:line="576" w:lineRule="exact"/>
        <w:ind w:firstLine="645"/>
        <w:rPr>
          <w:lang w:val="zh-CN"/>
        </w:rPr>
      </w:pPr>
      <w:r>
        <w:rPr>
          <w:rFonts w:hint="eastAsia" w:ascii="仿宋_GB2312" w:hAnsi="仿宋_GB2312" w:eastAsia="仿宋_GB2312" w:cs="仿宋_GB2312"/>
          <w:sz w:val="32"/>
          <w:szCs w:val="32"/>
        </w:rPr>
        <w:t>一是预算编制具体项目的细化程度和精准度不够高，合理性有待进一步加强。二是资金使用效益有待进一步提高，绩效目标设立不够明确、细化和量化。三是财政资金投入不够。主要原因是无专业财务人员，目前财务工作是办公室兼，对财务工作业务还不熟悉。</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（三）相关建议。</w:t>
      </w:r>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一是认真做好编制前的准备工作。认真测算支出范围、开支标准,并分析近年来的财务收支状况及预算执行情况。</w:t>
      </w:r>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二是要将预算支出细化,根据项目发展的重要性、可行性和效益,分轻重缓急,合理安排项目资金。</w:t>
      </w:r>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三是单位要加强绩效目标设立、细化和量化工作的力度，进一步提高资金使用效率。</w:t>
      </w:r>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四是加强财务工作业务学习。</w:t>
      </w:r>
    </w:p>
    <w:p>
      <w:pPr>
        <w:spacing w:line="580" w:lineRule="exact"/>
        <w:rPr>
          <w:rStyle w:val="28"/>
          <w:rFonts w:ascii="黑体" w:hAnsi="黑体" w:eastAsia="黑体"/>
          <w:b w:val="0"/>
          <w:color w:val="auto"/>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576" w:lineRule="exact"/>
        <w:ind w:firstLine="880" w:firstLineChars="200"/>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老干部体检经费项目支出</w:t>
      </w:r>
    </w:p>
    <w:p>
      <w:pPr>
        <w:spacing w:line="576" w:lineRule="exact"/>
        <w:ind w:firstLine="880" w:firstLineChars="200"/>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绩效自评报告</w:t>
      </w:r>
    </w:p>
    <w:p>
      <w:pPr>
        <w:pStyle w:val="34"/>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hint="eastAsia" w:ascii="黑体" w:hAnsi="宋体" w:eastAsia="黑体"/>
          <w:color w:val="auto"/>
          <w:sz w:val="32"/>
          <w:szCs w:val="32"/>
          <w:highlight w:val="none"/>
          <w:lang w:val="en-US" w:eastAsia="zh-CN"/>
        </w:rPr>
      </w:pPr>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r>
        <w:rPr>
          <w:rFonts w:hint="eastAsia" w:ascii="黑体" w:hAnsi="宋体" w:eastAsia="黑体"/>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pStyle w:val="5"/>
        <w:spacing w:beforeLines="0" w:line="576" w:lineRule="exact"/>
        <w:ind w:firstLine="640" w:firstLineChars="200"/>
      </w:pPr>
      <w:r>
        <w:rPr>
          <w:rFonts w:hint="eastAsia" w:hAnsi="仿宋_GB2312" w:cs="仿宋_GB2312"/>
          <w:kern w:val="2"/>
          <w:sz w:val="32"/>
          <w:szCs w:val="32"/>
        </w:rPr>
        <w:t>按照区委、区政府《关于朝天区离退休干部管理办法（试行）的通知》（广朝委发〔2013〕12号），第四章第二十一条明确规定副县级及以上离退休干部的健康检查，由区委老干部局负责组织实施，体检费用纳入财政预算。</w:t>
      </w:r>
      <w:r>
        <w:rPr>
          <w:rFonts w:hint="eastAsia" w:hAnsi="仿宋" w:cs="Times New Roman"/>
          <w:sz w:val="32"/>
          <w:szCs w:val="32"/>
        </w:rPr>
        <w:t>该项目实施周期为2022年度，根据工作实际发生情况，及时拨付使用。</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lang w:val="zh-CN"/>
        </w:rPr>
      </w:pPr>
      <w:r>
        <w:rPr>
          <w:rFonts w:hint="eastAsia" w:ascii="楷体_GB2312" w:hAnsi="宋体" w:eastAsia="楷体_GB2312"/>
          <w:b/>
          <w:color w:val="auto"/>
          <w:sz w:val="32"/>
          <w:szCs w:val="32"/>
          <w:highlight w:val="none"/>
          <w:u w:val="none"/>
          <w:lang w:val="zh-CN"/>
        </w:rPr>
        <w:t>（二）项目绩效目标。</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1．项目主要内容。</w:t>
      </w:r>
    </w:p>
    <w:p>
      <w:pPr>
        <w:pStyle w:val="5"/>
        <w:spacing w:beforeLines="0" w:line="576" w:lineRule="exact"/>
        <w:ind w:firstLine="640" w:firstLineChars="200"/>
        <w:rPr>
          <w:rFonts w:hAnsi="仿宋_GB2312" w:cs="仿宋_GB2312"/>
          <w:sz w:val="32"/>
          <w:szCs w:val="32"/>
        </w:rPr>
      </w:pPr>
      <w:r>
        <w:rPr>
          <w:rFonts w:hint="eastAsia" w:hAnsi="仿宋_GB2312" w:cs="仿宋_GB2312"/>
          <w:sz w:val="32"/>
          <w:szCs w:val="32"/>
        </w:rPr>
        <w:t>每年组织县级离退休干部开展一次健康体检。</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2．项目应实现的具体绩效目标，</w:t>
      </w:r>
      <w:r>
        <w:rPr>
          <w:rFonts w:hint="eastAsia" w:ascii="仿宋_GB2312" w:hAnsi="仿宋_GB2312" w:eastAsia="仿宋_GB2312" w:cs="仿宋_GB2312"/>
          <w:color w:val="auto"/>
          <w:kern w:val="0"/>
          <w:sz w:val="32"/>
          <w:szCs w:val="32"/>
          <w:highlight w:val="none"/>
          <w:u w:val="none"/>
          <w:shd w:val="clear" w:color="auto" w:fill="FFFFFF"/>
          <w:lang w:val="en-US" w:eastAsia="zh-CN"/>
        </w:rPr>
        <w:t>包括但不限于</w:t>
      </w:r>
      <w:r>
        <w:rPr>
          <w:rFonts w:hint="eastAsia" w:ascii="仿宋_GB2312" w:hAnsi="仿宋_GB2312" w:cs="仿宋_GB2312"/>
          <w:color w:val="auto"/>
          <w:kern w:val="0"/>
          <w:sz w:val="32"/>
          <w:szCs w:val="32"/>
          <w:highlight w:val="none"/>
          <w:u w:val="none"/>
          <w:shd w:val="clear" w:color="auto" w:fill="FFFFFF"/>
          <w:lang w:val="en-US" w:eastAsia="zh-CN"/>
        </w:rPr>
        <w:t>：绩效</w:t>
      </w:r>
      <w:r>
        <w:rPr>
          <w:rFonts w:hint="eastAsia" w:ascii="仿宋_GB2312" w:hAnsi="仿宋_GB2312" w:eastAsia="仿宋_GB2312" w:cs="仿宋_GB2312"/>
          <w:color w:val="auto"/>
          <w:kern w:val="0"/>
          <w:sz w:val="32"/>
          <w:szCs w:val="32"/>
          <w:highlight w:val="none"/>
          <w:u w:val="none"/>
          <w:shd w:val="clear" w:color="auto" w:fill="FFFFFF"/>
          <w:lang w:val="zh-CN"/>
        </w:rPr>
        <w:t>目标的量化细化情况</w:t>
      </w:r>
      <w:r>
        <w:rPr>
          <w:rFonts w:hint="eastAsia" w:ascii="仿宋_GB2312" w:hAnsi="仿宋_GB2312" w:cs="仿宋_GB2312"/>
          <w:color w:val="auto"/>
          <w:kern w:val="0"/>
          <w:sz w:val="32"/>
          <w:szCs w:val="32"/>
          <w:highlight w:val="none"/>
          <w:u w:val="none"/>
          <w:shd w:val="clear" w:color="auto" w:fill="FFFFFF"/>
          <w:lang w:val="zh-CN"/>
        </w:rPr>
        <w:t>、</w:t>
      </w:r>
      <w:r>
        <w:rPr>
          <w:rFonts w:hint="eastAsia" w:ascii="仿宋_GB2312" w:hAnsi="仿宋_GB2312" w:eastAsia="仿宋_GB2312" w:cs="仿宋_GB2312"/>
          <w:color w:val="auto"/>
          <w:kern w:val="0"/>
          <w:sz w:val="32"/>
          <w:szCs w:val="32"/>
          <w:highlight w:val="none"/>
          <w:u w:val="none"/>
          <w:shd w:val="clear" w:color="auto" w:fill="FFFFFF"/>
          <w:lang w:val="zh-CN"/>
        </w:rPr>
        <w:t>项目实施进度计划等。</w:t>
      </w:r>
    </w:p>
    <w:p>
      <w:pPr>
        <w:spacing w:line="580" w:lineRule="exact"/>
        <w:ind w:firstLine="640"/>
        <w:rPr>
          <w:rFonts w:hint="eastAsia"/>
          <w:lang w:val="zh-CN"/>
        </w:rPr>
      </w:pPr>
      <w:r>
        <w:rPr>
          <w:rFonts w:hint="eastAsia" w:ascii="仿宋_GB2312" w:eastAsia="仿宋_GB2312" w:cs="仿宋_GB2312"/>
          <w:sz w:val="32"/>
          <w:szCs w:val="32"/>
        </w:rPr>
        <w:t>最大限度体现老干部的生活待遇和区委对老干部的重视与关心，</w:t>
      </w:r>
      <w:r>
        <w:rPr>
          <w:rFonts w:hint="eastAsia" w:ascii="仿宋_GB2312" w:hAnsi="仿宋_GB2312" w:eastAsia="仿宋_GB2312" w:cs="仿宋_GB2312"/>
          <w:sz w:val="32"/>
          <w:szCs w:val="32"/>
        </w:rPr>
        <w:t>为加快建设繁荣和谐美丽幸福现代化朝天作出新的更大贡献。截止2022年底，我中心对该项目预算已全额拨付。</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3．分析评价申报内容是否与实际相符，申报目标是否合理可行。</w:t>
      </w:r>
    </w:p>
    <w:p>
      <w:pPr>
        <w:autoSpaceDE w:val="0"/>
        <w:spacing w:line="540" w:lineRule="exact"/>
        <w:ind w:firstLine="640" w:firstLineChars="200"/>
        <w:rPr>
          <w:rFonts w:eastAsia="仿宋_GB2312"/>
        </w:rPr>
      </w:pPr>
      <w:r>
        <w:rPr>
          <w:rFonts w:hint="eastAsia" w:ascii="仿宋_GB2312" w:hAnsi="仿宋" w:eastAsia="仿宋_GB2312" w:cs="Times New Roman"/>
          <w:sz w:val="32"/>
          <w:szCs w:val="32"/>
        </w:rPr>
        <w:t>老干部体检经费项目运行工作经费与年初预算相符，具体实施内容与项目申报内容相符，申报目标合理可行。</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（三）项目自评步骤及方法。</w:t>
      </w:r>
    </w:p>
    <w:p>
      <w:pPr>
        <w:autoSpaceDE w:val="0"/>
        <w:spacing w:line="576" w:lineRule="exact"/>
        <w:ind w:firstLine="640" w:firstLineChars="200"/>
        <w:rPr>
          <w:lang w:val="zh-CN"/>
        </w:rPr>
      </w:pPr>
      <w:r>
        <w:rPr>
          <w:rFonts w:hint="eastAsia" w:ascii="仿宋_GB2312" w:hAnsi="仿宋_GB2312" w:eastAsia="仿宋_GB2312" w:cs="仿宋_GB2312"/>
          <w:sz w:val="32"/>
          <w:szCs w:val="32"/>
        </w:rPr>
        <w:t>项目采取自评与他评相结合方式，成立项目自评小组，结合评价内容，做到有计划，有安排，扎实开展本次自评工作。按照区财政局下达的项目支出绩效目标自评表、项目支出绩效评价指标体系，自评小组针对申报内容、实施情况、资金兑现、财务管理、社会效益等做出自我评价，认真听取上级领导建议意见，做好自评工作。</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二、项目资金申报及使用情况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pStyle w:val="5"/>
        <w:spacing w:beforeLines="0" w:line="576" w:lineRule="exact"/>
        <w:ind w:firstLine="640" w:firstLineChars="200"/>
        <w:rPr>
          <w:rFonts w:hAnsi="仿宋_GB2312" w:cs="仿宋_GB2312"/>
          <w:kern w:val="2"/>
          <w:sz w:val="32"/>
          <w:szCs w:val="32"/>
        </w:rPr>
      </w:pPr>
      <w:r>
        <w:rPr>
          <w:rFonts w:hint="eastAsia" w:hAnsi="仿宋_GB2312" w:cs="仿宋_GB2312"/>
          <w:kern w:val="2"/>
          <w:sz w:val="32"/>
          <w:szCs w:val="32"/>
        </w:rPr>
        <w:t>2022年度老干部体检经费项目预算资金为9.4万元，项目测算在区委区政府的决策部署下，由我中心根据前期工作情况测算项目标准，按年度进行申报，资金及时批复到位，申报程序符合资金管理办法相关规定，年终无追加，项目执行预算为9.4万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（二）资金计划、到位及使用情况（可用表格形式反映）。</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1．资金计划。</w:t>
      </w:r>
    </w:p>
    <w:p>
      <w:pPr>
        <w:autoSpaceDE w:val="0"/>
        <w:spacing w:line="576" w:lineRule="exact"/>
        <w:ind w:firstLine="640" w:firstLineChars="200"/>
        <w:rPr>
          <w:rFonts w:hint="eastAsia" w:ascii="仿宋_GB2312" w:hAnsi="仿宋_GB2312" w:eastAsia="仿宋_GB2312" w:cs="仿宋_GB2312"/>
          <w:color w:val="auto"/>
          <w:kern w:val="0"/>
          <w:sz w:val="32"/>
          <w:szCs w:val="32"/>
          <w:highlight w:val="none"/>
          <w:u w:val="none"/>
          <w:shd w:val="clear" w:color="auto" w:fill="FFFFFF"/>
          <w:lang w:val="zh-CN" w:eastAsia="zh-CN"/>
        </w:rPr>
      </w:pPr>
      <w:r>
        <w:rPr>
          <w:rFonts w:hint="eastAsia" w:ascii="仿宋_GB2312" w:hAnsi="仿宋_GB2312" w:eastAsia="仿宋_GB2312" w:cs="仿宋_GB2312"/>
          <w:sz w:val="32"/>
          <w:szCs w:val="32"/>
        </w:rPr>
        <w:t>本项经费，由财政局年初预算安排9.4万元下拨至我单位，用于组织县级离退休干部开展体检</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2．资金到位。</w:t>
      </w:r>
    </w:p>
    <w:p>
      <w:pPr>
        <w:autoSpaceDE w:val="0"/>
        <w:spacing w:line="576" w:lineRule="exact"/>
        <w:ind w:firstLine="640" w:firstLineChars="200"/>
        <w:rPr>
          <w:rFonts w:hint="eastAsia"/>
          <w:lang w:val="zh-CN"/>
        </w:rPr>
      </w:pPr>
      <w:r>
        <w:rPr>
          <w:rFonts w:hint="eastAsia" w:ascii="仿宋_GB2312" w:hAnsi="仿宋_GB2312" w:eastAsia="仿宋_GB2312" w:cs="仿宋_GB2312"/>
          <w:sz w:val="32"/>
          <w:szCs w:val="32"/>
        </w:rPr>
        <w:t>项目资金已足额到账，资金到位率100%。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3．资金使用。</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截至2022年12月31日,项目资金使用9.4万元，资金使用率100%。项目主要用于组织县级离退休干部开展体检，项目资金无调整，资金支付依据合规合法与预算相符。</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（三）项目财务管理情况。</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2022年，我中心财务管理制度健全，并严格执行财务管理制度，账务处理及时，会计核算规范，主要采取了下列措施。</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（1）预算管理</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单位不断强化预算意识，保证预算编制质量。部门预算批复后，及时跟进预算执行进度，科学安排支出，降低预算支出的波动幅度。加强对预算执行过程中过程的控制和结果的反馈。</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（2）内控管理</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和完善内控制度，全面梳理业务流程，明确业务环节，分析风险隐患。有效运用不相容岗位相互分离，归口管理，预算控制，内部信息公开等控制方法，加强单位层面和业务层面的内部控制，建立监督机制，确保资金安全，完善内部控制体系，最大限度的发挥财政资金的使用效益。</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（3）绩效管理</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加强学习关于预算绩效的文件，树立“花钱必问效，无效必问责”的意识。在2022年的工作中，按照上级和财政部门的要求，研究和设立绩效指标，并在实施中进行分析，在决算报告中体现。</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（4）人才队伍建设</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加强财务管理队伍的业务能力提升；认真学习新制度新要求；积极组织参加上级和财政部门组织的培训活动；对工作严格要求，按时完成上级要求的报表编制和报告编写工作。</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rPr>
        <w:t>三、项目实施及管理情况</w:t>
      </w:r>
    </w:p>
    <w:p>
      <w:pPr>
        <w:autoSpaceDE w:val="0"/>
        <w:adjustRightInd w:val="0"/>
        <w:snapToGrid w:val="0"/>
        <w:spacing w:line="576" w:lineRule="exact"/>
        <w:ind w:firstLine="720"/>
        <w:rPr>
          <w:rFonts w:ascii="楷体_GB2312" w:hAnsi="宋体" w:eastAsia="楷体_GB2312" w:cs="Times New Roman"/>
          <w:b/>
          <w:w w:val="99"/>
          <w:sz w:val="32"/>
          <w:szCs w:val="32"/>
        </w:rPr>
      </w:pPr>
      <w:r>
        <w:rPr>
          <w:rFonts w:hint="eastAsia" w:ascii="楷体_GB2312" w:hAnsi="宋体" w:eastAsia="楷体_GB2312"/>
          <w:b/>
          <w:color w:val="auto"/>
          <w:sz w:val="32"/>
          <w:szCs w:val="32"/>
          <w:highlight w:val="none"/>
          <w:u w:val="none"/>
          <w:lang w:val="zh-CN"/>
        </w:rPr>
        <w:t>（一）项目组织架构及实施流程。</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根据我中心工作实际，经全体干部职工大会研究讨论决定，由副主任牵头负责此项工作，办公室负责日常业务工作，保障离退休干部的生活待遇。</w:t>
      </w:r>
    </w:p>
    <w:p>
      <w:pPr>
        <w:autoSpaceDE w:val="0"/>
        <w:spacing w:line="576" w:lineRule="exact"/>
        <w:ind w:firstLine="643" w:firstLineChars="200"/>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（二）项目管理情况。</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该项目为保障性经费支出项目，其项目管理制度合并在我中心财务管理制度、内控管理制度等规范性财务制度之下，未单独建立项目管理制度。</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cs="Times New Roman"/>
          <w:b/>
          <w:w w:val="99"/>
          <w:sz w:val="32"/>
          <w:szCs w:val="32"/>
        </w:rPr>
      </w:pPr>
      <w:r>
        <w:rPr>
          <w:rFonts w:hint="eastAsia" w:ascii="楷体_GB2312" w:hAnsi="宋体" w:eastAsia="楷体_GB2312"/>
          <w:b/>
          <w:color w:val="auto"/>
          <w:sz w:val="32"/>
          <w:szCs w:val="32"/>
          <w:highlight w:val="none"/>
          <w:u w:val="none"/>
          <w:lang w:val="zh-CN"/>
        </w:rPr>
        <w:t>（三）项目监管情况。</w:t>
      </w:r>
    </w:p>
    <w:p>
      <w:pPr>
        <w:autoSpaceDE w:val="0"/>
        <w:spacing w:line="576" w:lineRule="exact"/>
        <w:ind w:firstLine="640" w:firstLineChars="200"/>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sz w:val="32"/>
          <w:szCs w:val="32"/>
        </w:rPr>
        <w:t>项目资金使用方案由全体干部职工大会讨论决定，由副主任牵头负责，办公室负责日常业务及跟踪项目实施全过程，对实施效果进行客观评价。</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四、项目绩效情况</w:t>
      </w:r>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（一）项目完成情况。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eastAsia="仿宋_GB2312" w:cs="仿宋_GB2312"/>
          <w:sz w:val="32"/>
          <w:szCs w:val="32"/>
        </w:rPr>
      </w:pPr>
      <w:r>
        <w:rPr>
          <w:rFonts w:hint="eastAsia" w:ascii="仿宋_GB2312" w:hAnsi="仿宋_GB2312" w:eastAsia="仿宋_GB2312" w:cs="仿宋_GB2312"/>
          <w:sz w:val="32"/>
          <w:szCs w:val="32"/>
        </w:rPr>
        <w:t>2022年度，我中心完成了老干部体检经费的使用，根据工作实际情况，按时足额的进行了拨付，无超支、超标准、超范围使用项目资金情况发生。</w:t>
      </w:r>
      <w:r>
        <w:rPr>
          <w:rFonts w:hint="eastAsia" w:ascii="仿宋_GB2312" w:eastAsia="仿宋_GB2312" w:cs="仿宋_GB2312"/>
          <w:sz w:val="32"/>
          <w:szCs w:val="32"/>
        </w:rPr>
        <w:t>坚持每年组织县级离退休干部开展一次健康检查。最大限度体现了老干部的生活待遇和区委对老干部的重视与关心。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（二）项目效益情况。</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社会效益方面，通过本项目的实施，</w:t>
      </w:r>
      <w:r>
        <w:rPr>
          <w:rFonts w:hint="eastAsia" w:ascii="仿宋_GB2312" w:eastAsia="仿宋_GB2312" w:cs="仿宋_GB2312"/>
          <w:sz w:val="32"/>
          <w:szCs w:val="32"/>
        </w:rPr>
        <w:t>最大限度体现老干部的生活待遇和区委对老干部的重视与关心，</w:t>
      </w:r>
      <w:r>
        <w:rPr>
          <w:rFonts w:hint="eastAsia" w:ascii="仿宋_GB2312" w:hAnsi="仿宋_GB2312" w:eastAsia="仿宋_GB2312" w:cs="仿宋_GB2312"/>
          <w:sz w:val="32"/>
          <w:szCs w:val="32"/>
        </w:rPr>
        <w:t>让他们为加快建设繁荣和谐美丽幸福现代化朝天发挥余热具有十分重要的意义。</w:t>
      </w:r>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服务对象满意度方面，县级离退休干部非常满意，满意率达100%。</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五、评价结论及建议</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（一）评价结论。</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从总体上看，该项目绩效目标合理，决策依据充分，项目补助方式科学合理、规范有序，项目的实施提高了县级离退休干部生活待遇。项目总体评分得99分。</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（二）存在的问题。</w:t>
      </w:r>
    </w:p>
    <w:p>
      <w:pPr>
        <w:spacing w:line="576" w:lineRule="exact"/>
        <w:ind w:firstLine="645"/>
        <w:rPr>
          <w:lang w:val="zh-CN"/>
        </w:rPr>
      </w:pPr>
      <w:r>
        <w:rPr>
          <w:rFonts w:hint="eastAsia" w:ascii="仿宋_GB2312" w:hAnsi="仿宋_GB2312" w:eastAsia="仿宋_GB2312" w:cs="仿宋_GB2312"/>
          <w:sz w:val="32"/>
          <w:szCs w:val="32"/>
        </w:rPr>
        <w:t>一是预算编制具体项目的细化程度和精准度不够高，合理性有待进一步加强。二是资金使用效益有待进一步提高，绩效目标设立不够明确、细化和量化。三是财政资金投入不够。主要原因是无专业财务人员，目前财务工作是办公室兼，对财务工作业务还不熟悉。</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（三）相关建议。</w:t>
      </w:r>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一是认真做好编制前的准备工作。认真测算支出范围、开支标准,并分析近年来的财务收支状况及预算执行情况。</w:t>
      </w:r>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二是要将预算支出细化,根据项目发展的重要性、可行性和效益,分轻重缓急,合理安排项目资金。</w:t>
      </w:r>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三是单位要加强绩效目标设立、细化和量化工作的力度，进一步提高资金使用效率。</w:t>
      </w:r>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四是加强财务工作业务学习。</w:t>
      </w: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pStyle w:val="5"/>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5"/>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5"/>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5"/>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5"/>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5"/>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5"/>
        <w:rPr>
          <w:rFonts w:hint="eastAsia"/>
        </w:rPr>
      </w:pPr>
    </w:p>
    <w:p>
      <w:pPr>
        <w:spacing w:line="600" w:lineRule="exact"/>
        <w:jc w:val="center"/>
        <w:outlineLvl w:val="9"/>
        <w:rPr>
          <w:rFonts w:hint="eastAsia" w:ascii="黑体" w:hAnsi="黑体" w:eastAsia="黑体"/>
          <w:color w:val="auto"/>
          <w:sz w:val="44"/>
          <w:szCs w:val="44"/>
          <w:highlight w:val="none"/>
        </w:rPr>
      </w:pPr>
    </w:p>
    <w:p>
      <w:pPr>
        <w:spacing w:line="576" w:lineRule="exact"/>
        <w:ind w:firstLine="880" w:firstLineChars="200"/>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老干部慰问经费项目支出</w:t>
      </w:r>
    </w:p>
    <w:p>
      <w:pPr>
        <w:spacing w:line="576" w:lineRule="exact"/>
        <w:ind w:firstLine="880" w:firstLineChars="200"/>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绩效自评报告</w:t>
      </w:r>
    </w:p>
    <w:p>
      <w:pPr>
        <w:pStyle w:val="34"/>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hint="eastAsia" w:ascii="黑体" w:hAnsi="宋体" w:eastAsia="黑体"/>
          <w:color w:val="auto"/>
          <w:sz w:val="32"/>
          <w:szCs w:val="32"/>
          <w:highlight w:val="none"/>
          <w:lang w:val="en-US" w:eastAsia="zh-CN"/>
        </w:rPr>
      </w:pPr>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r>
        <w:rPr>
          <w:rFonts w:hint="eastAsia" w:ascii="黑体" w:hAnsi="宋体" w:eastAsia="黑体"/>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pStyle w:val="5"/>
        <w:spacing w:beforeLines="0" w:line="576" w:lineRule="exact"/>
        <w:ind w:firstLine="640" w:firstLineChars="200"/>
      </w:pPr>
      <w:r>
        <w:rPr>
          <w:rFonts w:hint="eastAsia" w:hAnsi="仿宋_GB2312" w:cs="仿宋_GB2312"/>
          <w:kern w:val="2"/>
          <w:sz w:val="32"/>
          <w:szCs w:val="32"/>
        </w:rPr>
        <w:t>按照区委、区政府《关于朝天区离退休干部管理办法（试行）的通知》（广朝委发〔2013〕12号），第四章第二十条明确规定副县级及以上离退休干部的重要节日走访慰问，由区委老干部局负责组织实施。</w:t>
      </w:r>
      <w:r>
        <w:rPr>
          <w:rFonts w:hint="eastAsia" w:hAnsi="仿宋" w:cs="Times New Roman"/>
          <w:sz w:val="32"/>
          <w:szCs w:val="32"/>
        </w:rPr>
        <w:t>该项目实施周期为2022年度，春节前夕，及时拨付使用。</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lang w:val="zh-CN"/>
        </w:rPr>
      </w:pPr>
      <w:r>
        <w:rPr>
          <w:rFonts w:hint="eastAsia" w:ascii="楷体_GB2312" w:hAnsi="宋体" w:eastAsia="楷体_GB2312"/>
          <w:b/>
          <w:color w:val="auto"/>
          <w:sz w:val="32"/>
          <w:szCs w:val="32"/>
          <w:highlight w:val="none"/>
          <w:u w:val="none"/>
          <w:lang w:val="zh-CN"/>
        </w:rPr>
        <w:t>（二）项目绩效目标。</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1．项目主要内容。</w:t>
      </w:r>
    </w:p>
    <w:p>
      <w:pPr>
        <w:pStyle w:val="5"/>
        <w:spacing w:beforeLines="0" w:line="576" w:lineRule="exact"/>
        <w:ind w:firstLine="640" w:firstLineChars="200"/>
        <w:rPr>
          <w:rFonts w:hAnsi="仿宋_GB2312" w:cs="仿宋_GB2312"/>
          <w:sz w:val="32"/>
          <w:szCs w:val="32"/>
        </w:rPr>
      </w:pPr>
      <w:r>
        <w:rPr>
          <w:rFonts w:hint="eastAsia" w:hAnsi="仿宋_GB2312" w:cs="仿宋_GB2312"/>
          <w:sz w:val="32"/>
          <w:szCs w:val="32"/>
        </w:rPr>
        <w:t>每年春节前对县级离退休干部开展一次全覆盖走访慰问。</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2．项目应实现的具体绩效目标，</w:t>
      </w:r>
      <w:r>
        <w:rPr>
          <w:rFonts w:hint="eastAsia" w:ascii="仿宋_GB2312" w:hAnsi="仿宋_GB2312" w:eastAsia="仿宋_GB2312" w:cs="仿宋_GB2312"/>
          <w:color w:val="auto"/>
          <w:kern w:val="0"/>
          <w:sz w:val="32"/>
          <w:szCs w:val="32"/>
          <w:highlight w:val="none"/>
          <w:u w:val="none"/>
          <w:shd w:val="clear" w:color="auto" w:fill="FFFFFF"/>
          <w:lang w:val="en-US" w:eastAsia="zh-CN"/>
        </w:rPr>
        <w:t>包括但不限于</w:t>
      </w:r>
      <w:r>
        <w:rPr>
          <w:rFonts w:hint="eastAsia" w:ascii="仿宋_GB2312" w:hAnsi="仿宋_GB2312" w:cs="仿宋_GB2312"/>
          <w:color w:val="auto"/>
          <w:kern w:val="0"/>
          <w:sz w:val="32"/>
          <w:szCs w:val="32"/>
          <w:highlight w:val="none"/>
          <w:u w:val="none"/>
          <w:shd w:val="clear" w:color="auto" w:fill="FFFFFF"/>
          <w:lang w:val="en-US" w:eastAsia="zh-CN"/>
        </w:rPr>
        <w:t>：绩效</w:t>
      </w:r>
      <w:r>
        <w:rPr>
          <w:rFonts w:hint="eastAsia" w:ascii="仿宋_GB2312" w:hAnsi="仿宋_GB2312" w:eastAsia="仿宋_GB2312" w:cs="仿宋_GB2312"/>
          <w:color w:val="auto"/>
          <w:kern w:val="0"/>
          <w:sz w:val="32"/>
          <w:szCs w:val="32"/>
          <w:highlight w:val="none"/>
          <w:u w:val="none"/>
          <w:shd w:val="clear" w:color="auto" w:fill="FFFFFF"/>
          <w:lang w:val="zh-CN"/>
        </w:rPr>
        <w:t>目标的量化细化情况</w:t>
      </w:r>
      <w:r>
        <w:rPr>
          <w:rFonts w:hint="eastAsia" w:ascii="仿宋_GB2312" w:hAnsi="仿宋_GB2312" w:cs="仿宋_GB2312"/>
          <w:color w:val="auto"/>
          <w:kern w:val="0"/>
          <w:sz w:val="32"/>
          <w:szCs w:val="32"/>
          <w:highlight w:val="none"/>
          <w:u w:val="none"/>
          <w:shd w:val="clear" w:color="auto" w:fill="FFFFFF"/>
          <w:lang w:val="zh-CN"/>
        </w:rPr>
        <w:t>、</w:t>
      </w:r>
      <w:r>
        <w:rPr>
          <w:rFonts w:hint="eastAsia" w:ascii="仿宋_GB2312" w:hAnsi="仿宋_GB2312" w:eastAsia="仿宋_GB2312" w:cs="仿宋_GB2312"/>
          <w:color w:val="auto"/>
          <w:kern w:val="0"/>
          <w:sz w:val="32"/>
          <w:szCs w:val="32"/>
          <w:highlight w:val="none"/>
          <w:u w:val="none"/>
          <w:shd w:val="clear" w:color="auto" w:fill="FFFFFF"/>
          <w:lang w:val="zh-CN"/>
        </w:rPr>
        <w:t>项目实施进度计划等。</w:t>
      </w:r>
    </w:p>
    <w:p>
      <w:pPr>
        <w:spacing w:line="580" w:lineRule="exact"/>
        <w:ind w:firstLine="640"/>
        <w:rPr>
          <w:rFonts w:ascii="仿宋_GB2312" w:hAnsi="仿宋_GB2312" w:eastAsia="仿宋_GB2312" w:cs="仿宋_GB2312"/>
          <w:sz w:val="32"/>
          <w:szCs w:val="32"/>
        </w:rPr>
      </w:pPr>
      <w:r>
        <w:rPr>
          <w:rFonts w:hint="eastAsia" w:ascii="仿宋_GB2312" w:eastAsia="仿宋_GB2312" w:cs="仿宋_GB2312"/>
          <w:sz w:val="32"/>
          <w:szCs w:val="32"/>
        </w:rPr>
        <w:t>最大限度体现老干部的生活待遇和区委对老干部的重视与关心，</w:t>
      </w:r>
      <w:r>
        <w:rPr>
          <w:rFonts w:hint="eastAsia" w:ascii="仿宋_GB2312" w:hAnsi="仿宋_GB2312" w:eastAsia="仿宋_GB2312" w:cs="仿宋_GB2312"/>
          <w:sz w:val="32"/>
          <w:szCs w:val="32"/>
        </w:rPr>
        <w:t>为加快建设繁荣和谐美丽幸福现代化朝天作出新的更大贡献。截止2022年底，我中心对该项目预算已全额拨付。</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3．分析评价申报内容是否与实际相符，申报目标是否合理可行。</w:t>
      </w:r>
    </w:p>
    <w:p>
      <w:pPr>
        <w:autoSpaceDE w:val="0"/>
        <w:spacing w:line="540" w:lineRule="exact"/>
        <w:ind w:firstLine="640" w:firstLineChars="200"/>
        <w:rPr>
          <w:rFonts w:eastAsia="仿宋_GB2312"/>
        </w:rPr>
      </w:pPr>
      <w:r>
        <w:rPr>
          <w:rFonts w:hint="eastAsia" w:ascii="仿宋_GB2312" w:hAnsi="仿宋" w:eastAsia="仿宋_GB2312" w:cs="Times New Roman"/>
          <w:sz w:val="32"/>
          <w:szCs w:val="32"/>
        </w:rPr>
        <w:t>老干部慰问经费项目运行工作经费与年初预算相符，具体实施内容与项目申报内容相符，申报目标合理可行。</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（三）项目自评步骤及方法。</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采取自评与他评相结合方式，成立项目自评小组，结合评价内容，做到有计划，有安排，扎实开展本次自评工作。按照区财政局下达的项目支出绩效目标自评表、项目支出绩效评价指标体系，自评小组针对申报内容、实施情况、资金兑现、财务管理、社会效益等做出自我评价，认真听取上级领导建议意见，做好自评工作。</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二、项目资金申报及使用情况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pStyle w:val="5"/>
        <w:spacing w:beforeLines="0" w:line="576" w:lineRule="exact"/>
        <w:ind w:firstLine="640" w:firstLineChars="200"/>
        <w:rPr>
          <w:rFonts w:hAnsi="仿宋_GB2312" w:cs="仿宋_GB2312"/>
          <w:kern w:val="2"/>
          <w:sz w:val="32"/>
          <w:szCs w:val="32"/>
        </w:rPr>
      </w:pPr>
      <w:r>
        <w:rPr>
          <w:rFonts w:hint="eastAsia" w:hAnsi="仿宋_GB2312" w:cs="仿宋_GB2312"/>
          <w:kern w:val="2"/>
          <w:sz w:val="32"/>
          <w:szCs w:val="32"/>
        </w:rPr>
        <w:t>2022年度老干部慰问经费项目预算资金为5.6万元，项目测算在区委区政府的决策部署下，由我中心根据前期工作情况测算项目标准，按年度进行申报，资金及时批复到位，申报程序符合资金管理办法相关规定，年终无追加，项目执行预算为5.6万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（二）资金计划、到位及使用情况（可用表格形式反映）。</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1．资金计划。</w:t>
      </w:r>
    </w:p>
    <w:p>
      <w:pPr>
        <w:autoSpaceDE w:val="0"/>
        <w:spacing w:line="576" w:lineRule="exact"/>
        <w:ind w:firstLine="640" w:firstLineChars="200"/>
        <w:rPr>
          <w:rFonts w:hint="eastAsia" w:ascii="仿宋_GB2312" w:hAnsi="仿宋_GB2312" w:eastAsia="仿宋_GB2312" w:cs="仿宋_GB2312"/>
          <w:color w:val="auto"/>
          <w:kern w:val="0"/>
          <w:sz w:val="32"/>
          <w:szCs w:val="32"/>
          <w:highlight w:val="none"/>
          <w:u w:val="none"/>
          <w:shd w:val="clear" w:color="auto" w:fill="FFFFFF"/>
          <w:lang w:val="zh-CN" w:eastAsia="zh-CN"/>
        </w:rPr>
      </w:pPr>
      <w:r>
        <w:rPr>
          <w:rFonts w:hint="eastAsia" w:ascii="仿宋_GB2312" w:hAnsi="仿宋_GB2312" w:eastAsia="仿宋_GB2312" w:cs="仿宋_GB2312"/>
          <w:sz w:val="32"/>
          <w:szCs w:val="32"/>
        </w:rPr>
        <w:t>本项经费，由财政局年初预算安排5.6万元下拨至我单位，用于春节前对县级离退休干部开展一次全覆盖走访慰问</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2．资金到位。</w:t>
      </w:r>
    </w:p>
    <w:p>
      <w:pPr>
        <w:autoSpaceDE w:val="0"/>
        <w:spacing w:line="576" w:lineRule="exact"/>
        <w:ind w:firstLine="640" w:firstLineChars="200"/>
        <w:rPr>
          <w:rFonts w:hint="eastAsia"/>
          <w:lang w:val="zh-CN"/>
        </w:rPr>
      </w:pPr>
      <w:r>
        <w:rPr>
          <w:rFonts w:hint="eastAsia" w:ascii="仿宋_GB2312" w:hAnsi="仿宋_GB2312" w:eastAsia="仿宋_GB2312" w:cs="仿宋_GB2312"/>
          <w:sz w:val="32"/>
          <w:szCs w:val="32"/>
        </w:rPr>
        <w:t>项目资金已足额到账，资金到位率100%。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3．资金使用。</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截至2022年12月31日,项目资金使用5.6万元，资金使用率100%。项目主要用于春节慰问县级离退休干部，项目资金无调整，资金支付依据合规合法与预算相符。</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（三）项目财务管理情况。</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2022年，我中心财务管理制度健全，并严格执行财务管理制度，账务处理及时，会计核算规范，主要采取了下列措施。</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（1）预算管理</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单位不断强化预算意识，保证预算编制质量。部门预算批复后，及时跟进预算执行进度，科学安排支出，降低预算支出的波动幅度。加强对预算执行过程中过程的控制和结果的反馈。</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（2）内控管理</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和完善内控制度，全面梳理业务流程，明确业务环节，分析风险隐患。有效运用不相容岗位相互分离，归口管理，预算控制，内部信息公开等控制方法，加强单位层面和业务层面的内部控制，建立监督机制，确保资金安全，完善内部控制体系，最大限度的发挥财政资金的使用效益。</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（3）绩效管理</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加强学习关于预算绩效的文件，树立“花钱必问效，无效必问责”的意识。在2022年的工作中，按照上级和财政部门的要求，研究和设立绩效指标，并在实施中进行分析，在决算报告中体现。</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（4）人才队伍建设</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加强财务管理队伍的业务能力提升；认真学习新制度新要求；积极组织参加上级和财政部门组织的培训活动；对工作严格要求，按时完成上级要求的报表编制和报告编写工作。</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rPr>
        <w:t>三、项目实施及管理情况</w:t>
      </w:r>
    </w:p>
    <w:p>
      <w:pPr>
        <w:autoSpaceDE w:val="0"/>
        <w:adjustRightInd w:val="0"/>
        <w:snapToGrid w:val="0"/>
        <w:spacing w:line="576" w:lineRule="exact"/>
        <w:ind w:firstLine="720"/>
        <w:rPr>
          <w:rFonts w:ascii="楷体_GB2312" w:hAnsi="宋体" w:eastAsia="楷体_GB2312" w:cs="Times New Roman"/>
          <w:b/>
          <w:w w:val="99"/>
          <w:sz w:val="32"/>
          <w:szCs w:val="32"/>
        </w:rPr>
      </w:pPr>
      <w:r>
        <w:rPr>
          <w:rFonts w:hint="eastAsia" w:ascii="楷体_GB2312" w:hAnsi="宋体" w:eastAsia="楷体_GB2312"/>
          <w:b/>
          <w:color w:val="auto"/>
          <w:sz w:val="32"/>
          <w:szCs w:val="32"/>
          <w:highlight w:val="none"/>
          <w:u w:val="none"/>
          <w:lang w:val="zh-CN"/>
        </w:rPr>
        <w:t>（一）项目组织架构及实施流程。</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根据我中心工作实际，经全体干部职工大会研究讨论决定，由副主任牵头负责此项工作，办公室负责日常业务工作，保障离退休干部的生活待遇。</w:t>
      </w:r>
    </w:p>
    <w:p>
      <w:pPr>
        <w:autoSpaceDE w:val="0"/>
        <w:spacing w:line="576" w:lineRule="exact"/>
        <w:ind w:firstLine="643" w:firstLineChars="200"/>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（二）项目管理情况。</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该项目为保障性经费支出项目，其项目管理制度合并在我中心财务管理制度、内控管理制度等规范性财务制度之下，未单独建立项目管理制度。</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cs="Times New Roman"/>
          <w:b/>
          <w:w w:val="99"/>
          <w:sz w:val="32"/>
          <w:szCs w:val="32"/>
        </w:rPr>
      </w:pPr>
      <w:r>
        <w:rPr>
          <w:rFonts w:hint="eastAsia" w:ascii="楷体_GB2312" w:hAnsi="宋体" w:eastAsia="楷体_GB2312"/>
          <w:b/>
          <w:color w:val="auto"/>
          <w:sz w:val="32"/>
          <w:szCs w:val="32"/>
          <w:highlight w:val="none"/>
          <w:u w:val="none"/>
          <w:lang w:val="zh-CN"/>
        </w:rPr>
        <w:t>（三）项目监管情况。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项目资金使用方案由全体干部职工大会讨论决定，由副主任牵头负责，办公室负责日常业务及跟踪项目实施全过程，对实施效果进行客观评价。</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四、项目绩效情况</w:t>
      </w:r>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（一）项目完成情况。</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2022年度，我中心完成了老干部慰问经费的使用，根据工作实际情况，按时足额的进行了拨付，无超支、超标准、超范围使用项目资金情况发生。</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（二）项目效益情况。</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社会效益方面，通过本项目的实施，</w:t>
      </w:r>
      <w:r>
        <w:rPr>
          <w:rFonts w:hint="eastAsia" w:ascii="仿宋_GB2312" w:eastAsia="仿宋_GB2312" w:cs="仿宋_GB2312"/>
          <w:sz w:val="32"/>
          <w:szCs w:val="32"/>
        </w:rPr>
        <w:t>最大限度体现老干部的生活待遇和区委对老干部的重视与关心，</w:t>
      </w:r>
      <w:r>
        <w:rPr>
          <w:rFonts w:hint="eastAsia" w:ascii="仿宋_GB2312" w:hAnsi="仿宋_GB2312" w:eastAsia="仿宋_GB2312" w:cs="仿宋_GB2312"/>
          <w:sz w:val="32"/>
          <w:szCs w:val="32"/>
        </w:rPr>
        <w:t>让他们为加快建设繁荣和谐美丽幸福现代化朝天发挥余热具有十分重要的意义。</w:t>
      </w:r>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pacing w:val="-20"/>
          <w:sz w:val="32"/>
          <w:szCs w:val="32"/>
        </w:rPr>
        <w:t>服务对象满意度方面，县级离退休干部非常满意，满意率达100%。</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五、评价结论及建议</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（一）评价结论。</w:t>
      </w:r>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从总体上看，该项目绩效目标合理，决策依据充分，项目补助方式科学合理、规范有序，项目的实施提高了县级离退休干部生活待遇。项目总体评分得99分。</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（二）存在的问题。</w:t>
      </w:r>
    </w:p>
    <w:p>
      <w:pPr>
        <w:spacing w:line="576" w:lineRule="exact"/>
        <w:ind w:firstLine="645"/>
        <w:rPr>
          <w:lang w:val="zh-CN"/>
        </w:rPr>
      </w:pPr>
      <w:r>
        <w:rPr>
          <w:rFonts w:hint="eastAsia" w:ascii="仿宋_GB2312" w:hAnsi="仿宋_GB2312" w:eastAsia="仿宋_GB2312" w:cs="仿宋_GB2312"/>
          <w:sz w:val="32"/>
          <w:szCs w:val="32"/>
        </w:rPr>
        <w:t>一是预算编制具体项目的细化程度和精准度不够高，合理性有待进一步加强。二是资金使用效益有待进一步提高，绩效目标设立不够明确、细化和量化。三是财政资金投入不够。主要原因是无专业财务人员，目前财务工作是办公室兼，对财务工作业务还不熟悉。</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（三）相关建议。</w:t>
      </w:r>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一是认真做好编制前的准备工作。认真测算支出范围、开支标准,并分析近年来的财务收支状况及预算执行情况。</w:t>
      </w:r>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二是要将预算支出细化,根据项目发展的重要性、可行性和效益,分轻重缓急,合理安排项目资金。</w:t>
      </w:r>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三是单位要加强绩效目标设立、细化和量化工作的力度，进一步提高资金使用效率。</w:t>
      </w:r>
    </w:p>
    <w:p>
      <w:pPr>
        <w:spacing w:line="600" w:lineRule="exact"/>
        <w:ind w:firstLine="640" w:firstLineChars="200"/>
        <w:jc w:val="both"/>
        <w:outlineLvl w:val="0"/>
        <w:rPr>
          <w:rFonts w:hint="eastAsia" w:ascii="黑体" w:hAnsi="黑体" w:eastAsia="黑体"/>
          <w:color w:val="auto"/>
          <w:sz w:val="44"/>
          <w:szCs w:val="44"/>
          <w:highlight w:val="none"/>
        </w:rPr>
      </w:pPr>
      <w:bookmarkStart w:id="92" w:name="_Toc15436"/>
      <w:r>
        <w:rPr>
          <w:rFonts w:hint="eastAsia" w:ascii="仿宋_GB2312" w:hAnsi="仿宋_GB2312" w:eastAsia="仿宋_GB2312" w:cs="仿宋_GB2312"/>
          <w:sz w:val="32"/>
          <w:szCs w:val="32"/>
        </w:rPr>
        <w:t>四是加强财务工作业务学习。</w:t>
      </w:r>
      <w:bookmarkEnd w:id="92"/>
    </w:p>
    <w:p>
      <w:pPr>
        <w:spacing w:line="576" w:lineRule="exact"/>
        <w:ind w:firstLine="880" w:firstLineChars="200"/>
        <w:jc w:val="center"/>
        <w:outlineLvl w:val="1"/>
        <w:rPr>
          <w:rFonts w:hint="eastAsia" w:ascii="方正小标宋简体" w:hAnsi="方正小标宋简体" w:eastAsia="方正小标宋简体" w:cs="方正小标宋简体"/>
          <w:kern w:val="0"/>
          <w:sz w:val="44"/>
          <w:szCs w:val="44"/>
        </w:rPr>
      </w:pPr>
      <w:bookmarkStart w:id="93" w:name="_Toc27896"/>
      <w:r>
        <w:rPr>
          <w:rFonts w:hint="eastAsia" w:ascii="方正小标宋简体" w:hAnsi="方正小标宋简体" w:eastAsia="方正小标宋简体" w:cs="方正小标宋简体"/>
          <w:kern w:val="0"/>
          <w:sz w:val="44"/>
          <w:szCs w:val="44"/>
        </w:rPr>
        <w:t>关工委工作经费项目支出</w:t>
      </w:r>
      <w:bookmarkEnd w:id="93"/>
    </w:p>
    <w:p>
      <w:pPr>
        <w:spacing w:line="576" w:lineRule="exact"/>
        <w:ind w:firstLine="880" w:firstLineChars="200"/>
        <w:jc w:val="center"/>
        <w:outlineLvl w:val="1"/>
        <w:rPr>
          <w:rFonts w:ascii="方正小标宋简体" w:hAnsi="方正小标宋简体" w:eastAsia="方正小标宋简体" w:cs="方正小标宋简体"/>
          <w:kern w:val="0"/>
          <w:sz w:val="44"/>
          <w:szCs w:val="44"/>
        </w:rPr>
      </w:pPr>
      <w:bookmarkStart w:id="94" w:name="_Toc3065"/>
      <w:r>
        <w:rPr>
          <w:rFonts w:hint="eastAsia" w:ascii="方正小标宋简体" w:hAnsi="方正小标宋简体" w:eastAsia="方正小标宋简体" w:cs="方正小标宋简体"/>
          <w:kern w:val="0"/>
          <w:sz w:val="44"/>
          <w:szCs w:val="44"/>
        </w:rPr>
        <w:t>绩效自评报告</w:t>
      </w:r>
      <w:bookmarkEnd w:id="94"/>
    </w:p>
    <w:p>
      <w:pPr>
        <w:pStyle w:val="34"/>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outlineLvl w:val="1"/>
        <w:rPr>
          <w:rFonts w:hint="eastAsia" w:ascii="黑体" w:hAnsi="宋体" w:eastAsia="黑体"/>
          <w:color w:val="auto"/>
          <w:sz w:val="32"/>
          <w:szCs w:val="32"/>
          <w:highlight w:val="none"/>
          <w:lang w:val="en-US" w:eastAsia="zh-CN"/>
        </w:rPr>
      </w:pPr>
      <w:bookmarkStart w:id="95" w:name="_Toc24659"/>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bookmarkEnd w:id="95"/>
      <w:r>
        <w:rPr>
          <w:rFonts w:hint="eastAsia" w:ascii="黑体" w:hAnsi="宋体" w:eastAsia="黑体"/>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2"/>
        <w:rPr>
          <w:rFonts w:hint="eastAsia" w:ascii="楷体_GB2312" w:hAnsi="宋体" w:eastAsia="楷体_GB2312"/>
          <w:b/>
          <w:color w:val="auto"/>
          <w:sz w:val="32"/>
          <w:szCs w:val="32"/>
          <w:highlight w:val="none"/>
          <w:u w:val="none"/>
          <w:lang w:val="zh-CN"/>
        </w:rPr>
      </w:pPr>
      <w:bookmarkStart w:id="96" w:name="_Toc16863"/>
      <w:r>
        <w:rPr>
          <w:rFonts w:hint="eastAsia" w:ascii="楷体_GB2312" w:hAnsi="宋体" w:eastAsia="楷体_GB2312"/>
          <w:b/>
          <w:color w:val="auto"/>
          <w:sz w:val="32"/>
          <w:szCs w:val="32"/>
          <w:highlight w:val="none"/>
          <w:u w:val="none"/>
          <w:lang w:val="zh-CN"/>
        </w:rPr>
        <w:t>（一）项目基本情况。</w:t>
      </w:r>
      <w:bookmarkEnd w:id="96"/>
    </w:p>
    <w:p>
      <w:pPr>
        <w:autoSpaceDE w:val="0"/>
        <w:spacing w:line="576" w:lineRule="exact"/>
        <w:ind w:firstLine="640" w:firstLineChars="200"/>
      </w:pPr>
      <w:r>
        <w:rPr>
          <w:rFonts w:hint="eastAsia" w:ascii="仿宋_GB2312" w:hAnsi="仿宋_GB2312" w:eastAsia="仿宋_GB2312" w:cs="仿宋_GB2312"/>
          <w:sz w:val="32"/>
          <w:szCs w:val="32"/>
        </w:rPr>
        <w:t>中共中央办公厅、国务院办公厅《关于印发&lt;关于加强新时代关心下一代工作委员会工作的意见&gt;的通知》（厅字〔2021〕46号）明确：“各地要加强统筹谋划，认真研究部署，强化经费保障，推动关心下一代工作更好发展。”“对从事关心下一代工作的‘五老’给予适当经费补助、关怀帮助，在春节、重阳节等传统节日进行看望慰问，帮助他们解决实际困难，对在关心下一代工作中作出突出贡献的‘五老’，按规定给予鼓励和表彰。”省委办公厅、省人民政府办公厅《印发&lt;关于加强新时代关心下一代工作的意见&gt;的通知》（川委办〔2021〕15号）要求：“关工委开展工作所需的经费，纳入统计财政年度预算予以保障，对各级关工委领导班子中的驻会老同志因工作产生的差旅、交通、通信、误餐、图书资料等费用，按规定在各级关工委经费中列支。”根据上述文件精神，我们对区关工委工作经费项目进行立项申报。该项目实施周期为2022年度，根据工作实际发生情况，及时拨付使用。</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2"/>
        <w:rPr>
          <w:lang w:val="zh-CN"/>
        </w:rPr>
      </w:pPr>
      <w:bookmarkStart w:id="97" w:name="_Toc26977"/>
      <w:r>
        <w:rPr>
          <w:rFonts w:hint="eastAsia" w:ascii="楷体_GB2312" w:hAnsi="宋体" w:eastAsia="楷体_GB2312"/>
          <w:b/>
          <w:color w:val="auto"/>
          <w:sz w:val="32"/>
          <w:szCs w:val="32"/>
          <w:highlight w:val="none"/>
          <w:u w:val="none"/>
          <w:lang w:val="zh-CN"/>
        </w:rPr>
        <w:t>（二）项目绩效目标。</w:t>
      </w:r>
      <w:bookmarkEnd w:id="97"/>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1．项目主要内容。</w:t>
      </w:r>
    </w:p>
    <w:p>
      <w:pPr>
        <w:pStyle w:val="5"/>
        <w:spacing w:beforeLines="0" w:line="576" w:lineRule="exact"/>
        <w:ind w:firstLine="640" w:firstLineChars="200"/>
        <w:rPr>
          <w:rFonts w:hAnsi="仿宋_GB2312" w:cs="仿宋_GB2312"/>
          <w:color w:val="FF0000"/>
          <w:sz w:val="32"/>
          <w:szCs w:val="32"/>
        </w:rPr>
      </w:pPr>
      <w:r>
        <w:rPr>
          <w:rFonts w:hint="eastAsia" w:hAnsi="仿宋_GB2312" w:cs="仿宋_GB2312"/>
          <w:color w:val="auto"/>
          <w:sz w:val="32"/>
          <w:szCs w:val="32"/>
        </w:rPr>
        <w:t>保障区关工委机关运转、教育关爱活动开展、自身建设等各项工作正常运转。</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2．项目应实现的具体绩效目标，</w:t>
      </w:r>
      <w:r>
        <w:rPr>
          <w:rFonts w:hint="eastAsia" w:ascii="仿宋_GB2312" w:hAnsi="仿宋_GB2312" w:eastAsia="仿宋_GB2312" w:cs="仿宋_GB2312"/>
          <w:color w:val="auto"/>
          <w:kern w:val="0"/>
          <w:sz w:val="32"/>
          <w:szCs w:val="32"/>
          <w:highlight w:val="none"/>
          <w:u w:val="none"/>
          <w:shd w:val="clear" w:color="auto" w:fill="FFFFFF"/>
          <w:lang w:val="en-US" w:eastAsia="zh-CN"/>
        </w:rPr>
        <w:t>包括但不限于</w:t>
      </w:r>
      <w:r>
        <w:rPr>
          <w:rFonts w:hint="eastAsia" w:ascii="仿宋_GB2312" w:hAnsi="仿宋_GB2312" w:cs="仿宋_GB2312"/>
          <w:color w:val="auto"/>
          <w:kern w:val="0"/>
          <w:sz w:val="32"/>
          <w:szCs w:val="32"/>
          <w:highlight w:val="none"/>
          <w:u w:val="none"/>
          <w:shd w:val="clear" w:color="auto" w:fill="FFFFFF"/>
          <w:lang w:val="en-US" w:eastAsia="zh-CN"/>
        </w:rPr>
        <w:t>：绩效</w:t>
      </w:r>
      <w:r>
        <w:rPr>
          <w:rFonts w:hint="eastAsia" w:ascii="仿宋_GB2312" w:hAnsi="仿宋_GB2312" w:eastAsia="仿宋_GB2312" w:cs="仿宋_GB2312"/>
          <w:color w:val="auto"/>
          <w:kern w:val="0"/>
          <w:sz w:val="32"/>
          <w:szCs w:val="32"/>
          <w:highlight w:val="none"/>
          <w:u w:val="none"/>
          <w:shd w:val="clear" w:color="auto" w:fill="FFFFFF"/>
          <w:lang w:val="zh-CN"/>
        </w:rPr>
        <w:t>目标的量化细化情况</w:t>
      </w:r>
      <w:r>
        <w:rPr>
          <w:rFonts w:hint="eastAsia" w:ascii="仿宋_GB2312" w:hAnsi="仿宋_GB2312" w:cs="仿宋_GB2312"/>
          <w:color w:val="auto"/>
          <w:kern w:val="0"/>
          <w:sz w:val="32"/>
          <w:szCs w:val="32"/>
          <w:highlight w:val="none"/>
          <w:u w:val="none"/>
          <w:shd w:val="clear" w:color="auto" w:fill="FFFFFF"/>
          <w:lang w:val="zh-CN"/>
        </w:rPr>
        <w:t>、</w:t>
      </w:r>
      <w:r>
        <w:rPr>
          <w:rFonts w:hint="eastAsia" w:ascii="仿宋_GB2312" w:hAnsi="仿宋_GB2312" w:eastAsia="仿宋_GB2312" w:cs="仿宋_GB2312"/>
          <w:color w:val="auto"/>
          <w:kern w:val="0"/>
          <w:sz w:val="32"/>
          <w:szCs w:val="32"/>
          <w:highlight w:val="none"/>
          <w:u w:val="none"/>
          <w:shd w:val="clear" w:color="auto" w:fill="FFFFFF"/>
          <w:lang w:val="zh-CN"/>
        </w:rPr>
        <w:t>项目实施进度计划等。</w:t>
      </w:r>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动员和组织广大“五老关爱教育下一代健康成长，主要包括思想道德教育、法治宣传教育、科技宣传教育、家庭教育培训、关爱活动、网吧监督、关工委自身建设。截止2022年底，我中心对该项目预算已全额拨付。</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3．分析评价申报内容是否与实际相符，申报目标是否合理可行。</w:t>
      </w:r>
    </w:p>
    <w:p>
      <w:pPr>
        <w:autoSpaceDE w:val="0"/>
        <w:spacing w:line="540" w:lineRule="exact"/>
        <w:ind w:firstLine="640" w:firstLineChars="200"/>
        <w:rPr>
          <w:rFonts w:eastAsia="仿宋_GB2312"/>
        </w:rPr>
      </w:pPr>
      <w:r>
        <w:rPr>
          <w:rFonts w:hint="eastAsia" w:ascii="仿宋_GB2312" w:hAnsi="仿宋" w:eastAsia="仿宋_GB2312" w:cs="Times New Roman"/>
          <w:sz w:val="32"/>
          <w:szCs w:val="32"/>
        </w:rPr>
        <w:t>关工委工作经费项目运行工作经费与年初预算相符，具体实施内容与项目申报内容相符，申报目标合理可行。</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2"/>
        <w:rPr>
          <w:rFonts w:hint="eastAsia" w:ascii="楷体_GB2312" w:hAnsi="宋体" w:eastAsia="楷体_GB2312"/>
          <w:b/>
          <w:color w:val="auto"/>
          <w:sz w:val="32"/>
          <w:szCs w:val="32"/>
          <w:highlight w:val="none"/>
          <w:u w:val="none"/>
          <w:lang w:val="zh-CN"/>
        </w:rPr>
      </w:pPr>
      <w:bookmarkStart w:id="98" w:name="_Toc5789"/>
      <w:r>
        <w:rPr>
          <w:rFonts w:hint="eastAsia" w:ascii="楷体_GB2312" w:hAnsi="宋体" w:eastAsia="楷体_GB2312"/>
          <w:b/>
          <w:color w:val="auto"/>
          <w:sz w:val="32"/>
          <w:szCs w:val="32"/>
          <w:highlight w:val="none"/>
          <w:u w:val="none"/>
          <w:lang w:val="zh-CN"/>
        </w:rPr>
        <w:t>（三）项目自评步骤及方法。</w:t>
      </w:r>
      <w:bookmarkEnd w:id="98"/>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采取自评与他评相结合方式，成立项目自评小组，结合评价内容，做到有计划，有安排，扎实开展本次自评工作。按照区财政局下达的项目支出绩效目标自评表、项目支出绩效评价指标体系，自评小组针对申报内容、实施情况、资金兑现、财务管理、社会效益等做出自我评价，认真听取上级领导建议意见，做好自评工作。</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99" w:name="_Toc19217"/>
      <w:r>
        <w:rPr>
          <w:rFonts w:hint="eastAsia" w:ascii="黑体" w:hAnsi="宋体" w:eastAsia="黑体"/>
          <w:color w:val="auto"/>
          <w:sz w:val="32"/>
          <w:szCs w:val="32"/>
          <w:highlight w:val="none"/>
          <w:u w:val="none"/>
        </w:rPr>
        <w:t>二、项目资金申报及使用情况</w:t>
      </w:r>
      <w:bookmarkEnd w:id="99"/>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2"/>
        <w:rPr>
          <w:rFonts w:hint="eastAsia" w:ascii="楷体_GB2312" w:hAnsi="宋体" w:eastAsia="楷体_GB2312"/>
          <w:b/>
          <w:color w:val="auto"/>
          <w:sz w:val="32"/>
          <w:szCs w:val="32"/>
          <w:highlight w:val="none"/>
          <w:u w:val="none"/>
          <w:lang w:val="zh-CN"/>
        </w:rPr>
      </w:pPr>
      <w:bookmarkStart w:id="100" w:name="_Toc17137"/>
      <w:r>
        <w:rPr>
          <w:rFonts w:hint="eastAsia" w:ascii="楷体_GB2312" w:hAnsi="宋体" w:eastAsia="楷体_GB2312"/>
          <w:b/>
          <w:color w:val="auto"/>
          <w:sz w:val="32"/>
          <w:szCs w:val="32"/>
          <w:highlight w:val="none"/>
          <w:u w:val="none"/>
          <w:lang w:val="zh-CN"/>
        </w:rPr>
        <w:t>（一）项目资金申报及批复情况。</w:t>
      </w:r>
      <w:bookmarkEnd w:id="100"/>
    </w:p>
    <w:p>
      <w:pPr>
        <w:pStyle w:val="5"/>
        <w:spacing w:beforeLines="0" w:line="576" w:lineRule="exact"/>
        <w:ind w:firstLine="640" w:firstLineChars="200"/>
        <w:rPr>
          <w:rFonts w:hAnsi="仿宋_GB2312" w:cs="仿宋_GB2312"/>
          <w:kern w:val="2"/>
          <w:sz w:val="32"/>
          <w:szCs w:val="32"/>
        </w:rPr>
      </w:pPr>
      <w:r>
        <w:rPr>
          <w:rFonts w:hint="eastAsia" w:hAnsi="仿宋_GB2312" w:cs="仿宋_GB2312"/>
          <w:kern w:val="2"/>
          <w:sz w:val="32"/>
          <w:szCs w:val="32"/>
        </w:rPr>
        <w:t>2022年度区关工委工作经费项目预算资金为5万元，项目测算在区委区政府的决策部署下，由我中心根据前期工作情况测算项目标准，按年度进行申报，资金及时批复到位，申报程序符合资金管理办法相关规定，年终无追加，项目执行预算为5万元。</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2"/>
        <w:rPr>
          <w:rFonts w:ascii="仿宋_GB2312" w:hAnsi="宋体"/>
          <w:color w:val="auto"/>
          <w:sz w:val="32"/>
          <w:szCs w:val="32"/>
          <w:highlight w:val="none"/>
          <w:u w:val="none"/>
          <w:lang w:val="zh-CN"/>
        </w:rPr>
      </w:pPr>
      <w:bookmarkStart w:id="101" w:name="_Toc32395"/>
      <w:r>
        <w:rPr>
          <w:rFonts w:hint="eastAsia" w:ascii="楷体_GB2312" w:hAnsi="宋体" w:eastAsia="楷体_GB2312"/>
          <w:b/>
          <w:color w:val="auto"/>
          <w:sz w:val="32"/>
          <w:szCs w:val="32"/>
          <w:highlight w:val="none"/>
          <w:u w:val="none"/>
          <w:lang w:val="zh-CN"/>
        </w:rPr>
        <w:t>（二）资金计划、到位及使用情况（可用表格形式反映）。</w:t>
      </w:r>
      <w:bookmarkEnd w:id="101"/>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1．资金计划。</w:t>
      </w:r>
    </w:p>
    <w:p>
      <w:pPr>
        <w:autoSpaceDE w:val="0"/>
        <w:spacing w:line="576" w:lineRule="exact"/>
        <w:ind w:firstLine="640" w:firstLineChars="200"/>
        <w:rPr>
          <w:rFonts w:hint="eastAsia" w:ascii="仿宋_GB2312" w:hAnsi="仿宋_GB2312" w:eastAsia="仿宋_GB2312" w:cs="仿宋_GB2312"/>
          <w:color w:val="auto"/>
          <w:kern w:val="0"/>
          <w:sz w:val="32"/>
          <w:szCs w:val="32"/>
          <w:highlight w:val="none"/>
          <w:u w:val="none"/>
          <w:shd w:val="clear" w:color="auto" w:fill="FFFFFF"/>
          <w:lang w:val="zh-CN" w:eastAsia="zh-CN"/>
        </w:rPr>
      </w:pPr>
      <w:r>
        <w:rPr>
          <w:rFonts w:hint="eastAsia" w:ascii="仿宋_GB2312" w:hAnsi="仿宋_GB2312" w:eastAsia="仿宋_GB2312" w:cs="仿宋_GB2312"/>
          <w:sz w:val="32"/>
          <w:szCs w:val="32"/>
        </w:rPr>
        <w:t>本项经费，由财政局年初预算安排5万元，用于关工委工作运行经费</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2．资金到位。</w:t>
      </w:r>
    </w:p>
    <w:p>
      <w:pPr>
        <w:autoSpaceDE w:val="0"/>
        <w:spacing w:line="576" w:lineRule="exact"/>
        <w:ind w:firstLine="640" w:firstLineChars="200"/>
        <w:rPr>
          <w:rFonts w:hint="eastAsia"/>
          <w:lang w:val="zh-CN"/>
        </w:rPr>
      </w:pPr>
      <w:r>
        <w:rPr>
          <w:rFonts w:hint="eastAsia" w:ascii="仿宋_GB2312" w:hAnsi="仿宋_GB2312" w:eastAsia="仿宋_GB2312" w:cs="仿宋_GB2312"/>
          <w:sz w:val="32"/>
          <w:szCs w:val="32"/>
        </w:rPr>
        <w:t>项目资金已足额到账，资金到位率100%。</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3．资金使用。</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截至2022年12月31日,项目资金使用5万元，资金使用率100%。项目主要用于关工委工作运行经费，项目资金无调整，资金支付依据合规合法与预算相符。</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2"/>
        <w:rPr>
          <w:rFonts w:hint="eastAsia" w:ascii="楷体_GB2312" w:hAnsi="宋体" w:eastAsia="楷体_GB2312"/>
          <w:b/>
          <w:color w:val="auto"/>
          <w:sz w:val="32"/>
          <w:szCs w:val="32"/>
          <w:highlight w:val="none"/>
          <w:u w:val="none"/>
          <w:lang w:val="zh-CN"/>
        </w:rPr>
      </w:pPr>
      <w:bookmarkStart w:id="102" w:name="_Toc31033"/>
      <w:r>
        <w:rPr>
          <w:rFonts w:hint="eastAsia" w:ascii="楷体_GB2312" w:hAnsi="宋体" w:eastAsia="楷体_GB2312"/>
          <w:b/>
          <w:color w:val="auto"/>
          <w:sz w:val="32"/>
          <w:szCs w:val="32"/>
          <w:highlight w:val="none"/>
          <w:u w:val="none"/>
          <w:lang w:val="zh-CN"/>
        </w:rPr>
        <w:t>（三）项目财务管理情况。</w:t>
      </w:r>
      <w:bookmarkEnd w:id="102"/>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2022年，我中心财务管理制度健全，并严格执行财务管理制度，账务处理及时，会计核算规范，主要采取了下列措施。</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（1）预算管理</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单位不断强化预算意识，保证预算编制质量。部门预算批复后，及时跟进预算执行进度，科学安排支出，降低预算支出的波动幅度。加强对预算执行过程中过程的控制和结果的反馈。</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（2）内控管理</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和完善内控制度，全面梳理业务流程，明确业务环节，分析风险隐患。有效运用不相容岗位相互分离，归口管理，预算控制，内部信息公开等控制方法，加强单位层面和业务层面的内部控制，建立监督机制，确保资金安全，完善内部控制体系，最大限度的发挥财政资金的使用效益。</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（3）绩效管理</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加强学习关于预算绩效的文件，树立“花钱必问效，无效必问责”的意识。在2022年的工作中，按照上级和财政部门的要求，研究和设立绩效指标，并在实施中进行分析，在决算报告中体现。</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（4）人才队伍建设</w:t>
      </w:r>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加强财务管理队伍的业务能力提升；认真学习新制度新要求；积极组织参加上级和财政部门组织的培训活动；对工作严格要求，按时完成上级要求的报表编制和报告编写工作。</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outlineLvl w:val="1"/>
        <w:rPr>
          <w:rFonts w:hint="eastAsia" w:ascii="黑体" w:hAnsi="宋体" w:eastAsia="黑体"/>
          <w:color w:val="auto"/>
          <w:sz w:val="32"/>
          <w:szCs w:val="32"/>
          <w:highlight w:val="none"/>
          <w:u w:val="none"/>
        </w:rPr>
      </w:pPr>
      <w:bookmarkStart w:id="103" w:name="_Toc31532"/>
      <w:r>
        <w:rPr>
          <w:rFonts w:hint="eastAsia" w:ascii="黑体" w:hAnsi="宋体" w:eastAsia="黑体"/>
          <w:color w:val="auto"/>
          <w:sz w:val="32"/>
          <w:szCs w:val="32"/>
          <w:highlight w:val="none"/>
          <w:u w:val="none"/>
        </w:rPr>
        <w:t>三、项目实施及管理情况</w:t>
      </w:r>
      <w:bookmarkEnd w:id="103"/>
    </w:p>
    <w:p>
      <w:pPr>
        <w:autoSpaceDE w:val="0"/>
        <w:adjustRightInd w:val="0"/>
        <w:snapToGrid w:val="0"/>
        <w:spacing w:line="576" w:lineRule="exact"/>
        <w:ind w:firstLine="720"/>
        <w:outlineLvl w:val="2"/>
        <w:rPr>
          <w:rFonts w:ascii="楷体_GB2312" w:hAnsi="宋体" w:eastAsia="楷体_GB2312" w:cs="Times New Roman"/>
          <w:b/>
          <w:w w:val="99"/>
          <w:sz w:val="32"/>
          <w:szCs w:val="32"/>
        </w:rPr>
      </w:pPr>
      <w:bookmarkStart w:id="104" w:name="_Toc28684"/>
      <w:r>
        <w:rPr>
          <w:rFonts w:hint="eastAsia" w:ascii="楷体_GB2312" w:hAnsi="宋体" w:eastAsia="楷体_GB2312"/>
          <w:b/>
          <w:color w:val="auto"/>
          <w:sz w:val="32"/>
          <w:szCs w:val="32"/>
          <w:highlight w:val="none"/>
          <w:u w:val="none"/>
          <w:lang w:val="zh-CN"/>
        </w:rPr>
        <w:t>（一）项目组织架构及实施流程。</w:t>
      </w:r>
      <w:bookmarkEnd w:id="104"/>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根据我中心工作实际，经全体干部职工大会研究讨论决定，由副主任牵头负责此项工作，办公室负责日常业务工作，保障关工委工作运行经费。</w:t>
      </w:r>
    </w:p>
    <w:p>
      <w:pPr>
        <w:autoSpaceDE w:val="0"/>
        <w:spacing w:line="576" w:lineRule="exact"/>
        <w:ind w:firstLine="643" w:firstLineChars="200"/>
        <w:outlineLvl w:val="2"/>
        <w:rPr>
          <w:rFonts w:hint="eastAsia" w:ascii="楷体_GB2312" w:hAnsi="宋体" w:eastAsia="楷体_GB2312"/>
          <w:b/>
          <w:color w:val="auto"/>
          <w:sz w:val="32"/>
          <w:szCs w:val="32"/>
          <w:highlight w:val="none"/>
          <w:u w:val="none"/>
          <w:lang w:val="zh-CN"/>
        </w:rPr>
      </w:pPr>
      <w:bookmarkStart w:id="105" w:name="_Toc28460"/>
      <w:r>
        <w:rPr>
          <w:rFonts w:hint="eastAsia" w:ascii="楷体_GB2312" w:hAnsi="宋体" w:eastAsia="楷体_GB2312"/>
          <w:b/>
          <w:color w:val="auto"/>
          <w:sz w:val="32"/>
          <w:szCs w:val="32"/>
          <w:highlight w:val="none"/>
          <w:u w:val="none"/>
          <w:lang w:val="zh-CN"/>
        </w:rPr>
        <w:t>（二）项目管理情况。</w:t>
      </w:r>
      <w:bookmarkEnd w:id="105"/>
    </w:p>
    <w:p>
      <w:pPr>
        <w:autoSpaceDE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该项目为保障性经费支出项目，其项目管理制度合并在我中心财务管理制度、内控管理制度等规范性财务制度之下，未单独建立项目管理制度。</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2"/>
        <w:rPr>
          <w:rFonts w:ascii="楷体_GB2312" w:hAnsi="宋体" w:eastAsia="楷体_GB2312" w:cs="Times New Roman"/>
          <w:b/>
          <w:w w:val="99"/>
          <w:sz w:val="32"/>
          <w:szCs w:val="32"/>
        </w:rPr>
      </w:pPr>
      <w:bookmarkStart w:id="106" w:name="_Toc11965"/>
      <w:r>
        <w:rPr>
          <w:rFonts w:hint="eastAsia" w:ascii="楷体_GB2312" w:hAnsi="宋体" w:eastAsia="楷体_GB2312"/>
          <w:b/>
          <w:color w:val="auto"/>
          <w:sz w:val="32"/>
          <w:szCs w:val="32"/>
          <w:highlight w:val="none"/>
          <w:u w:val="none"/>
          <w:lang w:val="zh-CN"/>
        </w:rPr>
        <w:t>（三）项目监管情况。</w:t>
      </w:r>
      <w:bookmarkEnd w:id="106"/>
    </w:p>
    <w:p>
      <w:pPr>
        <w:autoSpaceDE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项目资金使用方案由全体干部职工大会讨论决定，由副主任牵头负责，办公室负责日常业务及跟踪项目实施全过程，对实施效果进行客观评价。</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仿宋_GB2312" w:hAnsi="宋体"/>
          <w:color w:val="auto"/>
          <w:sz w:val="32"/>
          <w:szCs w:val="32"/>
          <w:highlight w:val="none"/>
          <w:u w:val="none"/>
          <w:lang w:val="zh-CN"/>
        </w:rPr>
      </w:pPr>
      <w:bookmarkStart w:id="107" w:name="_Toc30377"/>
      <w:r>
        <w:rPr>
          <w:rFonts w:hint="eastAsia" w:ascii="黑体" w:hAnsi="宋体" w:eastAsia="黑体"/>
          <w:color w:val="auto"/>
          <w:sz w:val="32"/>
          <w:szCs w:val="32"/>
          <w:highlight w:val="none"/>
          <w:u w:val="none"/>
        </w:rPr>
        <w:t>四、项目绩效情况</w:t>
      </w:r>
      <w:bookmarkEnd w:id="107"/>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2"/>
        <w:rPr>
          <w:rFonts w:hint="eastAsia" w:ascii="楷体_GB2312" w:hAnsi="宋体" w:eastAsia="楷体_GB2312"/>
          <w:b/>
          <w:color w:val="auto"/>
          <w:sz w:val="32"/>
          <w:szCs w:val="32"/>
          <w:highlight w:val="none"/>
          <w:u w:val="none"/>
          <w:lang w:val="zh-CN"/>
        </w:rPr>
      </w:pPr>
      <w:bookmarkStart w:id="108" w:name="_Toc4795"/>
      <w:r>
        <w:rPr>
          <w:rFonts w:hint="eastAsia" w:ascii="楷体_GB2312" w:hAnsi="宋体" w:eastAsia="楷体_GB2312"/>
          <w:b/>
          <w:color w:val="auto"/>
          <w:sz w:val="32"/>
          <w:szCs w:val="32"/>
          <w:highlight w:val="none"/>
          <w:u w:val="none"/>
          <w:lang w:val="zh-CN"/>
        </w:rPr>
        <w:t>（一）项目完成情况。</w:t>
      </w:r>
      <w:bookmarkEnd w:id="108"/>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2022年度，我中心完成了关工委工作经费的使用，根据工作实际情况，按时足额的进行了拨付，无超支、超标准、超范围使用项目资金情况发生。</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2"/>
        <w:rPr>
          <w:rFonts w:ascii="楷体_GB2312" w:hAnsi="宋体" w:eastAsia="楷体_GB2312"/>
          <w:b/>
          <w:color w:val="auto"/>
          <w:sz w:val="32"/>
          <w:szCs w:val="32"/>
          <w:highlight w:val="none"/>
          <w:u w:val="none"/>
          <w:lang w:val="zh-CN"/>
        </w:rPr>
      </w:pPr>
      <w:bookmarkStart w:id="109" w:name="_Toc3059"/>
      <w:r>
        <w:rPr>
          <w:rFonts w:hint="eastAsia" w:ascii="楷体_GB2312" w:hAnsi="宋体" w:eastAsia="楷体_GB2312"/>
          <w:b/>
          <w:color w:val="auto"/>
          <w:sz w:val="32"/>
          <w:szCs w:val="32"/>
          <w:highlight w:val="none"/>
          <w:u w:val="none"/>
          <w:lang w:val="zh-CN"/>
        </w:rPr>
        <w:t>（二）项目效益情况。</w:t>
      </w:r>
      <w:bookmarkEnd w:id="109"/>
    </w:p>
    <w:p>
      <w:pPr>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社会效益方面，通过本项目的实施，动员和组织广大“五老”，并引导全社会共同关爱青少年健康成长，提高下一代健康成长质量。</w:t>
      </w:r>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服务对象满意度方面，非常满意，满意率达100%。</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1"/>
        <w:rPr>
          <w:rFonts w:ascii="黑体" w:hAnsi="宋体" w:eastAsia="黑体"/>
          <w:color w:val="auto"/>
          <w:sz w:val="32"/>
          <w:szCs w:val="32"/>
          <w:highlight w:val="none"/>
          <w:u w:val="none"/>
        </w:rPr>
      </w:pPr>
      <w:bookmarkStart w:id="110" w:name="_Toc32045"/>
      <w:r>
        <w:rPr>
          <w:rFonts w:hint="eastAsia" w:ascii="黑体" w:hAnsi="宋体" w:eastAsia="黑体"/>
          <w:color w:val="auto"/>
          <w:sz w:val="32"/>
          <w:szCs w:val="32"/>
          <w:highlight w:val="none"/>
          <w:u w:val="none"/>
        </w:rPr>
        <w:t>五、评价结论及建议</w:t>
      </w:r>
      <w:bookmarkEnd w:id="110"/>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2"/>
        <w:rPr>
          <w:rFonts w:hint="eastAsia" w:ascii="楷体_GB2312" w:hAnsi="宋体" w:eastAsia="楷体_GB2312"/>
          <w:b/>
          <w:color w:val="auto"/>
          <w:sz w:val="32"/>
          <w:szCs w:val="32"/>
          <w:highlight w:val="none"/>
          <w:u w:val="none"/>
          <w:lang w:val="zh-CN"/>
        </w:rPr>
      </w:pPr>
      <w:bookmarkStart w:id="111" w:name="_Toc842"/>
      <w:r>
        <w:rPr>
          <w:rFonts w:hint="eastAsia" w:ascii="楷体_GB2312" w:hAnsi="宋体" w:eastAsia="楷体_GB2312"/>
          <w:b/>
          <w:color w:val="auto"/>
          <w:sz w:val="32"/>
          <w:szCs w:val="32"/>
          <w:highlight w:val="none"/>
          <w:u w:val="none"/>
          <w:lang w:val="zh-CN"/>
        </w:rPr>
        <w:t>（一）评价结论。</w:t>
      </w:r>
      <w:bookmarkEnd w:id="111"/>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从总体上看，该项目绩效目标合理，决策依据充分，项目补助方式科学合理、规范有序，项目的实施提高了下一代健康成长质量。项目总体评分得99分。</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2"/>
        <w:rPr>
          <w:rFonts w:hint="eastAsia" w:ascii="楷体_GB2312" w:hAnsi="宋体" w:eastAsia="楷体_GB2312"/>
          <w:b/>
          <w:color w:val="auto"/>
          <w:sz w:val="32"/>
          <w:szCs w:val="32"/>
          <w:highlight w:val="none"/>
          <w:u w:val="none"/>
          <w:lang w:val="zh-CN"/>
        </w:rPr>
      </w:pPr>
      <w:bookmarkStart w:id="112" w:name="_Toc21056"/>
      <w:r>
        <w:rPr>
          <w:rFonts w:hint="eastAsia" w:ascii="楷体_GB2312" w:hAnsi="宋体" w:eastAsia="楷体_GB2312"/>
          <w:b/>
          <w:color w:val="auto"/>
          <w:sz w:val="32"/>
          <w:szCs w:val="32"/>
          <w:highlight w:val="none"/>
          <w:u w:val="none"/>
          <w:lang w:val="zh-CN"/>
        </w:rPr>
        <w:t>（二）存在的问题。</w:t>
      </w:r>
      <w:bookmarkEnd w:id="112"/>
    </w:p>
    <w:p>
      <w:pPr>
        <w:spacing w:line="576" w:lineRule="exact"/>
        <w:ind w:firstLine="645"/>
        <w:rPr>
          <w:lang w:val="zh-CN"/>
        </w:rPr>
      </w:pPr>
      <w:r>
        <w:rPr>
          <w:rFonts w:hint="eastAsia" w:ascii="仿宋_GB2312" w:hAnsi="仿宋_GB2312" w:eastAsia="仿宋_GB2312" w:cs="仿宋_GB2312"/>
          <w:sz w:val="32"/>
          <w:szCs w:val="32"/>
        </w:rPr>
        <w:t>一是预算编制具体项目的细化程度和精准度不够高，合理性有待进一步加强。二是资金使用效益有待进一步提高，绩效目标设立不够明确、细化和量化。三是财政资金投入不够。主要原因是无专业财务人员，目前财务工作是办公室兼，对财务工作业务还不熟悉。</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outlineLvl w:val="2"/>
        <w:rPr>
          <w:rFonts w:hint="eastAsia" w:ascii="楷体_GB2312" w:hAnsi="宋体" w:eastAsia="楷体_GB2312"/>
          <w:b/>
          <w:color w:val="auto"/>
          <w:sz w:val="32"/>
          <w:szCs w:val="32"/>
          <w:highlight w:val="none"/>
          <w:u w:val="none"/>
          <w:lang w:val="zh-CN"/>
        </w:rPr>
      </w:pPr>
      <w:bookmarkStart w:id="113" w:name="_Toc13676"/>
      <w:r>
        <w:rPr>
          <w:rFonts w:hint="eastAsia" w:ascii="楷体_GB2312" w:hAnsi="宋体" w:eastAsia="楷体_GB2312"/>
          <w:b/>
          <w:color w:val="auto"/>
          <w:sz w:val="32"/>
          <w:szCs w:val="32"/>
          <w:highlight w:val="none"/>
          <w:u w:val="none"/>
          <w:lang w:val="zh-CN"/>
        </w:rPr>
        <w:t>（三）相关建议。</w:t>
      </w:r>
      <w:bookmarkEnd w:id="113"/>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一是认真做好编制前的准备工作。认真测算支出范围、开支标准,并分析近年来的财务收支状况及预算执行情况。</w:t>
      </w:r>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二是要将预算支出细化,根据项目发展的重要性、可行性和效益,分轻重缓急,合理安排项目资金。</w:t>
      </w:r>
    </w:p>
    <w:p>
      <w:pPr>
        <w:spacing w:line="576"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三是单位要加强绩效目标设立、细化和量化工作的力度，进一步提高资金使用效率。</w:t>
      </w:r>
    </w:p>
    <w:p>
      <w:pPr>
        <w:spacing w:line="600" w:lineRule="exact"/>
        <w:ind w:firstLine="640" w:firstLineChars="200"/>
        <w:jc w:val="both"/>
        <w:outlineLvl w:val="0"/>
        <w:rPr>
          <w:rFonts w:hint="eastAsia" w:ascii="黑体" w:hAnsi="黑体" w:eastAsia="黑体"/>
          <w:color w:val="auto"/>
          <w:sz w:val="44"/>
          <w:szCs w:val="44"/>
          <w:highlight w:val="none"/>
        </w:rPr>
      </w:pPr>
      <w:bookmarkStart w:id="114" w:name="_Toc32757"/>
      <w:r>
        <w:rPr>
          <w:rFonts w:hint="eastAsia" w:ascii="仿宋_GB2312" w:hAnsi="仿宋_GB2312" w:eastAsia="仿宋_GB2312" w:cs="仿宋_GB2312"/>
          <w:sz w:val="32"/>
          <w:szCs w:val="32"/>
        </w:rPr>
        <w:t>四是加强财务工作业务学习。</w:t>
      </w:r>
      <w:bookmarkEnd w:id="114"/>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pStyle w:val="5"/>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5"/>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5"/>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bookmarkStart w:id="115" w:name="_Toc22430"/>
      <w:r>
        <w:rPr>
          <w:rFonts w:hint="eastAsia" w:ascii="黑体" w:hAnsi="黑体" w:eastAsia="黑体"/>
          <w:color w:val="auto"/>
          <w:sz w:val="44"/>
          <w:szCs w:val="44"/>
          <w:highlight w:val="none"/>
        </w:rPr>
        <w:t>第</w:t>
      </w:r>
      <w:r>
        <w:rPr>
          <w:rStyle w:val="28"/>
          <w:rFonts w:hint="eastAsia" w:ascii="黑体" w:hAnsi="黑体" w:eastAsia="黑体"/>
          <w:b w:val="0"/>
          <w:color w:val="auto"/>
          <w:highlight w:val="none"/>
        </w:rPr>
        <w:t>五部分 附表</w:t>
      </w:r>
      <w:bookmarkEnd w:id="85"/>
      <w:bookmarkEnd w:id="91"/>
      <w:bookmarkEnd w:id="115"/>
      <w:bookmarkStart w:id="116" w:name="_Toc15396619"/>
    </w:p>
    <w:p>
      <w:pPr>
        <w:pStyle w:val="3"/>
        <w:rPr>
          <w:rFonts w:ascii="仿宋" w:hAnsi="仿宋" w:eastAsia="仿宋"/>
          <w:color w:val="auto"/>
          <w:highlight w:val="none"/>
        </w:rPr>
      </w:pPr>
      <w:bookmarkStart w:id="117" w:name="_Toc12420"/>
      <w:r>
        <w:rPr>
          <w:rFonts w:hint="eastAsia" w:ascii="仿宋" w:hAnsi="仿宋" w:eastAsia="仿宋"/>
          <w:b w:val="0"/>
          <w:color w:val="auto"/>
          <w:highlight w:val="none"/>
        </w:rPr>
        <w:t>一、收</w:t>
      </w:r>
      <w:r>
        <w:rPr>
          <w:rStyle w:val="29"/>
          <w:rFonts w:hint="eastAsia" w:ascii="仿宋" w:hAnsi="仿宋" w:eastAsia="仿宋"/>
          <w:b w:val="0"/>
          <w:bCs w:val="0"/>
          <w:color w:val="auto"/>
          <w:highlight w:val="none"/>
        </w:rPr>
        <w:t>入支出决算总表</w:t>
      </w:r>
      <w:bookmarkEnd w:id="116"/>
      <w:bookmarkEnd w:id="117"/>
    </w:p>
    <w:p>
      <w:pPr>
        <w:pStyle w:val="3"/>
        <w:rPr>
          <w:rFonts w:ascii="仿宋" w:hAnsi="仿宋" w:eastAsia="仿宋"/>
          <w:color w:val="auto"/>
          <w:highlight w:val="none"/>
        </w:rPr>
      </w:pPr>
      <w:bookmarkStart w:id="118" w:name="_Toc15396620"/>
      <w:bookmarkStart w:id="119" w:name="_Toc13603"/>
      <w:r>
        <w:rPr>
          <w:rFonts w:hint="eastAsia" w:ascii="仿宋" w:hAnsi="仿宋" w:eastAsia="仿宋"/>
          <w:b w:val="0"/>
          <w:color w:val="auto"/>
          <w:highlight w:val="none"/>
        </w:rPr>
        <w:t>二、收</w:t>
      </w:r>
      <w:r>
        <w:rPr>
          <w:rStyle w:val="29"/>
          <w:rFonts w:hint="eastAsia" w:ascii="仿宋" w:hAnsi="仿宋" w:eastAsia="仿宋"/>
          <w:b w:val="0"/>
          <w:bCs w:val="0"/>
          <w:color w:val="auto"/>
          <w:highlight w:val="none"/>
        </w:rPr>
        <w:t>入决算表</w:t>
      </w:r>
      <w:bookmarkEnd w:id="118"/>
      <w:bookmarkEnd w:id="119"/>
    </w:p>
    <w:p>
      <w:pPr>
        <w:pStyle w:val="3"/>
        <w:rPr>
          <w:rFonts w:ascii="仿宋" w:hAnsi="仿宋" w:eastAsia="仿宋"/>
          <w:color w:val="auto"/>
          <w:highlight w:val="none"/>
        </w:rPr>
      </w:pPr>
      <w:bookmarkStart w:id="120" w:name="_Toc15396621"/>
      <w:bookmarkStart w:id="121" w:name="_Toc11390"/>
      <w:r>
        <w:rPr>
          <w:rStyle w:val="29"/>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9"/>
          <w:rFonts w:hint="eastAsia" w:ascii="仿宋" w:hAnsi="仿宋" w:eastAsia="仿宋"/>
          <w:b w:val="0"/>
          <w:bCs w:val="0"/>
          <w:color w:val="auto"/>
          <w:highlight w:val="none"/>
        </w:rPr>
        <w:t>出决算表</w:t>
      </w:r>
      <w:bookmarkEnd w:id="120"/>
      <w:bookmarkEnd w:id="121"/>
    </w:p>
    <w:p>
      <w:pPr>
        <w:pStyle w:val="3"/>
        <w:rPr>
          <w:rFonts w:ascii="仿宋" w:hAnsi="仿宋" w:eastAsia="仿宋"/>
          <w:b w:val="0"/>
          <w:color w:val="auto"/>
          <w:highlight w:val="none"/>
        </w:rPr>
      </w:pPr>
      <w:bookmarkStart w:id="122" w:name="_Toc15396622"/>
      <w:bookmarkStart w:id="123" w:name="_Toc23866"/>
      <w:r>
        <w:rPr>
          <w:rStyle w:val="29"/>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政拨款收入支出决算总表</w:t>
      </w:r>
      <w:bookmarkEnd w:id="122"/>
      <w:bookmarkEnd w:id="123"/>
    </w:p>
    <w:p>
      <w:pPr>
        <w:pStyle w:val="3"/>
        <w:rPr>
          <w:rStyle w:val="29"/>
          <w:rFonts w:ascii="仿宋" w:hAnsi="仿宋" w:eastAsia="仿宋"/>
          <w:b w:val="0"/>
          <w:bCs w:val="0"/>
          <w:color w:val="auto"/>
          <w:highlight w:val="none"/>
        </w:rPr>
      </w:pPr>
      <w:bookmarkStart w:id="124" w:name="_Toc15396623"/>
      <w:bookmarkStart w:id="125" w:name="_Toc21332"/>
      <w:r>
        <w:rPr>
          <w:rStyle w:val="29"/>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9"/>
          <w:rFonts w:hint="eastAsia" w:ascii="仿宋" w:hAnsi="仿宋" w:eastAsia="仿宋"/>
          <w:b w:val="0"/>
          <w:bCs w:val="0"/>
          <w:color w:val="auto"/>
          <w:highlight w:val="none"/>
        </w:rPr>
        <w:t>政拨款支出决算明细表</w:t>
      </w:r>
      <w:bookmarkEnd w:id="124"/>
      <w:bookmarkEnd w:id="125"/>
      <w:bookmarkStart w:id="126" w:name="_Toc15396624"/>
    </w:p>
    <w:p>
      <w:pPr>
        <w:pStyle w:val="3"/>
        <w:rPr>
          <w:rFonts w:ascii="仿宋" w:hAnsi="仿宋" w:eastAsia="仿宋"/>
          <w:color w:val="auto"/>
          <w:highlight w:val="none"/>
        </w:rPr>
      </w:pPr>
      <w:bookmarkStart w:id="127" w:name="_Toc12812"/>
      <w:r>
        <w:rPr>
          <w:rStyle w:val="29"/>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般公共预算财政拨款支出决算表</w:t>
      </w:r>
      <w:bookmarkEnd w:id="126"/>
      <w:bookmarkEnd w:id="127"/>
    </w:p>
    <w:p>
      <w:pPr>
        <w:pStyle w:val="3"/>
        <w:rPr>
          <w:rFonts w:ascii="仿宋" w:hAnsi="仿宋" w:eastAsia="仿宋"/>
          <w:color w:val="auto"/>
          <w:highlight w:val="none"/>
        </w:rPr>
      </w:pPr>
      <w:bookmarkStart w:id="128" w:name="_Toc15396625"/>
      <w:bookmarkStart w:id="129" w:name="_Toc1278"/>
      <w:r>
        <w:rPr>
          <w:rStyle w:val="29"/>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般公共预算财政拨款支出决算明细表</w:t>
      </w:r>
      <w:bookmarkEnd w:id="128"/>
      <w:bookmarkEnd w:id="129"/>
    </w:p>
    <w:p>
      <w:pPr>
        <w:pStyle w:val="3"/>
        <w:rPr>
          <w:rFonts w:ascii="仿宋" w:hAnsi="仿宋" w:eastAsia="仿宋"/>
          <w:color w:val="auto"/>
          <w:highlight w:val="none"/>
        </w:rPr>
      </w:pPr>
      <w:bookmarkStart w:id="130" w:name="_Toc15396626"/>
      <w:bookmarkStart w:id="131" w:name="_Toc26693"/>
      <w:r>
        <w:rPr>
          <w:rStyle w:val="29"/>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般公共预算财政拨款基本支出决算表</w:t>
      </w:r>
      <w:bookmarkEnd w:id="130"/>
      <w:bookmarkEnd w:id="131"/>
    </w:p>
    <w:p>
      <w:pPr>
        <w:pStyle w:val="3"/>
        <w:rPr>
          <w:rFonts w:ascii="仿宋" w:hAnsi="仿宋" w:eastAsia="仿宋"/>
          <w:color w:val="auto"/>
          <w:highlight w:val="none"/>
        </w:rPr>
      </w:pPr>
      <w:bookmarkStart w:id="132" w:name="_Toc15396627"/>
      <w:bookmarkStart w:id="133" w:name="_Toc28105"/>
      <w:r>
        <w:rPr>
          <w:rStyle w:val="29"/>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9"/>
          <w:rFonts w:hint="eastAsia" w:ascii="仿宋" w:hAnsi="仿宋" w:eastAsia="仿宋"/>
          <w:b w:val="0"/>
          <w:bCs w:val="0"/>
          <w:color w:val="auto"/>
          <w:highlight w:val="none"/>
        </w:rPr>
        <w:t>般公共预算财政拨款项目支出决算表</w:t>
      </w:r>
      <w:bookmarkEnd w:id="132"/>
      <w:bookmarkEnd w:id="133"/>
    </w:p>
    <w:p>
      <w:pPr>
        <w:pStyle w:val="3"/>
        <w:rPr>
          <w:rFonts w:ascii="仿宋" w:hAnsi="仿宋" w:eastAsia="仿宋"/>
          <w:color w:val="auto"/>
          <w:highlight w:val="none"/>
        </w:rPr>
      </w:pPr>
      <w:bookmarkStart w:id="134" w:name="_Toc15396628"/>
      <w:bookmarkStart w:id="135" w:name="_Toc17442"/>
      <w:r>
        <w:rPr>
          <w:rStyle w:val="29"/>
          <w:rFonts w:hint="eastAsia" w:ascii="仿宋" w:hAnsi="仿宋" w:eastAsia="仿宋"/>
          <w:b w:val="0"/>
          <w:bCs w:val="0"/>
          <w:color w:val="auto"/>
          <w:highlight w:val="none"/>
        </w:rPr>
        <w:t>十、</w:t>
      </w:r>
      <w:bookmarkEnd w:id="134"/>
      <w:r>
        <w:rPr>
          <w:rFonts w:hint="eastAsia" w:ascii="仿宋" w:hAnsi="仿宋" w:eastAsia="仿宋"/>
          <w:b w:val="0"/>
          <w:color w:val="auto"/>
          <w:highlight w:val="none"/>
        </w:rPr>
        <w:t>政</w:t>
      </w:r>
      <w:r>
        <w:rPr>
          <w:rStyle w:val="29"/>
          <w:rFonts w:hint="eastAsia" w:ascii="仿宋" w:hAnsi="仿宋" w:eastAsia="仿宋"/>
          <w:b w:val="0"/>
          <w:bCs w:val="0"/>
          <w:color w:val="auto"/>
          <w:highlight w:val="none"/>
        </w:rPr>
        <w:t>府性基金预算财政拨款收入支出决算表</w:t>
      </w:r>
      <w:bookmarkEnd w:id="135"/>
    </w:p>
    <w:p>
      <w:pPr>
        <w:pStyle w:val="3"/>
        <w:rPr>
          <w:rFonts w:ascii="仿宋" w:hAnsi="仿宋" w:eastAsia="仿宋"/>
          <w:color w:val="auto"/>
          <w:highlight w:val="none"/>
        </w:rPr>
      </w:pPr>
      <w:bookmarkStart w:id="136" w:name="_Toc15396629"/>
      <w:bookmarkStart w:id="137" w:name="_Toc28052"/>
      <w:r>
        <w:rPr>
          <w:rStyle w:val="29"/>
          <w:rFonts w:hint="eastAsia" w:ascii="仿宋" w:hAnsi="仿宋" w:eastAsia="仿宋"/>
          <w:b w:val="0"/>
          <w:bCs w:val="0"/>
          <w:color w:val="auto"/>
          <w:highlight w:val="none"/>
        </w:rPr>
        <w:t>十一、</w:t>
      </w:r>
      <w:bookmarkEnd w:id="136"/>
      <w:r>
        <w:rPr>
          <w:rFonts w:hint="eastAsia" w:ascii="仿宋" w:hAnsi="仿宋" w:eastAsia="仿宋"/>
          <w:b w:val="0"/>
          <w:color w:val="auto"/>
          <w:highlight w:val="none"/>
        </w:rPr>
        <w:t>国</w:t>
      </w:r>
      <w:r>
        <w:rPr>
          <w:rStyle w:val="29"/>
          <w:rFonts w:hint="eastAsia" w:ascii="仿宋" w:hAnsi="仿宋" w:eastAsia="仿宋"/>
          <w:b w:val="0"/>
          <w:bCs w:val="0"/>
          <w:color w:val="auto"/>
          <w:highlight w:val="none"/>
        </w:rPr>
        <w:t>有资本经营预算</w:t>
      </w:r>
      <w:r>
        <w:rPr>
          <w:rStyle w:val="29"/>
          <w:rFonts w:hint="eastAsia" w:ascii="仿宋" w:hAnsi="仿宋" w:eastAsia="仿宋"/>
          <w:b w:val="0"/>
          <w:bCs w:val="0"/>
          <w:color w:val="auto"/>
          <w:highlight w:val="none"/>
          <w:lang w:eastAsia="zh-CN"/>
        </w:rPr>
        <w:t>财政拨款收入</w:t>
      </w:r>
      <w:r>
        <w:rPr>
          <w:rStyle w:val="29"/>
          <w:rFonts w:hint="eastAsia" w:ascii="仿宋" w:hAnsi="仿宋" w:eastAsia="仿宋"/>
          <w:b w:val="0"/>
          <w:bCs w:val="0"/>
          <w:color w:val="auto"/>
          <w:highlight w:val="none"/>
        </w:rPr>
        <w:t>支出决算表</w:t>
      </w:r>
      <w:bookmarkEnd w:id="137"/>
    </w:p>
    <w:p>
      <w:pPr>
        <w:pStyle w:val="3"/>
        <w:rPr>
          <w:rFonts w:ascii="仿宋" w:hAnsi="仿宋" w:eastAsia="仿宋"/>
          <w:color w:val="auto"/>
          <w:highlight w:val="none"/>
        </w:rPr>
      </w:pPr>
      <w:bookmarkStart w:id="138" w:name="_Toc15396630"/>
      <w:bookmarkStart w:id="139" w:name="_Toc2106"/>
      <w:r>
        <w:rPr>
          <w:rStyle w:val="29"/>
          <w:rFonts w:hint="eastAsia" w:ascii="仿宋" w:hAnsi="仿宋" w:eastAsia="仿宋"/>
          <w:b w:val="0"/>
          <w:bCs w:val="0"/>
          <w:color w:val="auto"/>
          <w:highlight w:val="none"/>
        </w:rPr>
        <w:t>十二、</w:t>
      </w:r>
      <w:bookmarkEnd w:id="138"/>
      <w:r>
        <w:rPr>
          <w:rStyle w:val="29"/>
          <w:rFonts w:hint="eastAsia" w:ascii="仿宋" w:hAnsi="仿宋" w:eastAsia="仿宋"/>
          <w:b w:val="0"/>
          <w:bCs w:val="0"/>
          <w:color w:val="auto"/>
          <w:highlight w:val="none"/>
          <w:lang w:eastAsia="zh-CN"/>
        </w:rPr>
        <w:t>国有资本经营预算财政拨款支出决算表</w:t>
      </w:r>
      <w:bookmarkEnd w:id="139"/>
    </w:p>
    <w:p>
      <w:pPr>
        <w:pStyle w:val="3"/>
        <w:rPr>
          <w:rFonts w:hint="eastAsia" w:eastAsia="仿宋"/>
          <w:color w:val="auto"/>
          <w:highlight w:val="none"/>
          <w:lang w:eastAsia="zh-CN"/>
        </w:rPr>
      </w:pPr>
      <w:bookmarkStart w:id="140" w:name="_Toc15396631"/>
      <w:bookmarkStart w:id="141" w:name="_Toc24072"/>
      <w:r>
        <w:rPr>
          <w:rStyle w:val="29"/>
          <w:rFonts w:hint="eastAsia" w:ascii="仿宋" w:hAnsi="仿宋" w:eastAsia="仿宋"/>
          <w:b w:val="0"/>
          <w:bCs w:val="0"/>
          <w:color w:val="auto"/>
          <w:highlight w:val="none"/>
        </w:rPr>
        <w:t>十三、</w:t>
      </w:r>
      <w:bookmarkEnd w:id="140"/>
      <w:r>
        <w:rPr>
          <w:rStyle w:val="29"/>
          <w:rFonts w:hint="eastAsia" w:ascii="仿宋" w:hAnsi="仿宋" w:eastAsia="仿宋"/>
          <w:b w:val="0"/>
          <w:bCs w:val="0"/>
          <w:color w:val="auto"/>
          <w:highlight w:val="none"/>
          <w:lang w:eastAsia="zh-CN"/>
        </w:rPr>
        <w:t>财政拨款“三公”经费支出决算表</w:t>
      </w:r>
      <w:bookmarkEnd w:id="141"/>
    </w:p>
    <w:sectPr>
      <w:headerReference r:id="rId3" w:type="default"/>
      <w:footerReference r:id="rId4" w:type="default"/>
      <w:pgSz w:w="11906" w:h="16838"/>
      <w:pgMar w:top="2098" w:right="1474" w:bottom="1984" w:left="1587" w:header="851" w:footer="992" w:gutter="0"/>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EBEF323"/>
    <w:multiLevelType w:val="singleLevel"/>
    <w:tmpl w:val="DEBEF323"/>
    <w:lvl w:ilvl="0" w:tentative="0">
      <w:start w:val="4"/>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FFF674BC"/>
    <w:multiLevelType w:val="singleLevel"/>
    <w:tmpl w:val="FFF674BC"/>
    <w:lvl w:ilvl="0" w:tentative="0">
      <w:start w:val="1"/>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OTJlMTJjZTQ0ODNmMTdkYmI0ZTdlMDNhOWNmND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3ADA"/>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43A9"/>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00A3"/>
    <w:rsid w:val="00FA23E8"/>
    <w:rsid w:val="00FD3CC1"/>
    <w:rsid w:val="00FF1E02"/>
    <w:rsid w:val="00FF30B4"/>
    <w:rsid w:val="015975B8"/>
    <w:rsid w:val="016F0A91"/>
    <w:rsid w:val="01B6046E"/>
    <w:rsid w:val="01CA5CC8"/>
    <w:rsid w:val="02094264"/>
    <w:rsid w:val="02143E91"/>
    <w:rsid w:val="022950E4"/>
    <w:rsid w:val="02443CCC"/>
    <w:rsid w:val="02FB064D"/>
    <w:rsid w:val="0332621A"/>
    <w:rsid w:val="03681CCC"/>
    <w:rsid w:val="03806F86"/>
    <w:rsid w:val="03922815"/>
    <w:rsid w:val="03B46C2F"/>
    <w:rsid w:val="03D1333D"/>
    <w:rsid w:val="04043713"/>
    <w:rsid w:val="04051239"/>
    <w:rsid w:val="042C0EBC"/>
    <w:rsid w:val="046E5030"/>
    <w:rsid w:val="04EF14A9"/>
    <w:rsid w:val="04FF212C"/>
    <w:rsid w:val="05500BDA"/>
    <w:rsid w:val="055E50A5"/>
    <w:rsid w:val="05FE0636"/>
    <w:rsid w:val="0651672C"/>
    <w:rsid w:val="066E0107"/>
    <w:rsid w:val="068C3E93"/>
    <w:rsid w:val="06CE0008"/>
    <w:rsid w:val="06EE4206"/>
    <w:rsid w:val="07996F6E"/>
    <w:rsid w:val="07A85F5B"/>
    <w:rsid w:val="07FF602A"/>
    <w:rsid w:val="080F08D8"/>
    <w:rsid w:val="0827735B"/>
    <w:rsid w:val="08C43471"/>
    <w:rsid w:val="09192D4B"/>
    <w:rsid w:val="093164C4"/>
    <w:rsid w:val="093F51ED"/>
    <w:rsid w:val="098E3A7F"/>
    <w:rsid w:val="09BA4874"/>
    <w:rsid w:val="09BC595D"/>
    <w:rsid w:val="09DF41B8"/>
    <w:rsid w:val="0A2032A3"/>
    <w:rsid w:val="0A456833"/>
    <w:rsid w:val="0ADD2F10"/>
    <w:rsid w:val="0AEA1189"/>
    <w:rsid w:val="0BE1300C"/>
    <w:rsid w:val="0C177D5B"/>
    <w:rsid w:val="0C4C4380"/>
    <w:rsid w:val="0C8F3D96"/>
    <w:rsid w:val="0CAC0E36"/>
    <w:rsid w:val="0CB63A18"/>
    <w:rsid w:val="0CBE246E"/>
    <w:rsid w:val="0CDF2F6F"/>
    <w:rsid w:val="0D646FD0"/>
    <w:rsid w:val="0D6B65B1"/>
    <w:rsid w:val="0D6C40D7"/>
    <w:rsid w:val="0E120FD6"/>
    <w:rsid w:val="0E5226DA"/>
    <w:rsid w:val="0E5E7B56"/>
    <w:rsid w:val="0F360E40"/>
    <w:rsid w:val="0F470958"/>
    <w:rsid w:val="0F98263C"/>
    <w:rsid w:val="101860EC"/>
    <w:rsid w:val="10433815"/>
    <w:rsid w:val="104B091B"/>
    <w:rsid w:val="106B68C8"/>
    <w:rsid w:val="10C055FF"/>
    <w:rsid w:val="111451B1"/>
    <w:rsid w:val="11407D54"/>
    <w:rsid w:val="118107EC"/>
    <w:rsid w:val="123553DF"/>
    <w:rsid w:val="126A16C6"/>
    <w:rsid w:val="126D6927"/>
    <w:rsid w:val="12B66520"/>
    <w:rsid w:val="12C02EFB"/>
    <w:rsid w:val="12E27315"/>
    <w:rsid w:val="130D010A"/>
    <w:rsid w:val="13D50BC4"/>
    <w:rsid w:val="13EE1CEA"/>
    <w:rsid w:val="13F60B9E"/>
    <w:rsid w:val="14005579"/>
    <w:rsid w:val="14680FAC"/>
    <w:rsid w:val="14832432"/>
    <w:rsid w:val="14F607B7"/>
    <w:rsid w:val="151B08BC"/>
    <w:rsid w:val="151B6B0E"/>
    <w:rsid w:val="153A4E23"/>
    <w:rsid w:val="156274EA"/>
    <w:rsid w:val="15966195"/>
    <w:rsid w:val="159D39C7"/>
    <w:rsid w:val="15AC59B8"/>
    <w:rsid w:val="15BD1974"/>
    <w:rsid w:val="163C6D3C"/>
    <w:rsid w:val="16BB723D"/>
    <w:rsid w:val="16D57F19"/>
    <w:rsid w:val="17A76437"/>
    <w:rsid w:val="17BB1EE3"/>
    <w:rsid w:val="17E451EA"/>
    <w:rsid w:val="1820443C"/>
    <w:rsid w:val="188D7D23"/>
    <w:rsid w:val="18E11E1D"/>
    <w:rsid w:val="19600F94"/>
    <w:rsid w:val="19FB727A"/>
    <w:rsid w:val="1A5A3C35"/>
    <w:rsid w:val="1A911621"/>
    <w:rsid w:val="1A9A1477"/>
    <w:rsid w:val="1AC15A62"/>
    <w:rsid w:val="1AF35E37"/>
    <w:rsid w:val="1AFA0F74"/>
    <w:rsid w:val="1B701236"/>
    <w:rsid w:val="1B99078D"/>
    <w:rsid w:val="1BAB226E"/>
    <w:rsid w:val="1BC872C4"/>
    <w:rsid w:val="1BD417C5"/>
    <w:rsid w:val="1BDD2D6F"/>
    <w:rsid w:val="1BE8440E"/>
    <w:rsid w:val="1C3D736A"/>
    <w:rsid w:val="1C80194D"/>
    <w:rsid w:val="1C8A6328"/>
    <w:rsid w:val="1CF77E61"/>
    <w:rsid w:val="1D0205B4"/>
    <w:rsid w:val="1D100F23"/>
    <w:rsid w:val="1D155CEE"/>
    <w:rsid w:val="1D992CC6"/>
    <w:rsid w:val="1E124827"/>
    <w:rsid w:val="1E4F5A7B"/>
    <w:rsid w:val="1E672DC4"/>
    <w:rsid w:val="1E816B5B"/>
    <w:rsid w:val="1EA316C5"/>
    <w:rsid w:val="1EE75CB3"/>
    <w:rsid w:val="1F3031B6"/>
    <w:rsid w:val="1F3F33F9"/>
    <w:rsid w:val="1F494278"/>
    <w:rsid w:val="1F4D3D68"/>
    <w:rsid w:val="1FC102B2"/>
    <w:rsid w:val="1FF35744"/>
    <w:rsid w:val="1FF70178"/>
    <w:rsid w:val="20012DA5"/>
    <w:rsid w:val="2043516B"/>
    <w:rsid w:val="205B24B5"/>
    <w:rsid w:val="206D5E87"/>
    <w:rsid w:val="215967D5"/>
    <w:rsid w:val="215B115F"/>
    <w:rsid w:val="218872DA"/>
    <w:rsid w:val="21EA40DB"/>
    <w:rsid w:val="22031056"/>
    <w:rsid w:val="22230DB0"/>
    <w:rsid w:val="22B83BEE"/>
    <w:rsid w:val="236E24FF"/>
    <w:rsid w:val="237A0EA4"/>
    <w:rsid w:val="23860B96"/>
    <w:rsid w:val="23C6058D"/>
    <w:rsid w:val="23CA7257"/>
    <w:rsid w:val="240371BF"/>
    <w:rsid w:val="241412F8"/>
    <w:rsid w:val="244B0A92"/>
    <w:rsid w:val="245574DD"/>
    <w:rsid w:val="24AD7057"/>
    <w:rsid w:val="24E16D01"/>
    <w:rsid w:val="24E46F1D"/>
    <w:rsid w:val="253F4153"/>
    <w:rsid w:val="25510D03"/>
    <w:rsid w:val="256E7D73"/>
    <w:rsid w:val="265C6F87"/>
    <w:rsid w:val="26995AE5"/>
    <w:rsid w:val="269E759F"/>
    <w:rsid w:val="272A0E33"/>
    <w:rsid w:val="272D179C"/>
    <w:rsid w:val="27651E6B"/>
    <w:rsid w:val="27FF5E1C"/>
    <w:rsid w:val="28377363"/>
    <w:rsid w:val="28700AC7"/>
    <w:rsid w:val="2920604A"/>
    <w:rsid w:val="29A2748E"/>
    <w:rsid w:val="29FD04D3"/>
    <w:rsid w:val="2AAD1B5F"/>
    <w:rsid w:val="2ACF41CB"/>
    <w:rsid w:val="2B97636B"/>
    <w:rsid w:val="2BAE3DE1"/>
    <w:rsid w:val="2BB138D1"/>
    <w:rsid w:val="2BDF043E"/>
    <w:rsid w:val="2C8A61B5"/>
    <w:rsid w:val="2CDA6E57"/>
    <w:rsid w:val="2D4367AA"/>
    <w:rsid w:val="2DCB1181"/>
    <w:rsid w:val="2DF04E50"/>
    <w:rsid w:val="2E2A34C6"/>
    <w:rsid w:val="2E9143FF"/>
    <w:rsid w:val="2E9D013C"/>
    <w:rsid w:val="2EAE40F8"/>
    <w:rsid w:val="2F040D46"/>
    <w:rsid w:val="2F4A3E20"/>
    <w:rsid w:val="2F7B66D0"/>
    <w:rsid w:val="2F866E22"/>
    <w:rsid w:val="2FF279EE"/>
    <w:rsid w:val="3033551D"/>
    <w:rsid w:val="304B42F4"/>
    <w:rsid w:val="30546FB1"/>
    <w:rsid w:val="309C4B4F"/>
    <w:rsid w:val="30A752A2"/>
    <w:rsid w:val="30BD0622"/>
    <w:rsid w:val="30F5600E"/>
    <w:rsid w:val="319F7F4E"/>
    <w:rsid w:val="31AA329C"/>
    <w:rsid w:val="31B22A77"/>
    <w:rsid w:val="32066FBD"/>
    <w:rsid w:val="327A7EDD"/>
    <w:rsid w:val="329F7F25"/>
    <w:rsid w:val="32A852D9"/>
    <w:rsid w:val="3304709D"/>
    <w:rsid w:val="33524255"/>
    <w:rsid w:val="3369683F"/>
    <w:rsid w:val="336B4A2B"/>
    <w:rsid w:val="336D4748"/>
    <w:rsid w:val="33843679"/>
    <w:rsid w:val="339A2E9C"/>
    <w:rsid w:val="33F05CCA"/>
    <w:rsid w:val="345179FF"/>
    <w:rsid w:val="3483209F"/>
    <w:rsid w:val="35780FBB"/>
    <w:rsid w:val="357A11D7"/>
    <w:rsid w:val="35966C19"/>
    <w:rsid w:val="359C2EFC"/>
    <w:rsid w:val="36105698"/>
    <w:rsid w:val="36AA5135"/>
    <w:rsid w:val="373F73EB"/>
    <w:rsid w:val="37405B09"/>
    <w:rsid w:val="37451401"/>
    <w:rsid w:val="376D39B2"/>
    <w:rsid w:val="37C37093"/>
    <w:rsid w:val="37DB3F2A"/>
    <w:rsid w:val="37E16F03"/>
    <w:rsid w:val="381E5E4A"/>
    <w:rsid w:val="383A69FC"/>
    <w:rsid w:val="38D469F0"/>
    <w:rsid w:val="38E250CA"/>
    <w:rsid w:val="38FD63A7"/>
    <w:rsid w:val="390C2146"/>
    <w:rsid w:val="392576AC"/>
    <w:rsid w:val="395818F2"/>
    <w:rsid w:val="396B5955"/>
    <w:rsid w:val="39D569DC"/>
    <w:rsid w:val="39E76710"/>
    <w:rsid w:val="39FF3A59"/>
    <w:rsid w:val="3A8D72B7"/>
    <w:rsid w:val="3B091033"/>
    <w:rsid w:val="3C096E11"/>
    <w:rsid w:val="3C10166C"/>
    <w:rsid w:val="3C28373B"/>
    <w:rsid w:val="3CB74ABF"/>
    <w:rsid w:val="3CBB45AF"/>
    <w:rsid w:val="3D216A31"/>
    <w:rsid w:val="3D532A3A"/>
    <w:rsid w:val="3D6A1B31"/>
    <w:rsid w:val="3D8E5820"/>
    <w:rsid w:val="3D98207C"/>
    <w:rsid w:val="3D9869EF"/>
    <w:rsid w:val="3DB37034"/>
    <w:rsid w:val="3E03620E"/>
    <w:rsid w:val="3E175815"/>
    <w:rsid w:val="3E285C74"/>
    <w:rsid w:val="3E377C66"/>
    <w:rsid w:val="3E4660FB"/>
    <w:rsid w:val="3E530817"/>
    <w:rsid w:val="3E734A16"/>
    <w:rsid w:val="3E761E45"/>
    <w:rsid w:val="3E78745D"/>
    <w:rsid w:val="3E834C59"/>
    <w:rsid w:val="3E8D0CD3"/>
    <w:rsid w:val="3F0A35CC"/>
    <w:rsid w:val="3F4940F4"/>
    <w:rsid w:val="3F854A01"/>
    <w:rsid w:val="3F93536F"/>
    <w:rsid w:val="400C5122"/>
    <w:rsid w:val="40770C4B"/>
    <w:rsid w:val="40DE086C"/>
    <w:rsid w:val="41A02056"/>
    <w:rsid w:val="41DB2FFE"/>
    <w:rsid w:val="41E9396D"/>
    <w:rsid w:val="41EC62E1"/>
    <w:rsid w:val="424E37D0"/>
    <w:rsid w:val="427F44E9"/>
    <w:rsid w:val="42C65A5C"/>
    <w:rsid w:val="42D31F27"/>
    <w:rsid w:val="42D356B0"/>
    <w:rsid w:val="43014CE6"/>
    <w:rsid w:val="434F5A51"/>
    <w:rsid w:val="435C3CCA"/>
    <w:rsid w:val="437B23A2"/>
    <w:rsid w:val="43A01E09"/>
    <w:rsid w:val="442455C8"/>
    <w:rsid w:val="4464552C"/>
    <w:rsid w:val="44A45929"/>
    <w:rsid w:val="44B518E4"/>
    <w:rsid w:val="44E268DA"/>
    <w:rsid w:val="453E5D7D"/>
    <w:rsid w:val="45B1654F"/>
    <w:rsid w:val="45C049E4"/>
    <w:rsid w:val="46032B23"/>
    <w:rsid w:val="46054AED"/>
    <w:rsid w:val="462A00B0"/>
    <w:rsid w:val="464B2B9B"/>
    <w:rsid w:val="46671304"/>
    <w:rsid w:val="46D06EA9"/>
    <w:rsid w:val="475573AE"/>
    <w:rsid w:val="47615D53"/>
    <w:rsid w:val="4770243A"/>
    <w:rsid w:val="478A34FC"/>
    <w:rsid w:val="479954ED"/>
    <w:rsid w:val="480D1A37"/>
    <w:rsid w:val="4820176A"/>
    <w:rsid w:val="486E72D0"/>
    <w:rsid w:val="48EB0E05"/>
    <w:rsid w:val="49A2403D"/>
    <w:rsid w:val="49DC5B65"/>
    <w:rsid w:val="49F27137"/>
    <w:rsid w:val="49FA37BC"/>
    <w:rsid w:val="4A1946C3"/>
    <w:rsid w:val="4A627F82"/>
    <w:rsid w:val="4A7A7858"/>
    <w:rsid w:val="4A8F2BD7"/>
    <w:rsid w:val="4AB60164"/>
    <w:rsid w:val="4B0E749A"/>
    <w:rsid w:val="4B4F25DA"/>
    <w:rsid w:val="4B863FDA"/>
    <w:rsid w:val="4BE068DB"/>
    <w:rsid w:val="4BFB49C8"/>
    <w:rsid w:val="4C5B5467"/>
    <w:rsid w:val="4C982217"/>
    <w:rsid w:val="4CD6689C"/>
    <w:rsid w:val="4CE94821"/>
    <w:rsid w:val="4D075585"/>
    <w:rsid w:val="4D577224"/>
    <w:rsid w:val="4D88014B"/>
    <w:rsid w:val="4DB77DE0"/>
    <w:rsid w:val="4DBB7A1A"/>
    <w:rsid w:val="4E2E64D9"/>
    <w:rsid w:val="4E3B4A67"/>
    <w:rsid w:val="4EAB630A"/>
    <w:rsid w:val="4ECE2238"/>
    <w:rsid w:val="4EDD6607"/>
    <w:rsid w:val="4EE47996"/>
    <w:rsid w:val="4F09547A"/>
    <w:rsid w:val="4F512B51"/>
    <w:rsid w:val="4F846A83"/>
    <w:rsid w:val="4FE37C4D"/>
    <w:rsid w:val="50744D49"/>
    <w:rsid w:val="50C8299F"/>
    <w:rsid w:val="50FE4613"/>
    <w:rsid w:val="511856D5"/>
    <w:rsid w:val="51B86EB8"/>
    <w:rsid w:val="51CC4711"/>
    <w:rsid w:val="51EC090F"/>
    <w:rsid w:val="52203759"/>
    <w:rsid w:val="52BC5143"/>
    <w:rsid w:val="52F91536"/>
    <w:rsid w:val="532145E9"/>
    <w:rsid w:val="53616823"/>
    <w:rsid w:val="537E6D0A"/>
    <w:rsid w:val="53DC22CC"/>
    <w:rsid w:val="54091C4C"/>
    <w:rsid w:val="545804DE"/>
    <w:rsid w:val="546B0211"/>
    <w:rsid w:val="54BC0A6D"/>
    <w:rsid w:val="54D47B64"/>
    <w:rsid w:val="54DE09E3"/>
    <w:rsid w:val="54E20CEA"/>
    <w:rsid w:val="55284354"/>
    <w:rsid w:val="55D10548"/>
    <w:rsid w:val="560B3A5A"/>
    <w:rsid w:val="564175F1"/>
    <w:rsid w:val="56431446"/>
    <w:rsid w:val="56A62D22"/>
    <w:rsid w:val="56D976B4"/>
    <w:rsid w:val="57102FAD"/>
    <w:rsid w:val="57460AC2"/>
    <w:rsid w:val="575136EE"/>
    <w:rsid w:val="575B2E6E"/>
    <w:rsid w:val="57DA7B88"/>
    <w:rsid w:val="57E5652D"/>
    <w:rsid w:val="57FB7AFE"/>
    <w:rsid w:val="581A7C1C"/>
    <w:rsid w:val="583077A8"/>
    <w:rsid w:val="587F6039"/>
    <w:rsid w:val="58AB6E2E"/>
    <w:rsid w:val="58B71C77"/>
    <w:rsid w:val="59253FAD"/>
    <w:rsid w:val="592B7F6F"/>
    <w:rsid w:val="595674FA"/>
    <w:rsid w:val="59576FB6"/>
    <w:rsid w:val="59931701"/>
    <w:rsid w:val="5A175362"/>
    <w:rsid w:val="5A1A070F"/>
    <w:rsid w:val="5A5F25C6"/>
    <w:rsid w:val="5AB521E6"/>
    <w:rsid w:val="5AD85ED5"/>
    <w:rsid w:val="5AF92295"/>
    <w:rsid w:val="5B1171CD"/>
    <w:rsid w:val="5B5750F7"/>
    <w:rsid w:val="5B653571"/>
    <w:rsid w:val="5B77749C"/>
    <w:rsid w:val="5B7B51DE"/>
    <w:rsid w:val="5B885B4D"/>
    <w:rsid w:val="5BB46942"/>
    <w:rsid w:val="5BD963A8"/>
    <w:rsid w:val="5BEA7135"/>
    <w:rsid w:val="5BF154A0"/>
    <w:rsid w:val="5BFD2097"/>
    <w:rsid w:val="5C471564"/>
    <w:rsid w:val="5C4E28F2"/>
    <w:rsid w:val="5CD71FC4"/>
    <w:rsid w:val="5D292A17"/>
    <w:rsid w:val="5D3C099D"/>
    <w:rsid w:val="5D942587"/>
    <w:rsid w:val="5E6F6B50"/>
    <w:rsid w:val="5E9D546B"/>
    <w:rsid w:val="5F4535FE"/>
    <w:rsid w:val="5F897D77"/>
    <w:rsid w:val="605D1356"/>
    <w:rsid w:val="61113EEE"/>
    <w:rsid w:val="619B3CC2"/>
    <w:rsid w:val="61AD3C17"/>
    <w:rsid w:val="61B34FA6"/>
    <w:rsid w:val="62F17CFC"/>
    <w:rsid w:val="63147CC6"/>
    <w:rsid w:val="63B23767"/>
    <w:rsid w:val="642E70E2"/>
    <w:rsid w:val="65953340"/>
    <w:rsid w:val="65F55B8D"/>
    <w:rsid w:val="665054B9"/>
    <w:rsid w:val="66860EDB"/>
    <w:rsid w:val="66A03D4A"/>
    <w:rsid w:val="66B21CD0"/>
    <w:rsid w:val="66CA526B"/>
    <w:rsid w:val="66F9345B"/>
    <w:rsid w:val="671B58CC"/>
    <w:rsid w:val="67D63838"/>
    <w:rsid w:val="685A43CD"/>
    <w:rsid w:val="68701E42"/>
    <w:rsid w:val="688B17FA"/>
    <w:rsid w:val="68D0643D"/>
    <w:rsid w:val="69236EB5"/>
    <w:rsid w:val="6965127B"/>
    <w:rsid w:val="6A8B2F63"/>
    <w:rsid w:val="6AAA5022"/>
    <w:rsid w:val="6BE4292B"/>
    <w:rsid w:val="6C4A05C8"/>
    <w:rsid w:val="6C586E75"/>
    <w:rsid w:val="6C88775B"/>
    <w:rsid w:val="6CDE55CC"/>
    <w:rsid w:val="6CED5810"/>
    <w:rsid w:val="6D0B3EE8"/>
    <w:rsid w:val="6D3E42BD"/>
    <w:rsid w:val="6D505D9E"/>
    <w:rsid w:val="6D745F31"/>
    <w:rsid w:val="6E076DA5"/>
    <w:rsid w:val="6E7E3605"/>
    <w:rsid w:val="6E975F48"/>
    <w:rsid w:val="6E9F2B3A"/>
    <w:rsid w:val="6EA97E5C"/>
    <w:rsid w:val="6EBF4F8A"/>
    <w:rsid w:val="6EC407F2"/>
    <w:rsid w:val="6EF530A1"/>
    <w:rsid w:val="6F143527"/>
    <w:rsid w:val="6F1C062E"/>
    <w:rsid w:val="6F6242C1"/>
    <w:rsid w:val="6FAD572A"/>
    <w:rsid w:val="6FC767EC"/>
    <w:rsid w:val="6FF5CC65"/>
    <w:rsid w:val="700F3CEF"/>
    <w:rsid w:val="70157C70"/>
    <w:rsid w:val="71015D2D"/>
    <w:rsid w:val="715C0E4B"/>
    <w:rsid w:val="71681909"/>
    <w:rsid w:val="71D76A8E"/>
    <w:rsid w:val="71EF5B86"/>
    <w:rsid w:val="725D6F93"/>
    <w:rsid w:val="72734D90"/>
    <w:rsid w:val="72F83160"/>
    <w:rsid w:val="738B18DE"/>
    <w:rsid w:val="738B5D82"/>
    <w:rsid w:val="739D4FF6"/>
    <w:rsid w:val="73AD73D5"/>
    <w:rsid w:val="73B6EB34"/>
    <w:rsid w:val="73E23800"/>
    <w:rsid w:val="74251D6C"/>
    <w:rsid w:val="743326A2"/>
    <w:rsid w:val="744731E5"/>
    <w:rsid w:val="746D7236"/>
    <w:rsid w:val="74943930"/>
    <w:rsid w:val="7516167C"/>
    <w:rsid w:val="75267B11"/>
    <w:rsid w:val="7530273D"/>
    <w:rsid w:val="75B94E29"/>
    <w:rsid w:val="76257DC8"/>
    <w:rsid w:val="76285B0A"/>
    <w:rsid w:val="76564426"/>
    <w:rsid w:val="76CA6BC2"/>
    <w:rsid w:val="76E3355F"/>
    <w:rsid w:val="776668EA"/>
    <w:rsid w:val="77752FD1"/>
    <w:rsid w:val="778769C8"/>
    <w:rsid w:val="779571D0"/>
    <w:rsid w:val="77ED5B0C"/>
    <w:rsid w:val="780D320A"/>
    <w:rsid w:val="7879089F"/>
    <w:rsid w:val="78B95140"/>
    <w:rsid w:val="78DD2BDC"/>
    <w:rsid w:val="79811FC3"/>
    <w:rsid w:val="79927E6B"/>
    <w:rsid w:val="79E85CDC"/>
    <w:rsid w:val="79EE5BA4"/>
    <w:rsid w:val="7A1173D2"/>
    <w:rsid w:val="7A894339"/>
    <w:rsid w:val="7AD97AE6"/>
    <w:rsid w:val="7AF16E13"/>
    <w:rsid w:val="7B216715"/>
    <w:rsid w:val="7B2A5E81"/>
    <w:rsid w:val="7BBE3F64"/>
    <w:rsid w:val="7BE32C45"/>
    <w:rsid w:val="7C4E5C2F"/>
    <w:rsid w:val="7C9212DF"/>
    <w:rsid w:val="7CBE2D25"/>
    <w:rsid w:val="7D0746CC"/>
    <w:rsid w:val="7D545437"/>
    <w:rsid w:val="7D731D61"/>
    <w:rsid w:val="7D9121E7"/>
    <w:rsid w:val="7D9D0B8C"/>
    <w:rsid w:val="7DC26844"/>
    <w:rsid w:val="7DEE3196"/>
    <w:rsid w:val="7E132BFC"/>
    <w:rsid w:val="7E152E18"/>
    <w:rsid w:val="7E70004F"/>
    <w:rsid w:val="7EB73ECF"/>
    <w:rsid w:val="7EEF11D3"/>
    <w:rsid w:val="7F1A5C7D"/>
    <w:rsid w:val="7F25708B"/>
    <w:rsid w:val="7F365FF7"/>
    <w:rsid w:val="7F606315"/>
    <w:rsid w:val="7FA30C79"/>
    <w:rsid w:val="7FAA57E2"/>
    <w:rsid w:val="7FB7269E"/>
    <w:rsid w:val="7FC96657"/>
    <w:rsid w:val="7FD14B1D"/>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2"/>
    <w:qFormat/>
    <w:uiPriority w:val="9"/>
    <w:rPr>
      <w:rFonts w:ascii="Times New Roman" w:hAnsi="Times New Roman"/>
      <w:b/>
      <w:bCs/>
      <w:kern w:val="44"/>
      <w:sz w:val="44"/>
      <w:szCs w:val="44"/>
    </w:rPr>
  </w:style>
  <w:style w:type="character" w:customStyle="1" w:styleId="29">
    <w:name w:val="标题 2 Char"/>
    <w:basedOn w:val="16"/>
    <w:link w:val="3"/>
    <w:qFormat/>
    <w:uiPriority w:val="9"/>
    <w:rPr>
      <w:rFonts w:asciiTheme="majorHAnsi" w:hAnsiTheme="majorHAnsi" w:eastAsiaTheme="majorEastAsia" w:cstheme="majorBidi"/>
      <w:b/>
      <w:bCs/>
      <w:kern w:val="2"/>
      <w:sz w:val="32"/>
      <w:szCs w:val="32"/>
    </w:rPr>
  </w:style>
  <w:style w:type="paragraph" w:customStyle="1" w:styleId="3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8"/>
    <w:semiHidden/>
    <w:qFormat/>
    <w:uiPriority w:val="99"/>
    <w:rPr>
      <w:rFonts w:ascii="Times New Roman" w:hAnsi="Times New Roman"/>
      <w:kern w:val="2"/>
      <w:sz w:val="18"/>
      <w:szCs w:val="18"/>
    </w:rPr>
  </w:style>
  <w:style w:type="character" w:customStyle="1" w:styleId="32">
    <w:name w:val="标题 3 Char"/>
    <w:basedOn w:val="16"/>
    <w:link w:val="4"/>
    <w:qFormat/>
    <w:uiPriority w:val="9"/>
    <w:rPr>
      <w:rFonts w:ascii="Times New Roman" w:hAnsi="Times New Roman"/>
      <w:b/>
      <w:bCs/>
      <w:kern w:val="2"/>
      <w:sz w:val="32"/>
      <w:szCs w:val="32"/>
    </w:rPr>
  </w:style>
  <w:style w:type="paragraph" w:customStyle="1" w:styleId="3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5">
    <w:name w:val="WPSOffice手动目录 1"/>
    <w:uiPriority w:val="0"/>
    <w:pPr>
      <w:ind w:leftChars="0"/>
    </w:pPr>
    <w:rPr>
      <w:sz w:val="20"/>
      <w:szCs w:val="20"/>
    </w:rPr>
  </w:style>
  <w:style w:type="paragraph" w:customStyle="1" w:styleId="36">
    <w:name w:val="WPSOffice手动目录 2"/>
    <w:uiPriority w:val="0"/>
    <w:pPr>
      <w:ind w:leftChars="200"/>
    </w:pPr>
    <w:rPr>
      <w:sz w:val="20"/>
      <w:szCs w:val="20"/>
    </w:rPr>
  </w:style>
  <w:style w:type="paragraph" w:customStyle="1" w:styleId="37">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收入支出决算总体情况说明图</a:t>
            </a:r>
            <a:r>
              <a:rPr lang="en-US" altLang="zh-CN"/>
              <a:t>                 </a:t>
            </a:r>
            <a:r>
              <a:t>（单位：万元）</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财政预算收入</c:v>
                </c:pt>
                <c:pt idx="1">
                  <c:v>年初结转存量资金</c:v>
                </c:pt>
                <c:pt idx="2">
                  <c:v>合计</c:v>
                </c:pt>
              </c:strCache>
            </c:strRef>
          </c:cat>
          <c:val>
            <c:numRef>
              <c:f>Sheet1!$B$2:$B$5</c:f>
              <c:numCache>
                <c:formatCode>General</c:formatCode>
                <c:ptCount val="4"/>
                <c:pt idx="0">
                  <c:v>62.87</c:v>
                </c:pt>
                <c:pt idx="1">
                  <c:v>0</c:v>
                </c:pt>
                <c:pt idx="2">
                  <c:v>62.87</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财政预算收入</c:v>
                </c:pt>
                <c:pt idx="1">
                  <c:v>年初结转存量资金</c:v>
                </c:pt>
                <c:pt idx="2">
                  <c:v>合计</c:v>
                </c:pt>
              </c:strCache>
            </c:strRef>
          </c:cat>
          <c:val>
            <c:numRef>
              <c:f>Sheet1!$C$2:$C$5</c:f>
              <c:numCache>
                <c:formatCode>General</c:formatCode>
                <c:ptCount val="4"/>
                <c:pt idx="0">
                  <c:v>83.08</c:v>
                </c:pt>
                <c:pt idx="1">
                  <c:v>4.05</c:v>
                </c:pt>
                <c:pt idx="2">
                  <c:v>87.13</c:v>
                </c:pt>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财政预算收入</c:v>
                </c:pt>
                <c:pt idx="1">
                  <c:v>年初结转存量资金</c:v>
                </c:pt>
                <c:pt idx="2">
                  <c:v>合计</c:v>
                </c:pt>
              </c:strCache>
            </c:strRef>
          </c:cat>
          <c:val>
            <c:numRef>
              <c:f>Sheet1!$D$2:$D$5</c:f>
              <c:numCache>
                <c:formatCode>General</c:formatCode>
                <c:ptCount val="4"/>
              </c:numCache>
            </c:numRef>
          </c:val>
        </c:ser>
        <c:dLbls>
          <c:showLegendKey val="0"/>
          <c:showVal val="1"/>
          <c:showCatName val="0"/>
          <c:showSerName val="0"/>
          <c:showPercent val="0"/>
          <c:showBubbleSize val="0"/>
        </c:dLbls>
        <c:gapWidth val="219"/>
        <c:overlap val="-27"/>
        <c:axId val="661542622"/>
        <c:axId val="585056913"/>
      </c:barChart>
      <c:catAx>
        <c:axId val="66154262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5056913"/>
        <c:crosses val="autoZero"/>
        <c:auto val="1"/>
        <c:lblAlgn val="ctr"/>
        <c:lblOffset val="100"/>
        <c:noMultiLvlLbl val="0"/>
      </c:catAx>
      <c:valAx>
        <c:axId val="58505691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1542622"/>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altLang="en-US"/>
              <a:t>年收入决算情况说明图</a:t>
            </a:r>
            <a:endParaRPr altLang="en-US"/>
          </a:p>
          <a:p>
            <a:pPr defTabSz="914400">
              <a:defRPr lang="zh-CN" sz="1400" b="0" i="0" u="none" strike="noStrike" kern="1200" spc="0" baseline="0">
                <a:solidFill>
                  <a:schemeClr val="tx1">
                    <a:lumMod val="65000"/>
                    <a:lumOff val="35000"/>
                  </a:schemeClr>
                </a:solidFill>
                <a:latin typeface="+mn-lt"/>
                <a:ea typeface="+mn-ea"/>
                <a:cs typeface="+mn-cs"/>
              </a:defRPr>
            </a:pPr>
            <a:r>
              <a:rPr altLang="en-US"/>
              <a:t>单位：万元</a:t>
            </a:r>
            <a:endParaRPr altLang="en-US"/>
          </a:p>
        </c:rich>
      </c:tx>
      <c:layout>
        <c:manualLayout>
          <c:xMode val="edge"/>
          <c:yMode val="edge"/>
          <c:x val="0.232444158765869"/>
          <c:y val="0.0405405405405405"/>
        </c:manualLayout>
      </c:layout>
      <c:overlay val="0"/>
      <c:spPr>
        <a:noFill/>
        <a:ln>
          <a:noFill/>
        </a:ln>
        <a:effectLst/>
      </c:spPr>
    </c:title>
    <c:autoTitleDeleted val="0"/>
    <c:plotArea>
      <c:layout/>
      <c:pieChart>
        <c:varyColors val="1"/>
        <c:ser>
          <c:idx val="0"/>
          <c:order val="0"/>
          <c:tx>
            <c:strRef>
              <c:f>Sheet1!$B$1</c:f>
              <c:strCache>
                <c:ptCount val="1"/>
                <c:pt idx="0">
                  <c:v>列1</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1"/>
              <c:delete val="1"/>
            </c:dLbl>
            <c:dLbl>
              <c:idx val="2"/>
              <c:delete val="1"/>
            </c:dLbl>
            <c:dLbl>
              <c:idx val="3"/>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一般公共预算财政拨款收入83.08万元，占100％</c:v>
                </c:pt>
              </c:strCache>
            </c:strRef>
          </c:cat>
          <c:val>
            <c:numRef>
              <c:f>Sheet1!$B$2:$B$5</c:f>
              <c:numCache>
                <c:formatCode>General</c:formatCode>
                <c:ptCount val="4"/>
                <c:pt idx="0">
                  <c:v>83.08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1"/>
        <c:delete val="1"/>
      </c:legendEntry>
      <c:legendEntry>
        <c:idx val="2"/>
        <c:delete val="1"/>
      </c:legendEntry>
      <c:legendEntry>
        <c:idx val="3"/>
        <c:delete val="1"/>
      </c:legendEntry>
      <c:layout>
        <c:manualLayout>
          <c:xMode val="edge"/>
          <c:yMode val="edge"/>
          <c:x val="0.245614035087719"/>
          <c:y val="0.87840735068912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2022年支出决算情况说明图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2"/>
              <c:delete val="1"/>
            </c:dLbl>
            <c:dLbl>
              <c:idx val="3"/>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基本支出55.26％</c:v>
                </c:pt>
                <c:pt idx="1">
                  <c:v>项目支出44.74％</c:v>
                </c:pt>
              </c:strCache>
            </c:strRef>
          </c:cat>
          <c:val>
            <c:numRef>
              <c:f>Sheet1!$B$2:$B$5</c:f>
              <c:numCache>
                <c:formatCode>General</c:formatCode>
                <c:ptCount val="4"/>
                <c:pt idx="0">
                  <c:v>55.26</c:v>
                </c:pt>
                <c:pt idx="1">
                  <c:v>44.74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manualLayout>
          <c:xMode val="edge"/>
          <c:yMode val="edge"/>
          <c:x val="0.283396667641041"/>
          <c:y val="0.757185559898827"/>
          <c:w val="0.433352820812628"/>
          <c:h val="0.23591630259829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a:t>（单位：万元）</a:t>
            </a:r>
            <a:endParaRPr altLang="zh-CN"/>
          </a:p>
        </c:rich>
      </c:tx>
      <c:layout/>
      <c:overlay val="0"/>
      <c:spPr>
        <a:noFill/>
        <a:ln>
          <a:noFill/>
        </a:ln>
        <a:effectLst/>
      </c:spPr>
    </c:title>
    <c:autoTitleDeleted val="0"/>
    <c:plotArea>
      <c:layout/>
      <c:barChart>
        <c:barDir val="col"/>
        <c:grouping val="stacked"/>
        <c:varyColors val="0"/>
        <c:ser>
          <c:idx val="0"/>
          <c:order val="0"/>
          <c:tx>
            <c:strRef>
              <c:f>Sheet1!$B$1</c:f>
              <c:strCache>
                <c:ptCount val="1"/>
                <c:pt idx="0">
                  <c:v/>
                </c:pt>
              </c:strCache>
            </c:strRef>
          </c:tx>
          <c:spPr>
            <a:solidFill>
              <a:schemeClr val="accent1"/>
            </a:solidFill>
            <a:ln>
              <a:noFill/>
            </a:ln>
            <a:effectLst/>
          </c:spPr>
          <c:invertIfNegative val="0"/>
          <c:dPt>
            <c:idx val="0"/>
            <c:invertIfNegative val="0"/>
            <c:bubble3D val="0"/>
            <c:spPr>
              <a:solidFill>
                <a:schemeClr val="accent2"/>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Sheet1!$A$2:$A$5</c:f>
              <c:strCache>
                <c:ptCount val="4"/>
                <c:pt idx="0">
                  <c:v>2021年</c:v>
                </c:pt>
                <c:pt idx="1">
                  <c:v>2022年</c:v>
                </c:pt>
              </c:strCache>
            </c:strRef>
          </c:cat>
          <c:val>
            <c:numRef>
              <c:f>Sheet1!$B$2:$B$5</c:f>
              <c:numCache>
                <c:formatCode>General</c:formatCode>
                <c:ptCount val="4"/>
                <c:pt idx="0">
                  <c:v>62.87</c:v>
                </c:pt>
                <c:pt idx="1">
                  <c:v>87.13</c:v>
                </c:pt>
              </c:numCache>
            </c:numRef>
          </c:val>
        </c:ser>
        <c:dLbls>
          <c:showLegendKey val="0"/>
          <c:showVal val="1"/>
          <c:showCatName val="0"/>
          <c:showSerName val="0"/>
          <c:showPercent val="0"/>
          <c:showBubbleSize val="0"/>
        </c:dLbls>
        <c:gapWidth val="150"/>
        <c:overlap val="100"/>
        <c:axId val="166254464"/>
        <c:axId val="166256000"/>
      </c:barChart>
      <c:catAx>
        <c:axId val="16625446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6256000"/>
        <c:crosses val="autoZero"/>
        <c:auto val="1"/>
        <c:lblAlgn val="ctr"/>
        <c:lblOffset val="100"/>
        <c:noMultiLvlLbl val="0"/>
      </c:catAx>
      <c:valAx>
        <c:axId val="1662560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6254464"/>
        <c:crosses val="autoZero"/>
        <c:crossBetween val="between"/>
      </c:valAx>
      <c:spPr>
        <a:noFill/>
        <a:ln>
          <a:noFill/>
        </a:ln>
        <a:effectLst/>
      </c:spPr>
    </c:plotArea>
    <c:legend>
      <c:legendPos val="b"/>
      <c:legendEntry>
        <c:idx val="2"/>
        <c:delete val="1"/>
      </c:legendEntry>
      <c:legendEntry>
        <c:idx val="3"/>
        <c:delete val="1"/>
      </c:legendEntry>
      <c:layout>
        <c:manualLayout>
          <c:xMode val="edge"/>
          <c:yMode val="edge"/>
          <c:x val="0.192967160709096"/>
          <c:y val="0.867642478978511"/>
          <c:w val="0.489537925021796"/>
          <c:h val="0.104328869511056"/>
        </c:manualLayout>
      </c:layout>
      <c:overlay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10"/>
    </mc:Choice>
    <mc:Fallback>
      <c:style val="10010"/>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一般公共预算财政拨款支出决算说明图（单位：万元）</a:t>
            </a:r>
          </a:p>
        </c:rich>
      </c:tx>
      <c:layout/>
      <c:overlay val="0"/>
      <c:spPr>
        <a:noFill/>
        <a:ln>
          <a:noFill/>
        </a:ln>
        <a:effectLst/>
      </c:spPr>
    </c:title>
    <c:autoTitleDeleted val="0"/>
    <c:plotArea>
      <c:layout/>
      <c:barChart>
        <c:barDir val="col"/>
        <c:grouping val="stacked"/>
        <c:varyColors val="0"/>
        <c:ser>
          <c:idx val="0"/>
          <c:order val="0"/>
          <c:tx>
            <c:strRef>
              <c:f>Sheet1!$B$1</c:f>
              <c:strCache>
                <c:ptCount val="1"/>
                <c:pt idx="0">
                  <c:v>2022年一般公共预算财政拨款支出87.13万元，占100％</c:v>
                </c:pt>
              </c:strCache>
            </c:strRef>
          </c:tx>
          <c:spPr>
            <a:solidFill>
              <a:schemeClr val="accent1"/>
            </a:solidFill>
            <a:ln>
              <a:solidFill>
                <a:schemeClr val="bg1"/>
              </a:solidFill>
            </a:ln>
            <a:effectLst/>
          </c:spPr>
          <c:invertIfNegative val="0"/>
          <c:dPt>
            <c:idx val="0"/>
            <c:invertIfNegative val="0"/>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2021年</c:v>
                </c:pt>
                <c:pt idx="1">
                  <c:v>2022年</c:v>
                </c:pt>
              </c:strCache>
            </c:strRef>
          </c:cat>
          <c:val>
            <c:numRef>
              <c:f>Sheet1!$B$2:$B$5</c:f>
              <c:numCache>
                <c:formatCode>General</c:formatCode>
                <c:ptCount val="4"/>
                <c:pt idx="0">
                  <c:v>62.87</c:v>
                </c:pt>
                <c:pt idx="1">
                  <c:v>87.13</c:v>
                </c:pt>
              </c:numCache>
            </c:numRef>
          </c:val>
        </c:ser>
        <c:dLbls>
          <c:showLegendKey val="0"/>
          <c:showVal val="1"/>
          <c:showCatName val="0"/>
          <c:showSerName val="0"/>
          <c:showPercent val="0"/>
          <c:showBubbleSize val="0"/>
        </c:dLbls>
        <c:gapWidth val="246"/>
        <c:overlap val="100"/>
        <c:axId val="175888256"/>
        <c:axId val="175890432"/>
      </c:barChart>
      <c:catAx>
        <c:axId val="1758882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5890432"/>
        <c:crosses val="autoZero"/>
        <c:auto val="1"/>
        <c:lblAlgn val="ctr"/>
        <c:lblOffset val="100"/>
        <c:noMultiLvlLbl val="0"/>
      </c:catAx>
      <c:valAx>
        <c:axId val="175890432"/>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5888256"/>
        <c:crosses val="autoZero"/>
        <c:crossBetween val="between"/>
      </c:valAx>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一般公共服务支出89.23％</c:v>
                </c:pt>
                <c:pt idx="1">
                  <c:v>社会保障和就业支出4.5％</c:v>
                </c:pt>
                <c:pt idx="2">
                  <c:v>卫生健康支出2.1％</c:v>
                </c:pt>
                <c:pt idx="3">
                  <c:v>住房保障支出4.17％</c:v>
                </c:pt>
              </c:strCache>
            </c:strRef>
          </c:cat>
          <c:val>
            <c:numRef>
              <c:f>Sheet1!$B$2:$B$5</c:f>
              <c:numCache>
                <c:formatCode>General</c:formatCode>
                <c:ptCount val="4"/>
                <c:pt idx="0">
                  <c:v>89.23</c:v>
                </c:pt>
                <c:pt idx="1">
                  <c:v>4.5</c:v>
                </c:pt>
                <c:pt idx="2">
                  <c:v>2.1</c:v>
                </c:pt>
                <c:pt idx="3">
                  <c:v>4.17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lang="zh-CN" altLang="en-US"/>
              <a:t>年三公经费财政拨款支出结构说明图</a:t>
            </a:r>
            <a:endParaRPr altLang="en-US"/>
          </a:p>
        </c:rich>
      </c:tx>
      <c:layout/>
      <c:overlay val="0"/>
      <c:spPr>
        <a:noFill/>
        <a:ln>
          <a:noFill/>
        </a:ln>
        <a:effectLst/>
      </c:spPr>
    </c:title>
    <c:autoTitleDeleted val="0"/>
    <c:plotArea>
      <c:layout/>
      <c:pieChart>
        <c:varyColors val="1"/>
        <c:ser>
          <c:idx val="0"/>
          <c:order val="0"/>
          <c:tx>
            <c:strRef>
              <c:f>Sheet1!$B$1</c:f>
              <c:strCache>
                <c:ptCount val="1"/>
                <c:pt idx="0">
                  <c:v>2022年三公经费财政拨款支出结构说明图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1"/>
              <c:delete val="1"/>
            </c:dLbl>
            <c:dLbl>
              <c:idx val="2"/>
              <c:delete val="1"/>
            </c:dLbl>
            <c:dLbl>
              <c:idx val="3"/>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2022年公务接待支出0.49万元占100％</c:v>
                </c:pt>
              </c:strCache>
            </c:strRef>
          </c:cat>
          <c:val>
            <c:numRef>
              <c:f>Sheet1!$B$2:$B$5</c:f>
              <c:numCache>
                <c:formatCode>General</c:formatCode>
                <c:ptCount val="4"/>
                <c:pt idx="0">
                  <c:v>0.49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1"/>
        <c:delete val="1"/>
      </c:legendEntry>
      <c:legendEntry>
        <c:idx val="2"/>
        <c:delete val="1"/>
      </c:legendEntry>
      <c:legendEntry>
        <c:idx val="3"/>
        <c:delete val="1"/>
      </c:legendEntry>
      <c:layout>
        <c:manualLayout>
          <c:xMode val="edge"/>
          <c:yMode val="edge"/>
          <c:x val="0.250151240169389"/>
          <c:y val="0.85543644716692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1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70</Pages>
  <Words>30146</Words>
  <Characters>32669</Characters>
  <Lines>61</Lines>
  <Paragraphs>17</Paragraphs>
  <TotalTime>6</TotalTime>
  <ScaleCrop>false</ScaleCrop>
  <LinksUpToDate>false</LinksUpToDate>
  <CharactersWithSpaces>35026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2023-10-24T03:26:00Z</cp:lastPrinted>
  <dcterms:modified xsi:type="dcterms:W3CDTF">2023-10-27T01:06:23Z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6B62649F5936426495655A5CA1FC16C2_12</vt:lpwstr>
  </property>
</Properties>
</file>