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597"/>
      <w:bookmarkStart w:id="1" w:name="_Toc15377425"/>
      <w:bookmarkStart w:id="2" w:name="_Toc15378441"/>
      <w:bookmarkStart w:id="3" w:name="_Toc15377193"/>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89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22199"/>
      <w:bookmarkStart w:id="8" w:name="_Toc15396598"/>
      <w:bookmarkStart w:id="9" w:name="_Toc15378442"/>
      <w:bookmarkStart w:id="10" w:name="_Toc15377194"/>
      <w:bookmarkStart w:id="11" w:name="_Toc15396476"/>
      <w:bookmarkStart w:id="12" w:name="_Toc15306268"/>
      <w:bookmarkStart w:id="13" w:name="_Toc15377426"/>
      <w:r>
        <w:rPr>
          <w:rFonts w:hint="eastAsia" w:ascii="方正小标宋简体" w:hAnsi="方正小标宋简体" w:eastAsia="方正小标宋简体" w:cs="方正小标宋简体"/>
          <w:color w:val="auto"/>
          <w:spacing w:val="-23"/>
          <w:sz w:val="72"/>
          <w:szCs w:val="72"/>
          <w:highlight w:val="none"/>
          <w:lang w:eastAsia="zh-CN"/>
        </w:rPr>
        <w:t>广元市朝天区土地房屋征收拆迁事务中心</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widowControl/>
        <w:jc w:val="both"/>
        <w:rPr>
          <w:rFonts w:ascii="黑体" w:hAnsi="黑体" w:eastAsia="黑体" w:cstheme="minorBidi"/>
          <w:color w:val="auto"/>
          <w:sz w:val="28"/>
          <w:szCs w:val="28"/>
          <w:highlight w:val="none"/>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p>
    <w:p>
      <w:pPr>
        <w:pStyle w:val="12"/>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公开时间：2023年10月27日</w:t>
      </w:r>
    </w:p>
    <w:p>
      <w:pPr>
        <w:rPr>
          <w:color w:val="auto"/>
          <w:highlight w:val="none"/>
        </w:rPr>
      </w:pPr>
    </w:p>
    <w:sdt>
      <w:sdtPr>
        <w:rPr>
          <w:rFonts w:ascii="宋体" w:hAnsi="宋体" w:eastAsia="宋体" w:cs="Times New Roman"/>
          <w:kern w:val="2"/>
          <w:sz w:val="21"/>
          <w:szCs w:val="24"/>
          <w:lang w:val="en-US" w:eastAsia="zh-CN" w:bidi="ar-SA"/>
        </w:rPr>
        <w:id w:val="14746809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2" w:name="_GoBack"/>
          <w:bookmarkEnd w:id="142"/>
          <w:bookmarkStart w:id="14" w:name="_Toc15396599"/>
          <w:bookmarkStart w:id="15" w:name="_Toc15377196"/>
          <w:r>
            <w:rPr>
              <w:rFonts w:ascii="宋体" w:hAnsi="宋体" w:eastAsia="宋体"/>
              <w:sz w:val="21"/>
            </w:rPr>
            <w:t>目录</w:t>
          </w:r>
        </w:p>
        <w:p>
          <w:pPr>
            <w:pStyle w:val="36"/>
            <w:tabs>
              <w:tab w:val="right" w:leader="dot" w:pos="8845"/>
            </w:tabs>
          </w:pPr>
          <w:r>
            <w:fldChar w:fldCharType="begin"/>
          </w:r>
          <w:r>
            <w:instrText xml:space="preserve">TOC \o "1-3" \h \u </w:instrText>
          </w:r>
          <w:r>
            <w:fldChar w:fldCharType="separate"/>
          </w:r>
          <w:r>
            <w:fldChar w:fldCharType="begin"/>
          </w:r>
          <w:r>
            <w:instrText xml:space="preserve"> HYPERLINK \l _Toc6441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_Toc6441 \h </w:instrText>
          </w:r>
          <w:r>
            <w:fldChar w:fldCharType="separate"/>
          </w:r>
          <w:r>
            <w:t>3</w:t>
          </w:r>
          <w:r>
            <w:fldChar w:fldCharType="end"/>
          </w:r>
          <w:r>
            <w:fldChar w:fldCharType="end"/>
          </w:r>
        </w:p>
        <w:p>
          <w:pPr>
            <w:pStyle w:val="37"/>
            <w:tabs>
              <w:tab w:val="right" w:leader="dot" w:pos="8845"/>
            </w:tabs>
          </w:pPr>
          <w:r>
            <w:fldChar w:fldCharType="begin"/>
          </w:r>
          <w:r>
            <w:instrText xml:space="preserve"> HYPERLINK \l _Toc5749 </w:instrText>
          </w:r>
          <w:r>
            <w:fldChar w:fldCharType="separate"/>
          </w:r>
          <w:r>
            <w:rPr>
              <w:rFonts w:hint="eastAsia" w:ascii="黑体" w:hAnsi="黑体" w:eastAsia="黑体"/>
              <w:highlight w:val="none"/>
            </w:rPr>
            <w:t>一、</w:t>
          </w:r>
          <w:r>
            <w:rPr>
              <w:rFonts w:hint="eastAsia" w:ascii="黑体" w:hAnsi="黑体" w:eastAsia="黑体"/>
              <w:highlight w:val="none"/>
              <w:lang w:eastAsia="zh-CN"/>
            </w:rPr>
            <w:t>部门职责</w:t>
          </w:r>
          <w:r>
            <w:tab/>
          </w:r>
          <w:r>
            <w:fldChar w:fldCharType="begin"/>
          </w:r>
          <w:r>
            <w:instrText xml:space="preserve"> PAGEREF _Toc5749 \h </w:instrText>
          </w:r>
          <w:r>
            <w:fldChar w:fldCharType="separate"/>
          </w:r>
          <w:r>
            <w:t>3</w:t>
          </w:r>
          <w:r>
            <w:fldChar w:fldCharType="end"/>
          </w:r>
          <w:r>
            <w:fldChar w:fldCharType="end"/>
          </w:r>
        </w:p>
        <w:p>
          <w:pPr>
            <w:pStyle w:val="37"/>
            <w:tabs>
              <w:tab w:val="right" w:leader="dot" w:pos="8845"/>
            </w:tabs>
          </w:pPr>
          <w:r>
            <w:fldChar w:fldCharType="begin"/>
          </w:r>
          <w:r>
            <w:instrText xml:space="preserve"> HYPERLINK \l _Toc3993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_Toc3993 \h </w:instrText>
          </w:r>
          <w:r>
            <w:fldChar w:fldCharType="separate"/>
          </w:r>
          <w:r>
            <w:t>3</w:t>
          </w:r>
          <w:r>
            <w:fldChar w:fldCharType="end"/>
          </w:r>
          <w:r>
            <w:fldChar w:fldCharType="end"/>
          </w:r>
        </w:p>
        <w:p>
          <w:pPr>
            <w:pStyle w:val="36"/>
            <w:tabs>
              <w:tab w:val="right" w:leader="dot" w:pos="8845"/>
            </w:tabs>
          </w:pPr>
          <w:r>
            <w:fldChar w:fldCharType="begin"/>
          </w:r>
          <w:r>
            <w:instrText xml:space="preserve"> HYPERLINK \l _Toc21575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_Toc21575 \h </w:instrText>
          </w:r>
          <w:r>
            <w:fldChar w:fldCharType="separate"/>
          </w:r>
          <w:r>
            <w:t>4</w:t>
          </w:r>
          <w:r>
            <w:fldChar w:fldCharType="end"/>
          </w:r>
          <w:r>
            <w:fldChar w:fldCharType="end"/>
          </w:r>
        </w:p>
        <w:p>
          <w:pPr>
            <w:pStyle w:val="37"/>
            <w:tabs>
              <w:tab w:val="right" w:leader="dot" w:pos="8845"/>
            </w:tabs>
          </w:pPr>
          <w:r>
            <w:fldChar w:fldCharType="begin"/>
          </w:r>
          <w:r>
            <w:instrText xml:space="preserve"> HYPERLINK \l _Toc11356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_Toc11356 \h </w:instrText>
          </w:r>
          <w:r>
            <w:fldChar w:fldCharType="separate"/>
          </w:r>
          <w:r>
            <w:t>4</w:t>
          </w:r>
          <w:r>
            <w:fldChar w:fldCharType="end"/>
          </w:r>
          <w:r>
            <w:fldChar w:fldCharType="end"/>
          </w:r>
        </w:p>
        <w:p>
          <w:pPr>
            <w:pStyle w:val="37"/>
            <w:tabs>
              <w:tab w:val="right" w:leader="dot" w:pos="8845"/>
            </w:tabs>
          </w:pPr>
          <w:r>
            <w:fldChar w:fldCharType="begin"/>
          </w:r>
          <w:r>
            <w:instrText xml:space="preserve"> HYPERLINK \l _Toc20080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_Toc20080 \h </w:instrText>
          </w:r>
          <w:r>
            <w:fldChar w:fldCharType="separate"/>
          </w:r>
          <w:r>
            <w:t>4</w:t>
          </w:r>
          <w:r>
            <w:fldChar w:fldCharType="end"/>
          </w:r>
          <w:r>
            <w:fldChar w:fldCharType="end"/>
          </w:r>
        </w:p>
        <w:p>
          <w:pPr>
            <w:pStyle w:val="37"/>
            <w:tabs>
              <w:tab w:val="right" w:leader="dot" w:pos="8845"/>
            </w:tabs>
          </w:pPr>
          <w:r>
            <w:fldChar w:fldCharType="begin"/>
          </w:r>
          <w:r>
            <w:instrText xml:space="preserve"> HYPERLINK \l _Toc1586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_Toc1586 \h </w:instrText>
          </w:r>
          <w:r>
            <w:fldChar w:fldCharType="separate"/>
          </w:r>
          <w:r>
            <w:t>5</w:t>
          </w:r>
          <w:r>
            <w:fldChar w:fldCharType="end"/>
          </w:r>
          <w:r>
            <w:fldChar w:fldCharType="end"/>
          </w:r>
        </w:p>
        <w:p>
          <w:pPr>
            <w:pStyle w:val="37"/>
            <w:tabs>
              <w:tab w:val="right" w:leader="dot" w:pos="8845"/>
            </w:tabs>
          </w:pPr>
          <w:r>
            <w:fldChar w:fldCharType="begin"/>
          </w:r>
          <w:r>
            <w:instrText xml:space="preserve"> HYPERLINK \l _Toc32641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_Toc32641 \h </w:instrText>
          </w:r>
          <w:r>
            <w:fldChar w:fldCharType="separate"/>
          </w:r>
          <w:r>
            <w:t>6</w:t>
          </w:r>
          <w:r>
            <w:fldChar w:fldCharType="end"/>
          </w:r>
          <w:r>
            <w:fldChar w:fldCharType="end"/>
          </w:r>
        </w:p>
        <w:p>
          <w:pPr>
            <w:pStyle w:val="37"/>
            <w:tabs>
              <w:tab w:val="right" w:leader="dot" w:pos="8845"/>
            </w:tabs>
          </w:pPr>
          <w:r>
            <w:fldChar w:fldCharType="begin"/>
          </w:r>
          <w:r>
            <w:instrText xml:space="preserve"> HYPERLINK \l _Toc5794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_Toc5794 \h </w:instrText>
          </w:r>
          <w:r>
            <w:fldChar w:fldCharType="separate"/>
          </w:r>
          <w:r>
            <w:t>6</w:t>
          </w:r>
          <w:r>
            <w:fldChar w:fldCharType="end"/>
          </w:r>
          <w:r>
            <w:fldChar w:fldCharType="end"/>
          </w:r>
        </w:p>
        <w:p>
          <w:pPr>
            <w:pStyle w:val="38"/>
            <w:tabs>
              <w:tab w:val="right" w:leader="dot" w:pos="8845"/>
            </w:tabs>
          </w:pPr>
          <w:r>
            <w:fldChar w:fldCharType="begin"/>
          </w:r>
          <w:r>
            <w:instrText xml:space="preserve"> HYPERLINK \l _Toc15136 </w:instrText>
          </w:r>
          <w:r>
            <w:fldChar w:fldCharType="separate"/>
          </w:r>
          <w:r>
            <w:rPr>
              <w:rFonts w:hint="eastAsia" w:ascii="楷体_GB2312" w:hAnsi="楷体_GB2312" w:eastAsia="楷体_GB2312" w:cs="楷体_GB2312"/>
              <w:bCs/>
              <w:szCs w:val="32"/>
              <w:highlight w:val="none"/>
            </w:rPr>
            <w:t>（一）一般公共预算财政拨款支出决算总体情况</w:t>
          </w:r>
          <w:r>
            <w:tab/>
          </w:r>
          <w:r>
            <w:fldChar w:fldCharType="begin"/>
          </w:r>
          <w:r>
            <w:instrText xml:space="preserve"> PAGEREF _Toc15136 \h </w:instrText>
          </w:r>
          <w:r>
            <w:fldChar w:fldCharType="separate"/>
          </w:r>
          <w:r>
            <w:t>6</w:t>
          </w:r>
          <w:r>
            <w:fldChar w:fldCharType="end"/>
          </w:r>
          <w:r>
            <w:fldChar w:fldCharType="end"/>
          </w:r>
        </w:p>
        <w:p>
          <w:pPr>
            <w:pStyle w:val="38"/>
            <w:tabs>
              <w:tab w:val="right" w:leader="dot" w:pos="8845"/>
            </w:tabs>
          </w:pPr>
          <w:r>
            <w:fldChar w:fldCharType="begin"/>
          </w:r>
          <w:r>
            <w:instrText xml:space="preserve"> HYPERLINK \l _Toc15478 </w:instrText>
          </w:r>
          <w:r>
            <w:fldChar w:fldCharType="separate"/>
          </w:r>
          <w:r>
            <w:rPr>
              <w:rFonts w:hint="eastAsia" w:ascii="楷体_GB2312" w:hAnsi="楷体_GB2312" w:eastAsia="楷体_GB2312" w:cs="楷体_GB2312"/>
              <w:bCs/>
              <w:szCs w:val="32"/>
              <w:highlight w:val="none"/>
            </w:rPr>
            <w:t>（二）一般公共预算财政拨款支出决算结构情况</w:t>
          </w:r>
          <w:r>
            <w:tab/>
          </w:r>
          <w:r>
            <w:fldChar w:fldCharType="begin"/>
          </w:r>
          <w:r>
            <w:instrText xml:space="preserve"> PAGEREF _Toc15478 \h </w:instrText>
          </w:r>
          <w:r>
            <w:fldChar w:fldCharType="separate"/>
          </w:r>
          <w:r>
            <w:t>7</w:t>
          </w:r>
          <w:r>
            <w:fldChar w:fldCharType="end"/>
          </w:r>
          <w:r>
            <w:fldChar w:fldCharType="end"/>
          </w:r>
        </w:p>
        <w:p>
          <w:pPr>
            <w:pStyle w:val="38"/>
            <w:tabs>
              <w:tab w:val="right" w:leader="dot" w:pos="8845"/>
            </w:tabs>
          </w:pPr>
          <w:r>
            <w:fldChar w:fldCharType="begin"/>
          </w:r>
          <w:r>
            <w:instrText xml:space="preserve"> HYPERLINK \l _Toc9911 </w:instrText>
          </w:r>
          <w:r>
            <w:fldChar w:fldCharType="separate"/>
          </w:r>
          <w:r>
            <w:rPr>
              <w:rFonts w:hint="eastAsia" w:ascii="楷体_GB2312" w:hAnsi="楷体_GB2312" w:eastAsia="楷体_GB2312" w:cs="楷体_GB2312"/>
              <w:bCs/>
              <w:szCs w:val="32"/>
              <w:highlight w:val="none"/>
            </w:rPr>
            <w:t>（三）一般公共预算财政拨款支出决算具体情况</w:t>
          </w:r>
          <w:r>
            <w:tab/>
          </w:r>
          <w:r>
            <w:fldChar w:fldCharType="begin"/>
          </w:r>
          <w:r>
            <w:instrText xml:space="preserve"> PAGEREF _Toc9911 \h </w:instrText>
          </w:r>
          <w:r>
            <w:fldChar w:fldCharType="separate"/>
          </w:r>
          <w:r>
            <w:t>8</w:t>
          </w:r>
          <w:r>
            <w:fldChar w:fldCharType="end"/>
          </w:r>
          <w:r>
            <w:fldChar w:fldCharType="end"/>
          </w:r>
        </w:p>
        <w:p>
          <w:pPr>
            <w:pStyle w:val="37"/>
            <w:tabs>
              <w:tab w:val="right" w:leader="dot" w:pos="8845"/>
            </w:tabs>
          </w:pPr>
          <w:r>
            <w:fldChar w:fldCharType="begin"/>
          </w:r>
          <w:r>
            <w:instrText xml:space="preserve"> HYPERLINK \l _Toc23217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_Toc23217 \h </w:instrText>
          </w:r>
          <w:r>
            <w:fldChar w:fldCharType="separate"/>
          </w:r>
          <w:r>
            <w:t>8</w:t>
          </w:r>
          <w:r>
            <w:fldChar w:fldCharType="end"/>
          </w:r>
          <w:r>
            <w:fldChar w:fldCharType="end"/>
          </w:r>
        </w:p>
        <w:p>
          <w:pPr>
            <w:pStyle w:val="37"/>
            <w:tabs>
              <w:tab w:val="right" w:leader="dot" w:pos="8845"/>
            </w:tabs>
          </w:pPr>
          <w:r>
            <w:fldChar w:fldCharType="begin"/>
          </w:r>
          <w:r>
            <w:instrText xml:space="preserve"> HYPERLINK \l _Toc7968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_Toc7968 \h </w:instrText>
          </w:r>
          <w:r>
            <w:fldChar w:fldCharType="separate"/>
          </w:r>
          <w:r>
            <w:t>9</w:t>
          </w:r>
          <w:r>
            <w:fldChar w:fldCharType="end"/>
          </w:r>
          <w:r>
            <w:fldChar w:fldCharType="end"/>
          </w:r>
        </w:p>
        <w:p>
          <w:pPr>
            <w:pStyle w:val="38"/>
            <w:tabs>
              <w:tab w:val="right" w:leader="dot" w:pos="8845"/>
            </w:tabs>
          </w:pPr>
          <w:r>
            <w:fldChar w:fldCharType="begin"/>
          </w:r>
          <w:r>
            <w:instrText xml:space="preserve"> HYPERLINK \l _Toc31707 </w:instrText>
          </w:r>
          <w:r>
            <w:fldChar w:fldCharType="separate"/>
          </w:r>
          <w:r>
            <w:rPr>
              <w:rFonts w:hint="eastAsia" w:ascii="楷体_GB2312" w:hAnsi="楷体_GB2312" w:eastAsia="楷体_GB2312" w:cs="楷体_GB2312"/>
              <w:bCs/>
              <w:szCs w:val="32"/>
              <w:highlight w:val="none"/>
            </w:rPr>
            <w:t>（一）“三公”经费财政拨款支出决算总体情况说明</w:t>
          </w:r>
          <w:r>
            <w:tab/>
          </w:r>
          <w:r>
            <w:fldChar w:fldCharType="begin"/>
          </w:r>
          <w:r>
            <w:instrText xml:space="preserve"> PAGEREF _Toc31707 \h </w:instrText>
          </w:r>
          <w:r>
            <w:fldChar w:fldCharType="separate"/>
          </w:r>
          <w:r>
            <w:t>9</w:t>
          </w:r>
          <w:r>
            <w:fldChar w:fldCharType="end"/>
          </w:r>
          <w:r>
            <w:fldChar w:fldCharType="end"/>
          </w:r>
        </w:p>
        <w:p>
          <w:pPr>
            <w:pStyle w:val="37"/>
            <w:tabs>
              <w:tab w:val="right" w:leader="dot" w:pos="8845"/>
            </w:tabs>
          </w:pPr>
          <w:r>
            <w:fldChar w:fldCharType="begin"/>
          </w:r>
          <w:r>
            <w:instrText xml:space="preserve"> HYPERLINK \l _Toc29321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_Toc29321 \h </w:instrText>
          </w:r>
          <w:r>
            <w:fldChar w:fldCharType="separate"/>
          </w:r>
          <w:r>
            <w:t>10</w:t>
          </w:r>
          <w:r>
            <w:fldChar w:fldCharType="end"/>
          </w:r>
          <w:r>
            <w:fldChar w:fldCharType="end"/>
          </w:r>
        </w:p>
        <w:p>
          <w:pPr>
            <w:pStyle w:val="37"/>
            <w:tabs>
              <w:tab w:val="right" w:leader="dot" w:pos="8845"/>
            </w:tabs>
          </w:pPr>
          <w:r>
            <w:fldChar w:fldCharType="begin"/>
          </w:r>
          <w:r>
            <w:instrText xml:space="preserve"> HYPERLINK \l _Toc1812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_Toc1812 \h </w:instrText>
          </w:r>
          <w:r>
            <w:fldChar w:fldCharType="separate"/>
          </w:r>
          <w:r>
            <w:t>10</w:t>
          </w:r>
          <w:r>
            <w:fldChar w:fldCharType="end"/>
          </w:r>
          <w:r>
            <w:fldChar w:fldCharType="end"/>
          </w:r>
        </w:p>
        <w:p>
          <w:pPr>
            <w:pStyle w:val="37"/>
            <w:tabs>
              <w:tab w:val="right" w:leader="dot" w:pos="8845"/>
            </w:tabs>
          </w:pPr>
          <w:r>
            <w:fldChar w:fldCharType="begin"/>
          </w:r>
          <w:r>
            <w:instrText xml:space="preserve"> HYPERLINK \l _Toc16928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_Toc16928 \h </w:instrText>
          </w:r>
          <w:r>
            <w:fldChar w:fldCharType="separate"/>
          </w:r>
          <w:r>
            <w:t>10</w:t>
          </w:r>
          <w:r>
            <w:fldChar w:fldCharType="end"/>
          </w:r>
          <w:r>
            <w:fldChar w:fldCharType="end"/>
          </w:r>
        </w:p>
        <w:p>
          <w:pPr>
            <w:pStyle w:val="38"/>
            <w:tabs>
              <w:tab w:val="right" w:leader="dot" w:pos="8845"/>
            </w:tabs>
          </w:pPr>
          <w:r>
            <w:fldChar w:fldCharType="begin"/>
          </w:r>
          <w:r>
            <w:instrText xml:space="preserve"> HYPERLINK \l _Toc16290 </w:instrText>
          </w:r>
          <w:r>
            <w:fldChar w:fldCharType="separate"/>
          </w:r>
          <w:r>
            <w:rPr>
              <w:rFonts w:hint="eastAsia" w:ascii="楷体_GB2312" w:hAnsi="楷体_GB2312" w:eastAsia="楷体_GB2312" w:cs="楷体_GB2312"/>
              <w:bCs/>
              <w:szCs w:val="32"/>
              <w:highlight w:val="none"/>
            </w:rPr>
            <w:t>（一）机关运行经费支出情况</w:t>
          </w:r>
          <w:r>
            <w:tab/>
          </w:r>
          <w:r>
            <w:fldChar w:fldCharType="begin"/>
          </w:r>
          <w:r>
            <w:instrText xml:space="preserve"> PAGEREF _Toc16290 \h </w:instrText>
          </w:r>
          <w:r>
            <w:fldChar w:fldCharType="separate"/>
          </w:r>
          <w:r>
            <w:t>10</w:t>
          </w:r>
          <w:r>
            <w:fldChar w:fldCharType="end"/>
          </w:r>
          <w:r>
            <w:fldChar w:fldCharType="end"/>
          </w:r>
        </w:p>
        <w:p>
          <w:pPr>
            <w:pStyle w:val="38"/>
            <w:tabs>
              <w:tab w:val="right" w:leader="dot" w:pos="8845"/>
            </w:tabs>
          </w:pPr>
          <w:r>
            <w:fldChar w:fldCharType="begin"/>
          </w:r>
          <w:r>
            <w:instrText xml:space="preserve"> HYPERLINK \l _Toc12573 </w:instrText>
          </w:r>
          <w:r>
            <w:fldChar w:fldCharType="separate"/>
          </w:r>
          <w:r>
            <w:rPr>
              <w:rFonts w:hint="eastAsia" w:ascii="楷体_GB2312" w:hAnsi="楷体_GB2312" w:eastAsia="楷体_GB2312" w:cs="楷体_GB2312"/>
              <w:bCs/>
              <w:szCs w:val="32"/>
              <w:highlight w:val="none"/>
            </w:rPr>
            <w:t>（二）政府采购支出情况</w:t>
          </w:r>
          <w:r>
            <w:tab/>
          </w:r>
          <w:r>
            <w:fldChar w:fldCharType="begin"/>
          </w:r>
          <w:r>
            <w:instrText xml:space="preserve"> PAGEREF _Toc12573 \h </w:instrText>
          </w:r>
          <w:r>
            <w:fldChar w:fldCharType="separate"/>
          </w:r>
          <w:r>
            <w:t>10</w:t>
          </w:r>
          <w:r>
            <w:fldChar w:fldCharType="end"/>
          </w:r>
          <w:r>
            <w:fldChar w:fldCharType="end"/>
          </w:r>
        </w:p>
        <w:p>
          <w:pPr>
            <w:pStyle w:val="38"/>
            <w:tabs>
              <w:tab w:val="right" w:leader="dot" w:pos="8845"/>
            </w:tabs>
          </w:pPr>
          <w:r>
            <w:fldChar w:fldCharType="begin"/>
          </w:r>
          <w:r>
            <w:instrText xml:space="preserve"> HYPERLINK \l _Toc31958 </w:instrText>
          </w:r>
          <w:r>
            <w:fldChar w:fldCharType="separate"/>
          </w:r>
          <w:r>
            <w:rPr>
              <w:rFonts w:hint="eastAsia" w:ascii="楷体_GB2312" w:hAnsi="楷体_GB2312" w:eastAsia="楷体_GB2312" w:cs="楷体_GB2312"/>
              <w:bCs/>
              <w:szCs w:val="32"/>
              <w:highlight w:val="none"/>
            </w:rPr>
            <w:t>（三）国有资产占有使用情况</w:t>
          </w:r>
          <w:r>
            <w:tab/>
          </w:r>
          <w:r>
            <w:fldChar w:fldCharType="begin"/>
          </w:r>
          <w:r>
            <w:instrText xml:space="preserve"> PAGEREF _Toc31958 \h </w:instrText>
          </w:r>
          <w:r>
            <w:fldChar w:fldCharType="separate"/>
          </w:r>
          <w:r>
            <w:t>11</w:t>
          </w:r>
          <w:r>
            <w:fldChar w:fldCharType="end"/>
          </w:r>
          <w:r>
            <w:fldChar w:fldCharType="end"/>
          </w:r>
        </w:p>
        <w:p>
          <w:pPr>
            <w:pStyle w:val="38"/>
            <w:tabs>
              <w:tab w:val="right" w:leader="dot" w:pos="8845"/>
            </w:tabs>
          </w:pPr>
          <w:r>
            <w:fldChar w:fldCharType="begin"/>
          </w:r>
          <w:r>
            <w:instrText xml:space="preserve"> HYPERLINK \l _Toc24221 </w:instrText>
          </w:r>
          <w:r>
            <w:fldChar w:fldCharType="separate"/>
          </w:r>
          <w:r>
            <w:rPr>
              <w:rFonts w:hint="eastAsia" w:ascii="楷体_GB2312" w:hAnsi="楷体_GB2312" w:eastAsia="楷体_GB2312" w:cs="楷体_GB2312"/>
              <w:bCs/>
              <w:szCs w:val="32"/>
              <w:highlight w:val="none"/>
            </w:rPr>
            <w:t>（四）预算绩效管理情况</w:t>
          </w:r>
          <w:r>
            <w:tab/>
          </w:r>
          <w:r>
            <w:fldChar w:fldCharType="begin"/>
          </w:r>
          <w:r>
            <w:instrText xml:space="preserve"> PAGEREF _Toc24221 \h </w:instrText>
          </w:r>
          <w:r>
            <w:fldChar w:fldCharType="separate"/>
          </w:r>
          <w:r>
            <w:t>11</w:t>
          </w:r>
          <w:r>
            <w:fldChar w:fldCharType="end"/>
          </w:r>
          <w:r>
            <w:fldChar w:fldCharType="end"/>
          </w:r>
        </w:p>
        <w:p>
          <w:pPr>
            <w:pStyle w:val="36"/>
            <w:tabs>
              <w:tab w:val="right" w:leader="dot" w:pos="8845"/>
            </w:tabs>
          </w:pPr>
          <w:r>
            <w:fldChar w:fldCharType="begin"/>
          </w:r>
          <w:r>
            <w:instrText xml:space="preserve"> HYPERLINK \l _Toc14886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_Toc14886 \h </w:instrText>
          </w:r>
          <w:r>
            <w:fldChar w:fldCharType="separate"/>
          </w:r>
          <w:r>
            <w:t>12</w:t>
          </w:r>
          <w:r>
            <w:fldChar w:fldCharType="end"/>
          </w:r>
          <w:r>
            <w:fldChar w:fldCharType="end"/>
          </w:r>
        </w:p>
        <w:p>
          <w:pPr>
            <w:pStyle w:val="36"/>
            <w:tabs>
              <w:tab w:val="right" w:leader="dot" w:pos="8845"/>
            </w:tabs>
          </w:pPr>
          <w:r>
            <w:fldChar w:fldCharType="begin"/>
          </w:r>
          <w:r>
            <w:instrText xml:space="preserve"> HYPERLINK \l _Toc18786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_Toc18786 \h </w:instrText>
          </w:r>
          <w:r>
            <w:fldChar w:fldCharType="separate"/>
          </w:r>
          <w:r>
            <w:t>14</w:t>
          </w:r>
          <w:r>
            <w:fldChar w:fldCharType="end"/>
          </w:r>
          <w:r>
            <w:fldChar w:fldCharType="end"/>
          </w:r>
        </w:p>
        <w:p>
          <w:pPr>
            <w:pStyle w:val="36"/>
            <w:tabs>
              <w:tab w:val="right" w:leader="dot" w:pos="8845"/>
            </w:tabs>
          </w:pPr>
          <w:r>
            <w:fldChar w:fldCharType="begin"/>
          </w:r>
          <w:r>
            <w:instrText xml:space="preserve"> HYPERLINK \l _Toc31598 </w:instrText>
          </w:r>
          <w:r>
            <w:fldChar w:fldCharType="separate"/>
          </w:r>
          <w:r>
            <w:rPr>
              <w:rFonts w:hint="eastAsia" w:ascii="黑体" w:hAnsi="黑体" w:eastAsia="黑体"/>
              <w:szCs w:val="44"/>
              <w:highlight w:val="none"/>
            </w:rPr>
            <w:t>第</w:t>
          </w:r>
          <w:r>
            <w:rPr>
              <w:rFonts w:hint="eastAsia" w:ascii="黑体" w:hAnsi="黑体" w:eastAsia="黑体"/>
              <w:highlight w:val="none"/>
            </w:rPr>
            <w:t xml:space="preserve">五部分 </w:t>
          </w:r>
          <w:r>
            <w:rPr>
              <w:rFonts w:hint="eastAsia" w:ascii="黑体" w:hAnsi="黑体" w:eastAsia="黑体"/>
              <w:highlight w:val="none"/>
              <w:lang w:val="en-US" w:eastAsia="zh-CN"/>
            </w:rPr>
            <w:t xml:space="preserve"> </w:t>
          </w:r>
          <w:r>
            <w:rPr>
              <w:rFonts w:hint="eastAsia" w:ascii="黑体" w:hAnsi="黑体" w:eastAsia="黑体"/>
              <w:highlight w:val="none"/>
            </w:rPr>
            <w:t>附表</w:t>
          </w:r>
          <w:r>
            <w:tab/>
          </w:r>
          <w:r>
            <w:fldChar w:fldCharType="begin"/>
          </w:r>
          <w:r>
            <w:instrText xml:space="preserve"> PAGEREF _Toc31598 \h </w:instrText>
          </w:r>
          <w:r>
            <w:fldChar w:fldCharType="separate"/>
          </w:r>
          <w:r>
            <w:t>36</w:t>
          </w:r>
          <w:r>
            <w:fldChar w:fldCharType="end"/>
          </w:r>
          <w:r>
            <w:fldChar w:fldCharType="end"/>
          </w:r>
        </w:p>
        <w:p>
          <w:pPr>
            <w:pStyle w:val="37"/>
            <w:tabs>
              <w:tab w:val="right" w:leader="dot" w:pos="8845"/>
            </w:tabs>
          </w:pPr>
          <w:r>
            <w:fldChar w:fldCharType="begin"/>
          </w:r>
          <w:r>
            <w:instrText xml:space="preserve"> HYPERLINK \l _Toc13794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_Toc13794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_Toc5419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_Toc5419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_Toc13391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_Toc13391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_Toc9493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_Toc9493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_Toc6303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_Toc6303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_Toc6942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_Toc6942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_Toc12348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_Toc12348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_Toc16191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_Toc16191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_Toc31372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_Toc31372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_Toc21844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_Toc21844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_Toc3552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_Toc3552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_Toc31940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_Toc31940 \h </w:instrText>
          </w:r>
          <w:r>
            <w:fldChar w:fldCharType="separate"/>
          </w:r>
          <w:r>
            <w:t>37</w:t>
          </w:r>
          <w:r>
            <w:fldChar w:fldCharType="end"/>
          </w:r>
          <w:r>
            <w:fldChar w:fldCharType="end"/>
          </w:r>
        </w:p>
        <w:p>
          <w:pPr>
            <w:pStyle w:val="37"/>
            <w:tabs>
              <w:tab w:val="right" w:leader="dot" w:pos="8845"/>
            </w:tabs>
          </w:pPr>
          <w:r>
            <w:fldChar w:fldCharType="begin"/>
          </w:r>
          <w:r>
            <w:instrText xml:space="preserve"> HYPERLINK \l _Toc19697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_Toc19697 \h </w:instrText>
          </w:r>
          <w:r>
            <w:fldChar w:fldCharType="separate"/>
          </w:r>
          <w:r>
            <w:t>37</w:t>
          </w:r>
          <w:r>
            <w:fldChar w:fldCharType="end"/>
          </w:r>
          <w:r>
            <w:fldChar w:fldCharType="end"/>
          </w:r>
        </w:p>
        <w:p>
          <w:r>
            <w:fldChar w:fldCharType="end"/>
          </w:r>
        </w:p>
      </w:sdtContent>
    </w:sdt>
    <w:p>
      <w:pPr>
        <w:pStyle w:val="2"/>
        <w:jc w:val="center"/>
        <w:rPr>
          <w:rStyle w:val="29"/>
          <w:rFonts w:ascii="黑体" w:hAnsi="黑体" w:eastAsia="黑体"/>
          <w:b/>
          <w:bCs w:val="0"/>
          <w:color w:val="auto"/>
          <w:highlight w:val="none"/>
        </w:rPr>
      </w:pPr>
      <w:bookmarkStart w:id="16" w:name="_Toc6441"/>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4"/>
      <w:bookmarkEnd w:id="15"/>
      <w:bookmarkEnd w:id="16"/>
    </w:p>
    <w:p>
      <w:pPr>
        <w:pStyle w:val="3"/>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黑体" w:hAnsi="黑体" w:eastAsia="黑体"/>
          <w:b w:val="0"/>
          <w:color w:val="auto"/>
          <w:highlight w:val="none"/>
          <w:lang w:eastAsia="zh-CN"/>
        </w:rPr>
      </w:pPr>
      <w:bookmarkStart w:id="17" w:name="_Toc15377197"/>
      <w:bookmarkStart w:id="18" w:name="_Toc15396600"/>
      <w:bookmarkStart w:id="19" w:name="_Toc5749"/>
      <w:r>
        <w:rPr>
          <w:rFonts w:hint="eastAsia" w:ascii="黑体" w:hAnsi="黑体" w:eastAsia="黑体"/>
          <w:b w:val="0"/>
          <w:color w:val="auto"/>
          <w:highlight w:val="none"/>
        </w:rPr>
        <w:t>一、</w:t>
      </w:r>
      <w:bookmarkEnd w:id="17"/>
      <w:bookmarkEnd w:id="18"/>
      <w:r>
        <w:rPr>
          <w:rFonts w:hint="eastAsia" w:ascii="黑体" w:hAnsi="黑体" w:eastAsia="黑体"/>
          <w:b w:val="0"/>
          <w:color w:val="auto"/>
          <w:highlight w:val="none"/>
          <w:lang w:eastAsia="zh-CN"/>
        </w:rPr>
        <w:t>部门职责</w:t>
      </w:r>
      <w:bookmarkEnd w:id="19"/>
    </w:p>
    <w:p>
      <w:pPr>
        <w:ind w:firstLine="640" w:firstLineChars="200"/>
        <w:rPr>
          <w:rFonts w:hint="eastAsia" w:ascii="仿宋" w:hAnsi="仿宋" w:eastAsia="仿宋" w:cs="仿宋"/>
          <w:sz w:val="32"/>
          <w:szCs w:val="32"/>
        </w:rPr>
      </w:pPr>
      <w:bookmarkStart w:id="20" w:name="_Toc15378445"/>
      <w:bookmarkStart w:id="21" w:name="_Toc15377198"/>
      <w:bookmarkStart w:id="22" w:name="_Toc15377200"/>
      <w:bookmarkStart w:id="23" w:name="_Toc15396601"/>
      <w:r>
        <w:rPr>
          <w:rFonts w:hint="eastAsia" w:ascii="仿宋" w:hAnsi="仿宋" w:eastAsia="仿宋"/>
          <w:bCs/>
          <w:color w:val="000000"/>
          <w:sz w:val="32"/>
          <w:szCs w:val="32"/>
        </w:rPr>
        <w:t>（一）主要职能。</w:t>
      </w:r>
      <w:bookmarkEnd w:id="20"/>
      <w:bookmarkEnd w:id="21"/>
      <w:r>
        <w:rPr>
          <w:rFonts w:hint="eastAsia" w:ascii="仿宋" w:hAnsi="仿宋" w:eastAsia="仿宋" w:cs="仿宋"/>
          <w:sz w:val="32"/>
          <w:szCs w:val="32"/>
        </w:rPr>
        <w:t>负责宣传贯彻执行国家、省、市、区关于土地房屋征收拆迁安置的法律、法规及政策，拟定和完善本辖区内有关政策规定；负责本辖区内集体土地、国有土地房屋征收及拆迁补偿安置工作；负责统筹协调兑付土地、房屋征收拆迁安置补偿资金；负责对征收从业人员进行教育培训、做好征收工作信息化建设；负责征收工作中的协调、安全、信访和稳定工作；承办区政府</w:t>
      </w:r>
      <w:r>
        <w:rPr>
          <w:rFonts w:hint="eastAsia"/>
          <w:bCs/>
          <w:color w:val="000000"/>
          <w:sz w:val="32"/>
          <w:szCs w:val="32"/>
        </w:rPr>
        <w:t>交</w:t>
      </w:r>
      <w:r>
        <w:rPr>
          <w:rFonts w:hint="eastAsia" w:ascii="仿宋" w:hAnsi="仿宋" w:eastAsia="仿宋" w:cs="仿宋"/>
          <w:sz w:val="32"/>
          <w:szCs w:val="32"/>
        </w:rPr>
        <w:t>办的其它事项</w:t>
      </w:r>
    </w:p>
    <w:p>
      <w:pPr>
        <w:pStyle w:val="3"/>
        <w:pageBreakBefore w:val="0"/>
        <w:widowControl w:val="0"/>
        <w:kinsoku/>
        <w:wordWrap/>
        <w:overflowPunct/>
        <w:topLinePunct w:val="0"/>
        <w:autoSpaceDE/>
        <w:autoSpaceDN/>
        <w:bidi w:val="0"/>
        <w:snapToGrid w:val="0"/>
        <w:spacing w:before="0" w:after="0" w:line="576" w:lineRule="exact"/>
        <w:ind w:firstLine="640" w:firstLineChars="200"/>
        <w:textAlignment w:val="auto"/>
        <w:rPr>
          <w:rStyle w:val="30"/>
          <w:b w:val="0"/>
          <w:bCs w:val="0"/>
          <w:color w:val="auto"/>
          <w:highlight w:val="none"/>
        </w:rPr>
      </w:pPr>
      <w:bookmarkStart w:id="24" w:name="_Toc3993"/>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22"/>
      <w:bookmarkEnd w:id="23"/>
      <w:bookmarkEnd w:id="24"/>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征拆</w:t>
      </w:r>
      <w:r>
        <w:rPr>
          <w:rFonts w:hint="eastAsia" w:ascii="仿宋" w:hAnsi="仿宋" w:eastAsia="仿宋" w:cs="仿宋"/>
          <w:sz w:val="32"/>
          <w:szCs w:val="32"/>
          <w:lang w:eastAsia="zh-CN"/>
        </w:rPr>
        <w:t>事务中心</w:t>
      </w:r>
      <w:r>
        <w:rPr>
          <w:rFonts w:hint="eastAsia" w:ascii="仿宋" w:hAnsi="仿宋" w:eastAsia="仿宋" w:cs="仿宋"/>
          <w:sz w:val="32"/>
          <w:szCs w:val="32"/>
        </w:rPr>
        <w:t>属财政一级预算单位</w:t>
      </w:r>
      <w:r>
        <w:rPr>
          <w:rFonts w:hint="eastAsia" w:ascii="仿宋" w:hAnsi="仿宋" w:eastAsia="仿宋" w:cs="仿宋"/>
          <w:sz w:val="32"/>
          <w:szCs w:val="32"/>
          <w:lang w:eastAsia="zh-CN"/>
        </w:rPr>
        <w:t>。</w:t>
      </w:r>
      <w:r>
        <w:rPr>
          <w:rFonts w:hint="eastAsia" w:ascii="仿宋" w:hAnsi="仿宋" w:eastAsia="仿宋" w:cs="仿宋"/>
          <w:sz w:val="32"/>
          <w:szCs w:val="32"/>
        </w:rPr>
        <w:t>下属二级预算单位</w:t>
      </w:r>
      <w:r>
        <w:rPr>
          <w:rFonts w:hint="eastAsia" w:ascii="仿宋" w:hAnsi="仿宋" w:eastAsia="仿宋" w:cs="仿宋"/>
          <w:sz w:val="32"/>
          <w:szCs w:val="32"/>
          <w:lang w:eastAsia="zh-CN"/>
        </w:rPr>
        <w:t>无</w:t>
      </w:r>
      <w:r>
        <w:rPr>
          <w:rFonts w:hint="eastAsia" w:ascii="仿宋" w:hAnsi="仿宋" w:eastAsia="仿宋" w:cs="仿宋"/>
          <w:sz w:val="32"/>
          <w:szCs w:val="32"/>
        </w:rPr>
        <w:t>，其中参照公务员法管理的事业单位</w:t>
      </w:r>
      <w:r>
        <w:rPr>
          <w:rFonts w:hint="eastAsia" w:ascii="仿宋" w:hAnsi="仿宋" w:eastAsia="仿宋" w:cs="仿宋"/>
          <w:sz w:val="32"/>
          <w:szCs w:val="32"/>
          <w:lang w:eastAsia="zh-CN"/>
        </w:rPr>
        <w:t>无</w:t>
      </w:r>
      <w:r>
        <w:rPr>
          <w:rFonts w:hint="eastAsia" w:ascii="仿宋" w:hAnsi="仿宋" w:eastAsia="仿宋" w:cs="仿宋"/>
          <w:sz w:val="32"/>
          <w:szCs w:val="32"/>
        </w:rPr>
        <w:t>，（其他事业单位</w:t>
      </w:r>
      <w:r>
        <w:rPr>
          <w:rFonts w:hint="eastAsia" w:ascii="仿宋" w:hAnsi="仿宋" w:eastAsia="仿宋" w:cs="仿宋"/>
          <w:sz w:val="32"/>
          <w:szCs w:val="32"/>
          <w:lang w:val="en-US" w:eastAsia="zh-CN"/>
        </w:rPr>
        <w:t>无</w:t>
      </w:r>
      <w:r>
        <w:rPr>
          <w:rFonts w:hint="eastAsia" w:ascii="仿宋" w:hAnsi="仿宋" w:eastAsia="仿宋" w:cs="仿宋"/>
          <w:sz w:val="32"/>
          <w:szCs w:val="32"/>
        </w:rPr>
        <w:t>）。</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9"/>
          <w:rFonts w:ascii="黑体" w:hAnsi="黑体" w:eastAsia="黑体"/>
          <w:b w:val="0"/>
          <w:bCs/>
          <w:color w:val="auto"/>
          <w:highlight w:val="none"/>
        </w:rPr>
      </w:pPr>
      <w:bookmarkStart w:id="25" w:name="_Toc21575"/>
      <w:bookmarkStart w:id="26" w:name="_Toc15396602"/>
      <w:bookmarkStart w:id="2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5"/>
      <w:bookmarkEnd w:id="26"/>
      <w:bookmarkEnd w:id="27"/>
    </w:p>
    <w:p>
      <w:pPr>
        <w:rPr>
          <w:color w:val="auto"/>
          <w:highlight w:val="none"/>
        </w:rPr>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28" w:name="_Toc15377205"/>
      <w:bookmarkStart w:id="29" w:name="_Toc11356"/>
      <w:bookmarkStart w:id="30" w:name="_Toc15396603"/>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8"/>
      <w:bookmarkEnd w:id="29"/>
      <w:bookmarkEnd w:id="30"/>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202.71</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167.23万元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相比，收、支总计各增加</w:t>
      </w:r>
      <w:r>
        <w:rPr>
          <w:rFonts w:hint="eastAsia" w:ascii="仿宋_GB2312" w:hAnsi="仿宋_GB2312" w:eastAsia="仿宋_GB2312" w:cs="仿宋_GB2312"/>
          <w:color w:val="auto"/>
          <w:sz w:val="32"/>
          <w:szCs w:val="32"/>
          <w:highlight w:val="none"/>
          <w:lang w:val="en-US" w:eastAsia="zh-CN"/>
        </w:rPr>
        <w:t>35.48</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17.5</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人员增加工资及公积金相关保险类增加。</w:t>
      </w:r>
    </w:p>
    <w:p>
      <w:pPr>
        <w:pStyle w:val="5"/>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sz w:val="32"/>
          <w:szCs w:val="32"/>
          <w:lang w:eastAsia="zh-CN"/>
        </w:rPr>
        <w:drawing>
          <wp:inline distT="0" distB="0" distL="114300" distR="114300">
            <wp:extent cx="4196080" cy="2562860"/>
            <wp:effectExtent l="4445" t="4445" r="9525"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（图1：收、支决算总计变动情况图）（柱状图）</w:t>
      </w: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31" w:name="_Toc20080"/>
      <w:bookmarkStart w:id="32" w:name="_Toc15377206"/>
      <w:bookmarkStart w:id="33" w:name="_Toc15396604"/>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31"/>
      <w:bookmarkEnd w:id="32"/>
      <w:bookmarkEnd w:id="33"/>
    </w:p>
    <w:p>
      <w:pPr>
        <w:spacing w:line="600" w:lineRule="exact"/>
        <w:ind w:firstLine="640" w:firstLineChars="200"/>
        <w:rPr>
          <w:rFonts w:hint="eastAsia" w:ascii="仿宋_GB2312" w:hAnsi="仿宋_GB2312" w:eastAsia="仿宋_GB2312" w:cs="仿宋_GB2312"/>
          <w:color w:val="auto"/>
          <w:sz w:val="32"/>
          <w:szCs w:val="32"/>
          <w:highlight w:val="none"/>
        </w:rPr>
      </w:pPr>
      <w:bookmarkStart w:id="34" w:name="_Toc21295"/>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202.71</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202.71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%；事业收入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%；附属单位上缴收入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bookmarkEnd w:id="34"/>
    </w:p>
    <w:p>
      <w:pPr>
        <w:pStyle w:val="5"/>
        <w:rPr>
          <w:rFonts w:hint="eastAsia" w:ascii="仿宋_GB2312" w:hAnsi="仿宋_GB2312" w:eastAsia="仿宋_GB2312" w:cs="仿宋_GB2312"/>
          <w:color w:val="auto"/>
          <w:sz w:val="32"/>
          <w:szCs w:val="32"/>
          <w:highlight w:val="none"/>
        </w:rPr>
      </w:pP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4124325" cy="2541270"/>
            <wp:effectExtent l="4445" t="4445" r="5080" b="69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35" w:name="_Toc1586"/>
      <w:bookmarkStart w:id="36" w:name="_Toc15396605"/>
      <w:bookmarkStart w:id="37" w:name="_Toc15377207"/>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5"/>
      <w:bookmarkEnd w:id="36"/>
      <w:bookmarkEnd w:id="37"/>
    </w:p>
    <w:p>
      <w:pPr>
        <w:spacing w:line="600" w:lineRule="exact"/>
        <w:ind w:firstLine="640" w:firstLineChars="200"/>
        <w:rPr>
          <w:rFonts w:hint="eastAsia" w:ascii="仿宋_GB2312" w:hAnsi="仿宋_GB2312" w:eastAsia="仿宋_GB2312" w:cs="仿宋_GB2312"/>
          <w:color w:val="auto"/>
          <w:sz w:val="32"/>
          <w:szCs w:val="32"/>
          <w:highlight w:val="none"/>
        </w:rPr>
      </w:pPr>
      <w:bookmarkStart w:id="38" w:name="_Toc25305"/>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202.71</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166.02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81.9</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36.69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18.1</w:t>
      </w:r>
      <w:r>
        <w:rPr>
          <w:rFonts w:hint="eastAsia" w:ascii="仿宋_GB2312" w:hAnsi="仿宋_GB2312" w:eastAsia="仿宋_GB2312" w:cs="仿宋_GB2312"/>
          <w:color w:val="auto"/>
          <w:sz w:val="32"/>
          <w:szCs w:val="32"/>
          <w:highlight w:val="none"/>
        </w:rPr>
        <w:t>%；上缴上级支出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%；对附属单位补助支出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bookmarkEnd w:id="38"/>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ascii="仿宋" w:hAnsi="仿宋" w:eastAsia="仿宋"/>
          <w:sz w:val="32"/>
          <w:szCs w:val="32"/>
        </w:rPr>
        <w:drawing>
          <wp:inline distT="0" distB="0" distL="114300" distR="114300">
            <wp:extent cx="4166870" cy="2091690"/>
            <wp:effectExtent l="5080" t="4445" r="19050"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p>
    <w:p>
      <w:pPr>
        <w:spacing w:line="600" w:lineRule="exact"/>
        <w:ind w:firstLine="640" w:firstLineChars="200"/>
        <w:outlineLvl w:val="1"/>
        <w:rPr>
          <w:rStyle w:val="30"/>
          <w:rFonts w:ascii="黑体" w:hAnsi="黑体" w:eastAsia="黑体"/>
          <w:b w:val="0"/>
          <w:color w:val="auto"/>
          <w:highlight w:val="none"/>
        </w:rPr>
      </w:pPr>
      <w:bookmarkStart w:id="39" w:name="_Toc32641"/>
      <w:bookmarkStart w:id="40" w:name="_Toc15377208"/>
      <w:bookmarkStart w:id="41" w:name="_Toc15396606"/>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202.71</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167.23万元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相比，财政拨款收、支总计各增加</w:t>
      </w:r>
      <w:r>
        <w:rPr>
          <w:rFonts w:hint="eastAsia" w:ascii="仿宋_GB2312" w:hAnsi="仿宋_GB2312" w:eastAsia="仿宋_GB2312" w:cs="仿宋_GB2312"/>
          <w:color w:val="auto"/>
          <w:sz w:val="32"/>
          <w:szCs w:val="32"/>
          <w:highlight w:val="none"/>
          <w:lang w:val="en-US" w:eastAsia="zh-CN"/>
        </w:rPr>
        <w:t>35.48</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17.5</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人员增加工资及公积金相关保险类增加。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4149725" cy="1837055"/>
            <wp:effectExtent l="5080" t="5080" r="17145" b="57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0"/>
          <w:rFonts w:ascii="黑体" w:hAnsi="黑体" w:eastAsia="黑体"/>
          <w:b w:val="0"/>
          <w:color w:val="auto"/>
          <w:highlight w:val="none"/>
        </w:rPr>
      </w:pPr>
      <w:bookmarkStart w:id="42" w:name="_Toc5794"/>
      <w:bookmarkStart w:id="43" w:name="_Toc15377209"/>
      <w:bookmarkStart w:id="44"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5" w:name="_Toc15136"/>
      <w:bookmarkStart w:id="46"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202.71</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35.48</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17.5</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人员增加工资及公积金相关保险类增加。</w:t>
      </w:r>
    </w:p>
    <w:p>
      <w:pPr>
        <w:pStyle w:val="5"/>
        <w:jc w:val="center"/>
        <w:rPr>
          <w:rFonts w:hint="eastAsia" w:ascii="仿宋_GB2312" w:hAnsi="仿宋_GB2312" w:eastAsia="仿宋_GB2312" w:cs="仿宋_GB2312"/>
          <w:color w:val="auto"/>
          <w:sz w:val="32"/>
          <w:szCs w:val="32"/>
          <w:highlight w:val="none"/>
          <w:lang w:eastAsia="zh-CN"/>
        </w:rPr>
      </w:pPr>
      <w:r>
        <w:rPr>
          <w:rFonts w:hint="eastAsia" w:ascii="仿宋" w:hAnsi="仿宋" w:eastAsia="仿宋"/>
          <w:sz w:val="32"/>
          <w:szCs w:val="32"/>
        </w:rPr>
        <w:drawing>
          <wp:inline distT="0" distB="0" distL="114300" distR="114300">
            <wp:extent cx="4142740" cy="1890395"/>
            <wp:effectExtent l="4445" t="4445" r="5715" b="101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（图5：一般公共预算财政拨款支出决算变动情况）（柱状图）</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7" w:name="_Toc15377211"/>
      <w:bookmarkStart w:id="48" w:name="_Toc15478"/>
      <w:r>
        <w:rPr>
          <w:rFonts w:hint="eastAsia" w:ascii="楷体_GB2312" w:hAnsi="楷体_GB2312" w:eastAsia="楷体_GB2312" w:cs="楷体_GB2312"/>
          <w:b w:val="0"/>
          <w:bCs/>
          <w:color w:val="auto"/>
          <w:sz w:val="32"/>
          <w:szCs w:val="32"/>
          <w:highlight w:val="none"/>
        </w:rPr>
        <w:t>（二）一般公共预算财政拨款支出决算结构情况</w:t>
      </w:r>
      <w:bookmarkEnd w:id="47"/>
      <w:bookmarkEnd w:id="48"/>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202.71</w:t>
      </w:r>
      <w:r>
        <w:rPr>
          <w:rFonts w:hint="eastAsia" w:ascii="仿宋_GB2312" w:hAnsi="仿宋_GB2312" w:eastAsia="仿宋_GB2312" w:cs="仿宋_GB2312"/>
          <w:color w:val="auto"/>
          <w:sz w:val="32"/>
          <w:szCs w:val="32"/>
          <w:highlight w:val="none"/>
        </w:rPr>
        <w:t>万元，主要用于以下方面:一般公共服务支出</w:t>
      </w:r>
      <w:r>
        <w:rPr>
          <w:rFonts w:hint="eastAsia" w:ascii="仿宋_GB2312" w:hAnsi="仿宋_GB2312" w:eastAsia="仿宋_GB2312" w:cs="仿宋_GB2312"/>
          <w:color w:val="auto"/>
          <w:sz w:val="32"/>
          <w:szCs w:val="32"/>
          <w:highlight w:val="none"/>
          <w:lang w:val="en-US" w:eastAsia="zh-CN"/>
        </w:rPr>
        <w:t>175.66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86.66</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10.95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5.61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2.77</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10.49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5.17</w:t>
      </w:r>
      <w:r>
        <w:rPr>
          <w:rFonts w:hint="eastAsia" w:ascii="仿宋_GB2312" w:hAnsi="仿宋_GB2312" w:eastAsia="仿宋_GB2312" w:cs="仿宋_GB2312"/>
          <w:color w:val="auto"/>
          <w:sz w:val="32"/>
          <w:szCs w:val="32"/>
          <w:highlight w:val="none"/>
        </w:rPr>
        <w:t>%。</w:t>
      </w:r>
    </w:p>
    <w:p>
      <w:pPr>
        <w:pStyle w:val="5"/>
        <w:rPr>
          <w:rFonts w:ascii="仿宋" w:hAnsi="仿宋" w:eastAsia="仿宋"/>
          <w:color w:val="auto"/>
          <w:sz w:val="32"/>
          <w:szCs w:val="32"/>
          <w:highlight w:val="none"/>
        </w:rPr>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3985895" cy="3006090"/>
            <wp:effectExtent l="4445" t="4445" r="10160" b="1841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（图6：一般公共预算财政拨款支出决算结构）（饼状图）</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9" w:name="_Toc15377212"/>
      <w:bookmarkStart w:id="50" w:name="_Toc9911"/>
      <w:r>
        <w:rPr>
          <w:rFonts w:hint="eastAsia" w:ascii="楷体_GB2312" w:hAnsi="楷体_GB2312" w:eastAsia="楷体_GB2312" w:cs="楷体_GB2312"/>
          <w:b w:val="0"/>
          <w:bCs/>
          <w:color w:val="auto"/>
          <w:sz w:val="32"/>
          <w:szCs w:val="32"/>
          <w:highlight w:val="none"/>
        </w:rPr>
        <w:t>（三）一般公共预算财政拨款支出决算具体情况</w:t>
      </w:r>
      <w:bookmarkEnd w:id="49"/>
      <w:bookmarkEnd w:id="50"/>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bookmarkStart w:id="51" w:name="_Toc15377444"/>
      <w:bookmarkStart w:id="52" w:name="_Toc15378460"/>
      <w:bookmarkStart w:id="53" w:name="_Toc15377213"/>
      <w:bookmarkStart w:id="54" w:name="_Toc11545"/>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般公共预算支出决算数为</w:t>
      </w:r>
      <w:r>
        <w:rPr>
          <w:rFonts w:hint="eastAsia" w:ascii="仿宋_GB2312" w:hAnsi="仿宋_GB2312" w:eastAsia="仿宋_GB2312" w:cs="仿宋_GB2312"/>
          <w:color w:val="auto"/>
          <w:sz w:val="32"/>
          <w:szCs w:val="32"/>
          <w:highlight w:val="none"/>
          <w:lang w:val="en-US" w:eastAsia="zh-CN"/>
        </w:rPr>
        <w:t>202.71万元</w:t>
      </w:r>
      <w:r>
        <w:rPr>
          <w:rFonts w:hint="eastAsia" w:ascii="仿宋_GB2312" w:hAnsi="仿宋_GB2312" w:eastAsia="仿宋_GB2312" w:cs="仿宋_GB2312"/>
          <w:color w:val="auto"/>
          <w:sz w:val="32"/>
          <w:szCs w:val="32"/>
          <w:highlight w:val="none"/>
        </w:rPr>
        <w:t>，完成预算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%。其中：</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1.一般公共服务</w:t>
      </w:r>
      <w:r>
        <w:rPr>
          <w:rFonts w:hint="eastAsia" w:ascii="仿宋_GB2312" w:hAnsi="仿宋_GB2312" w:eastAsia="仿宋_GB2312" w:cs="仿宋_GB2312"/>
          <w:color w:val="auto"/>
          <w:sz w:val="32"/>
          <w:szCs w:val="32"/>
          <w:highlight w:val="none"/>
          <w:lang w:val="en-US" w:eastAsia="zh-CN"/>
        </w:rPr>
        <w:t>212</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（项）:支出决算为</w:t>
      </w:r>
      <w:r>
        <w:rPr>
          <w:rFonts w:hint="eastAsia" w:ascii="仿宋_GB2312" w:hAnsi="仿宋_GB2312" w:eastAsia="仿宋_GB2312" w:cs="仿宋_GB2312"/>
          <w:color w:val="auto"/>
          <w:sz w:val="32"/>
          <w:szCs w:val="32"/>
          <w:highlight w:val="none"/>
          <w:lang w:val="en-US" w:eastAsia="zh-CN"/>
        </w:rPr>
        <w:t>175.66</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决算数等于预算数。</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208</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（项）:支出决算为</w:t>
      </w:r>
      <w:r>
        <w:rPr>
          <w:rFonts w:hint="eastAsia" w:ascii="仿宋_GB2312" w:hAnsi="仿宋_GB2312" w:eastAsia="仿宋_GB2312" w:cs="仿宋_GB2312"/>
          <w:color w:val="auto"/>
          <w:sz w:val="32"/>
          <w:szCs w:val="32"/>
          <w:highlight w:val="none"/>
          <w:lang w:val="en-US" w:eastAsia="zh-CN"/>
        </w:rPr>
        <w:t>10.95</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决算数等于预算数。</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210</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rPr>
        <w:t>（项）:支出决算为</w:t>
      </w:r>
      <w:r>
        <w:rPr>
          <w:rFonts w:hint="eastAsia" w:ascii="仿宋_GB2312" w:hAnsi="仿宋_GB2312" w:eastAsia="仿宋_GB2312" w:cs="仿宋_GB2312"/>
          <w:color w:val="auto"/>
          <w:sz w:val="32"/>
          <w:szCs w:val="32"/>
          <w:highlight w:val="none"/>
          <w:lang w:val="en-US" w:eastAsia="zh-CN"/>
        </w:rPr>
        <w:t>5.61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决算数等于预算数。</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4.住房保障221（类）02（款）01（项）：支出决算为10.49万元，完成预算100%。决算数等于预算数。</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outlineLvl w:val="1"/>
        <w:rPr>
          <w:rStyle w:val="30"/>
          <w:color w:val="auto"/>
          <w:highlight w:val="none"/>
        </w:rPr>
      </w:pPr>
      <w:bookmarkStart w:id="55" w:name="_Toc15377214"/>
      <w:bookmarkStart w:id="56" w:name="_Toc15396608"/>
      <w:bookmarkStart w:id="57" w:name="_Toc23217"/>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5"/>
      <w:bookmarkEnd w:id="56"/>
      <w:bookmarkEnd w:id="57"/>
      <w:r>
        <w:rPr>
          <w:rStyle w:val="30"/>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166.02</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159.13</w:t>
      </w:r>
      <w:r>
        <w:rPr>
          <w:rFonts w:hint="eastAsia" w:ascii="仿宋_GB2312" w:hAnsi="仿宋_GB2312" w:eastAsia="仿宋_GB2312" w:cs="仿宋_GB2312"/>
          <w:color w:val="auto"/>
          <w:sz w:val="32"/>
          <w:szCs w:val="32"/>
          <w:highlight w:val="none"/>
        </w:rPr>
        <w:t>万元，主要包括：基本工资</w:t>
      </w:r>
      <w:r>
        <w:rPr>
          <w:rFonts w:hint="eastAsia" w:ascii="仿宋_GB2312" w:hAnsi="仿宋_GB2312" w:eastAsia="仿宋_GB2312" w:cs="仿宋_GB2312"/>
          <w:color w:val="auto"/>
          <w:sz w:val="32"/>
          <w:szCs w:val="32"/>
          <w:highlight w:val="none"/>
          <w:lang w:val="en-US" w:eastAsia="zh-CN"/>
        </w:rPr>
        <w:t>41.75万元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val="en-US" w:eastAsia="zh-CN"/>
        </w:rPr>
        <w:t>29.76万元</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lang w:val="en-US" w:eastAsia="zh-CN"/>
        </w:rPr>
        <w:t>36万元</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val="en-US" w:eastAsia="zh-CN"/>
        </w:rPr>
        <w:t>10.95万元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lang w:val="en-US" w:eastAsia="zh-CN"/>
        </w:rPr>
        <w:t>5.61万元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val="en-US" w:eastAsia="zh-CN"/>
        </w:rPr>
        <w:t>0.097万元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val="en-US" w:eastAsia="zh-CN"/>
        </w:rPr>
        <w:t>10.49万元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其它工资福利支出</w:t>
      </w:r>
      <w:r>
        <w:rPr>
          <w:rFonts w:hint="eastAsia" w:ascii="仿宋_GB2312" w:hAnsi="仿宋_GB2312" w:eastAsia="仿宋_GB2312" w:cs="仿宋_GB2312"/>
          <w:color w:val="auto"/>
          <w:sz w:val="32"/>
          <w:szCs w:val="32"/>
          <w:highlight w:val="none"/>
          <w:lang w:val="en-US" w:eastAsia="zh-CN"/>
        </w:rPr>
        <w:t>24.4万元、奖励金0.07万元。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6.89</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val="en-US" w:eastAsia="zh-CN"/>
        </w:rPr>
        <w:t>1.96万元</w:t>
      </w:r>
      <w:r>
        <w:rPr>
          <w:rFonts w:hint="eastAsia" w:ascii="仿宋_GB2312" w:hAnsi="仿宋_GB2312" w:eastAsia="仿宋_GB2312" w:cs="仿宋_GB2312"/>
          <w:color w:val="auto"/>
          <w:sz w:val="32"/>
          <w:szCs w:val="32"/>
          <w:highlight w:val="none"/>
        </w:rPr>
        <w:t>、水费</w:t>
      </w:r>
      <w:r>
        <w:rPr>
          <w:rFonts w:hint="eastAsia" w:ascii="仿宋_GB2312" w:hAnsi="仿宋_GB2312" w:eastAsia="仿宋_GB2312" w:cs="仿宋_GB2312"/>
          <w:color w:val="auto"/>
          <w:sz w:val="32"/>
          <w:szCs w:val="32"/>
          <w:highlight w:val="none"/>
          <w:lang w:val="en-US" w:eastAsia="zh-CN"/>
        </w:rPr>
        <w:t>0.06万元</w:t>
      </w:r>
      <w:r>
        <w:rPr>
          <w:rFonts w:hint="eastAsia" w:ascii="仿宋_GB2312" w:hAnsi="仿宋_GB2312" w:eastAsia="仿宋_GB2312" w:cs="仿宋_GB2312"/>
          <w:color w:val="auto"/>
          <w:sz w:val="32"/>
          <w:szCs w:val="32"/>
          <w:highlight w:val="none"/>
        </w:rPr>
        <w:t>、电费</w:t>
      </w:r>
      <w:r>
        <w:rPr>
          <w:rFonts w:hint="eastAsia" w:ascii="仿宋_GB2312" w:hAnsi="仿宋_GB2312" w:eastAsia="仿宋_GB2312" w:cs="仿宋_GB2312"/>
          <w:color w:val="auto"/>
          <w:sz w:val="32"/>
          <w:szCs w:val="32"/>
          <w:highlight w:val="none"/>
          <w:lang w:val="en-US" w:eastAsia="zh-CN"/>
        </w:rPr>
        <w:t>0.31万元</w:t>
      </w:r>
      <w:r>
        <w:rPr>
          <w:rFonts w:hint="eastAsia" w:ascii="仿宋_GB2312" w:hAnsi="仿宋_GB2312" w:eastAsia="仿宋_GB2312" w:cs="仿宋_GB2312"/>
          <w:color w:val="auto"/>
          <w:sz w:val="32"/>
          <w:szCs w:val="32"/>
          <w:highlight w:val="none"/>
        </w:rPr>
        <w:t>、邮电费</w:t>
      </w:r>
      <w:r>
        <w:rPr>
          <w:rFonts w:hint="eastAsia" w:ascii="仿宋_GB2312" w:hAnsi="仿宋_GB2312" w:eastAsia="仿宋_GB2312" w:cs="仿宋_GB2312"/>
          <w:color w:val="auto"/>
          <w:sz w:val="32"/>
          <w:szCs w:val="32"/>
          <w:highlight w:val="none"/>
          <w:lang w:val="en-US" w:eastAsia="zh-CN"/>
        </w:rPr>
        <w:t>0.11万元</w:t>
      </w:r>
      <w:r>
        <w:rPr>
          <w:rFonts w:hint="eastAsia" w:ascii="仿宋_GB2312" w:hAnsi="仿宋_GB2312" w:eastAsia="仿宋_GB2312" w:cs="仿宋_GB2312"/>
          <w:color w:val="auto"/>
          <w:sz w:val="32"/>
          <w:szCs w:val="32"/>
          <w:highlight w:val="none"/>
        </w:rPr>
        <w:t>、差旅费</w:t>
      </w:r>
      <w:r>
        <w:rPr>
          <w:rFonts w:hint="eastAsia" w:ascii="仿宋_GB2312" w:hAnsi="仿宋_GB2312" w:eastAsia="仿宋_GB2312" w:cs="仿宋_GB2312"/>
          <w:color w:val="auto"/>
          <w:sz w:val="32"/>
          <w:szCs w:val="32"/>
          <w:highlight w:val="none"/>
          <w:lang w:val="en-US" w:eastAsia="zh-CN"/>
        </w:rPr>
        <w:t>2.00万元</w:t>
      </w:r>
      <w:r>
        <w:rPr>
          <w:rFonts w:hint="eastAsia" w:ascii="仿宋_GB2312" w:hAnsi="仿宋_GB2312" w:eastAsia="仿宋_GB2312" w:cs="仿宋_GB2312"/>
          <w:color w:val="auto"/>
          <w:sz w:val="32"/>
          <w:szCs w:val="32"/>
          <w:highlight w:val="none"/>
        </w:rPr>
        <w:t>、培训费</w:t>
      </w:r>
      <w:r>
        <w:rPr>
          <w:rFonts w:hint="eastAsia" w:ascii="仿宋_GB2312" w:hAnsi="仿宋_GB2312" w:eastAsia="仿宋_GB2312" w:cs="仿宋_GB2312"/>
          <w:color w:val="auto"/>
          <w:sz w:val="32"/>
          <w:szCs w:val="32"/>
          <w:highlight w:val="none"/>
          <w:lang w:val="en-US" w:eastAsia="zh-CN"/>
        </w:rPr>
        <w:t>0.85万元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印刷费</w:t>
      </w:r>
      <w:r>
        <w:rPr>
          <w:rFonts w:hint="eastAsia" w:ascii="仿宋_GB2312" w:hAnsi="仿宋_GB2312" w:eastAsia="仿宋_GB2312" w:cs="仿宋_GB2312"/>
          <w:color w:val="auto"/>
          <w:sz w:val="32"/>
          <w:szCs w:val="32"/>
          <w:highlight w:val="none"/>
          <w:lang w:val="en-US" w:eastAsia="zh-CN"/>
        </w:rPr>
        <w:t>0.99万元、</w:t>
      </w:r>
      <w:r>
        <w:rPr>
          <w:rFonts w:hint="eastAsia" w:ascii="仿宋_GB2312" w:hAnsi="仿宋_GB2312" w:eastAsia="仿宋_GB2312" w:cs="仿宋_GB2312"/>
          <w:color w:val="auto"/>
          <w:sz w:val="32"/>
          <w:szCs w:val="32"/>
          <w:highlight w:val="none"/>
        </w:rPr>
        <w:t>公务接待费</w:t>
      </w:r>
      <w:r>
        <w:rPr>
          <w:rFonts w:hint="eastAsia" w:ascii="仿宋_GB2312" w:hAnsi="仿宋_GB2312" w:eastAsia="仿宋_GB2312" w:cs="仿宋_GB2312"/>
          <w:color w:val="auto"/>
          <w:sz w:val="32"/>
          <w:szCs w:val="32"/>
          <w:highlight w:val="none"/>
          <w:lang w:val="en-US" w:eastAsia="zh-CN"/>
        </w:rPr>
        <w:t>0.61万元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outlineLvl w:val="1"/>
        <w:rPr>
          <w:rStyle w:val="30"/>
          <w:rFonts w:ascii="黑体" w:hAnsi="黑体" w:eastAsia="黑体"/>
          <w:b w:val="0"/>
          <w:color w:val="auto"/>
          <w:highlight w:val="none"/>
        </w:rPr>
      </w:pPr>
      <w:bookmarkStart w:id="58" w:name="_Toc15377215"/>
      <w:bookmarkStart w:id="59" w:name="_Toc15396609"/>
      <w:bookmarkStart w:id="60" w:name="_Toc7968"/>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8"/>
      <w:bookmarkEnd w:id="59"/>
      <w:bookmarkEnd w:id="60"/>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outlineLvl w:val="2"/>
        <w:rPr>
          <w:rFonts w:hint="eastAsia" w:ascii="楷体_GB2312" w:hAnsi="楷体_GB2312" w:eastAsia="楷体_GB2312" w:cs="楷体_GB2312"/>
          <w:b w:val="0"/>
          <w:bCs/>
          <w:color w:val="auto"/>
          <w:sz w:val="32"/>
          <w:szCs w:val="32"/>
          <w:highlight w:val="none"/>
        </w:rPr>
      </w:pPr>
      <w:bookmarkStart w:id="61" w:name="_Toc15377216"/>
      <w:bookmarkStart w:id="62" w:name="_Toc31707"/>
      <w:r>
        <w:rPr>
          <w:rFonts w:hint="eastAsia" w:ascii="楷体_GB2312" w:hAnsi="楷体_GB2312" w:eastAsia="楷体_GB2312" w:cs="楷体_GB2312"/>
          <w:b w:val="0"/>
          <w:bCs/>
          <w:color w:val="auto"/>
          <w:sz w:val="32"/>
          <w:szCs w:val="32"/>
          <w:highlight w:val="none"/>
        </w:rPr>
        <w:t>（一）“三公”经费财政拨款支出决算总体情况说明</w:t>
      </w:r>
      <w:bookmarkEnd w:id="61"/>
      <w:bookmarkEnd w:id="6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增加0.61万元，增加100%。</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eastAsia="zh-CN"/>
        </w:rPr>
        <w:t>与预算数未持平</w:t>
      </w:r>
      <w:r>
        <w:rPr>
          <w:rFonts w:hint="eastAsia" w:ascii="仿宋_GB2312" w:hAnsi="仿宋_GB2312" w:eastAsia="仿宋_GB2312" w:cs="仿宋_GB2312"/>
          <w:color w:val="auto"/>
          <w:sz w:val="32"/>
          <w:szCs w:val="32"/>
          <w:highlight w:val="none"/>
        </w:rPr>
        <w:t>的主要原因</w:t>
      </w:r>
      <w:r>
        <w:rPr>
          <w:rFonts w:hint="eastAsia" w:ascii="仿宋_GB2312" w:hAnsi="仿宋_GB2312" w:eastAsia="仿宋_GB2312" w:cs="仿宋_GB2312"/>
          <w:color w:val="auto"/>
          <w:sz w:val="32"/>
          <w:szCs w:val="32"/>
          <w:highlight w:val="none"/>
          <w:lang w:eastAsia="zh-CN"/>
        </w:rPr>
        <w:t>一是严格控制</w:t>
      </w:r>
      <w:bookmarkStart w:id="63" w:name="_Toc15377217"/>
      <w:r>
        <w:rPr>
          <w:rFonts w:hint="eastAsia" w:ascii="仿宋_GB2312" w:hAnsi="仿宋_GB2312" w:eastAsia="仿宋_GB2312" w:cs="仿宋_GB2312"/>
          <w:color w:val="auto"/>
          <w:sz w:val="32"/>
          <w:szCs w:val="32"/>
          <w:highlight w:val="none"/>
          <w:lang w:eastAsia="zh-CN"/>
        </w:rPr>
        <w:t>接待次数和接待频次。</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“三公”经费财政拨款支出决算具体情况说明</w:t>
      </w:r>
      <w:bookmarkEnd w:id="63"/>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rPr>
      </w:pPr>
      <w:r>
        <w:rPr>
          <w:rFonts w:hint="eastAsia"/>
          <w:lang w:val="en-US" w:eastAsia="zh-CN"/>
        </w:rPr>
        <w:t xml:space="preserve">  </w:t>
      </w:r>
      <w:r>
        <w:rPr>
          <w:rFonts w:hint="eastAsia"/>
        </w:rPr>
        <w:drawing>
          <wp:inline distT="0" distB="0" distL="114300" distR="114300">
            <wp:extent cx="4198620" cy="2073275"/>
            <wp:effectExtent l="5080" t="4445" r="6350" b="1778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rPr>
      </w:pPr>
      <w:r>
        <w:rPr>
          <w:rFonts w:hint="eastAsia" w:ascii="仿宋_GB2312" w:hAnsi="仿宋_GB2312" w:eastAsia="仿宋_GB2312" w:cs="仿宋_GB2312"/>
          <w:color w:val="auto"/>
          <w:sz w:val="32"/>
          <w:szCs w:val="32"/>
          <w:highlight w:val="none"/>
        </w:rPr>
        <w:t>（图7：“三公”经费财政拨款支出结构）（饼状图）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因公出国（境）经费支出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val="en-US" w:eastAsia="zh-CN"/>
        </w:rPr>
        <w:t>年初未安排预算</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rPr>
        <w:t>公务用车购置及运行维护费支出</w:t>
      </w:r>
      <w:r>
        <w:rPr>
          <w:rFonts w:hint="eastAsia" w:hAnsi="仿宋_GB2312" w:cs="仿宋_GB2312"/>
          <w:b w:val="0"/>
          <w:bCs/>
          <w:sz w:val="32"/>
          <w:szCs w:val="32"/>
          <w:lang w:val="en-US" w:eastAsia="zh-CN"/>
        </w:rPr>
        <w:t>0</w:t>
      </w:r>
      <w:r>
        <w:rPr>
          <w:rFonts w:hint="eastAsia" w:ascii="仿宋_GB2312" w:hAnsi="仿宋_GB2312" w:eastAsia="仿宋_GB2312" w:cs="仿宋_GB2312"/>
          <w:b w:val="0"/>
          <w:bCs/>
          <w:sz w:val="32"/>
          <w:szCs w:val="32"/>
        </w:rPr>
        <w:t>万元,</w:t>
      </w:r>
      <w:r>
        <w:rPr>
          <w:rStyle w:val="18"/>
          <w:rFonts w:hint="eastAsia" w:hAnsi="仿宋_GB2312" w:cs="仿宋_GB2312"/>
          <w:b w:val="0"/>
          <w:bCs/>
          <w:sz w:val="32"/>
          <w:szCs w:val="32"/>
          <w:lang w:eastAsia="zh-CN"/>
        </w:rPr>
        <w:t>年初未安排预算。</w:t>
      </w:r>
      <w:r>
        <w:rPr>
          <w:rFonts w:hint="eastAsia" w:ascii="仿宋_GB2312" w:hAnsi="仿宋_GB2312" w:eastAsia="仿宋_GB2312" w:cs="仿宋_GB2312"/>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万元。公务用车运行维护费支出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.公务接待费支出</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增加0.61万元，增加100%。</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一是严格控制严格控制接待次数和接待频次。</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区内征收拆迁项目开展业务活动的</w:t>
      </w:r>
      <w:r>
        <w:rPr>
          <w:rFonts w:hint="eastAsia" w:ascii="仿宋_GB2312" w:hAnsi="仿宋_GB2312" w:eastAsia="仿宋_GB2312" w:cs="仿宋_GB2312"/>
          <w:color w:val="auto"/>
          <w:sz w:val="32"/>
          <w:szCs w:val="32"/>
          <w:highlight w:val="none"/>
        </w:rPr>
        <w:t>用餐费。国内公务接待</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120余</w:t>
      </w:r>
      <w:r>
        <w:rPr>
          <w:rFonts w:hint="eastAsia" w:ascii="仿宋_GB2312" w:hAnsi="仿宋_GB2312" w:eastAsia="仿宋_GB2312" w:cs="仿宋_GB2312"/>
          <w:color w:val="auto"/>
          <w:sz w:val="32"/>
          <w:szCs w:val="32"/>
          <w:highlight w:val="none"/>
        </w:rPr>
        <w:t>人次，共计支出</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万元，外事接待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人，共计支出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p>
    <w:p>
      <w:pPr>
        <w:spacing w:line="600" w:lineRule="exact"/>
        <w:ind w:firstLine="640"/>
        <w:outlineLvl w:val="1"/>
        <w:rPr>
          <w:rStyle w:val="30"/>
          <w:rFonts w:ascii="黑体" w:hAnsi="黑体" w:eastAsia="黑体"/>
          <w:color w:val="auto"/>
          <w:highlight w:val="none"/>
        </w:rPr>
      </w:pPr>
      <w:bookmarkStart w:id="64" w:name="_Toc15377218"/>
      <w:bookmarkStart w:id="65" w:name="_Toc15396610"/>
      <w:bookmarkStart w:id="66" w:name="_Toc29321"/>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4"/>
      <w:bookmarkEnd w:id="65"/>
      <w:bookmarkEnd w:id="6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0"/>
          <w:rFonts w:ascii="黑体" w:hAnsi="黑体" w:eastAsia="黑体"/>
          <w:b w:val="0"/>
          <w:color w:val="auto"/>
          <w:highlight w:val="none"/>
        </w:rPr>
      </w:pPr>
      <w:bookmarkStart w:id="67" w:name="_Toc15377219"/>
      <w:bookmarkStart w:id="68" w:name="_Toc15396611"/>
      <w:bookmarkStart w:id="69" w:name="_Toc1812"/>
      <w:r>
        <w:rPr>
          <w:rStyle w:val="30"/>
          <w:rFonts w:hint="eastAsia" w:ascii="黑体" w:hAnsi="黑体" w:eastAsia="黑体"/>
          <w:b w:val="0"/>
          <w:color w:val="auto"/>
          <w:highlight w:val="none"/>
        </w:rPr>
        <w:t>国有资本经营预算支出决算情况说明</w:t>
      </w:r>
      <w:bookmarkEnd w:id="67"/>
      <w:bookmarkEnd w:id="68"/>
      <w:bookmarkEnd w:id="6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0"/>
          <w:rFonts w:hint="eastAsia" w:ascii="黑体" w:hAnsi="黑体" w:eastAsia="黑体"/>
          <w:b w:val="0"/>
          <w:color w:val="auto"/>
          <w:highlight w:val="none"/>
        </w:rPr>
      </w:pPr>
      <w:bookmarkStart w:id="70" w:name="_Toc15377221"/>
      <w:bookmarkStart w:id="71" w:name="_Toc15396612"/>
      <w:bookmarkStart w:id="72" w:name="_Toc16928"/>
      <w:r>
        <w:rPr>
          <w:rStyle w:val="30"/>
          <w:rFonts w:hint="eastAsia" w:ascii="黑体" w:hAnsi="黑体" w:eastAsia="黑体"/>
          <w:b w:val="0"/>
          <w:color w:val="auto"/>
          <w:highlight w:val="none"/>
        </w:rPr>
        <w:t>其他重要事项的情况说明</w:t>
      </w:r>
      <w:bookmarkEnd w:id="70"/>
      <w:bookmarkEnd w:id="71"/>
      <w:bookmarkEnd w:id="72"/>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73" w:name="_Toc15377222"/>
      <w:bookmarkStart w:id="74" w:name="_Toc16290"/>
      <w:r>
        <w:rPr>
          <w:rFonts w:hint="eastAsia" w:ascii="楷体_GB2312" w:hAnsi="楷体_GB2312" w:eastAsia="楷体_GB2312" w:cs="楷体_GB2312"/>
          <w:b w:val="0"/>
          <w:bCs/>
          <w:color w:val="auto"/>
          <w:sz w:val="32"/>
          <w:szCs w:val="32"/>
          <w:highlight w:val="none"/>
        </w:rPr>
        <w:t>（一）机关运行经费支出情况</w:t>
      </w:r>
      <w:bookmarkEnd w:id="73"/>
      <w:bookmarkEnd w:id="74"/>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区征收拆迁事务中心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21.39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18.16万元</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3.23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17.79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人员增加经费增加。</w:t>
      </w:r>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outlineLvl w:val="2"/>
        <w:rPr>
          <w:rFonts w:hint="eastAsia" w:ascii="楷体_GB2312" w:hAnsi="楷体_GB2312" w:eastAsia="楷体_GB2312" w:cs="楷体_GB2312"/>
          <w:b w:val="0"/>
          <w:bCs/>
          <w:color w:val="auto"/>
          <w:sz w:val="32"/>
          <w:szCs w:val="32"/>
          <w:highlight w:val="none"/>
        </w:rPr>
      </w:pPr>
      <w:bookmarkStart w:id="75" w:name="_Toc15377223"/>
      <w:bookmarkStart w:id="76" w:name="_Toc12573"/>
      <w:r>
        <w:rPr>
          <w:rFonts w:hint="eastAsia" w:ascii="楷体_GB2312" w:hAnsi="楷体_GB2312" w:eastAsia="楷体_GB2312" w:cs="楷体_GB2312"/>
          <w:b w:val="0"/>
          <w:bCs/>
          <w:color w:val="auto"/>
          <w:sz w:val="32"/>
          <w:szCs w:val="32"/>
          <w:highlight w:val="none"/>
        </w:rPr>
        <w:t>（二）政府采购支出情况</w:t>
      </w:r>
      <w:bookmarkEnd w:id="75"/>
      <w:bookmarkEnd w:id="76"/>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区征收拆迁事务中心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outlineLvl w:val="2"/>
        <w:rPr>
          <w:rFonts w:hint="eastAsia" w:ascii="楷体_GB2312" w:hAnsi="楷体_GB2312" w:eastAsia="楷体_GB2312" w:cs="楷体_GB2312"/>
          <w:b w:val="0"/>
          <w:bCs/>
          <w:color w:val="auto"/>
          <w:sz w:val="32"/>
          <w:szCs w:val="32"/>
          <w:highlight w:val="none"/>
        </w:rPr>
      </w:pPr>
      <w:bookmarkStart w:id="77" w:name="_Toc15377224"/>
      <w:bookmarkStart w:id="78" w:name="_Toc31958"/>
      <w:r>
        <w:rPr>
          <w:rFonts w:hint="eastAsia" w:ascii="楷体_GB2312" w:hAnsi="楷体_GB2312" w:eastAsia="楷体_GB2312" w:cs="楷体_GB2312"/>
          <w:b w:val="0"/>
          <w:bCs/>
          <w:color w:val="auto"/>
          <w:sz w:val="32"/>
          <w:szCs w:val="32"/>
          <w:highlight w:val="none"/>
        </w:rPr>
        <w:t>（三）国有资产占有使用情况</w:t>
      </w:r>
      <w:bookmarkEnd w:id="77"/>
      <w:bookmarkEnd w:id="78"/>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rPr>
          <w:rFonts w:hint="eastAsia" w:ascii="仿宋_GB2312" w:eastAsia="仿宋_GB2312"/>
          <w:snapToGrid w:val="0"/>
          <w:color w:val="auto"/>
          <w:kern w:val="0"/>
          <w:sz w:val="32"/>
          <w:szCs w:val="32"/>
          <w:highlight w:val="none"/>
        </w:rPr>
      </w:pPr>
      <w:r>
        <w:rPr>
          <w:rFonts w:hint="eastAsia" w:ascii="仿宋_GB2312" w:eastAsia="仿宋_GB2312"/>
          <w:snapToGrid w:val="0"/>
          <w:color w:val="auto"/>
          <w:kern w:val="0"/>
          <w:sz w:val="32"/>
          <w:szCs w:val="32"/>
          <w:highlight w:val="none"/>
        </w:rPr>
        <w:t>截至</w:t>
      </w:r>
      <w:r>
        <w:rPr>
          <w:rFonts w:ascii="仿宋_GB2312" w:eastAsia="仿宋_GB2312"/>
          <w:snapToGrid w:val="0"/>
          <w:color w:val="auto"/>
          <w:kern w:val="0"/>
          <w:sz w:val="32"/>
          <w:szCs w:val="32"/>
          <w:highlight w:val="none"/>
        </w:rPr>
        <w:t>20</w:t>
      </w:r>
      <w:r>
        <w:rPr>
          <w:rFonts w:hint="eastAsia" w:ascii="仿宋_GB2312" w:eastAsia="仿宋_GB2312"/>
          <w:snapToGrid w:val="0"/>
          <w:color w:val="auto"/>
          <w:kern w:val="0"/>
          <w:sz w:val="32"/>
          <w:szCs w:val="32"/>
          <w:highlight w:val="none"/>
          <w:lang w:val="en-US" w:eastAsia="zh-CN"/>
        </w:rPr>
        <w:t>22</w:t>
      </w:r>
      <w:r>
        <w:rPr>
          <w:rFonts w:hint="eastAsia" w:ascii="仿宋_GB2312" w:eastAsia="仿宋_GB2312"/>
          <w:snapToGrid w:val="0"/>
          <w:color w:val="auto"/>
          <w:kern w:val="0"/>
          <w:sz w:val="32"/>
          <w:szCs w:val="32"/>
          <w:highlight w:val="none"/>
        </w:rPr>
        <w:t>年</w:t>
      </w:r>
      <w:r>
        <w:rPr>
          <w:rFonts w:ascii="仿宋_GB2312" w:eastAsia="仿宋_GB2312"/>
          <w:snapToGrid w:val="0"/>
          <w:color w:val="auto"/>
          <w:kern w:val="0"/>
          <w:sz w:val="32"/>
          <w:szCs w:val="32"/>
          <w:highlight w:val="none"/>
        </w:rPr>
        <w:t>12</w:t>
      </w:r>
      <w:r>
        <w:rPr>
          <w:rFonts w:hint="eastAsia" w:ascii="仿宋_GB2312" w:eastAsia="仿宋_GB2312"/>
          <w:snapToGrid w:val="0"/>
          <w:color w:val="auto"/>
          <w:kern w:val="0"/>
          <w:sz w:val="32"/>
          <w:szCs w:val="32"/>
          <w:highlight w:val="none"/>
        </w:rPr>
        <w:t>月</w:t>
      </w:r>
      <w:r>
        <w:rPr>
          <w:rFonts w:ascii="仿宋_GB2312" w:eastAsia="仿宋_GB2312"/>
          <w:snapToGrid w:val="0"/>
          <w:color w:val="auto"/>
          <w:kern w:val="0"/>
          <w:sz w:val="32"/>
          <w:szCs w:val="32"/>
          <w:highlight w:val="none"/>
        </w:rPr>
        <w:t>31</w:t>
      </w:r>
      <w:r>
        <w:rPr>
          <w:rFonts w:hint="eastAsia" w:ascii="仿宋_GB2312" w:eastAsia="仿宋_GB2312"/>
          <w:snapToGrid w:val="0"/>
          <w:color w:val="auto"/>
          <w:kern w:val="0"/>
          <w:sz w:val="32"/>
          <w:szCs w:val="32"/>
          <w:highlight w:val="none"/>
        </w:rPr>
        <w:t>日，</w:t>
      </w:r>
      <w:r>
        <w:rPr>
          <w:rFonts w:hint="eastAsia" w:ascii="仿宋_GB2312" w:eastAsia="仿宋_GB2312"/>
          <w:snapToGrid w:val="0"/>
          <w:color w:val="auto"/>
          <w:kern w:val="0"/>
          <w:sz w:val="32"/>
          <w:szCs w:val="32"/>
          <w:highlight w:val="none"/>
          <w:lang w:eastAsia="zh-CN"/>
        </w:rPr>
        <w:t>区征收拆迁事务中心</w:t>
      </w:r>
      <w:r>
        <w:rPr>
          <w:rFonts w:hint="eastAsia" w:ascii="仿宋_GB2312" w:eastAsia="仿宋_GB2312"/>
          <w:snapToGrid w:val="0"/>
          <w:color w:val="auto"/>
          <w:kern w:val="0"/>
          <w:sz w:val="32"/>
          <w:szCs w:val="32"/>
          <w:highlight w:val="none"/>
        </w:rPr>
        <w:t>共有车辆</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辆，其中：主要领导干部用车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辆、机要通信用车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辆、应急保障用车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辆、其他用车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lang w:eastAsia="zh-CN"/>
        </w:rPr>
        <w:t>。</w:t>
      </w:r>
      <w:r>
        <w:rPr>
          <w:rFonts w:hint="eastAsia" w:ascii="仿宋_GB2312" w:eastAsia="仿宋_GB2312"/>
          <w:snapToGrid w:val="0"/>
          <w:color w:val="auto"/>
          <w:kern w:val="0"/>
          <w:sz w:val="32"/>
          <w:szCs w:val="32"/>
          <w:highlight w:val="none"/>
        </w:rPr>
        <w:t>单价</w:t>
      </w:r>
      <w:r>
        <w:rPr>
          <w:rFonts w:ascii="仿宋_GB2312" w:eastAsia="仿宋_GB2312"/>
          <w:snapToGrid w:val="0"/>
          <w:color w:val="auto"/>
          <w:kern w:val="0"/>
          <w:sz w:val="32"/>
          <w:szCs w:val="32"/>
          <w:highlight w:val="none"/>
        </w:rPr>
        <w:t>100</w:t>
      </w:r>
      <w:r>
        <w:rPr>
          <w:rFonts w:hint="eastAsia" w:ascii="仿宋_GB2312" w:eastAsia="仿宋_GB2312"/>
          <w:snapToGrid w:val="0"/>
          <w:color w:val="auto"/>
          <w:kern w:val="0"/>
          <w:sz w:val="32"/>
          <w:szCs w:val="32"/>
          <w:highlight w:val="none"/>
        </w:rPr>
        <w:t>万元以上专用设备</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台（套）。</w:t>
      </w:r>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outlineLvl w:val="2"/>
        <w:rPr>
          <w:rFonts w:hint="eastAsia" w:ascii="楷体_GB2312" w:hAnsi="楷体_GB2312" w:eastAsia="楷体_GB2312" w:cs="楷体_GB2312"/>
          <w:b w:val="0"/>
          <w:bCs/>
          <w:color w:val="auto"/>
          <w:sz w:val="32"/>
          <w:szCs w:val="32"/>
          <w:highlight w:val="none"/>
        </w:rPr>
      </w:pPr>
      <w:bookmarkStart w:id="79" w:name="_Toc24221"/>
      <w:r>
        <w:rPr>
          <w:rFonts w:hint="eastAsia" w:ascii="楷体_GB2312" w:hAnsi="楷体_GB2312" w:eastAsia="楷体_GB2312" w:cs="楷体_GB2312"/>
          <w:b w:val="0"/>
          <w:bCs/>
          <w:color w:val="auto"/>
          <w:sz w:val="32"/>
          <w:szCs w:val="32"/>
          <w:highlight w:val="none"/>
        </w:rPr>
        <w:t>（四）预算绩效管理情况</w:t>
      </w:r>
      <w:bookmarkEnd w:id="79"/>
    </w:p>
    <w:p>
      <w:pPr>
        <w:keepNext w:val="0"/>
        <w:keepLines w:val="0"/>
        <w:pageBreakBefore w:val="0"/>
        <w:widowControl/>
        <w:kinsoku/>
        <w:wordWrap/>
        <w:overflowPunct/>
        <w:topLinePunct w:val="0"/>
        <w:bidi w:val="0"/>
        <w:adjustRightInd w:val="0"/>
        <w:snapToGrid w:val="0"/>
        <w:spacing w:line="576" w:lineRule="exact"/>
        <w:ind w:firstLine="640" w:firstLineChars="200"/>
        <w:jc w:val="left"/>
        <w:textAlignment w:val="auto"/>
        <w:rPr>
          <w:rFonts w:hint="eastAsia"/>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w:t>
      </w:r>
      <w:r>
        <w:rPr>
          <w:rFonts w:hint="eastAsia" w:ascii="仿宋_GB2312" w:hAnsi="仿宋_GB2312" w:eastAsia="仿宋_GB2312" w:cs="仿宋_GB2312"/>
          <w:color w:val="auto"/>
          <w:sz w:val="32"/>
          <w:szCs w:val="32"/>
          <w:highlight w:val="none"/>
          <w:lang w:eastAsia="zh-CN"/>
        </w:rPr>
        <w:t>征收拆迁工作经费</w:t>
      </w:r>
      <w:r>
        <w:rPr>
          <w:rFonts w:hint="eastAsia" w:ascii="仿宋_GB2312" w:hAnsi="仿宋_GB2312" w:eastAsia="仿宋_GB2312" w:cs="仿宋_GB2312"/>
          <w:color w:val="auto"/>
          <w:sz w:val="32"/>
          <w:szCs w:val="32"/>
          <w:highlight w:val="none"/>
        </w:rPr>
        <w:t>项目开展了绩效评估，对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kinsoku/>
        <w:wordWrap/>
        <w:overflowPunct/>
        <w:topLinePunct w:val="0"/>
        <w:autoSpaceDN/>
        <w:bidi w:val="0"/>
        <w:adjustRightInd w:val="0"/>
        <w:snapToGrid w:val="0"/>
        <w:spacing w:line="576" w:lineRule="exact"/>
        <w:ind w:firstLine="720"/>
        <w:textAlignment w:val="auto"/>
        <w:rPr>
          <w:rFonts w:hint="eastAsia" w:ascii="宋体" w:hAnsi="宋体" w:eastAsia="宋体" w:cs="宋体"/>
          <w:sz w:val="16"/>
          <w:szCs w:val="16"/>
          <w:lang w:val="en-US" w:eastAsia="zh-CN"/>
        </w:rPr>
      </w:pPr>
      <w:r>
        <w:rPr>
          <w:rFonts w:hint="eastAsia" w:ascii="仿宋_GB2312" w:hAnsi="仿宋_GB2312" w:eastAsia="仿宋_GB2312" w:cs="仿宋_GB2312"/>
          <w:color w:val="auto"/>
          <w:sz w:val="32"/>
          <w:szCs w:val="32"/>
          <w:highlight w:val="none"/>
        </w:rPr>
        <w:t>组织对2022年度一般公共预算、</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color w:val="auto"/>
          <w:sz w:val="32"/>
          <w:szCs w:val="32"/>
          <w:highlight w:val="none"/>
        </w:rPr>
        <w:t>资金等全面开展绩效自评，形成</w:t>
      </w:r>
      <w:r>
        <w:rPr>
          <w:rFonts w:hint="eastAsia" w:ascii="仿宋_GB2312" w:hAnsi="仿宋_GB2312" w:eastAsia="仿宋_GB2312" w:cs="仿宋_GB2312"/>
          <w:color w:val="auto"/>
          <w:sz w:val="32"/>
          <w:szCs w:val="32"/>
          <w:highlight w:val="none"/>
          <w:lang w:eastAsia="zh-CN"/>
        </w:rPr>
        <w:t>广元市朝天区土地房屋征收拆迁事务中心</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征收拆迁工作经费</w:t>
      </w:r>
      <w:r>
        <w:rPr>
          <w:rFonts w:hint="eastAsia" w:ascii="仿宋_GB2312" w:hAnsi="仿宋_GB2312" w:eastAsia="仿宋_GB2312" w:cs="仿宋_GB2312"/>
          <w:color w:val="auto"/>
          <w:sz w:val="32"/>
          <w:szCs w:val="32"/>
          <w:highlight w:val="none"/>
        </w:rPr>
        <w:t>项目绩效自评报告，其中，</w:t>
      </w:r>
      <w:r>
        <w:rPr>
          <w:rFonts w:hint="eastAsia" w:ascii="仿宋_GB2312" w:hAnsi="仿宋_GB2312" w:eastAsia="仿宋_GB2312" w:cs="仿宋_GB2312"/>
          <w:color w:val="auto"/>
          <w:sz w:val="32"/>
          <w:szCs w:val="32"/>
          <w:highlight w:val="none"/>
          <w:lang w:eastAsia="zh-CN"/>
        </w:rPr>
        <w:t>广元市朝天区土地房屋征收拆迁事务中心</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从总体上看，</w:t>
      </w:r>
      <w:r>
        <w:rPr>
          <w:rFonts w:hint="eastAsia" w:ascii="仿宋_GB2312" w:hAnsi="仿宋_GB2312" w:eastAsia="仿宋_GB2312" w:cs="仿宋_GB2312"/>
          <w:sz w:val="32"/>
          <w:szCs w:val="32"/>
        </w:rPr>
        <w:t>根据预算绩效管理工作要求及安排，我单位对202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部门整体支出</w:t>
      </w:r>
      <w:r>
        <w:rPr>
          <w:rFonts w:hint="eastAsia" w:ascii="仿宋_GB2312" w:hAnsi="仿宋_GB2312" w:eastAsia="仿宋_GB2312" w:cs="仿宋_GB2312"/>
          <w:sz w:val="32"/>
          <w:szCs w:val="32"/>
        </w:rPr>
        <w:t>绩效管理工作进行了自评考核，基础自评得分9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分，加分项得分0分，共计9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征收拆迁工作经费</w:t>
      </w:r>
      <w:r>
        <w:rPr>
          <w:rFonts w:hint="eastAsia" w:ascii="仿宋_GB2312" w:hAnsi="仿宋_GB2312" w:eastAsia="仿宋_GB2312" w:cs="仿宋_GB2312"/>
          <w:color w:val="auto"/>
          <w:sz w:val="32"/>
          <w:szCs w:val="32"/>
          <w:highlight w:val="none"/>
        </w:rPr>
        <w:t>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分，绩效自评综述：</w:t>
      </w:r>
      <w:r>
        <w:rPr>
          <w:rFonts w:hint="eastAsia" w:ascii="仿宋_GB2312" w:hAnsi="宋体" w:eastAsia="仿宋_GB2312" w:cs="Times New Roman"/>
          <w:w w:val="99"/>
          <w:sz w:val="32"/>
          <w:szCs w:val="32"/>
          <w:lang w:val="zh-CN" w:eastAsia="zh-CN"/>
        </w:rPr>
        <w:t>全区被征收拆迁对象满意度较高，满意率达</w:t>
      </w:r>
      <w:r>
        <w:rPr>
          <w:rFonts w:hint="eastAsia" w:ascii="仿宋_GB2312" w:hAnsi="宋体" w:eastAsia="仿宋_GB2312" w:cs="Times New Roman"/>
          <w:w w:val="99"/>
          <w:sz w:val="32"/>
          <w:szCs w:val="32"/>
          <w:lang w:val="en-US" w:eastAsia="zh-CN"/>
        </w:rPr>
        <w:t>90%以上，自评优。</w:t>
      </w:r>
      <w:r>
        <w:rPr>
          <w:rFonts w:hint="eastAsia" w:ascii="仿宋_GB2312" w:hAnsi="仿宋_GB2312" w:eastAsia="仿宋_GB2312" w:cs="仿宋_GB2312"/>
          <w:color w:val="auto"/>
          <w:sz w:val="32"/>
          <w:szCs w:val="32"/>
          <w:highlight w:val="none"/>
        </w:rPr>
        <w:t>绩效自评报告详见附件。</w:t>
      </w: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9"/>
          <w:rFonts w:ascii="黑体" w:hAnsi="黑体" w:eastAsia="黑体"/>
          <w:b w:val="0"/>
          <w:color w:val="auto"/>
          <w:highlight w:val="none"/>
        </w:rPr>
      </w:pPr>
      <w:bookmarkStart w:id="80" w:name="_Toc15377225"/>
      <w:bookmarkStart w:id="81" w:name="_Toc15396613"/>
      <w:bookmarkStart w:id="82" w:name="_Toc14886"/>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80"/>
      <w:bookmarkEnd w:id="81"/>
      <w:bookmarkEnd w:id="82"/>
    </w:p>
    <w:p>
      <w:pPr>
        <w:spacing w:line="600" w:lineRule="exact"/>
        <w:jc w:val="left"/>
        <w:rPr>
          <w:rFonts w:ascii="宋体"/>
          <w:b/>
          <w:color w:val="auto"/>
          <w:sz w:val="44"/>
          <w:szCs w:val="44"/>
          <w:highlight w:val="none"/>
        </w:rPr>
      </w:pPr>
    </w:p>
    <w:p>
      <w:pPr>
        <w:pStyle w:val="27"/>
        <w:spacing w:line="560" w:lineRule="exact"/>
        <w:ind w:firstLine="640" w:firstLineChars="200"/>
        <w:outlineLvl w:val="1"/>
        <w:rPr>
          <w:rFonts w:ascii="仿宋_GB2312" w:eastAsia="仿宋_GB2312"/>
          <w:color w:val="auto"/>
          <w:sz w:val="32"/>
          <w:szCs w:val="32"/>
          <w:highlight w:val="none"/>
        </w:rPr>
      </w:pPr>
      <w:bookmarkStart w:id="83" w:name="_Toc30172"/>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83"/>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7"/>
        <w:spacing w:line="560" w:lineRule="exact"/>
        <w:ind w:firstLine="640" w:firstLineChars="200"/>
        <w:outlineLvl w:val="1"/>
        <w:rPr>
          <w:rFonts w:ascii="仿宋_GB2312" w:eastAsia="仿宋_GB2312"/>
          <w:color w:val="auto"/>
          <w:sz w:val="32"/>
          <w:szCs w:val="32"/>
          <w:highlight w:val="none"/>
        </w:rPr>
      </w:pPr>
      <w:bookmarkStart w:id="84" w:name="_Toc9463"/>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84"/>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default"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val="0"/>
          <w:bCs/>
          <w:color w:val="000000"/>
          <w:sz w:val="32"/>
          <w:szCs w:val="32"/>
          <w:lang w:val="en-US" w:eastAsia="zh-CN"/>
        </w:rPr>
        <w:t>9</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auto"/>
          <w:sz w:val="32"/>
          <w:szCs w:val="32"/>
          <w:highlight w:val="none"/>
        </w:rPr>
        <w:t>一般公共服务</w:t>
      </w:r>
      <w:r>
        <w:rPr>
          <w:rStyle w:val="18"/>
          <w:rFonts w:hint="eastAsia" w:ascii="仿宋_GB2312" w:hAnsi="仿宋_GB2312" w:eastAsia="仿宋_GB2312" w:cs="仿宋_GB2312"/>
          <w:b w:val="0"/>
          <w:bCs/>
          <w:color w:val="auto"/>
          <w:sz w:val="32"/>
          <w:szCs w:val="32"/>
          <w:highlight w:val="none"/>
          <w:lang w:val="en-US" w:eastAsia="zh-CN"/>
        </w:rPr>
        <w:t>212</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01</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99</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指一般城乡社区服务支出</w:t>
      </w:r>
    </w:p>
    <w:p>
      <w:pPr>
        <w:ind w:firstLine="640" w:firstLineChars="200"/>
        <w:rPr>
          <w:rStyle w:val="18"/>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10.</w:t>
      </w:r>
      <w:r>
        <w:rPr>
          <w:rStyle w:val="18"/>
          <w:rFonts w:hint="eastAsia" w:ascii="仿宋_GB2312" w:hAnsi="仿宋_GB2312" w:eastAsia="仿宋_GB2312" w:cs="仿宋_GB2312"/>
          <w:b w:val="0"/>
          <w:bCs/>
          <w:color w:val="auto"/>
          <w:sz w:val="32"/>
          <w:szCs w:val="32"/>
          <w:highlight w:val="none"/>
        </w:rPr>
        <w:t>社会保障和就业</w:t>
      </w:r>
      <w:r>
        <w:rPr>
          <w:rStyle w:val="18"/>
          <w:rFonts w:hint="eastAsia" w:ascii="仿宋_GB2312" w:hAnsi="仿宋_GB2312" w:eastAsia="仿宋_GB2312" w:cs="仿宋_GB2312"/>
          <w:b w:val="0"/>
          <w:bCs/>
          <w:color w:val="auto"/>
          <w:sz w:val="32"/>
          <w:szCs w:val="32"/>
          <w:highlight w:val="none"/>
          <w:lang w:val="en-US" w:eastAsia="zh-CN"/>
        </w:rPr>
        <w:t>208</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05</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05</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指社会保障和就业支出机关事业单位基本养老保险缴费支出。</w:t>
      </w:r>
    </w:p>
    <w:p>
      <w:pPr>
        <w:ind w:firstLine="640" w:firstLineChars="200"/>
        <w:rPr>
          <w:rStyle w:val="18"/>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11.</w:t>
      </w:r>
      <w:r>
        <w:rPr>
          <w:rStyle w:val="18"/>
          <w:rFonts w:hint="eastAsia" w:ascii="仿宋_GB2312" w:hAnsi="仿宋_GB2312" w:eastAsia="仿宋_GB2312" w:cs="仿宋_GB2312"/>
          <w:b w:val="0"/>
          <w:bCs/>
          <w:color w:val="auto"/>
          <w:sz w:val="32"/>
          <w:szCs w:val="32"/>
          <w:highlight w:val="none"/>
        </w:rPr>
        <w:t>社会保障和就业</w:t>
      </w:r>
      <w:r>
        <w:rPr>
          <w:rStyle w:val="18"/>
          <w:rFonts w:hint="eastAsia" w:ascii="仿宋_GB2312" w:hAnsi="仿宋_GB2312" w:eastAsia="仿宋_GB2312" w:cs="仿宋_GB2312"/>
          <w:b w:val="0"/>
          <w:bCs/>
          <w:color w:val="auto"/>
          <w:sz w:val="32"/>
          <w:szCs w:val="32"/>
          <w:highlight w:val="none"/>
          <w:lang w:val="en-US" w:eastAsia="zh-CN"/>
        </w:rPr>
        <w:t>208</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99</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99</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指社会保障和就业支出其他社会保障和就业支出。</w:t>
      </w:r>
    </w:p>
    <w:p>
      <w:pPr>
        <w:ind w:firstLine="640"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12.</w:t>
      </w:r>
      <w:r>
        <w:rPr>
          <w:rFonts w:hint="eastAsia" w:ascii="仿宋_GB2312" w:hAnsi="仿宋_GB2312" w:eastAsia="仿宋_GB2312" w:cs="仿宋_GB2312"/>
          <w:b w:val="0"/>
          <w:bCs/>
          <w:color w:val="auto"/>
          <w:sz w:val="32"/>
          <w:szCs w:val="32"/>
          <w:highlight w:val="none"/>
        </w:rPr>
        <w:t>卫生健康</w:t>
      </w:r>
      <w:r>
        <w:rPr>
          <w:rFonts w:hint="eastAsia" w:ascii="仿宋_GB2312" w:hAnsi="仿宋_GB2312" w:eastAsia="仿宋_GB2312" w:cs="仿宋_GB2312"/>
          <w:b w:val="0"/>
          <w:bCs/>
          <w:color w:val="auto"/>
          <w:sz w:val="32"/>
          <w:szCs w:val="32"/>
          <w:highlight w:val="none"/>
          <w:lang w:val="en-US" w:eastAsia="zh-CN"/>
        </w:rPr>
        <w:t>210</w:t>
      </w:r>
      <w:r>
        <w:rPr>
          <w:rFonts w:hint="eastAsia" w:ascii="仿宋_GB2312" w:hAnsi="仿宋_GB2312" w:eastAsia="仿宋_GB2312" w:cs="仿宋_GB2312"/>
          <w:b w:val="0"/>
          <w:bCs/>
          <w:color w:val="auto"/>
          <w:sz w:val="32"/>
          <w:szCs w:val="32"/>
          <w:highlight w:val="none"/>
        </w:rPr>
        <w:t>（类）</w:t>
      </w:r>
      <w:r>
        <w:rPr>
          <w:rFonts w:hint="eastAsia" w:ascii="仿宋_GB2312" w:hAnsi="仿宋_GB2312" w:eastAsia="仿宋_GB2312" w:cs="仿宋_GB2312"/>
          <w:b w:val="0"/>
          <w:bCs/>
          <w:color w:val="auto"/>
          <w:sz w:val="32"/>
          <w:szCs w:val="32"/>
          <w:highlight w:val="none"/>
          <w:lang w:val="en-US" w:eastAsia="zh-CN"/>
        </w:rPr>
        <w:t>11</w:t>
      </w:r>
      <w:r>
        <w:rPr>
          <w:rFonts w:hint="eastAsia" w:ascii="仿宋_GB2312" w:hAnsi="仿宋_GB2312" w:eastAsia="仿宋_GB2312" w:cs="仿宋_GB2312"/>
          <w:b w:val="0"/>
          <w:bCs/>
          <w:color w:val="auto"/>
          <w:sz w:val="32"/>
          <w:szCs w:val="32"/>
          <w:highlight w:val="none"/>
        </w:rPr>
        <w:t>（款）</w:t>
      </w:r>
      <w:r>
        <w:rPr>
          <w:rFonts w:hint="eastAsia" w:ascii="仿宋_GB2312" w:hAnsi="仿宋_GB2312" w:eastAsia="仿宋_GB2312" w:cs="仿宋_GB2312"/>
          <w:b w:val="0"/>
          <w:bCs/>
          <w:color w:val="auto"/>
          <w:sz w:val="32"/>
          <w:szCs w:val="32"/>
          <w:highlight w:val="none"/>
          <w:lang w:val="en-US" w:eastAsia="zh-CN"/>
        </w:rPr>
        <w:t>01</w:t>
      </w:r>
      <w:r>
        <w:rPr>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指卫生健康支出行政单位医疗。</w:t>
      </w:r>
    </w:p>
    <w:p>
      <w:pPr>
        <w:ind w:firstLine="640"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13.</w:t>
      </w:r>
      <w:r>
        <w:rPr>
          <w:rFonts w:hint="eastAsia" w:ascii="仿宋_GB2312" w:hAnsi="仿宋_GB2312" w:eastAsia="仿宋_GB2312" w:cs="仿宋_GB2312"/>
          <w:b w:val="0"/>
          <w:bCs/>
          <w:color w:val="auto"/>
          <w:sz w:val="32"/>
          <w:szCs w:val="32"/>
          <w:highlight w:val="none"/>
        </w:rPr>
        <w:t>卫生健康</w:t>
      </w:r>
      <w:r>
        <w:rPr>
          <w:rFonts w:hint="eastAsia" w:ascii="仿宋_GB2312" w:hAnsi="仿宋_GB2312" w:eastAsia="仿宋_GB2312" w:cs="仿宋_GB2312"/>
          <w:b w:val="0"/>
          <w:bCs/>
          <w:color w:val="auto"/>
          <w:sz w:val="32"/>
          <w:szCs w:val="32"/>
          <w:highlight w:val="none"/>
          <w:lang w:val="en-US" w:eastAsia="zh-CN"/>
        </w:rPr>
        <w:t>210</w:t>
      </w:r>
      <w:r>
        <w:rPr>
          <w:rFonts w:hint="eastAsia" w:ascii="仿宋_GB2312" w:hAnsi="仿宋_GB2312" w:eastAsia="仿宋_GB2312" w:cs="仿宋_GB2312"/>
          <w:b w:val="0"/>
          <w:bCs/>
          <w:color w:val="auto"/>
          <w:sz w:val="32"/>
          <w:szCs w:val="32"/>
          <w:highlight w:val="none"/>
        </w:rPr>
        <w:t>（类）</w:t>
      </w:r>
      <w:r>
        <w:rPr>
          <w:rFonts w:hint="eastAsia" w:ascii="仿宋_GB2312" w:hAnsi="仿宋_GB2312" w:eastAsia="仿宋_GB2312" w:cs="仿宋_GB2312"/>
          <w:b w:val="0"/>
          <w:bCs/>
          <w:color w:val="auto"/>
          <w:sz w:val="32"/>
          <w:szCs w:val="32"/>
          <w:highlight w:val="none"/>
          <w:lang w:val="en-US" w:eastAsia="zh-CN"/>
        </w:rPr>
        <w:t>11</w:t>
      </w:r>
      <w:r>
        <w:rPr>
          <w:rFonts w:hint="eastAsia" w:ascii="仿宋_GB2312" w:hAnsi="仿宋_GB2312" w:eastAsia="仿宋_GB2312" w:cs="仿宋_GB2312"/>
          <w:b w:val="0"/>
          <w:bCs/>
          <w:color w:val="auto"/>
          <w:sz w:val="32"/>
          <w:szCs w:val="32"/>
          <w:highlight w:val="none"/>
        </w:rPr>
        <w:t>（款）</w:t>
      </w:r>
      <w:r>
        <w:rPr>
          <w:rFonts w:hint="eastAsia" w:ascii="仿宋_GB2312" w:hAnsi="仿宋_GB2312" w:eastAsia="仿宋_GB2312" w:cs="仿宋_GB2312"/>
          <w:b w:val="0"/>
          <w:bCs/>
          <w:color w:val="auto"/>
          <w:sz w:val="32"/>
          <w:szCs w:val="32"/>
          <w:highlight w:val="none"/>
          <w:lang w:val="en-US" w:eastAsia="zh-CN"/>
        </w:rPr>
        <w:t>02</w:t>
      </w:r>
      <w:r>
        <w:rPr>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指卫生健康支出行政事业医疗。</w:t>
      </w:r>
    </w:p>
    <w:p>
      <w:pPr>
        <w:pStyle w:val="27"/>
        <w:spacing w:line="560" w:lineRule="exact"/>
        <w:ind w:firstLine="640" w:firstLineChars="200"/>
        <w:rPr>
          <w:rFonts w:hint="eastAsia" w:ascii="仿宋_GB2312" w:eastAsia="仿宋_GB2312"/>
          <w:b w:val="0"/>
          <w:bCs/>
          <w:color w:val="auto"/>
          <w:sz w:val="32"/>
          <w:szCs w:val="32"/>
          <w:highlight w:val="none"/>
        </w:rPr>
      </w:pPr>
      <w:r>
        <w:rPr>
          <w:rStyle w:val="18"/>
          <w:rFonts w:hint="eastAsia" w:ascii="仿宋_GB2312" w:hAnsi="仿宋_GB2312" w:eastAsia="仿宋_GB2312" w:cs="仿宋_GB2312"/>
          <w:b w:val="0"/>
          <w:bCs/>
          <w:color w:val="000000"/>
          <w:sz w:val="32"/>
          <w:szCs w:val="32"/>
          <w:lang w:val="en-US" w:eastAsia="zh-CN"/>
        </w:rPr>
        <w:t>14.住房保障221（类）02（款）01（项）：指住房保障支出住房公积金。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5" w:name="_Toc15396614"/>
      <w:bookmarkStart w:id="86" w:name="_Toc18786"/>
      <w:bookmarkStart w:id="87" w:name="_Toc15377226"/>
    </w:p>
    <w:p>
      <w:pPr>
        <w:pStyle w:val="27"/>
        <w:spacing w:line="560" w:lineRule="exact"/>
        <w:ind w:firstLine="640" w:firstLineChars="200"/>
        <w:jc w:val="center"/>
        <w:rPr>
          <w:rFonts w:hint="eastAsia" w:ascii="仿宋_GB2312" w:eastAsia="仿宋_GB2312"/>
          <w:color w:val="auto"/>
          <w:sz w:val="32"/>
          <w:szCs w:val="32"/>
          <w:highlight w:val="none"/>
        </w:rPr>
      </w:pPr>
    </w:p>
    <w:p>
      <w:pPr>
        <w:pStyle w:val="27"/>
        <w:spacing w:line="560" w:lineRule="exact"/>
        <w:ind w:firstLine="880" w:firstLineChars="200"/>
        <w:jc w:val="center"/>
        <w:rPr>
          <w:rStyle w:val="29"/>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85"/>
      <w:bookmarkEnd w:id="86"/>
    </w:p>
    <w:p>
      <w:pPr>
        <w:pStyle w:val="5"/>
        <w:outlineLvl w:val="1"/>
        <w:rPr>
          <w:rFonts w:hint="default" w:eastAsia="黑体"/>
          <w:sz w:val="32"/>
          <w:szCs w:val="32"/>
          <w:lang w:val="en-US" w:eastAsia="zh-CN"/>
        </w:rPr>
      </w:pPr>
      <w:bookmarkStart w:id="88" w:name="_Toc32151"/>
      <w:r>
        <w:rPr>
          <w:rStyle w:val="29"/>
          <w:rFonts w:hint="eastAsia" w:ascii="黑体" w:hAnsi="黑体" w:eastAsia="黑体"/>
          <w:b w:val="0"/>
          <w:color w:val="auto"/>
          <w:sz w:val="32"/>
          <w:szCs w:val="32"/>
          <w:highlight w:val="none"/>
          <w:lang w:eastAsia="zh-CN"/>
        </w:rPr>
        <w:t>附件</w:t>
      </w:r>
      <w:r>
        <w:rPr>
          <w:rStyle w:val="29"/>
          <w:rFonts w:hint="eastAsia" w:ascii="黑体" w:hAnsi="黑体" w:eastAsia="黑体"/>
          <w:b w:val="0"/>
          <w:color w:val="auto"/>
          <w:sz w:val="32"/>
          <w:szCs w:val="32"/>
          <w:highlight w:val="none"/>
          <w:lang w:val="en-US" w:eastAsia="zh-CN"/>
        </w:rPr>
        <w:t>1</w:t>
      </w:r>
      <w:bookmarkEnd w:id="88"/>
    </w:p>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4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bookmarkStart w:id="89" w:name="_Toc6278"/>
      <w:r>
        <w:rPr>
          <w:rFonts w:hint="eastAsia" w:ascii="方正小标宋简体" w:hAnsi="方正小标宋简体" w:eastAsia="方正小标宋简体" w:cs="方正小标宋简体"/>
          <w:b w:val="0"/>
          <w:bCs w:val="0"/>
          <w:kern w:val="0"/>
          <w:sz w:val="44"/>
          <w:szCs w:val="44"/>
          <w:lang w:val="en-US" w:eastAsia="zh-CN" w:bidi="ar-SA"/>
        </w:rPr>
        <w:t>2022年度部门整体支出绩效评价报告</w:t>
      </w:r>
      <w:bookmarkEnd w:id="89"/>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90" w:name="_Toc3395"/>
      <w:r>
        <w:rPr>
          <w:rFonts w:hint="eastAsia" w:ascii="黑体" w:hAnsi="宋体" w:eastAsia="黑体" w:cs="宋体"/>
          <w:color w:val="auto"/>
          <w:kern w:val="0"/>
          <w:sz w:val="32"/>
          <w:szCs w:val="32"/>
          <w:highlight w:val="none"/>
          <w:shd w:val="clear" w:color="auto" w:fill="FFFFFF"/>
          <w:lang w:val="zh-CN"/>
        </w:rPr>
        <w:t>部门（单位）基本情况</w:t>
      </w:r>
      <w:bookmarkEnd w:id="90"/>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Chars="200" w:right="0" w:rightChars="0" w:firstLine="320" w:firstLineChars="100"/>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91" w:name="_Toc23010"/>
      <w:r>
        <w:rPr>
          <w:rFonts w:hint="eastAsia" w:ascii="楷体_GB2312" w:hAnsi="楷体_GB2312" w:eastAsia="楷体_GB2312" w:cs="楷体_GB2312"/>
          <w:b w:val="0"/>
          <w:bCs w:val="0"/>
          <w:color w:val="auto"/>
          <w:kern w:val="0"/>
          <w:sz w:val="32"/>
          <w:szCs w:val="32"/>
          <w:highlight w:val="none"/>
          <w:shd w:val="clear" w:color="auto" w:fill="FFFFFF"/>
          <w:lang w:val="zh-CN"/>
        </w:rPr>
        <w:t>（一）机构组成</w:t>
      </w:r>
      <w:bookmarkEnd w:id="91"/>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仿宋_GB2312" w:hAnsi="仿宋_GB2312" w:eastAsia="仿宋_GB2312" w:cs="仿宋_GB2312"/>
          <w:sz w:val="32"/>
          <w:szCs w:val="32"/>
          <w:lang w:eastAsia="zh-CN"/>
        </w:rPr>
        <w:t>区征收拆迁事务中心</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（区事业单位登记服务中心）</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（区征收拆迁事务中心）</w:t>
      </w:r>
      <w:r>
        <w:rPr>
          <w:rFonts w:hint="eastAsia" w:ascii="仿宋_GB2312" w:hAnsi="仿宋_GB2312" w:eastAsia="仿宋_GB2312" w:cs="仿宋_GB2312"/>
          <w:sz w:val="32"/>
          <w:szCs w:val="32"/>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综合股、政策法规股、征收股</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92" w:name="_Toc16686"/>
      <w:r>
        <w:rPr>
          <w:rFonts w:hint="eastAsia" w:ascii="楷体_GB2312" w:hAnsi="楷体_GB2312" w:eastAsia="楷体_GB2312" w:cs="楷体_GB2312"/>
          <w:b w:val="0"/>
          <w:bCs w:val="0"/>
          <w:color w:val="auto"/>
          <w:kern w:val="0"/>
          <w:sz w:val="32"/>
          <w:szCs w:val="32"/>
          <w:highlight w:val="none"/>
          <w:shd w:val="clear" w:color="auto" w:fill="FFFFFF"/>
          <w:lang w:val="zh-CN"/>
        </w:rPr>
        <w:t>机构职能和人员概况</w:t>
      </w:r>
      <w:bookmarkEnd w:id="92"/>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宣传贯彻执行国家、省、市、区关于土地房屋征收拆迁安置的法律、法规及政策，拟定和完善本辖区内有关政策规定；负责本辖区内集体土地、国有土地房屋征收及拆迁补偿安置工作；负责统筹协调兑付土地、房屋征收拆迁安置补偿资金；负责对征收从业人员进行教育培训、做好征收工作信息化建设；负责征收工作中的协调、安全、信访和稳定工作；承办区政府</w:t>
      </w:r>
      <w:r>
        <w:rPr>
          <w:rFonts w:hint="eastAsia"/>
          <w:bCs/>
          <w:color w:val="000000"/>
          <w:sz w:val="32"/>
          <w:szCs w:val="32"/>
        </w:rPr>
        <w:t>交</w:t>
      </w:r>
      <w:r>
        <w:rPr>
          <w:rFonts w:hint="eastAsia" w:ascii="仿宋" w:hAnsi="仿宋" w:eastAsia="仿宋" w:cs="仿宋"/>
          <w:sz w:val="32"/>
          <w:szCs w:val="32"/>
        </w:rPr>
        <w:t>办的其它事项</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人员概况：核定编制</w:t>
      </w:r>
      <w:r>
        <w:rPr>
          <w:rFonts w:hint="eastAsia" w:ascii="仿宋_GB2312" w:hAnsi="仿宋_GB2312" w:eastAsia="仿宋_GB2312" w:cs="仿宋_GB2312"/>
          <w:sz w:val="32"/>
          <w:szCs w:val="32"/>
          <w:lang w:val="en-US" w:eastAsia="zh-CN"/>
        </w:rPr>
        <w:t>10名，其中机关行政编制0名，参公编制0名，机关工勤编制0名，事业编制10人。2022年末，在编人员10人（事业10人），临聘人员7人。</w:t>
      </w:r>
      <w:r>
        <w:rPr>
          <w:rFonts w:hint="eastAsia" w:ascii="仿宋_GB2312" w:hAnsi="仿宋_GB2312" w:eastAsia="仿宋_GB2312" w:cs="仿宋_GB2312"/>
          <w:sz w:val="32"/>
          <w:szCs w:val="32"/>
          <w:lang w:eastAsia="zh-CN"/>
        </w:rPr>
        <w:t>从年龄结构看，</w:t>
      </w:r>
      <w:r>
        <w:rPr>
          <w:rFonts w:hint="eastAsia" w:ascii="仿宋_GB2312" w:hAnsi="仿宋_GB2312" w:eastAsia="仿宋_GB2312" w:cs="仿宋_GB2312"/>
          <w:sz w:val="32"/>
          <w:szCs w:val="32"/>
          <w:lang w:val="en-US" w:eastAsia="zh-CN"/>
        </w:rPr>
        <w:t>50岁以上1人，35岁到50岁10人，35岁以下6人；从学历看，</w:t>
      </w:r>
      <w:r>
        <w:rPr>
          <w:rFonts w:hint="eastAsia" w:ascii="仿宋_GB2312" w:hAnsi="仿宋_GB2312" w:eastAsia="仿宋_GB2312" w:cs="仿宋_GB2312"/>
          <w:sz w:val="32"/>
          <w:szCs w:val="32"/>
          <w:lang w:eastAsia="zh-CN"/>
        </w:rPr>
        <w:t>本科学历</w:t>
      </w:r>
      <w:r>
        <w:rPr>
          <w:rFonts w:hint="eastAsia" w:ascii="仿宋_GB2312" w:hAnsi="仿宋_GB2312" w:eastAsia="仿宋_GB2312" w:cs="仿宋_GB2312"/>
          <w:sz w:val="32"/>
          <w:szCs w:val="32"/>
          <w:lang w:val="en-US" w:eastAsia="zh-CN"/>
        </w:rPr>
        <w:t>4人，大专学历13人。</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420" w:leftChars="200" w:firstLine="320" w:firstLineChars="1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93" w:name="_Toc31422"/>
      <w:r>
        <w:rPr>
          <w:rFonts w:hint="eastAsia" w:ascii="楷体_GB2312" w:hAnsi="楷体_GB2312" w:eastAsia="楷体_GB2312" w:cs="楷体_GB2312"/>
          <w:b w:val="0"/>
          <w:bCs w:val="0"/>
          <w:color w:val="auto"/>
          <w:kern w:val="0"/>
          <w:sz w:val="32"/>
          <w:szCs w:val="32"/>
          <w:highlight w:val="none"/>
          <w:shd w:val="clear" w:color="auto" w:fill="FFFFFF"/>
          <w:lang w:val="zh-CN"/>
        </w:rPr>
        <w:t>年度主要工作任务</w:t>
      </w:r>
      <w:bookmarkEnd w:id="93"/>
    </w:p>
    <w:p>
      <w:pPr>
        <w:numPr>
          <w:ilvl w:val="0"/>
          <w:numId w:val="0"/>
        </w:numPr>
        <w:autoSpaceDE w:val="0"/>
        <w:autoSpaceDN w:val="0"/>
        <w:adjustRightInd w:val="0"/>
        <w:spacing w:line="576"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我中心主要承担区内集体土地房屋和国有土地房屋征收工作，经统计区下各项目标已全面完成。</w:t>
      </w:r>
    </w:p>
    <w:p>
      <w:pPr>
        <w:widowControl/>
        <w:shd w:val="clear" w:color="auto" w:fill="FFFFFF"/>
        <w:spacing w:line="580" w:lineRule="exact"/>
        <w:ind w:firstLine="643" w:firstLineChars="201"/>
        <w:jc w:val="left"/>
        <w:outlineLvl w:val="1"/>
        <w:rPr>
          <w:rFonts w:hint="eastAsia" w:ascii="仿宋_GB2312" w:eastAsia="仿宋_GB2312"/>
          <w:color w:val="auto"/>
          <w:sz w:val="32"/>
          <w:szCs w:val="32"/>
        </w:rPr>
      </w:pPr>
      <w:bookmarkStart w:id="94" w:name="_Toc15071"/>
      <w:r>
        <w:rPr>
          <w:rFonts w:hint="eastAsia" w:ascii="楷体_GB2312" w:hAnsi="黑体" w:eastAsia="楷体_GB2312" w:cs="Times New Roman"/>
          <w:sz w:val="32"/>
          <w:szCs w:val="32"/>
          <w:lang w:val="en-US" w:eastAsia="zh-CN"/>
        </w:rPr>
        <w:t>（1）</w:t>
      </w:r>
      <w:r>
        <w:rPr>
          <w:rFonts w:hint="eastAsia" w:ascii="楷体_GB2312" w:hAnsi="黑体" w:eastAsia="楷体_GB2312" w:cs="Times New Roman"/>
          <w:sz w:val="32"/>
          <w:szCs w:val="32"/>
          <w:lang w:eastAsia="zh-CN"/>
        </w:rPr>
        <w:t>围绕大比武行动，全力保障建设项目用地。</w:t>
      </w:r>
      <w:r>
        <w:rPr>
          <w:rFonts w:hint="eastAsia" w:ascii="方正楷体简体" w:hAnsi="黑体" w:eastAsia="方正楷体简体"/>
          <w:b/>
          <w:color w:val="auto"/>
          <w:sz w:val="32"/>
          <w:szCs w:val="32"/>
        </w:rPr>
        <w:t>一是</w:t>
      </w:r>
      <w:r>
        <w:rPr>
          <w:rFonts w:hint="eastAsia" w:ascii="仿宋_GB2312" w:eastAsia="仿宋_GB2312"/>
          <w:color w:val="auto"/>
          <w:sz w:val="32"/>
          <w:szCs w:val="32"/>
        </w:rPr>
        <w:t>全力推进集体土地征收。加快推进了曾家山原乡（二期）、荣乐国际康养度假区、朝天旅游景区配套基础设施建设PPP、金堆新区、田博园、雪溪路、朝天南出口改扩建、羊木中学前大门、云海居（B区）、曾家汉王后街改造、广元芳地坪二期（罗圈岩）、望远山生态旅游等旅游项目土地征收；稳妥推进省道301线、省道410线、七曾公路、中子超级服务区、G5京昆高速汉中至广元段、望远山景区道路扩宽等交通项目土地征收；全面完成广元综合油料羊木油库、羊木仓储物流、国际石材城D区等工业项目土地征收；及时完成了潜溪河中子段防洪堤、羊木河防洪堤、望远山社区供水工程、云雾山镇供水、曾家山场镇集中供水、三滩河堤李家河段项目等水利水电项目土地征收。</w:t>
      </w:r>
      <w:bookmarkEnd w:id="94"/>
    </w:p>
    <w:p>
      <w:pPr>
        <w:widowControl/>
        <w:shd w:val="clear" w:color="auto" w:fill="FFFFFF"/>
        <w:spacing w:line="580" w:lineRule="exact"/>
        <w:ind w:firstLine="643" w:firstLineChars="201"/>
        <w:jc w:val="left"/>
        <w:outlineLvl w:val="1"/>
        <w:rPr>
          <w:rFonts w:ascii="仿宋_GB2312" w:eastAsia="仿宋_GB2312"/>
          <w:color w:val="auto"/>
          <w:sz w:val="32"/>
          <w:szCs w:val="32"/>
        </w:rPr>
      </w:pPr>
      <w:bookmarkStart w:id="95" w:name="_Toc17017"/>
      <w:r>
        <w:rPr>
          <w:rFonts w:hint="eastAsia" w:ascii="仿宋_GB2312" w:eastAsia="仿宋_GB2312"/>
          <w:color w:val="auto"/>
          <w:sz w:val="32"/>
          <w:szCs w:val="32"/>
        </w:rPr>
        <w:t>经统计,2022年实施集体土地征收项目27宗，征地面积1128.5亩，兑付土地征收安装资金9876.8万元。拆迁房屋90户1.5万平方米，拆迁安置人口73人，流转土地或提供临时用地500.37亩，搬迁坟墓177座，搬迁企业5家。</w:t>
      </w:r>
      <w:bookmarkEnd w:id="95"/>
    </w:p>
    <w:p>
      <w:pPr>
        <w:shd w:val="clear" w:color="auto" w:fill="FFFFFF"/>
        <w:spacing w:beforeAutospacing="0" w:afterAutospacing="0" w:line="580" w:lineRule="exact"/>
        <w:ind w:firstLine="660"/>
        <w:outlineLvl w:val="1"/>
        <w:rPr>
          <w:rFonts w:ascii="楷体_GB2312" w:hAnsi="黑体" w:eastAsia="楷体_GB2312" w:cs="Times New Roman"/>
          <w:sz w:val="32"/>
          <w:szCs w:val="32"/>
          <w:lang w:eastAsia="zh-CN"/>
        </w:rPr>
      </w:pPr>
      <w:bookmarkStart w:id="96" w:name="_Toc26723"/>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2</w:t>
      </w:r>
      <w:r>
        <w:rPr>
          <w:rFonts w:hint="eastAsia" w:ascii="楷体_GB2312" w:hAnsi="黑体" w:eastAsia="楷体_GB2312" w:cs="Times New Roman"/>
          <w:sz w:val="32"/>
          <w:szCs w:val="32"/>
          <w:lang w:eastAsia="zh-CN"/>
        </w:rPr>
        <w:t>）高质量加强党的建设工作。</w:t>
      </w:r>
      <w:r>
        <w:rPr>
          <w:rFonts w:hint="eastAsia" w:ascii="方正楷体简体" w:hAnsi="黑体" w:eastAsia="方正楷体简体" w:cs="Times New Roman"/>
          <w:b/>
          <w:sz w:val="32"/>
          <w:szCs w:val="32"/>
          <w:lang w:eastAsia="zh-CN"/>
        </w:rPr>
        <w:t>一是</w:t>
      </w:r>
      <w:r>
        <w:rPr>
          <w:rFonts w:hint="eastAsia" w:ascii="仿宋_GB2312" w:hAnsi="仿宋" w:eastAsia="仿宋_GB2312"/>
          <w:sz w:val="32"/>
          <w:szCs w:val="32"/>
          <w:lang w:eastAsia="zh-CN"/>
        </w:rPr>
        <w:t>建章立制，领导班子带头贯彻落实意识形态工作的决策部署，组织制定工作方案、贯彻落实意识形态工作责任制责任清单和突发事件和网络舆情应急预案，建立意识形态工作分析研判、提示预警、阵地管理等专项制度和舆情应对处置机制，形成了“一把手”负总责、相关股室密切配合的工作合力,进一步把意识形态工作的责任细化、量化、具体化。</w:t>
      </w:r>
      <w:r>
        <w:rPr>
          <w:rFonts w:hint="eastAsia" w:ascii="方正楷体简体" w:hAnsi="黑体" w:eastAsia="方正楷体简体" w:cs="Times New Roman"/>
          <w:b/>
          <w:sz w:val="32"/>
          <w:szCs w:val="32"/>
          <w:lang w:eastAsia="zh-CN"/>
        </w:rPr>
        <w:t>二是</w:t>
      </w:r>
      <w:r>
        <w:rPr>
          <w:rFonts w:hint="eastAsia" w:ascii="仿宋_GB2312" w:hAnsi="仿宋" w:eastAsia="仿宋_GB2312"/>
          <w:sz w:val="32"/>
          <w:szCs w:val="32"/>
          <w:lang w:eastAsia="zh-CN"/>
        </w:rPr>
        <w:t>持续开展干部纪律作风整顿回头看，切实强化党风廉政建设，年初制定党风廉政工作要点，始终坚持党要管党、从严治党的方针，把落实中央“八项规定”作为重中之重，抓紧抓实，以高质量机关党建引领高质量发展，促进我中心党风廉政建设和反腐败工作有序开展。</w:t>
      </w:r>
      <w:bookmarkEnd w:id="96"/>
    </w:p>
    <w:p>
      <w:pPr>
        <w:shd w:val="clear" w:color="auto" w:fill="FFFFFF"/>
        <w:spacing w:beforeAutospacing="0" w:afterAutospacing="0" w:line="580" w:lineRule="exact"/>
        <w:ind w:firstLine="660"/>
        <w:outlineLvl w:val="1"/>
        <w:rPr>
          <w:rFonts w:ascii="仿宋_GB2312" w:hAnsi="仿宋" w:eastAsia="仿宋_GB2312"/>
          <w:sz w:val="32"/>
          <w:szCs w:val="32"/>
          <w:lang w:eastAsia="zh-CN"/>
        </w:rPr>
      </w:pPr>
      <w:bookmarkStart w:id="97" w:name="_Toc17006"/>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3</w:t>
      </w:r>
      <w:r>
        <w:rPr>
          <w:rFonts w:hint="eastAsia" w:ascii="楷体_GB2312" w:hAnsi="黑体" w:eastAsia="楷体_GB2312" w:cs="Times New Roman"/>
          <w:sz w:val="32"/>
          <w:szCs w:val="32"/>
          <w:lang w:eastAsia="zh-CN"/>
        </w:rPr>
        <w:t>）全面抓好疫情防控任务。</w:t>
      </w:r>
      <w:r>
        <w:rPr>
          <w:rFonts w:hint="eastAsia" w:ascii="方正楷体简体" w:hAnsi="黑体" w:eastAsia="方正楷体简体" w:cs="Times New Roman"/>
          <w:b/>
          <w:sz w:val="32"/>
          <w:szCs w:val="32"/>
          <w:lang w:eastAsia="zh-CN"/>
        </w:rPr>
        <w:t>一是</w:t>
      </w:r>
      <w:r>
        <w:rPr>
          <w:rFonts w:hint="eastAsia" w:ascii="仿宋_GB2312" w:hAnsi="仿宋" w:eastAsia="仿宋_GB2312"/>
          <w:sz w:val="32"/>
          <w:szCs w:val="32"/>
          <w:lang w:eastAsia="zh-CN"/>
        </w:rPr>
        <w:t>认真落实疫情期间值班值守、防护物资储备和消杀灭等工作，建立了每人去向台账制管理，按要求上报干部离市、离区情况，要求外出返回干部迅速按要求做好疫情防控工作。组建疫情防控志愿服务队，深入小区、防疫点位、商业重点场所协助开展疫情防控宣传、登记排查、情况跟踪等工作。</w:t>
      </w:r>
      <w:r>
        <w:rPr>
          <w:rFonts w:hint="eastAsia" w:ascii="方正楷体简体" w:hAnsi="黑体" w:eastAsia="方正楷体简体" w:cs="Times New Roman"/>
          <w:b/>
          <w:sz w:val="32"/>
          <w:szCs w:val="32"/>
          <w:lang w:eastAsia="zh-CN"/>
        </w:rPr>
        <w:t>二是</w:t>
      </w:r>
      <w:r>
        <w:rPr>
          <w:rFonts w:hint="eastAsia" w:ascii="仿宋_GB2312" w:hAnsi="仿宋" w:eastAsia="仿宋_GB2312"/>
          <w:sz w:val="32"/>
          <w:szCs w:val="32"/>
          <w:lang w:eastAsia="zh-CN"/>
        </w:rPr>
        <w:t>坚持“健康码、行程卡”双码联查、扫场所码、测量体温、规范佩戴口罩、一米间距、环境消杀等常态化防控措施，加大宣传教育力度，组织干部到帮扶村、联系项目开展常规疫情防控工作宣传。</w:t>
      </w:r>
      <w:bookmarkEnd w:id="97"/>
    </w:p>
    <w:p>
      <w:pPr>
        <w:spacing w:beforeAutospacing="0" w:afterAutospacing="0" w:line="576" w:lineRule="exact"/>
        <w:ind w:firstLine="627" w:firstLineChars="196"/>
        <w:rPr>
          <w:rFonts w:ascii="仿宋_GB2312" w:hAnsi="仿宋" w:eastAsia="仿宋_GB2312"/>
          <w:sz w:val="32"/>
          <w:szCs w:val="32"/>
          <w:lang w:eastAsia="zh-CN"/>
        </w:rPr>
      </w:pPr>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4</w:t>
      </w:r>
      <w:r>
        <w:rPr>
          <w:rFonts w:hint="eastAsia" w:ascii="楷体_GB2312" w:hAnsi="黑体" w:eastAsia="楷体_GB2312" w:cs="Times New Roman"/>
          <w:sz w:val="32"/>
          <w:szCs w:val="32"/>
          <w:lang w:eastAsia="zh-CN"/>
        </w:rPr>
        <w:t>）切实做好脱贫攻坚与乡村振兴有效衔接工作。</w:t>
      </w:r>
      <w:r>
        <w:rPr>
          <w:rFonts w:hint="eastAsia" w:ascii="方正楷体简体" w:hAnsi="黑体" w:eastAsia="方正楷体简体" w:cs="Times New Roman"/>
          <w:b/>
          <w:sz w:val="32"/>
          <w:szCs w:val="32"/>
          <w:lang w:eastAsia="zh-CN"/>
        </w:rPr>
        <w:t>一是</w:t>
      </w:r>
      <w:r>
        <w:rPr>
          <w:rFonts w:hint="eastAsia" w:ascii="仿宋_GB2312" w:hAnsi="仿宋" w:eastAsia="仿宋_GB2312"/>
          <w:sz w:val="32"/>
          <w:szCs w:val="32"/>
          <w:lang w:eastAsia="zh-CN"/>
        </w:rPr>
        <w:t>精准聚焦“两个稳定”“两个确保”目标和贫困户脱贫“两不愁、三保障”“一超六有”，切实做好困难群众脱贫不返贫。</w:t>
      </w:r>
      <w:r>
        <w:rPr>
          <w:rFonts w:hint="eastAsia" w:ascii="方正楷体简体" w:hAnsi="黑体" w:eastAsia="方正楷体简体" w:cs="Times New Roman"/>
          <w:b/>
          <w:sz w:val="32"/>
          <w:szCs w:val="32"/>
          <w:lang w:eastAsia="zh-CN"/>
        </w:rPr>
        <w:t>二是</w:t>
      </w:r>
      <w:r>
        <w:rPr>
          <w:rFonts w:hint="eastAsia" w:ascii="仿宋_GB2312" w:hAnsi="仿宋" w:eastAsia="仿宋_GB2312"/>
          <w:sz w:val="32"/>
          <w:szCs w:val="32"/>
          <w:lang w:eastAsia="zh-CN"/>
        </w:rPr>
        <w:t>持续加大发展扶持力度，增加贫困户收入，巩固脱贫成果。</w:t>
      </w:r>
      <w:r>
        <w:rPr>
          <w:rFonts w:hint="eastAsia" w:ascii="方正楷体简体" w:hAnsi="黑体" w:eastAsia="方正楷体简体" w:cs="Times New Roman"/>
          <w:b/>
          <w:sz w:val="32"/>
          <w:szCs w:val="32"/>
          <w:lang w:eastAsia="zh-CN"/>
        </w:rPr>
        <w:t>三是</w:t>
      </w:r>
      <w:r>
        <w:rPr>
          <w:rFonts w:hint="eastAsia" w:ascii="仿宋_GB2312" w:hAnsi="仿宋" w:eastAsia="仿宋_GB2312"/>
          <w:sz w:val="32"/>
          <w:szCs w:val="32"/>
          <w:lang w:eastAsia="zh-CN"/>
        </w:rPr>
        <w:t>按照“四不摘”要求，扎实开展驻村帮扶工作。</w:t>
      </w:r>
      <w:r>
        <w:rPr>
          <w:rFonts w:hint="eastAsia" w:ascii="方正楷体简体" w:hAnsi="黑体" w:eastAsia="方正楷体简体" w:cs="Times New Roman"/>
          <w:b/>
          <w:sz w:val="32"/>
          <w:szCs w:val="32"/>
          <w:lang w:eastAsia="zh-CN"/>
        </w:rPr>
        <w:t>四是</w:t>
      </w:r>
      <w:r>
        <w:rPr>
          <w:rFonts w:hint="eastAsia" w:ascii="仿宋_GB2312" w:hAnsi="仿宋" w:eastAsia="仿宋_GB2312"/>
          <w:sz w:val="32"/>
          <w:szCs w:val="32"/>
          <w:lang w:eastAsia="zh-CN"/>
        </w:rPr>
        <w:t>对易返贫致贫人口要加强监测，做到早发现、早干预、早帮扶。</w:t>
      </w:r>
    </w:p>
    <w:p>
      <w:pPr>
        <w:shd w:val="clear" w:color="auto" w:fill="FFFFFF"/>
        <w:spacing w:beforeAutospacing="0" w:afterAutospacing="0" w:line="580" w:lineRule="exact"/>
        <w:ind w:firstLine="660"/>
        <w:outlineLvl w:val="1"/>
        <w:rPr>
          <w:rFonts w:ascii="仿宋_GB2312" w:hAnsi="仿宋" w:eastAsia="仿宋_GB2312"/>
          <w:sz w:val="32"/>
          <w:szCs w:val="32"/>
          <w:lang w:eastAsia="zh-CN"/>
        </w:rPr>
      </w:pPr>
      <w:bookmarkStart w:id="98" w:name="_Toc2851"/>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5</w:t>
      </w:r>
      <w:r>
        <w:rPr>
          <w:rFonts w:hint="eastAsia" w:ascii="楷体_GB2312" w:hAnsi="黑体" w:eastAsia="楷体_GB2312" w:cs="Times New Roman"/>
          <w:sz w:val="32"/>
          <w:szCs w:val="32"/>
          <w:lang w:eastAsia="zh-CN"/>
        </w:rPr>
        <w:t>）持续抓好安全生产及综治维稳工作。</w:t>
      </w:r>
      <w:r>
        <w:rPr>
          <w:rFonts w:hint="eastAsia" w:ascii="方正楷体简体" w:hAnsi="黑体" w:eastAsia="方正楷体简体" w:cs="Times New Roman"/>
          <w:b/>
          <w:sz w:val="32"/>
          <w:szCs w:val="32"/>
          <w:lang w:eastAsia="zh-CN"/>
        </w:rPr>
        <w:t>一是</w:t>
      </w:r>
      <w:r>
        <w:rPr>
          <w:rFonts w:hint="eastAsia" w:ascii="仿宋_GB2312" w:hAnsi="仿宋" w:eastAsia="仿宋_GB2312"/>
          <w:sz w:val="32"/>
          <w:szCs w:val="32"/>
          <w:lang w:eastAsia="zh-CN"/>
        </w:rPr>
        <w:t>加强矛盾纠纷排查，发现可能影响社会稳定尤其是可能引发群体性事件的苗头性、倾向性问题，及时采取措施加以解决，筑牢维护社会稳定的第一道防线。</w:t>
      </w:r>
      <w:r>
        <w:rPr>
          <w:rFonts w:hint="eastAsia" w:ascii="方正楷体简体" w:hAnsi="黑体" w:eastAsia="方正楷体简体" w:cs="Times New Roman"/>
          <w:b/>
          <w:sz w:val="32"/>
          <w:szCs w:val="32"/>
          <w:lang w:eastAsia="zh-CN"/>
        </w:rPr>
        <w:t>二是</w:t>
      </w:r>
      <w:r>
        <w:rPr>
          <w:rFonts w:hint="eastAsia" w:ascii="仿宋_GB2312" w:hAnsi="仿宋" w:eastAsia="仿宋_GB2312"/>
          <w:sz w:val="32"/>
          <w:szCs w:val="32"/>
          <w:lang w:eastAsia="zh-CN"/>
        </w:rPr>
        <w:t>以解决群众信访问题为核心，不断加强基层信访工作，激发群众参与征拆项目建设的热情和意识。</w:t>
      </w:r>
      <w:r>
        <w:rPr>
          <w:rFonts w:hint="eastAsia" w:ascii="方正楷体简体" w:hAnsi="黑体" w:eastAsia="方正楷体简体" w:cs="Times New Roman"/>
          <w:b/>
          <w:sz w:val="32"/>
          <w:szCs w:val="32"/>
          <w:lang w:eastAsia="zh-CN"/>
        </w:rPr>
        <w:t>三是</w:t>
      </w:r>
      <w:r>
        <w:rPr>
          <w:rFonts w:hint="eastAsia" w:ascii="仿宋_GB2312" w:hAnsi="仿宋" w:eastAsia="仿宋_GB2312"/>
          <w:sz w:val="32"/>
          <w:szCs w:val="32"/>
          <w:lang w:eastAsia="zh-CN"/>
        </w:rPr>
        <w:t>认真梳理，进一步理清我单位在征拆工程中所担负的安全生产监管职责，确保正确履职。</w:t>
      </w:r>
      <w:bookmarkEnd w:id="98"/>
    </w:p>
    <w:p>
      <w:pPr>
        <w:shd w:val="clear" w:color="auto" w:fill="FFFFFF"/>
        <w:spacing w:beforeAutospacing="0" w:afterAutospacing="0" w:line="580" w:lineRule="exact"/>
        <w:ind w:firstLine="660"/>
        <w:outlineLvl w:val="1"/>
        <w:rPr>
          <w:rFonts w:ascii="仿宋_GB2312" w:hAnsi="仿宋" w:eastAsia="仿宋_GB2312"/>
          <w:sz w:val="32"/>
          <w:szCs w:val="32"/>
          <w:lang w:eastAsia="zh-CN"/>
        </w:rPr>
      </w:pPr>
      <w:bookmarkStart w:id="99" w:name="_Toc15861"/>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6</w:t>
      </w:r>
      <w:r>
        <w:rPr>
          <w:rFonts w:hint="eastAsia" w:ascii="楷体_GB2312" w:hAnsi="黑体" w:eastAsia="楷体_GB2312" w:cs="Times New Roman"/>
          <w:sz w:val="32"/>
          <w:szCs w:val="32"/>
          <w:lang w:eastAsia="zh-CN"/>
        </w:rPr>
        <w:t>）创新开展创文工作。</w:t>
      </w:r>
      <w:r>
        <w:rPr>
          <w:rFonts w:hint="eastAsia" w:ascii="方正楷体简体" w:hAnsi="黑体" w:eastAsia="方正楷体简体" w:cs="Times New Roman"/>
          <w:b/>
          <w:sz w:val="32"/>
          <w:szCs w:val="32"/>
          <w:lang w:eastAsia="zh-CN"/>
        </w:rPr>
        <w:t>一是</w:t>
      </w:r>
      <w:r>
        <w:rPr>
          <w:rFonts w:hint="eastAsia" w:ascii="仿宋_GB2312" w:hAnsi="仿宋" w:eastAsia="仿宋_GB2312"/>
          <w:sz w:val="32"/>
          <w:szCs w:val="32"/>
          <w:lang w:eastAsia="zh-CN"/>
        </w:rPr>
        <w:t>强化组织领导，压紧压实责任，成立了创建全国文明城市工作领导小组，把创文工作摆上重要议事日程。</w:t>
      </w:r>
      <w:r>
        <w:rPr>
          <w:rFonts w:hint="eastAsia" w:ascii="方正楷体简体" w:hAnsi="黑体" w:eastAsia="方正楷体简体" w:cs="Times New Roman"/>
          <w:b/>
          <w:sz w:val="32"/>
          <w:szCs w:val="32"/>
          <w:lang w:eastAsia="zh-CN"/>
        </w:rPr>
        <w:t>二是</w:t>
      </w:r>
      <w:r>
        <w:rPr>
          <w:rFonts w:hint="eastAsia" w:ascii="仿宋_GB2312" w:hAnsi="仿宋" w:eastAsia="仿宋_GB2312"/>
          <w:sz w:val="32"/>
          <w:szCs w:val="32"/>
          <w:lang w:eastAsia="zh-CN"/>
        </w:rPr>
        <w:t>强化宣传引导，营造良好创文氛围。广泛发动全体干部职工，利用微信群、朋友圈等网络载体转发创建文明城市应知应会、文明餐桌、文明出行等创文知识及各类创文活动。</w:t>
      </w:r>
      <w:r>
        <w:rPr>
          <w:rFonts w:hint="eastAsia" w:ascii="方正楷体简体" w:hAnsi="黑体" w:eastAsia="方正楷体简体" w:cs="Times New Roman"/>
          <w:b/>
          <w:sz w:val="32"/>
          <w:szCs w:val="32"/>
          <w:lang w:eastAsia="zh-CN"/>
        </w:rPr>
        <w:t>三是</w:t>
      </w:r>
      <w:r>
        <w:rPr>
          <w:rFonts w:hint="eastAsia" w:ascii="仿宋_GB2312" w:hAnsi="仿宋" w:eastAsia="仿宋_GB2312"/>
          <w:sz w:val="32"/>
          <w:szCs w:val="32"/>
          <w:lang w:eastAsia="zh-CN"/>
        </w:rPr>
        <w:t>大力开展志愿者服务活动。广泛动员干部职工、精心设计宣传载体、营造舆论氛围，积极开展形式多样、内容丰富的志愿者服务活动。截至目前，累计出动志愿者200余人次，深入包联共建区域开展新冠肺炎防控、文明行为习惯劝导、卫生环境整治、清理小广告、创文知识宣传等志愿者服务活动，发放各类宣传资料1200余份。</w:t>
      </w:r>
      <w:bookmarkEnd w:id="99"/>
    </w:p>
    <w:p>
      <w:pPr>
        <w:widowControl/>
        <w:shd w:val="clear" w:color="auto" w:fill="FFFFFF"/>
        <w:spacing w:line="580" w:lineRule="exact"/>
        <w:ind w:firstLine="660"/>
        <w:jc w:val="left"/>
        <w:outlineLvl w:val="1"/>
        <w:rPr>
          <w:rFonts w:hint="default" w:ascii="仿宋_GB2312" w:hAnsi="仿宋" w:eastAsia="仿宋_GB2312"/>
          <w:color w:val="auto"/>
          <w:sz w:val="32"/>
          <w:szCs w:val="32"/>
          <w:lang w:val="en-US" w:eastAsia="zh-CN"/>
        </w:rPr>
      </w:pPr>
      <w:bookmarkStart w:id="100" w:name="_Toc2656"/>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7</w:t>
      </w:r>
      <w:r>
        <w:rPr>
          <w:rFonts w:hint="eastAsia" w:ascii="楷体_GB2312" w:hAnsi="黑体" w:eastAsia="楷体_GB2312" w:cs="Times New Roman"/>
          <w:sz w:val="32"/>
          <w:szCs w:val="32"/>
          <w:lang w:eastAsia="zh-CN"/>
        </w:rPr>
        <w:t>）意识形态工作落实情况。</w:t>
      </w:r>
      <w:r>
        <w:rPr>
          <w:rFonts w:hint="eastAsia" w:ascii="方正楷体简体" w:hAnsi="黑体" w:eastAsia="方正楷体简体" w:cs="Times New Roman"/>
          <w:b/>
          <w:sz w:val="32"/>
          <w:szCs w:val="32"/>
          <w:lang w:eastAsia="zh-CN"/>
        </w:rPr>
        <w:t>一是</w:t>
      </w:r>
      <w:r>
        <w:rPr>
          <w:rFonts w:hint="eastAsia" w:ascii="仿宋_GB2312" w:hAnsi="仿宋" w:eastAsia="仿宋_GB2312"/>
          <w:sz w:val="32"/>
          <w:szCs w:val="32"/>
          <w:lang w:eastAsia="zh-CN"/>
        </w:rPr>
        <w:t>深入学习领会党的二十大精神、习近平新时代中国特色社会主义思想、习近平总书记来川视察重要指示精神和省第十二次党代会精神，引导广大党员干部群众忠诚拥护“两个确立”，不断增强“四个意识”, 坚定“四个自信”, 坚决做到“两个维护”, 筑牢信仰之基、补足精神之钙、把稳思想之舵。</w:t>
      </w:r>
      <w:r>
        <w:rPr>
          <w:rFonts w:hint="eastAsia" w:ascii="方正楷体简体" w:hAnsi="黑体" w:eastAsia="方正楷体简体" w:cs="Times New Roman"/>
          <w:b/>
          <w:sz w:val="32"/>
          <w:szCs w:val="32"/>
          <w:lang w:eastAsia="zh-CN"/>
        </w:rPr>
        <w:t>二是</w:t>
      </w:r>
      <w:r>
        <w:rPr>
          <w:rFonts w:hint="eastAsia" w:ascii="仿宋_GB2312" w:hAnsi="仿宋" w:eastAsia="仿宋_GB2312"/>
          <w:sz w:val="32"/>
          <w:szCs w:val="32"/>
          <w:lang w:eastAsia="zh-CN"/>
        </w:rPr>
        <w:t>强化载体，占领舆论阵地。确保楼道宣传栏、LED大屏等意识形态阵地内容及时更新，始终坚持正确方向和导向，弘扬主旋律，传播正能量。</w:t>
      </w:r>
      <w:r>
        <w:rPr>
          <w:rFonts w:hint="eastAsia" w:ascii="方正楷体简体" w:hAnsi="黑体" w:eastAsia="方正楷体简体" w:cs="Times New Roman"/>
          <w:b/>
          <w:sz w:val="32"/>
          <w:szCs w:val="32"/>
          <w:lang w:eastAsia="zh-CN"/>
        </w:rPr>
        <w:t>三是</w:t>
      </w:r>
      <w:r>
        <w:rPr>
          <w:rFonts w:hint="eastAsia" w:ascii="仿宋_GB2312" w:hAnsi="仿宋" w:eastAsia="仿宋_GB2312"/>
          <w:sz w:val="32"/>
          <w:szCs w:val="32"/>
          <w:lang w:eastAsia="zh-CN"/>
        </w:rPr>
        <w:t>进行疫情知识宣传和监督引导。深入责任网格区开展疫情防控常态化工作，督促网格区内农户落实落细各项防控措施。对照网格化管控的责任清单，对各项工作进行不间断监督检查，找问题、指不足、补短板，有效提升管理水平。</w:t>
      </w:r>
      <w:bookmarkEnd w:id="10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01" w:name="_Toc4968"/>
      <w:r>
        <w:rPr>
          <w:rFonts w:hint="eastAsia" w:ascii="楷体_GB2312" w:hAnsi="楷体_GB2312" w:eastAsia="楷体_GB2312" w:cs="楷体_GB2312"/>
          <w:b w:val="0"/>
          <w:bCs w:val="0"/>
          <w:color w:val="auto"/>
          <w:kern w:val="0"/>
          <w:sz w:val="32"/>
          <w:szCs w:val="32"/>
          <w:highlight w:val="none"/>
          <w:shd w:val="clear" w:color="auto" w:fill="FFFFFF"/>
          <w:lang w:val="zh-CN"/>
        </w:rPr>
        <w:t>（四）部门整体支出绩效目标</w:t>
      </w:r>
      <w:bookmarkEnd w:id="101"/>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rPr>
        <w:t>20</w:t>
      </w:r>
      <w:r>
        <w:rPr>
          <w:rFonts w:hint="eastAsia" w:ascii="仿宋_GB2312" w:hAnsi="仿宋_GB2312" w:eastAsia="仿宋_GB2312" w:cs="仿宋_GB2312"/>
          <w:snapToGrid w:val="0"/>
          <w:spacing w:val="0"/>
          <w:kern w:val="0"/>
          <w:sz w:val="32"/>
          <w:szCs w:val="32"/>
          <w:lang w:val="en-US" w:eastAsia="zh-CN"/>
        </w:rPr>
        <w:t>22</w:t>
      </w:r>
      <w:r>
        <w:rPr>
          <w:rFonts w:hint="eastAsia" w:ascii="仿宋_GB2312" w:hAnsi="仿宋_GB2312" w:eastAsia="仿宋_GB2312" w:cs="仿宋_GB2312"/>
          <w:snapToGrid w:val="0"/>
          <w:spacing w:val="0"/>
          <w:kern w:val="0"/>
          <w:sz w:val="32"/>
          <w:szCs w:val="32"/>
        </w:rPr>
        <w:t>年预算严格按照财政要求，</w:t>
      </w:r>
      <w:r>
        <w:rPr>
          <w:rFonts w:hint="eastAsia" w:ascii="仿宋_GB2312" w:hAnsi="仿宋_GB2312" w:eastAsia="仿宋_GB2312" w:cs="仿宋_GB2312"/>
          <w:snapToGrid w:val="0"/>
          <w:spacing w:val="0"/>
          <w:kern w:val="0"/>
          <w:sz w:val="32"/>
          <w:szCs w:val="32"/>
          <w:lang w:eastAsia="zh-CN"/>
        </w:rPr>
        <w:t>结合</w:t>
      </w:r>
      <w:r>
        <w:rPr>
          <w:rFonts w:hint="eastAsia" w:ascii="仿宋_GB2312" w:hAnsi="仿宋_GB2312" w:eastAsia="仿宋_GB2312" w:cs="仿宋_GB2312"/>
          <w:snapToGrid w:val="0"/>
          <w:spacing w:val="0"/>
          <w:kern w:val="0"/>
          <w:sz w:val="32"/>
          <w:szCs w:val="32"/>
        </w:rPr>
        <w:t>单位实际，在规定的时间内完成了编制工作。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部门基本支出预算</w:t>
      </w:r>
      <w:r>
        <w:rPr>
          <w:rFonts w:hint="eastAsia" w:ascii="仿宋_GB2312" w:hAnsi="仿宋_GB2312" w:eastAsia="仿宋_GB2312" w:cs="仿宋_GB2312"/>
          <w:snapToGrid w:val="0"/>
          <w:spacing w:val="0"/>
          <w:kern w:val="0"/>
          <w:sz w:val="32"/>
          <w:szCs w:val="32"/>
          <w:lang w:val="en-US" w:eastAsia="zh-CN"/>
        </w:rPr>
        <w:t>166.02</w:t>
      </w:r>
      <w:r>
        <w:rPr>
          <w:rFonts w:hint="eastAsia" w:ascii="仿宋_GB2312" w:hAnsi="仿宋_GB2312" w:eastAsia="仿宋_GB2312" w:cs="仿宋_GB2312"/>
          <w:snapToGrid w:val="0"/>
          <w:spacing w:val="0"/>
          <w:kern w:val="0"/>
          <w:sz w:val="32"/>
          <w:szCs w:val="32"/>
        </w:rPr>
        <w:t>万元。其中：人员</w:t>
      </w:r>
      <w:r>
        <w:rPr>
          <w:rFonts w:hint="eastAsia" w:ascii="仿宋_GB2312" w:hAnsi="仿宋_GB2312" w:eastAsia="仿宋_GB2312" w:cs="仿宋_GB2312"/>
          <w:snapToGrid w:val="0"/>
          <w:spacing w:val="0"/>
          <w:kern w:val="0"/>
          <w:sz w:val="32"/>
          <w:szCs w:val="32"/>
          <w:lang w:val="en-US" w:eastAsia="zh-CN"/>
        </w:rPr>
        <w:t>类</w:t>
      </w:r>
      <w:r>
        <w:rPr>
          <w:rFonts w:hint="eastAsia" w:ascii="仿宋_GB2312" w:hAnsi="仿宋_GB2312" w:eastAsia="仿宋_GB2312" w:cs="仿宋_GB2312"/>
          <w:snapToGrid w:val="0"/>
          <w:spacing w:val="0"/>
          <w:kern w:val="0"/>
          <w:sz w:val="32"/>
          <w:szCs w:val="32"/>
        </w:rPr>
        <w:t>支出</w:t>
      </w:r>
      <w:r>
        <w:rPr>
          <w:rFonts w:hint="eastAsia" w:ascii="仿宋_GB2312" w:hAnsi="仿宋_GB2312" w:eastAsia="仿宋_GB2312" w:cs="仿宋_GB2312"/>
          <w:snapToGrid w:val="0"/>
          <w:spacing w:val="0"/>
          <w:kern w:val="0"/>
          <w:sz w:val="32"/>
          <w:szCs w:val="32"/>
          <w:lang w:val="en-US" w:eastAsia="zh-CN"/>
        </w:rPr>
        <w:t>159.13</w:t>
      </w:r>
      <w:r>
        <w:rPr>
          <w:rFonts w:hint="eastAsia" w:ascii="仿宋_GB2312" w:hAnsi="仿宋_GB2312" w:eastAsia="仿宋_GB2312" w:cs="仿宋_GB2312"/>
          <w:snapToGrid w:val="0"/>
          <w:spacing w:val="0"/>
          <w:kern w:val="0"/>
          <w:sz w:val="32"/>
          <w:szCs w:val="32"/>
        </w:rPr>
        <w:t>万元，主要包括</w:t>
      </w:r>
      <w:r>
        <w:rPr>
          <w:rFonts w:hint="eastAsia" w:ascii="仿宋_GB2312" w:hAnsi="仿宋_GB2312" w:eastAsia="仿宋_GB2312" w:cs="仿宋_GB2312"/>
          <w:snapToGrid w:val="0"/>
          <w:spacing w:val="0"/>
          <w:kern w:val="0"/>
          <w:sz w:val="32"/>
          <w:szCs w:val="32"/>
          <w:lang w:val="en-US" w:eastAsia="zh-CN"/>
        </w:rPr>
        <w:t>17名单位职工</w:t>
      </w:r>
      <w:r>
        <w:rPr>
          <w:rFonts w:hint="eastAsia" w:ascii="仿宋_GB2312" w:hAnsi="仿宋_GB2312" w:eastAsia="仿宋_GB2312" w:cs="仿宋_GB2312"/>
          <w:snapToGrid w:val="0"/>
          <w:spacing w:val="0"/>
          <w:kern w:val="0"/>
          <w:sz w:val="32"/>
          <w:szCs w:val="32"/>
        </w:rPr>
        <w:t>人员工资、津贴补贴、奖金、</w:t>
      </w:r>
      <w:r>
        <w:rPr>
          <w:rFonts w:hint="eastAsia" w:ascii="仿宋_GB2312" w:hAnsi="仿宋_GB2312" w:eastAsia="仿宋_GB2312" w:cs="仿宋_GB2312"/>
          <w:snapToGrid w:val="0"/>
          <w:spacing w:val="0"/>
          <w:kern w:val="0"/>
          <w:sz w:val="32"/>
          <w:szCs w:val="32"/>
          <w:lang w:eastAsia="zh-CN"/>
        </w:rPr>
        <w:t>各类保险费用缴费、公积金缴费及公务交通补贴</w:t>
      </w:r>
      <w:r>
        <w:rPr>
          <w:rFonts w:hint="eastAsia" w:ascii="仿宋_GB2312" w:hAnsi="仿宋_GB2312" w:eastAsia="仿宋_GB2312" w:cs="仿宋_GB2312"/>
          <w:snapToGrid w:val="0"/>
          <w:spacing w:val="0"/>
          <w:kern w:val="0"/>
          <w:sz w:val="32"/>
          <w:szCs w:val="32"/>
        </w:rPr>
        <w:t>等。公用</w:t>
      </w:r>
      <w:r>
        <w:rPr>
          <w:rFonts w:hint="eastAsia" w:ascii="仿宋_GB2312" w:hAnsi="仿宋_GB2312" w:eastAsia="仿宋_GB2312" w:cs="仿宋_GB2312"/>
          <w:snapToGrid w:val="0"/>
          <w:spacing w:val="0"/>
          <w:kern w:val="0"/>
          <w:sz w:val="32"/>
          <w:szCs w:val="32"/>
          <w:lang w:eastAsia="zh-CN"/>
        </w:rPr>
        <w:t>经费</w:t>
      </w:r>
      <w:r>
        <w:rPr>
          <w:rFonts w:hint="eastAsia" w:ascii="仿宋_GB2312" w:hAnsi="仿宋_GB2312" w:eastAsia="仿宋_GB2312" w:cs="仿宋_GB2312"/>
          <w:snapToGrid w:val="0"/>
          <w:spacing w:val="0"/>
          <w:kern w:val="0"/>
          <w:sz w:val="32"/>
          <w:szCs w:val="32"/>
        </w:rPr>
        <w:t>支出</w:t>
      </w:r>
      <w:r>
        <w:rPr>
          <w:rFonts w:hint="eastAsia" w:ascii="仿宋_GB2312" w:hAnsi="仿宋_GB2312" w:eastAsia="仿宋_GB2312" w:cs="仿宋_GB2312"/>
          <w:snapToGrid w:val="0"/>
          <w:spacing w:val="0"/>
          <w:kern w:val="0"/>
          <w:sz w:val="32"/>
          <w:szCs w:val="32"/>
          <w:lang w:val="en-US" w:eastAsia="zh-CN"/>
        </w:rPr>
        <w:t>6.89</w:t>
      </w:r>
      <w:r>
        <w:rPr>
          <w:rFonts w:hint="eastAsia" w:ascii="仿宋_GB2312" w:hAnsi="仿宋_GB2312" w:eastAsia="仿宋_GB2312" w:cs="仿宋_GB2312"/>
          <w:snapToGrid w:val="0"/>
          <w:spacing w:val="0"/>
          <w:kern w:val="0"/>
          <w:sz w:val="32"/>
          <w:szCs w:val="32"/>
        </w:rPr>
        <w:t>万元，主要包括</w:t>
      </w:r>
      <w:r>
        <w:rPr>
          <w:rFonts w:hint="eastAsia" w:ascii="仿宋_GB2312" w:hAnsi="仿宋_GB2312" w:eastAsia="仿宋_GB2312" w:cs="仿宋_GB2312"/>
          <w:snapToGrid w:val="0"/>
          <w:spacing w:val="0"/>
          <w:kern w:val="0"/>
          <w:sz w:val="32"/>
          <w:szCs w:val="32"/>
          <w:lang w:val="en-US" w:eastAsia="zh-CN"/>
        </w:rPr>
        <w:t>17名职工</w:t>
      </w:r>
      <w:r>
        <w:rPr>
          <w:rFonts w:hint="eastAsia" w:ascii="仿宋_GB2312" w:hAnsi="仿宋_GB2312" w:eastAsia="仿宋_GB2312" w:cs="仿宋_GB2312"/>
          <w:snapToGrid w:val="0"/>
          <w:spacing w:val="0"/>
          <w:kern w:val="0"/>
          <w:sz w:val="32"/>
          <w:szCs w:val="32"/>
        </w:rPr>
        <w:t>日常办公用品采购、水、电、气、差旅费、印刷、公务接待</w:t>
      </w:r>
      <w:r>
        <w:rPr>
          <w:rFonts w:hint="eastAsia" w:ascii="仿宋_GB2312" w:hAnsi="仿宋_GB2312" w:eastAsia="仿宋_GB2312" w:cs="仿宋_GB2312"/>
          <w:snapToGrid w:val="0"/>
          <w:spacing w:val="0"/>
          <w:kern w:val="0"/>
          <w:sz w:val="32"/>
          <w:szCs w:val="32"/>
          <w:lang w:eastAsia="zh-CN"/>
        </w:rPr>
        <w:t>、办公耗材等。</w:t>
      </w:r>
      <w:r>
        <w:rPr>
          <w:rFonts w:hint="eastAsia" w:ascii="仿宋_GB2312" w:hAnsi="仿宋_GB2312" w:eastAsia="仿宋_GB2312" w:cs="仿宋_GB2312"/>
          <w:snapToGrid w:val="0"/>
          <w:spacing w:val="0"/>
          <w:kern w:val="0"/>
          <w:sz w:val="32"/>
          <w:szCs w:val="32"/>
          <w:lang w:val="en-US" w:eastAsia="zh-CN"/>
        </w:rPr>
        <w:t>完成年度预算100%，年度无资金结余。</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部门项目</w:t>
      </w:r>
      <w:r>
        <w:rPr>
          <w:rFonts w:hint="eastAsia" w:ascii="仿宋_GB2312" w:hAnsi="仿宋_GB2312" w:eastAsia="仿宋_GB2312" w:cs="仿宋_GB2312"/>
          <w:snapToGrid w:val="0"/>
          <w:spacing w:val="0"/>
          <w:kern w:val="0"/>
          <w:sz w:val="32"/>
          <w:szCs w:val="32"/>
          <w:lang w:eastAsia="zh-CN"/>
        </w:rPr>
        <w:t>支出预算</w:t>
      </w:r>
      <w:r>
        <w:rPr>
          <w:rFonts w:hint="eastAsia" w:ascii="仿宋_GB2312" w:hAnsi="仿宋_GB2312" w:eastAsia="仿宋_GB2312" w:cs="仿宋_GB2312"/>
          <w:snapToGrid w:val="0"/>
          <w:spacing w:val="0"/>
          <w:kern w:val="0"/>
          <w:sz w:val="32"/>
          <w:szCs w:val="32"/>
          <w:lang w:val="en-US" w:eastAsia="zh-CN"/>
        </w:rPr>
        <w:t>36.69万元，</w:t>
      </w:r>
      <w:r>
        <w:rPr>
          <w:rFonts w:hint="eastAsia" w:ascii="仿宋_GB2312" w:hAnsi="仿宋_GB2312" w:eastAsia="仿宋_GB2312" w:cs="仿宋_GB2312"/>
          <w:snapToGrid w:val="0"/>
          <w:spacing w:val="0"/>
          <w:kern w:val="0"/>
          <w:sz w:val="32"/>
          <w:szCs w:val="32"/>
          <w:lang w:val="zh-CN"/>
        </w:rPr>
        <w:t>主要用于政策宣传资料印制、耗材购置、车辆租赁及差旅费等支出。政策宣传资料印刷、耗材购置等支出都严格按照要求，</w:t>
      </w:r>
      <w:r>
        <w:rPr>
          <w:rFonts w:hint="eastAsia" w:ascii="仿宋_GB2312" w:hAnsi="仿宋_GB2312" w:eastAsia="仿宋_GB2312" w:cs="仿宋_GB2312"/>
          <w:snapToGrid w:val="0"/>
          <w:spacing w:val="0"/>
          <w:kern w:val="0"/>
          <w:sz w:val="32"/>
          <w:szCs w:val="32"/>
          <w:lang w:val="en-US" w:eastAsia="zh-CN"/>
        </w:rPr>
        <w:t>完成年度预算100%，年度无资金结余。</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snapToGrid w:val="0"/>
          <w:spacing w:val="0"/>
          <w:kern w:val="0"/>
          <w:sz w:val="32"/>
          <w:szCs w:val="32"/>
          <w:lang w:eastAsia="zh-CN"/>
        </w:rPr>
        <w:t>项目支出均按照有关规章制度和项目实施完成情况进行支付，我单位严格按照项目预算要求使用和划拨资金、</w:t>
      </w:r>
      <w:r>
        <w:rPr>
          <w:rFonts w:hint="eastAsia" w:ascii="仿宋_GB2312" w:hAnsi="仿宋_GB2312" w:eastAsia="仿宋_GB2312" w:cs="仿宋_GB2312"/>
          <w:snapToGrid w:val="0"/>
          <w:spacing w:val="0"/>
          <w:kern w:val="0"/>
          <w:sz w:val="32"/>
          <w:szCs w:val="32"/>
          <w:lang w:val="en-US" w:eastAsia="zh-CN"/>
        </w:rPr>
        <w:t>规范</w:t>
      </w:r>
      <w:r>
        <w:rPr>
          <w:rFonts w:hint="eastAsia" w:ascii="仿宋_GB2312" w:hAnsi="仿宋_GB2312" w:eastAsia="仿宋_GB2312" w:cs="仿宋_GB2312"/>
          <w:snapToGrid w:val="0"/>
          <w:spacing w:val="0"/>
          <w:kern w:val="0"/>
          <w:sz w:val="32"/>
          <w:szCs w:val="32"/>
          <w:lang w:eastAsia="zh-CN"/>
        </w:rPr>
        <w:t>经费管理，专项资金按照项目内容使用，做到专款专用，使用专项资金时，通过财政专网统一支付。项目过程中严格按照</w:t>
      </w:r>
      <w:r>
        <w:rPr>
          <w:rFonts w:hint="eastAsia" w:ascii="仿宋_GB2312" w:hAnsi="仿宋_GB2312" w:eastAsia="仿宋_GB2312" w:cs="仿宋_GB2312"/>
          <w:snapToGrid w:val="0"/>
          <w:spacing w:val="0"/>
          <w:kern w:val="0"/>
          <w:sz w:val="32"/>
          <w:szCs w:val="32"/>
          <w:lang w:val="en-US" w:eastAsia="zh-CN"/>
        </w:rPr>
        <w:t>管理办法执行，保障支出合法合规，做到了合法、有序，全年无违反规定的行为发生。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102" w:name="_Toc5799"/>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102"/>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03" w:name="_Toc13909"/>
      <w:r>
        <w:rPr>
          <w:rFonts w:hint="eastAsia" w:ascii="楷体_GB2312" w:hAnsi="楷体_GB2312" w:eastAsia="楷体_GB2312" w:cs="楷体_GB2312"/>
          <w:b w:val="0"/>
          <w:bCs w:val="0"/>
          <w:color w:val="auto"/>
          <w:kern w:val="0"/>
          <w:sz w:val="32"/>
          <w:szCs w:val="32"/>
          <w:highlight w:val="none"/>
          <w:shd w:val="clear" w:color="auto" w:fill="FFFFFF"/>
          <w:lang w:val="zh-CN"/>
        </w:rPr>
        <w:t>（一）部门总体收支情况</w:t>
      </w:r>
      <w:bookmarkEnd w:id="103"/>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lang w:val="en-US" w:eastAsia="zh-CN"/>
        </w:rPr>
        <w:t>1.部门总体收入情况。</w:t>
      </w:r>
      <w:r>
        <w:rPr>
          <w:rFonts w:hint="eastAsia" w:ascii="仿宋_GB2312" w:hAnsi="仿宋_GB2312" w:eastAsia="仿宋_GB2312" w:cs="仿宋_GB2312"/>
          <w:snapToGrid w:val="0"/>
          <w:spacing w:val="0"/>
          <w:kern w:val="0"/>
          <w:sz w:val="32"/>
          <w:szCs w:val="32"/>
        </w:rPr>
        <w:t>202</w:t>
      </w:r>
      <w:r>
        <w:rPr>
          <w:rFonts w:hint="eastAsia" w:ascii="仿宋_GB2312" w:hAnsi="仿宋_GB2312" w:eastAsia="仿宋_GB2312" w:cs="仿宋_GB2312"/>
          <w:snapToGrid w:val="0"/>
          <w:spacing w:val="0"/>
          <w:kern w:val="0"/>
          <w:sz w:val="32"/>
          <w:szCs w:val="32"/>
          <w:lang w:val="en-US" w:eastAsia="zh-CN"/>
        </w:rPr>
        <w:t>2</w:t>
      </w:r>
      <w:r>
        <w:rPr>
          <w:rFonts w:hint="eastAsia" w:ascii="仿宋_GB2312" w:hAnsi="仿宋_GB2312" w:eastAsia="仿宋_GB2312" w:cs="仿宋_GB2312"/>
          <w:snapToGrid w:val="0"/>
          <w:spacing w:val="0"/>
          <w:kern w:val="0"/>
          <w:sz w:val="32"/>
          <w:szCs w:val="32"/>
        </w:rPr>
        <w:t>年，我单位总收入</w:t>
      </w:r>
      <w:r>
        <w:rPr>
          <w:rFonts w:hint="eastAsia" w:ascii="仿宋_GB2312" w:hAnsi="仿宋_GB2312" w:eastAsia="仿宋_GB2312" w:cs="仿宋_GB2312"/>
          <w:snapToGrid w:val="0"/>
          <w:spacing w:val="0"/>
          <w:kern w:val="0"/>
          <w:sz w:val="32"/>
          <w:szCs w:val="32"/>
          <w:lang w:val="en-US" w:eastAsia="zh-CN"/>
        </w:rPr>
        <w:t>202.71</w:t>
      </w:r>
      <w:r>
        <w:rPr>
          <w:rFonts w:hint="eastAsia" w:ascii="仿宋_GB2312" w:hAnsi="仿宋_GB2312" w:eastAsia="仿宋_GB2312" w:cs="仿宋_GB2312"/>
          <w:snapToGrid w:val="0"/>
          <w:spacing w:val="0"/>
          <w:kern w:val="0"/>
          <w:sz w:val="32"/>
          <w:szCs w:val="32"/>
        </w:rPr>
        <w:t>万元，其中：财政拨款收入</w:t>
      </w:r>
      <w:r>
        <w:rPr>
          <w:rFonts w:hint="eastAsia" w:ascii="仿宋_GB2312" w:hAnsi="仿宋_GB2312" w:eastAsia="仿宋_GB2312" w:cs="仿宋_GB2312"/>
          <w:snapToGrid w:val="0"/>
          <w:spacing w:val="0"/>
          <w:kern w:val="0"/>
          <w:sz w:val="32"/>
          <w:szCs w:val="32"/>
          <w:lang w:val="en-US" w:eastAsia="zh-CN"/>
        </w:rPr>
        <w:t>202.71</w:t>
      </w:r>
      <w:r>
        <w:rPr>
          <w:rFonts w:hint="eastAsia" w:ascii="仿宋_GB2312" w:hAnsi="仿宋_GB2312" w:eastAsia="仿宋_GB2312" w:cs="仿宋_GB2312"/>
          <w:snapToGrid w:val="0"/>
          <w:spacing w:val="0"/>
          <w:kern w:val="0"/>
          <w:sz w:val="32"/>
          <w:szCs w:val="32"/>
        </w:rPr>
        <w:t>万元，占总收入</w:t>
      </w:r>
      <w:r>
        <w:rPr>
          <w:rFonts w:hint="eastAsia" w:ascii="仿宋_GB2312" w:hAnsi="仿宋_GB2312" w:eastAsia="仿宋_GB2312" w:cs="仿宋_GB2312"/>
          <w:snapToGrid w:val="0"/>
          <w:spacing w:val="0"/>
          <w:kern w:val="0"/>
          <w:sz w:val="32"/>
          <w:szCs w:val="32"/>
          <w:lang w:val="en-US" w:eastAsia="zh-CN"/>
        </w:rPr>
        <w:t>100</w:t>
      </w:r>
      <w:r>
        <w:rPr>
          <w:rFonts w:hint="eastAsia" w:ascii="仿宋_GB2312" w:hAnsi="仿宋_GB2312" w:eastAsia="仿宋_GB2312" w:cs="仿宋_GB2312"/>
          <w:snapToGrid w:val="0"/>
          <w:spacing w:val="0"/>
          <w:kern w:val="0"/>
          <w:sz w:val="32"/>
          <w:szCs w:val="32"/>
        </w:rPr>
        <w:t>%；</w:t>
      </w:r>
      <w:r>
        <w:rPr>
          <w:rFonts w:hint="eastAsia" w:ascii="仿宋_GB2312" w:hAnsi="仿宋_GB2312" w:eastAsia="仿宋_GB2312" w:cs="仿宋_GB2312"/>
          <w:snapToGrid w:val="0"/>
          <w:spacing w:val="0"/>
          <w:kern w:val="0"/>
          <w:sz w:val="32"/>
          <w:szCs w:val="32"/>
          <w:lang w:eastAsia="zh-CN"/>
        </w:rPr>
        <w:t>无</w:t>
      </w:r>
      <w:r>
        <w:rPr>
          <w:rFonts w:hint="eastAsia" w:ascii="仿宋_GB2312" w:hAnsi="仿宋_GB2312" w:eastAsia="仿宋_GB2312" w:cs="仿宋_GB2312"/>
          <w:snapToGrid w:val="0"/>
          <w:spacing w:val="0"/>
          <w:kern w:val="0"/>
          <w:sz w:val="32"/>
          <w:szCs w:val="32"/>
        </w:rPr>
        <w:t>其他收入。</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lang w:val="en-US" w:eastAsia="zh-CN"/>
        </w:rPr>
        <w:t>2.部门总体支出情况。</w:t>
      </w:r>
      <w:r>
        <w:rPr>
          <w:rFonts w:hint="eastAsia" w:ascii="仿宋_GB2312" w:hAnsi="仿宋_GB2312" w:eastAsia="仿宋_GB2312" w:cs="仿宋_GB2312"/>
          <w:snapToGrid w:val="0"/>
          <w:spacing w:val="0"/>
          <w:kern w:val="0"/>
          <w:sz w:val="32"/>
          <w:szCs w:val="32"/>
        </w:rPr>
        <w:t>202</w:t>
      </w:r>
      <w:r>
        <w:rPr>
          <w:rFonts w:hint="eastAsia" w:ascii="仿宋_GB2312" w:hAnsi="仿宋_GB2312" w:eastAsia="仿宋_GB2312" w:cs="仿宋_GB2312"/>
          <w:snapToGrid w:val="0"/>
          <w:spacing w:val="0"/>
          <w:kern w:val="0"/>
          <w:sz w:val="32"/>
          <w:szCs w:val="32"/>
          <w:lang w:val="en-US" w:eastAsia="zh-CN"/>
        </w:rPr>
        <w:t>2</w:t>
      </w:r>
      <w:r>
        <w:rPr>
          <w:rFonts w:hint="eastAsia" w:ascii="仿宋_GB2312" w:hAnsi="仿宋_GB2312" w:eastAsia="仿宋_GB2312" w:cs="仿宋_GB2312"/>
          <w:snapToGrid w:val="0"/>
          <w:spacing w:val="0"/>
          <w:kern w:val="0"/>
          <w:sz w:val="32"/>
          <w:szCs w:val="32"/>
        </w:rPr>
        <w:t>年，我单位总</w:t>
      </w:r>
      <w:r>
        <w:rPr>
          <w:rFonts w:hint="eastAsia" w:ascii="仿宋_GB2312" w:hAnsi="仿宋_GB2312" w:eastAsia="仿宋_GB2312" w:cs="仿宋_GB2312"/>
          <w:snapToGrid w:val="0"/>
          <w:spacing w:val="0"/>
          <w:kern w:val="0"/>
          <w:sz w:val="32"/>
          <w:szCs w:val="32"/>
          <w:lang w:eastAsia="zh-CN"/>
        </w:rPr>
        <w:t>支出</w:t>
      </w:r>
      <w:r>
        <w:rPr>
          <w:rFonts w:hint="eastAsia" w:ascii="仿宋_GB2312" w:hAnsi="仿宋_GB2312" w:eastAsia="仿宋_GB2312" w:cs="仿宋_GB2312"/>
          <w:snapToGrid w:val="0"/>
          <w:spacing w:val="0"/>
          <w:kern w:val="0"/>
          <w:sz w:val="32"/>
          <w:szCs w:val="32"/>
          <w:lang w:val="en-US" w:eastAsia="zh-CN"/>
        </w:rPr>
        <w:t>202.71</w:t>
      </w:r>
      <w:r>
        <w:rPr>
          <w:rFonts w:hint="eastAsia" w:ascii="仿宋_GB2312" w:hAnsi="仿宋_GB2312" w:eastAsia="仿宋_GB2312" w:cs="仿宋_GB2312"/>
          <w:snapToGrid w:val="0"/>
          <w:spacing w:val="0"/>
          <w:kern w:val="0"/>
          <w:sz w:val="32"/>
          <w:szCs w:val="32"/>
        </w:rPr>
        <w:t>万元，其中：</w:t>
      </w:r>
      <w:r>
        <w:rPr>
          <w:rFonts w:hint="eastAsia" w:ascii="仿宋_GB2312" w:hAnsi="仿宋_GB2312" w:eastAsia="仿宋_GB2312" w:cs="仿宋_GB2312"/>
          <w:snapToGrid w:val="0"/>
          <w:spacing w:val="0"/>
          <w:kern w:val="0"/>
          <w:sz w:val="32"/>
          <w:szCs w:val="32"/>
          <w:lang w:eastAsia="zh-CN"/>
        </w:rPr>
        <w:t>按功能分类一般公务服务支出</w:t>
      </w:r>
      <w:r>
        <w:rPr>
          <w:rFonts w:hint="eastAsia" w:ascii="仿宋_GB2312" w:hAnsi="仿宋_GB2312" w:eastAsia="仿宋_GB2312" w:cs="仿宋_GB2312"/>
          <w:snapToGrid w:val="0"/>
          <w:spacing w:val="0"/>
          <w:kern w:val="0"/>
          <w:sz w:val="32"/>
          <w:szCs w:val="32"/>
          <w:lang w:val="en-US" w:eastAsia="zh-CN"/>
        </w:rPr>
        <w:t>175.66万元，占总支出86.66%；</w:t>
      </w:r>
      <w:r>
        <w:rPr>
          <w:rFonts w:hint="eastAsia" w:ascii="仿宋_GB2312" w:hAnsi="仿宋_GB2312" w:eastAsia="仿宋_GB2312" w:cs="仿宋_GB2312"/>
          <w:snapToGrid w:val="0"/>
          <w:spacing w:val="0"/>
          <w:kern w:val="0"/>
          <w:sz w:val="32"/>
          <w:szCs w:val="32"/>
        </w:rPr>
        <w:t>社会保障和就业支出</w:t>
      </w:r>
      <w:r>
        <w:rPr>
          <w:rFonts w:hint="eastAsia" w:ascii="仿宋_GB2312" w:hAnsi="仿宋_GB2312" w:eastAsia="仿宋_GB2312" w:cs="仿宋_GB2312"/>
          <w:snapToGrid w:val="0"/>
          <w:spacing w:val="0"/>
          <w:kern w:val="0"/>
          <w:sz w:val="32"/>
          <w:szCs w:val="32"/>
          <w:lang w:val="en-US" w:eastAsia="zh-CN"/>
        </w:rPr>
        <w:t>10.95</w:t>
      </w:r>
      <w:r>
        <w:rPr>
          <w:rFonts w:hint="eastAsia" w:ascii="仿宋_GB2312" w:hAnsi="仿宋_GB2312" w:eastAsia="仿宋_GB2312" w:cs="仿宋_GB2312"/>
          <w:snapToGrid w:val="0"/>
          <w:spacing w:val="0"/>
          <w:kern w:val="0"/>
          <w:sz w:val="32"/>
          <w:szCs w:val="32"/>
        </w:rPr>
        <w:t>万元，占</w:t>
      </w:r>
      <w:r>
        <w:rPr>
          <w:rFonts w:hint="eastAsia" w:ascii="仿宋_GB2312" w:hAnsi="仿宋_GB2312" w:eastAsia="仿宋_GB2312" w:cs="仿宋_GB2312"/>
          <w:snapToGrid w:val="0"/>
          <w:spacing w:val="0"/>
          <w:kern w:val="0"/>
          <w:sz w:val="32"/>
          <w:szCs w:val="32"/>
          <w:lang w:val="en-US" w:eastAsia="zh-CN"/>
        </w:rPr>
        <w:t>5.4</w:t>
      </w:r>
      <w:r>
        <w:rPr>
          <w:rFonts w:hint="eastAsia" w:ascii="仿宋_GB2312" w:hAnsi="仿宋_GB2312" w:eastAsia="仿宋_GB2312" w:cs="仿宋_GB2312"/>
          <w:snapToGrid w:val="0"/>
          <w:spacing w:val="0"/>
          <w:kern w:val="0"/>
          <w:sz w:val="32"/>
          <w:szCs w:val="32"/>
        </w:rPr>
        <w:t>%；卫生健康支出</w:t>
      </w:r>
      <w:r>
        <w:rPr>
          <w:rFonts w:hint="eastAsia" w:ascii="仿宋_GB2312" w:hAnsi="仿宋_GB2312" w:eastAsia="仿宋_GB2312" w:cs="仿宋_GB2312"/>
          <w:snapToGrid w:val="0"/>
          <w:spacing w:val="0"/>
          <w:kern w:val="0"/>
          <w:sz w:val="32"/>
          <w:szCs w:val="32"/>
          <w:lang w:val="en-US" w:eastAsia="zh-CN"/>
        </w:rPr>
        <w:t>5.61</w:t>
      </w:r>
      <w:r>
        <w:rPr>
          <w:rFonts w:hint="eastAsia" w:ascii="仿宋_GB2312" w:hAnsi="仿宋_GB2312" w:eastAsia="仿宋_GB2312" w:cs="仿宋_GB2312"/>
          <w:snapToGrid w:val="0"/>
          <w:spacing w:val="0"/>
          <w:kern w:val="0"/>
          <w:sz w:val="32"/>
          <w:szCs w:val="32"/>
        </w:rPr>
        <w:t>万元，占</w:t>
      </w:r>
      <w:r>
        <w:rPr>
          <w:rFonts w:hint="eastAsia" w:ascii="仿宋_GB2312" w:hAnsi="仿宋_GB2312" w:eastAsia="仿宋_GB2312" w:cs="仿宋_GB2312"/>
          <w:snapToGrid w:val="0"/>
          <w:spacing w:val="0"/>
          <w:kern w:val="0"/>
          <w:sz w:val="32"/>
          <w:szCs w:val="32"/>
          <w:lang w:val="en-US" w:eastAsia="zh-CN"/>
        </w:rPr>
        <w:t>2.77</w:t>
      </w:r>
      <w:r>
        <w:rPr>
          <w:rFonts w:hint="eastAsia" w:ascii="仿宋_GB2312" w:hAnsi="仿宋_GB2312" w:eastAsia="仿宋_GB2312" w:cs="仿宋_GB2312"/>
          <w:snapToGrid w:val="0"/>
          <w:spacing w:val="0"/>
          <w:kern w:val="0"/>
          <w:sz w:val="32"/>
          <w:szCs w:val="32"/>
        </w:rPr>
        <w:t>%；住房保障支出</w:t>
      </w:r>
      <w:r>
        <w:rPr>
          <w:rFonts w:hint="eastAsia" w:ascii="仿宋_GB2312" w:hAnsi="仿宋_GB2312" w:eastAsia="仿宋_GB2312" w:cs="仿宋_GB2312"/>
          <w:snapToGrid w:val="0"/>
          <w:spacing w:val="0"/>
          <w:kern w:val="0"/>
          <w:sz w:val="32"/>
          <w:szCs w:val="32"/>
          <w:lang w:val="en-US" w:eastAsia="zh-CN"/>
        </w:rPr>
        <w:t>10.49</w:t>
      </w:r>
      <w:r>
        <w:rPr>
          <w:rFonts w:hint="eastAsia" w:ascii="仿宋_GB2312" w:hAnsi="仿宋_GB2312" w:eastAsia="仿宋_GB2312" w:cs="仿宋_GB2312"/>
          <w:snapToGrid w:val="0"/>
          <w:spacing w:val="0"/>
          <w:kern w:val="0"/>
          <w:sz w:val="32"/>
          <w:szCs w:val="32"/>
        </w:rPr>
        <w:t>万元，占</w:t>
      </w:r>
      <w:r>
        <w:rPr>
          <w:rFonts w:hint="eastAsia" w:ascii="仿宋_GB2312" w:hAnsi="仿宋_GB2312" w:eastAsia="仿宋_GB2312" w:cs="仿宋_GB2312"/>
          <w:snapToGrid w:val="0"/>
          <w:spacing w:val="0"/>
          <w:kern w:val="0"/>
          <w:sz w:val="32"/>
          <w:szCs w:val="32"/>
          <w:lang w:val="en-US" w:eastAsia="zh-CN"/>
        </w:rPr>
        <w:t>5.17</w:t>
      </w:r>
      <w:r>
        <w:rPr>
          <w:rFonts w:hint="eastAsia" w:ascii="仿宋_GB2312" w:hAnsi="仿宋_GB2312" w:eastAsia="仿宋_GB2312" w:cs="仿宋_GB2312"/>
          <w:snapToGrid w:val="0"/>
          <w:spacing w:val="0"/>
          <w:kern w:val="0"/>
          <w:sz w:val="32"/>
          <w:szCs w:val="32"/>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按支出性质人员经费支出159.13万元，占总支出的78.50%；公用经费支出6.89万元，占总支出的3.40%；</w:t>
      </w:r>
      <w:r>
        <w:rPr>
          <w:rFonts w:hint="eastAsia" w:ascii="仿宋_GB2312" w:hAnsi="仿宋_GB2312" w:eastAsia="仿宋_GB2312" w:cs="仿宋_GB2312"/>
          <w:snapToGrid w:val="0"/>
          <w:spacing w:val="0"/>
          <w:kern w:val="0"/>
          <w:sz w:val="32"/>
          <w:szCs w:val="32"/>
        </w:rPr>
        <w:t>项目</w:t>
      </w:r>
      <w:r>
        <w:rPr>
          <w:rFonts w:hint="eastAsia" w:ascii="仿宋_GB2312" w:hAnsi="仿宋_GB2312" w:eastAsia="仿宋_GB2312" w:cs="仿宋_GB2312"/>
          <w:snapToGrid w:val="0"/>
          <w:spacing w:val="0"/>
          <w:kern w:val="0"/>
          <w:sz w:val="32"/>
          <w:szCs w:val="32"/>
          <w:lang w:eastAsia="zh-CN"/>
        </w:rPr>
        <w:t>支出</w:t>
      </w:r>
      <w:r>
        <w:rPr>
          <w:rFonts w:hint="eastAsia" w:ascii="仿宋_GB2312" w:hAnsi="仿宋_GB2312" w:eastAsia="仿宋_GB2312" w:cs="仿宋_GB2312"/>
          <w:snapToGrid w:val="0"/>
          <w:spacing w:val="0"/>
          <w:kern w:val="0"/>
          <w:sz w:val="32"/>
          <w:szCs w:val="32"/>
          <w:lang w:val="en-US" w:eastAsia="zh-CN"/>
        </w:rPr>
        <w:t>36.69万元，占总支出的18.1%；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3.部门总体结转结余情况。我单位2022年当年无结转结余。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04" w:name="_Toc3509"/>
      <w:r>
        <w:rPr>
          <w:rFonts w:hint="eastAsia" w:ascii="楷体_GB2312" w:hAnsi="楷体_GB2312" w:eastAsia="楷体_GB2312" w:cs="楷体_GB2312"/>
          <w:b w:val="0"/>
          <w:bCs w:val="0"/>
          <w:color w:val="auto"/>
          <w:kern w:val="0"/>
          <w:sz w:val="32"/>
          <w:szCs w:val="32"/>
          <w:highlight w:val="none"/>
          <w:shd w:val="clear" w:color="auto" w:fill="FFFFFF"/>
          <w:lang w:val="zh-CN"/>
        </w:rPr>
        <w:t>（二）部门财政拨款收支情况</w:t>
      </w:r>
      <w:bookmarkEnd w:id="104"/>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1.部门财政拨款收入情况。2022年，我单位财政拨款收入202.71万元，占总收入的100%；无其他收入。</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2.部门财政拨款支出情况。2022年，我单位财政拨款支出202.71万元，其中：基本支出166.02万元，占支出的81.91%；项目支出36.69万元，占支出的18.09%。</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3.部门财政拨款结转结余情况。我单位2022年当年财政拨款无结转结余。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105" w:name="_Toc3145"/>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bookmarkEnd w:id="105"/>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仿宋_GB2312" w:hAnsi="仿宋_GB2312" w:eastAsia="仿宋_GB2312" w:cs="仿宋_GB2312"/>
          <w:b w:val="0"/>
          <w:bCs w:val="0"/>
          <w:color w:val="auto"/>
          <w:kern w:val="0"/>
          <w:sz w:val="32"/>
          <w:szCs w:val="32"/>
          <w:highlight w:val="none"/>
          <w:shd w:val="clear" w:color="auto" w:fill="FFFFFF"/>
          <w:lang w:val="zh-CN" w:eastAsia="zh-CN"/>
        </w:rPr>
      </w:pPr>
      <w:bookmarkStart w:id="106" w:name="_Toc19105"/>
      <w:r>
        <w:rPr>
          <w:rFonts w:hint="eastAsia" w:ascii="楷体_GB2312" w:hAnsi="楷体_GB2312" w:eastAsia="楷体_GB2312" w:cs="楷体_GB2312"/>
          <w:b w:val="0"/>
          <w:bCs w:val="0"/>
          <w:color w:val="auto"/>
          <w:kern w:val="0"/>
          <w:sz w:val="32"/>
          <w:szCs w:val="32"/>
          <w:highlight w:val="none"/>
          <w:shd w:val="clear" w:color="auto" w:fill="FFFFFF"/>
          <w:lang w:val="zh-CN"/>
        </w:rPr>
        <w:t>（一）部门预算项目绩效分析</w:t>
      </w:r>
      <w:bookmarkEnd w:id="106"/>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人员类支出202.71万元，主要包括17名单位职工人员工资、津贴补贴、奖金、各类保险费用缴费、公积金缴费及公务交通补贴等。根据相关规定和标准按时间节点发放干部职工工资、津贴补贴、奖金，并为其足额缴纳各类保险及公积金，保障了干部职工生活水平，确保顺利实现单位工作目标。当年无结转结余，执行率达到100％。全年无违反规定的行为发生。</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2.运转类项目绩效分析</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运转类项目支出6.89万元，主要包括17名职工日常办公用品采购、水、电、气、差旅费、印刷、公务接待、耗材等，保障单位正常运转。当年无结转结余，执行率达到100％。全年无违反规定的行为发生。</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snapToGrid w:val="0"/>
          <w:spacing w:val="0"/>
          <w:kern w:val="0"/>
          <w:sz w:val="32"/>
          <w:szCs w:val="32"/>
          <w:lang w:val="en-US" w:eastAsia="zh-CN"/>
        </w:rPr>
        <w:t>3.特定目标类项目绩效分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析</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napToGrid w:val="0"/>
          <w:spacing w:val="0"/>
          <w:kern w:val="0"/>
          <w:sz w:val="32"/>
          <w:szCs w:val="32"/>
        </w:rPr>
        <w:t>项目</w:t>
      </w:r>
      <w:r>
        <w:rPr>
          <w:rFonts w:hint="eastAsia" w:ascii="仿宋_GB2312" w:hAnsi="仿宋_GB2312" w:eastAsia="仿宋_GB2312" w:cs="仿宋_GB2312"/>
          <w:snapToGrid w:val="0"/>
          <w:spacing w:val="0"/>
          <w:kern w:val="0"/>
          <w:sz w:val="32"/>
          <w:szCs w:val="32"/>
          <w:lang w:eastAsia="zh-CN"/>
        </w:rPr>
        <w:t>支出</w:t>
      </w:r>
      <w:r>
        <w:rPr>
          <w:rFonts w:hint="eastAsia" w:ascii="仿宋_GB2312" w:hAnsi="仿宋_GB2312" w:eastAsia="仿宋_GB2312" w:cs="仿宋_GB2312"/>
          <w:snapToGrid w:val="0"/>
          <w:spacing w:val="0"/>
          <w:kern w:val="0"/>
          <w:sz w:val="32"/>
          <w:szCs w:val="32"/>
          <w:lang w:val="en-US" w:eastAsia="zh-CN"/>
        </w:rPr>
        <w:t>36.69万元，主要用于</w:t>
      </w:r>
      <w:r>
        <w:rPr>
          <w:rFonts w:hint="eastAsia" w:ascii="仿宋_GB2312" w:hAnsi="仿宋_GB2312" w:eastAsia="仿宋_GB2312" w:cs="仿宋_GB2312"/>
          <w:sz w:val="32"/>
          <w:szCs w:val="32"/>
          <w:lang w:val="zh-CN"/>
        </w:rPr>
        <w:t>主要用于政策宣传资料印制、耗材购置、车辆租赁及差旅费等支出。政策宣传资料印刷、耗材购置等支出都严格按照要求，进行了价格比选，差旅费等费用均按区人民政府标准执行，所有支出均合规合法，资金支付与预算相符，且支出均衡，没有超标准支出的现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07" w:name="_Toc18641"/>
      <w:r>
        <w:rPr>
          <w:rFonts w:hint="eastAsia" w:ascii="楷体_GB2312" w:hAnsi="楷体_GB2312" w:eastAsia="楷体_GB2312" w:cs="楷体_GB2312"/>
          <w:b w:val="0"/>
          <w:bCs w:val="0"/>
          <w:color w:val="auto"/>
          <w:kern w:val="0"/>
          <w:sz w:val="32"/>
          <w:szCs w:val="32"/>
          <w:highlight w:val="none"/>
          <w:shd w:val="clear" w:color="auto" w:fill="FFFFFF"/>
          <w:lang w:val="zh-CN"/>
        </w:rPr>
        <w:t>（二）部门整体履职绩效分析</w:t>
      </w:r>
      <w:bookmarkEnd w:id="107"/>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我中心</w:t>
      </w:r>
      <w:r>
        <w:rPr>
          <w:rFonts w:hint="eastAsia" w:ascii="仿宋_GB2312" w:hAnsi="仿宋_GB2312" w:eastAsia="仿宋_GB2312" w:cs="仿宋_GB2312"/>
          <w:color w:val="000000" w:themeColor="text1"/>
          <w:sz w:val="32"/>
          <w:szCs w:val="32"/>
          <w14:textFill>
            <w14:solidFill>
              <w14:schemeClr w14:val="tx1"/>
            </w14:solidFill>
          </w14:textFill>
        </w:rPr>
        <w:t>开展的</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部门整体</w:t>
      </w:r>
      <w:r>
        <w:rPr>
          <w:rFonts w:hint="eastAsia" w:ascii="仿宋_GB2312" w:hAnsi="仿宋_GB2312" w:eastAsia="仿宋_GB2312" w:cs="仿宋_GB2312"/>
          <w:color w:val="000000" w:themeColor="text1"/>
          <w:sz w:val="32"/>
          <w:szCs w:val="32"/>
          <w14:textFill>
            <w14:solidFill>
              <w14:schemeClr w14:val="tx1"/>
            </w14:solidFill>
          </w14:textFill>
        </w:rPr>
        <w:t>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的项目达到了预期效果，产生了较好的社会效益，对在绩效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中发现的问题，单位及时提出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整改意见并限期整改落实。逐步改变了长期以来“重分配轻监管、重使用轻效益”的现象，有效减少和防止盲目用款、无效支出及盲目支出等行为的发生，使财政资金的运行更加合理高效。</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line="576"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eastAsia="zh-CN"/>
          <w14:textFill>
            <w14:solidFill>
              <w14:schemeClr w14:val="tx1"/>
            </w14:solidFill>
          </w14:textFill>
        </w:rPr>
        <w:t>从我中心</w:t>
      </w:r>
      <w:r>
        <w:rPr>
          <w:rFonts w:hint="eastAsia" w:ascii="仿宋_GB2312" w:hAnsi="仿宋_GB2312" w:eastAsia="仿宋_GB2312" w:cs="仿宋_GB2312"/>
          <w:color w:val="000000" w:themeColor="text1"/>
          <w:sz w:val="32"/>
          <w:szCs w:val="32"/>
          <w14:textFill>
            <w14:solidFill>
              <w14:schemeClr w14:val="tx1"/>
            </w14:solidFill>
          </w14:textFill>
        </w:rPr>
        <w:t>按要求</w:t>
      </w:r>
      <w:r>
        <w:rPr>
          <w:rFonts w:hint="eastAsia"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hAnsi="仿宋_GB2312" w:eastAsia="仿宋_GB2312" w:cs="仿宋_GB2312"/>
          <w:color w:val="000000" w:themeColor="text1"/>
          <w:sz w:val="32"/>
          <w:szCs w:val="32"/>
          <w:lang w:eastAsia="zh-CN"/>
          <w14:textFill>
            <w14:solidFill>
              <w14:schemeClr w14:val="tx1"/>
            </w14:solidFill>
          </w14:textFill>
        </w:rPr>
        <w:t>部门整体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绩效监控</w:t>
      </w:r>
      <w:r>
        <w:rPr>
          <w:rFonts w:hint="eastAsia" w:ascii="仿宋_GB2312" w:hAnsi="仿宋_GB2312" w:eastAsia="仿宋_GB2312" w:cs="仿宋_GB2312"/>
          <w:color w:val="000000" w:themeColor="text1"/>
          <w:sz w:val="32"/>
          <w:szCs w:val="32"/>
          <w14:textFill>
            <w14:solidFill>
              <w14:schemeClr w14:val="tx1"/>
            </w14:solidFill>
          </w14:textFill>
        </w:rPr>
        <w:t>情况来看，项目产出达到了预期的数量、质量、实效和成本指标，提高了社会效益，促进了可持续发展，从</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情况来看有关项目预算执行及时、有效，绩效目标得到较好实现，绩效管理水平不断提高，绩效指标体系建设逐渐丰富和完善，较为充分地反映了</w:t>
      </w:r>
      <w:r>
        <w:rPr>
          <w:rFonts w:hint="eastAsia" w:hAnsi="仿宋_GB2312" w:eastAsia="仿宋_GB2312" w:cs="仿宋_GB2312"/>
          <w:color w:val="000000" w:themeColor="text1"/>
          <w:sz w:val="32"/>
          <w:szCs w:val="32"/>
          <w:lang w:eastAsia="zh-CN"/>
          <w14:textFill>
            <w14:solidFill>
              <w14:schemeClr w14:val="tx1"/>
            </w14:solidFill>
          </w14:textFill>
        </w:rPr>
        <w:t>区征收拆迁事务中心</w:t>
      </w:r>
      <w:r>
        <w:rPr>
          <w:rFonts w:hint="eastAsia" w:ascii="仿宋_GB2312" w:hAnsi="仿宋_GB2312" w:eastAsia="仿宋_GB2312" w:cs="仿宋_GB2312"/>
          <w:color w:val="000000" w:themeColor="text1"/>
          <w:sz w:val="32"/>
          <w:szCs w:val="32"/>
          <w14:textFill>
            <w14:solidFill>
              <w14:schemeClr w14:val="tx1"/>
            </w14:solidFill>
          </w14:textFill>
        </w:rPr>
        <w:t>的工作目标和任务。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08" w:name="_Toc11341"/>
      <w:r>
        <w:rPr>
          <w:rFonts w:hint="eastAsia" w:ascii="楷体_GB2312" w:hAnsi="楷体_GB2312" w:eastAsia="楷体_GB2312" w:cs="楷体_GB2312"/>
          <w:b w:val="0"/>
          <w:bCs w:val="0"/>
          <w:color w:val="auto"/>
          <w:kern w:val="0"/>
          <w:sz w:val="32"/>
          <w:szCs w:val="32"/>
          <w:highlight w:val="none"/>
          <w:shd w:val="clear" w:color="auto" w:fill="FFFFFF"/>
          <w:lang w:val="zh-CN"/>
        </w:rPr>
        <w:t>（三）结果应用情况</w:t>
      </w:r>
      <w:bookmarkEnd w:id="10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spacing w:val="0"/>
          <w:kern w:val="0"/>
          <w:sz w:val="32"/>
          <w:szCs w:val="32"/>
          <w:highlight w:val="none"/>
          <w:shd w:val="clear" w:color="auto" w:fill="FFFFFF"/>
          <w:lang w:val="zh-CN" w:eastAsia="zh-CN"/>
        </w:rPr>
      </w:pPr>
      <w:r>
        <w:rPr>
          <w:rFonts w:hint="eastAsia" w:ascii="仿宋_GB2312" w:hAnsi="仿宋_GB2312" w:eastAsia="仿宋_GB2312" w:cs="仿宋_GB2312"/>
          <w:spacing w:val="0"/>
          <w:sz w:val="32"/>
          <w:szCs w:val="32"/>
          <w:lang w:eastAsia="zh-CN"/>
        </w:rPr>
        <w:t>我中心</w:t>
      </w:r>
      <w:r>
        <w:rPr>
          <w:rFonts w:hint="eastAsia" w:ascii="仿宋_GB2312" w:hAnsi="仿宋_GB2312" w:eastAsia="仿宋_GB2312" w:cs="仿宋_GB2312"/>
          <w:spacing w:val="0"/>
          <w:sz w:val="32"/>
          <w:szCs w:val="32"/>
        </w:rPr>
        <w:t>积极配合财政部门开展的绩效评价工作</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及时提供了准确、真实的相关资料</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在规定的时限内向财政局报送了部门整体支出绩效评价自评报告。自评报告内容完整，手续齐全，各项评价指标明确。评价结论合理有据、客观公正，如实地体现了单位取得绩效与存在的问题。</w:t>
      </w:r>
      <w:r>
        <w:rPr>
          <w:rFonts w:hint="eastAsia" w:ascii="仿宋_GB2312" w:hAnsi="仿宋_GB2312" w:eastAsia="仿宋_GB2312" w:cs="仿宋_GB2312"/>
          <w:spacing w:val="0"/>
          <w:sz w:val="32"/>
          <w:szCs w:val="32"/>
          <w:lang w:val="en-US" w:eastAsia="zh-CN"/>
        </w:rPr>
        <w:t>按财政要求将相关绩效信息随同决算同步公开</w:t>
      </w:r>
      <w:r>
        <w:rPr>
          <w:rFonts w:hint="default"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针对绩效管理过程中出现的问题，及时进行整改</w:t>
      </w:r>
      <w:r>
        <w:rPr>
          <w:rFonts w:hint="default" w:ascii="仿宋_GB2312" w:hAnsi="仿宋_GB2312" w:eastAsia="仿宋_GB2312" w:cs="仿宋_GB2312"/>
          <w:spacing w:val="0"/>
          <w:sz w:val="32"/>
          <w:szCs w:val="32"/>
          <w:lang w:eastAsia="zh-CN"/>
        </w:rPr>
        <w:t>。同时</w:t>
      </w:r>
      <w:r>
        <w:rPr>
          <w:rFonts w:hint="eastAsia" w:ascii="仿宋_GB2312" w:hAnsi="仿宋_GB2312" w:eastAsia="仿宋_GB2312" w:cs="仿宋_GB2312"/>
          <w:spacing w:val="0"/>
          <w:sz w:val="32"/>
          <w:szCs w:val="32"/>
          <w:lang w:val="en-US" w:eastAsia="zh-CN"/>
        </w:rPr>
        <w:t>在规定时间内向财政部门反馈应用绩效结果报告。</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09" w:name="_Toc2723"/>
      <w:r>
        <w:rPr>
          <w:rFonts w:hint="eastAsia" w:ascii="楷体_GB2312" w:hAnsi="楷体_GB2312" w:eastAsia="楷体_GB2312" w:cs="楷体_GB2312"/>
          <w:b w:val="0"/>
          <w:bCs w:val="0"/>
          <w:color w:val="auto"/>
          <w:kern w:val="0"/>
          <w:sz w:val="32"/>
          <w:szCs w:val="32"/>
          <w:highlight w:val="none"/>
          <w:shd w:val="clear" w:color="auto" w:fill="FFFFFF"/>
          <w:lang w:val="zh-CN"/>
        </w:rPr>
        <w:t>自评质量</w:t>
      </w:r>
      <w:bookmarkEnd w:id="109"/>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部门整体支出自评得分96分。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110" w:name="_Toc11374"/>
      <w:r>
        <w:rPr>
          <w:rFonts w:hint="eastAsia" w:ascii="黑体" w:hAnsi="宋体" w:eastAsia="黑体" w:cs="宋体"/>
          <w:color w:val="auto"/>
          <w:kern w:val="0"/>
          <w:sz w:val="32"/>
          <w:szCs w:val="32"/>
          <w:highlight w:val="none"/>
          <w:shd w:val="clear" w:color="auto" w:fill="FFFFFF"/>
        </w:rPr>
        <w:t>四、评价结论及建议</w:t>
      </w:r>
      <w:bookmarkEnd w:id="110"/>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11" w:name="_Toc19226"/>
      <w:r>
        <w:rPr>
          <w:rFonts w:hint="eastAsia" w:ascii="楷体_GB2312" w:hAnsi="楷体_GB2312" w:eastAsia="楷体_GB2312" w:cs="楷体_GB2312"/>
          <w:b w:val="0"/>
          <w:bCs w:val="0"/>
          <w:color w:val="auto"/>
          <w:kern w:val="0"/>
          <w:sz w:val="32"/>
          <w:szCs w:val="32"/>
          <w:highlight w:val="none"/>
          <w:shd w:val="clear" w:color="auto" w:fill="FFFFFF"/>
          <w:lang w:val="zh-CN"/>
        </w:rPr>
        <w:t>（一）评价结论</w:t>
      </w:r>
      <w:bookmarkEnd w:id="111"/>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楷体_GB2312" w:hAnsi="楷体_GB2312" w:eastAsia="仿宋_GB2312" w:cs="楷体_GB2312"/>
          <w:b w:val="0"/>
          <w:bCs/>
          <w:spacing w:val="-6"/>
          <w:w w:val="99"/>
          <w:sz w:val="32"/>
          <w:szCs w:val="32"/>
          <w:lang w:val="en-US" w:eastAsia="zh-CN"/>
        </w:rPr>
      </w:pPr>
      <w:r>
        <w:rPr>
          <w:rFonts w:hint="eastAsia" w:ascii="仿宋_GB2312" w:hAnsi="仿宋_GB2312" w:eastAsia="仿宋_GB2312" w:cs="仿宋_GB2312"/>
          <w:sz w:val="32"/>
          <w:szCs w:val="32"/>
        </w:rPr>
        <w:t>根据预算绩效管理工作要求及安排，我单位对202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部门整体支出</w:t>
      </w:r>
      <w:r>
        <w:rPr>
          <w:rFonts w:hint="eastAsia" w:ascii="仿宋_GB2312" w:hAnsi="仿宋_GB2312" w:eastAsia="仿宋_GB2312" w:cs="仿宋_GB2312"/>
          <w:sz w:val="32"/>
          <w:szCs w:val="32"/>
        </w:rPr>
        <w:t>绩效管理工作进行了自评考核，基础自评得分9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分，加分项得分0分，共计9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7"/>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12" w:name="_Toc29601"/>
      <w:r>
        <w:rPr>
          <w:rFonts w:hint="eastAsia" w:ascii="楷体_GB2312" w:hAnsi="楷体_GB2312" w:eastAsia="楷体_GB2312" w:cs="楷体_GB2312"/>
          <w:b w:val="0"/>
          <w:bCs w:val="0"/>
          <w:color w:val="auto"/>
          <w:kern w:val="0"/>
          <w:sz w:val="32"/>
          <w:szCs w:val="32"/>
          <w:highlight w:val="none"/>
          <w:shd w:val="clear" w:color="auto" w:fill="FFFFFF"/>
          <w:lang w:val="zh-CN"/>
        </w:rPr>
        <w:t>存在问题</w:t>
      </w:r>
      <w:bookmarkEnd w:id="112"/>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1.分析预算执行存在偏差。编制预算时难以精确预计，年中追加了预算，在预算执行中造成预算出现偏差现象。</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2.绩效目标设立不够明确、细化和量化。</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outlineLvl w:val="2"/>
        <w:rPr>
          <w:rFonts w:hint="eastAsia" w:ascii="楷体_GB2312" w:hAnsi="楷体_GB2312" w:eastAsia="楷体_GB2312" w:cs="楷体_GB2312"/>
          <w:b w:val="0"/>
          <w:bCs w:val="0"/>
          <w:color w:val="auto"/>
          <w:kern w:val="0"/>
          <w:sz w:val="32"/>
          <w:szCs w:val="32"/>
          <w:highlight w:val="none"/>
          <w:shd w:val="clear" w:color="auto" w:fill="FFFFFF"/>
          <w:lang w:val="zh-CN"/>
        </w:rPr>
      </w:pPr>
      <w:bookmarkStart w:id="113" w:name="_Toc31323"/>
      <w:r>
        <w:rPr>
          <w:rFonts w:hint="eastAsia" w:ascii="楷体_GB2312" w:hAnsi="楷体_GB2312" w:eastAsia="楷体_GB2312" w:cs="楷体_GB2312"/>
          <w:b w:val="0"/>
          <w:bCs w:val="0"/>
          <w:color w:val="auto"/>
          <w:kern w:val="0"/>
          <w:sz w:val="32"/>
          <w:szCs w:val="32"/>
          <w:highlight w:val="none"/>
          <w:shd w:val="clear" w:color="auto" w:fill="FFFFFF"/>
          <w:lang w:val="zh-CN"/>
        </w:rPr>
        <w:t>（三）改进建议</w:t>
      </w:r>
      <w:bookmarkEnd w:id="113"/>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1.进一步健全和完善财务管理制度及内部控制制度，创新管理手段，用新思路、新方法，改进完善财务管理方法。</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2.按照财政支出绩效管理的要求，建立科学的财政资金效益考评制度体系，不断提高财政资金使用管理的水平和效率。</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加强新行政单位会计制度和新预算法学习培训。加强新《预算法》《政府会计制度》等制度法规的学习培训，规范部门预算收支核算。一是制定和完善基本支出、项目支出等各项支出标准，严格按照项目和进度执行</w:t>
      </w:r>
      <w:r>
        <w:rPr>
          <w:rFonts w:hint="eastAsia" w:ascii="仿宋_GB2312" w:hAnsi="仿宋_GB2312" w:eastAsia="仿宋_GB2312" w:cs="仿宋_GB2312"/>
          <w:snapToGrid w:val="0"/>
          <w:spacing w:val="0"/>
          <w:kern w:val="0"/>
          <w:sz w:val="32"/>
          <w:szCs w:val="32"/>
          <w:lang w:val="en-US" w:eastAsia="zh-CN"/>
        </w:rPr>
        <w:t>预算</w:t>
      </w:r>
      <w:r>
        <w:rPr>
          <w:rFonts w:hint="eastAsia" w:ascii="仿宋_GB2312" w:hAnsi="仿宋_GB2312" w:eastAsia="仿宋_GB2312" w:cs="仿宋_GB2312"/>
          <w:color w:val="000000"/>
          <w:kern w:val="0"/>
          <w:sz w:val="32"/>
          <w:szCs w:val="32"/>
          <w:shd w:val="clear" w:color="auto" w:fill="FFFFFF"/>
          <w:lang w:val="en-US" w:eastAsia="zh-CN"/>
        </w:rPr>
        <w:t>，增强预算的约束力和严肃性。二是落实预算执行分析，及时了解预算执行差异，合理调整、纠正预算执行偏差，切实提高部门预算收支管理水平。</w:t>
      </w:r>
    </w:p>
    <w:tbl>
      <w:tblPr>
        <w:tblStyle w:val="16"/>
        <w:tblpPr w:leftFromText="180" w:rightFromText="180" w:vertAnchor="text" w:horzAnchor="page" w:tblpX="1161" w:tblpY="-1253"/>
        <w:tblOverlap w:val="never"/>
        <w:tblW w:w="102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92"/>
        <w:gridCol w:w="150"/>
        <w:gridCol w:w="958"/>
        <w:gridCol w:w="202"/>
        <w:gridCol w:w="43"/>
        <w:gridCol w:w="526"/>
        <w:gridCol w:w="635"/>
        <w:gridCol w:w="83"/>
        <w:gridCol w:w="657"/>
        <w:gridCol w:w="567"/>
        <w:gridCol w:w="256"/>
        <w:gridCol w:w="112"/>
        <w:gridCol w:w="284"/>
        <w:gridCol w:w="85"/>
        <w:gridCol w:w="19"/>
        <w:gridCol w:w="552"/>
        <w:gridCol w:w="455"/>
        <w:gridCol w:w="154"/>
        <w:gridCol w:w="242"/>
        <w:gridCol w:w="128"/>
        <w:gridCol w:w="31"/>
        <w:gridCol w:w="205"/>
        <w:gridCol w:w="71"/>
        <w:gridCol w:w="300"/>
        <w:gridCol w:w="162"/>
        <w:gridCol w:w="106"/>
        <w:gridCol w:w="181"/>
        <w:gridCol w:w="159"/>
        <w:gridCol w:w="181"/>
        <w:gridCol w:w="47"/>
        <w:gridCol w:w="110"/>
        <w:gridCol w:w="15"/>
        <w:gridCol w:w="220"/>
        <w:gridCol w:w="1450"/>
        <w:gridCol w:w="205"/>
        <w:gridCol w:w="63"/>
        <w:gridCol w:w="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 w:type="dxa"/>
          <w:trHeight w:val="554"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bookmarkStart w:id="114" w:name="_Toc15396618"/>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803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467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广元市朝天区土地房屋征收拆迁事务中心部门</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29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ascii="宋体" w:hAnsi="宋体" w:eastAsia="宋体" w:cs="宋体"/>
                <w:i w:val="0"/>
                <w:iCs w:val="0"/>
                <w:color w:val="auto"/>
                <w:kern w:val="0"/>
                <w:sz w:val="18"/>
                <w:szCs w:val="18"/>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13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467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33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70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13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467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33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9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803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6"/>
                <w:szCs w:val="16"/>
                <w:u w:val="none"/>
                <w:lang w:val="en-US" w:eastAsia="zh-CN" w:bidi="ar"/>
              </w:rPr>
              <w:t>该</w:t>
            </w:r>
            <w:r>
              <w:rPr>
                <w:rFonts w:hint="default" w:ascii="宋体" w:hAnsi="宋体" w:eastAsia="宋体" w:cs="宋体"/>
                <w:i w:val="0"/>
                <w:iCs w:val="0"/>
                <w:color w:val="auto"/>
                <w:kern w:val="0"/>
                <w:sz w:val="18"/>
                <w:szCs w:val="18"/>
                <w:u w:val="none"/>
                <w:lang w:val="en-US" w:eastAsia="zh-CN" w:bidi="ar"/>
              </w:rPr>
              <w:t>项目为人员类项目，主要保障部门</w:t>
            </w:r>
            <w:r>
              <w:rPr>
                <w:rFonts w:hint="eastAsia" w:ascii="宋体" w:hAnsi="宋体" w:cs="宋体"/>
                <w:i w:val="0"/>
                <w:iCs w:val="0"/>
                <w:color w:val="auto"/>
                <w:kern w:val="0"/>
                <w:sz w:val="18"/>
                <w:szCs w:val="18"/>
                <w:u w:val="none"/>
                <w:lang w:val="en-US" w:eastAsia="zh-CN" w:bidi="ar"/>
              </w:rPr>
              <w:t>7聘用人员</w:t>
            </w:r>
            <w:r>
              <w:rPr>
                <w:rFonts w:hint="default" w:ascii="宋体" w:hAnsi="宋体" w:eastAsia="宋体" w:cs="宋体"/>
                <w:i w:val="0"/>
                <w:iCs w:val="0"/>
                <w:color w:val="auto"/>
                <w:kern w:val="0"/>
                <w:sz w:val="18"/>
                <w:szCs w:val="18"/>
                <w:u w:val="none"/>
                <w:lang w:val="en-US" w:eastAsia="zh-CN" w:bidi="ar"/>
              </w:rPr>
              <w:t>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61"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19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8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24.50</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24.50</w:t>
            </w:r>
          </w:p>
        </w:tc>
        <w:tc>
          <w:tcPr>
            <w:tcW w:w="19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24.50</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ascii="宋体" w:hAnsi="宋体" w:eastAsia="宋体" w:cs="宋体"/>
                <w:i w:val="0"/>
                <w:iCs w:val="0"/>
                <w:color w:val="auto"/>
                <w:kern w:val="0"/>
                <w:sz w:val="18"/>
                <w:szCs w:val="18"/>
                <w:u w:val="none"/>
                <w:lang w:val="en-US" w:eastAsia="zh-CN" w:bidi="ar"/>
              </w:rPr>
              <w:t>%</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auto"/>
                <w:lang w:eastAsia="zh-CN"/>
              </w:rPr>
            </w:pPr>
            <w:r>
              <w:rPr>
                <w:rFonts w:hint="eastAsia"/>
                <w:color w:val="auto"/>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3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24.50</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24.50</w:t>
            </w:r>
          </w:p>
        </w:tc>
        <w:tc>
          <w:tcPr>
            <w:tcW w:w="19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24.50</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ascii="宋体" w:hAnsi="宋体" w:eastAsia="宋体" w:cs="宋体"/>
                <w:i w:val="0"/>
                <w:iCs w:val="0"/>
                <w:color w:val="auto"/>
                <w:kern w:val="0"/>
                <w:sz w:val="18"/>
                <w:szCs w:val="18"/>
                <w:u w:val="none"/>
                <w:lang w:val="en-US" w:eastAsia="zh-CN" w:bidi="ar"/>
              </w:rPr>
              <w:t>%</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4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9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0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9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91"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14"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6"/>
                <w:szCs w:val="16"/>
                <w:u w:val="none"/>
                <w:lang w:val="en-US" w:eastAsia="zh-CN" w:bidi="ar"/>
              </w:rPr>
              <w:t>产出指标</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6"/>
                <w:szCs w:val="16"/>
                <w:u w:val="none"/>
                <w:lang w:val="en-US" w:eastAsia="zh-CN" w:bidi="ar"/>
              </w:rPr>
              <w:t>数量指</w:t>
            </w:r>
            <w:r>
              <w:rPr>
                <w:rFonts w:hint="eastAsia" w:ascii="宋体" w:hAnsi="宋体" w:cs="宋体"/>
                <w:i w:val="0"/>
                <w:iCs w:val="0"/>
                <w:color w:val="auto"/>
                <w:kern w:val="0"/>
                <w:sz w:val="16"/>
                <w:szCs w:val="16"/>
                <w:u w:val="none"/>
                <w:lang w:val="en-US" w:eastAsia="zh-CN" w:bidi="ar"/>
              </w:rPr>
              <w:t>标</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60</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1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99" w:hRule="atLeast"/>
        </w:trPr>
        <w:tc>
          <w:tcPr>
            <w:tcW w:w="69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1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934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2"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934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微软雅黑" w:hAnsi="微软雅黑" w:eastAsia="微软雅黑" w:cs="微软雅黑"/>
                <w:i/>
                <w:iCs/>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52"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934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微软雅黑" w:hAnsi="微软雅黑" w:eastAsia="微软雅黑" w:cs="微软雅黑"/>
                <w:i/>
                <w:iCs/>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项目负责人：</w:t>
            </w:r>
            <w:r>
              <w:rPr>
                <w:rFonts w:hint="eastAsia" w:ascii="宋体" w:hAnsi="宋体" w:cs="宋体"/>
                <w:i w:val="0"/>
                <w:iCs w:val="0"/>
                <w:color w:val="auto"/>
                <w:kern w:val="0"/>
                <w:sz w:val="18"/>
                <w:szCs w:val="18"/>
                <w:u w:val="none"/>
                <w:lang w:val="en-US" w:eastAsia="zh-CN" w:bidi="ar"/>
              </w:rPr>
              <w:t>李克金</w:t>
            </w:r>
          </w:p>
        </w:tc>
        <w:tc>
          <w:tcPr>
            <w:tcW w:w="552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财务负责人：</w:t>
            </w:r>
            <w:r>
              <w:rPr>
                <w:rFonts w:hint="eastAsia" w:ascii="宋体" w:hAnsi="宋体" w:cs="宋体"/>
                <w:i w:val="0"/>
                <w:iCs w:val="0"/>
                <w:color w:val="auto"/>
                <w:kern w:val="0"/>
                <w:sz w:val="18"/>
                <w:szCs w:val="18"/>
                <w:u w:val="none"/>
                <w:lang w:val="en-US" w:eastAsia="zh-CN" w:bidi="ar"/>
              </w:rPr>
              <w:t>贾志伟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76"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方正小标宋简体" w:hAnsi="方正小标宋简体" w:eastAsia="方正小标宋简体" w:cs="方正小标宋简体"/>
                <w:b w:val="0"/>
                <w:bCs w:val="0"/>
                <w:i w:val="0"/>
                <w:iCs w:val="0"/>
                <w:color w:val="auto"/>
                <w:kern w:val="0"/>
                <w:sz w:val="18"/>
                <w:szCs w:val="1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r>
              <w:rPr>
                <w:rFonts w:hint="eastAsia" w:ascii="宋体" w:hAnsi="宋体" w:eastAsia="宋体" w:cs="宋体"/>
                <w:i w:val="0"/>
                <w:iCs w:val="0"/>
                <w:color w:val="auto"/>
                <w:kern w:val="0"/>
                <w:sz w:val="18"/>
                <w:szCs w:val="18"/>
                <w:u w:val="none"/>
                <w:lang w:val="en-US" w:eastAsia="zh-CN" w:bidi="ar"/>
              </w:rPr>
              <w:t>部门</w:t>
            </w:r>
          </w:p>
        </w:tc>
        <w:tc>
          <w:tcPr>
            <w:tcW w:w="101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 （盖章）</w:t>
            </w:r>
          </w:p>
        </w:tc>
        <w:tc>
          <w:tcPr>
            <w:tcW w:w="320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项目基本情况</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1.项目年度目标完成情况</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项目年度目标</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3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保障单位日常运转，提高预算编制质量，严格执行预算</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4"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2.项目实施内容及过程概述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6"/>
                <w:szCs w:val="16"/>
                <w:u w:val="none"/>
                <w:lang w:val="en-US" w:eastAsia="zh-CN" w:bidi="ar"/>
              </w:rPr>
              <w:t>该项目为特定目标类项目，主要保障部门金财网专线正常运转。2022年，该预算项目资金年</w:t>
            </w:r>
            <w:r>
              <w:rPr>
                <w:rFonts w:hint="eastAsia" w:ascii="宋体" w:hAnsi="宋体" w:cs="宋体"/>
                <w:i w:val="0"/>
                <w:iCs w:val="0"/>
                <w:color w:val="auto"/>
                <w:kern w:val="0"/>
                <w:sz w:val="16"/>
                <w:szCs w:val="16"/>
                <w:u w:val="none"/>
                <w:lang w:val="en-US" w:eastAsia="zh-CN" w:bidi="ar"/>
              </w:rPr>
              <w:t>终</w:t>
            </w:r>
            <w:r>
              <w:rPr>
                <w:rFonts w:hint="default" w:ascii="宋体" w:hAnsi="宋体" w:eastAsia="宋体" w:cs="宋体"/>
                <w:i w:val="0"/>
                <w:iCs w:val="0"/>
                <w:color w:val="auto"/>
                <w:kern w:val="0"/>
                <w:sz w:val="16"/>
                <w:szCs w:val="16"/>
                <w:u w:val="none"/>
                <w:lang w:val="en-US" w:eastAsia="zh-CN" w:bidi="ar"/>
              </w:rPr>
              <w:t>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4"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预算执行情况（10分）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年度预算数（万元）</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调整后    预算数</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预算执行数</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8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总额</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84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left"/>
              <w:textAlignment w:val="auto"/>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05"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     财政资金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7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财政专户  管理资金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0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7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52"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绩效指标（90分）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指标性质</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度量单位</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次</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60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7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6"/>
                <w:szCs w:val="16"/>
                <w:u w:val="none"/>
                <w:lang w:val="en-US" w:eastAsia="zh-CN"/>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运转保障率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671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18"/>
                <w:szCs w:val="18"/>
                <w:highlight w:val="none"/>
                <w:lang w:val="en-US" w:eastAsia="zh-CN"/>
              </w:rPr>
              <w:t>评价结论</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3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3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改进措施</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项目负责人：</w:t>
            </w:r>
            <w:r>
              <w:rPr>
                <w:rFonts w:hint="eastAsia" w:ascii="宋体" w:hAnsi="宋体" w:cs="宋体"/>
                <w:i w:val="0"/>
                <w:iCs w:val="0"/>
                <w:color w:val="auto"/>
                <w:kern w:val="0"/>
                <w:sz w:val="18"/>
                <w:szCs w:val="18"/>
                <w:u w:val="none"/>
                <w:lang w:val="en-US" w:eastAsia="zh-CN" w:bidi="ar"/>
              </w:rPr>
              <w:t>李克金</w:t>
            </w:r>
          </w:p>
        </w:tc>
        <w:tc>
          <w:tcPr>
            <w:tcW w:w="552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财务负责人：</w:t>
            </w:r>
            <w:r>
              <w:rPr>
                <w:rFonts w:hint="eastAsia" w:ascii="宋体" w:hAnsi="宋体" w:cs="宋体"/>
                <w:i w:val="0"/>
                <w:iCs w:val="0"/>
                <w:color w:val="auto"/>
                <w:kern w:val="0"/>
                <w:sz w:val="18"/>
                <w:szCs w:val="18"/>
                <w:u w:val="none"/>
                <w:lang w:val="en-US" w:eastAsia="zh-CN" w:bidi="ar"/>
              </w:rPr>
              <w:t>贾志伟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7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37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56"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5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10"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7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89"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2"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04"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方正小标宋简体" w:hAnsi="方正小标宋简体" w:eastAsia="方正小标宋简体" w:cs="方正小标宋简体"/>
                <w:b w:val="0"/>
                <w:bCs w:val="0"/>
                <w:i w:val="0"/>
                <w:iCs w:val="0"/>
                <w:color w:val="auto"/>
                <w:kern w:val="0"/>
                <w:sz w:val="18"/>
                <w:szCs w:val="1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r>
              <w:rPr>
                <w:rFonts w:hint="eastAsia" w:ascii="宋体" w:hAnsi="宋体" w:eastAsia="宋体" w:cs="宋体"/>
                <w:i w:val="0"/>
                <w:iCs w:val="0"/>
                <w:color w:val="auto"/>
                <w:kern w:val="0"/>
                <w:sz w:val="18"/>
                <w:szCs w:val="18"/>
                <w:u w:val="none"/>
                <w:lang w:val="en-US" w:eastAsia="zh-CN" w:bidi="ar"/>
              </w:rPr>
              <w:t>部门</w:t>
            </w:r>
          </w:p>
        </w:tc>
        <w:tc>
          <w:tcPr>
            <w:tcW w:w="101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 （盖章）</w:t>
            </w:r>
          </w:p>
        </w:tc>
        <w:tc>
          <w:tcPr>
            <w:tcW w:w="320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项目基本情况</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1.项目年度目标完成情况</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项目年度目标</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70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93"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2.项目实施内容及过程概述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该项目为人员类项目，主要保障部门</w:t>
            </w:r>
            <w:r>
              <w:rPr>
                <w:rFonts w:hint="eastAsia" w:ascii="宋体" w:hAnsi="宋体" w:cs="宋体"/>
                <w:i w:val="0"/>
                <w:iCs w:val="0"/>
                <w:color w:val="auto"/>
                <w:kern w:val="0"/>
                <w:sz w:val="18"/>
                <w:szCs w:val="18"/>
                <w:u w:val="none"/>
                <w:lang w:val="en-US" w:eastAsia="zh-CN" w:bidi="ar"/>
              </w:rPr>
              <w:t>10</w:t>
            </w:r>
            <w:r>
              <w:rPr>
                <w:rFonts w:hint="default" w:ascii="宋体" w:hAnsi="宋体" w:eastAsia="宋体" w:cs="宋体"/>
                <w:i w:val="0"/>
                <w:iCs w:val="0"/>
                <w:color w:val="auto"/>
                <w:kern w:val="0"/>
                <w:sz w:val="18"/>
                <w:szCs w:val="18"/>
                <w:u w:val="none"/>
                <w:lang w:val="en-US" w:eastAsia="zh-CN" w:bidi="ar"/>
              </w:rPr>
              <w:t>名</w:t>
            </w:r>
            <w:r>
              <w:rPr>
                <w:rFonts w:hint="eastAsia" w:ascii="宋体" w:hAnsi="宋体" w:cs="宋体"/>
                <w:i w:val="0"/>
                <w:iCs w:val="0"/>
                <w:color w:val="auto"/>
                <w:kern w:val="0"/>
                <w:sz w:val="18"/>
                <w:szCs w:val="18"/>
                <w:u w:val="none"/>
                <w:lang w:val="en-US" w:eastAsia="zh-CN" w:bidi="ar"/>
              </w:rPr>
              <w:t>事业人员</w:t>
            </w:r>
            <w:r>
              <w:rPr>
                <w:rFonts w:hint="default" w:ascii="宋体" w:hAnsi="宋体" w:eastAsia="宋体" w:cs="宋体"/>
                <w:i w:val="0"/>
                <w:iCs w:val="0"/>
                <w:color w:val="auto"/>
                <w:kern w:val="0"/>
                <w:sz w:val="18"/>
                <w:szCs w:val="18"/>
                <w:u w:val="none"/>
                <w:lang w:val="en-US" w:eastAsia="zh-CN" w:bidi="ar"/>
              </w:rPr>
              <w:t>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61"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预算执行情况（10分）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年度预算数（万元）</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调整后     预算数</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预算执行数</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8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总额</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69.11</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74.85</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74.85</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84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3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其中：财政资金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69.11</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74.85</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74.85</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4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财政专户管理资金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0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7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52"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绩效指标（90分）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指标性质</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度量单位</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发放覆盖率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6"/>
                <w:szCs w:val="16"/>
                <w:u w:val="none"/>
                <w:lang w:val="en-US" w:eastAsia="zh-CN"/>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  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足额保障率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6"/>
                <w:szCs w:val="16"/>
                <w:u w:val="none"/>
                <w:lang w:val="en-US" w:eastAsia="zh-CN"/>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671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评价结论</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2"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3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改进措施</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项目负责人：</w:t>
            </w:r>
            <w:r>
              <w:rPr>
                <w:rFonts w:hint="eastAsia" w:ascii="宋体" w:hAnsi="宋体" w:cs="宋体"/>
                <w:i w:val="0"/>
                <w:iCs w:val="0"/>
                <w:color w:val="auto"/>
                <w:kern w:val="0"/>
                <w:sz w:val="18"/>
                <w:szCs w:val="18"/>
                <w:u w:val="none"/>
                <w:lang w:val="en-US" w:eastAsia="zh-CN" w:bidi="ar"/>
              </w:rPr>
              <w:t>李克金</w:t>
            </w:r>
          </w:p>
        </w:tc>
        <w:tc>
          <w:tcPr>
            <w:tcW w:w="552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财务负责人：</w:t>
            </w:r>
            <w:r>
              <w:rPr>
                <w:rFonts w:hint="eastAsia" w:ascii="宋体" w:hAnsi="宋体" w:cs="宋体"/>
                <w:i w:val="0"/>
                <w:iCs w:val="0"/>
                <w:color w:val="auto"/>
                <w:kern w:val="0"/>
                <w:sz w:val="18"/>
                <w:szCs w:val="18"/>
                <w:u w:val="none"/>
                <w:lang w:val="en-US" w:eastAsia="zh-CN" w:bidi="ar"/>
              </w:rPr>
              <w:t>贾志伟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7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37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56"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p>
            <w:pPr>
              <w:pStyle w:val="5"/>
              <w:rPr>
                <w:rFonts w:hint="eastAsia"/>
                <w:color w:val="auto"/>
                <w:sz w:val="18"/>
                <w:szCs w:val="18"/>
              </w:rPr>
            </w:pPr>
          </w:p>
        </w:tc>
        <w:tc>
          <w:tcPr>
            <w:tcW w:w="55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10"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7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89"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2"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04"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方正小标宋简体" w:hAnsi="方正小标宋简体" w:eastAsia="方正小标宋简体" w:cs="方正小标宋简体"/>
                <w:b w:val="0"/>
                <w:bCs w:val="0"/>
                <w:i w:val="0"/>
                <w:iCs w:val="0"/>
                <w:color w:val="auto"/>
                <w:kern w:val="0"/>
                <w:sz w:val="18"/>
                <w:szCs w:val="1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r>
              <w:rPr>
                <w:rFonts w:hint="eastAsia" w:ascii="宋体" w:hAnsi="宋体" w:eastAsia="宋体" w:cs="宋体"/>
                <w:i w:val="0"/>
                <w:iCs w:val="0"/>
                <w:color w:val="auto"/>
                <w:kern w:val="0"/>
                <w:sz w:val="18"/>
                <w:szCs w:val="18"/>
                <w:u w:val="none"/>
                <w:lang w:val="en-US" w:eastAsia="zh-CN" w:bidi="ar"/>
              </w:rPr>
              <w:t>部门</w:t>
            </w:r>
          </w:p>
        </w:tc>
        <w:tc>
          <w:tcPr>
            <w:tcW w:w="101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 （盖章）</w:t>
            </w:r>
          </w:p>
        </w:tc>
        <w:tc>
          <w:tcPr>
            <w:tcW w:w="320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项目基本情况</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1.项目年度目标完成情况</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项目年度目标</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70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93"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2.项目实施内容及过程概述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该项目为人员类项目，主要保障部门</w:t>
            </w:r>
            <w:r>
              <w:rPr>
                <w:rFonts w:hint="eastAsia" w:ascii="宋体" w:hAnsi="宋体" w:cs="宋体"/>
                <w:i w:val="0"/>
                <w:iCs w:val="0"/>
                <w:color w:val="auto"/>
                <w:kern w:val="0"/>
                <w:sz w:val="18"/>
                <w:szCs w:val="18"/>
                <w:u w:val="none"/>
                <w:lang w:val="en-US" w:eastAsia="zh-CN" w:bidi="ar"/>
              </w:rPr>
              <w:t>10名事业人员</w:t>
            </w:r>
            <w:r>
              <w:rPr>
                <w:rFonts w:hint="default" w:ascii="宋体" w:hAnsi="宋体" w:eastAsia="宋体" w:cs="宋体"/>
                <w:i w:val="0"/>
                <w:iCs w:val="0"/>
                <w:color w:val="auto"/>
                <w:kern w:val="0"/>
                <w:sz w:val="18"/>
                <w:szCs w:val="18"/>
                <w:u w:val="none"/>
                <w:lang w:val="en-US" w:eastAsia="zh-CN" w:bidi="ar"/>
              </w:rPr>
              <w:t>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61"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预算执行情况（10分）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年度预算数（万元）</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调整后    预算数</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预算执行数</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8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总额</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10.95</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11.61</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11.61</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84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0"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其中：财政资金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10.95</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11.61</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11.61</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4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财政专户管理资金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0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7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52"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绩效指标（90分）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指标性质</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度量单位</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发放（缴纳）覆盖率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足额保障率（参保率）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671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评价结论</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2"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3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改进措施</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项目负责人：</w:t>
            </w:r>
            <w:r>
              <w:rPr>
                <w:rFonts w:hint="eastAsia" w:ascii="宋体" w:hAnsi="宋体" w:cs="宋体"/>
                <w:i w:val="0"/>
                <w:iCs w:val="0"/>
                <w:color w:val="auto"/>
                <w:kern w:val="0"/>
                <w:sz w:val="18"/>
                <w:szCs w:val="18"/>
                <w:u w:val="none"/>
                <w:lang w:val="en-US" w:eastAsia="zh-CN" w:bidi="ar"/>
              </w:rPr>
              <w:t>李克金</w:t>
            </w:r>
          </w:p>
        </w:tc>
        <w:tc>
          <w:tcPr>
            <w:tcW w:w="552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财务负责人：</w:t>
            </w:r>
            <w:r>
              <w:rPr>
                <w:rFonts w:hint="eastAsia" w:ascii="宋体" w:hAnsi="宋体" w:cs="宋体"/>
                <w:i w:val="0"/>
                <w:iCs w:val="0"/>
                <w:color w:val="auto"/>
                <w:kern w:val="0"/>
                <w:sz w:val="18"/>
                <w:szCs w:val="18"/>
                <w:u w:val="none"/>
                <w:lang w:val="en-US" w:eastAsia="zh-CN" w:bidi="ar"/>
              </w:rPr>
              <w:t>贾志伟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7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37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56"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p>
            <w:pPr>
              <w:pStyle w:val="5"/>
              <w:rPr>
                <w:rFonts w:hint="eastAsia"/>
                <w:color w:val="auto"/>
                <w:sz w:val="18"/>
                <w:szCs w:val="18"/>
              </w:rPr>
            </w:pPr>
          </w:p>
        </w:tc>
        <w:tc>
          <w:tcPr>
            <w:tcW w:w="55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10"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7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89"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2"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04"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方正小标宋简体" w:hAnsi="方正小标宋简体" w:eastAsia="方正小标宋简体" w:cs="方正小标宋简体"/>
                <w:b w:val="0"/>
                <w:bCs w:val="0"/>
                <w:i w:val="0"/>
                <w:iCs w:val="0"/>
                <w:color w:val="auto"/>
                <w:kern w:val="0"/>
                <w:sz w:val="18"/>
                <w:szCs w:val="1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r>
              <w:rPr>
                <w:rFonts w:hint="eastAsia" w:ascii="宋体" w:hAnsi="宋体" w:eastAsia="宋体" w:cs="宋体"/>
                <w:i w:val="0"/>
                <w:iCs w:val="0"/>
                <w:color w:val="auto"/>
                <w:kern w:val="0"/>
                <w:sz w:val="18"/>
                <w:szCs w:val="18"/>
                <w:u w:val="none"/>
                <w:lang w:val="en-US" w:eastAsia="zh-CN" w:bidi="ar"/>
              </w:rPr>
              <w:t>部门</w:t>
            </w:r>
          </w:p>
        </w:tc>
        <w:tc>
          <w:tcPr>
            <w:tcW w:w="101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 （盖章）</w:t>
            </w:r>
          </w:p>
        </w:tc>
        <w:tc>
          <w:tcPr>
            <w:tcW w:w="320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项目基本情况</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1.项目年度目标完成情况</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项目年度目标</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70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93"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2.项目实施内容及过程概述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该项目为人员类项目，主要保障部</w:t>
            </w:r>
            <w:r>
              <w:rPr>
                <w:rFonts w:hint="eastAsia" w:ascii="宋体" w:hAnsi="宋体" w:cs="宋体"/>
                <w:i w:val="0"/>
                <w:iCs w:val="0"/>
                <w:color w:val="auto"/>
                <w:kern w:val="0"/>
                <w:sz w:val="18"/>
                <w:szCs w:val="18"/>
                <w:u w:val="none"/>
                <w:lang w:val="en-US" w:eastAsia="zh-CN" w:bidi="ar"/>
              </w:rPr>
              <w:t>本单位</w:t>
            </w:r>
            <w:r>
              <w:rPr>
                <w:rFonts w:hint="default" w:ascii="宋体" w:hAnsi="宋体" w:eastAsia="宋体" w:cs="宋体"/>
                <w:i w:val="0"/>
                <w:iCs w:val="0"/>
                <w:color w:val="auto"/>
                <w:kern w:val="0"/>
                <w:sz w:val="18"/>
                <w:szCs w:val="18"/>
                <w:u w:val="none"/>
                <w:lang w:val="en-US" w:eastAsia="zh-CN" w:bidi="ar"/>
              </w:rPr>
              <w:t>门</w:t>
            </w:r>
            <w:r>
              <w:rPr>
                <w:rFonts w:hint="eastAsia" w:ascii="宋体" w:hAnsi="宋体" w:cs="宋体"/>
                <w:i w:val="0"/>
                <w:iCs w:val="0"/>
                <w:color w:val="auto"/>
                <w:kern w:val="0"/>
                <w:sz w:val="18"/>
                <w:szCs w:val="18"/>
                <w:u w:val="none"/>
                <w:lang w:val="en-US" w:eastAsia="zh-CN" w:bidi="ar"/>
              </w:rPr>
              <w:t>10名事业人员</w:t>
            </w:r>
            <w:r>
              <w:rPr>
                <w:rFonts w:hint="default" w:ascii="宋体" w:hAnsi="宋体" w:eastAsia="宋体" w:cs="宋体"/>
                <w:i w:val="0"/>
                <w:iCs w:val="0"/>
                <w:color w:val="auto"/>
                <w:kern w:val="0"/>
                <w:sz w:val="18"/>
                <w:szCs w:val="18"/>
                <w:u w:val="none"/>
                <w:lang w:val="en-US" w:eastAsia="zh-CN" w:bidi="ar"/>
              </w:rPr>
              <w:t>2022年度</w:t>
            </w:r>
            <w:r>
              <w:rPr>
                <w:rFonts w:hint="eastAsia" w:ascii="宋体" w:hAnsi="宋体" w:cs="宋体"/>
                <w:i w:val="0"/>
                <w:iCs w:val="0"/>
                <w:color w:val="auto"/>
                <w:kern w:val="0"/>
                <w:sz w:val="18"/>
                <w:szCs w:val="18"/>
                <w:u w:val="none"/>
                <w:lang w:val="en-US" w:eastAsia="zh-CN" w:bidi="ar"/>
              </w:rPr>
              <w:t>医疗</w:t>
            </w:r>
            <w:r>
              <w:rPr>
                <w:rFonts w:hint="default" w:ascii="宋体" w:hAnsi="宋体" w:eastAsia="宋体" w:cs="宋体"/>
                <w:i w:val="0"/>
                <w:iCs w:val="0"/>
                <w:color w:val="auto"/>
                <w:kern w:val="0"/>
                <w:sz w:val="18"/>
                <w:szCs w:val="18"/>
                <w:u w:val="none"/>
                <w:lang w:val="en-US" w:eastAsia="zh-CN" w:bidi="ar"/>
              </w:rPr>
              <w:t>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61"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预算执行情况（10分）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年度预算数（万元）</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调整后     预算数</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预算执行数</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8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总额</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5.48</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5.81</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5.81</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84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3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其中：财政资金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5.48</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5.81</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5.81</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4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财政专户管理资金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0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7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8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452"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绩效指标（90分）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指标性质</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度量单位</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发放（缴纳）覆盖率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   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足额保障率（参保率）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30</w:t>
            </w: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286" w:hRule="atLeast"/>
        </w:trPr>
        <w:tc>
          <w:tcPr>
            <w:tcW w:w="69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评价结论</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2"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3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改进措施</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项目负责人：</w:t>
            </w:r>
            <w:r>
              <w:rPr>
                <w:rFonts w:hint="eastAsia" w:ascii="宋体" w:hAnsi="宋体" w:cs="宋体"/>
                <w:i w:val="0"/>
                <w:iCs w:val="0"/>
                <w:color w:val="auto"/>
                <w:kern w:val="0"/>
                <w:sz w:val="18"/>
                <w:szCs w:val="18"/>
                <w:u w:val="none"/>
                <w:lang w:val="en-US" w:eastAsia="zh-CN" w:bidi="ar"/>
              </w:rPr>
              <w:t>李克金</w:t>
            </w:r>
          </w:p>
        </w:tc>
        <w:tc>
          <w:tcPr>
            <w:tcW w:w="552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财务负责人：</w:t>
            </w:r>
            <w:r>
              <w:rPr>
                <w:rFonts w:hint="eastAsia" w:ascii="宋体" w:hAnsi="宋体" w:cs="宋体"/>
                <w:i w:val="0"/>
                <w:iCs w:val="0"/>
                <w:color w:val="auto"/>
                <w:kern w:val="0"/>
                <w:sz w:val="18"/>
                <w:szCs w:val="18"/>
                <w:u w:val="none"/>
                <w:lang w:val="en-US" w:eastAsia="zh-CN" w:bidi="ar"/>
              </w:rPr>
              <w:t>贾志伟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286" w:hRule="atLeast"/>
        </w:trPr>
        <w:tc>
          <w:tcPr>
            <w:tcW w:w="7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7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37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p>
            <w:pPr>
              <w:pStyle w:val="5"/>
              <w:rPr>
                <w:rFonts w:hint="eastAsia"/>
                <w:color w:val="auto"/>
                <w:sz w:val="18"/>
                <w:szCs w:val="18"/>
              </w:rPr>
            </w:pPr>
          </w:p>
        </w:tc>
        <w:tc>
          <w:tcPr>
            <w:tcW w:w="756"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5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286" w:type="dxa"/>
            <w:gridSpan w:val="7"/>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8"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78"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953"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286" w:hRule="atLeast"/>
        </w:trPr>
        <w:tc>
          <w:tcPr>
            <w:tcW w:w="7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7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37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56"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p>
            <w:pPr>
              <w:pStyle w:val="5"/>
              <w:rPr>
                <w:rFonts w:hint="eastAsia"/>
                <w:color w:val="auto"/>
                <w:sz w:val="18"/>
                <w:szCs w:val="18"/>
              </w:rPr>
            </w:pPr>
          </w:p>
        </w:tc>
        <w:tc>
          <w:tcPr>
            <w:tcW w:w="55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286" w:type="dxa"/>
            <w:gridSpan w:val="7"/>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8"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78"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953"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04"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方正小标宋简体" w:hAnsi="方正小标宋简体" w:eastAsia="方正小标宋简体" w:cs="方正小标宋简体"/>
                <w:b w:val="0"/>
                <w:bCs w:val="0"/>
                <w:i w:val="0"/>
                <w:iCs w:val="0"/>
                <w:color w:val="auto"/>
                <w:kern w:val="0"/>
                <w:sz w:val="18"/>
                <w:szCs w:val="1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r>
              <w:rPr>
                <w:rFonts w:hint="eastAsia" w:ascii="宋体" w:hAnsi="宋体" w:eastAsia="宋体" w:cs="宋体"/>
                <w:i w:val="0"/>
                <w:iCs w:val="0"/>
                <w:color w:val="auto"/>
                <w:kern w:val="0"/>
                <w:sz w:val="18"/>
                <w:szCs w:val="18"/>
                <w:u w:val="none"/>
                <w:lang w:val="en-US" w:eastAsia="zh-CN" w:bidi="ar"/>
              </w:rPr>
              <w:t>部门</w:t>
            </w:r>
          </w:p>
        </w:tc>
        <w:tc>
          <w:tcPr>
            <w:tcW w:w="128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 （盖章）</w:t>
            </w:r>
          </w:p>
        </w:tc>
        <w:tc>
          <w:tcPr>
            <w:tcW w:w="29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项目基本情况</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1.项目年度目标完成情况</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项目年度目标</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70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891"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2.项目实施内容及过程概述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项目为人员类项目，主要保障部门</w:t>
            </w:r>
            <w:r>
              <w:rPr>
                <w:rFonts w:hint="eastAsia" w:ascii="宋体" w:hAnsi="宋体" w:cs="宋体"/>
                <w:i w:val="0"/>
                <w:iCs w:val="0"/>
                <w:color w:val="auto"/>
                <w:kern w:val="0"/>
                <w:sz w:val="18"/>
                <w:szCs w:val="18"/>
                <w:u w:val="none"/>
                <w:lang w:val="en-US" w:eastAsia="zh-CN" w:bidi="ar"/>
              </w:rPr>
              <w:t>10名事业人员</w:t>
            </w:r>
            <w:r>
              <w:rPr>
                <w:rFonts w:hint="default" w:ascii="宋体" w:hAnsi="宋体" w:eastAsia="宋体" w:cs="宋体"/>
                <w:i w:val="0"/>
                <w:iCs w:val="0"/>
                <w:color w:val="auto"/>
                <w:kern w:val="0"/>
                <w:sz w:val="18"/>
                <w:szCs w:val="18"/>
                <w:u w:val="none"/>
                <w:lang w:val="en-US" w:eastAsia="zh-CN" w:bidi="ar"/>
              </w:rPr>
              <w:t>2022年度</w:t>
            </w:r>
            <w:r>
              <w:rPr>
                <w:rFonts w:hint="eastAsia" w:ascii="宋体" w:hAnsi="宋体" w:cs="宋体"/>
                <w:i w:val="0"/>
                <w:iCs w:val="0"/>
                <w:color w:val="auto"/>
                <w:kern w:val="0"/>
                <w:sz w:val="18"/>
                <w:szCs w:val="18"/>
                <w:u w:val="none"/>
                <w:lang w:val="en-US" w:eastAsia="zh-CN" w:bidi="ar"/>
              </w:rPr>
              <w:t>住房公积金</w:t>
            </w:r>
            <w:r>
              <w:rPr>
                <w:rFonts w:hint="default" w:ascii="宋体" w:hAnsi="宋体" w:eastAsia="宋体" w:cs="宋体"/>
                <w:i w:val="0"/>
                <w:iCs w:val="0"/>
                <w:color w:val="auto"/>
                <w:kern w:val="0"/>
                <w:sz w:val="18"/>
                <w:szCs w:val="18"/>
                <w:u w:val="none"/>
                <w:lang w:val="en-US" w:eastAsia="zh-CN" w:bidi="ar"/>
              </w:rPr>
              <w:t>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61"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预算执行情况（10分）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年度预算数（万元）</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调整后     预算数</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预算执行数</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8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总额</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8.21</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12.01</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12.01</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95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3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其中：财政资金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8.21</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12.01</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12.01</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95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4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财政专户管理资金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95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0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95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7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95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52"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绩效指标（90分）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指标性质</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度量单位</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权重</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发放（缴纳）覆盖率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60</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足额保障率（参保率）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30</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286" w:hRule="atLeast"/>
        </w:trPr>
        <w:tc>
          <w:tcPr>
            <w:tcW w:w="69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评价结论</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2"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3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改进措施</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项目负责人：</w:t>
            </w:r>
            <w:r>
              <w:rPr>
                <w:rFonts w:hint="eastAsia" w:ascii="宋体" w:hAnsi="宋体" w:cs="宋体"/>
                <w:i w:val="0"/>
                <w:iCs w:val="0"/>
                <w:color w:val="auto"/>
                <w:kern w:val="0"/>
                <w:sz w:val="18"/>
                <w:szCs w:val="18"/>
                <w:u w:val="none"/>
                <w:lang w:val="en-US" w:eastAsia="zh-CN" w:bidi="ar"/>
              </w:rPr>
              <w:t>李克金</w:t>
            </w:r>
          </w:p>
        </w:tc>
        <w:tc>
          <w:tcPr>
            <w:tcW w:w="552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财务负责人：</w:t>
            </w:r>
            <w:r>
              <w:rPr>
                <w:rFonts w:hint="eastAsia" w:ascii="宋体" w:hAnsi="宋体" w:cs="宋体"/>
                <w:i w:val="0"/>
                <w:iCs w:val="0"/>
                <w:color w:val="auto"/>
                <w:kern w:val="0"/>
                <w:sz w:val="18"/>
                <w:szCs w:val="18"/>
                <w:u w:val="none"/>
                <w:lang w:val="en-US" w:eastAsia="zh-CN" w:bidi="ar"/>
              </w:rPr>
              <w:t>贾志伟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286" w:hRule="atLeast"/>
        </w:trPr>
        <w:tc>
          <w:tcPr>
            <w:tcW w:w="7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7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37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p>
            <w:pPr>
              <w:pStyle w:val="5"/>
              <w:rPr>
                <w:rFonts w:hint="eastAsia"/>
                <w:color w:val="auto"/>
                <w:sz w:val="18"/>
                <w:szCs w:val="18"/>
              </w:rPr>
            </w:pPr>
          </w:p>
        </w:tc>
        <w:tc>
          <w:tcPr>
            <w:tcW w:w="756"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5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286" w:type="dxa"/>
            <w:gridSpan w:val="7"/>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8"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2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110" w:type="dxa"/>
            <w:gridSpan w:val="7"/>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04"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9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799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9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475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广元市朝天区土地房屋征收拆迁事务中心部门</w:t>
            </w:r>
          </w:p>
        </w:tc>
        <w:tc>
          <w:tcPr>
            <w:tcW w:w="7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ascii="宋体" w:hAnsi="宋体" w:eastAsia="宋体" w:cs="宋体"/>
                <w:i w:val="0"/>
                <w:iCs w:val="0"/>
                <w:color w:val="auto"/>
                <w:kern w:val="0"/>
                <w:sz w:val="18"/>
                <w:szCs w:val="18"/>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144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475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32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708"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14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475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32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93"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799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该项目为人员类项目，主要保障部门</w:t>
            </w:r>
            <w:r>
              <w:rPr>
                <w:rFonts w:hint="eastAsia" w:ascii="宋体" w:hAnsi="宋体" w:cs="宋体"/>
                <w:i w:val="0"/>
                <w:iCs w:val="0"/>
                <w:color w:val="auto"/>
                <w:kern w:val="0"/>
                <w:sz w:val="18"/>
                <w:szCs w:val="18"/>
                <w:u w:val="none"/>
                <w:lang w:val="en-US" w:eastAsia="zh-CN" w:bidi="ar"/>
              </w:rPr>
              <w:t>10名事业人员</w:t>
            </w:r>
            <w:r>
              <w:rPr>
                <w:rFonts w:hint="default" w:ascii="宋体" w:hAnsi="宋体" w:eastAsia="宋体" w:cs="宋体"/>
                <w:i w:val="0"/>
                <w:iCs w:val="0"/>
                <w:color w:val="auto"/>
                <w:kern w:val="0"/>
                <w:sz w:val="18"/>
                <w:szCs w:val="18"/>
                <w:u w:val="none"/>
                <w:lang w:val="en-US" w:eastAsia="zh-CN" w:bidi="ar"/>
              </w:rPr>
              <w:t>2022年度</w:t>
            </w:r>
            <w:r>
              <w:rPr>
                <w:rFonts w:hint="eastAsia" w:ascii="宋体" w:hAnsi="宋体" w:cs="宋体"/>
                <w:i w:val="0"/>
                <w:iCs w:val="0"/>
                <w:color w:val="auto"/>
                <w:kern w:val="0"/>
                <w:sz w:val="18"/>
                <w:szCs w:val="18"/>
                <w:u w:val="none"/>
                <w:lang w:val="en-US" w:eastAsia="zh-CN" w:bidi="ar"/>
              </w:rPr>
              <w:t>目标绩效奖发放</w:t>
            </w:r>
            <w:r>
              <w:rPr>
                <w:rFonts w:hint="default" w:ascii="宋体" w:hAnsi="宋体" w:eastAsia="宋体" w:cs="宋体"/>
                <w:i w:val="0"/>
                <w:iCs w:val="0"/>
                <w:color w:val="auto"/>
                <w:kern w:val="0"/>
                <w:sz w:val="18"/>
                <w:szCs w:val="18"/>
                <w:u w:val="none"/>
                <w:lang w:val="en-US" w:eastAsia="zh-CN" w:bidi="ar"/>
              </w:rPr>
              <w:t>。2022年，该预算项目资金按月支付，及时足额缴纳，预算执行率100%，年末无资金结余情况。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2" w:type="dxa"/>
          <w:trHeight w:val="361"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1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8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2" w:type="dxa"/>
          <w:trHeight w:val="1543"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36.00</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36.00</w:t>
            </w:r>
          </w:p>
        </w:tc>
        <w:tc>
          <w:tcPr>
            <w:tcW w:w="1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36.00</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c>
          <w:tcPr>
            <w:tcW w:w="16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rPr>
            </w:pPr>
            <w:r>
              <w:rPr>
                <w:rFonts w:hint="eastAsia" w:ascii="黑体" w:hAnsi="黑体" w:eastAsia="黑体" w:cs="黑体"/>
                <w:i/>
                <w:iCs/>
                <w:color w:val="auto"/>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2" w:type="dxa"/>
          <w:trHeight w:val="1458"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36.00</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36.00</w:t>
            </w:r>
          </w:p>
        </w:tc>
        <w:tc>
          <w:tcPr>
            <w:tcW w:w="1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36.00</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2" w:type="dxa"/>
          <w:trHeight w:val="987"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2" w:type="dxa"/>
          <w:trHeight w:val="40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2" w:type="dxa"/>
          <w:trHeight w:val="37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60</w:t>
            </w:r>
          </w:p>
        </w:tc>
        <w:tc>
          <w:tcPr>
            <w:tcW w:w="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w:t>
            </w:r>
          </w:p>
        </w:tc>
        <w:tc>
          <w:tcPr>
            <w:tcW w:w="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1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结余率（计算方法为：结余数/预算数）</w:t>
            </w:r>
          </w:p>
        </w:tc>
        <w:tc>
          <w:tcPr>
            <w:tcW w:w="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69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1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9438"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rPr>
            </w:pPr>
            <w:r>
              <w:rPr>
                <w:rFonts w:hint="eastAsia" w:ascii="宋体" w:hAnsi="宋体" w:cs="宋体"/>
                <w:i w:val="0"/>
                <w:iCs w:val="0"/>
                <w:color w:val="auto"/>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9438"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rPr>
            </w:pPr>
            <w:r>
              <w:rPr>
                <w:rFonts w:hint="eastAsia" w:ascii="微软雅黑" w:hAnsi="微软雅黑" w:eastAsia="微软雅黑" w:cs="微软雅黑"/>
                <w:i/>
                <w:iCs/>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3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9438"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rPr>
            </w:pPr>
            <w:r>
              <w:rPr>
                <w:rFonts w:hint="eastAsia" w:ascii="微软雅黑" w:hAnsi="微软雅黑" w:eastAsia="微软雅黑" w:cs="微软雅黑"/>
                <w:i/>
                <w:iCs/>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513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项目负责人：李克金</w:t>
            </w:r>
          </w:p>
        </w:tc>
        <w:tc>
          <w:tcPr>
            <w:tcW w:w="478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rPr>
            </w:pPr>
            <w:r>
              <w:rPr>
                <w:rFonts w:hint="eastAsia" w:ascii="黑体" w:hAnsi="黑体" w:eastAsia="黑体" w:cs="黑体"/>
                <w:i w:val="0"/>
                <w:iCs w:val="0"/>
                <w:color w:val="auto"/>
                <w:kern w:val="0"/>
                <w:sz w:val="18"/>
                <w:szCs w:val="18"/>
                <w:u w:val="none"/>
                <w:lang w:val="en-US" w:eastAsia="zh-CN" w:bidi="ar"/>
              </w:rPr>
              <w:t>财务负责人：贾志伟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904" w:hRule="atLeast"/>
        </w:trPr>
        <w:tc>
          <w:tcPr>
            <w:tcW w:w="99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方正小标宋简体" w:hAnsi="方正小标宋简体" w:eastAsia="方正小标宋简体" w:cs="方正小标宋简体"/>
                <w:b w:val="0"/>
                <w:bCs w:val="0"/>
                <w:i w:val="0"/>
                <w:iCs w:val="0"/>
                <w:color w:val="auto"/>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51081222Y000005135504-定额公用经费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12" w:hRule="atLeast"/>
        </w:trPr>
        <w:tc>
          <w:tcPr>
            <w:tcW w:w="1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广元市朝天区土地房屋征收拆迁事务中心</w:t>
            </w:r>
            <w:r>
              <w:rPr>
                <w:rFonts w:hint="eastAsia" w:ascii="宋体" w:hAnsi="宋体" w:eastAsia="宋体" w:cs="宋体"/>
                <w:i w:val="0"/>
                <w:iCs w:val="0"/>
                <w:color w:val="auto"/>
                <w:kern w:val="0"/>
                <w:sz w:val="16"/>
                <w:szCs w:val="16"/>
                <w:u w:val="none"/>
                <w:lang w:val="en-US" w:eastAsia="zh-CN" w:bidi="ar"/>
              </w:rPr>
              <w:t>部门</w:t>
            </w:r>
          </w:p>
        </w:tc>
        <w:tc>
          <w:tcPr>
            <w:tcW w:w="1286" w:type="dxa"/>
            <w:gridSpan w:val="7"/>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 （盖章）</w:t>
            </w:r>
          </w:p>
        </w:tc>
        <w:tc>
          <w:tcPr>
            <w:tcW w:w="29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广元市朝天区土地房屋征收拆迁事务中心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项目基本情况</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1.项目年度目标完成情况</w:t>
            </w: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项目年度目标</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70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c>
          <w:tcPr>
            <w:tcW w:w="40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保障单位日常运转，提高预算编制质量，严格执行预算</w:t>
            </w:r>
          </w:p>
        </w:tc>
        <w:tc>
          <w:tcPr>
            <w:tcW w:w="42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93"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2.项目实施内容及过程概述</w:t>
            </w:r>
          </w:p>
        </w:tc>
        <w:tc>
          <w:tcPr>
            <w:tcW w:w="823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r>
              <w:rPr>
                <w:rFonts w:hint="default" w:ascii="宋体" w:hAnsi="宋体" w:eastAsia="宋体" w:cs="宋体"/>
                <w:i w:val="0"/>
                <w:iCs w:val="0"/>
                <w:color w:val="auto"/>
                <w:kern w:val="0"/>
                <w:sz w:val="16"/>
                <w:szCs w:val="16"/>
                <w:u w:val="none"/>
                <w:lang w:val="en-US" w:eastAsia="zh-CN" w:bidi="ar"/>
              </w:rPr>
              <w:t>该项目为人员类项目，主要保障部门</w:t>
            </w:r>
            <w:r>
              <w:rPr>
                <w:rFonts w:hint="eastAsia" w:ascii="宋体" w:hAnsi="宋体" w:cs="宋体"/>
                <w:i w:val="0"/>
                <w:iCs w:val="0"/>
                <w:color w:val="auto"/>
                <w:kern w:val="0"/>
                <w:sz w:val="16"/>
                <w:szCs w:val="16"/>
                <w:u w:val="none"/>
                <w:lang w:val="en-US" w:eastAsia="zh-CN" w:bidi="ar"/>
              </w:rPr>
              <w:t>10名事业人员</w:t>
            </w:r>
            <w:r>
              <w:rPr>
                <w:rFonts w:hint="default" w:ascii="宋体" w:hAnsi="宋体" w:eastAsia="宋体" w:cs="宋体"/>
                <w:i w:val="0"/>
                <w:iCs w:val="0"/>
                <w:color w:val="auto"/>
                <w:kern w:val="0"/>
                <w:sz w:val="16"/>
                <w:szCs w:val="16"/>
                <w:u w:val="none"/>
                <w:lang w:val="en-US" w:eastAsia="zh-CN" w:bidi="ar"/>
              </w:rPr>
              <w:t>2022年度</w:t>
            </w:r>
            <w:r>
              <w:rPr>
                <w:rFonts w:hint="eastAsia" w:ascii="宋体" w:hAnsi="宋体" w:cs="宋体"/>
                <w:i w:val="0"/>
                <w:iCs w:val="0"/>
                <w:color w:val="auto"/>
                <w:kern w:val="0"/>
                <w:sz w:val="16"/>
                <w:szCs w:val="16"/>
                <w:u w:val="none"/>
                <w:lang w:val="en-US" w:eastAsia="zh-CN" w:bidi="ar"/>
              </w:rPr>
              <w:t>公用金费支出</w:t>
            </w:r>
            <w:r>
              <w:rPr>
                <w:rFonts w:hint="default" w:ascii="宋体" w:hAnsi="宋体" w:eastAsia="宋体" w:cs="宋体"/>
                <w:i w:val="0"/>
                <w:iCs w:val="0"/>
                <w:color w:val="auto"/>
                <w:kern w:val="0"/>
                <w:sz w:val="16"/>
                <w:szCs w:val="16"/>
                <w:u w:val="none"/>
                <w:lang w:val="en-US" w:eastAsia="zh-CN" w:bidi="ar"/>
              </w:rPr>
              <w:t>。2022年，该预算项目资金按月支付，及时足额缴纳，预算执行率100%，年末无资金结余情况。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61"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预算执行情况（10分）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年度预算数（万元）</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调整后    预算数</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预算执行数</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预算执行率</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权重</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22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8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总额</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10.00</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w:t>
            </w:r>
          </w:p>
        </w:tc>
        <w:tc>
          <w:tcPr>
            <w:tcW w:w="229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无</w:t>
            </w:r>
            <w:r>
              <w:rPr>
                <w:rFonts w:hint="eastAsia" w:ascii="宋体" w:hAnsi="宋体" w:eastAsia="宋体" w:cs="宋体"/>
                <w:i w:val="0"/>
                <w:iCs w:val="0"/>
                <w:color w:val="auto"/>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3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其中：财政资金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10.00</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229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47"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财政专户管理资金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229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02"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229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7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其他资金</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229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52" w:hRule="atLeast"/>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绩效指标（90分）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三级指标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指标性质</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度量单位</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权重</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ascii="宋体" w:hAnsi="宋体" w:eastAsia="宋体" w:cs="宋体"/>
                <w:i w:val="0"/>
                <w:iCs w:val="0"/>
                <w:color w:val="auto"/>
                <w:kern w:val="0"/>
                <w:sz w:val="18"/>
                <w:szCs w:val="18"/>
                <w:u w:val="none"/>
                <w:lang w:val="en-US" w:eastAsia="zh-CN" w:bidi="ar"/>
              </w:rPr>
              <w:t>足额保障率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次</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60</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60</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678"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auto"/>
                <w:sz w:val="16"/>
                <w:szCs w:val="16"/>
                <w:u w:val="none"/>
              </w:rPr>
            </w:pPr>
            <w:r>
              <w:rPr>
                <w:rFonts w:ascii="宋体" w:hAnsi="宋体" w:eastAsia="宋体" w:cs="宋体"/>
                <w:i w:val="0"/>
                <w:iCs w:val="0"/>
                <w:color w:val="auto"/>
                <w:kern w:val="0"/>
                <w:sz w:val="18"/>
                <w:szCs w:val="18"/>
                <w:u w:val="none"/>
                <w:lang w:val="en-US" w:eastAsia="zh-CN" w:bidi="ar"/>
              </w:rPr>
              <w:t>保障率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339" w:hRule="atLeast"/>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  指标</w:t>
            </w:r>
          </w:p>
        </w:tc>
        <w:tc>
          <w:tcPr>
            <w:tcW w:w="1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运转保障率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12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100</w:t>
            </w:r>
          </w:p>
        </w:tc>
        <w:tc>
          <w:tcPr>
            <w:tcW w:w="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20</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20</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286" w:hRule="atLeast"/>
        </w:trPr>
        <w:tc>
          <w:tcPr>
            <w:tcW w:w="69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合计</w:t>
            </w:r>
          </w:p>
        </w:tc>
        <w:tc>
          <w:tcPr>
            <w:tcW w:w="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100</w:t>
            </w:r>
          </w:p>
        </w:tc>
        <w:tc>
          <w:tcPr>
            <w:tcW w:w="2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0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评价结论</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572"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存在问题</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633" w:hRule="atLeast"/>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改进措施</w:t>
            </w:r>
          </w:p>
        </w:tc>
        <w:tc>
          <w:tcPr>
            <w:tcW w:w="91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7" w:type="dxa"/>
          <w:trHeight w:val="286" w:hRule="atLeast"/>
        </w:trPr>
        <w:tc>
          <w:tcPr>
            <w:tcW w:w="4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项目负责人：</w:t>
            </w:r>
            <w:r>
              <w:rPr>
                <w:rFonts w:hint="eastAsia" w:ascii="宋体" w:hAnsi="宋体" w:cs="宋体"/>
                <w:i w:val="0"/>
                <w:iCs w:val="0"/>
                <w:color w:val="auto"/>
                <w:kern w:val="0"/>
                <w:sz w:val="16"/>
                <w:szCs w:val="16"/>
                <w:u w:val="none"/>
                <w:lang w:val="en-US" w:eastAsia="zh-CN" w:bidi="ar"/>
              </w:rPr>
              <w:t>李克金</w:t>
            </w:r>
          </w:p>
        </w:tc>
        <w:tc>
          <w:tcPr>
            <w:tcW w:w="552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财务负责人：</w:t>
            </w:r>
            <w:r>
              <w:rPr>
                <w:rFonts w:hint="eastAsia" w:ascii="宋体" w:hAnsi="宋体" w:cs="宋体"/>
                <w:i w:val="0"/>
                <w:iCs w:val="0"/>
                <w:color w:val="auto"/>
                <w:kern w:val="0"/>
                <w:sz w:val="16"/>
                <w:szCs w:val="16"/>
                <w:u w:val="none"/>
                <w:lang w:val="en-US" w:eastAsia="zh-CN" w:bidi="ar"/>
              </w:rPr>
              <w:t>贾志伟</w:t>
            </w:r>
          </w:p>
        </w:tc>
      </w:tr>
    </w:tbl>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left"/>
        <w:outlineLvl w:val="9"/>
        <w:rPr>
          <w:rFonts w:hint="default" w:ascii="黑体" w:hAnsi="黑体" w:eastAsia="黑体"/>
          <w:color w:val="auto"/>
          <w:sz w:val="44"/>
          <w:szCs w:val="44"/>
          <w:highlight w:val="none"/>
          <w:lang w:val="en-US" w:eastAsia="zh-CN"/>
        </w:rPr>
      </w:pPr>
      <w:r>
        <w:rPr>
          <w:rFonts w:hint="eastAsia" w:ascii="黑体" w:hAnsi="黑体" w:eastAsia="黑体"/>
          <w:color w:val="auto"/>
          <w:sz w:val="44"/>
          <w:szCs w:val="44"/>
          <w:highlight w:val="none"/>
          <w:lang w:eastAsia="zh-CN"/>
        </w:rPr>
        <w:t>附件</w:t>
      </w:r>
      <w:r>
        <w:rPr>
          <w:rFonts w:hint="eastAsia" w:ascii="黑体" w:hAnsi="黑体" w:eastAsia="黑体"/>
          <w:color w:val="auto"/>
          <w:sz w:val="44"/>
          <w:szCs w:val="44"/>
          <w:highlight w:val="none"/>
          <w:lang w:val="en-US" w:eastAsia="zh-CN"/>
        </w:rPr>
        <w:t>2</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征拆工作经费</w:t>
      </w:r>
      <w:r>
        <w:rPr>
          <w:rFonts w:hint="eastAsia" w:ascii="仿宋_GB2312" w:hAnsi="宋体" w:eastAsia="仿宋_GB2312" w:cs="Times New Roman"/>
          <w:spacing w:val="-6"/>
          <w:sz w:val="32"/>
          <w:szCs w:val="32"/>
        </w:rPr>
        <w:t>项目）</w:t>
      </w:r>
    </w:p>
    <w:p>
      <w:pPr>
        <w:autoSpaceDE w:val="0"/>
        <w:spacing w:line="540" w:lineRule="exact"/>
        <w:ind w:firstLine="616" w:firstLineChars="200"/>
        <w:jc w:val="both"/>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pageBreakBefore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eastAsia="仿宋_GB2312"/>
          <w:color w:val="auto"/>
          <w:sz w:val="32"/>
          <w:szCs w:val="32"/>
        </w:rPr>
      </w:pPr>
      <w:r>
        <w:rPr>
          <w:rFonts w:hint="eastAsia" w:ascii="仿宋_GB2312" w:hAnsi="仿宋" w:eastAsia="仿宋_GB2312"/>
          <w:sz w:val="32"/>
          <w:szCs w:val="32"/>
        </w:rPr>
        <w:t>（一）项目基本情况：</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rPr>
        <w:t>在区委、区政府的坚强领导下，在区级相关部门的大力支持配合下，朝天区</w:t>
      </w:r>
      <w:r>
        <w:rPr>
          <w:rFonts w:hint="eastAsia" w:ascii="仿宋_GB2312" w:hAnsi="仿宋" w:eastAsia="仿宋_GB2312"/>
          <w:color w:val="auto"/>
          <w:sz w:val="32"/>
          <w:szCs w:val="32"/>
          <w:lang w:eastAsia="zh-CN"/>
        </w:rPr>
        <w:t>征拆事务中心</w:t>
      </w:r>
      <w:r>
        <w:rPr>
          <w:rFonts w:hint="eastAsia" w:ascii="仿宋_GB2312" w:hAnsi="仿宋" w:eastAsia="仿宋_GB2312"/>
          <w:color w:val="auto"/>
          <w:sz w:val="32"/>
          <w:szCs w:val="32"/>
        </w:rPr>
        <w:t>坚持以习近平新时代中国特色社会主义思想为指导，认真贯彻落实省、市</w:t>
      </w:r>
      <w:r>
        <w:rPr>
          <w:rFonts w:hint="eastAsia" w:ascii="仿宋_GB2312" w:hAnsi="仿宋" w:eastAsia="仿宋_GB2312"/>
          <w:color w:val="auto"/>
          <w:sz w:val="32"/>
          <w:szCs w:val="32"/>
          <w:lang w:eastAsia="zh-CN"/>
        </w:rPr>
        <w:t>、区</w:t>
      </w:r>
      <w:r>
        <w:rPr>
          <w:rFonts w:hint="eastAsia" w:ascii="仿宋_GB2312" w:hAnsi="仿宋" w:eastAsia="仿宋_GB2312"/>
          <w:color w:val="auto"/>
          <w:sz w:val="32"/>
          <w:szCs w:val="32"/>
        </w:rPr>
        <w:t>工作会议精神，立足新职能、把握新定位、履行新使命，统筹推进</w:t>
      </w:r>
      <w:r>
        <w:rPr>
          <w:rFonts w:hint="eastAsia" w:ascii="仿宋_GB2312" w:hAnsi="仿宋" w:eastAsia="仿宋_GB2312"/>
          <w:color w:val="auto"/>
          <w:sz w:val="32"/>
          <w:szCs w:val="32"/>
          <w:lang w:eastAsia="zh-CN"/>
        </w:rPr>
        <w:t>征地拆迁</w:t>
      </w:r>
      <w:r>
        <w:rPr>
          <w:rFonts w:hint="eastAsia" w:ascii="仿宋_GB2312" w:hAnsi="仿宋" w:eastAsia="仿宋_GB2312"/>
          <w:color w:val="auto"/>
          <w:sz w:val="32"/>
          <w:szCs w:val="32"/>
        </w:rPr>
        <w:t>各项工作，</w:t>
      </w:r>
      <w:r>
        <w:rPr>
          <w:rFonts w:hint="eastAsia" w:ascii="仿宋_GB2312" w:eastAsia="仿宋_GB2312"/>
          <w:color w:val="auto"/>
          <w:sz w:val="32"/>
          <w:szCs w:val="32"/>
        </w:rPr>
        <w:t>全力推进集体土地征收。加快推进了荣乐国际康养度假区</w:t>
      </w:r>
      <w:r>
        <w:rPr>
          <w:rFonts w:hint="eastAsia" w:ascii="仿宋_GB2312" w:eastAsia="仿宋_GB2312"/>
          <w:color w:val="auto"/>
          <w:sz w:val="32"/>
          <w:szCs w:val="32"/>
          <w:lang w:eastAsia="zh-CN"/>
        </w:rPr>
        <w:t>、曾家山田博园、曾家山原乡</w:t>
      </w:r>
      <w:r>
        <w:rPr>
          <w:rFonts w:hint="eastAsia" w:ascii="仿宋_GB2312" w:eastAsia="仿宋_GB2312"/>
          <w:color w:val="auto"/>
          <w:sz w:val="32"/>
          <w:szCs w:val="32"/>
        </w:rPr>
        <w:t>等旅游项目土地征收；稳妥推进七曾公路</w:t>
      </w:r>
      <w:r>
        <w:rPr>
          <w:rFonts w:hint="eastAsia" w:ascii="仿宋_GB2312" w:eastAsia="仿宋_GB2312"/>
          <w:color w:val="auto"/>
          <w:sz w:val="32"/>
          <w:szCs w:val="32"/>
          <w:lang w:eastAsia="zh-CN"/>
        </w:rPr>
        <w:t>、大羊快速通道、羊木滨河路、潜西路一段</w:t>
      </w:r>
      <w:r>
        <w:rPr>
          <w:rFonts w:hint="eastAsia" w:ascii="仿宋_GB2312" w:eastAsia="仿宋_GB2312"/>
          <w:color w:val="auto"/>
          <w:sz w:val="32"/>
          <w:szCs w:val="32"/>
        </w:rPr>
        <w:t>等交通项目土地征收；积极推进海螺商砼搅拌站</w:t>
      </w:r>
      <w:r>
        <w:rPr>
          <w:rFonts w:hint="eastAsia" w:ascii="仿宋_GB2312" w:eastAsia="仿宋_GB2312"/>
          <w:color w:val="auto"/>
          <w:sz w:val="32"/>
          <w:szCs w:val="32"/>
          <w:lang w:eastAsia="zh-CN"/>
        </w:rPr>
        <w:t>、宏鑫生物质颗粒染料厂</w:t>
      </w:r>
      <w:r>
        <w:rPr>
          <w:rFonts w:hint="eastAsia" w:ascii="仿宋_GB2312" w:eastAsia="仿宋_GB2312"/>
          <w:color w:val="auto"/>
          <w:sz w:val="32"/>
          <w:szCs w:val="32"/>
        </w:rPr>
        <w:t>等工业项目土地征收；及时完成了八庙沟水电站</w:t>
      </w:r>
      <w:r>
        <w:rPr>
          <w:rFonts w:hint="eastAsia" w:ascii="仿宋_GB2312" w:eastAsia="仿宋_GB2312"/>
          <w:color w:val="auto"/>
          <w:sz w:val="32"/>
          <w:szCs w:val="32"/>
          <w:lang w:eastAsia="zh-CN"/>
        </w:rPr>
        <w:t>、三滩河堤李家河段、元西村水质自动监测站、西湾水厂取水工程迁建、芳地坪风电二期（罗圈岩）等</w:t>
      </w:r>
      <w:r>
        <w:rPr>
          <w:rFonts w:hint="eastAsia" w:ascii="仿宋_GB2312" w:eastAsia="仿宋_GB2312"/>
          <w:color w:val="auto"/>
          <w:sz w:val="32"/>
          <w:szCs w:val="32"/>
        </w:rPr>
        <w:t>水利</w:t>
      </w:r>
      <w:r>
        <w:rPr>
          <w:rFonts w:hint="eastAsia" w:ascii="仿宋_GB2312" w:eastAsia="仿宋_GB2312"/>
          <w:color w:val="auto"/>
          <w:sz w:val="32"/>
          <w:szCs w:val="32"/>
          <w:lang w:eastAsia="zh-CN"/>
        </w:rPr>
        <w:t>水电</w:t>
      </w:r>
      <w:r>
        <w:rPr>
          <w:rFonts w:hint="eastAsia" w:ascii="仿宋_GB2312" w:eastAsia="仿宋_GB2312"/>
          <w:color w:val="auto"/>
          <w:sz w:val="32"/>
          <w:szCs w:val="32"/>
        </w:rPr>
        <w:t>项目土地征收；启动了金堆新区土地征收工作</w:t>
      </w:r>
    </w:p>
    <w:p>
      <w:pPr>
        <w:pageBreakBefore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（二）项目预算情况：</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征拆工作经费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spacing w:line="560" w:lineRule="exact"/>
        <w:ind w:firstLine="640" w:firstLineChars="200"/>
        <w:jc w:val="both"/>
        <w:rPr>
          <w:rFonts w:hint="eastAsia" w:ascii="黑体" w:hAnsi="黑体" w:eastAsia="黑体"/>
          <w:b/>
          <w:sz w:val="32"/>
          <w:szCs w:val="32"/>
        </w:rPr>
      </w:pPr>
      <w:r>
        <w:rPr>
          <w:rFonts w:hint="eastAsia" w:ascii="仿宋_GB2312" w:hAnsi="仿宋" w:eastAsia="仿宋_GB2312"/>
          <w:sz w:val="32"/>
          <w:szCs w:val="32"/>
        </w:rPr>
        <w:t>（三）项目绩效目标：项目预期预算绩效目标和绩效指标设定情况，包括预期总目标及阶段性目标，衡量绩效目标实现程度的评价指标、标准等。</w:t>
      </w:r>
    </w:p>
    <w:p>
      <w:pPr>
        <w:spacing w:line="560" w:lineRule="exact"/>
        <w:ind w:firstLine="640" w:firstLineChars="200"/>
        <w:jc w:val="both"/>
        <w:rPr>
          <w:rFonts w:hint="eastAsia" w:ascii="仿宋_GB2312" w:eastAsia="仿宋_GB2312"/>
          <w:color w:val="auto"/>
          <w:sz w:val="32"/>
          <w:szCs w:val="32"/>
          <w:lang w:val="en-US" w:eastAsia="zh-CN"/>
        </w:rPr>
      </w:pPr>
    </w:p>
    <w:p>
      <w:pPr>
        <w:autoSpaceDE w:val="0"/>
        <w:spacing w:line="540" w:lineRule="exact"/>
        <w:ind w:firstLine="616" w:firstLineChars="200"/>
        <w:jc w:val="both"/>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jc w:val="both"/>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征拆工作经费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30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lang w:val="zh-CN"/>
        </w:rPr>
        <w:t>2022年全年支出征拆工作经费资金30万元，主要用于政策宣传资料印制、耗材购置、车辆租赁及差旅费等支出。政策宣传资料印刷、耗材购置等支出都严格按照要求，进行了价格比选，差旅费等费用均按区人民政府标准执行，所有支出均合规合法，资金支付与预算相符，且支出均衡，没有超标准支出的现象。</w:t>
      </w:r>
    </w:p>
    <w:p>
      <w:pPr>
        <w:autoSpaceDE w:val="0"/>
        <w:spacing w:line="540" w:lineRule="exact"/>
        <w:ind w:firstLine="616" w:firstLineChars="200"/>
        <w:jc w:val="both"/>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1.依法设立会计机构，分设了出纳。</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2.内部管理制度。内部财务管理制度健全，主要建立了《货币资金管理制度》、《岗位责任书》、《财务费用审批制度》、《会计档案管理制度》、《资产管理制度》等。</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autoSpaceDE w:val="0"/>
        <w:spacing w:line="540" w:lineRule="exact"/>
        <w:ind w:firstLine="616" w:firstLineChars="200"/>
        <w:jc w:val="both"/>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pageBreakBefore w:val="0"/>
        <w:kinsoku/>
        <w:wordWrap/>
        <w:overflowPunct/>
        <w:topLinePunct w:val="0"/>
        <w:autoSpaceDE/>
        <w:autoSpaceDN/>
        <w:bidi w:val="0"/>
        <w:adjustRightInd w:val="0"/>
        <w:snapToGrid w:val="0"/>
        <w:spacing w:line="576" w:lineRule="exact"/>
        <w:ind w:firstLine="720"/>
        <w:jc w:val="both"/>
        <w:textAlignment w:val="auto"/>
        <w:rPr>
          <w:rFonts w:hint="default" w:ascii="仿宋_GB2312" w:hAnsi="仿宋" w:eastAsia="仿宋_GB2312" w:cs="Calibri"/>
          <w:color w:val="auto"/>
          <w:kern w:val="2"/>
          <w:sz w:val="32"/>
          <w:szCs w:val="32"/>
          <w:lang w:val="en-US" w:eastAsia="zh-CN" w:bidi="ar-SA"/>
        </w:rPr>
      </w:pPr>
      <w:r>
        <w:rPr>
          <w:rFonts w:hint="eastAsia" w:ascii="仿宋_GB2312" w:hAnsi="仿宋_GB2312" w:eastAsia="仿宋_GB2312" w:cs="仿宋_GB2312"/>
          <w:sz w:val="32"/>
          <w:szCs w:val="32"/>
          <w:lang w:val="zh-CN"/>
        </w:rPr>
        <w:t>1.</w:t>
      </w:r>
      <w:r>
        <w:rPr>
          <w:rFonts w:hint="eastAsia" w:ascii="仿宋_GB2312" w:hAnsi="仿宋" w:eastAsia="仿宋_GB2312" w:cs="Calibri"/>
          <w:color w:val="auto"/>
          <w:kern w:val="2"/>
          <w:sz w:val="32"/>
          <w:szCs w:val="32"/>
          <w:lang w:val="en-US" w:eastAsia="zh-TW" w:bidi="ar-SA"/>
        </w:rPr>
        <w:t>加强理论学习。学习的内容和形式力求多元化、多样化，既要深入学习党的十九大精神等政治理论，也要加强</w:t>
      </w:r>
      <w:r>
        <w:rPr>
          <w:rFonts w:hint="eastAsia" w:ascii="仿宋_GB2312" w:hAnsi="仿宋" w:eastAsia="仿宋_GB2312" w:cs="Calibri"/>
          <w:color w:val="auto"/>
          <w:kern w:val="2"/>
          <w:sz w:val="32"/>
          <w:szCs w:val="32"/>
          <w:lang w:val="en-US" w:eastAsia="zh-CN" w:bidi="ar-SA"/>
        </w:rPr>
        <w:t>征地拆迁</w:t>
      </w:r>
      <w:r>
        <w:rPr>
          <w:rFonts w:hint="eastAsia" w:ascii="仿宋_GB2312" w:hAnsi="仿宋" w:eastAsia="仿宋_GB2312" w:cs="Calibri"/>
          <w:color w:val="auto"/>
          <w:kern w:val="2"/>
          <w:sz w:val="32"/>
          <w:szCs w:val="32"/>
          <w:lang w:val="en-US" w:eastAsia="zh-TW" w:bidi="ar-SA"/>
        </w:rPr>
        <w:t>业务法规培训；</w:t>
      </w:r>
      <w:r>
        <w:rPr>
          <w:rFonts w:hint="eastAsia" w:ascii="仿宋_GB2312" w:hAnsi="仿宋" w:eastAsia="仿宋_GB2312" w:cs="Calibri"/>
          <w:color w:val="auto"/>
          <w:kern w:val="2"/>
          <w:sz w:val="32"/>
          <w:szCs w:val="32"/>
          <w:lang w:val="en-US" w:eastAsia="zh-CN" w:bidi="ar-SA"/>
        </w:rPr>
        <w:t>全年培训征地、拆迁人员300余人，印制政策宣传资料5000余份。</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.我中心组织开展项目大比武活动，按项目进度，按目标任务到各项目地进行工作开展，及时通报进度情况。</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我中心根据实际需要，不定期开展培训交流活动，不断提高征拆工作业务水平和质量。</w:t>
      </w:r>
    </w:p>
    <w:p>
      <w:pPr>
        <w:autoSpaceDE w:val="0"/>
        <w:spacing w:line="540" w:lineRule="exact"/>
        <w:ind w:firstLine="616" w:firstLineChars="200"/>
        <w:jc w:val="both"/>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jc w:val="both"/>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Times New Roman" w:eastAsia="仿宋_GB2312" w:cs="Times New Roman"/>
          <w:spacing w:val="-6"/>
          <w:sz w:val="32"/>
          <w:szCs w:val="32"/>
        </w:rPr>
        <w:t>包括</w:t>
      </w:r>
      <w:r>
        <w:rPr>
          <w:rFonts w:hint="eastAsia" w:ascii="仿宋_GB2312" w:hAnsi="仿宋_GB2312" w:eastAsia="仿宋_GB2312" w:cs="仿宋_GB2312"/>
          <w:sz w:val="32"/>
          <w:szCs w:val="32"/>
          <w:lang w:val="zh-CN"/>
        </w:rPr>
        <w:t>1.目标任务量完成情况。强化征拆工作人员业务培训，建立互帮互助的学习理念，在规定的时间内较高的完成工作任务。</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2.目标质量完成情况。一是严格按照政策确定和目标任务来完成工作；二是纳入了财政预算。我中心征拆工作经费到位</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zh-CN"/>
        </w:rPr>
        <w:t>万元，印制政宣传资料，培训合格征拆工作人员；</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3.目标进度完成情况。</w:t>
      </w:r>
      <w:r>
        <w:rPr>
          <w:rFonts w:hint="eastAsia" w:ascii="仿宋_GB2312" w:hAnsi="仿宋_GB2312" w:eastAsia="仿宋_GB2312" w:cs="仿宋_GB2312"/>
          <w:sz w:val="32"/>
          <w:szCs w:val="32"/>
          <w:lang w:val="zh-CN" w:eastAsia="zh-CN"/>
        </w:rPr>
        <w:t>按要求</w:t>
      </w:r>
      <w:r>
        <w:rPr>
          <w:rFonts w:hint="eastAsia" w:ascii="仿宋_GB2312" w:hAnsi="仿宋_GB2312" w:eastAsia="仿宋_GB2312" w:cs="仿宋_GB2312"/>
          <w:sz w:val="32"/>
          <w:szCs w:val="32"/>
          <w:lang w:val="zh-CN"/>
        </w:rPr>
        <w:t>完成。</w:t>
      </w:r>
    </w:p>
    <w:p>
      <w:pPr>
        <w:autoSpaceDE w:val="0"/>
        <w:spacing w:line="540" w:lineRule="exact"/>
        <w:ind w:firstLine="616" w:firstLineChars="200"/>
        <w:jc w:val="both"/>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spacing w:line="560" w:lineRule="exact"/>
        <w:ind w:firstLine="645"/>
        <w:jc w:val="both"/>
        <w:rPr>
          <w:rFonts w:hint="eastAsia" w:ascii="楷体_GB2312" w:hAnsi="仿宋" w:eastAsia="楷体_GB2312"/>
          <w:sz w:val="32"/>
          <w:szCs w:val="32"/>
        </w:rPr>
      </w:pPr>
      <w:r>
        <w:rPr>
          <w:rFonts w:hint="eastAsia" w:ascii="仿宋_GB2312" w:hAnsi="仿宋" w:eastAsia="仿宋_GB2312" w:cs="方正黑体_GBK"/>
          <w:color w:val="auto"/>
          <w:sz w:val="32"/>
          <w:szCs w:val="32"/>
          <w:lang w:eastAsia="zh-CN"/>
        </w:rPr>
        <w:t>为全区经济和社会发展提供用地保障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cs="Times New Roman"/>
          <w:color w:val="000000"/>
          <w:kern w:val="0"/>
          <w:sz w:val="32"/>
          <w:szCs w:val="32"/>
          <w:shd w:val="clear" w:color="auto" w:fill="FFFFFF"/>
          <w:lang w:val="en-US" w:eastAsia="zh-CN" w:bidi="ar-SA"/>
        </w:rPr>
        <w:t>财政管理还不够规范，财经纪律还有待进一步加强。</w:t>
      </w:r>
    </w:p>
    <w:p>
      <w:pPr>
        <w:pStyle w:val="15"/>
        <w:numPr>
          <w:ilvl w:val="0"/>
          <w:numId w:val="0"/>
        </w:numPr>
        <w:shd w:val="clear" w:color="auto" w:fill="FFFFFF"/>
        <w:spacing w:line="576" w:lineRule="exact"/>
        <w:ind w:firstLine="308" w:firstLineChars="100"/>
        <w:jc w:val="both"/>
        <w:rPr>
          <w:rFonts w:hint="eastAsia" w:ascii="仿宋_GB2312" w:hAnsi="仿宋" w:eastAsia="仿宋_GB2312" w:cs="Calibri"/>
          <w:color w:val="auto"/>
          <w:kern w:val="2"/>
          <w:sz w:val="32"/>
          <w:szCs w:val="32"/>
          <w:lang w:val="en-US" w:eastAsia="zh-TW" w:bidi="ar-SA"/>
        </w:rPr>
      </w:pPr>
      <w:r>
        <w:rPr>
          <w:rFonts w:hint="eastAsia" w:ascii="楷体_GB2312" w:hAnsi="Times New Roman" w:eastAsia="楷体_GB2312" w:cs="Times New Roman"/>
          <w:bCs/>
          <w:spacing w:val="-6"/>
          <w:sz w:val="32"/>
          <w:szCs w:val="32"/>
        </w:rPr>
        <w:t>（二）相关建议。</w:t>
      </w:r>
      <w:r>
        <w:rPr>
          <w:rFonts w:hint="eastAsia" w:ascii="仿宋_GB2312" w:hAnsi="仿宋" w:eastAsia="仿宋_GB2312" w:cs="Calibri"/>
          <w:color w:val="auto"/>
          <w:kern w:val="2"/>
          <w:sz w:val="32"/>
          <w:szCs w:val="32"/>
          <w:lang w:val="en-US" w:eastAsia="zh-TW" w:bidi="ar-SA"/>
        </w:rPr>
        <w:t>提高舆论引导水平，壮大工作队伍，扩大对外</w:t>
      </w:r>
      <w:r>
        <w:rPr>
          <w:rFonts w:hint="eastAsia" w:ascii="仿宋_GB2312" w:hAnsi="仿宋" w:eastAsia="仿宋_GB2312" w:cs="Calibri"/>
          <w:color w:val="auto"/>
          <w:kern w:val="2"/>
          <w:sz w:val="32"/>
          <w:szCs w:val="32"/>
          <w:lang w:val="en-US" w:eastAsia="zh-CN" w:bidi="ar-SA"/>
        </w:rPr>
        <w:t>宣传</w:t>
      </w:r>
      <w:r>
        <w:rPr>
          <w:rFonts w:hint="eastAsia" w:ascii="仿宋_GB2312" w:hAnsi="仿宋" w:eastAsia="仿宋_GB2312" w:cs="Calibri"/>
          <w:color w:val="auto"/>
          <w:kern w:val="2"/>
          <w:sz w:val="32"/>
          <w:szCs w:val="32"/>
          <w:lang w:val="en-US" w:eastAsia="zh-TW" w:bidi="ar-SA"/>
        </w:rPr>
        <w:t>力度，拓宽舆情收集渠道和化解途径，努力在理论武装、舆论引导等意识形态工作方面取得新进展。</w:t>
      </w: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both"/>
        <w:outlineLvl w:val="9"/>
        <w:rPr>
          <w:rFonts w:hint="eastAsia" w:ascii="黑体" w:hAnsi="黑体" w:eastAsia="黑体"/>
          <w:color w:val="auto"/>
          <w:sz w:val="44"/>
          <w:szCs w:val="44"/>
          <w:highlight w:val="none"/>
        </w:rPr>
      </w:pP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115" w:name="_Toc31598"/>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 xml:space="preserve">五部分 </w:t>
      </w:r>
      <w:r>
        <w:rPr>
          <w:rStyle w:val="29"/>
          <w:rFonts w:hint="eastAsia" w:ascii="黑体" w:hAnsi="黑体" w:eastAsia="黑体"/>
          <w:b w:val="0"/>
          <w:color w:val="auto"/>
          <w:highlight w:val="none"/>
          <w:lang w:val="en-US" w:eastAsia="zh-CN"/>
        </w:rPr>
        <w:t xml:space="preserve"> </w:t>
      </w:r>
      <w:r>
        <w:rPr>
          <w:rStyle w:val="29"/>
          <w:rFonts w:hint="eastAsia" w:ascii="黑体" w:hAnsi="黑体" w:eastAsia="黑体"/>
          <w:b w:val="0"/>
          <w:color w:val="auto"/>
          <w:highlight w:val="none"/>
        </w:rPr>
        <w:t>附表</w:t>
      </w:r>
      <w:bookmarkEnd w:id="87"/>
      <w:bookmarkEnd w:id="114"/>
      <w:bookmarkEnd w:id="115"/>
      <w:bookmarkStart w:id="116" w:name="_Toc15396619"/>
    </w:p>
    <w:p>
      <w:pPr>
        <w:pStyle w:val="3"/>
        <w:rPr>
          <w:rFonts w:ascii="仿宋" w:hAnsi="仿宋" w:eastAsia="仿宋"/>
          <w:color w:val="auto"/>
          <w:highlight w:val="none"/>
        </w:rPr>
      </w:pPr>
      <w:bookmarkStart w:id="117" w:name="_Toc13794"/>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116"/>
      <w:bookmarkEnd w:id="117"/>
    </w:p>
    <w:p>
      <w:pPr>
        <w:pStyle w:val="3"/>
        <w:rPr>
          <w:rFonts w:ascii="仿宋" w:hAnsi="仿宋" w:eastAsia="仿宋"/>
          <w:color w:val="auto"/>
          <w:highlight w:val="none"/>
        </w:rPr>
      </w:pPr>
      <w:bookmarkStart w:id="118" w:name="_Toc15396620"/>
      <w:bookmarkStart w:id="119" w:name="_Toc5419"/>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118"/>
      <w:bookmarkEnd w:id="119"/>
    </w:p>
    <w:p>
      <w:pPr>
        <w:pStyle w:val="3"/>
        <w:rPr>
          <w:rFonts w:ascii="仿宋" w:hAnsi="仿宋" w:eastAsia="仿宋"/>
          <w:color w:val="auto"/>
          <w:highlight w:val="none"/>
        </w:rPr>
      </w:pPr>
      <w:bookmarkStart w:id="120" w:name="_Toc15396621"/>
      <w:bookmarkStart w:id="121" w:name="_Toc1339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120"/>
      <w:bookmarkEnd w:id="121"/>
    </w:p>
    <w:p>
      <w:pPr>
        <w:pStyle w:val="3"/>
        <w:rPr>
          <w:rFonts w:ascii="仿宋" w:hAnsi="仿宋" w:eastAsia="仿宋"/>
          <w:b w:val="0"/>
          <w:color w:val="auto"/>
          <w:highlight w:val="none"/>
        </w:rPr>
      </w:pPr>
      <w:bookmarkStart w:id="122" w:name="_Toc15396622"/>
      <w:bookmarkStart w:id="123" w:name="_Toc9493"/>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122"/>
      <w:bookmarkEnd w:id="123"/>
    </w:p>
    <w:p>
      <w:pPr>
        <w:pStyle w:val="3"/>
        <w:rPr>
          <w:rStyle w:val="30"/>
          <w:rFonts w:ascii="仿宋" w:hAnsi="仿宋" w:eastAsia="仿宋"/>
          <w:b w:val="0"/>
          <w:bCs w:val="0"/>
          <w:color w:val="auto"/>
          <w:highlight w:val="none"/>
        </w:rPr>
      </w:pPr>
      <w:bookmarkStart w:id="124" w:name="_Toc15396623"/>
      <w:bookmarkStart w:id="125" w:name="_Toc630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124"/>
      <w:bookmarkEnd w:id="125"/>
      <w:bookmarkStart w:id="126" w:name="_Toc15396624"/>
    </w:p>
    <w:p>
      <w:pPr>
        <w:pStyle w:val="3"/>
        <w:rPr>
          <w:rFonts w:ascii="仿宋" w:hAnsi="仿宋" w:eastAsia="仿宋"/>
          <w:color w:val="auto"/>
          <w:highlight w:val="none"/>
        </w:rPr>
      </w:pPr>
      <w:bookmarkStart w:id="127" w:name="_Toc6942"/>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126"/>
      <w:bookmarkEnd w:id="127"/>
    </w:p>
    <w:p>
      <w:pPr>
        <w:pStyle w:val="3"/>
        <w:rPr>
          <w:rFonts w:ascii="仿宋" w:hAnsi="仿宋" w:eastAsia="仿宋"/>
          <w:color w:val="auto"/>
          <w:highlight w:val="none"/>
        </w:rPr>
      </w:pPr>
      <w:bookmarkStart w:id="128" w:name="_Toc15396625"/>
      <w:bookmarkStart w:id="129" w:name="_Toc12348"/>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128"/>
      <w:bookmarkEnd w:id="129"/>
    </w:p>
    <w:p>
      <w:pPr>
        <w:pStyle w:val="3"/>
        <w:rPr>
          <w:rFonts w:ascii="仿宋" w:hAnsi="仿宋" w:eastAsia="仿宋"/>
          <w:color w:val="auto"/>
          <w:highlight w:val="none"/>
        </w:rPr>
      </w:pPr>
      <w:bookmarkStart w:id="130" w:name="_Toc15396626"/>
      <w:bookmarkStart w:id="131" w:name="_Toc16191"/>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130"/>
      <w:bookmarkEnd w:id="131"/>
    </w:p>
    <w:p>
      <w:pPr>
        <w:pStyle w:val="3"/>
        <w:rPr>
          <w:rFonts w:ascii="仿宋" w:hAnsi="仿宋" w:eastAsia="仿宋"/>
          <w:color w:val="auto"/>
          <w:highlight w:val="none"/>
        </w:rPr>
      </w:pPr>
      <w:bookmarkStart w:id="132" w:name="_Toc15396627"/>
      <w:bookmarkStart w:id="133" w:name="_Toc31372"/>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132"/>
      <w:bookmarkEnd w:id="133"/>
    </w:p>
    <w:p>
      <w:pPr>
        <w:pStyle w:val="3"/>
        <w:rPr>
          <w:rFonts w:ascii="仿宋" w:hAnsi="仿宋" w:eastAsia="仿宋"/>
          <w:color w:val="auto"/>
          <w:highlight w:val="none"/>
        </w:rPr>
      </w:pPr>
      <w:bookmarkStart w:id="134" w:name="_Toc15396628"/>
      <w:bookmarkStart w:id="135" w:name="_Toc21844"/>
      <w:r>
        <w:rPr>
          <w:rStyle w:val="30"/>
          <w:rFonts w:hint="eastAsia" w:ascii="仿宋" w:hAnsi="仿宋" w:eastAsia="仿宋"/>
          <w:b w:val="0"/>
          <w:bCs w:val="0"/>
          <w:color w:val="auto"/>
          <w:highlight w:val="none"/>
        </w:rPr>
        <w:t>十、</w:t>
      </w:r>
      <w:bookmarkEnd w:id="134"/>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35"/>
    </w:p>
    <w:p>
      <w:pPr>
        <w:pStyle w:val="3"/>
        <w:rPr>
          <w:rFonts w:ascii="仿宋" w:hAnsi="仿宋" w:eastAsia="仿宋"/>
          <w:color w:val="auto"/>
          <w:highlight w:val="none"/>
        </w:rPr>
      </w:pPr>
      <w:bookmarkStart w:id="136" w:name="_Toc15396629"/>
      <w:bookmarkStart w:id="137" w:name="_Toc3552"/>
      <w:r>
        <w:rPr>
          <w:rStyle w:val="30"/>
          <w:rFonts w:hint="eastAsia" w:ascii="仿宋" w:hAnsi="仿宋" w:eastAsia="仿宋"/>
          <w:b w:val="0"/>
          <w:bCs w:val="0"/>
          <w:color w:val="auto"/>
          <w:highlight w:val="none"/>
        </w:rPr>
        <w:t>十一、</w:t>
      </w:r>
      <w:bookmarkEnd w:id="136"/>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37"/>
    </w:p>
    <w:p>
      <w:pPr>
        <w:pStyle w:val="3"/>
        <w:rPr>
          <w:rFonts w:ascii="仿宋" w:hAnsi="仿宋" w:eastAsia="仿宋"/>
          <w:color w:val="auto"/>
          <w:highlight w:val="none"/>
        </w:rPr>
      </w:pPr>
      <w:bookmarkStart w:id="138" w:name="_Toc15396630"/>
      <w:bookmarkStart w:id="139" w:name="_Toc31940"/>
      <w:r>
        <w:rPr>
          <w:rStyle w:val="30"/>
          <w:rFonts w:hint="eastAsia" w:ascii="仿宋" w:hAnsi="仿宋" w:eastAsia="仿宋"/>
          <w:b w:val="0"/>
          <w:bCs w:val="0"/>
          <w:color w:val="auto"/>
          <w:highlight w:val="none"/>
        </w:rPr>
        <w:t>十二、</w:t>
      </w:r>
      <w:bookmarkEnd w:id="138"/>
      <w:r>
        <w:rPr>
          <w:rStyle w:val="30"/>
          <w:rFonts w:hint="eastAsia" w:ascii="仿宋" w:hAnsi="仿宋" w:eastAsia="仿宋"/>
          <w:b w:val="0"/>
          <w:bCs w:val="0"/>
          <w:color w:val="auto"/>
          <w:highlight w:val="none"/>
          <w:lang w:eastAsia="zh-CN"/>
        </w:rPr>
        <w:t>国有资本经营预算财政拨款支出决算表</w:t>
      </w:r>
      <w:bookmarkEnd w:id="139"/>
    </w:p>
    <w:p>
      <w:pPr>
        <w:pStyle w:val="3"/>
        <w:rPr>
          <w:rFonts w:hint="eastAsia" w:eastAsia="仿宋"/>
          <w:color w:val="auto"/>
          <w:highlight w:val="none"/>
          <w:lang w:eastAsia="zh-CN"/>
        </w:rPr>
      </w:pPr>
      <w:bookmarkStart w:id="140" w:name="_Toc15396631"/>
      <w:bookmarkStart w:id="141" w:name="_Toc19697"/>
      <w:r>
        <w:rPr>
          <w:rStyle w:val="30"/>
          <w:rFonts w:hint="eastAsia" w:ascii="仿宋" w:hAnsi="仿宋" w:eastAsia="仿宋"/>
          <w:b w:val="0"/>
          <w:bCs w:val="0"/>
          <w:color w:val="auto"/>
          <w:highlight w:val="none"/>
        </w:rPr>
        <w:t>十三、</w:t>
      </w:r>
      <w:bookmarkEnd w:id="140"/>
      <w:r>
        <w:rPr>
          <w:rStyle w:val="30"/>
          <w:rFonts w:hint="eastAsia" w:ascii="仿宋" w:hAnsi="仿宋" w:eastAsia="仿宋"/>
          <w:b w:val="0"/>
          <w:bCs w:val="0"/>
          <w:color w:val="auto"/>
          <w:highlight w:val="none"/>
          <w:lang w:eastAsia="zh-CN"/>
        </w:rPr>
        <w:t>财政拨款“三公”经费支出决算表</w:t>
      </w:r>
      <w:bookmarkEnd w:id="141"/>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5D2AA"/>
    <w:multiLevelType w:val="singleLevel"/>
    <w:tmpl w:val="9D25D2AA"/>
    <w:lvl w:ilvl="0" w:tentative="0">
      <w:start w:val="2"/>
      <w:numFmt w:val="chineseCounting"/>
      <w:suff w:val="nothing"/>
      <w:lvlText w:val="（%1）"/>
      <w:lvlJc w:val="left"/>
      <w:rPr>
        <w:rFonts w:hint="eastAsia"/>
      </w:rPr>
    </w:lvl>
  </w:abstractNum>
  <w:abstractNum w:abstractNumId="1">
    <w:nsid w:val="B59B32D5"/>
    <w:multiLevelType w:val="singleLevel"/>
    <w:tmpl w:val="B59B32D5"/>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8141F9"/>
    <w:rsid w:val="02143E91"/>
    <w:rsid w:val="02606051"/>
    <w:rsid w:val="029F7154"/>
    <w:rsid w:val="03CD1A40"/>
    <w:rsid w:val="05375017"/>
    <w:rsid w:val="0538120E"/>
    <w:rsid w:val="05CB7353"/>
    <w:rsid w:val="066E0107"/>
    <w:rsid w:val="067E4BBE"/>
    <w:rsid w:val="06CE1DB6"/>
    <w:rsid w:val="06D82769"/>
    <w:rsid w:val="07177C01"/>
    <w:rsid w:val="07996F6E"/>
    <w:rsid w:val="08092EDE"/>
    <w:rsid w:val="08147C9D"/>
    <w:rsid w:val="087651A9"/>
    <w:rsid w:val="0A2032A3"/>
    <w:rsid w:val="0AB35643"/>
    <w:rsid w:val="0B50723E"/>
    <w:rsid w:val="0C041EBB"/>
    <w:rsid w:val="0C193AD3"/>
    <w:rsid w:val="0C577012"/>
    <w:rsid w:val="0DB02216"/>
    <w:rsid w:val="0E79370E"/>
    <w:rsid w:val="0E963B01"/>
    <w:rsid w:val="0EAC525A"/>
    <w:rsid w:val="0F5F0F62"/>
    <w:rsid w:val="0F942476"/>
    <w:rsid w:val="0F98263C"/>
    <w:rsid w:val="0FAF6255"/>
    <w:rsid w:val="0FC85A88"/>
    <w:rsid w:val="101860EC"/>
    <w:rsid w:val="10BC5375"/>
    <w:rsid w:val="10C055FF"/>
    <w:rsid w:val="114C7209"/>
    <w:rsid w:val="114E06C3"/>
    <w:rsid w:val="117D6EAB"/>
    <w:rsid w:val="118107EC"/>
    <w:rsid w:val="12DF7222"/>
    <w:rsid w:val="12EA7589"/>
    <w:rsid w:val="136A3EE9"/>
    <w:rsid w:val="13D50BC4"/>
    <w:rsid w:val="13E04C56"/>
    <w:rsid w:val="13E73A9D"/>
    <w:rsid w:val="145E2F08"/>
    <w:rsid w:val="14922675"/>
    <w:rsid w:val="16062EAF"/>
    <w:rsid w:val="16BB723D"/>
    <w:rsid w:val="16F47617"/>
    <w:rsid w:val="172A4DE7"/>
    <w:rsid w:val="17F1306A"/>
    <w:rsid w:val="17F44130"/>
    <w:rsid w:val="18C863A3"/>
    <w:rsid w:val="18D034FA"/>
    <w:rsid w:val="1A0643D8"/>
    <w:rsid w:val="1A654388"/>
    <w:rsid w:val="1B831376"/>
    <w:rsid w:val="1BA64C58"/>
    <w:rsid w:val="1BE8440E"/>
    <w:rsid w:val="1CB42258"/>
    <w:rsid w:val="1D155CEE"/>
    <w:rsid w:val="1D3C3AC6"/>
    <w:rsid w:val="1D5F5C54"/>
    <w:rsid w:val="1D741F46"/>
    <w:rsid w:val="1E7159F1"/>
    <w:rsid w:val="1E91399D"/>
    <w:rsid w:val="1F1C07CD"/>
    <w:rsid w:val="1FD10C7D"/>
    <w:rsid w:val="1FE97718"/>
    <w:rsid w:val="1FEB5BA5"/>
    <w:rsid w:val="1FF35744"/>
    <w:rsid w:val="219713C9"/>
    <w:rsid w:val="22472C32"/>
    <w:rsid w:val="23860B96"/>
    <w:rsid w:val="239C52BE"/>
    <w:rsid w:val="23DA1943"/>
    <w:rsid w:val="240371BF"/>
    <w:rsid w:val="255A71DF"/>
    <w:rsid w:val="25D845A8"/>
    <w:rsid w:val="260E7FC9"/>
    <w:rsid w:val="27707C4F"/>
    <w:rsid w:val="28AF7189"/>
    <w:rsid w:val="28EC2844"/>
    <w:rsid w:val="29136553"/>
    <w:rsid w:val="29FD04D3"/>
    <w:rsid w:val="2A4B491B"/>
    <w:rsid w:val="2B142FBB"/>
    <w:rsid w:val="2C2220D9"/>
    <w:rsid w:val="2C253164"/>
    <w:rsid w:val="2C8A61B5"/>
    <w:rsid w:val="2CCB0E62"/>
    <w:rsid w:val="2CEE7C33"/>
    <w:rsid w:val="2DF04E50"/>
    <w:rsid w:val="2EF52671"/>
    <w:rsid w:val="2F040D46"/>
    <w:rsid w:val="308061AF"/>
    <w:rsid w:val="31271EE5"/>
    <w:rsid w:val="31306B17"/>
    <w:rsid w:val="314B3E80"/>
    <w:rsid w:val="31755EAA"/>
    <w:rsid w:val="319F7F4E"/>
    <w:rsid w:val="31F75DB5"/>
    <w:rsid w:val="32317519"/>
    <w:rsid w:val="32EB5136"/>
    <w:rsid w:val="3304709D"/>
    <w:rsid w:val="33992D0F"/>
    <w:rsid w:val="33C37B40"/>
    <w:rsid w:val="342D5ABF"/>
    <w:rsid w:val="35A61031"/>
    <w:rsid w:val="35E46651"/>
    <w:rsid w:val="361D1117"/>
    <w:rsid w:val="36AA5135"/>
    <w:rsid w:val="36C62A73"/>
    <w:rsid w:val="376D39B2"/>
    <w:rsid w:val="37C30C14"/>
    <w:rsid w:val="37D65C45"/>
    <w:rsid w:val="37E16F03"/>
    <w:rsid w:val="38D469F0"/>
    <w:rsid w:val="39835AB6"/>
    <w:rsid w:val="3A2D05C6"/>
    <w:rsid w:val="3A5E7E93"/>
    <w:rsid w:val="3B925354"/>
    <w:rsid w:val="3C335C3C"/>
    <w:rsid w:val="3CC950A9"/>
    <w:rsid w:val="3D790C55"/>
    <w:rsid w:val="3D98207C"/>
    <w:rsid w:val="3DD26374"/>
    <w:rsid w:val="3E78745D"/>
    <w:rsid w:val="3E9B4698"/>
    <w:rsid w:val="3EA763FA"/>
    <w:rsid w:val="3EB87669"/>
    <w:rsid w:val="3EC51715"/>
    <w:rsid w:val="40332830"/>
    <w:rsid w:val="409E2E1A"/>
    <w:rsid w:val="41EC6603"/>
    <w:rsid w:val="423B4EB4"/>
    <w:rsid w:val="43696E2D"/>
    <w:rsid w:val="441C55D2"/>
    <w:rsid w:val="448B0D0B"/>
    <w:rsid w:val="44DF4BB3"/>
    <w:rsid w:val="44E268DA"/>
    <w:rsid w:val="45311741"/>
    <w:rsid w:val="456360CF"/>
    <w:rsid w:val="45C85647"/>
    <w:rsid w:val="45E60213"/>
    <w:rsid w:val="46722A57"/>
    <w:rsid w:val="47535B1B"/>
    <w:rsid w:val="476A52A9"/>
    <w:rsid w:val="47C232CC"/>
    <w:rsid w:val="47CE22DB"/>
    <w:rsid w:val="48272928"/>
    <w:rsid w:val="485D12B8"/>
    <w:rsid w:val="48C540C0"/>
    <w:rsid w:val="48EB603B"/>
    <w:rsid w:val="49D77294"/>
    <w:rsid w:val="4A29264F"/>
    <w:rsid w:val="4A575916"/>
    <w:rsid w:val="4A627F82"/>
    <w:rsid w:val="4AA743C5"/>
    <w:rsid w:val="4ACC62C9"/>
    <w:rsid w:val="4B005883"/>
    <w:rsid w:val="4B0E749A"/>
    <w:rsid w:val="4B386DCB"/>
    <w:rsid w:val="4B4F25DA"/>
    <w:rsid w:val="4B633159"/>
    <w:rsid w:val="4BE068DB"/>
    <w:rsid w:val="4C7B4A33"/>
    <w:rsid w:val="4D577224"/>
    <w:rsid w:val="4DA90454"/>
    <w:rsid w:val="4DC64B62"/>
    <w:rsid w:val="4E1E674C"/>
    <w:rsid w:val="4E5354B3"/>
    <w:rsid w:val="4EAB630A"/>
    <w:rsid w:val="4EC273B6"/>
    <w:rsid w:val="4EC339EA"/>
    <w:rsid w:val="4ECE2238"/>
    <w:rsid w:val="4FF260E2"/>
    <w:rsid w:val="50E83EC0"/>
    <w:rsid w:val="51326051"/>
    <w:rsid w:val="51622DF4"/>
    <w:rsid w:val="52285D63"/>
    <w:rsid w:val="52923265"/>
    <w:rsid w:val="52B72CCB"/>
    <w:rsid w:val="537E6D0A"/>
    <w:rsid w:val="53883950"/>
    <w:rsid w:val="53A771E4"/>
    <w:rsid w:val="53E50FED"/>
    <w:rsid w:val="53E67D0C"/>
    <w:rsid w:val="5582107E"/>
    <w:rsid w:val="58124FD0"/>
    <w:rsid w:val="5AD62EB8"/>
    <w:rsid w:val="5AF92295"/>
    <w:rsid w:val="5BA1276A"/>
    <w:rsid w:val="5BFE2A26"/>
    <w:rsid w:val="5C6914DA"/>
    <w:rsid w:val="5CD71FC4"/>
    <w:rsid w:val="5E174F66"/>
    <w:rsid w:val="5E873AA5"/>
    <w:rsid w:val="5F082A4B"/>
    <w:rsid w:val="5F13572D"/>
    <w:rsid w:val="5FAA7071"/>
    <w:rsid w:val="6031230F"/>
    <w:rsid w:val="60C82547"/>
    <w:rsid w:val="616D1CD2"/>
    <w:rsid w:val="617A2FCA"/>
    <w:rsid w:val="622F287E"/>
    <w:rsid w:val="625D535B"/>
    <w:rsid w:val="646B48B3"/>
    <w:rsid w:val="646C2630"/>
    <w:rsid w:val="64DF4A2F"/>
    <w:rsid w:val="653465EF"/>
    <w:rsid w:val="65A90B99"/>
    <w:rsid w:val="669D5BB4"/>
    <w:rsid w:val="66FA0961"/>
    <w:rsid w:val="67EF342B"/>
    <w:rsid w:val="6A3A3B37"/>
    <w:rsid w:val="6AF705F9"/>
    <w:rsid w:val="6B27708D"/>
    <w:rsid w:val="6C4A05C8"/>
    <w:rsid w:val="6CC30D6B"/>
    <w:rsid w:val="6CEE52AD"/>
    <w:rsid w:val="6E297FDF"/>
    <w:rsid w:val="6E7E3605"/>
    <w:rsid w:val="6EDD2500"/>
    <w:rsid w:val="6FF5CC65"/>
    <w:rsid w:val="70E07B93"/>
    <w:rsid w:val="71285249"/>
    <w:rsid w:val="715C0E4B"/>
    <w:rsid w:val="72734D90"/>
    <w:rsid w:val="72BC03D5"/>
    <w:rsid w:val="73AA6208"/>
    <w:rsid w:val="73AD73D5"/>
    <w:rsid w:val="73B6EB34"/>
    <w:rsid w:val="73F22F99"/>
    <w:rsid w:val="744731E5"/>
    <w:rsid w:val="74934977"/>
    <w:rsid w:val="750E382E"/>
    <w:rsid w:val="754359C5"/>
    <w:rsid w:val="75447E1D"/>
    <w:rsid w:val="75B71DC3"/>
    <w:rsid w:val="76E3355F"/>
    <w:rsid w:val="76EE3653"/>
    <w:rsid w:val="77562728"/>
    <w:rsid w:val="778769C8"/>
    <w:rsid w:val="782D2B8B"/>
    <w:rsid w:val="79272AC6"/>
    <w:rsid w:val="79EE5BA4"/>
    <w:rsid w:val="7A894339"/>
    <w:rsid w:val="7B424892"/>
    <w:rsid w:val="7C0E581D"/>
    <w:rsid w:val="7CAA39AC"/>
    <w:rsid w:val="7CC83BA3"/>
    <w:rsid w:val="7D95257B"/>
    <w:rsid w:val="7EB048EF"/>
    <w:rsid w:val="7EEF11D3"/>
    <w:rsid w:val="7F4B57D8"/>
    <w:rsid w:val="7FA30C79"/>
    <w:rsid w:val="7FB7269E"/>
    <w:rsid w:val="7FC51265"/>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semiHidden/>
    <w:qFormat/>
    <w:uiPriority w:val="0"/>
    <w:pPr>
      <w:ind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uiPriority w:val="0"/>
    <w:pPr>
      <w:ind w:leftChars="0"/>
    </w:pPr>
    <w:rPr>
      <w:rFonts w:ascii="Times New Roman" w:hAnsi="Times New Roman" w:eastAsia="宋体" w:cs="Times New Roman"/>
      <w:sz w:val="20"/>
      <w:szCs w:val="20"/>
    </w:rPr>
  </w:style>
  <w:style w:type="paragraph" w:customStyle="1" w:styleId="37">
    <w:name w:val="WPSOffice手动目录 2"/>
    <w:uiPriority w:val="0"/>
    <w:pPr>
      <w:ind w:leftChars="200"/>
    </w:pPr>
    <w:rPr>
      <w:rFonts w:ascii="Times New Roman" w:hAnsi="Times New Roman" w:eastAsia="宋体" w:cs="Times New Roman"/>
      <w:sz w:val="20"/>
      <w:szCs w:val="20"/>
    </w:rPr>
  </w:style>
  <w:style w:type="paragraph" w:customStyle="1" w:styleId="38">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收入支出决算总体情况说明图</a:t>
            </a:r>
            <a:r>
              <a:rPr lang="en-US" altLang="zh-CN"/>
              <a:t>                </a:t>
            </a:r>
            <a:r>
              <a:t>（单位：万元）</a:t>
            </a:r>
          </a:p>
        </c:rich>
      </c:tx>
      <c:layout>
        <c:manualLayout>
          <c:xMode val="edge"/>
          <c:yMode val="edge"/>
          <c:x val="0.221171307506053"/>
          <c:y val="0.026263627353815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numCache>
            </c:numRef>
          </c:cat>
          <c:val>
            <c:numRef>
              <c:f>Sheet1!$B$2:$B$4</c:f>
              <c:numCache>
                <c:formatCode>General</c:formatCode>
                <c:ptCount val="3"/>
                <c:pt idx="0">
                  <c:v>167.23</c:v>
                </c:pt>
                <c:pt idx="1">
                  <c:v>167.23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numCache>
            </c:numRef>
          </c:cat>
          <c:val>
            <c:numRef>
              <c:f>Sheet1!$C$2:$C$4</c:f>
              <c:numCache>
                <c:formatCode>General</c:formatCode>
                <c:ptCount val="3"/>
                <c:pt idx="0">
                  <c:v>202.71</c:v>
                </c:pt>
                <c:pt idx="1">
                  <c:v>202.71</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numCache>
            </c:numRef>
          </c:cat>
          <c:val>
            <c:numRef>
              <c:f>Sheet1!$D$2:$D$4</c:f>
              <c:numCache>
                <c:formatCode>General</c:formatCode>
                <c:ptCount val="3"/>
              </c:numCache>
            </c:numRef>
          </c:val>
        </c:ser>
        <c:dLbls>
          <c:showLegendKey val="0"/>
          <c:showVal val="1"/>
          <c:showCatName val="0"/>
          <c:showSerName val="0"/>
          <c:showPercent val="0"/>
          <c:showBubbleSize val="0"/>
        </c:dLbls>
        <c:gapWidth val="219"/>
        <c:overlap val="-27"/>
        <c:axId val="661542622"/>
        <c:axId val="585056913"/>
      </c:barChart>
      <c:catAx>
        <c:axId val="6615426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056913"/>
        <c:crosses val="autoZero"/>
        <c:auto val="1"/>
        <c:lblAlgn val="ctr"/>
        <c:lblOffset val="100"/>
        <c:noMultiLvlLbl val="0"/>
      </c:catAx>
      <c:valAx>
        <c:axId val="5850569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54262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2022年收入决算情况说明图（单位：万元）</a:t>
            </a:r>
          </a:p>
        </c:rich>
      </c:tx>
      <c:layout/>
      <c:overlay val="0"/>
      <c:spPr>
        <a:noFill/>
        <a:ln>
          <a:noFill/>
        </a:ln>
        <a:effectLst/>
      </c:spPr>
    </c:title>
    <c:autoTitleDeleted val="0"/>
    <c:plotArea>
      <c:layout/>
      <c:pieChart>
        <c:varyColors val="1"/>
        <c:ser>
          <c:idx val="0"/>
          <c:order val="0"/>
          <c:tx>
            <c:strRef>
              <c:f>Sheet1!$B$1</c:f>
              <c:strCache>
                <c:ptCount val="1"/>
                <c:pt idx="0">
                  <c:v>2022年支出决算情况说明图</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一般公共预算财政拨款收入202.71万元，占100%。</c:v>
                </c:pt>
              </c:strCache>
            </c:strRef>
          </c:cat>
          <c:val>
            <c:numRef>
              <c:f>Sheet1!$B$2</c:f>
              <c:numCache>
                <c:formatCode>General</c:formatCode>
                <c:ptCount val="1"/>
                <c:pt idx="0">
                  <c:v>202.71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83396667641041"/>
          <c:y val="0.757185559898827"/>
          <c:w val="0.433352820812628"/>
          <c:h val="0.2359163025982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2022年支出决算情况说明图（单位：万元）</a:t>
            </a:r>
          </a:p>
        </c:rich>
      </c:tx>
      <c:layout/>
      <c:overlay val="0"/>
      <c:spPr>
        <a:noFill/>
        <a:ln>
          <a:noFill/>
        </a:ln>
        <a:effectLst/>
      </c:spPr>
    </c:title>
    <c:autoTitleDeleted val="0"/>
    <c:plotArea>
      <c:layout/>
      <c:pieChart>
        <c:varyColors val="1"/>
        <c:ser>
          <c:idx val="0"/>
          <c:order val="0"/>
          <c:tx>
            <c:strRef>
              <c:f>Sheet1!$B$1</c:f>
              <c:strCache>
                <c:ptCount val="1"/>
                <c:pt idx="0">
                  <c:v>2022年支出决算情况说明图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基本支出81.9％</c:v>
                </c:pt>
                <c:pt idx="1">
                  <c:v>项目支出18.1％</c:v>
                </c:pt>
              </c:strCache>
            </c:strRef>
          </c:cat>
          <c:val>
            <c:numRef>
              <c:f>Sheet1!$B$2:$B$5</c:f>
              <c:numCache>
                <c:formatCode>General</c:formatCode>
                <c:ptCount val="4"/>
                <c:pt idx="0">
                  <c:v>166.02</c:v>
                </c:pt>
                <c:pt idx="1">
                  <c:v>36.69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283396667641041"/>
          <c:y val="0.757185559898827"/>
          <c:w val="0.433352820812628"/>
          <c:h val="0.2359163025982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财政拨款收入支出决算总体情况说明图</a:t>
            </a:r>
            <a:r>
              <a:rPr lang="en-US" altLang="zh-CN"/>
              <a:t>   </a:t>
            </a:r>
            <a:r>
              <a:rPr altLang="zh-CN"/>
              <a:t>（单位：万元）</a:t>
            </a:r>
            <a:endParaRPr altLang="zh-CN"/>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Pt>
            <c:idx val="0"/>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Sheet1!$A$2:$A$5</c:f>
              <c:strCache>
                <c:ptCount val="4"/>
                <c:pt idx="0">
                  <c:v>2021年</c:v>
                </c:pt>
                <c:pt idx="1">
                  <c:v>2022年</c:v>
                </c:pt>
              </c:strCache>
            </c:strRef>
          </c:cat>
          <c:val>
            <c:numRef>
              <c:f>Sheet1!$B$2:$B$5</c:f>
              <c:numCache>
                <c:formatCode>General</c:formatCode>
                <c:ptCount val="4"/>
                <c:pt idx="0">
                  <c:v>167.23</c:v>
                </c:pt>
                <c:pt idx="1">
                  <c:v>202.71</c:v>
                </c:pt>
              </c:numCache>
            </c:numRef>
          </c:val>
        </c:ser>
        <c:dLbls>
          <c:showLegendKey val="0"/>
          <c:showVal val="1"/>
          <c:showCatName val="0"/>
          <c:showSerName val="0"/>
          <c:showPercent val="0"/>
          <c:showBubbleSize val="0"/>
        </c:dLbls>
        <c:gapWidth val="150"/>
        <c:overlap val="100"/>
        <c:axId val="166254464"/>
        <c:axId val="166256000"/>
      </c:barChart>
      <c:catAx>
        <c:axId val="1662544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256000"/>
        <c:crosses val="autoZero"/>
        <c:auto val="1"/>
        <c:lblAlgn val="ctr"/>
        <c:lblOffset val="100"/>
        <c:noMultiLvlLbl val="0"/>
      </c:catAx>
      <c:valAx>
        <c:axId val="166256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254464"/>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192967160709096"/>
          <c:y val="0.867642478978511"/>
          <c:w val="0.489537925021796"/>
          <c:h val="0.104328869511056"/>
        </c:manualLayout>
      </c:layout>
      <c:overlay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b="0"/>
              <a:t>一般公共预算财政拨款支出决算说明图（单位：万元）</a:t>
            </a:r>
            <a:endParaRPr b="0"/>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2022年一般公共预算财政拨款支出202.71万元，占100％</c:v>
                </c:pt>
              </c:strCache>
            </c:strRef>
          </c:tx>
          <c:spPr>
            <a:solidFill>
              <a:schemeClr val="accent1"/>
            </a:solidFill>
            <a:ln>
              <a:solidFill>
                <a:schemeClr val="bg1"/>
              </a:solidFill>
            </a:ln>
            <a:effectLst/>
          </c:spPr>
          <c:invertIfNegative val="0"/>
          <c:dPt>
            <c:idx val="0"/>
            <c:invertIfNegative val="0"/>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strCache>
            </c:strRef>
          </c:cat>
          <c:val>
            <c:numRef>
              <c:f>Sheet1!$B$2:$B$5</c:f>
              <c:numCache>
                <c:formatCode>General</c:formatCode>
                <c:ptCount val="4"/>
                <c:pt idx="0">
                  <c:v>167.23</c:v>
                </c:pt>
                <c:pt idx="1">
                  <c:v>202.71</c:v>
                </c:pt>
              </c:numCache>
            </c:numRef>
          </c:val>
        </c:ser>
        <c:dLbls>
          <c:showLegendKey val="0"/>
          <c:showVal val="1"/>
          <c:showCatName val="0"/>
          <c:showSerName val="0"/>
          <c:showPercent val="0"/>
          <c:showBubbleSize val="0"/>
        </c:dLbls>
        <c:gapWidth val="246"/>
        <c:overlap val="100"/>
        <c:axId val="175888256"/>
        <c:axId val="175890432"/>
      </c:barChart>
      <c:catAx>
        <c:axId val="1758882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890432"/>
        <c:crosses val="autoZero"/>
        <c:auto val="1"/>
        <c:lblAlgn val="ctr"/>
        <c:lblOffset val="100"/>
        <c:noMultiLvlLbl val="0"/>
      </c:catAx>
      <c:valAx>
        <c:axId val="17589043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888256"/>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一般公共预算财政拨款支出决算结构图（单位：万元）</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一般公共服务支出86.66％</c:v>
                </c:pt>
                <c:pt idx="1">
                  <c:v>社会保障和就业支出5.4％</c:v>
                </c:pt>
                <c:pt idx="2">
                  <c:v>卫生健康支出2.77％</c:v>
                </c:pt>
                <c:pt idx="3">
                  <c:v>住房保障支出5.17％</c:v>
                </c:pt>
              </c:strCache>
            </c:strRef>
          </c:cat>
          <c:val>
            <c:numRef>
              <c:f>Sheet1!$B$2:$B$5</c:f>
              <c:numCache>
                <c:formatCode>General</c:formatCode>
                <c:ptCount val="4"/>
                <c:pt idx="0">
                  <c:v>177.66</c:v>
                </c:pt>
                <c:pt idx="1">
                  <c:v>10.95</c:v>
                </c:pt>
                <c:pt idx="2">
                  <c:v>5.61</c:v>
                </c:pt>
                <c:pt idx="3">
                  <c:v>10.49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年三公经费财政拨款支出结构说明图（单位：万元）</a:t>
            </a:r>
            <a:endParaRPr altLang="en-US"/>
          </a:p>
        </c:rich>
      </c:tx>
      <c:layout/>
      <c:overlay val="0"/>
      <c:spPr>
        <a:noFill/>
        <a:ln>
          <a:noFill/>
        </a:ln>
        <a:effectLst/>
      </c:spPr>
    </c:title>
    <c:autoTitleDeleted val="0"/>
    <c:plotArea>
      <c:layout/>
      <c:pieChart>
        <c:varyColors val="1"/>
        <c:ser>
          <c:idx val="0"/>
          <c:order val="0"/>
          <c:tx>
            <c:strRef>
              <c:f>Sheet1!$B$1</c:f>
              <c:strCache>
                <c:ptCount val="1"/>
                <c:pt idx="0">
                  <c:v>2022年三公经费财政拨款支出结构说明图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2022年公务接待支出0.61万元占100％</c:v>
                </c:pt>
              </c:strCache>
            </c:strRef>
          </c:cat>
          <c:val>
            <c:numRef>
              <c:f>Sheet1!$B$2:$B$5</c:f>
              <c:numCache>
                <c:formatCode>General</c:formatCode>
                <c:ptCount val="4"/>
                <c:pt idx="0">
                  <c:v>0.61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250151240169389"/>
          <c:y val="0.8554364471669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13596</Words>
  <Characters>15218</Characters>
  <Lines>61</Lines>
  <Paragraphs>17</Paragraphs>
  <TotalTime>1</TotalTime>
  <ScaleCrop>false</ScaleCrop>
  <LinksUpToDate>false</LinksUpToDate>
  <CharactersWithSpaces>15304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2023-10-31T08:54:23Z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4E4E515122674845874FC16C5465FC26_13</vt:lpwstr>
  </property>
</Properties>
</file>