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color w:val="auto"/>
          <w:sz w:val="72"/>
          <w:szCs w:val="72"/>
          <w:highlight w:val="none"/>
        </w:rPr>
      </w:pPr>
      <w:bookmarkStart w:id="0" w:name="_Toc15396475"/>
      <w:bookmarkStart w:id="1" w:name="_Toc15377425"/>
      <w:bookmarkStart w:id="2" w:name="_Toc15378441"/>
      <w:bookmarkStart w:id="3" w:name="_Toc15396597"/>
      <w:bookmarkStart w:id="4" w:name="_Toc15377193"/>
      <w:bookmarkStart w:id="5" w:name="_Toc15306267"/>
    </w:p>
    <w:p>
      <w:pPr>
        <w:spacing w:line="600" w:lineRule="exact"/>
        <w:jc w:val="center"/>
        <w:outlineLvl w:val="9"/>
        <w:rPr>
          <w:rFonts w:ascii="方正小标宋简体" w:hAnsi="宋体" w:eastAsia="方正小标宋简体"/>
          <w:color w:val="auto"/>
          <w:sz w:val="72"/>
          <w:szCs w:val="72"/>
          <w:highlight w:val="none"/>
        </w:rPr>
      </w:pPr>
    </w:p>
    <w:p>
      <w:pPr>
        <w:spacing w:line="600" w:lineRule="exact"/>
        <w:jc w:val="center"/>
        <w:outlineLvl w:val="9"/>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25309"/>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bookmarkEnd w:id="6"/>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7" w:name="_Toc15377194"/>
      <w:bookmarkStart w:id="8" w:name="_Toc15396476"/>
      <w:bookmarkStart w:id="9" w:name="_Toc15396598"/>
      <w:bookmarkStart w:id="10" w:name="_Toc15377426"/>
      <w:bookmarkStart w:id="11" w:name="_Toc15378442"/>
      <w:bookmarkStart w:id="12" w:name="_Toc17878"/>
      <w:r>
        <w:rPr>
          <w:rFonts w:hint="eastAsia" w:ascii="方正小标宋简体" w:hAnsi="方正小标宋简体" w:eastAsia="方正小标宋简体" w:cs="方正小标宋简体"/>
          <w:color w:val="auto"/>
          <w:sz w:val="72"/>
          <w:szCs w:val="72"/>
          <w:highlight w:val="none"/>
        </w:rPr>
        <w:t>四川省</w:t>
      </w:r>
      <w:bookmarkEnd w:id="5"/>
      <w:bookmarkStart w:id="13" w:name="_Toc15306268"/>
      <w:r>
        <w:rPr>
          <w:rFonts w:hint="eastAsia" w:ascii="方正小标宋简体" w:hAnsi="方正小标宋简体" w:eastAsia="方正小标宋简体" w:cs="方正小标宋简体"/>
          <w:color w:val="auto"/>
          <w:sz w:val="72"/>
          <w:szCs w:val="72"/>
          <w:highlight w:val="none"/>
          <w:lang w:eastAsia="zh-CN"/>
        </w:rPr>
        <w:t>广元市朝天区直属机关党建事务中心</w:t>
      </w:r>
      <w:r>
        <w:rPr>
          <w:rFonts w:hint="eastAsia" w:ascii="方正小标宋简体" w:hAnsi="方正小标宋简体" w:eastAsia="方正小标宋简体" w:cs="方正小标宋简体"/>
          <w:color w:val="auto"/>
          <w:sz w:val="72"/>
          <w:szCs w:val="72"/>
          <w:highlight w:val="none"/>
        </w:rPr>
        <w:t>决算</w:t>
      </w:r>
      <w:bookmarkEnd w:id="7"/>
      <w:bookmarkEnd w:id="8"/>
      <w:bookmarkEnd w:id="9"/>
      <w:bookmarkEnd w:id="10"/>
      <w:bookmarkEnd w:id="11"/>
      <w:bookmarkEnd w:id="12"/>
      <w:bookmarkEnd w:id="13"/>
    </w:p>
    <w:p>
      <w:pPr>
        <w:adjustRightInd w:val="0"/>
        <w:snapToGrid w:val="0"/>
        <w:spacing w:line="360" w:lineRule="auto"/>
        <w:jc w:val="center"/>
        <w:outlineLvl w:val="0"/>
        <w:rPr>
          <w:rFonts w:ascii="方正小标宋简体" w:hAnsi="宋体" w:eastAsia="方正小标宋简体"/>
          <w:color w:val="auto"/>
          <w:sz w:val="52"/>
          <w:szCs w:val="52"/>
          <w:highlight w:val="none"/>
        </w:rPr>
      </w:pPr>
      <w:bookmarkStart w:id="14" w:name="_Toc24815"/>
      <w:r>
        <w:rPr>
          <w:rFonts w:hint="eastAsia" w:ascii="方正小标宋简体" w:hAnsi="宋体" w:eastAsia="方正小标宋简体"/>
          <w:color w:val="auto"/>
          <w:sz w:val="52"/>
          <w:szCs w:val="52"/>
          <w:highlight w:val="none"/>
        </w:rPr>
        <w:t>(</w:t>
      </w:r>
      <w:r>
        <w:rPr>
          <w:rFonts w:hint="eastAsia" w:ascii="方正小标宋简体" w:hAnsi="宋体" w:eastAsia="方正小标宋简体"/>
          <w:color w:val="auto"/>
          <w:sz w:val="52"/>
          <w:szCs w:val="52"/>
          <w:highlight w:val="none"/>
          <w:lang w:eastAsia="zh-CN"/>
        </w:rPr>
        <w:t>部门公开</w:t>
      </w:r>
      <w:r>
        <w:rPr>
          <w:rFonts w:hint="eastAsia" w:ascii="方正小标宋简体" w:hAnsi="宋体" w:eastAsia="方正小标宋简体"/>
          <w:color w:val="auto"/>
          <w:sz w:val="52"/>
          <w:szCs w:val="52"/>
          <w:highlight w:val="none"/>
        </w:rPr>
        <w:t>范本)</w:t>
      </w:r>
      <w:bookmarkEnd w:id="14"/>
    </w:p>
    <w:p>
      <w:pPr>
        <w:widowControl/>
        <w:jc w:val="both"/>
        <w:rPr>
          <w:rFonts w:ascii="黑体" w:hAnsi="黑体" w:eastAsia="黑体" w:cstheme="minorBidi"/>
          <w:color w:val="auto"/>
          <w:sz w:val="28"/>
          <w:szCs w:val="28"/>
          <w:highlight w:val="none"/>
        </w:rPr>
      </w:pPr>
    </w:p>
    <w:p>
      <w:pPr>
        <w:pStyle w:val="12"/>
        <w:rPr>
          <w:rFonts w:hint="eastAsia"/>
          <w:color w:val="auto"/>
          <w:highlight w:val="none"/>
        </w:rPr>
      </w:pPr>
    </w:p>
    <w:p>
      <w:pPr>
        <w:pStyle w:val="12"/>
        <w:rPr>
          <w:rFonts w:hint="eastAsia"/>
          <w:color w:val="auto"/>
          <w:highlight w:val="none"/>
        </w:rPr>
      </w:pPr>
    </w:p>
    <w:p>
      <w:pPr>
        <w:pStyle w:val="12"/>
        <w:rPr>
          <w:rFonts w:hint="eastAsia"/>
          <w:color w:val="auto"/>
          <w:highlight w:val="none"/>
        </w:rPr>
      </w:pPr>
    </w:p>
    <w:p>
      <w:pPr>
        <w:pStyle w:val="12"/>
        <w:rPr>
          <w:rFonts w:hint="eastAsia"/>
          <w:color w:val="auto"/>
          <w:highlight w:val="none"/>
        </w:rPr>
      </w:pPr>
    </w:p>
    <w:p>
      <w:pPr>
        <w:pStyle w:val="12"/>
        <w:rPr>
          <w:rFonts w:hint="eastAsia"/>
          <w:color w:val="auto"/>
          <w:highlight w:val="none"/>
        </w:rPr>
      </w:pPr>
    </w:p>
    <w:p>
      <w:pPr>
        <w:pStyle w:val="12"/>
        <w:rPr>
          <w:rFonts w:hint="eastAsia"/>
          <w:color w:val="auto"/>
          <w:highlight w:val="none"/>
        </w:rPr>
      </w:pPr>
    </w:p>
    <w:p>
      <w:pPr>
        <w:pStyle w:val="12"/>
        <w:rPr>
          <w:rFonts w:hint="eastAsia"/>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27</w:t>
      </w:r>
      <w:r>
        <w:rPr>
          <w:rFonts w:hint="eastAsia"/>
          <w:color w:val="auto"/>
          <w:highlight w:val="none"/>
        </w:rPr>
        <w:t>日</w:t>
      </w:r>
    </w:p>
    <w:p/>
    <w:p>
      <w:pPr>
        <w:rPr>
          <w:color w:val="auto"/>
          <w:highlight w:val="none"/>
        </w:rPr>
      </w:pPr>
    </w:p>
    <w:sdt>
      <w:sdtPr>
        <w:rPr>
          <w:rFonts w:ascii="宋体" w:hAnsi="宋体" w:eastAsia="宋体" w:cs="Times New Roman"/>
          <w:kern w:val="2"/>
          <w:sz w:val="21"/>
          <w:szCs w:val="24"/>
          <w:lang w:val="en-US" w:eastAsia="zh-CN" w:bidi="ar-SA"/>
        </w:rPr>
        <w:id w:val="147478632"/>
        <w15:color w:val="DBDBDB"/>
        <w:docPartObj>
          <w:docPartGallery w:val="Table of Contents"/>
          <w:docPartUnique/>
        </w:docPartObj>
      </w:sdtPr>
      <w:sdtContent>
        <w:p>
          <w:pPr>
            <w:spacing w:before="0" w:beforeLines="0" w:after="0" w:afterLines="0" w:line="240" w:lineRule="auto"/>
            <w:ind w:left="0" w:leftChars="0" w:right="0" w:rightChars="0" w:firstLine="0" w:firstLineChars="0"/>
            <w:jc w:val="center"/>
          </w:pPr>
          <w:bookmarkStart w:id="15" w:name="_Toc15377196"/>
          <w:bookmarkStart w:id="16" w:name="_Toc15396599"/>
          <w:bookmarkStart w:id="139" w:name="_GoBack"/>
          <w:bookmarkEnd w:id="139"/>
          <w:r>
            <w:rPr>
              <w:rFonts w:ascii="宋体" w:hAnsi="宋体" w:eastAsia="宋体"/>
              <w:sz w:val="21"/>
            </w:rPr>
            <w:t>目录</w:t>
          </w:r>
        </w:p>
        <w:p>
          <w:pPr>
            <w:pStyle w:val="43"/>
            <w:tabs>
              <w:tab w:val="right" w:leader="dot" w:pos="8306"/>
            </w:tabs>
          </w:pPr>
          <w:r>
            <w:fldChar w:fldCharType="begin"/>
          </w:r>
          <w:r>
            <w:instrText xml:space="preserve">TOC \o "1-3" \h \u </w:instrText>
          </w:r>
          <w:r>
            <w:fldChar w:fldCharType="separate"/>
          </w:r>
          <w:r>
            <w:fldChar w:fldCharType="begin"/>
          </w:r>
          <w:r>
            <w:instrText xml:space="preserve"> HYPERLINK \l _Toc29447 </w:instrText>
          </w:r>
          <w:r>
            <w:fldChar w:fldCharType="separate"/>
          </w:r>
          <w:r>
            <w:rPr>
              <w:rFonts w:hint="eastAsia" w:ascii="黑体" w:hAnsi="黑体" w:eastAsia="黑体"/>
              <w:highlight w:val="none"/>
            </w:rPr>
            <w:t xml:space="preserve">第一部分 </w:t>
          </w:r>
          <w:r>
            <w:rPr>
              <w:rFonts w:hint="eastAsia" w:ascii="黑体" w:hAnsi="黑体" w:eastAsia="黑体"/>
              <w:bCs w:val="0"/>
              <w:highlight w:val="none"/>
            </w:rPr>
            <w:t>部门概况</w:t>
          </w:r>
          <w:r>
            <w:tab/>
          </w:r>
          <w:r>
            <w:fldChar w:fldCharType="begin"/>
          </w:r>
          <w:r>
            <w:instrText xml:space="preserve"> PAGEREF _Toc29447 \h </w:instrText>
          </w:r>
          <w:r>
            <w:fldChar w:fldCharType="separate"/>
          </w:r>
          <w:r>
            <w:t>3</w:t>
          </w:r>
          <w:r>
            <w:fldChar w:fldCharType="end"/>
          </w:r>
          <w:r>
            <w:fldChar w:fldCharType="end"/>
          </w:r>
        </w:p>
        <w:p>
          <w:pPr>
            <w:pStyle w:val="44"/>
            <w:tabs>
              <w:tab w:val="right" w:leader="dot" w:pos="8306"/>
            </w:tabs>
          </w:pPr>
          <w:r>
            <w:fldChar w:fldCharType="begin"/>
          </w:r>
          <w:r>
            <w:instrText xml:space="preserve"> HYPERLINK \l _Toc17484 </w:instrText>
          </w:r>
          <w:r>
            <w:fldChar w:fldCharType="separate"/>
          </w:r>
          <w:r>
            <w:rPr>
              <w:rFonts w:hint="eastAsia" w:ascii="黑体" w:hAnsi="黑体" w:eastAsia="黑体"/>
              <w:szCs w:val="32"/>
              <w:lang w:eastAsia="zh-CN"/>
            </w:rPr>
            <w:t xml:space="preserve">一、 </w:t>
          </w:r>
          <w:r>
            <w:rPr>
              <w:rFonts w:hint="eastAsia" w:ascii="黑体" w:hAnsi="黑体" w:eastAsia="黑体"/>
              <w:szCs w:val="32"/>
              <w:highlight w:val="none"/>
              <w:lang w:eastAsia="zh-CN"/>
            </w:rPr>
            <w:t>部门职责</w:t>
          </w:r>
          <w:r>
            <w:tab/>
          </w:r>
          <w:r>
            <w:fldChar w:fldCharType="begin"/>
          </w:r>
          <w:r>
            <w:instrText xml:space="preserve"> PAGEREF _Toc17484 \h </w:instrText>
          </w:r>
          <w:r>
            <w:fldChar w:fldCharType="separate"/>
          </w:r>
          <w:r>
            <w:t>3</w:t>
          </w:r>
          <w:r>
            <w:fldChar w:fldCharType="end"/>
          </w:r>
          <w:r>
            <w:fldChar w:fldCharType="end"/>
          </w:r>
        </w:p>
        <w:p>
          <w:pPr>
            <w:pStyle w:val="44"/>
            <w:tabs>
              <w:tab w:val="right" w:leader="dot" w:pos="8306"/>
            </w:tabs>
          </w:pPr>
          <w:r>
            <w:fldChar w:fldCharType="begin"/>
          </w:r>
          <w:r>
            <w:instrText xml:space="preserve"> HYPERLINK \l _Toc25794 </w:instrText>
          </w:r>
          <w:r>
            <w:fldChar w:fldCharType="separate"/>
          </w:r>
          <w:r>
            <w:rPr>
              <w:rFonts w:hint="eastAsia" w:ascii="黑体" w:eastAsia="黑体"/>
              <w:highlight w:val="none"/>
            </w:rPr>
            <w:t>二、</w:t>
          </w:r>
          <w:r>
            <w:rPr>
              <w:rFonts w:hint="eastAsia" w:ascii="黑体" w:hAnsi="黑体" w:eastAsia="黑体"/>
              <w:highlight w:val="none"/>
            </w:rPr>
            <w:t>机</w:t>
          </w:r>
          <w:r>
            <w:rPr>
              <w:rFonts w:hint="eastAsia" w:ascii="黑体" w:hAnsi="黑体" w:eastAsia="黑体"/>
              <w:bCs w:val="0"/>
              <w:highlight w:val="none"/>
            </w:rPr>
            <w:t>构设置</w:t>
          </w:r>
          <w:r>
            <w:tab/>
          </w:r>
          <w:r>
            <w:fldChar w:fldCharType="begin"/>
          </w:r>
          <w:r>
            <w:instrText xml:space="preserve"> PAGEREF _Toc25794 \h </w:instrText>
          </w:r>
          <w:r>
            <w:fldChar w:fldCharType="separate"/>
          </w:r>
          <w:r>
            <w:t>3</w:t>
          </w:r>
          <w:r>
            <w:fldChar w:fldCharType="end"/>
          </w:r>
          <w:r>
            <w:fldChar w:fldCharType="end"/>
          </w:r>
        </w:p>
        <w:p>
          <w:pPr>
            <w:pStyle w:val="43"/>
            <w:tabs>
              <w:tab w:val="right" w:leader="dot" w:pos="8306"/>
            </w:tabs>
          </w:pPr>
          <w:r>
            <w:fldChar w:fldCharType="begin"/>
          </w:r>
          <w:r>
            <w:instrText xml:space="preserve"> HYPERLINK \l _Toc1470 </w:instrText>
          </w:r>
          <w:r>
            <w:fldChar w:fldCharType="separate"/>
          </w:r>
          <w:r>
            <w:rPr>
              <w:rFonts w:hint="eastAsia" w:ascii="黑体" w:hAnsi="黑体" w:eastAsia="黑体"/>
              <w:bCs/>
              <w:highlight w:val="none"/>
            </w:rPr>
            <w:t xml:space="preserve">第二部分 </w:t>
          </w:r>
          <w:r>
            <w:rPr>
              <w:rFonts w:hint="eastAsia" w:ascii="黑体" w:hAnsi="黑体" w:eastAsia="黑体"/>
              <w:bCs/>
              <w:highlight w:val="none"/>
              <w:lang w:val="en-US" w:eastAsia="zh-CN"/>
            </w:rPr>
            <w:t>2022年度</w:t>
          </w:r>
          <w:r>
            <w:rPr>
              <w:rFonts w:hint="eastAsia" w:ascii="黑体" w:hAnsi="黑体" w:eastAsia="黑体"/>
              <w:bCs/>
              <w:highlight w:val="none"/>
            </w:rPr>
            <w:t>部门决算情况说明</w:t>
          </w:r>
          <w:r>
            <w:tab/>
          </w:r>
          <w:r>
            <w:fldChar w:fldCharType="begin"/>
          </w:r>
          <w:r>
            <w:instrText xml:space="preserve"> PAGEREF _Toc1470 \h </w:instrText>
          </w:r>
          <w:r>
            <w:fldChar w:fldCharType="separate"/>
          </w:r>
          <w:r>
            <w:t>4</w:t>
          </w:r>
          <w:r>
            <w:fldChar w:fldCharType="end"/>
          </w:r>
          <w:r>
            <w:fldChar w:fldCharType="end"/>
          </w:r>
        </w:p>
        <w:p>
          <w:pPr>
            <w:pStyle w:val="44"/>
            <w:tabs>
              <w:tab w:val="right" w:leader="dot" w:pos="8306"/>
            </w:tabs>
          </w:pPr>
          <w:r>
            <w:fldChar w:fldCharType="begin"/>
          </w:r>
          <w:r>
            <w:instrText xml:space="preserve"> HYPERLINK \l _Toc7712 </w:instrText>
          </w:r>
          <w:r>
            <w:fldChar w:fldCharType="separate"/>
          </w:r>
          <w:r>
            <w:rPr>
              <w:rFonts w:hint="default" w:ascii="黑体" w:hAnsi="黑体" w:eastAsia="黑体"/>
            </w:rPr>
            <w:t xml:space="preserve">一、 </w:t>
          </w:r>
          <w:r>
            <w:rPr>
              <w:rFonts w:hint="eastAsia" w:ascii="黑体" w:hAnsi="黑体" w:eastAsia="黑体"/>
              <w:szCs w:val="32"/>
              <w:highlight w:val="none"/>
            </w:rPr>
            <w:t>收</w:t>
          </w:r>
          <w:r>
            <w:rPr>
              <w:rFonts w:hint="eastAsia" w:ascii="黑体" w:hAnsi="黑体" w:eastAsia="黑体"/>
              <w:highlight w:val="none"/>
            </w:rPr>
            <w:t>入支出决算总体情况说明</w:t>
          </w:r>
          <w:r>
            <w:tab/>
          </w:r>
          <w:r>
            <w:fldChar w:fldCharType="begin"/>
          </w:r>
          <w:r>
            <w:instrText xml:space="preserve"> PAGEREF _Toc7712 \h </w:instrText>
          </w:r>
          <w:r>
            <w:fldChar w:fldCharType="separate"/>
          </w:r>
          <w:r>
            <w:t>4</w:t>
          </w:r>
          <w:r>
            <w:fldChar w:fldCharType="end"/>
          </w:r>
          <w:r>
            <w:fldChar w:fldCharType="end"/>
          </w:r>
        </w:p>
        <w:p>
          <w:pPr>
            <w:pStyle w:val="44"/>
            <w:tabs>
              <w:tab w:val="right" w:leader="dot" w:pos="8306"/>
            </w:tabs>
          </w:pPr>
          <w:r>
            <w:fldChar w:fldCharType="begin"/>
          </w:r>
          <w:r>
            <w:instrText xml:space="preserve"> HYPERLINK \l _Toc7079 </w:instrText>
          </w:r>
          <w:r>
            <w:fldChar w:fldCharType="separate"/>
          </w:r>
          <w:r>
            <w:rPr>
              <w:rFonts w:hint="default" w:ascii="黑体" w:hAnsi="黑体" w:eastAsia="黑体"/>
            </w:rPr>
            <w:t xml:space="preserve">二、 </w:t>
          </w:r>
          <w:r>
            <w:rPr>
              <w:rFonts w:hint="eastAsia" w:ascii="黑体" w:hAnsi="黑体" w:eastAsia="黑体"/>
              <w:szCs w:val="32"/>
              <w:highlight w:val="none"/>
            </w:rPr>
            <w:t>收</w:t>
          </w:r>
          <w:r>
            <w:rPr>
              <w:rFonts w:hint="eastAsia" w:ascii="黑体" w:hAnsi="黑体" w:eastAsia="黑体"/>
              <w:highlight w:val="none"/>
            </w:rPr>
            <w:t>入决算情况说明</w:t>
          </w:r>
          <w:r>
            <w:tab/>
          </w:r>
          <w:r>
            <w:fldChar w:fldCharType="begin"/>
          </w:r>
          <w:r>
            <w:instrText xml:space="preserve"> PAGEREF _Toc7079 \h </w:instrText>
          </w:r>
          <w:r>
            <w:fldChar w:fldCharType="separate"/>
          </w:r>
          <w:r>
            <w:t>4</w:t>
          </w:r>
          <w:r>
            <w:fldChar w:fldCharType="end"/>
          </w:r>
          <w:r>
            <w:fldChar w:fldCharType="end"/>
          </w:r>
        </w:p>
        <w:p>
          <w:pPr>
            <w:pStyle w:val="44"/>
            <w:tabs>
              <w:tab w:val="right" w:leader="dot" w:pos="8306"/>
            </w:tabs>
          </w:pPr>
          <w:r>
            <w:fldChar w:fldCharType="begin"/>
          </w:r>
          <w:r>
            <w:instrText xml:space="preserve"> HYPERLINK \l _Toc16752 </w:instrText>
          </w:r>
          <w:r>
            <w:fldChar w:fldCharType="separate"/>
          </w:r>
          <w:r>
            <w:rPr>
              <w:rFonts w:hint="default" w:ascii="黑体" w:hAnsi="黑体" w:eastAsia="黑体"/>
            </w:rPr>
            <w:t xml:space="preserve">三、 </w:t>
          </w:r>
          <w:r>
            <w:rPr>
              <w:rFonts w:hint="eastAsia" w:ascii="黑体" w:hAnsi="黑体" w:eastAsia="黑体"/>
              <w:szCs w:val="32"/>
              <w:highlight w:val="none"/>
            </w:rPr>
            <w:t>支</w:t>
          </w:r>
          <w:r>
            <w:rPr>
              <w:rFonts w:hint="eastAsia" w:ascii="黑体" w:hAnsi="黑体" w:eastAsia="黑体"/>
              <w:highlight w:val="none"/>
            </w:rPr>
            <w:t>出决算情况说明</w:t>
          </w:r>
          <w:r>
            <w:tab/>
          </w:r>
          <w:r>
            <w:fldChar w:fldCharType="begin"/>
          </w:r>
          <w:r>
            <w:instrText xml:space="preserve"> PAGEREF _Toc16752 \h </w:instrText>
          </w:r>
          <w:r>
            <w:fldChar w:fldCharType="separate"/>
          </w:r>
          <w:r>
            <w:t>4</w:t>
          </w:r>
          <w:r>
            <w:fldChar w:fldCharType="end"/>
          </w:r>
          <w:r>
            <w:fldChar w:fldCharType="end"/>
          </w:r>
        </w:p>
        <w:p>
          <w:pPr>
            <w:pStyle w:val="44"/>
            <w:tabs>
              <w:tab w:val="right" w:leader="dot" w:pos="8306"/>
            </w:tabs>
          </w:pPr>
          <w:r>
            <w:fldChar w:fldCharType="begin"/>
          </w:r>
          <w:r>
            <w:instrText xml:space="preserve"> HYPERLINK \l _Toc20319 </w:instrText>
          </w:r>
          <w:r>
            <w:fldChar w:fldCharType="separate"/>
          </w:r>
          <w:r>
            <w:rPr>
              <w:rFonts w:hint="eastAsia" w:ascii="黑体" w:hAnsi="黑体" w:eastAsia="黑体"/>
              <w:szCs w:val="32"/>
              <w:highlight w:val="none"/>
            </w:rPr>
            <w:t>四、财</w:t>
          </w:r>
          <w:r>
            <w:rPr>
              <w:rFonts w:hint="eastAsia" w:ascii="黑体" w:hAnsi="黑体" w:eastAsia="黑体"/>
              <w:highlight w:val="none"/>
            </w:rPr>
            <w:t>政拨款收入支出决算总体情况说明</w:t>
          </w:r>
          <w:r>
            <w:tab/>
          </w:r>
          <w:r>
            <w:fldChar w:fldCharType="begin"/>
          </w:r>
          <w:r>
            <w:instrText xml:space="preserve"> PAGEREF _Toc20319 \h </w:instrText>
          </w:r>
          <w:r>
            <w:fldChar w:fldCharType="separate"/>
          </w:r>
          <w:r>
            <w:t>5</w:t>
          </w:r>
          <w:r>
            <w:fldChar w:fldCharType="end"/>
          </w:r>
          <w:r>
            <w:fldChar w:fldCharType="end"/>
          </w:r>
        </w:p>
        <w:p>
          <w:pPr>
            <w:pStyle w:val="44"/>
            <w:tabs>
              <w:tab w:val="right" w:leader="dot" w:pos="8306"/>
            </w:tabs>
          </w:pPr>
          <w:r>
            <w:fldChar w:fldCharType="begin"/>
          </w:r>
          <w:r>
            <w:instrText xml:space="preserve"> HYPERLINK \l _Toc22657 </w:instrText>
          </w:r>
          <w:r>
            <w:fldChar w:fldCharType="separate"/>
          </w:r>
          <w:r>
            <w:rPr>
              <w:rFonts w:hint="eastAsia" w:ascii="黑体" w:hAnsi="黑体" w:eastAsia="黑体"/>
              <w:szCs w:val="32"/>
              <w:highlight w:val="none"/>
            </w:rPr>
            <w:t>五、一</w:t>
          </w:r>
          <w:r>
            <w:rPr>
              <w:rFonts w:hint="eastAsia" w:ascii="黑体" w:hAnsi="黑体" w:eastAsia="黑体"/>
              <w:highlight w:val="none"/>
            </w:rPr>
            <w:t>般公共预算财政拨款支出决算情况说明</w:t>
          </w:r>
          <w:r>
            <w:tab/>
          </w:r>
          <w:r>
            <w:fldChar w:fldCharType="begin"/>
          </w:r>
          <w:r>
            <w:instrText xml:space="preserve"> PAGEREF _Toc22657 \h </w:instrText>
          </w:r>
          <w:r>
            <w:fldChar w:fldCharType="separate"/>
          </w:r>
          <w:r>
            <w:t>5</w:t>
          </w:r>
          <w:r>
            <w:fldChar w:fldCharType="end"/>
          </w:r>
          <w:r>
            <w:fldChar w:fldCharType="end"/>
          </w:r>
        </w:p>
        <w:p>
          <w:pPr>
            <w:pStyle w:val="45"/>
            <w:tabs>
              <w:tab w:val="right" w:leader="dot" w:pos="8306"/>
            </w:tabs>
          </w:pPr>
          <w:r>
            <w:fldChar w:fldCharType="begin"/>
          </w:r>
          <w:r>
            <w:instrText xml:space="preserve"> HYPERLINK \l _Toc19997 </w:instrText>
          </w:r>
          <w:r>
            <w:fldChar w:fldCharType="separate"/>
          </w:r>
          <w:r>
            <w:rPr>
              <w:rFonts w:hint="eastAsia" w:ascii="仿宋" w:hAnsi="仿宋" w:eastAsia="仿宋"/>
              <w:szCs w:val="32"/>
              <w:highlight w:val="none"/>
            </w:rPr>
            <w:t>（一）一般公共预算财政拨款支出决算总体情况</w:t>
          </w:r>
          <w:r>
            <w:tab/>
          </w:r>
          <w:r>
            <w:fldChar w:fldCharType="begin"/>
          </w:r>
          <w:r>
            <w:instrText xml:space="preserve"> PAGEREF _Toc19997 \h </w:instrText>
          </w:r>
          <w:r>
            <w:fldChar w:fldCharType="separate"/>
          </w:r>
          <w:r>
            <w:t>5</w:t>
          </w:r>
          <w:r>
            <w:fldChar w:fldCharType="end"/>
          </w:r>
          <w:r>
            <w:fldChar w:fldCharType="end"/>
          </w:r>
        </w:p>
        <w:p>
          <w:pPr>
            <w:pStyle w:val="45"/>
            <w:tabs>
              <w:tab w:val="right" w:leader="dot" w:pos="8306"/>
            </w:tabs>
          </w:pPr>
          <w:r>
            <w:fldChar w:fldCharType="begin"/>
          </w:r>
          <w:r>
            <w:instrText xml:space="preserve"> HYPERLINK \l _Toc12974 </w:instrText>
          </w:r>
          <w:r>
            <w:fldChar w:fldCharType="separate"/>
          </w:r>
          <w:r>
            <w:rPr>
              <w:rFonts w:hint="eastAsia" w:ascii="仿宋" w:hAnsi="仿宋" w:eastAsia="仿宋"/>
              <w:szCs w:val="32"/>
              <w:highlight w:val="none"/>
            </w:rPr>
            <w:t>（二）一般公共预算财政拨款支出决算结构情况</w:t>
          </w:r>
          <w:r>
            <w:tab/>
          </w:r>
          <w:r>
            <w:fldChar w:fldCharType="begin"/>
          </w:r>
          <w:r>
            <w:instrText xml:space="preserve"> PAGEREF _Toc12974 \h </w:instrText>
          </w:r>
          <w:r>
            <w:fldChar w:fldCharType="separate"/>
          </w:r>
          <w:r>
            <w:t>6</w:t>
          </w:r>
          <w:r>
            <w:fldChar w:fldCharType="end"/>
          </w:r>
          <w:r>
            <w:fldChar w:fldCharType="end"/>
          </w:r>
        </w:p>
        <w:p>
          <w:pPr>
            <w:pStyle w:val="45"/>
            <w:tabs>
              <w:tab w:val="right" w:leader="dot" w:pos="8306"/>
            </w:tabs>
          </w:pPr>
          <w:r>
            <w:fldChar w:fldCharType="begin"/>
          </w:r>
          <w:r>
            <w:instrText xml:space="preserve"> HYPERLINK \l _Toc2938 </w:instrText>
          </w:r>
          <w:r>
            <w:fldChar w:fldCharType="separate"/>
          </w:r>
          <w:r>
            <w:rPr>
              <w:rFonts w:hint="eastAsia" w:ascii="仿宋" w:hAnsi="仿宋" w:eastAsia="仿宋"/>
              <w:szCs w:val="32"/>
              <w:highlight w:val="none"/>
            </w:rPr>
            <w:t>（三）一般公共预算财政拨款支出决算具体情况</w:t>
          </w:r>
          <w:r>
            <w:tab/>
          </w:r>
          <w:r>
            <w:fldChar w:fldCharType="begin"/>
          </w:r>
          <w:r>
            <w:instrText xml:space="preserve"> PAGEREF _Toc2938 \h </w:instrText>
          </w:r>
          <w:r>
            <w:fldChar w:fldCharType="separate"/>
          </w:r>
          <w:r>
            <w:t>7</w:t>
          </w:r>
          <w:r>
            <w:fldChar w:fldCharType="end"/>
          </w:r>
          <w:r>
            <w:fldChar w:fldCharType="end"/>
          </w:r>
        </w:p>
        <w:p>
          <w:pPr>
            <w:pStyle w:val="44"/>
            <w:tabs>
              <w:tab w:val="right" w:leader="dot" w:pos="8306"/>
            </w:tabs>
          </w:pPr>
          <w:r>
            <w:fldChar w:fldCharType="begin"/>
          </w:r>
          <w:r>
            <w:instrText xml:space="preserve"> HYPERLINK \l _Toc25129 </w:instrText>
          </w:r>
          <w:r>
            <w:fldChar w:fldCharType="separate"/>
          </w:r>
          <w:r>
            <w:rPr>
              <w:rFonts w:hint="eastAsia" w:ascii="黑体" w:eastAsia="黑体"/>
              <w:szCs w:val="32"/>
              <w:highlight w:val="none"/>
            </w:rPr>
            <w:t>六、</w:t>
          </w:r>
          <w:r>
            <w:rPr>
              <w:rFonts w:hint="eastAsia" w:ascii="黑体" w:hAnsi="黑体" w:eastAsia="黑体"/>
              <w:szCs w:val="32"/>
              <w:highlight w:val="none"/>
            </w:rPr>
            <w:t>一</w:t>
          </w:r>
          <w:r>
            <w:rPr>
              <w:rFonts w:hint="eastAsia" w:ascii="黑体" w:hAnsi="黑体" w:eastAsia="黑体"/>
              <w:highlight w:val="none"/>
            </w:rPr>
            <w:t>般公共预算财政拨款基本支出决算情况说明</w:t>
          </w:r>
          <w:r>
            <w:tab/>
          </w:r>
          <w:r>
            <w:fldChar w:fldCharType="begin"/>
          </w:r>
          <w:r>
            <w:instrText xml:space="preserve"> PAGEREF _Toc25129 \h </w:instrText>
          </w:r>
          <w:r>
            <w:fldChar w:fldCharType="separate"/>
          </w:r>
          <w:r>
            <w:t>7</w:t>
          </w:r>
          <w:r>
            <w:fldChar w:fldCharType="end"/>
          </w:r>
          <w:r>
            <w:fldChar w:fldCharType="end"/>
          </w:r>
        </w:p>
        <w:p>
          <w:pPr>
            <w:pStyle w:val="44"/>
            <w:tabs>
              <w:tab w:val="right" w:leader="dot" w:pos="8306"/>
            </w:tabs>
          </w:pPr>
          <w:r>
            <w:fldChar w:fldCharType="begin"/>
          </w:r>
          <w:r>
            <w:instrText xml:space="preserve"> HYPERLINK \l _Toc6992 </w:instrText>
          </w:r>
          <w:r>
            <w:fldChar w:fldCharType="separate"/>
          </w:r>
          <w:r>
            <w:rPr>
              <w:rFonts w:hint="eastAsia" w:ascii="黑体" w:eastAsia="黑体"/>
              <w:szCs w:val="32"/>
              <w:highlight w:val="none"/>
            </w:rPr>
            <w:t>七、</w:t>
          </w:r>
          <w:r>
            <w:rPr>
              <w:rFonts w:hint="eastAsia" w:ascii="黑体" w:hAnsi="黑体" w:eastAsia="黑体"/>
              <w:highlight w:val="none"/>
            </w:rPr>
            <w:t>财政拨款“三公”经费支出决算情况说明</w:t>
          </w:r>
          <w:r>
            <w:tab/>
          </w:r>
          <w:r>
            <w:fldChar w:fldCharType="begin"/>
          </w:r>
          <w:r>
            <w:instrText xml:space="preserve"> PAGEREF _Toc6992 \h </w:instrText>
          </w:r>
          <w:r>
            <w:fldChar w:fldCharType="separate"/>
          </w:r>
          <w:r>
            <w:t>8</w:t>
          </w:r>
          <w:r>
            <w:fldChar w:fldCharType="end"/>
          </w:r>
          <w:r>
            <w:fldChar w:fldCharType="end"/>
          </w:r>
        </w:p>
        <w:p>
          <w:pPr>
            <w:pStyle w:val="45"/>
            <w:tabs>
              <w:tab w:val="right" w:leader="dot" w:pos="8306"/>
            </w:tabs>
          </w:pPr>
          <w:r>
            <w:fldChar w:fldCharType="begin"/>
          </w:r>
          <w:r>
            <w:instrText xml:space="preserve"> HYPERLINK \l _Toc13451 </w:instrText>
          </w:r>
          <w:r>
            <w:fldChar w:fldCharType="separate"/>
          </w:r>
          <w:r>
            <w:rPr>
              <w:rFonts w:hint="eastAsia" w:ascii="仿宋" w:hAnsi="仿宋" w:eastAsia="仿宋"/>
              <w:szCs w:val="32"/>
              <w:highlight w:val="none"/>
            </w:rPr>
            <w:t>（一）“三公”经费财政拨款支出决算总体情况说明</w:t>
          </w:r>
          <w:r>
            <w:tab/>
          </w:r>
          <w:r>
            <w:fldChar w:fldCharType="begin"/>
          </w:r>
          <w:r>
            <w:instrText xml:space="preserve"> PAGEREF _Toc13451 \h </w:instrText>
          </w:r>
          <w:r>
            <w:fldChar w:fldCharType="separate"/>
          </w:r>
          <w:r>
            <w:t>8</w:t>
          </w:r>
          <w:r>
            <w:fldChar w:fldCharType="end"/>
          </w:r>
          <w:r>
            <w:fldChar w:fldCharType="end"/>
          </w:r>
        </w:p>
        <w:p>
          <w:pPr>
            <w:pStyle w:val="45"/>
            <w:tabs>
              <w:tab w:val="right" w:leader="dot" w:pos="8306"/>
            </w:tabs>
          </w:pPr>
          <w:r>
            <w:fldChar w:fldCharType="begin"/>
          </w:r>
          <w:r>
            <w:instrText xml:space="preserve"> HYPERLINK \l _Toc4534 </w:instrText>
          </w:r>
          <w:r>
            <w:fldChar w:fldCharType="separate"/>
          </w:r>
          <w:r>
            <w:rPr>
              <w:rFonts w:hint="eastAsia" w:ascii="仿宋" w:hAnsi="仿宋" w:eastAsia="仿宋"/>
              <w:szCs w:val="32"/>
              <w:highlight w:val="none"/>
            </w:rPr>
            <w:t>（二）“三公”经费财政拨款支出决算具体情况说明</w:t>
          </w:r>
          <w:r>
            <w:tab/>
          </w:r>
          <w:r>
            <w:fldChar w:fldCharType="begin"/>
          </w:r>
          <w:r>
            <w:instrText xml:space="preserve"> PAGEREF _Toc4534 \h </w:instrText>
          </w:r>
          <w:r>
            <w:fldChar w:fldCharType="separate"/>
          </w:r>
          <w:r>
            <w:t>8</w:t>
          </w:r>
          <w:r>
            <w:fldChar w:fldCharType="end"/>
          </w:r>
          <w:r>
            <w:fldChar w:fldCharType="end"/>
          </w:r>
        </w:p>
        <w:p>
          <w:pPr>
            <w:pStyle w:val="44"/>
            <w:tabs>
              <w:tab w:val="right" w:leader="dot" w:pos="8306"/>
            </w:tabs>
          </w:pPr>
          <w:r>
            <w:fldChar w:fldCharType="begin"/>
          </w:r>
          <w:r>
            <w:instrText xml:space="preserve"> HYPERLINK \l _Toc23248 </w:instrText>
          </w:r>
          <w:r>
            <w:fldChar w:fldCharType="separate"/>
          </w:r>
          <w:r>
            <w:rPr>
              <w:rFonts w:hint="eastAsia" w:ascii="黑体" w:eastAsia="黑体"/>
              <w:szCs w:val="32"/>
              <w:highlight w:val="none"/>
            </w:rPr>
            <w:t>八、</w:t>
          </w:r>
          <w:r>
            <w:rPr>
              <w:rFonts w:hint="eastAsia" w:ascii="黑体" w:hAnsi="黑体" w:eastAsia="黑体"/>
              <w:highlight w:val="none"/>
            </w:rPr>
            <w:t>政府性基金预算支出决算情况说明</w:t>
          </w:r>
          <w:r>
            <w:tab/>
          </w:r>
          <w:r>
            <w:fldChar w:fldCharType="begin"/>
          </w:r>
          <w:r>
            <w:instrText xml:space="preserve"> PAGEREF _Toc23248 \h </w:instrText>
          </w:r>
          <w:r>
            <w:fldChar w:fldCharType="separate"/>
          </w:r>
          <w:r>
            <w:t>9</w:t>
          </w:r>
          <w:r>
            <w:fldChar w:fldCharType="end"/>
          </w:r>
          <w:r>
            <w:fldChar w:fldCharType="end"/>
          </w:r>
        </w:p>
        <w:p>
          <w:pPr>
            <w:pStyle w:val="44"/>
            <w:tabs>
              <w:tab w:val="right" w:leader="dot" w:pos="8306"/>
            </w:tabs>
          </w:pPr>
          <w:r>
            <w:fldChar w:fldCharType="begin"/>
          </w:r>
          <w:r>
            <w:instrText xml:space="preserve"> HYPERLINK \l _Toc3111 </w:instrText>
          </w:r>
          <w:r>
            <w:fldChar w:fldCharType="separate"/>
          </w:r>
          <w:r>
            <w:rPr>
              <w:rFonts w:hint="eastAsia" w:ascii="黑体" w:hAnsi="黑体" w:eastAsia="黑体"/>
              <w:highlight w:val="none"/>
              <w:lang w:eastAsia="zh-CN"/>
            </w:rPr>
            <w:t>九、</w:t>
          </w:r>
          <w:r>
            <w:rPr>
              <w:rFonts w:hint="eastAsia" w:ascii="黑体" w:hAnsi="黑体" w:eastAsia="黑体"/>
              <w:highlight w:val="none"/>
            </w:rPr>
            <w:t>国有资本经营预算支出决算情况说明</w:t>
          </w:r>
          <w:r>
            <w:tab/>
          </w:r>
          <w:r>
            <w:fldChar w:fldCharType="begin"/>
          </w:r>
          <w:r>
            <w:instrText xml:space="preserve"> PAGEREF _Toc3111 \h </w:instrText>
          </w:r>
          <w:r>
            <w:fldChar w:fldCharType="separate"/>
          </w:r>
          <w:r>
            <w:t>9</w:t>
          </w:r>
          <w:r>
            <w:fldChar w:fldCharType="end"/>
          </w:r>
          <w:r>
            <w:fldChar w:fldCharType="end"/>
          </w:r>
        </w:p>
        <w:p>
          <w:pPr>
            <w:pStyle w:val="44"/>
            <w:tabs>
              <w:tab w:val="right" w:leader="dot" w:pos="8306"/>
            </w:tabs>
          </w:pPr>
          <w:r>
            <w:fldChar w:fldCharType="begin"/>
          </w:r>
          <w:r>
            <w:instrText xml:space="preserve"> HYPERLINK \l _Toc1762 </w:instrText>
          </w:r>
          <w:r>
            <w:fldChar w:fldCharType="separate"/>
          </w:r>
          <w:r>
            <w:rPr>
              <w:rFonts w:hint="eastAsia" w:ascii="黑体" w:hAnsi="黑体" w:eastAsia="黑体"/>
              <w:highlight w:val="none"/>
              <w:lang w:eastAsia="zh-CN"/>
            </w:rPr>
            <w:t>十、</w:t>
          </w:r>
          <w:r>
            <w:rPr>
              <w:rFonts w:hint="eastAsia" w:ascii="黑体" w:hAnsi="黑体" w:eastAsia="黑体"/>
              <w:highlight w:val="none"/>
            </w:rPr>
            <w:t>其他重要事项的情况说明</w:t>
          </w:r>
          <w:r>
            <w:tab/>
          </w:r>
          <w:r>
            <w:fldChar w:fldCharType="begin"/>
          </w:r>
          <w:r>
            <w:instrText xml:space="preserve"> PAGEREF _Toc1762 \h </w:instrText>
          </w:r>
          <w:r>
            <w:fldChar w:fldCharType="separate"/>
          </w:r>
          <w:r>
            <w:t>9</w:t>
          </w:r>
          <w:r>
            <w:fldChar w:fldCharType="end"/>
          </w:r>
          <w:r>
            <w:fldChar w:fldCharType="end"/>
          </w:r>
        </w:p>
        <w:p>
          <w:pPr>
            <w:pStyle w:val="45"/>
            <w:tabs>
              <w:tab w:val="right" w:leader="dot" w:pos="8306"/>
            </w:tabs>
          </w:pPr>
          <w:r>
            <w:fldChar w:fldCharType="begin"/>
          </w:r>
          <w:r>
            <w:instrText xml:space="preserve"> HYPERLINK \l _Toc3169 </w:instrText>
          </w:r>
          <w:r>
            <w:fldChar w:fldCharType="separate"/>
          </w:r>
          <w:r>
            <w:rPr>
              <w:rFonts w:hint="eastAsia" w:ascii="仿宋" w:hAnsi="仿宋" w:eastAsia="仿宋"/>
              <w:szCs w:val="32"/>
              <w:highlight w:val="none"/>
            </w:rPr>
            <w:t>（一）机关运行经费支出情况</w:t>
          </w:r>
          <w:r>
            <w:tab/>
          </w:r>
          <w:r>
            <w:fldChar w:fldCharType="begin"/>
          </w:r>
          <w:r>
            <w:instrText xml:space="preserve"> PAGEREF _Toc3169 \h </w:instrText>
          </w:r>
          <w:r>
            <w:fldChar w:fldCharType="separate"/>
          </w:r>
          <w:r>
            <w:t>9</w:t>
          </w:r>
          <w:r>
            <w:fldChar w:fldCharType="end"/>
          </w:r>
          <w:r>
            <w:fldChar w:fldCharType="end"/>
          </w:r>
        </w:p>
        <w:p>
          <w:pPr>
            <w:pStyle w:val="45"/>
            <w:tabs>
              <w:tab w:val="right" w:leader="dot" w:pos="8306"/>
            </w:tabs>
          </w:pPr>
          <w:r>
            <w:fldChar w:fldCharType="begin"/>
          </w:r>
          <w:r>
            <w:instrText xml:space="preserve"> HYPERLINK \l _Toc29953 </w:instrText>
          </w:r>
          <w:r>
            <w:fldChar w:fldCharType="separate"/>
          </w:r>
          <w:r>
            <w:rPr>
              <w:rFonts w:hint="eastAsia" w:ascii="仿宋" w:hAnsi="仿宋" w:eastAsia="仿宋"/>
              <w:szCs w:val="32"/>
              <w:highlight w:val="none"/>
            </w:rPr>
            <w:t>（二）政府采购支出情况</w:t>
          </w:r>
          <w:r>
            <w:tab/>
          </w:r>
          <w:r>
            <w:fldChar w:fldCharType="begin"/>
          </w:r>
          <w:r>
            <w:instrText xml:space="preserve"> PAGEREF _Toc29953 \h </w:instrText>
          </w:r>
          <w:r>
            <w:fldChar w:fldCharType="separate"/>
          </w:r>
          <w:r>
            <w:t>9</w:t>
          </w:r>
          <w:r>
            <w:fldChar w:fldCharType="end"/>
          </w:r>
          <w:r>
            <w:fldChar w:fldCharType="end"/>
          </w:r>
        </w:p>
        <w:p>
          <w:pPr>
            <w:pStyle w:val="45"/>
            <w:tabs>
              <w:tab w:val="right" w:leader="dot" w:pos="8306"/>
            </w:tabs>
          </w:pPr>
          <w:r>
            <w:fldChar w:fldCharType="begin"/>
          </w:r>
          <w:r>
            <w:instrText xml:space="preserve"> HYPERLINK \l _Toc311 </w:instrText>
          </w:r>
          <w:r>
            <w:fldChar w:fldCharType="separate"/>
          </w:r>
          <w:r>
            <w:rPr>
              <w:rFonts w:hint="eastAsia" w:ascii="仿宋" w:hAnsi="仿宋" w:eastAsia="仿宋"/>
              <w:szCs w:val="32"/>
              <w:highlight w:val="none"/>
            </w:rPr>
            <w:t>（三）国有资产占有使用情况</w:t>
          </w:r>
          <w:r>
            <w:tab/>
          </w:r>
          <w:r>
            <w:fldChar w:fldCharType="begin"/>
          </w:r>
          <w:r>
            <w:instrText xml:space="preserve"> PAGEREF _Toc311 \h </w:instrText>
          </w:r>
          <w:r>
            <w:fldChar w:fldCharType="separate"/>
          </w:r>
          <w:r>
            <w:t>10</w:t>
          </w:r>
          <w:r>
            <w:fldChar w:fldCharType="end"/>
          </w:r>
          <w:r>
            <w:fldChar w:fldCharType="end"/>
          </w:r>
        </w:p>
        <w:p>
          <w:pPr>
            <w:pStyle w:val="45"/>
            <w:tabs>
              <w:tab w:val="right" w:leader="dot" w:pos="8306"/>
            </w:tabs>
          </w:pPr>
          <w:r>
            <w:fldChar w:fldCharType="begin"/>
          </w:r>
          <w:r>
            <w:instrText xml:space="preserve"> HYPERLINK \l _Toc13824 </w:instrText>
          </w:r>
          <w:r>
            <w:fldChar w:fldCharType="separate"/>
          </w:r>
          <w:r>
            <w:rPr>
              <w:rFonts w:hint="eastAsia" w:ascii="仿宋" w:hAnsi="仿宋" w:eastAsia="仿宋"/>
              <w:szCs w:val="32"/>
              <w:highlight w:val="none"/>
            </w:rPr>
            <w:t>（四）预算绩效管理情况</w:t>
          </w:r>
          <w:r>
            <w:tab/>
          </w:r>
          <w:r>
            <w:fldChar w:fldCharType="begin"/>
          </w:r>
          <w:r>
            <w:instrText xml:space="preserve"> PAGEREF _Toc13824 \h </w:instrText>
          </w:r>
          <w:r>
            <w:fldChar w:fldCharType="separate"/>
          </w:r>
          <w:r>
            <w:t>10</w:t>
          </w:r>
          <w:r>
            <w:fldChar w:fldCharType="end"/>
          </w:r>
          <w:r>
            <w:fldChar w:fldCharType="end"/>
          </w:r>
        </w:p>
        <w:p>
          <w:pPr>
            <w:pStyle w:val="43"/>
            <w:tabs>
              <w:tab w:val="right" w:leader="dot" w:pos="8306"/>
            </w:tabs>
          </w:pPr>
          <w:r>
            <w:fldChar w:fldCharType="begin"/>
          </w:r>
          <w:r>
            <w:instrText xml:space="preserve"> HYPERLINK \l _Toc18519 </w:instrText>
          </w:r>
          <w:r>
            <w:fldChar w:fldCharType="separate"/>
          </w:r>
          <w:r>
            <w:rPr>
              <w:rFonts w:hint="eastAsia" w:ascii="黑体" w:hAnsi="黑体" w:eastAsia="黑体"/>
            </w:rPr>
            <w:t xml:space="preserve">第三部分 </w:t>
          </w:r>
          <w:r>
            <w:rPr>
              <w:rFonts w:hint="eastAsia" w:ascii="黑体" w:hAnsi="黑体" w:eastAsia="黑体"/>
              <w:szCs w:val="44"/>
              <w:highlight w:val="none"/>
            </w:rPr>
            <w:t>名</w:t>
          </w:r>
          <w:r>
            <w:rPr>
              <w:rFonts w:hint="eastAsia" w:ascii="黑体" w:hAnsi="黑体" w:eastAsia="黑体"/>
              <w:highlight w:val="none"/>
            </w:rPr>
            <w:t>词解释</w:t>
          </w:r>
          <w:r>
            <w:tab/>
          </w:r>
          <w:r>
            <w:fldChar w:fldCharType="begin"/>
          </w:r>
          <w:r>
            <w:instrText xml:space="preserve"> PAGEREF _Toc18519 \h </w:instrText>
          </w:r>
          <w:r>
            <w:fldChar w:fldCharType="separate"/>
          </w:r>
          <w:r>
            <w:t>11</w:t>
          </w:r>
          <w:r>
            <w:fldChar w:fldCharType="end"/>
          </w:r>
          <w:r>
            <w:fldChar w:fldCharType="end"/>
          </w:r>
        </w:p>
        <w:p>
          <w:pPr>
            <w:pStyle w:val="43"/>
            <w:tabs>
              <w:tab w:val="right" w:leader="dot" w:pos="8306"/>
            </w:tabs>
          </w:pPr>
          <w:r>
            <w:fldChar w:fldCharType="begin"/>
          </w:r>
          <w:r>
            <w:instrText xml:space="preserve"> HYPERLINK \l _Toc2160 </w:instrText>
          </w:r>
          <w:r>
            <w:fldChar w:fldCharType="separate"/>
          </w:r>
          <w:r>
            <w:rPr>
              <w:rFonts w:hint="eastAsia" w:ascii="黑体" w:hAnsi="黑体" w:eastAsia="黑体"/>
              <w:szCs w:val="44"/>
              <w:highlight w:val="none"/>
            </w:rPr>
            <w:t>第</w:t>
          </w:r>
          <w:r>
            <w:rPr>
              <w:rFonts w:hint="eastAsia" w:ascii="黑体" w:hAnsi="黑体" w:eastAsia="黑体"/>
              <w:highlight w:val="none"/>
            </w:rPr>
            <w:t>四部分 附件</w:t>
          </w:r>
          <w:r>
            <w:tab/>
          </w:r>
          <w:r>
            <w:fldChar w:fldCharType="begin"/>
          </w:r>
          <w:r>
            <w:instrText xml:space="preserve"> PAGEREF _Toc2160 \h </w:instrText>
          </w:r>
          <w:r>
            <w:fldChar w:fldCharType="separate"/>
          </w:r>
          <w:r>
            <w:t>13</w:t>
          </w:r>
          <w:r>
            <w:fldChar w:fldCharType="end"/>
          </w:r>
          <w:r>
            <w:fldChar w:fldCharType="end"/>
          </w:r>
        </w:p>
        <w:p>
          <w:pPr>
            <w:pStyle w:val="43"/>
            <w:tabs>
              <w:tab w:val="right" w:leader="dot" w:pos="8306"/>
            </w:tabs>
          </w:pPr>
          <w:r>
            <w:fldChar w:fldCharType="begin"/>
          </w:r>
          <w:r>
            <w:instrText xml:space="preserve"> HYPERLINK \l _Toc7132 </w:instrText>
          </w:r>
          <w:r>
            <w:fldChar w:fldCharType="separate"/>
          </w:r>
          <w:r>
            <w:rPr>
              <w:rFonts w:hint="eastAsia" w:ascii="黑体" w:hAnsi="黑体" w:eastAsia="黑体"/>
              <w:szCs w:val="44"/>
              <w:highlight w:val="none"/>
            </w:rPr>
            <w:t>第</w:t>
          </w:r>
          <w:r>
            <w:rPr>
              <w:rFonts w:hint="eastAsia" w:ascii="黑体" w:hAnsi="黑体" w:eastAsia="黑体"/>
              <w:highlight w:val="none"/>
            </w:rPr>
            <w:t>五部分 附表</w:t>
          </w:r>
          <w:r>
            <w:tab/>
          </w:r>
          <w:r>
            <w:fldChar w:fldCharType="begin"/>
          </w:r>
          <w:r>
            <w:instrText xml:space="preserve"> PAGEREF _Toc7132 \h </w:instrText>
          </w:r>
          <w:r>
            <w:fldChar w:fldCharType="separate"/>
          </w:r>
          <w:r>
            <w:t>56</w:t>
          </w:r>
          <w:r>
            <w:fldChar w:fldCharType="end"/>
          </w:r>
          <w:r>
            <w:fldChar w:fldCharType="end"/>
          </w:r>
        </w:p>
        <w:p>
          <w:pPr>
            <w:pStyle w:val="44"/>
            <w:tabs>
              <w:tab w:val="right" w:leader="dot" w:pos="8306"/>
            </w:tabs>
          </w:pPr>
          <w:r>
            <w:fldChar w:fldCharType="begin"/>
          </w:r>
          <w:r>
            <w:instrText xml:space="preserve"> HYPERLINK \l _Toc9173 </w:instrText>
          </w:r>
          <w:r>
            <w:fldChar w:fldCharType="separate"/>
          </w:r>
          <w:r>
            <w:rPr>
              <w:rFonts w:hint="eastAsia" w:ascii="仿宋" w:hAnsi="仿宋" w:eastAsia="仿宋"/>
              <w:highlight w:val="none"/>
            </w:rPr>
            <w:t>一、收</w:t>
          </w:r>
          <w:r>
            <w:rPr>
              <w:rFonts w:hint="eastAsia" w:ascii="仿宋" w:hAnsi="仿宋" w:eastAsia="仿宋"/>
              <w:bCs w:val="0"/>
              <w:highlight w:val="none"/>
            </w:rPr>
            <w:t>入支出决算总表</w:t>
          </w:r>
          <w:r>
            <w:tab/>
          </w:r>
          <w:r>
            <w:fldChar w:fldCharType="begin"/>
          </w:r>
          <w:r>
            <w:instrText xml:space="preserve"> PAGEREF _Toc9173 \h </w:instrText>
          </w:r>
          <w:r>
            <w:fldChar w:fldCharType="separate"/>
          </w:r>
          <w:r>
            <w:t>56</w:t>
          </w:r>
          <w:r>
            <w:fldChar w:fldCharType="end"/>
          </w:r>
          <w:r>
            <w:fldChar w:fldCharType="end"/>
          </w:r>
        </w:p>
        <w:p>
          <w:pPr>
            <w:pStyle w:val="44"/>
            <w:tabs>
              <w:tab w:val="right" w:leader="dot" w:pos="8306"/>
            </w:tabs>
          </w:pPr>
          <w:r>
            <w:fldChar w:fldCharType="begin"/>
          </w:r>
          <w:r>
            <w:instrText xml:space="preserve"> HYPERLINK \l _Toc25244 </w:instrText>
          </w:r>
          <w:r>
            <w:fldChar w:fldCharType="separate"/>
          </w:r>
          <w:r>
            <w:rPr>
              <w:rFonts w:hint="eastAsia" w:ascii="仿宋" w:hAnsi="仿宋" w:eastAsia="仿宋"/>
              <w:highlight w:val="none"/>
            </w:rPr>
            <w:t>二、收</w:t>
          </w:r>
          <w:r>
            <w:rPr>
              <w:rFonts w:hint="eastAsia" w:ascii="仿宋" w:hAnsi="仿宋" w:eastAsia="仿宋"/>
              <w:bCs w:val="0"/>
              <w:highlight w:val="none"/>
            </w:rPr>
            <w:t>入决算表</w:t>
          </w:r>
          <w:r>
            <w:tab/>
          </w:r>
          <w:r>
            <w:fldChar w:fldCharType="begin"/>
          </w:r>
          <w:r>
            <w:instrText xml:space="preserve"> PAGEREF _Toc25244 \h </w:instrText>
          </w:r>
          <w:r>
            <w:fldChar w:fldCharType="separate"/>
          </w:r>
          <w:r>
            <w:t>56</w:t>
          </w:r>
          <w:r>
            <w:fldChar w:fldCharType="end"/>
          </w:r>
          <w:r>
            <w:fldChar w:fldCharType="end"/>
          </w:r>
        </w:p>
        <w:p>
          <w:pPr>
            <w:pStyle w:val="44"/>
            <w:tabs>
              <w:tab w:val="right" w:leader="dot" w:pos="8306"/>
            </w:tabs>
          </w:pPr>
          <w:r>
            <w:fldChar w:fldCharType="begin"/>
          </w:r>
          <w:r>
            <w:instrText xml:space="preserve"> HYPERLINK \l _Toc30502 </w:instrText>
          </w:r>
          <w:r>
            <w:fldChar w:fldCharType="separate"/>
          </w:r>
          <w:r>
            <w:rPr>
              <w:rFonts w:hint="eastAsia" w:ascii="仿宋" w:hAnsi="仿宋" w:eastAsia="仿宋"/>
              <w:bCs w:val="0"/>
              <w:highlight w:val="none"/>
            </w:rPr>
            <w:t>三、</w:t>
          </w:r>
          <w:r>
            <w:rPr>
              <w:rFonts w:hint="eastAsia" w:ascii="仿宋" w:hAnsi="仿宋" w:eastAsia="仿宋"/>
              <w:highlight w:val="none"/>
            </w:rPr>
            <w:t>支</w:t>
          </w:r>
          <w:r>
            <w:rPr>
              <w:rFonts w:hint="eastAsia" w:ascii="仿宋" w:hAnsi="仿宋" w:eastAsia="仿宋"/>
              <w:bCs w:val="0"/>
              <w:highlight w:val="none"/>
            </w:rPr>
            <w:t>出决算表</w:t>
          </w:r>
          <w:r>
            <w:tab/>
          </w:r>
          <w:r>
            <w:fldChar w:fldCharType="begin"/>
          </w:r>
          <w:r>
            <w:instrText xml:space="preserve"> PAGEREF _Toc30502 \h </w:instrText>
          </w:r>
          <w:r>
            <w:fldChar w:fldCharType="separate"/>
          </w:r>
          <w:r>
            <w:t>56</w:t>
          </w:r>
          <w:r>
            <w:fldChar w:fldCharType="end"/>
          </w:r>
          <w:r>
            <w:fldChar w:fldCharType="end"/>
          </w:r>
        </w:p>
        <w:p>
          <w:pPr>
            <w:pStyle w:val="44"/>
            <w:tabs>
              <w:tab w:val="right" w:leader="dot" w:pos="8306"/>
            </w:tabs>
          </w:pPr>
          <w:r>
            <w:fldChar w:fldCharType="begin"/>
          </w:r>
          <w:r>
            <w:instrText xml:space="preserve"> HYPERLINK \l _Toc2075 </w:instrText>
          </w:r>
          <w:r>
            <w:fldChar w:fldCharType="separate"/>
          </w:r>
          <w:r>
            <w:rPr>
              <w:rFonts w:hint="eastAsia" w:ascii="仿宋" w:hAnsi="仿宋" w:eastAsia="仿宋"/>
              <w:bCs w:val="0"/>
              <w:highlight w:val="none"/>
            </w:rPr>
            <w:t>四、</w:t>
          </w:r>
          <w:r>
            <w:rPr>
              <w:rFonts w:hint="eastAsia" w:ascii="仿宋" w:hAnsi="仿宋" w:eastAsia="仿宋"/>
              <w:highlight w:val="none"/>
            </w:rPr>
            <w:t>财</w:t>
          </w:r>
          <w:r>
            <w:rPr>
              <w:rFonts w:hint="eastAsia" w:ascii="仿宋" w:hAnsi="仿宋" w:eastAsia="仿宋"/>
              <w:bCs w:val="0"/>
              <w:highlight w:val="none"/>
            </w:rPr>
            <w:t>政拨款收入支出决算总表</w:t>
          </w:r>
          <w:r>
            <w:tab/>
          </w:r>
          <w:r>
            <w:fldChar w:fldCharType="begin"/>
          </w:r>
          <w:r>
            <w:instrText xml:space="preserve"> PAGEREF _Toc2075 \h </w:instrText>
          </w:r>
          <w:r>
            <w:fldChar w:fldCharType="separate"/>
          </w:r>
          <w:r>
            <w:t>56</w:t>
          </w:r>
          <w:r>
            <w:fldChar w:fldCharType="end"/>
          </w:r>
          <w:r>
            <w:fldChar w:fldCharType="end"/>
          </w:r>
        </w:p>
        <w:p>
          <w:pPr>
            <w:pStyle w:val="44"/>
            <w:tabs>
              <w:tab w:val="right" w:leader="dot" w:pos="8306"/>
            </w:tabs>
          </w:pPr>
          <w:r>
            <w:fldChar w:fldCharType="begin"/>
          </w:r>
          <w:r>
            <w:instrText xml:space="preserve"> HYPERLINK \l _Toc26095 </w:instrText>
          </w:r>
          <w:r>
            <w:fldChar w:fldCharType="separate"/>
          </w:r>
          <w:r>
            <w:rPr>
              <w:rFonts w:hint="eastAsia" w:ascii="仿宋" w:hAnsi="仿宋" w:eastAsia="仿宋"/>
              <w:bCs w:val="0"/>
              <w:highlight w:val="none"/>
            </w:rPr>
            <w:t>五、</w:t>
          </w:r>
          <w:r>
            <w:rPr>
              <w:rFonts w:hint="eastAsia" w:ascii="仿宋" w:hAnsi="仿宋" w:eastAsia="仿宋"/>
              <w:highlight w:val="none"/>
            </w:rPr>
            <w:t>财</w:t>
          </w:r>
          <w:r>
            <w:rPr>
              <w:rFonts w:hint="eastAsia" w:ascii="仿宋" w:hAnsi="仿宋" w:eastAsia="仿宋"/>
              <w:bCs w:val="0"/>
              <w:highlight w:val="none"/>
            </w:rPr>
            <w:t>政拨款支出决算明细表</w:t>
          </w:r>
          <w:r>
            <w:tab/>
          </w:r>
          <w:r>
            <w:fldChar w:fldCharType="begin"/>
          </w:r>
          <w:r>
            <w:instrText xml:space="preserve"> PAGEREF _Toc26095 \h </w:instrText>
          </w:r>
          <w:r>
            <w:fldChar w:fldCharType="separate"/>
          </w:r>
          <w:r>
            <w:t>56</w:t>
          </w:r>
          <w:r>
            <w:fldChar w:fldCharType="end"/>
          </w:r>
          <w:r>
            <w:fldChar w:fldCharType="end"/>
          </w:r>
        </w:p>
        <w:p>
          <w:pPr>
            <w:pStyle w:val="44"/>
            <w:tabs>
              <w:tab w:val="right" w:leader="dot" w:pos="8306"/>
            </w:tabs>
          </w:pPr>
          <w:r>
            <w:fldChar w:fldCharType="begin"/>
          </w:r>
          <w:r>
            <w:instrText xml:space="preserve"> HYPERLINK \l _Toc25865 </w:instrText>
          </w:r>
          <w:r>
            <w:fldChar w:fldCharType="separate"/>
          </w:r>
          <w:r>
            <w:rPr>
              <w:rFonts w:hint="eastAsia" w:ascii="仿宋" w:hAnsi="仿宋" w:eastAsia="仿宋"/>
              <w:bCs w:val="0"/>
              <w:highlight w:val="none"/>
            </w:rPr>
            <w:t>六、</w:t>
          </w:r>
          <w:r>
            <w:rPr>
              <w:rFonts w:hint="eastAsia" w:ascii="仿宋" w:hAnsi="仿宋" w:eastAsia="仿宋"/>
              <w:highlight w:val="none"/>
            </w:rPr>
            <w:t>一</w:t>
          </w:r>
          <w:r>
            <w:rPr>
              <w:rFonts w:hint="eastAsia" w:ascii="仿宋" w:hAnsi="仿宋" w:eastAsia="仿宋"/>
              <w:bCs w:val="0"/>
              <w:highlight w:val="none"/>
            </w:rPr>
            <w:t>般公共预算财政拨款支出决算表</w:t>
          </w:r>
          <w:r>
            <w:tab/>
          </w:r>
          <w:r>
            <w:fldChar w:fldCharType="begin"/>
          </w:r>
          <w:r>
            <w:instrText xml:space="preserve"> PAGEREF _Toc25865 \h </w:instrText>
          </w:r>
          <w:r>
            <w:fldChar w:fldCharType="separate"/>
          </w:r>
          <w:r>
            <w:t>56</w:t>
          </w:r>
          <w:r>
            <w:fldChar w:fldCharType="end"/>
          </w:r>
          <w:r>
            <w:fldChar w:fldCharType="end"/>
          </w:r>
        </w:p>
        <w:p>
          <w:pPr>
            <w:pStyle w:val="44"/>
            <w:tabs>
              <w:tab w:val="right" w:leader="dot" w:pos="8306"/>
            </w:tabs>
          </w:pPr>
          <w:r>
            <w:fldChar w:fldCharType="begin"/>
          </w:r>
          <w:r>
            <w:instrText xml:space="preserve"> HYPERLINK \l _Toc32229 </w:instrText>
          </w:r>
          <w:r>
            <w:fldChar w:fldCharType="separate"/>
          </w:r>
          <w:r>
            <w:rPr>
              <w:rFonts w:hint="eastAsia" w:ascii="仿宋" w:hAnsi="仿宋" w:eastAsia="仿宋"/>
              <w:bCs w:val="0"/>
              <w:highlight w:val="none"/>
            </w:rPr>
            <w:t>七、</w:t>
          </w:r>
          <w:r>
            <w:rPr>
              <w:rFonts w:hint="eastAsia" w:ascii="仿宋" w:hAnsi="仿宋" w:eastAsia="仿宋"/>
              <w:highlight w:val="none"/>
            </w:rPr>
            <w:t>一</w:t>
          </w:r>
          <w:r>
            <w:rPr>
              <w:rFonts w:hint="eastAsia" w:ascii="仿宋" w:hAnsi="仿宋" w:eastAsia="仿宋"/>
              <w:bCs w:val="0"/>
              <w:highlight w:val="none"/>
            </w:rPr>
            <w:t>般公共预算财政拨款支出决算明细表</w:t>
          </w:r>
          <w:r>
            <w:tab/>
          </w:r>
          <w:r>
            <w:fldChar w:fldCharType="begin"/>
          </w:r>
          <w:r>
            <w:instrText xml:space="preserve"> PAGEREF _Toc32229 \h </w:instrText>
          </w:r>
          <w:r>
            <w:fldChar w:fldCharType="separate"/>
          </w:r>
          <w:r>
            <w:t>56</w:t>
          </w:r>
          <w:r>
            <w:fldChar w:fldCharType="end"/>
          </w:r>
          <w:r>
            <w:fldChar w:fldCharType="end"/>
          </w:r>
        </w:p>
        <w:p>
          <w:pPr>
            <w:pStyle w:val="44"/>
            <w:tabs>
              <w:tab w:val="right" w:leader="dot" w:pos="8306"/>
            </w:tabs>
          </w:pPr>
          <w:r>
            <w:fldChar w:fldCharType="begin"/>
          </w:r>
          <w:r>
            <w:instrText xml:space="preserve"> HYPERLINK \l _Toc4354 </w:instrText>
          </w:r>
          <w:r>
            <w:fldChar w:fldCharType="separate"/>
          </w:r>
          <w:r>
            <w:rPr>
              <w:rFonts w:hint="eastAsia" w:ascii="仿宋" w:hAnsi="仿宋" w:eastAsia="仿宋"/>
              <w:bCs w:val="0"/>
              <w:highlight w:val="none"/>
            </w:rPr>
            <w:t>八、</w:t>
          </w:r>
          <w:r>
            <w:rPr>
              <w:rFonts w:hint="eastAsia" w:ascii="仿宋" w:hAnsi="仿宋" w:eastAsia="仿宋"/>
              <w:highlight w:val="none"/>
            </w:rPr>
            <w:t>一</w:t>
          </w:r>
          <w:r>
            <w:rPr>
              <w:rFonts w:hint="eastAsia" w:ascii="仿宋" w:hAnsi="仿宋" w:eastAsia="仿宋"/>
              <w:bCs w:val="0"/>
              <w:highlight w:val="none"/>
            </w:rPr>
            <w:t>般公共预算财政拨款基本支出决算表</w:t>
          </w:r>
          <w:r>
            <w:tab/>
          </w:r>
          <w:r>
            <w:fldChar w:fldCharType="begin"/>
          </w:r>
          <w:r>
            <w:instrText xml:space="preserve"> PAGEREF _Toc4354 \h </w:instrText>
          </w:r>
          <w:r>
            <w:fldChar w:fldCharType="separate"/>
          </w:r>
          <w:r>
            <w:t>56</w:t>
          </w:r>
          <w:r>
            <w:fldChar w:fldCharType="end"/>
          </w:r>
          <w:r>
            <w:fldChar w:fldCharType="end"/>
          </w:r>
        </w:p>
        <w:p>
          <w:pPr>
            <w:pStyle w:val="44"/>
            <w:tabs>
              <w:tab w:val="right" w:leader="dot" w:pos="8306"/>
            </w:tabs>
          </w:pPr>
          <w:r>
            <w:fldChar w:fldCharType="begin"/>
          </w:r>
          <w:r>
            <w:instrText xml:space="preserve"> HYPERLINK \l _Toc7689 </w:instrText>
          </w:r>
          <w:r>
            <w:fldChar w:fldCharType="separate"/>
          </w:r>
          <w:r>
            <w:rPr>
              <w:rFonts w:hint="eastAsia" w:ascii="仿宋" w:hAnsi="仿宋" w:eastAsia="仿宋"/>
              <w:bCs w:val="0"/>
              <w:highlight w:val="none"/>
            </w:rPr>
            <w:t>九、</w:t>
          </w:r>
          <w:r>
            <w:rPr>
              <w:rFonts w:hint="eastAsia" w:ascii="仿宋" w:hAnsi="仿宋" w:eastAsia="仿宋"/>
              <w:highlight w:val="none"/>
            </w:rPr>
            <w:t>一</w:t>
          </w:r>
          <w:r>
            <w:rPr>
              <w:rFonts w:hint="eastAsia" w:ascii="仿宋" w:hAnsi="仿宋" w:eastAsia="仿宋"/>
              <w:bCs w:val="0"/>
              <w:highlight w:val="none"/>
            </w:rPr>
            <w:t>般公共预算财政拨款项目支出决算表</w:t>
          </w:r>
          <w:r>
            <w:tab/>
          </w:r>
          <w:r>
            <w:fldChar w:fldCharType="begin"/>
          </w:r>
          <w:r>
            <w:instrText xml:space="preserve"> PAGEREF _Toc7689 \h </w:instrText>
          </w:r>
          <w:r>
            <w:fldChar w:fldCharType="separate"/>
          </w:r>
          <w:r>
            <w:t>56</w:t>
          </w:r>
          <w:r>
            <w:fldChar w:fldCharType="end"/>
          </w:r>
          <w:r>
            <w:fldChar w:fldCharType="end"/>
          </w:r>
        </w:p>
        <w:p>
          <w:pPr>
            <w:pStyle w:val="44"/>
            <w:tabs>
              <w:tab w:val="right" w:leader="dot" w:pos="8306"/>
            </w:tabs>
          </w:pPr>
          <w:r>
            <w:fldChar w:fldCharType="begin"/>
          </w:r>
          <w:r>
            <w:instrText xml:space="preserve"> HYPERLINK \l _Toc17807 </w:instrText>
          </w:r>
          <w:r>
            <w:fldChar w:fldCharType="separate"/>
          </w:r>
          <w:r>
            <w:rPr>
              <w:rFonts w:hint="eastAsia" w:ascii="仿宋" w:hAnsi="仿宋" w:eastAsia="仿宋"/>
              <w:bCs w:val="0"/>
              <w:highlight w:val="none"/>
            </w:rPr>
            <w:t>十、</w:t>
          </w:r>
          <w:r>
            <w:rPr>
              <w:rFonts w:hint="eastAsia" w:ascii="仿宋" w:hAnsi="仿宋" w:eastAsia="仿宋"/>
              <w:highlight w:val="none"/>
            </w:rPr>
            <w:t>政</w:t>
          </w:r>
          <w:r>
            <w:rPr>
              <w:rFonts w:hint="eastAsia" w:ascii="仿宋" w:hAnsi="仿宋" w:eastAsia="仿宋"/>
              <w:bCs w:val="0"/>
              <w:highlight w:val="none"/>
            </w:rPr>
            <w:t>府性基金预算财政拨款收入支出决算表</w:t>
          </w:r>
          <w:r>
            <w:tab/>
          </w:r>
          <w:r>
            <w:fldChar w:fldCharType="begin"/>
          </w:r>
          <w:r>
            <w:instrText xml:space="preserve"> PAGEREF _Toc17807 \h </w:instrText>
          </w:r>
          <w:r>
            <w:fldChar w:fldCharType="separate"/>
          </w:r>
          <w:r>
            <w:t>56</w:t>
          </w:r>
          <w:r>
            <w:fldChar w:fldCharType="end"/>
          </w:r>
          <w:r>
            <w:fldChar w:fldCharType="end"/>
          </w:r>
        </w:p>
        <w:p>
          <w:pPr>
            <w:pStyle w:val="44"/>
            <w:tabs>
              <w:tab w:val="right" w:leader="dot" w:pos="8306"/>
            </w:tabs>
          </w:pPr>
          <w:r>
            <w:fldChar w:fldCharType="begin"/>
          </w:r>
          <w:r>
            <w:instrText xml:space="preserve"> HYPERLINK \l _Toc15902 </w:instrText>
          </w:r>
          <w:r>
            <w:fldChar w:fldCharType="separate"/>
          </w:r>
          <w:r>
            <w:rPr>
              <w:rFonts w:hint="eastAsia" w:ascii="仿宋" w:hAnsi="仿宋" w:eastAsia="仿宋"/>
              <w:bCs w:val="0"/>
              <w:highlight w:val="none"/>
            </w:rPr>
            <w:t>十一、</w:t>
          </w:r>
          <w:r>
            <w:rPr>
              <w:rFonts w:hint="eastAsia" w:ascii="仿宋" w:hAnsi="仿宋" w:eastAsia="仿宋"/>
              <w:highlight w:val="none"/>
            </w:rPr>
            <w:t>国</w:t>
          </w:r>
          <w:r>
            <w:rPr>
              <w:rFonts w:hint="eastAsia" w:ascii="仿宋" w:hAnsi="仿宋" w:eastAsia="仿宋"/>
              <w:bCs w:val="0"/>
              <w:highlight w:val="none"/>
            </w:rPr>
            <w:t>有资本经营预算</w:t>
          </w:r>
          <w:r>
            <w:rPr>
              <w:rFonts w:hint="eastAsia" w:ascii="仿宋" w:hAnsi="仿宋" w:eastAsia="仿宋"/>
              <w:bCs w:val="0"/>
              <w:highlight w:val="none"/>
              <w:lang w:eastAsia="zh-CN"/>
            </w:rPr>
            <w:t>财政拨款收入</w:t>
          </w:r>
          <w:r>
            <w:rPr>
              <w:rFonts w:hint="eastAsia" w:ascii="仿宋" w:hAnsi="仿宋" w:eastAsia="仿宋"/>
              <w:bCs w:val="0"/>
              <w:highlight w:val="none"/>
            </w:rPr>
            <w:t>支出决算表</w:t>
          </w:r>
          <w:r>
            <w:tab/>
          </w:r>
          <w:r>
            <w:fldChar w:fldCharType="begin"/>
          </w:r>
          <w:r>
            <w:instrText xml:space="preserve"> PAGEREF _Toc15902 \h </w:instrText>
          </w:r>
          <w:r>
            <w:fldChar w:fldCharType="separate"/>
          </w:r>
          <w:r>
            <w:t>56</w:t>
          </w:r>
          <w:r>
            <w:fldChar w:fldCharType="end"/>
          </w:r>
          <w:r>
            <w:fldChar w:fldCharType="end"/>
          </w:r>
        </w:p>
        <w:p>
          <w:pPr>
            <w:pStyle w:val="44"/>
            <w:tabs>
              <w:tab w:val="right" w:leader="dot" w:pos="8306"/>
            </w:tabs>
          </w:pPr>
          <w:r>
            <w:fldChar w:fldCharType="begin"/>
          </w:r>
          <w:r>
            <w:instrText xml:space="preserve"> HYPERLINK \l _Toc13883 </w:instrText>
          </w:r>
          <w:r>
            <w:fldChar w:fldCharType="separate"/>
          </w:r>
          <w:r>
            <w:rPr>
              <w:rFonts w:hint="eastAsia" w:ascii="仿宋" w:hAnsi="仿宋" w:eastAsia="仿宋"/>
              <w:bCs w:val="0"/>
              <w:highlight w:val="none"/>
            </w:rPr>
            <w:t>十二、</w:t>
          </w:r>
          <w:r>
            <w:rPr>
              <w:rFonts w:hint="eastAsia" w:ascii="仿宋" w:hAnsi="仿宋" w:eastAsia="仿宋"/>
              <w:bCs w:val="0"/>
              <w:highlight w:val="none"/>
              <w:lang w:eastAsia="zh-CN"/>
            </w:rPr>
            <w:t>国有资本经营预算财政拨款支出决算表</w:t>
          </w:r>
          <w:r>
            <w:tab/>
          </w:r>
          <w:r>
            <w:fldChar w:fldCharType="begin"/>
          </w:r>
          <w:r>
            <w:instrText xml:space="preserve"> PAGEREF _Toc13883 \h </w:instrText>
          </w:r>
          <w:r>
            <w:fldChar w:fldCharType="separate"/>
          </w:r>
          <w:r>
            <w:t>56</w:t>
          </w:r>
          <w:r>
            <w:fldChar w:fldCharType="end"/>
          </w:r>
          <w:r>
            <w:fldChar w:fldCharType="end"/>
          </w:r>
        </w:p>
        <w:p>
          <w:pPr>
            <w:pStyle w:val="44"/>
            <w:tabs>
              <w:tab w:val="right" w:leader="dot" w:pos="8306"/>
            </w:tabs>
          </w:pPr>
          <w:r>
            <w:fldChar w:fldCharType="begin"/>
          </w:r>
          <w:r>
            <w:instrText xml:space="preserve"> HYPERLINK \l _Toc23286 </w:instrText>
          </w:r>
          <w:r>
            <w:fldChar w:fldCharType="separate"/>
          </w:r>
          <w:r>
            <w:rPr>
              <w:rFonts w:hint="eastAsia" w:ascii="仿宋" w:hAnsi="仿宋" w:eastAsia="仿宋"/>
              <w:bCs w:val="0"/>
              <w:highlight w:val="none"/>
            </w:rPr>
            <w:t>十三、</w:t>
          </w:r>
          <w:r>
            <w:rPr>
              <w:rFonts w:hint="eastAsia" w:ascii="仿宋" w:hAnsi="仿宋" w:eastAsia="仿宋"/>
              <w:bCs w:val="0"/>
              <w:highlight w:val="none"/>
              <w:lang w:eastAsia="zh-CN"/>
            </w:rPr>
            <w:t>财政拨款“三公”经费支出决算表</w:t>
          </w:r>
          <w:r>
            <w:tab/>
          </w:r>
          <w:r>
            <w:fldChar w:fldCharType="begin"/>
          </w:r>
          <w:r>
            <w:instrText xml:space="preserve"> PAGEREF _Toc23286 \h </w:instrText>
          </w:r>
          <w:r>
            <w:fldChar w:fldCharType="separate"/>
          </w:r>
          <w:r>
            <w:t>56</w:t>
          </w:r>
          <w:r>
            <w:fldChar w:fldCharType="end"/>
          </w:r>
          <w:r>
            <w:fldChar w:fldCharType="end"/>
          </w:r>
        </w:p>
        <w:p>
          <w:r>
            <w:fldChar w:fldCharType="end"/>
          </w:r>
        </w:p>
      </w:sdtContent>
    </w:sdt>
    <w:p>
      <w:pPr>
        <w:pStyle w:val="3"/>
        <w:jc w:val="center"/>
        <w:rPr>
          <w:rStyle w:val="29"/>
          <w:rFonts w:ascii="黑体" w:hAnsi="黑体" w:eastAsia="黑体"/>
          <w:b/>
          <w:bCs w:val="0"/>
          <w:color w:val="auto"/>
          <w:highlight w:val="none"/>
        </w:rPr>
      </w:pPr>
      <w:bookmarkStart w:id="17" w:name="_Toc29447"/>
      <w:r>
        <w:rPr>
          <w:rFonts w:hint="eastAsia" w:ascii="黑体" w:hAnsi="黑体" w:eastAsia="黑体"/>
          <w:b w:val="0"/>
          <w:color w:val="auto"/>
          <w:highlight w:val="none"/>
        </w:rPr>
        <w:t xml:space="preserve">第一部分 </w:t>
      </w:r>
      <w:r>
        <w:rPr>
          <w:rStyle w:val="29"/>
          <w:rFonts w:hint="eastAsia" w:ascii="黑体" w:hAnsi="黑体" w:eastAsia="黑体"/>
          <w:b w:val="0"/>
          <w:bCs w:val="0"/>
          <w:color w:val="auto"/>
          <w:highlight w:val="none"/>
        </w:rPr>
        <w:t>部门概况</w:t>
      </w:r>
      <w:bookmarkEnd w:id="15"/>
      <w:bookmarkEnd w:id="16"/>
      <w:bookmarkEnd w:id="17"/>
    </w:p>
    <w:p>
      <w:pPr>
        <w:widowControl/>
        <w:jc w:val="left"/>
        <w:rPr>
          <w:rFonts w:ascii="黑体" w:eastAsia="黑体"/>
          <w:color w:val="auto"/>
          <w:sz w:val="32"/>
          <w:szCs w:val="32"/>
          <w:highlight w:val="none"/>
        </w:rPr>
      </w:pPr>
    </w:p>
    <w:p>
      <w:pPr>
        <w:numPr>
          <w:ilvl w:val="0"/>
          <w:numId w:val="1"/>
        </w:numPr>
        <w:spacing w:line="540" w:lineRule="exact"/>
        <w:ind w:firstLine="640" w:firstLineChars="200"/>
        <w:outlineLvl w:val="1"/>
        <w:rPr>
          <w:rFonts w:hint="eastAsia" w:ascii="黑体" w:hAnsi="黑体" w:eastAsia="黑体"/>
          <w:b w:val="0"/>
          <w:color w:val="auto"/>
          <w:sz w:val="32"/>
          <w:szCs w:val="32"/>
          <w:highlight w:val="none"/>
          <w:lang w:eastAsia="zh-CN"/>
        </w:rPr>
      </w:pPr>
      <w:bookmarkStart w:id="18" w:name="_Toc17484"/>
      <w:r>
        <w:rPr>
          <w:rFonts w:hint="eastAsia" w:ascii="黑体" w:hAnsi="黑体" w:eastAsia="黑体"/>
          <w:b w:val="0"/>
          <w:color w:val="auto"/>
          <w:sz w:val="32"/>
          <w:szCs w:val="32"/>
          <w:highlight w:val="none"/>
          <w:lang w:eastAsia="zh-CN"/>
        </w:rPr>
        <w:t>部门职责</w:t>
      </w:r>
      <w:bookmarkEnd w:id="18"/>
    </w:p>
    <w:p>
      <w:pPr>
        <w:numPr>
          <w:ilvl w:val="0"/>
          <w:numId w:val="0"/>
        </w:numPr>
        <w:spacing w:line="540" w:lineRule="exact"/>
        <w:rPr>
          <w:rFonts w:ascii="仿宋_GB2312" w:eastAsia="仿宋_GB2312"/>
          <w:sz w:val="32"/>
          <w:szCs w:val="32"/>
        </w:rPr>
      </w:pPr>
      <w:r>
        <w:rPr>
          <w:rFonts w:hint="eastAsia" w:ascii="楷体_GB2312" w:hAnsi="楷体_GB2312" w:eastAsia="楷体_GB2312" w:cs="楷体_GB2312"/>
          <w:b/>
          <w:bCs/>
          <w:sz w:val="32"/>
          <w:szCs w:val="32"/>
        </w:rPr>
        <w:t>(一)主要职能：</w:t>
      </w:r>
      <w:r>
        <w:rPr>
          <w:rFonts w:hint="eastAsia" w:ascii="楷体_GB2312" w:hAnsi="楷体_GB2312" w:eastAsia="楷体_GB2312" w:cs="楷体_GB2312"/>
          <w:bCs/>
          <w:sz w:val="32"/>
          <w:szCs w:val="32"/>
        </w:rPr>
        <w:t>朝天</w:t>
      </w:r>
      <w:r>
        <w:rPr>
          <w:rFonts w:hint="eastAsia" w:ascii="仿宋_GB2312" w:hAnsi="楷体_GB2312" w:eastAsia="仿宋_GB2312" w:cs="楷体_GB2312"/>
          <w:bCs/>
          <w:sz w:val="32"/>
          <w:szCs w:val="32"/>
        </w:rPr>
        <w:t>区直属机关党建事务中心是区委直属的正科级参公事业单位，</w:t>
      </w:r>
      <w:r>
        <w:rPr>
          <w:rFonts w:hint="eastAsia" w:ascii="仿宋_GB2312" w:eastAsia="仿宋_GB2312"/>
          <w:sz w:val="32"/>
          <w:szCs w:val="32"/>
        </w:rPr>
        <w:t>共有编制数7个（主任1名、副主任2名、参公编制2名、事业编制2名），内设办公室、党建指导督查股和干部驻村协调办公室，主要工作职能是督促指导区级部门单位机关党建、统筹干部驻村帮扶和完成区委交办的其他工作事项。</w:t>
      </w:r>
    </w:p>
    <w:p>
      <w:pPr>
        <w:spacing w:line="540" w:lineRule="exact"/>
        <w:ind w:firstLine="643" w:firstLineChars="200"/>
        <w:rPr>
          <w:rStyle w:val="30"/>
          <w:rFonts w:hint="eastAsia" w:ascii="仿宋" w:hAnsi="仿宋" w:eastAsia="黑体"/>
          <w:b w:val="0"/>
          <w:bCs w:val="0"/>
          <w:color w:val="auto"/>
          <w:highlight w:val="none"/>
          <w:lang w:eastAsia="zh-CN"/>
        </w:rPr>
      </w:pPr>
      <w:r>
        <w:rPr>
          <w:rFonts w:hint="eastAsia" w:ascii="楷体_GB2312" w:hAnsi="楷体_GB2312" w:eastAsia="楷体_GB2312" w:cs="楷体_GB2312"/>
          <w:b/>
          <w:bCs/>
          <w:sz w:val="32"/>
          <w:szCs w:val="32"/>
        </w:rPr>
        <w:t>主要工作：</w:t>
      </w:r>
      <w:r>
        <w:rPr>
          <w:rFonts w:hint="eastAsia" w:ascii="仿宋_GB2312" w:hAnsi="仿宋" w:eastAsia="仿宋_GB2312"/>
          <w:sz w:val="32"/>
          <w:szCs w:val="32"/>
        </w:rPr>
        <w:t>机关党的建设、干部驻村帮扶、党政机关企事业单位和公职人员疫情防控等工作。</w:t>
      </w:r>
    </w:p>
    <w:p>
      <w:pPr>
        <w:pStyle w:val="4"/>
        <w:rPr>
          <w:rStyle w:val="30"/>
          <w:b w:val="0"/>
          <w:bCs w:val="0"/>
          <w:color w:val="auto"/>
          <w:highlight w:val="none"/>
        </w:rPr>
      </w:pPr>
      <w:bookmarkStart w:id="19" w:name="_Toc15396601"/>
      <w:bookmarkStart w:id="20" w:name="_Toc15377200"/>
      <w:bookmarkStart w:id="21" w:name="_Toc25794"/>
      <w:r>
        <w:rPr>
          <w:rFonts w:hint="eastAsia" w:ascii="黑体" w:eastAsia="黑体"/>
          <w:b w:val="0"/>
          <w:color w:val="auto"/>
          <w:highlight w:val="none"/>
        </w:rPr>
        <w:t>二、</w:t>
      </w:r>
      <w:r>
        <w:rPr>
          <w:rFonts w:hint="eastAsia" w:ascii="黑体" w:hAnsi="黑体" w:eastAsia="黑体"/>
          <w:b w:val="0"/>
          <w:color w:val="auto"/>
          <w:highlight w:val="none"/>
        </w:rPr>
        <w:t>机</w:t>
      </w:r>
      <w:r>
        <w:rPr>
          <w:rStyle w:val="30"/>
          <w:rFonts w:hint="eastAsia" w:ascii="黑体" w:hAnsi="黑体" w:eastAsia="黑体"/>
          <w:b w:val="0"/>
          <w:bCs w:val="0"/>
          <w:color w:val="auto"/>
          <w:highlight w:val="none"/>
        </w:rPr>
        <w:t>构设置</w:t>
      </w:r>
      <w:bookmarkEnd w:id="19"/>
      <w:bookmarkEnd w:id="20"/>
      <w:bookmarkEnd w:id="21"/>
    </w:p>
    <w:p>
      <w:pPr>
        <w:ind w:firstLine="800" w:firstLineChars="25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eastAsia="zh-CN"/>
        </w:rPr>
        <w:t>区直属机关党建事务中心</w:t>
      </w:r>
      <w:r>
        <w:rPr>
          <w:rFonts w:hint="eastAsia" w:ascii="仿宋" w:hAnsi="仿宋" w:eastAsia="仿宋"/>
          <w:color w:val="auto"/>
          <w:sz w:val="32"/>
          <w:szCs w:val="32"/>
          <w:highlight w:val="none"/>
        </w:rPr>
        <w:t>下属二级</w:t>
      </w:r>
      <w:r>
        <w:rPr>
          <w:rFonts w:hint="eastAsia" w:ascii="仿宋" w:hAnsi="仿宋" w:eastAsia="仿宋"/>
          <w:color w:val="auto"/>
          <w:sz w:val="32"/>
          <w:szCs w:val="32"/>
          <w:highlight w:val="none"/>
          <w:lang w:eastAsia="zh-CN"/>
        </w:rPr>
        <w:t>预算</w:t>
      </w:r>
      <w:r>
        <w:rPr>
          <w:rFonts w:hint="eastAsia" w:ascii="仿宋" w:hAnsi="仿宋" w:eastAsia="仿宋"/>
          <w:color w:val="auto"/>
          <w:sz w:val="32"/>
          <w:szCs w:val="32"/>
          <w:highlight w:val="none"/>
        </w:rPr>
        <w:t>单位</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个</w:t>
      </w:r>
      <w:r>
        <w:rPr>
          <w:rFonts w:hint="eastAsia" w:ascii="仿宋" w:hAnsi="仿宋" w:eastAsia="仿宋"/>
          <w:color w:val="auto"/>
          <w:sz w:val="32"/>
          <w:szCs w:val="32"/>
          <w:highlight w:val="none"/>
          <w:lang w:eastAsia="zh-CN"/>
        </w:rPr>
        <w:t>。</w:t>
      </w:r>
    </w:p>
    <w:p>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3"/>
        <w:ind w:right="440"/>
        <w:jc w:val="center"/>
        <w:rPr>
          <w:rStyle w:val="29"/>
          <w:rFonts w:ascii="黑体" w:hAnsi="黑体" w:eastAsia="黑体"/>
          <w:b w:val="0"/>
          <w:bCs/>
          <w:color w:val="auto"/>
          <w:highlight w:val="none"/>
        </w:rPr>
      </w:pPr>
      <w:bookmarkStart w:id="22" w:name="_Toc15377204"/>
      <w:bookmarkStart w:id="23" w:name="_Toc15396602"/>
      <w:bookmarkStart w:id="24" w:name="_Toc1470"/>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29"/>
          <w:rFonts w:hint="eastAsia" w:ascii="黑体" w:hAnsi="黑体" w:eastAsia="黑体"/>
          <w:b w:val="0"/>
          <w:bCs/>
          <w:color w:val="auto"/>
          <w:highlight w:val="none"/>
        </w:rPr>
        <w:t>部门决算情况说明</w:t>
      </w:r>
      <w:bookmarkEnd w:id="22"/>
      <w:bookmarkEnd w:id="23"/>
      <w:bookmarkEnd w:id="24"/>
    </w:p>
    <w:p>
      <w:pPr>
        <w:rPr>
          <w:color w:val="auto"/>
          <w:highlight w:val="none"/>
        </w:rPr>
      </w:pPr>
    </w:p>
    <w:p>
      <w:pPr>
        <w:pStyle w:val="28"/>
        <w:numPr>
          <w:ilvl w:val="0"/>
          <w:numId w:val="2"/>
        </w:numPr>
        <w:spacing w:line="600" w:lineRule="exact"/>
        <w:ind w:firstLineChars="0"/>
        <w:outlineLvl w:val="1"/>
        <w:rPr>
          <w:rStyle w:val="30"/>
          <w:rFonts w:ascii="黑体" w:hAnsi="黑体" w:eastAsia="黑体"/>
          <w:b w:val="0"/>
          <w:color w:val="auto"/>
          <w:highlight w:val="none"/>
        </w:rPr>
      </w:pPr>
      <w:bookmarkStart w:id="25" w:name="_Toc15377205"/>
      <w:bookmarkStart w:id="26" w:name="_Toc15396603"/>
      <w:bookmarkStart w:id="27" w:name="_Toc7712"/>
      <w:r>
        <w:rPr>
          <w:rFonts w:hint="eastAsia" w:ascii="黑体" w:hAnsi="黑体" w:eastAsia="黑体"/>
          <w:color w:val="auto"/>
          <w:sz w:val="32"/>
          <w:szCs w:val="32"/>
          <w:highlight w:val="none"/>
        </w:rPr>
        <w:t>收</w:t>
      </w:r>
      <w:r>
        <w:rPr>
          <w:rStyle w:val="30"/>
          <w:rFonts w:hint="eastAsia" w:ascii="黑体" w:hAnsi="黑体" w:eastAsia="黑体"/>
          <w:b w:val="0"/>
          <w:color w:val="auto"/>
          <w:highlight w:val="none"/>
        </w:rPr>
        <w:t>入支出决算总体情况说明</w:t>
      </w:r>
      <w:bookmarkEnd w:id="25"/>
      <w:bookmarkEnd w:id="26"/>
      <w:bookmarkEnd w:id="27"/>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129.71</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年相比，收、支总计各减少</w:t>
      </w:r>
      <w:r>
        <w:rPr>
          <w:rFonts w:hint="eastAsia" w:ascii="仿宋" w:hAnsi="仿宋" w:eastAsia="仿宋"/>
          <w:color w:val="auto"/>
          <w:sz w:val="32"/>
          <w:szCs w:val="32"/>
          <w:highlight w:val="none"/>
          <w:lang w:val="en-US" w:eastAsia="zh-CN"/>
        </w:rPr>
        <w:t>7.87</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5.7</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严格控制项目支出和基本支出。</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_GB2312" w:eastAsia="仿宋_GB2312"/>
          <w:color w:val="auto"/>
          <w:sz w:val="32"/>
          <w:szCs w:val="32"/>
          <w:highlight w:val="none"/>
        </w:rPr>
      </w:pPr>
      <w:r>
        <w:drawing>
          <wp:inline distT="0" distB="0" distL="114300" distR="114300">
            <wp:extent cx="5193665" cy="2063750"/>
            <wp:effectExtent l="0" t="0" r="6985" b="1270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a:stretch>
                      <a:fillRect/>
                    </a:stretch>
                  </pic:blipFill>
                  <pic:spPr>
                    <a:xfrm>
                      <a:off x="0" y="0"/>
                      <a:ext cx="5193665" cy="2063750"/>
                    </a:xfrm>
                    <a:prstGeom prst="rect">
                      <a:avLst/>
                    </a:prstGeom>
                    <a:noFill/>
                    <a:ln>
                      <a:noFill/>
                    </a:ln>
                  </pic:spPr>
                </pic:pic>
              </a:graphicData>
            </a:graphic>
          </wp:inline>
        </w:drawing>
      </w:r>
    </w:p>
    <w:p>
      <w:pPr>
        <w:pStyle w:val="28"/>
        <w:numPr>
          <w:ilvl w:val="0"/>
          <w:numId w:val="2"/>
        </w:numPr>
        <w:spacing w:line="600" w:lineRule="exact"/>
        <w:ind w:firstLineChars="0"/>
        <w:outlineLvl w:val="1"/>
        <w:rPr>
          <w:rStyle w:val="30"/>
          <w:rFonts w:ascii="黑体" w:hAnsi="黑体" w:eastAsia="黑体"/>
          <w:b w:val="0"/>
          <w:color w:val="auto"/>
          <w:highlight w:val="none"/>
        </w:rPr>
      </w:pPr>
      <w:bookmarkStart w:id="28" w:name="_Toc15377206"/>
      <w:bookmarkStart w:id="29" w:name="_Toc15396604"/>
      <w:bookmarkStart w:id="30" w:name="_Toc7079"/>
      <w:r>
        <w:rPr>
          <w:rFonts w:hint="eastAsia" w:ascii="黑体" w:hAnsi="黑体" w:eastAsia="黑体"/>
          <w:color w:val="auto"/>
          <w:sz w:val="32"/>
          <w:szCs w:val="32"/>
          <w:highlight w:val="none"/>
        </w:rPr>
        <w:t>收</w:t>
      </w:r>
      <w:r>
        <w:rPr>
          <w:rStyle w:val="30"/>
          <w:rFonts w:hint="eastAsia" w:ascii="黑体" w:hAnsi="黑体" w:eastAsia="黑体"/>
          <w:b w:val="0"/>
          <w:color w:val="auto"/>
          <w:highlight w:val="none"/>
        </w:rPr>
        <w:t>入决算情况说明</w:t>
      </w:r>
      <w:bookmarkEnd w:id="28"/>
      <w:bookmarkEnd w:id="29"/>
      <w:bookmarkEnd w:id="30"/>
    </w:p>
    <w:p>
      <w:pPr>
        <w:spacing w:line="600" w:lineRule="exact"/>
        <w:ind w:firstLine="640" w:firstLineChars="200"/>
        <w:outlineLvl w:val="1"/>
        <w:rPr>
          <w:rFonts w:ascii="仿宋" w:hAnsi="仿宋" w:eastAsia="仿宋"/>
          <w:color w:val="auto"/>
          <w:sz w:val="32"/>
          <w:szCs w:val="32"/>
          <w:highlight w:val="none"/>
        </w:rPr>
      </w:pPr>
      <w:bookmarkStart w:id="31" w:name="_Toc25852"/>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129.71</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129.71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31"/>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（图2：收入决算结构图）（饼状图）</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仿宋_GB2312" w:eastAsia="仿宋_GB2312"/>
          <w:color w:val="auto"/>
          <w:sz w:val="32"/>
          <w:szCs w:val="32"/>
          <w:highlight w:val="none"/>
        </w:rPr>
      </w:pPr>
      <w:r>
        <w:drawing>
          <wp:inline distT="0" distB="0" distL="114300" distR="114300">
            <wp:extent cx="5267325" cy="2060575"/>
            <wp:effectExtent l="5080" t="4445" r="4445" b="11430"/>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28"/>
        <w:numPr>
          <w:ilvl w:val="0"/>
          <w:numId w:val="2"/>
        </w:numPr>
        <w:spacing w:line="600" w:lineRule="exact"/>
        <w:ind w:firstLineChars="0"/>
        <w:outlineLvl w:val="1"/>
        <w:rPr>
          <w:rStyle w:val="30"/>
          <w:rFonts w:ascii="黑体" w:hAnsi="黑体" w:eastAsia="黑体"/>
          <w:b w:val="0"/>
          <w:color w:val="auto"/>
          <w:highlight w:val="none"/>
        </w:rPr>
      </w:pPr>
      <w:bookmarkStart w:id="32" w:name="_Toc15377207"/>
      <w:bookmarkStart w:id="33" w:name="_Toc15396605"/>
      <w:bookmarkStart w:id="34" w:name="_Toc16752"/>
      <w:r>
        <w:rPr>
          <w:rFonts w:hint="eastAsia" w:ascii="黑体" w:hAnsi="黑体" w:eastAsia="黑体"/>
          <w:color w:val="auto"/>
          <w:sz w:val="32"/>
          <w:szCs w:val="32"/>
          <w:highlight w:val="none"/>
        </w:rPr>
        <w:t>支</w:t>
      </w:r>
      <w:r>
        <w:rPr>
          <w:rStyle w:val="30"/>
          <w:rFonts w:hint="eastAsia" w:ascii="黑体" w:hAnsi="黑体" w:eastAsia="黑体"/>
          <w:b w:val="0"/>
          <w:color w:val="auto"/>
          <w:highlight w:val="none"/>
        </w:rPr>
        <w:t>出决算情况说明</w:t>
      </w:r>
      <w:bookmarkEnd w:id="32"/>
      <w:bookmarkEnd w:id="33"/>
      <w:bookmarkEnd w:id="34"/>
    </w:p>
    <w:p>
      <w:pPr>
        <w:spacing w:line="600" w:lineRule="exact"/>
        <w:ind w:firstLine="640" w:firstLineChars="200"/>
        <w:outlineLvl w:val="1"/>
        <w:rPr>
          <w:rFonts w:ascii="仿宋" w:hAnsi="仿宋" w:eastAsia="仿宋"/>
          <w:color w:val="auto"/>
          <w:sz w:val="32"/>
          <w:szCs w:val="32"/>
          <w:highlight w:val="none"/>
        </w:rPr>
      </w:pPr>
      <w:bookmarkStart w:id="35" w:name="_Toc18476"/>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129.71</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101.77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78.46</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27.94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21.54</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35"/>
    </w:p>
    <w:p>
      <w:pPr>
        <w:spacing w:line="6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（图3：支出决算结构图）（饼状图）</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eastAsia="仿宋_GB2312"/>
          <w:color w:val="auto"/>
          <w:sz w:val="32"/>
          <w:szCs w:val="32"/>
          <w:highlight w:val="none"/>
        </w:rPr>
      </w:pPr>
      <w:r>
        <w:drawing>
          <wp:inline distT="0" distB="0" distL="114300" distR="114300">
            <wp:extent cx="5361940" cy="2908300"/>
            <wp:effectExtent l="4445" t="4445" r="5715" b="2095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spacing w:line="600" w:lineRule="exact"/>
        <w:ind w:firstLine="640" w:firstLineChars="200"/>
        <w:outlineLvl w:val="1"/>
        <w:rPr>
          <w:rStyle w:val="30"/>
          <w:rFonts w:ascii="黑体" w:hAnsi="黑体" w:eastAsia="黑体"/>
          <w:b w:val="0"/>
          <w:color w:val="auto"/>
          <w:highlight w:val="none"/>
        </w:rPr>
      </w:pPr>
      <w:bookmarkStart w:id="36" w:name="_Toc15377208"/>
      <w:bookmarkStart w:id="37" w:name="_Toc15396606"/>
      <w:bookmarkStart w:id="38" w:name="_Toc20319"/>
      <w:r>
        <w:rPr>
          <w:rFonts w:hint="eastAsia" w:ascii="黑体" w:hAnsi="黑体" w:eastAsia="黑体"/>
          <w:color w:val="auto"/>
          <w:sz w:val="32"/>
          <w:szCs w:val="32"/>
          <w:highlight w:val="none"/>
        </w:rPr>
        <w:t>四、财</w:t>
      </w:r>
      <w:r>
        <w:rPr>
          <w:rStyle w:val="30"/>
          <w:rFonts w:hint="eastAsia" w:ascii="黑体" w:hAnsi="黑体" w:eastAsia="黑体"/>
          <w:b w:val="0"/>
          <w:color w:val="auto"/>
          <w:highlight w:val="none"/>
        </w:rPr>
        <w:t>政拨款收入支出决算总体情况说明</w:t>
      </w:r>
      <w:bookmarkEnd w:id="36"/>
      <w:bookmarkEnd w:id="37"/>
      <w:bookmarkEnd w:id="38"/>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129.71</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年相比，财政拨款收、支总计各减少</w:t>
      </w:r>
      <w:r>
        <w:rPr>
          <w:rFonts w:hint="eastAsia" w:ascii="仿宋" w:hAnsi="仿宋" w:eastAsia="仿宋"/>
          <w:color w:val="auto"/>
          <w:sz w:val="32"/>
          <w:szCs w:val="32"/>
          <w:highlight w:val="none"/>
          <w:lang w:val="en-US" w:eastAsia="zh-CN"/>
        </w:rPr>
        <w:t>7.87</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5.7</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严格控制项目支出和基本支出。</w:t>
      </w:r>
    </w:p>
    <w:p>
      <w:pPr>
        <w:spacing w:line="6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（图4：财政拨款收、支决算总计变动情况）（柱状图）</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b/>
          <w:color w:val="auto"/>
          <w:sz w:val="32"/>
          <w:szCs w:val="32"/>
          <w:highlight w:val="none"/>
        </w:rPr>
      </w:pPr>
      <w:r>
        <w:drawing>
          <wp:inline distT="0" distB="0" distL="114300" distR="114300">
            <wp:extent cx="5305425" cy="2208530"/>
            <wp:effectExtent l="0" t="0" r="9525"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1"/>
                    <a:stretch>
                      <a:fillRect/>
                    </a:stretch>
                  </pic:blipFill>
                  <pic:spPr>
                    <a:xfrm>
                      <a:off x="0" y="0"/>
                      <a:ext cx="5305425" cy="2208530"/>
                    </a:xfrm>
                    <a:prstGeom prst="rect">
                      <a:avLst/>
                    </a:prstGeom>
                    <a:noFill/>
                    <a:ln>
                      <a:noFill/>
                    </a:ln>
                  </pic:spPr>
                </pic:pic>
              </a:graphicData>
            </a:graphic>
          </wp:inline>
        </w:drawing>
      </w:r>
    </w:p>
    <w:p>
      <w:pPr>
        <w:spacing w:line="600" w:lineRule="exact"/>
        <w:ind w:firstLine="640" w:firstLineChars="200"/>
        <w:outlineLvl w:val="1"/>
        <w:rPr>
          <w:rStyle w:val="30"/>
          <w:rFonts w:ascii="黑体" w:hAnsi="黑体" w:eastAsia="黑体"/>
          <w:b w:val="0"/>
          <w:color w:val="auto"/>
          <w:highlight w:val="none"/>
        </w:rPr>
      </w:pPr>
      <w:bookmarkStart w:id="39" w:name="_Toc15396607"/>
      <w:bookmarkStart w:id="40" w:name="_Toc15377209"/>
      <w:bookmarkStart w:id="41" w:name="_Toc2265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30"/>
          <w:rFonts w:hint="eastAsia" w:ascii="黑体" w:hAnsi="黑体" w:eastAsia="黑体"/>
          <w:b w:val="0"/>
          <w:color w:val="auto"/>
          <w:highlight w:val="none"/>
        </w:rPr>
        <w:t>般公共预算财政拨款支出决算情况说明</w:t>
      </w:r>
      <w:bookmarkEnd w:id="39"/>
      <w:bookmarkEnd w:id="40"/>
      <w:bookmarkEnd w:id="41"/>
    </w:p>
    <w:p>
      <w:pPr>
        <w:spacing w:line="600" w:lineRule="exact"/>
        <w:ind w:firstLine="643" w:firstLineChars="200"/>
        <w:outlineLvl w:val="2"/>
        <w:rPr>
          <w:rFonts w:ascii="仿宋" w:hAnsi="仿宋" w:eastAsia="仿宋"/>
          <w:b/>
          <w:color w:val="auto"/>
          <w:sz w:val="32"/>
          <w:szCs w:val="32"/>
          <w:highlight w:val="none"/>
        </w:rPr>
      </w:pPr>
      <w:bookmarkStart w:id="42" w:name="_Toc15377210"/>
      <w:bookmarkStart w:id="43" w:name="_Toc19997"/>
      <w:r>
        <w:rPr>
          <w:rFonts w:hint="eastAsia" w:ascii="仿宋" w:hAnsi="仿宋" w:eastAsia="仿宋"/>
          <w:b/>
          <w:color w:val="auto"/>
          <w:sz w:val="32"/>
          <w:szCs w:val="32"/>
          <w:highlight w:val="none"/>
        </w:rPr>
        <w:t>（一）一般公共预算财政拨款支出决算总体情况</w:t>
      </w:r>
      <w:bookmarkEnd w:id="42"/>
      <w:bookmarkEnd w:id="43"/>
    </w:p>
    <w:p>
      <w:pPr>
        <w:spacing w:line="6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129.71</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减少</w:t>
      </w:r>
      <w:r>
        <w:rPr>
          <w:rFonts w:hint="eastAsia" w:ascii="仿宋" w:hAnsi="仿宋" w:eastAsia="仿宋"/>
          <w:color w:val="auto"/>
          <w:sz w:val="32"/>
          <w:szCs w:val="32"/>
          <w:highlight w:val="none"/>
          <w:lang w:val="en-US" w:eastAsia="zh-CN"/>
        </w:rPr>
        <w:t>7.87</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5.7</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严格控制项目支出和基本支出。</w:t>
      </w:r>
    </w:p>
    <w:p>
      <w:pPr>
        <w:spacing w:line="6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（图5：一般公共预算财政拨款支出决算变动情况）（柱状图）</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olor w:val="auto"/>
          <w:sz w:val="32"/>
          <w:szCs w:val="32"/>
          <w:highlight w:val="none"/>
        </w:rPr>
      </w:pPr>
      <w:r>
        <w:drawing>
          <wp:inline distT="0" distB="0" distL="114300" distR="114300">
            <wp:extent cx="5219065" cy="3582670"/>
            <wp:effectExtent l="0" t="0" r="635" b="177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2"/>
                    <a:stretch>
                      <a:fillRect/>
                    </a:stretch>
                  </pic:blipFill>
                  <pic:spPr>
                    <a:xfrm>
                      <a:off x="0" y="0"/>
                      <a:ext cx="5219065" cy="3582670"/>
                    </a:xfrm>
                    <a:prstGeom prst="rect">
                      <a:avLst/>
                    </a:prstGeom>
                    <a:noFill/>
                    <a:ln>
                      <a:noFill/>
                    </a:ln>
                  </pic:spPr>
                </pic:pic>
              </a:graphicData>
            </a:graphic>
          </wp:inline>
        </w:drawing>
      </w:r>
    </w:p>
    <w:p>
      <w:pPr>
        <w:spacing w:line="600" w:lineRule="exact"/>
        <w:ind w:firstLine="643" w:firstLineChars="200"/>
        <w:outlineLvl w:val="2"/>
        <w:rPr>
          <w:rFonts w:ascii="仿宋" w:hAnsi="仿宋" w:eastAsia="仿宋"/>
          <w:b/>
          <w:color w:val="auto"/>
          <w:sz w:val="32"/>
          <w:szCs w:val="32"/>
          <w:highlight w:val="none"/>
        </w:rPr>
      </w:pPr>
      <w:bookmarkStart w:id="44" w:name="_Toc15377211"/>
      <w:bookmarkStart w:id="45" w:name="_Toc12974"/>
      <w:r>
        <w:rPr>
          <w:rFonts w:hint="eastAsia" w:ascii="仿宋" w:hAnsi="仿宋" w:eastAsia="仿宋"/>
          <w:b/>
          <w:color w:val="auto"/>
          <w:sz w:val="32"/>
          <w:szCs w:val="32"/>
          <w:highlight w:val="none"/>
        </w:rPr>
        <w:t>（二）一般公共预算财政拨款支出决算结构情况</w:t>
      </w:r>
      <w:bookmarkEnd w:id="44"/>
      <w:bookmarkEnd w:id="45"/>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129.71</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一般公共服务</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111.57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86.02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7.12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5.49</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lang w:val="en-US" w:eastAsia="zh-CN"/>
        </w:rPr>
        <w:t>3.79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2.92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住房保障支出</w:t>
      </w:r>
      <w:r>
        <w:rPr>
          <w:rFonts w:hint="eastAsia" w:ascii="仿宋" w:hAnsi="仿宋" w:eastAsia="仿宋"/>
          <w:color w:val="auto"/>
          <w:sz w:val="32"/>
          <w:szCs w:val="32"/>
          <w:highlight w:val="none"/>
          <w:lang w:val="en-US" w:eastAsia="zh-CN"/>
        </w:rPr>
        <w:t>7.23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5.57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（图6：一般公共预算财政拨款支出决算结构）（饼状图）</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olor w:val="auto"/>
          <w:sz w:val="32"/>
          <w:szCs w:val="32"/>
          <w:highlight w:val="none"/>
        </w:rPr>
      </w:pPr>
      <w:r>
        <w:drawing>
          <wp:inline distT="0" distB="0" distL="114300" distR="114300">
            <wp:extent cx="5426075" cy="2776220"/>
            <wp:effectExtent l="0" t="0" r="3175" b="508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23"/>
                    <a:stretch>
                      <a:fillRect/>
                    </a:stretch>
                  </pic:blipFill>
                  <pic:spPr>
                    <a:xfrm>
                      <a:off x="0" y="0"/>
                      <a:ext cx="5426075" cy="2776220"/>
                    </a:xfrm>
                    <a:prstGeom prst="rect">
                      <a:avLst/>
                    </a:prstGeom>
                    <a:noFill/>
                    <a:ln>
                      <a:noFill/>
                    </a:ln>
                  </pic:spPr>
                </pic:pic>
              </a:graphicData>
            </a:graphic>
          </wp:inline>
        </w:drawing>
      </w:r>
    </w:p>
    <w:p>
      <w:pPr>
        <w:spacing w:line="600" w:lineRule="exact"/>
        <w:ind w:firstLine="643" w:firstLineChars="200"/>
        <w:outlineLvl w:val="2"/>
        <w:rPr>
          <w:rFonts w:ascii="仿宋" w:hAnsi="仿宋" w:eastAsia="仿宋"/>
          <w:b/>
          <w:color w:val="auto"/>
          <w:sz w:val="32"/>
          <w:szCs w:val="32"/>
          <w:highlight w:val="none"/>
        </w:rPr>
      </w:pPr>
      <w:bookmarkStart w:id="46" w:name="_Toc15377212"/>
      <w:bookmarkStart w:id="47" w:name="_Toc2938"/>
      <w:r>
        <w:rPr>
          <w:rFonts w:hint="eastAsia" w:ascii="仿宋" w:hAnsi="仿宋" w:eastAsia="仿宋"/>
          <w:b/>
          <w:color w:val="auto"/>
          <w:sz w:val="32"/>
          <w:szCs w:val="32"/>
          <w:highlight w:val="none"/>
        </w:rPr>
        <w:t>（三）一般公共预算财政拨款支出决算具体情况</w:t>
      </w:r>
      <w:bookmarkEnd w:id="46"/>
      <w:bookmarkEnd w:id="47"/>
    </w:p>
    <w:p>
      <w:pPr>
        <w:spacing w:line="600" w:lineRule="exact"/>
        <w:ind w:firstLine="643" w:firstLineChars="200"/>
        <w:outlineLvl w:val="2"/>
        <w:rPr>
          <w:rFonts w:ascii="仿宋" w:hAnsi="仿宋" w:eastAsia="仿宋"/>
          <w:color w:val="auto"/>
          <w:sz w:val="32"/>
          <w:szCs w:val="32"/>
          <w:highlight w:val="none"/>
        </w:rPr>
      </w:pPr>
      <w:bookmarkStart w:id="48" w:name="_Toc15377213"/>
      <w:bookmarkStart w:id="49" w:name="_Toc15378460"/>
      <w:bookmarkStart w:id="50" w:name="_Toc15377444"/>
      <w:bookmarkStart w:id="51" w:name="_Toc10635"/>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129.71万元</w:t>
      </w:r>
      <w:r>
        <w:rPr>
          <w:rFonts w:hint="eastAsia" w:ascii="仿宋" w:hAnsi="仿宋" w:eastAsia="仿宋"/>
          <w:color w:val="auto"/>
          <w:sz w:val="32"/>
          <w:szCs w:val="32"/>
          <w:highlight w:val="none"/>
        </w:rPr>
        <w:t>，</w:t>
      </w:r>
      <w:r>
        <w:rPr>
          <w:rStyle w:val="18"/>
          <w:rFonts w:hint="eastAsia" w:ascii="仿宋" w:hAnsi="仿宋" w:eastAsia="仿宋"/>
          <w:bCs/>
          <w:color w:val="auto"/>
          <w:sz w:val="32"/>
          <w:szCs w:val="32"/>
          <w:highlight w:val="none"/>
        </w:rPr>
        <w:t>完成预算</w:t>
      </w:r>
      <w:r>
        <w:rPr>
          <w:rStyle w:val="18"/>
          <w:rFonts w:hint="eastAsia" w:ascii="仿宋" w:hAnsi="仿宋" w:eastAsia="仿宋"/>
          <w:bCs/>
          <w:color w:val="auto"/>
          <w:sz w:val="32"/>
          <w:szCs w:val="32"/>
          <w:highlight w:val="none"/>
          <w:lang w:val="en-US" w:eastAsia="zh-CN"/>
        </w:rPr>
        <w:t>100</w:t>
      </w:r>
      <w:r>
        <w:rPr>
          <w:rStyle w:val="18"/>
          <w:rFonts w:ascii="仿宋" w:hAnsi="仿宋" w:eastAsia="仿宋"/>
          <w:bCs/>
          <w:color w:val="auto"/>
          <w:sz w:val="32"/>
          <w:szCs w:val="32"/>
          <w:highlight w:val="none"/>
        </w:rPr>
        <w:t>%</w:t>
      </w:r>
      <w:r>
        <w:rPr>
          <w:rStyle w:val="18"/>
          <w:rFonts w:hint="eastAsia" w:ascii="仿宋" w:hAnsi="仿宋" w:eastAsia="仿宋"/>
          <w:bCs/>
          <w:color w:val="auto"/>
          <w:sz w:val="32"/>
          <w:szCs w:val="32"/>
          <w:highlight w:val="none"/>
        </w:rPr>
        <w:t>。其中：</w:t>
      </w:r>
      <w:bookmarkEnd w:id="48"/>
      <w:bookmarkEnd w:id="49"/>
      <w:bookmarkEnd w:id="50"/>
      <w:bookmarkEnd w:id="51"/>
    </w:p>
    <w:p>
      <w:pPr>
        <w:spacing w:line="600" w:lineRule="exact"/>
        <w:ind w:firstLine="643" w:firstLineChars="200"/>
        <w:rPr>
          <w:rFonts w:ascii="仿宋" w:hAnsi="仿宋" w:eastAsia="仿宋"/>
          <w:b/>
          <w:color w:val="auto"/>
          <w:sz w:val="32"/>
          <w:szCs w:val="32"/>
          <w:highlight w:val="none"/>
        </w:rPr>
      </w:pPr>
      <w:r>
        <w:rPr>
          <w:rStyle w:val="18"/>
          <w:rFonts w:ascii="仿宋" w:hAnsi="仿宋" w:eastAsia="仿宋"/>
          <w:bCs/>
          <w:color w:val="auto"/>
          <w:sz w:val="32"/>
          <w:szCs w:val="32"/>
          <w:highlight w:val="none"/>
        </w:rPr>
        <w:t>1.</w:t>
      </w:r>
      <w:r>
        <w:rPr>
          <w:rStyle w:val="18"/>
          <w:rFonts w:hint="eastAsia" w:ascii="仿宋" w:hAnsi="仿宋" w:eastAsia="仿宋"/>
          <w:bCs/>
          <w:color w:val="auto"/>
          <w:sz w:val="32"/>
          <w:szCs w:val="32"/>
          <w:highlight w:val="none"/>
        </w:rPr>
        <w:t>一般公共服务（类）</w:t>
      </w:r>
      <w:r>
        <w:rPr>
          <w:rStyle w:val="18"/>
          <w:rFonts w:hint="eastAsia" w:ascii="仿宋" w:hAnsi="仿宋" w:eastAsia="仿宋"/>
          <w:bCs/>
          <w:color w:val="auto"/>
          <w:sz w:val="32"/>
          <w:szCs w:val="32"/>
          <w:highlight w:val="none"/>
          <w:lang w:val="en-US" w:eastAsia="zh-CN"/>
        </w:rPr>
        <w:t>20131</w:t>
      </w:r>
      <w:r>
        <w:rPr>
          <w:rStyle w:val="18"/>
          <w:rFonts w:hint="eastAsia" w:ascii="仿宋" w:hAnsi="仿宋" w:eastAsia="仿宋"/>
          <w:bCs/>
          <w:color w:val="auto"/>
          <w:sz w:val="32"/>
          <w:szCs w:val="32"/>
          <w:highlight w:val="none"/>
        </w:rPr>
        <w:t>（款）</w:t>
      </w:r>
      <w:r>
        <w:rPr>
          <w:rStyle w:val="18"/>
          <w:rFonts w:hint="eastAsia" w:ascii="仿宋" w:hAnsi="仿宋" w:eastAsia="仿宋"/>
          <w:bCs/>
          <w:color w:val="auto"/>
          <w:sz w:val="32"/>
          <w:szCs w:val="32"/>
          <w:highlight w:val="none"/>
          <w:lang w:val="en-US" w:eastAsia="zh-CN"/>
        </w:rPr>
        <w:t>01</w:t>
      </w:r>
      <w:r>
        <w:rPr>
          <w:rStyle w:val="18"/>
          <w:rFonts w:hint="eastAsia" w:ascii="仿宋" w:hAnsi="仿宋" w:eastAsia="仿宋"/>
          <w:bCs/>
          <w:color w:val="auto"/>
          <w:sz w:val="32"/>
          <w:szCs w:val="32"/>
          <w:highlight w:val="none"/>
        </w:rPr>
        <w:t>（项）</w:t>
      </w:r>
      <w:r>
        <w:rPr>
          <w:rStyle w:val="18"/>
          <w:rFonts w:ascii="仿宋" w:hAnsi="仿宋" w:eastAsia="仿宋"/>
          <w:bCs/>
          <w:color w:val="auto"/>
          <w:sz w:val="32"/>
          <w:szCs w:val="32"/>
          <w:highlight w:val="none"/>
        </w:rPr>
        <w:t>:</w:t>
      </w:r>
      <w:r>
        <w:rPr>
          <w:rStyle w:val="18"/>
          <w:rFonts w:ascii="仿宋" w:hAnsi="仿宋" w:eastAsia="仿宋"/>
          <w:b w:val="0"/>
          <w:bCs/>
          <w:color w:val="auto"/>
          <w:sz w:val="32"/>
          <w:szCs w:val="32"/>
          <w:highlight w:val="none"/>
        </w:rPr>
        <w:t xml:space="preserve"> </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101.77</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，决算数等于预算数。</w:t>
      </w:r>
    </w:p>
    <w:p>
      <w:pPr>
        <w:spacing w:line="600" w:lineRule="exact"/>
        <w:ind w:firstLine="643" w:firstLineChars="200"/>
        <w:rPr>
          <w:rFonts w:ascii="仿宋" w:hAnsi="仿宋" w:eastAsia="仿宋"/>
          <w:b/>
          <w:color w:val="auto"/>
          <w:sz w:val="32"/>
          <w:szCs w:val="32"/>
          <w:highlight w:val="none"/>
        </w:rPr>
      </w:pPr>
      <w:r>
        <w:rPr>
          <w:rStyle w:val="18"/>
          <w:rFonts w:hint="eastAsia" w:ascii="仿宋" w:hAnsi="仿宋" w:eastAsia="仿宋"/>
          <w:bCs/>
          <w:color w:val="auto"/>
          <w:sz w:val="32"/>
          <w:szCs w:val="32"/>
          <w:highlight w:val="none"/>
          <w:lang w:val="en-US" w:eastAsia="zh-CN"/>
        </w:rPr>
        <w:t>2</w:t>
      </w:r>
      <w:r>
        <w:rPr>
          <w:rStyle w:val="18"/>
          <w:rFonts w:ascii="仿宋" w:hAnsi="仿宋" w:eastAsia="仿宋"/>
          <w:bCs/>
          <w:color w:val="auto"/>
          <w:sz w:val="32"/>
          <w:szCs w:val="32"/>
          <w:highlight w:val="none"/>
        </w:rPr>
        <w:t>.</w:t>
      </w:r>
      <w:r>
        <w:rPr>
          <w:rStyle w:val="18"/>
          <w:rFonts w:hint="eastAsia" w:ascii="仿宋" w:hAnsi="仿宋" w:eastAsia="仿宋"/>
          <w:bCs/>
          <w:color w:val="auto"/>
          <w:sz w:val="32"/>
          <w:szCs w:val="32"/>
          <w:highlight w:val="none"/>
        </w:rPr>
        <w:t>一般公共服务（类）</w:t>
      </w:r>
      <w:r>
        <w:rPr>
          <w:rStyle w:val="18"/>
          <w:rFonts w:hint="eastAsia" w:ascii="仿宋" w:hAnsi="仿宋" w:eastAsia="仿宋"/>
          <w:bCs/>
          <w:color w:val="auto"/>
          <w:sz w:val="32"/>
          <w:szCs w:val="32"/>
          <w:highlight w:val="none"/>
          <w:lang w:val="en-US" w:eastAsia="zh-CN"/>
        </w:rPr>
        <w:t>20131</w:t>
      </w:r>
      <w:r>
        <w:rPr>
          <w:rStyle w:val="18"/>
          <w:rFonts w:hint="eastAsia" w:ascii="仿宋" w:hAnsi="仿宋" w:eastAsia="仿宋"/>
          <w:bCs/>
          <w:color w:val="auto"/>
          <w:sz w:val="32"/>
          <w:szCs w:val="32"/>
          <w:highlight w:val="none"/>
        </w:rPr>
        <w:t>（款）</w:t>
      </w:r>
      <w:r>
        <w:rPr>
          <w:rStyle w:val="18"/>
          <w:rFonts w:hint="eastAsia" w:ascii="仿宋" w:hAnsi="仿宋" w:eastAsia="仿宋"/>
          <w:bCs/>
          <w:color w:val="auto"/>
          <w:sz w:val="32"/>
          <w:szCs w:val="32"/>
          <w:highlight w:val="none"/>
          <w:lang w:val="en-US" w:eastAsia="zh-CN"/>
        </w:rPr>
        <w:t>02</w:t>
      </w:r>
      <w:r>
        <w:rPr>
          <w:rStyle w:val="18"/>
          <w:rFonts w:hint="eastAsia" w:ascii="仿宋" w:hAnsi="仿宋" w:eastAsia="仿宋"/>
          <w:bCs/>
          <w:color w:val="auto"/>
          <w:sz w:val="32"/>
          <w:szCs w:val="32"/>
          <w:highlight w:val="none"/>
        </w:rPr>
        <w:t>（项）</w:t>
      </w:r>
      <w:r>
        <w:rPr>
          <w:rStyle w:val="18"/>
          <w:rFonts w:ascii="仿宋" w:hAnsi="仿宋" w:eastAsia="仿宋"/>
          <w:bCs/>
          <w:color w:val="auto"/>
          <w:sz w:val="32"/>
          <w:szCs w:val="32"/>
          <w:highlight w:val="none"/>
        </w:rPr>
        <w:t>:</w:t>
      </w:r>
      <w:r>
        <w:rPr>
          <w:rStyle w:val="18"/>
          <w:rFonts w:ascii="仿宋" w:hAnsi="仿宋" w:eastAsia="仿宋"/>
          <w:b w:val="0"/>
          <w:bCs/>
          <w:color w:val="auto"/>
          <w:sz w:val="32"/>
          <w:szCs w:val="32"/>
          <w:highlight w:val="none"/>
        </w:rPr>
        <w:t xml:space="preserve"> </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27.94</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，决算数等于预算数。</w:t>
      </w:r>
    </w:p>
    <w:p>
      <w:pPr>
        <w:spacing w:line="600" w:lineRule="exact"/>
        <w:ind w:firstLine="643" w:firstLineChars="200"/>
        <w:rPr>
          <w:rFonts w:ascii="仿宋" w:hAnsi="仿宋" w:eastAsia="仿宋"/>
          <w:b/>
          <w:color w:val="auto"/>
          <w:sz w:val="32"/>
          <w:szCs w:val="32"/>
          <w:highlight w:val="none"/>
        </w:rPr>
      </w:pPr>
      <w:r>
        <w:rPr>
          <w:rStyle w:val="18"/>
          <w:rFonts w:hint="eastAsia" w:ascii="仿宋" w:hAnsi="仿宋" w:eastAsia="仿宋"/>
          <w:bCs/>
          <w:color w:val="auto"/>
          <w:sz w:val="32"/>
          <w:szCs w:val="32"/>
          <w:highlight w:val="none"/>
          <w:lang w:val="en-US" w:eastAsia="zh-CN"/>
        </w:rPr>
        <w:t>3</w:t>
      </w:r>
      <w:r>
        <w:rPr>
          <w:rStyle w:val="18"/>
          <w:rFonts w:ascii="仿宋" w:hAnsi="仿宋" w:eastAsia="仿宋"/>
          <w:bCs/>
          <w:color w:val="auto"/>
          <w:sz w:val="32"/>
          <w:szCs w:val="32"/>
          <w:highlight w:val="none"/>
        </w:rPr>
        <w:t>.</w:t>
      </w:r>
      <w:r>
        <w:rPr>
          <w:rStyle w:val="18"/>
          <w:rFonts w:hint="eastAsia" w:ascii="仿宋" w:hAnsi="仿宋" w:eastAsia="仿宋"/>
          <w:bCs/>
          <w:color w:val="auto"/>
          <w:sz w:val="32"/>
          <w:szCs w:val="32"/>
          <w:highlight w:val="none"/>
        </w:rPr>
        <w:t>社会保障和就业（类）</w:t>
      </w:r>
      <w:r>
        <w:rPr>
          <w:rStyle w:val="18"/>
          <w:rFonts w:hint="eastAsia" w:ascii="仿宋" w:hAnsi="仿宋" w:eastAsia="仿宋"/>
          <w:bCs/>
          <w:color w:val="auto"/>
          <w:sz w:val="32"/>
          <w:szCs w:val="32"/>
          <w:highlight w:val="none"/>
          <w:lang w:val="en-US" w:eastAsia="zh-CN"/>
        </w:rPr>
        <w:t>20805</w:t>
      </w:r>
      <w:r>
        <w:rPr>
          <w:rStyle w:val="18"/>
          <w:rFonts w:hint="eastAsia" w:ascii="仿宋" w:hAnsi="仿宋" w:eastAsia="仿宋"/>
          <w:bCs/>
          <w:color w:val="auto"/>
          <w:sz w:val="32"/>
          <w:szCs w:val="32"/>
          <w:highlight w:val="none"/>
        </w:rPr>
        <w:t>（款）</w:t>
      </w:r>
      <w:r>
        <w:rPr>
          <w:rStyle w:val="18"/>
          <w:rFonts w:hint="eastAsia" w:ascii="仿宋" w:hAnsi="仿宋" w:eastAsia="仿宋"/>
          <w:bCs/>
          <w:color w:val="auto"/>
          <w:sz w:val="32"/>
          <w:szCs w:val="32"/>
          <w:highlight w:val="none"/>
          <w:lang w:val="en-US" w:eastAsia="zh-CN"/>
        </w:rPr>
        <w:t>05</w:t>
      </w:r>
      <w:r>
        <w:rPr>
          <w:rStyle w:val="18"/>
          <w:rFonts w:hint="eastAsia" w:ascii="仿宋" w:hAnsi="仿宋" w:eastAsia="仿宋"/>
          <w:bCs/>
          <w:color w:val="auto"/>
          <w:sz w:val="32"/>
          <w:szCs w:val="32"/>
          <w:highlight w:val="none"/>
        </w:rPr>
        <w:t>（项）</w:t>
      </w:r>
      <w:r>
        <w:rPr>
          <w:rStyle w:val="18"/>
          <w:rFonts w:ascii="仿宋" w:hAnsi="仿宋" w:eastAsia="仿宋"/>
          <w:bCs/>
          <w:color w:val="auto"/>
          <w:sz w:val="32"/>
          <w:szCs w:val="32"/>
          <w:highlight w:val="none"/>
        </w:rPr>
        <w:t>:</w:t>
      </w:r>
      <w:r>
        <w:rPr>
          <w:rStyle w:val="18"/>
          <w:rFonts w:ascii="仿宋" w:hAnsi="仿宋" w:eastAsia="仿宋"/>
          <w:b w:val="0"/>
          <w:bCs/>
          <w:color w:val="auto"/>
          <w:sz w:val="32"/>
          <w:szCs w:val="32"/>
          <w:highlight w:val="none"/>
        </w:rPr>
        <w:t xml:space="preserve"> </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7.12</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，决算数等于预算数。</w:t>
      </w:r>
    </w:p>
    <w:p>
      <w:pPr>
        <w:spacing w:line="600" w:lineRule="exact"/>
        <w:ind w:firstLine="643" w:firstLineChars="200"/>
        <w:rPr>
          <w:rFonts w:ascii="仿宋" w:hAnsi="仿宋" w:eastAsia="仿宋"/>
          <w:b/>
          <w:color w:val="auto"/>
          <w:sz w:val="32"/>
          <w:szCs w:val="32"/>
          <w:highlight w:val="none"/>
        </w:rPr>
      </w:pPr>
      <w:r>
        <w:rPr>
          <w:rStyle w:val="18"/>
          <w:rFonts w:hint="eastAsia" w:ascii="仿宋" w:hAnsi="仿宋" w:eastAsia="仿宋"/>
          <w:bCs/>
          <w:color w:val="auto"/>
          <w:sz w:val="32"/>
          <w:szCs w:val="32"/>
          <w:highlight w:val="none"/>
          <w:lang w:val="en-US" w:eastAsia="zh-CN"/>
        </w:rPr>
        <w:t>4</w:t>
      </w:r>
      <w:r>
        <w:rPr>
          <w:rStyle w:val="18"/>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Style w:val="18"/>
          <w:rFonts w:hint="eastAsia" w:ascii="仿宋" w:hAnsi="仿宋" w:eastAsia="仿宋"/>
          <w:bCs/>
          <w:color w:val="auto"/>
          <w:sz w:val="32"/>
          <w:szCs w:val="32"/>
          <w:highlight w:val="none"/>
        </w:rPr>
        <w:t>（类）</w:t>
      </w:r>
      <w:r>
        <w:rPr>
          <w:rStyle w:val="18"/>
          <w:rFonts w:hint="eastAsia" w:ascii="仿宋" w:hAnsi="仿宋" w:eastAsia="仿宋"/>
          <w:bCs/>
          <w:color w:val="auto"/>
          <w:sz w:val="32"/>
          <w:szCs w:val="32"/>
          <w:highlight w:val="none"/>
          <w:lang w:val="en-US" w:eastAsia="zh-CN"/>
        </w:rPr>
        <w:t>21011</w:t>
      </w:r>
      <w:r>
        <w:rPr>
          <w:rStyle w:val="18"/>
          <w:rFonts w:hint="eastAsia" w:ascii="仿宋" w:hAnsi="仿宋" w:eastAsia="仿宋"/>
          <w:bCs/>
          <w:color w:val="auto"/>
          <w:sz w:val="32"/>
          <w:szCs w:val="32"/>
          <w:highlight w:val="none"/>
        </w:rPr>
        <w:t>（款）</w:t>
      </w:r>
      <w:r>
        <w:rPr>
          <w:rStyle w:val="18"/>
          <w:rFonts w:hint="eastAsia" w:ascii="仿宋" w:hAnsi="仿宋" w:eastAsia="仿宋"/>
          <w:bCs/>
          <w:color w:val="auto"/>
          <w:sz w:val="32"/>
          <w:szCs w:val="32"/>
          <w:highlight w:val="none"/>
          <w:lang w:val="en-US" w:eastAsia="zh-CN"/>
        </w:rPr>
        <w:t>01</w:t>
      </w:r>
      <w:r>
        <w:rPr>
          <w:rStyle w:val="18"/>
          <w:rFonts w:hint="eastAsia" w:ascii="仿宋" w:hAnsi="仿宋" w:eastAsia="仿宋"/>
          <w:bCs/>
          <w:color w:val="auto"/>
          <w:sz w:val="32"/>
          <w:szCs w:val="32"/>
          <w:highlight w:val="none"/>
        </w:rPr>
        <w:t>（项）</w:t>
      </w:r>
      <w:r>
        <w:rPr>
          <w:rStyle w:val="18"/>
          <w:rFonts w:ascii="仿宋" w:hAnsi="仿宋" w:eastAsia="仿宋"/>
          <w:bCs/>
          <w:color w:val="auto"/>
          <w:sz w:val="32"/>
          <w:szCs w:val="32"/>
          <w:highlight w:val="none"/>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2.8</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，决算数等于预算数。</w:t>
      </w:r>
    </w:p>
    <w:p>
      <w:pPr>
        <w:spacing w:line="600" w:lineRule="exact"/>
        <w:ind w:firstLine="643" w:firstLineChars="200"/>
        <w:rPr>
          <w:rFonts w:ascii="仿宋" w:hAnsi="仿宋" w:eastAsia="仿宋"/>
          <w:b/>
          <w:color w:val="auto"/>
          <w:sz w:val="32"/>
          <w:szCs w:val="32"/>
          <w:highlight w:val="none"/>
        </w:rPr>
      </w:pPr>
      <w:r>
        <w:rPr>
          <w:rStyle w:val="18"/>
          <w:rFonts w:hint="eastAsia" w:ascii="仿宋" w:hAnsi="仿宋" w:eastAsia="仿宋"/>
          <w:bCs/>
          <w:color w:val="auto"/>
          <w:sz w:val="32"/>
          <w:szCs w:val="32"/>
          <w:highlight w:val="none"/>
          <w:lang w:val="en-US" w:eastAsia="zh-CN"/>
        </w:rPr>
        <w:t>5</w:t>
      </w:r>
      <w:r>
        <w:rPr>
          <w:rStyle w:val="18"/>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Style w:val="18"/>
          <w:rFonts w:hint="eastAsia" w:ascii="仿宋" w:hAnsi="仿宋" w:eastAsia="仿宋"/>
          <w:bCs/>
          <w:color w:val="auto"/>
          <w:sz w:val="32"/>
          <w:szCs w:val="32"/>
          <w:highlight w:val="none"/>
        </w:rPr>
        <w:t>（类）</w:t>
      </w:r>
      <w:r>
        <w:rPr>
          <w:rStyle w:val="18"/>
          <w:rFonts w:hint="eastAsia" w:ascii="仿宋" w:hAnsi="仿宋" w:eastAsia="仿宋"/>
          <w:bCs/>
          <w:color w:val="auto"/>
          <w:sz w:val="32"/>
          <w:szCs w:val="32"/>
          <w:highlight w:val="none"/>
          <w:lang w:val="en-US" w:eastAsia="zh-CN"/>
        </w:rPr>
        <w:t>21011</w:t>
      </w:r>
      <w:r>
        <w:rPr>
          <w:rStyle w:val="18"/>
          <w:rFonts w:hint="eastAsia" w:ascii="仿宋" w:hAnsi="仿宋" w:eastAsia="仿宋"/>
          <w:bCs/>
          <w:color w:val="auto"/>
          <w:sz w:val="32"/>
          <w:szCs w:val="32"/>
          <w:highlight w:val="none"/>
        </w:rPr>
        <w:t>（款）</w:t>
      </w:r>
      <w:r>
        <w:rPr>
          <w:rStyle w:val="18"/>
          <w:rFonts w:hint="eastAsia" w:ascii="仿宋" w:hAnsi="仿宋" w:eastAsia="仿宋"/>
          <w:bCs/>
          <w:color w:val="auto"/>
          <w:sz w:val="32"/>
          <w:szCs w:val="32"/>
          <w:highlight w:val="none"/>
          <w:lang w:val="en-US" w:eastAsia="zh-CN"/>
        </w:rPr>
        <w:t>02</w:t>
      </w:r>
      <w:r>
        <w:rPr>
          <w:rStyle w:val="18"/>
          <w:rFonts w:hint="eastAsia" w:ascii="仿宋" w:hAnsi="仿宋" w:eastAsia="仿宋"/>
          <w:bCs/>
          <w:color w:val="auto"/>
          <w:sz w:val="32"/>
          <w:szCs w:val="32"/>
          <w:highlight w:val="none"/>
        </w:rPr>
        <w:t>（项）</w:t>
      </w:r>
      <w:r>
        <w:rPr>
          <w:rStyle w:val="18"/>
          <w:rFonts w:ascii="仿宋" w:hAnsi="仿宋" w:eastAsia="仿宋"/>
          <w:bCs/>
          <w:color w:val="auto"/>
          <w:sz w:val="32"/>
          <w:szCs w:val="32"/>
          <w:highlight w:val="none"/>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0.99</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，决算数等于预算数。</w:t>
      </w:r>
    </w:p>
    <w:p>
      <w:pPr>
        <w:spacing w:line="600" w:lineRule="exact"/>
        <w:ind w:firstLine="643" w:firstLineChars="200"/>
        <w:rPr>
          <w:rFonts w:ascii="仿宋" w:hAnsi="仿宋" w:eastAsia="仿宋"/>
          <w:b/>
          <w:color w:val="auto"/>
          <w:sz w:val="32"/>
          <w:szCs w:val="32"/>
          <w:highlight w:val="none"/>
        </w:rPr>
      </w:pPr>
      <w:r>
        <w:rPr>
          <w:rStyle w:val="18"/>
          <w:rFonts w:hint="eastAsia" w:ascii="仿宋" w:hAnsi="仿宋" w:eastAsia="仿宋"/>
          <w:sz w:val="32"/>
          <w:szCs w:val="32"/>
          <w:lang w:val="en-US" w:eastAsia="zh-CN"/>
        </w:rPr>
        <w:t>6</w:t>
      </w:r>
      <w:r>
        <w:rPr>
          <w:rStyle w:val="18"/>
          <w:rFonts w:hint="eastAsia" w:ascii="仿宋" w:hAnsi="仿宋" w:eastAsia="仿宋"/>
          <w:sz w:val="32"/>
          <w:szCs w:val="32"/>
        </w:rPr>
        <w:t>.住房保障（类）22102</w:t>
      </w:r>
      <w:r>
        <w:rPr>
          <w:rStyle w:val="18"/>
          <w:rFonts w:hint="eastAsia" w:ascii="仿宋" w:hAnsi="仿宋" w:eastAsia="仿宋"/>
          <w:bCs/>
          <w:sz w:val="32"/>
          <w:szCs w:val="32"/>
        </w:rPr>
        <w:t>（款）01（项）：</w:t>
      </w:r>
      <w:r>
        <w:rPr>
          <w:rStyle w:val="18"/>
          <w:rFonts w:hint="eastAsia" w:ascii="仿宋" w:hAnsi="仿宋" w:eastAsia="仿宋"/>
          <w:b w:val="0"/>
          <w:bCs/>
          <w:sz w:val="32"/>
          <w:szCs w:val="32"/>
        </w:rPr>
        <w:t>出决算为</w:t>
      </w:r>
      <w:r>
        <w:rPr>
          <w:rStyle w:val="18"/>
          <w:rFonts w:hint="eastAsia" w:ascii="仿宋" w:hAnsi="仿宋" w:eastAsia="仿宋"/>
          <w:b w:val="0"/>
          <w:bCs/>
          <w:sz w:val="32"/>
          <w:szCs w:val="32"/>
          <w:lang w:val="en-US" w:eastAsia="zh-CN"/>
        </w:rPr>
        <w:t>7.23</w:t>
      </w:r>
      <w:r>
        <w:rPr>
          <w:rStyle w:val="18"/>
          <w:rFonts w:hint="eastAsia" w:ascii="仿宋" w:hAnsi="仿宋" w:eastAsia="仿宋"/>
          <w:b w:val="0"/>
          <w:bCs/>
          <w:sz w:val="32"/>
          <w:szCs w:val="32"/>
        </w:rPr>
        <w:t>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，决算数等于预算数。</w:t>
      </w:r>
    </w:p>
    <w:p>
      <w:pPr>
        <w:tabs>
          <w:tab w:val="right" w:pos="8306"/>
        </w:tabs>
        <w:spacing w:line="600" w:lineRule="exact"/>
        <w:ind w:firstLine="640"/>
        <w:outlineLvl w:val="1"/>
        <w:rPr>
          <w:rStyle w:val="30"/>
          <w:color w:val="auto"/>
          <w:highlight w:val="none"/>
        </w:rPr>
      </w:pPr>
      <w:bookmarkStart w:id="52" w:name="_Toc15396608"/>
      <w:bookmarkStart w:id="53" w:name="_Toc15377214"/>
      <w:bookmarkStart w:id="54" w:name="_Toc25129"/>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30"/>
          <w:rFonts w:hint="eastAsia" w:ascii="黑体" w:hAnsi="黑体" w:eastAsia="黑体"/>
          <w:b w:val="0"/>
          <w:color w:val="auto"/>
          <w:highlight w:val="none"/>
        </w:rPr>
        <w:t>般公共预算财政拨款基本支出决算情况说明</w:t>
      </w:r>
      <w:bookmarkEnd w:id="52"/>
      <w:bookmarkEnd w:id="53"/>
      <w:bookmarkEnd w:id="54"/>
      <w:r>
        <w:rPr>
          <w:rStyle w:val="30"/>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101.77</w:t>
      </w:r>
      <w:r>
        <w:rPr>
          <w:rFonts w:hint="eastAsia" w:ascii="仿宋" w:hAnsi="仿宋" w:eastAsia="仿宋"/>
          <w:color w:val="auto"/>
          <w:sz w:val="32"/>
          <w:szCs w:val="32"/>
          <w:highlight w:val="none"/>
        </w:rPr>
        <w:t>万元，其中：</w:t>
      </w:r>
    </w:p>
    <w:p>
      <w:pPr>
        <w:spacing w:line="60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91.32</w:t>
      </w:r>
      <w:r>
        <w:rPr>
          <w:rFonts w:hint="eastAsia" w:ascii="仿宋" w:hAnsi="仿宋" w:eastAsia="仿宋"/>
          <w:color w:val="auto"/>
          <w:sz w:val="32"/>
          <w:szCs w:val="32"/>
          <w:highlight w:val="none"/>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auto"/>
          <w:sz w:val="32"/>
          <w:szCs w:val="32"/>
          <w:highlight w:val="none"/>
        </w:rPr>
        <w:br w:type="textWrapping"/>
      </w:r>
      <w:r>
        <w:rPr>
          <w:rFonts w:hint="eastAsia" w:ascii="仿宋" w:hAnsi="仿宋" w:eastAsia="仿宋"/>
          <w:color w:val="auto"/>
          <w:sz w:val="32"/>
          <w:szCs w:val="32"/>
          <w:highlight w:val="none"/>
        </w:rPr>
        <w:t>　　公用经费</w:t>
      </w:r>
      <w:r>
        <w:rPr>
          <w:rFonts w:hint="eastAsia" w:ascii="仿宋" w:hAnsi="仿宋" w:eastAsia="仿宋"/>
          <w:color w:val="auto"/>
          <w:sz w:val="32"/>
          <w:szCs w:val="32"/>
          <w:highlight w:val="none"/>
          <w:lang w:val="en-US" w:eastAsia="zh-CN"/>
        </w:rPr>
        <w:t>10.45</w:t>
      </w:r>
      <w:r>
        <w:rPr>
          <w:rFonts w:hint="eastAsia" w:ascii="仿宋" w:hAnsi="仿宋" w:eastAsia="仿宋"/>
          <w:color w:val="auto"/>
          <w:sz w:val="32"/>
          <w:szCs w:val="32"/>
          <w:highlight w:val="none"/>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30"/>
          <w:rFonts w:ascii="黑体" w:hAnsi="黑体" w:eastAsia="黑体"/>
          <w:b w:val="0"/>
          <w:color w:val="auto"/>
          <w:highlight w:val="none"/>
        </w:rPr>
      </w:pPr>
      <w:bookmarkStart w:id="55" w:name="_Toc15396609"/>
      <w:bookmarkStart w:id="56" w:name="_Toc15377215"/>
      <w:bookmarkStart w:id="57" w:name="_Toc6992"/>
      <w:r>
        <w:rPr>
          <w:rFonts w:hint="eastAsia" w:ascii="黑体" w:eastAsia="黑体"/>
          <w:color w:val="auto"/>
          <w:sz w:val="32"/>
          <w:szCs w:val="32"/>
          <w:highlight w:val="none"/>
        </w:rPr>
        <w:t>七、</w:t>
      </w:r>
      <w:r>
        <w:rPr>
          <w:rStyle w:val="30"/>
          <w:rFonts w:hint="eastAsia" w:ascii="黑体" w:hAnsi="黑体" w:eastAsia="黑体"/>
          <w:b w:val="0"/>
          <w:color w:val="auto"/>
          <w:highlight w:val="none"/>
        </w:rPr>
        <w:t>财政拨款</w:t>
      </w:r>
      <w:r>
        <w:rPr>
          <w:rStyle w:val="30"/>
          <w:rFonts w:hint="eastAsia" w:ascii="黑体" w:hAnsi="黑体" w:eastAsia="黑体"/>
          <w:color w:val="auto"/>
          <w:highlight w:val="none"/>
        </w:rPr>
        <w:t>“</w:t>
      </w:r>
      <w:r>
        <w:rPr>
          <w:rStyle w:val="30"/>
          <w:rFonts w:hint="eastAsia" w:ascii="黑体" w:hAnsi="黑体" w:eastAsia="黑体"/>
          <w:b w:val="0"/>
          <w:color w:val="auto"/>
          <w:highlight w:val="none"/>
        </w:rPr>
        <w:t>三公”经费支出决算情况说明</w:t>
      </w:r>
      <w:bookmarkEnd w:id="55"/>
      <w:bookmarkEnd w:id="56"/>
      <w:bookmarkEnd w:id="57"/>
    </w:p>
    <w:p>
      <w:pPr>
        <w:spacing w:line="600" w:lineRule="exact"/>
        <w:ind w:firstLine="640"/>
        <w:outlineLvl w:val="2"/>
        <w:rPr>
          <w:rFonts w:ascii="仿宋" w:hAnsi="仿宋" w:eastAsia="仿宋"/>
          <w:b/>
          <w:color w:val="auto"/>
          <w:sz w:val="32"/>
          <w:szCs w:val="32"/>
          <w:highlight w:val="none"/>
        </w:rPr>
      </w:pPr>
      <w:bookmarkStart w:id="58" w:name="_Toc15377216"/>
      <w:bookmarkStart w:id="59" w:name="_Toc13451"/>
      <w:r>
        <w:rPr>
          <w:rFonts w:hint="eastAsia" w:ascii="仿宋" w:hAnsi="仿宋" w:eastAsia="仿宋"/>
          <w:b/>
          <w:color w:val="auto"/>
          <w:sz w:val="32"/>
          <w:szCs w:val="32"/>
          <w:highlight w:val="none"/>
        </w:rPr>
        <w:t>（一）“三公”经费财政拨款支出决算总体情况说明</w:t>
      </w:r>
      <w:bookmarkEnd w:id="58"/>
      <w:bookmarkEnd w:id="59"/>
    </w:p>
    <w:p>
      <w:pPr>
        <w:spacing w:line="600" w:lineRule="exact"/>
        <w:ind w:firstLine="640"/>
        <w:rPr>
          <w:rFonts w:ascii="仿宋" w:hAnsi="仿宋" w:eastAsia="仿宋"/>
          <w:b/>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0.25</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减少0.01万元，下降4%。</w:t>
      </w:r>
      <w:r>
        <w:rPr>
          <w:rFonts w:hint="eastAsia" w:ascii="仿宋" w:hAnsi="仿宋" w:eastAsia="仿宋"/>
          <w:color w:val="auto"/>
          <w:sz w:val="32"/>
          <w:szCs w:val="32"/>
          <w:highlight w:val="none"/>
        </w:rPr>
        <w:t>主要原因是</w:t>
      </w:r>
      <w:r>
        <w:rPr>
          <w:rFonts w:hint="eastAsia" w:ascii="仿宋_GB2312" w:eastAsia="仿宋_GB2312"/>
          <w:sz w:val="32"/>
          <w:szCs w:val="32"/>
        </w:rPr>
        <w:t>按照“中央八项规定”严格控制</w:t>
      </w:r>
      <w:r>
        <w:rPr>
          <w:rFonts w:hint="eastAsia" w:ascii="仿宋_GB2312" w:eastAsia="仿宋_GB2312"/>
          <w:sz w:val="32"/>
          <w:szCs w:val="32"/>
          <w:lang w:eastAsia="zh-CN"/>
        </w:rPr>
        <w:t>。</w:t>
      </w:r>
    </w:p>
    <w:p>
      <w:pPr>
        <w:spacing w:line="600" w:lineRule="exact"/>
        <w:ind w:firstLine="640"/>
        <w:outlineLvl w:val="2"/>
        <w:rPr>
          <w:rFonts w:ascii="仿宋" w:hAnsi="仿宋" w:eastAsia="仿宋"/>
          <w:b/>
          <w:color w:val="auto"/>
          <w:sz w:val="32"/>
          <w:szCs w:val="32"/>
          <w:highlight w:val="none"/>
        </w:rPr>
      </w:pPr>
      <w:bookmarkStart w:id="60" w:name="_Toc15377217"/>
      <w:bookmarkStart w:id="61" w:name="_Toc4534"/>
      <w:r>
        <w:rPr>
          <w:rFonts w:hint="eastAsia" w:ascii="仿宋" w:hAnsi="仿宋" w:eastAsia="仿宋"/>
          <w:b/>
          <w:color w:val="auto"/>
          <w:sz w:val="32"/>
          <w:szCs w:val="32"/>
          <w:highlight w:val="none"/>
        </w:rPr>
        <w:t>（二）“三公”经费财政拨款支出决算具体情况说明</w:t>
      </w:r>
      <w:bookmarkEnd w:id="60"/>
      <w:bookmarkEnd w:id="61"/>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年“三公”经费财政拨款支出决算中，公务接待费支出决算</w:t>
      </w:r>
      <w:r>
        <w:rPr>
          <w:rFonts w:hint="eastAsia" w:ascii="仿宋" w:hAnsi="仿宋" w:eastAsia="仿宋"/>
          <w:color w:val="auto"/>
          <w:sz w:val="32"/>
          <w:szCs w:val="32"/>
          <w:highlight w:val="none"/>
          <w:lang w:val="en-US" w:eastAsia="zh-CN"/>
        </w:rPr>
        <w:t>0.25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spacing w:line="600" w:lineRule="exact"/>
        <w:ind w:firstLine="64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（图7：“三公”经费财政拨款支出结构）（饼状图）</w:t>
      </w:r>
    </w:p>
    <w:p>
      <w:pPr>
        <w:pStyle w:val="6"/>
      </w:pPr>
      <w:r>
        <w:drawing>
          <wp:inline distT="0" distB="0" distL="114300" distR="114300">
            <wp:extent cx="5262245" cy="2407920"/>
            <wp:effectExtent l="0" t="0" r="14605" b="1143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24"/>
                    <a:stretch>
                      <a:fillRect/>
                    </a:stretch>
                  </pic:blipFill>
                  <pic:spPr>
                    <a:xfrm>
                      <a:off x="0" y="0"/>
                      <a:ext cx="5262245" cy="2407920"/>
                    </a:xfrm>
                    <a:prstGeom prst="rect">
                      <a:avLst/>
                    </a:prstGeom>
                    <a:noFill/>
                    <a:ln>
                      <a:noFill/>
                    </a:ln>
                  </pic:spPr>
                </pic:pic>
              </a:graphicData>
            </a:graphic>
          </wp:inline>
        </w:drawing>
      </w:r>
    </w:p>
    <w:p>
      <w:pPr>
        <w:numPr>
          <w:ilvl w:val="0"/>
          <w:numId w:val="3"/>
        </w:numPr>
        <w:spacing w:line="600" w:lineRule="exact"/>
        <w:ind w:firstLine="640"/>
        <w:rPr>
          <w:rStyle w:val="18"/>
          <w:rFonts w:hint="eastAsia" w:ascii="仿宋" w:hAnsi="仿宋" w:eastAsia="仿宋"/>
          <w:b w:val="0"/>
          <w:bCs/>
          <w:color w:val="auto"/>
          <w:sz w:val="32"/>
          <w:szCs w:val="32"/>
          <w:highlight w:val="none"/>
        </w:rPr>
      </w:pP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8"/>
          <w:rFonts w:hint="eastAsia" w:ascii="仿宋" w:hAnsi="仿宋" w:eastAsia="仿宋"/>
          <w:b w:val="0"/>
          <w:bCs/>
          <w:color w:val="auto"/>
          <w:sz w:val="32"/>
          <w:szCs w:val="32"/>
          <w:highlight w:val="none"/>
        </w:rPr>
        <w:t>完成预算</w:t>
      </w:r>
      <w:r>
        <w:rPr>
          <w:rStyle w:val="18"/>
          <w:rFonts w:hint="eastAsia" w:ascii="仿宋" w:hAnsi="仿宋" w:eastAsia="仿宋"/>
          <w:b w:val="0"/>
          <w:bCs/>
          <w:color w:val="auto"/>
          <w:sz w:val="32"/>
          <w:szCs w:val="32"/>
          <w:highlight w:val="none"/>
          <w:lang w:val="en-US" w:eastAsia="zh-CN"/>
        </w:rPr>
        <w:t>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p>
    <w:p>
      <w:pPr>
        <w:numPr>
          <w:ilvl w:val="0"/>
          <w:numId w:val="3"/>
        </w:num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8"/>
          <w:rFonts w:hint="eastAsia" w:ascii="仿宋" w:hAnsi="仿宋" w:eastAsia="仿宋"/>
          <w:b w:val="0"/>
          <w:bCs/>
          <w:color w:val="auto"/>
          <w:sz w:val="32"/>
          <w:szCs w:val="32"/>
          <w:highlight w:val="none"/>
        </w:rPr>
        <w:t>完成预算</w:t>
      </w:r>
      <w:r>
        <w:rPr>
          <w:rStyle w:val="18"/>
          <w:rFonts w:hint="eastAsia" w:ascii="仿宋" w:hAnsi="仿宋" w:eastAsia="仿宋"/>
          <w:b w:val="0"/>
          <w:bCs/>
          <w:color w:val="auto"/>
          <w:sz w:val="32"/>
          <w:szCs w:val="32"/>
          <w:highlight w:val="none"/>
          <w:lang w:val="en-US" w:eastAsia="zh-CN"/>
        </w:rPr>
        <w:t>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0.25</w:t>
      </w:r>
      <w:r>
        <w:rPr>
          <w:rFonts w:hint="eastAsia" w:ascii="仿宋_GB2312" w:eastAsia="仿宋_GB2312"/>
          <w:color w:val="auto"/>
          <w:sz w:val="32"/>
          <w:szCs w:val="32"/>
          <w:highlight w:val="none"/>
        </w:rPr>
        <w:t>万元，</w:t>
      </w:r>
      <w:r>
        <w:rPr>
          <w:rStyle w:val="18"/>
          <w:rFonts w:hint="eastAsia" w:ascii="仿宋" w:hAnsi="仿宋" w:eastAsia="仿宋"/>
          <w:b w:val="0"/>
          <w:bCs/>
          <w:color w:val="auto"/>
          <w:sz w:val="32"/>
          <w:szCs w:val="32"/>
          <w:highlight w:val="none"/>
        </w:rPr>
        <w:t>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0.01</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4</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sz w:val="32"/>
          <w:szCs w:val="32"/>
        </w:rPr>
        <w:t>是按照“中央八项规定”严格控制</w:t>
      </w:r>
      <w:r>
        <w:rPr>
          <w:rFonts w:hint="eastAsia" w:ascii="仿宋_GB2312" w:eastAsia="仿宋_GB2312"/>
          <w:color w:val="auto"/>
          <w:sz w:val="32"/>
          <w:szCs w:val="32"/>
          <w:highlight w:val="none"/>
        </w:rPr>
        <w:t>。其中：</w:t>
      </w:r>
    </w:p>
    <w:p>
      <w:pPr>
        <w:spacing w:line="600" w:lineRule="exact"/>
        <w:ind w:firstLine="640"/>
        <w:rPr>
          <w:rFonts w:ascii="仿宋_GB2312" w:eastAsia="仿宋_GB2312"/>
          <w:sz w:val="32"/>
          <w:szCs w:val="32"/>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0.25</w:t>
      </w:r>
      <w:r>
        <w:rPr>
          <w:rFonts w:hint="eastAsia" w:ascii="仿宋_GB2312" w:eastAsia="仿宋_GB2312"/>
          <w:color w:val="auto"/>
          <w:sz w:val="32"/>
          <w:szCs w:val="32"/>
          <w:highlight w:val="none"/>
        </w:rPr>
        <w:t>万元，</w:t>
      </w:r>
      <w:r>
        <w:rPr>
          <w:rFonts w:hint="eastAsia" w:ascii="仿宋_GB2312" w:eastAsia="仿宋_GB2312"/>
          <w:sz w:val="32"/>
          <w:szCs w:val="32"/>
        </w:rPr>
        <w:t>主要用于执行公务、开展业务活动开支的交通费、住宿费、用餐费等。国内公务接待</w:t>
      </w:r>
      <w:r>
        <w:rPr>
          <w:rFonts w:hint="eastAsia" w:ascii="仿宋_GB2312" w:eastAsia="仿宋_GB2312"/>
          <w:sz w:val="32"/>
          <w:szCs w:val="32"/>
          <w:lang w:val="en-US" w:eastAsia="zh-CN"/>
        </w:rPr>
        <w:t>6</w:t>
      </w:r>
      <w:r>
        <w:rPr>
          <w:rFonts w:hint="eastAsia" w:ascii="仿宋_GB2312" w:eastAsia="仿宋_GB2312"/>
          <w:sz w:val="32"/>
          <w:szCs w:val="32"/>
        </w:rPr>
        <w:t>批次，</w:t>
      </w:r>
      <w:r>
        <w:rPr>
          <w:rFonts w:hint="eastAsia" w:ascii="仿宋_GB2312" w:eastAsia="仿宋_GB2312"/>
          <w:sz w:val="32"/>
          <w:szCs w:val="32"/>
          <w:lang w:val="en-US" w:eastAsia="zh-CN"/>
        </w:rPr>
        <w:t>45</w:t>
      </w:r>
      <w:r>
        <w:rPr>
          <w:rFonts w:hint="eastAsia" w:ascii="仿宋_GB2312" w:eastAsia="仿宋_GB2312"/>
          <w:sz w:val="32"/>
          <w:szCs w:val="32"/>
        </w:rPr>
        <w:t>人次（不包括陪同人员），共计支出0.2</w:t>
      </w:r>
      <w:r>
        <w:rPr>
          <w:rFonts w:hint="eastAsia" w:ascii="仿宋_GB2312" w:eastAsia="仿宋_GB2312"/>
          <w:sz w:val="32"/>
          <w:szCs w:val="32"/>
          <w:lang w:val="en-US" w:eastAsia="zh-CN"/>
        </w:rPr>
        <w:t>5</w:t>
      </w:r>
      <w:r>
        <w:rPr>
          <w:rFonts w:hint="eastAsia" w:ascii="仿宋_GB2312" w:eastAsia="仿宋_GB2312"/>
          <w:sz w:val="32"/>
          <w:szCs w:val="32"/>
        </w:rPr>
        <w:t>万元。具体内容包括：用于定点帮扶。</w:t>
      </w:r>
    </w:p>
    <w:p>
      <w:pPr>
        <w:spacing w:line="600" w:lineRule="exact"/>
        <w:ind w:firstLine="640" w:firstLineChars="200"/>
        <w:outlineLvl w:val="1"/>
        <w:rPr>
          <w:rStyle w:val="30"/>
          <w:rFonts w:ascii="黑体" w:hAnsi="黑体" w:eastAsia="黑体"/>
          <w:color w:val="auto"/>
          <w:highlight w:val="none"/>
        </w:rPr>
      </w:pPr>
      <w:bookmarkStart w:id="62" w:name="_Toc15396610"/>
      <w:bookmarkStart w:id="63" w:name="_Toc15377218"/>
      <w:bookmarkStart w:id="64" w:name="_Toc23248"/>
      <w:r>
        <w:rPr>
          <w:rFonts w:hint="eastAsia" w:ascii="黑体" w:eastAsia="黑体"/>
          <w:color w:val="auto"/>
          <w:sz w:val="32"/>
          <w:szCs w:val="32"/>
          <w:highlight w:val="none"/>
        </w:rPr>
        <w:t>八、</w:t>
      </w:r>
      <w:r>
        <w:rPr>
          <w:rStyle w:val="30"/>
          <w:rFonts w:hint="eastAsia" w:ascii="黑体" w:hAnsi="黑体" w:eastAsia="黑体"/>
          <w:b w:val="0"/>
          <w:color w:val="auto"/>
          <w:highlight w:val="none"/>
        </w:rPr>
        <w:t>政府性基金预算支出决算情况说明</w:t>
      </w:r>
      <w:bookmarkEnd w:id="62"/>
      <w:bookmarkEnd w:id="63"/>
      <w:bookmarkEnd w:id="64"/>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0"/>
        </w:numPr>
        <w:spacing w:line="600" w:lineRule="exact"/>
        <w:ind w:firstLine="640" w:firstLineChars="200"/>
        <w:outlineLvl w:val="1"/>
        <w:rPr>
          <w:rStyle w:val="30"/>
          <w:rFonts w:ascii="黑体" w:hAnsi="黑体" w:eastAsia="黑体"/>
          <w:b w:val="0"/>
          <w:color w:val="auto"/>
          <w:highlight w:val="none"/>
        </w:rPr>
      </w:pPr>
      <w:bookmarkStart w:id="65" w:name="_Toc15377219"/>
      <w:bookmarkStart w:id="66" w:name="_Toc15396611"/>
      <w:bookmarkStart w:id="67" w:name="_Toc3111"/>
      <w:r>
        <w:rPr>
          <w:rStyle w:val="30"/>
          <w:rFonts w:hint="eastAsia" w:ascii="黑体" w:hAnsi="黑体" w:eastAsia="黑体"/>
          <w:b w:val="0"/>
          <w:color w:val="auto"/>
          <w:highlight w:val="none"/>
          <w:lang w:eastAsia="zh-CN"/>
        </w:rPr>
        <w:t>九、</w:t>
      </w:r>
      <w:r>
        <w:rPr>
          <w:rStyle w:val="30"/>
          <w:rFonts w:hint="eastAsia" w:ascii="黑体" w:hAnsi="黑体" w:eastAsia="黑体"/>
          <w:b w:val="0"/>
          <w:color w:val="auto"/>
          <w:highlight w:val="none"/>
        </w:rPr>
        <w:t>国有资本经营预算支出决算情况说明</w:t>
      </w:r>
      <w:bookmarkEnd w:id="65"/>
      <w:bookmarkEnd w:id="66"/>
      <w:bookmarkEnd w:id="67"/>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0"/>
        </w:numPr>
        <w:spacing w:line="600" w:lineRule="exact"/>
        <w:ind w:firstLine="640" w:firstLineChars="200"/>
        <w:outlineLvl w:val="1"/>
        <w:rPr>
          <w:rStyle w:val="30"/>
          <w:rFonts w:hint="eastAsia" w:ascii="黑体" w:hAnsi="黑体" w:eastAsia="黑体"/>
          <w:b w:val="0"/>
          <w:color w:val="auto"/>
          <w:highlight w:val="none"/>
        </w:rPr>
      </w:pPr>
      <w:bookmarkStart w:id="68" w:name="_Toc15396612"/>
      <w:bookmarkStart w:id="69" w:name="_Toc15377221"/>
      <w:bookmarkStart w:id="70" w:name="_Toc1762"/>
      <w:r>
        <w:rPr>
          <w:rStyle w:val="30"/>
          <w:rFonts w:hint="eastAsia" w:ascii="黑体" w:hAnsi="黑体" w:eastAsia="黑体"/>
          <w:b w:val="0"/>
          <w:color w:val="auto"/>
          <w:highlight w:val="none"/>
          <w:lang w:eastAsia="zh-CN"/>
        </w:rPr>
        <w:t>十、</w:t>
      </w:r>
      <w:r>
        <w:rPr>
          <w:rStyle w:val="30"/>
          <w:rFonts w:hint="eastAsia" w:ascii="黑体" w:hAnsi="黑体" w:eastAsia="黑体"/>
          <w:b w:val="0"/>
          <w:color w:val="auto"/>
          <w:highlight w:val="none"/>
        </w:rPr>
        <w:t>其他重要事项的情况说明</w:t>
      </w:r>
      <w:bookmarkEnd w:id="68"/>
      <w:bookmarkEnd w:id="69"/>
      <w:bookmarkEnd w:id="70"/>
    </w:p>
    <w:p>
      <w:pPr>
        <w:spacing w:line="600" w:lineRule="exact"/>
        <w:ind w:firstLine="643" w:firstLineChars="200"/>
        <w:outlineLvl w:val="2"/>
        <w:rPr>
          <w:rFonts w:ascii="仿宋" w:hAnsi="仿宋" w:eastAsia="仿宋"/>
          <w:color w:val="auto"/>
          <w:sz w:val="32"/>
          <w:szCs w:val="32"/>
          <w:highlight w:val="none"/>
        </w:rPr>
      </w:pPr>
      <w:bookmarkStart w:id="71" w:name="_Toc15377222"/>
      <w:bookmarkStart w:id="72" w:name="_Toc3169"/>
      <w:r>
        <w:rPr>
          <w:rFonts w:hint="eastAsia" w:ascii="仿宋" w:hAnsi="仿宋" w:eastAsia="仿宋"/>
          <w:b/>
          <w:color w:val="auto"/>
          <w:sz w:val="32"/>
          <w:szCs w:val="32"/>
          <w:highlight w:val="none"/>
        </w:rPr>
        <w:t>（一）机关运行经费支出情况</w:t>
      </w:r>
      <w:bookmarkEnd w:id="71"/>
      <w:bookmarkEnd w:id="72"/>
    </w:p>
    <w:p>
      <w:pPr>
        <w:spacing w:line="600" w:lineRule="exact"/>
        <w:ind w:firstLine="640" w:firstLineChars="200"/>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区直机关党建事务中心</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10.45</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val="en-US" w:eastAsia="zh-CN"/>
        </w:rPr>
        <w:t>2.45</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30.6</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公用经费调整。</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73" w:name="_Toc15377223"/>
      <w:bookmarkStart w:id="74" w:name="_Toc29953"/>
      <w:r>
        <w:rPr>
          <w:rFonts w:hint="eastAsia" w:ascii="仿宋" w:hAnsi="仿宋" w:eastAsia="仿宋"/>
          <w:b/>
          <w:color w:val="auto"/>
          <w:sz w:val="32"/>
          <w:szCs w:val="32"/>
          <w:highlight w:val="none"/>
        </w:rPr>
        <w:t>（二）政府采购支出情况</w:t>
      </w:r>
      <w:bookmarkEnd w:id="73"/>
      <w:bookmarkEnd w:id="74"/>
    </w:p>
    <w:p>
      <w:pPr>
        <w:spacing w:line="600" w:lineRule="exact"/>
        <w:ind w:firstLine="640" w:firstLineChars="200"/>
        <w:jc w:val="both"/>
        <w:rPr>
          <w:rFonts w:hint="eastAsia" w:ascii="仿宋_GB2312" w:eastAsia="仿宋_GB2312"/>
          <w:color w:val="auto"/>
          <w:sz w:val="32"/>
          <w:szCs w:val="32"/>
          <w:highlight w:val="none"/>
          <w:lang w:val="en-US"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区直机关党建事务中心</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75" w:name="_Toc15377224"/>
      <w:bookmarkStart w:id="76" w:name="_Toc311"/>
      <w:r>
        <w:rPr>
          <w:rFonts w:hint="eastAsia" w:ascii="仿宋" w:hAnsi="仿宋" w:eastAsia="仿宋"/>
          <w:b/>
          <w:color w:val="auto"/>
          <w:sz w:val="32"/>
          <w:szCs w:val="32"/>
          <w:highlight w:val="none"/>
        </w:rPr>
        <w:t>（三）国有资产占有使用情况</w:t>
      </w:r>
      <w:bookmarkEnd w:id="75"/>
      <w:bookmarkEnd w:id="76"/>
    </w:p>
    <w:p>
      <w:pPr>
        <w:autoSpaceDE w:val="0"/>
        <w:autoSpaceDN w:val="0"/>
        <w:adjustRightInd w:val="0"/>
        <w:spacing w:line="600" w:lineRule="exact"/>
        <w:ind w:firstLine="640" w:firstLineChars="200"/>
        <w:jc w:val="both"/>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eastAsia="zh-CN"/>
        </w:rPr>
        <w:t>区直属机关党建事务中心</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77" w:name="_Toc13824"/>
      <w:r>
        <w:rPr>
          <w:rFonts w:hint="eastAsia" w:ascii="仿宋" w:hAnsi="仿宋" w:eastAsia="仿宋"/>
          <w:b/>
          <w:color w:val="auto"/>
          <w:sz w:val="32"/>
          <w:szCs w:val="32"/>
          <w:highlight w:val="none"/>
        </w:rPr>
        <w:t>（四）预算绩效管理情况</w:t>
      </w:r>
      <w:bookmarkEnd w:id="77"/>
    </w:p>
    <w:p>
      <w:pPr>
        <w:widowControl/>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根据预算绩效管理要求，本部门在202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年度预算编制阶段，组织对</w:t>
      </w:r>
      <w:r>
        <w:rPr>
          <w:rFonts w:hint="eastAsia" w:ascii="仿宋_GB2312" w:hAnsi="仿宋_GB2312" w:eastAsia="仿宋_GB2312" w:cs="仿宋_GB2312"/>
          <w:sz w:val="32"/>
          <w:szCs w:val="32"/>
        </w:rPr>
        <w:t>驻村帮扶、机关党建、</w:t>
      </w:r>
      <w:r>
        <w:rPr>
          <w:rFonts w:hint="eastAsia" w:ascii="仿宋_GB2312" w:hAnsi="仿宋_GB2312" w:eastAsia="仿宋_GB2312" w:cs="仿宋_GB2312"/>
          <w:sz w:val="32"/>
          <w:szCs w:val="32"/>
          <w:lang w:eastAsia="zh-CN"/>
        </w:rPr>
        <w:t>党务工作、</w:t>
      </w:r>
      <w:r>
        <w:rPr>
          <w:rFonts w:hint="eastAsia" w:ascii="仿宋_GB2312" w:hAnsi="仿宋_GB2312" w:eastAsia="仿宋_GB2312" w:cs="仿宋_GB2312"/>
          <w:sz w:val="32"/>
          <w:szCs w:val="32"/>
        </w:rPr>
        <w:t>疫情防控</w:t>
      </w:r>
      <w:r>
        <w:rPr>
          <w:rFonts w:hint="eastAsia" w:ascii="仿宋_GB2312" w:hAnsi="仿宋_GB2312" w:eastAsia="仿宋_GB2312" w:cs="仿宋_GB2312"/>
          <w:sz w:val="32"/>
          <w:szCs w:val="32"/>
          <w:lang w:eastAsia="zh-CN"/>
        </w:rPr>
        <w:t>、文明城市创建</w:t>
      </w:r>
      <w:r>
        <w:rPr>
          <w:rFonts w:hint="eastAsia" w:ascii="仿宋_GB2312" w:hAnsi="仿宋_GB2312" w:eastAsia="仿宋_GB2312" w:cs="仿宋_GB2312"/>
          <w:color w:val="auto"/>
          <w:sz w:val="32"/>
          <w:szCs w:val="32"/>
          <w:highlight w:val="none"/>
        </w:rPr>
        <w:t>项目（项目名称）等</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个项目开展了预算事前绩效评估，对</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个项目开展绩效监控。</w:t>
      </w:r>
      <w:r>
        <w:rPr>
          <w:rFonts w:hint="eastAsia" w:ascii="仿宋_GB2312" w:hAnsi="仿宋_GB2312" w:eastAsia="仿宋_GB2312" w:cs="仿宋_GB2312"/>
          <w:sz w:val="32"/>
          <w:szCs w:val="32"/>
        </w:rPr>
        <w:t>同时，本部门对</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年部门整体开展绩效自评，《</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年区直机关党建事务中心部门整体绩效评价报告》见附件</w:t>
      </w:r>
    </w:p>
    <w:p>
      <w:pPr>
        <w:widowControl/>
        <w:ind w:firstLine="643" w:firstLineChars="200"/>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4"/>
        </w:numPr>
        <w:spacing w:line="600" w:lineRule="exact"/>
        <w:ind w:firstLine="660" w:firstLineChars="150"/>
        <w:jc w:val="center"/>
        <w:outlineLvl w:val="0"/>
        <w:rPr>
          <w:rStyle w:val="29"/>
          <w:rFonts w:ascii="黑体" w:hAnsi="黑体" w:eastAsia="黑体"/>
          <w:b w:val="0"/>
          <w:color w:val="auto"/>
          <w:highlight w:val="none"/>
        </w:rPr>
      </w:pPr>
      <w:bookmarkStart w:id="78" w:name="_Toc15396613"/>
      <w:bookmarkStart w:id="79" w:name="_Toc15377225"/>
      <w:bookmarkStart w:id="80" w:name="_Toc18519"/>
      <w:r>
        <w:rPr>
          <w:rFonts w:hint="eastAsia" w:ascii="黑体" w:hAnsi="黑体" w:eastAsia="黑体"/>
          <w:color w:val="auto"/>
          <w:sz w:val="44"/>
          <w:szCs w:val="44"/>
          <w:highlight w:val="none"/>
        </w:rPr>
        <w:t>名</w:t>
      </w:r>
      <w:r>
        <w:rPr>
          <w:rStyle w:val="29"/>
          <w:rFonts w:hint="eastAsia" w:ascii="黑体" w:hAnsi="黑体" w:eastAsia="黑体"/>
          <w:b w:val="0"/>
          <w:color w:val="auto"/>
          <w:highlight w:val="none"/>
        </w:rPr>
        <w:t>词解释</w:t>
      </w:r>
      <w:bookmarkEnd w:id="78"/>
      <w:bookmarkEnd w:id="79"/>
      <w:bookmarkEnd w:id="80"/>
    </w:p>
    <w:p>
      <w:pPr>
        <w:spacing w:line="600" w:lineRule="exact"/>
        <w:jc w:val="left"/>
        <w:rPr>
          <w:rFonts w:ascii="宋体"/>
          <w:b/>
          <w:color w:val="auto"/>
          <w:sz w:val="44"/>
          <w:szCs w:val="44"/>
          <w:highlight w:val="none"/>
        </w:rPr>
      </w:pPr>
    </w:p>
    <w:p>
      <w:pPr>
        <w:pStyle w:val="27"/>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ind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hAnsi="宋体" w:eastAsia="仿宋_GB2312"/>
          <w:sz w:val="32"/>
          <w:szCs w:val="32"/>
          <w:lang w:val="zh-CN"/>
        </w:rPr>
        <w:t>．</w:t>
      </w:r>
      <w:r>
        <w:rPr>
          <w:rFonts w:hint="eastAsia" w:ascii="仿宋_GB2312" w:eastAsia="仿宋_GB2312"/>
          <w:sz w:val="32"/>
          <w:szCs w:val="32"/>
        </w:rPr>
        <w:t>一般公共服务（类）20131（款）01（项）：指行政运行。</w:t>
      </w:r>
    </w:p>
    <w:p>
      <w:pPr>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hAnsi="宋体" w:eastAsia="仿宋_GB2312"/>
          <w:sz w:val="32"/>
          <w:szCs w:val="32"/>
          <w:lang w:val="zh-CN"/>
        </w:rPr>
        <w:t>．</w:t>
      </w:r>
      <w:r>
        <w:rPr>
          <w:rFonts w:hint="eastAsia" w:ascii="仿宋_GB2312" w:eastAsia="仿宋_GB2312"/>
          <w:sz w:val="32"/>
          <w:szCs w:val="32"/>
        </w:rPr>
        <w:t>一般公共服务（类）20131（款）02（项）：一般行政管理事务。</w:t>
      </w:r>
    </w:p>
    <w:p>
      <w:pPr>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hAnsi="宋体" w:eastAsia="仿宋_GB2312"/>
          <w:sz w:val="32"/>
          <w:szCs w:val="32"/>
          <w:lang w:val="zh-CN"/>
        </w:rPr>
        <w:t>．</w:t>
      </w:r>
      <w:r>
        <w:rPr>
          <w:rFonts w:hint="eastAsia" w:ascii="仿宋_GB2312" w:eastAsia="仿宋_GB2312"/>
          <w:sz w:val="32"/>
          <w:szCs w:val="32"/>
        </w:rPr>
        <w:t>社会保障和就业（类）20805（款）05（项）：指机关事业单位基本养老保险缴费。</w:t>
      </w:r>
    </w:p>
    <w:p>
      <w:pPr>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hAnsi="宋体" w:eastAsia="仿宋_GB2312"/>
          <w:sz w:val="32"/>
          <w:szCs w:val="32"/>
          <w:lang w:val="zh-CN"/>
        </w:rPr>
        <w:t>．</w:t>
      </w:r>
      <w:r>
        <w:rPr>
          <w:rFonts w:hint="eastAsia" w:ascii="仿宋_GB2312" w:eastAsia="仿宋_GB2312"/>
          <w:sz w:val="32"/>
          <w:szCs w:val="32"/>
        </w:rPr>
        <w:t>医疗卫生与计划生育（类）21011（款）01（项）：指行政单位医疗保险。</w:t>
      </w:r>
    </w:p>
    <w:p>
      <w:pPr>
        <w:ind w:firstLine="640" w:firstLineChars="200"/>
        <w:rPr>
          <w:rFonts w:ascii="仿宋_GB2312" w:eastAsia="仿宋_GB2312"/>
          <w:sz w:val="32"/>
          <w:szCs w:val="32"/>
        </w:rPr>
      </w:pPr>
      <w:r>
        <w:rPr>
          <w:rFonts w:hint="eastAsia" w:ascii="仿宋_GB2312" w:eastAsia="仿宋_GB2312"/>
          <w:sz w:val="32"/>
          <w:szCs w:val="32"/>
          <w:lang w:val="en-US" w:eastAsia="zh-CN"/>
        </w:rPr>
        <w:t>6</w:t>
      </w:r>
      <w:r>
        <w:rPr>
          <w:rFonts w:hint="eastAsia" w:ascii="仿宋_GB2312" w:hAnsi="宋体" w:eastAsia="仿宋_GB2312"/>
          <w:sz w:val="32"/>
          <w:szCs w:val="32"/>
          <w:lang w:val="zh-CN"/>
        </w:rPr>
        <w:t>．</w:t>
      </w:r>
      <w:r>
        <w:rPr>
          <w:rFonts w:hint="eastAsia" w:ascii="仿宋_GB2312" w:eastAsia="仿宋_GB2312"/>
          <w:sz w:val="32"/>
          <w:szCs w:val="32"/>
        </w:rPr>
        <w:t>医疗卫生与计划生育（类）21011（款）0</w:t>
      </w:r>
      <w:r>
        <w:rPr>
          <w:rFonts w:hint="eastAsia" w:ascii="仿宋_GB2312" w:eastAsia="仿宋_GB2312"/>
          <w:sz w:val="32"/>
          <w:szCs w:val="32"/>
          <w:lang w:val="en-US" w:eastAsia="zh-CN"/>
        </w:rPr>
        <w:t>2</w:t>
      </w:r>
      <w:r>
        <w:rPr>
          <w:rFonts w:hint="eastAsia" w:ascii="仿宋_GB2312" w:eastAsia="仿宋_GB2312"/>
          <w:sz w:val="32"/>
          <w:szCs w:val="32"/>
        </w:rPr>
        <w:t>（项）：指行政</w:t>
      </w:r>
      <w:r>
        <w:rPr>
          <w:rFonts w:hint="eastAsia" w:ascii="仿宋_GB2312" w:eastAsia="仿宋_GB2312"/>
          <w:sz w:val="32"/>
          <w:szCs w:val="32"/>
          <w:lang w:eastAsia="zh-CN"/>
        </w:rPr>
        <w:t>事业</w:t>
      </w:r>
      <w:r>
        <w:rPr>
          <w:rFonts w:hint="eastAsia" w:ascii="仿宋_GB2312" w:eastAsia="仿宋_GB2312"/>
          <w:sz w:val="32"/>
          <w:szCs w:val="32"/>
        </w:rPr>
        <w:t>单位医疗保险。</w:t>
      </w:r>
    </w:p>
    <w:p>
      <w:pPr>
        <w:ind w:firstLine="640" w:firstLineChars="200"/>
        <w:rPr>
          <w:rFonts w:ascii="仿宋_GB2312" w:eastAsia="仿宋_GB2312"/>
          <w:sz w:val="32"/>
          <w:szCs w:val="32"/>
        </w:rPr>
      </w:pPr>
      <w:r>
        <w:rPr>
          <w:rFonts w:hint="eastAsia" w:ascii="仿宋_GB2312" w:eastAsia="仿宋_GB2312"/>
          <w:sz w:val="32"/>
          <w:szCs w:val="32"/>
          <w:lang w:val="en-US" w:eastAsia="zh-CN"/>
        </w:rPr>
        <w:t>7</w:t>
      </w:r>
      <w:r>
        <w:rPr>
          <w:rFonts w:hint="eastAsia" w:ascii="仿宋_GB2312" w:hAnsi="宋体" w:eastAsia="仿宋_GB2312"/>
          <w:sz w:val="32"/>
          <w:szCs w:val="32"/>
          <w:lang w:val="zh-CN"/>
        </w:rPr>
        <w:t>．</w:t>
      </w:r>
      <w:r>
        <w:rPr>
          <w:rFonts w:hint="eastAsia" w:ascii="仿宋_GB2312" w:eastAsia="仿宋_GB2312"/>
          <w:sz w:val="32"/>
          <w:szCs w:val="32"/>
        </w:rPr>
        <w:t>住房保障（类）22102（款）01（项）：指住房公积金。</w:t>
      </w:r>
    </w:p>
    <w:p>
      <w:pPr>
        <w:spacing w:line="600" w:lineRule="exact"/>
        <w:ind w:firstLine="640"/>
        <w:rPr>
          <w:rFonts w:ascii="仿宋" w:hAnsi="仿宋" w:eastAsia="仿宋"/>
          <w:b/>
          <w:color w:val="auto"/>
          <w:sz w:val="32"/>
          <w:szCs w:val="32"/>
          <w:highlight w:val="none"/>
        </w:rPr>
      </w:pPr>
      <w:r>
        <w:rPr>
          <w:rFonts w:hint="eastAsia" w:ascii="仿宋" w:hAnsi="仿宋" w:eastAsia="仿宋"/>
          <w:b/>
          <w:color w:val="auto"/>
          <w:sz w:val="32"/>
          <w:szCs w:val="32"/>
          <w:highlight w:val="none"/>
        </w:rPr>
        <w:t>（解释本部门决算报表中</w:t>
      </w:r>
      <w:r>
        <w:rPr>
          <w:rFonts w:hint="eastAsia" w:ascii="仿宋" w:hAnsi="仿宋" w:eastAsia="仿宋"/>
          <w:b/>
          <w:color w:val="auto"/>
          <w:sz w:val="32"/>
          <w:szCs w:val="32"/>
          <w:highlight w:val="none"/>
          <w:lang w:eastAsia="zh-CN"/>
        </w:rPr>
        <w:t>涉及的</w:t>
      </w:r>
      <w:r>
        <w:rPr>
          <w:rFonts w:hint="eastAsia" w:ascii="仿宋" w:hAnsi="仿宋" w:eastAsia="仿宋"/>
          <w:b/>
          <w:color w:val="auto"/>
          <w:sz w:val="32"/>
          <w:szCs w:val="32"/>
          <w:highlight w:val="none"/>
        </w:rPr>
        <w:t>全部功能分类科目至项级，</w:t>
      </w:r>
      <w:r>
        <w:rPr>
          <w:rFonts w:hint="eastAsia" w:ascii="仿宋" w:hAnsi="仿宋" w:eastAsia="仿宋"/>
          <w:b/>
          <w:color w:val="auto"/>
          <w:sz w:val="32"/>
          <w:szCs w:val="32"/>
          <w:highlight w:val="none"/>
          <w:lang w:eastAsia="zh-CN"/>
        </w:rPr>
        <w:t>不涉及的科目请自行删除。</w:t>
      </w:r>
      <w:r>
        <w:rPr>
          <w:rFonts w:hint="eastAsia" w:ascii="仿宋" w:hAnsi="仿宋" w:eastAsia="仿宋"/>
          <w:b/>
          <w:color w:val="auto"/>
          <w:sz w:val="32"/>
          <w:szCs w:val="32"/>
          <w:highlight w:val="none"/>
        </w:rPr>
        <w:t>请参照《</w:t>
      </w:r>
      <w:r>
        <w:rPr>
          <w:rFonts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年政府收支分类科目》增减内容。）</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8</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9</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pStyle w:val="27"/>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10</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spacing w:line="560" w:lineRule="exact"/>
        <w:ind w:firstLine="640" w:firstLineChars="200"/>
        <w:rPr>
          <w:rFonts w:ascii="仿宋_GB2312" w:eastAsia="仿宋_GB2312" w:cs="黑体"/>
          <w:color w:val="auto"/>
          <w:sz w:val="32"/>
          <w:szCs w:val="32"/>
          <w:highlight w:val="none"/>
        </w:rPr>
      </w:pPr>
      <w:r>
        <w:rPr>
          <w:rFonts w:hint="eastAsia" w:ascii="仿宋_GB2312" w:eastAsia="仿宋_GB2312"/>
          <w:color w:val="auto"/>
          <w:sz w:val="32"/>
          <w:szCs w:val="32"/>
          <w:highlight w:val="none"/>
          <w:lang w:val="en-US" w:eastAsia="zh-CN"/>
        </w:rPr>
        <w:t>11</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（名词解释部分请根据各部门实际列支情况罗列，并根据本部门职责职能增减名词解释内容。）</w:t>
      </w:r>
    </w:p>
    <w:p>
      <w:pPr>
        <w:spacing w:line="600" w:lineRule="exact"/>
        <w:jc w:val="center"/>
        <w:outlineLvl w:val="0"/>
        <w:rPr>
          <w:rStyle w:val="29"/>
          <w:rFonts w:hint="eastAsia" w:ascii="黑体" w:hAnsi="黑体" w:eastAsia="黑体"/>
          <w:b w:val="0"/>
          <w:color w:val="auto"/>
          <w:highlight w:val="none"/>
          <w:lang w:eastAsia="zh-CN"/>
        </w:rPr>
      </w:pPr>
      <w:bookmarkStart w:id="81" w:name="_Toc15377226"/>
      <w:r>
        <w:rPr>
          <w:rFonts w:ascii="宋体"/>
          <w:b/>
          <w:color w:val="auto"/>
          <w:sz w:val="44"/>
          <w:szCs w:val="44"/>
          <w:highlight w:val="none"/>
        </w:rPr>
        <w:br w:type="page"/>
      </w:r>
      <w:bookmarkStart w:id="82" w:name="_Toc15396614"/>
      <w:bookmarkStart w:id="83" w:name="_Toc2160"/>
      <w:r>
        <w:rPr>
          <w:rFonts w:hint="eastAsia" w:ascii="黑体" w:hAnsi="黑体" w:eastAsia="黑体"/>
          <w:color w:val="auto"/>
          <w:sz w:val="44"/>
          <w:szCs w:val="44"/>
          <w:highlight w:val="none"/>
        </w:rPr>
        <w:t>第</w:t>
      </w:r>
      <w:r>
        <w:rPr>
          <w:rStyle w:val="29"/>
          <w:rFonts w:hint="eastAsia" w:ascii="黑体" w:hAnsi="黑体" w:eastAsia="黑体"/>
          <w:b w:val="0"/>
          <w:color w:val="auto"/>
          <w:highlight w:val="none"/>
        </w:rPr>
        <w:t>四部分 附件</w:t>
      </w:r>
      <w:bookmarkEnd w:id="82"/>
      <w:bookmarkEnd w:id="83"/>
    </w:p>
    <w:p>
      <w:pPr>
        <w:keepNext w:val="0"/>
        <w:keepLines w:val="0"/>
        <w:pageBreakBefore w:val="0"/>
        <w:kinsoku/>
        <w:wordWrap/>
        <w:overflowPunct/>
        <w:topLinePunct w:val="0"/>
        <w:autoSpaceDE/>
        <w:autoSpaceDN/>
        <w:bidi w:val="0"/>
        <w:spacing w:line="572" w:lineRule="exact"/>
        <w:jc w:val="left"/>
        <w:textAlignment w:val="auto"/>
        <w:outlineLvl w:val="1"/>
        <w:rPr>
          <w:rFonts w:hint="eastAsia" w:ascii="方正小标宋简体" w:hAnsi="方正小标宋简体" w:eastAsia="黑体" w:cs="方正小标宋简体"/>
          <w:color w:val="auto"/>
          <w:sz w:val="44"/>
          <w:szCs w:val="44"/>
          <w:highlight w:val="none"/>
          <w:lang w:val="en-US" w:eastAsia="zh-CN"/>
        </w:rPr>
      </w:pPr>
      <w:bookmarkStart w:id="84" w:name="_Toc1850"/>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1</w:t>
      </w:r>
      <w:bookmarkEnd w:id="84"/>
    </w:p>
    <w:p>
      <w:pPr>
        <w:widowControl/>
        <w:spacing w:line="580" w:lineRule="exact"/>
        <w:contextualSpacing/>
        <w:jc w:val="center"/>
        <w:rPr>
          <w:rFonts w:hint="eastAsia" w:ascii="黑体" w:hAnsi="黑体" w:eastAsia="黑体" w:cs="黑体"/>
          <w:b w:val="0"/>
          <w:bCs/>
          <w:sz w:val="36"/>
          <w:szCs w:val="36"/>
          <w:shd w:val="clear" w:color="auto" w:fill="FFFFFF"/>
          <w:lang w:eastAsia="zh-CN"/>
        </w:rPr>
      </w:pPr>
      <w:r>
        <w:rPr>
          <w:rFonts w:hint="eastAsia" w:ascii="黑体" w:hAnsi="黑体" w:eastAsia="黑体" w:cs="黑体"/>
          <w:b w:val="0"/>
          <w:bCs/>
          <w:sz w:val="36"/>
          <w:szCs w:val="36"/>
          <w:shd w:val="clear" w:color="auto" w:fill="FFFFFF"/>
          <w:lang w:eastAsia="zh-CN"/>
        </w:rPr>
        <w:t>广元市朝天区直属机关党建事务中心</w:t>
      </w:r>
    </w:p>
    <w:p>
      <w:pPr>
        <w:widowControl/>
        <w:spacing w:line="580" w:lineRule="exact"/>
        <w:contextualSpacing/>
        <w:jc w:val="center"/>
        <w:rPr>
          <w:rFonts w:hint="eastAsia" w:ascii="黑体" w:hAnsi="黑体" w:eastAsia="黑体" w:cs="黑体"/>
          <w:b w:val="0"/>
          <w:bCs/>
          <w:sz w:val="36"/>
          <w:szCs w:val="36"/>
          <w:shd w:val="clear" w:color="auto" w:fill="FFFFFF"/>
        </w:rPr>
      </w:pPr>
      <w:r>
        <w:rPr>
          <w:rFonts w:hint="eastAsia" w:ascii="黑体" w:hAnsi="黑体" w:eastAsia="黑体" w:cs="黑体"/>
          <w:b w:val="0"/>
          <w:bCs/>
          <w:sz w:val="36"/>
          <w:szCs w:val="36"/>
          <w:shd w:val="clear" w:color="auto" w:fill="FFFFFF"/>
        </w:rPr>
        <w:t>部门整体支出绩效评价报告</w:t>
      </w:r>
    </w:p>
    <w:p>
      <w:pPr>
        <w:keepNext w:val="0"/>
        <w:keepLines w:val="0"/>
        <w:pageBreakBefore w:val="0"/>
        <w:widowControl/>
        <w:numPr>
          <w:ilvl w:val="0"/>
          <w:numId w:val="0"/>
        </w:numPr>
        <w:kinsoku/>
        <w:wordWrap/>
        <w:overflowPunct/>
        <w:topLinePunct w:val="0"/>
        <w:autoSpaceDN/>
        <w:bidi w:val="0"/>
        <w:spacing w:line="500" w:lineRule="exact"/>
        <w:ind w:firstLine="608" w:firstLineChars="200"/>
        <w:contextualSpacing/>
        <w:jc w:val="left"/>
        <w:textAlignment w:val="auto"/>
        <w:rPr>
          <w:rFonts w:hint="eastAsia" w:ascii="黑体" w:hAnsi="黑体" w:eastAsia="黑体" w:cs="Times New Roman"/>
          <w:color w:val="000000"/>
          <w:spacing w:val="-6"/>
          <w:w w:val="99"/>
          <w:kern w:val="0"/>
          <w:sz w:val="32"/>
          <w:szCs w:val="32"/>
          <w:shd w:val="clear" w:color="auto" w:fill="FFFFFF"/>
          <w:lang w:eastAsia="zh-CN"/>
        </w:rPr>
      </w:pPr>
    </w:p>
    <w:p>
      <w:pPr>
        <w:keepNext w:val="0"/>
        <w:keepLines w:val="0"/>
        <w:pageBreakBefore w:val="0"/>
        <w:widowControl/>
        <w:numPr>
          <w:ilvl w:val="0"/>
          <w:numId w:val="0"/>
        </w:numPr>
        <w:kinsoku/>
        <w:wordWrap/>
        <w:overflowPunct/>
        <w:topLinePunct w:val="0"/>
        <w:autoSpaceDN/>
        <w:bidi w:val="0"/>
        <w:spacing w:line="500" w:lineRule="exact"/>
        <w:ind w:firstLine="608" w:firstLineChars="200"/>
        <w:contextualSpacing/>
        <w:jc w:val="left"/>
        <w:textAlignment w:val="auto"/>
        <w:rPr>
          <w:rFonts w:hint="eastAsia" w:ascii="黑体" w:hAnsi="黑体" w:eastAsia="黑体" w:cs="Times New Roman"/>
          <w:color w:val="000000"/>
          <w:spacing w:val="-6"/>
          <w:w w:val="99"/>
          <w:kern w:val="0"/>
          <w:sz w:val="32"/>
          <w:szCs w:val="32"/>
          <w:shd w:val="clear" w:color="auto" w:fill="FFFFFF"/>
        </w:rPr>
      </w:pPr>
      <w:r>
        <w:rPr>
          <w:rFonts w:hint="eastAsia" w:ascii="黑体" w:hAnsi="黑体" w:eastAsia="黑体" w:cs="Times New Roman"/>
          <w:color w:val="000000"/>
          <w:spacing w:val="-6"/>
          <w:w w:val="99"/>
          <w:kern w:val="0"/>
          <w:sz w:val="32"/>
          <w:szCs w:val="32"/>
          <w:shd w:val="clear" w:color="auto" w:fill="FFFFFF"/>
          <w:lang w:eastAsia="zh-CN"/>
        </w:rPr>
        <w:t>一、</w:t>
      </w:r>
      <w:r>
        <w:rPr>
          <w:rFonts w:hint="eastAsia" w:ascii="黑体" w:hAnsi="黑体" w:eastAsia="黑体" w:cs="Times New Roman"/>
          <w:color w:val="000000"/>
          <w:spacing w:val="-6"/>
          <w:w w:val="99"/>
          <w:kern w:val="0"/>
          <w:sz w:val="32"/>
          <w:szCs w:val="32"/>
          <w:shd w:val="clear" w:color="auto" w:fill="FFFFFF"/>
        </w:rPr>
        <w:t>部门（单位）概况</w:t>
      </w:r>
    </w:p>
    <w:p>
      <w:pPr>
        <w:keepNext w:val="0"/>
        <w:keepLines w:val="0"/>
        <w:pageBreakBefore w:val="0"/>
        <w:widowControl/>
        <w:kinsoku/>
        <w:wordWrap/>
        <w:overflowPunct/>
        <w:topLinePunct w:val="0"/>
        <w:autoSpaceDE w:val="0"/>
        <w:autoSpaceDN/>
        <w:bidi w:val="0"/>
        <w:adjustRightInd w:val="0"/>
        <w:snapToGrid w:val="0"/>
        <w:spacing w:line="500" w:lineRule="exact"/>
        <w:ind w:firstLine="608" w:firstLineChars="200"/>
        <w:contextualSpacing/>
        <w:jc w:val="left"/>
        <w:textAlignment w:val="auto"/>
        <w:rPr>
          <w:rFonts w:hint="eastAsia" w:ascii="仿宋_GB2312" w:hAnsi="Calibri" w:eastAsia="仿宋_GB2312" w:cs="仿宋"/>
          <w:color w:val="auto"/>
          <w:kern w:val="0"/>
          <w:sz w:val="32"/>
          <w:szCs w:val="32"/>
          <w:highlight w:val="none"/>
          <w:lang w:val="en-US" w:eastAsia="zh-CN" w:bidi="ar-SA"/>
        </w:rPr>
      </w:pPr>
      <w:r>
        <w:rPr>
          <w:rFonts w:hint="eastAsia" w:ascii="楷体_GB2312" w:hAnsi="楷体_GB2312" w:eastAsia="楷体_GB2312" w:cs="楷体_GB2312"/>
          <w:b w:val="0"/>
          <w:bCs/>
          <w:spacing w:val="-6"/>
          <w:w w:val="99"/>
          <w:sz w:val="32"/>
          <w:szCs w:val="32"/>
          <w:lang w:val="en-US" w:eastAsia="zh-CN"/>
        </w:rPr>
        <w:t>（一）机构组成。</w:t>
      </w:r>
      <w:r>
        <w:rPr>
          <w:rFonts w:hint="eastAsia" w:ascii="仿宋_GB2312" w:hAnsi="Calibri" w:eastAsia="仿宋_GB2312" w:cs="仿宋"/>
          <w:color w:val="auto"/>
          <w:kern w:val="0"/>
          <w:sz w:val="32"/>
          <w:szCs w:val="32"/>
          <w:highlight w:val="none"/>
          <w:lang w:val="en-US" w:eastAsia="zh-CN" w:bidi="ar-SA"/>
        </w:rPr>
        <w:t>广元市朝天区直属机关党建事务中心是区委直属事业单位，为正科级，保留参公管理。</w:t>
      </w:r>
    </w:p>
    <w:p>
      <w:pPr>
        <w:keepNext w:val="0"/>
        <w:keepLines w:val="0"/>
        <w:pageBreakBefore w:val="0"/>
        <w:widowControl/>
        <w:kinsoku/>
        <w:wordWrap/>
        <w:overflowPunct/>
        <w:topLinePunct w:val="0"/>
        <w:autoSpaceDE w:val="0"/>
        <w:autoSpaceDN/>
        <w:bidi w:val="0"/>
        <w:adjustRightInd w:val="0"/>
        <w:snapToGrid w:val="0"/>
        <w:spacing w:line="500" w:lineRule="exact"/>
        <w:ind w:firstLine="608" w:firstLineChars="200"/>
        <w:contextualSpacing/>
        <w:jc w:val="left"/>
        <w:textAlignment w:val="auto"/>
        <w:rPr>
          <w:rFonts w:hint="eastAsia" w:ascii="仿宋_GB2312" w:hAnsi="Calibri" w:eastAsia="仿宋_GB2312" w:cs="仿宋"/>
          <w:color w:val="auto"/>
          <w:kern w:val="0"/>
          <w:sz w:val="32"/>
          <w:szCs w:val="32"/>
          <w:highlight w:val="none"/>
          <w:lang w:val="en-US" w:eastAsia="zh-CN" w:bidi="ar-SA"/>
        </w:rPr>
      </w:pPr>
      <w:r>
        <w:rPr>
          <w:rFonts w:hint="eastAsia" w:ascii="楷体_GB2312" w:hAnsi="楷体_GB2312" w:eastAsia="楷体_GB2312" w:cs="楷体_GB2312"/>
          <w:b w:val="0"/>
          <w:bCs/>
          <w:spacing w:val="-6"/>
          <w:w w:val="99"/>
          <w:sz w:val="32"/>
          <w:szCs w:val="32"/>
          <w:lang w:val="en-US" w:eastAsia="zh-CN"/>
        </w:rPr>
        <w:t>（二）机构职能。</w:t>
      </w:r>
      <w:r>
        <w:rPr>
          <w:rFonts w:hint="eastAsia" w:ascii="仿宋_GB2312" w:hAnsi="Calibri" w:eastAsia="仿宋_GB2312" w:cs="仿宋"/>
          <w:color w:val="auto"/>
          <w:kern w:val="0"/>
          <w:sz w:val="32"/>
          <w:szCs w:val="32"/>
          <w:highlight w:val="none"/>
          <w:lang w:val="en-US" w:eastAsia="zh-CN" w:bidi="ar-SA"/>
        </w:rPr>
        <w:t>广元市朝天区直属机关党建事务中心的主要职责是:</w:t>
      </w:r>
    </w:p>
    <w:p>
      <w:pPr>
        <w:keepNext w:val="0"/>
        <w:keepLines w:val="0"/>
        <w:pageBreakBefore w:val="0"/>
        <w:widowControl/>
        <w:kinsoku/>
        <w:wordWrap/>
        <w:overflowPunct/>
        <w:topLinePunct w:val="0"/>
        <w:autoSpaceDE w:val="0"/>
        <w:autoSpaceDN/>
        <w:bidi w:val="0"/>
        <w:adjustRightInd w:val="0"/>
        <w:snapToGrid w:val="0"/>
        <w:spacing w:line="50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（一）督促区直机关、区属企事业单位基层党组织对区委决议、决定和重要工作部署的贯彻落实。</w:t>
      </w:r>
    </w:p>
    <w:p>
      <w:pPr>
        <w:keepNext w:val="0"/>
        <w:keepLines w:val="0"/>
        <w:pageBreakBefore w:val="0"/>
        <w:widowControl/>
        <w:kinsoku/>
        <w:wordWrap/>
        <w:overflowPunct/>
        <w:topLinePunct w:val="0"/>
        <w:autoSpaceDE w:val="0"/>
        <w:autoSpaceDN/>
        <w:bidi w:val="0"/>
        <w:adjustRightInd w:val="0"/>
        <w:snapToGrid w:val="0"/>
        <w:spacing w:line="50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（二）做好区直机关、区属企事业单位基层党组织抓好党的政治、思想、组织、作风及制度建设相关服务工作；做好区直机关党员干部职工政治理论学习的是常事务工作，会同有关部门组织开展党员干部培训。</w:t>
      </w:r>
    </w:p>
    <w:p>
      <w:pPr>
        <w:keepNext w:val="0"/>
        <w:keepLines w:val="0"/>
        <w:pageBreakBefore w:val="0"/>
        <w:widowControl/>
        <w:kinsoku/>
        <w:wordWrap/>
        <w:overflowPunct/>
        <w:topLinePunct w:val="0"/>
        <w:autoSpaceDE w:val="0"/>
        <w:autoSpaceDN/>
        <w:bidi w:val="0"/>
        <w:adjustRightInd w:val="0"/>
        <w:snapToGrid w:val="0"/>
        <w:spacing w:line="50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三）督促区直机关、区属企事业单位基层党组织学习贯彻执行《中国共产党章程》《中国共产党和国家机关基层党组织工作条例》《中国共产党支部工作条例（试行）》《中国共产党党员教育管理工作条例》等党内规章制度。</w:t>
      </w:r>
    </w:p>
    <w:p>
      <w:pPr>
        <w:keepNext w:val="0"/>
        <w:keepLines w:val="0"/>
        <w:pageBreakBefore w:val="0"/>
        <w:widowControl/>
        <w:kinsoku/>
        <w:wordWrap/>
        <w:overflowPunct/>
        <w:topLinePunct w:val="0"/>
        <w:autoSpaceDE w:val="0"/>
        <w:autoSpaceDN/>
        <w:bidi w:val="0"/>
        <w:adjustRightInd w:val="0"/>
        <w:snapToGrid w:val="0"/>
        <w:spacing w:line="50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（四）做好区直机关党员的教育引导、党内统计、组织关系接转、党费收缴、党员志愿服务、党内表彰激励关怀等日常事务工作。</w:t>
      </w:r>
    </w:p>
    <w:p>
      <w:pPr>
        <w:keepNext w:val="0"/>
        <w:keepLines w:val="0"/>
        <w:pageBreakBefore w:val="0"/>
        <w:widowControl/>
        <w:kinsoku/>
        <w:wordWrap/>
        <w:overflowPunct/>
        <w:topLinePunct w:val="0"/>
        <w:autoSpaceDE w:val="0"/>
        <w:autoSpaceDN/>
        <w:bidi w:val="0"/>
        <w:adjustRightInd w:val="0"/>
        <w:snapToGrid w:val="0"/>
        <w:spacing w:line="50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（五）协助区委相关部门做好区直机关、区属企事业单位基层党组织党建业务指导、党组（党委）书记抓党建工作述职等;配合做好区直属基层党组织及党员的考核、评先、评优及表彰工作。</w:t>
      </w:r>
    </w:p>
    <w:p>
      <w:pPr>
        <w:keepNext w:val="0"/>
        <w:keepLines w:val="0"/>
        <w:pageBreakBefore w:val="0"/>
        <w:widowControl/>
        <w:kinsoku/>
        <w:wordWrap/>
        <w:overflowPunct/>
        <w:topLinePunct w:val="0"/>
        <w:autoSpaceDE w:val="0"/>
        <w:autoSpaceDN/>
        <w:bidi w:val="0"/>
        <w:adjustRightInd w:val="0"/>
        <w:snapToGrid w:val="0"/>
        <w:spacing w:line="50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（六）统筹做好干部帮扶工作协调、服务、考核。</w:t>
      </w:r>
    </w:p>
    <w:p>
      <w:pPr>
        <w:keepNext w:val="0"/>
        <w:keepLines w:val="0"/>
        <w:pageBreakBefore w:val="0"/>
        <w:widowControl/>
        <w:kinsoku/>
        <w:wordWrap/>
        <w:overflowPunct/>
        <w:topLinePunct w:val="0"/>
        <w:autoSpaceDE w:val="0"/>
        <w:autoSpaceDN/>
        <w:bidi w:val="0"/>
        <w:adjustRightInd w:val="0"/>
        <w:snapToGrid w:val="0"/>
        <w:spacing w:line="50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（七）完成区委交办的其他任务。</w:t>
      </w:r>
    </w:p>
    <w:p>
      <w:pPr>
        <w:keepNext w:val="0"/>
        <w:keepLines w:val="0"/>
        <w:pageBreakBefore w:val="0"/>
        <w:widowControl/>
        <w:kinsoku/>
        <w:wordWrap/>
        <w:overflowPunct/>
        <w:topLinePunct w:val="0"/>
        <w:autoSpaceDE w:val="0"/>
        <w:autoSpaceDN/>
        <w:bidi w:val="0"/>
        <w:adjustRightInd w:val="0"/>
        <w:snapToGrid w:val="0"/>
        <w:spacing w:line="500" w:lineRule="exact"/>
        <w:contextualSpacing/>
        <w:jc w:val="left"/>
        <w:textAlignment w:val="auto"/>
        <w:rPr>
          <w:rFonts w:hint="default" w:ascii="仿宋_GB2312" w:hAnsi="仿宋_GB2312" w:eastAsia="仿宋_GB2312" w:cs="仿宋_GB2312"/>
          <w:b w:val="0"/>
          <w:bCs/>
          <w:spacing w:val="-6"/>
          <w:w w:val="99"/>
          <w:sz w:val="32"/>
          <w:szCs w:val="32"/>
          <w:lang w:val="en-US" w:eastAsia="zh-CN"/>
        </w:rPr>
      </w:pPr>
      <w:r>
        <w:rPr>
          <w:rFonts w:hint="eastAsia" w:ascii="楷体_GB2312" w:hAnsi="楷体_GB2312" w:eastAsia="楷体_GB2312" w:cs="楷体_GB2312"/>
          <w:b w:val="0"/>
          <w:bCs/>
          <w:spacing w:val="-6"/>
          <w:w w:val="99"/>
          <w:sz w:val="32"/>
          <w:szCs w:val="32"/>
          <w:lang w:val="en-US" w:eastAsia="zh-CN"/>
        </w:rPr>
        <w:t>（三）人员概况。</w:t>
      </w:r>
      <w:r>
        <w:rPr>
          <w:rFonts w:hint="eastAsia" w:ascii="仿宋_GB2312" w:hAnsi="仿宋_GB2312" w:eastAsia="仿宋_GB2312" w:cs="仿宋_GB2312"/>
          <w:b w:val="0"/>
          <w:bCs/>
          <w:spacing w:val="-6"/>
          <w:w w:val="99"/>
          <w:sz w:val="32"/>
          <w:szCs w:val="32"/>
          <w:lang w:val="en-US" w:eastAsia="zh-CN"/>
        </w:rPr>
        <w:t>我中心总人数7人，其中公务员3人，行政工勤1人，事业干部3人。</w:t>
      </w:r>
    </w:p>
    <w:p>
      <w:pPr>
        <w:keepNext w:val="0"/>
        <w:keepLines w:val="0"/>
        <w:pageBreakBefore w:val="0"/>
        <w:widowControl/>
        <w:kinsoku/>
        <w:wordWrap/>
        <w:overflowPunct/>
        <w:topLinePunct w:val="0"/>
        <w:autoSpaceDE w:val="0"/>
        <w:autoSpaceDN/>
        <w:bidi w:val="0"/>
        <w:adjustRightInd w:val="0"/>
        <w:snapToGrid w:val="0"/>
        <w:spacing w:line="500" w:lineRule="exact"/>
        <w:ind w:firstLine="608" w:firstLineChars="200"/>
        <w:contextualSpacing/>
        <w:jc w:val="left"/>
        <w:textAlignment w:val="auto"/>
        <w:rPr>
          <w:rFonts w:hint="eastAsia" w:ascii="黑体" w:hAnsi="黑体" w:eastAsia="黑体" w:cs="Times New Roman"/>
          <w:color w:val="000000"/>
          <w:spacing w:val="-6"/>
          <w:w w:val="99"/>
          <w:kern w:val="0"/>
          <w:sz w:val="32"/>
          <w:szCs w:val="32"/>
          <w:shd w:val="clear" w:color="auto" w:fill="FFFFFF"/>
        </w:rPr>
      </w:pPr>
      <w:r>
        <w:rPr>
          <w:rFonts w:hint="eastAsia" w:ascii="黑体" w:hAnsi="黑体" w:eastAsia="黑体" w:cs="Times New Roman"/>
          <w:color w:val="000000"/>
          <w:spacing w:val="-6"/>
          <w:w w:val="99"/>
          <w:kern w:val="0"/>
          <w:sz w:val="32"/>
          <w:szCs w:val="32"/>
          <w:shd w:val="clear" w:color="auto" w:fill="FFFFFF"/>
        </w:rPr>
        <w:t>二、部门财政资金收支情况</w:t>
      </w:r>
    </w:p>
    <w:p>
      <w:pPr>
        <w:spacing w:line="580" w:lineRule="exact"/>
        <w:ind w:firstLine="640" w:firstLineChars="200"/>
        <w:rPr>
          <w:rFonts w:ascii="仿宋" w:hAnsi="仿宋" w:eastAsia="仿宋" w:cs="仿宋_GB2312"/>
          <w:sz w:val="32"/>
          <w:szCs w:val="32"/>
        </w:rPr>
      </w:pPr>
      <w:r>
        <w:rPr>
          <w:rFonts w:hint="eastAsia" w:ascii="仿宋_GB2312" w:hAnsi="宋体" w:eastAsia="仿宋_GB2312" w:cs="宋体"/>
          <w:kern w:val="0"/>
          <w:sz w:val="32"/>
          <w:szCs w:val="32"/>
          <w:shd w:val="clear" w:color="auto" w:fill="FFFFFF"/>
          <w:lang w:val="zh-CN"/>
        </w:rPr>
        <w:t>（一）部门财政资金收入情况。</w:t>
      </w:r>
      <w:r>
        <w:rPr>
          <w:rFonts w:hint="eastAsia" w:ascii="仿宋" w:hAnsi="仿宋" w:eastAsia="仿宋" w:cs="仿宋_GB2312"/>
          <w:sz w:val="32"/>
          <w:szCs w:val="32"/>
        </w:rPr>
        <w:t>202</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年区直属机关党建事务中心本年收入</w:t>
      </w:r>
      <w:r>
        <w:rPr>
          <w:rFonts w:hint="eastAsia" w:ascii="仿宋" w:hAnsi="仿宋" w:eastAsia="仿宋"/>
          <w:bCs/>
          <w:sz w:val="32"/>
          <w:szCs w:val="32"/>
          <w:lang w:val="en-US" w:eastAsia="zh-CN"/>
        </w:rPr>
        <w:t>129.71</w:t>
      </w:r>
      <w:r>
        <w:rPr>
          <w:rFonts w:hint="eastAsia" w:ascii="仿宋" w:hAnsi="仿宋" w:eastAsia="仿宋" w:cs="仿宋_GB2312"/>
          <w:sz w:val="32"/>
          <w:szCs w:val="32"/>
        </w:rPr>
        <w:t>万元，其中财政拨款收入</w:t>
      </w:r>
      <w:r>
        <w:rPr>
          <w:rFonts w:hint="eastAsia" w:ascii="仿宋" w:hAnsi="仿宋" w:eastAsia="仿宋"/>
          <w:bCs/>
          <w:sz w:val="32"/>
          <w:szCs w:val="32"/>
          <w:lang w:val="en-US" w:eastAsia="zh-CN"/>
        </w:rPr>
        <w:t>129.71</w:t>
      </w:r>
      <w:r>
        <w:rPr>
          <w:rFonts w:hint="eastAsia" w:ascii="仿宋" w:hAnsi="仿宋" w:eastAsia="仿宋" w:cs="仿宋_GB2312"/>
          <w:sz w:val="32"/>
          <w:szCs w:val="32"/>
        </w:rPr>
        <w:t>万元。</w:t>
      </w:r>
    </w:p>
    <w:p>
      <w:pPr>
        <w:spacing w:line="580" w:lineRule="exact"/>
        <w:rPr>
          <w:rFonts w:ascii="仿宋" w:hAnsi="仿宋" w:eastAsia="仿宋" w:cs="仿宋_GB2312"/>
          <w:sz w:val="32"/>
          <w:szCs w:val="32"/>
        </w:rPr>
      </w:pPr>
      <w:r>
        <w:rPr>
          <w:rFonts w:hint="eastAsia" w:ascii="仿宋_GB2312" w:hAnsi="宋体" w:eastAsia="仿宋_GB2312" w:cs="宋体"/>
          <w:kern w:val="0"/>
          <w:sz w:val="32"/>
          <w:szCs w:val="32"/>
          <w:shd w:val="clear" w:color="auto" w:fill="FFFFFF"/>
          <w:lang w:val="zh-CN"/>
        </w:rPr>
        <w:t>（二）部门财政资金支出情况。</w:t>
      </w:r>
      <w:r>
        <w:rPr>
          <w:rFonts w:hint="eastAsia" w:ascii="仿宋" w:hAnsi="仿宋" w:eastAsia="仿宋" w:cs="仿宋_GB2312"/>
          <w:sz w:val="32"/>
          <w:szCs w:val="32"/>
        </w:rPr>
        <w:t>本年支出合计</w:t>
      </w:r>
      <w:r>
        <w:rPr>
          <w:rFonts w:hint="eastAsia" w:ascii="仿宋" w:hAnsi="仿宋" w:eastAsia="仿宋"/>
          <w:bCs/>
          <w:sz w:val="32"/>
          <w:szCs w:val="32"/>
          <w:lang w:val="en-US" w:eastAsia="zh-CN"/>
        </w:rPr>
        <w:t>129.71</w:t>
      </w:r>
      <w:r>
        <w:rPr>
          <w:rFonts w:hint="eastAsia" w:ascii="仿宋" w:hAnsi="仿宋" w:eastAsia="仿宋" w:cs="仿宋_GB2312"/>
          <w:sz w:val="32"/>
          <w:szCs w:val="32"/>
        </w:rPr>
        <w:t>万元。</w:t>
      </w:r>
    </w:p>
    <w:p>
      <w:pPr>
        <w:keepNext w:val="0"/>
        <w:keepLines w:val="0"/>
        <w:pageBreakBefore w:val="0"/>
        <w:widowControl/>
        <w:kinsoku/>
        <w:wordWrap/>
        <w:overflowPunct/>
        <w:topLinePunct w:val="0"/>
        <w:autoSpaceDE w:val="0"/>
        <w:autoSpaceDN/>
        <w:bidi w:val="0"/>
        <w:adjustRightInd w:val="0"/>
        <w:snapToGrid w:val="0"/>
        <w:spacing w:line="500" w:lineRule="exact"/>
        <w:ind w:firstLine="608" w:firstLineChars="200"/>
        <w:contextualSpacing/>
        <w:jc w:val="left"/>
        <w:textAlignment w:val="auto"/>
        <w:rPr>
          <w:rFonts w:hint="eastAsia" w:ascii="仿宋_GB2312" w:hAnsi="Times New Roman" w:eastAsia="仿宋_GB2312" w:cs="Times New Roman"/>
          <w:color w:val="000000"/>
          <w:spacing w:val="-6"/>
          <w:w w:val="99"/>
          <w:kern w:val="0"/>
          <w:sz w:val="32"/>
          <w:szCs w:val="32"/>
          <w:shd w:val="clear" w:color="auto" w:fill="FFFFFF"/>
        </w:rPr>
      </w:pPr>
    </w:p>
    <w:p>
      <w:pPr>
        <w:keepNext w:val="0"/>
        <w:keepLines w:val="0"/>
        <w:pageBreakBefore w:val="0"/>
        <w:widowControl/>
        <w:kinsoku/>
        <w:wordWrap/>
        <w:overflowPunct/>
        <w:topLinePunct w:val="0"/>
        <w:autoSpaceDE w:val="0"/>
        <w:autoSpaceDN/>
        <w:bidi w:val="0"/>
        <w:adjustRightInd w:val="0"/>
        <w:snapToGrid w:val="0"/>
        <w:spacing w:line="500" w:lineRule="exact"/>
        <w:ind w:firstLine="608" w:firstLineChars="200"/>
        <w:contextualSpacing/>
        <w:jc w:val="left"/>
        <w:textAlignment w:val="auto"/>
        <w:rPr>
          <w:rFonts w:hint="eastAsia" w:ascii="黑体" w:hAnsi="黑体" w:eastAsia="黑体" w:cs="Times New Roman"/>
          <w:color w:val="000000"/>
          <w:spacing w:val="-6"/>
          <w:w w:val="99"/>
          <w:kern w:val="0"/>
          <w:sz w:val="32"/>
          <w:szCs w:val="32"/>
          <w:shd w:val="clear" w:color="auto" w:fill="FFFFFF"/>
        </w:rPr>
      </w:pPr>
      <w:r>
        <w:rPr>
          <w:rFonts w:hint="eastAsia" w:ascii="黑体" w:hAnsi="黑体" w:eastAsia="黑体" w:cs="Times New Roman"/>
          <w:color w:val="000000"/>
          <w:spacing w:val="-6"/>
          <w:w w:val="99"/>
          <w:kern w:val="0"/>
          <w:sz w:val="32"/>
          <w:szCs w:val="32"/>
          <w:shd w:val="clear" w:color="auto" w:fill="FFFFFF"/>
        </w:rPr>
        <w:t>三、部门整体预算绩效管理情况（根据适用指标体系进行调整）</w:t>
      </w:r>
    </w:p>
    <w:p>
      <w:pPr>
        <w:spacing w:line="576" w:lineRule="exact"/>
        <w:ind w:firstLine="608" w:firstLineChars="200"/>
        <w:rPr>
          <w:rFonts w:hint="eastAsia" w:ascii="仿宋_GB2312" w:hAnsi="仿宋_GB2312" w:eastAsia="仿宋_GB2312" w:cs="仿宋_GB2312"/>
          <w:color w:val="auto"/>
          <w:spacing w:val="-6"/>
          <w:w w:val="99"/>
          <w:kern w:val="0"/>
          <w:sz w:val="32"/>
          <w:szCs w:val="32"/>
          <w:shd w:val="clear" w:color="auto" w:fill="FFFFFF"/>
        </w:rPr>
      </w:pPr>
      <w:r>
        <w:rPr>
          <w:rFonts w:hint="eastAsia" w:ascii="楷体_GB2312" w:hAnsi="楷体_GB2312" w:eastAsia="楷体_GB2312" w:cs="楷体_GB2312"/>
          <w:b w:val="0"/>
          <w:bCs/>
          <w:spacing w:val="-6"/>
          <w:w w:val="99"/>
          <w:sz w:val="32"/>
          <w:szCs w:val="32"/>
          <w:lang w:val="en-US" w:eastAsia="zh-CN"/>
        </w:rPr>
        <w:t>（一）部门预算项目绩效管理。</w:t>
      </w:r>
      <w:r>
        <w:rPr>
          <w:rFonts w:hint="eastAsia" w:ascii="仿宋_GB2312" w:hAnsi="Times New Roman" w:eastAsia="仿宋_GB2312" w:cs="Times New Roman"/>
          <w:color w:val="auto"/>
          <w:spacing w:val="-6"/>
          <w:w w:val="99"/>
          <w:kern w:val="0"/>
          <w:sz w:val="32"/>
          <w:szCs w:val="32"/>
          <w:shd w:val="clear" w:color="auto" w:fill="FFFFFF"/>
        </w:rPr>
        <w:t>包括部门绩效目标制定、目标实现（按人员类、运转类、特定目标类项目分类阐述）、支出控制、及时处置、执行进度、预算完成情况、资金结余率（低效无效率）和违规记录</w:t>
      </w:r>
      <w:r>
        <w:rPr>
          <w:rFonts w:hint="eastAsia" w:ascii="仿宋_GB2312" w:hAnsi="仿宋_GB2312" w:eastAsia="仿宋_GB2312" w:cs="仿宋_GB2312"/>
          <w:color w:val="auto"/>
          <w:spacing w:val="-6"/>
          <w:w w:val="99"/>
          <w:kern w:val="0"/>
          <w:sz w:val="32"/>
          <w:szCs w:val="32"/>
          <w:shd w:val="clear" w:color="auto" w:fill="FFFFFF"/>
        </w:rPr>
        <w:t>等情况。</w:t>
      </w:r>
    </w:p>
    <w:p>
      <w:pPr>
        <w:spacing w:line="576" w:lineRule="exact"/>
        <w:ind w:firstLine="608" w:firstLineChars="200"/>
        <w:rPr>
          <w:rFonts w:hint="eastAsia" w:ascii="仿宋_GB2312" w:hAnsi="仿宋_GB2312" w:eastAsia="仿宋_GB2312" w:cs="仿宋_GB2312"/>
          <w:color w:val="auto"/>
          <w:spacing w:val="-6"/>
          <w:w w:val="99"/>
          <w:kern w:val="0"/>
          <w:sz w:val="32"/>
          <w:szCs w:val="32"/>
          <w:shd w:val="clear" w:color="auto" w:fill="FFFFFF"/>
          <w:lang w:val="en-US" w:eastAsia="zh-CN"/>
        </w:rPr>
      </w:pPr>
      <w:r>
        <w:rPr>
          <w:rFonts w:hint="eastAsia" w:ascii="仿宋_GB2312" w:hAnsi="仿宋_GB2312" w:eastAsia="仿宋_GB2312" w:cs="仿宋_GB2312"/>
          <w:color w:val="auto"/>
          <w:spacing w:val="-6"/>
          <w:w w:val="99"/>
          <w:kern w:val="0"/>
          <w:sz w:val="32"/>
          <w:szCs w:val="32"/>
          <w:shd w:val="clear" w:color="auto" w:fill="FFFFFF"/>
          <w:lang w:val="en-US" w:eastAsia="zh-CN"/>
        </w:rPr>
        <w:t>1、目标制定</w:t>
      </w:r>
    </w:p>
    <w:p>
      <w:pPr>
        <w:numPr>
          <w:ilvl w:val="0"/>
          <w:numId w:val="0"/>
        </w:num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①</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持续聚焦体系建设，全面推进机关党建提质增效。</w:t>
      </w:r>
    </w:p>
    <w:p>
      <w:pPr>
        <w:numPr>
          <w:ilvl w:val="0"/>
          <w:numId w:val="0"/>
        </w:num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持续聚焦职责任务，全力确保驻村帮扶常态长效。</w:t>
      </w:r>
    </w:p>
    <w:p>
      <w:pPr>
        <w:pStyle w:val="2"/>
        <w:ind w:left="0" w:leftChars="0"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eastAsia="zh-CN"/>
        </w:rPr>
        <w:t>③</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持续聚焦中心大局，全面推动重点工作落地见效。</w:t>
      </w:r>
    </w:p>
    <w:p>
      <w:pPr>
        <w:keepNext w:val="0"/>
        <w:keepLines w:val="0"/>
        <w:pageBreakBefore w:val="0"/>
        <w:widowControl/>
        <w:kinsoku/>
        <w:wordWrap/>
        <w:overflowPunct/>
        <w:topLinePunct w:val="0"/>
        <w:autoSpaceDE w:val="0"/>
        <w:autoSpaceDN/>
        <w:bidi w:val="0"/>
        <w:adjustRightInd w:val="0"/>
        <w:snapToGrid w:val="0"/>
        <w:spacing w:line="500" w:lineRule="exact"/>
        <w:ind w:firstLine="640" w:firstLineChars="200"/>
        <w:contextualSpacing/>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④</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持续聚焦自身建设，全力推进工作业绩再上新台阶。</w:t>
      </w:r>
    </w:p>
    <w:p>
      <w:pPr>
        <w:pStyle w:val="2"/>
        <w:numPr>
          <w:ilvl w:val="0"/>
          <w:numId w:val="0"/>
        </w:numPr>
        <w:ind w:leftChars="0" w:firstLine="640" w:firstLineChars="200"/>
        <w:rPr>
          <w:rFonts w:hint="eastAsia" w:ascii="仿宋_GB2312" w:eastAsia="仿宋_GB2312" w:cs="Times New Roman"/>
          <w:color w:val="000000"/>
          <w:kern w:val="0"/>
          <w:sz w:val="32"/>
          <w:szCs w:val="32"/>
          <w:shd w:val="clear" w:color="auto" w:fill="FFFFFF"/>
          <w:lang w:val="en-US" w:eastAsia="zh-CN"/>
        </w:rPr>
      </w:pPr>
      <w:r>
        <w:rPr>
          <w:rFonts w:hint="eastAsia" w:ascii="仿宋_GB2312" w:eastAsia="仿宋_GB2312" w:cs="Times New Roman"/>
          <w:color w:val="000000"/>
          <w:kern w:val="0"/>
          <w:sz w:val="32"/>
          <w:szCs w:val="32"/>
          <w:shd w:val="clear" w:color="auto" w:fill="FFFFFF"/>
          <w:lang w:val="en-US" w:eastAsia="zh-CN"/>
        </w:rPr>
        <w:t>2、目标完成</w:t>
      </w:r>
    </w:p>
    <w:p>
      <w:pPr>
        <w:spacing w:line="576" w:lineRule="exact"/>
        <w:ind w:firstLine="640" w:firstLineChars="200"/>
        <w:rPr>
          <w:rFonts w:hint="eastAsia" w:ascii="楷体_GB2312" w:eastAsia="楷体_GB2312"/>
          <w:bCs/>
          <w:sz w:val="32"/>
          <w:szCs w:val="32"/>
        </w:rPr>
      </w:pPr>
      <w:r>
        <w:rPr>
          <w:rFonts w:hint="eastAsia" w:ascii="楷体_GB2312" w:eastAsia="楷体_GB2312"/>
          <w:bCs/>
          <w:sz w:val="32"/>
          <w:szCs w:val="32"/>
          <w:lang w:eastAsia="zh-CN"/>
        </w:rPr>
        <w:t>机关党建：</w:t>
      </w:r>
      <w:r>
        <w:rPr>
          <w:rFonts w:hint="eastAsia" w:ascii="仿宋_GB2312" w:eastAsia="仿宋_GB2312"/>
          <w:b/>
          <w:sz w:val="32"/>
          <w:szCs w:val="32"/>
        </w:rPr>
        <w:t>一是</w:t>
      </w:r>
      <w:r>
        <w:rPr>
          <w:rFonts w:hint="eastAsia" w:ascii="仿宋_GB2312" w:eastAsia="仿宋_GB2312"/>
          <w:sz w:val="32"/>
          <w:szCs w:val="32"/>
        </w:rPr>
        <w:t>加强统一领导，制定印发《朝天区直机关党建工作要点》，细化20项具体工作任务，召开工委会3次审批和安排具体事项。</w:t>
      </w:r>
      <w:r>
        <w:rPr>
          <w:rFonts w:hint="eastAsia" w:ascii="仿宋_GB2312" w:eastAsia="仿宋_GB2312"/>
          <w:b/>
          <w:sz w:val="32"/>
          <w:szCs w:val="32"/>
        </w:rPr>
        <w:t>二是</w:t>
      </w:r>
      <w:r>
        <w:rPr>
          <w:rFonts w:hint="eastAsia" w:ascii="仿宋_GB2312" w:eastAsia="仿宋_GB2312"/>
          <w:sz w:val="32"/>
          <w:szCs w:val="32"/>
        </w:rPr>
        <w:t>结合机关党建“三级五岗”责任清单，优化执行“三张清单”，进一步推动落实区直机关工委统一领导、单位党组（党委）直接抓建、基层党组织具体抓落实的责任体系。</w:t>
      </w:r>
      <w:r>
        <w:rPr>
          <w:rFonts w:hint="eastAsia" w:ascii="仿宋_GB2312" w:eastAsia="仿宋_GB2312"/>
          <w:b/>
          <w:sz w:val="32"/>
          <w:szCs w:val="32"/>
        </w:rPr>
        <w:t>三是</w:t>
      </w:r>
      <w:r>
        <w:rPr>
          <w:rFonts w:hint="eastAsia" w:ascii="仿宋_GB2312" w:eastAsia="仿宋_GB2312"/>
          <w:sz w:val="32"/>
          <w:szCs w:val="32"/>
        </w:rPr>
        <w:t>坚持运行“党建月重点工作提示”，督促指导基层党组织让“红色星期五”主题党日成为学习日、议事日、奉献日，持续提升基层党组织凝聚力和战斗力，切实加强对机关党建工作的日常督促指导。</w:t>
      </w:r>
      <w:r>
        <w:rPr>
          <w:rFonts w:hint="eastAsia" w:ascii="仿宋_GB2312" w:eastAsia="仿宋_GB2312"/>
          <w:b/>
          <w:sz w:val="32"/>
          <w:szCs w:val="32"/>
        </w:rPr>
        <w:t>四是</w:t>
      </w:r>
      <w:r>
        <w:rPr>
          <w:rFonts w:hint="eastAsia" w:ascii="仿宋_GB2312" w:eastAsia="仿宋_GB2312"/>
          <w:sz w:val="32"/>
          <w:szCs w:val="32"/>
        </w:rPr>
        <w:t>做好常态督查，对区直机关基层党组织全覆盖督查2轮，重点抽查3轮，督促机关党建目标任务在基层党组织落地生根。</w:t>
      </w:r>
      <w:r>
        <w:rPr>
          <w:rFonts w:hint="eastAsia" w:ascii="仿宋_GB2312" w:eastAsia="仿宋_GB2312"/>
          <w:b/>
          <w:sz w:val="32"/>
          <w:szCs w:val="32"/>
          <w:lang w:eastAsia="zh-CN"/>
        </w:rPr>
        <w:t>五</w:t>
      </w:r>
      <w:r>
        <w:rPr>
          <w:rFonts w:hint="eastAsia" w:ascii="仿宋_GB2312" w:eastAsia="仿宋_GB2312"/>
          <w:b/>
          <w:sz w:val="32"/>
          <w:szCs w:val="32"/>
        </w:rPr>
        <w:t>是</w:t>
      </w:r>
      <w:r>
        <w:rPr>
          <w:rFonts w:hint="eastAsia" w:ascii="仿宋_GB2312" w:eastAsia="仿宋_GB2312"/>
          <w:sz w:val="32"/>
          <w:szCs w:val="32"/>
        </w:rPr>
        <w:t>严格换届，建立区直机关基层党组织换届台账，以线上提醒+线下发函提示的方式，督促指导35个基层党组织按期换届达100</w:t>
      </w:r>
      <w:r>
        <w:rPr>
          <w:rFonts w:hint="eastAsia" w:ascii="宋体" w:hAnsi="宋体"/>
          <w:sz w:val="32"/>
          <w:szCs w:val="32"/>
        </w:rPr>
        <w:t>%</w:t>
      </w:r>
      <w:r>
        <w:rPr>
          <w:rFonts w:hint="eastAsia" w:ascii="仿宋_GB2312" w:eastAsia="仿宋_GB2312"/>
          <w:sz w:val="32"/>
          <w:szCs w:val="32"/>
        </w:rPr>
        <w:t>。</w:t>
      </w:r>
      <w:r>
        <w:rPr>
          <w:rFonts w:hint="eastAsia" w:ascii="仿宋_GB2312" w:eastAsia="仿宋_GB2312"/>
          <w:b/>
          <w:sz w:val="32"/>
          <w:szCs w:val="32"/>
          <w:lang w:eastAsia="zh-CN"/>
        </w:rPr>
        <w:t>六</w:t>
      </w:r>
      <w:r>
        <w:rPr>
          <w:rFonts w:hint="eastAsia" w:ascii="仿宋_GB2312" w:eastAsia="仿宋_GB2312"/>
          <w:b/>
          <w:sz w:val="32"/>
          <w:szCs w:val="32"/>
        </w:rPr>
        <w:t>是</w:t>
      </w:r>
      <w:r>
        <w:rPr>
          <w:rFonts w:hint="eastAsia" w:ascii="仿宋_GB2312" w:eastAsia="仿宋_GB2312"/>
          <w:sz w:val="32"/>
          <w:szCs w:val="32"/>
        </w:rPr>
        <w:t>严肃党组织书记述职，督促指导65个区直机关基层党组织书记向机关工委书面述职，逐个点评反馈问题并督促制定整改方案，抓牢党组织书记抓机关党建第一责任人职责。</w:t>
      </w:r>
    </w:p>
    <w:p>
      <w:pPr>
        <w:spacing w:line="576" w:lineRule="exact"/>
        <w:rPr>
          <w:rFonts w:hint="eastAsia" w:ascii="仿宋_GB2312" w:eastAsia="仿宋_GB2312"/>
          <w:sz w:val="32"/>
          <w:szCs w:val="32"/>
        </w:rPr>
      </w:pPr>
      <w:r>
        <w:rPr>
          <w:rFonts w:hint="eastAsia" w:ascii="仿宋_GB2312" w:eastAsia="仿宋_GB2312"/>
          <w:b/>
          <w:sz w:val="32"/>
          <w:szCs w:val="32"/>
          <w:lang w:eastAsia="zh-CN"/>
        </w:rPr>
        <w:t>七</w:t>
      </w:r>
      <w:r>
        <w:rPr>
          <w:rFonts w:hint="eastAsia" w:ascii="仿宋_GB2312" w:eastAsia="仿宋_GB2312"/>
          <w:b/>
          <w:sz w:val="32"/>
          <w:szCs w:val="32"/>
        </w:rPr>
        <w:t>是</w:t>
      </w:r>
      <w:r>
        <w:rPr>
          <w:rFonts w:hint="eastAsia" w:ascii="仿宋_GB2312" w:eastAsia="仿宋_GB2312"/>
          <w:sz w:val="32"/>
          <w:szCs w:val="32"/>
        </w:rPr>
        <w:t>推进模范机关建设，持续推进区直机关基层党组织标准化规范化建设，完成建设先进超80％、建设达标100％的三年既定目标并逐步过渡到推进模范机关建设。</w:t>
      </w:r>
      <w:r>
        <w:rPr>
          <w:rFonts w:hint="eastAsia" w:ascii="仿宋_GB2312" w:eastAsia="仿宋_GB2312"/>
          <w:b/>
          <w:sz w:val="32"/>
          <w:szCs w:val="32"/>
          <w:lang w:eastAsia="zh-CN"/>
        </w:rPr>
        <w:t>八</w:t>
      </w:r>
      <w:r>
        <w:rPr>
          <w:rFonts w:hint="eastAsia" w:ascii="仿宋_GB2312" w:eastAsia="仿宋_GB2312"/>
          <w:b/>
          <w:sz w:val="32"/>
          <w:szCs w:val="32"/>
        </w:rPr>
        <w:t>是</w:t>
      </w:r>
      <w:r>
        <w:rPr>
          <w:rFonts w:hint="eastAsia" w:ascii="仿宋_GB2312" w:eastAsia="仿宋_GB2312"/>
          <w:sz w:val="32"/>
          <w:szCs w:val="32"/>
        </w:rPr>
        <w:t>扎实开展“三项清理”，对标对表以自查加督查的方式在区直机关基层党组织全覆盖开展清理</w:t>
      </w:r>
      <w:r>
        <w:rPr>
          <w:rFonts w:hint="eastAsia" w:ascii="仿宋_GB2312" w:eastAsia="仿宋_GB2312"/>
          <w:sz w:val="32"/>
          <w:szCs w:val="32"/>
          <w:lang w:eastAsia="zh-CN"/>
        </w:rPr>
        <w:t>，</w:t>
      </w:r>
      <w:r>
        <w:rPr>
          <w:rFonts w:hint="eastAsia" w:ascii="仿宋_GB2312" w:eastAsia="仿宋_GB2312"/>
          <w:sz w:val="32"/>
          <w:szCs w:val="32"/>
        </w:rPr>
        <w:t>清理问题3条，均立查立改</w:t>
      </w:r>
      <w:r>
        <w:rPr>
          <w:rFonts w:hint="eastAsia" w:ascii="仿宋_GB2312" w:eastAsia="仿宋_GB2312"/>
          <w:b/>
          <w:sz w:val="32"/>
          <w:szCs w:val="32"/>
          <w:lang w:eastAsia="zh-CN"/>
        </w:rPr>
        <w:t>九</w:t>
      </w:r>
      <w:r>
        <w:rPr>
          <w:rFonts w:hint="eastAsia" w:ascii="仿宋_GB2312" w:eastAsia="仿宋_GB2312"/>
          <w:b/>
          <w:sz w:val="32"/>
          <w:szCs w:val="32"/>
        </w:rPr>
        <w:t>是</w:t>
      </w:r>
      <w:r>
        <w:rPr>
          <w:rFonts w:hint="eastAsia" w:ascii="仿宋_GB2312" w:eastAsia="仿宋_GB2312"/>
          <w:sz w:val="32"/>
          <w:szCs w:val="32"/>
        </w:rPr>
        <w:t>加强教育培训，举办入党积极分子暨拟发展对象培训班1期，新党员培训班1期（3班次），共培训170余人。</w:t>
      </w:r>
      <w:r>
        <w:rPr>
          <w:rFonts w:hint="eastAsia" w:ascii="仿宋_GB2312" w:eastAsia="仿宋_GB2312"/>
          <w:b/>
          <w:sz w:val="32"/>
          <w:szCs w:val="32"/>
          <w:lang w:eastAsia="zh-CN"/>
        </w:rPr>
        <w:t>十</w:t>
      </w:r>
      <w:r>
        <w:rPr>
          <w:rFonts w:hint="eastAsia" w:ascii="仿宋_GB2312" w:eastAsia="仿宋_GB2312"/>
          <w:b/>
          <w:sz w:val="32"/>
          <w:szCs w:val="32"/>
        </w:rPr>
        <w:t>是</w:t>
      </w:r>
      <w:r>
        <w:rPr>
          <w:rFonts w:hint="eastAsia" w:ascii="仿宋_GB2312" w:eastAsia="仿宋_GB2312"/>
          <w:sz w:val="32"/>
          <w:szCs w:val="32"/>
        </w:rPr>
        <w:t>严格组织审批，全年减免困难党员党费5人，慰问困难党员和党务干部16人，新发展预备党员29人、预备党员转正24人。</w:t>
      </w:r>
    </w:p>
    <w:p>
      <w:pPr>
        <w:spacing w:line="576" w:lineRule="exact"/>
        <w:ind w:firstLine="643" w:firstLineChars="200"/>
        <w:rPr>
          <w:rFonts w:hint="eastAsia" w:ascii="楷体_GB2312" w:hAnsi="楷体_GB2312" w:eastAsia="楷体_GB2312" w:cs="楷体_GB2312"/>
          <w:bCs/>
          <w:sz w:val="32"/>
          <w:szCs w:val="32"/>
        </w:rPr>
      </w:pPr>
      <w:r>
        <w:rPr>
          <w:rFonts w:hint="eastAsia" w:ascii="楷体_GB2312" w:hAnsi="楷体_GB2312" w:eastAsia="楷体_GB2312" w:cs="楷体_GB2312"/>
          <w:b/>
          <w:bCs/>
          <w:sz w:val="32"/>
          <w:szCs w:val="32"/>
        </w:rPr>
        <w:t>干部驻村帮扶工作</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rPr>
        <w:t>根据《四川省驻村第一书记和工作队管理办法》《2022年省直部门和有关单位定点帮扶工作要点》《全市驻村帮扶力量管理联席会议制度》等文件精神，制定印发《2022年朝天区级部门单位定点帮扶工作要点》，明确12项具体任务，切实加强对驻村帮扶的组织领导。结合实际，适时对区本级部分驻村帮扶力量进行优化调整。全面完成“以购代扶”任务。</w:t>
      </w:r>
      <w:r>
        <w:rPr>
          <w:rFonts w:hint="eastAsia" w:ascii="楷体_GB2312" w:hAnsi="楷体_GB2312" w:eastAsia="楷体_GB2312" w:cs="楷体_GB2312"/>
          <w:bCs/>
          <w:sz w:val="32"/>
          <w:szCs w:val="32"/>
          <w:lang w:eastAsia="zh-CN"/>
        </w:rPr>
        <w:t>二是</w:t>
      </w:r>
      <w:r>
        <w:rPr>
          <w:rFonts w:hint="eastAsia" w:ascii="仿宋_GB2312" w:hAnsi="仿宋_GB2312" w:eastAsia="仿宋_GB2312" w:cs="仿宋_GB2312"/>
          <w:sz w:val="32"/>
          <w:szCs w:val="32"/>
        </w:rPr>
        <w:t>按照市乡村振兴局、市委组织部、市直机关工委等联合发文《关于驻村干部在村履职暗访情况的通报》等明察暗访通报文件要求和相关会议反馈问题，督促区市场监督管理局、区水利局等区级帮扶力量按要求整改通报问题并报送整改说明，确保历次反馈问题整改全部清零。</w:t>
      </w:r>
      <w:r>
        <w:rPr>
          <w:rFonts w:hint="eastAsia" w:ascii="楷体_GB2312" w:hAnsi="楷体_GB2312" w:eastAsia="楷体_GB2312" w:cs="楷体_GB2312"/>
          <w:bCs/>
          <w:sz w:val="32"/>
          <w:szCs w:val="32"/>
          <w:lang w:eastAsia="zh-CN"/>
        </w:rPr>
        <w:t>三是</w:t>
      </w:r>
      <w:r>
        <w:rPr>
          <w:rFonts w:hint="eastAsia" w:ascii="仿宋_GB2312" w:hAnsi="仿宋_GB2312" w:eastAsia="仿宋_GB2312" w:cs="仿宋_GB2312"/>
          <w:sz w:val="32"/>
          <w:szCs w:val="32"/>
        </w:rPr>
        <w:t>制定《区级部门单位驻村帮扶督查方案》，牵头组织，联合区委组织部、区乡村振兴局分3个检查组，对56个重点帮扶村（社区）全覆盖开展工作督查，配合区委组织部、区乡村振兴局督查3轮，督促派员单位落实工作责任，指导驻村帮扶力量履职尽责。</w:t>
      </w:r>
      <w:r>
        <w:rPr>
          <w:rFonts w:hint="eastAsia" w:ascii="仿宋_GB2312" w:hAnsi="仿宋_GB2312" w:eastAsia="仿宋_GB2312" w:cs="仿宋_GB2312"/>
          <w:b/>
          <w:bCs/>
          <w:sz w:val="32"/>
          <w:szCs w:val="32"/>
          <w:lang w:eastAsia="zh-CN"/>
        </w:rPr>
        <w:t>四是</w:t>
      </w:r>
      <w:r>
        <w:rPr>
          <w:rFonts w:hint="eastAsia" w:ascii="仿宋_GB2312" w:hAnsi="仿宋_GB2312" w:eastAsia="仿宋_GB2312" w:cs="仿宋_GB2312"/>
          <w:sz w:val="32"/>
          <w:szCs w:val="32"/>
        </w:rPr>
        <w:t>按照“两考一评”的考核细则和具体要求，根据区委主要领导和相关会议安排，牵头配合做好4家省直定点帮扶部门单位的后评估实地考核工作，通过会议座谈、现场指导、资料把关等，确保考出好成绩。</w:t>
      </w:r>
    </w:p>
    <w:p>
      <w:pPr>
        <w:spacing w:line="576" w:lineRule="exact"/>
        <w:rPr>
          <w:rFonts w:hint="eastAsia" w:ascii="仿宋_GB2312" w:eastAsia="仿宋_GB2312"/>
          <w:sz w:val="32"/>
          <w:szCs w:val="32"/>
        </w:rPr>
      </w:pPr>
      <w:r>
        <w:rPr>
          <w:rFonts w:hint="eastAsia" w:ascii="楷体_GB2312" w:hAnsi="楷体_GB2312" w:eastAsia="楷体_GB2312" w:cs="楷体_GB2312"/>
          <w:b/>
          <w:bCs w:val="0"/>
          <w:sz w:val="32"/>
          <w:szCs w:val="32"/>
        </w:rPr>
        <w:t>疫情防控工作</w:t>
      </w:r>
      <w:r>
        <w:rPr>
          <w:rFonts w:hint="eastAsia" w:ascii="楷体_GB2312" w:hAnsi="楷体_GB2312" w:eastAsia="楷体_GB2312" w:cs="楷体_GB2312"/>
          <w:b/>
          <w:bCs w:val="0"/>
          <w:sz w:val="32"/>
          <w:szCs w:val="32"/>
          <w:lang w:eastAsia="zh-CN"/>
        </w:rPr>
        <w:t>：</w:t>
      </w:r>
      <w:r>
        <w:rPr>
          <w:rFonts w:hint="eastAsia" w:ascii="仿宋_GB2312" w:eastAsia="仿宋_GB2312"/>
          <w:b/>
          <w:sz w:val="32"/>
          <w:szCs w:val="32"/>
        </w:rPr>
        <w:t>一是</w:t>
      </w:r>
      <w:r>
        <w:rPr>
          <w:rFonts w:hint="eastAsia" w:ascii="仿宋_GB2312" w:eastAsia="仿宋_GB2312"/>
          <w:sz w:val="32"/>
          <w:szCs w:val="32"/>
        </w:rPr>
        <w:t>建强责任体系，压实疫情防控“四方责任”。分口召开工作推进会，向区级部门单位分管领导讲清职能职责、讲明防控政策，讲细工作要求，强调“管行业就要管疫情防控”。</w:t>
      </w:r>
      <w:r>
        <w:rPr>
          <w:rFonts w:hint="eastAsia" w:ascii="仿宋_GB2312" w:eastAsia="仿宋_GB2312"/>
          <w:b/>
          <w:sz w:val="32"/>
          <w:szCs w:val="32"/>
        </w:rPr>
        <w:t>二是</w:t>
      </w:r>
      <w:r>
        <w:rPr>
          <w:rFonts w:hint="eastAsia" w:ascii="仿宋_GB2312" w:eastAsia="仿宋_GB2312"/>
          <w:sz w:val="32"/>
          <w:szCs w:val="32"/>
        </w:rPr>
        <w:t>建好指挥体系，确保信息推送顺畅高效。规范管理“朝天公职人员疫情防控”QQ群和微信群，建立起疫情防控“线上+线下”运行体系，明确专人24小时线上值守，准确、及时制定及推送疫情防控信息和解答防控指令。</w:t>
      </w:r>
      <w:r>
        <w:rPr>
          <w:rFonts w:hint="eastAsia" w:ascii="仿宋_GB2312" w:eastAsia="仿宋_GB2312"/>
          <w:b/>
          <w:sz w:val="32"/>
          <w:szCs w:val="32"/>
        </w:rPr>
        <w:t>三是</w:t>
      </w:r>
      <w:r>
        <w:rPr>
          <w:rFonts w:hint="eastAsia" w:ascii="仿宋_GB2312" w:eastAsia="仿宋_GB2312"/>
          <w:sz w:val="32"/>
          <w:szCs w:val="32"/>
        </w:rPr>
        <w:t>建立任务体系，全面履行防控职责。绘制“城区疫情防控点位分布图”，明晰部门单位管好自身办公场所的同时，做好包联老旧楼栋、物业小区、商业网格疫情防控工作。</w:t>
      </w:r>
      <w:r>
        <w:rPr>
          <w:rFonts w:hint="eastAsia" w:ascii="仿宋_GB2312" w:eastAsia="仿宋_GB2312"/>
          <w:b/>
          <w:sz w:val="32"/>
          <w:szCs w:val="32"/>
        </w:rPr>
        <w:t>四是</w:t>
      </w:r>
      <w:r>
        <w:rPr>
          <w:rFonts w:hint="eastAsia" w:ascii="仿宋_GB2312" w:eastAsia="仿宋_GB2312"/>
          <w:sz w:val="32"/>
          <w:szCs w:val="32"/>
        </w:rPr>
        <w:t>按照区领导安排，抽调区级部门单位精干力量值守交通卡口，落实“入川即检”并于七一期间走访慰问。</w:t>
      </w:r>
      <w:r>
        <w:rPr>
          <w:rFonts w:hint="eastAsia" w:ascii="仿宋_GB2312" w:eastAsia="仿宋_GB2312"/>
          <w:b/>
          <w:sz w:val="32"/>
          <w:szCs w:val="32"/>
        </w:rPr>
        <w:t>五是</w:t>
      </w:r>
      <w:r>
        <w:rPr>
          <w:rFonts w:hint="eastAsia" w:ascii="仿宋_GB2312" w:eastAsia="仿宋_GB2312"/>
          <w:sz w:val="32"/>
          <w:szCs w:val="32"/>
        </w:rPr>
        <w:t>综合考虑、全面分析，精心制定</w:t>
      </w:r>
      <w:r>
        <w:rPr>
          <w:rFonts w:hint="eastAsia" w:ascii="仿宋_GB2312" w:eastAsia="仿宋_GB2312"/>
          <w:bCs/>
          <w:sz w:val="32"/>
          <w:szCs w:val="32"/>
        </w:rPr>
        <w:t>全域静态管理工作人员调配工作方案（PPT），参加</w:t>
      </w:r>
      <w:r>
        <w:rPr>
          <w:rFonts w:hint="eastAsia" w:ascii="仿宋_GB2312" w:eastAsia="仿宋_GB2312"/>
          <w:sz w:val="32"/>
          <w:szCs w:val="32"/>
        </w:rPr>
        <w:t>静态管理桌面推演。</w:t>
      </w:r>
      <w:r>
        <w:rPr>
          <w:rFonts w:hint="eastAsia" w:ascii="仿宋_GB2312" w:eastAsia="仿宋_GB2312"/>
          <w:b/>
          <w:sz w:val="32"/>
          <w:szCs w:val="32"/>
        </w:rPr>
        <w:t>六是</w:t>
      </w:r>
      <w:r>
        <w:rPr>
          <w:rFonts w:hint="eastAsia" w:ascii="仿宋_GB2312" w:eastAsia="仿宋_GB2312"/>
          <w:sz w:val="32"/>
          <w:szCs w:val="32"/>
        </w:rPr>
        <w:t>督促指导全区党政机关企事业单位开展公职人员疫情感控工作培训</w:t>
      </w:r>
      <w:r>
        <w:rPr>
          <w:rFonts w:hint="eastAsia" w:ascii="仿宋_GB2312" w:eastAsia="仿宋_GB2312"/>
          <w:b/>
          <w:sz w:val="32"/>
          <w:szCs w:val="32"/>
        </w:rPr>
        <w:t>，</w:t>
      </w:r>
      <w:r>
        <w:rPr>
          <w:rFonts w:hint="eastAsia" w:ascii="仿宋_GB2312" w:eastAsia="仿宋_GB2312"/>
          <w:sz w:val="32"/>
          <w:szCs w:val="32"/>
        </w:rPr>
        <w:t>印放“七步洗手法”“个人防护海报”等宣传资料2000余份，引导公职人员树牢疫情防控意识，提升防控工作能力。</w:t>
      </w:r>
      <w:r>
        <w:rPr>
          <w:rFonts w:hint="eastAsia" w:ascii="仿宋_GB2312" w:eastAsia="仿宋_GB2312"/>
          <w:b/>
          <w:sz w:val="32"/>
          <w:szCs w:val="32"/>
        </w:rPr>
        <w:t>七是</w:t>
      </w:r>
      <w:r>
        <w:rPr>
          <w:rFonts w:hint="eastAsia" w:ascii="仿宋_GB2312" w:eastAsia="仿宋_GB2312"/>
          <w:sz w:val="32"/>
          <w:szCs w:val="32"/>
        </w:rPr>
        <w:t>有序推进疫苗接种应接尽接，做好公职人员进行核酸检测的配合工作，做好出市公职人员报备及节日期间疫情防控等工作。</w:t>
      </w:r>
      <w:r>
        <w:rPr>
          <w:rFonts w:hint="eastAsia" w:ascii="仿宋_GB2312" w:eastAsia="仿宋_GB2312"/>
          <w:b/>
          <w:sz w:val="32"/>
          <w:szCs w:val="32"/>
        </w:rPr>
        <w:t>八是</w:t>
      </w:r>
      <w:r>
        <w:rPr>
          <w:rFonts w:hint="eastAsia" w:ascii="仿宋_GB2312" w:eastAsia="仿宋_GB2312"/>
          <w:sz w:val="32"/>
          <w:szCs w:val="32"/>
        </w:rPr>
        <w:t>加强督查指导，常态化督查指导区级部门单位和乡镇机关落实疫情防控“五有”要求，场所管理、干部职工管理等常态化疫情防控措施的落实。</w:t>
      </w:r>
      <w:r>
        <w:rPr>
          <w:rFonts w:hint="eastAsia" w:ascii="仿宋_GB2312" w:eastAsia="仿宋_GB2312"/>
          <w:b/>
          <w:sz w:val="32"/>
          <w:szCs w:val="32"/>
        </w:rPr>
        <w:t>九是</w:t>
      </w:r>
      <w:r>
        <w:rPr>
          <w:rFonts w:hint="eastAsia" w:ascii="仿宋_GB2312" w:eastAsia="仿宋_GB2312"/>
          <w:sz w:val="32"/>
          <w:szCs w:val="32"/>
        </w:rPr>
        <w:t>完成好区疫情防控指挥部办公室和区领导安排的其他工作事项。</w:t>
      </w:r>
    </w:p>
    <w:p>
      <w:pPr>
        <w:spacing w:line="576" w:lineRule="exact"/>
        <w:ind w:firstLine="643" w:firstLineChars="200"/>
        <w:rPr>
          <w:rFonts w:hint="eastAsia" w:ascii="仿宋_GB2312" w:eastAsia="仿宋_GB2312"/>
          <w:sz w:val="32"/>
          <w:szCs w:val="32"/>
        </w:rPr>
      </w:pPr>
      <w:r>
        <w:rPr>
          <w:rFonts w:hint="eastAsia" w:ascii="楷体_GB2312" w:hAnsi="楷体_GB2312" w:eastAsia="楷体_GB2312" w:cs="楷体_GB2312"/>
          <w:b/>
          <w:bCs w:val="0"/>
          <w:sz w:val="32"/>
          <w:szCs w:val="32"/>
        </w:rPr>
        <w:t>文明城市创建工作</w:t>
      </w:r>
      <w:r>
        <w:rPr>
          <w:rFonts w:hint="eastAsia" w:ascii="楷体_GB2312" w:hAnsi="楷体_GB2312" w:eastAsia="楷体_GB2312" w:cs="楷体_GB2312"/>
          <w:b/>
          <w:bCs w:val="0"/>
          <w:sz w:val="32"/>
          <w:szCs w:val="32"/>
          <w:lang w:eastAsia="zh-CN"/>
        </w:rPr>
        <w:t>：</w:t>
      </w:r>
      <w:r>
        <w:rPr>
          <w:rFonts w:hint="eastAsia" w:ascii="仿宋_GB2312" w:eastAsia="仿宋_GB2312"/>
          <w:b/>
          <w:sz w:val="32"/>
          <w:szCs w:val="32"/>
        </w:rPr>
        <w:t>一是</w:t>
      </w:r>
      <w:r>
        <w:rPr>
          <w:rFonts w:hint="eastAsia" w:ascii="仿宋_GB2312" w:eastAsia="仿宋_GB2312"/>
          <w:sz w:val="32"/>
          <w:szCs w:val="32"/>
        </w:rPr>
        <w:t>联合区综合行政执法局、朝天镇等划分中心城8大片区，绘制“创建第七届全国文明城市包联共建志愿服务朝天城区分布图”，明确牵头部门、包联单位、责任区域及具体责任人，压紧压实包联责任。</w:t>
      </w:r>
      <w:r>
        <w:rPr>
          <w:rFonts w:hint="eastAsia" w:ascii="仿宋_GB2312" w:eastAsia="仿宋_GB2312"/>
          <w:b/>
          <w:sz w:val="32"/>
          <w:szCs w:val="32"/>
        </w:rPr>
        <w:t>二是</w:t>
      </w:r>
      <w:r>
        <w:rPr>
          <w:rFonts w:hint="eastAsia" w:ascii="仿宋_GB2312" w:eastAsia="仿宋_GB2312"/>
          <w:sz w:val="32"/>
          <w:szCs w:val="32"/>
        </w:rPr>
        <w:t>督促包联共建单位紧扣“六大行动”扎实开展“红色星期六”志愿服务和“红色星期五”主题党日活动，攻坚克难“三大重点”和做好常态化包联。</w:t>
      </w:r>
      <w:r>
        <w:rPr>
          <w:rFonts w:hint="eastAsia" w:ascii="仿宋_GB2312" w:eastAsia="仿宋_GB2312"/>
          <w:b/>
          <w:sz w:val="32"/>
          <w:szCs w:val="32"/>
        </w:rPr>
        <w:t>三是</w:t>
      </w:r>
      <w:r>
        <w:rPr>
          <w:rFonts w:hint="eastAsia" w:ascii="仿宋_GB2312" w:eastAsia="仿宋_GB2312"/>
          <w:sz w:val="32"/>
          <w:szCs w:val="32"/>
        </w:rPr>
        <w:t>坚决贯彻落实市区两级文明城市创建会议精神，召开包联共建工作推进会3次，压实八大牵头单位职责，督促八大片区牵头部门与社区签订包联协议，进一步丰富完善“责任清单+任务清单+问题清单”推进办法，有序推进第七届全国文明城市创建工作。</w:t>
      </w:r>
      <w:r>
        <w:rPr>
          <w:rFonts w:hint="eastAsia" w:ascii="仿宋_GB2312" w:eastAsia="仿宋_GB2312"/>
          <w:b/>
          <w:sz w:val="32"/>
          <w:szCs w:val="32"/>
        </w:rPr>
        <w:t>四是</w:t>
      </w:r>
      <w:r>
        <w:rPr>
          <w:rFonts w:hint="eastAsia" w:ascii="仿宋_GB2312" w:eastAsia="仿宋_GB2312"/>
          <w:sz w:val="32"/>
          <w:szCs w:val="32"/>
        </w:rPr>
        <w:t>以文明城市创建包联共建办法为基础，积极探索以包联攻坚深化基层治理的新途径、新机制。</w:t>
      </w:r>
    </w:p>
    <w:p>
      <w:pPr>
        <w:widowControl/>
        <w:autoSpaceDE w:val="0"/>
        <w:adjustRightInd w:val="0"/>
        <w:snapToGrid w:val="0"/>
        <w:spacing w:line="576" w:lineRule="exact"/>
        <w:ind w:firstLine="640" w:firstLineChars="200"/>
        <w:contextualSpacing/>
        <w:jc w:val="left"/>
        <w:rPr>
          <w:rFonts w:ascii="仿宋_GB2312" w:hAnsi="Times New Roman" w:eastAsia="仿宋_GB2312" w:cs="Times New Roman"/>
          <w:color w:val="000000"/>
          <w:kern w:val="0"/>
          <w:sz w:val="32"/>
          <w:szCs w:val="32"/>
          <w:shd w:val="clear" w:color="auto" w:fill="FFFFFF"/>
        </w:rPr>
      </w:pPr>
      <w:r>
        <w:rPr>
          <w:rFonts w:hint="eastAsia" w:ascii="仿宋_GB2312" w:hAnsi="Times New Roman" w:eastAsia="仿宋_GB2312" w:cs="Times New Roman"/>
          <w:color w:val="000000"/>
          <w:kern w:val="0"/>
          <w:sz w:val="32"/>
          <w:szCs w:val="32"/>
          <w:shd w:val="clear" w:color="auto" w:fill="FFFFFF"/>
          <w:lang w:val="en-US" w:eastAsia="zh-CN"/>
        </w:rPr>
        <w:t>3</w:t>
      </w:r>
      <w:r>
        <w:rPr>
          <w:rFonts w:hint="eastAsia" w:ascii="仿宋_GB2312" w:hAnsi="Times New Roman" w:eastAsia="仿宋_GB2312" w:cs="Times New Roman"/>
          <w:color w:val="000000"/>
          <w:kern w:val="0"/>
          <w:sz w:val="32"/>
          <w:szCs w:val="32"/>
          <w:shd w:val="clear" w:color="auto" w:fill="FFFFFF"/>
        </w:rPr>
        <w:t>、预算完成情况</w:t>
      </w:r>
    </w:p>
    <w:p>
      <w:pPr>
        <w:widowControl/>
        <w:autoSpaceDE w:val="0"/>
        <w:adjustRightInd w:val="0"/>
        <w:snapToGrid w:val="0"/>
        <w:spacing w:line="576" w:lineRule="exact"/>
        <w:ind w:firstLine="640" w:firstLineChars="200"/>
        <w:contextualSpacing/>
        <w:jc w:val="left"/>
        <w:rPr>
          <w:rFonts w:ascii="仿宋_GB2312" w:hAnsi="Times New Roman" w:eastAsia="仿宋_GB2312" w:cs="Times New Roman"/>
          <w:color w:val="000000"/>
          <w:kern w:val="0"/>
          <w:sz w:val="32"/>
          <w:szCs w:val="32"/>
          <w:shd w:val="clear" w:color="auto" w:fill="FFFFFF"/>
        </w:rPr>
      </w:pPr>
      <w:r>
        <w:rPr>
          <w:rFonts w:hint="eastAsia" w:ascii="仿宋_GB2312" w:hAnsi="Times New Roman" w:eastAsia="仿宋_GB2312" w:cs="Times New Roman"/>
          <w:color w:val="000000"/>
          <w:kern w:val="0"/>
          <w:sz w:val="32"/>
          <w:szCs w:val="32"/>
          <w:shd w:val="clear" w:color="auto" w:fill="FFFFFF"/>
        </w:rPr>
        <w:t>部门账面显示全年预算收入</w:t>
      </w:r>
      <w:r>
        <w:rPr>
          <w:rFonts w:hint="eastAsia" w:ascii="仿宋_GB2312" w:hAnsi="Times New Roman" w:eastAsia="仿宋_GB2312" w:cs="Times New Roman"/>
          <w:color w:val="000000"/>
          <w:kern w:val="0"/>
          <w:sz w:val="32"/>
          <w:szCs w:val="32"/>
          <w:shd w:val="clear" w:color="auto" w:fill="FFFFFF"/>
          <w:lang w:val="en-US" w:eastAsia="zh-CN"/>
        </w:rPr>
        <w:t>129.71</w:t>
      </w:r>
      <w:r>
        <w:rPr>
          <w:rFonts w:hint="eastAsia" w:ascii="仿宋_GB2312" w:hAnsi="Times New Roman" w:eastAsia="仿宋_GB2312" w:cs="Times New Roman"/>
          <w:color w:val="000000"/>
          <w:kern w:val="0"/>
          <w:sz w:val="32"/>
          <w:szCs w:val="32"/>
          <w:shd w:val="clear" w:color="auto" w:fill="FFFFFF"/>
        </w:rPr>
        <w:t>万元，经核查财政平台显示全年预算收入</w:t>
      </w:r>
      <w:r>
        <w:rPr>
          <w:rFonts w:hint="eastAsia" w:ascii="仿宋_GB2312" w:hAnsi="Times New Roman" w:eastAsia="仿宋_GB2312" w:cs="Times New Roman"/>
          <w:color w:val="000000"/>
          <w:kern w:val="0"/>
          <w:sz w:val="32"/>
          <w:szCs w:val="32"/>
          <w:shd w:val="clear" w:color="auto" w:fill="FFFFFF"/>
          <w:lang w:val="en-US" w:eastAsia="zh-CN"/>
        </w:rPr>
        <w:t>129.71</w:t>
      </w:r>
      <w:r>
        <w:rPr>
          <w:rFonts w:hint="eastAsia" w:ascii="仿宋_GB2312" w:hAnsi="Times New Roman" w:eastAsia="仿宋_GB2312" w:cs="Times New Roman"/>
          <w:color w:val="000000"/>
          <w:kern w:val="0"/>
          <w:sz w:val="32"/>
          <w:szCs w:val="32"/>
          <w:shd w:val="clear" w:color="auto" w:fill="FFFFFF"/>
        </w:rPr>
        <w:t>万元，全年部门支出总额</w:t>
      </w:r>
      <w:r>
        <w:rPr>
          <w:rFonts w:hint="eastAsia" w:ascii="仿宋_GB2312" w:hAnsi="Times New Roman" w:eastAsia="仿宋_GB2312" w:cs="Times New Roman"/>
          <w:color w:val="000000"/>
          <w:kern w:val="0"/>
          <w:sz w:val="32"/>
          <w:szCs w:val="32"/>
          <w:shd w:val="clear" w:color="auto" w:fill="FFFFFF"/>
          <w:lang w:val="en-US" w:eastAsia="zh-CN"/>
        </w:rPr>
        <w:t>129.71</w:t>
      </w:r>
      <w:r>
        <w:rPr>
          <w:rFonts w:hint="eastAsia" w:ascii="仿宋_GB2312" w:hAnsi="Times New Roman" w:eastAsia="仿宋_GB2312" w:cs="Times New Roman"/>
          <w:color w:val="000000"/>
          <w:kern w:val="0"/>
          <w:sz w:val="32"/>
          <w:szCs w:val="32"/>
          <w:shd w:val="clear" w:color="auto" w:fill="FFFFFF"/>
        </w:rPr>
        <w:t>万元，预算完成</w:t>
      </w:r>
      <w:r>
        <w:rPr>
          <w:rFonts w:hint="eastAsia" w:ascii="仿宋_GB2312" w:hAnsi="Times New Roman" w:eastAsia="仿宋_GB2312" w:cs="Times New Roman"/>
          <w:color w:val="000000"/>
          <w:kern w:val="0"/>
          <w:sz w:val="32"/>
          <w:szCs w:val="32"/>
          <w:shd w:val="clear" w:color="auto" w:fill="FFFFFF"/>
          <w:lang w:val="en-US" w:eastAsia="zh-CN"/>
        </w:rPr>
        <w:t>100</w:t>
      </w:r>
      <w:r>
        <w:rPr>
          <w:rFonts w:hint="eastAsia" w:ascii="仿宋_GB2312" w:hAnsi="Times New Roman" w:eastAsia="仿宋_GB2312" w:cs="Times New Roman"/>
          <w:color w:val="000000"/>
          <w:kern w:val="0"/>
          <w:sz w:val="32"/>
          <w:szCs w:val="32"/>
          <w:shd w:val="clear" w:color="auto" w:fill="FFFFFF"/>
        </w:rPr>
        <w:t>%。</w:t>
      </w:r>
    </w:p>
    <w:p>
      <w:pPr>
        <w:widowControl/>
        <w:autoSpaceDE w:val="0"/>
        <w:adjustRightInd w:val="0"/>
        <w:snapToGrid w:val="0"/>
        <w:spacing w:line="576" w:lineRule="exact"/>
        <w:ind w:firstLine="640" w:firstLineChars="200"/>
        <w:contextualSpacing/>
        <w:jc w:val="left"/>
        <w:rPr>
          <w:rFonts w:ascii="楷体_GB2312" w:hAnsi="Times New Roman" w:eastAsia="楷体_GB2312" w:cs="Times New Roman"/>
          <w:color w:val="000000"/>
          <w:kern w:val="0"/>
          <w:sz w:val="32"/>
          <w:szCs w:val="32"/>
          <w:shd w:val="clear" w:color="auto" w:fill="FFFFFF"/>
        </w:rPr>
      </w:pPr>
      <w:r>
        <w:rPr>
          <w:rFonts w:hint="eastAsia" w:ascii="楷体_GB2312" w:hAnsi="Times New Roman" w:eastAsia="楷体_GB2312" w:cs="Times New Roman"/>
          <w:color w:val="000000"/>
          <w:kern w:val="0"/>
          <w:sz w:val="32"/>
          <w:szCs w:val="32"/>
          <w:shd w:val="clear" w:color="auto" w:fill="FFFFFF"/>
        </w:rPr>
        <w:t>（二）结果应用情况。</w:t>
      </w:r>
    </w:p>
    <w:p>
      <w:pPr>
        <w:widowControl/>
        <w:autoSpaceDE w:val="0"/>
        <w:adjustRightInd w:val="0"/>
        <w:snapToGrid w:val="0"/>
        <w:spacing w:line="576" w:lineRule="exact"/>
        <w:ind w:firstLine="640" w:firstLineChars="200"/>
        <w:contextualSpacing/>
        <w:jc w:val="left"/>
        <w:rPr>
          <w:rFonts w:ascii="仿宋_GB2312" w:hAnsi="Times New Roman" w:eastAsia="仿宋_GB2312" w:cs="Times New Roman"/>
          <w:color w:val="000000"/>
          <w:kern w:val="0"/>
          <w:sz w:val="32"/>
          <w:szCs w:val="32"/>
          <w:shd w:val="clear" w:color="auto" w:fill="FFFFFF"/>
        </w:rPr>
      </w:pPr>
      <w:r>
        <w:rPr>
          <w:rFonts w:hint="eastAsia" w:ascii="仿宋_GB2312" w:hAnsi="Times New Roman" w:eastAsia="仿宋_GB2312" w:cs="Times New Roman"/>
          <w:color w:val="000000"/>
          <w:kern w:val="0"/>
          <w:sz w:val="32"/>
          <w:szCs w:val="32"/>
          <w:shd w:val="clear" w:color="auto" w:fill="FFFFFF"/>
        </w:rPr>
        <w:t>按照朝天区财政局要求，朝天区经济合作事务中心开展部门整体支出绩效自评，撰写了部门整体支出绩效自评报告，</w:t>
      </w:r>
      <w:r>
        <w:rPr>
          <w:rFonts w:hint="eastAsia" w:ascii="仿宋_GB2312" w:hAnsi="Times New Roman" w:eastAsia="仿宋_GB2312" w:cs="Times New Roman"/>
          <w:color w:val="auto"/>
          <w:kern w:val="0"/>
          <w:sz w:val="32"/>
          <w:szCs w:val="32"/>
          <w:shd w:val="clear" w:color="auto" w:fill="FFFFFF"/>
        </w:rPr>
        <w:t>自评得分9</w:t>
      </w:r>
      <w:r>
        <w:rPr>
          <w:rFonts w:hint="eastAsia" w:ascii="仿宋_GB2312" w:hAnsi="Times New Roman" w:eastAsia="仿宋_GB2312" w:cs="Times New Roman"/>
          <w:color w:val="auto"/>
          <w:kern w:val="0"/>
          <w:sz w:val="32"/>
          <w:szCs w:val="32"/>
          <w:shd w:val="clear" w:color="auto" w:fill="FFFFFF"/>
          <w:lang w:val="en-US" w:eastAsia="zh-CN"/>
        </w:rPr>
        <w:t>8</w:t>
      </w:r>
      <w:r>
        <w:rPr>
          <w:rFonts w:hint="eastAsia" w:ascii="仿宋_GB2312" w:hAnsi="Times New Roman" w:eastAsia="仿宋_GB2312" w:cs="Times New Roman"/>
          <w:color w:val="auto"/>
          <w:kern w:val="0"/>
          <w:sz w:val="32"/>
          <w:szCs w:val="32"/>
          <w:shd w:val="clear" w:color="auto" w:fill="FFFFFF"/>
        </w:rPr>
        <w:t>分。</w:t>
      </w:r>
      <w:r>
        <w:rPr>
          <w:rFonts w:hint="eastAsia" w:ascii="仿宋_GB2312" w:hAnsi="Times New Roman" w:eastAsia="仿宋_GB2312" w:cs="Times New Roman"/>
          <w:color w:val="000000"/>
          <w:kern w:val="0"/>
          <w:sz w:val="32"/>
          <w:szCs w:val="32"/>
          <w:shd w:val="clear" w:color="auto" w:fill="FFFFFF"/>
        </w:rPr>
        <w:t>按要求向财政部门反馈结果应用情况。</w:t>
      </w:r>
    </w:p>
    <w:p>
      <w:pPr>
        <w:pStyle w:val="2"/>
      </w:pPr>
    </w:p>
    <w:p>
      <w:pPr>
        <w:keepNext w:val="0"/>
        <w:keepLines w:val="0"/>
        <w:pageBreakBefore w:val="0"/>
        <w:widowControl/>
        <w:kinsoku/>
        <w:wordWrap/>
        <w:overflowPunct/>
        <w:topLinePunct w:val="0"/>
        <w:autoSpaceDE w:val="0"/>
        <w:autoSpaceDN/>
        <w:bidi w:val="0"/>
        <w:adjustRightInd w:val="0"/>
        <w:snapToGrid w:val="0"/>
        <w:spacing w:line="500" w:lineRule="exact"/>
        <w:contextualSpacing/>
        <w:jc w:val="left"/>
        <w:textAlignment w:val="auto"/>
        <w:rPr>
          <w:rFonts w:hint="eastAsia" w:ascii="黑体" w:hAnsi="黑体" w:eastAsia="黑体" w:cs="Times New Roman"/>
          <w:color w:val="000000"/>
          <w:spacing w:val="-6"/>
          <w:w w:val="99"/>
          <w:kern w:val="0"/>
          <w:sz w:val="32"/>
          <w:szCs w:val="32"/>
          <w:shd w:val="clear" w:color="auto" w:fill="FFFFFF"/>
        </w:rPr>
      </w:pPr>
      <w:r>
        <w:rPr>
          <w:rFonts w:hint="eastAsia" w:ascii="黑体" w:hAnsi="黑体" w:eastAsia="黑体" w:cs="Times New Roman"/>
          <w:color w:val="000000"/>
          <w:spacing w:val="-6"/>
          <w:w w:val="99"/>
          <w:kern w:val="0"/>
          <w:sz w:val="32"/>
          <w:szCs w:val="32"/>
          <w:shd w:val="clear" w:color="auto" w:fill="FFFFFF"/>
        </w:rPr>
        <w:t>四、评价结论及建议</w:t>
      </w:r>
    </w:p>
    <w:p>
      <w:pPr>
        <w:widowControl/>
        <w:autoSpaceDE w:val="0"/>
        <w:adjustRightInd w:val="0"/>
        <w:snapToGrid w:val="0"/>
        <w:spacing w:line="576" w:lineRule="exact"/>
        <w:ind w:firstLine="640" w:firstLineChars="200"/>
        <w:contextualSpacing/>
        <w:jc w:val="left"/>
        <w:rPr>
          <w:rFonts w:ascii="楷体_GB2312" w:hAnsi="Times New Roman" w:eastAsia="楷体_GB2312" w:cs="Times New Roman"/>
          <w:color w:val="000000"/>
          <w:kern w:val="0"/>
          <w:sz w:val="32"/>
          <w:szCs w:val="32"/>
          <w:shd w:val="clear" w:color="auto" w:fill="FFFFFF"/>
        </w:rPr>
      </w:pPr>
      <w:r>
        <w:rPr>
          <w:rFonts w:hint="eastAsia" w:ascii="楷体_GB2312" w:hAnsi="Times New Roman" w:eastAsia="楷体_GB2312" w:cs="Times New Roman"/>
          <w:color w:val="000000"/>
          <w:kern w:val="0"/>
          <w:sz w:val="32"/>
          <w:szCs w:val="32"/>
          <w:shd w:val="clear" w:color="auto" w:fill="FFFFFF"/>
        </w:rPr>
        <w:t>（一）主要问题及原因分析</w:t>
      </w:r>
    </w:p>
    <w:p>
      <w:pPr>
        <w:widowControl/>
        <w:autoSpaceDE w:val="0"/>
        <w:adjustRightInd w:val="0"/>
        <w:snapToGrid w:val="0"/>
        <w:spacing w:line="576" w:lineRule="exact"/>
        <w:ind w:firstLine="640" w:firstLineChars="200"/>
        <w:contextualSpacing/>
        <w:jc w:val="left"/>
        <w:rPr>
          <w:rFonts w:ascii="仿宋_GB2312" w:hAnsi="Times New Roman" w:eastAsia="仿宋_GB2312" w:cs="Times New Roman"/>
          <w:color w:val="000000"/>
          <w:kern w:val="0"/>
          <w:sz w:val="32"/>
          <w:szCs w:val="32"/>
          <w:shd w:val="clear" w:color="auto" w:fill="FFFFFF"/>
        </w:rPr>
      </w:pPr>
      <w:r>
        <w:rPr>
          <w:rFonts w:hint="eastAsia" w:ascii="仿宋_GB2312" w:hAnsi="Times New Roman" w:eastAsia="仿宋_GB2312" w:cs="Times New Roman"/>
          <w:color w:val="000000"/>
          <w:kern w:val="0"/>
          <w:sz w:val="32"/>
          <w:szCs w:val="32"/>
          <w:shd w:val="clear" w:color="auto" w:fill="FFFFFF"/>
          <w:lang w:eastAsia="zh-CN"/>
        </w:rPr>
        <w:t>区直属机关党建事务</w:t>
      </w:r>
      <w:r>
        <w:rPr>
          <w:rFonts w:hint="eastAsia" w:ascii="仿宋_GB2312" w:hAnsi="Times New Roman" w:eastAsia="仿宋_GB2312" w:cs="Times New Roman"/>
          <w:color w:val="000000"/>
          <w:kern w:val="0"/>
          <w:sz w:val="32"/>
          <w:szCs w:val="32"/>
          <w:shd w:val="clear" w:color="auto" w:fill="FFFFFF"/>
        </w:rPr>
        <w:t>中心在2022年度项目预算执行过程中，严格按照年初预算要求，资金使用方向进行支出。在以后的工作中，在财政资金预算及使用过程中，我们将对资金预算、支出更细化，尽量压缩事业成本支出及项目支出，使财政资金的拨付使用安全、高效，努力达到财政资金效益最大化。</w:t>
      </w:r>
    </w:p>
    <w:p>
      <w:pPr>
        <w:widowControl/>
        <w:autoSpaceDE w:val="0"/>
        <w:adjustRightInd w:val="0"/>
        <w:snapToGrid w:val="0"/>
        <w:spacing w:line="576" w:lineRule="exact"/>
        <w:ind w:firstLine="640" w:firstLineChars="200"/>
        <w:contextualSpacing/>
        <w:jc w:val="left"/>
        <w:rPr>
          <w:rFonts w:ascii="楷体_GB2312" w:hAnsi="Times New Roman" w:eastAsia="楷体_GB2312" w:cs="Times New Roman"/>
          <w:color w:val="000000"/>
          <w:kern w:val="0"/>
          <w:sz w:val="32"/>
          <w:szCs w:val="32"/>
          <w:shd w:val="clear" w:color="auto" w:fill="FFFFFF"/>
        </w:rPr>
      </w:pPr>
      <w:r>
        <w:rPr>
          <w:rFonts w:hint="eastAsia" w:ascii="楷体_GB2312" w:hAnsi="Times New Roman" w:eastAsia="楷体_GB2312" w:cs="Times New Roman"/>
          <w:color w:val="000000"/>
          <w:kern w:val="0"/>
          <w:sz w:val="32"/>
          <w:szCs w:val="32"/>
          <w:shd w:val="clear" w:color="auto" w:fill="FFFFFF"/>
        </w:rPr>
        <w:t>（二）改进的方向和具体措施</w:t>
      </w:r>
    </w:p>
    <w:p>
      <w:pPr>
        <w:widowControl/>
        <w:autoSpaceDE w:val="0"/>
        <w:adjustRightInd w:val="0"/>
        <w:snapToGrid w:val="0"/>
        <w:spacing w:line="576" w:lineRule="exact"/>
        <w:ind w:firstLine="640" w:firstLineChars="200"/>
        <w:contextualSpacing/>
        <w:jc w:val="left"/>
        <w:rPr>
          <w:rFonts w:ascii="仿宋_GB2312" w:hAnsi="Times New Roman" w:eastAsia="仿宋_GB2312" w:cs="Times New Roman"/>
          <w:color w:val="000000"/>
          <w:kern w:val="0"/>
          <w:sz w:val="32"/>
          <w:szCs w:val="32"/>
          <w:shd w:val="clear" w:color="auto" w:fill="FFFFFF"/>
        </w:rPr>
      </w:pPr>
      <w:r>
        <w:rPr>
          <w:rFonts w:hint="eastAsia" w:ascii="仿宋_GB2312" w:hAnsi="Times New Roman" w:eastAsia="仿宋_GB2312" w:cs="Times New Roman"/>
          <w:color w:val="000000"/>
          <w:kern w:val="0"/>
          <w:sz w:val="32"/>
          <w:szCs w:val="32"/>
          <w:shd w:val="clear" w:color="auto" w:fill="FFFFFF"/>
        </w:rPr>
        <w:t>1、细化预算编制工作，认真做好预算的编制。进一步加强单位内部机构各股室的预算管理意识，严格按照预算编制的相关制度和要求进行预算编制。</w:t>
      </w:r>
    </w:p>
    <w:p>
      <w:pPr>
        <w:widowControl/>
        <w:autoSpaceDE w:val="0"/>
        <w:adjustRightInd w:val="0"/>
        <w:snapToGrid w:val="0"/>
        <w:spacing w:line="576" w:lineRule="exact"/>
        <w:ind w:firstLine="640" w:firstLineChars="200"/>
        <w:contextualSpacing/>
        <w:jc w:val="left"/>
        <w:rPr>
          <w:rFonts w:ascii="仿宋_GB2312" w:hAnsi="Times New Roman" w:eastAsia="仿宋_GB2312" w:cs="Times New Roman"/>
          <w:color w:val="000000"/>
          <w:kern w:val="0"/>
          <w:sz w:val="32"/>
          <w:szCs w:val="32"/>
          <w:shd w:val="clear" w:color="auto" w:fill="FFFFFF"/>
        </w:rPr>
      </w:pPr>
      <w:r>
        <w:rPr>
          <w:rFonts w:hint="eastAsia" w:ascii="仿宋_GB2312" w:hAnsi="Times New Roman" w:eastAsia="仿宋_GB2312" w:cs="Times New Roman"/>
          <w:color w:val="000000"/>
          <w:kern w:val="0"/>
          <w:sz w:val="32"/>
          <w:szCs w:val="32"/>
          <w:shd w:val="clear" w:color="auto" w:fill="FFFFFF"/>
        </w:rPr>
        <w:t>2、加强财务管理，严格财务审核。加强单位财务管理，健全单位财务管理制度体系，规范单位财务行为。在费用报账支付时，按照预算规定的费用项目和用途进行资金使用审核、列报支付、财务核算，杜绝超支现象的发生。</w:t>
      </w:r>
    </w:p>
    <w:p>
      <w:pPr>
        <w:widowControl/>
        <w:autoSpaceDE w:val="0"/>
        <w:adjustRightInd w:val="0"/>
        <w:snapToGrid w:val="0"/>
        <w:spacing w:line="576" w:lineRule="exact"/>
        <w:ind w:firstLine="640" w:firstLineChars="200"/>
        <w:contextualSpacing/>
        <w:jc w:val="left"/>
        <w:rPr>
          <w:rFonts w:ascii="仿宋_GB2312" w:hAnsi="Times New Roman" w:eastAsia="仿宋_GB2312" w:cs="Times New Roman"/>
          <w:color w:val="000000"/>
          <w:kern w:val="0"/>
          <w:sz w:val="32"/>
          <w:szCs w:val="32"/>
          <w:shd w:val="clear" w:color="auto" w:fill="FFFFFF"/>
        </w:rPr>
      </w:pPr>
      <w:r>
        <w:rPr>
          <w:rFonts w:hint="eastAsia" w:ascii="仿宋_GB2312" w:hAnsi="Times New Roman" w:eastAsia="仿宋_GB2312" w:cs="Times New Roman"/>
          <w:color w:val="000000"/>
          <w:kern w:val="0"/>
          <w:sz w:val="32"/>
          <w:szCs w:val="32"/>
          <w:shd w:val="clear" w:color="auto" w:fill="FFFFFF"/>
        </w:rPr>
        <w:t>3、完善资产管理，抓好“三公”经费控制。严格编制政府采购年初预算和计划，规范各类资产的购置审批制度、资产出租出借和收入管理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pPr>
        <w:keepNext w:val="0"/>
        <w:keepLines w:val="0"/>
        <w:pageBreakBefore w:val="0"/>
        <w:widowControl/>
        <w:kinsoku/>
        <w:wordWrap/>
        <w:overflowPunct/>
        <w:topLinePunct w:val="0"/>
        <w:autoSpaceDE w:val="0"/>
        <w:autoSpaceDN/>
        <w:bidi w:val="0"/>
        <w:adjustRightInd w:val="0"/>
        <w:snapToGrid w:val="0"/>
        <w:spacing w:line="500" w:lineRule="exact"/>
        <w:ind w:firstLine="640" w:firstLineChars="200"/>
        <w:contextualSpacing/>
        <w:jc w:val="left"/>
        <w:textAlignment w:val="auto"/>
        <w:rPr>
          <w:rFonts w:hint="eastAsia" w:ascii="仿宋_GB2312" w:hAnsi="Times New Roman" w:eastAsia="仿宋_GB2312" w:cs="Times New Roman"/>
          <w:color w:val="000000"/>
          <w:kern w:val="0"/>
          <w:sz w:val="32"/>
          <w:szCs w:val="32"/>
          <w:shd w:val="clear" w:color="auto" w:fill="FFFFFF"/>
        </w:rPr>
      </w:pPr>
      <w:r>
        <w:rPr>
          <w:rFonts w:hint="eastAsia" w:ascii="仿宋_GB2312" w:hAnsi="Times New Roman" w:eastAsia="仿宋_GB2312" w:cs="Times New Roman"/>
          <w:color w:val="000000"/>
          <w:kern w:val="0"/>
          <w:sz w:val="32"/>
          <w:szCs w:val="32"/>
          <w:shd w:val="clear" w:color="auto" w:fill="FFFFFF"/>
        </w:rPr>
        <w:t>4、对相关人员加强培训。特别是针对《预算法》、《行政事业单位会计制度》等学习培训，规范部门预算收支核算，切实提高部门预算收支管理水平。</w:t>
      </w:r>
    </w:p>
    <w:p>
      <w:pPr>
        <w:pStyle w:val="2"/>
        <w:rPr>
          <w:rFonts w:hint="eastAsia" w:ascii="仿宋_GB2312" w:hAnsi="Times New Roman" w:eastAsia="仿宋_GB2312" w:cs="Times New Roman"/>
          <w:color w:val="000000"/>
          <w:kern w:val="0"/>
          <w:sz w:val="32"/>
          <w:szCs w:val="32"/>
          <w:shd w:val="clear" w:color="auto" w:fill="FFFFFF"/>
        </w:rPr>
      </w:pPr>
    </w:p>
    <w:p>
      <w:pPr>
        <w:rPr>
          <w:rFonts w:hint="eastAsia"/>
        </w:rPr>
      </w:pPr>
    </w:p>
    <w:p>
      <w:pPr>
        <w:pStyle w:val="2"/>
        <w:ind w:left="0" w:leftChars="0" w:firstLine="0" w:firstLineChars="0"/>
        <w:jc w:val="center"/>
        <w:outlineLvl w:val="1"/>
        <w:rPr>
          <w:rFonts w:hint="eastAsia" w:ascii="方正小标宋简体" w:hAnsi="方正小标宋简体" w:eastAsia="方正小标宋简体" w:cs="方正小标宋简体"/>
          <w:color w:val="auto"/>
          <w:sz w:val="44"/>
          <w:szCs w:val="44"/>
          <w:highlight w:val="none"/>
          <w:lang w:val="en-US" w:eastAsia="zh-CN"/>
        </w:rPr>
      </w:pPr>
      <w:bookmarkStart w:id="85" w:name="_Toc23727"/>
      <w:r>
        <w:rPr>
          <w:rFonts w:hint="eastAsia" w:ascii="方正小标宋简体" w:hAnsi="方正小标宋简体" w:eastAsia="方正小标宋简体" w:cs="方正小标宋简体"/>
          <w:color w:val="auto"/>
          <w:sz w:val="44"/>
          <w:szCs w:val="44"/>
          <w:highlight w:val="none"/>
          <w:lang w:val="en-US" w:eastAsia="zh-CN"/>
        </w:rPr>
        <w:t>部门预算项目支出绩效自评表（2022年度）</w:t>
      </w:r>
      <w:bookmarkEnd w:id="85"/>
    </w:p>
    <w:tbl>
      <w:tblPr>
        <w:tblStyle w:val="16"/>
        <w:tblW w:w="147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3"/>
        <w:gridCol w:w="2046"/>
        <w:gridCol w:w="1770"/>
        <w:gridCol w:w="2257"/>
        <w:gridCol w:w="1082"/>
        <w:gridCol w:w="1111"/>
        <w:gridCol w:w="1244"/>
        <w:gridCol w:w="1095"/>
        <w:gridCol w:w="844"/>
        <w:gridCol w:w="844"/>
        <w:gridCol w:w="17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20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51081221R000000033316-其他对个人和家庭补助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4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广元市朝天区直属机关党建事务中心部门</w:t>
            </w:r>
          </w:p>
        </w:tc>
        <w:tc>
          <w:tcPr>
            <w:tcW w:w="1095"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4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广元市朝天区直属机关党建事务中心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4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5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2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74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5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20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严格执行相关政策，及时、足额发放优秀公务员奖励。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预算</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执行率</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0.15</w:t>
            </w:r>
          </w:p>
        </w:tc>
        <w:tc>
          <w:tcPr>
            <w:tcW w:w="3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99.00%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0.15</w:t>
            </w:r>
          </w:p>
        </w:tc>
        <w:tc>
          <w:tcPr>
            <w:tcW w:w="3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99.00%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3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12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408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项目实施达到了预期的社会效益，绩效目标完全实现，为我中心在下一年工作推进和预算安排上提供了对比数据。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408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408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8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项目负责人：田朝儒</w:t>
            </w:r>
          </w:p>
        </w:tc>
        <w:tc>
          <w:tcPr>
            <w:tcW w:w="69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财务负责人：孙勃存</w:t>
            </w:r>
          </w:p>
        </w:tc>
      </w:tr>
    </w:tbl>
    <w:p>
      <w:pPr>
        <w:jc w:val="center"/>
        <w:outlineLvl w:val="1"/>
        <w:rPr>
          <w:rFonts w:hint="eastAsia" w:ascii="方正小标宋简体" w:hAnsi="方正小标宋简体" w:eastAsia="方正小标宋简体" w:cs="方正小标宋简体"/>
          <w:b w:val="0"/>
          <w:bCs w:val="0"/>
          <w:sz w:val="44"/>
          <w:szCs w:val="44"/>
        </w:rPr>
      </w:pPr>
      <w:bookmarkStart w:id="86" w:name="_Toc30951"/>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部门预算项目支出绩效自评表（2022年度）</w:t>
      </w:r>
      <w:bookmarkEnd w:id="86"/>
    </w:p>
    <w:tbl>
      <w:tblPr>
        <w:tblStyle w:val="16"/>
        <w:tblW w:w="1416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4"/>
        <w:gridCol w:w="2052"/>
        <w:gridCol w:w="1775"/>
        <w:gridCol w:w="2264"/>
        <w:gridCol w:w="521"/>
        <w:gridCol w:w="1677"/>
        <w:gridCol w:w="521"/>
        <w:gridCol w:w="1091"/>
        <w:gridCol w:w="565"/>
        <w:gridCol w:w="456"/>
        <w:gridCol w:w="25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51081221R000000033747-独子费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广元市朝天区直属机关党建事务中心部门</w:t>
            </w:r>
          </w:p>
        </w:tc>
        <w:tc>
          <w:tcPr>
            <w:tcW w:w="1091"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广元市朝天区直属机关党建事务中心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该项目为人员类项目，主要保障部门内在职人员中有独生子女情况的四名同志，为其发放独子费。2022年，该预算项目资金按月支付，及时足额发放，预算执行率100%，年末无资金结余情况。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预算</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执行率</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0.08</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0.09</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84.78%</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0.08</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0.09</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84.78%</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7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项目实施达到了预期的社会效益，绩效目标完全实现，为我中心在下一年工作推进和预算安排上提供了对比数据。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7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7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项目负责人：田朝儒</w:t>
            </w:r>
          </w:p>
        </w:tc>
        <w:tc>
          <w:tcPr>
            <w:tcW w:w="686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财务负责人：孙勃存</w:t>
            </w:r>
          </w:p>
        </w:tc>
      </w:tr>
    </w:tbl>
    <w:p>
      <w:pPr>
        <w:pStyle w:val="2"/>
        <w:ind w:left="0" w:leftChars="0" w:firstLine="0" w:firstLineChars="0"/>
        <w:jc w:val="center"/>
        <w:outlineLvl w:val="1"/>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pPr>
      <w:bookmarkStart w:id="87" w:name="_Toc14237"/>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部门预算项目支出绩效自评表（2022年度）</w:t>
      </w:r>
      <w:bookmarkEnd w:id="87"/>
    </w:p>
    <w:tbl>
      <w:tblPr>
        <w:tblStyle w:val="16"/>
        <w:tblW w:w="142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1"/>
        <w:gridCol w:w="2017"/>
        <w:gridCol w:w="1749"/>
        <w:gridCol w:w="2226"/>
        <w:gridCol w:w="1015"/>
        <w:gridCol w:w="795"/>
        <w:gridCol w:w="1020"/>
        <w:gridCol w:w="1085"/>
        <w:gridCol w:w="576"/>
        <w:gridCol w:w="576"/>
        <w:gridCol w:w="25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54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51081221R000000033767-目标绩效奖(公务员及参公人员)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8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广元市朝天区直属机关党建事务中心部门</w:t>
            </w:r>
          </w:p>
        </w:tc>
        <w:tc>
          <w:tcPr>
            <w:tcW w:w="1085"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6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广元市朝天区直属机关党建事务中心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8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7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2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8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47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54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该项目为人员类项目，主要保障部门3名公务员目标绩效奖。2022年，该预算项目资金按月支付，及时足额发放，预算执行率100%，年末无资金结余情况。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8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18.00</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14.54</w:t>
            </w:r>
          </w:p>
        </w:tc>
        <w:tc>
          <w:tcPr>
            <w:tcW w:w="28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14.54</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18.00</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14.54</w:t>
            </w:r>
          </w:p>
        </w:tc>
        <w:tc>
          <w:tcPr>
            <w:tcW w:w="28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14.54</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28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05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5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项目实施达到了预期的经济效益，社会效益，绩效目标完全实现，为我中心在下一年工作推进和预算安排上提供了对比数据。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5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5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6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项目负责人：田翰儒</w:t>
            </w:r>
          </w:p>
        </w:tc>
        <w:tc>
          <w:tcPr>
            <w:tcW w:w="65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财务负责人：孙勃存</w:t>
            </w:r>
          </w:p>
        </w:tc>
      </w:tr>
    </w:tbl>
    <w:p>
      <w:pPr>
        <w:jc w:val="center"/>
        <w:outlineLvl w:val="1"/>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pPr>
      <w:bookmarkStart w:id="88" w:name="_Toc27406"/>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部门预算项目支出绩效自评表（2022年度）</w:t>
      </w:r>
      <w:bookmarkEnd w:id="88"/>
    </w:p>
    <w:tbl>
      <w:tblPr>
        <w:tblStyle w:val="16"/>
        <w:tblW w:w="143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2"/>
        <w:gridCol w:w="2018"/>
        <w:gridCol w:w="1747"/>
        <w:gridCol w:w="2225"/>
        <w:gridCol w:w="971"/>
        <w:gridCol w:w="915"/>
        <w:gridCol w:w="1017"/>
        <w:gridCol w:w="1083"/>
        <w:gridCol w:w="576"/>
        <w:gridCol w:w="576"/>
        <w:gridCol w:w="25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61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51081221R000000051755-其他交通费用（公务用车改革补贴）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8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广元市朝天区直属机关党建事务中心部门</w:t>
            </w:r>
          </w:p>
        </w:tc>
        <w:tc>
          <w:tcPr>
            <w:tcW w:w="1083"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6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广元市朝天区直属机关党建事务中心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8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7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2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8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47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61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该项目为人员类项目，主要保障部门3名公务员和1名行政工人2022年度车补。2022年，该预算项目资金按季度支付，及时足额发放，预算执行率100%，年末无资金结余情况。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9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5.52</w:t>
            </w: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5.52</w:t>
            </w:r>
          </w:p>
        </w:tc>
        <w:tc>
          <w:tcPr>
            <w:tcW w:w="29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3.93</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71.19%</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5.52</w:t>
            </w: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5.52</w:t>
            </w:r>
          </w:p>
        </w:tc>
        <w:tc>
          <w:tcPr>
            <w:tcW w:w="29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3.93</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71.19%</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29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065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63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项目实施达到了预期的经济效益，社会效益，绩效目标完全实现，为我中心在下一年工作推进和预算安排上提供了对比数据。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63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63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64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项目负责人：田朝儒</w:t>
            </w:r>
          </w:p>
        </w:tc>
        <w:tc>
          <w:tcPr>
            <w:tcW w:w="667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财务负责人：孙勃存</w:t>
            </w:r>
          </w:p>
        </w:tc>
      </w:tr>
    </w:tbl>
    <w:p>
      <w:pPr>
        <w:pStyle w:val="2"/>
        <w:ind w:left="0" w:leftChars="0" w:firstLine="0" w:firstLineChars="0"/>
        <w:jc w:val="center"/>
        <w:outlineLvl w:val="1"/>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pPr>
      <w:bookmarkStart w:id="89" w:name="_Toc17648"/>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部门预算项目支出绩效自评表（2022年度）</w:t>
      </w:r>
      <w:bookmarkEnd w:id="89"/>
    </w:p>
    <w:tbl>
      <w:tblPr>
        <w:tblStyle w:val="16"/>
        <w:tblW w:w="141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1"/>
        <w:gridCol w:w="1712"/>
        <w:gridCol w:w="1110"/>
        <w:gridCol w:w="2985"/>
        <w:gridCol w:w="708"/>
        <w:gridCol w:w="282"/>
        <w:gridCol w:w="795"/>
        <w:gridCol w:w="785"/>
        <w:gridCol w:w="220"/>
        <w:gridCol w:w="865"/>
        <w:gridCol w:w="303"/>
        <w:gridCol w:w="576"/>
        <w:gridCol w:w="576"/>
        <w:gridCol w:w="25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70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51081221Y000000052199-金财网维护费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6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广元市朝天区直属机关党建事务中心部门</w:t>
            </w:r>
          </w:p>
        </w:tc>
        <w:tc>
          <w:tcPr>
            <w:tcW w:w="1085" w:type="dxa"/>
            <w:gridSpan w:val="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9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广元市朝天区直属机关党建事务中心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6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50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6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c>
          <w:tcPr>
            <w:tcW w:w="50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70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该项目为特定目标类项目，主要保障部门金财网专线正常运转。2022年，该预算项目资金年中一次性支付，预算执行率100%，年末无资金结余情况。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1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27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11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27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11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27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11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1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1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044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项目实施达到了预期的经济效益，社会效益，绩效目标完全实现，为我中心在下一年工作推进和预算安排上提供了对比数据。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1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项目负责人：田朝儒</w:t>
            </w:r>
          </w:p>
        </w:tc>
        <w:tc>
          <w:tcPr>
            <w:tcW w:w="690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财务负责人：孙勃存</w:t>
            </w:r>
          </w:p>
        </w:tc>
      </w:tr>
    </w:tbl>
    <w:p>
      <w:pPr>
        <w:jc w:val="center"/>
        <w:outlineLvl w:val="1"/>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pPr>
      <w:bookmarkStart w:id="90" w:name="_Toc20956"/>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部门预算项目支出绩效自评表（2022年度）</w:t>
      </w:r>
      <w:bookmarkEnd w:id="90"/>
    </w:p>
    <w:tbl>
      <w:tblPr>
        <w:tblStyle w:val="16"/>
        <w:tblW w:w="1429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4"/>
        <w:gridCol w:w="2051"/>
        <w:gridCol w:w="1775"/>
        <w:gridCol w:w="2263"/>
        <w:gridCol w:w="1065"/>
        <w:gridCol w:w="825"/>
        <w:gridCol w:w="1020"/>
        <w:gridCol w:w="1091"/>
        <w:gridCol w:w="624"/>
        <w:gridCol w:w="615"/>
        <w:gridCol w:w="22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5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51081222R000005136042-工资性支出（行政）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9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广元市朝天区直属机关党建事务中心部门</w:t>
            </w:r>
          </w:p>
        </w:tc>
        <w:tc>
          <w:tcPr>
            <w:tcW w:w="1091"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广元市朝天区直属机关党建事务中心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jc w:val="center"/>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9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9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5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该项目为人员类项目，主要保障部门3名公务员和1名行政工人2022年度工资，包括基本工资、津贴补贴等。2022年，该预算项目资金按月支付，及时足额发放，预算执行率100%，年末无资金结余情况。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43.59</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38.63</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37.34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96.68%</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2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43.59</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38.63</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37.34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96.68%</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077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6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项目实施达到了预期的经济效益，社会效益，绩效目标完全实现，为我中心在下一年工作推进和预算安排上提供了对比数据。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6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6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8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项目负责人：田朝儒</w:t>
            </w:r>
          </w:p>
        </w:tc>
        <w:tc>
          <w:tcPr>
            <w:tcW w:w="64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财务负责人：孙勃存</w:t>
            </w:r>
          </w:p>
        </w:tc>
      </w:tr>
    </w:tbl>
    <w:p>
      <w:pPr>
        <w:rPr>
          <w:rFonts w:hint="eastAsia"/>
          <w:lang w:val="en-US" w:eastAsia="zh-CN"/>
        </w:rPr>
      </w:pPr>
      <w:r>
        <w:rPr>
          <w:rFonts w:hint="eastAsia"/>
          <w:lang w:val="en-US" w:eastAsia="zh-CN"/>
        </w:rPr>
        <w:br w:type="page"/>
      </w:r>
    </w:p>
    <w:p>
      <w:pPr>
        <w:jc w:val="center"/>
        <w:outlineLvl w:val="1"/>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pPr>
      <w:bookmarkStart w:id="91" w:name="_Toc13772"/>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部门预算项目支出绩效自评表（2022年度）</w:t>
      </w:r>
      <w:bookmarkEnd w:id="91"/>
    </w:p>
    <w:tbl>
      <w:tblPr>
        <w:tblStyle w:val="16"/>
        <w:tblW w:w="141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4"/>
        <w:gridCol w:w="2051"/>
        <w:gridCol w:w="1775"/>
        <w:gridCol w:w="2263"/>
        <w:gridCol w:w="975"/>
        <w:gridCol w:w="780"/>
        <w:gridCol w:w="964"/>
        <w:gridCol w:w="1091"/>
        <w:gridCol w:w="505"/>
        <w:gridCol w:w="456"/>
        <w:gridCol w:w="25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51081222R000005136246-工资性支出（事业）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广元市朝天区直属机关党建事务中心部门</w:t>
            </w:r>
          </w:p>
        </w:tc>
        <w:tc>
          <w:tcPr>
            <w:tcW w:w="1091"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广元市朝天区直属机关党建事务中心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jc w:val="center"/>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该项目为人员类项目，主要保障部门3名事业人员2022年度工资，包括基本工资、津贴补贴、绩效工资等。2022年，该预算项目资金按月支付，及时足额发放，预算执行率100%，年末无资金结余情况。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11.78</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13.41</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12.37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92.22%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11.78</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13.41</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12.37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92.22%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项目实施达到了预期的经济效益，社会效益，绩效目标完全实现，为我中心在下一年工作推进和预算安排上提供了对比数据。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7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项目负责人：田朝儒</w:t>
            </w:r>
          </w:p>
        </w:tc>
        <w:tc>
          <w:tcPr>
            <w:tcW w:w="635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财务负责人：孙勃存</w:t>
            </w:r>
          </w:p>
        </w:tc>
      </w:tr>
    </w:tbl>
    <w:p>
      <w:pPr>
        <w:pStyle w:val="2"/>
        <w:rPr>
          <w:rFonts w:hint="eastAsia"/>
          <w:lang w:val="en-US" w:eastAsia="zh-CN"/>
        </w:rPr>
      </w:pPr>
    </w:p>
    <w:p>
      <w:pPr>
        <w:jc w:val="center"/>
        <w:outlineLvl w:val="1"/>
        <w:rPr>
          <w:rFonts w:hint="eastAsia" w:ascii="黑体" w:hAnsi="黑体" w:eastAsia="黑体"/>
          <w:color w:val="auto"/>
          <w:sz w:val="44"/>
          <w:szCs w:val="44"/>
          <w:highlight w:val="none"/>
        </w:rPr>
      </w:pPr>
      <w:r>
        <w:rPr>
          <w:rFonts w:hint="eastAsia" w:ascii="黑体" w:hAnsi="黑体" w:eastAsia="黑体"/>
          <w:color w:val="auto"/>
          <w:sz w:val="44"/>
          <w:szCs w:val="44"/>
          <w:highlight w:val="none"/>
        </w:rPr>
        <w:br w:type="page"/>
      </w:r>
      <w:bookmarkStart w:id="92" w:name="_Toc6801"/>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部门预算项目支出绩效自评表（2022年度）</w:t>
      </w:r>
      <w:bookmarkEnd w:id="92"/>
    </w:p>
    <w:tbl>
      <w:tblPr>
        <w:tblStyle w:val="16"/>
        <w:tblW w:w="141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3"/>
        <w:gridCol w:w="2046"/>
        <w:gridCol w:w="1770"/>
        <w:gridCol w:w="2257"/>
        <w:gridCol w:w="977"/>
        <w:gridCol w:w="765"/>
        <w:gridCol w:w="972"/>
        <w:gridCol w:w="1090"/>
        <w:gridCol w:w="505"/>
        <w:gridCol w:w="486"/>
        <w:gridCol w:w="25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51081222R000005136461-基本养老保险（行政）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广元市朝天区直属机关党建事务中心部门</w:t>
            </w:r>
          </w:p>
        </w:tc>
        <w:tc>
          <w:tcPr>
            <w:tcW w:w="1090"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广元市朝天区直属机关党建事务中心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jc w:val="center"/>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2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该项目为人员类项目，主要保障部门4名公务员和1名行政工人2022年度养老保险缴费等。2022年，该预算项目资金按月支付，及时足额缴纳，预算执行率100%，年末无资金结余情况。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6.94</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5.17</w:t>
            </w:r>
          </w:p>
        </w:tc>
        <w:tc>
          <w:tcPr>
            <w:tcW w:w="27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5.17</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6.94</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5.17</w:t>
            </w:r>
          </w:p>
        </w:tc>
        <w:tc>
          <w:tcPr>
            <w:tcW w:w="27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5.17</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27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056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项目实施达到了预期的经济效益，社会效益，绩效目标完全实现，为我中心在下一年工作推进和预算安排上提供了对比数据。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7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项目负责人：田朝儒</w:t>
            </w:r>
          </w:p>
        </w:tc>
        <w:tc>
          <w:tcPr>
            <w:tcW w:w="636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财务负责人：孙勃存</w:t>
            </w:r>
          </w:p>
        </w:tc>
      </w:tr>
    </w:tbl>
    <w:p>
      <w:pPr>
        <w:rPr>
          <w:rFonts w:hint="eastAsia"/>
        </w:rPr>
      </w:pPr>
      <w:r>
        <w:rPr>
          <w:rFonts w:hint="eastAsia"/>
        </w:rPr>
        <w:br w:type="page"/>
      </w:r>
    </w:p>
    <w:p>
      <w:pPr>
        <w:jc w:val="center"/>
        <w:outlineLvl w:val="1"/>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pPr>
      <w:bookmarkStart w:id="93" w:name="_Toc26745"/>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部门预算项目支出绩效自评表（2022年度）</w:t>
      </w:r>
      <w:bookmarkEnd w:id="93"/>
    </w:p>
    <w:tbl>
      <w:tblPr>
        <w:tblStyle w:val="16"/>
        <w:tblW w:w="141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3"/>
        <w:gridCol w:w="2046"/>
        <w:gridCol w:w="1770"/>
        <w:gridCol w:w="2257"/>
        <w:gridCol w:w="1007"/>
        <w:gridCol w:w="765"/>
        <w:gridCol w:w="942"/>
        <w:gridCol w:w="1090"/>
        <w:gridCol w:w="505"/>
        <w:gridCol w:w="486"/>
        <w:gridCol w:w="25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51081222R000005136839-基本养老保险（事业）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广元市朝天区直属机关党建事务中心部门</w:t>
            </w:r>
          </w:p>
        </w:tc>
        <w:tc>
          <w:tcPr>
            <w:tcW w:w="1090"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广元市朝天区直属机关党建事务中心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jc w:val="center"/>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2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该项目为人员类项目，主要保障部门3名事业人员2022年度养老保险缴费等。2022年，该预算项目资金按月支付，及时足额缴纳，预算执行率100%，年末无资金结余情况。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1.87</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2.49</w:t>
            </w:r>
          </w:p>
        </w:tc>
        <w:tc>
          <w:tcPr>
            <w:tcW w:w="27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1.95</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78.22%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1.87</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2.49</w:t>
            </w:r>
          </w:p>
        </w:tc>
        <w:tc>
          <w:tcPr>
            <w:tcW w:w="27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1.95</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78.22%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27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056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项目实施达到了预期的经济效益，社会效益，绩效目标完全实现，为我中心在下一年工作推进和预算安排上提供了对比数据。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项目负责人：田朝儒</w:t>
            </w:r>
          </w:p>
        </w:tc>
        <w:tc>
          <w:tcPr>
            <w:tcW w:w="63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财务负责人：孙勃存</w:t>
            </w:r>
          </w:p>
        </w:tc>
      </w:tr>
    </w:tbl>
    <w:p>
      <w:pPr>
        <w:rPr>
          <w:rFonts w:hint="eastAsia"/>
        </w:rPr>
      </w:pPr>
      <w:r>
        <w:rPr>
          <w:rFonts w:hint="eastAsia"/>
        </w:rPr>
        <w:br w:type="page"/>
      </w:r>
    </w:p>
    <w:p>
      <w:pPr>
        <w:jc w:val="center"/>
        <w:outlineLvl w:val="1"/>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pPr>
      <w:bookmarkStart w:id="94" w:name="_Toc16457"/>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部门预算项目支出绩效自评表（2022年度）</w:t>
      </w:r>
      <w:bookmarkEnd w:id="94"/>
    </w:p>
    <w:tbl>
      <w:tblPr>
        <w:tblStyle w:val="16"/>
        <w:tblW w:w="141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3"/>
        <w:gridCol w:w="2046"/>
        <w:gridCol w:w="1770"/>
        <w:gridCol w:w="2257"/>
        <w:gridCol w:w="992"/>
        <w:gridCol w:w="780"/>
        <w:gridCol w:w="942"/>
        <w:gridCol w:w="1090"/>
        <w:gridCol w:w="505"/>
        <w:gridCol w:w="486"/>
        <w:gridCol w:w="25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51081222R000005137025-基本医疗保险（行政）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广元市朝天区直属机关党建事务中心部门</w:t>
            </w:r>
          </w:p>
        </w:tc>
        <w:tc>
          <w:tcPr>
            <w:tcW w:w="1090"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广元市朝天区直属机关党建事务中心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jc w:val="center"/>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2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该项目为人员类项目，主要保障部门3名公务员和1名行政工人2022年度医疗保险缴费等。2022年，该预算项目资金按月支付，及时足额缴纳，预算执行率100%，年末无资金结余情况。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3.31</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2.80</w:t>
            </w:r>
          </w:p>
        </w:tc>
        <w:tc>
          <w:tcPr>
            <w:tcW w:w="27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99.99%</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3.31</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2.80</w:t>
            </w:r>
          </w:p>
        </w:tc>
        <w:tc>
          <w:tcPr>
            <w:tcW w:w="27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99.99%</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27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056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项目实施达到了预期的经济效益，社会效益，绩效目标完全实现，为我中心在下一年工作推进和预算安排上提供了对比数据。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7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项目负责人：田朝儒</w:t>
            </w:r>
          </w:p>
        </w:tc>
        <w:tc>
          <w:tcPr>
            <w:tcW w:w="635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财务负责人：孙勃存</w:t>
            </w:r>
          </w:p>
        </w:tc>
      </w:tr>
    </w:tbl>
    <w:p>
      <w:pPr>
        <w:pStyle w:val="2"/>
        <w:rPr>
          <w:rFonts w:hint="eastAsia"/>
          <w:lang w:val="en-US" w:eastAsia="zh-CN"/>
        </w:rPr>
      </w:pPr>
    </w:p>
    <w:p>
      <w:pPr>
        <w:pStyle w:val="2"/>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sectPr>
          <w:footerReference r:id="rId4" w:type="first"/>
          <w:footerReference r:id="rId3" w:type="default"/>
          <w:pgSz w:w="11906" w:h="16838"/>
          <w:pgMar w:top="1134" w:right="1134" w:bottom="1134" w:left="1134" w:header="851" w:footer="992" w:gutter="0"/>
          <w:pgNumType w:fmt="decimal" w:start="1"/>
          <w:cols w:space="0" w:num="1"/>
          <w:rtlGutter w:val="0"/>
          <w:docGrid w:type="lines" w:linePitch="312" w:charSpace="0"/>
        </w:sectPr>
      </w:pPr>
    </w:p>
    <w:p>
      <w:pPr>
        <w:jc w:val="center"/>
        <w:outlineLvl w:val="1"/>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pPr>
      <w:bookmarkStart w:id="95" w:name="_Toc4527"/>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部门预算项目支出绩效自评表（2022年度）</w:t>
      </w:r>
      <w:bookmarkEnd w:id="95"/>
    </w:p>
    <w:tbl>
      <w:tblPr>
        <w:tblStyle w:val="16"/>
        <w:tblW w:w="141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3"/>
        <w:gridCol w:w="2046"/>
        <w:gridCol w:w="1770"/>
        <w:gridCol w:w="2257"/>
        <w:gridCol w:w="1007"/>
        <w:gridCol w:w="810"/>
        <w:gridCol w:w="1050"/>
        <w:gridCol w:w="937"/>
        <w:gridCol w:w="505"/>
        <w:gridCol w:w="486"/>
        <w:gridCol w:w="25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51081222R000005137228-基本医疗保险（事业）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广元市朝天区直属机关党建事务中心部门</w:t>
            </w:r>
          </w:p>
        </w:tc>
        <w:tc>
          <w:tcPr>
            <w:tcW w:w="937"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广元市朝天区直属机关党建事务中心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4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2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4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该项目为人员类项目，主要保障部门3名事业人员2022年度医疗保险缴费等。2022年，该预算项目资金按月支付，及时足额缴纳，预算执行率100%，年末无资金结余情况。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0.94</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0.99</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99.12%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0.94</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0.99</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99.12%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2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056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项目实施达到了预期的经济效益，社会效益，绩效目标完全实现，为我中心在下一年工作推进和预算安排上提供了对比数据。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项目负责人：田朝儒</w:t>
            </w:r>
          </w:p>
        </w:tc>
        <w:tc>
          <w:tcPr>
            <w:tcW w:w="63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财务负责人：孙勃存</w:t>
            </w:r>
          </w:p>
        </w:tc>
      </w:tr>
    </w:tbl>
    <w:p>
      <w:pPr>
        <w:pStyle w:val="2"/>
        <w:rPr>
          <w:rFonts w:hint="eastAsia"/>
          <w:lang w:val="en-US" w:eastAsia="zh-CN"/>
        </w:rPr>
      </w:pPr>
    </w:p>
    <w:p>
      <w:pPr>
        <w:pStyle w:val="2"/>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sectPr>
          <w:footerReference r:id="rId5" w:type="default"/>
          <w:pgSz w:w="16838" w:h="11906" w:orient="landscape"/>
          <w:pgMar w:top="1134" w:right="1134" w:bottom="1134" w:left="1134" w:header="851" w:footer="992" w:gutter="0"/>
          <w:pgNumType w:fmt="decimal" w:start="42"/>
          <w:cols w:space="0" w:num="1"/>
          <w:rtlGutter w:val="0"/>
          <w:docGrid w:type="lines" w:linePitch="312" w:charSpace="0"/>
        </w:sectPr>
      </w:pPr>
    </w:p>
    <w:p>
      <w:pPr>
        <w:jc w:val="center"/>
        <w:outlineLvl w:val="1"/>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pPr>
      <w:bookmarkStart w:id="96" w:name="_Toc31402"/>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部门预算项目支出绩效自评表（2022年度）</w:t>
      </w:r>
      <w:bookmarkEnd w:id="96"/>
    </w:p>
    <w:tbl>
      <w:tblPr>
        <w:tblStyle w:val="16"/>
        <w:tblW w:w="141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4"/>
        <w:gridCol w:w="2046"/>
        <w:gridCol w:w="1770"/>
        <w:gridCol w:w="2257"/>
        <w:gridCol w:w="1021"/>
        <w:gridCol w:w="795"/>
        <w:gridCol w:w="990"/>
        <w:gridCol w:w="998"/>
        <w:gridCol w:w="505"/>
        <w:gridCol w:w="486"/>
        <w:gridCol w:w="2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51081222R000005137604-住房公积金（行政）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8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广元市朝天区直属机关党建事务中心部门</w:t>
            </w:r>
          </w:p>
        </w:tc>
        <w:tc>
          <w:tcPr>
            <w:tcW w:w="998"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广元市朝天区直属机关党建事务中心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8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5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2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8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5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该项目为人员类项目，主要保障部门3名公务员和1名行政工人2022年度住房公积金缴费等。2022年，该预算项目资金按月支付，及时足额缴纳，预算执行率100%，年末无资金结余情况。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8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4.97</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5.43</w:t>
            </w:r>
          </w:p>
        </w:tc>
        <w:tc>
          <w:tcPr>
            <w:tcW w:w="28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5.43</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4.97</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5.43</w:t>
            </w:r>
          </w:p>
        </w:tc>
        <w:tc>
          <w:tcPr>
            <w:tcW w:w="28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5.43</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28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056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项目实施达到了预期的经济效益，社会效益，绩效目标完全实现，为我中心在下一年工作推进和预算安排上提供了对比数据。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7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项目负责人：田朝儒</w:t>
            </w:r>
          </w:p>
        </w:tc>
        <w:tc>
          <w:tcPr>
            <w:tcW w:w="632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财务负责人：孙勃存</w:t>
            </w:r>
          </w:p>
        </w:tc>
      </w:tr>
    </w:tbl>
    <w:p>
      <w:pPr>
        <w:pStyle w:val="2"/>
        <w:rPr>
          <w:rFonts w:hint="eastAsia"/>
          <w:lang w:val="en-US" w:eastAsia="zh-CN"/>
        </w:rPr>
      </w:pPr>
    </w:p>
    <w:p>
      <w:pPr>
        <w:pStyle w:val="2"/>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sectPr>
          <w:footerReference r:id="rId6" w:type="default"/>
          <w:pgSz w:w="16838" w:h="11906" w:orient="landscape"/>
          <w:pgMar w:top="1134" w:right="1134" w:bottom="1134" w:left="1134" w:header="851" w:footer="992" w:gutter="0"/>
          <w:pgNumType w:fmt="decimal" w:start="43"/>
          <w:cols w:space="0" w:num="1"/>
          <w:rtlGutter w:val="0"/>
          <w:docGrid w:type="lines" w:linePitch="312" w:charSpace="0"/>
        </w:sectPr>
      </w:pPr>
    </w:p>
    <w:p>
      <w:pPr>
        <w:jc w:val="center"/>
        <w:outlineLvl w:val="1"/>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pPr>
      <w:bookmarkStart w:id="97" w:name="_Toc12576"/>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部门预算项目支出绩效自评表（2022年度）</w:t>
      </w:r>
      <w:bookmarkEnd w:id="97"/>
    </w:p>
    <w:tbl>
      <w:tblPr>
        <w:tblStyle w:val="16"/>
        <w:tblW w:w="141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3"/>
        <w:gridCol w:w="2046"/>
        <w:gridCol w:w="1770"/>
        <w:gridCol w:w="2257"/>
        <w:gridCol w:w="1007"/>
        <w:gridCol w:w="795"/>
        <w:gridCol w:w="1005"/>
        <w:gridCol w:w="997"/>
        <w:gridCol w:w="93"/>
        <w:gridCol w:w="412"/>
        <w:gridCol w:w="93"/>
        <w:gridCol w:w="393"/>
        <w:gridCol w:w="93"/>
        <w:gridCol w:w="25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6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51081222R000005137802-住房公积金（事业）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83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广元市朝天区直属机关党建事务中心部门</w:t>
            </w:r>
          </w:p>
        </w:tc>
        <w:tc>
          <w:tcPr>
            <w:tcW w:w="1090" w:type="dxa"/>
            <w:gridSpan w:val="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广元市朝天区直属机关党建事务中心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83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3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2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83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3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6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该项目为人员类项目，主要保障部门3事业人员2022年度住房公积金缴费等。2022年，该预算项目资金按月支付，及时足额缴纳，预算执行率100%，年末无资金结余情况。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1.40</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2.31</w:t>
            </w:r>
          </w:p>
        </w:tc>
        <w:tc>
          <w:tcPr>
            <w:tcW w:w="2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77.81%</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1.40</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2.31</w:t>
            </w:r>
          </w:p>
        </w:tc>
        <w:tc>
          <w:tcPr>
            <w:tcW w:w="2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77.81%</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2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056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510"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项目实施达到了预期的经济效益，社会效益，绩效目标完全实现，为我中心在下一年工作推进和预算安排上提供了对比数据。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510"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510"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项目负责人：田朝儒</w:t>
            </w:r>
          </w:p>
        </w:tc>
        <w:tc>
          <w:tcPr>
            <w:tcW w:w="643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财务负责人：孙勃存</w:t>
            </w:r>
          </w:p>
        </w:tc>
      </w:tr>
    </w:tbl>
    <w:p>
      <w:pPr>
        <w:pStyle w:val="2"/>
        <w:rPr>
          <w:rFonts w:hint="eastAsia"/>
          <w:lang w:val="en-US" w:eastAsia="zh-CN"/>
        </w:rPr>
      </w:pPr>
    </w:p>
    <w:p>
      <w:pPr>
        <w:pStyle w:val="2"/>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sectPr>
          <w:footerReference r:id="rId7" w:type="default"/>
          <w:pgSz w:w="16838" w:h="11906" w:orient="landscape"/>
          <w:pgMar w:top="1134" w:right="1134" w:bottom="1134" w:left="1134" w:header="851" w:footer="992" w:gutter="0"/>
          <w:pgNumType w:fmt="decimal" w:start="44"/>
          <w:cols w:space="0" w:num="1"/>
          <w:rtlGutter w:val="0"/>
          <w:docGrid w:type="lines" w:linePitch="312" w:charSpace="0"/>
        </w:sectPr>
      </w:pPr>
    </w:p>
    <w:p>
      <w:pPr>
        <w:jc w:val="center"/>
        <w:outlineLvl w:val="1"/>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pPr>
      <w:bookmarkStart w:id="98" w:name="_Toc24248"/>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部门预算项目支出绩效自评表（2022年度）</w:t>
      </w:r>
      <w:bookmarkEnd w:id="98"/>
    </w:p>
    <w:tbl>
      <w:tblPr>
        <w:tblStyle w:val="16"/>
        <w:tblW w:w="141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2"/>
        <w:gridCol w:w="2018"/>
        <w:gridCol w:w="1747"/>
        <w:gridCol w:w="2225"/>
        <w:gridCol w:w="971"/>
        <w:gridCol w:w="810"/>
        <w:gridCol w:w="960"/>
        <w:gridCol w:w="1028"/>
        <w:gridCol w:w="576"/>
        <w:gridCol w:w="576"/>
        <w:gridCol w:w="25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0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51081222R000005429042-目标绩效奖（事业人员）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广元市朝天区直属机关党建事务中心部门</w:t>
            </w:r>
          </w:p>
        </w:tc>
        <w:tc>
          <w:tcPr>
            <w:tcW w:w="1028"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6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广元市朝天区直属机关党建事务中心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2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46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0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该项目为人员类项目，主要保障部门3名事业人员目标绩效奖。2022年，该预算项目资金按月支付，及时足额发放，预算执行率100%，年末无资金结余情况。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7.20</w:t>
            </w: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w:t>
            </w:r>
          </w:p>
        </w:tc>
        <w:tc>
          <w:tcPr>
            <w:tcW w:w="27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6.70</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95.63%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7.20</w:t>
            </w: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w:t>
            </w:r>
          </w:p>
        </w:tc>
        <w:tc>
          <w:tcPr>
            <w:tcW w:w="27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6.70</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95.63%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27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044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项目实施达到了预期的经济效益，社会效益，绩效目标完全实现，为我中心在下一年工作推进和预算安排上提供了对比数据。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64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项目负责人：田朝儒</w:t>
            </w:r>
          </w:p>
        </w:tc>
        <w:tc>
          <w:tcPr>
            <w:tcW w:w="64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财务负责人：孙勃存</w:t>
            </w:r>
          </w:p>
        </w:tc>
      </w:tr>
    </w:tbl>
    <w:p>
      <w:pPr>
        <w:pStyle w:val="2"/>
        <w:ind w:left="0" w:leftChars="0" w:firstLine="0" w:firstLineChars="0"/>
        <w:jc w:val="center"/>
        <w:outlineLvl w:val="1"/>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pPr>
      <w:bookmarkStart w:id="99" w:name="_Toc13172"/>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部门预算项目支出绩效自评表（2022年度）</w:t>
      </w:r>
      <w:bookmarkEnd w:id="99"/>
    </w:p>
    <w:tbl>
      <w:tblPr>
        <w:tblStyle w:val="16"/>
        <w:tblW w:w="141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1"/>
        <w:gridCol w:w="2018"/>
        <w:gridCol w:w="1747"/>
        <w:gridCol w:w="2225"/>
        <w:gridCol w:w="972"/>
        <w:gridCol w:w="780"/>
        <w:gridCol w:w="990"/>
        <w:gridCol w:w="1028"/>
        <w:gridCol w:w="576"/>
        <w:gridCol w:w="576"/>
        <w:gridCol w:w="25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0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51081222R000005430095-目标绩效奖（行政工人）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广元市朝天区直属机关党建事务中心部门</w:t>
            </w:r>
          </w:p>
        </w:tc>
        <w:tc>
          <w:tcPr>
            <w:tcW w:w="1028"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6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广元市朝天区直属机关党建事务中心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2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46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0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该项目为人员类项目，主要保障部门1名行政工人目标绩效奖。2022年，该预算项目资金按月支付，及时足额发放，预算执行率100%，年末无资金结余情况。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w:t>
            </w: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27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w:t>
            </w: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27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27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044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项目实施达到了预期的经济效益，社会效益，绩效目标完全实现，为我中心在下一年工作推进和预算安排上提供了对比数据。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64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项目负责人：田朝儒</w:t>
            </w:r>
          </w:p>
        </w:tc>
        <w:tc>
          <w:tcPr>
            <w:tcW w:w="64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财务负责人：孙勃存</w:t>
            </w:r>
          </w:p>
        </w:tc>
      </w:tr>
    </w:tbl>
    <w:p>
      <w:pPr>
        <w:jc w:val="center"/>
        <w:outlineLvl w:val="1"/>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pPr>
      <w:bookmarkStart w:id="100" w:name="_Toc27492"/>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部门预算项目支出绩效自评表（2022年度）</w:t>
      </w:r>
      <w:bookmarkEnd w:id="100"/>
    </w:p>
    <w:tbl>
      <w:tblPr>
        <w:tblStyle w:val="16"/>
        <w:tblW w:w="141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3"/>
        <w:gridCol w:w="2046"/>
        <w:gridCol w:w="1770"/>
        <w:gridCol w:w="2257"/>
        <w:gridCol w:w="1052"/>
        <w:gridCol w:w="855"/>
        <w:gridCol w:w="960"/>
        <w:gridCol w:w="937"/>
        <w:gridCol w:w="505"/>
        <w:gridCol w:w="486"/>
        <w:gridCol w:w="25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51081222T000005584473-机关党建工作经费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广元市朝天区直属机关党建事务中心部门</w:t>
            </w:r>
          </w:p>
        </w:tc>
        <w:tc>
          <w:tcPr>
            <w:tcW w:w="937"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广元市朝天区直属机关党建事务中心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4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2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完成《2019年-2023年党员教育培训规划》任务；对新党员培训，机关基层党组织书记“一述三评”等工作。</w:t>
            </w:r>
          </w:p>
        </w:tc>
        <w:tc>
          <w:tcPr>
            <w:tcW w:w="44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该项目为特定目标类项目，主要是用于开展党员教育培训，新党员培训和“一述三评”等费用支出。2022年，该预算项目资金有序支付，预算执行率100%，年末无资金结余情况。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2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2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2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056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项目实施达到了预期的经济效益，社会效益，绩效目标完全实现，为我中心在下一年工作推进和预算安排上提供了对比数据。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80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项目负责人：田朝儒</w:t>
            </w:r>
          </w:p>
        </w:tc>
        <w:tc>
          <w:tcPr>
            <w:tcW w:w="62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财务负责人：孙勃存</w:t>
            </w:r>
          </w:p>
        </w:tc>
      </w:tr>
    </w:tbl>
    <w:p>
      <w:pPr>
        <w:pStyle w:val="2"/>
        <w:rPr>
          <w:rFonts w:hint="eastAsia"/>
          <w:lang w:val="en-US" w:eastAsia="zh-CN"/>
        </w:rPr>
      </w:pPr>
    </w:p>
    <w:p>
      <w:pPr>
        <w:pStyle w:val="2"/>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sectPr>
          <w:footerReference r:id="rId8" w:type="default"/>
          <w:pgSz w:w="16838" w:h="11906" w:orient="landscape"/>
          <w:pgMar w:top="1134" w:right="1134" w:bottom="1134" w:left="1134" w:header="851" w:footer="992" w:gutter="0"/>
          <w:pgNumType w:fmt="decimal" w:start="45"/>
          <w:cols w:space="0" w:num="1"/>
          <w:rtlGutter w:val="0"/>
          <w:docGrid w:type="lines" w:linePitch="312" w:charSpace="0"/>
        </w:sectPr>
      </w:pPr>
    </w:p>
    <w:p>
      <w:pPr>
        <w:jc w:val="center"/>
        <w:outlineLvl w:val="1"/>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pPr>
      <w:bookmarkStart w:id="101" w:name="_Toc29978"/>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部门预算项目支出绩效自评表（2022年度）</w:t>
      </w:r>
      <w:bookmarkEnd w:id="101"/>
    </w:p>
    <w:tbl>
      <w:tblPr>
        <w:tblStyle w:val="16"/>
        <w:tblW w:w="147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4"/>
        <w:gridCol w:w="2046"/>
        <w:gridCol w:w="1928"/>
        <w:gridCol w:w="2385"/>
        <w:gridCol w:w="975"/>
        <w:gridCol w:w="1170"/>
        <w:gridCol w:w="975"/>
        <w:gridCol w:w="998"/>
        <w:gridCol w:w="505"/>
        <w:gridCol w:w="486"/>
        <w:gridCol w:w="2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9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51081222T000005940398-文明城市创建工作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4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广元市朝天区直属机关党建事务中心部门</w:t>
            </w:r>
          </w:p>
        </w:tc>
        <w:tc>
          <w:tcPr>
            <w:tcW w:w="998"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广元市朝天区直属机关党建事务中心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3" w:hRule="atLeast"/>
          <w:jc w:val="center"/>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4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5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2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74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实施包联共建工作（城区8大片区、12个乡镇），组织开展志愿服务，促进朝天区文明城市创建和开展。</w:t>
            </w:r>
          </w:p>
        </w:tc>
        <w:tc>
          <w:tcPr>
            <w:tcW w:w="45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9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该项目为特定目标类项目，主要是在包联共建工作（城区8大片区、12个乡镇），组织开展志愿服务费用支出。2022年，该预算项目资金有序支付，预算执行率100%，年末无资金结余情况。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2.84</w:t>
            </w:r>
          </w:p>
        </w:tc>
        <w:tc>
          <w:tcPr>
            <w:tcW w:w="3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2.84</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2.84</w:t>
            </w:r>
          </w:p>
        </w:tc>
        <w:tc>
          <w:tcPr>
            <w:tcW w:w="3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2.84</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3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9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组织指导志愿服务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包联共建统筹协调工作</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资金使用合格率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2022年12月31日</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文明城市创建工作成本</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促进文明城市创建顺利开展</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1116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40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项目实施达到了预期的经济效益，社会效益，绩效目标完全实现，为我中心在下一年工作推进和预算安排上提供了对比数据。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40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40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80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项目负责人：田朝儒</w:t>
            </w:r>
          </w:p>
        </w:tc>
        <w:tc>
          <w:tcPr>
            <w:tcW w:w="66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财务负责人：孙勃存</w:t>
            </w:r>
          </w:p>
        </w:tc>
      </w:tr>
    </w:tbl>
    <w:p>
      <w:pPr>
        <w:jc w:val="center"/>
        <w:outlineLvl w:val="1"/>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pPr>
      <w:bookmarkStart w:id="102" w:name="_Toc1949"/>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部门预算项目支出绩效自评表（2022年度）</w:t>
      </w:r>
      <w:bookmarkEnd w:id="102"/>
    </w:p>
    <w:tbl>
      <w:tblPr>
        <w:tblStyle w:val="16"/>
        <w:tblW w:w="141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4"/>
        <w:gridCol w:w="2046"/>
        <w:gridCol w:w="1770"/>
        <w:gridCol w:w="2257"/>
        <w:gridCol w:w="961"/>
        <w:gridCol w:w="855"/>
        <w:gridCol w:w="990"/>
        <w:gridCol w:w="997"/>
        <w:gridCol w:w="505"/>
        <w:gridCol w:w="486"/>
        <w:gridCol w:w="25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51081222T000005944741-2022年机关党建工作经费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主管部门</w:t>
            </w:r>
          </w:p>
        </w:tc>
        <w:tc>
          <w:tcPr>
            <w:tcW w:w="68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广元市朝天区直属机关党建事务中心部门</w:t>
            </w:r>
          </w:p>
        </w:tc>
        <w:tc>
          <w:tcPr>
            <w:tcW w:w="997"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黑体" w:hAnsi="黑体" w:eastAsia="黑体" w:cs="黑体"/>
                <w:i w:val="0"/>
                <w:iCs w:val="0"/>
                <w:color w:val="000000"/>
                <w:sz w:val="15"/>
                <w:szCs w:val="15"/>
                <w:u w:val="none"/>
              </w:rPr>
            </w:pPr>
            <w:r>
              <w:rPr>
                <w:rFonts w:hint="eastAsia" w:ascii="黑体" w:hAnsi="黑体" w:eastAsia="黑体" w:cs="黑体"/>
                <w:i w:val="0"/>
                <w:iCs w:val="0"/>
                <w:color w:val="000000"/>
                <w:kern w:val="0"/>
                <w:sz w:val="15"/>
                <w:szCs w:val="15"/>
                <w:u w:val="none"/>
                <w:lang w:val="en-US" w:eastAsia="zh-CN" w:bidi="ar"/>
              </w:rPr>
              <w:t>实施单位 （盖章）</w:t>
            </w:r>
          </w:p>
        </w:tc>
        <w:tc>
          <w:tcPr>
            <w:tcW w:w="35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广元市朝天区直属机关党建事务中心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项目基本情况</w:t>
            </w:r>
          </w:p>
        </w:tc>
        <w:tc>
          <w:tcPr>
            <w:tcW w:w="20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1.项目年度目标完成情况</w:t>
            </w:r>
          </w:p>
        </w:tc>
        <w:tc>
          <w:tcPr>
            <w:tcW w:w="68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项目年度目标</w:t>
            </w:r>
          </w:p>
        </w:tc>
        <w:tc>
          <w:tcPr>
            <w:tcW w:w="45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i w:val="0"/>
                <w:iCs w:val="0"/>
                <w:color w:val="000000"/>
                <w:sz w:val="15"/>
                <w:szCs w:val="15"/>
                <w:u w:val="none"/>
              </w:rPr>
            </w:pPr>
            <w:r>
              <w:rPr>
                <w:rFonts w:hint="eastAsia" w:ascii="黑体" w:hAnsi="黑体" w:eastAsia="黑体" w:cs="黑体"/>
                <w:i w:val="0"/>
                <w:iCs w:val="0"/>
                <w:color w:val="000000"/>
                <w:kern w:val="0"/>
                <w:sz w:val="15"/>
                <w:szCs w:val="15"/>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00000"/>
                <w:sz w:val="15"/>
                <w:szCs w:val="15"/>
                <w:u w:val="none"/>
              </w:rPr>
            </w:pPr>
          </w:p>
        </w:tc>
        <w:tc>
          <w:tcPr>
            <w:tcW w:w="2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00000"/>
                <w:sz w:val="15"/>
                <w:szCs w:val="15"/>
                <w:u w:val="none"/>
              </w:rPr>
            </w:pPr>
          </w:p>
        </w:tc>
        <w:tc>
          <w:tcPr>
            <w:tcW w:w="68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负责机关党组织日常工作指导（65）个，机关党员的教育和管理（2023）人，建成规范化标准化先进基层党组织（17）个，基层党组织按期换届（32）个，推动区直机关党建质量和水平有效提升。</w:t>
            </w:r>
          </w:p>
        </w:tc>
        <w:tc>
          <w:tcPr>
            <w:tcW w:w="45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黑体" w:hAnsi="黑体" w:eastAsia="黑体" w:cs="黑体"/>
                <w:i w:val="0"/>
                <w:iCs w:val="0"/>
                <w:color w:val="000000"/>
                <w:sz w:val="15"/>
                <w:szCs w:val="15"/>
                <w:u w:val="none"/>
              </w:rPr>
            </w:pPr>
            <w:r>
              <w:rPr>
                <w:rFonts w:hint="eastAsia" w:ascii="黑体" w:hAnsi="黑体" w:eastAsia="黑体" w:cs="黑体"/>
                <w:i w:val="0"/>
                <w:iCs w:val="0"/>
                <w:color w:val="000000"/>
                <w:kern w:val="0"/>
                <w:sz w:val="15"/>
                <w:szCs w:val="15"/>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00000"/>
                <w:sz w:val="15"/>
                <w:szCs w:val="15"/>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该项目为特定目标类项目，主要是在机关党组织日常工作，机关党员教育和管理等费用支出。2022年，该预算项目资金有序支付，预算执行率100%，年末无资金结余情况。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预算执行情况（10分）</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年初预算</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调整后预算数</w:t>
            </w:r>
          </w:p>
        </w:tc>
        <w:tc>
          <w:tcPr>
            <w:tcW w:w="28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预算执行数</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得分</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5"/>
                <w:szCs w:val="15"/>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6.00</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6.00</w:t>
            </w:r>
          </w:p>
        </w:tc>
        <w:tc>
          <w:tcPr>
            <w:tcW w:w="28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6.00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w:t>
            </w:r>
          </w:p>
        </w:tc>
        <w:tc>
          <w:tcPr>
            <w:tcW w:w="2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黑体" w:hAnsi="黑体" w:eastAsia="黑体" w:cs="黑体"/>
                <w:i/>
                <w:iCs/>
                <w:color w:val="000000"/>
                <w:sz w:val="15"/>
                <w:szCs w:val="15"/>
                <w:u w:val="none"/>
              </w:rPr>
            </w:pPr>
            <w:r>
              <w:rPr>
                <w:rFonts w:hint="eastAsia" w:ascii="黑体" w:hAnsi="黑体" w:eastAsia="黑体" w:cs="黑体"/>
                <w:i/>
                <w:iCs/>
                <w:color w:val="000000"/>
                <w:kern w:val="0"/>
                <w:sz w:val="15"/>
                <w:szCs w:val="15"/>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5"/>
                <w:szCs w:val="15"/>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6.00</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6.00</w:t>
            </w:r>
          </w:p>
        </w:tc>
        <w:tc>
          <w:tcPr>
            <w:tcW w:w="28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6.00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2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黑体" w:hAnsi="黑体" w:eastAsia="黑体" w:cs="黑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5"/>
                <w:szCs w:val="15"/>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0.00</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0.00</w:t>
            </w:r>
          </w:p>
        </w:tc>
        <w:tc>
          <w:tcPr>
            <w:tcW w:w="28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0.00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2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黑体" w:hAnsi="黑体" w:eastAsia="黑体" w:cs="黑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5"/>
                <w:szCs w:val="15"/>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0.00</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0.00</w:t>
            </w:r>
          </w:p>
        </w:tc>
        <w:tc>
          <w:tcPr>
            <w:tcW w:w="28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0.00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2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黑体" w:hAnsi="黑体" w:eastAsia="黑体" w:cs="黑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5"/>
                <w:szCs w:val="15"/>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微软雅黑" w:hAnsi="微软雅黑" w:eastAsia="微软雅黑" w:cs="微软雅黑"/>
                <w:i/>
                <w:iCs/>
                <w:color w:val="000000"/>
                <w:sz w:val="15"/>
                <w:szCs w:val="15"/>
                <w:u w:val="none"/>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微软雅黑" w:hAnsi="微软雅黑" w:eastAsia="微软雅黑" w:cs="微软雅黑"/>
                <w:i/>
                <w:iCs/>
                <w:color w:val="000000"/>
                <w:sz w:val="15"/>
                <w:szCs w:val="15"/>
                <w:u w:val="none"/>
              </w:rPr>
            </w:pPr>
          </w:p>
        </w:tc>
        <w:tc>
          <w:tcPr>
            <w:tcW w:w="28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微软雅黑" w:hAnsi="微软雅黑" w:eastAsia="微软雅黑" w:cs="微软雅黑"/>
                <w:i/>
                <w:iCs/>
                <w:color w:val="000000"/>
                <w:sz w:val="15"/>
                <w:szCs w:val="15"/>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微软雅黑" w:hAnsi="微软雅黑" w:eastAsia="微软雅黑" w:cs="微软雅黑"/>
                <w:i/>
                <w:iCs/>
                <w:color w:val="000000"/>
                <w:sz w:val="15"/>
                <w:szCs w:val="15"/>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2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黑体" w:hAnsi="黑体" w:eastAsia="黑体" w:cs="黑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绩效指标（90分）</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二级指标</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三级指标</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指标性质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指标值</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度量单位</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得分</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5"/>
                <w:szCs w:val="15"/>
                <w:u w:val="none"/>
              </w:rPr>
            </w:pPr>
          </w:p>
        </w:tc>
        <w:tc>
          <w:tcPr>
            <w:tcW w:w="20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产出指标</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数量指标</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建成规范化标准化先进基层党组织</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17</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个</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微软雅黑" w:hAnsi="微软雅黑" w:eastAsia="微软雅黑" w:cs="微软雅黑"/>
                <w:i/>
                <w:iCs/>
                <w:color w:val="000000"/>
                <w:sz w:val="15"/>
                <w:szCs w:val="15"/>
                <w:u w:val="none"/>
              </w:rPr>
            </w:pPr>
            <w:r>
              <w:rPr>
                <w:rFonts w:hint="eastAsia" w:ascii="微软雅黑" w:hAnsi="微软雅黑" w:eastAsia="微软雅黑" w:cs="微软雅黑"/>
                <w:i/>
                <w:iCs/>
                <w:color w:val="000000"/>
                <w:kern w:val="0"/>
                <w:sz w:val="15"/>
                <w:szCs w:val="15"/>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微软雅黑" w:hAnsi="微软雅黑" w:eastAsia="微软雅黑" w:cs="微软雅黑"/>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5"/>
                <w:szCs w:val="15"/>
                <w:u w:val="none"/>
              </w:rPr>
            </w:pPr>
          </w:p>
        </w:tc>
        <w:tc>
          <w:tcPr>
            <w:tcW w:w="2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5"/>
                <w:szCs w:val="15"/>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5"/>
                <w:szCs w:val="15"/>
                <w:u w:val="none"/>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机关党组织日常工作指导</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65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个</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微软雅黑" w:hAnsi="微软雅黑" w:eastAsia="微软雅黑" w:cs="微软雅黑"/>
                <w:i/>
                <w:iCs/>
                <w:color w:val="000000"/>
                <w:sz w:val="15"/>
                <w:szCs w:val="15"/>
                <w:u w:val="none"/>
              </w:rPr>
            </w:pPr>
            <w:r>
              <w:rPr>
                <w:rFonts w:hint="eastAsia" w:ascii="微软雅黑" w:hAnsi="微软雅黑" w:eastAsia="微软雅黑" w:cs="微软雅黑"/>
                <w:i/>
                <w:iCs/>
                <w:color w:val="000000"/>
                <w:kern w:val="0"/>
                <w:sz w:val="15"/>
                <w:szCs w:val="15"/>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微软雅黑" w:hAnsi="微软雅黑" w:eastAsia="微软雅黑" w:cs="微软雅黑"/>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jc w:val="center"/>
        </w:trPr>
        <w:tc>
          <w:tcPr>
            <w:tcW w:w="68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绩效指标（90分）</w:t>
            </w:r>
          </w:p>
        </w:tc>
        <w:tc>
          <w:tcPr>
            <w:tcW w:w="204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产出指标</w:t>
            </w:r>
          </w:p>
        </w:tc>
        <w:tc>
          <w:tcPr>
            <w:tcW w:w="177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数量指标</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机关党员的教育和管理</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2023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人</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微软雅黑" w:hAnsi="微软雅黑" w:eastAsia="微软雅黑" w:cs="微软雅黑"/>
                <w:i/>
                <w:iCs/>
                <w:color w:val="000000"/>
                <w:sz w:val="15"/>
                <w:szCs w:val="15"/>
                <w:u w:val="none"/>
              </w:rPr>
            </w:pPr>
            <w:r>
              <w:rPr>
                <w:rFonts w:hint="eastAsia" w:ascii="微软雅黑" w:hAnsi="微软雅黑" w:eastAsia="微软雅黑" w:cs="微软雅黑"/>
                <w:i/>
                <w:iCs/>
                <w:color w:val="000000"/>
                <w:kern w:val="0"/>
                <w:sz w:val="15"/>
                <w:szCs w:val="15"/>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微软雅黑" w:hAnsi="微软雅黑" w:eastAsia="微软雅黑" w:cs="微软雅黑"/>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5"/>
                <w:szCs w:val="15"/>
                <w:u w:val="none"/>
              </w:rPr>
            </w:pPr>
          </w:p>
        </w:tc>
        <w:tc>
          <w:tcPr>
            <w:tcW w:w="2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5"/>
                <w:szCs w:val="15"/>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5"/>
                <w:szCs w:val="15"/>
                <w:u w:val="none"/>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基层党组织按期换届</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32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个</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微软雅黑" w:hAnsi="微软雅黑" w:eastAsia="微软雅黑" w:cs="微软雅黑"/>
                <w:i/>
                <w:iCs/>
                <w:color w:val="000000"/>
                <w:sz w:val="15"/>
                <w:szCs w:val="15"/>
                <w:u w:val="none"/>
              </w:rPr>
            </w:pPr>
            <w:r>
              <w:rPr>
                <w:rFonts w:hint="eastAsia" w:ascii="微软雅黑" w:hAnsi="微软雅黑" w:eastAsia="微软雅黑" w:cs="微软雅黑"/>
                <w:i/>
                <w:iCs/>
                <w:color w:val="000000"/>
                <w:kern w:val="0"/>
                <w:sz w:val="15"/>
                <w:szCs w:val="15"/>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微软雅黑" w:hAnsi="微软雅黑" w:eastAsia="微软雅黑" w:cs="微软雅黑"/>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5"/>
                <w:szCs w:val="15"/>
                <w:u w:val="none"/>
              </w:rPr>
            </w:pPr>
          </w:p>
        </w:tc>
        <w:tc>
          <w:tcPr>
            <w:tcW w:w="2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5"/>
                <w:szCs w:val="15"/>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质量指标</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资金使用合格率</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微软雅黑" w:hAnsi="微软雅黑" w:eastAsia="微软雅黑" w:cs="微软雅黑"/>
                <w:i/>
                <w:iCs/>
                <w:color w:val="000000"/>
                <w:sz w:val="15"/>
                <w:szCs w:val="15"/>
                <w:u w:val="none"/>
              </w:rPr>
            </w:pPr>
            <w:r>
              <w:rPr>
                <w:rFonts w:hint="eastAsia" w:ascii="微软雅黑" w:hAnsi="微软雅黑" w:eastAsia="微软雅黑" w:cs="微软雅黑"/>
                <w:i/>
                <w:iCs/>
                <w:color w:val="000000"/>
                <w:kern w:val="0"/>
                <w:sz w:val="15"/>
                <w:szCs w:val="15"/>
                <w:u w:val="none"/>
                <w:lang w:val="en-US" w:eastAsia="zh-CN" w:bidi="ar"/>
              </w:rPr>
              <w:t>10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微软雅黑" w:hAnsi="微软雅黑" w:eastAsia="微软雅黑" w:cs="微软雅黑"/>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5"/>
                <w:szCs w:val="15"/>
                <w:u w:val="none"/>
              </w:rPr>
            </w:pPr>
          </w:p>
        </w:tc>
        <w:tc>
          <w:tcPr>
            <w:tcW w:w="2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5"/>
                <w:szCs w:val="15"/>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时效指标</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2022年12月31日</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月</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微软雅黑" w:hAnsi="微软雅黑" w:eastAsia="微软雅黑" w:cs="微软雅黑"/>
                <w:i/>
                <w:iCs/>
                <w:color w:val="000000"/>
                <w:sz w:val="15"/>
                <w:szCs w:val="15"/>
                <w:u w:val="none"/>
              </w:rPr>
            </w:pPr>
            <w:r>
              <w:rPr>
                <w:rFonts w:hint="eastAsia" w:ascii="微软雅黑" w:hAnsi="微软雅黑" w:eastAsia="微软雅黑" w:cs="微软雅黑"/>
                <w:i/>
                <w:iCs/>
                <w:color w:val="000000"/>
                <w:kern w:val="0"/>
                <w:sz w:val="15"/>
                <w:szCs w:val="15"/>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微软雅黑" w:hAnsi="微软雅黑" w:eastAsia="微软雅黑" w:cs="微软雅黑"/>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5"/>
                <w:szCs w:val="15"/>
                <w:u w:val="none"/>
              </w:rPr>
            </w:pPr>
          </w:p>
        </w:tc>
        <w:tc>
          <w:tcPr>
            <w:tcW w:w="2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5"/>
                <w:szCs w:val="15"/>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成本指标</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机关党建工作</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6</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万元</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微软雅黑" w:hAnsi="微软雅黑" w:eastAsia="微软雅黑" w:cs="微软雅黑"/>
                <w:i/>
                <w:iCs/>
                <w:color w:val="000000"/>
                <w:sz w:val="15"/>
                <w:szCs w:val="15"/>
                <w:u w:val="none"/>
              </w:rPr>
            </w:pPr>
            <w:r>
              <w:rPr>
                <w:rFonts w:hint="eastAsia" w:ascii="微软雅黑" w:hAnsi="微软雅黑" w:eastAsia="微软雅黑" w:cs="微软雅黑"/>
                <w:i/>
                <w:iCs/>
                <w:color w:val="000000"/>
                <w:kern w:val="0"/>
                <w:sz w:val="15"/>
                <w:szCs w:val="15"/>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微软雅黑" w:hAnsi="微软雅黑" w:eastAsia="微软雅黑" w:cs="微软雅黑"/>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5"/>
                <w:szCs w:val="15"/>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社会效益指标</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推动区直机关党建质量和水平有效提升。</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定性</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优良中低差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5"/>
                <w:szCs w:val="15"/>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微软雅黑" w:hAnsi="微软雅黑" w:eastAsia="微软雅黑" w:cs="微软雅黑"/>
                <w:i/>
                <w:iCs/>
                <w:color w:val="000000"/>
                <w:sz w:val="15"/>
                <w:szCs w:val="15"/>
                <w:u w:val="none"/>
              </w:rPr>
            </w:pPr>
            <w:r>
              <w:rPr>
                <w:rFonts w:hint="eastAsia" w:ascii="微软雅黑" w:hAnsi="微软雅黑" w:eastAsia="微软雅黑" w:cs="微软雅黑"/>
                <w:i/>
                <w:iCs/>
                <w:color w:val="000000"/>
                <w:kern w:val="0"/>
                <w:sz w:val="15"/>
                <w:szCs w:val="15"/>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微软雅黑" w:hAnsi="微软雅黑" w:eastAsia="微软雅黑" w:cs="微软雅黑"/>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5"/>
                <w:szCs w:val="15"/>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满意度指标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kern w:val="0"/>
                <w:sz w:val="15"/>
                <w:szCs w:val="15"/>
                <w:u w:val="none"/>
                <w:lang w:val="en-US" w:eastAsia="zh-CN" w:bidi="ar"/>
              </w:rPr>
            </w:pPr>
            <w:r>
              <w:rPr>
                <w:rFonts w:ascii="宋体" w:hAnsi="宋体" w:eastAsia="宋体" w:cs="宋体"/>
                <w:i w:val="0"/>
                <w:iCs w:val="0"/>
                <w:color w:val="000000"/>
                <w:kern w:val="0"/>
                <w:sz w:val="15"/>
                <w:szCs w:val="15"/>
                <w:u w:val="none"/>
                <w:lang w:val="en-US" w:eastAsia="zh-CN" w:bidi="ar"/>
              </w:rPr>
              <w:t>服务对象满意度</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指标</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服务对象满意度</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95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微软雅黑" w:hAnsi="微软雅黑" w:eastAsia="微软雅黑" w:cs="微软雅黑"/>
                <w:i/>
                <w:iCs/>
                <w:color w:val="000000"/>
                <w:sz w:val="15"/>
                <w:szCs w:val="15"/>
                <w:u w:val="none"/>
              </w:rPr>
            </w:pPr>
            <w:r>
              <w:rPr>
                <w:rFonts w:hint="eastAsia" w:ascii="微软雅黑" w:hAnsi="微软雅黑" w:eastAsia="微软雅黑" w:cs="微软雅黑"/>
                <w:i/>
                <w:iCs/>
                <w:color w:val="000000"/>
                <w:kern w:val="0"/>
                <w:sz w:val="15"/>
                <w:szCs w:val="15"/>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微软雅黑" w:hAnsi="微软雅黑" w:eastAsia="微软雅黑" w:cs="微软雅黑"/>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1056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100</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微软雅黑" w:hAnsi="微软雅黑" w:eastAsia="微软雅黑" w:cs="微软雅黑"/>
                <w:i/>
                <w:iCs/>
                <w:color w:val="000000"/>
                <w:sz w:val="15"/>
                <w:szCs w:val="15"/>
                <w:u w:val="none"/>
              </w:rPr>
            </w:pPr>
            <w:r>
              <w:rPr>
                <w:rFonts w:hint="eastAsia" w:ascii="微软雅黑" w:hAnsi="微软雅黑" w:eastAsia="微软雅黑" w:cs="微软雅黑"/>
                <w:i/>
                <w:iCs/>
                <w:color w:val="000000"/>
                <w:kern w:val="0"/>
                <w:sz w:val="15"/>
                <w:szCs w:val="15"/>
                <w:u w:val="none"/>
                <w:lang w:val="en-US" w:eastAsia="zh-CN" w:bidi="ar"/>
              </w:rPr>
              <w:t>项目实施达到了预期的经济效益，社会效益，绩效目标完全实现，为我中心在下一年工作推进和预算安排上提供了对比数据。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微软雅黑" w:hAnsi="微软雅黑" w:eastAsia="微软雅黑" w:cs="微软雅黑"/>
                <w:i/>
                <w:iCs/>
                <w:color w:val="000000"/>
                <w:sz w:val="15"/>
                <w:szCs w:val="15"/>
                <w:u w:val="none"/>
              </w:rPr>
            </w:pPr>
            <w:r>
              <w:rPr>
                <w:rFonts w:hint="eastAsia" w:ascii="微软雅黑" w:hAnsi="微软雅黑" w:eastAsia="微软雅黑" w:cs="微软雅黑"/>
                <w:i/>
                <w:iCs/>
                <w:color w:val="000000"/>
                <w:kern w:val="0"/>
                <w:sz w:val="15"/>
                <w:szCs w:val="15"/>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微软雅黑" w:hAnsi="微软雅黑" w:eastAsia="微软雅黑" w:cs="微软雅黑"/>
                <w:i/>
                <w:iCs/>
                <w:color w:val="000000"/>
                <w:sz w:val="15"/>
                <w:szCs w:val="15"/>
                <w:u w:val="none"/>
              </w:rPr>
            </w:pPr>
            <w:r>
              <w:rPr>
                <w:rFonts w:hint="eastAsia" w:ascii="微软雅黑" w:hAnsi="微软雅黑" w:eastAsia="微软雅黑" w:cs="微软雅黑"/>
                <w:i/>
                <w:iCs/>
                <w:color w:val="000000"/>
                <w:kern w:val="0"/>
                <w:sz w:val="15"/>
                <w:szCs w:val="15"/>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77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黑体" w:hAnsi="黑体" w:eastAsia="黑体" w:cs="黑体"/>
                <w:i w:val="0"/>
                <w:iCs w:val="0"/>
                <w:color w:val="000000"/>
                <w:sz w:val="15"/>
                <w:szCs w:val="15"/>
                <w:u w:val="none"/>
              </w:rPr>
            </w:pPr>
            <w:r>
              <w:rPr>
                <w:rFonts w:hint="eastAsia" w:ascii="黑体" w:hAnsi="黑体" w:eastAsia="黑体" w:cs="黑体"/>
                <w:i w:val="0"/>
                <w:iCs w:val="0"/>
                <w:color w:val="000000"/>
                <w:kern w:val="0"/>
                <w:sz w:val="15"/>
                <w:szCs w:val="15"/>
                <w:u w:val="none"/>
                <w:lang w:val="en-US" w:eastAsia="zh-CN" w:bidi="ar"/>
              </w:rPr>
              <w:t>项目负责人：田朝儒</w:t>
            </w:r>
          </w:p>
        </w:tc>
        <w:tc>
          <w:tcPr>
            <w:tcW w:w="63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黑体" w:hAnsi="黑体" w:eastAsia="黑体" w:cs="黑体"/>
                <w:i w:val="0"/>
                <w:iCs w:val="0"/>
                <w:color w:val="000000"/>
                <w:sz w:val="15"/>
                <w:szCs w:val="15"/>
                <w:u w:val="none"/>
              </w:rPr>
            </w:pPr>
            <w:r>
              <w:rPr>
                <w:rFonts w:hint="eastAsia" w:ascii="黑体" w:hAnsi="黑体" w:eastAsia="黑体" w:cs="黑体"/>
                <w:i w:val="0"/>
                <w:iCs w:val="0"/>
                <w:color w:val="000000"/>
                <w:kern w:val="0"/>
                <w:sz w:val="15"/>
                <w:szCs w:val="15"/>
                <w:u w:val="none"/>
                <w:lang w:val="en-US" w:eastAsia="zh-CN" w:bidi="ar"/>
              </w:rPr>
              <w:t>财务负责人：孙勃存</w:t>
            </w:r>
          </w:p>
        </w:tc>
      </w:tr>
    </w:tbl>
    <w:p>
      <w:pPr>
        <w:pStyle w:val="2"/>
        <w:ind w:left="0" w:leftChars="0" w:firstLine="0" w:firstLineChars="0"/>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sectPr>
          <w:footerReference r:id="rId9" w:type="default"/>
          <w:pgSz w:w="16838" w:h="11906" w:orient="landscape"/>
          <w:pgMar w:top="1134" w:right="1134" w:bottom="1134" w:left="1134" w:header="851" w:footer="992" w:gutter="0"/>
          <w:pgNumType w:fmt="decimal" w:start="48"/>
          <w:cols w:space="0" w:num="1"/>
          <w:rtlGutter w:val="0"/>
          <w:docGrid w:type="lines" w:linePitch="312" w:charSpace="0"/>
        </w:sectPr>
      </w:pPr>
    </w:p>
    <w:p>
      <w:pPr>
        <w:jc w:val="center"/>
        <w:outlineLvl w:val="1"/>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pPr>
      <w:bookmarkStart w:id="103" w:name="_Toc13456"/>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部门预算项目支出绩效自评表（2022年度）</w:t>
      </w:r>
      <w:bookmarkEnd w:id="103"/>
    </w:p>
    <w:tbl>
      <w:tblPr>
        <w:tblStyle w:val="16"/>
        <w:tblW w:w="141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4"/>
        <w:gridCol w:w="2046"/>
        <w:gridCol w:w="1913"/>
        <w:gridCol w:w="2114"/>
        <w:gridCol w:w="946"/>
        <w:gridCol w:w="855"/>
        <w:gridCol w:w="975"/>
        <w:gridCol w:w="1028"/>
        <w:gridCol w:w="505"/>
        <w:gridCol w:w="486"/>
        <w:gridCol w:w="2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51081222T000005945851-2022年党务工作经费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8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广元市朝天区直属机关党建事务中心部门</w:t>
            </w:r>
          </w:p>
        </w:tc>
        <w:tc>
          <w:tcPr>
            <w:tcW w:w="1028"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广元市朝天区直属机关党建事务中心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8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5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2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8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举办入党积极分子培训1期，拟发展对象培训1期，高质量发展党员。</w:t>
            </w:r>
          </w:p>
        </w:tc>
        <w:tc>
          <w:tcPr>
            <w:tcW w:w="45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该项目为特定目标类项目，主要是在入党积极分子，拟发展对象等培训费用支出。2022年，该预算项目资金有序支付，预算执行率100%，年末无资金结余情况。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1.89</w:t>
            </w:r>
          </w:p>
        </w:tc>
        <w:tc>
          <w:tcPr>
            <w:tcW w:w="27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1.89</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1.89</w:t>
            </w:r>
          </w:p>
        </w:tc>
        <w:tc>
          <w:tcPr>
            <w:tcW w:w="27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1.89</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27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入党积极分子培训</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期</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拟发展对象培训</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期</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培训合格率</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2022年12月31日</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党务工作</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推动区直机关党组织建设，提高党员履职能力</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培训对象满意度</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1056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项目实施达到了预期的经济效益，社会效益，绩效目标完全实现，为我中心在下一年工作推进和预算安排上提供了对比数据。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77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项目负责人：田朝儒</w:t>
            </w:r>
          </w:p>
        </w:tc>
        <w:tc>
          <w:tcPr>
            <w:tcW w:w="639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财务负责人：孙勃存</w:t>
            </w:r>
          </w:p>
        </w:tc>
      </w:tr>
    </w:tbl>
    <w:p>
      <w:pPr>
        <w:pStyle w:val="2"/>
        <w:ind w:left="0" w:leftChars="0" w:firstLine="0" w:firstLineChars="0"/>
        <w:jc w:val="center"/>
        <w:outlineLvl w:val="1"/>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pPr>
      <w:bookmarkStart w:id="104" w:name="_Toc26096"/>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部门预算项目支出绩效自评表（2022年度）</w:t>
      </w:r>
      <w:bookmarkEnd w:id="104"/>
    </w:p>
    <w:tbl>
      <w:tblPr>
        <w:tblStyle w:val="16"/>
        <w:tblW w:w="1484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3"/>
        <w:gridCol w:w="2046"/>
        <w:gridCol w:w="1959"/>
        <w:gridCol w:w="2068"/>
        <w:gridCol w:w="977"/>
        <w:gridCol w:w="1118"/>
        <w:gridCol w:w="1342"/>
        <w:gridCol w:w="1200"/>
        <w:gridCol w:w="615"/>
        <w:gridCol w:w="630"/>
        <w:gridCol w:w="22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212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51081222T000005946299-2022年定点帮扶管理工作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4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广元市朝天区直属机关党建事务中心部门</w:t>
            </w:r>
          </w:p>
        </w:tc>
        <w:tc>
          <w:tcPr>
            <w:tcW w:w="1200"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4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广元市朝天区直属机关党建事务中心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3" w:hRule="atLeast"/>
          <w:jc w:val="center"/>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4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2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74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优化调整结对帮扶关系（104个），督查指导（6轮），促进脱贫攻坚与乡村振兴有效衔接。</w:t>
            </w:r>
          </w:p>
        </w:tc>
        <w:tc>
          <w:tcPr>
            <w:tcW w:w="46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212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该项目为特定目标类项目，主要是用在优化调整结对帮扶，督查指导等费用支出。2022年，该预算项目资金有序支付，预算执行率100%，年末无资金结余情况。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3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5.98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99.59%</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2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3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5.98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99.59%</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3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优化调整结对帮扶关系</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104</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督查指导</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批次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资金使用合格率</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2022年12月31日</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定点帮扶工作成本</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促进群众增收</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促进脱贫攻坚与乡村振兴有效衔接</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1139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416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项目实施达到了预期的经济效益，社会效益，绩效目标完全实现，为我中心在下一年工作推进和预算安排上提供了对比数据。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416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416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77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项目负责人：田朝儒</w:t>
            </w:r>
          </w:p>
        </w:tc>
        <w:tc>
          <w:tcPr>
            <w:tcW w:w="711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财务负责人：孙勃存</w:t>
            </w:r>
          </w:p>
        </w:tc>
      </w:tr>
    </w:tbl>
    <w:p>
      <w:pPr>
        <w:jc w:val="center"/>
        <w:outlineLvl w:val="1"/>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pPr>
      <w:bookmarkStart w:id="105" w:name="_Toc14363"/>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部门预算项目支出绩效自评表（2022年度）</w:t>
      </w:r>
      <w:bookmarkEnd w:id="105"/>
    </w:p>
    <w:tbl>
      <w:tblPr>
        <w:tblStyle w:val="16"/>
        <w:tblW w:w="143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3"/>
        <w:gridCol w:w="2046"/>
        <w:gridCol w:w="1854"/>
        <w:gridCol w:w="2385"/>
        <w:gridCol w:w="960"/>
        <w:gridCol w:w="810"/>
        <w:gridCol w:w="945"/>
        <w:gridCol w:w="1125"/>
        <w:gridCol w:w="765"/>
        <w:gridCol w:w="607"/>
        <w:gridCol w:w="21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64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51081222T000005946326-2022年疫情防控工作经费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9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广元市朝天区直属机关党建事务中心部门</w:t>
            </w:r>
          </w:p>
        </w:tc>
        <w:tc>
          <w:tcPr>
            <w:tcW w:w="1125"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广元市朝天区直属机关党建事务中心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3" w:hRule="atLeast"/>
          <w:jc w:val="center"/>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9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2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9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指导督查党政机关企事业单位疫情防控工作，守住党政机关办公场所及公职人员疫情防控安全底线。</w:t>
            </w:r>
          </w:p>
        </w:tc>
        <w:tc>
          <w:tcPr>
            <w:tcW w:w="46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64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该项目为特定目标类项目，主要是用在指导督查党政机关企事业单位疫情防控工作，等费用支出。2022年，该预算项目资金有序支付，预算执行率100%，年末无资金结余情况。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99.68%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1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99.68%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指导督查党政机关企事业单位疫情防控工作</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资金使用合格率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2022年12月31日</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疫情防控工作</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促进疫情防控措施落到实处</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1080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69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项目实施达到了预期的经济效益，社会效益，绩效目标完全实现，为我中心在下一年工作推进和预算安排上提供了对比数据。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69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69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79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44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pPr>
        <w:pStyle w:val="2"/>
        <w:rPr>
          <w:rFonts w:hint="eastAsia"/>
          <w:lang w:val="en-US" w:eastAsia="zh-CN"/>
        </w:rPr>
      </w:pPr>
    </w:p>
    <w:p>
      <w:pPr>
        <w:pStyle w:val="2"/>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sectPr>
          <w:footerReference r:id="rId10" w:type="default"/>
          <w:pgSz w:w="16838" w:h="11906" w:orient="landscape"/>
          <w:pgMar w:top="1134" w:right="1134" w:bottom="1134" w:left="1134" w:header="851" w:footer="992" w:gutter="0"/>
          <w:pgNumType w:fmt="decimal" w:start="50"/>
          <w:cols w:space="0" w:num="1"/>
          <w:rtlGutter w:val="0"/>
          <w:docGrid w:type="lines" w:linePitch="312" w:charSpace="0"/>
        </w:sectPr>
      </w:pPr>
    </w:p>
    <w:p>
      <w:pPr>
        <w:jc w:val="center"/>
        <w:outlineLvl w:val="1"/>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pPr>
      <w:bookmarkStart w:id="106" w:name="_Toc8681"/>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部门预算项目支出绩效自评表（2022年度）</w:t>
      </w:r>
      <w:bookmarkEnd w:id="106"/>
    </w:p>
    <w:tbl>
      <w:tblPr>
        <w:tblStyle w:val="16"/>
        <w:tblW w:w="143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1"/>
        <w:gridCol w:w="2015"/>
        <w:gridCol w:w="1745"/>
        <w:gridCol w:w="2238"/>
        <w:gridCol w:w="979"/>
        <w:gridCol w:w="915"/>
        <w:gridCol w:w="960"/>
        <w:gridCol w:w="1110"/>
        <w:gridCol w:w="615"/>
        <w:gridCol w:w="576"/>
        <w:gridCol w:w="25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2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64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51081222Y000005135060-定额公用经费（行政）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2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8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广元市朝天区直属机关党建事务中心部门</w:t>
            </w:r>
          </w:p>
        </w:tc>
        <w:tc>
          <w:tcPr>
            <w:tcW w:w="1110"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6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广元市朝天区直属机关党建事务中心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8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8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2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8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c>
          <w:tcPr>
            <w:tcW w:w="48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64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该项目为运转类项目，主要保障部门日常公用支出。2022年，该预算项目资金年中有序支付，预算执行率100%，年末无资金结余情况。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8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28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99.98%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28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99.98%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28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06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6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项目实施达到了预期的经济效益，社会效益，绩效目标完全实现，为我中心在下一年工作推进和预算安排上提供了对比数据。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6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6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6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项目负责人：田朝儒</w:t>
            </w:r>
          </w:p>
        </w:tc>
        <w:tc>
          <w:tcPr>
            <w:tcW w:w="667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财务负责人：孙勃存</w:t>
            </w:r>
          </w:p>
        </w:tc>
      </w:tr>
    </w:tbl>
    <w:p>
      <w:pPr>
        <w:pStyle w:val="2"/>
        <w:ind w:left="0" w:leftChars="0" w:firstLine="0" w:firstLineChars="0"/>
        <w:jc w:val="center"/>
        <w:outlineLvl w:val="1"/>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pPr>
      <w:bookmarkStart w:id="107" w:name="_Toc18944"/>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部门预算项目支出绩效自评表（2022年度）</w:t>
      </w:r>
      <w:bookmarkEnd w:id="107"/>
    </w:p>
    <w:tbl>
      <w:tblPr>
        <w:tblStyle w:val="16"/>
        <w:tblW w:w="145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4"/>
        <w:gridCol w:w="2046"/>
        <w:gridCol w:w="1770"/>
        <w:gridCol w:w="2259"/>
        <w:gridCol w:w="1004"/>
        <w:gridCol w:w="780"/>
        <w:gridCol w:w="1020"/>
        <w:gridCol w:w="1226"/>
        <w:gridCol w:w="613"/>
        <w:gridCol w:w="609"/>
        <w:gridCol w:w="2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51081222Y000005135504-定额公用经费（事业）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8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广元市朝天区直属机关党建事务中心部门</w:t>
            </w:r>
          </w:p>
        </w:tc>
        <w:tc>
          <w:tcPr>
            <w:tcW w:w="1226"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7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广元市朝天区直属机关党建事务中心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8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9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p>
        </w:tc>
        <w:tc>
          <w:tcPr>
            <w:tcW w:w="2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p>
        </w:tc>
        <w:tc>
          <w:tcPr>
            <w:tcW w:w="68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49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该项目为运转类项目，主要保障部门日常公用支出。2022年，该预算项目资金年中有序支付，预算执行率100%，年末无资金结余情况。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1.52</w:t>
            </w:r>
          </w:p>
        </w:tc>
        <w:tc>
          <w:tcPr>
            <w:tcW w:w="2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1.52</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1.52</w:t>
            </w:r>
          </w:p>
        </w:tc>
        <w:tc>
          <w:tcPr>
            <w:tcW w:w="2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1.52</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微软雅黑" w:hAnsi="微软雅黑" w:eastAsia="微软雅黑" w:cs="微软雅黑"/>
                <w:i/>
                <w:iCs/>
                <w:color w:val="000000"/>
                <w:sz w:val="16"/>
                <w:szCs w:val="16"/>
                <w:u w:val="none"/>
              </w:rPr>
            </w:pP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微软雅黑" w:hAnsi="微软雅黑" w:eastAsia="微软雅黑" w:cs="微软雅黑"/>
                <w:i/>
                <w:iCs/>
                <w:color w:val="000000"/>
                <w:sz w:val="16"/>
                <w:szCs w:val="16"/>
                <w:u w:val="none"/>
              </w:rPr>
            </w:pPr>
          </w:p>
        </w:tc>
        <w:tc>
          <w:tcPr>
            <w:tcW w:w="2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微软雅黑" w:hAnsi="微软雅黑" w:eastAsia="微软雅黑" w:cs="微软雅黑"/>
                <w:i/>
                <w:iCs/>
                <w:color w:val="000000"/>
                <w:sz w:val="16"/>
                <w:szCs w:val="16"/>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微软雅黑" w:hAnsi="微软雅黑" w:eastAsia="微软雅黑" w:cs="微软雅黑"/>
                <w:i/>
                <w:iCs/>
                <w:color w:val="000000"/>
                <w:sz w:val="16"/>
                <w:szCs w:val="16"/>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20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2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20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2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107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项目实施达到了预期的经济效益，社会效益，绩效目标完全实现，为我中心在下一年工作推进和预算安排上提供了对比数据。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项目负责人：田朝儒</w:t>
            </w:r>
          </w:p>
        </w:tc>
        <w:tc>
          <w:tcPr>
            <w:tcW w:w="67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财务负责人：孙勃存</w:t>
            </w: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pStyle w:val="2"/>
        <w:numPr>
          <w:ilvl w:val="0"/>
          <w:numId w:val="5"/>
        </w:numPr>
        <w:rPr>
          <w:rFonts w:hint="eastAsia"/>
        </w:rPr>
      </w:pPr>
      <w:r>
        <w:rPr>
          <w:rFonts w:hint="eastAsia"/>
        </w:rPr>
        <w:t>报表说明:该报表查询项目信息、绩效目标信息、预算及执行情况，用于预算单位查询导出开展项目自评。</w:t>
      </w:r>
    </w:p>
    <w:p>
      <w:pPr>
        <w:numPr>
          <w:ilvl w:val="0"/>
          <w:numId w:val="5"/>
        </w:numPr>
        <w:ind w:left="840" w:leftChars="200" w:hanging="420" w:hangingChars="200"/>
        <w:rPr>
          <w:rFonts w:hint="eastAsia"/>
        </w:rPr>
      </w:pPr>
      <w:r>
        <w:rPr>
          <w:rFonts w:hint="eastAsia"/>
        </w:rPr>
        <w:t>取数口径：部门项目绩效目标表信息，包括年初预算、追加预算、结转预算和调整预算的绩效目标（以项目的最终绩效目标为准）。</w:t>
      </w:r>
    </w:p>
    <w:p>
      <w:pPr>
        <w:pStyle w:val="2"/>
        <w:numPr>
          <w:ilvl w:val="0"/>
          <w:numId w:val="0"/>
        </w:numPr>
        <w:ind w:firstLine="420" w:firstLineChars="200"/>
        <w:outlineLvl w:val="1"/>
        <w:rPr>
          <w:rFonts w:hint="eastAsia"/>
        </w:rPr>
      </w:pPr>
      <w:bookmarkStart w:id="108" w:name="_Toc19937"/>
      <w:r>
        <w:rPr>
          <w:rFonts w:hint="eastAsia"/>
        </w:rPr>
        <w:t>适用地区：全省范围</w:t>
      </w:r>
      <w:bookmarkEnd w:id="108"/>
    </w:p>
    <w:p>
      <w:pPr>
        <w:ind w:firstLine="420" w:firstLineChars="200"/>
        <w:outlineLvl w:val="1"/>
        <w:rPr>
          <w:rFonts w:hint="eastAsia"/>
        </w:rPr>
        <w:sectPr>
          <w:footerReference r:id="rId11" w:type="default"/>
          <w:pgSz w:w="16838" w:h="11906" w:orient="landscape"/>
          <w:pgMar w:top="1134" w:right="1134" w:bottom="1134" w:left="1134" w:header="851" w:footer="992" w:gutter="0"/>
          <w:pgNumType w:fmt="decimal" w:start="53"/>
          <w:cols w:space="0" w:num="1"/>
          <w:rtlGutter w:val="0"/>
          <w:docGrid w:type="lines" w:linePitch="312" w:charSpace="0"/>
        </w:sectPr>
      </w:pPr>
      <w:bookmarkStart w:id="109" w:name="_Toc1981"/>
      <w:r>
        <w:rPr>
          <w:rFonts w:hint="eastAsia"/>
        </w:rPr>
        <w:t>适用用户：部门用户、单位用户</w:t>
      </w:r>
      <w:bookmarkEnd w:id="109"/>
    </w:p>
    <w:p>
      <w:pPr>
        <w:spacing w:line="600" w:lineRule="exact"/>
        <w:jc w:val="both"/>
        <w:outlineLvl w:val="1"/>
        <w:rPr>
          <w:rFonts w:hint="eastAsia" w:ascii="方正大标宋简体" w:hAnsi="??" w:eastAsia="方正大标宋简体" w:cs="Times New Roman"/>
          <w:b w:val="0"/>
          <w:bCs/>
          <w:color w:val="000000"/>
          <w:spacing w:val="-6"/>
          <w:w w:val="99"/>
          <w:kern w:val="0"/>
          <w:sz w:val="36"/>
          <w:szCs w:val="36"/>
        </w:rPr>
      </w:pPr>
      <w:bookmarkStart w:id="110" w:name="_Toc8270"/>
      <w:r>
        <w:rPr>
          <w:rFonts w:hint="eastAsia" w:ascii="黑体" w:hAnsi="黑体" w:eastAsia="黑体"/>
          <w:color w:val="auto"/>
          <w:sz w:val="32"/>
          <w:szCs w:val="32"/>
          <w:highlight w:val="none"/>
          <w:lang w:val="en-US" w:eastAsia="zh-CN"/>
        </w:rPr>
        <w:t>附件2</w:t>
      </w:r>
      <w:bookmarkEnd w:id="110"/>
    </w:p>
    <w:p>
      <w:pPr>
        <w:pStyle w:val="2"/>
        <w:rPr>
          <w:rFonts w:hint="eastAsia"/>
        </w:rPr>
      </w:pPr>
    </w:p>
    <w:p>
      <w:pPr>
        <w:autoSpaceDE w:val="0"/>
        <w:spacing w:line="540" w:lineRule="exact"/>
        <w:jc w:val="center"/>
        <w:rPr>
          <w:rFonts w:hint="eastAsia" w:ascii="方正大标宋简体" w:hAnsi="??" w:eastAsia="方正大标宋简体" w:cs="Times New Roman"/>
          <w:b w:val="0"/>
          <w:bCs/>
          <w:color w:val="000000"/>
          <w:spacing w:val="-6"/>
          <w:w w:val="99"/>
          <w:kern w:val="0"/>
          <w:sz w:val="36"/>
          <w:szCs w:val="36"/>
        </w:rPr>
      </w:pPr>
      <w:r>
        <w:rPr>
          <w:rFonts w:hint="eastAsia" w:ascii="方正大标宋简体" w:hAnsi="??" w:eastAsia="方正大标宋简体" w:cs="Times New Roman"/>
          <w:b w:val="0"/>
          <w:bCs/>
          <w:color w:val="000000"/>
          <w:spacing w:val="-6"/>
          <w:w w:val="99"/>
          <w:kern w:val="0"/>
          <w:sz w:val="36"/>
          <w:szCs w:val="36"/>
        </w:rPr>
        <w:t>202</w:t>
      </w:r>
      <w:r>
        <w:rPr>
          <w:rFonts w:hint="eastAsia" w:ascii="方正大标宋简体" w:hAnsi="??" w:eastAsia="方正大标宋简体" w:cs="Times New Roman"/>
          <w:b w:val="0"/>
          <w:bCs/>
          <w:color w:val="000000"/>
          <w:spacing w:val="-6"/>
          <w:w w:val="99"/>
          <w:kern w:val="0"/>
          <w:sz w:val="36"/>
          <w:szCs w:val="36"/>
          <w:lang w:val="en-US" w:eastAsia="zh-CN"/>
        </w:rPr>
        <w:t>2</w:t>
      </w:r>
      <w:r>
        <w:rPr>
          <w:rFonts w:hint="eastAsia" w:ascii="方正大标宋简体" w:hAnsi="??" w:eastAsia="方正大标宋简体" w:cs="Times New Roman"/>
          <w:b w:val="0"/>
          <w:bCs/>
          <w:color w:val="000000"/>
          <w:spacing w:val="-6"/>
          <w:w w:val="99"/>
          <w:kern w:val="0"/>
          <w:sz w:val="36"/>
          <w:szCs w:val="36"/>
        </w:rPr>
        <w:t>年</w:t>
      </w:r>
      <w:r>
        <w:rPr>
          <w:rFonts w:hint="eastAsia" w:ascii="方正大标宋简体" w:hAnsi="方正大标宋简体" w:eastAsia="方正大标宋简体" w:cs="方正大标宋简体"/>
          <w:b w:val="0"/>
          <w:bCs/>
          <w:spacing w:val="-6"/>
          <w:w w:val="99"/>
          <w:sz w:val="36"/>
          <w:szCs w:val="36"/>
        </w:rPr>
        <w:t>机关党建工作</w:t>
      </w:r>
      <w:r>
        <w:rPr>
          <w:rFonts w:hint="eastAsia" w:ascii="方正大标宋简体" w:hAnsi="方正大标宋简体" w:eastAsia="方正大标宋简体" w:cs="方正大标宋简体"/>
          <w:b w:val="0"/>
          <w:bCs/>
          <w:spacing w:val="-6"/>
          <w:w w:val="99"/>
          <w:sz w:val="36"/>
          <w:szCs w:val="36"/>
          <w:lang w:eastAsia="zh-CN"/>
        </w:rPr>
        <w:t>经费</w:t>
      </w:r>
      <w:r>
        <w:rPr>
          <w:rFonts w:hint="eastAsia" w:ascii="方正大标宋简体" w:hAnsi="??" w:eastAsia="方正大标宋简体" w:cs="Times New Roman"/>
          <w:b w:val="0"/>
          <w:bCs/>
          <w:color w:val="000000"/>
          <w:spacing w:val="-6"/>
          <w:w w:val="99"/>
          <w:kern w:val="0"/>
          <w:sz w:val="36"/>
          <w:szCs w:val="36"/>
        </w:rPr>
        <w:t>项目支出绩效自评报告</w:t>
      </w:r>
    </w:p>
    <w:p>
      <w:pPr>
        <w:autoSpaceDE w:val="0"/>
        <w:spacing w:line="540" w:lineRule="exact"/>
        <w:ind w:firstLine="616" w:firstLineChars="200"/>
        <w:rPr>
          <w:rFonts w:hint="eastAsia" w:ascii="黑体" w:hAnsi="黑体" w:eastAsia="黑体" w:cs="Times New Roman"/>
          <w:spacing w:val="-6"/>
          <w:sz w:val="32"/>
          <w:szCs w:val="32"/>
        </w:rPr>
      </w:pPr>
    </w:p>
    <w:p>
      <w:pPr>
        <w:autoSpaceDE w:val="0"/>
        <w:spacing w:line="540" w:lineRule="exact"/>
        <w:ind w:firstLine="616" w:firstLineChars="200"/>
        <w:rPr>
          <w:rFonts w:ascii="黑体" w:hAnsi="黑体" w:eastAsia="黑体" w:cs="Times New Roman"/>
          <w:spacing w:val="-6"/>
          <w:sz w:val="32"/>
          <w:szCs w:val="32"/>
        </w:rPr>
      </w:pPr>
      <w:r>
        <w:rPr>
          <w:rFonts w:hint="eastAsia" w:ascii="黑体" w:hAnsi="黑体" w:eastAsia="黑体" w:cs="Times New Roman"/>
          <w:spacing w:val="-6"/>
          <w:sz w:val="32"/>
          <w:szCs w:val="32"/>
        </w:rPr>
        <w:t>一、项目概况</w:t>
      </w:r>
    </w:p>
    <w:p>
      <w:pPr>
        <w:autoSpaceDE w:val="0"/>
        <w:spacing w:line="540" w:lineRule="exact"/>
        <w:ind w:firstLine="616" w:firstLineChars="200"/>
        <w:rPr>
          <w:rFonts w:hint="default" w:ascii="仿宋_GB2312" w:hAnsi="Times New Roman" w:eastAsia="仿宋_GB2312" w:cs="Times New Roman"/>
          <w:bCs/>
          <w:spacing w:val="-6"/>
          <w:sz w:val="32"/>
          <w:szCs w:val="32"/>
          <w:lang w:val="en-US" w:eastAsia="zh-CN"/>
        </w:rPr>
      </w:pPr>
      <w:r>
        <w:rPr>
          <w:rFonts w:hint="eastAsia" w:ascii="仿宋_GB2312" w:hAnsi="Times New Roman" w:eastAsia="仿宋_GB2312" w:cs="Times New Roman"/>
          <w:bCs/>
          <w:spacing w:val="-6"/>
          <w:sz w:val="32"/>
          <w:szCs w:val="32"/>
          <w:lang w:val="en-US" w:eastAsia="zh-CN"/>
        </w:rPr>
        <w:t>（一）项目基本情况：</w:t>
      </w:r>
    </w:p>
    <w:p>
      <w:pPr>
        <w:autoSpaceDE w:val="0"/>
        <w:spacing w:line="540" w:lineRule="exact"/>
        <w:ind w:firstLine="616" w:firstLineChars="200"/>
        <w:jc w:val="both"/>
        <w:rPr>
          <w:rFonts w:hint="eastAsia" w:ascii="仿宋_GB2312" w:eastAsia="仿宋_GB2312"/>
          <w:b w:val="0"/>
          <w:bCs/>
          <w:sz w:val="32"/>
          <w:szCs w:val="32"/>
          <w:shd w:val="clear" w:color="auto" w:fill="FFFFFF"/>
          <w:lang w:eastAsia="zh-CN"/>
        </w:rPr>
      </w:pPr>
      <w:r>
        <w:rPr>
          <w:rFonts w:hint="eastAsia" w:ascii="仿宋_GB2312" w:hAnsi="Times New Roman" w:eastAsia="仿宋_GB2312" w:cs="Times New Roman"/>
          <w:bCs/>
          <w:spacing w:val="-6"/>
          <w:sz w:val="32"/>
          <w:szCs w:val="32"/>
        </w:rPr>
        <w:t>为了全面认真落实新时代党的建设总要求，全面提高机关党的建设质量和水平，贯彻落实中央和省、市、区委的机关党的建设工作会议精神，扎实开展模范机关建设。</w:t>
      </w:r>
      <w:r>
        <w:rPr>
          <w:rFonts w:hint="eastAsia" w:ascii="仿宋_GB2312" w:hAnsi="Times New Roman" w:eastAsia="仿宋_GB2312" w:cs="Times New Roman"/>
          <w:b w:val="0"/>
          <w:bCs/>
          <w:spacing w:val="-6"/>
          <w:sz w:val="32"/>
          <w:szCs w:val="32"/>
        </w:rPr>
        <w:t>一是</w:t>
      </w:r>
      <w:r>
        <w:rPr>
          <w:rFonts w:hint="eastAsia" w:ascii="仿宋_GB2312" w:eastAsia="仿宋_GB2312"/>
          <w:b w:val="0"/>
          <w:bCs/>
          <w:sz w:val="32"/>
          <w:szCs w:val="32"/>
          <w:shd w:val="clear" w:color="auto" w:fill="FFFFFF"/>
        </w:rPr>
        <w:t>聚焦执行“三张清单”，责任再压紧</w:t>
      </w:r>
      <w:r>
        <w:rPr>
          <w:rFonts w:hint="eastAsia" w:ascii="仿宋_GB2312" w:eastAsia="仿宋_GB2312"/>
          <w:b w:val="0"/>
          <w:bCs/>
          <w:sz w:val="32"/>
          <w:szCs w:val="32"/>
        </w:rPr>
        <w:t>。二是</w:t>
      </w:r>
      <w:r>
        <w:rPr>
          <w:rFonts w:hint="eastAsia" w:ascii="仿宋_GB2312" w:eastAsia="仿宋_GB2312"/>
          <w:b w:val="0"/>
          <w:bCs/>
          <w:sz w:val="32"/>
          <w:szCs w:val="32"/>
          <w:shd w:val="clear" w:color="auto" w:fill="FFFFFF"/>
        </w:rPr>
        <w:t>聚焦标准化规范化建设，工作再落细</w:t>
      </w:r>
      <w:r>
        <w:rPr>
          <w:rFonts w:hint="eastAsia" w:ascii="仿宋_GB2312" w:eastAsia="仿宋_GB2312"/>
          <w:b w:val="0"/>
          <w:bCs/>
          <w:sz w:val="32"/>
          <w:szCs w:val="32"/>
        </w:rPr>
        <w:t>。三是</w:t>
      </w:r>
      <w:r>
        <w:rPr>
          <w:rFonts w:hint="eastAsia" w:ascii="仿宋_GB2312" w:eastAsia="仿宋_GB2312"/>
          <w:b w:val="0"/>
          <w:bCs/>
          <w:sz w:val="32"/>
          <w:szCs w:val="32"/>
          <w:shd w:val="clear" w:color="auto" w:fill="FFFFFF"/>
        </w:rPr>
        <w:t>聚焦每月主题党日活动，任务再落实</w:t>
      </w:r>
      <w:r>
        <w:rPr>
          <w:rFonts w:hint="eastAsia" w:ascii="仿宋_GB2312" w:eastAsia="仿宋_GB2312"/>
          <w:b w:val="0"/>
          <w:bCs/>
          <w:sz w:val="32"/>
          <w:szCs w:val="32"/>
          <w:shd w:val="clear" w:color="auto" w:fill="FFFFFF"/>
          <w:lang w:eastAsia="zh-CN"/>
        </w:rPr>
        <w:t>。</w:t>
      </w:r>
    </w:p>
    <w:p>
      <w:pPr>
        <w:autoSpaceDE w:val="0"/>
        <w:spacing w:line="540" w:lineRule="exact"/>
        <w:ind w:firstLine="640" w:firstLineChars="200"/>
        <w:jc w:val="both"/>
        <w:rPr>
          <w:rFonts w:hint="eastAsia" w:ascii="仿宋_GB2312" w:hAnsi="仿宋" w:eastAsia="仿宋_GB2312"/>
          <w:sz w:val="32"/>
          <w:szCs w:val="32"/>
          <w:lang w:eastAsia="zh-CN"/>
        </w:rPr>
      </w:pPr>
      <w:r>
        <w:rPr>
          <w:rFonts w:hint="eastAsia" w:ascii="仿宋_GB2312" w:hAnsi="仿宋" w:eastAsia="仿宋_GB2312"/>
          <w:sz w:val="32"/>
          <w:szCs w:val="32"/>
        </w:rPr>
        <w:t>（</w:t>
      </w:r>
      <w:r>
        <w:rPr>
          <w:rFonts w:hint="eastAsia" w:ascii="仿宋_GB2312" w:hAnsi="仿宋" w:eastAsia="仿宋_GB2312"/>
          <w:sz w:val="32"/>
          <w:szCs w:val="32"/>
          <w:lang w:eastAsia="zh-CN"/>
        </w:rPr>
        <w:t>二</w:t>
      </w:r>
      <w:r>
        <w:rPr>
          <w:rFonts w:hint="eastAsia" w:ascii="仿宋_GB2312" w:hAnsi="仿宋" w:eastAsia="仿宋_GB2312"/>
          <w:sz w:val="32"/>
          <w:szCs w:val="32"/>
        </w:rPr>
        <w:t>）项目绩效目标：</w:t>
      </w:r>
      <w:r>
        <w:rPr>
          <w:rFonts w:hint="eastAsia" w:ascii="仿宋_GB2312" w:eastAsia="仿宋_GB2312"/>
          <w:sz w:val="32"/>
          <w:szCs w:val="32"/>
          <w:shd w:val="clear" w:color="auto" w:fill="FFFFFF"/>
        </w:rPr>
        <w:t>持续推进抓机关党建责任清单、任务清单和问题清单的落地落实</w:t>
      </w:r>
      <w:r>
        <w:rPr>
          <w:rFonts w:hint="eastAsia" w:ascii="仿宋_GB2312" w:eastAsia="仿宋_GB2312"/>
          <w:sz w:val="32"/>
          <w:szCs w:val="32"/>
          <w:shd w:val="clear" w:color="auto" w:fill="FFFFFF"/>
          <w:lang w:eastAsia="zh-CN"/>
        </w:rPr>
        <w:t>；</w:t>
      </w:r>
      <w:r>
        <w:rPr>
          <w:rFonts w:hint="eastAsia" w:ascii="仿宋_GB2312" w:eastAsia="仿宋_GB2312"/>
          <w:sz w:val="32"/>
          <w:szCs w:val="32"/>
          <w:shd w:val="clear" w:color="auto" w:fill="FFFFFF"/>
        </w:rPr>
        <w:t>按照三年全覆盖建成区直机关标准化规范化建设先进基层党组织的规划，以政治建设为统领，对照8项56条具体指标，对已建成的持续深化和巩固建设成果，对拟建设的严格标准、严实程序推进建设</w:t>
      </w:r>
      <w:r>
        <w:rPr>
          <w:rFonts w:hint="eastAsia" w:ascii="仿宋_GB2312" w:eastAsia="仿宋_GB2312"/>
          <w:sz w:val="32"/>
          <w:szCs w:val="32"/>
          <w:shd w:val="clear" w:color="auto" w:fill="FFFFFF"/>
          <w:lang w:eastAsia="zh-CN"/>
        </w:rPr>
        <w:t>；</w:t>
      </w:r>
      <w:r>
        <w:rPr>
          <w:rFonts w:hint="eastAsia" w:ascii="仿宋_GB2312" w:eastAsia="仿宋_GB2312"/>
          <w:sz w:val="32"/>
          <w:szCs w:val="32"/>
          <w:shd w:val="clear" w:color="auto" w:fill="FFFFFF"/>
        </w:rPr>
        <w:t>坚持运行“每月机关党建重点工作提示”制度，抓牢“主题党日活动”抓手，从严落实“三会一课”、党员领导干部参加双重组织生活、党员教育管理等制度</w:t>
      </w:r>
      <w:r>
        <w:rPr>
          <w:rFonts w:hint="eastAsia" w:ascii="仿宋_GB2312" w:eastAsia="仿宋_GB2312"/>
          <w:sz w:val="32"/>
          <w:szCs w:val="32"/>
          <w:shd w:val="clear" w:color="auto" w:fill="FFFFFF"/>
          <w:lang w:eastAsia="zh-CN"/>
        </w:rPr>
        <w:t>。</w:t>
      </w:r>
    </w:p>
    <w:p>
      <w:pPr>
        <w:autoSpaceDE w:val="0"/>
        <w:spacing w:line="540" w:lineRule="exact"/>
        <w:ind w:firstLine="616" w:firstLineChars="200"/>
        <w:rPr>
          <w:rFonts w:ascii="黑体" w:hAnsi="黑体" w:eastAsia="黑体" w:cs="Times New Roman"/>
          <w:spacing w:val="-6"/>
          <w:sz w:val="32"/>
          <w:szCs w:val="32"/>
        </w:rPr>
      </w:pPr>
      <w:r>
        <w:rPr>
          <w:rFonts w:hint="eastAsia" w:ascii="黑体" w:hAnsi="黑体" w:eastAsia="黑体" w:cs="Times New Roman"/>
          <w:spacing w:val="-6"/>
          <w:sz w:val="32"/>
          <w:szCs w:val="32"/>
        </w:rPr>
        <w:t>二、项目实施及管理情况</w:t>
      </w:r>
    </w:p>
    <w:p>
      <w:pPr>
        <w:autoSpaceDE w:val="0"/>
        <w:spacing w:line="540" w:lineRule="exact"/>
        <w:ind w:firstLine="616" w:firstLineChars="200"/>
        <w:rPr>
          <w:rFonts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（一）资金计划、到位及使用情况</w:t>
      </w:r>
    </w:p>
    <w:p>
      <w:pPr>
        <w:autoSpaceDE w:val="0"/>
        <w:spacing w:line="540" w:lineRule="exact"/>
        <w:ind w:firstLine="616" w:firstLineChars="200"/>
        <w:rPr>
          <w:rFonts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1.资金计划及到位。该项目资金全部为朝天区财政资金，资金到位率为100%，且资金到位及时。</w:t>
      </w:r>
    </w:p>
    <w:p>
      <w:pPr>
        <w:autoSpaceDE w:val="0"/>
        <w:spacing w:line="540" w:lineRule="exact"/>
        <w:ind w:firstLine="616" w:firstLineChars="200"/>
        <w:rPr>
          <w:rFonts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2.资金使用。根据当年财政预算安排，202</w:t>
      </w:r>
      <w:r>
        <w:rPr>
          <w:rFonts w:hint="eastAsia" w:ascii="仿宋_GB2312" w:hAnsi="Times New Roman" w:eastAsia="仿宋_GB2312" w:cs="Times New Roman"/>
          <w:spacing w:val="-6"/>
          <w:sz w:val="32"/>
          <w:szCs w:val="32"/>
          <w:lang w:val="en-US" w:eastAsia="zh-CN"/>
        </w:rPr>
        <w:t>2</w:t>
      </w:r>
      <w:r>
        <w:rPr>
          <w:rFonts w:hint="eastAsia" w:ascii="仿宋_GB2312" w:hAnsi="Times New Roman" w:eastAsia="仿宋_GB2312" w:cs="Times New Roman"/>
          <w:spacing w:val="-6"/>
          <w:sz w:val="32"/>
          <w:szCs w:val="32"/>
        </w:rPr>
        <w:t>年机关党建工作经费预算</w:t>
      </w:r>
      <w:r>
        <w:rPr>
          <w:rFonts w:hint="eastAsia" w:ascii="仿宋_GB2312" w:eastAsia="仿宋_GB2312" w:cs="Times New Roman"/>
          <w:spacing w:val="-6"/>
          <w:sz w:val="32"/>
          <w:szCs w:val="32"/>
          <w:lang w:val="en-US" w:eastAsia="zh-CN"/>
        </w:rPr>
        <w:t>17</w:t>
      </w:r>
      <w:r>
        <w:rPr>
          <w:rFonts w:hint="eastAsia" w:ascii="仿宋_GB2312" w:hAnsi="Times New Roman" w:eastAsia="仿宋_GB2312" w:cs="Times New Roman"/>
          <w:spacing w:val="-6"/>
          <w:sz w:val="32"/>
          <w:szCs w:val="32"/>
        </w:rPr>
        <w:t>万元。全部用于机关党建工作，相关支出支付依据合规合法，符合《广元市财政专项资金管理暂行办法》相关规定。</w:t>
      </w:r>
    </w:p>
    <w:p>
      <w:pPr>
        <w:autoSpaceDE w:val="0"/>
        <w:spacing w:line="540" w:lineRule="exact"/>
        <w:ind w:firstLine="616" w:firstLineChars="200"/>
        <w:rPr>
          <w:rFonts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（二）项目财务管理情况</w:t>
      </w:r>
    </w:p>
    <w:p>
      <w:pPr>
        <w:autoSpaceDE w:val="0"/>
        <w:spacing w:line="576" w:lineRule="exact"/>
        <w:ind w:firstLine="616" w:firstLineChars="200"/>
        <w:rPr>
          <w:rFonts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我中心建立了资金管理、费用支出等财务管理制度，会计核算较为规范，符合《行政单位会计制度》的相关规定。项目资金管理都是专款专用，无虚列支出、截留挤占挪用、超标准开支、无超预算等情况。</w:t>
      </w:r>
    </w:p>
    <w:p>
      <w:pPr>
        <w:autoSpaceDE w:val="0"/>
        <w:spacing w:line="540" w:lineRule="exact"/>
        <w:ind w:firstLine="616" w:firstLineChars="200"/>
        <w:rPr>
          <w:rFonts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（三）项目组织实施情况</w:t>
      </w:r>
    </w:p>
    <w:p>
      <w:pPr>
        <w:adjustRightInd w:val="0"/>
        <w:snapToGrid w:val="0"/>
        <w:spacing w:line="576"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该项目机构设置健全、分工明确，建立了较为完善的内部控制管理制度和专项资金管理实施办法。在验收相关机关党建工作任务是否符合条件时，采取层层把关的方式，有效保证了资金的使用范围和效率。</w:t>
      </w:r>
    </w:p>
    <w:p>
      <w:pPr>
        <w:autoSpaceDE w:val="0"/>
        <w:spacing w:line="540" w:lineRule="exact"/>
        <w:ind w:firstLine="616" w:firstLineChars="200"/>
        <w:rPr>
          <w:rFonts w:ascii="黑体" w:hAnsi="黑体" w:eastAsia="黑体" w:cs="Times New Roman"/>
          <w:spacing w:val="-6"/>
          <w:sz w:val="32"/>
          <w:szCs w:val="32"/>
        </w:rPr>
      </w:pPr>
      <w:r>
        <w:rPr>
          <w:rFonts w:hint="eastAsia" w:ascii="黑体" w:hAnsi="黑体" w:eastAsia="黑体" w:cs="Times New Roman"/>
          <w:spacing w:val="-6"/>
          <w:sz w:val="32"/>
          <w:szCs w:val="32"/>
        </w:rPr>
        <w:t>三、项目绩效情况</w:t>
      </w:r>
      <w:r>
        <w:rPr>
          <w:rFonts w:hint="eastAsia" w:ascii="黑体" w:hAnsi="黑体" w:eastAsia="黑体" w:cs="Times New Roman"/>
          <w:spacing w:val="-6"/>
          <w:sz w:val="32"/>
          <w:szCs w:val="32"/>
        </w:rPr>
        <w:tab/>
      </w:r>
    </w:p>
    <w:p>
      <w:pPr>
        <w:autoSpaceDE w:val="0"/>
        <w:spacing w:line="540" w:lineRule="exact"/>
        <w:ind w:firstLine="616" w:firstLineChars="200"/>
        <w:rPr>
          <w:rFonts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（一）项目完成情况</w:t>
      </w:r>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从数量来看，</w:t>
      </w:r>
      <w:r>
        <w:rPr>
          <w:rFonts w:hint="eastAsia" w:ascii="仿宋_GB2312" w:hAnsi="Times New Roman" w:eastAsia="仿宋_GB2312" w:cs="Times New Roman"/>
          <w:color w:val="auto"/>
          <w:spacing w:val="-6"/>
          <w:sz w:val="32"/>
          <w:szCs w:val="32"/>
        </w:rPr>
        <w:t>建成机关党建示范单位15个，</w:t>
      </w:r>
      <w:r>
        <w:rPr>
          <w:rFonts w:hint="eastAsia" w:ascii="仿宋_GB2312" w:hAnsi="Times New Roman" w:eastAsia="仿宋_GB2312" w:cs="Times New Roman"/>
          <w:spacing w:val="-6"/>
          <w:sz w:val="32"/>
          <w:szCs w:val="32"/>
        </w:rPr>
        <w:t>标准化规范化先进基层党组织</w:t>
      </w:r>
      <w:r>
        <w:rPr>
          <w:rFonts w:hint="eastAsia" w:ascii="仿宋_GB2312" w:hAnsi="Times New Roman" w:eastAsia="仿宋_GB2312" w:cs="Times New Roman"/>
          <w:spacing w:val="-6"/>
          <w:sz w:val="32"/>
          <w:szCs w:val="32"/>
          <w:lang w:val="en-US" w:eastAsia="zh-CN"/>
        </w:rPr>
        <w:t>65</w:t>
      </w:r>
      <w:r>
        <w:rPr>
          <w:rFonts w:hint="eastAsia" w:ascii="仿宋_GB2312" w:hAnsi="Times New Roman" w:eastAsia="仿宋_GB2312" w:cs="Times New Roman"/>
          <w:spacing w:val="-6"/>
          <w:sz w:val="32"/>
          <w:szCs w:val="32"/>
        </w:rPr>
        <w:t>个，加强组织体系建设</w:t>
      </w:r>
      <w:r>
        <w:rPr>
          <w:rFonts w:hint="eastAsia" w:ascii="仿宋_GB2312" w:hAnsi="Times New Roman" w:eastAsia="仿宋_GB2312" w:cs="Times New Roman"/>
          <w:spacing w:val="-6"/>
          <w:sz w:val="32"/>
          <w:szCs w:val="32"/>
          <w:lang w:val="en-US" w:eastAsia="zh-CN"/>
        </w:rPr>
        <w:t>32个，新建</w:t>
      </w:r>
      <w:r>
        <w:rPr>
          <w:rFonts w:hint="eastAsia" w:ascii="仿宋_GB2312" w:eastAsia="仿宋_GB2312"/>
          <w:sz w:val="32"/>
          <w:szCs w:val="32"/>
        </w:rPr>
        <w:t>3个机关党建示范点</w:t>
      </w:r>
      <w:r>
        <w:rPr>
          <w:rFonts w:hint="eastAsia" w:ascii="仿宋_GB2312" w:eastAsia="仿宋_GB2312"/>
          <w:sz w:val="32"/>
          <w:szCs w:val="32"/>
          <w:lang w:eastAsia="zh-CN"/>
        </w:rPr>
        <w:t>，</w:t>
      </w:r>
      <w:r>
        <w:rPr>
          <w:rFonts w:hint="eastAsia" w:ascii="仿宋_GB2312" w:hAnsi="Times New Roman" w:eastAsia="仿宋_GB2312" w:cs="Times New Roman"/>
          <w:spacing w:val="-6"/>
          <w:sz w:val="32"/>
          <w:szCs w:val="32"/>
        </w:rPr>
        <w:t>工作相关信息在四川机关党建网刊发10余篇；</w:t>
      </w:r>
      <w:r>
        <w:rPr>
          <w:rFonts w:hint="eastAsia" w:ascii="仿宋_GB2312" w:eastAsia="仿宋_GB2312"/>
          <w:sz w:val="32"/>
          <w:szCs w:val="32"/>
        </w:rPr>
        <w:t>督促指导35个基层党组织按期换届达100</w:t>
      </w:r>
      <w:r>
        <w:rPr>
          <w:rFonts w:hint="eastAsia" w:ascii="宋体" w:hAnsi="宋体"/>
          <w:sz w:val="32"/>
          <w:szCs w:val="32"/>
        </w:rPr>
        <w:t>%</w:t>
      </w:r>
      <w:r>
        <w:rPr>
          <w:rFonts w:hint="eastAsia" w:ascii="宋体" w:hAnsi="宋体"/>
          <w:sz w:val="32"/>
          <w:szCs w:val="32"/>
          <w:lang w:eastAsia="zh-CN"/>
        </w:rPr>
        <w:t>；</w:t>
      </w:r>
      <w:r>
        <w:rPr>
          <w:rFonts w:hint="eastAsia" w:ascii="仿宋_GB2312" w:hAnsi="Times New Roman" w:eastAsia="仿宋_GB2312" w:cs="Times New Roman"/>
          <w:spacing w:val="-6"/>
          <w:sz w:val="32"/>
          <w:szCs w:val="32"/>
        </w:rPr>
        <w:t>做好老党员、困难党员、优秀党员和党务工作者代表的关怀慰问，工委摸排慰问困难党员1</w:t>
      </w:r>
      <w:r>
        <w:rPr>
          <w:rFonts w:hint="eastAsia" w:ascii="仿宋_GB2312" w:hAnsi="Times New Roman" w:eastAsia="仿宋_GB2312" w:cs="Times New Roman"/>
          <w:spacing w:val="-6"/>
          <w:sz w:val="32"/>
          <w:szCs w:val="32"/>
          <w:lang w:val="en-US" w:eastAsia="zh-CN"/>
        </w:rPr>
        <w:t>6</w:t>
      </w:r>
      <w:r>
        <w:rPr>
          <w:rFonts w:hint="eastAsia" w:ascii="仿宋_GB2312" w:hAnsi="Times New Roman" w:eastAsia="仿宋_GB2312" w:cs="Times New Roman"/>
          <w:spacing w:val="-6"/>
          <w:sz w:val="32"/>
          <w:szCs w:val="32"/>
        </w:rPr>
        <w:t>人，减免困难党员党费</w:t>
      </w:r>
      <w:r>
        <w:rPr>
          <w:rFonts w:hint="eastAsia" w:ascii="仿宋_GB2312" w:hAnsi="Times New Roman" w:eastAsia="仿宋_GB2312" w:cs="Times New Roman"/>
          <w:spacing w:val="-6"/>
          <w:sz w:val="32"/>
          <w:szCs w:val="32"/>
          <w:lang w:val="en-US" w:eastAsia="zh-CN"/>
        </w:rPr>
        <w:t>5</w:t>
      </w:r>
      <w:r>
        <w:rPr>
          <w:rFonts w:hint="eastAsia" w:ascii="仿宋_GB2312" w:hAnsi="Times New Roman" w:eastAsia="仿宋_GB2312" w:cs="Times New Roman"/>
          <w:spacing w:val="-6"/>
          <w:sz w:val="32"/>
          <w:szCs w:val="32"/>
        </w:rPr>
        <w:t>人</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rPr>
        <w:t>；举办入党积极分子和拟发展对象培训班1期，</w:t>
      </w:r>
      <w:r>
        <w:rPr>
          <w:rFonts w:hint="eastAsia" w:ascii="仿宋_GB2312" w:hAnsi="Times New Roman" w:eastAsia="仿宋_GB2312" w:cs="Times New Roman"/>
          <w:spacing w:val="-6"/>
          <w:sz w:val="32"/>
          <w:szCs w:val="32"/>
          <w:lang w:eastAsia="zh-CN"/>
        </w:rPr>
        <w:t>新</w:t>
      </w:r>
      <w:r>
        <w:rPr>
          <w:rFonts w:hint="eastAsia" w:ascii="仿宋_GB2312" w:hAnsi="Times New Roman" w:eastAsia="仿宋_GB2312" w:cs="Times New Roman"/>
          <w:spacing w:val="-6"/>
          <w:sz w:val="32"/>
          <w:szCs w:val="32"/>
        </w:rPr>
        <w:t>党员培训班1期</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lang w:val="en-US" w:eastAsia="zh-CN"/>
        </w:rPr>
        <w:t>3班次）</w:t>
      </w:r>
      <w:r>
        <w:rPr>
          <w:rFonts w:hint="eastAsia" w:ascii="仿宋_GB2312" w:hAnsi="Times New Roman" w:eastAsia="仿宋_GB2312" w:cs="Times New Roman"/>
          <w:spacing w:val="-6"/>
          <w:sz w:val="32"/>
          <w:szCs w:val="32"/>
        </w:rPr>
        <w:t>；本年度新发展预备党员</w:t>
      </w:r>
      <w:r>
        <w:rPr>
          <w:rFonts w:hint="eastAsia" w:ascii="仿宋_GB2312" w:hAnsi="Times New Roman" w:eastAsia="仿宋_GB2312" w:cs="Times New Roman"/>
          <w:spacing w:val="-6"/>
          <w:sz w:val="32"/>
          <w:szCs w:val="32"/>
          <w:lang w:val="en-US" w:eastAsia="zh-CN"/>
        </w:rPr>
        <w:t>29</w:t>
      </w:r>
      <w:r>
        <w:rPr>
          <w:rFonts w:hint="eastAsia" w:ascii="仿宋_GB2312" w:hAnsi="Times New Roman" w:eastAsia="仿宋_GB2312" w:cs="Times New Roman"/>
          <w:spacing w:val="-6"/>
          <w:sz w:val="32"/>
          <w:szCs w:val="32"/>
        </w:rPr>
        <w:t>人、预备党员转正</w:t>
      </w:r>
      <w:r>
        <w:rPr>
          <w:rFonts w:hint="eastAsia" w:ascii="仿宋_GB2312" w:hAnsi="Times New Roman" w:eastAsia="仿宋_GB2312" w:cs="Times New Roman"/>
          <w:spacing w:val="-6"/>
          <w:sz w:val="32"/>
          <w:szCs w:val="32"/>
          <w:lang w:val="en-US" w:eastAsia="zh-CN"/>
        </w:rPr>
        <w:t>24</w:t>
      </w:r>
      <w:r>
        <w:rPr>
          <w:rFonts w:hint="eastAsia" w:ascii="仿宋_GB2312" w:hAnsi="Times New Roman" w:eastAsia="仿宋_GB2312" w:cs="Times New Roman"/>
          <w:spacing w:val="-6"/>
          <w:sz w:val="32"/>
          <w:szCs w:val="32"/>
        </w:rPr>
        <w:t>人。</w:t>
      </w:r>
      <w:r>
        <w:rPr>
          <w:rFonts w:hint="eastAsia" w:ascii="仿宋_GB2312" w:eastAsia="仿宋_GB2312"/>
          <w:sz w:val="32"/>
          <w:szCs w:val="32"/>
        </w:rPr>
        <w:t>高质量推选朝天区出席党的二十大代表候选人推荐人选建议人选38人、出席省第十二次党代会代表候选人推荐人选建议人选19人。</w:t>
      </w:r>
    </w:p>
    <w:p>
      <w:pPr>
        <w:autoSpaceDE w:val="0"/>
        <w:spacing w:line="540" w:lineRule="exact"/>
        <w:ind w:firstLine="616" w:firstLineChars="200"/>
        <w:rPr>
          <w:rFonts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（二）项目效益情况</w:t>
      </w:r>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该项目产生的效益主要社会效益，主要表现在各领域基层党组织建设，各级党组织发挥战斗堡垒作用等方面</w:t>
      </w:r>
    </w:p>
    <w:p>
      <w:pPr>
        <w:autoSpaceDE w:val="0"/>
        <w:spacing w:line="540" w:lineRule="exact"/>
        <w:ind w:firstLine="616" w:firstLineChars="200"/>
        <w:rPr>
          <w:rFonts w:ascii="黑体" w:hAnsi="黑体" w:eastAsia="黑体" w:cs="Times New Roman"/>
          <w:spacing w:val="-6"/>
          <w:sz w:val="32"/>
          <w:szCs w:val="32"/>
        </w:rPr>
      </w:pPr>
      <w:r>
        <w:rPr>
          <w:rFonts w:hint="eastAsia" w:ascii="黑体" w:hAnsi="黑体" w:eastAsia="黑体" w:cs="Times New Roman"/>
          <w:spacing w:val="-6"/>
          <w:sz w:val="32"/>
          <w:szCs w:val="32"/>
        </w:rPr>
        <w:t>四、问题及建议</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（一）存在的问题</w:t>
      </w:r>
    </w:p>
    <w:p>
      <w:pPr>
        <w:spacing w:line="576"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从本项目实施情况看，整个项目在资金安排、方案策划、组织实施等方面均有充分考虑，且较好地达到项目预期目标。我中心将通过此项目建设，逐步积累经验，不断强化项目资金预算编制管理，进而使预算项目资金得到更合理的安排与使用，增强预算执行的时效性和均衡性，提高财政资金的使用效率。</w:t>
      </w:r>
    </w:p>
    <w:p>
      <w:pPr>
        <w:autoSpaceDE w:val="0"/>
        <w:spacing w:line="540" w:lineRule="exact"/>
        <w:ind w:firstLine="616" w:firstLineChars="200"/>
        <w:rPr>
          <w:rFonts w:ascii="仿宋_GB2312" w:hAnsi="Times New Roman" w:eastAsia="仿宋_GB2312" w:cs="Times New Roman"/>
          <w:spacing w:val="-6"/>
          <w:sz w:val="32"/>
          <w:szCs w:val="32"/>
        </w:rPr>
      </w:pPr>
      <w:r>
        <w:rPr>
          <w:rFonts w:hint="eastAsia" w:ascii="楷体_GB2312" w:hAnsi="Times New Roman" w:eastAsia="楷体_GB2312" w:cs="Times New Roman"/>
          <w:bCs/>
          <w:spacing w:val="-6"/>
          <w:sz w:val="32"/>
          <w:szCs w:val="32"/>
        </w:rPr>
        <w:t>（二）相关建议。</w:t>
      </w:r>
      <w:r>
        <w:rPr>
          <w:rFonts w:hint="eastAsia" w:ascii="仿宋_GB2312" w:hAnsi="Times New Roman" w:eastAsia="仿宋_GB2312" w:cs="Times New Roman"/>
          <w:spacing w:val="-6"/>
          <w:sz w:val="32"/>
          <w:szCs w:val="32"/>
        </w:rPr>
        <w:t>提出项目改进完善的意见及相关政策性建议。</w:t>
      </w:r>
    </w:p>
    <w:p>
      <w:pPr>
        <w:autoSpaceDE w:val="0"/>
        <w:spacing w:line="540" w:lineRule="exact"/>
        <w:jc w:val="center"/>
        <w:rPr>
          <w:rFonts w:hint="eastAsia" w:ascii="方正大标宋简体" w:hAnsi="??" w:eastAsia="方正大标宋简体" w:cs="Times New Roman"/>
          <w:b/>
          <w:color w:val="000000"/>
          <w:spacing w:val="-6"/>
          <w:kern w:val="0"/>
          <w:sz w:val="44"/>
          <w:szCs w:val="44"/>
          <w:lang w:val="en-US" w:eastAsia="zh-CN"/>
        </w:rPr>
      </w:pPr>
    </w:p>
    <w:p>
      <w:pPr>
        <w:pStyle w:val="2"/>
        <w:rPr>
          <w:rFonts w:hint="eastAsia" w:ascii="方正大标宋简体" w:hAnsi="??" w:eastAsia="方正大标宋简体" w:cs="Times New Roman"/>
          <w:b/>
          <w:color w:val="000000"/>
          <w:spacing w:val="-6"/>
          <w:kern w:val="0"/>
          <w:sz w:val="44"/>
          <w:szCs w:val="44"/>
          <w:lang w:val="en-US" w:eastAsia="zh-CN"/>
        </w:rPr>
      </w:pPr>
    </w:p>
    <w:p>
      <w:pPr>
        <w:rPr>
          <w:rFonts w:hint="eastAsia" w:ascii="方正大标宋简体" w:hAnsi="??" w:eastAsia="方正大标宋简体" w:cs="Times New Roman"/>
          <w:b/>
          <w:color w:val="000000"/>
          <w:spacing w:val="-6"/>
          <w:kern w:val="0"/>
          <w:sz w:val="44"/>
          <w:szCs w:val="44"/>
          <w:lang w:val="en-US" w:eastAsia="zh-CN"/>
        </w:rPr>
      </w:pPr>
    </w:p>
    <w:p>
      <w:pPr>
        <w:pStyle w:val="2"/>
        <w:rPr>
          <w:rFonts w:hint="eastAsia" w:ascii="方正大标宋简体" w:hAnsi="??" w:eastAsia="方正大标宋简体" w:cs="Times New Roman"/>
          <w:b/>
          <w:color w:val="000000"/>
          <w:spacing w:val="-6"/>
          <w:kern w:val="0"/>
          <w:sz w:val="44"/>
          <w:szCs w:val="44"/>
          <w:lang w:val="en-US" w:eastAsia="zh-CN"/>
        </w:rPr>
      </w:pPr>
    </w:p>
    <w:p>
      <w:pPr>
        <w:rPr>
          <w:rFonts w:hint="eastAsia" w:ascii="方正大标宋简体" w:hAnsi="??" w:eastAsia="方正大标宋简体" w:cs="Times New Roman"/>
          <w:b/>
          <w:color w:val="000000"/>
          <w:spacing w:val="-6"/>
          <w:kern w:val="0"/>
          <w:sz w:val="44"/>
          <w:szCs w:val="44"/>
          <w:lang w:val="en-US" w:eastAsia="zh-CN"/>
        </w:rPr>
      </w:pPr>
    </w:p>
    <w:p>
      <w:pPr>
        <w:pStyle w:val="2"/>
        <w:rPr>
          <w:rFonts w:hint="eastAsia" w:ascii="方正大标宋简体" w:hAnsi="??" w:eastAsia="方正大标宋简体" w:cs="Times New Roman"/>
          <w:b/>
          <w:color w:val="000000"/>
          <w:spacing w:val="-6"/>
          <w:kern w:val="0"/>
          <w:sz w:val="44"/>
          <w:szCs w:val="44"/>
          <w:lang w:val="en-US" w:eastAsia="zh-CN"/>
        </w:rPr>
      </w:pPr>
    </w:p>
    <w:p>
      <w:pPr>
        <w:rPr>
          <w:rFonts w:hint="eastAsia" w:ascii="方正大标宋简体" w:hAnsi="??" w:eastAsia="方正大标宋简体" w:cs="Times New Roman"/>
          <w:b/>
          <w:color w:val="000000"/>
          <w:spacing w:val="-6"/>
          <w:kern w:val="0"/>
          <w:sz w:val="44"/>
          <w:szCs w:val="44"/>
          <w:lang w:val="en-US" w:eastAsia="zh-CN"/>
        </w:rPr>
      </w:pPr>
    </w:p>
    <w:p>
      <w:pPr>
        <w:pStyle w:val="2"/>
        <w:rPr>
          <w:rFonts w:hint="eastAsia" w:ascii="方正大标宋简体" w:hAnsi="??" w:eastAsia="方正大标宋简体" w:cs="Times New Roman"/>
          <w:b/>
          <w:color w:val="000000"/>
          <w:spacing w:val="-6"/>
          <w:kern w:val="0"/>
          <w:sz w:val="44"/>
          <w:szCs w:val="44"/>
          <w:lang w:val="en-US" w:eastAsia="zh-CN"/>
        </w:rPr>
      </w:pPr>
    </w:p>
    <w:p>
      <w:pPr>
        <w:autoSpaceDE w:val="0"/>
        <w:spacing w:line="540" w:lineRule="exact"/>
        <w:jc w:val="both"/>
        <w:rPr>
          <w:rFonts w:hint="eastAsia" w:ascii="方正大标宋简体" w:hAnsi="??" w:eastAsia="方正大标宋简体" w:cs="Times New Roman"/>
          <w:b w:val="0"/>
          <w:bCs/>
          <w:color w:val="000000"/>
          <w:spacing w:val="-6"/>
          <w:kern w:val="0"/>
          <w:sz w:val="36"/>
          <w:szCs w:val="36"/>
        </w:rPr>
      </w:pPr>
    </w:p>
    <w:p>
      <w:pPr>
        <w:autoSpaceDE w:val="0"/>
        <w:spacing w:line="540" w:lineRule="exact"/>
        <w:jc w:val="center"/>
        <w:rPr>
          <w:rFonts w:hint="eastAsia" w:ascii="方正大标宋简体" w:hAnsi="??" w:eastAsia="方正大标宋简体" w:cs="Times New Roman"/>
          <w:b w:val="0"/>
          <w:bCs/>
          <w:color w:val="000000"/>
          <w:spacing w:val="-6"/>
          <w:kern w:val="0"/>
          <w:sz w:val="36"/>
          <w:szCs w:val="36"/>
        </w:rPr>
      </w:pPr>
      <w:r>
        <w:rPr>
          <w:rFonts w:hint="eastAsia" w:ascii="方正大标宋简体" w:hAnsi="??" w:eastAsia="方正大标宋简体" w:cs="Times New Roman"/>
          <w:b w:val="0"/>
          <w:bCs/>
          <w:color w:val="000000"/>
          <w:spacing w:val="-6"/>
          <w:kern w:val="0"/>
          <w:sz w:val="36"/>
          <w:szCs w:val="36"/>
        </w:rPr>
        <w:t>202</w:t>
      </w:r>
      <w:r>
        <w:rPr>
          <w:rFonts w:hint="eastAsia" w:ascii="方正大标宋简体" w:hAnsi="??" w:eastAsia="方正大标宋简体" w:cs="Times New Roman"/>
          <w:b w:val="0"/>
          <w:bCs/>
          <w:color w:val="000000"/>
          <w:spacing w:val="-6"/>
          <w:kern w:val="0"/>
          <w:sz w:val="36"/>
          <w:szCs w:val="36"/>
          <w:lang w:val="en-US" w:eastAsia="zh-CN"/>
        </w:rPr>
        <w:t>2</w:t>
      </w:r>
      <w:r>
        <w:rPr>
          <w:rFonts w:hint="eastAsia" w:ascii="方正大标宋简体" w:hAnsi="??" w:eastAsia="方正大标宋简体" w:cs="Times New Roman"/>
          <w:b w:val="0"/>
          <w:bCs/>
          <w:color w:val="000000"/>
          <w:spacing w:val="-6"/>
          <w:kern w:val="0"/>
          <w:sz w:val="36"/>
          <w:szCs w:val="36"/>
        </w:rPr>
        <w:t>年</w:t>
      </w:r>
      <w:r>
        <w:rPr>
          <w:rFonts w:hint="eastAsia" w:ascii="方正大标宋简体" w:hAnsi="??" w:eastAsia="方正大标宋简体" w:cs="Times New Roman"/>
          <w:b w:val="0"/>
          <w:bCs/>
          <w:color w:val="000000"/>
          <w:spacing w:val="-6"/>
          <w:kern w:val="0"/>
          <w:sz w:val="36"/>
          <w:szCs w:val="36"/>
          <w:lang w:eastAsia="zh-CN"/>
        </w:rPr>
        <w:t>党务工作</w:t>
      </w:r>
      <w:r>
        <w:rPr>
          <w:rFonts w:hint="eastAsia" w:ascii="方正大标宋简体" w:hAnsi="??" w:eastAsia="方正大标宋简体" w:cs="Times New Roman"/>
          <w:b w:val="0"/>
          <w:bCs/>
          <w:color w:val="000000"/>
          <w:spacing w:val="-6"/>
          <w:kern w:val="0"/>
          <w:sz w:val="36"/>
          <w:szCs w:val="36"/>
        </w:rPr>
        <w:t>项目支出绩效自评报告</w:t>
      </w:r>
    </w:p>
    <w:p>
      <w:pPr>
        <w:autoSpaceDE w:val="0"/>
        <w:spacing w:line="540" w:lineRule="exact"/>
        <w:ind w:firstLine="616" w:firstLineChars="200"/>
        <w:rPr>
          <w:rFonts w:ascii="黑体" w:hAnsi="黑体" w:eastAsia="黑体" w:cs="Times New Roman"/>
          <w:spacing w:val="-6"/>
          <w:sz w:val="32"/>
          <w:szCs w:val="32"/>
        </w:rPr>
      </w:pPr>
      <w:r>
        <w:rPr>
          <w:rFonts w:hint="eastAsia" w:ascii="黑体" w:hAnsi="黑体" w:eastAsia="黑体" w:cs="Times New Roman"/>
          <w:spacing w:val="-6"/>
          <w:sz w:val="32"/>
          <w:szCs w:val="32"/>
        </w:rPr>
        <w:t>一、项目概况</w:t>
      </w:r>
    </w:p>
    <w:p>
      <w:pPr>
        <w:autoSpaceDE w:val="0"/>
        <w:spacing w:line="540" w:lineRule="exact"/>
        <w:ind w:firstLine="616" w:firstLineChars="200"/>
        <w:rPr>
          <w:rFonts w:hint="eastAsia" w:ascii="仿宋_GB2312" w:hAnsi="Times New Roman" w:eastAsia="仿宋_GB2312" w:cs="Times New Roman"/>
          <w:bCs/>
          <w:spacing w:val="-6"/>
          <w:sz w:val="32"/>
          <w:szCs w:val="32"/>
        </w:rPr>
      </w:pPr>
      <w:r>
        <w:rPr>
          <w:rFonts w:hint="eastAsia" w:ascii="仿宋_GB2312" w:hAnsi="Times New Roman" w:eastAsia="仿宋_GB2312" w:cs="Times New Roman"/>
          <w:bCs/>
          <w:spacing w:val="-6"/>
          <w:sz w:val="32"/>
          <w:szCs w:val="32"/>
        </w:rPr>
        <w:t>为了全面提高机关党的党员队伍建设和党员自身能力和修养，举办入党积极分子</w:t>
      </w:r>
      <w:r>
        <w:rPr>
          <w:rFonts w:hint="eastAsia" w:ascii="仿宋_GB2312" w:hAnsi="Times New Roman" w:eastAsia="仿宋_GB2312" w:cs="Times New Roman"/>
          <w:bCs/>
          <w:spacing w:val="-6"/>
          <w:sz w:val="32"/>
          <w:szCs w:val="32"/>
          <w:lang w:eastAsia="zh-CN"/>
        </w:rPr>
        <w:t>及拟发展对象</w:t>
      </w:r>
      <w:r>
        <w:rPr>
          <w:rFonts w:hint="eastAsia" w:ascii="仿宋_GB2312" w:hAnsi="Times New Roman" w:eastAsia="仿宋_GB2312" w:cs="Times New Roman"/>
          <w:bCs/>
          <w:spacing w:val="-6"/>
          <w:sz w:val="32"/>
          <w:szCs w:val="32"/>
        </w:rPr>
        <w:t>培训1期、新党员培训</w:t>
      </w:r>
      <w:r>
        <w:rPr>
          <w:rFonts w:hint="eastAsia" w:ascii="仿宋_GB2312" w:hAnsi="Times New Roman" w:eastAsia="仿宋_GB2312" w:cs="Times New Roman"/>
          <w:bCs/>
          <w:spacing w:val="-6"/>
          <w:sz w:val="32"/>
          <w:szCs w:val="32"/>
          <w:lang w:val="en-US" w:eastAsia="zh-CN"/>
        </w:rPr>
        <w:t>1</w:t>
      </w:r>
      <w:r>
        <w:rPr>
          <w:rFonts w:hint="eastAsia" w:ascii="仿宋_GB2312" w:hAnsi="Times New Roman" w:eastAsia="仿宋_GB2312" w:cs="Times New Roman"/>
          <w:bCs/>
          <w:spacing w:val="-6"/>
          <w:sz w:val="32"/>
          <w:szCs w:val="32"/>
        </w:rPr>
        <w:t>期</w:t>
      </w:r>
      <w:r>
        <w:rPr>
          <w:rFonts w:hint="eastAsia" w:ascii="仿宋_GB2312" w:hAnsi="Times New Roman" w:eastAsia="仿宋_GB2312" w:cs="Times New Roman"/>
          <w:bCs/>
          <w:spacing w:val="-6"/>
          <w:sz w:val="32"/>
          <w:szCs w:val="32"/>
          <w:lang w:eastAsia="zh-CN"/>
        </w:rPr>
        <w:t>（</w:t>
      </w:r>
      <w:r>
        <w:rPr>
          <w:rFonts w:hint="eastAsia" w:ascii="仿宋_GB2312" w:hAnsi="Times New Roman" w:eastAsia="仿宋_GB2312" w:cs="Times New Roman"/>
          <w:bCs/>
          <w:spacing w:val="-6"/>
          <w:sz w:val="32"/>
          <w:szCs w:val="32"/>
          <w:lang w:val="en-US" w:eastAsia="zh-CN"/>
        </w:rPr>
        <w:t>3班次）</w:t>
      </w:r>
      <w:r>
        <w:rPr>
          <w:rFonts w:hint="eastAsia" w:ascii="仿宋_GB2312" w:hAnsi="Times New Roman" w:eastAsia="仿宋_GB2312" w:cs="Times New Roman"/>
          <w:bCs/>
          <w:spacing w:val="-6"/>
          <w:sz w:val="32"/>
          <w:szCs w:val="32"/>
        </w:rPr>
        <w:t>，党务工作者培训1期。</w:t>
      </w:r>
    </w:p>
    <w:p>
      <w:pPr>
        <w:autoSpaceDE w:val="0"/>
        <w:spacing w:line="540" w:lineRule="exact"/>
        <w:ind w:firstLine="616" w:firstLineChars="200"/>
        <w:rPr>
          <w:rFonts w:ascii="黑体" w:hAnsi="黑体" w:eastAsia="黑体" w:cs="Times New Roman"/>
          <w:spacing w:val="-6"/>
          <w:sz w:val="32"/>
          <w:szCs w:val="32"/>
        </w:rPr>
      </w:pPr>
      <w:r>
        <w:rPr>
          <w:rFonts w:hint="eastAsia" w:ascii="黑体" w:hAnsi="黑体" w:eastAsia="黑体" w:cs="Times New Roman"/>
          <w:spacing w:val="-6"/>
          <w:sz w:val="32"/>
          <w:szCs w:val="32"/>
        </w:rPr>
        <w:t>二、项目实施及管理情况</w:t>
      </w:r>
    </w:p>
    <w:p>
      <w:pPr>
        <w:autoSpaceDE w:val="0"/>
        <w:spacing w:line="540" w:lineRule="exact"/>
        <w:ind w:firstLine="616" w:firstLineChars="200"/>
        <w:rPr>
          <w:rFonts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（一）资金计划、到位及使用情况</w:t>
      </w:r>
    </w:p>
    <w:p>
      <w:pPr>
        <w:autoSpaceDE w:val="0"/>
        <w:spacing w:line="540" w:lineRule="exact"/>
        <w:ind w:firstLine="616" w:firstLineChars="200"/>
        <w:rPr>
          <w:rFonts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1.资金计划及到位。该项目资金全部为朝天区财政资金，资金到位率为100%，且资金到位及时。</w:t>
      </w:r>
    </w:p>
    <w:p>
      <w:pPr>
        <w:autoSpaceDE w:val="0"/>
        <w:spacing w:line="540" w:lineRule="exact"/>
        <w:ind w:firstLine="616" w:firstLineChars="200"/>
        <w:rPr>
          <w:rFonts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2.资金使用。根据当年财政预算安排，202</w:t>
      </w:r>
      <w:r>
        <w:rPr>
          <w:rFonts w:hint="eastAsia" w:ascii="仿宋_GB2312" w:hAnsi="Times New Roman" w:eastAsia="仿宋_GB2312" w:cs="Times New Roman"/>
          <w:spacing w:val="-6"/>
          <w:sz w:val="32"/>
          <w:szCs w:val="32"/>
          <w:lang w:val="en-US" w:eastAsia="zh-CN"/>
        </w:rPr>
        <w:t>2</w:t>
      </w:r>
      <w:r>
        <w:rPr>
          <w:rFonts w:hint="eastAsia" w:ascii="仿宋_GB2312" w:hAnsi="Times New Roman" w:eastAsia="仿宋_GB2312" w:cs="Times New Roman"/>
          <w:spacing w:val="-6"/>
          <w:sz w:val="32"/>
          <w:szCs w:val="32"/>
        </w:rPr>
        <w:t>年党务工作经费预算</w:t>
      </w:r>
      <w:r>
        <w:rPr>
          <w:rFonts w:hint="eastAsia" w:ascii="仿宋_GB2312" w:eastAsia="仿宋_GB2312" w:cs="Times New Roman"/>
          <w:spacing w:val="-6"/>
          <w:sz w:val="32"/>
          <w:szCs w:val="32"/>
          <w:lang w:val="en-US" w:eastAsia="zh-CN"/>
        </w:rPr>
        <w:t>1.89</w:t>
      </w:r>
      <w:r>
        <w:rPr>
          <w:rFonts w:hint="eastAsia" w:ascii="仿宋_GB2312" w:hAnsi="Times New Roman" w:eastAsia="仿宋_GB2312" w:cs="Times New Roman"/>
          <w:spacing w:val="-6"/>
          <w:sz w:val="32"/>
          <w:szCs w:val="32"/>
        </w:rPr>
        <w:t>万元</w:t>
      </w:r>
      <w:r>
        <w:rPr>
          <w:rFonts w:hint="eastAsia" w:ascii="仿宋_GB2312" w:hAnsi="Times New Roman" w:eastAsia="仿宋_GB2312" w:cs="Times New Roman"/>
          <w:spacing w:val="-6"/>
          <w:sz w:val="32"/>
          <w:szCs w:val="32"/>
          <w:lang w:val="en-US" w:eastAsia="zh-CN"/>
        </w:rPr>
        <w:t>，</w:t>
      </w:r>
      <w:r>
        <w:rPr>
          <w:rFonts w:hint="eastAsia" w:ascii="仿宋_GB2312" w:hAnsi="Times New Roman" w:eastAsia="仿宋_GB2312" w:cs="Times New Roman"/>
          <w:spacing w:val="-6"/>
          <w:sz w:val="32"/>
          <w:szCs w:val="32"/>
        </w:rPr>
        <w:t>全部用于党务培训工作，相关支出支付依据合规合法，符合《广元市财政专项资金管理暂行办法》相关规定。</w:t>
      </w:r>
    </w:p>
    <w:p>
      <w:pPr>
        <w:autoSpaceDE w:val="0"/>
        <w:spacing w:line="540" w:lineRule="exact"/>
        <w:ind w:firstLine="616" w:firstLineChars="200"/>
        <w:rPr>
          <w:rFonts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（二）项目财务管理情况</w:t>
      </w:r>
    </w:p>
    <w:p>
      <w:pPr>
        <w:autoSpaceDE w:val="0"/>
        <w:spacing w:line="576" w:lineRule="exact"/>
        <w:ind w:firstLine="616" w:firstLineChars="200"/>
        <w:rPr>
          <w:rFonts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我中心建立了资金管理、费用支出等财务管理制度，会计核算较为规范，符合《行政单位会计制度》的相关规定。项目资金管理都是专款专用，无虚列支出、截留挤占挪用、超标准开支、无超预算等情况。</w:t>
      </w:r>
    </w:p>
    <w:p>
      <w:pPr>
        <w:autoSpaceDE w:val="0"/>
        <w:spacing w:line="540" w:lineRule="exact"/>
        <w:ind w:firstLine="616" w:firstLineChars="200"/>
        <w:rPr>
          <w:rFonts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（三）项目组织实施情况</w:t>
      </w:r>
    </w:p>
    <w:p>
      <w:pPr>
        <w:adjustRightInd w:val="0"/>
        <w:snapToGrid w:val="0"/>
        <w:spacing w:line="576"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该项目机构设置健全、分工明确，建立了较为完善的内部控制管理制度和专项资金管理实施办法。在验收相关机关党建工作任务是否符合条件时，采取层层把关的方式，有效保证了资金的使用范围和效率。</w:t>
      </w:r>
    </w:p>
    <w:p>
      <w:pPr>
        <w:autoSpaceDE w:val="0"/>
        <w:spacing w:line="540" w:lineRule="exact"/>
        <w:ind w:firstLine="616" w:firstLineChars="200"/>
        <w:rPr>
          <w:rFonts w:ascii="黑体" w:hAnsi="黑体" w:eastAsia="黑体" w:cs="Times New Roman"/>
          <w:spacing w:val="-6"/>
          <w:sz w:val="32"/>
          <w:szCs w:val="32"/>
        </w:rPr>
      </w:pPr>
      <w:r>
        <w:rPr>
          <w:rFonts w:hint="eastAsia" w:ascii="黑体" w:hAnsi="黑体" w:eastAsia="黑体" w:cs="Times New Roman"/>
          <w:spacing w:val="-6"/>
          <w:sz w:val="32"/>
          <w:szCs w:val="32"/>
        </w:rPr>
        <w:t>三、项目绩效情况</w:t>
      </w:r>
      <w:r>
        <w:rPr>
          <w:rFonts w:hint="eastAsia" w:ascii="黑体" w:hAnsi="黑体" w:eastAsia="黑体" w:cs="Times New Roman"/>
          <w:spacing w:val="-6"/>
          <w:sz w:val="32"/>
          <w:szCs w:val="32"/>
        </w:rPr>
        <w:tab/>
      </w:r>
    </w:p>
    <w:p>
      <w:pPr>
        <w:autoSpaceDE w:val="0"/>
        <w:spacing w:line="540" w:lineRule="exact"/>
        <w:ind w:firstLine="616" w:firstLineChars="200"/>
        <w:rPr>
          <w:rFonts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（一）项目完成情况</w:t>
      </w:r>
    </w:p>
    <w:p>
      <w:pPr>
        <w:autoSpaceDE w:val="0"/>
        <w:spacing w:line="540" w:lineRule="exact"/>
        <w:ind w:firstLine="616" w:firstLineChars="200"/>
        <w:rPr>
          <w:rFonts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从数量来看，举办入党积极分子和拟发展对象培训班1期，预备党员培训班1期，举办新党员培训班</w:t>
      </w:r>
      <w:r>
        <w:rPr>
          <w:rFonts w:hint="eastAsia" w:ascii="仿宋_GB2312" w:hAnsi="Times New Roman" w:eastAsia="仿宋_GB2312" w:cs="Times New Roman"/>
          <w:spacing w:val="-6"/>
          <w:sz w:val="32"/>
          <w:szCs w:val="32"/>
          <w:lang w:val="en-US" w:eastAsia="zh-CN"/>
        </w:rPr>
        <w:t>1</w:t>
      </w:r>
      <w:r>
        <w:rPr>
          <w:rFonts w:hint="eastAsia" w:ascii="仿宋_GB2312" w:hAnsi="Times New Roman" w:eastAsia="仿宋_GB2312" w:cs="Times New Roman"/>
          <w:spacing w:val="-6"/>
          <w:sz w:val="32"/>
          <w:szCs w:val="32"/>
        </w:rPr>
        <w:t>期</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lang w:val="en-US" w:eastAsia="zh-CN"/>
        </w:rPr>
        <w:t>3班次）</w:t>
      </w:r>
      <w:r>
        <w:rPr>
          <w:rFonts w:hint="eastAsia" w:ascii="仿宋_GB2312" w:hAnsi="Times New Roman" w:eastAsia="仿宋_GB2312" w:cs="Times New Roman"/>
          <w:spacing w:val="-6"/>
          <w:sz w:val="32"/>
          <w:szCs w:val="32"/>
        </w:rPr>
        <w:t>，</w:t>
      </w:r>
      <w:r>
        <w:rPr>
          <w:rFonts w:hint="eastAsia" w:ascii="仿宋_GB2312" w:hAnsi="Times New Roman" w:eastAsia="仿宋_GB2312" w:cs="Times New Roman"/>
          <w:spacing w:val="-6"/>
          <w:sz w:val="32"/>
          <w:szCs w:val="32"/>
          <w:lang w:eastAsia="zh-CN"/>
        </w:rPr>
        <w:t>党务工作者培训</w:t>
      </w:r>
      <w:r>
        <w:rPr>
          <w:rFonts w:hint="eastAsia" w:ascii="仿宋_GB2312" w:hAnsi="Times New Roman" w:eastAsia="仿宋_GB2312" w:cs="Times New Roman"/>
          <w:spacing w:val="-6"/>
          <w:sz w:val="32"/>
          <w:szCs w:val="32"/>
          <w:lang w:val="en-US" w:eastAsia="zh-CN"/>
        </w:rPr>
        <w:t>1期</w:t>
      </w:r>
      <w:r>
        <w:rPr>
          <w:rFonts w:hint="eastAsia" w:ascii="仿宋_GB2312" w:hAnsi="Times New Roman" w:eastAsia="仿宋_GB2312" w:cs="Times New Roman"/>
          <w:spacing w:val="-6"/>
          <w:sz w:val="32"/>
          <w:szCs w:val="32"/>
        </w:rPr>
        <w:t>；本年度新发展预备党员</w:t>
      </w:r>
      <w:r>
        <w:rPr>
          <w:rFonts w:hint="eastAsia" w:ascii="仿宋_GB2312" w:hAnsi="Times New Roman" w:eastAsia="仿宋_GB2312" w:cs="Times New Roman"/>
          <w:spacing w:val="-6"/>
          <w:sz w:val="32"/>
          <w:szCs w:val="32"/>
          <w:lang w:val="en-US" w:eastAsia="zh-CN"/>
        </w:rPr>
        <w:t>29</w:t>
      </w:r>
      <w:r>
        <w:rPr>
          <w:rFonts w:hint="eastAsia" w:ascii="仿宋_GB2312" w:hAnsi="Times New Roman" w:eastAsia="仿宋_GB2312" w:cs="Times New Roman"/>
          <w:spacing w:val="-6"/>
          <w:sz w:val="32"/>
          <w:szCs w:val="32"/>
        </w:rPr>
        <w:t>人、预备党员转正</w:t>
      </w:r>
      <w:r>
        <w:rPr>
          <w:rFonts w:hint="eastAsia" w:ascii="仿宋_GB2312" w:hAnsi="Times New Roman" w:eastAsia="仿宋_GB2312" w:cs="Times New Roman"/>
          <w:spacing w:val="-6"/>
          <w:sz w:val="32"/>
          <w:szCs w:val="32"/>
          <w:lang w:val="en-US" w:eastAsia="zh-CN"/>
        </w:rPr>
        <w:t>24</w:t>
      </w:r>
      <w:r>
        <w:rPr>
          <w:rFonts w:hint="eastAsia" w:ascii="仿宋_GB2312" w:hAnsi="Times New Roman" w:eastAsia="仿宋_GB2312" w:cs="Times New Roman"/>
          <w:spacing w:val="-6"/>
          <w:sz w:val="32"/>
          <w:szCs w:val="32"/>
        </w:rPr>
        <w:t>人、培训入党积极分子100余人，培训党务干部66人。</w:t>
      </w:r>
    </w:p>
    <w:p>
      <w:pPr>
        <w:autoSpaceDE w:val="0"/>
        <w:spacing w:line="540" w:lineRule="exact"/>
        <w:ind w:firstLine="616" w:firstLineChars="200"/>
        <w:rPr>
          <w:rFonts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（二）项目效益情况</w:t>
      </w:r>
    </w:p>
    <w:p>
      <w:pPr>
        <w:autoSpaceDE w:val="0"/>
        <w:spacing w:line="540" w:lineRule="exact"/>
        <w:ind w:firstLine="616" w:firstLineChars="200"/>
        <w:rPr>
          <w:rFonts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该项目产生的效益主要社会效益，主要表现在各领域基层党组织建设，各级党组织发挥战斗堡垒作用等方面</w:t>
      </w:r>
    </w:p>
    <w:p>
      <w:pPr>
        <w:autoSpaceDE w:val="0"/>
        <w:spacing w:line="540" w:lineRule="exact"/>
        <w:ind w:firstLine="616" w:firstLineChars="200"/>
        <w:rPr>
          <w:rFonts w:ascii="黑体" w:hAnsi="黑体" w:eastAsia="黑体" w:cs="Times New Roman"/>
          <w:spacing w:val="-6"/>
          <w:sz w:val="32"/>
          <w:szCs w:val="32"/>
        </w:rPr>
      </w:pPr>
      <w:r>
        <w:rPr>
          <w:rFonts w:hint="eastAsia" w:ascii="黑体" w:hAnsi="黑体" w:eastAsia="黑体" w:cs="Times New Roman"/>
          <w:spacing w:val="-6"/>
          <w:sz w:val="32"/>
          <w:szCs w:val="32"/>
        </w:rPr>
        <w:t>四、问题及建议</w:t>
      </w:r>
    </w:p>
    <w:p>
      <w:pPr>
        <w:autoSpaceDE w:val="0"/>
        <w:spacing w:line="540" w:lineRule="exact"/>
        <w:ind w:firstLine="616" w:firstLineChars="200"/>
        <w:rPr>
          <w:rFonts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（一）存在的问题</w:t>
      </w:r>
    </w:p>
    <w:p>
      <w:pPr>
        <w:spacing w:line="576"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从本项目实施情况看，整个项目在资金安排、方案策划、组织实施等方面均有充分考虑，且较好地达到项目预期目标。我中心将通过此项目建设，逐步积累经验，不断强化项目资金预算编制管理，进而使预算项目资金得到更合理的安排与使用，增强预算执行的时效性和均衡性，提高财政资金的使用效率。</w:t>
      </w:r>
    </w:p>
    <w:p>
      <w:pPr>
        <w:numPr>
          <w:ilvl w:val="0"/>
          <w:numId w:val="6"/>
        </w:num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楷体_GB2312" w:hAnsi="Times New Roman" w:eastAsia="楷体_GB2312" w:cs="Times New Roman"/>
          <w:bCs/>
          <w:spacing w:val="-6"/>
          <w:sz w:val="32"/>
          <w:szCs w:val="32"/>
        </w:rPr>
        <w:t>相关建议。</w:t>
      </w:r>
      <w:r>
        <w:rPr>
          <w:rFonts w:hint="eastAsia" w:ascii="仿宋_GB2312" w:hAnsi="Times New Roman" w:eastAsia="仿宋_GB2312" w:cs="Times New Roman"/>
          <w:spacing w:val="-6"/>
          <w:sz w:val="32"/>
          <w:szCs w:val="32"/>
        </w:rPr>
        <w:t>提出项目改进完善的意见及相关政策性建议。</w:t>
      </w:r>
    </w:p>
    <w:p>
      <w:pPr>
        <w:pStyle w:val="2"/>
        <w:rPr>
          <w:rFonts w:hint="eastAsia" w:ascii="仿宋_GB2312" w:hAnsi="Times New Roman" w:eastAsia="仿宋_GB2312" w:cs="Times New Roman"/>
          <w:spacing w:val="-6"/>
          <w:sz w:val="32"/>
          <w:szCs w:val="32"/>
        </w:rPr>
      </w:pPr>
    </w:p>
    <w:p>
      <w:pPr>
        <w:rPr>
          <w:rFonts w:hint="eastAsia" w:ascii="仿宋_GB2312" w:hAnsi="Times New Roman" w:eastAsia="仿宋_GB2312" w:cs="Times New Roman"/>
          <w:spacing w:val="-6"/>
          <w:sz w:val="32"/>
          <w:szCs w:val="32"/>
        </w:rPr>
      </w:pPr>
    </w:p>
    <w:p>
      <w:pPr>
        <w:pStyle w:val="2"/>
        <w:rPr>
          <w:rFonts w:hint="eastAsia" w:ascii="仿宋_GB2312" w:hAnsi="Times New Roman" w:eastAsia="仿宋_GB2312" w:cs="Times New Roman"/>
          <w:spacing w:val="-6"/>
          <w:sz w:val="32"/>
          <w:szCs w:val="32"/>
        </w:rPr>
      </w:pPr>
    </w:p>
    <w:p>
      <w:pPr>
        <w:rPr>
          <w:rFonts w:hint="eastAsia" w:ascii="仿宋_GB2312" w:hAnsi="Times New Roman" w:eastAsia="仿宋_GB2312" w:cs="Times New Roman"/>
          <w:spacing w:val="-6"/>
          <w:sz w:val="32"/>
          <w:szCs w:val="32"/>
        </w:rPr>
      </w:pPr>
    </w:p>
    <w:p>
      <w:pPr>
        <w:pStyle w:val="2"/>
        <w:rPr>
          <w:rFonts w:hint="eastAsia" w:ascii="仿宋_GB2312" w:hAnsi="Times New Roman" w:eastAsia="仿宋_GB2312" w:cs="Times New Roman"/>
          <w:spacing w:val="-6"/>
          <w:sz w:val="32"/>
          <w:szCs w:val="32"/>
        </w:rPr>
      </w:pPr>
    </w:p>
    <w:p>
      <w:pPr>
        <w:rPr>
          <w:rFonts w:hint="eastAsia" w:ascii="仿宋_GB2312" w:hAnsi="Times New Roman" w:eastAsia="仿宋_GB2312" w:cs="Times New Roman"/>
          <w:spacing w:val="-6"/>
          <w:sz w:val="32"/>
          <w:szCs w:val="32"/>
        </w:rPr>
      </w:pPr>
    </w:p>
    <w:p>
      <w:pPr>
        <w:pStyle w:val="6"/>
        <w:rPr>
          <w:rFonts w:hint="eastAsia" w:hAnsi="宋体" w:cs="宋体"/>
          <w:color w:val="auto"/>
          <w:kern w:val="0"/>
          <w:sz w:val="32"/>
          <w:szCs w:val="32"/>
          <w:highlight w:val="none"/>
          <w:shd w:val="clear" w:color="auto" w:fill="FFFFFF"/>
          <w:lang w:val="zh-CN"/>
        </w:rPr>
      </w:pPr>
    </w:p>
    <w:p>
      <w:pPr>
        <w:autoSpaceDE w:val="0"/>
        <w:spacing w:line="540" w:lineRule="exact"/>
        <w:jc w:val="center"/>
        <w:rPr>
          <w:rFonts w:hint="eastAsia" w:ascii="方正大标宋简体" w:hAnsi="??" w:eastAsia="方正大标宋简体" w:cs="Times New Roman"/>
          <w:b w:val="0"/>
          <w:bCs/>
          <w:color w:val="000000"/>
          <w:spacing w:val="-6"/>
          <w:kern w:val="0"/>
          <w:sz w:val="36"/>
          <w:szCs w:val="36"/>
        </w:rPr>
      </w:pPr>
      <w:r>
        <w:rPr>
          <w:rFonts w:hint="eastAsia" w:ascii="方正大标宋简体" w:hAnsi="??" w:eastAsia="方正大标宋简体" w:cs="Times New Roman"/>
          <w:b w:val="0"/>
          <w:bCs/>
          <w:color w:val="000000"/>
          <w:spacing w:val="-6"/>
          <w:kern w:val="0"/>
          <w:sz w:val="36"/>
          <w:szCs w:val="36"/>
        </w:rPr>
        <w:t>202</w:t>
      </w:r>
      <w:r>
        <w:rPr>
          <w:rFonts w:hint="eastAsia" w:ascii="方正大标宋简体" w:hAnsi="??" w:eastAsia="方正大标宋简体" w:cs="Times New Roman"/>
          <w:b w:val="0"/>
          <w:bCs/>
          <w:color w:val="000000"/>
          <w:spacing w:val="-6"/>
          <w:kern w:val="0"/>
          <w:sz w:val="36"/>
          <w:szCs w:val="36"/>
          <w:lang w:val="en-US" w:eastAsia="zh-CN"/>
        </w:rPr>
        <w:t>2</w:t>
      </w:r>
      <w:r>
        <w:rPr>
          <w:rFonts w:hint="eastAsia" w:ascii="方正大标宋简体" w:hAnsi="??" w:eastAsia="方正大标宋简体" w:cs="Times New Roman"/>
          <w:b w:val="0"/>
          <w:bCs/>
          <w:color w:val="000000"/>
          <w:spacing w:val="-6"/>
          <w:kern w:val="0"/>
          <w:sz w:val="36"/>
          <w:szCs w:val="36"/>
        </w:rPr>
        <w:t>年</w:t>
      </w:r>
      <w:r>
        <w:rPr>
          <w:rFonts w:hint="eastAsia" w:ascii="方正大标宋简体" w:hAnsi="??" w:eastAsia="方正大标宋简体" w:cs="Times New Roman"/>
          <w:b w:val="0"/>
          <w:bCs/>
          <w:color w:val="000000"/>
          <w:spacing w:val="-6"/>
          <w:kern w:val="0"/>
          <w:sz w:val="36"/>
          <w:szCs w:val="36"/>
          <w:lang w:eastAsia="zh-CN"/>
        </w:rPr>
        <w:t>疫情防控工作经费</w:t>
      </w:r>
      <w:r>
        <w:rPr>
          <w:rFonts w:hint="eastAsia" w:ascii="方正大标宋简体" w:hAnsi="??" w:eastAsia="方正大标宋简体" w:cs="Times New Roman"/>
          <w:b w:val="0"/>
          <w:bCs/>
          <w:color w:val="000000"/>
          <w:spacing w:val="-6"/>
          <w:kern w:val="0"/>
          <w:sz w:val="36"/>
          <w:szCs w:val="36"/>
        </w:rPr>
        <w:t>项目支出绩效自评报告</w:t>
      </w:r>
    </w:p>
    <w:p>
      <w:pPr>
        <w:autoSpaceDE w:val="0"/>
        <w:spacing w:line="540" w:lineRule="exact"/>
        <w:ind w:firstLine="616" w:firstLineChars="200"/>
        <w:rPr>
          <w:rFonts w:hint="eastAsia" w:ascii="黑体" w:hAnsi="黑体" w:eastAsia="黑体" w:cs="Times New Roman"/>
          <w:spacing w:val="-6"/>
          <w:sz w:val="32"/>
          <w:szCs w:val="32"/>
        </w:rPr>
      </w:pPr>
    </w:p>
    <w:p>
      <w:pPr>
        <w:autoSpaceDE w:val="0"/>
        <w:spacing w:line="540" w:lineRule="exact"/>
        <w:ind w:firstLine="616" w:firstLineChars="200"/>
        <w:rPr>
          <w:rFonts w:ascii="黑体" w:hAnsi="黑体" w:eastAsia="黑体" w:cs="Times New Roman"/>
          <w:spacing w:val="-6"/>
          <w:sz w:val="32"/>
          <w:szCs w:val="32"/>
        </w:rPr>
      </w:pPr>
      <w:r>
        <w:rPr>
          <w:rFonts w:hint="eastAsia" w:ascii="黑体" w:hAnsi="黑体" w:eastAsia="黑体" w:cs="Times New Roman"/>
          <w:spacing w:val="-6"/>
          <w:sz w:val="32"/>
          <w:szCs w:val="32"/>
        </w:rPr>
        <w:t>一、项目概况</w:t>
      </w:r>
    </w:p>
    <w:p>
      <w:pPr>
        <w:autoSpaceDE w:val="0"/>
        <w:spacing w:line="540" w:lineRule="exact"/>
        <w:ind w:firstLine="616" w:firstLineChars="200"/>
        <w:rPr>
          <w:rFonts w:hint="eastAsia" w:ascii="仿宋_GB2312" w:hAnsi="Times New Roman" w:eastAsia="仿宋_GB2312" w:cs="Times New Roman"/>
          <w:bCs/>
          <w:spacing w:val="-6"/>
          <w:sz w:val="32"/>
          <w:szCs w:val="32"/>
        </w:rPr>
      </w:pPr>
      <w:r>
        <w:rPr>
          <w:rFonts w:hint="eastAsia" w:ascii="仿宋_GB2312" w:hAnsi="Times New Roman" w:eastAsia="仿宋_GB2312" w:cs="Times New Roman"/>
          <w:bCs/>
          <w:spacing w:val="-6"/>
          <w:sz w:val="32"/>
          <w:szCs w:val="32"/>
        </w:rPr>
        <w:t>为了守住党政机关办公场所及公职人员疫情防控底线。</w:t>
      </w:r>
    </w:p>
    <w:p>
      <w:pPr>
        <w:autoSpaceDE w:val="0"/>
        <w:spacing w:line="540" w:lineRule="exact"/>
        <w:ind w:firstLine="616" w:firstLineChars="200"/>
        <w:rPr>
          <w:rFonts w:ascii="黑体" w:hAnsi="黑体" w:eastAsia="黑体" w:cs="Times New Roman"/>
          <w:spacing w:val="-6"/>
          <w:sz w:val="32"/>
          <w:szCs w:val="32"/>
        </w:rPr>
      </w:pPr>
      <w:r>
        <w:rPr>
          <w:rFonts w:hint="eastAsia" w:ascii="黑体" w:hAnsi="黑体" w:eastAsia="黑体" w:cs="Times New Roman"/>
          <w:spacing w:val="-6"/>
          <w:sz w:val="32"/>
          <w:szCs w:val="32"/>
        </w:rPr>
        <w:t>二、项目实施及管理情况</w:t>
      </w:r>
    </w:p>
    <w:p>
      <w:pPr>
        <w:autoSpaceDE w:val="0"/>
        <w:spacing w:line="540" w:lineRule="exact"/>
        <w:ind w:firstLine="616" w:firstLineChars="200"/>
        <w:rPr>
          <w:rFonts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（一）资金计划、到位及使用情况</w:t>
      </w:r>
    </w:p>
    <w:p>
      <w:pPr>
        <w:autoSpaceDE w:val="0"/>
        <w:spacing w:line="540" w:lineRule="exact"/>
        <w:ind w:firstLine="616" w:firstLineChars="200"/>
        <w:rPr>
          <w:rFonts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1.资金计划及到位。该项目资金全部为朝天区财政资金，资金到位率为100%，且资金到位及时。</w:t>
      </w:r>
    </w:p>
    <w:p>
      <w:pPr>
        <w:autoSpaceDE w:val="0"/>
        <w:spacing w:line="540" w:lineRule="exact"/>
        <w:ind w:firstLine="616" w:firstLineChars="200"/>
        <w:rPr>
          <w:rFonts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2.资金使用。根据当年财政预算安排，202</w:t>
      </w:r>
      <w:r>
        <w:rPr>
          <w:rFonts w:hint="eastAsia" w:ascii="仿宋_GB2312" w:hAnsi="Times New Roman" w:eastAsia="仿宋_GB2312" w:cs="Times New Roman"/>
          <w:spacing w:val="-6"/>
          <w:sz w:val="32"/>
          <w:szCs w:val="32"/>
          <w:lang w:val="en-US" w:eastAsia="zh-CN"/>
        </w:rPr>
        <w:t>2</w:t>
      </w:r>
      <w:r>
        <w:rPr>
          <w:rFonts w:hint="eastAsia" w:ascii="仿宋_GB2312" w:hAnsi="Times New Roman" w:eastAsia="仿宋_GB2312" w:cs="Times New Roman"/>
          <w:spacing w:val="-6"/>
          <w:sz w:val="32"/>
          <w:szCs w:val="32"/>
        </w:rPr>
        <w:t>年疫情防控工作经费预算</w:t>
      </w:r>
      <w:r>
        <w:rPr>
          <w:rFonts w:hint="eastAsia" w:ascii="仿宋_GB2312" w:eastAsia="仿宋_GB2312" w:cs="Times New Roman"/>
          <w:spacing w:val="-6"/>
          <w:sz w:val="32"/>
          <w:szCs w:val="32"/>
          <w:lang w:val="en-US" w:eastAsia="zh-CN"/>
        </w:rPr>
        <w:t>2.99</w:t>
      </w:r>
      <w:r>
        <w:rPr>
          <w:rFonts w:hint="eastAsia" w:ascii="仿宋_GB2312" w:hAnsi="Times New Roman" w:eastAsia="仿宋_GB2312" w:cs="Times New Roman"/>
          <w:spacing w:val="-6"/>
          <w:sz w:val="32"/>
          <w:szCs w:val="32"/>
        </w:rPr>
        <w:t>万元，全部用于疫情防控工作，相关支出支付依据合规合法，符合《广元市财政专项资金管理暂行办法》相关规定。</w:t>
      </w:r>
    </w:p>
    <w:p>
      <w:pPr>
        <w:autoSpaceDE w:val="0"/>
        <w:spacing w:line="540" w:lineRule="exact"/>
        <w:ind w:firstLine="616" w:firstLineChars="200"/>
        <w:rPr>
          <w:rFonts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（二）项目财务管理情况</w:t>
      </w:r>
    </w:p>
    <w:p>
      <w:pPr>
        <w:autoSpaceDE w:val="0"/>
        <w:spacing w:line="576" w:lineRule="exact"/>
        <w:ind w:firstLine="616" w:firstLineChars="200"/>
        <w:rPr>
          <w:rFonts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我中心建立了资金管理、费用支出等财务管理制度，会计核算较为规范，符合《行政单位会计制度》的相关规定。项目资金管理都是专款专用，无虚列支出、截留挤占挪用、超标准开支、无超预算等情况。</w:t>
      </w:r>
    </w:p>
    <w:p>
      <w:pPr>
        <w:autoSpaceDE w:val="0"/>
        <w:spacing w:line="540" w:lineRule="exact"/>
        <w:ind w:firstLine="616" w:firstLineChars="200"/>
        <w:rPr>
          <w:rFonts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（三）项目组织实施情况</w:t>
      </w:r>
    </w:p>
    <w:p>
      <w:pPr>
        <w:adjustRightInd w:val="0"/>
        <w:snapToGrid w:val="0"/>
        <w:spacing w:line="576"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该项目机构设置健全、分工明确，建立了较为完善的内部控制管理制度和专项资金管理实施办法。在验收相关</w:t>
      </w:r>
      <w:r>
        <w:rPr>
          <w:rFonts w:hint="eastAsia" w:ascii="仿宋_GB2312" w:hAnsi="Times New Roman" w:eastAsia="仿宋_GB2312" w:cs="Times New Roman"/>
          <w:spacing w:val="-6"/>
          <w:sz w:val="32"/>
          <w:szCs w:val="32"/>
        </w:rPr>
        <w:t>疫情防控</w:t>
      </w:r>
      <w:r>
        <w:rPr>
          <w:rFonts w:hint="eastAsia" w:ascii="仿宋_GB2312" w:hAnsi="宋体" w:eastAsia="仿宋_GB2312"/>
          <w:sz w:val="32"/>
          <w:szCs w:val="32"/>
          <w:lang w:val="zh-CN"/>
        </w:rPr>
        <w:t>工作任务是否符合条件时，采取层层把关的方式，有效保证了资金的使用范围和效率。</w:t>
      </w:r>
    </w:p>
    <w:p>
      <w:pPr>
        <w:autoSpaceDE w:val="0"/>
        <w:spacing w:line="540" w:lineRule="exact"/>
        <w:ind w:firstLine="616" w:firstLineChars="200"/>
        <w:rPr>
          <w:rFonts w:ascii="黑体" w:hAnsi="黑体" w:eastAsia="黑体" w:cs="Times New Roman"/>
          <w:spacing w:val="-6"/>
          <w:sz w:val="32"/>
          <w:szCs w:val="32"/>
        </w:rPr>
      </w:pPr>
      <w:r>
        <w:rPr>
          <w:rFonts w:hint="eastAsia" w:ascii="黑体" w:hAnsi="黑体" w:eastAsia="黑体" w:cs="Times New Roman"/>
          <w:spacing w:val="-6"/>
          <w:sz w:val="32"/>
          <w:szCs w:val="32"/>
        </w:rPr>
        <w:t>三、项目绩效情况</w:t>
      </w:r>
      <w:r>
        <w:rPr>
          <w:rFonts w:hint="eastAsia" w:ascii="黑体" w:hAnsi="黑体" w:eastAsia="黑体" w:cs="Times New Roman"/>
          <w:spacing w:val="-6"/>
          <w:sz w:val="32"/>
          <w:szCs w:val="32"/>
        </w:rPr>
        <w:tab/>
      </w:r>
    </w:p>
    <w:p>
      <w:pPr>
        <w:autoSpaceDE w:val="0"/>
        <w:spacing w:line="540" w:lineRule="exact"/>
        <w:ind w:firstLine="616" w:firstLineChars="200"/>
        <w:rPr>
          <w:rFonts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（一）项目完成情况</w:t>
      </w:r>
    </w:p>
    <w:p>
      <w:pPr>
        <w:autoSpaceDE w:val="0"/>
        <w:spacing w:line="540" w:lineRule="exact"/>
        <w:ind w:firstLine="616" w:firstLineChars="200"/>
        <w:rPr>
          <w:rFonts w:ascii="楷体_GB2312" w:hAnsi="Times New Roman" w:eastAsia="楷体_GB2312" w:cs="Times New Roman"/>
          <w:bCs/>
          <w:spacing w:val="-6"/>
          <w:sz w:val="32"/>
          <w:szCs w:val="32"/>
        </w:rPr>
      </w:pPr>
      <w:r>
        <w:rPr>
          <w:rFonts w:hint="eastAsia" w:ascii="仿宋_GB2312" w:hAnsi="Times New Roman" w:eastAsia="仿宋_GB2312" w:cs="Times New Roman"/>
          <w:spacing w:val="-6"/>
          <w:sz w:val="32"/>
          <w:szCs w:val="32"/>
        </w:rPr>
        <w:t>从质量来看，有效加强区级部门单位、机关老旧楼栋疫情防控工作、开展中高风险地区返朝公职人员摸排管控，守牢底线。</w:t>
      </w:r>
      <w:r>
        <w:rPr>
          <w:rFonts w:hint="eastAsia" w:ascii="楷体_GB2312" w:hAnsi="Times New Roman" w:eastAsia="楷体_GB2312" w:cs="Times New Roman"/>
          <w:bCs/>
          <w:spacing w:val="-6"/>
          <w:sz w:val="32"/>
          <w:szCs w:val="32"/>
        </w:rPr>
        <w:t>（二）项目效益情况</w:t>
      </w:r>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该项目产生的效益主要社会效益，主要表现在确保我区机关公职人员实现“零”目标。</w:t>
      </w:r>
    </w:p>
    <w:p>
      <w:pPr>
        <w:autoSpaceDE w:val="0"/>
        <w:spacing w:line="540" w:lineRule="exact"/>
        <w:ind w:firstLine="616" w:firstLineChars="200"/>
        <w:rPr>
          <w:rFonts w:ascii="黑体" w:hAnsi="黑体" w:eastAsia="黑体" w:cs="Times New Roman"/>
          <w:spacing w:val="-6"/>
          <w:sz w:val="32"/>
          <w:szCs w:val="32"/>
        </w:rPr>
      </w:pPr>
      <w:r>
        <w:rPr>
          <w:rFonts w:hint="eastAsia" w:ascii="黑体" w:hAnsi="黑体" w:eastAsia="黑体" w:cs="Times New Roman"/>
          <w:spacing w:val="-6"/>
          <w:sz w:val="32"/>
          <w:szCs w:val="32"/>
        </w:rPr>
        <w:t>四、问题及建议</w:t>
      </w:r>
    </w:p>
    <w:p>
      <w:pPr>
        <w:autoSpaceDE w:val="0"/>
        <w:spacing w:line="540" w:lineRule="exact"/>
        <w:ind w:firstLine="616" w:firstLineChars="200"/>
        <w:rPr>
          <w:rFonts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（一）存在的问题</w:t>
      </w:r>
    </w:p>
    <w:p>
      <w:pPr>
        <w:spacing w:line="576"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从本项目实施情况看，整个项目在资金安排、方案策划、组织实施等方面均有充分考虑，且较好地达到项目预期目标。我中心将通过此项目建设，逐步积累经验，不断强化项目资金预算编制管理，进而使预算项目资金得到更合理的安排与使用，增强预算执行的时效性和均衡性，提高财政资金的使用效率。</w:t>
      </w:r>
    </w:p>
    <w:p>
      <w:pPr>
        <w:autoSpaceDE w:val="0"/>
        <w:spacing w:line="540" w:lineRule="exact"/>
        <w:ind w:firstLine="616" w:firstLineChars="200"/>
        <w:rPr>
          <w:rFonts w:ascii="仿宋_GB2312" w:hAnsi="Times New Roman" w:eastAsia="仿宋_GB2312" w:cs="Times New Roman"/>
          <w:spacing w:val="-6"/>
          <w:sz w:val="32"/>
          <w:szCs w:val="32"/>
        </w:rPr>
      </w:pPr>
      <w:r>
        <w:rPr>
          <w:rFonts w:hint="eastAsia" w:ascii="楷体_GB2312" w:hAnsi="Times New Roman" w:eastAsia="楷体_GB2312" w:cs="Times New Roman"/>
          <w:bCs/>
          <w:spacing w:val="-6"/>
          <w:sz w:val="32"/>
          <w:szCs w:val="32"/>
        </w:rPr>
        <w:t>（二）相关建议。</w:t>
      </w:r>
      <w:r>
        <w:rPr>
          <w:rFonts w:hint="eastAsia" w:ascii="仿宋_GB2312" w:hAnsi="Times New Roman" w:eastAsia="仿宋_GB2312" w:cs="Times New Roman"/>
          <w:spacing w:val="-6"/>
          <w:sz w:val="32"/>
          <w:szCs w:val="32"/>
        </w:rPr>
        <w:t>提出项目改进完善的意见及相关政策性建议。</w:t>
      </w: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autoSpaceDE w:val="0"/>
        <w:spacing w:line="576" w:lineRule="exact"/>
        <w:jc w:val="center"/>
        <w:rPr>
          <w:rFonts w:hint="eastAsia" w:ascii="方正大标宋简体" w:hAnsi="方正大标宋简体" w:eastAsia="方正大标宋简体" w:cs="方正大标宋简体"/>
          <w:sz w:val="24"/>
          <w:szCs w:val="24"/>
        </w:rPr>
      </w:pPr>
      <w:r>
        <w:rPr>
          <w:rFonts w:hint="eastAsia" w:ascii="方正大标宋简体" w:hAnsi="方正大标宋简体" w:eastAsia="方正大标宋简体" w:cs="方正大标宋简体"/>
          <w:sz w:val="32"/>
          <w:szCs w:val="32"/>
          <w:lang w:val="en-US" w:eastAsia="zh-CN"/>
        </w:rPr>
        <w:t>2022年</w:t>
      </w:r>
      <w:r>
        <w:rPr>
          <w:rFonts w:hint="eastAsia" w:ascii="方正大标宋简体" w:hAnsi="方正大标宋简体" w:eastAsia="方正大标宋简体" w:cs="方正大标宋简体"/>
          <w:sz w:val="32"/>
          <w:szCs w:val="32"/>
          <w:lang w:eastAsia="zh-CN"/>
        </w:rPr>
        <w:t>文明城市创建</w:t>
      </w:r>
      <w:r>
        <w:rPr>
          <w:rFonts w:hint="eastAsia" w:ascii="方正大标宋简体" w:hAnsi="方正大标宋简体" w:eastAsia="方正大标宋简体" w:cs="方正大标宋简体"/>
          <w:sz w:val="32"/>
          <w:szCs w:val="32"/>
        </w:rPr>
        <w:t>工作经费项目支出绩效评价报告</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一、项目概况</w:t>
      </w:r>
    </w:p>
    <w:p>
      <w:pPr>
        <w:pStyle w:val="6"/>
        <w:spacing w:after="0" w:line="576" w:lineRule="exact"/>
        <w:ind w:firstLine="600" w:firstLineChars="200"/>
        <w:contextualSpacing/>
        <w:rPr>
          <w:rFonts w:hint="eastAsia" w:hAnsi="Calibri"/>
          <w:b w:val="0"/>
          <w:kern w:val="2"/>
        </w:rPr>
      </w:pPr>
      <w:r>
        <w:rPr>
          <w:rFonts w:hint="eastAsia" w:hAnsi="仿宋_GB2312" w:cs="仿宋_GB2312"/>
          <w:b w:val="0"/>
          <w:bCs/>
          <w:kern w:val="2"/>
        </w:rPr>
        <w:t>充分发挥干部分片包口的督促指导作用，分口组织开展志愿服务活动，为顺利通过全国卫生城市验收，建设干净城市提供保障。召集朝天镇、区综合行政执法局、社区等单位重新调整和明确城区8大片区的划分、片区责任单位的落实等，建立职责清晰、任务明确的工作体系，为创建第七届全国文明城市做好准备。</w:t>
      </w:r>
    </w:p>
    <w:p>
      <w:pPr>
        <w:spacing w:line="560" w:lineRule="exact"/>
        <w:ind w:firstLine="640" w:firstLineChars="200"/>
        <w:rPr>
          <w:rFonts w:hint="eastAsia" w:ascii="黑体" w:hAnsi="黑体" w:eastAsia="黑体"/>
          <w:b/>
          <w:sz w:val="32"/>
          <w:szCs w:val="32"/>
        </w:rPr>
      </w:pPr>
      <w:r>
        <w:rPr>
          <w:rFonts w:hint="eastAsia" w:ascii="仿宋_GB2312" w:hAnsi="仿宋" w:eastAsia="仿宋_GB2312"/>
          <w:sz w:val="32"/>
          <w:szCs w:val="32"/>
        </w:rPr>
        <w:t>（</w:t>
      </w:r>
      <w:r>
        <w:rPr>
          <w:rFonts w:hint="eastAsia" w:ascii="仿宋_GB2312" w:hAnsi="仿宋" w:eastAsia="仿宋_GB2312"/>
          <w:sz w:val="32"/>
          <w:szCs w:val="32"/>
          <w:lang w:eastAsia="zh-CN"/>
        </w:rPr>
        <w:t>一</w:t>
      </w:r>
      <w:r>
        <w:rPr>
          <w:rFonts w:hint="eastAsia" w:ascii="仿宋_GB2312" w:hAnsi="仿宋" w:eastAsia="仿宋_GB2312"/>
          <w:sz w:val="32"/>
          <w:szCs w:val="32"/>
        </w:rPr>
        <w:t>）项目预算情况：项目资金预算</w:t>
      </w:r>
      <w:r>
        <w:rPr>
          <w:rFonts w:hint="eastAsia" w:ascii="仿宋_GB2312" w:hAnsi="仿宋" w:eastAsia="仿宋_GB2312"/>
          <w:sz w:val="32"/>
          <w:szCs w:val="32"/>
          <w:lang w:val="en-US" w:eastAsia="zh-CN"/>
        </w:rPr>
        <w:t>2.84万</w:t>
      </w:r>
      <w:r>
        <w:rPr>
          <w:rFonts w:hint="eastAsia" w:ascii="仿宋_GB2312" w:hAnsi="仿宋" w:eastAsia="仿宋_GB2312"/>
          <w:sz w:val="32"/>
          <w:szCs w:val="32"/>
        </w:rPr>
        <w:t>元。</w:t>
      </w:r>
    </w:p>
    <w:p>
      <w:pPr>
        <w:spacing w:line="56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w:t>
      </w:r>
      <w:r>
        <w:rPr>
          <w:rFonts w:hint="eastAsia" w:ascii="仿宋_GB2312" w:hAnsi="仿宋" w:eastAsia="仿宋_GB2312"/>
          <w:sz w:val="32"/>
          <w:szCs w:val="32"/>
          <w:lang w:eastAsia="zh-CN"/>
        </w:rPr>
        <w:t>二</w:t>
      </w:r>
      <w:r>
        <w:rPr>
          <w:rFonts w:hint="eastAsia" w:ascii="仿宋_GB2312" w:hAnsi="仿宋" w:eastAsia="仿宋_GB2312"/>
          <w:sz w:val="32"/>
          <w:szCs w:val="32"/>
        </w:rPr>
        <w:t>）项目绩效目标：</w:t>
      </w:r>
      <w:r>
        <w:rPr>
          <w:rFonts w:hint="eastAsia" w:ascii="仿宋_GB2312" w:hAnsi="仿宋" w:eastAsia="仿宋_GB2312"/>
          <w:sz w:val="32"/>
          <w:szCs w:val="32"/>
          <w:lang w:eastAsia="zh-CN"/>
        </w:rPr>
        <w:t>按</w:t>
      </w:r>
      <w:r>
        <w:rPr>
          <w:rFonts w:hint="eastAsia" w:ascii="仿宋_GB2312" w:hAnsi="仿宋" w:eastAsia="仿宋_GB2312"/>
          <w:sz w:val="32"/>
          <w:szCs w:val="32"/>
        </w:rPr>
        <w:t>照测评体系，全面做好包联共建</w:t>
      </w:r>
      <w:r>
        <w:rPr>
          <w:rFonts w:hint="eastAsia" w:ascii="仿宋_GB2312" w:hAnsi="仿宋" w:eastAsia="仿宋_GB2312"/>
          <w:sz w:val="32"/>
          <w:szCs w:val="32"/>
          <w:lang w:eastAsia="zh-CN"/>
        </w:rPr>
        <w:t>，明确8大片区、12个乡镇包联共建企事业单位，推进文明城市创建落地落实。</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二、项目资金</w:t>
      </w:r>
      <w:r>
        <w:rPr>
          <w:rFonts w:hint="eastAsia" w:ascii="黑体" w:hAnsi="黑体" w:eastAsia="黑体"/>
          <w:sz w:val="32"/>
          <w:szCs w:val="32"/>
          <w:lang w:eastAsia="zh-CN"/>
        </w:rPr>
        <w:t>申报及使用</w:t>
      </w:r>
      <w:r>
        <w:rPr>
          <w:rFonts w:hint="eastAsia" w:ascii="黑体" w:hAnsi="黑体" w:eastAsia="黑体"/>
          <w:sz w:val="32"/>
          <w:szCs w:val="32"/>
        </w:rPr>
        <w:t>情况</w:t>
      </w:r>
    </w:p>
    <w:p>
      <w:pPr>
        <w:autoSpaceDE w:val="0"/>
        <w:spacing w:line="540" w:lineRule="exact"/>
        <w:ind w:firstLine="616" w:firstLineChars="200"/>
        <w:rPr>
          <w:rFonts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（一）资金计划、到位及使用情况</w:t>
      </w:r>
    </w:p>
    <w:p>
      <w:pPr>
        <w:autoSpaceDE w:val="0"/>
        <w:spacing w:line="540" w:lineRule="exact"/>
        <w:ind w:firstLine="616" w:firstLineChars="200"/>
        <w:rPr>
          <w:rFonts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1.资金计划及到位。该项目资金全部为朝天区财政资金，资金到位率为100%，且资金到位及时。</w:t>
      </w:r>
    </w:p>
    <w:p>
      <w:pPr>
        <w:autoSpaceDE w:val="0"/>
        <w:spacing w:line="540" w:lineRule="exact"/>
        <w:ind w:firstLine="616" w:firstLineChars="200"/>
        <w:rPr>
          <w:rFonts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2.资金使用。根据当年财政预算安排，202</w:t>
      </w:r>
      <w:r>
        <w:rPr>
          <w:rFonts w:hint="eastAsia" w:ascii="仿宋_GB2312" w:hAnsi="Times New Roman" w:eastAsia="仿宋_GB2312" w:cs="Times New Roman"/>
          <w:spacing w:val="-6"/>
          <w:sz w:val="32"/>
          <w:szCs w:val="32"/>
          <w:lang w:val="en-US" w:eastAsia="zh-CN"/>
        </w:rPr>
        <w:t>2</w:t>
      </w:r>
      <w:r>
        <w:rPr>
          <w:rFonts w:hint="eastAsia" w:ascii="仿宋_GB2312" w:hAnsi="Times New Roman" w:eastAsia="仿宋_GB2312" w:cs="Times New Roman"/>
          <w:spacing w:val="-6"/>
          <w:sz w:val="32"/>
          <w:szCs w:val="32"/>
        </w:rPr>
        <w:t>年</w:t>
      </w:r>
      <w:r>
        <w:rPr>
          <w:rFonts w:hint="eastAsia" w:ascii="仿宋_GB2312" w:hAnsi="Times New Roman" w:eastAsia="仿宋_GB2312" w:cs="Times New Roman"/>
          <w:spacing w:val="-6"/>
          <w:sz w:val="32"/>
          <w:szCs w:val="32"/>
          <w:lang w:eastAsia="zh-CN"/>
        </w:rPr>
        <w:t>文明城市创建</w:t>
      </w:r>
      <w:r>
        <w:rPr>
          <w:rFonts w:hint="eastAsia" w:ascii="仿宋_GB2312" w:hAnsi="Times New Roman" w:eastAsia="仿宋_GB2312" w:cs="Times New Roman"/>
          <w:spacing w:val="-6"/>
          <w:sz w:val="32"/>
          <w:szCs w:val="32"/>
        </w:rPr>
        <w:t>工作经费预算</w:t>
      </w:r>
      <w:r>
        <w:rPr>
          <w:rFonts w:hint="eastAsia" w:ascii="仿宋_GB2312" w:eastAsia="仿宋_GB2312" w:cs="Times New Roman"/>
          <w:spacing w:val="-6"/>
          <w:sz w:val="32"/>
          <w:szCs w:val="32"/>
          <w:lang w:val="en-US" w:eastAsia="zh-CN"/>
        </w:rPr>
        <w:t>2.84</w:t>
      </w:r>
      <w:r>
        <w:rPr>
          <w:rFonts w:hint="eastAsia" w:ascii="仿宋_GB2312" w:hAnsi="Times New Roman" w:eastAsia="仿宋_GB2312" w:cs="Times New Roman"/>
          <w:spacing w:val="-6"/>
          <w:sz w:val="32"/>
          <w:szCs w:val="32"/>
        </w:rPr>
        <w:t>万元，全部用于</w:t>
      </w:r>
      <w:r>
        <w:rPr>
          <w:rFonts w:hint="eastAsia" w:ascii="仿宋_GB2312" w:hAnsi="Times New Roman" w:eastAsia="仿宋_GB2312" w:cs="Times New Roman"/>
          <w:spacing w:val="-6"/>
          <w:sz w:val="32"/>
          <w:szCs w:val="32"/>
          <w:lang w:eastAsia="zh-CN"/>
        </w:rPr>
        <w:t>文明城市创建</w:t>
      </w:r>
      <w:r>
        <w:rPr>
          <w:rFonts w:hint="eastAsia" w:ascii="仿宋_GB2312" w:hAnsi="Times New Roman" w:eastAsia="仿宋_GB2312" w:cs="Times New Roman"/>
          <w:spacing w:val="-6"/>
          <w:sz w:val="32"/>
          <w:szCs w:val="32"/>
        </w:rPr>
        <w:t>工作，相关支出支付依据合规合法，符合《广元市财政专项资金管理暂行办法》相关规定。</w:t>
      </w:r>
    </w:p>
    <w:p>
      <w:pPr>
        <w:autoSpaceDE w:val="0"/>
        <w:spacing w:line="540" w:lineRule="exact"/>
        <w:ind w:firstLine="616" w:firstLineChars="200"/>
        <w:rPr>
          <w:rFonts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（二）项目财务管理情况</w:t>
      </w:r>
    </w:p>
    <w:p>
      <w:pPr>
        <w:autoSpaceDE w:val="0"/>
        <w:spacing w:line="576" w:lineRule="exact"/>
        <w:ind w:firstLine="616" w:firstLineChars="200"/>
        <w:rPr>
          <w:rFonts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我中心建立了资金管理、费用支出等财务管理制度，会计核算较为规范，符合《行政单位会计制度》的相关规定。项目资金管理都是专款专用，无虚列支出、截留挤占挪用、超标准开支、无超预算等情况。</w:t>
      </w:r>
    </w:p>
    <w:p>
      <w:pPr>
        <w:autoSpaceDE w:val="0"/>
        <w:spacing w:line="540" w:lineRule="exact"/>
        <w:ind w:firstLine="616" w:firstLineChars="200"/>
        <w:rPr>
          <w:rFonts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（三）项目组织实施情况</w:t>
      </w:r>
    </w:p>
    <w:p>
      <w:pPr>
        <w:adjustRightInd w:val="0"/>
        <w:snapToGrid w:val="0"/>
        <w:spacing w:line="576"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该项目机构设置健全、分工明确，建立了较为完善的内部控制管理制度和专项资金管理实施办法。在验收相关驻村帮扶工作任务是否符合条件时，采取层层把关的方式，有效保证了资金的使用范围和效率。</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、项目绩效情况</w:t>
      </w:r>
    </w:p>
    <w:p>
      <w:pPr>
        <w:spacing w:line="560" w:lineRule="exact"/>
        <w:ind w:firstLine="640" w:firstLineChars="200"/>
        <w:rPr>
          <w:rFonts w:hint="eastAsia" w:ascii="仿宋_GB2312" w:hAnsi="仿宋" w:eastAsia="仿宋_GB2312"/>
          <w:sz w:val="32"/>
          <w:szCs w:val="32"/>
          <w:lang w:eastAsia="zh-CN"/>
        </w:rPr>
      </w:pPr>
      <w:r>
        <w:rPr>
          <w:rFonts w:hint="eastAsia" w:ascii="楷体_GB2312" w:hAnsi="仿宋" w:eastAsia="楷体_GB2312"/>
          <w:sz w:val="32"/>
          <w:szCs w:val="32"/>
        </w:rPr>
        <w:t>（一）项目完成情况。</w:t>
      </w:r>
      <w:r>
        <w:rPr>
          <w:rFonts w:hint="eastAsia" w:ascii="仿宋_GB2312" w:hAnsi="仿宋" w:eastAsia="仿宋_GB2312"/>
          <w:sz w:val="32"/>
          <w:szCs w:val="32"/>
          <w:lang w:eastAsia="zh-CN"/>
        </w:rPr>
        <w:t>按</w:t>
      </w:r>
      <w:r>
        <w:rPr>
          <w:rFonts w:hint="eastAsia" w:ascii="仿宋_GB2312" w:hAnsi="仿宋" w:eastAsia="仿宋_GB2312"/>
          <w:sz w:val="32"/>
          <w:szCs w:val="32"/>
        </w:rPr>
        <w:t>照测评体系，全面做好包联共建</w:t>
      </w:r>
      <w:r>
        <w:rPr>
          <w:rFonts w:hint="eastAsia" w:ascii="仿宋_GB2312" w:hAnsi="仿宋" w:eastAsia="仿宋_GB2312"/>
          <w:sz w:val="32"/>
          <w:szCs w:val="32"/>
          <w:lang w:eastAsia="zh-CN"/>
        </w:rPr>
        <w:t>，明确8大片区、12个乡镇包联共建企事业单位，推进文明城市创建落地落实。</w:t>
      </w:r>
    </w:p>
    <w:p>
      <w:pPr>
        <w:autoSpaceDE w:val="0"/>
        <w:spacing w:line="540" w:lineRule="exact"/>
        <w:ind w:firstLine="616" w:firstLineChars="200"/>
        <w:rPr>
          <w:rFonts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（二）项目效益情况</w:t>
      </w:r>
    </w:p>
    <w:p>
      <w:pPr>
        <w:autoSpaceDE w:val="0"/>
        <w:spacing w:line="540" w:lineRule="exact"/>
        <w:ind w:firstLine="616" w:firstLineChars="200"/>
        <w:rPr>
          <w:rFonts w:hint="eastAsia" w:ascii="仿宋_GB2312" w:hAnsi="仿宋" w:eastAsia="仿宋_GB2312"/>
          <w:sz w:val="32"/>
          <w:szCs w:val="32"/>
        </w:rPr>
      </w:pPr>
      <w:r>
        <w:rPr>
          <w:rFonts w:hint="eastAsia" w:ascii="仿宋_GB2312" w:hAnsi="Times New Roman" w:eastAsia="仿宋_GB2312" w:cs="Times New Roman"/>
          <w:spacing w:val="-6"/>
          <w:sz w:val="32"/>
          <w:szCs w:val="32"/>
        </w:rPr>
        <w:t>该项目产生的效益主要社会效益，主要表现在实现贫困户稳定增收，帮扶效果明显。</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、主要经验及做法、存在的问题及原因分析</w:t>
      </w:r>
    </w:p>
    <w:p>
      <w:pPr>
        <w:autoSpaceDE w:val="0"/>
        <w:spacing w:line="540" w:lineRule="exact"/>
        <w:ind w:firstLine="616" w:firstLineChars="200"/>
        <w:rPr>
          <w:rFonts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w:t>
      </w:r>
      <w:r>
        <w:rPr>
          <w:rFonts w:hint="eastAsia" w:ascii="楷体_GB2312" w:hAnsi="Times New Roman" w:eastAsia="楷体_GB2312" w:cs="Times New Roman"/>
          <w:bCs/>
          <w:spacing w:val="-6"/>
          <w:sz w:val="32"/>
          <w:szCs w:val="32"/>
          <w:lang w:eastAsia="zh-CN"/>
        </w:rPr>
        <w:t>一</w:t>
      </w:r>
      <w:r>
        <w:rPr>
          <w:rFonts w:hint="eastAsia" w:ascii="楷体_GB2312" w:hAnsi="Times New Roman" w:eastAsia="楷体_GB2312" w:cs="Times New Roman"/>
          <w:bCs/>
          <w:spacing w:val="-6"/>
          <w:sz w:val="32"/>
          <w:szCs w:val="32"/>
        </w:rPr>
        <w:t>）存在的问题</w:t>
      </w:r>
    </w:p>
    <w:p>
      <w:pPr>
        <w:spacing w:line="576"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从本项目实施情况看，整个项目在资金安排、方案策划、组织实施等方面均有充分考虑，且较好地达到项目预期目标。我中心将通过此项目建设，逐步积累经验，不断强化项目资金预算编制管理，进而使预算项目资金得到更合理的安排与使用，增强预算执行的时效性和均衡性，提高财政资金的使用效率。</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有关建议</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无</w:t>
      </w: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autoSpaceDE w:val="0"/>
        <w:spacing w:line="576" w:lineRule="exact"/>
        <w:jc w:val="center"/>
        <w:rPr>
          <w:rFonts w:hint="eastAsia" w:ascii="方正大标宋简体" w:hAnsi="方正大标宋简体" w:eastAsia="方正大标宋简体" w:cs="方正大标宋简体"/>
          <w:sz w:val="28"/>
          <w:szCs w:val="28"/>
        </w:rPr>
      </w:pPr>
      <w:r>
        <w:rPr>
          <w:rFonts w:hint="eastAsia" w:ascii="方正大标宋简体" w:hAnsi="方正大标宋简体" w:eastAsia="方正大标宋简体" w:cs="方正大标宋简体"/>
          <w:sz w:val="32"/>
          <w:szCs w:val="32"/>
          <w:lang w:val="en-US" w:eastAsia="zh-CN"/>
        </w:rPr>
        <w:t>2022年</w:t>
      </w:r>
      <w:r>
        <w:rPr>
          <w:rFonts w:hint="eastAsia" w:ascii="方正大标宋简体" w:hAnsi="方正大标宋简体" w:eastAsia="方正大标宋简体" w:cs="方正大标宋简体"/>
          <w:sz w:val="36"/>
          <w:szCs w:val="36"/>
        </w:rPr>
        <w:t>驻村帮扶工作经费项目支出绩效评价报告</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一、项目概况</w:t>
      </w:r>
    </w:p>
    <w:p>
      <w:pPr>
        <w:autoSpaceDE w:val="0"/>
        <w:spacing w:line="540" w:lineRule="exact"/>
        <w:ind w:firstLine="616" w:firstLineChars="200"/>
        <w:rPr>
          <w:rFonts w:ascii="仿宋_GB2312" w:hAnsi="Times New Roman" w:eastAsia="仿宋_GB2312" w:cs="Times New Roman"/>
          <w:bCs/>
          <w:spacing w:val="-6"/>
          <w:sz w:val="32"/>
          <w:szCs w:val="32"/>
        </w:rPr>
      </w:pPr>
      <w:r>
        <w:rPr>
          <w:rFonts w:hint="eastAsia" w:ascii="仿宋_GB2312" w:hAnsi="Times New Roman" w:eastAsia="仿宋_GB2312" w:cs="Times New Roman"/>
          <w:bCs/>
          <w:spacing w:val="-6"/>
          <w:sz w:val="32"/>
          <w:szCs w:val="32"/>
        </w:rPr>
        <w:t>为了保持帮扶力量基本稳定，促进乡村振兴与脱贫攻坚有效衔接。</w:t>
      </w:r>
    </w:p>
    <w:p>
      <w:pPr>
        <w:spacing w:line="560" w:lineRule="exact"/>
        <w:ind w:firstLine="640" w:firstLineChars="200"/>
        <w:rPr>
          <w:rFonts w:hint="eastAsia" w:ascii="黑体" w:hAnsi="黑体" w:eastAsia="黑体"/>
          <w:b/>
          <w:sz w:val="32"/>
          <w:szCs w:val="32"/>
        </w:rPr>
      </w:pPr>
      <w:r>
        <w:rPr>
          <w:rFonts w:hint="eastAsia" w:ascii="仿宋_GB2312" w:hAnsi="仿宋" w:eastAsia="仿宋_GB2312"/>
          <w:sz w:val="32"/>
          <w:szCs w:val="32"/>
        </w:rPr>
        <w:t>（</w:t>
      </w:r>
      <w:r>
        <w:rPr>
          <w:rFonts w:hint="eastAsia" w:ascii="仿宋_GB2312" w:hAnsi="仿宋" w:eastAsia="仿宋_GB2312"/>
          <w:sz w:val="32"/>
          <w:szCs w:val="32"/>
          <w:lang w:eastAsia="zh-CN"/>
        </w:rPr>
        <w:t>一</w:t>
      </w:r>
      <w:r>
        <w:rPr>
          <w:rFonts w:hint="eastAsia" w:ascii="仿宋_GB2312" w:hAnsi="仿宋" w:eastAsia="仿宋_GB2312"/>
          <w:sz w:val="32"/>
          <w:szCs w:val="32"/>
        </w:rPr>
        <w:t>）项目预算情况：项目资金预算</w:t>
      </w:r>
      <w:r>
        <w:rPr>
          <w:rFonts w:hint="eastAsia" w:ascii="仿宋_GB2312" w:hAnsi="仿宋" w:eastAsia="仿宋_GB2312"/>
          <w:sz w:val="32"/>
          <w:szCs w:val="32"/>
          <w:lang w:val="en-US" w:eastAsia="zh-CN"/>
        </w:rPr>
        <w:t>5.98万</w:t>
      </w:r>
      <w:r>
        <w:rPr>
          <w:rFonts w:hint="eastAsia" w:ascii="仿宋_GB2312" w:hAnsi="仿宋" w:eastAsia="仿宋_GB2312"/>
          <w:sz w:val="32"/>
          <w:szCs w:val="32"/>
        </w:rPr>
        <w:t>元。</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eastAsia="zh-CN"/>
        </w:rPr>
        <w:t>二</w:t>
      </w:r>
      <w:r>
        <w:rPr>
          <w:rFonts w:hint="eastAsia" w:ascii="仿宋_GB2312" w:hAnsi="仿宋" w:eastAsia="仿宋_GB2312"/>
          <w:sz w:val="32"/>
          <w:szCs w:val="32"/>
        </w:rPr>
        <w:t>）项目绩效目标：1、对优化调整128个包联关系进行常态督导。2、对驻村工作队进行业务培训，提高了业务能力。3、全面督查，对发现的问题进行了通报，并限时进行了整改。</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二、项目资金</w:t>
      </w:r>
      <w:r>
        <w:rPr>
          <w:rFonts w:hint="eastAsia" w:ascii="黑体" w:hAnsi="黑体" w:eastAsia="黑体"/>
          <w:sz w:val="32"/>
          <w:szCs w:val="32"/>
          <w:lang w:eastAsia="zh-CN"/>
        </w:rPr>
        <w:t>申报及使用</w:t>
      </w:r>
      <w:r>
        <w:rPr>
          <w:rFonts w:hint="eastAsia" w:ascii="黑体" w:hAnsi="黑体" w:eastAsia="黑体"/>
          <w:sz w:val="32"/>
          <w:szCs w:val="32"/>
        </w:rPr>
        <w:t>情况</w:t>
      </w:r>
    </w:p>
    <w:p>
      <w:pPr>
        <w:autoSpaceDE w:val="0"/>
        <w:spacing w:line="540" w:lineRule="exact"/>
        <w:ind w:firstLine="616" w:firstLineChars="200"/>
        <w:rPr>
          <w:rFonts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（一）资金计划、到位及使用情况</w:t>
      </w:r>
    </w:p>
    <w:p>
      <w:pPr>
        <w:autoSpaceDE w:val="0"/>
        <w:spacing w:line="540" w:lineRule="exact"/>
        <w:ind w:firstLine="616" w:firstLineChars="200"/>
        <w:rPr>
          <w:rFonts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1.资金计划及到位。该项目资金全部为朝天区财政资金，资金到位率为100%，且资金到位及时。</w:t>
      </w:r>
    </w:p>
    <w:p>
      <w:pPr>
        <w:autoSpaceDE w:val="0"/>
        <w:spacing w:line="540" w:lineRule="exact"/>
        <w:ind w:firstLine="616" w:firstLineChars="200"/>
        <w:rPr>
          <w:rFonts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2.资金使用。根据当年财政预算安排，202</w:t>
      </w:r>
      <w:r>
        <w:rPr>
          <w:rFonts w:hint="eastAsia" w:ascii="仿宋_GB2312" w:hAnsi="Times New Roman" w:eastAsia="仿宋_GB2312" w:cs="Times New Roman"/>
          <w:spacing w:val="-6"/>
          <w:sz w:val="32"/>
          <w:szCs w:val="32"/>
          <w:lang w:val="en-US" w:eastAsia="zh-CN"/>
        </w:rPr>
        <w:t>2</w:t>
      </w:r>
      <w:r>
        <w:rPr>
          <w:rFonts w:hint="eastAsia" w:ascii="仿宋_GB2312" w:hAnsi="Times New Roman" w:eastAsia="仿宋_GB2312" w:cs="Times New Roman"/>
          <w:spacing w:val="-6"/>
          <w:sz w:val="32"/>
          <w:szCs w:val="32"/>
        </w:rPr>
        <w:t>年驻村帮扶工作经费预算</w:t>
      </w:r>
      <w:r>
        <w:rPr>
          <w:rFonts w:hint="eastAsia" w:ascii="仿宋_GB2312" w:eastAsia="仿宋_GB2312" w:cs="Times New Roman"/>
          <w:spacing w:val="-6"/>
          <w:sz w:val="32"/>
          <w:szCs w:val="32"/>
          <w:lang w:val="en-US" w:eastAsia="zh-CN"/>
        </w:rPr>
        <w:t>5.98</w:t>
      </w:r>
      <w:r>
        <w:rPr>
          <w:rFonts w:hint="eastAsia" w:ascii="仿宋_GB2312" w:hAnsi="Times New Roman" w:eastAsia="仿宋_GB2312" w:cs="Times New Roman"/>
          <w:spacing w:val="-6"/>
          <w:sz w:val="32"/>
          <w:szCs w:val="32"/>
        </w:rPr>
        <w:t>万元，全部用于驻村帮扶工作，相关支出支付依据合规合法，符合《广元市财政专项资金管理暂行办法》相关规定。</w:t>
      </w:r>
    </w:p>
    <w:p>
      <w:pPr>
        <w:autoSpaceDE w:val="0"/>
        <w:spacing w:line="540" w:lineRule="exact"/>
        <w:ind w:firstLine="616" w:firstLineChars="200"/>
        <w:rPr>
          <w:rFonts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（二）项目财务管理情况</w:t>
      </w:r>
    </w:p>
    <w:p>
      <w:pPr>
        <w:autoSpaceDE w:val="0"/>
        <w:spacing w:line="576" w:lineRule="exact"/>
        <w:ind w:firstLine="616" w:firstLineChars="200"/>
        <w:rPr>
          <w:rFonts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我中心建立了资金管理、费用支出等财务管理制度，会计核算较为规范，符合《行政单位会计制度》的相关规定。项目资金管理都是专款专用，无虚列支出、截留挤占挪用、超标准开支、无超预算等情况。</w:t>
      </w:r>
    </w:p>
    <w:p>
      <w:pPr>
        <w:autoSpaceDE w:val="0"/>
        <w:spacing w:line="540" w:lineRule="exact"/>
        <w:ind w:firstLine="616" w:firstLineChars="200"/>
        <w:rPr>
          <w:rFonts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（三）项目组织实施情况</w:t>
      </w:r>
    </w:p>
    <w:p>
      <w:pPr>
        <w:adjustRightInd w:val="0"/>
        <w:snapToGrid w:val="0"/>
        <w:spacing w:line="576"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该项目机构设置健全、分工明确，建立了较为完善的内部控制管理制度和专项资金管理实施办法。在验收相关驻村帮扶工作任务是否符合条件时，采取层层把关的方式，有效保证了资金的使用范围和效率。</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、项目绩效情况</w:t>
      </w:r>
    </w:p>
    <w:p>
      <w:pPr>
        <w:autoSpaceDE w:val="0"/>
        <w:spacing w:line="540" w:lineRule="exact"/>
        <w:ind w:firstLine="640" w:firstLineChars="200"/>
        <w:rPr>
          <w:rFonts w:hint="eastAsia" w:ascii="仿宋_GB2312" w:hAnsi="Times New Roman" w:eastAsia="仿宋_GB2312" w:cs="Times New Roman"/>
          <w:spacing w:val="-6"/>
          <w:sz w:val="32"/>
          <w:szCs w:val="32"/>
        </w:rPr>
      </w:pPr>
      <w:r>
        <w:rPr>
          <w:rFonts w:hint="eastAsia" w:ascii="楷体_GB2312" w:hAnsi="仿宋" w:eastAsia="楷体_GB2312"/>
          <w:sz w:val="32"/>
          <w:szCs w:val="32"/>
        </w:rPr>
        <w:t>（一）项目完成情况。</w:t>
      </w:r>
      <w:r>
        <w:rPr>
          <w:rFonts w:hint="eastAsia" w:ascii="仿宋_GB2312" w:hAnsi="Times New Roman" w:eastAsia="仿宋_GB2312" w:cs="Times New Roman"/>
          <w:spacing w:val="-6"/>
          <w:sz w:val="32"/>
          <w:szCs w:val="32"/>
        </w:rPr>
        <w:t>从数量来看，优化调整了123个省市区三级部门联系帮扶全区12</w:t>
      </w:r>
      <w:r>
        <w:rPr>
          <w:rFonts w:hint="eastAsia" w:ascii="仿宋_GB2312" w:hAnsi="Times New Roman" w:eastAsia="仿宋_GB2312" w:cs="Times New Roman"/>
          <w:spacing w:val="-6"/>
          <w:sz w:val="32"/>
          <w:szCs w:val="32"/>
          <w:lang w:val="en-US" w:eastAsia="zh-CN"/>
        </w:rPr>
        <w:t>8</w:t>
      </w:r>
      <w:r>
        <w:rPr>
          <w:rFonts w:hint="eastAsia" w:ascii="仿宋_GB2312" w:hAnsi="Times New Roman" w:eastAsia="仿宋_GB2312" w:cs="Times New Roman"/>
          <w:spacing w:val="-6"/>
          <w:sz w:val="32"/>
          <w:szCs w:val="32"/>
        </w:rPr>
        <w:t>个行政村（社区），4家省级部门单位和20家市级部门单位在我区定点帮扶，99家区级部门单位参与帮扶，助推乡村振兴与脱贫攻坚有效衔接。</w:t>
      </w:r>
    </w:p>
    <w:p>
      <w:pPr>
        <w:autoSpaceDE w:val="0"/>
        <w:spacing w:line="540" w:lineRule="exact"/>
        <w:ind w:firstLine="616" w:firstLineChars="200"/>
        <w:rPr>
          <w:rFonts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（二）项目效益情况</w:t>
      </w:r>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该项目产生的效益主要社会效益，主要表现在实现贫困户稳定增收，帮扶效果明显。</w:t>
      </w:r>
    </w:p>
    <w:p>
      <w:pPr>
        <w:spacing w:line="560" w:lineRule="exact"/>
        <w:ind w:firstLine="640" w:firstLineChars="200"/>
        <w:rPr>
          <w:rFonts w:hint="eastAsia" w:ascii="仿宋_GB2312" w:hAnsi="仿宋" w:eastAsia="仿宋_GB2312"/>
          <w:sz w:val="32"/>
          <w:szCs w:val="32"/>
        </w:rPr>
      </w:pP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、主要经验及做法、存在的问题及原因分析</w:t>
      </w:r>
    </w:p>
    <w:p>
      <w:pPr>
        <w:autoSpaceDE w:val="0"/>
        <w:spacing w:line="540" w:lineRule="exact"/>
        <w:ind w:firstLine="616" w:firstLineChars="200"/>
        <w:rPr>
          <w:rFonts w:hint="eastAsia" w:ascii="楷体_GB2312" w:hAnsi="Times New Roman" w:eastAsia="楷体_GB2312" w:cs="Times New Roman"/>
          <w:bCs/>
          <w:spacing w:val="-6"/>
          <w:sz w:val="32"/>
          <w:szCs w:val="32"/>
          <w:lang w:eastAsia="zh-CN"/>
        </w:rPr>
      </w:pPr>
      <w:r>
        <w:rPr>
          <w:rFonts w:hint="eastAsia" w:ascii="楷体_GB2312" w:hAnsi="Times New Roman" w:eastAsia="楷体_GB2312" w:cs="Times New Roman"/>
          <w:bCs/>
          <w:spacing w:val="-6"/>
          <w:sz w:val="32"/>
          <w:szCs w:val="32"/>
          <w:lang w:eastAsia="zh-CN"/>
        </w:rPr>
        <w:t>（一）评价结论</w:t>
      </w:r>
    </w:p>
    <w:p>
      <w:pPr>
        <w:autoSpaceDE w:val="0"/>
        <w:spacing w:line="540" w:lineRule="exact"/>
        <w:ind w:firstLine="616" w:firstLineChars="200"/>
        <w:rPr>
          <w:rFonts w:hint="eastAsia" w:ascii="楷体_GB2312" w:hAnsi="Times New Roman" w:eastAsia="楷体_GB2312" w:cs="Times New Roman"/>
          <w:bCs/>
          <w:spacing w:val="-6"/>
          <w:sz w:val="32"/>
          <w:szCs w:val="32"/>
          <w:lang w:val="en-US" w:eastAsia="zh-CN"/>
        </w:rPr>
      </w:pPr>
      <w:r>
        <w:rPr>
          <w:rFonts w:hint="eastAsia" w:ascii="楷体_GB2312" w:hAnsi="Times New Roman" w:eastAsia="楷体_GB2312" w:cs="Times New Roman"/>
          <w:bCs/>
          <w:spacing w:val="-6"/>
          <w:sz w:val="32"/>
          <w:szCs w:val="32"/>
          <w:lang w:val="en-US" w:eastAsia="zh-CN"/>
        </w:rPr>
        <w:t>无</w:t>
      </w:r>
    </w:p>
    <w:p>
      <w:pPr>
        <w:autoSpaceDE w:val="0"/>
        <w:spacing w:line="540" w:lineRule="exact"/>
        <w:ind w:firstLine="616" w:firstLineChars="200"/>
        <w:rPr>
          <w:rFonts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w:t>
      </w:r>
      <w:r>
        <w:rPr>
          <w:rFonts w:hint="eastAsia" w:ascii="楷体_GB2312" w:hAnsi="Times New Roman" w:eastAsia="楷体_GB2312" w:cs="Times New Roman"/>
          <w:bCs/>
          <w:spacing w:val="-6"/>
          <w:sz w:val="32"/>
          <w:szCs w:val="32"/>
          <w:lang w:eastAsia="zh-CN"/>
        </w:rPr>
        <w:t>二</w:t>
      </w:r>
      <w:r>
        <w:rPr>
          <w:rFonts w:hint="eastAsia" w:ascii="楷体_GB2312" w:hAnsi="Times New Roman" w:eastAsia="楷体_GB2312" w:cs="Times New Roman"/>
          <w:bCs/>
          <w:spacing w:val="-6"/>
          <w:sz w:val="32"/>
          <w:szCs w:val="32"/>
        </w:rPr>
        <w:t>）存在的问题</w:t>
      </w:r>
    </w:p>
    <w:p>
      <w:pPr>
        <w:spacing w:line="576"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从本项目实施情况看，整个项目在资金安排、方案策划、组织实施等方面均有充分考虑，且较好地达到项目预期目标。我中心将通过此项目建设，逐步积累经验，不断强化项目资金预算编制管理，进而使预算项目资金得到更合理的安排与使用，增强预算执行的时效性和均衡性，提高财政资金的使用效率。</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有关建议</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无</w:t>
      </w:r>
    </w:p>
    <w:p>
      <w:pPr>
        <w:spacing w:line="600" w:lineRule="exact"/>
        <w:jc w:val="both"/>
        <w:outlineLvl w:val="9"/>
        <w:rPr>
          <w:rFonts w:hint="eastAsia" w:ascii="黑体" w:hAnsi="黑体" w:eastAsia="黑体"/>
          <w:color w:val="auto"/>
          <w:sz w:val="32"/>
          <w:szCs w:val="32"/>
          <w:highlight w:val="none"/>
          <w:lang w:val="en-US" w:eastAsia="zh-CN"/>
        </w:rPr>
        <w:sectPr>
          <w:footerReference r:id="rId14" w:type="first"/>
          <w:headerReference r:id="rId12" w:type="default"/>
          <w:footerReference r:id="rId13" w:type="default"/>
          <w:pgSz w:w="11906" w:h="16838"/>
          <w:pgMar w:top="1440" w:right="1800" w:bottom="1440" w:left="1800" w:header="851" w:footer="992" w:gutter="0"/>
          <w:pgNumType w:fmt="decimal" w:start="1"/>
          <w:cols w:space="425" w:num="1"/>
          <w:titlePg/>
          <w:docGrid w:type="lines" w:linePitch="312" w:charSpace="0"/>
        </w:sectPr>
      </w:pPr>
      <w:bookmarkStart w:id="111" w:name="_Toc15396618"/>
    </w:p>
    <w:p>
      <w:pPr>
        <w:spacing w:line="600" w:lineRule="exact"/>
        <w:jc w:val="center"/>
        <w:outlineLvl w:val="0"/>
        <w:rPr>
          <w:rFonts w:hint="eastAsia" w:ascii="仿宋" w:hAnsi="仿宋" w:eastAsia="仿宋"/>
          <w:b w:val="0"/>
          <w:color w:val="auto"/>
          <w:highlight w:val="none"/>
        </w:rPr>
      </w:pPr>
      <w:bookmarkStart w:id="112" w:name="_Toc7132"/>
      <w:r>
        <w:rPr>
          <w:rFonts w:hint="eastAsia" w:ascii="黑体" w:hAnsi="黑体" w:eastAsia="黑体"/>
          <w:color w:val="auto"/>
          <w:sz w:val="44"/>
          <w:szCs w:val="44"/>
          <w:highlight w:val="none"/>
        </w:rPr>
        <w:t>第</w:t>
      </w:r>
      <w:r>
        <w:rPr>
          <w:rStyle w:val="29"/>
          <w:rFonts w:hint="eastAsia" w:ascii="黑体" w:hAnsi="黑体" w:eastAsia="黑体"/>
          <w:b w:val="0"/>
          <w:color w:val="auto"/>
          <w:highlight w:val="none"/>
        </w:rPr>
        <w:t>五部分 附表</w:t>
      </w:r>
      <w:bookmarkEnd w:id="81"/>
      <w:bookmarkEnd w:id="111"/>
      <w:bookmarkEnd w:id="112"/>
      <w:bookmarkStart w:id="113" w:name="_Toc15396619"/>
    </w:p>
    <w:p>
      <w:pPr>
        <w:pStyle w:val="4"/>
        <w:rPr>
          <w:rFonts w:ascii="仿宋" w:hAnsi="仿宋" w:eastAsia="仿宋"/>
          <w:color w:val="auto"/>
          <w:highlight w:val="none"/>
        </w:rPr>
      </w:pPr>
      <w:bookmarkStart w:id="114" w:name="_Toc9173"/>
      <w:r>
        <w:rPr>
          <w:rFonts w:hint="eastAsia" w:ascii="仿宋" w:hAnsi="仿宋" w:eastAsia="仿宋"/>
          <w:b w:val="0"/>
          <w:color w:val="auto"/>
          <w:highlight w:val="none"/>
        </w:rPr>
        <w:t>一、收</w:t>
      </w:r>
      <w:r>
        <w:rPr>
          <w:rStyle w:val="30"/>
          <w:rFonts w:hint="eastAsia" w:ascii="仿宋" w:hAnsi="仿宋" w:eastAsia="仿宋"/>
          <w:b w:val="0"/>
          <w:bCs w:val="0"/>
          <w:color w:val="auto"/>
          <w:highlight w:val="none"/>
        </w:rPr>
        <w:t>入支出决算总表</w:t>
      </w:r>
      <w:bookmarkEnd w:id="113"/>
      <w:bookmarkEnd w:id="114"/>
    </w:p>
    <w:p>
      <w:pPr>
        <w:pStyle w:val="4"/>
        <w:rPr>
          <w:rFonts w:ascii="仿宋" w:hAnsi="仿宋" w:eastAsia="仿宋"/>
          <w:color w:val="auto"/>
          <w:highlight w:val="none"/>
        </w:rPr>
      </w:pPr>
      <w:bookmarkStart w:id="115" w:name="_Toc15396620"/>
      <w:bookmarkStart w:id="116" w:name="_Toc25244"/>
      <w:r>
        <w:rPr>
          <w:rFonts w:hint="eastAsia" w:ascii="仿宋" w:hAnsi="仿宋" w:eastAsia="仿宋"/>
          <w:b w:val="0"/>
          <w:color w:val="auto"/>
          <w:highlight w:val="none"/>
        </w:rPr>
        <w:t>二、收</w:t>
      </w:r>
      <w:r>
        <w:rPr>
          <w:rStyle w:val="30"/>
          <w:rFonts w:hint="eastAsia" w:ascii="仿宋" w:hAnsi="仿宋" w:eastAsia="仿宋"/>
          <w:b w:val="0"/>
          <w:bCs w:val="0"/>
          <w:color w:val="auto"/>
          <w:highlight w:val="none"/>
        </w:rPr>
        <w:t>入决算表</w:t>
      </w:r>
      <w:bookmarkEnd w:id="115"/>
      <w:bookmarkEnd w:id="116"/>
    </w:p>
    <w:p>
      <w:pPr>
        <w:pStyle w:val="4"/>
        <w:rPr>
          <w:rFonts w:ascii="仿宋" w:hAnsi="仿宋" w:eastAsia="仿宋"/>
          <w:color w:val="auto"/>
          <w:highlight w:val="none"/>
        </w:rPr>
      </w:pPr>
      <w:bookmarkStart w:id="117" w:name="_Toc15396621"/>
      <w:bookmarkStart w:id="118" w:name="_Toc30502"/>
      <w:r>
        <w:rPr>
          <w:rStyle w:val="30"/>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30"/>
          <w:rFonts w:hint="eastAsia" w:ascii="仿宋" w:hAnsi="仿宋" w:eastAsia="仿宋"/>
          <w:b w:val="0"/>
          <w:bCs w:val="0"/>
          <w:color w:val="auto"/>
          <w:highlight w:val="none"/>
        </w:rPr>
        <w:t>出决算表</w:t>
      </w:r>
      <w:bookmarkEnd w:id="117"/>
      <w:bookmarkEnd w:id="118"/>
    </w:p>
    <w:p>
      <w:pPr>
        <w:pStyle w:val="4"/>
        <w:rPr>
          <w:rFonts w:ascii="仿宋" w:hAnsi="仿宋" w:eastAsia="仿宋"/>
          <w:b w:val="0"/>
          <w:color w:val="auto"/>
          <w:highlight w:val="none"/>
        </w:rPr>
      </w:pPr>
      <w:bookmarkStart w:id="119" w:name="_Toc15396622"/>
      <w:bookmarkStart w:id="120" w:name="_Toc2075"/>
      <w:r>
        <w:rPr>
          <w:rStyle w:val="30"/>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30"/>
          <w:rFonts w:hint="eastAsia" w:ascii="仿宋" w:hAnsi="仿宋" w:eastAsia="仿宋"/>
          <w:b w:val="0"/>
          <w:bCs w:val="0"/>
          <w:color w:val="auto"/>
          <w:highlight w:val="none"/>
        </w:rPr>
        <w:t>政拨款收入支出决算总表</w:t>
      </w:r>
      <w:bookmarkEnd w:id="119"/>
      <w:bookmarkEnd w:id="120"/>
    </w:p>
    <w:p>
      <w:pPr>
        <w:pStyle w:val="4"/>
        <w:rPr>
          <w:rStyle w:val="30"/>
          <w:rFonts w:ascii="仿宋" w:hAnsi="仿宋" w:eastAsia="仿宋"/>
          <w:b w:val="0"/>
          <w:bCs w:val="0"/>
          <w:color w:val="auto"/>
          <w:highlight w:val="none"/>
        </w:rPr>
      </w:pPr>
      <w:bookmarkStart w:id="121" w:name="_Toc15396623"/>
      <w:bookmarkStart w:id="122" w:name="_Toc26095"/>
      <w:r>
        <w:rPr>
          <w:rStyle w:val="30"/>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30"/>
          <w:rFonts w:hint="eastAsia" w:ascii="仿宋" w:hAnsi="仿宋" w:eastAsia="仿宋"/>
          <w:b w:val="0"/>
          <w:bCs w:val="0"/>
          <w:color w:val="auto"/>
          <w:highlight w:val="none"/>
        </w:rPr>
        <w:t>政拨款支出决算明细表</w:t>
      </w:r>
      <w:bookmarkEnd w:id="121"/>
      <w:bookmarkEnd w:id="122"/>
      <w:bookmarkStart w:id="123" w:name="_Toc15396624"/>
    </w:p>
    <w:p>
      <w:pPr>
        <w:pStyle w:val="4"/>
        <w:rPr>
          <w:rFonts w:ascii="仿宋" w:hAnsi="仿宋" w:eastAsia="仿宋"/>
          <w:color w:val="auto"/>
          <w:highlight w:val="none"/>
        </w:rPr>
      </w:pPr>
      <w:bookmarkStart w:id="124" w:name="_Toc25865"/>
      <w:r>
        <w:rPr>
          <w:rStyle w:val="30"/>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般公共预算财政拨款支出决算表</w:t>
      </w:r>
      <w:bookmarkEnd w:id="123"/>
      <w:bookmarkEnd w:id="124"/>
    </w:p>
    <w:p>
      <w:pPr>
        <w:pStyle w:val="4"/>
        <w:rPr>
          <w:rFonts w:ascii="仿宋" w:hAnsi="仿宋" w:eastAsia="仿宋"/>
          <w:color w:val="auto"/>
          <w:highlight w:val="none"/>
        </w:rPr>
      </w:pPr>
      <w:bookmarkStart w:id="125" w:name="_Toc15396625"/>
      <w:bookmarkStart w:id="126" w:name="_Toc32229"/>
      <w:r>
        <w:rPr>
          <w:rStyle w:val="30"/>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般公共预算财政拨款支出决算明细表</w:t>
      </w:r>
      <w:bookmarkEnd w:id="125"/>
      <w:bookmarkEnd w:id="126"/>
    </w:p>
    <w:p>
      <w:pPr>
        <w:pStyle w:val="4"/>
        <w:rPr>
          <w:rFonts w:ascii="仿宋" w:hAnsi="仿宋" w:eastAsia="仿宋"/>
          <w:color w:val="auto"/>
          <w:highlight w:val="none"/>
        </w:rPr>
      </w:pPr>
      <w:bookmarkStart w:id="127" w:name="_Toc15396626"/>
      <w:bookmarkStart w:id="128" w:name="_Toc4354"/>
      <w:r>
        <w:rPr>
          <w:rStyle w:val="30"/>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般公共预算财政拨款基本支出决算表</w:t>
      </w:r>
      <w:bookmarkEnd w:id="127"/>
      <w:bookmarkEnd w:id="128"/>
    </w:p>
    <w:p>
      <w:pPr>
        <w:pStyle w:val="4"/>
        <w:rPr>
          <w:rFonts w:ascii="仿宋" w:hAnsi="仿宋" w:eastAsia="仿宋"/>
          <w:color w:val="auto"/>
          <w:highlight w:val="none"/>
        </w:rPr>
      </w:pPr>
      <w:bookmarkStart w:id="129" w:name="_Toc15396627"/>
      <w:bookmarkStart w:id="130" w:name="_Toc7689"/>
      <w:r>
        <w:rPr>
          <w:rStyle w:val="30"/>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般公共预算财政拨款项目支出决算表</w:t>
      </w:r>
      <w:bookmarkEnd w:id="129"/>
      <w:bookmarkEnd w:id="130"/>
    </w:p>
    <w:p>
      <w:pPr>
        <w:pStyle w:val="4"/>
        <w:rPr>
          <w:rFonts w:ascii="仿宋" w:hAnsi="仿宋" w:eastAsia="仿宋"/>
          <w:color w:val="auto"/>
          <w:highlight w:val="none"/>
        </w:rPr>
      </w:pPr>
      <w:bookmarkStart w:id="131" w:name="_Toc15396628"/>
      <w:bookmarkStart w:id="132" w:name="_Toc17807"/>
      <w:r>
        <w:rPr>
          <w:rStyle w:val="30"/>
          <w:rFonts w:hint="eastAsia" w:ascii="仿宋" w:hAnsi="仿宋" w:eastAsia="仿宋"/>
          <w:b w:val="0"/>
          <w:bCs w:val="0"/>
          <w:color w:val="auto"/>
          <w:highlight w:val="none"/>
        </w:rPr>
        <w:t>十、</w:t>
      </w:r>
      <w:bookmarkEnd w:id="131"/>
      <w:r>
        <w:rPr>
          <w:rFonts w:hint="eastAsia" w:ascii="仿宋" w:hAnsi="仿宋" w:eastAsia="仿宋"/>
          <w:b w:val="0"/>
          <w:color w:val="auto"/>
          <w:highlight w:val="none"/>
        </w:rPr>
        <w:t>政</w:t>
      </w:r>
      <w:r>
        <w:rPr>
          <w:rStyle w:val="30"/>
          <w:rFonts w:hint="eastAsia" w:ascii="仿宋" w:hAnsi="仿宋" w:eastAsia="仿宋"/>
          <w:b w:val="0"/>
          <w:bCs w:val="0"/>
          <w:color w:val="auto"/>
          <w:highlight w:val="none"/>
        </w:rPr>
        <w:t>府性基金预算财政拨款收入支出决算表</w:t>
      </w:r>
      <w:bookmarkEnd w:id="132"/>
    </w:p>
    <w:p>
      <w:pPr>
        <w:pStyle w:val="4"/>
        <w:rPr>
          <w:rFonts w:ascii="仿宋" w:hAnsi="仿宋" w:eastAsia="仿宋"/>
          <w:color w:val="auto"/>
          <w:highlight w:val="none"/>
        </w:rPr>
      </w:pPr>
      <w:bookmarkStart w:id="133" w:name="_Toc15396629"/>
      <w:bookmarkStart w:id="134" w:name="_Toc15902"/>
      <w:r>
        <w:rPr>
          <w:rStyle w:val="30"/>
          <w:rFonts w:hint="eastAsia" w:ascii="仿宋" w:hAnsi="仿宋" w:eastAsia="仿宋"/>
          <w:b w:val="0"/>
          <w:bCs w:val="0"/>
          <w:color w:val="auto"/>
          <w:highlight w:val="none"/>
        </w:rPr>
        <w:t>十一、</w:t>
      </w:r>
      <w:bookmarkEnd w:id="133"/>
      <w:r>
        <w:rPr>
          <w:rFonts w:hint="eastAsia" w:ascii="仿宋" w:hAnsi="仿宋" w:eastAsia="仿宋"/>
          <w:b w:val="0"/>
          <w:color w:val="auto"/>
          <w:highlight w:val="none"/>
        </w:rPr>
        <w:t>国</w:t>
      </w:r>
      <w:r>
        <w:rPr>
          <w:rStyle w:val="30"/>
          <w:rFonts w:hint="eastAsia" w:ascii="仿宋" w:hAnsi="仿宋" w:eastAsia="仿宋"/>
          <w:b w:val="0"/>
          <w:bCs w:val="0"/>
          <w:color w:val="auto"/>
          <w:highlight w:val="none"/>
        </w:rPr>
        <w:t>有资本经营预算</w:t>
      </w:r>
      <w:r>
        <w:rPr>
          <w:rStyle w:val="30"/>
          <w:rFonts w:hint="eastAsia" w:ascii="仿宋" w:hAnsi="仿宋" w:eastAsia="仿宋"/>
          <w:b w:val="0"/>
          <w:bCs w:val="0"/>
          <w:color w:val="auto"/>
          <w:highlight w:val="none"/>
          <w:lang w:eastAsia="zh-CN"/>
        </w:rPr>
        <w:t>财政拨款收入</w:t>
      </w:r>
      <w:r>
        <w:rPr>
          <w:rStyle w:val="30"/>
          <w:rFonts w:hint="eastAsia" w:ascii="仿宋" w:hAnsi="仿宋" w:eastAsia="仿宋"/>
          <w:b w:val="0"/>
          <w:bCs w:val="0"/>
          <w:color w:val="auto"/>
          <w:highlight w:val="none"/>
        </w:rPr>
        <w:t>支出决算表</w:t>
      </w:r>
      <w:bookmarkEnd w:id="134"/>
    </w:p>
    <w:p>
      <w:pPr>
        <w:pStyle w:val="4"/>
        <w:rPr>
          <w:rFonts w:ascii="仿宋" w:hAnsi="仿宋" w:eastAsia="仿宋"/>
          <w:color w:val="auto"/>
          <w:highlight w:val="none"/>
        </w:rPr>
      </w:pPr>
      <w:bookmarkStart w:id="135" w:name="_Toc15396630"/>
      <w:bookmarkStart w:id="136" w:name="_Toc13883"/>
      <w:r>
        <w:rPr>
          <w:rStyle w:val="30"/>
          <w:rFonts w:hint="eastAsia" w:ascii="仿宋" w:hAnsi="仿宋" w:eastAsia="仿宋"/>
          <w:b w:val="0"/>
          <w:bCs w:val="0"/>
          <w:color w:val="auto"/>
          <w:highlight w:val="none"/>
        </w:rPr>
        <w:t>十二、</w:t>
      </w:r>
      <w:bookmarkEnd w:id="135"/>
      <w:r>
        <w:rPr>
          <w:rStyle w:val="30"/>
          <w:rFonts w:hint="eastAsia" w:ascii="仿宋" w:hAnsi="仿宋" w:eastAsia="仿宋"/>
          <w:b w:val="0"/>
          <w:bCs w:val="0"/>
          <w:color w:val="auto"/>
          <w:highlight w:val="none"/>
          <w:lang w:eastAsia="zh-CN"/>
        </w:rPr>
        <w:t>国有资本经营预算财政拨款支出决算表</w:t>
      </w:r>
      <w:bookmarkEnd w:id="136"/>
    </w:p>
    <w:p>
      <w:pPr>
        <w:pStyle w:val="4"/>
        <w:rPr>
          <w:rFonts w:hint="eastAsia" w:eastAsia="仿宋"/>
          <w:color w:val="auto"/>
          <w:highlight w:val="none"/>
          <w:lang w:eastAsia="zh-CN"/>
        </w:rPr>
      </w:pPr>
      <w:bookmarkStart w:id="137" w:name="_Toc15396631"/>
      <w:bookmarkStart w:id="138" w:name="_Toc23286"/>
      <w:r>
        <w:rPr>
          <w:rStyle w:val="30"/>
          <w:rFonts w:hint="eastAsia" w:ascii="仿宋" w:hAnsi="仿宋" w:eastAsia="仿宋"/>
          <w:b w:val="0"/>
          <w:bCs w:val="0"/>
          <w:color w:val="auto"/>
          <w:highlight w:val="none"/>
        </w:rPr>
        <w:t>十三、</w:t>
      </w:r>
      <w:bookmarkEnd w:id="137"/>
      <w:r>
        <w:rPr>
          <w:rStyle w:val="30"/>
          <w:rFonts w:hint="eastAsia" w:ascii="仿宋" w:hAnsi="仿宋" w:eastAsia="仿宋"/>
          <w:b w:val="0"/>
          <w:bCs w:val="0"/>
          <w:color w:val="auto"/>
          <w:highlight w:val="none"/>
          <w:lang w:eastAsia="zh-CN"/>
        </w:rPr>
        <w:t>财政拨款“三公”经费支出决算表</w:t>
      </w:r>
      <w:bookmarkEnd w:id="138"/>
    </w:p>
    <w:sectPr>
      <w:footerReference r:id="rId16" w:type="first"/>
      <w:footerReference r:id="rId15" w:type="default"/>
      <w:pgSz w:w="11906" w:h="16838"/>
      <w:pgMar w:top="1440" w:right="1800" w:bottom="1440" w:left="1800" w:header="851" w:footer="992" w:gutter="0"/>
      <w:pgNumType w:fmt="decimal" w:start="56"/>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大标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10"/>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994781956"/>
                    </w:sdtPr>
                    <w:sdtContent>
                      <w:p>
                        <w:pPr>
                          <w:pStyle w:val="10"/>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v:textbox>
            </v:shape>
          </w:pict>
        </mc:Fallback>
      </mc:AlternateContent>
    </w:r>
  </w:p>
  <w:p>
    <w:pPr>
      <w:pStyle w:val="1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5672B2"/>
    <w:multiLevelType w:val="singleLevel"/>
    <w:tmpl w:val="945672B2"/>
    <w:lvl w:ilvl="0" w:tentative="0">
      <w:start w:val="1"/>
      <w:numFmt w:val="decimal"/>
      <w:suff w:val="nothing"/>
      <w:lvlText w:val="%1、"/>
      <w:lvlJc w:val="left"/>
    </w:lvl>
  </w:abstractNum>
  <w:abstractNum w:abstractNumId="1">
    <w:nsid w:val="AD1FCF43"/>
    <w:multiLevelType w:val="singleLevel"/>
    <w:tmpl w:val="AD1FCF43"/>
    <w:lvl w:ilvl="0" w:tentative="0">
      <w:start w:val="2"/>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59C55405"/>
    <w:multiLevelType w:val="singleLevel"/>
    <w:tmpl w:val="59C55405"/>
    <w:lvl w:ilvl="0" w:tentative="0">
      <w:start w:val="1"/>
      <w:numFmt w:val="chineseCounting"/>
      <w:suff w:val="nothing"/>
      <w:lvlText w:val="%1、"/>
      <w:lvlJc w:val="left"/>
      <w:rPr>
        <w:rFonts w:hint="eastAsia"/>
      </w:rPr>
    </w:lvl>
  </w:abstractNum>
  <w:abstractNum w:abstractNumId="5">
    <w:nsid w:val="643FDBEC"/>
    <w:multiLevelType w:val="singleLevel"/>
    <w:tmpl w:val="643FDBEC"/>
    <w:lvl w:ilvl="0" w:tentative="0">
      <w:start w:val="1"/>
      <w:numFmt w:val="decimal"/>
      <w:lvlText w:val="%1."/>
      <w:lvlJc w:val="left"/>
      <w:pPr>
        <w:tabs>
          <w:tab w:val="left" w:pos="312"/>
        </w:tabs>
      </w:p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zOTJlMTJjZTQ0ODNmMTdkYmI0ZTdlMDNhOWNmNDc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975B8"/>
    <w:rsid w:val="02143E91"/>
    <w:rsid w:val="04DD56C2"/>
    <w:rsid w:val="060212C0"/>
    <w:rsid w:val="066E0107"/>
    <w:rsid w:val="07996F6E"/>
    <w:rsid w:val="08CF3314"/>
    <w:rsid w:val="09BE11AF"/>
    <w:rsid w:val="0A2032A3"/>
    <w:rsid w:val="0B152539"/>
    <w:rsid w:val="0F98263C"/>
    <w:rsid w:val="0FEC16CD"/>
    <w:rsid w:val="101860EC"/>
    <w:rsid w:val="10C055FF"/>
    <w:rsid w:val="118107EC"/>
    <w:rsid w:val="13CB0BE1"/>
    <w:rsid w:val="13D50BC4"/>
    <w:rsid w:val="14F26C39"/>
    <w:rsid w:val="15141DAB"/>
    <w:rsid w:val="15833388"/>
    <w:rsid w:val="16A01639"/>
    <w:rsid w:val="16BB723D"/>
    <w:rsid w:val="17935082"/>
    <w:rsid w:val="17F03593"/>
    <w:rsid w:val="1BE8440E"/>
    <w:rsid w:val="1C58499E"/>
    <w:rsid w:val="1D155CEE"/>
    <w:rsid w:val="1D985264"/>
    <w:rsid w:val="1FF35744"/>
    <w:rsid w:val="201D3D2E"/>
    <w:rsid w:val="221C06AB"/>
    <w:rsid w:val="23860B96"/>
    <w:rsid w:val="23C51ADC"/>
    <w:rsid w:val="240371BF"/>
    <w:rsid w:val="26C16E78"/>
    <w:rsid w:val="287A6C70"/>
    <w:rsid w:val="29FD04D3"/>
    <w:rsid w:val="2A971018"/>
    <w:rsid w:val="2C8A61B5"/>
    <w:rsid w:val="2DF04E50"/>
    <w:rsid w:val="2F040D46"/>
    <w:rsid w:val="3022058E"/>
    <w:rsid w:val="302B5811"/>
    <w:rsid w:val="311F308B"/>
    <w:rsid w:val="319F7F4E"/>
    <w:rsid w:val="3304709D"/>
    <w:rsid w:val="36AA5135"/>
    <w:rsid w:val="36FD2127"/>
    <w:rsid w:val="376D39B2"/>
    <w:rsid w:val="37E16F03"/>
    <w:rsid w:val="38116401"/>
    <w:rsid w:val="38D469F0"/>
    <w:rsid w:val="39747410"/>
    <w:rsid w:val="3D4F1B81"/>
    <w:rsid w:val="3D98207C"/>
    <w:rsid w:val="3E78745D"/>
    <w:rsid w:val="3EAF565D"/>
    <w:rsid w:val="3EB66257"/>
    <w:rsid w:val="3FF771CE"/>
    <w:rsid w:val="42F40261"/>
    <w:rsid w:val="43682D44"/>
    <w:rsid w:val="44B20D68"/>
    <w:rsid w:val="44E268DA"/>
    <w:rsid w:val="469C2F73"/>
    <w:rsid w:val="4A627F82"/>
    <w:rsid w:val="4B0E749A"/>
    <w:rsid w:val="4B4F25DA"/>
    <w:rsid w:val="4BE068DB"/>
    <w:rsid w:val="4C5D5EC4"/>
    <w:rsid w:val="4CCA55F9"/>
    <w:rsid w:val="4D577224"/>
    <w:rsid w:val="4D8B3C50"/>
    <w:rsid w:val="4EAB630A"/>
    <w:rsid w:val="4ECE2238"/>
    <w:rsid w:val="4FAC3645"/>
    <w:rsid w:val="50C976A1"/>
    <w:rsid w:val="51390E07"/>
    <w:rsid w:val="537E6D0A"/>
    <w:rsid w:val="545A4256"/>
    <w:rsid w:val="54807309"/>
    <w:rsid w:val="58076362"/>
    <w:rsid w:val="59A94683"/>
    <w:rsid w:val="5AF92295"/>
    <w:rsid w:val="5C792749"/>
    <w:rsid w:val="5CD71FC4"/>
    <w:rsid w:val="616964DC"/>
    <w:rsid w:val="63F05E0D"/>
    <w:rsid w:val="676D7457"/>
    <w:rsid w:val="6931643F"/>
    <w:rsid w:val="6C4A05C8"/>
    <w:rsid w:val="6E7E3605"/>
    <w:rsid w:val="6EB73860"/>
    <w:rsid w:val="6ECE7AA7"/>
    <w:rsid w:val="6EDA35B6"/>
    <w:rsid w:val="6FF5CC65"/>
    <w:rsid w:val="70AA00DD"/>
    <w:rsid w:val="715A4658"/>
    <w:rsid w:val="715C0E4B"/>
    <w:rsid w:val="71A5619B"/>
    <w:rsid w:val="72654868"/>
    <w:rsid w:val="72734D90"/>
    <w:rsid w:val="73AD73D5"/>
    <w:rsid w:val="73B6EB34"/>
    <w:rsid w:val="744731E5"/>
    <w:rsid w:val="74C91279"/>
    <w:rsid w:val="75824F5E"/>
    <w:rsid w:val="763C0D75"/>
    <w:rsid w:val="76935EF2"/>
    <w:rsid w:val="76E3355F"/>
    <w:rsid w:val="778769C8"/>
    <w:rsid w:val="785803E2"/>
    <w:rsid w:val="79412940"/>
    <w:rsid w:val="79415A44"/>
    <w:rsid w:val="79EE5BA4"/>
    <w:rsid w:val="7A894339"/>
    <w:rsid w:val="7E0943A1"/>
    <w:rsid w:val="7E3648A4"/>
    <w:rsid w:val="7E537218"/>
    <w:rsid w:val="7EEF11D3"/>
    <w:rsid w:val="7F8B5D00"/>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rPr>
      <w:rFonts w:ascii="Times New Roman" w:hAnsi="Times New Roman" w:cs="Times New Roman"/>
    </w:rPr>
  </w:style>
  <w:style w:type="paragraph" w:styleId="6">
    <w:name w:val="Body Text"/>
    <w:basedOn w:val="1"/>
    <w:link w:val="26"/>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2"/>
    <w:semiHidden/>
    <w:unhideWhenUsed/>
    <w:qFormat/>
    <w:uiPriority w:val="99"/>
    <w:rPr>
      <w:sz w:val="18"/>
      <w:szCs w:val="18"/>
    </w:rPr>
  </w:style>
  <w:style w:type="paragraph" w:styleId="10">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5">
    <w:name w:val="Body Text First Indent 2"/>
    <w:basedOn w:val="7"/>
    <w:unhideWhenUsed/>
    <w:qFormat/>
    <w:uiPriority w:val="99"/>
    <w:pPr>
      <w:ind w:firstLine="420" w:firstLine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paragraph" w:customStyle="1" w:styleId="20">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Char"/>
    <w:link w:val="11"/>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Char"/>
    <w:link w:val="10"/>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Char"/>
    <w:link w:val="6"/>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Char"/>
    <w:basedOn w:val="17"/>
    <w:link w:val="3"/>
    <w:qFormat/>
    <w:uiPriority w:val="9"/>
    <w:rPr>
      <w:rFonts w:ascii="Times New Roman" w:hAnsi="Times New Roman"/>
      <w:b/>
      <w:bCs/>
      <w:kern w:val="44"/>
      <w:sz w:val="44"/>
      <w:szCs w:val="44"/>
    </w:rPr>
  </w:style>
  <w:style w:type="character" w:customStyle="1" w:styleId="30">
    <w:name w:val="标题 2 Char"/>
    <w:basedOn w:val="17"/>
    <w:link w:val="4"/>
    <w:qFormat/>
    <w:uiPriority w:val="9"/>
    <w:rPr>
      <w:rFonts w:asciiTheme="majorHAnsi" w:hAnsiTheme="majorHAnsi" w:eastAsiaTheme="majorEastAsia" w:cstheme="majorBidi"/>
      <w:b/>
      <w:bCs/>
      <w:kern w:val="2"/>
      <w:sz w:val="32"/>
      <w:szCs w:val="32"/>
    </w:rPr>
  </w:style>
  <w:style w:type="paragraph" w:customStyle="1" w:styleId="31">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Char"/>
    <w:basedOn w:val="17"/>
    <w:link w:val="9"/>
    <w:semiHidden/>
    <w:qFormat/>
    <w:uiPriority w:val="99"/>
    <w:rPr>
      <w:rFonts w:ascii="Times New Roman" w:hAnsi="Times New Roman"/>
      <w:kern w:val="2"/>
      <w:sz w:val="18"/>
      <w:szCs w:val="18"/>
    </w:rPr>
  </w:style>
  <w:style w:type="character" w:customStyle="1" w:styleId="33">
    <w:name w:val="标题 3 Char"/>
    <w:basedOn w:val="17"/>
    <w:link w:val="5"/>
    <w:qFormat/>
    <w:uiPriority w:val="9"/>
    <w:rPr>
      <w:rFonts w:ascii="Times New Roman" w:hAnsi="Times New Roman"/>
      <w:b/>
      <w:bCs/>
      <w:kern w:val="2"/>
      <w:sz w:val="32"/>
      <w:szCs w:val="32"/>
    </w:rPr>
  </w:style>
  <w:style w:type="paragraph" w:customStyle="1" w:styleId="34">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四号正文"/>
    <w:basedOn w:val="1"/>
    <w:qFormat/>
    <w:uiPriority w:val="0"/>
    <w:pPr>
      <w:spacing w:line="360" w:lineRule="auto"/>
    </w:pPr>
    <w:rPr>
      <w:rFonts w:ascii="??" w:hAnsi="??" w:eastAsia="宋体"/>
      <w:color w:val="000000"/>
      <w:kern w:val="0"/>
      <w:sz w:val="28"/>
      <w:szCs w:val="21"/>
      <w:lang w:val="zh-CN" w:eastAsia="zh-CN"/>
    </w:rPr>
  </w:style>
  <w:style w:type="character" w:customStyle="1" w:styleId="36">
    <w:name w:val="font21"/>
    <w:basedOn w:val="17"/>
    <w:qFormat/>
    <w:uiPriority w:val="0"/>
    <w:rPr>
      <w:rFonts w:hint="eastAsia" w:ascii="宋体" w:hAnsi="宋体" w:eastAsia="宋体" w:cs="宋体"/>
      <w:color w:val="000000"/>
      <w:sz w:val="24"/>
      <w:szCs w:val="24"/>
      <w:u w:val="none"/>
    </w:rPr>
  </w:style>
  <w:style w:type="character" w:customStyle="1" w:styleId="37">
    <w:name w:val="font61"/>
    <w:basedOn w:val="17"/>
    <w:qFormat/>
    <w:uiPriority w:val="0"/>
    <w:rPr>
      <w:rFonts w:hint="default" w:ascii="Times New Roman" w:hAnsi="Times New Roman" w:cs="Times New Roman"/>
      <w:color w:val="000000"/>
      <w:sz w:val="24"/>
      <w:szCs w:val="24"/>
      <w:u w:val="none"/>
    </w:rPr>
  </w:style>
  <w:style w:type="character" w:customStyle="1" w:styleId="38">
    <w:name w:val="font41"/>
    <w:basedOn w:val="17"/>
    <w:qFormat/>
    <w:uiPriority w:val="0"/>
    <w:rPr>
      <w:rFonts w:hint="eastAsia" w:ascii="宋体" w:hAnsi="宋体" w:eastAsia="宋体" w:cs="宋体"/>
      <w:b/>
      <w:bCs/>
      <w:color w:val="000000"/>
      <w:sz w:val="18"/>
      <w:szCs w:val="18"/>
      <w:u w:val="none"/>
    </w:rPr>
  </w:style>
  <w:style w:type="character" w:customStyle="1" w:styleId="39">
    <w:name w:val="font71"/>
    <w:basedOn w:val="17"/>
    <w:qFormat/>
    <w:uiPriority w:val="0"/>
    <w:rPr>
      <w:rFonts w:hint="eastAsia" w:ascii="宋体" w:hAnsi="宋体" w:eastAsia="宋体" w:cs="宋体"/>
      <w:color w:val="000000"/>
      <w:sz w:val="16"/>
      <w:szCs w:val="16"/>
      <w:u w:val="none"/>
    </w:rPr>
  </w:style>
  <w:style w:type="character" w:customStyle="1" w:styleId="40">
    <w:name w:val="font31"/>
    <w:basedOn w:val="17"/>
    <w:qFormat/>
    <w:uiPriority w:val="0"/>
    <w:rPr>
      <w:rFonts w:hint="eastAsia" w:ascii="宋体" w:hAnsi="宋体" w:eastAsia="宋体" w:cs="宋体"/>
      <w:color w:val="000000"/>
      <w:sz w:val="18"/>
      <w:szCs w:val="18"/>
      <w:u w:val="none"/>
    </w:rPr>
  </w:style>
  <w:style w:type="character" w:customStyle="1" w:styleId="41">
    <w:name w:val="font51"/>
    <w:basedOn w:val="17"/>
    <w:qFormat/>
    <w:uiPriority w:val="0"/>
    <w:rPr>
      <w:rFonts w:hint="eastAsia" w:ascii="宋体" w:hAnsi="宋体" w:eastAsia="宋体" w:cs="宋体"/>
      <w:color w:val="000000"/>
      <w:sz w:val="24"/>
      <w:szCs w:val="24"/>
      <w:u w:val="none"/>
    </w:rPr>
  </w:style>
  <w:style w:type="character" w:customStyle="1" w:styleId="42">
    <w:name w:val="font81"/>
    <w:basedOn w:val="17"/>
    <w:qFormat/>
    <w:uiPriority w:val="0"/>
    <w:rPr>
      <w:rFonts w:hint="eastAsia" w:ascii="宋体" w:hAnsi="宋体" w:eastAsia="宋体" w:cs="宋体"/>
      <w:color w:val="000000"/>
      <w:sz w:val="16"/>
      <w:szCs w:val="16"/>
      <w:u w:val="none"/>
    </w:rPr>
  </w:style>
  <w:style w:type="paragraph" w:customStyle="1" w:styleId="43">
    <w:name w:val="WPSOffice手动目录 1"/>
    <w:uiPriority w:val="0"/>
    <w:pPr>
      <w:ind w:leftChars="0"/>
    </w:pPr>
    <w:rPr>
      <w:sz w:val="20"/>
      <w:szCs w:val="20"/>
    </w:rPr>
  </w:style>
  <w:style w:type="paragraph" w:customStyle="1" w:styleId="44">
    <w:name w:val="WPSOffice手动目录 2"/>
    <w:uiPriority w:val="0"/>
    <w:pPr>
      <w:ind w:leftChars="200"/>
    </w:pPr>
    <w:rPr>
      <w:sz w:val="20"/>
      <w:szCs w:val="20"/>
    </w:rPr>
  </w:style>
  <w:style w:type="paragraph" w:customStyle="1" w:styleId="45">
    <w:name w:val="WPSOffice手动目录 3"/>
    <w:uiPriority w:val="0"/>
    <w:pPr>
      <w:ind w:leftChars="4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5.png"/><Relationship Id="rId23" Type="http://schemas.openxmlformats.org/officeDocument/2006/relationships/image" Target="media/image4.png"/><Relationship Id="rId22" Type="http://schemas.openxmlformats.org/officeDocument/2006/relationships/image" Target="media/image3.png"/><Relationship Id="rId21" Type="http://schemas.openxmlformats.org/officeDocument/2006/relationships/image" Target="media/image2.png"/><Relationship Id="rId20" Type="http://schemas.openxmlformats.org/officeDocument/2006/relationships/chart" Target="charts/chart2.xml"/><Relationship Id="rId2" Type="http://schemas.openxmlformats.org/officeDocument/2006/relationships/settings" Target="settings.xml"/><Relationship Id="rId19" Type="http://schemas.openxmlformats.org/officeDocument/2006/relationships/chart" Target="charts/chart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header" Target="header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36130;&#21153;\2023&#24180;&#36130;&#21153;\2022&#24180;&#20915;&#31639;&#20844;&#24320;\&#22270;&#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E:\&#36130;&#21153;\2023&#24180;&#36130;&#21153;\2022&#24180;&#20915;&#31639;&#20844;&#24320;\&#2227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rPr altLang="en-US"/>
              <a:t>一般公共预算财政拨款</a:t>
            </a:r>
            <a:endParaRPr altLang="en-US"/>
          </a:p>
        </c:rich>
      </c:tx>
      <c:layout>
        <c:manualLayout>
          <c:xMode val="edge"/>
          <c:yMode val="edge"/>
          <c:x val="0.260657894736842"/>
          <c:y val="0.0208333333333333"/>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[图表.xlsx]图2!$A$1:$C$2</c:f>
              <c:multiLvlStrCache>
                <c:ptCount val="2"/>
                <c:lvl>
                  <c:pt idx="1">
                    <c:v>占比</c:v>
                  </c:pt>
                </c:lvl>
                <c:lvl>
                  <c:pt idx="1">
                    <c:v>129.71万元</c:v>
                  </c:pt>
                </c:lvl>
                <c:lvl>
                  <c:pt idx="0">
                    <c:v>图2：一般公共预算财政拨款</c:v>
                  </c:pt>
                  <c:pt idx="1">
                    <c:v>2022年</c:v>
                  </c:pt>
                </c:lvl>
              </c:multiLvlStrCache>
            </c:multiLvlStrRef>
          </c:cat>
          <c:val>
            <c:numRef>
              <c:f>[图表.xlsx]图2!$D$1:$D$2</c:f>
              <c:numCache>
                <c:formatCode>General</c:formatCode>
                <c:ptCount val="2"/>
                <c:pt idx="1" c:formatCode="0%">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支出决算结构图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[图表.xlsx]图3!$A$1:$C$3</c:f>
              <c:multiLvlStrCache>
                <c:ptCount val="3"/>
                <c:lvl>
                  <c:pt idx="1">
                    <c:v>占比</c:v>
                  </c:pt>
                  <c:pt idx="2">
                    <c:v>占比</c:v>
                  </c:pt>
                </c:lvl>
                <c:lvl>
                  <c:pt idx="1">
                    <c:v>101.77万元</c:v>
                  </c:pt>
                  <c:pt idx="2">
                    <c:v>27.94</c:v>
                  </c:pt>
                </c:lvl>
                <c:lvl>
                  <c:pt idx="0">
                    <c:v>支出决算结构图</c:v>
                  </c:pt>
                  <c:pt idx="1">
                    <c:v>基本支出</c:v>
                  </c:pt>
                  <c:pt idx="2">
                    <c:v>项目支出</c:v>
                  </c:pt>
                </c:lvl>
              </c:multiLvlStrCache>
            </c:multiLvlStrRef>
          </c:cat>
          <c:val>
            <c:numRef>
              <c:f>[图表.xlsx]图3!$D$1:$D$3</c:f>
              <c:numCache>
                <c:formatCode>General</c:formatCode>
                <c:ptCount val="3"/>
                <c:pt idx="1" c:formatCode="0.00%">
                  <c:v>0.7846</c:v>
                </c:pt>
                <c:pt idx="2" c:formatCode="0.00%">
                  <c:v>0.2154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55</Pages>
  <Words>24656</Words>
  <Characters>28002</Characters>
  <Lines>61</Lines>
  <Paragraphs>17</Paragraphs>
  <TotalTime>1</TotalTime>
  <ScaleCrop>false</ScaleCrop>
  <LinksUpToDate>false</LinksUpToDate>
  <CharactersWithSpaces>28045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2023-07-31T02:35:00Z</cp:lastPrinted>
  <dcterms:modified xsi:type="dcterms:W3CDTF">2023-10-31T02:28:45Z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D9FD0D4527854512885D3FB605202EF3_12</vt:lpwstr>
  </property>
</Properties>
</file>