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475"/>
      <w:bookmarkStart w:id="1" w:name="_Toc15306267"/>
      <w:bookmarkStart w:id="2" w:name="_Toc15378441"/>
      <w:bookmarkStart w:id="3" w:name="_Toc15396597"/>
      <w:bookmarkStart w:id="4" w:name="_Toc15377193"/>
      <w:bookmarkStart w:id="5" w:name="_Toc15377425"/>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78442"/>
      <w:bookmarkStart w:id="9" w:name="_Toc15377426"/>
      <w:bookmarkStart w:id="10" w:name="_Toc15396476"/>
      <w:bookmarkStart w:id="11" w:name="_Toc1530626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中共广元市朝天区委党校</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b w:val="0"/>
          <w:bCs w:val="0"/>
          <w:color w:val="auto"/>
          <w:highlight w:val="none"/>
        </w:rPr>
      </w:pPr>
      <w:r>
        <w:rPr>
          <w:rFonts w:hint="eastAsia"/>
          <w:b w:val="0"/>
          <w:bCs w:val="0"/>
          <w:color w:val="auto"/>
          <w:highlight w:val="none"/>
        </w:rPr>
        <w:t>公开时间：20</w:t>
      </w:r>
      <w:r>
        <w:rPr>
          <w:rFonts w:hint="eastAsia"/>
          <w:b w:val="0"/>
          <w:bCs w:val="0"/>
          <w:color w:val="auto"/>
          <w:highlight w:val="none"/>
          <w:lang w:val="en-US" w:eastAsia="zh-CN"/>
        </w:rPr>
        <w:t>23</w:t>
      </w:r>
      <w:r>
        <w:rPr>
          <w:rFonts w:hint="eastAsia"/>
          <w:b w:val="0"/>
          <w:bCs w:val="0"/>
          <w:color w:val="auto"/>
          <w:highlight w:val="none"/>
        </w:rPr>
        <w:t>年</w:t>
      </w:r>
      <w:r>
        <w:rPr>
          <w:rFonts w:hint="eastAsia"/>
          <w:b w:val="0"/>
          <w:bCs w:val="0"/>
          <w:color w:val="auto"/>
          <w:highlight w:val="none"/>
          <w:lang w:val="en-US" w:eastAsia="zh-CN"/>
        </w:rPr>
        <w:t>10</w:t>
      </w:r>
      <w:r>
        <w:rPr>
          <w:rFonts w:hint="eastAsia"/>
          <w:b w:val="0"/>
          <w:bCs w:val="0"/>
          <w:color w:val="auto"/>
          <w:highlight w:val="none"/>
        </w:rPr>
        <w:t>月</w:t>
      </w:r>
      <w:r>
        <w:rPr>
          <w:rFonts w:hint="eastAsia"/>
          <w:b w:val="0"/>
          <w:bCs w:val="0"/>
          <w:color w:val="auto"/>
          <w:highlight w:val="none"/>
          <w:lang w:val="en-US" w:eastAsia="zh-CN"/>
        </w:rPr>
        <w:t>25</w:t>
      </w:r>
      <w:r>
        <w:rPr>
          <w:rFonts w:hint="eastAsia"/>
          <w:b w:val="0"/>
          <w:bCs w:val="0"/>
          <w:color w:val="auto"/>
          <w:highlight w:val="none"/>
        </w:rPr>
        <w:t>日</w:t>
      </w:r>
    </w:p>
    <w:p>
      <w:pPr>
        <w:rPr>
          <w:color w:val="auto"/>
          <w:highlight w:val="none"/>
        </w:rPr>
      </w:pP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...................................................3</w:t>
      </w:r>
    </w:p>
    <w:p>
      <w:pPr>
        <w:pStyle w:val="13"/>
        <w:adjustRightInd w:val="0"/>
        <w:snapToGrid w:val="0"/>
        <w:spacing w:line="440" w:lineRule="exact"/>
        <w:jc w:val="left"/>
        <w:rPr>
          <w:rFonts w:hint="default" w:ascii="仿宋_GB2312" w:hAnsi="仿宋_GB2312" w:eastAsia="仿宋_GB2312" w:cs="仿宋_GB2312"/>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ascii="宋体" w:hAnsi="宋体" w:eastAsia="宋体" w:cs="宋体"/>
          <w:color w:val="auto"/>
          <w:sz w:val="24"/>
          <w:highlight w:val="none"/>
          <w:lang w:val="en-US" w:eastAsia="zh-CN"/>
        </w:rPr>
        <w:t>.....................................................4</w:t>
      </w:r>
    </w:p>
    <w:p>
      <w:pPr>
        <w:pStyle w:val="13"/>
        <w:adjustRightInd w:val="0"/>
        <w:snapToGrid w:val="0"/>
        <w:spacing w:line="440" w:lineRule="exact"/>
        <w:jc w:val="left"/>
        <w:rPr>
          <w:rFonts w:hint="default"/>
          <w:lang w:val="en-US"/>
        </w:rPr>
      </w:pPr>
      <w:r>
        <w:rPr>
          <w:rFonts w:hint="eastAsia"/>
          <w:color w:val="auto"/>
          <w:sz w:val="24"/>
          <w:highlight w:val="none"/>
        </w:rPr>
        <w:t>二、机构置</w:t>
      </w:r>
      <w:r>
        <w:rPr>
          <w:rFonts w:hint="eastAsia" w:ascii="宋体" w:hAnsi="宋体" w:eastAsia="宋体" w:cs="宋体"/>
          <w:color w:val="auto"/>
          <w:sz w:val="24"/>
          <w:highlight w:val="none"/>
          <w:lang w:val="en-US" w:eastAsia="zh-CN"/>
        </w:rPr>
        <w:t>.......................................................4</w:t>
      </w:r>
    </w:p>
    <w:p>
      <w:pPr>
        <w:pStyle w:val="12"/>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color w:val="auto"/>
          <w:sz w:val="24"/>
          <w:highlight w:val="none"/>
          <w:lang w:val="en-US" w:eastAsia="zh-CN"/>
        </w:rPr>
        <w:t>..................................4</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一、收入支出决算总体情况</w:t>
      </w:r>
      <w:r>
        <w:rPr>
          <w:rFonts w:hint="eastAsia"/>
          <w:color w:val="auto"/>
          <w:sz w:val="24"/>
          <w:highlight w:val="none"/>
          <w:lang w:eastAsia="zh-CN"/>
        </w:rPr>
        <w:t>说</w:t>
      </w:r>
      <w:r>
        <w:rPr>
          <w:rFonts w:hint="eastAsia"/>
          <w:color w:val="auto"/>
          <w:sz w:val="24"/>
          <w:highlight w:val="none"/>
        </w:rPr>
        <w:t>明</w:t>
      </w:r>
      <w:r>
        <w:rPr>
          <w:rFonts w:hint="eastAsia" w:ascii="宋体" w:hAnsi="宋体" w:eastAsia="宋体" w:cs="宋体"/>
          <w:color w:val="auto"/>
          <w:sz w:val="24"/>
          <w:highlight w:val="none"/>
          <w:lang w:val="en-US" w:eastAsia="zh-CN"/>
        </w:rPr>
        <w:t>....................................5</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二、收入决算情况说明</w:t>
      </w:r>
      <w:r>
        <w:rPr>
          <w:rFonts w:hint="eastAsia" w:ascii="宋体" w:hAnsi="宋体" w:eastAsia="宋体" w:cs="宋体"/>
          <w:color w:val="auto"/>
          <w:sz w:val="24"/>
          <w:highlight w:val="none"/>
          <w:lang w:val="en-US" w:eastAsia="zh-CN"/>
        </w:rPr>
        <w:t>............................................5</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三、支出决算情况说明</w:t>
      </w:r>
      <w:r>
        <w:rPr>
          <w:rFonts w:hint="eastAsia" w:ascii="宋体" w:hAnsi="宋体" w:eastAsia="宋体" w:cs="宋体"/>
          <w:color w:val="auto"/>
          <w:sz w:val="24"/>
          <w:highlight w:val="none"/>
          <w:lang w:val="en-US" w:eastAsia="zh-CN"/>
        </w:rPr>
        <w:t>............................................5</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四、财政拨款收入支出决算总体情况说明</w:t>
      </w:r>
      <w:r>
        <w:rPr>
          <w:rFonts w:hint="eastAsia" w:ascii="宋体" w:hAnsi="宋体" w:eastAsia="宋体" w:cs="宋体"/>
          <w:color w:val="auto"/>
          <w:sz w:val="24"/>
          <w:highlight w:val="none"/>
          <w:lang w:val="en-US" w:eastAsia="zh-CN"/>
        </w:rPr>
        <w:t>............................6</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宋体" w:hAnsi="宋体" w:eastAsia="宋体" w:cs="宋体"/>
          <w:color w:val="auto"/>
          <w:sz w:val="24"/>
          <w:highlight w:val="none"/>
          <w:lang w:val="en-US" w:eastAsia="zh-CN"/>
        </w:rPr>
        <w:t>........................7</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六、一般公共预算财政拨款基本支出决算情况说明</w:t>
      </w:r>
      <w:r>
        <w:rPr>
          <w:rFonts w:hint="eastAsia" w:ascii="宋体" w:hAnsi="宋体" w:eastAsia="宋体" w:cs="宋体"/>
          <w:color w:val="auto"/>
          <w:sz w:val="24"/>
          <w:highlight w:val="none"/>
          <w:lang w:val="en-US" w:eastAsia="zh-CN"/>
        </w:rPr>
        <w:t>.....................9</w:t>
      </w: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宋体" w:hAnsi="宋体" w:eastAsia="宋体" w:cs="宋体"/>
          <w:color w:val="auto"/>
          <w:sz w:val="24"/>
          <w:highlight w:val="none"/>
          <w:lang w:val="en-US" w:eastAsia="zh-CN"/>
        </w:rPr>
        <w:t>........................10</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ascii="宋体" w:hAnsi="宋体" w:eastAsia="宋体" w:cs="宋体"/>
          <w:color w:val="auto"/>
          <w:sz w:val="24"/>
          <w:highlight w:val="none"/>
          <w:lang w:val="en-US" w:eastAsia="zh-CN"/>
        </w:rPr>
        <w:t>..............................11</w:t>
      </w:r>
    </w:p>
    <w:p>
      <w:pPr>
        <w:pStyle w:val="13"/>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............................11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eastAsia="zh-CN"/>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..................................................14</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......................................................16</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2"/>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3"/>
        <w:pageBreakBefore w:val="0"/>
        <w:widowControl w:val="0"/>
        <w:numPr>
          <w:ilvl w:val="0"/>
          <w:numId w:val="0"/>
        </w:numPr>
        <w:kinsoku/>
        <w:wordWrap/>
        <w:overflowPunct/>
        <w:topLinePunct w:val="0"/>
        <w:autoSpaceDE/>
        <w:autoSpaceDN/>
        <w:bidi w:val="0"/>
        <w:spacing w:line="576" w:lineRule="exact"/>
        <w:textAlignment w:val="auto"/>
        <w:rPr>
          <w:rFonts w:hint="eastAsia" w:ascii="黑体" w:hAnsi="黑体" w:eastAsia="黑体"/>
          <w:b w:val="0"/>
          <w:color w:val="auto"/>
          <w:highlight w:val="none"/>
          <w:lang w:eastAsia="zh-CN"/>
        </w:rPr>
      </w:pPr>
      <w:r>
        <w:rPr>
          <w:rFonts w:hint="eastAsia" w:ascii="黑体" w:hAnsi="黑体" w:eastAsia="黑体" w:cstheme="majorBidi"/>
          <w:b w:val="0"/>
          <w:bCs/>
          <w:color w:val="auto"/>
          <w:kern w:val="2"/>
          <w:sz w:val="32"/>
          <w:szCs w:val="32"/>
          <w:lang w:val="en-US" w:eastAsia="zh-CN" w:bidi="ar-SA"/>
        </w:rPr>
        <w:t>一、</w:t>
      </w:r>
      <w:r>
        <w:rPr>
          <w:rFonts w:hint="eastAsia" w:ascii="黑体" w:hAnsi="黑体" w:eastAsia="黑体"/>
          <w:b w:val="0"/>
          <w:color w:val="auto"/>
          <w:highlight w:val="none"/>
          <w:lang w:eastAsia="zh-CN"/>
        </w:rPr>
        <w:t>部门职责</w:t>
      </w:r>
    </w:p>
    <w:p>
      <w:pPr>
        <w:pStyle w:val="5"/>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1、负责全区副科级干部、后备干部、青年干部、村（社区）党组织书记和理论宣传骨干等人员的培训工作，会同组织部门做好参训人员在校学习期间的管理、考核等工作。</w:t>
      </w:r>
    </w:p>
    <w:p>
      <w:pPr>
        <w:pStyle w:val="5"/>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研究、宣传马克思列宁主义、毛泽东思想、邓小平理论、三个代表重要思想、科学发展观、习近平新时代中国特色社会主义思想，围绕党的中心任务和区委的部署对全区重大现实问题开展理论研究，为教学和社会实践服务，将重要成果提供给区委供决策参考。</w:t>
      </w:r>
    </w:p>
    <w:p>
      <w:pPr>
        <w:pStyle w:val="5"/>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3、受区委委托举办领导干部研讨班，研究区委提出的重大理论和方针政策。</w:t>
      </w:r>
    </w:p>
    <w:p>
      <w:pPr>
        <w:pStyle w:val="5"/>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4、完成区委和上级党校交办的其他事项。</w:t>
      </w:r>
    </w:p>
    <w:p>
      <w:pPr>
        <w:pStyle w:val="3"/>
        <w:pageBreakBefore w:val="0"/>
        <w:widowControl w:val="0"/>
        <w:kinsoku/>
        <w:wordWrap/>
        <w:overflowPunct/>
        <w:topLinePunct w:val="0"/>
        <w:autoSpaceDE/>
        <w:autoSpaceDN/>
        <w:bidi w:val="0"/>
        <w:spacing w:line="576" w:lineRule="exact"/>
        <w:textAlignment w:val="auto"/>
        <w:rPr>
          <w:rStyle w:val="30"/>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中共广元市朝天区委党校属</w:t>
      </w:r>
      <w:r>
        <w:rPr>
          <w:rFonts w:hint="eastAsia" w:ascii="仿宋_GB2312" w:hAnsi="仿宋_GB2312" w:eastAsia="仿宋_GB2312" w:cs="仿宋_GB2312"/>
          <w:sz w:val="32"/>
          <w:szCs w:val="32"/>
        </w:rPr>
        <w:t>参照公务员法管理的</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内设办公室、教务处、科研处三个处室，无下设二级单位。共有</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实有在职人员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参公</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另外有财政定补人员</w:t>
      </w:r>
      <w:r>
        <w:rPr>
          <w:rFonts w:hint="eastAsia" w:ascii="仿宋_GB2312" w:hAnsi="仿宋_GB2312" w:eastAsia="仿宋_GB2312" w:cs="仿宋_GB2312"/>
          <w:sz w:val="32"/>
          <w:szCs w:val="32"/>
          <w:lang w:val="en-US" w:eastAsia="zh-CN"/>
        </w:rPr>
        <w:t>1人，遗属1人。</w:t>
      </w:r>
    </w:p>
    <w:p>
      <w:pPr>
        <w:pStyle w:val="2"/>
        <w:ind w:right="440"/>
        <w:jc w:val="both"/>
        <w:rPr>
          <w:rStyle w:val="29"/>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16"/>
      <w:bookmarkEnd w:id="17"/>
    </w:p>
    <w:p>
      <w:pPr>
        <w:rPr>
          <w:color w:val="auto"/>
          <w:highlight w:val="none"/>
        </w:rPr>
      </w:pPr>
    </w:p>
    <w:p>
      <w:pPr>
        <w:pStyle w:val="28"/>
        <w:numPr>
          <w:ilvl w:val="0"/>
          <w:numId w:val="0"/>
        </w:numPr>
        <w:spacing w:line="600" w:lineRule="exact"/>
        <w:ind w:left="1360" w:leftChars="0" w:hanging="720" w:firstLineChars="0"/>
        <w:outlineLvl w:val="1"/>
        <w:rPr>
          <w:rStyle w:val="30"/>
          <w:rFonts w:ascii="黑体" w:hAnsi="黑体" w:eastAsia="黑体"/>
          <w:b w:val="0"/>
          <w:color w:val="auto"/>
          <w:highlight w:val="none"/>
        </w:rPr>
      </w:pPr>
      <w:bookmarkStart w:id="18" w:name="_Toc15396603"/>
      <w:bookmarkStart w:id="19" w:name="_Toc15377205"/>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olor w:val="auto"/>
          <w:sz w:val="32"/>
          <w:szCs w:val="32"/>
          <w:highlight w:val="none"/>
          <w:lang w:eastAsia="zh-CN"/>
        </w:rPr>
      </w:pPr>
      <w:bookmarkStart w:id="20" w:name="_Toc15396604"/>
      <w:bookmarkStart w:id="21" w:name="_Toc15377206"/>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38.73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人员增加和干部培训费项目增加。</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ascii="仿宋_GB2312" w:eastAsia="仿宋_GB2312"/>
          <w:color w:val="auto"/>
          <w:sz w:val="32"/>
          <w:szCs w:val="32"/>
          <w:highlight w:val="none"/>
        </w:rPr>
      </w:pPr>
      <w:r>
        <w:drawing>
          <wp:inline distT="0" distB="0" distL="114300" distR="114300">
            <wp:extent cx="4847590" cy="246761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47590" cy="2467610"/>
                    </a:xfrm>
                    <a:prstGeom prst="rect">
                      <a:avLst/>
                    </a:prstGeom>
                    <a:noFill/>
                    <a:ln>
                      <a:noFill/>
                    </a:ln>
                  </pic:spPr>
                </pic:pic>
              </a:graphicData>
            </a:graphic>
          </wp:inline>
        </w:drawing>
      </w:r>
    </w:p>
    <w:p>
      <w:pPr>
        <w:pStyle w:val="28"/>
        <w:numPr>
          <w:ilvl w:val="0"/>
          <w:numId w:val="0"/>
        </w:numPr>
        <w:spacing w:line="600" w:lineRule="exact"/>
        <w:ind w:left="1360" w:leftChars="0" w:hanging="720" w:firstLineChars="0"/>
        <w:outlineLvl w:val="1"/>
        <w:rPr>
          <w:rStyle w:val="30"/>
          <w:rFonts w:ascii="黑体" w:hAnsi="黑体" w:eastAsia="黑体"/>
          <w:b w:val="0"/>
          <w:color w:val="auto"/>
          <w:highlight w:val="none"/>
        </w:rPr>
      </w:pPr>
      <w:r>
        <w:rPr>
          <w:rFonts w:hint="default" w:ascii="黑体" w:hAnsi="黑体" w:eastAsia="黑体" w:cstheme="majorBidi"/>
          <w:b w:val="0"/>
          <w:bCs/>
          <w:color w:val="auto"/>
          <w:kern w:val="2"/>
          <w:sz w:val="32"/>
          <w:szCs w:val="32"/>
          <w:lang w:val="en-US" w:eastAsia="zh-CN" w:bidi="ar-SA"/>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0"/>
      <w:bookmarkEnd w:id="21"/>
    </w:p>
    <w:p>
      <w:pPr>
        <w:spacing w:line="600" w:lineRule="exact"/>
        <w:ind w:firstLine="640" w:firstLineChars="200"/>
        <w:rPr>
          <w:rFonts w:hint="eastAsia" w:ascii="仿宋" w:hAnsi="仿宋" w:eastAsia="仿宋"/>
          <w:color w:val="auto"/>
          <w:sz w:val="32"/>
          <w:szCs w:val="32"/>
          <w:highlight w:val="none"/>
        </w:rPr>
      </w:pPr>
      <w:bookmarkStart w:id="22" w:name="_Toc15377207"/>
      <w:bookmarkStart w:id="23" w:name="_Toc1539660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1361" w:leftChars="0" w:hanging="720" w:firstLineChars="0"/>
        <w:textAlignment w:val="auto"/>
        <w:outlineLvl w:val="1"/>
      </w:pPr>
      <w:r>
        <w:drawing>
          <wp:inline distT="0" distB="0" distL="114300" distR="114300">
            <wp:extent cx="4798695" cy="1589405"/>
            <wp:effectExtent l="0" t="0" r="19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798695" cy="1589405"/>
                    </a:xfrm>
                    <a:prstGeom prst="rect">
                      <a:avLst/>
                    </a:prstGeom>
                    <a:noFill/>
                    <a:ln>
                      <a:noFill/>
                    </a:ln>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1361" w:leftChars="0" w:hanging="720" w:firstLineChars="0"/>
        <w:textAlignment w:val="auto"/>
        <w:outlineLvl w:val="1"/>
        <w:rPr>
          <w:rStyle w:val="30"/>
          <w:rFonts w:ascii="黑体" w:hAnsi="黑体" w:eastAsia="黑体"/>
          <w:b w:val="0"/>
          <w:color w:val="auto"/>
          <w:sz w:val="32"/>
          <w:szCs w:val="32"/>
          <w:highlight w:val="none"/>
        </w:rPr>
      </w:pPr>
      <w:r>
        <w:rPr>
          <w:rFonts w:hint="eastAsia" w:eastAsia="黑体"/>
          <w:sz w:val="32"/>
          <w:szCs w:val="32"/>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sz w:val="32"/>
          <w:szCs w:val="32"/>
          <w:highlight w:val="none"/>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outlineLvl w:val="1"/>
        <w:rPr>
          <w:rFonts w:ascii="仿宋" w:hAnsi="仿宋" w:eastAsia="仿宋"/>
          <w:color w:val="auto"/>
          <w:sz w:val="32"/>
          <w:szCs w:val="32"/>
          <w:highlight w:val="none"/>
        </w:rPr>
      </w:pPr>
      <w:bookmarkStart w:id="24" w:name="_Toc15396606"/>
      <w:bookmarkStart w:id="25" w:name="_Toc1537720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184.35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59.97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123.06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outlineLvl w:val="1"/>
        <w:rPr>
          <w:rStyle w:val="30"/>
          <w:rFonts w:ascii="黑体" w:hAnsi="黑体" w:eastAsia="黑体"/>
          <w:b w:val="0"/>
          <w:color w:val="auto"/>
          <w:highlight w:val="none"/>
        </w:rPr>
      </w:pPr>
      <w:r>
        <w:drawing>
          <wp:inline distT="0" distB="0" distL="114300" distR="114300">
            <wp:extent cx="5015230" cy="2571115"/>
            <wp:effectExtent l="0" t="0" r="139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015230" cy="2571115"/>
                    </a:xfrm>
                    <a:prstGeom prst="rect">
                      <a:avLst/>
                    </a:prstGeom>
                    <a:noFill/>
                    <a:ln>
                      <a:noFill/>
                    </a:ln>
                  </pic:spPr>
                </pic:pic>
              </a:graphicData>
            </a:graphic>
          </wp:inline>
        </w:drawing>
      </w: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tLeast"/>
        <w:ind w:firstLine="640"/>
        <w:textAlignment w:val="auto"/>
        <w:rPr>
          <w:rFonts w:ascii="仿宋" w:hAnsi="仿宋" w:eastAsia="仿宋"/>
          <w:color w:val="auto"/>
          <w:sz w:val="32"/>
          <w:szCs w:val="32"/>
          <w:highlight w:val="none"/>
        </w:rPr>
      </w:pPr>
      <w:bookmarkStart w:id="26" w:name="_Toc15377209"/>
      <w:bookmarkStart w:id="27" w:name="_Toc1539660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38.73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人员增加和干部培训费项目增加。</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outlineLvl w:val="1"/>
        <w:rPr>
          <w:rStyle w:val="30"/>
          <w:rFonts w:ascii="黑体" w:hAnsi="黑体" w:eastAsia="黑体"/>
          <w:b w:val="0"/>
          <w:color w:val="auto"/>
          <w:highlight w:val="none"/>
        </w:rPr>
      </w:pPr>
      <w:r>
        <w:drawing>
          <wp:inline distT="0" distB="0" distL="114300" distR="114300">
            <wp:extent cx="4961890" cy="2602865"/>
            <wp:effectExtent l="0" t="0" r="1016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961890" cy="2602865"/>
                    </a:xfrm>
                    <a:prstGeom prst="rect">
                      <a:avLst/>
                    </a:prstGeom>
                    <a:noFill/>
                    <a:ln>
                      <a:noFill/>
                    </a:ln>
                  </pic:spPr>
                </pic:pic>
              </a:graphicData>
            </a:graphic>
          </wp:inline>
        </w:drawing>
      </w: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olor w:val="auto"/>
          <w:sz w:val="32"/>
          <w:szCs w:val="32"/>
          <w:highlight w:val="none"/>
          <w:lang w:eastAsia="zh-CN"/>
        </w:rPr>
      </w:pPr>
      <w:bookmarkStart w:id="29" w:name="_Toc1537721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38.73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人员增加和干部培训费项目增加。</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outlineLvl w:val="2"/>
        <w:rPr>
          <w:rFonts w:ascii="仿宋" w:hAnsi="仿宋" w:eastAsia="仿宋"/>
          <w:b/>
          <w:color w:val="auto"/>
          <w:sz w:val="32"/>
          <w:szCs w:val="32"/>
          <w:highlight w:val="none"/>
        </w:rPr>
      </w:pPr>
      <w:r>
        <w:drawing>
          <wp:inline distT="0" distB="0" distL="114300" distR="114300">
            <wp:extent cx="5110480" cy="2677160"/>
            <wp:effectExtent l="0" t="0" r="139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110480" cy="2677160"/>
                    </a:xfrm>
                    <a:prstGeom prst="rect">
                      <a:avLst/>
                    </a:prstGeom>
                    <a:noFill/>
                    <a:ln>
                      <a:noFill/>
                    </a:ln>
                  </pic:spPr>
                </pic:pic>
              </a:graphicData>
            </a:graphic>
          </wp:inline>
        </w:drawing>
      </w:r>
      <w:r>
        <w:rPr>
          <w:rFonts w:hint="eastAsia" w:ascii="仿宋" w:hAnsi="仿宋" w:eastAsia="仿宋"/>
          <w:b/>
          <w:color w:val="auto"/>
          <w:sz w:val="32"/>
          <w:szCs w:val="32"/>
          <w:highlight w:val="none"/>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240" w:lineRule="atLeast"/>
        <w:ind w:firstLine="640"/>
        <w:textAlignment w:val="auto"/>
        <w:rPr>
          <w:rFonts w:ascii="仿宋" w:hAnsi="仿宋" w:eastAsia="仿宋"/>
          <w:color w:val="auto"/>
          <w:sz w:val="32"/>
          <w:szCs w:val="32"/>
          <w:highlight w:val="none"/>
        </w:rPr>
      </w:pPr>
      <w:bookmarkStart w:id="30" w:name="_Toc1537721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307.41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273.51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6.63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13.56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ascii="仿宋" w:hAnsi="仿宋" w:eastAsia="仿宋"/>
          <w:color w:val="auto"/>
          <w:sz w:val="32"/>
          <w:szCs w:val="32"/>
          <w:highlight w:val="none"/>
        </w:rPr>
      </w:pPr>
      <w:r>
        <w:drawing>
          <wp:inline distT="0" distB="0" distL="114300" distR="114300">
            <wp:extent cx="4903470" cy="2642235"/>
            <wp:effectExtent l="0" t="0" r="11430"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4903470" cy="264223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bookmarkStart w:id="34" w:name="_Toc15377214"/>
      <w:bookmarkStart w:id="35" w:name="_Toc15396608"/>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307.41万元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1、</w:t>
      </w:r>
      <w:r>
        <w:rPr>
          <w:rStyle w:val="18"/>
          <w:rFonts w:hint="eastAsia" w:ascii="仿宋" w:hAnsi="仿宋" w:eastAsia="仿宋"/>
          <w:bCs/>
          <w:color w:val="auto"/>
          <w:sz w:val="32"/>
          <w:szCs w:val="32"/>
          <w:highlight w:val="none"/>
        </w:rPr>
        <w:t>教育</w:t>
      </w:r>
      <w:r>
        <w:rPr>
          <w:rStyle w:val="18"/>
          <w:rFonts w:hint="eastAsia" w:ascii="仿宋" w:hAnsi="仿宋" w:eastAsia="仿宋"/>
          <w:bCs/>
          <w:color w:val="auto"/>
          <w:sz w:val="32"/>
          <w:szCs w:val="32"/>
          <w:highlight w:val="none"/>
          <w:lang w:val="en-US" w:eastAsia="zh-CN"/>
        </w:rPr>
        <w:t>205</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行政运行</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76.79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numPr>
          <w:ilvl w:val="0"/>
          <w:numId w:val="0"/>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
          <w:bCs w:val="0"/>
          <w:color w:val="auto"/>
          <w:sz w:val="32"/>
          <w:szCs w:val="32"/>
          <w:highlight w:val="none"/>
          <w:lang w:val="en-US" w:eastAsia="zh-CN"/>
        </w:rPr>
        <w:t>2、</w:t>
      </w:r>
      <w:r>
        <w:rPr>
          <w:rStyle w:val="18"/>
          <w:rFonts w:hint="eastAsia" w:ascii="仿宋" w:hAnsi="仿宋" w:eastAsia="仿宋"/>
          <w:b/>
          <w:bCs w:val="0"/>
          <w:color w:val="auto"/>
          <w:sz w:val="32"/>
          <w:szCs w:val="32"/>
          <w:highlight w:val="none"/>
        </w:rPr>
        <w:t>教育</w:t>
      </w:r>
      <w:r>
        <w:rPr>
          <w:rStyle w:val="18"/>
          <w:rFonts w:hint="eastAsia" w:ascii="仿宋" w:hAnsi="仿宋" w:eastAsia="仿宋"/>
          <w:b/>
          <w:bCs w:val="0"/>
          <w:color w:val="auto"/>
          <w:sz w:val="32"/>
          <w:szCs w:val="32"/>
          <w:highlight w:val="none"/>
          <w:lang w:val="en-US" w:eastAsia="zh-CN"/>
        </w:rPr>
        <w:t>205</w:t>
      </w:r>
      <w:r>
        <w:rPr>
          <w:rStyle w:val="18"/>
          <w:rFonts w:hint="eastAsia" w:ascii="仿宋" w:hAnsi="仿宋" w:eastAsia="仿宋"/>
          <w:b/>
          <w:bCs w:val="0"/>
          <w:color w:val="auto"/>
          <w:sz w:val="32"/>
          <w:szCs w:val="32"/>
          <w:highlight w:val="none"/>
        </w:rPr>
        <w:t>（类）</w:t>
      </w:r>
      <w:r>
        <w:rPr>
          <w:rStyle w:val="18"/>
          <w:rFonts w:hint="eastAsia" w:ascii="仿宋" w:hAnsi="仿宋" w:eastAsia="仿宋"/>
          <w:b/>
          <w:bCs w:val="0"/>
          <w:color w:val="auto"/>
          <w:sz w:val="32"/>
          <w:szCs w:val="32"/>
          <w:highlight w:val="none"/>
          <w:lang w:val="en-US" w:eastAsia="zh-CN"/>
        </w:rPr>
        <w:t>01</w:t>
      </w:r>
      <w:r>
        <w:rPr>
          <w:rStyle w:val="18"/>
          <w:rFonts w:hint="eastAsia" w:ascii="仿宋" w:hAnsi="仿宋" w:eastAsia="仿宋"/>
          <w:b/>
          <w:bCs w:val="0"/>
          <w:color w:val="auto"/>
          <w:sz w:val="32"/>
          <w:szCs w:val="32"/>
          <w:highlight w:val="none"/>
        </w:rPr>
        <w:t>（款）</w:t>
      </w:r>
      <w:r>
        <w:rPr>
          <w:rStyle w:val="18"/>
          <w:rFonts w:hint="eastAsia" w:ascii="仿宋" w:hAnsi="仿宋" w:eastAsia="仿宋"/>
          <w:b/>
          <w:bCs w:val="0"/>
          <w:color w:val="auto"/>
          <w:sz w:val="32"/>
          <w:szCs w:val="32"/>
          <w:highlight w:val="none"/>
          <w:lang w:val="en-US" w:eastAsia="zh-CN"/>
        </w:rPr>
        <w:t>02</w:t>
      </w:r>
      <w:r>
        <w:rPr>
          <w:rStyle w:val="18"/>
          <w:rFonts w:hint="eastAsia" w:ascii="仿宋" w:hAnsi="仿宋" w:eastAsia="仿宋"/>
          <w:b/>
          <w:bCs w:val="0"/>
          <w:color w:val="auto"/>
          <w:sz w:val="32"/>
          <w:szCs w:val="32"/>
          <w:highlight w:val="none"/>
        </w:rPr>
        <w:t>（项）</w:t>
      </w:r>
      <w:r>
        <w:rPr>
          <w:rStyle w:val="18"/>
          <w:rFonts w:hint="eastAsia" w:ascii="仿宋" w:hAnsi="仿宋" w:eastAsia="仿宋"/>
          <w:b/>
          <w:bCs w:val="0"/>
          <w:color w:val="auto"/>
          <w:sz w:val="32"/>
          <w:szCs w:val="32"/>
          <w:highlight w:val="none"/>
          <w:lang w:eastAsia="zh-CN"/>
        </w:rPr>
        <w:t>一般行政管理事务</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123.06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Fonts w:hint="default" w:eastAsia="仿宋"/>
          <w:lang w:val="en-US" w:eastAsia="zh-CN"/>
        </w:rPr>
      </w:pPr>
      <w:r>
        <w:rPr>
          <w:rStyle w:val="18"/>
          <w:rFonts w:hint="eastAsia" w:ascii="仿宋" w:hAnsi="仿宋" w:eastAsia="仿宋"/>
          <w:b/>
          <w:bCs w:val="0"/>
          <w:color w:val="auto"/>
          <w:sz w:val="32"/>
          <w:szCs w:val="32"/>
          <w:highlight w:val="none"/>
          <w:lang w:val="en-US" w:eastAsia="zh-CN"/>
        </w:rPr>
        <w:t>3、</w:t>
      </w:r>
      <w:r>
        <w:rPr>
          <w:rStyle w:val="18"/>
          <w:rFonts w:hint="eastAsia" w:ascii="仿宋" w:hAnsi="仿宋" w:eastAsia="仿宋"/>
          <w:b/>
          <w:bCs w:val="0"/>
          <w:color w:val="auto"/>
          <w:sz w:val="32"/>
          <w:szCs w:val="32"/>
          <w:highlight w:val="none"/>
        </w:rPr>
        <w:t>教育</w:t>
      </w:r>
      <w:r>
        <w:rPr>
          <w:rStyle w:val="18"/>
          <w:rFonts w:hint="eastAsia" w:ascii="仿宋" w:hAnsi="仿宋" w:eastAsia="仿宋"/>
          <w:b/>
          <w:bCs w:val="0"/>
          <w:color w:val="auto"/>
          <w:sz w:val="32"/>
          <w:szCs w:val="32"/>
          <w:highlight w:val="none"/>
          <w:lang w:val="en-US" w:eastAsia="zh-CN"/>
        </w:rPr>
        <w:t>205</w:t>
      </w:r>
      <w:r>
        <w:rPr>
          <w:rStyle w:val="18"/>
          <w:rFonts w:hint="eastAsia" w:ascii="仿宋" w:hAnsi="仿宋" w:eastAsia="仿宋"/>
          <w:b/>
          <w:bCs w:val="0"/>
          <w:color w:val="auto"/>
          <w:sz w:val="32"/>
          <w:szCs w:val="32"/>
          <w:highlight w:val="none"/>
        </w:rPr>
        <w:t>（类）</w:t>
      </w:r>
      <w:r>
        <w:rPr>
          <w:rStyle w:val="18"/>
          <w:rFonts w:hint="eastAsia" w:ascii="仿宋" w:hAnsi="仿宋" w:eastAsia="仿宋"/>
          <w:b/>
          <w:bCs w:val="0"/>
          <w:color w:val="auto"/>
          <w:sz w:val="32"/>
          <w:szCs w:val="32"/>
          <w:highlight w:val="none"/>
          <w:lang w:val="en-US" w:eastAsia="zh-CN"/>
        </w:rPr>
        <w:t>01</w:t>
      </w:r>
      <w:r>
        <w:rPr>
          <w:rStyle w:val="18"/>
          <w:rFonts w:hint="eastAsia" w:ascii="仿宋" w:hAnsi="仿宋" w:eastAsia="仿宋"/>
          <w:b/>
          <w:bCs w:val="0"/>
          <w:color w:val="auto"/>
          <w:sz w:val="32"/>
          <w:szCs w:val="32"/>
          <w:highlight w:val="none"/>
        </w:rPr>
        <w:t>（款）</w:t>
      </w:r>
      <w:r>
        <w:rPr>
          <w:rStyle w:val="18"/>
          <w:rFonts w:hint="eastAsia" w:ascii="仿宋" w:hAnsi="仿宋" w:eastAsia="仿宋"/>
          <w:b/>
          <w:bCs w:val="0"/>
          <w:color w:val="auto"/>
          <w:sz w:val="32"/>
          <w:szCs w:val="32"/>
          <w:highlight w:val="none"/>
          <w:lang w:val="en-US" w:eastAsia="zh-CN"/>
        </w:rPr>
        <w:t>03</w:t>
      </w:r>
      <w:r>
        <w:rPr>
          <w:rStyle w:val="18"/>
          <w:rFonts w:hint="eastAsia" w:ascii="仿宋" w:hAnsi="仿宋" w:eastAsia="仿宋"/>
          <w:b/>
          <w:bCs w:val="0"/>
          <w:color w:val="auto"/>
          <w:sz w:val="32"/>
          <w:szCs w:val="32"/>
          <w:highlight w:val="none"/>
        </w:rPr>
        <w:t>（项）</w:t>
      </w:r>
      <w:r>
        <w:rPr>
          <w:rStyle w:val="18"/>
          <w:rFonts w:hint="eastAsia" w:ascii="仿宋" w:hAnsi="仿宋" w:eastAsia="仿宋"/>
          <w:b/>
          <w:bCs w:val="0"/>
          <w:color w:val="auto"/>
          <w:sz w:val="32"/>
          <w:szCs w:val="32"/>
          <w:highlight w:val="none"/>
          <w:lang w:eastAsia="zh-CN"/>
        </w:rPr>
        <w:t>机关服务</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73.66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机关事业单位基本养老保险缴费支出</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13.49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pStyle w:val="5"/>
        <w:ind w:firstLine="643" w:firstLineChars="200"/>
        <w:rPr>
          <w:rFonts w:hint="eastAsia" w:eastAsia="仿宋"/>
          <w:lang w:eastAsia="zh-CN"/>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其他社会保障和就业支出</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0.22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r>
        <w:rPr>
          <w:rStyle w:val="18"/>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（项）行政单位医疗</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（项）事业单位医疗</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3.33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住房保障</w:t>
      </w:r>
      <w:r>
        <w:rPr>
          <w:rFonts w:hint="eastAsia" w:ascii="仿宋" w:hAnsi="仿宋" w:eastAsia="仿宋"/>
          <w:b/>
          <w:bCs/>
          <w:color w:val="auto"/>
          <w:sz w:val="32"/>
          <w:szCs w:val="32"/>
          <w:highlight w:val="none"/>
          <w:lang w:val="en-US" w:eastAsia="zh-CN"/>
        </w:rPr>
        <w:t>221</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（项）住房公积金</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13.56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30"/>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4"/>
      <w:bookmarkEnd w:id="35"/>
      <w:r>
        <w:rPr>
          <w:rStyle w:val="30"/>
          <w:rFonts w:ascii="黑体" w:hAnsi="黑体" w:eastAsia="黑体"/>
          <w:b w:val="0"/>
          <w:color w:val="auto"/>
          <w:highlight w:val="none"/>
        </w:rPr>
        <w:tab/>
      </w:r>
    </w:p>
    <w:p>
      <w:pPr>
        <w:tabs>
          <w:tab w:val="right" w:pos="8306"/>
        </w:tabs>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184.35</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168.21</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生活补助、医疗费补助、奖励金、住房公积金、其他对个人和家庭的补助支出等。</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16.14</w:t>
      </w:r>
      <w:r>
        <w:rPr>
          <w:rFonts w:hint="eastAsia" w:ascii="仿宋" w:hAnsi="仿宋" w:eastAsia="仿宋"/>
          <w:color w:val="auto"/>
          <w:sz w:val="32"/>
          <w:szCs w:val="32"/>
          <w:highlight w:val="none"/>
        </w:rPr>
        <w:t>万元，主要包括：办公费、水费、电费、邮电费、维修（护）费、公务接待费</w:t>
      </w:r>
      <w:r>
        <w:rPr>
          <w:rFonts w:hint="eastAsia" w:ascii="仿宋" w:hAnsi="仿宋" w:eastAsia="仿宋"/>
          <w:color w:val="auto"/>
          <w:sz w:val="32"/>
          <w:szCs w:val="32"/>
          <w:highlight w:val="none"/>
          <w:lang w:eastAsia="zh-CN"/>
        </w:rPr>
        <w:t>、其他交通费用</w:t>
      </w:r>
      <w:r>
        <w:rPr>
          <w:rFonts w:hint="eastAsia" w:ascii="仿宋" w:hAnsi="仿宋" w:eastAsia="仿宋"/>
          <w:color w:val="auto"/>
          <w:sz w:val="32"/>
          <w:szCs w:val="32"/>
          <w:highlight w:val="none"/>
        </w:rPr>
        <w:t>等。</w:t>
      </w:r>
    </w:p>
    <w:p>
      <w:pPr>
        <w:spacing w:line="600" w:lineRule="exact"/>
        <w:ind w:firstLine="640"/>
        <w:outlineLvl w:val="1"/>
        <w:rPr>
          <w:rStyle w:val="30"/>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bookmarkStart w:id="39" w:name="_Toc153772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减少0.02万元，下降4.35%。</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keepNext w:val="0"/>
        <w:keepLines w:val="0"/>
        <w:pageBreakBefore w:val="0"/>
        <w:widowControl w:val="0"/>
        <w:kinsoku/>
        <w:wordWrap/>
        <w:overflowPunct/>
        <w:topLinePunct w:val="0"/>
        <w:autoSpaceDE/>
        <w:autoSpaceDN/>
        <w:bidi w:val="0"/>
        <w:adjustRightInd/>
        <w:snapToGrid/>
        <w:spacing w:line="240" w:lineRule="atLeast"/>
        <w:ind w:firstLine="640"/>
        <w:textAlignment w:val="auto"/>
      </w:pPr>
      <w:r>
        <w:drawing>
          <wp:inline distT="0" distB="0" distL="114300" distR="114300">
            <wp:extent cx="4168775" cy="2480310"/>
            <wp:effectExtent l="0" t="0" r="3175"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168775" cy="2480310"/>
                    </a:xfrm>
                    <a:prstGeom prst="rect">
                      <a:avLst/>
                    </a:prstGeom>
                    <a:noFill/>
                    <a:ln>
                      <a:noFill/>
                    </a:ln>
                  </pic:spPr>
                </pic:pic>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FF0000"/>
          <w:sz w:val="32"/>
          <w:szCs w:val="32"/>
          <w:highlight w:val="none"/>
          <w:lang w:val="en-US" w:eastAsia="zh-CN"/>
        </w:rPr>
        <w:t>2022年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因公出国（境）支出。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2021年无</w:t>
      </w:r>
      <w:r>
        <w:rPr>
          <w:rFonts w:hint="eastAsia" w:ascii="仿宋_GB2312" w:eastAsia="仿宋_GB2312"/>
          <w:color w:val="auto"/>
          <w:sz w:val="32"/>
          <w:szCs w:val="32"/>
          <w:highlight w:val="none"/>
        </w:rPr>
        <w:t>公务用车购置及运行维护费支出。</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lang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0.44</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4.35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公务接待人次减少。</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0.44</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0.44</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三区党校业务交流会接待1次，36人次，2400元、其他县区党校到朝天区调研接待4次，21人次，2000元</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pPr>
        <w:spacing w:line="600" w:lineRule="exact"/>
        <w:ind w:firstLine="640"/>
        <w:outlineLvl w:val="1"/>
        <w:rPr>
          <w:rStyle w:val="30"/>
          <w:rFonts w:ascii="黑体" w:hAnsi="黑体" w:eastAsia="黑体"/>
          <w:color w:val="auto"/>
          <w:highlight w:val="none"/>
        </w:rPr>
      </w:pPr>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bookmarkStart w:id="42" w:name="_Toc15377219"/>
      <w:bookmarkStart w:id="43" w:name="_Toc15396611"/>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0"/>
        <w:outlineLvl w:val="1"/>
        <w:rPr>
          <w:rStyle w:val="30"/>
          <w:rFonts w:ascii="黑体" w:hAnsi="黑体" w:eastAsia="黑体"/>
          <w:b w:val="0"/>
          <w:color w:val="auto"/>
          <w:highlight w:val="none"/>
        </w:rPr>
      </w:pPr>
      <w:r>
        <w:rPr>
          <w:rFonts w:hint="eastAsia" w:ascii="黑体" w:hAnsi="黑体" w:eastAsia="黑体" w:cstheme="majorBidi"/>
          <w:b w:val="0"/>
          <w:bCs/>
          <w:color w:val="auto"/>
          <w:kern w:val="2"/>
          <w:sz w:val="32"/>
          <w:szCs w:val="32"/>
          <w:lang w:val="en-US" w:eastAsia="zh-CN" w:bidi="ar-SA"/>
        </w:rPr>
        <w:t>九、</w:t>
      </w:r>
      <w:r>
        <w:rPr>
          <w:rStyle w:val="30"/>
          <w:rFonts w:hint="eastAsia" w:ascii="黑体" w:hAnsi="黑体" w:eastAsia="黑体"/>
          <w:b w:val="0"/>
          <w:color w:val="auto"/>
          <w:highlight w:val="none"/>
        </w:rPr>
        <w:t>国有资本经营预算支出决算情况说明</w:t>
      </w:r>
      <w:bookmarkEnd w:id="42"/>
      <w:bookmarkEnd w:id="43"/>
    </w:p>
    <w:p>
      <w:pPr>
        <w:numPr>
          <w:ilvl w:val="0"/>
          <w:numId w:val="0"/>
        </w:numPr>
        <w:spacing w:line="600" w:lineRule="exact"/>
        <w:ind w:firstLine="640" w:firstLineChars="0"/>
        <w:outlineLvl w:val="1"/>
        <w:rPr>
          <w:rStyle w:val="30"/>
          <w:rFonts w:hint="eastAsia" w:ascii="黑体" w:hAnsi="黑体" w:eastAsia="黑体"/>
          <w:b w:val="0"/>
          <w:color w:val="auto"/>
          <w:highlight w:val="none"/>
        </w:rPr>
      </w:pPr>
      <w:bookmarkStart w:id="44" w:name="_Toc15396612"/>
      <w:bookmarkStart w:id="45" w:name="_Toc15377221"/>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0"/>
        <w:outlineLvl w:val="1"/>
        <w:rPr>
          <w:rStyle w:val="30"/>
          <w:rFonts w:hint="eastAsia" w:ascii="黑体" w:hAnsi="黑体" w:eastAsia="黑体"/>
          <w:b w:val="0"/>
          <w:color w:val="auto"/>
          <w:highlight w:val="none"/>
        </w:rPr>
      </w:pPr>
      <w:r>
        <w:rPr>
          <w:rFonts w:hint="eastAsia" w:ascii="黑体" w:hAnsi="黑体" w:eastAsia="黑体" w:cstheme="majorBidi"/>
          <w:b w:val="0"/>
          <w:bCs/>
          <w:color w:val="auto"/>
          <w:kern w:val="2"/>
          <w:sz w:val="32"/>
          <w:szCs w:val="32"/>
          <w:lang w:val="en-US" w:eastAsia="zh-CN" w:bidi="ar-SA"/>
        </w:rPr>
        <w:t>十、</w:t>
      </w:r>
      <w:r>
        <w:rPr>
          <w:rStyle w:val="30"/>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bookmarkStart w:id="47"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朝天区委党校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16.14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7.14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79.33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人员增加，费用增加。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bookmarkStart w:id="48"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朝天区委党校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朝天区委党校无公务车辆，无</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教学科研经费、物业管理费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区委党校</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教学科研经费、物业管理费</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区委党校</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教学科研经费</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物业管理费</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1"/>
        </w:numPr>
        <w:spacing w:line="600" w:lineRule="exact"/>
        <w:ind w:firstLine="660" w:firstLineChars="150"/>
        <w:jc w:val="center"/>
        <w:outlineLvl w:val="0"/>
        <w:rPr>
          <w:rStyle w:val="29"/>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bookmarkStart w:id="51"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基本支出</w:t>
      </w:r>
      <w:r>
        <w:rPr>
          <w:rFonts w:hint="eastAsia" w:ascii="仿宋_GB2312" w:eastAsia="仿宋_GB2312"/>
          <w:color w:val="auto"/>
          <w:sz w:val="32"/>
          <w:szCs w:val="32"/>
          <w:highlight w:val="none"/>
        </w:rPr>
        <w:t>。</w:t>
      </w:r>
    </w:p>
    <w:p>
      <w:pPr>
        <w:pStyle w:val="5"/>
        <w:ind w:firstLine="640" w:firstLineChars="200"/>
        <w:rPr>
          <w:rFonts w:hint="eastAsia" w:ascii="仿宋_GB2312" w:eastAsia="仿宋_GB2312"/>
          <w:color w:val="auto"/>
          <w:sz w:val="32"/>
          <w:szCs w:val="32"/>
          <w:highlight w:val="none"/>
        </w:rPr>
      </w:pPr>
      <w:r>
        <w:rPr>
          <w:rFonts w:hint="eastAsia"/>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2</w:t>
      </w:r>
      <w:r>
        <w:rPr>
          <w:rFonts w:hint="eastAsia" w:ascii="仿宋_GB2312" w:eastAsia="仿宋_GB2312"/>
          <w:color w:val="auto"/>
          <w:sz w:val="32"/>
          <w:szCs w:val="32"/>
          <w:highlight w:val="none"/>
        </w:rPr>
        <w:t>（项）：指</w:t>
      </w:r>
      <w:r>
        <w:rPr>
          <w:rFonts w:hint="eastAsia"/>
          <w:color w:val="auto"/>
          <w:sz w:val="32"/>
          <w:szCs w:val="32"/>
          <w:highlight w:val="none"/>
          <w:lang w:eastAsia="zh-CN"/>
        </w:rPr>
        <w:t>项目支出</w:t>
      </w:r>
      <w:r>
        <w:rPr>
          <w:rFonts w:hint="eastAsia" w:ascii="仿宋_GB2312" w:eastAsia="仿宋_GB2312"/>
          <w:color w:val="auto"/>
          <w:sz w:val="32"/>
          <w:szCs w:val="32"/>
          <w:highlight w:val="none"/>
        </w:rPr>
        <w:t>。</w:t>
      </w:r>
    </w:p>
    <w:p>
      <w:pPr>
        <w:pStyle w:val="5"/>
        <w:ind w:firstLine="640" w:firstLineChars="200"/>
        <w:rPr>
          <w:rFonts w:hint="eastAsia" w:ascii="仿宋_GB2312" w:eastAsia="仿宋_GB2312"/>
          <w:color w:val="auto"/>
          <w:sz w:val="32"/>
          <w:szCs w:val="32"/>
          <w:highlight w:val="none"/>
        </w:rPr>
      </w:pPr>
      <w:r>
        <w:rPr>
          <w:rFonts w:hint="eastAsia"/>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3</w:t>
      </w:r>
      <w:r>
        <w:rPr>
          <w:rFonts w:hint="eastAsia" w:ascii="仿宋_GB2312" w:eastAsia="仿宋_GB2312"/>
          <w:color w:val="auto"/>
          <w:sz w:val="32"/>
          <w:szCs w:val="32"/>
          <w:highlight w:val="none"/>
        </w:rPr>
        <w:t>（项）：指</w:t>
      </w:r>
      <w:r>
        <w:rPr>
          <w:rFonts w:hint="eastAsia"/>
          <w:color w:val="auto"/>
          <w:sz w:val="32"/>
          <w:szCs w:val="32"/>
          <w:highlight w:val="none"/>
          <w:lang w:eastAsia="zh-CN"/>
        </w:rPr>
        <w:t>机关服务支出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p>
    <w:p>
      <w:pPr>
        <w:pStyle w:val="5"/>
        <w:ind w:firstLine="640" w:firstLineChars="200"/>
        <w:rPr>
          <w:rFonts w:hint="eastAsia" w:ascii="仿宋_GB2312" w:eastAsia="仿宋_GB2312"/>
          <w:color w:val="auto"/>
          <w:sz w:val="32"/>
          <w:szCs w:val="32"/>
          <w:highlight w:val="none"/>
        </w:rPr>
      </w:pPr>
      <w:r>
        <w:rPr>
          <w:rFonts w:hint="eastAsia"/>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color w:val="auto"/>
          <w:sz w:val="32"/>
          <w:szCs w:val="32"/>
          <w:highlight w:val="none"/>
          <w:lang w:val="en-US" w:eastAsia="zh-CN"/>
        </w:rPr>
        <w:t>99</w:t>
      </w:r>
      <w:r>
        <w:rPr>
          <w:rFonts w:hint="eastAsia" w:ascii="仿宋_GB2312" w:eastAsia="仿宋_GB2312"/>
          <w:color w:val="auto"/>
          <w:sz w:val="32"/>
          <w:szCs w:val="32"/>
          <w:highlight w:val="none"/>
        </w:rPr>
        <w:t>（款）</w:t>
      </w:r>
      <w:r>
        <w:rPr>
          <w:rFonts w:hint="eastAsia"/>
          <w:color w:val="auto"/>
          <w:sz w:val="32"/>
          <w:szCs w:val="32"/>
          <w:highlight w:val="none"/>
          <w:lang w:val="en-US" w:eastAsia="zh-CN"/>
        </w:rPr>
        <w:t>88</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机关事业单位</w:t>
      </w:r>
      <w:r>
        <w:rPr>
          <w:rFonts w:hint="eastAsia"/>
          <w:color w:val="auto"/>
          <w:sz w:val="32"/>
          <w:szCs w:val="32"/>
          <w:highlight w:val="none"/>
          <w:lang w:eastAsia="zh-CN"/>
        </w:rPr>
        <w:t>工伤、失业</w:t>
      </w:r>
      <w:r>
        <w:rPr>
          <w:rFonts w:hint="eastAsia" w:ascii="仿宋_GB2312" w:eastAsia="仿宋_GB2312"/>
          <w:color w:val="auto"/>
          <w:sz w:val="32"/>
          <w:szCs w:val="32"/>
          <w:highlight w:val="none"/>
          <w:lang w:eastAsia="zh-CN"/>
        </w:rPr>
        <w:t>保险缴费支出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参公人员医疗保险缴费支出</w:t>
      </w:r>
      <w:r>
        <w:rPr>
          <w:rFonts w:hint="eastAsia" w:ascii="仿宋_GB2312" w:eastAsia="仿宋_GB2312"/>
          <w:color w:val="auto"/>
          <w:sz w:val="32"/>
          <w:szCs w:val="32"/>
          <w:highlight w:val="none"/>
        </w:rPr>
        <w:t>。</w:t>
      </w:r>
    </w:p>
    <w:p>
      <w:pPr>
        <w:pStyle w:val="5"/>
        <w:ind w:firstLine="640" w:firstLineChars="200"/>
      </w:pPr>
      <w:r>
        <w:rPr>
          <w:rFonts w:hint="eastAsia"/>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2</w:t>
      </w:r>
      <w:r>
        <w:rPr>
          <w:rFonts w:hint="eastAsia" w:ascii="仿宋_GB2312" w:eastAsia="仿宋_GB2312"/>
          <w:color w:val="auto"/>
          <w:sz w:val="32"/>
          <w:szCs w:val="32"/>
          <w:highlight w:val="none"/>
        </w:rPr>
        <w:t>（项）：指</w:t>
      </w:r>
      <w:r>
        <w:rPr>
          <w:rFonts w:hint="eastAsia"/>
          <w:color w:val="auto"/>
          <w:sz w:val="32"/>
          <w:szCs w:val="32"/>
          <w:highlight w:val="none"/>
          <w:lang w:eastAsia="zh-CN"/>
        </w:rPr>
        <w:t>事业</w:t>
      </w:r>
      <w:r>
        <w:rPr>
          <w:rFonts w:hint="eastAsia" w:ascii="仿宋_GB2312" w:eastAsia="仿宋_GB2312"/>
          <w:color w:val="auto"/>
          <w:sz w:val="32"/>
          <w:szCs w:val="32"/>
          <w:highlight w:val="none"/>
          <w:lang w:eastAsia="zh-CN"/>
        </w:rPr>
        <w:t>人员医疗保险缴费支出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住房公积金支出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F79646" w:themeColor="accent6"/>
          <w:sz w:val="32"/>
          <w:szCs w:val="32"/>
          <w:highlight w:val="none"/>
          <w14:textFill>
            <w14:solidFill>
              <w14:schemeClr w14:val="accent6"/>
            </w14:solidFill>
          </w14:textFill>
        </w:rPr>
      </w:pP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eastAsia" w:ascii="黑体" w:hAnsi="黑体" w:eastAsia="黑体"/>
          <w:b w:val="0"/>
          <w:color w:val="auto"/>
          <w:highlight w:val="none"/>
          <w:lang w:eastAsia="zh-CN"/>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年省级部门整体绩效评价报告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shd w:val="clear" w:fill="FFFFFF"/>
          <w:lang w:val="zh-CN" w:eastAsia="zh-CN" w:bidi="ar-SA"/>
        </w:rPr>
        <w:t>（一）</w:t>
      </w: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overflowPunct w:val="0"/>
        <w:adjustRightInd w:val="0"/>
        <w:snapToGrid w:val="0"/>
        <w:spacing w:line="576" w:lineRule="exact"/>
        <w:ind w:firstLine="640" w:firstLineChars="200"/>
        <w:contextualSpacing/>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sz w:val="32"/>
          <w:szCs w:val="32"/>
        </w:rPr>
        <w:t>中共广元市朝天区委党校属财政一级预算单位，无下属二级预算单位，属于参照公务员法管理的事业单位。总编制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名，其中行政编制4名，事业编制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p>
    <w:p>
      <w:pPr>
        <w:numPr>
          <w:ilvl w:val="0"/>
          <w:numId w:val="0"/>
        </w:numPr>
        <w:overflowPunct w:val="0"/>
        <w:spacing w:line="576" w:lineRule="exact"/>
        <w:ind w:firstLine="643"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shd w:val="clear" w:fill="FFFFFF"/>
          <w:lang w:val="zh-CN" w:eastAsia="zh-CN" w:bidi="ar-SA"/>
        </w:rPr>
        <w:t>（二）</w:t>
      </w: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numPr>
          <w:ilvl w:val="0"/>
          <w:numId w:val="0"/>
        </w:num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1.负责全区副科级干部、后备干部、青年干部、村（社区）党组织书记和理论宣传骨干等人员的培训工作，会同组织部门做好参训人员在校学习期间的管理、考核工作。 </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研究宣传马克思列宁主义、毛泽东思想、邓小平理论，三个代表重要思想、科学发展观、习近平新时代中国特色社会主义思想，围绕党的中心任务和区委部署对全区重大现实问题开展理论研究，为教学和社会实践服务，将重要成果提供给区委供决策参考。</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3.受区委委托举办领导干部研讨班，研究区委提出的重大理论和方针政策。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4.完成区委和上级党校交办的其他事项。</w:t>
      </w:r>
    </w:p>
    <w:p>
      <w:pPr>
        <w:overflowPunct w:val="0"/>
        <w:adjustRightInd w:val="0"/>
        <w:snapToGrid w:val="0"/>
        <w:spacing w:line="576" w:lineRule="exact"/>
        <w:ind w:firstLine="640"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实有在职人员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参公</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人。另外有财政定补人员1人，遗属1人</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 w:eastAsia="仿宋_GB2312" w:cs="仿宋"/>
          <w:sz w:val="32"/>
          <w:szCs w:val="32"/>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shd w:val="clear" w:fill="FFFFFF"/>
          <w:lang w:val="zh-CN" w:eastAsia="zh-CN" w:bidi="ar-SA"/>
        </w:rPr>
        <w:t>（三）</w:t>
      </w: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rPr>
        <w:t>完成主体班次11期，1300人培训任务。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rPr>
        <w:t>完成打造市级“两山”理论教研基地1个。</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3、完成师资队伍培训11人次。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4、完成研究生招生工作，通过10人以上。</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5、完成教学新专题课题打造6个。</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6、召开理论研讨会2次、赛课2次。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7、完成省级、市级、区级课题6个。</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rPr>
        <w:t>高质量完成县级党校办学质量评估目标任务，从党委履行主体责任、干部教育培训及科研资政、人才队伍建设、机关党校和校风学风建设、办学保障（基础设施建设）、学员评价等6个大项、30个小项方面逐项抓好落实。</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rPr>
        <w:t>高质量完成县级党校分类改革目标任务。加强组织领导、完善管理体制、优化办学体制、健全经费投入机制、加强基础设施建设、创新人才编制政策、强化师资队伍建设、统筹开发课程和科研成果、顺利完成党校搬迁工作等九个方面工作。</w:t>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rPr>
        <w:t>高质量完成区委区政府安排的其他工作。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sz w:val="32"/>
          <w:szCs w:val="32"/>
          <w:lang w:val="en-US" w:eastAsia="zh-CN"/>
        </w:rPr>
        <w:t>2022年度总计收入307.41万元，比上年度268.68万元增加了38.73万元，增加了14.41%。主要原因为：2022年干部培训费增加，人员编制增加，人员经费增加。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SA"/>
        </w:rPr>
        <w:t>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部门总体支出情况</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仿宋" w:eastAsia="仿宋_GB2312" w:cs="仿宋"/>
          <w:color w:val="FF0000"/>
          <w:sz w:val="32"/>
          <w:szCs w:val="32"/>
        </w:rPr>
      </w:pPr>
      <w:r>
        <w:rPr>
          <w:rFonts w:hint="eastAsia" w:ascii="仿宋_GB2312" w:hAnsi="仿宋" w:eastAsia="仿宋_GB2312"/>
          <w:sz w:val="32"/>
          <w:szCs w:val="32"/>
          <w:lang w:val="en-US" w:eastAsia="zh-CN"/>
        </w:rPr>
        <w:t>2022年度总计支出</w:t>
      </w:r>
      <w:r>
        <w:rPr>
          <w:rFonts w:hint="eastAsia" w:ascii="仿宋" w:hAnsi="仿宋" w:eastAsia="仿宋" w:cs="仿宋"/>
          <w:sz w:val="32"/>
          <w:szCs w:val="32"/>
          <w:lang w:val="en-US" w:eastAsia="zh-CN"/>
        </w:rPr>
        <w:t>307.41</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部门预算收入总数</w:t>
      </w:r>
      <w:r>
        <w:rPr>
          <w:rFonts w:hint="eastAsia" w:ascii="仿宋" w:hAnsi="仿宋" w:eastAsia="仿宋" w:cs="仿宋"/>
          <w:sz w:val="32"/>
          <w:szCs w:val="32"/>
          <w:lang w:val="en-US" w:eastAsia="zh-CN"/>
        </w:rPr>
        <w:t>268.68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14.41</w:t>
      </w:r>
      <w:r>
        <w:rPr>
          <w:rFonts w:hint="eastAsia" w:ascii="仿宋" w:hAnsi="仿宋" w:eastAsia="仿宋" w:cs="仿宋"/>
          <w:sz w:val="32"/>
          <w:szCs w:val="32"/>
        </w:rPr>
        <w:t>%；主要原因是</w:t>
      </w:r>
      <w:r>
        <w:rPr>
          <w:rFonts w:hint="eastAsia" w:ascii="仿宋_GB2312" w:hAnsi="仿宋" w:eastAsia="仿宋_GB2312"/>
          <w:sz w:val="32"/>
          <w:szCs w:val="32"/>
          <w:lang w:val="en-US" w:eastAsia="zh-CN"/>
        </w:rPr>
        <w:t>2022年干部培训费增加，人员编制增加，人员经费增加</w:t>
      </w:r>
      <w:r>
        <w:rPr>
          <w:rFonts w:hint="eastAsia" w:ascii="仿宋" w:hAnsi="仿宋" w:eastAsia="仿宋" w:cs="仿宋"/>
          <w:sz w:val="32"/>
          <w:szCs w:val="32"/>
        </w:rPr>
        <w:t>。</w:t>
      </w:r>
    </w:p>
    <w:p>
      <w:pPr>
        <w:overflowPunct w:val="0"/>
        <w:spacing w:line="576" w:lineRule="exact"/>
        <w:ind w:firstLine="640" w:firstLineChars="200"/>
        <w:rPr>
          <w:rFonts w:hint="eastAsia" w:ascii="仿宋_GB2312" w:hAnsi="仿宋" w:eastAsia="仿宋_GB2312" w:cs="仿宋"/>
          <w:color w:val="auto"/>
          <w:sz w:val="32"/>
          <w:szCs w:val="32"/>
        </w:rPr>
      </w:pPr>
      <w:r>
        <w:rPr>
          <w:rFonts w:hint="eastAsia" w:ascii="仿宋" w:hAnsi="仿宋" w:eastAsia="仿宋" w:cs="仿宋"/>
          <w:color w:val="auto"/>
          <w:sz w:val="32"/>
          <w:szCs w:val="32"/>
          <w:lang w:eastAsia="zh-CN"/>
        </w:rPr>
        <w:t>人员类项目</w:t>
      </w:r>
      <w:r>
        <w:rPr>
          <w:rFonts w:hint="eastAsia" w:ascii="仿宋" w:hAnsi="仿宋" w:eastAsia="仿宋" w:cs="仿宋"/>
          <w:color w:val="auto"/>
          <w:sz w:val="32"/>
          <w:szCs w:val="32"/>
        </w:rPr>
        <w:t>支出预算</w:t>
      </w:r>
      <w:r>
        <w:rPr>
          <w:rFonts w:hint="eastAsia" w:ascii="仿宋" w:hAnsi="仿宋" w:eastAsia="仿宋"/>
          <w:color w:val="auto"/>
          <w:sz w:val="32"/>
          <w:szCs w:val="32"/>
          <w:highlight w:val="none"/>
          <w:lang w:val="en-US" w:eastAsia="zh-CN"/>
        </w:rPr>
        <w:t>168.21</w:t>
      </w:r>
      <w:r>
        <w:rPr>
          <w:rFonts w:hint="eastAsia" w:ascii="仿宋" w:hAnsi="仿宋" w:eastAsia="仿宋" w:cs="仿宋"/>
          <w:color w:val="auto"/>
          <w:sz w:val="32"/>
          <w:szCs w:val="32"/>
        </w:rPr>
        <w:t>万元</w:t>
      </w:r>
      <w:r>
        <w:rPr>
          <w:rFonts w:hint="eastAsia" w:ascii="仿宋_GB2312" w:hAnsi="仿宋" w:eastAsia="仿宋_GB2312" w:cs="仿宋"/>
          <w:color w:val="auto"/>
          <w:sz w:val="32"/>
          <w:szCs w:val="32"/>
        </w:rPr>
        <w:t>，主要包括</w:t>
      </w:r>
      <w:r>
        <w:rPr>
          <w:rFonts w:hint="eastAsia" w:ascii="仿宋_GB2312" w:hAnsi="仿宋_GB2312" w:eastAsia="仿宋_GB2312" w:cs="仿宋_GB2312"/>
          <w:color w:val="auto"/>
          <w:sz w:val="32"/>
          <w:szCs w:val="32"/>
        </w:rPr>
        <w:t>工资、保险、公积金等工资福利支出等</w:t>
      </w:r>
      <w:r>
        <w:rPr>
          <w:rFonts w:hint="eastAsia" w:ascii="仿宋_GB2312" w:hAnsi="仿宋" w:eastAsia="仿宋_GB2312" w:cs="仿宋"/>
          <w:color w:val="auto"/>
          <w:sz w:val="32"/>
          <w:szCs w:val="32"/>
        </w:rPr>
        <w:t>。</w:t>
      </w:r>
    </w:p>
    <w:p>
      <w:pPr>
        <w:overflowPunct w:val="0"/>
        <w:spacing w:line="576" w:lineRule="exact"/>
        <w:ind w:firstLine="640" w:firstLineChars="200"/>
        <w:rPr>
          <w:rFonts w:hint="eastAsia" w:ascii="仿宋_GB2312" w:hAnsi="仿宋" w:eastAsia="仿宋_GB2312" w:cs="仿宋"/>
          <w:color w:val="auto"/>
          <w:sz w:val="32"/>
          <w:szCs w:val="32"/>
        </w:rPr>
      </w:pPr>
      <w:r>
        <w:rPr>
          <w:rFonts w:hint="eastAsia" w:ascii="仿宋" w:hAnsi="仿宋" w:eastAsia="仿宋" w:cs="仿宋"/>
          <w:color w:val="auto"/>
          <w:sz w:val="32"/>
          <w:szCs w:val="32"/>
          <w:lang w:eastAsia="zh-CN"/>
        </w:rPr>
        <w:t>运转类项目</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预算</w:t>
      </w:r>
      <w:r>
        <w:rPr>
          <w:rFonts w:hint="eastAsia" w:ascii="仿宋" w:hAnsi="仿宋" w:eastAsia="仿宋"/>
          <w:color w:val="auto"/>
          <w:sz w:val="32"/>
          <w:szCs w:val="32"/>
          <w:highlight w:val="none"/>
          <w:lang w:val="en-US" w:eastAsia="zh-CN"/>
        </w:rPr>
        <w:t>16.14</w:t>
      </w:r>
      <w:r>
        <w:rPr>
          <w:rFonts w:hint="eastAsia" w:ascii="仿宋" w:hAnsi="仿宋" w:eastAsia="仿宋" w:cs="仿宋"/>
          <w:color w:val="auto"/>
          <w:sz w:val="32"/>
          <w:szCs w:val="32"/>
        </w:rPr>
        <w:t>万元，主要包括</w:t>
      </w:r>
      <w:r>
        <w:rPr>
          <w:rFonts w:hint="eastAsia" w:ascii="仿宋_GB2312" w:hAnsi="仿宋_GB2312" w:eastAsia="仿宋_GB2312" w:cs="仿宋_GB2312"/>
          <w:color w:val="auto"/>
          <w:sz w:val="32"/>
          <w:szCs w:val="32"/>
          <w:lang w:eastAsia="zh-CN"/>
        </w:rPr>
        <w:t>办公费、差旅费、培训费、维护费、水费、电费、商品和服务支出</w:t>
      </w:r>
      <w:r>
        <w:rPr>
          <w:rFonts w:hint="eastAsia" w:ascii="仿宋" w:hAnsi="仿宋" w:eastAsia="仿宋" w:cs="仿宋"/>
          <w:color w:val="auto"/>
          <w:sz w:val="32"/>
          <w:szCs w:val="32"/>
        </w:rPr>
        <w:t>等</w:t>
      </w:r>
      <w:r>
        <w:rPr>
          <w:rFonts w:hint="eastAsia" w:ascii="仿宋_GB2312" w:hAnsi="仿宋" w:eastAsia="仿宋_GB2312" w:cs="仿宋"/>
          <w:color w:val="auto"/>
          <w:sz w:val="32"/>
          <w:szCs w:val="32"/>
        </w:rPr>
        <w:t xml:space="preserve">。 </w:t>
      </w:r>
    </w:p>
    <w:p>
      <w:pPr>
        <w:overflowPunct w:val="0"/>
        <w:spacing w:line="576"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仿宋"/>
          <w:color w:val="auto"/>
          <w:sz w:val="32"/>
          <w:szCs w:val="32"/>
        </w:rPr>
        <w:t>专项预算项目支出预算</w:t>
      </w:r>
      <w:r>
        <w:rPr>
          <w:rFonts w:hint="eastAsia" w:ascii="仿宋_GB2312" w:hAnsi="仿宋" w:eastAsia="仿宋_GB2312" w:cs="仿宋"/>
          <w:color w:val="auto"/>
          <w:sz w:val="32"/>
          <w:szCs w:val="32"/>
          <w:lang w:val="en-US" w:eastAsia="zh-CN"/>
        </w:rPr>
        <w:t>123.06</w:t>
      </w:r>
      <w:r>
        <w:rPr>
          <w:rFonts w:hint="eastAsia" w:ascii="仿宋_GB2312" w:hAnsi="仿宋" w:eastAsia="仿宋_GB2312" w:cs="仿宋"/>
          <w:color w:val="auto"/>
          <w:sz w:val="32"/>
          <w:szCs w:val="32"/>
        </w:rPr>
        <w:t>万元，主要包2022年教学科研经费</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物业管理费。</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SA"/>
        </w:rPr>
        <w:t>3.</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无结转结余情况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sz w:val="32"/>
          <w:szCs w:val="32"/>
          <w:lang w:val="en-US" w:eastAsia="zh-CN"/>
        </w:rPr>
        <w:t>2022年度总计收入307.41万元，比上年度268.68万元增加了38.73万元，增加了14.41%。主要原因为：2022年干部培训费增加，人员编制增加，人员经费增加。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SA"/>
        </w:rPr>
        <w:t>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部门财政拨款支出情况</w:t>
      </w:r>
    </w:p>
    <w:p>
      <w:pPr>
        <w:keepNext w:val="0"/>
        <w:keepLines w:val="0"/>
        <w:pageBreakBefore w:val="0"/>
        <w:widowControl/>
        <w:kinsoku/>
        <w:wordWrap/>
        <w:overflowPunct/>
        <w:topLinePunct w:val="0"/>
        <w:autoSpaceDE w:val="0"/>
        <w:autoSpaceDN/>
        <w:bidi w:val="0"/>
        <w:adjustRightInd w:val="0"/>
        <w:snapToGrid w:val="0"/>
        <w:spacing w:line="500" w:lineRule="exact"/>
        <w:ind w:firstLine="640" w:firstLineChars="200"/>
        <w:contextualSpacing/>
        <w:jc w:val="left"/>
        <w:textAlignment w:val="auto"/>
        <w:rPr>
          <w:rFonts w:hint="eastAsia" w:ascii="仿宋_GB2312" w:hAnsi="仿宋" w:eastAsia="仿宋_GB2312" w:cs="仿宋"/>
          <w:color w:val="FF0000"/>
          <w:sz w:val="32"/>
          <w:szCs w:val="32"/>
        </w:rPr>
      </w:pPr>
      <w:r>
        <w:rPr>
          <w:rFonts w:hint="eastAsia" w:ascii="仿宋_GB2312" w:hAnsi="仿宋" w:eastAsia="仿宋_GB2312"/>
          <w:sz w:val="32"/>
          <w:szCs w:val="32"/>
          <w:lang w:val="en-US" w:eastAsia="zh-CN"/>
        </w:rPr>
        <w:t>2022年度总计支出</w:t>
      </w:r>
      <w:r>
        <w:rPr>
          <w:rFonts w:hint="eastAsia" w:ascii="仿宋" w:hAnsi="仿宋" w:eastAsia="仿宋" w:cs="仿宋"/>
          <w:sz w:val="32"/>
          <w:szCs w:val="32"/>
          <w:lang w:val="en-US" w:eastAsia="zh-CN"/>
        </w:rPr>
        <w:t>307.41</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部门预算收入总数</w:t>
      </w:r>
      <w:r>
        <w:rPr>
          <w:rFonts w:hint="eastAsia" w:ascii="仿宋" w:hAnsi="仿宋" w:eastAsia="仿宋" w:cs="仿宋"/>
          <w:sz w:val="32"/>
          <w:szCs w:val="32"/>
          <w:lang w:val="en-US" w:eastAsia="zh-CN"/>
        </w:rPr>
        <w:t>268.68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14.41</w:t>
      </w:r>
      <w:r>
        <w:rPr>
          <w:rFonts w:hint="eastAsia" w:ascii="仿宋" w:hAnsi="仿宋" w:eastAsia="仿宋" w:cs="仿宋"/>
          <w:sz w:val="32"/>
          <w:szCs w:val="32"/>
        </w:rPr>
        <w:t>%；主要原因是</w:t>
      </w:r>
      <w:r>
        <w:rPr>
          <w:rFonts w:hint="eastAsia" w:ascii="仿宋_GB2312" w:hAnsi="仿宋" w:eastAsia="仿宋_GB2312"/>
          <w:sz w:val="32"/>
          <w:szCs w:val="32"/>
          <w:lang w:val="en-US" w:eastAsia="zh-CN"/>
        </w:rPr>
        <w:t>2022年干部培训费增加，人员编制增加，人员经费增加</w:t>
      </w:r>
      <w:r>
        <w:rPr>
          <w:rFonts w:hint="eastAsia" w:ascii="仿宋" w:hAnsi="仿宋" w:eastAsia="仿宋" w:cs="仿宋"/>
          <w:sz w:val="32"/>
          <w:szCs w:val="32"/>
        </w:rPr>
        <w:t>。</w:t>
      </w:r>
    </w:p>
    <w:p>
      <w:pPr>
        <w:overflowPunct w:val="0"/>
        <w:spacing w:line="576" w:lineRule="exact"/>
        <w:ind w:firstLine="640" w:firstLineChars="200"/>
        <w:rPr>
          <w:rFonts w:hint="eastAsia" w:ascii="仿宋_GB2312" w:hAnsi="仿宋" w:eastAsia="仿宋_GB2312" w:cs="仿宋"/>
          <w:color w:val="auto"/>
          <w:sz w:val="32"/>
          <w:szCs w:val="32"/>
        </w:rPr>
      </w:pPr>
      <w:r>
        <w:rPr>
          <w:rFonts w:hint="eastAsia" w:ascii="仿宋" w:hAnsi="仿宋" w:eastAsia="仿宋" w:cs="仿宋"/>
          <w:color w:val="auto"/>
          <w:sz w:val="32"/>
          <w:szCs w:val="32"/>
          <w:lang w:eastAsia="zh-CN"/>
        </w:rPr>
        <w:t>人员类项目</w:t>
      </w:r>
      <w:r>
        <w:rPr>
          <w:rFonts w:hint="eastAsia" w:ascii="仿宋" w:hAnsi="仿宋" w:eastAsia="仿宋" w:cs="仿宋"/>
          <w:color w:val="auto"/>
          <w:sz w:val="32"/>
          <w:szCs w:val="32"/>
        </w:rPr>
        <w:t>支出预算</w:t>
      </w:r>
      <w:r>
        <w:rPr>
          <w:rFonts w:hint="eastAsia" w:ascii="仿宋" w:hAnsi="仿宋" w:eastAsia="仿宋"/>
          <w:color w:val="auto"/>
          <w:sz w:val="32"/>
          <w:szCs w:val="32"/>
          <w:highlight w:val="none"/>
          <w:lang w:val="en-US" w:eastAsia="zh-CN"/>
        </w:rPr>
        <w:t>168.21</w:t>
      </w:r>
      <w:r>
        <w:rPr>
          <w:rFonts w:hint="eastAsia" w:ascii="仿宋" w:hAnsi="仿宋" w:eastAsia="仿宋" w:cs="仿宋"/>
          <w:color w:val="auto"/>
          <w:sz w:val="32"/>
          <w:szCs w:val="32"/>
        </w:rPr>
        <w:t>万元</w:t>
      </w:r>
      <w:r>
        <w:rPr>
          <w:rFonts w:hint="eastAsia" w:ascii="仿宋_GB2312" w:hAnsi="仿宋" w:eastAsia="仿宋_GB2312" w:cs="仿宋"/>
          <w:color w:val="auto"/>
          <w:sz w:val="32"/>
          <w:szCs w:val="32"/>
        </w:rPr>
        <w:t>，主要包括</w:t>
      </w:r>
      <w:r>
        <w:rPr>
          <w:rFonts w:hint="eastAsia" w:ascii="仿宋_GB2312" w:hAnsi="仿宋_GB2312" w:eastAsia="仿宋_GB2312" w:cs="仿宋_GB2312"/>
          <w:color w:val="auto"/>
          <w:sz w:val="32"/>
          <w:szCs w:val="32"/>
        </w:rPr>
        <w:t>工资、保险、公积金等工资福利支出等</w:t>
      </w:r>
      <w:r>
        <w:rPr>
          <w:rFonts w:hint="eastAsia" w:ascii="仿宋_GB2312" w:hAnsi="仿宋" w:eastAsia="仿宋_GB2312" w:cs="仿宋"/>
          <w:color w:val="auto"/>
          <w:sz w:val="32"/>
          <w:szCs w:val="32"/>
        </w:rPr>
        <w:t>。</w:t>
      </w:r>
    </w:p>
    <w:p>
      <w:pPr>
        <w:overflowPunct w:val="0"/>
        <w:spacing w:line="576" w:lineRule="exact"/>
        <w:ind w:firstLine="640" w:firstLineChars="200"/>
        <w:rPr>
          <w:rFonts w:hint="eastAsia" w:ascii="仿宋_GB2312" w:hAnsi="仿宋" w:eastAsia="仿宋_GB2312" w:cs="仿宋"/>
          <w:color w:val="auto"/>
          <w:sz w:val="32"/>
          <w:szCs w:val="32"/>
        </w:rPr>
      </w:pPr>
      <w:r>
        <w:rPr>
          <w:rFonts w:hint="eastAsia" w:ascii="仿宋" w:hAnsi="仿宋" w:eastAsia="仿宋" w:cs="仿宋"/>
          <w:color w:val="auto"/>
          <w:sz w:val="32"/>
          <w:szCs w:val="32"/>
          <w:lang w:eastAsia="zh-CN"/>
        </w:rPr>
        <w:t>运转类项目</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预算</w:t>
      </w:r>
      <w:r>
        <w:rPr>
          <w:rFonts w:hint="eastAsia" w:ascii="仿宋" w:hAnsi="仿宋" w:eastAsia="仿宋"/>
          <w:color w:val="auto"/>
          <w:sz w:val="32"/>
          <w:szCs w:val="32"/>
          <w:highlight w:val="none"/>
          <w:lang w:val="en-US" w:eastAsia="zh-CN"/>
        </w:rPr>
        <w:t>16.14</w:t>
      </w:r>
      <w:r>
        <w:rPr>
          <w:rFonts w:hint="eastAsia" w:ascii="仿宋" w:hAnsi="仿宋" w:eastAsia="仿宋" w:cs="仿宋"/>
          <w:color w:val="auto"/>
          <w:sz w:val="32"/>
          <w:szCs w:val="32"/>
        </w:rPr>
        <w:t>万元，主要包括</w:t>
      </w:r>
      <w:r>
        <w:rPr>
          <w:rFonts w:hint="eastAsia" w:ascii="仿宋_GB2312" w:hAnsi="仿宋_GB2312" w:eastAsia="仿宋_GB2312" w:cs="仿宋_GB2312"/>
          <w:color w:val="auto"/>
          <w:sz w:val="32"/>
          <w:szCs w:val="32"/>
          <w:lang w:eastAsia="zh-CN"/>
        </w:rPr>
        <w:t>办公费、差旅费、培训费、维护费、水费、电费、商品和服务支出</w:t>
      </w:r>
      <w:r>
        <w:rPr>
          <w:rFonts w:hint="eastAsia" w:ascii="仿宋" w:hAnsi="仿宋" w:eastAsia="仿宋" w:cs="仿宋"/>
          <w:color w:val="auto"/>
          <w:sz w:val="32"/>
          <w:szCs w:val="32"/>
        </w:rPr>
        <w:t>等</w:t>
      </w:r>
      <w:r>
        <w:rPr>
          <w:rFonts w:hint="eastAsia" w:ascii="仿宋_GB2312" w:hAnsi="仿宋" w:eastAsia="仿宋_GB2312" w:cs="仿宋"/>
          <w:color w:val="auto"/>
          <w:sz w:val="32"/>
          <w:szCs w:val="32"/>
        </w:rPr>
        <w:t xml:space="preserve">。 </w:t>
      </w:r>
    </w:p>
    <w:p>
      <w:pPr>
        <w:overflowPunct w:val="0"/>
        <w:spacing w:line="576"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仿宋"/>
          <w:color w:val="auto"/>
          <w:sz w:val="32"/>
          <w:szCs w:val="32"/>
        </w:rPr>
        <w:t>专项预算项目支出预算</w:t>
      </w:r>
      <w:r>
        <w:rPr>
          <w:rFonts w:hint="eastAsia" w:ascii="仿宋_GB2312" w:hAnsi="仿宋" w:eastAsia="仿宋_GB2312" w:cs="仿宋"/>
          <w:color w:val="auto"/>
          <w:sz w:val="32"/>
          <w:szCs w:val="32"/>
          <w:lang w:val="en-US" w:eastAsia="zh-CN"/>
        </w:rPr>
        <w:t>123.06</w:t>
      </w:r>
      <w:r>
        <w:rPr>
          <w:rFonts w:hint="eastAsia" w:ascii="仿宋_GB2312" w:hAnsi="仿宋" w:eastAsia="仿宋_GB2312" w:cs="仿宋"/>
          <w:color w:val="auto"/>
          <w:sz w:val="32"/>
          <w:szCs w:val="32"/>
        </w:rPr>
        <w:t>万元，主要包2022年教学科研经费</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物业管理费。</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SA"/>
        </w:rPr>
        <w:t>3.</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无结转结余情况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严格执行相关政策，保障工资及时、足额发放或社保及时、足额缴纳，预算编制科学合理，减少结余资金。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提高预算编制质量，严格执行预算，保障单位日常运转。3.特定目标类项目绩效分析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特定目标类项目主要涉及2022年教学科研经费和物业管理费，绩效目标设定合理，项目管理规范，资金使用合规，2022年高质量完成了省委、市委党校和区委下达的教学科研目标任务和办学质量评估工作。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overflowPunct w:val="0"/>
        <w:spacing w:line="576" w:lineRule="exact"/>
        <w:ind w:firstLine="640" w:firstLineChars="200"/>
        <w:rPr>
          <w:rFonts w:hint="eastAsia" w:ascii="仿宋_GB2312" w:hAnsi="仿宋_GB2312" w:eastAsia="仿宋_GB2312" w:cs="仿宋_GB2312"/>
          <w:b w:val="0"/>
          <w:bCs w:val="0"/>
          <w:color w:val="8EB4E3" w:themeColor="text2" w:themeTint="66"/>
          <w:kern w:val="0"/>
          <w:sz w:val="32"/>
          <w:szCs w:val="32"/>
          <w:highlight w:val="none"/>
          <w:shd w:val="clear" w:color="auto" w:fill="FFFFFF"/>
          <w:lang w:val="zh-CN" w:eastAsia="zh-CN"/>
          <w14:textFill>
            <w14:solidFill>
              <w14:schemeClr w14:val="tx2">
                <w14:lumMod w14:val="40000"/>
                <w14:lumOff w14:val="60000"/>
              </w14:schemeClr>
            </w14:solidFill>
          </w14:textFill>
        </w:rPr>
      </w:pPr>
      <w:r>
        <w:rPr>
          <w:rFonts w:hint="eastAsia" w:ascii="仿宋_GB2312" w:hAnsi="仿宋_GB2312" w:eastAsia="仿宋_GB2312" w:cs="仿宋_GB2312"/>
          <w:sz w:val="32"/>
          <w:szCs w:val="32"/>
        </w:rPr>
        <w:t>根据财政部门要求，全面实施了预算项目绩效目标管理，一是落实组织保障，由单位常务副校长牵头抓，各项目</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室具体抓，财务人员配合抓的体系。二是规范过程管理，编制预算时对申报的项目加强审核、合理保障，所有项目必须有明细的资金测算。在预算执行过程中加强了绩效运行监控，对执行中存在偏差的项目进行了原因分析和及时整改，确保达到年初绩效目标。项目结束后积极进行绩效评价，强化了结果运用。三是加强基础支撑，对所有项目财务支出进行规范，从严执行预算。全年预算管理执行到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color w:val="auto"/>
          <w:sz w:val="32"/>
          <w:szCs w:val="32"/>
        </w:rPr>
        <w:t>根据部门整体支出绩效评价指标，我校202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年度自评得分为98分。</w:t>
      </w:r>
      <w:r>
        <w:rPr>
          <w:rFonts w:hint="eastAsia" w:ascii="仿宋_GB2312" w:hAnsi="仿宋_GB2312" w:eastAsia="仿宋_GB2312" w:cs="仿宋_GB2312"/>
          <w:color w:val="auto"/>
          <w:sz w:val="32"/>
          <w:szCs w:val="32"/>
          <w:lang w:eastAsia="zh-CN"/>
        </w:rPr>
        <w:t>将自评情况进行了上报和内部公开。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8EB4E3" w:themeColor="text2" w:themeTint="66"/>
          <w:kern w:val="0"/>
          <w:sz w:val="32"/>
          <w:szCs w:val="32"/>
          <w:highlight w:val="none"/>
          <w:shd w:val="clear" w:color="auto" w:fill="FFFFFF"/>
          <w:lang w:val="zh-CN"/>
          <w14:textFill>
            <w14:solidFill>
              <w14:schemeClr w14:val="tx2">
                <w14:lumMod w14:val="40000"/>
                <w14:lumOff w14:val="60000"/>
              </w14:schemeClr>
            </w14:solidFill>
          </w14:textFill>
        </w:rPr>
      </w:pPr>
      <w:r>
        <w:rPr>
          <w:rFonts w:hint="eastAsia" w:ascii="楷体_GB2312" w:hAnsi="楷体_GB2312" w:eastAsia="楷体_GB2312" w:cs="楷体_GB2312"/>
          <w:b/>
          <w:bCs/>
          <w:color w:val="auto"/>
          <w:kern w:val="0"/>
          <w:sz w:val="32"/>
          <w:szCs w:val="32"/>
          <w:shd w:val="clear" w:fill="FFFFFF"/>
          <w:lang w:val="zh-CN" w:eastAsia="zh-CN" w:bidi="ar-SA"/>
        </w:rPr>
        <w:t>（四）</w:t>
      </w: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8EB4E3" w:themeColor="text2" w:themeTint="66"/>
          <w:kern w:val="0"/>
          <w:sz w:val="32"/>
          <w:szCs w:val="32"/>
          <w:highlight w:val="none"/>
          <w:shd w:val="clear" w:color="auto" w:fill="FFFFFF"/>
          <w:lang w:val="en-US" w:eastAsia="zh-CN"/>
          <w14:textFill>
            <w14:solidFill>
              <w14:schemeClr w14:val="tx2">
                <w14:lumMod w14:val="40000"/>
                <w14:lumOff w14:val="60000"/>
              </w14:schemeClr>
            </w14:solidFill>
          </w14:textFill>
        </w:rPr>
      </w:pPr>
      <w:r>
        <w:rPr>
          <w:rFonts w:hint="eastAsia" w:ascii="仿宋_GB2312" w:hAnsi="仿宋_GB2312" w:eastAsia="仿宋_GB2312" w:cs="仿宋_GB2312"/>
          <w:sz w:val="32"/>
          <w:szCs w:val="32"/>
        </w:rPr>
        <w:t>严格按照相关规定使用专项经费，严格按照批准的项目和用途专款专用、单独核算。专项项目除一次性项目外均制定了期限规划，符合区委、区政府重大决策部署和宏观政策规划，均编制绩效目标，并细化到三级指标，年中及时调整资金运用方向，确保资金使用最大化，年底圆满完成全年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14"/>
        <w:overflowPunct w:val="0"/>
        <w:spacing w:before="0" w:beforeAutospacing="0" w:after="0" w:afterAutospacing="0" w:line="576" w:lineRule="exact"/>
        <w:ind w:firstLine="633" w:firstLineChars="198"/>
        <w:jc w:val="both"/>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color w:val="000000"/>
          <w:sz w:val="32"/>
          <w:szCs w:val="32"/>
        </w:rPr>
        <w:t>据考核评分细则，从整体上看，</w:t>
      </w:r>
      <w:r>
        <w:rPr>
          <w:rFonts w:hint="eastAsia" w:ascii="仿宋_GB2312" w:hAnsi="仿宋_GB2312" w:cs="仿宋_GB2312"/>
          <w:color w:val="000000"/>
          <w:sz w:val="32"/>
          <w:szCs w:val="32"/>
        </w:rPr>
        <w:t>202</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年我单位资金运行维护决策正确，资金管理规范，项目管理到位，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shd w:val="clear" w:fill="FFFFFF"/>
          <w:lang w:val="zh-CN" w:eastAsia="zh-CN" w:bidi="ar-SA"/>
        </w:rPr>
        <w:t>（二）</w:t>
      </w: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numPr>
          <w:ilvl w:val="0"/>
          <w:numId w:val="3"/>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预算编制工作有待细化。预算编制不够明确和细化，预算编制的合理性需要提高，预算执行力度还要进一步加强。</w:t>
      </w:r>
    </w:p>
    <w:p>
      <w:pPr>
        <w:numPr>
          <w:ilvl w:val="0"/>
          <w:numId w:val="0"/>
        </w:numPr>
        <w:overflowPunct w:val="0"/>
        <w:spacing w:line="576" w:lineRule="exact"/>
        <w:ind w:firstLine="640"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公用经费控制有一定难度，基本为刚性支出。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针对上述存在的问题及对外整体支出管理工作的需要，拟实施的改进措施如下：</w:t>
      </w:r>
    </w:p>
    <w:p>
      <w:pPr>
        <w:numPr>
          <w:ilvl w:val="0"/>
          <w:numId w:val="4"/>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4"/>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numPr>
          <w:ilvl w:val="0"/>
          <w:numId w:val="4"/>
        </w:numPr>
        <w:overflowPunct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overflowPunct w:val="0"/>
        <w:spacing w:line="576" w:lineRule="exact"/>
        <w:ind w:firstLine="640"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sz w:val="32"/>
          <w:szCs w:val="32"/>
        </w:rPr>
        <w:t>4、加强对项目实施主体、财务管理人员的培养，加强业务培训，提升管理能力和水平，以便于更好的开展绩效工作。</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hAnsi="宋体" w:cs="宋体"/>
          <w:color w:val="auto"/>
          <w:kern w:val="0"/>
          <w:sz w:val="32"/>
          <w:szCs w:val="32"/>
          <w:highlight w:val="none"/>
          <w:shd w:val="clear" w:color="auto" w:fill="FFFFFF"/>
          <w:lang w:val="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hAnsi="宋体" w:cs="宋体"/>
          <w:color w:val="auto"/>
          <w:kern w:val="0"/>
          <w:sz w:val="32"/>
          <w:szCs w:val="32"/>
          <w:highlight w:val="none"/>
          <w:shd w:val="clear" w:color="auto" w:fill="FFFFFF"/>
          <w:lang w:val="zh-CN"/>
        </w:rPr>
        <w:br w:type="page"/>
      </w:r>
    </w:p>
    <w:tbl>
      <w:tblPr>
        <w:tblW w:w="10091" w:type="dxa"/>
        <w:tblInd w:w="-1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3"/>
        <w:gridCol w:w="1909"/>
        <w:gridCol w:w="1472"/>
        <w:gridCol w:w="1206"/>
        <w:gridCol w:w="396"/>
        <w:gridCol w:w="756"/>
        <w:gridCol w:w="396"/>
        <w:gridCol w:w="846"/>
        <w:gridCol w:w="576"/>
        <w:gridCol w:w="57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该项目为人员类项目，主要保障部门1名定补聘用人员工资及保险缴纳。2022年，该预算项目资金按月支付，及时足额发放，预算执行率100%，年末无资金结余情况。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7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3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该项目为人员类项目，主要保障部门内在职人员中有独生子女情况的两名同志，为其发放独子费。2022年，该预算项目资金按月支付，及时足额发放，预算执行率100%，年末无资金结余情况。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7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3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该项目为人员类项目，主要保障单位1人的遗属生活补助发放。2022年，该预算项目资金按月支付，及时足额发放，预算执行率100%，年末无资金结余情况。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7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3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7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3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该项目为人员类项目，主要保障部门4名公务员2022年度车补。2022年，该预算项目资金按季度支付，及时足额发放，预算执行率100%，年末无资金结余情况。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5.73</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7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3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9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29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15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该项目为人员类项目，主要保障部门4名引进人才2022年的安家费和工作补助，该预算项目资金按季度支付，及时足额发放，预算执行率100%，年末无资金结余情况。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11.84</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06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0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10337" w:type="dxa"/>
        <w:tblInd w:w="-1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9"/>
        <w:gridCol w:w="1405"/>
        <w:gridCol w:w="1227"/>
        <w:gridCol w:w="1950"/>
        <w:gridCol w:w="715"/>
        <w:gridCol w:w="756"/>
        <w:gridCol w:w="396"/>
        <w:gridCol w:w="846"/>
        <w:gridCol w:w="576"/>
        <w:gridCol w:w="576"/>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3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3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该项目为人员类项目，主要保障部门4名公务员2022年度工资，包括基本工资、津贴补贴等。2022年，该预算项目资金按月支付，及时足额发放，预算执行率100%，年末无资金结余情况。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43.95</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3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该项目为人员类项目，主要保障部门6名事业人员2022年度工资，包括基本工资、津贴补贴、绩效工资等。2022年，该预算项目资金按月支付，及时足额发放，预算执行率100%，年末无资金结余情况。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42.11</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4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1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3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4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2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该项目为人员类项目，主要保障部门4名公务员2022年度养老保险缴费等。2022年，该预算项目资金按月支付，及时足额缴纳，预算执行率100%，年末无资金结余情况。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6.99</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0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62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10364" w:type="dxa"/>
        <w:tblInd w:w="-1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5"/>
        <w:gridCol w:w="1378"/>
        <w:gridCol w:w="2208"/>
        <w:gridCol w:w="1206"/>
        <w:gridCol w:w="396"/>
        <w:gridCol w:w="756"/>
        <w:gridCol w:w="396"/>
        <w:gridCol w:w="846"/>
        <w:gridCol w:w="576"/>
        <w:gridCol w:w="576"/>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036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该项目为人员类项目，主要保障部门6名事业人员2022年度医疗保险缴费等。2022年，该预算项目资金按月支付，及时足额缴纳，预算执行率100%，年末无资金结余情况。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3.33</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3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3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78"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2208"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6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该项目为人员类项目，主要保障部门4名公务员2022年度住房公积金缴费等。2022年，该预算项目资金按月支付，及时足额缴纳，预算执行率100%，年末无资金结余情况。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3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3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378"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08"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18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6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4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6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1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14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该项目为人员类项目，主要保障部门6名事业人员2022年度住房公积金缴费等。2022年，该预算项目资金按月支付，及时足额缴纳，预算执行率100%，年末无资金结余情况。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4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03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5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3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33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10588"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5"/>
        <w:gridCol w:w="1009"/>
        <w:gridCol w:w="1690"/>
        <w:gridCol w:w="2171"/>
        <w:gridCol w:w="474"/>
        <w:gridCol w:w="580"/>
        <w:gridCol w:w="474"/>
        <w:gridCol w:w="897"/>
        <w:gridCol w:w="505"/>
        <w:gridCol w:w="788"/>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0588"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93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38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97"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38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38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93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该项目为人员类项目，主要保障部门6名事业人员目标绩效奖。2022年，该预算项目资金按月支付，及时足额发放，预算执行率100%，年末无资金结余情况。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3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52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按时发放率</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结余率（计算方法为：结余数/预算数）</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943"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943"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943"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59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9927"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1132"/>
        <w:gridCol w:w="1159"/>
        <w:gridCol w:w="2045"/>
        <w:gridCol w:w="936"/>
        <w:gridCol w:w="486"/>
        <w:gridCol w:w="396"/>
        <w:gridCol w:w="846"/>
        <w:gridCol w:w="576"/>
        <w:gridCol w:w="57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927"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项目名称</w:t>
            </w:r>
          </w:p>
        </w:tc>
        <w:tc>
          <w:tcPr>
            <w:tcW w:w="802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51081222T000005599557-办公费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02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0" w:type="auto"/>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1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02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00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02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保障单位日常运转，提高预算编制质量，严格执行预算</w:t>
            </w:r>
          </w:p>
        </w:tc>
        <w:tc>
          <w:tcPr>
            <w:tcW w:w="300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02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76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3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388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995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8"/>
        <w:gridCol w:w="1218"/>
        <w:gridCol w:w="1255"/>
        <w:gridCol w:w="1241"/>
        <w:gridCol w:w="709"/>
        <w:gridCol w:w="695"/>
        <w:gridCol w:w="755"/>
        <w:gridCol w:w="893"/>
        <w:gridCol w:w="465"/>
        <w:gridCol w:w="57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95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01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51081222T000005671317-参公人员十三个月工资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6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93"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47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2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6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36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336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01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该项目为人员类项目，主要保障部门4名参公人员十三个月工资。2022年，该预算项目资金按月支付，及时足额发放，预算执行率100%，年末无资金结余情况。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4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4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4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4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8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4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1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813"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995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8"/>
        <w:gridCol w:w="1000"/>
        <w:gridCol w:w="764"/>
        <w:gridCol w:w="2372"/>
        <w:gridCol w:w="464"/>
        <w:gridCol w:w="804"/>
        <w:gridCol w:w="737"/>
        <w:gridCol w:w="861"/>
        <w:gridCol w:w="543"/>
        <w:gridCol w:w="682"/>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95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23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51081222T000005936356-2022年物业管理费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1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861"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23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1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0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1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完成2022年学校后勤、安全、卫生等日常管理工作。</w:t>
            </w:r>
          </w:p>
        </w:tc>
        <w:tc>
          <w:tcPr>
            <w:tcW w:w="30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23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该项目为特定目标类项目，主要是在我校校园物业管理费用支出。2022年，该预算项目资金有序支付，预算执行率100%，年末无资金结余情况。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00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7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安全大检查</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学员食堂管理人员</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卫生大评比</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配备保洁</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学员宿舍楼管理人员</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配备保安</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安全、卫生检查合格率</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2022年年底</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2022</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宿舍楼易耗品购买费</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15600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学员住宿楼管理人员工资</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学员食堂管理人员工资</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保安工资</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48000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保洁工资</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43200</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元/年</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提供就业岗位</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学员满意度</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7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23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1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463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9546"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4"/>
        <w:gridCol w:w="1009"/>
        <w:gridCol w:w="682"/>
        <w:gridCol w:w="2850"/>
        <w:gridCol w:w="477"/>
        <w:gridCol w:w="914"/>
        <w:gridCol w:w="532"/>
        <w:gridCol w:w="615"/>
        <w:gridCol w:w="478"/>
        <w:gridCol w:w="478"/>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54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51081222T000005936729-2022年教学科研经费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4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615"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85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4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4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4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完成省委、市委党校和区委下达的教学科研目标任务和办学质量评估工作。</w:t>
            </w:r>
          </w:p>
        </w:tc>
        <w:tc>
          <w:tcPr>
            <w:tcW w:w="24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该项目为特定目标类项目，主要用于我校2022年教学、科研费用支出。2022年，该预算项目资金有序支付，预算执行率100%，年末无资金结余情况。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8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923"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教学新专题打造</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完成省级、市级、区级课题</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完成打造市级“两山“理论教研基地</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师资队伍培训</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研究生招生考试通过人数</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召开理论研讨会、赛课</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完成主体班培训人数</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1369</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完成主体班次</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期</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高质量完成教学科研任务，合格率</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2022年年底</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2022</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教学新专题课题打造</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省级、市级、区级课题</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市级”两山“理论教研基地</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”五好“创新工程工作</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研究生招生工作</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师资队伍培训</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主体班次培训</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全面完成干部培训任务，政治建设不断加强、理论水平不断提高、工作能力不断提升，合格率</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学员满意度</w:t>
            </w:r>
          </w:p>
        </w:tc>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693"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3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391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9546"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4"/>
        <w:gridCol w:w="1009"/>
        <w:gridCol w:w="1350"/>
        <w:gridCol w:w="2305"/>
        <w:gridCol w:w="518"/>
        <w:gridCol w:w="532"/>
        <w:gridCol w:w="559"/>
        <w:gridCol w:w="1009"/>
        <w:gridCol w:w="532"/>
        <w:gridCol w:w="518"/>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954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1009"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6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6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26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5.17</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9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9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375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54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中国共产党广元市朝天区委员会党校部门</w:t>
            </w:r>
          </w:p>
        </w:tc>
        <w:tc>
          <w:tcPr>
            <w:tcW w:w="1009"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6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中国共产党广元市朝天区委员会党校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6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2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26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923"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9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项目实施达到了预期的经济效益、社会效益，绩效目标完全实现，为我校在下一年工作推进和预算安排上提供了对比数据。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932"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9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项目负责人：邓甫昌</w:t>
            </w:r>
          </w:p>
        </w:tc>
        <w:tc>
          <w:tcPr>
            <w:tcW w:w="375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财务负责人：庞滔</w:t>
            </w:r>
          </w:p>
        </w:tc>
      </w:tr>
    </w:tbl>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2023年省级专项资金预算项目绩效自评报告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（2022年教学科研经费）</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bookmarkStart w:id="67" w:name="_GoBack"/>
      <w:bookmarkEnd w:id="67"/>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overflowPunct w:val="0"/>
        <w:spacing w:line="576"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根据《四川省委组织部 中共四川省委党校 四川行政学院关于印发市县级党校办学质量评估办法（试行）的通知（川组训</w:t>
      </w:r>
      <w:r>
        <w:rPr>
          <w:rFonts w:hint="eastAsia" w:ascii="仿宋_GB2312" w:hAnsi="仿宋_GB2312" w:eastAsia="仿宋_GB2312" w:cs="仿宋_GB2312"/>
          <w:sz w:val="32"/>
          <w:szCs w:val="32"/>
        </w:rPr>
        <w:t>〔</w:t>
      </w:r>
      <w:r>
        <w:rPr>
          <w:rFonts w:hint="eastAsia" w:ascii="仿宋_GB2312" w:hAnsi="仿宋" w:eastAsia="仿宋_GB2312"/>
          <w:sz w:val="32"/>
          <w:szCs w:val="32"/>
        </w:rPr>
        <w:t>2020</w:t>
      </w:r>
      <w:r>
        <w:rPr>
          <w:rFonts w:hint="eastAsia" w:ascii="仿宋_GB2312" w:hAnsi="仿宋_GB2312" w:eastAsia="仿宋_GB2312" w:cs="仿宋_GB2312"/>
          <w:sz w:val="32"/>
          <w:szCs w:val="32"/>
        </w:rPr>
        <w:t>〕29号</w:t>
      </w:r>
      <w:r>
        <w:rPr>
          <w:rFonts w:hint="eastAsia" w:ascii="仿宋_GB2312" w:hAnsi="仿宋" w:eastAsia="仿宋_GB2312"/>
          <w:sz w:val="32"/>
          <w:szCs w:val="32"/>
        </w:rPr>
        <w:t>）》文件的要求，需要将</w:t>
      </w:r>
      <w:r>
        <w:rPr>
          <w:rFonts w:hint="eastAsia" w:ascii="仿宋_GB2312" w:hAnsi="仿宋" w:eastAsia="仿宋_GB2312"/>
          <w:sz w:val="32"/>
          <w:szCs w:val="32"/>
          <w:lang w:eastAsia="zh-CN"/>
        </w:rPr>
        <w:t>党校经费</w:t>
      </w:r>
      <w:r>
        <w:rPr>
          <w:rFonts w:hint="eastAsia" w:ascii="仿宋_GB2312" w:hAnsi="仿宋" w:eastAsia="仿宋_GB2312"/>
          <w:sz w:val="32"/>
          <w:szCs w:val="32"/>
        </w:rPr>
        <w:t>由财政经费足额保障。202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年实施了</w:t>
      </w:r>
      <w:r>
        <w:rPr>
          <w:rFonts w:hint="eastAsia" w:ascii="仿宋_GB2312" w:hAnsi="仿宋_GB2312" w:eastAsia="仿宋_GB2312" w:cs="仿宋_GB2312"/>
          <w:sz w:val="32"/>
          <w:szCs w:val="32"/>
        </w:rPr>
        <w:t>主体班12期，参训学员2043人次</w:t>
      </w:r>
      <w:r>
        <w:rPr>
          <w:rFonts w:hint="eastAsia" w:ascii="仿宋_GB2312" w:hAnsi="仿宋" w:eastAsia="仿宋_GB2312"/>
          <w:sz w:val="32"/>
          <w:szCs w:val="32"/>
        </w:rPr>
        <w:t>培训任务</w:t>
      </w:r>
      <w:r>
        <w:rPr>
          <w:rFonts w:hint="eastAsia" w:ascii="仿宋_GB2312" w:hAnsi="仿宋" w:eastAsia="仿宋_GB2312"/>
          <w:sz w:val="32"/>
          <w:szCs w:val="32"/>
          <w:lang w:val="en-US" w:eastAsia="zh-CN"/>
        </w:rPr>
        <w:t>,完成了8个教学新专题的打造，结项了6个省级、市级、区级课题，完成了14人次的师资培训，开发了曾家山“1+5+1”现场教学课程，明月峡现场教学课程，顺利接受市委党校验收，举办理论研讨会2次。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overflowPunct w:val="0"/>
        <w:spacing w:line="576"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仿宋_GB2312" w:eastAsia="仿宋_GB2312" w:cs="仿宋_GB2312"/>
          <w:bCs/>
          <w:color w:val="auto"/>
          <w:sz w:val="32"/>
          <w:szCs w:val="32"/>
        </w:rPr>
        <w:t>通过培训，增强朝天干部的党性修养、提高政治觉悟、政治能力和执政本领</w:t>
      </w:r>
      <w:r>
        <w:rPr>
          <w:rFonts w:hint="eastAsia" w:ascii="仿宋_GB2312" w:hAnsi="仿宋_GB2312" w:eastAsia="仿宋_GB2312" w:cs="仿宋_GB2312"/>
          <w:bCs/>
          <w:color w:val="auto"/>
          <w:sz w:val="32"/>
          <w:szCs w:val="32"/>
          <w:lang w:eastAsia="zh-CN"/>
        </w:rPr>
        <w:t>，提高党校教师的授课水平和授课能力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推进新型智库建设，对区委、区政府重大决策部署、社会热点难点问题进行深入研究，提出有价值的对策建议。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单位成立了绩效自评领导小组，领导小组办公室设在</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，负责牵头开展各项目绩效自评工作。自评小组依据专项资金绩效考评指标体系，对项目开展综合评分，全面考量项目实施程序的规范性、财务管理的合规性，以及项目执行率和目标绩效完成情况。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教学科研经费项目</w:t>
      </w:r>
      <w:r>
        <w:rPr>
          <w:rFonts w:hint="eastAsia" w:ascii="仿宋_GB2312" w:hAnsi="仿宋_GB2312" w:eastAsia="仿宋_GB2312" w:cs="仿宋_GB2312"/>
          <w:sz w:val="32"/>
          <w:szCs w:val="32"/>
        </w:rPr>
        <w:t>下达资金预算为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万元，项目实际到位资金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万元，均是区级财政资金，资金到位率100%</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2022年教学科研经费</w:t>
      </w:r>
      <w:r>
        <w:rPr>
          <w:rFonts w:hint="eastAsia" w:ascii="仿宋_GB2312" w:hAnsi="仿宋_GB2312" w:eastAsia="仿宋_GB2312" w:cs="仿宋_GB2312"/>
          <w:sz w:val="32"/>
          <w:szCs w:val="32"/>
        </w:rPr>
        <w:t>项目属年初部门预算项目，预算为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万元。项目实际到位资金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万元，均是区级财政资金，资金到位率100%。</w:t>
      </w:r>
      <w:r>
        <w:rPr>
          <w:rFonts w:hint="eastAsia" w:ascii="仿宋_GB2312" w:hAnsi="仿宋_GB2312" w:eastAsia="仿宋_GB2312" w:cs="仿宋_GB2312"/>
          <w:color w:val="auto"/>
          <w:sz w:val="32"/>
          <w:szCs w:val="32"/>
        </w:rPr>
        <w:t>该项目已实际支出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万元，主要是用于支付</w:t>
      </w:r>
      <w:r>
        <w:rPr>
          <w:rFonts w:hint="eastAsia" w:ascii="仿宋_GB2312" w:hAnsi="仿宋_GB2312" w:eastAsia="仿宋_GB2312" w:cs="仿宋_GB2312"/>
          <w:color w:val="auto"/>
          <w:sz w:val="32"/>
          <w:szCs w:val="32"/>
          <w:lang w:eastAsia="zh-CN"/>
        </w:rPr>
        <w:t>干部教育培训费、科研补助经费、现场教学线路打造、教学新专题、师资培训等费用</w:t>
      </w:r>
      <w:r>
        <w:rPr>
          <w:rFonts w:hint="eastAsia" w:ascii="仿宋_GB2312" w:hAnsi="仿宋_GB2312" w:eastAsia="仿宋_GB2312" w:cs="仿宋_GB2312"/>
          <w:color w:val="auto"/>
          <w:sz w:val="32"/>
          <w:szCs w:val="32"/>
        </w:rPr>
        <w:t>，支付依据合规合法，资金支付与预算相符，资金使用效率较高。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4F81BD" w:themeColor="accent1"/>
          <w:sz w:val="32"/>
          <w:szCs w:val="32"/>
          <w:highlight w:val="none"/>
          <w:u w:val="none"/>
          <w:lang w:val="zh-CN"/>
          <w14:textFill>
            <w14:solidFill>
              <w14:schemeClr w14:val="accent1"/>
            </w14:solidFill>
          </w14:textFill>
        </w:rPr>
      </w:pPr>
      <w:r>
        <w:rPr>
          <w:rFonts w:hint="eastAsia" w:ascii="楷体_GB2312" w:hAnsi="宋体" w:eastAsia="楷体_GB2312"/>
          <w:b/>
          <w:color w:val="auto"/>
          <w:sz w:val="32"/>
          <w:szCs w:val="32"/>
          <w:highlight w:val="none"/>
          <w:u w:val="none"/>
          <w:lang w:val="zh-CN"/>
        </w:rPr>
        <w:t>（三）项目财务管理情况。</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单位财务管理制度健全，并严格执行相关财务管理制度。账务处理及时，会计核算规范。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color w:val="4F81BD" w:themeColor="accent1"/>
          <w:sz w:val="32"/>
          <w:szCs w:val="32"/>
          <w:highlight w:val="none"/>
          <w:u w:val="none"/>
          <w:lang w:val="zh-CN"/>
          <w14:textFill>
            <w14:solidFill>
              <w14:schemeClr w14:val="accent1"/>
            </w14:solidFill>
          </w14:textFill>
        </w:rPr>
      </w:pPr>
      <w:r>
        <w:rPr>
          <w:rFonts w:hint="eastAsia" w:ascii="楷体_GB2312" w:hAnsi="宋体" w:eastAsia="楷体_GB2312"/>
          <w:b/>
          <w:color w:val="auto"/>
          <w:sz w:val="32"/>
          <w:szCs w:val="32"/>
          <w:highlight w:val="none"/>
          <w:u w:val="none"/>
          <w:lang w:val="zh-CN"/>
        </w:rPr>
        <w:t>（一）项目组织架构及实施流程。</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教</w:t>
      </w:r>
      <w:r>
        <w:rPr>
          <w:rFonts w:hint="eastAsia" w:ascii="仿宋_GB2312" w:hAnsi="仿宋_GB2312" w:eastAsia="仿宋_GB2312" w:cs="仿宋_GB2312"/>
          <w:i w:val="0"/>
          <w:iCs w:val="0"/>
          <w:caps w:val="0"/>
          <w:color w:val="333333"/>
          <w:spacing w:val="0"/>
          <w:sz w:val="32"/>
          <w:szCs w:val="32"/>
          <w:shd w:val="clear" w:fill="FFFFFF"/>
          <w:lang w:eastAsia="zh-CN"/>
        </w:rPr>
        <w:t>务处</w:t>
      </w:r>
      <w:r>
        <w:rPr>
          <w:rFonts w:hint="eastAsia" w:ascii="仿宋_GB2312" w:hAnsi="仿宋_GB2312" w:eastAsia="仿宋_GB2312" w:cs="仿宋_GB2312"/>
          <w:i w:val="0"/>
          <w:iCs w:val="0"/>
          <w:caps w:val="0"/>
          <w:color w:val="333333"/>
          <w:spacing w:val="0"/>
          <w:sz w:val="32"/>
          <w:szCs w:val="32"/>
          <w:shd w:val="clear" w:fill="FFFFFF"/>
        </w:rPr>
        <w:t>负责该项工作的具体实施，均是按需按时正常支付相关运行费用。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lang w:val="zh-CN"/>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color w:val="auto"/>
          <w:sz w:val="32"/>
          <w:szCs w:val="32"/>
        </w:rPr>
        <w:t>实行科学动态管理，以厉行节约、实事求是为原则，合理安排</w:t>
      </w:r>
      <w:r>
        <w:rPr>
          <w:rFonts w:hint="eastAsia" w:ascii="仿宋_GB2312" w:hAnsi="仿宋_GB2312" w:eastAsia="仿宋_GB2312" w:cs="仿宋_GB2312"/>
          <w:color w:val="auto"/>
          <w:sz w:val="32"/>
          <w:szCs w:val="32"/>
          <w:lang w:eastAsia="zh-CN"/>
        </w:rPr>
        <w:t>教学、科研</w:t>
      </w:r>
      <w:r>
        <w:rPr>
          <w:rFonts w:hint="eastAsia" w:ascii="仿宋_GB2312" w:hAnsi="仿宋_GB2312" w:eastAsia="仿宋_GB2312" w:cs="仿宋_GB2312"/>
          <w:color w:val="auto"/>
          <w:sz w:val="32"/>
          <w:szCs w:val="32"/>
        </w:rPr>
        <w:t>活动，并严格执行财务管理制度。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相关经费支出均严格落实审批制，各个环节做到严格审核把关；</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自觉接受财政、</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等部门的监督；</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自觉接受纪检监察部门的监督。</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以年度为周期，结合实际工作进程，稳步推进日常支出管理，已完成绩效目标任务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全年立项省委党校一般课题1个，立项市委党校重点课题1个、一般课题3个，申报市社科联课题1个，承担区委深改课题1个。在公开刊物发表理论文章</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lang w:eastAsia="zh-CN"/>
        </w:rPr>
        <w:t>篇，内部刊物发表理论文章3篇。</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全年呈报资政建议3件，其中1件获得区委主要领导肯定性批示，2件获得区委分管领导肯定性批示，为区委区政府决策提供有力参考。</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制定了“五好”创新工程成果评价指标体系（试行）、实施“五好”创新工程精品成果奖励办法（试行）等规章制度，对2021年度“五好”创新工程成果开展科学客观评审，评出“好课题”4个、“好课程”1门，并按照相应标准予以保障。加强交流合作，</w:t>
      </w:r>
      <w:r>
        <w:rPr>
          <w:rFonts w:hint="eastAsia" w:ascii="仿宋_GB2312" w:eastAsia="仿宋_GB2312"/>
          <w:sz w:val="32"/>
          <w:szCs w:val="32"/>
          <w:lang w:eastAsia="zh-CN"/>
        </w:rPr>
        <w:t>《</w:t>
      </w:r>
      <w:r>
        <w:rPr>
          <w:rFonts w:hint="eastAsia" w:ascii="仿宋_GB2312" w:eastAsia="仿宋_GB2312"/>
          <w:sz w:val="32"/>
          <w:szCs w:val="32"/>
        </w:rPr>
        <w:t>不忘初心，坚持以人民为中心的发展思想</w:t>
      </w:r>
      <w:r>
        <w:rPr>
          <w:rFonts w:hint="eastAsia" w:ascii="仿宋_GB2312" w:eastAsia="仿宋_GB2312"/>
          <w:sz w:val="32"/>
          <w:szCs w:val="32"/>
          <w:lang w:eastAsia="zh-CN"/>
        </w:rPr>
        <w:t>》等</w:t>
      </w:r>
      <w:r>
        <w:rPr>
          <w:rFonts w:hint="eastAsia" w:ascii="仿宋_GB2312" w:eastAsia="仿宋_GB2312"/>
          <w:sz w:val="32"/>
          <w:szCs w:val="32"/>
          <w:lang w:val="en-US" w:eastAsia="zh-CN"/>
        </w:rPr>
        <w:t>2篇文章在广元市社科理论界学习宣传贯彻党的二十大精神主题征文中获得三等奖，</w:t>
      </w:r>
      <w:r>
        <w:rPr>
          <w:rFonts w:hint="eastAsia" w:ascii="仿宋_GB2312" w:hAnsi="仿宋_GB2312" w:eastAsia="仿宋_GB2312" w:cs="仿宋_GB2312"/>
          <w:sz w:val="32"/>
          <w:szCs w:val="32"/>
          <w:lang w:eastAsia="zh-CN"/>
        </w:rPr>
        <w:t>《抗疫精神生成的三重逻辑》在全市党校系统“喜迎二十大阔步迈向全面建设社会主义现代化广元新征程”理论研讨会征文中入选论文集并获得三等奖。选派教师到旺苍县、利州区等县区党校进行交流合作。</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全年承办区本级主体班12期，培训学员5409人次;承接外培班2期，培训学员760人次。</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坚持将习近平新时代中国特色社会主义思想作为教学中心内容和首要任务，党性教育课时占比达34.7%。落实领导干部上讲台规定，及时将党中央和省委、市委、区委的重要会议精神及重大决策部署纳入教学内容，主体班领导干部授课占总课时的42.7%。安排重温入党誓词、课堂才艺展示、分享心得体会等环节，让学员身心受到洗礼。</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lang w:eastAsia="zh-CN"/>
        </w:rPr>
        <w:t>开发曾家山“1+5+1”现场教学课程，明月峡现场教学课程，顺利接受市委党校验收。积极参加市委党校组织赛课活动，在5月举办的全市党校系统现场教学课程竞赛活动中获得三等奖。</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cs="Times New Roman"/>
          <w:b/>
          <w:color w:val="auto"/>
          <w:kern w:val="2"/>
          <w:sz w:val="32"/>
          <w:szCs w:val="32"/>
          <w:lang w:val="zh-CN" w:eastAsia="zh-CN" w:bidi="ar-SA"/>
        </w:rPr>
        <w:t>（三）</w:t>
      </w:r>
      <w:r>
        <w:rPr>
          <w:rFonts w:hint="eastAsia" w:ascii="楷体_GB2312" w:hAnsi="宋体" w:eastAsia="楷体_GB2312"/>
          <w:b/>
          <w:color w:val="auto"/>
          <w:sz w:val="32"/>
          <w:szCs w:val="32"/>
          <w:highlight w:val="none"/>
          <w:u w:val="none"/>
          <w:lang w:val="zh-CN"/>
        </w:rPr>
        <w:t>项目效益情况。</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以厉行节约、合理</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为原则，最大限度提高资金使用效益，</w:t>
      </w:r>
      <w:r>
        <w:rPr>
          <w:rFonts w:hint="eastAsia" w:ascii="仿宋_GB2312" w:hAnsi="仿宋_GB2312" w:eastAsia="仿宋_GB2312" w:cs="仿宋_GB2312"/>
          <w:sz w:val="32"/>
          <w:szCs w:val="32"/>
          <w:lang w:eastAsia="zh-CN"/>
        </w:rPr>
        <w:t>教学科研</w:t>
      </w:r>
      <w:r>
        <w:rPr>
          <w:rFonts w:hint="eastAsia" w:ascii="仿宋_GB2312" w:hAnsi="仿宋_GB2312" w:eastAsia="仿宋_GB2312" w:cs="仿宋_GB2312"/>
          <w:sz w:val="32"/>
          <w:szCs w:val="32"/>
        </w:rPr>
        <w:t>工作顺利推进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有力提升了</w:t>
      </w:r>
      <w:r>
        <w:rPr>
          <w:rFonts w:hint="eastAsia" w:ascii="仿宋_GB2312" w:hAnsi="仿宋_GB2312" w:eastAsia="仿宋_GB2312" w:cs="仿宋_GB2312"/>
          <w:sz w:val="32"/>
          <w:szCs w:val="32"/>
          <w:lang w:eastAsia="zh-CN"/>
        </w:rPr>
        <w:t>党校的教学水平和科研能力，高质量完成了</w:t>
      </w:r>
      <w:r>
        <w:rPr>
          <w:rFonts w:hint="eastAsia" w:ascii="仿宋_GB2312" w:hAnsi="仿宋_GB2312" w:eastAsia="仿宋_GB2312" w:cs="仿宋_GB2312"/>
          <w:sz w:val="32"/>
          <w:szCs w:val="32"/>
          <w:lang w:val="en-US" w:eastAsia="zh-CN"/>
        </w:rPr>
        <w:t>2022年度各项工作任务。</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通过综合评价，一是在项目决策方面，科学、合理的决策为</w:t>
      </w:r>
      <w:r>
        <w:rPr>
          <w:rFonts w:hint="eastAsia" w:ascii="仿宋_GB2312" w:hAnsi="仿宋_GB2312" w:eastAsia="仿宋_GB2312" w:cs="仿宋_GB2312"/>
          <w:sz w:val="32"/>
          <w:szCs w:val="32"/>
          <w:lang w:eastAsia="zh-CN"/>
        </w:rPr>
        <w:t>党校发展</w:t>
      </w:r>
      <w:r>
        <w:rPr>
          <w:rFonts w:hint="eastAsia" w:ascii="仿宋_GB2312" w:hAnsi="仿宋_GB2312" w:eastAsia="仿宋_GB2312" w:cs="仿宋_GB2312"/>
          <w:sz w:val="32"/>
          <w:szCs w:val="32"/>
        </w:rPr>
        <w:t>指明了方向，二是在项目管理方面能够做到自觉接受监督、公开透明，三是在项目绩效方面实现了项目预期目的，保障了各项工作正常开展。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、专职教师业务能力有待提升。学校专职教师都是直接从高校引进的，普遍缺乏实践锻炼，眼界不够宽泛，实践锻炼不多，社会经验少，教育教学活动与经济社会发展的结合度不紧密。</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、科研咨政成效不够突出。</w:t>
      </w:r>
      <w:r>
        <w:rPr>
          <w:rFonts w:hint="eastAsia" w:ascii="仿宋_GB2312" w:hAnsi="仿宋_GB2312" w:eastAsia="仿宋_GB2312" w:cs="仿宋_GB2312"/>
          <w:sz w:val="32"/>
          <w:lang w:eastAsia="zh-CN"/>
        </w:rPr>
        <w:t>今年虽然在省市党校系统课题上取得一定突破，但是立项的重点课题偏少，在公开刊物发表的理论文章数量不够，转化为咨政成果力度不够。</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制度建设有待进一步加强。</w:t>
      </w:r>
      <w:r>
        <w:rPr>
          <w:rFonts w:hint="eastAsia" w:ascii="仿宋_GB2312" w:hAnsi="仿宋_GB2312" w:eastAsia="仿宋_GB2312" w:cs="仿宋_GB2312"/>
          <w:sz w:val="32"/>
          <w:lang w:eastAsia="zh-CN"/>
        </w:rPr>
        <w:t>现在执行的制度是2020年印发的，部分已经不适应市区党校一体办学要求，需要及时进行修订和完善。</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ascii="仿宋_GB2312" w:hAnsi="仿宋_GB2312" w:eastAsia="仿宋_GB2312" w:cs="仿宋_GB2312"/>
          <w:sz w:val="32"/>
          <w:szCs w:val="32"/>
          <w:lang w:eastAsia="zh-CN"/>
        </w:rPr>
      </w:pPr>
      <w:r>
        <w:rPr>
          <w:rFonts w:hint="eastAsia" w:ascii="Times New Roman" w:hAnsi="Times New Roman" w:eastAsia="仿宋_GB2312"/>
          <w:sz w:val="32"/>
          <w:lang w:eastAsia="zh-CN"/>
        </w:rPr>
        <w:t>严格执行《市县级党校主体班班次办学规范（试行）》相关要求，着力在班次规范、课程设计、教学管理上下功夫，全面规范主体班次培训。统筹开展各类专题培训，积极拓展对外特色培训，全面增强干部教育培训实效。</w:t>
      </w:r>
      <w:r>
        <w:rPr>
          <w:rFonts w:hint="eastAsia" w:ascii="仿宋_GB2312" w:hAnsi="仿宋_GB2312" w:eastAsia="仿宋_GB2312" w:cs="仿宋_GB2312"/>
          <w:sz w:val="32"/>
          <w:szCs w:val="32"/>
          <w:lang w:eastAsia="zh-CN"/>
        </w:rPr>
        <w:t>升级打造曾家山和明月峡现场教学基地。</w:t>
      </w:r>
    </w:p>
    <w:p>
      <w:pPr>
        <w:spacing w:line="580" w:lineRule="exact"/>
        <w:rPr>
          <w:rStyle w:val="29"/>
          <w:rFonts w:ascii="黑体" w:hAnsi="黑体" w:eastAsia="黑体"/>
          <w:b w:val="0"/>
          <w:color w:val="auto"/>
          <w:highlight w:val="none"/>
        </w:rPr>
      </w:pPr>
    </w:p>
    <w:p>
      <w:pPr>
        <w:widowControl/>
        <w:jc w:val="left"/>
        <w:rPr>
          <w:rStyle w:val="29"/>
          <w:rFonts w:ascii="黑体" w:hAnsi="黑体" w:eastAsia="黑体"/>
          <w:b w:val="0"/>
          <w:color w:val="auto"/>
          <w:highlight w:val="none"/>
        </w:rPr>
      </w:pPr>
      <w:r>
        <w:rPr>
          <w:rStyle w:val="29"/>
          <w:rFonts w:ascii="黑体" w:hAnsi="黑体" w:eastAsia="黑体"/>
          <w:b w:val="0"/>
          <w:color w:val="auto"/>
          <w:highlight w:val="none"/>
        </w:rPr>
        <w:br w:type="page"/>
      </w:r>
    </w:p>
    <w:p>
      <w:pPr>
        <w:pStyle w:val="5"/>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2023年省级专项资金预算项目绩效自评报告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（2022年物业管理费）</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8EB4E3" w:themeColor="text2" w:themeTint="66"/>
          <w:kern w:val="2"/>
          <w:sz w:val="32"/>
          <w:szCs w:val="32"/>
          <w:highlight w:val="none"/>
          <w14:textFill>
            <w14:solidFill>
              <w14:schemeClr w14:val="tx2">
                <w14:lumMod w14:val="40000"/>
                <w14:lumOff w14:val="60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overflowPunct w:val="0"/>
        <w:spacing w:line="576"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年度区财政下达预算数据用于校园物业管理费</w:t>
      </w:r>
      <w:r>
        <w:rPr>
          <w:rFonts w:hint="eastAsia" w:ascii="仿宋_GB2312" w:hAnsi="仿宋" w:eastAsia="仿宋_GB2312"/>
          <w:color w:val="auto"/>
          <w:sz w:val="32"/>
          <w:szCs w:val="32"/>
          <w:lang w:val="en-US" w:eastAsia="zh-CN"/>
        </w:rPr>
        <w:t>15万</w:t>
      </w:r>
      <w:r>
        <w:rPr>
          <w:rFonts w:hint="eastAsia" w:ascii="仿宋_GB2312" w:hAnsi="仿宋" w:eastAsia="仿宋_GB2312"/>
          <w:color w:val="auto"/>
          <w:sz w:val="32"/>
          <w:szCs w:val="32"/>
        </w:rPr>
        <w:t>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严格按照与物业公司签订合同，监督公司落实到位，确保党校工作正常运转。</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单位成立了绩效自评领导小组，领导小组办公室设在</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，负责牵头开展各项目绩效自评工作。自评小组依据专项资金绩效考评指标体系，对项目开展综合评分，全面考量项目实施程序的规范性、财务管理的合规性，以及项目执行率和目标绩效完成情况。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年物业管理费项目</w:t>
      </w:r>
      <w:r>
        <w:rPr>
          <w:rFonts w:hint="eastAsia" w:ascii="仿宋_GB2312" w:hAnsi="仿宋_GB2312" w:eastAsia="仿宋_GB2312" w:cs="仿宋_GB2312"/>
          <w:color w:val="auto"/>
          <w:sz w:val="32"/>
          <w:szCs w:val="32"/>
        </w:rPr>
        <w:t>下达资金预算为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万元，项目实际到位资金</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万元，均是区级财政资金，资金到位率100%</w:t>
      </w:r>
      <w:r>
        <w:rPr>
          <w:rFonts w:hint="eastAsia" w:ascii="仿宋_GB2312" w:hAnsi="仿宋_GB2312" w:eastAsia="仿宋_GB2312" w:cs="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2022年物业管理费</w:t>
      </w:r>
      <w:r>
        <w:rPr>
          <w:rFonts w:hint="eastAsia" w:ascii="仿宋_GB2312" w:hAnsi="仿宋_GB2312" w:eastAsia="仿宋_GB2312" w:cs="仿宋_GB2312"/>
          <w:color w:val="auto"/>
          <w:sz w:val="32"/>
          <w:szCs w:val="32"/>
        </w:rPr>
        <w:t>项目属年初部门预算项目，预算为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万元。项目实际到位资金</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万元，均是区级财政资金，资金到位率100%。该项目已实际支出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与物业公司签订劳务合同</w:t>
      </w:r>
      <w:r>
        <w:rPr>
          <w:rFonts w:hint="eastAsia" w:ascii="仿宋_GB2312" w:hAnsi="仿宋_GB2312" w:eastAsia="仿宋_GB2312" w:cs="仿宋_GB2312"/>
          <w:color w:val="auto"/>
          <w:sz w:val="32"/>
          <w:szCs w:val="32"/>
        </w:rPr>
        <w:t>，支付依据合规合法，资金支付与预算相符，资金使用效率较高。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ind w:firstLine="640" w:firstLineChars="200"/>
        <w:rPr>
          <w:rFonts w:hint="eastAsia" w:ascii="仿宋_GB2312" w:hAnsi="仿宋_GB2312" w:eastAsia="仿宋_GB2312" w:cs="仿宋_GB2312"/>
          <w:color w:val="8EB4E3" w:themeColor="text2" w:themeTint="66"/>
          <w:sz w:val="32"/>
          <w:szCs w:val="32"/>
          <w:lang w:val="zh-CN"/>
          <w14:textFill>
            <w14:solidFill>
              <w14:schemeClr w14:val="tx2">
                <w14:lumMod w14:val="40000"/>
                <w14:lumOff w14:val="60000"/>
              </w14:schemeClr>
            </w14:solidFill>
          </w14:textFill>
        </w:rPr>
      </w:pPr>
      <w:r>
        <w:rPr>
          <w:rFonts w:hint="eastAsia" w:ascii="仿宋_GB2312" w:hAnsi="仿宋_GB2312" w:eastAsia="仿宋_GB2312" w:cs="仿宋_GB2312"/>
          <w:color w:val="auto"/>
          <w:sz w:val="32"/>
          <w:szCs w:val="32"/>
        </w:rPr>
        <w:t>单位财务管理制度健全，并严格执行相关财务管理制度。账务处理及时，会计核算规范。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办公室</w:t>
      </w:r>
      <w:r>
        <w:rPr>
          <w:rFonts w:hint="eastAsia" w:ascii="仿宋_GB2312" w:hAnsi="仿宋_GB2312" w:eastAsia="仿宋_GB2312" w:cs="仿宋_GB2312"/>
          <w:i w:val="0"/>
          <w:iCs w:val="0"/>
          <w:caps w:val="0"/>
          <w:color w:val="auto"/>
          <w:spacing w:val="0"/>
          <w:sz w:val="32"/>
          <w:szCs w:val="32"/>
          <w:shd w:val="clear" w:fill="FFFFFF"/>
        </w:rPr>
        <w:t>负责该项工作的具体实施，均是按需按时正常支付相关运行费用。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sz w:val="32"/>
          <w:szCs w:val="32"/>
          <w:lang w:val="zh-CN"/>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color w:val="auto"/>
          <w:sz w:val="32"/>
          <w:szCs w:val="32"/>
        </w:rPr>
        <w:t>实行科学动态管理，以厉行节约、实事求是为原则，严格执行财务管理制度。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相关经费支出均严格落实审批制，各个环节做到严格审核把关；</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自觉接受财政、</w:t>
      </w:r>
      <w:r>
        <w:rPr>
          <w:rFonts w:hint="eastAsia" w:ascii="仿宋_GB2312" w:hAnsi="仿宋_GB2312" w:eastAsia="仿宋_GB2312" w:cs="仿宋_GB2312"/>
          <w:color w:val="auto"/>
          <w:sz w:val="32"/>
          <w:szCs w:val="32"/>
          <w:lang w:eastAsia="zh-CN"/>
        </w:rPr>
        <w:t>审计</w:t>
      </w:r>
      <w:r>
        <w:rPr>
          <w:rFonts w:hint="eastAsia" w:ascii="仿宋_GB2312" w:hAnsi="仿宋_GB2312" w:eastAsia="仿宋_GB2312" w:cs="仿宋_GB2312"/>
          <w:color w:val="auto"/>
          <w:sz w:val="32"/>
          <w:szCs w:val="32"/>
        </w:rPr>
        <w:t>等部门的监督；</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自觉接受纪检监察部门的监督。</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eastAsia" w:ascii="仿宋_GB2312" w:hAnsi="仿宋_GB2312" w:eastAsia="仿宋_GB2312" w:cs="仿宋_GB2312"/>
          <w:color w:val="8EB4E3" w:themeColor="text2" w:themeTint="66"/>
          <w:sz w:val="32"/>
          <w:szCs w:val="32"/>
          <w:lang w:eastAsia="zh-CN"/>
          <w14:textFill>
            <w14:solidFill>
              <w14:schemeClr w14:val="tx2">
                <w14:lumMod w14:val="40000"/>
                <w14:lumOff w14:val="60000"/>
              </w14:schemeClr>
            </w14:solidFill>
          </w14:textFill>
        </w:rPr>
      </w:pPr>
      <w:r>
        <w:rPr>
          <w:rFonts w:hint="eastAsia" w:ascii="仿宋_GB2312" w:hAnsi="仿宋_GB2312" w:eastAsia="仿宋_GB2312" w:cs="仿宋_GB2312"/>
          <w:color w:val="auto"/>
          <w:sz w:val="32"/>
          <w:szCs w:val="32"/>
        </w:rPr>
        <w:t>以年度为周期，结合实际工作进程，稳步推进日常支出管理，已完成绩效目标任务</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cs="Times New Roman"/>
          <w:b/>
          <w:color w:val="auto"/>
          <w:kern w:val="2"/>
          <w:sz w:val="32"/>
          <w:szCs w:val="32"/>
          <w:lang w:val="zh-CN" w:eastAsia="zh-CN" w:bidi="ar-SA"/>
        </w:rPr>
        <w:t>（三）</w:t>
      </w:r>
      <w:r>
        <w:rPr>
          <w:rFonts w:hint="eastAsia" w:ascii="楷体_GB2312" w:hAnsi="宋体" w:eastAsia="楷体_GB2312"/>
          <w:b/>
          <w:color w:val="auto"/>
          <w:sz w:val="32"/>
          <w:szCs w:val="32"/>
          <w:highlight w:val="none"/>
          <w:u w:val="none"/>
          <w:lang w:val="zh-CN"/>
        </w:rPr>
        <w:t>项目效益情况。</w:t>
      </w:r>
    </w:p>
    <w:p>
      <w:pPr>
        <w:overflowPunct w:val="0"/>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为党校更好的提高办学环境，提供有力的物质保障；提升党校干部职工的履职能力和创新能力，更好的为学员服务。</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楷体_GB2312" w:hAnsi="宋体" w:eastAsia="楷体_GB2312"/>
          <w:b w:val="0"/>
          <w:bCs/>
          <w:color w:val="auto"/>
          <w:sz w:val="32"/>
          <w:szCs w:val="32"/>
          <w:highlight w:val="none"/>
          <w:u w:val="none"/>
          <w:lang w:val="en-US" w:eastAsia="zh-CN"/>
        </w:rPr>
      </w:pPr>
      <w:r>
        <w:rPr>
          <w:rFonts w:hint="eastAsia" w:ascii="楷体_GB2312" w:hAnsi="宋体" w:eastAsia="楷体_GB2312"/>
          <w:b w:val="0"/>
          <w:bCs/>
          <w:color w:val="auto"/>
          <w:sz w:val="32"/>
          <w:szCs w:val="32"/>
          <w:highlight w:val="none"/>
          <w:u w:val="none"/>
          <w:lang w:val="zh-CN"/>
        </w:rPr>
        <w:t>运行项目支出绩效简易程序评价表的评价指标体系及标准，通过数据采集、实地调研及访谈，最终该项目评分总得分</w:t>
      </w:r>
      <w:r>
        <w:rPr>
          <w:rFonts w:hint="eastAsia" w:ascii="楷体_GB2312" w:hAnsi="宋体" w:eastAsia="楷体_GB2312"/>
          <w:b w:val="0"/>
          <w:bCs/>
          <w:color w:val="auto"/>
          <w:sz w:val="32"/>
          <w:szCs w:val="32"/>
          <w:highlight w:val="none"/>
          <w:u w:val="none"/>
          <w:lang w:val="en-US" w:eastAsia="zh-CN"/>
        </w:rPr>
        <w:t>97分。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bookmarkStart w:id="53" w:name="_Toc15396618"/>
      <w:r>
        <w:rPr>
          <w:rFonts w:hint="eastAsia" w:ascii="楷体_GB2312" w:hAnsi="宋体" w:eastAsia="楷体_GB2312"/>
          <w:b/>
          <w:color w:val="auto"/>
          <w:sz w:val="32"/>
          <w:szCs w:val="32"/>
          <w:highlight w:val="none"/>
          <w:u w:val="none"/>
          <w:lang w:val="zh-CN"/>
        </w:rPr>
        <w:t>（二）存在的问题。</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1、受托物业公司的服务质量有待进一步提高；</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2、委托方对托管公司的监管力度有所松懈。</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1、受托物业公司应进一步加强内部管理，提高服务质量。加强从业人员的管理和培训，制定评分细则，从实际工作内容明细分工、工作要求细致程度、清洁标准严格性。对物业管理进行评分。</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2、委托方应切实加强对物业公司的监管力度。</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3、制定校园各项管理制度，配合物业做好日常工作。</w:t>
      </w: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7"/>
    </w:p>
    <w:p>
      <w:pPr>
        <w:pStyle w:val="3"/>
        <w:rPr>
          <w:rStyle w:val="30"/>
          <w:rFonts w:ascii="仿宋" w:hAnsi="仿宋" w:eastAsia="仿宋"/>
          <w:b w:val="0"/>
          <w:bCs w:val="0"/>
          <w:color w:val="auto"/>
          <w:highlight w:val="none"/>
        </w:rPr>
      </w:pPr>
      <w:bookmarkStart w:id="58"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30"/>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30"/>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30"/>
          <w:rFonts w:hint="eastAsia" w:ascii="仿宋" w:hAnsi="仿宋" w:eastAsia="仿宋"/>
          <w:b w:val="0"/>
          <w:bCs w:val="0"/>
          <w:color w:val="auto"/>
          <w:highlight w:val="none"/>
        </w:rPr>
        <w:t>十二、</w:t>
      </w:r>
      <w:bookmarkEnd w:id="65"/>
      <w:r>
        <w:rPr>
          <w:rStyle w:val="30"/>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30"/>
          <w:rFonts w:hint="eastAsia" w:ascii="仿宋" w:hAnsi="仿宋" w:eastAsia="仿宋"/>
          <w:b w:val="0"/>
          <w:bCs w:val="0"/>
          <w:color w:val="auto"/>
          <w:highlight w:val="none"/>
        </w:rPr>
        <w:t>十三、</w:t>
      </w:r>
      <w:bookmarkEnd w:id="66"/>
      <w:r>
        <w:rPr>
          <w:rStyle w:val="30"/>
          <w:rFonts w:hint="eastAsia" w:ascii="仿宋" w:hAnsi="仿宋" w:eastAsia="仿宋"/>
          <w:b w:val="0"/>
          <w:bCs w:val="0"/>
          <w:color w:val="auto"/>
          <w:highlight w:val="none"/>
          <w:lang w:eastAsia="zh-CN"/>
        </w:rPr>
        <w:t>财政拨款“三公”经费支出决算表</w:t>
      </w:r>
    </w:p>
    <w:sectPr>
      <w:footerReference r:id="rId7" w:type="first"/>
      <w:footerReference r:id="rId6" w:type="default"/>
      <w:pgSz w:w="11906" w:h="16838"/>
      <w:pgMar w:top="1440" w:right="1800" w:bottom="1440" w:left="1800" w:header="851" w:footer="992" w:gutter="0"/>
      <w:pgNumType w:fmt="decimal" w:start="2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V Boli">
    <w:panose1 w:val="02000500030200090000"/>
    <w:charset w:val="00"/>
    <w:family w:val="auto"/>
    <w:pitch w:val="default"/>
    <w:sig w:usb0="00000003" w:usb1="00000000" w:usb2="00000100" w:usb3="00000000" w:csb0="00000001" w:csb1="00000000"/>
  </w:font>
  <w:font w:name="Microsoft Tai Le">
    <w:panose1 w:val="020B0502040204020203"/>
    <w:charset w:val="00"/>
    <w:family w:val="auto"/>
    <w:pitch w:val="default"/>
    <w:sig w:usb0="00000003" w:usb1="00000000" w:usb2="40000000" w:usb3="00000000" w:csb0="00000001" w:csb1="00000000"/>
  </w:font>
  <w:font w:name="Nyala">
    <w:panose1 w:val="02000504070300020003"/>
    <w:charset w:val="00"/>
    <w:family w:val="auto"/>
    <w:pitch w:val="default"/>
    <w:sig w:usb0="A000006F" w:usb1="00000000" w:usb2="00000800" w:usb3="00000000" w:csb0="00000093" w:csb1="00000000"/>
  </w:font>
  <w:font w:name="Poiret One">
    <w:panose1 w:val="02000000000000000000"/>
    <w:charset w:val="00"/>
    <w:family w:val="auto"/>
    <w:pitch w:val="default"/>
    <w:sig w:usb0="A000022F" w:usb1="5000004A" w:usb2="00000000" w:usb3="00000000" w:csb0="00000097" w:csb1="00000000"/>
  </w:font>
  <w:font w:name="Segoe UI">
    <w:panose1 w:val="020B0502040204020203"/>
    <w:charset w:val="00"/>
    <w:family w:val="auto"/>
    <w:pitch w:val="default"/>
    <w:sig w:usb0="E10022FF" w:usb1="C000E47F" w:usb2="00000029" w:usb3="00000000" w:csb0="200001DF" w:csb1="20000000"/>
  </w:font>
  <w:font w:name="Raavi">
    <w:panose1 w:val="020B0502040204020203"/>
    <w:charset w:val="00"/>
    <w:family w:val="auto"/>
    <w:pitch w:val="default"/>
    <w:sig w:usb0="00020003" w:usb1="00000000" w:usb2="00000000" w:usb3="00000000" w:csb0="00000001" w:csb1="00000000"/>
  </w:font>
  <w:font w:name="Roboto Slab">
    <w:panose1 w:val="00000000000000000000"/>
    <w:charset w:val="00"/>
    <w:family w:val="auto"/>
    <w:pitch w:val="default"/>
    <w:sig w:usb0="E00002FF" w:usb1="5000205B" w:usb2="00000020" w:usb3="00000000" w:csb0="2000019F" w:csb1="4F010000"/>
  </w:font>
  <w:font w:name="Plantagenet Cherokee">
    <w:panose1 w:val="02020602070100000000"/>
    <w:charset w:val="00"/>
    <w:family w:val="auto"/>
    <w:pitch w:val="default"/>
    <w:sig w:usb0="00000003" w:usb1="00000000" w:usb2="00001000" w:usb3="00000000" w:csb0="00000001" w:csb1="00000000"/>
  </w:font>
  <w:font w:name="Raleway">
    <w:panose1 w:val="020B0003030101060003"/>
    <w:charset w:val="00"/>
    <w:family w:val="auto"/>
    <w:pitch w:val="default"/>
    <w:sig w:usb0="A00000BF" w:usb1="5000005B" w:usb2="00000000" w:usb3="00000000" w:csb0="00000093" w:csb1="00000000"/>
  </w:font>
  <w:font w:name="Segoe Script">
    <w:panose1 w:val="020B0504020000000003"/>
    <w:charset w:val="00"/>
    <w:family w:val="auto"/>
    <w:pitch w:val="default"/>
    <w:sig w:usb0="0000028F" w:usb1="00000000" w:usb2="00000000" w:usb3="00000000" w:csb0="0000009F" w:csb1="00000000"/>
  </w:font>
  <w:font w:name="Miriam Fixed">
    <w:panose1 w:val="020B0509050101010101"/>
    <w:charset w:val="00"/>
    <w:family w:val="auto"/>
    <w:pitch w:val="default"/>
    <w:sig w:usb0="00000801"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Sakkal Majalla">
    <w:panose1 w:val="02000000000000000000"/>
    <w:charset w:val="00"/>
    <w:family w:val="auto"/>
    <w:pitch w:val="default"/>
    <w:sig w:usb0="A000207F" w:usb1="C000204B" w:usb2="00000008" w:usb3="00000000" w:csb0="200000D3" w:csb1="0000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7245" cy="258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17245" cy="2584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35pt;width:64.35pt;mso-position-horizontal:outside;mso-position-horizontal-relative:margin;z-index:251659264;mso-width-relative:page;mso-height-relative:page;" filled="f" stroked="f" coordsize="21600,21600" o:gfxdata="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ulPxN1QAAAAcBAAAPAAAAAAAAAAEAIAAAACIAAABkcnMvZG93bnJldi54&#10;bWxQSwECFAAUAAAACACHTuJAC1Bnp+ECAAAkBgAADgAAAAAAAAABACAAAAAkAQAAZHJzL2Uyb0Rv&#10;Yy54bWxQSwUGAAAAAAYABgBZAQAAdwYAAAAA&#10;">
              <v:fill on="f" focussize="0,0"/>
              <v:stroke on="f" weight="0.5pt"/>
              <v:imagedata o:title=""/>
              <o:lock v:ext="edit" aspectratio="f"/>
              <v:textbox inset="0mm,0mm,0mm,0mm">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4664075</wp:posOffset>
              </wp:positionH>
              <wp:positionV relativeFrom="paragraph">
                <wp:posOffset>-102870</wp:posOffset>
              </wp:positionV>
              <wp:extent cx="610235" cy="2952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10235" cy="2952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7.25pt;margin-top:-8.1pt;height:23.25pt;width:48.05pt;mso-position-horizontal-relative:margin;z-index:251660288;mso-width-relative:page;mso-height-relative:page;" filled="f" stroked="f" coordsize="21600,21600" o:gfxdata="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2CTt39kAAAAKAQAADwAAAAAAAAABACAAAAAiAAAAZHJzL2Rvd25y&#10;ZXYueG1sUEsBAhQAFAAAAAgAh07iQE3gec3hAgAAJAYAAA4AAAAAAAAAAQAgAAAAKAEAAGRycy9l&#10;Mm9Eb2MueG1sUEsFBgAAAAAGAAYAWQEAAHsGAAAAAA==&#10;">
              <v:fill on="f" focussize="0,0"/>
              <v:stroke on="f" weight="0.5pt"/>
              <v:imagedata o:title=""/>
              <o:lock v:ext="edit" aspectratio="f"/>
              <v:textbox inset="0mm,0mm,0mm,0mm">
                <w:txbxContent>
                  <w:p>
                    <w:pPr>
                      <w:pStyle w:val="1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17245" cy="258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1724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35pt;width:64.35pt;mso-position-horizontal:outside;mso-position-horizontal-relative:margin;z-index:251661312;mso-width-relative:page;mso-height-relative:page;" filled="f" stroked="f" coordsize="21600,21600" o:gfxdata="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tRHRvTAAAABAEAAA8AAAAAAAAAAQAgAAAAIgAAAGRycy9kb3ducmV2Lnht&#10;bFBLAQIUABQAAAAIAIdO4kCtRBWvNwIAAGMEAAAOAAAAAAAAAAEAIAAAACIBAABkcnMvZTJvRG9j&#10;LnhtbFBLBQYAAAAABgAGAFkBAADLBQAAAAA=&#10;">
              <v:fill on="f" focussize="0,0"/>
              <v:stroke on="f" weight="0.5pt"/>
              <v:imagedata o:title=""/>
              <o:lock v:ext="edit" aspectratio="f"/>
              <v:textbox inset="0mm,0mm,0mm,0mm">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posOffset>4664075</wp:posOffset>
              </wp:positionH>
              <wp:positionV relativeFrom="paragraph">
                <wp:posOffset>-102870</wp:posOffset>
              </wp:positionV>
              <wp:extent cx="610235" cy="2952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1023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7.25pt;margin-top:-8.1pt;height:23.25pt;width:48.05pt;mso-position-horizontal-relative:margin;z-index:251662336;mso-width-relative:page;mso-height-relative:page;" filled="f" stroked="f" coordsize="21600,21600" o:gfxdata="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k7d/ZAAAACgEAAA8AAAAAAAAAAQAgAAAAIgAAAGRycy9kb3du&#10;cmV2LnhtbFBLAQIUABQAAAAIAIdO4kD4qokFNwIAAGMEAAAOAAAAAAAAAAEAIAAAACgBAABkcnMv&#10;ZTJvRG9jLnhtbFBLBQYAAAAABgAGAFkBAADRBQAAAAA=&#10;">
              <v:fill on="f" focussize="0,0"/>
              <v:stroke on="f" weight="0.5pt"/>
              <v:imagedata o:title=""/>
              <o:lock v:ext="edit" aspectratio="f"/>
              <v:textbox inset="0mm,0mm,0mm,0mm">
                <w:txbxContent>
                  <w:p>
                    <w:pPr>
                      <w:pStyle w:val="1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F4258741"/>
    <w:multiLevelType w:val="singleLevel"/>
    <w:tmpl w:val="F4258741"/>
    <w:lvl w:ilvl="0" w:tentative="0">
      <w:start w:val="1"/>
      <w:numFmt w:val="decimal"/>
      <w:suff w:val="nothing"/>
      <w:lvlText w:val="%1、"/>
      <w:lvlJc w:val="left"/>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49C222F6"/>
    <w:multiLevelType w:val="singleLevel"/>
    <w:tmpl w:val="49C222F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DE1MzVkODFjYTJjZDY2NmQzNTdkZDZjYzZiN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020912"/>
    <w:rsid w:val="02143E91"/>
    <w:rsid w:val="025A529E"/>
    <w:rsid w:val="03101AF4"/>
    <w:rsid w:val="066E0107"/>
    <w:rsid w:val="070B125C"/>
    <w:rsid w:val="07996F6E"/>
    <w:rsid w:val="082F0F7A"/>
    <w:rsid w:val="093F343F"/>
    <w:rsid w:val="0A2032A3"/>
    <w:rsid w:val="0A2A19F9"/>
    <w:rsid w:val="0A7E4D45"/>
    <w:rsid w:val="0D076022"/>
    <w:rsid w:val="0D7F54ED"/>
    <w:rsid w:val="0F5B2655"/>
    <w:rsid w:val="0F98263C"/>
    <w:rsid w:val="101860EC"/>
    <w:rsid w:val="10C055FF"/>
    <w:rsid w:val="118107EC"/>
    <w:rsid w:val="13D50BC4"/>
    <w:rsid w:val="166D15EC"/>
    <w:rsid w:val="166E2C6E"/>
    <w:rsid w:val="16BB723D"/>
    <w:rsid w:val="19CC487B"/>
    <w:rsid w:val="1BE8440E"/>
    <w:rsid w:val="1C566520"/>
    <w:rsid w:val="1D155CEE"/>
    <w:rsid w:val="1D330FE3"/>
    <w:rsid w:val="1D372DC9"/>
    <w:rsid w:val="1EA5569B"/>
    <w:rsid w:val="1FA12306"/>
    <w:rsid w:val="1FF35744"/>
    <w:rsid w:val="20BF0CCE"/>
    <w:rsid w:val="22785FF6"/>
    <w:rsid w:val="2360745C"/>
    <w:rsid w:val="23860B96"/>
    <w:rsid w:val="240371BF"/>
    <w:rsid w:val="24073BA5"/>
    <w:rsid w:val="290C07F0"/>
    <w:rsid w:val="29FD04D3"/>
    <w:rsid w:val="2A8D5961"/>
    <w:rsid w:val="2AA11A57"/>
    <w:rsid w:val="2AE00186"/>
    <w:rsid w:val="2C8A61B5"/>
    <w:rsid w:val="2D2362B4"/>
    <w:rsid w:val="2DF04E50"/>
    <w:rsid w:val="2F040D46"/>
    <w:rsid w:val="31437E28"/>
    <w:rsid w:val="31841BC4"/>
    <w:rsid w:val="319F7F4E"/>
    <w:rsid w:val="32582CF8"/>
    <w:rsid w:val="3304709D"/>
    <w:rsid w:val="34367069"/>
    <w:rsid w:val="369B7657"/>
    <w:rsid w:val="36AA5135"/>
    <w:rsid w:val="37677539"/>
    <w:rsid w:val="376D39B2"/>
    <w:rsid w:val="37E16F03"/>
    <w:rsid w:val="38895A20"/>
    <w:rsid w:val="38D469F0"/>
    <w:rsid w:val="3D98207C"/>
    <w:rsid w:val="3E78745D"/>
    <w:rsid w:val="3F854A01"/>
    <w:rsid w:val="40E439A9"/>
    <w:rsid w:val="44E268DA"/>
    <w:rsid w:val="458D460F"/>
    <w:rsid w:val="471A1ED2"/>
    <w:rsid w:val="480C5CBF"/>
    <w:rsid w:val="49902920"/>
    <w:rsid w:val="4A627F82"/>
    <w:rsid w:val="4B0E749A"/>
    <w:rsid w:val="4B3D455A"/>
    <w:rsid w:val="4B4F25DA"/>
    <w:rsid w:val="4BE068DB"/>
    <w:rsid w:val="4D577224"/>
    <w:rsid w:val="4DA11160"/>
    <w:rsid w:val="4E6946C4"/>
    <w:rsid w:val="4EAB630A"/>
    <w:rsid w:val="4EC81D2A"/>
    <w:rsid w:val="4ECE2238"/>
    <w:rsid w:val="4F493C9D"/>
    <w:rsid w:val="4F7800DE"/>
    <w:rsid w:val="4FA15887"/>
    <w:rsid w:val="50F55D2B"/>
    <w:rsid w:val="514566E6"/>
    <w:rsid w:val="5160707C"/>
    <w:rsid w:val="52966BAB"/>
    <w:rsid w:val="52B70F1D"/>
    <w:rsid w:val="52C12FE9"/>
    <w:rsid w:val="531355B9"/>
    <w:rsid w:val="537E6D0A"/>
    <w:rsid w:val="539407F9"/>
    <w:rsid w:val="5743595F"/>
    <w:rsid w:val="5AF92295"/>
    <w:rsid w:val="5BCC3C8B"/>
    <w:rsid w:val="5C677510"/>
    <w:rsid w:val="5CD71FC4"/>
    <w:rsid w:val="5DF26C54"/>
    <w:rsid w:val="61C40F61"/>
    <w:rsid w:val="61F01D56"/>
    <w:rsid w:val="63916FFF"/>
    <w:rsid w:val="64620EF3"/>
    <w:rsid w:val="650A42AA"/>
    <w:rsid w:val="66CD2666"/>
    <w:rsid w:val="6C4A05C8"/>
    <w:rsid w:val="6D1E3C1B"/>
    <w:rsid w:val="6D390A55"/>
    <w:rsid w:val="6E7B6E4B"/>
    <w:rsid w:val="6E7E3605"/>
    <w:rsid w:val="6F9E1043"/>
    <w:rsid w:val="6FF5CC65"/>
    <w:rsid w:val="70AE52B6"/>
    <w:rsid w:val="71057929"/>
    <w:rsid w:val="715C0E4B"/>
    <w:rsid w:val="72734D90"/>
    <w:rsid w:val="73AD73D5"/>
    <w:rsid w:val="73B6EB34"/>
    <w:rsid w:val="744731E5"/>
    <w:rsid w:val="7614205F"/>
    <w:rsid w:val="76E3355F"/>
    <w:rsid w:val="77183DD1"/>
    <w:rsid w:val="778769C8"/>
    <w:rsid w:val="79EE5BA4"/>
    <w:rsid w:val="7A894339"/>
    <w:rsid w:val="7ADD54B4"/>
    <w:rsid w:val="7E6259C7"/>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Indent 2"/>
    <w:basedOn w:val="1"/>
    <w:qFormat/>
    <w:uiPriority w:val="0"/>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Body Text First Indent 2"/>
    <w:basedOn w:val="6"/>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10321</Words>
  <Characters>11042</Characters>
  <Lines>61</Lines>
  <Paragraphs>17</Paragraphs>
  <TotalTime>30</TotalTime>
  <ScaleCrop>false</ScaleCrop>
  <LinksUpToDate>false</LinksUpToDate>
  <CharactersWithSpaces>11069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Hélène</cp:lastModifiedBy>
  <cp:lastPrinted>2023-07-31T02:35:00Z</cp:lastPrinted>
  <dcterms:modified xsi:type="dcterms:W3CDTF">2023-10-23T09:46:16Z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F6CD60444D134A3ABA8CC6DE5B176C73_12</vt:lpwstr>
  </property>
</Properties>
</file>