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77193"/>
      <w:bookmarkStart w:id="1" w:name="_Toc15396597"/>
      <w:bookmarkStart w:id="2" w:name="_Toc15396475"/>
      <w:bookmarkStart w:id="3" w:name="_Toc15377425"/>
      <w:bookmarkStart w:id="4" w:name="_Toc15378441"/>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3344"/>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426"/>
      <w:bookmarkStart w:id="8" w:name="_Toc15396476"/>
      <w:bookmarkStart w:id="9" w:name="_Toc15306268"/>
      <w:bookmarkStart w:id="10" w:name="_Toc15396598"/>
      <w:bookmarkStart w:id="11" w:name="_Toc15377194"/>
      <w:bookmarkStart w:id="12" w:name="_Toc15378442"/>
      <w:bookmarkStart w:id="13" w:name="_Toc11232"/>
      <w:r>
        <w:rPr>
          <w:rFonts w:hint="eastAsia" w:ascii="方正小标宋简体" w:hAnsi="方正小标宋简体" w:eastAsia="方正小标宋简体" w:cs="方正小标宋简体"/>
          <w:color w:val="auto"/>
          <w:sz w:val="72"/>
          <w:szCs w:val="72"/>
          <w:highlight w:val="none"/>
          <w:lang w:eastAsia="zh-CN"/>
        </w:rPr>
        <w:t>广元市朝天区人力资源和社会保障局</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9"/>
        <w:rPr>
          <w:rFonts w:ascii="方正小标宋简体" w:hAnsi="宋体" w:eastAsia="方正小标宋简体"/>
          <w:color w:val="auto"/>
          <w:sz w:val="52"/>
          <w:szCs w:val="52"/>
          <w:highlight w:val="none"/>
        </w:rPr>
      </w:pPr>
    </w:p>
    <w:p>
      <w:pPr>
        <w:widowControl/>
        <w:jc w:val="both"/>
        <w:rPr>
          <w:rFonts w:ascii="黑体" w:hAnsi="黑体" w:eastAsia="黑体" w:cstheme="minorBidi"/>
          <w:color w:val="auto"/>
          <w:sz w:val="28"/>
          <w:szCs w:val="28"/>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jc w:val="center"/>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71732"/>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4" w:name="_Toc15396599"/>
          <w:bookmarkStart w:id="15" w:name="_Toc15377196"/>
          <w:bookmarkStart w:id="104" w:name="_GoBack"/>
          <w:bookmarkEnd w:id="104"/>
          <w:r>
            <w:rPr>
              <w:rFonts w:ascii="宋体" w:hAnsi="宋体" w:eastAsia="宋体"/>
              <w:sz w:val="21"/>
            </w:rPr>
            <w:t>目录</w:t>
          </w:r>
        </w:p>
        <w:p>
          <w:pPr>
            <w:pStyle w:val="44"/>
            <w:tabs>
              <w:tab w:val="right" w:leader="dot" w:pos="8360"/>
            </w:tabs>
          </w:pPr>
          <w:r>
            <w:fldChar w:fldCharType="begin"/>
          </w:r>
          <w:r>
            <w:instrText xml:space="preserve">TOC \o "1-3" \h \u </w:instrText>
          </w:r>
          <w:r>
            <w:fldChar w:fldCharType="separate"/>
          </w:r>
          <w:r>
            <w:fldChar w:fldCharType="begin"/>
          </w:r>
          <w:r>
            <w:instrText xml:space="preserve"> HYPERLINK \l _Toc29707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_Toc29707 \h </w:instrText>
          </w:r>
          <w:r>
            <w:fldChar w:fldCharType="separate"/>
          </w:r>
          <w:r>
            <w:t>3</w:t>
          </w:r>
          <w:r>
            <w:fldChar w:fldCharType="end"/>
          </w:r>
          <w:r>
            <w:fldChar w:fldCharType="end"/>
          </w:r>
        </w:p>
        <w:p>
          <w:pPr>
            <w:pStyle w:val="45"/>
            <w:tabs>
              <w:tab w:val="right" w:leader="dot" w:pos="8360"/>
            </w:tabs>
          </w:pPr>
          <w:r>
            <w:fldChar w:fldCharType="begin"/>
          </w:r>
          <w:r>
            <w:instrText xml:space="preserve"> HYPERLINK \l _Toc4261 </w:instrText>
          </w:r>
          <w:r>
            <w:fldChar w:fldCharType="separate"/>
          </w:r>
          <w:r>
            <w:rPr>
              <w:rFonts w:hint="eastAsia" w:ascii="黑体" w:hAnsi="黑体" w:eastAsia="黑体"/>
              <w:highlight w:val="none"/>
              <w:lang w:eastAsia="zh-CN"/>
            </w:rPr>
            <w:t>一、部门职责</w:t>
          </w:r>
          <w:r>
            <w:tab/>
          </w:r>
          <w:r>
            <w:fldChar w:fldCharType="begin"/>
          </w:r>
          <w:r>
            <w:instrText xml:space="preserve"> PAGEREF _Toc4261 \h </w:instrText>
          </w:r>
          <w:r>
            <w:fldChar w:fldCharType="separate"/>
          </w:r>
          <w:r>
            <w:t>3</w:t>
          </w:r>
          <w:r>
            <w:fldChar w:fldCharType="end"/>
          </w:r>
          <w:r>
            <w:fldChar w:fldCharType="end"/>
          </w:r>
        </w:p>
        <w:p>
          <w:pPr>
            <w:pStyle w:val="45"/>
            <w:tabs>
              <w:tab w:val="right" w:leader="dot" w:pos="8360"/>
            </w:tabs>
          </w:pPr>
          <w:r>
            <w:fldChar w:fldCharType="begin"/>
          </w:r>
          <w:r>
            <w:instrText xml:space="preserve"> HYPERLINK \l _Toc29365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_Toc29365 \h </w:instrText>
          </w:r>
          <w:r>
            <w:fldChar w:fldCharType="separate"/>
          </w:r>
          <w:r>
            <w:t>5</w:t>
          </w:r>
          <w:r>
            <w:fldChar w:fldCharType="end"/>
          </w:r>
          <w:r>
            <w:fldChar w:fldCharType="end"/>
          </w:r>
        </w:p>
        <w:p>
          <w:pPr>
            <w:pStyle w:val="44"/>
            <w:tabs>
              <w:tab w:val="right" w:leader="dot" w:pos="8360"/>
            </w:tabs>
          </w:pPr>
          <w:r>
            <w:fldChar w:fldCharType="begin"/>
          </w:r>
          <w:r>
            <w:instrText xml:space="preserve"> HYPERLINK \l _Toc16591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_Toc16591 \h </w:instrText>
          </w:r>
          <w:r>
            <w:fldChar w:fldCharType="separate"/>
          </w:r>
          <w:r>
            <w:t>6</w:t>
          </w:r>
          <w:r>
            <w:fldChar w:fldCharType="end"/>
          </w:r>
          <w:r>
            <w:fldChar w:fldCharType="end"/>
          </w:r>
        </w:p>
        <w:p>
          <w:pPr>
            <w:pStyle w:val="45"/>
            <w:tabs>
              <w:tab w:val="right" w:leader="dot" w:pos="8360"/>
            </w:tabs>
          </w:pPr>
          <w:r>
            <w:fldChar w:fldCharType="begin"/>
          </w:r>
          <w:r>
            <w:instrText xml:space="preserve"> HYPERLINK \l _Toc22556 </w:instrText>
          </w:r>
          <w:r>
            <w:fldChar w:fldCharType="separate"/>
          </w:r>
          <w:r>
            <w:rPr>
              <w:rFonts w:hint="eastAsia" w:ascii="黑体" w:hAnsi="黑体" w:eastAsia="黑体"/>
              <w:szCs w:val="32"/>
              <w:highlight w:val="none"/>
              <w:lang w:eastAsia="zh-CN"/>
            </w:rPr>
            <w:t>一、</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_Toc22556 \h </w:instrText>
          </w:r>
          <w:r>
            <w:fldChar w:fldCharType="separate"/>
          </w:r>
          <w:r>
            <w:t>6</w:t>
          </w:r>
          <w:r>
            <w:fldChar w:fldCharType="end"/>
          </w:r>
          <w:r>
            <w:fldChar w:fldCharType="end"/>
          </w:r>
        </w:p>
        <w:p>
          <w:pPr>
            <w:pStyle w:val="45"/>
            <w:tabs>
              <w:tab w:val="right" w:leader="dot" w:pos="8360"/>
            </w:tabs>
          </w:pPr>
          <w:r>
            <w:fldChar w:fldCharType="begin"/>
          </w:r>
          <w:r>
            <w:instrText xml:space="preserve"> HYPERLINK \l _Toc16307 </w:instrText>
          </w:r>
          <w:r>
            <w:fldChar w:fldCharType="separate"/>
          </w:r>
          <w:r>
            <w:rPr>
              <w:rFonts w:hint="eastAsia" w:ascii="黑体" w:hAnsi="黑体" w:eastAsia="黑体"/>
              <w:szCs w:val="32"/>
              <w:highlight w:val="none"/>
              <w:lang w:eastAsia="zh-CN"/>
            </w:rPr>
            <w:t>二、</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_Toc16307 \h </w:instrText>
          </w:r>
          <w:r>
            <w:fldChar w:fldCharType="separate"/>
          </w:r>
          <w:r>
            <w:t>7</w:t>
          </w:r>
          <w:r>
            <w:fldChar w:fldCharType="end"/>
          </w:r>
          <w:r>
            <w:fldChar w:fldCharType="end"/>
          </w:r>
        </w:p>
        <w:p>
          <w:pPr>
            <w:pStyle w:val="45"/>
            <w:tabs>
              <w:tab w:val="right" w:leader="dot" w:pos="8360"/>
            </w:tabs>
          </w:pPr>
          <w:r>
            <w:fldChar w:fldCharType="begin"/>
          </w:r>
          <w:r>
            <w:instrText xml:space="preserve"> HYPERLINK \l _Toc10090 </w:instrText>
          </w:r>
          <w:r>
            <w:fldChar w:fldCharType="separate"/>
          </w:r>
          <w:r>
            <w:rPr>
              <w:rFonts w:hint="eastAsia" w:ascii="黑体" w:hAnsi="黑体" w:eastAsia="黑体"/>
              <w:szCs w:val="32"/>
              <w:highlight w:val="none"/>
              <w:lang w:eastAsia="zh-CN"/>
            </w:rPr>
            <w:t>三、</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_Toc10090 \h </w:instrText>
          </w:r>
          <w:r>
            <w:fldChar w:fldCharType="separate"/>
          </w:r>
          <w:r>
            <w:t>7</w:t>
          </w:r>
          <w:r>
            <w:fldChar w:fldCharType="end"/>
          </w:r>
          <w:r>
            <w:fldChar w:fldCharType="end"/>
          </w:r>
        </w:p>
        <w:p>
          <w:pPr>
            <w:pStyle w:val="45"/>
            <w:tabs>
              <w:tab w:val="right" w:leader="dot" w:pos="8360"/>
            </w:tabs>
          </w:pPr>
          <w:r>
            <w:fldChar w:fldCharType="begin"/>
          </w:r>
          <w:r>
            <w:instrText xml:space="preserve"> HYPERLINK \l _Toc28104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_Toc28104 \h </w:instrText>
          </w:r>
          <w:r>
            <w:fldChar w:fldCharType="separate"/>
          </w:r>
          <w:r>
            <w:t>7</w:t>
          </w:r>
          <w:r>
            <w:fldChar w:fldCharType="end"/>
          </w:r>
          <w:r>
            <w:fldChar w:fldCharType="end"/>
          </w:r>
        </w:p>
        <w:p>
          <w:pPr>
            <w:pStyle w:val="45"/>
            <w:tabs>
              <w:tab w:val="right" w:leader="dot" w:pos="8360"/>
            </w:tabs>
          </w:pPr>
          <w:r>
            <w:fldChar w:fldCharType="begin"/>
          </w:r>
          <w:r>
            <w:instrText xml:space="preserve"> HYPERLINK \l _Toc27177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_Toc27177 \h </w:instrText>
          </w:r>
          <w:r>
            <w:fldChar w:fldCharType="separate"/>
          </w:r>
          <w:r>
            <w:t>8</w:t>
          </w:r>
          <w:r>
            <w:fldChar w:fldCharType="end"/>
          </w:r>
          <w:r>
            <w:fldChar w:fldCharType="end"/>
          </w:r>
        </w:p>
        <w:p>
          <w:pPr>
            <w:pStyle w:val="46"/>
            <w:tabs>
              <w:tab w:val="right" w:leader="dot" w:pos="8360"/>
            </w:tabs>
          </w:pPr>
          <w:r>
            <w:fldChar w:fldCharType="begin"/>
          </w:r>
          <w:r>
            <w:instrText xml:space="preserve"> HYPERLINK \l _Toc32555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_Toc32555 \h </w:instrText>
          </w:r>
          <w:r>
            <w:fldChar w:fldCharType="separate"/>
          </w:r>
          <w:r>
            <w:t>8</w:t>
          </w:r>
          <w:r>
            <w:fldChar w:fldCharType="end"/>
          </w:r>
          <w:r>
            <w:fldChar w:fldCharType="end"/>
          </w:r>
        </w:p>
        <w:p>
          <w:pPr>
            <w:pStyle w:val="46"/>
            <w:tabs>
              <w:tab w:val="right" w:leader="dot" w:pos="8360"/>
            </w:tabs>
          </w:pPr>
          <w:r>
            <w:fldChar w:fldCharType="begin"/>
          </w:r>
          <w:r>
            <w:instrText xml:space="preserve"> HYPERLINK \l _Toc10083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_Toc10083 \h </w:instrText>
          </w:r>
          <w:r>
            <w:fldChar w:fldCharType="separate"/>
          </w:r>
          <w:r>
            <w:t>9</w:t>
          </w:r>
          <w:r>
            <w:fldChar w:fldCharType="end"/>
          </w:r>
          <w:r>
            <w:fldChar w:fldCharType="end"/>
          </w:r>
        </w:p>
        <w:p>
          <w:pPr>
            <w:pStyle w:val="46"/>
            <w:tabs>
              <w:tab w:val="right" w:leader="dot" w:pos="8360"/>
            </w:tabs>
          </w:pPr>
          <w:r>
            <w:fldChar w:fldCharType="begin"/>
          </w:r>
          <w:r>
            <w:instrText xml:space="preserve"> HYPERLINK \l _Toc28130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_Toc28130 \h </w:instrText>
          </w:r>
          <w:r>
            <w:fldChar w:fldCharType="separate"/>
          </w:r>
          <w:r>
            <w:t>10</w:t>
          </w:r>
          <w:r>
            <w:fldChar w:fldCharType="end"/>
          </w:r>
          <w:r>
            <w:fldChar w:fldCharType="end"/>
          </w:r>
        </w:p>
        <w:p>
          <w:pPr>
            <w:pStyle w:val="45"/>
            <w:tabs>
              <w:tab w:val="right" w:leader="dot" w:pos="8360"/>
            </w:tabs>
          </w:pPr>
          <w:r>
            <w:fldChar w:fldCharType="begin"/>
          </w:r>
          <w:r>
            <w:instrText xml:space="preserve"> HYPERLINK \l _Toc20460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_Toc20460 \h </w:instrText>
          </w:r>
          <w:r>
            <w:fldChar w:fldCharType="separate"/>
          </w:r>
          <w:r>
            <w:t>10</w:t>
          </w:r>
          <w:r>
            <w:fldChar w:fldCharType="end"/>
          </w:r>
          <w:r>
            <w:fldChar w:fldCharType="end"/>
          </w:r>
        </w:p>
        <w:p>
          <w:pPr>
            <w:pStyle w:val="45"/>
            <w:tabs>
              <w:tab w:val="right" w:leader="dot" w:pos="8360"/>
            </w:tabs>
          </w:pPr>
          <w:r>
            <w:fldChar w:fldCharType="begin"/>
          </w:r>
          <w:r>
            <w:instrText xml:space="preserve"> HYPERLINK \l _Toc25642 </w:instrText>
          </w:r>
          <w:r>
            <w:fldChar w:fldCharType="separate"/>
          </w:r>
          <w:r>
            <w:rPr>
              <w:rFonts w:hint="eastAsia" w:ascii="黑体" w:eastAsia="黑体"/>
              <w:szCs w:val="32"/>
              <w:highlight w:val="none"/>
            </w:rPr>
            <w:t>七、</w:t>
          </w:r>
          <w:r>
            <w:rPr>
              <w:rFonts w:hint="eastAsia" w:ascii="黑体" w:hAnsi="黑体" w:eastAsia="黑体"/>
              <w:highlight w:val="none"/>
            </w:rPr>
            <w:t>“三公”经费财政拨款支出决算情况说明</w:t>
          </w:r>
          <w:r>
            <w:tab/>
          </w:r>
          <w:r>
            <w:fldChar w:fldCharType="begin"/>
          </w:r>
          <w:r>
            <w:instrText xml:space="preserve"> PAGEREF _Toc25642 \h </w:instrText>
          </w:r>
          <w:r>
            <w:fldChar w:fldCharType="separate"/>
          </w:r>
          <w:r>
            <w:t>11</w:t>
          </w:r>
          <w:r>
            <w:fldChar w:fldCharType="end"/>
          </w:r>
          <w:r>
            <w:fldChar w:fldCharType="end"/>
          </w:r>
        </w:p>
        <w:p>
          <w:pPr>
            <w:pStyle w:val="46"/>
            <w:tabs>
              <w:tab w:val="right" w:leader="dot" w:pos="8360"/>
            </w:tabs>
          </w:pPr>
          <w:r>
            <w:fldChar w:fldCharType="begin"/>
          </w:r>
          <w:r>
            <w:instrText xml:space="preserve"> HYPERLINK \l _Toc5870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_Toc5870 \h </w:instrText>
          </w:r>
          <w:r>
            <w:fldChar w:fldCharType="separate"/>
          </w:r>
          <w:r>
            <w:t>11</w:t>
          </w:r>
          <w:r>
            <w:fldChar w:fldCharType="end"/>
          </w:r>
          <w:r>
            <w:fldChar w:fldCharType="end"/>
          </w:r>
        </w:p>
        <w:p>
          <w:pPr>
            <w:pStyle w:val="46"/>
            <w:tabs>
              <w:tab w:val="right" w:leader="dot" w:pos="8360"/>
            </w:tabs>
          </w:pPr>
          <w:r>
            <w:fldChar w:fldCharType="begin"/>
          </w:r>
          <w:r>
            <w:instrText xml:space="preserve"> HYPERLINK \l _Toc22942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_Toc22942 \h </w:instrText>
          </w:r>
          <w:r>
            <w:fldChar w:fldCharType="separate"/>
          </w:r>
          <w:r>
            <w:t>11</w:t>
          </w:r>
          <w:r>
            <w:fldChar w:fldCharType="end"/>
          </w:r>
          <w:r>
            <w:fldChar w:fldCharType="end"/>
          </w:r>
        </w:p>
        <w:p>
          <w:pPr>
            <w:pStyle w:val="45"/>
            <w:tabs>
              <w:tab w:val="right" w:leader="dot" w:pos="8360"/>
            </w:tabs>
          </w:pPr>
          <w:r>
            <w:fldChar w:fldCharType="begin"/>
          </w:r>
          <w:r>
            <w:instrText xml:space="preserve"> HYPERLINK \l _Toc17478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_Toc17478 \h </w:instrText>
          </w:r>
          <w:r>
            <w:fldChar w:fldCharType="separate"/>
          </w:r>
          <w:r>
            <w:t>12</w:t>
          </w:r>
          <w:r>
            <w:fldChar w:fldCharType="end"/>
          </w:r>
          <w:r>
            <w:fldChar w:fldCharType="end"/>
          </w:r>
        </w:p>
        <w:p>
          <w:pPr>
            <w:pStyle w:val="45"/>
            <w:tabs>
              <w:tab w:val="right" w:leader="dot" w:pos="8360"/>
            </w:tabs>
          </w:pPr>
          <w:r>
            <w:fldChar w:fldCharType="begin"/>
          </w:r>
          <w:r>
            <w:instrText xml:space="preserve"> HYPERLINK \l _Toc24851 </w:instrText>
          </w:r>
          <w:r>
            <w:fldChar w:fldCharType="separate"/>
          </w:r>
          <w:r>
            <w:rPr>
              <w:rFonts w:hint="eastAsia" w:ascii="黑体" w:hAnsi="黑体" w:eastAsia="黑体"/>
              <w:highlight w:val="none"/>
              <w:lang w:eastAsia="zh-CN"/>
            </w:rPr>
            <w:t>九、</w:t>
          </w:r>
          <w:r>
            <w:rPr>
              <w:rFonts w:hint="eastAsia" w:ascii="黑体" w:hAnsi="黑体" w:eastAsia="黑体"/>
              <w:highlight w:val="none"/>
            </w:rPr>
            <w:t>国有资本经营预算支出决算情况说明</w:t>
          </w:r>
          <w:r>
            <w:tab/>
          </w:r>
          <w:r>
            <w:fldChar w:fldCharType="begin"/>
          </w:r>
          <w:r>
            <w:instrText xml:space="preserve"> PAGEREF _Toc24851 \h </w:instrText>
          </w:r>
          <w:r>
            <w:fldChar w:fldCharType="separate"/>
          </w:r>
          <w:r>
            <w:t>12</w:t>
          </w:r>
          <w:r>
            <w:fldChar w:fldCharType="end"/>
          </w:r>
          <w:r>
            <w:fldChar w:fldCharType="end"/>
          </w:r>
        </w:p>
        <w:p>
          <w:pPr>
            <w:pStyle w:val="45"/>
            <w:tabs>
              <w:tab w:val="right" w:leader="dot" w:pos="8360"/>
            </w:tabs>
          </w:pPr>
          <w:r>
            <w:fldChar w:fldCharType="begin"/>
          </w:r>
          <w:r>
            <w:instrText xml:space="preserve"> HYPERLINK \l _Toc21897 </w:instrText>
          </w:r>
          <w:r>
            <w:fldChar w:fldCharType="separate"/>
          </w:r>
          <w:r>
            <w:rPr>
              <w:rFonts w:hint="eastAsia" w:ascii="黑体" w:hAnsi="黑体" w:eastAsia="黑体"/>
              <w:highlight w:val="none"/>
              <w:lang w:eastAsia="zh-CN"/>
            </w:rPr>
            <w:t>十、</w:t>
          </w:r>
          <w:r>
            <w:rPr>
              <w:rFonts w:hint="eastAsia" w:ascii="黑体" w:hAnsi="黑体" w:eastAsia="黑体"/>
              <w:highlight w:val="none"/>
            </w:rPr>
            <w:t>其他重要事项的情况说明</w:t>
          </w:r>
          <w:r>
            <w:tab/>
          </w:r>
          <w:r>
            <w:fldChar w:fldCharType="begin"/>
          </w:r>
          <w:r>
            <w:instrText xml:space="preserve"> PAGEREF _Toc21897 \h </w:instrText>
          </w:r>
          <w:r>
            <w:fldChar w:fldCharType="separate"/>
          </w:r>
          <w:r>
            <w:t>12</w:t>
          </w:r>
          <w:r>
            <w:fldChar w:fldCharType="end"/>
          </w:r>
          <w:r>
            <w:fldChar w:fldCharType="end"/>
          </w:r>
        </w:p>
        <w:p>
          <w:pPr>
            <w:pStyle w:val="46"/>
            <w:tabs>
              <w:tab w:val="right" w:leader="dot" w:pos="8360"/>
            </w:tabs>
          </w:pPr>
          <w:r>
            <w:fldChar w:fldCharType="begin"/>
          </w:r>
          <w:r>
            <w:instrText xml:space="preserve"> HYPERLINK \l _Toc13315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_Toc13315 \h </w:instrText>
          </w:r>
          <w:r>
            <w:fldChar w:fldCharType="separate"/>
          </w:r>
          <w:r>
            <w:t>12</w:t>
          </w:r>
          <w:r>
            <w:fldChar w:fldCharType="end"/>
          </w:r>
          <w:r>
            <w:fldChar w:fldCharType="end"/>
          </w:r>
        </w:p>
        <w:p>
          <w:pPr>
            <w:pStyle w:val="46"/>
            <w:tabs>
              <w:tab w:val="right" w:leader="dot" w:pos="8360"/>
            </w:tabs>
          </w:pPr>
          <w:r>
            <w:fldChar w:fldCharType="begin"/>
          </w:r>
          <w:r>
            <w:instrText xml:space="preserve"> HYPERLINK \l _Toc20403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_Toc20403 \h </w:instrText>
          </w:r>
          <w:r>
            <w:fldChar w:fldCharType="separate"/>
          </w:r>
          <w:r>
            <w:t>12</w:t>
          </w:r>
          <w:r>
            <w:fldChar w:fldCharType="end"/>
          </w:r>
          <w:r>
            <w:fldChar w:fldCharType="end"/>
          </w:r>
        </w:p>
        <w:p>
          <w:pPr>
            <w:pStyle w:val="46"/>
            <w:tabs>
              <w:tab w:val="right" w:leader="dot" w:pos="8360"/>
            </w:tabs>
          </w:pPr>
          <w:r>
            <w:fldChar w:fldCharType="begin"/>
          </w:r>
          <w:r>
            <w:instrText xml:space="preserve"> HYPERLINK \l _Toc22326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_Toc22326 \h </w:instrText>
          </w:r>
          <w:r>
            <w:fldChar w:fldCharType="separate"/>
          </w:r>
          <w:r>
            <w:t>13</w:t>
          </w:r>
          <w:r>
            <w:fldChar w:fldCharType="end"/>
          </w:r>
          <w:r>
            <w:fldChar w:fldCharType="end"/>
          </w:r>
        </w:p>
        <w:p>
          <w:pPr>
            <w:pStyle w:val="46"/>
            <w:tabs>
              <w:tab w:val="right" w:leader="dot" w:pos="8360"/>
            </w:tabs>
          </w:pPr>
          <w:r>
            <w:fldChar w:fldCharType="begin"/>
          </w:r>
          <w:r>
            <w:instrText xml:space="preserve"> HYPERLINK \l _Toc28968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_Toc28968 \h </w:instrText>
          </w:r>
          <w:r>
            <w:fldChar w:fldCharType="separate"/>
          </w:r>
          <w:r>
            <w:t>13</w:t>
          </w:r>
          <w:r>
            <w:fldChar w:fldCharType="end"/>
          </w:r>
          <w:r>
            <w:fldChar w:fldCharType="end"/>
          </w:r>
        </w:p>
        <w:p>
          <w:pPr>
            <w:pStyle w:val="44"/>
            <w:tabs>
              <w:tab w:val="right" w:leader="dot" w:pos="8360"/>
            </w:tabs>
          </w:pPr>
          <w:r>
            <w:fldChar w:fldCharType="begin"/>
          </w:r>
          <w:r>
            <w:instrText xml:space="preserve"> HYPERLINK \l _Toc4437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_Toc4437 \h </w:instrText>
          </w:r>
          <w:r>
            <w:fldChar w:fldCharType="separate"/>
          </w:r>
          <w:r>
            <w:t>15</w:t>
          </w:r>
          <w:r>
            <w:fldChar w:fldCharType="end"/>
          </w:r>
          <w:r>
            <w:fldChar w:fldCharType="end"/>
          </w:r>
        </w:p>
        <w:p>
          <w:pPr>
            <w:pStyle w:val="44"/>
            <w:tabs>
              <w:tab w:val="right" w:leader="dot" w:pos="8360"/>
            </w:tabs>
          </w:pPr>
          <w:r>
            <w:fldChar w:fldCharType="begin"/>
          </w:r>
          <w:r>
            <w:instrText xml:space="preserve"> HYPERLINK \l _Toc10352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_Toc10352 \h </w:instrText>
          </w:r>
          <w:r>
            <w:fldChar w:fldCharType="separate"/>
          </w:r>
          <w:r>
            <w:t>16</w:t>
          </w:r>
          <w:r>
            <w:fldChar w:fldCharType="end"/>
          </w:r>
          <w:r>
            <w:fldChar w:fldCharType="end"/>
          </w:r>
        </w:p>
        <w:p>
          <w:pPr>
            <w:pStyle w:val="44"/>
            <w:tabs>
              <w:tab w:val="right" w:leader="dot" w:pos="8360"/>
            </w:tabs>
          </w:pPr>
          <w:r>
            <w:fldChar w:fldCharType="begin"/>
          </w:r>
          <w:r>
            <w:instrText xml:space="preserve"> HYPERLINK \l _Toc4376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_Toc4376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_Toc26639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_Toc26639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_Toc28452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_Toc28452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_Toc30435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_Toc30435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_Toc1504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_Toc1504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_Toc11954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_Toc11954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_Toc6541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_Toc6541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_Toc13557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_Toc13557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_Toc27394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_Toc27394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_Toc7038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_Toc7038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_Toc4046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_Toc4046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_Toc26751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_Toc26751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_Toc10425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_Toc10425 \h </w:instrText>
          </w:r>
          <w:r>
            <w:fldChar w:fldCharType="separate"/>
          </w:r>
          <w:r>
            <w:t>116</w:t>
          </w:r>
          <w:r>
            <w:fldChar w:fldCharType="end"/>
          </w:r>
          <w:r>
            <w:fldChar w:fldCharType="end"/>
          </w:r>
        </w:p>
        <w:p>
          <w:pPr>
            <w:pStyle w:val="45"/>
            <w:tabs>
              <w:tab w:val="right" w:leader="dot" w:pos="8360"/>
            </w:tabs>
          </w:pPr>
          <w:r>
            <w:fldChar w:fldCharType="begin"/>
          </w:r>
          <w:r>
            <w:instrText xml:space="preserve"> HYPERLINK \l _Toc1942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_Toc1942 \h </w:instrText>
          </w:r>
          <w:r>
            <w:fldChar w:fldCharType="separate"/>
          </w:r>
          <w:r>
            <w:t>116</w:t>
          </w:r>
          <w:r>
            <w:fldChar w:fldCharType="end"/>
          </w:r>
          <w:r>
            <w:fldChar w:fldCharType="end"/>
          </w:r>
        </w:p>
        <w:p>
          <w:r>
            <w:fldChar w:fldCharType="end"/>
          </w:r>
        </w:p>
      </w:sdtContent>
    </w:sdt>
    <w:p>
      <w:pPr>
        <w:pStyle w:val="3"/>
        <w:jc w:val="center"/>
        <w:rPr>
          <w:rStyle w:val="29"/>
          <w:rFonts w:ascii="黑体" w:hAnsi="黑体" w:eastAsia="黑体"/>
          <w:b/>
          <w:bCs w:val="0"/>
          <w:color w:val="auto"/>
          <w:highlight w:val="none"/>
        </w:rPr>
      </w:pPr>
      <w:bookmarkStart w:id="16" w:name="_Toc29707"/>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4"/>
      <w:bookmarkEnd w:id="15"/>
      <w:bookmarkEnd w:id="16"/>
    </w:p>
    <w:p>
      <w:pPr>
        <w:pStyle w:val="4"/>
        <w:numPr>
          <w:ilvl w:val="0"/>
          <w:numId w:val="0"/>
        </w:numPr>
        <w:ind w:firstLine="960" w:firstLineChars="300"/>
        <w:rPr>
          <w:rFonts w:hint="eastAsia" w:ascii="仿宋_GB2312" w:hAnsi="仿宋_GB2312" w:eastAsia="仿宋_GB2312" w:cs="仿宋_GB2312"/>
          <w:kern w:val="2"/>
          <w:sz w:val="32"/>
          <w:szCs w:val="32"/>
        </w:rPr>
      </w:pPr>
      <w:bookmarkStart w:id="17" w:name="_Toc4261"/>
      <w:r>
        <w:rPr>
          <w:rFonts w:hint="eastAsia" w:ascii="黑体" w:hAnsi="黑体" w:eastAsia="黑体"/>
          <w:b w:val="0"/>
          <w:color w:val="auto"/>
          <w:highlight w:val="none"/>
          <w:lang w:eastAsia="zh-CN"/>
        </w:rPr>
        <w:t>一、部门职责</w:t>
      </w:r>
      <w:bookmarkEnd w:id="17"/>
    </w:p>
    <w:p>
      <w:pPr>
        <w:pStyle w:val="14"/>
        <w:spacing w:before="0" w:beforeAutospacing="0" w:after="0" w:afterAutospacing="0" w:line="6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一）贯彻执行国家、省、市人力资源和社会保障工作的相关法律、法规、规章和政策，拟订全区人力资源和社会保障事业发展规划、政策，并组织实施和监督检查。</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（二）拟订全区人力资源市场发展规划和人力资源流动政策并组织实施，建立统一规范的人力资源市场，促进人力资源合理流动、有效配置。</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促进就业工作。拟订统筹城乡的就业发展规划和政策，完善公共就业服务体系，拟订并组织落实创业、就业援助制度，完善职业资格制度，统筹建立面向城乡劳动者的职业培训制度，牵头落实高校毕业生就业政策，会同有关部门贯彻实施高技能人才、农村实用人才培养和激励政策。</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（四）统筹建立覆盖城乡居民的社会保障体系。贯彻执行</w:t>
      </w:r>
      <w:r>
        <w:rPr>
          <w:rFonts w:hint="eastAsia" w:ascii="仿宋_GB2312" w:hAnsi="仿宋_GB2312" w:eastAsia="仿宋_GB2312" w:cs="仿宋_GB2312"/>
          <w:color w:val="000000"/>
          <w:sz w:val="32"/>
          <w:szCs w:val="32"/>
        </w:rPr>
        <w:t>全区城乡居民社会保险及其补充</w:t>
      </w:r>
      <w:r>
        <w:rPr>
          <w:rFonts w:hint="eastAsia" w:ascii="仿宋_GB2312" w:hAnsi="仿宋_GB2312" w:eastAsia="仿宋_GB2312" w:cs="仿宋_GB2312"/>
          <w:sz w:val="32"/>
          <w:szCs w:val="32"/>
        </w:rPr>
        <w:t>保险政策和标准，贯彻落实全国统一的社会保险关系转续办法，贯彻落实机关企事业单位基本养老保险政策并逐步提高基金统筹层次。会同有关部门拟订全区社会保险及其补充保险基金管理和监督办法，编制全区社会保险基金预决算草案。</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（五）负责就业、失业、社会保险基金预测预警和信息引导，拟订应对预案，实施预防、调节和控制，保持就业形势稳定和社会保险基金总体收支平衡。</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（六）贯彻落实机关、事业单位工资收入分配政策和企业职工工资收入分配调控政策，建立机关企事业单位人员工资正常增长和支付保障机制，贯彻落实机关企事业单位人员福利和有关离退休政策。</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会同有关部门指导事业单位人事制度改革，拟定事业单位人员和机关工勤人员管理办法，参与人才管理，落实专业技术人员管理和继续教育政策，牵头推进深化职称制度改革工作，负责高层次专业技术人才选拔和培养工作。</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）综合管理政府奖励表彰工作，实施国家荣誉制度、政府奖励制度，组织实施以区政府名义奖励表彰的活动，审核区级各部门（单位）的全区性评选表彰工作方案和表彰对象。</w:t>
      </w:r>
    </w:p>
    <w:p>
      <w:pPr>
        <w:spacing w:line="640" w:lineRule="exact"/>
        <w:ind w:firstLine="640" w:firstLineChars="200"/>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pacing w:val="17"/>
          <w:sz w:val="32"/>
          <w:szCs w:val="32"/>
        </w:rPr>
        <w:t>承办提请区人大常委会和区政府决定的人事任免事项。</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（十）贯彻执行劳务开发及农民工相关政策，协调解决重点难点问题，维护农民工合法权益。</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统筹拟定并组织实施劳动、人事争议调解仲裁制度和劳动关系政策，完善劳动关系协调机制，拟定消除非法使用童工政策和女工、未成年工的特殊劳动保护政策，组织实施劳动监察，协调劳动者维权工作，依法查处重大案件。</w:t>
      </w:r>
    </w:p>
    <w:p>
      <w:pPr>
        <w:pStyle w:val="14"/>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）承担区政府公布的有关行政审批事项。</w:t>
      </w:r>
    </w:p>
    <w:p>
      <w:pPr>
        <w:pStyle w:val="14"/>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十三</w:t>
      </w:r>
      <w:r>
        <w:rPr>
          <w:rFonts w:hint="eastAsia" w:ascii="仿宋_GB2312" w:hAnsi="仿宋_GB2312" w:eastAsia="仿宋_GB2312" w:cs="仿宋_GB2312"/>
          <w:color w:val="000000"/>
          <w:sz w:val="32"/>
          <w:szCs w:val="32"/>
        </w:rPr>
        <w:t>）承办区政府交办的其他事项。</w:t>
      </w:r>
    </w:p>
    <w:p>
      <w:pPr>
        <w:pStyle w:val="4"/>
        <w:ind w:firstLine="640" w:firstLineChars="200"/>
        <w:rPr>
          <w:rStyle w:val="30"/>
          <w:rFonts w:hint="eastAsia" w:ascii="黑体" w:hAnsi="黑体" w:eastAsia="黑体"/>
          <w:b w:val="0"/>
          <w:bCs w:val="0"/>
          <w:color w:val="auto"/>
          <w:highlight w:val="none"/>
        </w:rPr>
      </w:pPr>
      <w:bookmarkStart w:id="18" w:name="_Toc15396601"/>
      <w:bookmarkStart w:id="19" w:name="_Toc15377200"/>
      <w:bookmarkStart w:id="20" w:name="_Toc29365"/>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8"/>
      <w:bookmarkEnd w:id="19"/>
      <w:bookmarkEnd w:id="20"/>
    </w:p>
    <w:p>
      <w:pPr>
        <w:pStyle w:val="4"/>
        <w:ind w:firstLine="640" w:firstLineChars="200"/>
        <w:rPr>
          <w:rFonts w:hint="eastAsia" w:ascii="仿宋_GB2312" w:hAnsi="仿宋" w:eastAsia="仿宋_GB2312"/>
          <w:b w:val="0"/>
          <w:bCs w:val="0"/>
          <w:sz w:val="32"/>
          <w:szCs w:val="32"/>
        </w:rPr>
      </w:pPr>
      <w:bookmarkStart w:id="21" w:name="_Toc8032"/>
      <w:r>
        <w:rPr>
          <w:rFonts w:hint="eastAsia" w:ascii="仿宋_GB2312" w:hAnsi="仿宋" w:eastAsia="仿宋_GB2312"/>
          <w:b w:val="0"/>
          <w:bCs w:val="0"/>
          <w:sz w:val="32"/>
          <w:szCs w:val="32"/>
          <w:highlight w:val="none"/>
        </w:rPr>
        <w:t>区人力资源和社会保障机关内设行政股室1</w:t>
      </w:r>
      <w:r>
        <w:rPr>
          <w:rFonts w:hint="eastAsia" w:ascii="仿宋_GB2312" w:hAnsi="仿宋" w:eastAsia="仿宋_GB2312"/>
          <w:b w:val="0"/>
          <w:bCs w:val="0"/>
          <w:sz w:val="32"/>
          <w:szCs w:val="32"/>
          <w:highlight w:val="none"/>
          <w:lang w:val="en-US" w:eastAsia="zh-CN"/>
        </w:rPr>
        <w:t>0</w:t>
      </w:r>
      <w:r>
        <w:rPr>
          <w:rFonts w:hint="eastAsia" w:ascii="仿宋_GB2312" w:hAnsi="仿宋" w:eastAsia="仿宋_GB2312"/>
          <w:b w:val="0"/>
          <w:bCs w:val="0"/>
          <w:sz w:val="32"/>
          <w:szCs w:val="32"/>
          <w:highlight w:val="none"/>
        </w:rPr>
        <w:t>个（办公室、</w:t>
      </w:r>
      <w:r>
        <w:rPr>
          <w:rFonts w:hint="eastAsia" w:ascii="仿宋_GB2312" w:hAnsi="仿宋" w:eastAsia="仿宋_GB2312"/>
          <w:b w:val="0"/>
          <w:bCs w:val="0"/>
          <w:sz w:val="32"/>
          <w:szCs w:val="32"/>
          <w:highlight w:val="none"/>
          <w:lang w:eastAsia="zh-CN"/>
        </w:rPr>
        <w:t>任免表彰（</w:t>
      </w:r>
      <w:r>
        <w:rPr>
          <w:rFonts w:hint="eastAsia" w:ascii="仿宋_GB2312" w:hAnsi="仿宋" w:eastAsia="仿宋_GB2312"/>
          <w:b w:val="0"/>
          <w:bCs w:val="0"/>
          <w:sz w:val="32"/>
          <w:szCs w:val="32"/>
          <w:highlight w:val="none"/>
        </w:rPr>
        <w:t>人事</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股、规划财务股、</w:t>
      </w:r>
      <w:r>
        <w:rPr>
          <w:rFonts w:hint="eastAsia" w:ascii="仿宋_GB2312" w:hAnsi="仿宋" w:eastAsia="仿宋_GB2312"/>
          <w:b w:val="0"/>
          <w:bCs w:val="0"/>
          <w:sz w:val="32"/>
          <w:szCs w:val="32"/>
          <w:highlight w:val="none"/>
          <w:lang w:eastAsia="zh-CN"/>
        </w:rPr>
        <w:t>党建办、</w:t>
      </w:r>
      <w:r>
        <w:rPr>
          <w:rFonts w:hint="eastAsia" w:ascii="仿宋_GB2312" w:hAnsi="仿宋" w:eastAsia="仿宋_GB2312"/>
          <w:b w:val="0"/>
          <w:bCs w:val="0"/>
          <w:sz w:val="32"/>
          <w:szCs w:val="32"/>
          <w:highlight w:val="none"/>
        </w:rPr>
        <w:t>工资福利股、事业单位人事管理股、就业促进股、政策法规股、</w:t>
      </w:r>
      <w:r>
        <w:rPr>
          <w:rFonts w:hint="eastAsia" w:ascii="仿宋_GB2312" w:hAnsi="仿宋" w:eastAsia="仿宋_GB2312"/>
          <w:b w:val="0"/>
          <w:bCs w:val="0"/>
          <w:sz w:val="32"/>
          <w:szCs w:val="32"/>
          <w:highlight w:val="none"/>
          <w:lang w:eastAsia="zh-CN"/>
        </w:rPr>
        <w:t>工会、劳动关系股</w:t>
      </w:r>
      <w:r>
        <w:rPr>
          <w:rFonts w:hint="eastAsia" w:ascii="仿宋_GB2312" w:hAnsi="仿宋" w:eastAsia="仿宋_GB2312"/>
          <w:b w:val="0"/>
          <w:bCs w:val="0"/>
          <w:sz w:val="32"/>
          <w:szCs w:val="32"/>
          <w:highlight w:val="none"/>
        </w:rPr>
        <w:t>）、下属二级</w:t>
      </w:r>
      <w:r>
        <w:rPr>
          <w:rFonts w:hint="eastAsia" w:ascii="仿宋_GB2312" w:hAnsi="仿宋" w:eastAsia="仿宋_GB2312"/>
          <w:b w:val="0"/>
          <w:bCs w:val="0"/>
          <w:sz w:val="32"/>
          <w:szCs w:val="32"/>
          <w:highlight w:val="none"/>
          <w:lang w:eastAsia="zh-CN"/>
        </w:rPr>
        <w:t>单位</w:t>
      </w:r>
      <w:r>
        <w:rPr>
          <w:rFonts w:hint="eastAsia" w:ascii="仿宋_GB2312" w:hAnsi="仿宋" w:eastAsia="仿宋_GB2312"/>
          <w:b w:val="0"/>
          <w:bCs w:val="0"/>
          <w:sz w:val="32"/>
          <w:szCs w:val="32"/>
          <w:highlight w:val="none"/>
          <w:lang w:val="en-US" w:eastAsia="zh-CN"/>
        </w:rPr>
        <w:t>7</w:t>
      </w:r>
      <w:r>
        <w:rPr>
          <w:rFonts w:hint="eastAsia" w:ascii="仿宋_GB2312" w:hAnsi="仿宋" w:eastAsia="仿宋_GB2312"/>
          <w:b w:val="0"/>
          <w:bCs w:val="0"/>
          <w:sz w:val="32"/>
          <w:szCs w:val="32"/>
          <w:highlight w:val="none"/>
        </w:rPr>
        <w:t>个，其中参照公务员法管理的事业单位</w:t>
      </w:r>
      <w:r>
        <w:rPr>
          <w:rFonts w:hint="eastAsia" w:ascii="仿宋_GB2312" w:hAnsi="仿宋" w:eastAsia="仿宋_GB2312"/>
          <w:b w:val="0"/>
          <w:bCs w:val="0"/>
          <w:sz w:val="32"/>
          <w:szCs w:val="32"/>
          <w:highlight w:val="none"/>
          <w:lang w:val="en-US" w:eastAsia="zh-CN"/>
        </w:rPr>
        <w:t>3</w:t>
      </w:r>
      <w:r>
        <w:rPr>
          <w:rFonts w:hint="eastAsia" w:ascii="仿宋_GB2312" w:hAnsi="仿宋" w:eastAsia="仿宋_GB2312"/>
          <w:b w:val="0"/>
          <w:bCs w:val="0"/>
          <w:sz w:val="32"/>
          <w:szCs w:val="32"/>
          <w:highlight w:val="none"/>
        </w:rPr>
        <w:t>个（</w:t>
      </w:r>
      <w:r>
        <w:rPr>
          <w:rFonts w:hint="eastAsia" w:ascii="仿宋_GB2312" w:hAnsi="仿宋" w:eastAsia="仿宋_GB2312"/>
          <w:b w:val="0"/>
          <w:bCs w:val="0"/>
          <w:sz w:val="32"/>
          <w:szCs w:val="32"/>
          <w:highlight w:val="none"/>
          <w:lang w:eastAsia="zh-CN"/>
        </w:rPr>
        <w:t>区就业服务中心、区社会保险事务中心、区社会保险核算中心、</w:t>
      </w:r>
      <w:r>
        <w:rPr>
          <w:rFonts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rPr>
        <w:t>,其他事业单位</w:t>
      </w:r>
      <w:r>
        <w:rPr>
          <w:rFonts w:hint="eastAsia" w:ascii="仿宋_GB2312" w:hAnsi="仿宋" w:eastAsia="仿宋_GB2312"/>
          <w:b w:val="0"/>
          <w:bCs w:val="0"/>
          <w:sz w:val="32"/>
          <w:szCs w:val="32"/>
          <w:highlight w:val="none"/>
          <w:lang w:val="en-US" w:eastAsia="zh-CN"/>
        </w:rPr>
        <w:t>4</w:t>
      </w:r>
      <w:r>
        <w:rPr>
          <w:rFonts w:hint="eastAsia" w:ascii="仿宋_GB2312" w:hAnsi="仿宋" w:eastAsia="仿宋_GB2312"/>
          <w:b w:val="0"/>
          <w:bCs w:val="0"/>
          <w:sz w:val="32"/>
          <w:szCs w:val="32"/>
          <w:highlight w:val="none"/>
        </w:rPr>
        <w:t>个(</w:t>
      </w:r>
      <w:r>
        <w:rPr>
          <w:rFonts w:hint="eastAsia" w:ascii="仿宋_GB2312" w:hAnsi="仿宋" w:eastAsia="仿宋_GB2312"/>
          <w:b w:val="0"/>
          <w:bCs w:val="0"/>
          <w:sz w:val="32"/>
          <w:szCs w:val="32"/>
          <w:highlight w:val="none"/>
          <w:lang w:eastAsia="zh-CN"/>
        </w:rPr>
        <w:t>区</w:t>
      </w:r>
      <w:r>
        <w:rPr>
          <w:rFonts w:hint="eastAsia" w:ascii="仿宋_GB2312" w:hAnsi="仿宋" w:eastAsia="仿宋_GB2312"/>
          <w:b w:val="0"/>
          <w:bCs w:val="0"/>
          <w:sz w:val="32"/>
          <w:szCs w:val="32"/>
          <w:highlight w:val="none"/>
        </w:rPr>
        <w:t>仲裁院、</w:t>
      </w:r>
      <w:r>
        <w:rPr>
          <w:rFonts w:hint="eastAsia" w:ascii="仿宋_GB2312" w:hAnsi="仿宋" w:eastAsia="仿宋_GB2312"/>
          <w:b w:val="0"/>
          <w:bCs w:val="0"/>
          <w:sz w:val="32"/>
          <w:szCs w:val="32"/>
          <w:highlight w:val="none"/>
          <w:lang w:eastAsia="zh-CN"/>
        </w:rPr>
        <w:t>区</w:t>
      </w:r>
      <w:r>
        <w:rPr>
          <w:rFonts w:hint="eastAsia" w:ascii="仿宋_GB2312" w:hAnsi="仿宋" w:eastAsia="仿宋_GB2312"/>
          <w:b w:val="0"/>
          <w:bCs w:val="0"/>
          <w:sz w:val="32"/>
          <w:szCs w:val="32"/>
          <w:highlight w:val="none"/>
        </w:rPr>
        <w:t>人才交流中心</w:t>
      </w:r>
      <w:r>
        <w:rPr>
          <w:rFonts w:hint="eastAsia" w:ascii="仿宋_GB2312" w:hAnsi="仿宋" w:eastAsia="仿宋_GB2312"/>
          <w:b w:val="0"/>
          <w:bCs w:val="0"/>
          <w:sz w:val="32"/>
          <w:szCs w:val="32"/>
          <w:highlight w:val="none"/>
          <w:lang w:eastAsia="zh-CN"/>
        </w:rPr>
        <w:t>、区就业训练</w:t>
      </w:r>
      <w:r>
        <w:rPr>
          <w:rFonts w:hint="eastAsia" w:ascii="仿宋_GB2312" w:hAnsi="仿宋" w:eastAsia="仿宋_GB2312"/>
          <w:b w:val="0"/>
          <w:bCs w:val="0"/>
          <w:sz w:val="32"/>
          <w:szCs w:val="32"/>
          <w:lang w:eastAsia="zh-CN"/>
        </w:rPr>
        <w:t>中心、区农民工服务中心</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eastAsia="zh-CN"/>
        </w:rPr>
        <w:t>局</w:t>
      </w:r>
      <w:r>
        <w:rPr>
          <w:rFonts w:hint="eastAsia" w:ascii="仿宋_GB2312" w:hAnsi="仿宋" w:eastAsia="仿宋_GB2312"/>
          <w:b w:val="0"/>
          <w:bCs w:val="0"/>
          <w:sz w:val="32"/>
          <w:szCs w:val="32"/>
        </w:rPr>
        <w:t>党组下设</w:t>
      </w:r>
      <w:r>
        <w:rPr>
          <w:rFonts w:hint="eastAsia" w:ascii="仿宋_GB2312" w:hAnsi="仿宋" w:eastAsia="仿宋_GB2312"/>
          <w:b w:val="0"/>
          <w:bCs w:val="0"/>
          <w:sz w:val="32"/>
          <w:szCs w:val="32"/>
          <w:lang w:val="en-US" w:eastAsia="zh-CN"/>
        </w:rPr>
        <w:t>1个机关党委及4个支部</w:t>
      </w:r>
      <w:r>
        <w:rPr>
          <w:rFonts w:hint="eastAsia" w:ascii="仿宋_GB2312" w:hAnsi="仿宋" w:eastAsia="仿宋_GB2312"/>
          <w:b w:val="0"/>
          <w:bCs w:val="0"/>
          <w:sz w:val="32"/>
          <w:szCs w:val="32"/>
        </w:rPr>
        <w:t>。</w:t>
      </w:r>
      <w:bookmarkEnd w:id="21"/>
    </w:p>
    <w:p>
      <w:pPr>
        <w:pStyle w:val="4"/>
        <w:numPr>
          <w:ilvl w:val="0"/>
          <w:numId w:val="0"/>
        </w:numPr>
        <w:ind w:firstLine="640" w:firstLineChars="200"/>
        <w:rPr>
          <w:rFonts w:ascii="仿宋" w:hAnsi="仿宋" w:eastAsia="仿宋"/>
          <w:color w:val="auto"/>
          <w:sz w:val="32"/>
          <w:szCs w:val="32"/>
          <w:highlight w:val="none"/>
        </w:rPr>
      </w:pPr>
      <w:bookmarkStart w:id="22" w:name="_Toc29049"/>
      <w:r>
        <w:rPr>
          <w:rFonts w:hint="eastAsia" w:ascii="仿宋" w:hAnsi="仿宋" w:eastAsia="仿宋" w:cs="Times New Roman"/>
          <w:b w:val="0"/>
          <w:bCs/>
          <w:color w:val="000000"/>
          <w:kern w:val="0"/>
          <w:sz w:val="32"/>
          <w:szCs w:val="32"/>
          <w:lang w:val="en-US" w:eastAsia="zh-CN" w:bidi="ar-SA"/>
        </w:rPr>
        <w:t>无纳入我局2022年度部门决算编制范围的二级预算单位。</w:t>
      </w:r>
      <w:bookmarkEnd w:id="22"/>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9"/>
          <w:rFonts w:ascii="黑体" w:hAnsi="黑体" w:eastAsia="黑体"/>
          <w:b w:val="0"/>
          <w:bCs/>
          <w:color w:val="auto"/>
          <w:highlight w:val="none"/>
        </w:rPr>
      </w:pPr>
      <w:bookmarkStart w:id="23" w:name="_Toc15396602"/>
      <w:bookmarkStart w:id="24" w:name="_Toc15377204"/>
      <w:bookmarkStart w:id="25" w:name="_Toc1659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3"/>
      <w:bookmarkEnd w:id="24"/>
      <w:bookmarkEnd w:id="25"/>
    </w:p>
    <w:p>
      <w:pPr>
        <w:pStyle w:val="28"/>
        <w:numPr>
          <w:ilvl w:val="0"/>
          <w:numId w:val="0"/>
        </w:numPr>
        <w:tabs>
          <w:tab w:val="left" w:pos="579"/>
        </w:tabs>
        <w:spacing w:line="600" w:lineRule="exact"/>
        <w:ind w:firstLine="640" w:firstLineChars="200"/>
        <w:outlineLvl w:val="1"/>
        <w:rPr>
          <w:rStyle w:val="30"/>
          <w:rFonts w:ascii="黑体" w:hAnsi="黑体" w:eastAsia="黑体"/>
          <w:b w:val="0"/>
          <w:color w:val="auto"/>
          <w:highlight w:val="none"/>
        </w:rPr>
      </w:pPr>
      <w:bookmarkStart w:id="26" w:name="_Toc15396603"/>
      <w:bookmarkStart w:id="27" w:name="_Toc15377205"/>
      <w:bookmarkStart w:id="28" w:name="_Toc22556"/>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6"/>
      <w:bookmarkEnd w:id="27"/>
      <w:bookmarkEnd w:id="28"/>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7854.94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、支出总计</w:t>
      </w:r>
      <w:r>
        <w:rPr>
          <w:rFonts w:hint="eastAsia" w:ascii="仿宋" w:hAnsi="仿宋" w:eastAsia="仿宋"/>
          <w:color w:val="auto"/>
          <w:sz w:val="32"/>
          <w:szCs w:val="32"/>
          <w:highlight w:val="none"/>
          <w:lang w:val="en-US" w:eastAsia="zh-CN"/>
        </w:rPr>
        <w:t>7927.59万元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2028.1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、支出总计增长</w:t>
      </w:r>
      <w:r>
        <w:rPr>
          <w:rFonts w:hint="eastAsia" w:ascii="仿宋" w:hAnsi="仿宋" w:eastAsia="仿宋"/>
          <w:color w:val="auto"/>
          <w:sz w:val="32"/>
          <w:szCs w:val="32"/>
          <w:highlight w:val="none"/>
          <w:lang w:val="en-US" w:eastAsia="zh-CN"/>
        </w:rPr>
        <w:t>1627.83万元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收入增长</w:t>
      </w:r>
      <w:r>
        <w:rPr>
          <w:rFonts w:hint="eastAsia" w:ascii="仿宋" w:hAnsi="仿宋" w:eastAsia="仿宋"/>
          <w:color w:val="auto"/>
          <w:sz w:val="32"/>
          <w:szCs w:val="32"/>
          <w:highlight w:val="none"/>
          <w:lang w:val="en-US" w:eastAsia="zh-CN"/>
        </w:rPr>
        <w:t>34.8</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、支出增长</w:t>
      </w:r>
      <w:r>
        <w:rPr>
          <w:rFonts w:hint="eastAsia" w:ascii="仿宋" w:hAnsi="仿宋" w:eastAsia="仿宋"/>
          <w:color w:val="auto"/>
          <w:sz w:val="32"/>
          <w:szCs w:val="32"/>
          <w:highlight w:val="none"/>
          <w:lang w:val="en-US" w:eastAsia="zh-CN"/>
        </w:rPr>
        <w:t>25.8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整体收入、支出与上年大幅增长原因是就业补助资金、退休人员地区差异性生活补助、乡村振兴衔接资金大幅增加。</w:t>
      </w:r>
    </w:p>
    <w:p>
      <w:pPr>
        <w:pStyle w:val="15"/>
        <w:rPr>
          <w:rFonts w:hint="eastAsia"/>
          <w:lang w:eastAsia="zh-CN"/>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745490</wp:posOffset>
            </wp:positionH>
            <wp:positionV relativeFrom="paragraph">
              <wp:posOffset>89535</wp:posOffset>
            </wp:positionV>
            <wp:extent cx="3295650" cy="1688465"/>
            <wp:effectExtent l="5080" t="4445" r="6350" b="1397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决算总计变动情况图）（柱状图）</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支出总计</w:t>
      </w:r>
      <w:r>
        <w:rPr>
          <w:rFonts w:hint="eastAsia" w:ascii="仿宋" w:hAnsi="仿宋" w:eastAsia="仿宋"/>
          <w:color w:val="auto"/>
          <w:sz w:val="32"/>
          <w:szCs w:val="32"/>
          <w:highlight w:val="none"/>
          <w:lang w:val="en-US" w:eastAsia="zh-CN"/>
        </w:rPr>
        <w:t>7927.59万元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支出总计增长</w:t>
      </w:r>
      <w:r>
        <w:rPr>
          <w:rFonts w:hint="eastAsia" w:ascii="仿宋" w:hAnsi="仿宋" w:eastAsia="仿宋"/>
          <w:color w:val="auto"/>
          <w:sz w:val="32"/>
          <w:szCs w:val="32"/>
          <w:highlight w:val="none"/>
          <w:lang w:val="en-US" w:eastAsia="zh-CN"/>
        </w:rPr>
        <w:t>1627.83万元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支出增长</w:t>
      </w:r>
      <w:r>
        <w:rPr>
          <w:rFonts w:hint="eastAsia" w:ascii="仿宋" w:hAnsi="仿宋" w:eastAsia="仿宋"/>
          <w:color w:val="auto"/>
          <w:sz w:val="32"/>
          <w:szCs w:val="32"/>
          <w:highlight w:val="none"/>
          <w:lang w:val="en-US" w:eastAsia="zh-CN"/>
        </w:rPr>
        <w:t>25.8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整体支出大幅增长原因就业创业补助资金、</w:t>
      </w:r>
      <w:r>
        <w:rPr>
          <w:rFonts w:hint="eastAsia" w:ascii="仿宋_GB2312" w:hAnsi="仿宋" w:eastAsia="仿宋_GB2312"/>
          <w:sz w:val="32"/>
          <w:szCs w:val="32"/>
          <w:highlight w:val="none"/>
          <w:lang w:val="en-US" w:eastAsia="zh-CN"/>
        </w:rPr>
        <w:t>退休人员地区差异性生活补助资金、乡村振兴衔接资金大幅</w:t>
      </w:r>
      <w:r>
        <w:rPr>
          <w:rFonts w:hint="eastAsia" w:ascii="仿宋" w:hAnsi="仿宋" w:eastAsia="仿宋"/>
          <w:color w:val="auto"/>
          <w:sz w:val="32"/>
          <w:szCs w:val="32"/>
          <w:highlight w:val="none"/>
          <w:lang w:eastAsia="zh-CN"/>
        </w:rPr>
        <w:t>增加。</w:t>
      </w:r>
    </w:p>
    <w:p>
      <w:pPr>
        <w:pStyle w:val="15"/>
        <w:rPr>
          <w:rFonts w:hint="eastAsia"/>
          <w:lang w:eastAsia="zh-CN"/>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833120</wp:posOffset>
            </wp:positionH>
            <wp:positionV relativeFrom="paragraph">
              <wp:posOffset>193675</wp:posOffset>
            </wp:positionV>
            <wp:extent cx="3166110" cy="1819275"/>
            <wp:effectExtent l="5080" t="4445" r="13970" b="508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8"/>
        <w:numPr>
          <w:ilvl w:val="0"/>
          <w:numId w:val="0"/>
        </w:numPr>
        <w:spacing w:line="600" w:lineRule="exact"/>
        <w:ind w:left="640" w:leftChars="0"/>
        <w:outlineLvl w:val="1"/>
        <w:rPr>
          <w:rStyle w:val="30"/>
          <w:rFonts w:ascii="黑体" w:hAnsi="黑体" w:eastAsia="黑体"/>
          <w:b w:val="0"/>
          <w:color w:val="auto"/>
          <w:highlight w:val="none"/>
        </w:rPr>
      </w:pPr>
      <w:bookmarkStart w:id="29" w:name="_Toc15396604"/>
      <w:bookmarkStart w:id="30" w:name="_Toc15377206"/>
      <w:bookmarkStart w:id="31" w:name="_Toc16307"/>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9"/>
      <w:bookmarkEnd w:id="30"/>
      <w:bookmarkEnd w:id="31"/>
    </w:p>
    <w:p>
      <w:pPr>
        <w:spacing w:line="600" w:lineRule="exact"/>
        <w:ind w:firstLine="640" w:firstLineChars="200"/>
        <w:outlineLvl w:val="1"/>
        <w:rPr>
          <w:rFonts w:ascii="仿宋" w:hAnsi="仿宋" w:eastAsia="仿宋"/>
          <w:color w:val="auto"/>
          <w:sz w:val="32"/>
          <w:szCs w:val="32"/>
          <w:highlight w:val="none"/>
        </w:rPr>
      </w:pPr>
      <w:bookmarkStart w:id="32" w:name="_Toc208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w:t>
      </w:r>
      <w:r>
        <w:rPr>
          <w:rFonts w:hint="eastAsia" w:ascii="仿宋" w:hAnsi="仿宋" w:eastAsia="仿宋"/>
          <w:color w:val="auto"/>
          <w:sz w:val="32"/>
          <w:szCs w:val="32"/>
          <w:highlight w:val="none"/>
          <w:lang w:eastAsia="zh-CN"/>
        </w:rPr>
        <w:t>计</w:t>
      </w:r>
      <w:r>
        <w:rPr>
          <w:rFonts w:hint="eastAsia" w:ascii="仿宋" w:hAnsi="仿宋" w:eastAsia="仿宋"/>
          <w:color w:val="auto"/>
          <w:sz w:val="32"/>
          <w:szCs w:val="32"/>
          <w:highlight w:val="none"/>
          <w:lang w:val="en-US" w:eastAsia="zh-CN"/>
        </w:rPr>
        <w:t>7854.94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7854.94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2"/>
    </w:p>
    <w:p>
      <w:pPr>
        <w:spacing w:line="600" w:lineRule="exact"/>
        <w:ind w:firstLine="640" w:firstLineChars="200"/>
        <w:outlineLvl w:val="9"/>
        <w:rPr>
          <w:rFonts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668020</wp:posOffset>
            </wp:positionH>
            <wp:positionV relativeFrom="paragraph">
              <wp:posOffset>141605</wp:posOffset>
            </wp:positionV>
            <wp:extent cx="3171825" cy="1576070"/>
            <wp:effectExtent l="4445" t="4445" r="8890" b="1968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320" w:firstLineChars="100"/>
        <w:rPr>
          <w:rFonts w:hint="eastAsia" w:ascii="仿宋" w:hAnsi="仿宋" w:eastAsia="仿宋"/>
          <w:color w:val="auto"/>
          <w:sz w:val="32"/>
          <w:szCs w:val="32"/>
          <w:highlight w:val="none"/>
        </w:rPr>
      </w:pPr>
    </w:p>
    <w:p>
      <w:pPr>
        <w:spacing w:line="600" w:lineRule="exact"/>
        <w:ind w:firstLine="320" w:firstLineChars="100"/>
        <w:rPr>
          <w:rFonts w:hint="eastAsia" w:ascii="仿宋" w:hAnsi="仿宋" w:eastAsia="仿宋"/>
          <w:color w:val="auto"/>
          <w:sz w:val="32"/>
          <w:szCs w:val="32"/>
          <w:highlight w:val="none"/>
        </w:rPr>
      </w:pPr>
    </w:p>
    <w:p>
      <w:pPr>
        <w:spacing w:line="600" w:lineRule="exact"/>
        <w:ind w:firstLine="320" w:firstLineChars="1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：收入决算结构图）（饼状图）</w:t>
      </w:r>
    </w:p>
    <w:p>
      <w:pPr>
        <w:pStyle w:val="28"/>
        <w:numPr>
          <w:ilvl w:val="0"/>
          <w:numId w:val="0"/>
        </w:numPr>
        <w:tabs>
          <w:tab w:val="left" w:pos="476"/>
          <w:tab w:val="left" w:pos="519"/>
        </w:tabs>
        <w:spacing w:line="600" w:lineRule="exact"/>
        <w:ind w:firstLine="640" w:firstLineChars="200"/>
        <w:outlineLvl w:val="1"/>
        <w:rPr>
          <w:rStyle w:val="30"/>
          <w:rFonts w:ascii="黑体" w:hAnsi="黑体" w:eastAsia="黑体"/>
          <w:b w:val="0"/>
          <w:color w:val="auto"/>
          <w:highlight w:val="none"/>
        </w:rPr>
      </w:pPr>
      <w:bookmarkStart w:id="33" w:name="_Toc15377207"/>
      <w:bookmarkStart w:id="34" w:name="_Toc15396605"/>
      <w:bookmarkStart w:id="35" w:name="_Toc10090"/>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3"/>
      <w:bookmarkEnd w:id="34"/>
      <w:bookmarkEnd w:id="35"/>
    </w:p>
    <w:p>
      <w:pPr>
        <w:spacing w:line="600" w:lineRule="exact"/>
        <w:ind w:firstLine="640" w:firstLineChars="200"/>
        <w:outlineLvl w:val="1"/>
        <w:rPr>
          <w:rFonts w:ascii="仿宋" w:hAnsi="仿宋" w:eastAsia="仿宋"/>
          <w:color w:val="auto"/>
          <w:sz w:val="32"/>
          <w:szCs w:val="32"/>
          <w:highlight w:val="none"/>
        </w:rPr>
      </w:pPr>
      <w:bookmarkStart w:id="36" w:name="_Toc2617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w:t>
      </w:r>
      <w:r>
        <w:rPr>
          <w:rFonts w:hint="eastAsia" w:ascii="仿宋" w:hAnsi="仿宋" w:eastAsia="仿宋"/>
          <w:color w:val="auto"/>
          <w:sz w:val="32"/>
          <w:szCs w:val="32"/>
          <w:highlight w:val="none"/>
          <w:lang w:eastAsia="zh-CN"/>
        </w:rPr>
        <w:t>计</w:t>
      </w:r>
      <w:r>
        <w:rPr>
          <w:rFonts w:hint="eastAsia" w:ascii="仿宋" w:hAnsi="仿宋" w:eastAsia="仿宋"/>
          <w:color w:val="auto"/>
          <w:sz w:val="32"/>
          <w:szCs w:val="32"/>
          <w:highlight w:val="none"/>
          <w:lang w:val="en-US" w:eastAsia="zh-CN"/>
        </w:rPr>
        <w:t>7927.59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922.27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7005.32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6"/>
    </w:p>
    <w:p>
      <w:pPr>
        <w:spacing w:line="600" w:lineRule="exact"/>
        <w:ind w:firstLine="640"/>
        <w:rPr>
          <w:rFonts w:ascii="仿宋" w:hAnsi="仿宋" w:eastAsia="仿宋"/>
          <w:color w:val="auto"/>
          <w:sz w:val="32"/>
          <w:szCs w:val="32"/>
          <w:highlight w:val="none"/>
          <w:shd w:val="pct10" w:color="auto" w:fill="FFFFFF"/>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636270</wp:posOffset>
            </wp:positionH>
            <wp:positionV relativeFrom="paragraph">
              <wp:posOffset>41275</wp:posOffset>
            </wp:positionV>
            <wp:extent cx="3248025" cy="1670050"/>
            <wp:effectExtent l="4445" t="4445" r="8890" b="17145"/>
            <wp:wrapNone/>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：支出决算结构图）（饼状图）</w:t>
      </w:r>
    </w:p>
    <w:p>
      <w:pPr>
        <w:spacing w:line="600" w:lineRule="exact"/>
        <w:ind w:firstLine="640" w:firstLineChars="200"/>
        <w:outlineLvl w:val="1"/>
        <w:rPr>
          <w:rStyle w:val="30"/>
          <w:rFonts w:ascii="黑体" w:hAnsi="黑体" w:eastAsia="黑体"/>
          <w:b w:val="0"/>
          <w:color w:val="auto"/>
          <w:highlight w:val="none"/>
        </w:rPr>
      </w:pPr>
      <w:bookmarkStart w:id="37" w:name="_Toc15377208"/>
      <w:bookmarkStart w:id="38" w:name="_Toc15396606"/>
      <w:bookmarkStart w:id="39" w:name="_Toc28104"/>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7"/>
      <w:bookmarkEnd w:id="38"/>
      <w:bookmarkEnd w:id="39"/>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7927.59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（其中：上年结转</w:t>
      </w:r>
      <w:r>
        <w:rPr>
          <w:rFonts w:hint="eastAsia" w:ascii="仿宋" w:hAnsi="仿宋" w:eastAsia="仿宋"/>
          <w:color w:val="auto"/>
          <w:sz w:val="32"/>
          <w:szCs w:val="32"/>
          <w:highlight w:val="none"/>
          <w:lang w:val="en-US" w:eastAsia="zh-CN"/>
        </w:rPr>
        <w:t>72.65万元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1627.83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25.8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收入主要变动原因就业创业补助资金、</w:t>
      </w:r>
      <w:r>
        <w:rPr>
          <w:rFonts w:hint="eastAsia" w:ascii="仿宋_GB2312" w:hAnsi="仿宋" w:eastAsia="仿宋_GB2312"/>
          <w:sz w:val="32"/>
          <w:szCs w:val="32"/>
          <w:highlight w:val="none"/>
          <w:lang w:val="en-US" w:eastAsia="zh-CN"/>
        </w:rPr>
        <w:t>退休人员地区差异性生活补助资金、乡村振兴衔接资金大幅</w:t>
      </w:r>
      <w:r>
        <w:rPr>
          <w:rFonts w:hint="eastAsia" w:ascii="仿宋" w:hAnsi="仿宋" w:eastAsia="仿宋"/>
          <w:color w:val="auto"/>
          <w:sz w:val="32"/>
          <w:szCs w:val="32"/>
          <w:highlight w:val="none"/>
          <w:lang w:eastAsia="zh-CN"/>
        </w:rPr>
        <w:t>增加</w:t>
      </w:r>
      <w:r>
        <w:rPr>
          <w:rFonts w:hint="eastAsia" w:ascii="仿宋_GB2312" w:hAnsi="仿宋" w:eastAsia="仿宋_GB2312"/>
          <w:sz w:val="32"/>
          <w:szCs w:val="32"/>
          <w:highlight w:val="none"/>
          <w:lang w:val="en-US" w:eastAsia="zh-CN"/>
        </w:rPr>
        <w:t>。</w:t>
      </w:r>
    </w:p>
    <w:p>
      <w:pPr>
        <w:spacing w:line="600" w:lineRule="exact"/>
        <w:rPr>
          <w:rFonts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593090</wp:posOffset>
            </wp:positionH>
            <wp:positionV relativeFrom="paragraph">
              <wp:posOffset>59055</wp:posOffset>
            </wp:positionV>
            <wp:extent cx="3534410" cy="1922780"/>
            <wp:effectExtent l="4445" t="4445" r="12065" b="8255"/>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决算总计变动情况）（柱状图）</w:t>
      </w:r>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7927.59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（其中：上年结转</w:t>
      </w:r>
      <w:r>
        <w:rPr>
          <w:rFonts w:hint="eastAsia" w:ascii="仿宋" w:hAnsi="仿宋" w:eastAsia="仿宋"/>
          <w:color w:val="auto"/>
          <w:sz w:val="32"/>
          <w:szCs w:val="32"/>
          <w:highlight w:val="none"/>
          <w:lang w:val="en-US" w:eastAsia="zh-CN"/>
        </w:rPr>
        <w:t>72.65万元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1627.83万元，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25.8%</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就业创业补助资金、</w:t>
      </w:r>
      <w:r>
        <w:rPr>
          <w:rFonts w:hint="eastAsia" w:ascii="仿宋_GB2312" w:hAnsi="仿宋" w:eastAsia="仿宋_GB2312"/>
          <w:sz w:val="32"/>
          <w:szCs w:val="32"/>
          <w:highlight w:val="none"/>
          <w:lang w:val="en-US" w:eastAsia="zh-CN"/>
        </w:rPr>
        <w:t>退休人员地区差异性生活补助资金、乡村振兴衔接资金大幅</w:t>
      </w:r>
      <w:r>
        <w:rPr>
          <w:rFonts w:hint="eastAsia" w:ascii="仿宋" w:hAnsi="仿宋" w:eastAsia="仿宋"/>
          <w:color w:val="auto"/>
          <w:sz w:val="32"/>
          <w:szCs w:val="32"/>
          <w:highlight w:val="none"/>
          <w:lang w:eastAsia="zh-CN"/>
        </w:rPr>
        <w:t>增加。</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column">
              <wp:posOffset>565150</wp:posOffset>
            </wp:positionH>
            <wp:positionV relativeFrom="paragraph">
              <wp:posOffset>48895</wp:posOffset>
            </wp:positionV>
            <wp:extent cx="3597275" cy="1876425"/>
            <wp:effectExtent l="4445" t="5080" r="10160" b="8255"/>
            <wp:wrapNone/>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：财政拨款支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决算总计变动情况）（柱状图）</w:t>
      </w:r>
      <w:bookmarkStart w:id="40" w:name="_Toc15377209"/>
      <w:bookmarkStart w:id="41" w:name="_Toc15396607"/>
    </w:p>
    <w:p>
      <w:pPr>
        <w:spacing w:line="600" w:lineRule="exact"/>
        <w:ind w:firstLine="640" w:firstLineChars="200"/>
        <w:outlineLvl w:val="1"/>
        <w:rPr>
          <w:rStyle w:val="30"/>
          <w:rFonts w:ascii="黑体" w:hAnsi="黑体" w:eastAsia="黑体"/>
          <w:b w:val="0"/>
          <w:color w:val="auto"/>
          <w:highlight w:val="none"/>
        </w:rPr>
      </w:pPr>
      <w:bookmarkStart w:id="42" w:name="_Toc2717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color w:val="auto"/>
          <w:sz w:val="32"/>
          <w:szCs w:val="32"/>
          <w:highlight w:val="none"/>
        </w:rPr>
      </w:pPr>
      <w:bookmarkStart w:id="43" w:name="_Toc15377210"/>
      <w:bookmarkStart w:id="44" w:name="_Toc32555"/>
      <w:r>
        <w:rPr>
          <w:rFonts w:hint="eastAsia" w:ascii="仿宋" w:hAnsi="仿宋" w:eastAsia="仿宋"/>
          <w:b/>
          <w:color w:val="auto"/>
          <w:sz w:val="32"/>
          <w:szCs w:val="32"/>
          <w:highlight w:val="none"/>
        </w:rPr>
        <w:t>（一）一般公共预算财政拨款支出决算总体情况</w:t>
      </w:r>
      <w:bookmarkEnd w:id="43"/>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7927.59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1627.83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就业创业补助资金、</w:t>
      </w:r>
      <w:r>
        <w:rPr>
          <w:rFonts w:hint="eastAsia" w:ascii="仿宋_GB2312" w:hAnsi="仿宋" w:eastAsia="仿宋_GB2312"/>
          <w:sz w:val="32"/>
          <w:szCs w:val="32"/>
          <w:highlight w:val="none"/>
          <w:lang w:val="en-US" w:eastAsia="zh-CN"/>
        </w:rPr>
        <w:t>退休人员地区差异性生活补助资金、乡村振兴衔接资金大幅</w:t>
      </w:r>
      <w:r>
        <w:rPr>
          <w:rFonts w:hint="eastAsia" w:ascii="仿宋" w:hAnsi="仿宋" w:eastAsia="仿宋"/>
          <w:color w:val="auto"/>
          <w:sz w:val="32"/>
          <w:szCs w:val="32"/>
          <w:highlight w:val="none"/>
          <w:lang w:eastAsia="zh-CN"/>
        </w:rPr>
        <w:t>增加。</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657860</wp:posOffset>
            </wp:positionH>
            <wp:positionV relativeFrom="paragraph">
              <wp:posOffset>107315</wp:posOffset>
            </wp:positionV>
            <wp:extent cx="3775075" cy="1809115"/>
            <wp:effectExtent l="4445" t="4445" r="15240" b="15240"/>
            <wp:wrapNone/>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45" w:name="_Toc15377211"/>
      <w:bookmarkStart w:id="46" w:name="_Toc10083"/>
      <w:r>
        <w:rPr>
          <w:rFonts w:hint="eastAsia" w:ascii="仿宋" w:hAnsi="仿宋" w:eastAsia="仿宋"/>
          <w:b/>
          <w:color w:val="auto"/>
          <w:sz w:val="32"/>
          <w:szCs w:val="32"/>
          <w:highlight w:val="none"/>
        </w:rPr>
        <w:t>（二）一般公共预算财政拨款支出决算结构情况</w:t>
      </w:r>
      <w:bookmarkEnd w:id="45"/>
      <w:bookmarkEnd w:id="46"/>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7927.59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b w:val="0"/>
          <w:bCs/>
          <w:color w:val="auto"/>
          <w:sz w:val="32"/>
          <w:szCs w:val="32"/>
          <w:highlight w:val="none"/>
          <w:lang w:val="en-US" w:eastAsia="zh-CN"/>
        </w:rPr>
        <w:t>224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val="0"/>
          <w:bCs w:val="0"/>
          <w:color w:val="auto"/>
          <w:sz w:val="32"/>
          <w:szCs w:val="32"/>
          <w:highlight w:val="none"/>
          <w:lang w:val="en-US" w:eastAsia="zh-CN"/>
        </w:rPr>
        <w:t>6796.07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34.31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000000"/>
          <w:sz w:val="32"/>
          <w:szCs w:val="32"/>
          <w:lang w:eastAsia="zh-CN"/>
        </w:rPr>
        <w:t>农林水支出</w:t>
      </w:r>
      <w:r>
        <w:rPr>
          <w:rFonts w:hint="eastAsia" w:ascii="仿宋" w:hAnsi="仿宋" w:eastAsia="仿宋"/>
          <w:color w:val="000000"/>
          <w:sz w:val="32"/>
          <w:szCs w:val="32"/>
          <w:lang w:val="en-US" w:eastAsia="zh-CN"/>
        </w:rPr>
        <w:t>804.03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highlight w:val="none"/>
        </w:rPr>
        <w:t>住房保障支出</w:t>
      </w:r>
      <w:r>
        <w:rPr>
          <w:rFonts w:hint="eastAsia" w:ascii="仿宋" w:hAnsi="仿宋" w:eastAsia="仿宋"/>
          <w:b w:val="0"/>
          <w:bCs w:val="0"/>
          <w:color w:val="auto"/>
          <w:sz w:val="32"/>
          <w:szCs w:val="32"/>
          <w:highlight w:val="none"/>
          <w:lang w:val="en-US" w:eastAsia="zh-CN"/>
        </w:rPr>
        <w:t>69.18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0.87</w:t>
      </w:r>
      <w:r>
        <w:rPr>
          <w:rFonts w:ascii="仿宋" w:hAnsi="仿宋" w:eastAsia="仿宋"/>
          <w:color w:val="auto"/>
          <w:sz w:val="32"/>
          <w:szCs w:val="32"/>
          <w:highlight w:val="none"/>
        </w:rPr>
        <w:t>%</w:t>
      </w:r>
    </w:p>
    <w:p>
      <w:pPr>
        <w:spacing w:line="600" w:lineRule="exact"/>
        <w:outlineLvl w:val="9"/>
        <w:rPr>
          <w:rFonts w:hint="eastAsia" w:ascii="仿宋" w:hAnsi="仿宋" w:eastAsia="仿宋"/>
          <w:b/>
          <w:color w:val="auto"/>
          <w:sz w:val="32"/>
          <w:szCs w:val="32"/>
          <w:highlight w:val="none"/>
        </w:rPr>
      </w:pPr>
      <w:bookmarkStart w:id="47" w:name="_Toc15377212"/>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6432" behindDoc="0" locked="0" layoutInCell="1" allowOverlap="1">
            <wp:simplePos x="0" y="0"/>
            <wp:positionH relativeFrom="column">
              <wp:posOffset>543560</wp:posOffset>
            </wp:positionH>
            <wp:positionV relativeFrom="paragraph">
              <wp:posOffset>207010</wp:posOffset>
            </wp:positionV>
            <wp:extent cx="3799205" cy="2103120"/>
            <wp:effectExtent l="4445" t="4445" r="6350" b="10795"/>
            <wp:wrapNone/>
            <wp:docPr id="1"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outlineLvl w:val="9"/>
        <w:rPr>
          <w:rFonts w:hint="eastAsia" w:ascii="仿宋" w:hAnsi="仿宋" w:eastAsia="仿宋"/>
          <w:color w:val="auto"/>
          <w:sz w:val="32"/>
          <w:szCs w:val="32"/>
          <w:highlight w:val="none"/>
        </w:rPr>
      </w:pPr>
    </w:p>
    <w:p>
      <w:pPr>
        <w:spacing w:line="600" w:lineRule="exact"/>
        <w:ind w:firstLine="640" w:firstLineChars="200"/>
        <w:outlineLvl w:val="9"/>
        <w:rPr>
          <w:rFonts w:hint="eastAsia" w:ascii="仿宋" w:hAnsi="仿宋" w:eastAsia="仿宋"/>
          <w:color w:val="auto"/>
          <w:sz w:val="32"/>
          <w:szCs w:val="32"/>
          <w:highlight w:val="none"/>
        </w:rPr>
      </w:pPr>
    </w:p>
    <w:p>
      <w:pPr>
        <w:spacing w:line="600" w:lineRule="exact"/>
        <w:ind w:firstLine="640" w:firstLineChars="200"/>
        <w:outlineLvl w:val="9"/>
        <w:rPr>
          <w:rFonts w:hint="eastAsia" w:ascii="仿宋" w:hAnsi="仿宋" w:eastAsia="仿宋"/>
          <w:color w:val="auto"/>
          <w:sz w:val="32"/>
          <w:szCs w:val="32"/>
          <w:highlight w:val="none"/>
        </w:rPr>
      </w:pPr>
    </w:p>
    <w:p>
      <w:pPr>
        <w:spacing w:line="600" w:lineRule="exact"/>
        <w:ind w:firstLine="640" w:firstLineChars="200"/>
        <w:outlineLvl w:val="9"/>
        <w:rPr>
          <w:rFonts w:hint="eastAsia" w:ascii="仿宋" w:hAnsi="仿宋" w:eastAsia="仿宋"/>
          <w:color w:val="auto"/>
          <w:sz w:val="32"/>
          <w:szCs w:val="32"/>
          <w:highlight w:val="none"/>
        </w:rPr>
      </w:pPr>
    </w:p>
    <w:p>
      <w:pPr>
        <w:spacing w:line="600" w:lineRule="exact"/>
        <w:outlineLvl w:val="9"/>
        <w:rPr>
          <w:rFonts w:hint="eastAsia" w:ascii="仿宋" w:hAnsi="仿宋" w:eastAsia="仿宋"/>
          <w:color w:val="auto"/>
          <w:sz w:val="32"/>
          <w:szCs w:val="32"/>
          <w:highlight w:val="none"/>
        </w:rPr>
      </w:pPr>
    </w:p>
    <w:p>
      <w:pPr>
        <w:spacing w:line="600" w:lineRule="exact"/>
        <w:outlineLvl w:val="2"/>
        <w:rPr>
          <w:rFonts w:hint="default" w:ascii="仿宋" w:hAnsi="仿宋" w:eastAsia="仿宋"/>
          <w:b/>
          <w:color w:val="auto"/>
          <w:sz w:val="32"/>
          <w:szCs w:val="32"/>
          <w:highlight w:val="none"/>
          <w:lang w:val="en-US" w:eastAsia="zh-CN"/>
        </w:rPr>
      </w:pPr>
      <w:bookmarkStart w:id="48" w:name="_Toc10223"/>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：一般公共预算财政拨款支出决算结构）</w:t>
      </w:r>
      <w:bookmarkEnd w:id="48"/>
      <w:r>
        <w:rPr>
          <w:rFonts w:hint="eastAsia" w:ascii="仿宋" w:hAnsi="仿宋" w:eastAsia="仿宋"/>
          <w:b/>
          <w:color w:val="auto"/>
          <w:sz w:val="32"/>
          <w:szCs w:val="32"/>
          <w:highlight w:val="none"/>
          <w:lang w:val="en-US" w:eastAsia="zh-CN"/>
        </w:rPr>
        <w:t xml:space="preserve"> </w:t>
      </w:r>
    </w:p>
    <w:p>
      <w:pPr>
        <w:spacing w:line="600" w:lineRule="exact"/>
        <w:ind w:firstLine="643" w:firstLineChars="200"/>
        <w:outlineLvl w:val="2"/>
        <w:rPr>
          <w:rFonts w:ascii="仿宋" w:hAnsi="仿宋" w:eastAsia="仿宋"/>
          <w:b/>
          <w:color w:val="auto"/>
          <w:sz w:val="32"/>
          <w:szCs w:val="32"/>
          <w:highlight w:val="none"/>
        </w:rPr>
      </w:pPr>
      <w:bookmarkStart w:id="49" w:name="_Toc28130"/>
      <w:r>
        <w:rPr>
          <w:rFonts w:hint="eastAsia" w:ascii="仿宋" w:hAnsi="仿宋" w:eastAsia="仿宋"/>
          <w:b/>
          <w:color w:val="auto"/>
          <w:sz w:val="32"/>
          <w:szCs w:val="32"/>
          <w:highlight w:val="none"/>
        </w:rPr>
        <w:t>（三）一般公共预算财政拨款支出决算具体情况</w:t>
      </w:r>
      <w:bookmarkEnd w:id="47"/>
      <w:bookmarkEnd w:id="49"/>
    </w:p>
    <w:p>
      <w:pPr>
        <w:spacing w:line="600" w:lineRule="exact"/>
        <w:ind w:firstLine="643" w:firstLineChars="200"/>
        <w:outlineLvl w:val="2"/>
        <w:rPr>
          <w:rFonts w:ascii="仿宋" w:hAnsi="仿宋" w:eastAsia="仿宋"/>
          <w:color w:val="auto"/>
          <w:sz w:val="32"/>
          <w:szCs w:val="32"/>
          <w:highlight w:val="none"/>
        </w:rPr>
      </w:pPr>
      <w:bookmarkStart w:id="50" w:name="_Toc15377444"/>
      <w:bookmarkStart w:id="51" w:name="_Toc15378460"/>
      <w:bookmarkStart w:id="52" w:name="_Toc15377213"/>
      <w:bookmarkStart w:id="53" w:name="_Toc27572"/>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7927.59万元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50"/>
      <w:bookmarkEnd w:id="51"/>
      <w:bookmarkEnd w:id="52"/>
      <w:bookmarkEnd w:id="53"/>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1</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教育（类）</w:t>
      </w:r>
      <w:r>
        <w:rPr>
          <w:rStyle w:val="18"/>
          <w:rFonts w:hint="eastAsia" w:ascii="仿宋" w:hAnsi="仿宋" w:eastAsia="仿宋"/>
          <w:bCs/>
          <w:color w:val="auto"/>
          <w:sz w:val="32"/>
          <w:szCs w:val="32"/>
          <w:highlight w:val="none"/>
          <w:lang w:val="en-US" w:eastAsia="zh-CN"/>
        </w:rPr>
        <w:t>205</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val="en-US" w:eastAsia="zh-CN"/>
        </w:rPr>
        <w:t>02</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224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Style w:val="18"/>
          <w:rFonts w:hint="eastAsia" w:ascii="仿宋" w:hAnsi="仿宋" w:eastAsia="仿宋"/>
          <w:b w:val="0"/>
          <w:bCs/>
          <w:color w:val="000000"/>
          <w:sz w:val="32"/>
          <w:szCs w:val="32"/>
          <w:lang w:val="en-US" w:eastAsia="zh-CN"/>
        </w:rPr>
      </w:pPr>
      <w:r>
        <w:rPr>
          <w:rStyle w:val="18"/>
          <w:rFonts w:hint="eastAsia" w:ascii="仿宋" w:hAnsi="仿宋" w:eastAsia="仿宋"/>
          <w:bCs/>
          <w:color w:val="000000"/>
          <w:sz w:val="32"/>
          <w:szCs w:val="32"/>
          <w:lang w:val="en-US" w:eastAsia="zh-CN"/>
        </w:rPr>
        <w:t>2</w:t>
      </w:r>
      <w:r>
        <w:rPr>
          <w:rStyle w:val="18"/>
          <w:rFonts w:ascii="仿宋" w:hAnsi="仿宋" w:eastAsia="仿宋"/>
          <w:bCs/>
          <w:color w:val="000000"/>
          <w:sz w:val="32"/>
          <w:szCs w:val="32"/>
        </w:rPr>
        <w:t>.</w:t>
      </w:r>
      <w:r>
        <w:rPr>
          <w:rStyle w:val="18"/>
          <w:rFonts w:hint="eastAsia" w:ascii="仿宋" w:hAnsi="仿宋" w:eastAsia="仿宋"/>
          <w:bCs/>
          <w:color w:val="000000"/>
          <w:sz w:val="32"/>
          <w:szCs w:val="32"/>
        </w:rPr>
        <w:t>社会保障和就业（类）</w:t>
      </w:r>
      <w:r>
        <w:rPr>
          <w:rStyle w:val="18"/>
          <w:rFonts w:hint="eastAsia" w:ascii="仿宋" w:hAnsi="仿宋" w:eastAsia="仿宋"/>
          <w:bCs/>
          <w:color w:val="000000"/>
          <w:sz w:val="32"/>
          <w:szCs w:val="32"/>
          <w:lang w:val="en-US" w:eastAsia="zh-CN"/>
        </w:rPr>
        <w:t>208</w:t>
      </w:r>
      <w:r>
        <w:rPr>
          <w:rStyle w:val="18"/>
          <w:rFonts w:hint="eastAsia" w:ascii="仿宋_GB2312" w:eastAsia="仿宋_GB2312"/>
          <w:color w:val="000000"/>
          <w:sz w:val="32"/>
          <w:szCs w:val="32"/>
        </w:rPr>
        <w:t>（款）</w:t>
      </w:r>
      <w:r>
        <w:rPr>
          <w:rStyle w:val="18"/>
          <w:rFonts w:hint="eastAsia" w:ascii="仿宋_GB2312" w:eastAsia="仿宋_GB2312"/>
          <w:color w:val="000000"/>
          <w:sz w:val="32"/>
          <w:szCs w:val="32"/>
          <w:lang w:val="en-US" w:eastAsia="zh-CN"/>
        </w:rPr>
        <w:t>01</w:t>
      </w:r>
      <w:r>
        <w:rPr>
          <w:rStyle w:val="18"/>
          <w:rFonts w:hint="eastAsia" w:ascii="仿宋_GB2312" w:eastAsia="仿宋_GB2312"/>
          <w:color w:val="000000"/>
          <w:sz w:val="32"/>
          <w:szCs w:val="32"/>
        </w:rPr>
        <w:t>（项）</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6796.07</w:t>
      </w:r>
      <w:r>
        <w:rPr>
          <w:rStyle w:val="18"/>
          <w:rFonts w:hint="eastAsia" w:ascii="仿宋" w:hAnsi="仿宋" w:eastAsia="仿宋"/>
          <w:b w:val="0"/>
          <w:bCs/>
          <w:color w:val="000000"/>
          <w:sz w:val="32"/>
          <w:szCs w:val="32"/>
        </w:rPr>
        <w:t>万元，完成预</w:t>
      </w:r>
      <w:r>
        <w:rPr>
          <w:rStyle w:val="18"/>
          <w:rFonts w:hint="eastAsia" w:ascii="仿宋" w:hAnsi="仿宋" w:eastAsia="仿宋"/>
          <w:b w:val="0"/>
          <w:bCs w:val="0"/>
          <w:color w:val="000000"/>
          <w:sz w:val="32"/>
          <w:szCs w:val="32"/>
        </w:rPr>
        <w:t>算</w:t>
      </w:r>
      <w:r>
        <w:rPr>
          <w:rStyle w:val="18"/>
          <w:rFonts w:hint="eastAsia" w:ascii="仿宋" w:hAnsi="仿宋" w:eastAsia="仿宋"/>
          <w:b w:val="0"/>
          <w:bCs w:val="0"/>
          <w:color w:val="000000"/>
          <w:sz w:val="32"/>
          <w:szCs w:val="32"/>
          <w:lang w:val="en-US" w:eastAsia="zh-CN"/>
        </w:rPr>
        <w:t>100</w:t>
      </w:r>
      <w:r>
        <w:rPr>
          <w:rStyle w:val="18"/>
          <w:rFonts w:hint="eastAsia" w:ascii="仿宋" w:hAnsi="仿宋" w:eastAsia="仿宋"/>
          <w:b w:val="0"/>
          <w:bCs w:val="0"/>
          <w:color w:val="000000"/>
          <w:sz w:val="32"/>
          <w:szCs w:val="32"/>
        </w:rPr>
        <w:t>%</w:t>
      </w:r>
      <w:r>
        <w:rPr>
          <w:rStyle w:val="18"/>
          <w:rFonts w:hint="eastAsia" w:ascii="仿宋" w:hAnsi="仿宋" w:eastAsia="仿宋"/>
          <w:b w:val="0"/>
          <w:bCs w:val="0"/>
          <w:color w:val="000000"/>
          <w:sz w:val="32"/>
          <w:szCs w:val="32"/>
          <w:lang w:val="en-US" w:eastAsia="zh-CN"/>
        </w:rPr>
        <w:t>。</w:t>
      </w:r>
    </w:p>
    <w:p>
      <w:pPr>
        <w:spacing w:line="600" w:lineRule="exact"/>
        <w:ind w:firstLine="643" w:firstLineChars="200"/>
        <w:rPr>
          <w:rFonts w:ascii="仿宋" w:hAnsi="仿宋" w:eastAsia="仿宋"/>
          <w:b/>
          <w:color w:val="000000"/>
          <w:sz w:val="32"/>
          <w:szCs w:val="32"/>
        </w:rPr>
      </w:pPr>
      <w:r>
        <w:rPr>
          <w:rStyle w:val="18"/>
          <w:rFonts w:hint="eastAsia" w:ascii="仿宋" w:hAnsi="仿宋" w:eastAsia="仿宋"/>
          <w:bCs/>
          <w:color w:val="000000"/>
          <w:sz w:val="32"/>
          <w:szCs w:val="32"/>
          <w:lang w:val="en-US" w:eastAsia="zh-CN"/>
        </w:rPr>
        <w:t>3</w:t>
      </w:r>
      <w:r>
        <w:rPr>
          <w:rStyle w:val="18"/>
          <w:rFonts w:ascii="仿宋" w:hAnsi="仿宋" w:eastAsia="仿宋"/>
          <w:bCs/>
          <w:color w:val="000000"/>
          <w:sz w:val="32"/>
          <w:szCs w:val="32"/>
        </w:rPr>
        <w:t>.</w:t>
      </w:r>
      <w:r>
        <w:rPr>
          <w:rFonts w:hint="eastAsia" w:ascii="仿宋" w:hAnsi="仿宋" w:eastAsia="仿宋"/>
          <w:b/>
          <w:bCs/>
          <w:color w:val="000000"/>
          <w:sz w:val="32"/>
          <w:szCs w:val="32"/>
        </w:rPr>
        <w:t>卫生健康</w:t>
      </w:r>
      <w:r>
        <w:rPr>
          <w:rStyle w:val="18"/>
          <w:rFonts w:hint="eastAsia" w:ascii="仿宋" w:hAnsi="仿宋" w:eastAsia="仿宋"/>
          <w:bCs/>
          <w:color w:val="000000"/>
          <w:sz w:val="32"/>
          <w:szCs w:val="32"/>
        </w:rPr>
        <w:t>（类）</w:t>
      </w:r>
      <w:r>
        <w:rPr>
          <w:rStyle w:val="18"/>
          <w:rFonts w:hint="eastAsia" w:ascii="仿宋" w:hAnsi="仿宋" w:eastAsia="仿宋"/>
          <w:bCs/>
          <w:color w:val="000000"/>
          <w:sz w:val="32"/>
          <w:szCs w:val="32"/>
          <w:lang w:val="en-US" w:eastAsia="zh-CN"/>
        </w:rPr>
        <w:t>210</w:t>
      </w:r>
      <w:r>
        <w:rPr>
          <w:rStyle w:val="18"/>
          <w:rFonts w:hint="eastAsia" w:ascii="仿宋_GB2312" w:eastAsia="仿宋_GB2312"/>
          <w:color w:val="000000"/>
          <w:sz w:val="32"/>
          <w:szCs w:val="32"/>
        </w:rPr>
        <w:t>（款）</w:t>
      </w:r>
      <w:r>
        <w:rPr>
          <w:rStyle w:val="18"/>
          <w:rFonts w:hint="eastAsia" w:ascii="仿宋_GB2312" w:eastAsia="仿宋_GB2312"/>
          <w:color w:val="000000"/>
          <w:sz w:val="32"/>
          <w:szCs w:val="32"/>
          <w:lang w:val="en-US" w:eastAsia="zh-CN"/>
        </w:rPr>
        <w:t>11</w:t>
      </w:r>
      <w:r>
        <w:rPr>
          <w:rStyle w:val="18"/>
          <w:rFonts w:hint="eastAsia" w:ascii="仿宋_GB2312" w:eastAsia="仿宋_GB2312"/>
          <w:color w:val="000000"/>
          <w:sz w:val="32"/>
          <w:szCs w:val="32"/>
        </w:rPr>
        <w:t>（项）</w:t>
      </w:r>
      <w:r>
        <w:rPr>
          <w:rStyle w:val="18"/>
          <w:rFonts w:hint="eastAsia" w:ascii="仿宋_GB2312" w:eastAsia="仿宋_GB2312"/>
          <w:color w:val="000000"/>
          <w:sz w:val="32"/>
          <w:szCs w:val="32"/>
          <w:lang w:val="en-US" w:eastAsia="zh-CN"/>
        </w:rPr>
        <w:t>01</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34.31</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val="en-US" w:eastAsia="zh-CN"/>
        </w:rPr>
        <w:t>。</w:t>
      </w:r>
    </w:p>
    <w:p>
      <w:pPr>
        <w:spacing w:line="600" w:lineRule="exact"/>
        <w:ind w:firstLine="643" w:firstLineChars="200"/>
        <w:rPr>
          <w:rStyle w:val="18"/>
          <w:rFonts w:hint="eastAsia" w:ascii="仿宋" w:hAnsi="仿宋" w:eastAsia="仿宋"/>
          <w:b w:val="0"/>
          <w:bCs/>
          <w:color w:val="000000"/>
          <w:sz w:val="32"/>
          <w:szCs w:val="32"/>
          <w:lang w:val="en-US" w:eastAsia="zh-CN"/>
        </w:rPr>
      </w:pPr>
      <w:r>
        <w:rPr>
          <w:rStyle w:val="18"/>
          <w:rFonts w:hint="eastAsia" w:ascii="仿宋" w:hAnsi="仿宋" w:eastAsia="仿宋"/>
          <w:bCs/>
          <w:color w:val="000000"/>
          <w:sz w:val="32"/>
          <w:szCs w:val="32"/>
          <w:lang w:val="en-US" w:eastAsia="zh-CN"/>
        </w:rPr>
        <w:t>4</w:t>
      </w:r>
      <w:r>
        <w:rPr>
          <w:rStyle w:val="18"/>
          <w:rFonts w:ascii="仿宋" w:hAnsi="仿宋" w:eastAsia="仿宋"/>
          <w:bCs/>
          <w:color w:val="000000"/>
          <w:sz w:val="32"/>
          <w:szCs w:val="32"/>
        </w:rPr>
        <w:t>.</w:t>
      </w:r>
      <w:r>
        <w:rPr>
          <w:rFonts w:hint="eastAsia" w:ascii="仿宋" w:hAnsi="仿宋" w:eastAsia="仿宋" w:cs="Times New Roman"/>
          <w:b/>
          <w:color w:val="000000"/>
          <w:sz w:val="32"/>
          <w:szCs w:val="32"/>
        </w:rPr>
        <w:t>住房保障</w:t>
      </w:r>
      <w:r>
        <w:rPr>
          <w:rStyle w:val="18"/>
          <w:rFonts w:hint="eastAsia" w:ascii="仿宋" w:hAnsi="仿宋" w:eastAsia="仿宋"/>
          <w:bCs/>
          <w:color w:val="000000"/>
          <w:sz w:val="32"/>
          <w:szCs w:val="32"/>
        </w:rPr>
        <w:t>（类）</w:t>
      </w:r>
      <w:r>
        <w:rPr>
          <w:rStyle w:val="18"/>
          <w:rFonts w:hint="eastAsia" w:ascii="仿宋" w:hAnsi="仿宋" w:eastAsia="仿宋"/>
          <w:bCs/>
          <w:color w:val="000000"/>
          <w:sz w:val="32"/>
          <w:szCs w:val="32"/>
          <w:lang w:val="en-US" w:eastAsia="zh-CN"/>
        </w:rPr>
        <w:t>221</w:t>
      </w:r>
      <w:r>
        <w:rPr>
          <w:rStyle w:val="18"/>
          <w:rFonts w:hint="eastAsia" w:ascii="仿宋_GB2312" w:eastAsia="仿宋_GB2312"/>
          <w:color w:val="000000"/>
          <w:sz w:val="32"/>
          <w:szCs w:val="32"/>
        </w:rPr>
        <w:t>（款）</w:t>
      </w:r>
      <w:r>
        <w:rPr>
          <w:rStyle w:val="18"/>
          <w:rFonts w:hint="eastAsia" w:ascii="仿宋_GB2312" w:eastAsia="仿宋_GB2312"/>
          <w:color w:val="000000"/>
          <w:sz w:val="32"/>
          <w:szCs w:val="32"/>
          <w:lang w:val="en-US" w:eastAsia="zh-CN"/>
        </w:rPr>
        <w:t>02</w:t>
      </w:r>
      <w:r>
        <w:rPr>
          <w:rStyle w:val="18"/>
          <w:rFonts w:hint="eastAsia" w:ascii="仿宋_GB2312" w:eastAsia="仿宋_GB2312"/>
          <w:color w:val="000000"/>
          <w:sz w:val="32"/>
          <w:szCs w:val="32"/>
        </w:rPr>
        <w:t>（项）</w:t>
      </w:r>
      <w:r>
        <w:rPr>
          <w:rStyle w:val="18"/>
          <w:rFonts w:hint="eastAsia" w:ascii="仿宋_GB2312" w:eastAsia="仿宋_GB2312"/>
          <w:color w:val="000000"/>
          <w:sz w:val="32"/>
          <w:szCs w:val="32"/>
          <w:lang w:val="en-US" w:eastAsia="zh-CN"/>
        </w:rPr>
        <w:t>01</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69.18</w:t>
      </w:r>
      <w:r>
        <w:rPr>
          <w:rFonts w:hint="eastAsia" w:ascii="仿宋" w:hAnsi="仿宋" w:eastAsia="仿宋"/>
          <w:color w:val="000000"/>
          <w:sz w:val="32"/>
          <w:szCs w:val="32"/>
        </w:rPr>
        <w:t>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val="en-US" w:eastAsia="zh-CN"/>
        </w:rPr>
        <w:t>。</w:t>
      </w:r>
    </w:p>
    <w:p>
      <w:pPr>
        <w:spacing w:line="600" w:lineRule="exact"/>
        <w:ind w:firstLine="643" w:firstLineChars="200"/>
        <w:rPr>
          <w:rStyle w:val="18"/>
          <w:rFonts w:hint="eastAsia" w:ascii="仿宋" w:hAnsi="仿宋" w:eastAsia="仿宋"/>
          <w:b w:val="0"/>
          <w:bCs/>
          <w:color w:val="000000"/>
          <w:sz w:val="32"/>
          <w:szCs w:val="32"/>
          <w:highlight w:val="none"/>
          <w:lang w:eastAsia="zh-CN"/>
        </w:rPr>
      </w:pPr>
      <w:r>
        <w:rPr>
          <w:rStyle w:val="18"/>
          <w:rFonts w:hint="eastAsia" w:ascii="仿宋" w:hAnsi="仿宋" w:eastAsia="仿宋"/>
          <w:bCs/>
          <w:color w:val="000000"/>
          <w:sz w:val="32"/>
          <w:szCs w:val="32"/>
          <w:highlight w:val="none"/>
          <w:lang w:val="en-US" w:eastAsia="zh-CN"/>
        </w:rPr>
        <w:t>5</w:t>
      </w:r>
      <w:r>
        <w:rPr>
          <w:rStyle w:val="18"/>
          <w:rFonts w:ascii="仿宋" w:hAnsi="仿宋" w:eastAsia="仿宋"/>
          <w:bCs/>
          <w:color w:val="000000"/>
          <w:sz w:val="32"/>
          <w:szCs w:val="32"/>
          <w:highlight w:val="none"/>
        </w:rPr>
        <w:t>.</w:t>
      </w:r>
      <w:r>
        <w:rPr>
          <w:rFonts w:hint="eastAsia" w:ascii="仿宋" w:hAnsi="仿宋" w:eastAsia="仿宋" w:cs="Times New Roman"/>
          <w:b/>
          <w:color w:val="000000"/>
          <w:sz w:val="32"/>
          <w:szCs w:val="32"/>
          <w:highlight w:val="none"/>
          <w:lang w:eastAsia="zh-CN"/>
        </w:rPr>
        <w:t>农林水</w:t>
      </w:r>
      <w:r>
        <w:rPr>
          <w:rStyle w:val="18"/>
          <w:rFonts w:hint="eastAsia" w:ascii="仿宋" w:hAnsi="仿宋" w:eastAsia="仿宋"/>
          <w:bCs/>
          <w:color w:val="000000"/>
          <w:sz w:val="32"/>
          <w:szCs w:val="32"/>
          <w:highlight w:val="none"/>
        </w:rPr>
        <w:t>（类）</w:t>
      </w:r>
      <w:r>
        <w:rPr>
          <w:rStyle w:val="18"/>
          <w:rFonts w:hint="eastAsia" w:ascii="仿宋" w:hAnsi="仿宋" w:eastAsia="仿宋"/>
          <w:bCs/>
          <w:color w:val="000000"/>
          <w:sz w:val="32"/>
          <w:szCs w:val="32"/>
          <w:lang w:val="en-US" w:eastAsia="zh-CN"/>
        </w:rPr>
        <w:t>213</w:t>
      </w:r>
      <w:r>
        <w:rPr>
          <w:rStyle w:val="18"/>
          <w:rFonts w:hint="eastAsia" w:ascii="仿宋_GB2312" w:eastAsia="仿宋_GB2312"/>
          <w:color w:val="000000"/>
          <w:sz w:val="32"/>
          <w:szCs w:val="32"/>
        </w:rPr>
        <w:t>（款）</w:t>
      </w:r>
      <w:r>
        <w:rPr>
          <w:rStyle w:val="18"/>
          <w:rFonts w:hint="eastAsia" w:ascii="仿宋_GB2312" w:eastAsia="仿宋_GB2312"/>
          <w:color w:val="000000"/>
          <w:sz w:val="32"/>
          <w:szCs w:val="32"/>
          <w:lang w:val="en-US" w:eastAsia="zh-CN"/>
        </w:rPr>
        <w:t>05</w:t>
      </w:r>
      <w:r>
        <w:rPr>
          <w:rStyle w:val="18"/>
          <w:rFonts w:hint="eastAsia" w:ascii="仿宋_GB2312" w:eastAsia="仿宋_GB2312"/>
          <w:color w:val="000000"/>
          <w:sz w:val="32"/>
          <w:szCs w:val="32"/>
        </w:rPr>
        <w:t>（项）</w:t>
      </w:r>
      <w:r>
        <w:rPr>
          <w:rStyle w:val="18"/>
          <w:rFonts w:hint="eastAsia" w:ascii="仿宋_GB2312" w:eastAsia="仿宋_GB2312"/>
          <w:color w:val="000000"/>
          <w:sz w:val="32"/>
          <w:szCs w:val="32"/>
          <w:lang w:val="en-US" w:eastAsia="zh-CN"/>
        </w:rPr>
        <w:t>06</w:t>
      </w:r>
      <w:r>
        <w:rPr>
          <w:rStyle w:val="18"/>
          <w:rFonts w:hint="eastAsia" w:ascii="仿宋" w:hAnsi="仿宋" w:eastAsia="仿宋"/>
          <w:bCs/>
          <w:color w:val="000000"/>
          <w:sz w:val="32"/>
          <w:szCs w:val="32"/>
          <w:lang w:eastAsia="zh-CN"/>
        </w:rPr>
        <w:t>：</w:t>
      </w:r>
      <w:r>
        <w:rPr>
          <w:rStyle w:val="18"/>
          <w:rFonts w:hint="eastAsia" w:ascii="仿宋" w:hAnsi="仿宋" w:eastAsia="仿宋"/>
          <w:b w:val="0"/>
          <w:bCs/>
          <w:color w:val="000000"/>
          <w:sz w:val="32"/>
          <w:szCs w:val="32"/>
          <w:highlight w:val="none"/>
        </w:rPr>
        <w:t>支出决算为</w:t>
      </w:r>
      <w:r>
        <w:rPr>
          <w:rStyle w:val="18"/>
          <w:rFonts w:hint="eastAsia" w:ascii="仿宋" w:hAnsi="仿宋" w:eastAsia="仿宋"/>
          <w:b w:val="0"/>
          <w:bCs/>
          <w:color w:val="000000"/>
          <w:sz w:val="32"/>
          <w:szCs w:val="32"/>
          <w:highlight w:val="none"/>
          <w:lang w:val="en-US" w:eastAsia="zh-CN"/>
        </w:rPr>
        <w:t>804.03</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w:t>
      </w:r>
      <w:r>
        <w:rPr>
          <w:rStyle w:val="18"/>
          <w:rFonts w:hint="eastAsia" w:ascii="仿宋" w:hAnsi="仿宋" w:eastAsia="仿宋"/>
          <w:b w:val="0"/>
          <w:bCs/>
          <w:color w:val="000000"/>
          <w:sz w:val="32"/>
          <w:szCs w:val="32"/>
          <w:highlight w:val="none"/>
        </w:rPr>
        <w:t>完成预算</w:t>
      </w:r>
      <w:r>
        <w:rPr>
          <w:rStyle w:val="18"/>
          <w:rFonts w:hint="eastAsia" w:ascii="仿宋" w:hAnsi="仿宋" w:eastAsia="仿宋"/>
          <w:b w:val="0"/>
          <w:bCs/>
          <w:color w:val="000000"/>
          <w:sz w:val="32"/>
          <w:szCs w:val="32"/>
          <w:highlight w:val="none"/>
          <w:lang w:val="en-US" w:eastAsia="zh-CN"/>
        </w:rPr>
        <w:t>100</w:t>
      </w:r>
      <w:r>
        <w:rPr>
          <w:rStyle w:val="18"/>
          <w:rFonts w:ascii="仿宋" w:hAnsi="仿宋" w:eastAsia="仿宋"/>
          <w:b w:val="0"/>
          <w:bCs/>
          <w:color w:val="000000"/>
          <w:sz w:val="32"/>
          <w:szCs w:val="32"/>
          <w:highlight w:val="none"/>
        </w:rPr>
        <w:t>%</w:t>
      </w:r>
      <w:r>
        <w:rPr>
          <w:rStyle w:val="18"/>
          <w:rFonts w:hint="eastAsia" w:ascii="仿宋" w:hAnsi="仿宋" w:eastAsia="仿宋"/>
          <w:b w:val="0"/>
          <w:bCs/>
          <w:color w:val="000000"/>
          <w:sz w:val="32"/>
          <w:szCs w:val="32"/>
          <w:highlight w:val="none"/>
          <w:lang w:eastAsia="zh-CN"/>
        </w:rPr>
        <w:t>。</w:t>
      </w:r>
    </w:p>
    <w:p>
      <w:pPr>
        <w:spacing w:line="600" w:lineRule="exact"/>
        <w:ind w:firstLine="643" w:firstLineChars="200"/>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r>
        <w:rPr>
          <w:rFonts w:hint="eastAsia" w:ascii="仿宋" w:hAnsi="仿宋" w:eastAsia="仿宋"/>
          <w:b/>
          <w:color w:val="auto"/>
          <w:sz w:val="32"/>
          <w:szCs w:val="32"/>
          <w:highlight w:val="none"/>
          <w:lang w:eastAsia="zh-CN"/>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30"/>
          <w:color w:val="auto"/>
          <w:highlight w:val="none"/>
        </w:rPr>
      </w:pPr>
      <w:bookmarkStart w:id="54" w:name="_Toc15396608"/>
      <w:bookmarkStart w:id="55" w:name="_Toc15377214"/>
      <w:bookmarkStart w:id="56" w:name="_Toc20460"/>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54"/>
      <w:bookmarkEnd w:id="55"/>
      <w:bookmarkEnd w:id="56"/>
      <w:r>
        <w:rPr>
          <w:rStyle w:val="30"/>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922.27</w:t>
      </w:r>
      <w:r>
        <w:rPr>
          <w:rFonts w:hint="eastAsia" w:ascii="仿宋" w:hAnsi="仿宋" w:eastAsia="仿宋"/>
          <w:color w:val="auto"/>
          <w:sz w:val="32"/>
          <w:szCs w:val="32"/>
          <w:highlight w:val="none"/>
        </w:rPr>
        <w:t>万元，其中：</w:t>
      </w:r>
    </w:p>
    <w:p>
      <w:pPr>
        <w:spacing w:line="600" w:lineRule="exact"/>
        <w:ind w:firstLine="1302" w:firstLineChars="407"/>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838.23</w:t>
      </w:r>
      <w:r>
        <w:rPr>
          <w:rFonts w:hint="eastAsia" w:ascii="仿宋" w:hAnsi="仿宋" w:eastAsia="仿宋"/>
          <w:color w:val="auto"/>
          <w:sz w:val="32"/>
          <w:szCs w:val="32"/>
          <w:highlight w:val="none"/>
        </w:rPr>
        <w:t>万元，主要包括：基本工资、津贴补贴、奖金、绩效工资、机关事业单位基本养老保险缴费、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rPr>
        <w:t>其他社会保障缴费、其他工资福利支出、抚恤金、生活补助、住房公积金、其他对个人和家庭的补助支出等。</w:t>
      </w:r>
    </w:p>
    <w:p>
      <w:pPr>
        <w:spacing w:line="600" w:lineRule="exact"/>
        <w:ind w:firstLine="645"/>
        <w:rPr>
          <w:rFonts w:hint="eastAsia" w:ascii="黑体" w:eastAsia="黑体"/>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84.04</w:t>
      </w:r>
      <w:r>
        <w:rPr>
          <w:rFonts w:hint="eastAsia" w:ascii="仿宋" w:hAnsi="仿宋" w:eastAsia="仿宋"/>
          <w:color w:val="auto"/>
          <w:sz w:val="32"/>
          <w:szCs w:val="32"/>
          <w:highlight w:val="none"/>
        </w:rPr>
        <w:t>万元，主要包括：办公费、印刷费、咨询费、手续费、水费、电费、邮电费、物业管理费、差旅费、维修（护）费、租赁费、会议费、培训费、公务接待费、劳务费、委托业务费、工会经费、福利费、其他交通费、办公设备购置等。</w:t>
      </w:r>
      <w:bookmarkStart w:id="57" w:name="_Toc15377215"/>
      <w:bookmarkStart w:id="58" w:name="_Toc15396609"/>
      <w:bookmarkStart w:id="59" w:name="_Toc25642"/>
    </w:p>
    <w:p>
      <w:pPr>
        <w:spacing w:line="600" w:lineRule="exact"/>
        <w:ind w:firstLine="640"/>
        <w:outlineLvl w:val="1"/>
        <w:rPr>
          <w:rStyle w:val="30"/>
          <w:rFonts w:ascii="黑体" w:hAnsi="黑体" w:eastAsia="黑体"/>
          <w:b w:val="0"/>
          <w:color w:val="auto"/>
          <w:highlight w:val="none"/>
        </w:rPr>
      </w:pPr>
      <w:r>
        <w:rPr>
          <w:rFonts w:hint="eastAsia" w:ascii="黑体" w:eastAsia="黑体"/>
          <w:color w:val="auto"/>
          <w:sz w:val="32"/>
          <w:szCs w:val="32"/>
          <w:highlight w:val="none"/>
        </w:rPr>
        <w:t>七、</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三公”经费财政拨款支出决算情况说明</w:t>
      </w:r>
      <w:bookmarkEnd w:id="57"/>
      <w:bookmarkEnd w:id="58"/>
      <w:bookmarkEnd w:id="59"/>
    </w:p>
    <w:p>
      <w:pPr>
        <w:spacing w:line="600" w:lineRule="exact"/>
        <w:ind w:firstLine="640"/>
        <w:outlineLvl w:val="2"/>
        <w:rPr>
          <w:rFonts w:ascii="仿宋" w:hAnsi="仿宋" w:eastAsia="仿宋"/>
          <w:b/>
          <w:color w:val="auto"/>
          <w:sz w:val="32"/>
          <w:szCs w:val="32"/>
          <w:highlight w:val="none"/>
        </w:rPr>
      </w:pPr>
      <w:bookmarkStart w:id="60" w:name="_Toc15377216"/>
      <w:bookmarkStart w:id="61" w:name="_Toc5870"/>
      <w:r>
        <w:rPr>
          <w:rFonts w:hint="eastAsia" w:ascii="仿宋" w:hAnsi="仿宋" w:eastAsia="仿宋"/>
          <w:b/>
          <w:color w:val="auto"/>
          <w:sz w:val="32"/>
          <w:szCs w:val="32"/>
          <w:highlight w:val="none"/>
        </w:rPr>
        <w:t>（一）“三公”经费财政拨款支出决算总体情况说明</w:t>
      </w:r>
      <w:bookmarkEnd w:id="60"/>
      <w:bookmarkEnd w:id="6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1.22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，预算数预算数持平的主要原因是</w:t>
      </w:r>
      <w:r>
        <w:rPr>
          <w:rFonts w:hint="eastAsia" w:ascii="仿宋_GB2312" w:eastAsia="仿宋_GB2312"/>
          <w:color w:val="auto"/>
          <w:sz w:val="32"/>
          <w:szCs w:val="32"/>
          <w:highlight w:val="none"/>
          <w:lang w:eastAsia="zh-CN"/>
        </w:rPr>
        <w:t>公务接待管理规范、控制较好</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62" w:name="_Toc15377217"/>
      <w:bookmarkStart w:id="63" w:name="_Toc22942"/>
      <w:r>
        <w:rPr>
          <w:rFonts w:hint="eastAsia" w:ascii="仿宋" w:hAnsi="仿宋" w:eastAsia="仿宋"/>
          <w:b/>
          <w:color w:val="auto"/>
          <w:sz w:val="32"/>
          <w:szCs w:val="32"/>
          <w:highlight w:val="none"/>
        </w:rPr>
        <w:t>（二）“三公”经费财政拨款支出决算具体情况说明</w:t>
      </w:r>
      <w:bookmarkEnd w:id="62"/>
      <w:bookmarkEnd w:id="6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年初未安排预算</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年初未安排预算</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7456" behindDoc="0" locked="0" layoutInCell="1" allowOverlap="1">
            <wp:simplePos x="0" y="0"/>
            <wp:positionH relativeFrom="margin">
              <wp:posOffset>610870</wp:posOffset>
            </wp:positionH>
            <wp:positionV relativeFrom="margin">
              <wp:posOffset>7003415</wp:posOffset>
            </wp:positionV>
            <wp:extent cx="3247390" cy="1723390"/>
            <wp:effectExtent l="4445" t="4445" r="9525" b="9525"/>
            <wp:wrapSquare wrapText="bothSides"/>
            <wp:docPr id="1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lang w:val="en-US" w:eastAsia="zh-CN"/>
        </w:rPr>
      </w:pPr>
    </w:p>
    <w:p>
      <w:pPr>
        <w:spacing w:line="600" w:lineRule="exact"/>
        <w:rPr>
          <w:rFonts w:hint="eastAsia" w:ascii="仿宋" w:hAnsi="仿宋" w:eastAsia="仿宋"/>
          <w:color w:val="auto"/>
          <w:sz w:val="32"/>
          <w:szCs w:val="32"/>
          <w:highlight w:val="none"/>
          <w:lang w:val="en-US" w:eastAsia="zh-CN"/>
        </w:rPr>
      </w:pP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（图9</w:t>
      </w:r>
      <w:r>
        <w:rPr>
          <w:rFonts w:hint="eastAsia" w:ascii="仿宋" w:hAnsi="仿宋" w:eastAsia="仿宋"/>
          <w:color w:val="auto"/>
          <w:sz w:val="32"/>
          <w:szCs w:val="32"/>
          <w:highlight w:val="none"/>
        </w:rPr>
        <w:t>：“三公”经费财政拨款支出结构）（饼状图）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w:t>
      </w:r>
    </w:p>
    <w:p>
      <w:pPr>
        <w:spacing w:line="600" w:lineRule="exact"/>
        <w:ind w:firstLine="320" w:firstLineChars="1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w:t>
      </w:r>
    </w:p>
    <w:p>
      <w:pPr>
        <w:spacing w:line="600" w:lineRule="exact"/>
        <w:ind w:firstLine="321" w:firstLineChars="10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单位无公务用车</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1.22</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0.06</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w:t>
      </w:r>
      <w:r>
        <w:rPr>
          <w:rFonts w:hint="eastAsia" w:ascii="仿宋_GB2312" w:eastAsia="仿宋_GB2312"/>
          <w:color w:val="auto"/>
          <w:sz w:val="32"/>
          <w:szCs w:val="32"/>
          <w:highlight w:val="none"/>
          <w:lang w:eastAsia="zh-CN"/>
        </w:rPr>
        <w:t>严格执行年初预算，按公务接待管理规范、控制较好</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1.22</w:t>
      </w:r>
      <w:r>
        <w:rPr>
          <w:rFonts w:hint="eastAsia" w:ascii="仿宋_GB2312" w:eastAsia="仿宋_GB2312"/>
          <w:color w:val="auto"/>
          <w:sz w:val="32"/>
          <w:szCs w:val="32"/>
          <w:highlight w:val="none"/>
        </w:rPr>
        <w:t>万元，主要用于执行公务、开展业务活动开支的用餐费等。国内公务接待</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216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1.22</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没有外事接待。</w:t>
      </w:r>
    </w:p>
    <w:p>
      <w:pPr>
        <w:spacing w:line="600" w:lineRule="exact"/>
        <w:ind w:firstLine="640"/>
        <w:outlineLvl w:val="1"/>
        <w:rPr>
          <w:rStyle w:val="30"/>
          <w:rFonts w:ascii="黑体" w:hAnsi="黑体" w:eastAsia="黑体"/>
          <w:color w:val="auto"/>
          <w:highlight w:val="none"/>
        </w:rPr>
      </w:pPr>
      <w:bookmarkStart w:id="64" w:name="_Toc15377218"/>
      <w:bookmarkStart w:id="65" w:name="_Toc15396610"/>
      <w:bookmarkStart w:id="66" w:name="_Toc17478"/>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64"/>
      <w:bookmarkEnd w:id="65"/>
      <w:bookmarkEnd w:id="66"/>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30"/>
          <w:rFonts w:ascii="黑体" w:hAnsi="黑体" w:eastAsia="黑体"/>
          <w:b w:val="0"/>
          <w:color w:val="auto"/>
          <w:highlight w:val="none"/>
        </w:rPr>
      </w:pPr>
      <w:bookmarkStart w:id="67" w:name="_Toc15396611"/>
      <w:bookmarkStart w:id="68" w:name="_Toc15377219"/>
      <w:bookmarkStart w:id="69" w:name="_Toc24851"/>
      <w:r>
        <w:rPr>
          <w:rStyle w:val="30"/>
          <w:rFonts w:hint="eastAsia" w:ascii="黑体" w:hAnsi="黑体" w:eastAsia="黑体"/>
          <w:b w:val="0"/>
          <w:color w:val="auto"/>
          <w:highlight w:val="none"/>
          <w:lang w:eastAsia="zh-CN"/>
        </w:rPr>
        <w:t>九、</w:t>
      </w:r>
      <w:r>
        <w:rPr>
          <w:rStyle w:val="30"/>
          <w:rFonts w:hint="eastAsia" w:ascii="黑体" w:hAnsi="黑体" w:eastAsia="黑体"/>
          <w:b w:val="0"/>
          <w:color w:val="auto"/>
          <w:highlight w:val="none"/>
        </w:rPr>
        <w:t>国有资本经营预算支出决算情况说明</w:t>
      </w:r>
      <w:bookmarkEnd w:id="67"/>
      <w:bookmarkEnd w:id="68"/>
      <w:bookmarkEnd w:id="69"/>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70" w:name="_Toc15377221"/>
      <w:bookmarkStart w:id="71" w:name="_Toc15396612"/>
    </w:p>
    <w:p>
      <w:pPr>
        <w:numPr>
          <w:ilvl w:val="0"/>
          <w:numId w:val="0"/>
        </w:numPr>
        <w:spacing w:line="600" w:lineRule="exact"/>
        <w:ind w:firstLine="640" w:firstLineChars="200"/>
        <w:outlineLvl w:val="1"/>
        <w:rPr>
          <w:rStyle w:val="30"/>
          <w:rFonts w:hint="eastAsia" w:ascii="黑体" w:hAnsi="黑体" w:eastAsia="黑体"/>
          <w:b w:val="0"/>
          <w:color w:val="auto"/>
          <w:highlight w:val="none"/>
        </w:rPr>
      </w:pPr>
      <w:bookmarkStart w:id="72" w:name="_Toc21897"/>
      <w:r>
        <w:rPr>
          <w:rStyle w:val="30"/>
          <w:rFonts w:hint="eastAsia" w:ascii="黑体" w:hAnsi="黑体" w:eastAsia="黑体"/>
          <w:b w:val="0"/>
          <w:color w:val="auto"/>
          <w:highlight w:val="none"/>
          <w:lang w:eastAsia="zh-CN"/>
        </w:rPr>
        <w:t>十、</w:t>
      </w:r>
      <w:r>
        <w:rPr>
          <w:rStyle w:val="30"/>
          <w:rFonts w:hint="eastAsia" w:ascii="黑体" w:hAnsi="黑体" w:eastAsia="黑体"/>
          <w:b w:val="0"/>
          <w:color w:val="auto"/>
          <w:highlight w:val="none"/>
        </w:rPr>
        <w:t>其他重要事项的情况说明</w:t>
      </w:r>
      <w:bookmarkEnd w:id="72"/>
    </w:p>
    <w:p>
      <w:pPr>
        <w:spacing w:line="600" w:lineRule="exact"/>
        <w:ind w:firstLine="643" w:firstLineChars="200"/>
        <w:outlineLvl w:val="2"/>
        <w:rPr>
          <w:rFonts w:ascii="仿宋" w:hAnsi="仿宋" w:eastAsia="仿宋"/>
          <w:color w:val="auto"/>
          <w:sz w:val="32"/>
          <w:szCs w:val="32"/>
          <w:highlight w:val="none"/>
        </w:rPr>
      </w:pPr>
      <w:bookmarkStart w:id="73" w:name="_Toc13315"/>
      <w:r>
        <w:rPr>
          <w:rFonts w:hint="eastAsia" w:ascii="仿宋" w:hAnsi="仿宋" w:eastAsia="仿宋"/>
          <w:b/>
          <w:color w:val="auto"/>
          <w:sz w:val="32"/>
          <w:szCs w:val="32"/>
          <w:highlight w:val="none"/>
        </w:rPr>
        <w:t>（一）机关运行经费支出情况</w:t>
      </w:r>
      <w:bookmarkEnd w:id="73"/>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广元市朝天区人力资源和社会保障局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84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14.3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14.5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是不断强化机关内部管理，压缩各项机关管理经费。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4" w:name="_Toc20403"/>
      <w:r>
        <w:rPr>
          <w:rFonts w:hint="eastAsia" w:ascii="仿宋" w:hAnsi="仿宋" w:eastAsia="仿宋"/>
          <w:b/>
          <w:color w:val="auto"/>
          <w:sz w:val="32"/>
          <w:szCs w:val="32"/>
          <w:highlight w:val="none"/>
        </w:rPr>
        <w:t>（二）政府采购支出情况</w:t>
      </w:r>
      <w:bookmarkEnd w:id="74"/>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广元市朝天区人力资源和社会保障局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年初未安排政府采购项目。</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5" w:name="_Toc22326"/>
      <w:r>
        <w:rPr>
          <w:rFonts w:hint="eastAsia" w:ascii="仿宋" w:hAnsi="仿宋" w:eastAsia="仿宋"/>
          <w:b/>
          <w:color w:val="auto"/>
          <w:sz w:val="32"/>
          <w:szCs w:val="32"/>
          <w:highlight w:val="none"/>
        </w:rPr>
        <w:t>（三）国有资产占有使用情况</w:t>
      </w:r>
      <w:bookmarkEnd w:id="7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广元市朝天区人力资源和社会保障局无公务用车</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6" w:name="_Toc28968"/>
      <w:r>
        <w:rPr>
          <w:rFonts w:hint="eastAsia" w:ascii="仿宋" w:hAnsi="仿宋" w:eastAsia="仿宋"/>
          <w:b/>
          <w:color w:val="auto"/>
          <w:sz w:val="32"/>
          <w:szCs w:val="32"/>
          <w:highlight w:val="none"/>
        </w:rPr>
        <w:t>（四）预算绩效管理情况</w:t>
      </w:r>
      <w:bookmarkEnd w:id="76"/>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年度预算编制阶段，组织对（档案数字化建设</w:t>
      </w:r>
      <w:r>
        <w:rPr>
          <w:rFonts w:hint="eastAsia" w:ascii="仿宋_GB2312" w:hAnsi="仿宋_GB2312" w:eastAsia="仿宋_GB2312" w:cs="仿宋_GB2312"/>
          <w:color w:val="auto"/>
          <w:sz w:val="32"/>
          <w:szCs w:val="32"/>
          <w:highlight w:val="none"/>
          <w:lang w:eastAsia="zh-CN"/>
        </w:rPr>
        <w:t>、信息化建设、人事人才工作经费、2022年普惠金融发展专项资金、2022年省级财政社保公共服务能力建设资金</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我单位</w:t>
      </w:r>
      <w:r>
        <w:rPr>
          <w:rFonts w:hint="eastAsia" w:ascii="仿宋_GB2312" w:hAnsi="仿宋_GB2312" w:eastAsia="仿宋_GB2312" w:cs="仿宋_GB2312"/>
          <w:color w:val="auto"/>
          <w:sz w:val="32"/>
          <w:szCs w:val="32"/>
          <w:highlight w:val="none"/>
        </w:rPr>
        <w:t>组织对2022年度一般公共预算全面开展绩效自评，形成</w:t>
      </w:r>
      <w:r>
        <w:rPr>
          <w:rFonts w:hint="eastAsia" w:ascii="仿宋_GB2312" w:hAnsi="仿宋_GB2312" w:eastAsia="仿宋_GB2312" w:cs="仿宋_GB2312"/>
          <w:color w:val="auto"/>
          <w:sz w:val="32"/>
          <w:szCs w:val="32"/>
          <w:highlight w:val="none"/>
          <w:lang w:eastAsia="zh-CN"/>
        </w:rPr>
        <w:t>广元市朝天区人力资源和社会保障局</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val="en-US" w:eastAsia="zh-CN"/>
        </w:rPr>
        <w:t>10个</w:t>
      </w:r>
      <w:r>
        <w:rPr>
          <w:rFonts w:hint="eastAsia" w:ascii="仿宋_GB2312" w:hAnsi="仿宋_GB2312" w:eastAsia="仿宋_GB2312" w:cs="仿宋_GB2312"/>
          <w:color w:val="auto"/>
          <w:sz w:val="32"/>
          <w:szCs w:val="32"/>
          <w:highlight w:val="none"/>
        </w:rPr>
        <w:t>专项预算项目绩效自评报告，其中，</w:t>
      </w:r>
      <w:r>
        <w:rPr>
          <w:rFonts w:hint="eastAsia" w:ascii="仿宋_GB2312" w:hAnsi="仿宋_GB2312" w:eastAsia="仿宋_GB2312" w:cs="仿宋_GB2312"/>
          <w:color w:val="auto"/>
          <w:sz w:val="32"/>
          <w:szCs w:val="32"/>
          <w:highlight w:val="none"/>
          <w:lang w:eastAsia="zh-CN"/>
        </w:rPr>
        <w:t>广元市朝天区人力资源和社会保障局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分，绩效自评综述：</w:t>
      </w:r>
      <w:r>
        <w:rPr>
          <w:rFonts w:hint="eastAsia" w:ascii="仿宋" w:hAnsi="仿宋" w:eastAsia="仿宋" w:cs="仿宋"/>
          <w:i w:val="0"/>
          <w:caps w:val="0"/>
          <w:color w:val="444444"/>
          <w:spacing w:val="0"/>
          <w:kern w:val="0"/>
          <w:sz w:val="32"/>
          <w:szCs w:val="32"/>
          <w:u w:val="none"/>
          <w:shd w:val="clear" w:color="auto" w:fill="FFFFFF"/>
          <w:lang w:val="en-US" w:eastAsia="zh-CN" w:bidi="ar"/>
        </w:rPr>
        <w:t>区人力资源和社会保障局围绕区委、区政府的中心工作大局，履行好人社工作职责，做好相关工作，2022年全面完成市、区下达的目标任务。档案数字化建设</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val="en-US" w:eastAsia="zh-CN"/>
        </w:rPr>
        <w:t>;信息化建设</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val="en-US" w:eastAsia="zh-CN"/>
        </w:rPr>
        <w:t>;2022年全区退休人员地区差异性生活补助</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lang w:eastAsia="zh-CN"/>
        </w:rPr>
        <w:t>人事人才工作经费</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；2022年就业创业补助资金</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；2022年普惠金融发展专项资金</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lang w:eastAsia="zh-CN"/>
        </w:rPr>
        <w:t>推进乡村振兴补助资金</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lang w:eastAsia="zh-CN"/>
        </w:rPr>
        <w:t>三支一扶项目中央、省级、地方配套资金</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lang w:eastAsia="zh-CN"/>
        </w:rPr>
        <w:t>东西部协作项目</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；2022年省级财政社保公共服务能力建设资金</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bookmarkEnd w:id="70"/>
    <w:bookmarkEnd w:id="71"/>
    <w:p>
      <w:pPr>
        <w:numPr>
          <w:ilvl w:val="0"/>
          <w:numId w:val="0"/>
        </w:numPr>
        <w:spacing w:line="600" w:lineRule="exact"/>
        <w:jc w:val="both"/>
        <w:outlineLvl w:val="9"/>
        <w:rPr>
          <w:rStyle w:val="29"/>
          <w:rFonts w:ascii="黑体" w:hAnsi="黑体" w:eastAsia="黑体"/>
          <w:b w:val="0"/>
          <w:color w:val="auto"/>
          <w:highlight w:val="none"/>
        </w:rPr>
      </w:pPr>
      <w:bookmarkStart w:id="77" w:name="_Toc15377225"/>
      <w:bookmarkStart w:id="78" w:name="_Toc15396613"/>
    </w:p>
    <w:p>
      <w:pPr>
        <w:numPr>
          <w:ilvl w:val="0"/>
          <w:numId w:val="1"/>
        </w:numPr>
        <w:spacing w:line="600" w:lineRule="exact"/>
        <w:ind w:firstLine="660" w:firstLineChars="150"/>
        <w:jc w:val="center"/>
        <w:outlineLvl w:val="0"/>
        <w:rPr>
          <w:rStyle w:val="29"/>
          <w:rFonts w:ascii="黑体" w:hAnsi="黑体" w:eastAsia="黑体"/>
          <w:b w:val="0"/>
          <w:color w:val="auto"/>
          <w:highlight w:val="none"/>
        </w:rPr>
      </w:pPr>
      <w:bookmarkStart w:id="79" w:name="_Toc4437"/>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77"/>
      <w:bookmarkEnd w:id="78"/>
      <w:bookmarkEnd w:id="79"/>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教育（类）</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小学教育</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（项）：</w:t>
      </w:r>
      <w:r>
        <w:rPr>
          <w:rFonts w:hint="eastAsia" w:ascii="仿宋_GB2312" w:eastAsia="仿宋_GB2312" w:cs="Times New Roman"/>
          <w:color w:val="000000"/>
          <w:sz w:val="32"/>
          <w:szCs w:val="32"/>
          <w:lang w:val="en-US" w:eastAsia="zh-CN"/>
        </w:rPr>
        <w:t>指人力资源和社会保障管理事务</w:t>
      </w:r>
      <w:r>
        <w:rPr>
          <w:rFonts w:hint="eastAsia" w:ascii="仿宋_GB2312" w:eastAsia="仿宋_GB2312"/>
          <w:color w:val="auto"/>
          <w:sz w:val="32"/>
          <w:szCs w:val="32"/>
          <w:highlight w:val="none"/>
        </w:rPr>
        <w:t>。</w:t>
      </w:r>
    </w:p>
    <w:p>
      <w:pPr>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lang w:val="en-US" w:eastAsia="zh-CN" w:bidi="ar-SA"/>
        </w:rPr>
        <w:t>6.卫生健康（类）210（款）11（项）01：</w:t>
      </w:r>
      <w:r>
        <w:rPr>
          <w:rFonts w:hint="eastAsia" w:ascii="仿宋_GB2312" w:eastAsia="仿宋_GB2312"/>
          <w:color w:val="000000"/>
          <w:sz w:val="32"/>
          <w:szCs w:val="32"/>
        </w:rPr>
        <w:t>指行政单位医疗。</w:t>
      </w:r>
    </w:p>
    <w:p>
      <w:pP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7.</w:t>
      </w:r>
      <w:r>
        <w:rPr>
          <w:rFonts w:hint="eastAsia" w:ascii="仿宋_GB2312" w:eastAsia="仿宋_GB2312" w:cs="Times New Roman"/>
          <w:color w:val="000000"/>
          <w:sz w:val="32"/>
          <w:szCs w:val="32"/>
          <w:lang w:eastAsia="zh-CN"/>
        </w:rPr>
        <w:t>农林水</w:t>
      </w:r>
      <w:r>
        <w:rPr>
          <w:rFonts w:hint="eastAsia" w:ascii="仿宋_GB2312" w:eastAsia="仿宋_GB2312" w:cs="Times New Roman"/>
          <w:color w:val="000000"/>
          <w:sz w:val="32"/>
          <w:szCs w:val="32"/>
        </w:rPr>
        <w:t>（类）</w:t>
      </w:r>
      <w:r>
        <w:rPr>
          <w:rFonts w:hint="eastAsia" w:ascii="仿宋_GB2312" w:eastAsia="仿宋_GB2312" w:cs="Times New Roman"/>
          <w:color w:val="000000"/>
          <w:sz w:val="32"/>
          <w:szCs w:val="32"/>
          <w:lang w:val="en-US" w:eastAsia="zh-CN"/>
        </w:rPr>
        <w:t>213</w:t>
      </w:r>
      <w:r>
        <w:rPr>
          <w:rFonts w:hint="eastAsia" w:ascii="仿宋_GB2312" w:eastAsia="仿宋_GB2312" w:cs="Times New Roman"/>
          <w:color w:val="000000"/>
          <w:sz w:val="32"/>
          <w:szCs w:val="32"/>
        </w:rPr>
        <w:t>（款）</w:t>
      </w:r>
      <w:r>
        <w:rPr>
          <w:rFonts w:hint="eastAsia" w:ascii="仿宋_GB2312" w:eastAsia="仿宋_GB2312" w:cs="Times New Roman"/>
          <w:color w:val="000000"/>
          <w:sz w:val="32"/>
          <w:szCs w:val="32"/>
          <w:lang w:val="en-US" w:eastAsia="zh-CN"/>
        </w:rPr>
        <w:t>05</w:t>
      </w:r>
      <w:r>
        <w:rPr>
          <w:rFonts w:hint="eastAsia" w:ascii="仿宋_GB2312" w:eastAsia="仿宋_GB2312" w:cs="Times New Roman"/>
          <w:color w:val="000000"/>
          <w:sz w:val="32"/>
          <w:szCs w:val="32"/>
        </w:rPr>
        <w:t>（项）</w:t>
      </w:r>
      <w:r>
        <w:rPr>
          <w:rFonts w:hint="eastAsia" w:ascii="仿宋_GB2312" w:eastAsia="仿宋_GB2312" w:cs="Times New Roman"/>
          <w:color w:val="000000"/>
          <w:sz w:val="32"/>
          <w:szCs w:val="32"/>
          <w:lang w:val="en-US" w:eastAsia="zh-CN"/>
        </w:rPr>
        <w:t>06</w:t>
      </w:r>
      <w:r>
        <w:rPr>
          <w:rFonts w:hint="eastAsia" w:ascii="仿宋_GB2312" w:eastAsia="仿宋_GB2312" w:cs="Times New Roman"/>
          <w:color w:val="000000"/>
          <w:sz w:val="32"/>
          <w:szCs w:val="32"/>
        </w:rPr>
        <w:t>：</w:t>
      </w:r>
      <w:r>
        <w:rPr>
          <w:rFonts w:hint="eastAsia" w:ascii="仿宋_GB2312" w:eastAsia="仿宋_GB2312"/>
          <w:color w:val="000000"/>
          <w:sz w:val="32"/>
          <w:szCs w:val="32"/>
        </w:rPr>
        <w:t>指</w:t>
      </w:r>
      <w:r>
        <w:rPr>
          <w:rFonts w:hint="eastAsia" w:ascii="仿宋_GB2312" w:eastAsia="仿宋_GB2312"/>
          <w:color w:val="000000"/>
          <w:sz w:val="32"/>
          <w:szCs w:val="32"/>
          <w:lang w:eastAsia="zh-CN"/>
        </w:rPr>
        <w:t>社会发展</w:t>
      </w:r>
      <w:r>
        <w:rPr>
          <w:rFonts w:hint="eastAsia" w:ascii="仿宋_GB2312" w:eastAsia="仿宋_GB2312"/>
          <w:color w:val="000000"/>
          <w:sz w:val="32"/>
          <w:szCs w:val="32"/>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住房保障（类）</w:t>
      </w:r>
      <w:r>
        <w:rPr>
          <w:rFonts w:hint="eastAsia" w:ascii="仿宋_GB2312" w:eastAsia="仿宋_GB2312"/>
          <w:color w:val="auto"/>
          <w:sz w:val="32"/>
          <w:szCs w:val="32"/>
          <w:highlight w:val="none"/>
          <w:lang w:val="en-US" w:eastAsia="zh-CN"/>
        </w:rPr>
        <w:t>221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：指</w:t>
      </w:r>
      <w:r>
        <w:rPr>
          <w:rFonts w:hint="eastAsia" w:ascii="仿宋_GB2312" w:eastAsia="仿宋_GB2312"/>
          <w:color w:val="000000"/>
          <w:sz w:val="32"/>
          <w:szCs w:val="32"/>
          <w:lang w:eastAsia="zh-CN"/>
        </w:rPr>
        <w:t>住房公积金</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80" w:name="_Toc15396614"/>
      <w:bookmarkStart w:id="81" w:name="_Toc10352"/>
      <w:bookmarkStart w:id="82" w:name="_Toc15377226"/>
    </w:p>
    <w:p>
      <w:pPr>
        <w:spacing w:line="600" w:lineRule="exact"/>
        <w:jc w:val="center"/>
        <w:outlineLvl w:val="0"/>
        <w:rPr>
          <w:rStyle w:val="29"/>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80"/>
      <w:bookmarkEnd w:id="8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Times New Roman"/>
          <w:b/>
          <w:sz w:val="44"/>
          <w:szCs w:val="44"/>
          <w:shd w:val="clear" w:color="auto"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Times New Roman"/>
          <w:b/>
          <w:sz w:val="44"/>
          <w:szCs w:val="44"/>
          <w:shd w:val="clear" w:color="auto" w:fill="FFFFFF"/>
          <w:lang w:eastAsia="zh-CN"/>
        </w:rPr>
      </w:pPr>
      <w:r>
        <w:rPr>
          <w:rFonts w:hint="eastAsia" w:ascii="宋体" w:hAnsi="宋体" w:eastAsia="宋体" w:cs="Times New Roman"/>
          <w:b/>
          <w:sz w:val="44"/>
          <w:szCs w:val="44"/>
          <w:shd w:val="clear" w:color="auto" w:fill="FFFFFF"/>
          <w:lang w:eastAsia="zh-CN"/>
        </w:rPr>
        <w:t>广元市朝天区人力资源和社会保障局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Times New Roman"/>
          <w:b/>
          <w:sz w:val="44"/>
          <w:szCs w:val="44"/>
          <w:shd w:val="clear" w:color="auto" w:fill="FFFFFF"/>
        </w:rPr>
      </w:pPr>
      <w:r>
        <w:rPr>
          <w:rFonts w:hint="eastAsia" w:ascii="宋体" w:hAnsi="宋体" w:eastAsia="宋体" w:cs="Times New Roman"/>
          <w:b/>
          <w:sz w:val="44"/>
          <w:szCs w:val="44"/>
          <w:shd w:val="clear" w:color="auto" w:fill="FFFFFF"/>
        </w:rPr>
        <w:t>202</w:t>
      </w:r>
      <w:r>
        <w:rPr>
          <w:rFonts w:hint="eastAsia" w:ascii="宋体" w:hAnsi="宋体" w:eastAsia="宋体" w:cs="Times New Roman"/>
          <w:b/>
          <w:sz w:val="44"/>
          <w:szCs w:val="44"/>
          <w:shd w:val="clear" w:color="auto" w:fill="FFFFFF"/>
          <w:lang w:val="en-US" w:eastAsia="zh-CN"/>
        </w:rPr>
        <w:t>2</w:t>
      </w:r>
      <w:r>
        <w:rPr>
          <w:rFonts w:hint="eastAsia" w:ascii="宋体" w:hAnsi="宋体" w:eastAsia="宋体" w:cs="Times New Roman"/>
          <w:b/>
          <w:sz w:val="44"/>
          <w:szCs w:val="44"/>
          <w:shd w:val="clear" w:color="auto" w:fill="FFFFFF"/>
        </w:rPr>
        <w:t>年部门整体支出绩效自评报告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964" w:firstLineChars="300"/>
        <w:jc w:val="left"/>
        <w:textAlignment w:val="auto"/>
        <w:rPr>
          <w:rFonts w:hint="eastAsia" w:ascii="黑体" w:hAnsi="黑体" w:eastAsia="黑体" w:cs="黑体"/>
          <w:b/>
          <w:bCs w:val="0"/>
          <w:i w:val="0"/>
          <w:caps w:val="0"/>
          <w:color w:val="535353"/>
          <w:spacing w:val="0"/>
          <w:sz w:val="32"/>
          <w:szCs w:val="32"/>
          <w:u w:val="none"/>
        </w:rPr>
      </w:pPr>
      <w:r>
        <w:rPr>
          <w:rFonts w:hint="eastAsia" w:ascii="黑体" w:hAnsi="黑体" w:eastAsia="黑体" w:cs="黑体"/>
          <w:b/>
          <w:bCs w:val="0"/>
          <w:i w:val="0"/>
          <w:caps w:val="0"/>
          <w:color w:val="535353"/>
          <w:spacing w:val="0"/>
          <w:kern w:val="0"/>
          <w:sz w:val="32"/>
          <w:szCs w:val="32"/>
          <w:u w:val="none"/>
          <w:shd w:val="clear" w:color="auto" w:fill="FFFFFF"/>
          <w:lang w:val="en-US" w:eastAsia="zh-CN" w:bidi="ar"/>
        </w:rPr>
        <w:t>一、部门概况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微软雅黑" w:hAnsi="微软雅黑" w:eastAsia="微软雅黑" w:cs="微软雅黑"/>
          <w:b/>
          <w:bCs w:val="0"/>
          <w:i w:val="0"/>
          <w:caps w:val="0"/>
          <w:color w:val="535353"/>
          <w:spacing w:val="0"/>
          <w:sz w:val="30"/>
          <w:szCs w:val="30"/>
          <w:u w:val="none"/>
        </w:rPr>
      </w:pPr>
      <w:r>
        <w:rPr>
          <w:rFonts w:hint="eastAsia" w:ascii="仿宋" w:hAnsi="仿宋" w:eastAsia="仿宋" w:cs="仿宋"/>
          <w:b/>
          <w:bCs w:val="0"/>
          <w:i w:val="0"/>
          <w:caps w:val="0"/>
          <w:color w:val="535353"/>
          <w:spacing w:val="0"/>
          <w:kern w:val="0"/>
          <w:sz w:val="32"/>
          <w:szCs w:val="32"/>
          <w:u w:val="none"/>
          <w:shd w:val="clear" w:color="auto" w:fill="FFFFFF"/>
          <w:lang w:val="en-US" w:eastAsia="zh-CN" w:bidi="ar"/>
        </w:rPr>
        <w:t>（一）</w:t>
      </w:r>
      <w:r>
        <w:rPr>
          <w:rFonts w:hint="eastAsia" w:ascii="仿宋" w:hAnsi="仿宋" w:eastAsia="仿宋" w:cs="仿宋"/>
          <w:b/>
          <w:bCs w:val="0"/>
          <w:i w:val="0"/>
          <w:caps w:val="0"/>
          <w:color w:val="535353"/>
          <w:spacing w:val="0"/>
          <w:kern w:val="0"/>
          <w:sz w:val="32"/>
          <w:szCs w:val="32"/>
          <w:u w:val="none"/>
          <w:shd w:val="clear" w:color="auto" w:fill="FFFFFF"/>
          <w:lang w:val="en-US" w:eastAsia="zh-CN" w:bidi="ar"/>
        </w:rPr>
        <w:t>部门基本情况</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cs="仿宋"/>
          <w:b w:val="0"/>
          <w:bCs/>
          <w:color w:val="000000"/>
          <w:sz w:val="32"/>
          <w:szCs w:val="32"/>
        </w:rPr>
        <w:t>1．主要职能。</w:t>
      </w:r>
      <w:r>
        <w:rPr>
          <w:rFonts w:hint="eastAsia" w:ascii="仿宋_GB2312" w:hAnsi="仿宋" w:eastAsia="仿宋_GB2312"/>
          <w:sz w:val="32"/>
          <w:szCs w:val="32"/>
        </w:rPr>
        <w:t>朝天区人力资源和社会保障承担统筹全区人力资源、提供和强化社会保障等职能。贯彻执行国家、省、市在促进就业、社会保障、人事人才、和谐劳动关系等方面的法律、法规、规章和政策，拟订全区人力资源和社会保障事业发展规划，并组织实施和监督检查等职能职责。</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cs="仿宋"/>
          <w:b w:val="0"/>
          <w:bCs/>
          <w:color w:val="000000"/>
          <w:sz w:val="32"/>
          <w:szCs w:val="32"/>
        </w:rPr>
        <w:t>2．机构情况</w:t>
      </w:r>
      <w:r>
        <w:rPr>
          <w:rFonts w:hint="eastAsia" w:ascii="仿宋_GB2312" w:hAnsi="仿宋" w:eastAsia="仿宋_GB2312" w:cs="仿宋"/>
          <w:b w:val="0"/>
          <w:bCs/>
          <w:color w:val="000000"/>
          <w:sz w:val="32"/>
          <w:szCs w:val="32"/>
          <w:lang w:eastAsia="zh-CN"/>
        </w:rPr>
        <w:t>。</w:t>
      </w:r>
      <w:r>
        <w:rPr>
          <w:rFonts w:hint="eastAsia" w:ascii="仿宋_GB2312" w:hAnsi="仿宋" w:eastAsia="仿宋_GB2312" w:cs="仿宋"/>
          <w:b w:val="0"/>
          <w:bCs/>
          <w:color w:val="000000"/>
          <w:sz w:val="32"/>
          <w:szCs w:val="32"/>
        </w:rPr>
        <w:t>包括当年变动</w:t>
      </w:r>
      <w:r>
        <w:rPr>
          <w:rFonts w:hint="eastAsia" w:ascii="仿宋_GB2312" w:hAnsi="仿宋" w:eastAsia="仿宋_GB2312" w:cs="仿宋"/>
          <w:b w:val="0"/>
          <w:bCs/>
          <w:color w:val="000000"/>
          <w:sz w:val="32"/>
          <w:szCs w:val="32"/>
          <w:highlight w:val="none"/>
        </w:rPr>
        <w:t>情况</w:t>
      </w:r>
      <w:r>
        <w:rPr>
          <w:rFonts w:hint="eastAsia" w:ascii="仿宋_GB2312" w:hAnsi="仿宋" w:eastAsia="仿宋_GB2312" w:cs="仿宋"/>
          <w:b w:val="0"/>
          <w:bCs/>
          <w:color w:val="000000"/>
          <w:sz w:val="32"/>
          <w:szCs w:val="32"/>
          <w:highlight w:val="none"/>
          <w:lang w:eastAsia="zh-CN"/>
        </w:rPr>
        <w:t>，</w:t>
      </w:r>
      <w:r>
        <w:rPr>
          <w:rFonts w:hint="eastAsia" w:ascii="仿宋_GB2312" w:hAnsi="仿宋" w:eastAsia="仿宋_GB2312"/>
          <w:sz w:val="32"/>
          <w:szCs w:val="32"/>
          <w:highlight w:val="none"/>
        </w:rPr>
        <w:t>区人力资源和社会保障机关内设行政股室1</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个（办公室、</w:t>
      </w:r>
      <w:r>
        <w:rPr>
          <w:rFonts w:hint="eastAsia" w:ascii="仿宋_GB2312" w:hAnsi="仿宋" w:eastAsia="仿宋_GB2312"/>
          <w:sz w:val="32"/>
          <w:szCs w:val="32"/>
          <w:highlight w:val="none"/>
          <w:lang w:eastAsia="zh-CN"/>
        </w:rPr>
        <w:t>任免表彰（</w:t>
      </w:r>
      <w:r>
        <w:rPr>
          <w:rFonts w:hint="eastAsia" w:ascii="仿宋_GB2312" w:hAnsi="仿宋" w:eastAsia="仿宋_GB2312"/>
          <w:sz w:val="32"/>
          <w:szCs w:val="32"/>
          <w:highlight w:val="none"/>
        </w:rPr>
        <w:t>人事</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股、规划财务股、</w:t>
      </w:r>
      <w:r>
        <w:rPr>
          <w:rFonts w:hint="eastAsia" w:ascii="仿宋_GB2312" w:hAnsi="仿宋" w:eastAsia="仿宋_GB2312"/>
          <w:sz w:val="32"/>
          <w:szCs w:val="32"/>
          <w:highlight w:val="none"/>
          <w:lang w:eastAsia="zh-CN"/>
        </w:rPr>
        <w:t>党建办、</w:t>
      </w:r>
      <w:r>
        <w:rPr>
          <w:rFonts w:hint="eastAsia" w:ascii="仿宋_GB2312" w:hAnsi="仿宋" w:eastAsia="仿宋_GB2312"/>
          <w:sz w:val="32"/>
          <w:szCs w:val="32"/>
          <w:highlight w:val="none"/>
        </w:rPr>
        <w:t>工资福利股、事业单位人事管理股、就业促进股、政策法规股、</w:t>
      </w:r>
      <w:r>
        <w:rPr>
          <w:rFonts w:hint="eastAsia" w:ascii="仿宋_GB2312" w:hAnsi="仿宋" w:eastAsia="仿宋_GB2312"/>
          <w:sz w:val="32"/>
          <w:szCs w:val="32"/>
          <w:highlight w:val="none"/>
          <w:lang w:eastAsia="zh-CN"/>
        </w:rPr>
        <w:t>工会、劳动关系股</w:t>
      </w:r>
      <w:r>
        <w:rPr>
          <w:rFonts w:hint="eastAsia" w:ascii="仿宋_GB2312" w:hAnsi="仿宋" w:eastAsia="仿宋_GB2312"/>
          <w:sz w:val="32"/>
          <w:szCs w:val="32"/>
          <w:highlight w:val="none"/>
        </w:rPr>
        <w:t>）、下属二级</w:t>
      </w:r>
      <w:r>
        <w:rPr>
          <w:rFonts w:hint="eastAsia" w:ascii="仿宋_GB2312" w:hAnsi="仿宋" w:eastAsia="仿宋_GB2312"/>
          <w:sz w:val="32"/>
          <w:szCs w:val="32"/>
          <w:highlight w:val="none"/>
          <w:lang w:eastAsia="zh-CN"/>
        </w:rPr>
        <w:t>单位</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个，其中参照公务员法管理的事业单位</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个（</w:t>
      </w:r>
      <w:r>
        <w:rPr>
          <w:rFonts w:hint="eastAsia" w:ascii="仿宋_GB2312" w:hAnsi="仿宋" w:eastAsia="仿宋_GB2312"/>
          <w:sz w:val="32"/>
          <w:szCs w:val="32"/>
          <w:highlight w:val="none"/>
          <w:lang w:eastAsia="zh-CN"/>
        </w:rPr>
        <w:t>区就业服务中心、区社会保险事务中心、区社会保险核算中心、</w:t>
      </w:r>
      <w:r>
        <w:rPr>
          <w:rFonts w:ascii="仿宋_GB2312" w:hAnsi="仿宋" w:eastAsia="仿宋_GB2312"/>
          <w:sz w:val="32"/>
          <w:szCs w:val="32"/>
          <w:highlight w:val="none"/>
        </w:rPr>
        <w:t>）</w:t>
      </w:r>
      <w:r>
        <w:rPr>
          <w:rFonts w:hint="eastAsia" w:ascii="仿宋_GB2312" w:hAnsi="仿宋" w:eastAsia="仿宋_GB2312"/>
          <w:sz w:val="32"/>
          <w:szCs w:val="32"/>
          <w:highlight w:val="none"/>
        </w:rPr>
        <w:t>,其他事业单位</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个(</w:t>
      </w:r>
      <w:r>
        <w:rPr>
          <w:rFonts w:hint="eastAsia" w:ascii="仿宋_GB2312" w:hAnsi="仿宋" w:eastAsia="仿宋_GB2312"/>
          <w:sz w:val="32"/>
          <w:szCs w:val="32"/>
          <w:highlight w:val="none"/>
          <w:lang w:eastAsia="zh-CN"/>
        </w:rPr>
        <w:t>区</w:t>
      </w:r>
      <w:r>
        <w:rPr>
          <w:rFonts w:hint="eastAsia" w:ascii="仿宋_GB2312" w:hAnsi="仿宋" w:eastAsia="仿宋_GB2312"/>
          <w:sz w:val="32"/>
          <w:szCs w:val="32"/>
          <w:highlight w:val="none"/>
        </w:rPr>
        <w:t>仲裁院、</w:t>
      </w:r>
      <w:r>
        <w:rPr>
          <w:rFonts w:hint="eastAsia" w:ascii="仿宋_GB2312" w:hAnsi="仿宋" w:eastAsia="仿宋_GB2312"/>
          <w:sz w:val="32"/>
          <w:szCs w:val="32"/>
          <w:highlight w:val="none"/>
          <w:lang w:eastAsia="zh-CN"/>
        </w:rPr>
        <w:t>区</w:t>
      </w:r>
      <w:r>
        <w:rPr>
          <w:rFonts w:hint="eastAsia" w:ascii="仿宋_GB2312" w:hAnsi="仿宋" w:eastAsia="仿宋_GB2312"/>
          <w:sz w:val="32"/>
          <w:szCs w:val="32"/>
          <w:highlight w:val="none"/>
        </w:rPr>
        <w:t>人才交流中心</w:t>
      </w:r>
      <w:r>
        <w:rPr>
          <w:rFonts w:hint="eastAsia" w:ascii="仿宋_GB2312" w:hAnsi="仿宋" w:eastAsia="仿宋_GB2312"/>
          <w:sz w:val="32"/>
          <w:szCs w:val="32"/>
          <w:highlight w:val="none"/>
          <w:lang w:eastAsia="zh-CN"/>
        </w:rPr>
        <w:t>、区就业训练</w:t>
      </w:r>
      <w:r>
        <w:rPr>
          <w:rFonts w:hint="eastAsia" w:ascii="仿宋_GB2312" w:hAnsi="仿宋" w:eastAsia="仿宋_GB2312"/>
          <w:sz w:val="32"/>
          <w:szCs w:val="32"/>
          <w:lang w:eastAsia="zh-CN"/>
        </w:rPr>
        <w:t>中心、区农民工服务中心</w:t>
      </w:r>
      <w:r>
        <w:rPr>
          <w:rFonts w:hint="eastAsia" w:ascii="仿宋_GB2312" w:hAnsi="仿宋" w:eastAsia="仿宋_GB2312"/>
          <w:sz w:val="32"/>
          <w:szCs w:val="32"/>
        </w:rPr>
        <w:t>）。</w:t>
      </w:r>
      <w:r>
        <w:rPr>
          <w:rFonts w:hint="eastAsia" w:ascii="仿宋_GB2312" w:hAnsi="仿宋" w:eastAsia="仿宋_GB2312"/>
          <w:sz w:val="32"/>
          <w:szCs w:val="32"/>
          <w:lang w:eastAsia="zh-CN"/>
        </w:rPr>
        <w:t>局</w:t>
      </w:r>
      <w:r>
        <w:rPr>
          <w:rFonts w:hint="eastAsia" w:ascii="仿宋_GB2312" w:hAnsi="仿宋" w:eastAsia="仿宋_GB2312"/>
          <w:sz w:val="32"/>
          <w:szCs w:val="32"/>
        </w:rPr>
        <w:t>党组下设</w:t>
      </w:r>
      <w:r>
        <w:rPr>
          <w:rFonts w:hint="eastAsia" w:ascii="仿宋_GB2312" w:hAnsi="仿宋" w:eastAsia="仿宋_GB2312"/>
          <w:sz w:val="32"/>
          <w:szCs w:val="32"/>
          <w:lang w:val="en-US" w:eastAsia="zh-CN"/>
        </w:rPr>
        <w:t>1个机关党委及4个支部</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cs="仿宋"/>
          <w:b w:val="0"/>
          <w:bCs/>
          <w:color w:val="000000"/>
          <w:sz w:val="32"/>
          <w:szCs w:val="32"/>
        </w:rPr>
        <w:t>3．人员情况包括当年变动情况及原因。</w:t>
      </w:r>
      <w:r>
        <w:rPr>
          <w:rFonts w:hint="eastAsia" w:ascii="仿宋_GB2312" w:hAnsi="仿宋" w:eastAsia="仿宋_GB2312"/>
          <w:sz w:val="32"/>
          <w:szCs w:val="32"/>
          <w:lang w:eastAsia="zh-CN"/>
        </w:rPr>
        <w:t>截至</w:t>
      </w:r>
      <w:r>
        <w:rPr>
          <w:rFonts w:hint="eastAsia" w:ascii="仿宋_GB2312" w:hAnsi="仿宋" w:eastAsia="仿宋_GB2312"/>
          <w:sz w:val="32"/>
          <w:szCs w:val="32"/>
          <w:lang w:val="en-US" w:eastAsia="zh-CN"/>
        </w:rPr>
        <w:t>12月底，</w:t>
      </w:r>
      <w:r>
        <w:rPr>
          <w:rFonts w:hint="eastAsia" w:ascii="仿宋_GB2312" w:hAnsi="仿宋" w:eastAsia="仿宋_GB2312"/>
          <w:sz w:val="32"/>
          <w:szCs w:val="32"/>
        </w:rPr>
        <w:t>在职在编人员</w:t>
      </w:r>
      <w:r>
        <w:rPr>
          <w:rFonts w:hint="eastAsia" w:ascii="仿宋_GB2312" w:hAnsi="仿宋" w:eastAsia="仿宋_GB2312"/>
          <w:sz w:val="32"/>
          <w:szCs w:val="32"/>
          <w:lang w:eastAsia="zh-CN"/>
        </w:rPr>
        <w:t>共</w:t>
      </w:r>
      <w:r>
        <w:rPr>
          <w:rFonts w:hint="eastAsia" w:ascii="仿宋_GB2312" w:hAnsi="仿宋" w:eastAsia="仿宋_GB2312"/>
          <w:sz w:val="32"/>
          <w:szCs w:val="32"/>
          <w:lang w:val="en-US" w:eastAsia="zh-CN"/>
        </w:rPr>
        <w:t>54</w:t>
      </w:r>
      <w:r>
        <w:rPr>
          <w:rFonts w:hint="eastAsia" w:ascii="仿宋_GB2312" w:hAnsi="仿宋" w:eastAsia="仿宋_GB2312"/>
          <w:sz w:val="32"/>
          <w:szCs w:val="32"/>
        </w:rPr>
        <w:t>人，</w:t>
      </w:r>
      <w:r>
        <w:rPr>
          <w:rFonts w:hint="eastAsia" w:ascii="仿宋_GB2312" w:hAnsi="仿宋" w:eastAsia="仿宋_GB2312"/>
          <w:sz w:val="32"/>
          <w:szCs w:val="32"/>
          <w:lang w:eastAsia="zh-CN"/>
        </w:rPr>
        <w:t>定补人员</w:t>
      </w:r>
      <w:r>
        <w:rPr>
          <w:rFonts w:hint="eastAsia" w:ascii="仿宋_GB2312" w:hAnsi="仿宋" w:eastAsia="仿宋_GB2312"/>
          <w:sz w:val="32"/>
          <w:szCs w:val="32"/>
          <w:lang w:val="en-US" w:eastAsia="zh-CN"/>
        </w:rPr>
        <w:t>5人，三支一扶38人</w:t>
      </w:r>
      <w:r>
        <w:rPr>
          <w:rFonts w:hint="eastAsia" w:ascii="仿宋_GB2312" w:hAnsi="仿宋"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964" w:firstLineChars="300"/>
        <w:jc w:val="left"/>
        <w:textAlignment w:val="auto"/>
        <w:rPr>
          <w:rFonts w:hint="eastAsia" w:ascii="仿宋" w:hAnsi="仿宋" w:eastAsia="仿宋" w:cs="仿宋"/>
          <w:b/>
          <w:bCs w:val="0"/>
          <w:i w:val="0"/>
          <w:caps w:val="0"/>
          <w:color w:val="535353"/>
          <w:spacing w:val="0"/>
          <w:kern w:val="0"/>
          <w:sz w:val="32"/>
          <w:szCs w:val="32"/>
          <w:u w:val="none"/>
          <w:shd w:val="clear" w:color="auto" w:fill="FFFFFF"/>
          <w:lang w:val="en-US" w:eastAsia="zh-CN" w:bidi="ar"/>
        </w:rPr>
      </w:pPr>
      <w:r>
        <w:rPr>
          <w:rFonts w:hint="eastAsia" w:ascii="仿宋" w:hAnsi="仿宋" w:eastAsia="仿宋" w:cs="仿宋"/>
          <w:b/>
          <w:bCs w:val="0"/>
          <w:i w:val="0"/>
          <w:caps w:val="0"/>
          <w:color w:val="535353"/>
          <w:spacing w:val="0"/>
          <w:kern w:val="0"/>
          <w:sz w:val="32"/>
          <w:szCs w:val="32"/>
          <w:u w:val="none"/>
          <w:shd w:val="clear" w:color="auto" w:fill="FFFFFF"/>
          <w:lang w:val="en-US" w:eastAsia="zh-CN" w:bidi="ar"/>
        </w:rPr>
        <w:t>二、部门财政收支情况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 w:hAnsi="仿宋" w:eastAsia="仿宋" w:cs="仿宋"/>
          <w:b/>
          <w:i w:val="0"/>
          <w:caps w:val="0"/>
          <w:color w:val="535353"/>
          <w:spacing w:val="0"/>
          <w:kern w:val="0"/>
          <w:sz w:val="32"/>
          <w:szCs w:val="32"/>
          <w:u w:val="none"/>
          <w:shd w:val="clear" w:color="auto" w:fill="FFFFFF"/>
          <w:lang w:val="en-US" w:eastAsia="zh-CN" w:bidi="ar"/>
        </w:rPr>
      </w:pPr>
      <w:r>
        <w:rPr>
          <w:rFonts w:hint="eastAsia" w:ascii="仿宋" w:hAnsi="仿宋" w:eastAsia="仿宋" w:cs="仿宋"/>
          <w:b/>
          <w:i w:val="0"/>
          <w:caps w:val="0"/>
          <w:color w:val="535353"/>
          <w:spacing w:val="0"/>
          <w:kern w:val="0"/>
          <w:sz w:val="32"/>
          <w:szCs w:val="32"/>
          <w:u w:val="none"/>
          <w:shd w:val="clear" w:color="auto" w:fill="FFFFFF"/>
          <w:lang w:val="en-US" w:eastAsia="zh-CN" w:bidi="ar"/>
        </w:rPr>
        <w:t>（一）部门财政资金收入情况</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2022年财政拨款收入7927.59万元（上年结转72.65万元，当年收入7854.94万元），其中：普通教育收入（退休人员生活补助）224万元，人力资源和社会保障管理事务收入4356.03万元，行政事业单位养老收入71.52万元，其他就业补助收入2293万元，其他社会保障和就业支出2.87万元，行政事业单位医疗补助收入34.31万元，农林水扶贫收入804.03万元，住房公积金收入69.18万元。</w:t>
      </w:r>
    </w:p>
    <w:p>
      <w:pPr>
        <w:keepNext w:val="0"/>
        <w:keepLines w:val="0"/>
        <w:pageBreakBefore w:val="0"/>
        <w:numPr>
          <w:ilvl w:val="0"/>
          <w:numId w:val="2"/>
        </w:numPr>
        <w:pBdr>
          <w:bottom w:val="single" w:color="FFFFFF" w:sz="4" w:space="15"/>
        </w:pBdr>
        <w:tabs>
          <w:tab w:val="left" w:pos="1440"/>
        </w:tabs>
        <w:kinsoku/>
        <w:wordWrap/>
        <w:overflowPunct/>
        <w:topLinePunct w:val="0"/>
        <w:autoSpaceDE w:val="0"/>
        <w:autoSpaceDN w:val="0"/>
        <w:bidi w:val="0"/>
        <w:adjustRightInd w:val="0"/>
        <w:spacing w:line="540" w:lineRule="exact"/>
        <w:ind w:firstLine="643" w:firstLineChars="200"/>
        <w:contextualSpacing/>
        <w:textAlignment w:val="auto"/>
        <w:rPr>
          <w:rFonts w:hint="eastAsia" w:ascii="仿宋" w:hAnsi="仿宋" w:eastAsia="仿宋" w:cs="仿宋"/>
          <w:b/>
          <w:i w:val="0"/>
          <w:caps w:val="0"/>
          <w:color w:val="535353"/>
          <w:spacing w:val="0"/>
          <w:kern w:val="0"/>
          <w:sz w:val="32"/>
          <w:szCs w:val="32"/>
          <w:u w:val="none"/>
          <w:shd w:val="clear" w:color="auto" w:fill="FFFFFF"/>
          <w:lang w:val="en-US" w:eastAsia="zh-CN" w:bidi="ar"/>
        </w:rPr>
      </w:pPr>
      <w:r>
        <w:rPr>
          <w:rFonts w:hint="eastAsia" w:ascii="仿宋" w:hAnsi="仿宋" w:eastAsia="仿宋" w:cs="仿宋"/>
          <w:b/>
          <w:i w:val="0"/>
          <w:caps w:val="0"/>
          <w:color w:val="535353"/>
          <w:spacing w:val="0"/>
          <w:kern w:val="0"/>
          <w:sz w:val="32"/>
          <w:szCs w:val="32"/>
          <w:u w:val="none"/>
          <w:shd w:val="clear" w:color="auto" w:fill="FFFFFF"/>
          <w:lang w:val="en-US" w:eastAsia="zh-CN" w:bidi="ar"/>
        </w:rPr>
        <w:t>部门财政资金支出情况</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default" w:ascii="仿宋_GB2312" w:hAnsi="仿宋" w:eastAsia="仿宋_GB2312" w:cs="仿宋"/>
          <w:b w:val="0"/>
          <w:bCs/>
          <w:color w:val="000000"/>
          <w:sz w:val="32"/>
          <w:szCs w:val="32"/>
          <w:lang w:val="en-US" w:eastAsia="zh-CN"/>
        </w:rPr>
      </w:pPr>
      <w:r>
        <w:rPr>
          <w:rFonts w:hint="eastAsia" w:ascii="仿宋_GB2312" w:hAnsi="仿宋" w:eastAsia="仿宋_GB2312" w:cs="仿宋"/>
          <w:b w:val="0"/>
          <w:bCs/>
          <w:color w:val="000000"/>
          <w:sz w:val="32"/>
          <w:szCs w:val="32"/>
          <w:lang w:val="en-US" w:eastAsia="zh-CN"/>
        </w:rPr>
        <w:t>2022年财政拨款支出7927.59万元，其中：普通教育支出（退休人员生活补助）224万元，人力资源和社会保障管理事务支出4398.68万元，行政事业单位养老支出71.52万元，其他就业补助支出2323万元，</w:t>
      </w:r>
      <w:r>
        <w:rPr>
          <w:rFonts w:hint="eastAsia" w:ascii="仿宋_GB2312" w:hAnsi="仿宋_GB2312" w:eastAsia="仿宋_GB2312" w:cs="仿宋_GB2312"/>
          <w:color w:val="000000"/>
          <w:kern w:val="0"/>
          <w:sz w:val="32"/>
          <w:szCs w:val="32"/>
          <w:shd w:val="clear" w:color="auto" w:fill="FFFFFF"/>
          <w:lang w:val="en-US" w:eastAsia="zh-CN"/>
        </w:rPr>
        <w:t>其他社会保障和就业支出2.87万元，</w:t>
      </w:r>
      <w:r>
        <w:rPr>
          <w:rFonts w:hint="eastAsia" w:ascii="仿宋_GB2312" w:hAnsi="仿宋" w:eastAsia="仿宋_GB2312" w:cs="仿宋"/>
          <w:b w:val="0"/>
          <w:bCs/>
          <w:color w:val="000000"/>
          <w:sz w:val="32"/>
          <w:szCs w:val="32"/>
          <w:lang w:val="en-US" w:eastAsia="zh-CN"/>
        </w:rPr>
        <w:t>行政事业单位医疗补助支出34.31万元，农林水扶贫收入804.03万元，住房公积金支出69.18万元。</w:t>
      </w:r>
    </w:p>
    <w:p>
      <w:pPr>
        <w:widowControl/>
        <w:numPr>
          <w:ilvl w:val="0"/>
          <w:numId w:val="0"/>
        </w:numPr>
        <w:autoSpaceDE w:val="0"/>
        <w:adjustRightInd w:val="0"/>
        <w:snapToGrid w:val="0"/>
        <w:spacing w:line="500" w:lineRule="exact"/>
        <w:ind w:leftChars="0" w:firstLine="960" w:firstLineChars="3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lang w:val="en-US" w:eastAsia="zh-CN"/>
        </w:rPr>
        <w:t>三、</w:t>
      </w:r>
      <w:r>
        <w:rPr>
          <w:rFonts w:hint="eastAsia" w:ascii="黑体" w:hAnsi="黑体" w:eastAsia="黑体" w:cs="Times New Roman"/>
          <w:color w:val="000000"/>
          <w:kern w:val="0"/>
          <w:sz w:val="32"/>
          <w:szCs w:val="32"/>
          <w:shd w:val="clear" w:color="auto" w:fill="FFFFFF"/>
        </w:rPr>
        <w:t>部门整体预算绩效管理情况</w:t>
      </w:r>
    </w:p>
    <w:p>
      <w:pPr>
        <w:widowControl/>
        <w:numPr>
          <w:ilvl w:val="0"/>
          <w:numId w:val="3"/>
        </w:numPr>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auto"/>
          <w:kern w:val="0"/>
          <w:sz w:val="32"/>
          <w:szCs w:val="32"/>
          <w:shd w:val="clear" w:color="auto" w:fill="FFFFFF"/>
        </w:rPr>
      </w:pPr>
      <w:r>
        <w:rPr>
          <w:rFonts w:hint="eastAsia" w:ascii="楷体_GB2312" w:hAnsi="Times New Roman" w:eastAsia="楷体_GB2312" w:cs="Times New Roman"/>
          <w:color w:val="auto"/>
          <w:kern w:val="0"/>
          <w:sz w:val="32"/>
          <w:szCs w:val="32"/>
          <w:shd w:val="clear" w:color="auto" w:fill="FFFFFF"/>
        </w:rPr>
        <w:t>部门预算项目绩效管理。</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22</w:t>
      </w:r>
      <w:r>
        <w:rPr>
          <w:rFonts w:hint="eastAsia" w:ascii="仿宋_GB2312" w:hAnsi="仿宋_GB2312" w:eastAsia="仿宋_GB2312" w:cs="仿宋_GB2312"/>
          <w:color w:val="000000"/>
          <w:kern w:val="0"/>
          <w:sz w:val="32"/>
          <w:szCs w:val="32"/>
          <w:shd w:val="clear" w:color="auto" w:fill="FFFFFF"/>
        </w:rPr>
        <w:t>年预算严格按照财政要求，本着单位实际，在规定的时间内完成了编制工作。主要分基本支出和项目支出两大</w:t>
      </w:r>
      <w:r>
        <w:rPr>
          <w:rFonts w:hint="eastAsia" w:ascii="仿宋_GB2312" w:hAnsi="仿宋_GB2312" w:eastAsia="仿宋_GB2312" w:cs="仿宋_GB2312"/>
          <w:color w:val="000000"/>
          <w:kern w:val="0"/>
          <w:sz w:val="32"/>
          <w:szCs w:val="32"/>
          <w:shd w:val="clear" w:color="auto" w:fill="FFFFFF"/>
          <w:lang w:eastAsia="zh-CN"/>
        </w:rPr>
        <w:t>板</w:t>
      </w:r>
      <w:r>
        <w:rPr>
          <w:rFonts w:hint="eastAsia" w:ascii="仿宋_GB2312" w:hAnsi="仿宋_GB2312" w:eastAsia="仿宋_GB2312" w:cs="仿宋_GB2312"/>
          <w:color w:val="000000"/>
          <w:kern w:val="0"/>
          <w:sz w:val="32"/>
          <w:szCs w:val="32"/>
          <w:shd w:val="clear" w:color="auto" w:fill="FFFFFF"/>
        </w:rPr>
        <w:t>块。基本支出按照单位实有人数和各单项定额标准编制；项目支出主要是根据本单位基本职能和职责要求，为保障完成单位特定的行政工作和社会事业发展目标而编制，专项预算细化到了项目条款。整个预算包含了财政资金的安排使用、管理情况等。</w:t>
      </w:r>
    </w:p>
    <w:p>
      <w:pPr>
        <w:keepNext w:val="0"/>
        <w:keepLines w:val="0"/>
        <w:pageBreakBefore w:val="0"/>
        <w:numPr>
          <w:ilvl w:val="0"/>
          <w:numId w:val="4"/>
        </w:numPr>
        <w:pBdr>
          <w:bottom w:val="single" w:color="FFFFFF" w:sz="4" w:space="15"/>
        </w:pBdr>
        <w:tabs>
          <w:tab w:val="left" w:pos="1440"/>
          <w:tab w:val="clear" w:pos="312"/>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目标管理及完成情况</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3"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人员类支出：</w:t>
      </w:r>
      <w:r>
        <w:rPr>
          <w:rFonts w:hint="eastAsia" w:ascii="仿宋_GB2312" w:hAnsi="仿宋_GB2312" w:eastAsia="仿宋_GB2312" w:cs="仿宋_GB2312"/>
          <w:color w:val="auto"/>
          <w:sz w:val="32"/>
          <w:szCs w:val="32"/>
          <w:lang w:val="en-US" w:eastAsia="zh-CN"/>
        </w:rPr>
        <w:t>2022年，年初预算在职人员54人，其中：公务员34人，事业人员20人，年初预算金额422.57万元，年末实际执行838.23万元。</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按照要求，人员类支出主要是保障对家庭和个人的的补助、人员工资福利支出、在职人员绩效工资支出、在职人员社会保障缴费、住房公积金等基本支出。</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3"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运作类支出：</w:t>
      </w:r>
      <w:r>
        <w:rPr>
          <w:rFonts w:hint="eastAsia" w:ascii="仿宋_GB2312" w:hAnsi="仿宋_GB2312" w:eastAsia="仿宋_GB2312" w:cs="仿宋_GB2312"/>
          <w:color w:val="auto"/>
          <w:sz w:val="32"/>
          <w:szCs w:val="32"/>
          <w:lang w:val="en-US" w:eastAsia="zh-CN"/>
        </w:rPr>
        <w:t>主要是单位公用经费、重点帮扶村第一书记工作经费、金财网维护费、退休人员补差等。预算金额69.93万元，年末实际执行95.49万元。</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3" w:firstLineChars="200"/>
        <w:contextualSpacing/>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特定项目类：</w:t>
      </w:r>
      <w:r>
        <w:rPr>
          <w:rFonts w:hint="eastAsia" w:ascii="仿宋_GB2312" w:hAnsi="仿宋_GB2312" w:eastAsia="仿宋_GB2312" w:cs="仿宋_GB2312"/>
          <w:color w:val="auto"/>
          <w:sz w:val="32"/>
          <w:szCs w:val="32"/>
          <w:lang w:val="en-US" w:eastAsia="zh-CN"/>
        </w:rPr>
        <w:t>年初预算特定项目类支出主要包含一般公共预算项目，预算总金额6993.87万元。以下为具体的项目内容：</w:t>
      </w:r>
    </w:p>
    <w:p>
      <w:pPr>
        <w:pStyle w:val="15"/>
        <w:numPr>
          <w:ilvl w:val="0"/>
          <w:numId w:val="5"/>
        </w:numPr>
        <w:ind w:left="-10" w:leftChars="0" w:firstLine="640" w:firstLine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档案数字化建设经费。年初预算10万元，完成全区2022年度3700余名事业干部人事档案审核、整理、扫描、装订等日常数字化工作，并按要求保管档案。全年实现支付10万元，人事档案做到规范、完整清晰，方便查询。</w:t>
      </w:r>
    </w:p>
    <w:p>
      <w:pPr>
        <w:pStyle w:val="15"/>
        <w:numPr>
          <w:ilvl w:val="0"/>
          <w:numId w:val="5"/>
        </w:numPr>
        <w:ind w:left="-10" w:leftChars="0" w:firstLine="640" w:firstLine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人事人才</w:t>
      </w:r>
      <w:r>
        <w:rPr>
          <w:rFonts w:hint="default" w:ascii="仿宋_GB2312" w:hAnsi="仿宋_GB2312" w:eastAsia="仿宋_GB2312" w:cs="仿宋_GB2312"/>
          <w:color w:val="auto"/>
          <w:sz w:val="32"/>
          <w:szCs w:val="32"/>
          <w:lang w:val="en-US" w:eastAsia="zh-CN"/>
        </w:rPr>
        <w:t>工作经费</w:t>
      </w:r>
      <w:r>
        <w:rPr>
          <w:rFonts w:hint="eastAsia" w:ascii="仿宋_GB2312" w:hAnsi="仿宋_GB2312" w:eastAsia="仿宋_GB2312" w:cs="仿宋_GB2312"/>
          <w:color w:val="auto"/>
          <w:sz w:val="32"/>
          <w:szCs w:val="32"/>
          <w:lang w:val="en-US" w:eastAsia="zh-CN"/>
        </w:rPr>
        <w:t>，年初预算10万元，上年结转35万元，全年实现支出45万元，</w:t>
      </w:r>
      <w:r>
        <w:rPr>
          <w:rFonts w:hint="eastAsia" w:ascii="仿宋_GB2312" w:hAnsi="仿宋_GB2312" w:eastAsia="仿宋_GB2312" w:cs="仿宋_GB2312"/>
          <w:sz w:val="32"/>
          <w:szCs w:val="32"/>
        </w:rPr>
        <w:t>全年引进高层次人才15名；创新实施“青年优秀人才引进计划”，陆续引进成熟型党政</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名；认真组织事业单位招聘、三支一扶招募、农村义务教育特岗教师招聘等，公开考试招聘26人，三支一扶考核招聘10人，特岗教师考核招聘13人，公费师范生6人，定向医学生7人，退役士兵安置8人。另编制外招募三支一扶15人，特岗教师15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调出区外20人，区外调入21人，公开考（聘）15人</w:t>
      </w:r>
      <w:r>
        <w:rPr>
          <w:rFonts w:hint="eastAsia" w:ascii="仿宋_GB2312" w:hAnsi="仿宋_GB2312" w:eastAsia="仿宋_GB2312" w:cs="仿宋_GB2312"/>
          <w:color w:val="auto"/>
          <w:sz w:val="32"/>
          <w:szCs w:val="32"/>
          <w:lang w:val="en-US" w:eastAsia="zh-CN"/>
        </w:rPr>
        <w:t>。</w:t>
      </w:r>
    </w:p>
    <w:p>
      <w:pPr>
        <w:pStyle w:val="15"/>
        <w:numPr>
          <w:ilvl w:val="0"/>
          <w:numId w:val="5"/>
        </w:numPr>
        <w:ind w:left="-10" w:leftChars="0" w:firstLine="640" w:firstLineChars="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人社公共服务体系建设网络维护费用</w:t>
      </w:r>
      <w:r>
        <w:rPr>
          <w:rFonts w:hint="eastAsia" w:ascii="仿宋_GB2312" w:hAnsi="仿宋_GB2312" w:eastAsia="仿宋_GB2312" w:cs="仿宋_GB2312"/>
          <w:color w:val="auto"/>
          <w:sz w:val="32"/>
          <w:szCs w:val="32"/>
          <w:lang w:val="en-US" w:eastAsia="zh-CN"/>
        </w:rPr>
        <w:t>，年初预算20万元，加强基层平台信息化建设，保障人社局政务中心前台窗口及后台金保网络正常运行及维护，全年实现支付20万元，全年基层平台，政务中心前台窗口及后台金保网络正常运行。</w:t>
      </w:r>
    </w:p>
    <w:p>
      <w:pPr>
        <w:pStyle w:val="15"/>
        <w:numPr>
          <w:ilvl w:val="0"/>
          <w:numId w:val="5"/>
        </w:numPr>
        <w:ind w:left="-10" w:leftChars="0" w:firstLine="640" w:firstLineChars="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全区退休人员</w:t>
      </w:r>
      <w:r>
        <w:rPr>
          <w:rFonts w:hint="eastAsia" w:ascii="仿宋_GB2312" w:hAnsi="仿宋_GB2312" w:eastAsia="仿宋_GB2312" w:cs="仿宋_GB2312"/>
          <w:color w:val="auto"/>
          <w:sz w:val="32"/>
          <w:szCs w:val="32"/>
          <w:lang w:val="en-US" w:eastAsia="zh-CN"/>
        </w:rPr>
        <w:t>地区差异性</w:t>
      </w:r>
      <w:r>
        <w:rPr>
          <w:rFonts w:hint="default" w:ascii="仿宋_GB2312" w:hAnsi="仿宋_GB2312" w:eastAsia="仿宋_GB2312" w:cs="仿宋_GB2312"/>
          <w:color w:val="auto"/>
          <w:sz w:val="32"/>
          <w:szCs w:val="32"/>
          <w:lang w:val="en-US" w:eastAsia="zh-CN"/>
        </w:rPr>
        <w:t>生活补助</w:t>
      </w:r>
      <w:r>
        <w:rPr>
          <w:rFonts w:hint="eastAsia" w:ascii="仿宋_GB2312" w:hAnsi="仿宋_GB2312" w:eastAsia="仿宋_GB2312" w:cs="仿宋_GB2312"/>
          <w:color w:val="auto"/>
          <w:sz w:val="32"/>
          <w:szCs w:val="32"/>
          <w:lang w:val="en-US" w:eastAsia="zh-CN"/>
        </w:rPr>
        <w:t>，预算资金3540.32万元，于12月31前全区离退休人员生活补助发放完成，全年实现支付3540.32万元，按人均月标准1723元，按时兑付全区1717人离退休人员地区差异性生活补助，促进社会和谐稳定。</w:t>
      </w:r>
    </w:p>
    <w:p>
      <w:pPr>
        <w:pStyle w:val="15"/>
        <w:numPr>
          <w:ilvl w:val="0"/>
          <w:numId w:val="5"/>
        </w:numPr>
        <w:ind w:left="-10" w:leftChars="0" w:firstLine="640" w:firstLineChars="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年省级财政社保公共服务能力建设资金</w:t>
      </w:r>
      <w:r>
        <w:rPr>
          <w:rFonts w:hint="eastAsia" w:ascii="仿宋_GB2312" w:hAnsi="仿宋_GB2312" w:eastAsia="仿宋_GB2312" w:cs="仿宋_GB2312"/>
          <w:color w:val="auto"/>
          <w:sz w:val="32"/>
          <w:szCs w:val="32"/>
          <w:lang w:val="en-US" w:eastAsia="zh-CN"/>
        </w:rPr>
        <w:t>，年初预算5.54万元，用于全区社保业务开展软硬件环境改善，社保宣传及档案归档工作，全年</w:t>
      </w:r>
      <w:r>
        <w:rPr>
          <w:rFonts w:hint="eastAsia" w:ascii="仿宋_GB2312" w:hAnsi="仿宋_GB2312" w:eastAsia="仿宋_GB2312" w:cs="仿宋_GB2312"/>
          <w:color w:val="000000"/>
          <w:kern w:val="0"/>
          <w:sz w:val="32"/>
          <w:szCs w:val="32"/>
        </w:rPr>
        <w:t>养老保险、失业保险、工伤保险参保分别为12.8万人、1.33万人、1.23万人。</w:t>
      </w:r>
      <w:r>
        <w:rPr>
          <w:rFonts w:hint="eastAsia" w:ascii="仿宋_GB2312" w:hAnsi="仿宋_GB2312" w:eastAsia="仿宋_GB2312" w:cs="仿宋_GB2312"/>
          <w:color w:val="000000"/>
          <w:kern w:val="0"/>
          <w:sz w:val="32"/>
          <w:szCs w:val="32"/>
          <w:lang w:eastAsia="zh-CN"/>
        </w:rPr>
        <w:t>实现应保尽保全年</w:t>
      </w:r>
      <w:r>
        <w:rPr>
          <w:rFonts w:hint="eastAsia" w:ascii="仿宋_GB2312" w:hAnsi="仿宋_GB2312" w:eastAsia="仿宋_GB2312" w:cs="仿宋_GB2312"/>
          <w:color w:val="auto"/>
          <w:sz w:val="32"/>
          <w:szCs w:val="32"/>
          <w:lang w:val="en-US" w:eastAsia="zh-CN"/>
        </w:rPr>
        <w:t>支付5.54万元，更好的为参保人员提供高效便捷服务。</w:t>
      </w:r>
    </w:p>
    <w:p>
      <w:pPr>
        <w:pStyle w:val="15"/>
        <w:numPr>
          <w:ilvl w:val="0"/>
          <w:numId w:val="5"/>
        </w:numPr>
        <w:ind w:left="-10" w:leftChars="0" w:firstLine="640" w:firstLineChars="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年高校毕业生“三支一扶”中央和省级补助及</w:t>
      </w:r>
      <w:r>
        <w:rPr>
          <w:rFonts w:hint="eastAsia" w:ascii="仿宋_GB2312" w:hAnsi="仿宋_GB2312" w:eastAsia="仿宋_GB2312" w:cs="仿宋_GB2312"/>
          <w:color w:val="auto"/>
          <w:sz w:val="32"/>
          <w:szCs w:val="32"/>
          <w:lang w:val="en-US" w:eastAsia="zh-CN"/>
        </w:rPr>
        <w:t>地方</w:t>
      </w:r>
      <w:r>
        <w:rPr>
          <w:rFonts w:hint="default" w:ascii="仿宋_GB2312" w:hAnsi="仿宋_GB2312" w:eastAsia="仿宋_GB2312" w:cs="仿宋_GB2312"/>
          <w:color w:val="auto"/>
          <w:sz w:val="32"/>
          <w:szCs w:val="32"/>
          <w:lang w:val="en-US" w:eastAsia="zh-CN"/>
        </w:rPr>
        <w:t>配套资金</w:t>
      </w:r>
      <w:r>
        <w:rPr>
          <w:rFonts w:hint="eastAsia" w:ascii="仿宋_GB2312" w:hAnsi="仿宋_GB2312" w:eastAsia="仿宋_GB2312" w:cs="仿宋_GB2312"/>
          <w:color w:val="auto"/>
          <w:sz w:val="32"/>
          <w:szCs w:val="32"/>
          <w:lang w:val="en-US" w:eastAsia="zh-CN"/>
        </w:rPr>
        <w:t>，预算资金247.98万元，保障全区所有“三支一扶”人员生活补助发放及五险一金的缴纳，平时日常管理经费，全年实现支付247.98万元，解决大学生就业问题，稳定给基层农业、医疗、教育注入新活力。</w:t>
      </w:r>
    </w:p>
    <w:p>
      <w:pPr>
        <w:pStyle w:val="15"/>
        <w:numPr>
          <w:ilvl w:val="0"/>
          <w:numId w:val="5"/>
        </w:numPr>
        <w:ind w:left="-10" w:leftChars="0" w:firstLine="640" w:firstLineChars="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年度中央和省级财政就业创业补助资金</w:t>
      </w:r>
      <w:r>
        <w:rPr>
          <w:rFonts w:hint="eastAsia" w:ascii="仿宋_GB2312" w:hAnsi="仿宋_GB2312" w:eastAsia="仿宋_GB2312" w:cs="仿宋_GB2312"/>
          <w:color w:val="auto"/>
          <w:sz w:val="32"/>
          <w:szCs w:val="32"/>
          <w:lang w:val="en-US" w:eastAsia="zh-CN"/>
        </w:rPr>
        <w:t>，全年预算2293万元，上年结转30万元，完成全区就业创业培训及技能提升培训，公益性岗位及见习补贴资金，创业奖补资金，农民工及就业创业补助，全年实现支付2323万元，全年</w:t>
      </w:r>
      <w:r>
        <w:rPr>
          <w:rFonts w:hint="eastAsia" w:ascii="仿宋_GB2312" w:eastAsia="仿宋_GB2312"/>
          <w:sz w:val="32"/>
          <w:szCs w:val="32"/>
        </w:rPr>
        <w:t>开展职业技能培训</w:t>
      </w:r>
      <w:r>
        <w:rPr>
          <w:rFonts w:hint="eastAsia" w:ascii="仿宋_GB2312" w:eastAsia="仿宋_GB2312"/>
          <w:sz w:val="32"/>
          <w:szCs w:val="32"/>
          <w:lang w:val="en-US" w:eastAsia="zh-CN"/>
        </w:rPr>
        <w:t>4040</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补贴资金234.39万元</w:t>
      </w:r>
      <w:r>
        <w:rPr>
          <w:rFonts w:ascii="仿宋_GB2312" w:eastAsia="仿宋_GB2312"/>
          <w:sz w:val="32"/>
          <w:szCs w:val="32"/>
        </w:rPr>
        <w:t>,</w:t>
      </w:r>
      <w:r>
        <w:rPr>
          <w:rFonts w:hint="eastAsia" w:ascii="仿宋_GB2312" w:eastAsia="仿宋_GB2312"/>
          <w:sz w:val="32"/>
          <w:szCs w:val="32"/>
          <w:lang w:eastAsia="zh-CN"/>
        </w:rPr>
        <w:t>公益性岗位兜底安置1</w:t>
      </w:r>
      <w:r>
        <w:rPr>
          <w:rFonts w:hint="eastAsia" w:ascii="仿宋_GB2312" w:eastAsia="仿宋_GB2312"/>
          <w:sz w:val="32"/>
          <w:szCs w:val="32"/>
          <w:lang w:val="en-US" w:eastAsia="zh-CN"/>
        </w:rPr>
        <w:t>606</w:t>
      </w:r>
      <w:r>
        <w:rPr>
          <w:rFonts w:hint="eastAsia" w:ascii="仿宋_GB2312" w:eastAsia="仿宋_GB2312"/>
          <w:sz w:val="32"/>
          <w:szCs w:val="32"/>
          <w:lang w:eastAsia="zh-CN"/>
        </w:rPr>
        <w:t>人，补贴资金</w:t>
      </w:r>
      <w:r>
        <w:rPr>
          <w:rFonts w:hint="eastAsia" w:ascii="仿宋_GB2312" w:eastAsia="仿宋_GB2312"/>
          <w:sz w:val="32"/>
          <w:szCs w:val="32"/>
          <w:lang w:val="en-US" w:eastAsia="zh-CN"/>
        </w:rPr>
        <w:t>1352.98万元</w:t>
      </w:r>
      <w:r>
        <w:rPr>
          <w:rFonts w:hint="eastAsia" w:ascii="仿宋_GB2312" w:eastAsia="仿宋_GB2312"/>
          <w:sz w:val="32"/>
          <w:szCs w:val="32"/>
          <w:lang w:eastAsia="zh-CN"/>
        </w:rPr>
        <w:t>，提供见习补贴岗位</w:t>
      </w:r>
      <w:r>
        <w:rPr>
          <w:rFonts w:hint="eastAsia" w:ascii="仿宋_GB2312" w:eastAsia="仿宋_GB2312"/>
          <w:sz w:val="32"/>
          <w:szCs w:val="32"/>
          <w:lang w:val="en-US" w:eastAsia="zh-CN"/>
        </w:rPr>
        <w:t>121人，补贴资金108.97万元，</w:t>
      </w:r>
      <w:r>
        <w:rPr>
          <w:rFonts w:hint="eastAsia" w:ascii="仿宋_GB2312" w:eastAsia="仿宋_GB2312"/>
          <w:sz w:val="32"/>
          <w:szCs w:val="32"/>
        </w:rPr>
        <w:t>全区城镇新增就业</w:t>
      </w:r>
      <w:r>
        <w:rPr>
          <w:rFonts w:hint="eastAsia" w:ascii="仿宋_GB2312" w:eastAsia="仿宋_GB2312"/>
          <w:sz w:val="32"/>
          <w:szCs w:val="32"/>
          <w:lang w:val="en-US" w:eastAsia="zh-CN"/>
        </w:rPr>
        <w:t>1647</w:t>
      </w:r>
      <w:r>
        <w:rPr>
          <w:rFonts w:hint="eastAsia" w:ascii="仿宋_GB2312" w:eastAsia="仿宋_GB2312"/>
          <w:sz w:val="32"/>
          <w:szCs w:val="32"/>
        </w:rPr>
        <w:t>人，</w:t>
      </w:r>
      <w:r>
        <w:rPr>
          <w:rFonts w:hint="eastAsia" w:ascii="仿宋_GB2312" w:eastAsia="仿宋_GB2312"/>
          <w:sz w:val="32"/>
          <w:szCs w:val="32"/>
          <w:lang w:eastAsia="zh-CN"/>
        </w:rPr>
        <w:t>保障企业用工</w:t>
      </w:r>
      <w:r>
        <w:rPr>
          <w:rFonts w:hint="eastAsia" w:ascii="仿宋_GB2312" w:eastAsia="仿宋_GB2312"/>
          <w:sz w:val="32"/>
          <w:szCs w:val="32"/>
          <w:lang w:val="en-US" w:eastAsia="zh-CN"/>
        </w:rPr>
        <w:t>55个，</w:t>
      </w:r>
      <w:r>
        <w:rPr>
          <w:rFonts w:hint="eastAsia" w:ascii="仿宋_GB2312" w:eastAsia="仿宋_GB2312"/>
          <w:sz w:val="32"/>
          <w:szCs w:val="32"/>
        </w:rPr>
        <w:t>举办各类专场招聘活动</w:t>
      </w:r>
      <w:r>
        <w:rPr>
          <w:rFonts w:hint="eastAsia" w:ascii="仿宋_GB2312" w:eastAsia="仿宋_GB2312"/>
          <w:sz w:val="32"/>
          <w:szCs w:val="32"/>
          <w:lang w:val="en-US" w:eastAsia="zh-CN"/>
        </w:rPr>
        <w:t>35</w:t>
      </w:r>
      <w:r>
        <w:rPr>
          <w:rFonts w:hint="eastAsia" w:ascii="仿宋_GB2312" w:eastAsia="仿宋_GB2312"/>
          <w:sz w:val="32"/>
          <w:szCs w:val="32"/>
        </w:rPr>
        <w:t>场，</w:t>
      </w:r>
      <w:r>
        <w:rPr>
          <w:rFonts w:ascii="仿宋_GB2312" w:eastAsia="仿宋_GB2312"/>
          <w:sz w:val="32"/>
          <w:szCs w:val="32"/>
        </w:rPr>
        <w:t>“</w:t>
      </w:r>
      <w:r>
        <w:rPr>
          <w:rFonts w:hint="eastAsia" w:ascii="仿宋_GB2312" w:eastAsia="仿宋_GB2312"/>
          <w:sz w:val="32"/>
          <w:szCs w:val="32"/>
        </w:rPr>
        <w:t>点对点</w:t>
      </w:r>
      <w:r>
        <w:rPr>
          <w:rFonts w:ascii="仿宋_GB2312" w:eastAsia="仿宋_GB2312"/>
          <w:sz w:val="32"/>
          <w:szCs w:val="32"/>
        </w:rPr>
        <w:t>”</w:t>
      </w:r>
      <w:r>
        <w:rPr>
          <w:rFonts w:hint="eastAsia" w:ascii="仿宋_GB2312" w:eastAsia="仿宋_GB2312"/>
          <w:sz w:val="32"/>
          <w:szCs w:val="32"/>
        </w:rPr>
        <w:t>专车输出劳动力</w:t>
      </w:r>
      <w:r>
        <w:rPr>
          <w:rFonts w:hint="eastAsia" w:ascii="仿宋_GB2312" w:eastAsia="仿宋_GB2312"/>
          <w:sz w:val="32"/>
          <w:szCs w:val="32"/>
          <w:lang w:val="en-US" w:eastAsia="zh-CN"/>
        </w:rPr>
        <w:t>1546</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hAnsi="仿宋_GB2312" w:eastAsia="仿宋_GB2312" w:cs="仿宋_GB2312"/>
          <w:color w:val="000000"/>
          <w:kern w:val="0"/>
          <w:sz w:val="32"/>
          <w:szCs w:val="32"/>
        </w:rPr>
        <w:t>建立</w:t>
      </w:r>
      <w:r>
        <w:rPr>
          <w:rFonts w:hint="eastAsia" w:ascii="仿宋_GB2312" w:hAnsi="仿宋_GB2312" w:eastAsia="仿宋_GB2312" w:cs="仿宋_GB2312"/>
          <w:kern w:val="0"/>
          <w:sz w:val="32"/>
          <w:szCs w:val="32"/>
        </w:rPr>
        <w:t>122人的创业指导专家团队，</w:t>
      </w:r>
      <w:r>
        <w:rPr>
          <w:rFonts w:hint="eastAsia" w:ascii="仿宋_GB2312" w:hAnsi="仿宋_GB2312" w:eastAsia="仿宋_GB2312" w:cs="仿宋_GB2312"/>
          <w:color w:val="000000"/>
          <w:kern w:val="0"/>
          <w:sz w:val="32"/>
          <w:szCs w:val="32"/>
        </w:rPr>
        <w:t>累计</w:t>
      </w:r>
      <w:r>
        <w:rPr>
          <w:rFonts w:hint="eastAsia" w:ascii="仿宋_GB2312" w:hAnsi="仿宋_GB2312" w:eastAsia="仿宋_GB2312" w:cs="仿宋_GB2312"/>
          <w:kern w:val="0"/>
          <w:sz w:val="32"/>
          <w:szCs w:val="32"/>
        </w:rPr>
        <w:t>创建创业实体项目5834个、区级返乡创业示范园 23个、市级返乡创业示范园5个、省级创业孵化基地1个</w:t>
      </w:r>
      <w:r>
        <w:rPr>
          <w:rFonts w:hint="eastAsia" w:ascii="仿宋_GB2312" w:hAnsi="仿宋_GB2312" w:eastAsia="仿宋_GB2312" w:cs="仿宋_GB2312"/>
          <w:color w:val="000000"/>
          <w:kern w:val="0"/>
          <w:sz w:val="32"/>
          <w:szCs w:val="32"/>
        </w:rPr>
        <w:t>；建立11.45万人的农村劳动力实名制登记数据库</w:t>
      </w:r>
      <w:r>
        <w:rPr>
          <w:rFonts w:hint="eastAsia" w:ascii="仿宋_GB2312" w:hAnsi="仿宋_GB2312" w:eastAsia="仿宋_GB2312" w:cs="仿宋_GB2312"/>
          <w:color w:val="000000"/>
          <w:kern w:val="0"/>
          <w:sz w:val="32"/>
          <w:szCs w:val="32"/>
          <w:lang w:eastAsia="zh-CN"/>
        </w:rPr>
        <w:t>。</w:t>
      </w:r>
    </w:p>
    <w:p>
      <w:pPr>
        <w:pStyle w:val="15"/>
        <w:numPr>
          <w:ilvl w:val="0"/>
          <w:numId w:val="5"/>
        </w:numPr>
        <w:ind w:left="-10" w:leftChars="0" w:firstLine="640" w:firstLine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推进乡村振兴补助</w:t>
      </w:r>
      <w:r>
        <w:rPr>
          <w:rFonts w:hint="default" w:ascii="仿宋_GB2312" w:hAnsi="仿宋_GB2312" w:eastAsia="仿宋_GB2312" w:cs="仿宋_GB2312"/>
          <w:color w:val="auto"/>
          <w:sz w:val="32"/>
          <w:szCs w:val="32"/>
          <w:lang w:val="en-US" w:eastAsia="zh-CN"/>
        </w:rPr>
        <w:t>项目支出</w:t>
      </w:r>
      <w:r>
        <w:rPr>
          <w:rFonts w:hint="eastAsia" w:ascii="仿宋_GB2312" w:hAnsi="仿宋_GB2312" w:eastAsia="仿宋_GB2312" w:cs="仿宋_GB2312"/>
          <w:color w:val="auto"/>
          <w:sz w:val="32"/>
          <w:szCs w:val="32"/>
          <w:lang w:val="en-US" w:eastAsia="zh-CN"/>
        </w:rPr>
        <w:t>，全年预算500万元，用于全区农村公益性岗位资金补贴，脱贫人口省外务工交通补贴，羊木金顶就业帮扶车间建设补助资金。全年实现支出500万元，农村公益性岗位共补贴800人，发放补贴400万元，共发放脱贫劳动力省外务工人员实报单程交通补贴，共发放30万元，新建羊木金顶就业帮扶车间，支付补助资金70万元，</w:t>
      </w:r>
      <w:r>
        <w:rPr>
          <w:rFonts w:hint="eastAsia" w:ascii="仿宋_GB2312" w:hAnsi="仿宋_GB2312" w:eastAsia="仿宋_GB2312" w:cs="仿宋_GB2312"/>
          <w:color w:val="000000"/>
          <w:kern w:val="0"/>
          <w:sz w:val="32"/>
          <w:szCs w:val="32"/>
        </w:rPr>
        <w:t>就地解决就业</w:t>
      </w:r>
      <w:r>
        <w:rPr>
          <w:rFonts w:hint="eastAsia" w:ascii="仿宋_GB2312" w:hAnsi="仿宋_GB2312" w:eastAsia="仿宋_GB2312" w:cs="仿宋_GB2312"/>
          <w:color w:val="000000"/>
          <w:kern w:val="0"/>
          <w:sz w:val="32"/>
          <w:szCs w:val="32"/>
          <w:lang w:val="en-US" w:eastAsia="zh-CN"/>
        </w:rPr>
        <w:t>80</w:t>
      </w:r>
      <w:r>
        <w:rPr>
          <w:rFonts w:hint="eastAsia" w:ascii="仿宋_GB2312" w:hAnsi="仿宋_GB2312" w:eastAsia="仿宋_GB2312" w:cs="仿宋_GB2312"/>
          <w:color w:val="000000"/>
          <w:kern w:val="0"/>
          <w:sz w:val="32"/>
          <w:szCs w:val="32"/>
        </w:rPr>
        <w:t>余人，人均月收入3000元左右</w:t>
      </w:r>
      <w:r>
        <w:rPr>
          <w:rFonts w:hint="eastAsia" w:ascii="仿宋_GB2312" w:hAnsi="仿宋_GB2312" w:eastAsia="仿宋_GB2312" w:cs="仿宋_GB2312"/>
          <w:color w:val="auto"/>
          <w:sz w:val="32"/>
          <w:szCs w:val="32"/>
          <w:lang w:val="en-US" w:eastAsia="zh-CN"/>
        </w:rPr>
        <w:t>。</w:t>
      </w:r>
    </w:p>
    <w:p>
      <w:pPr>
        <w:pStyle w:val="15"/>
        <w:numPr>
          <w:ilvl w:val="0"/>
          <w:numId w:val="5"/>
        </w:numPr>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2022年普惠金融发展专项资金，全年预算132.03万元，主要用于全区创业担保贷款的贴息资金，全区共补助经营实体280余个，极大激发市场经营主体活力，不断增强经营业主干事创业信心。</w:t>
      </w:r>
    </w:p>
    <w:p>
      <w:pPr>
        <w:pStyle w:val="15"/>
        <w:numPr>
          <w:ilvl w:val="0"/>
          <w:numId w:val="5"/>
        </w:numPr>
        <w:ind w:left="-10" w:leftChars="0" w:firstLine="640" w:firstLine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东西部劳务协作项目专项补助资金，全年预算170万元，建扶贫帮扶车间1个，吸纳劳动力40余人，开展就业创业宣传及现场招聘会10余场次，</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2.动态调整</w:t>
      </w:r>
    </w:p>
    <w:p>
      <w:pPr>
        <w:spacing w:line="560" w:lineRule="exact"/>
        <w:ind w:firstLine="640"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支出控制：</w:t>
      </w:r>
      <w:r>
        <w:rPr>
          <w:rFonts w:hint="eastAsia" w:ascii="仿宋_GB2312" w:hAnsi="仿宋_GB2312" w:eastAsia="仿宋_GB2312" w:cs="仿宋_GB2312"/>
          <w:b w:val="0"/>
          <w:bCs w:val="0"/>
          <w:color w:val="auto"/>
          <w:kern w:val="2"/>
          <w:sz w:val="32"/>
          <w:szCs w:val="32"/>
          <w:lang w:val="en-US" w:eastAsia="zh-CN" w:bidi="ar-SA"/>
        </w:rPr>
        <w:t>区人力资源和社会保障局</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年初预算数和决算绩效监控调整取消额为0，结余注销额为0</w:t>
      </w:r>
      <w:r>
        <w:rPr>
          <w:rFonts w:hint="eastAsia" w:ascii="仿宋_GB2312" w:hAnsi="仿宋_GB2312" w:cs="仿宋_GB2312"/>
          <w:b w:val="0"/>
          <w:bCs w:val="0"/>
          <w:color w:val="auto"/>
          <w:kern w:val="2"/>
          <w:sz w:val="32"/>
          <w:szCs w:val="32"/>
          <w:lang w:val="en-US" w:eastAsia="zh-CN" w:bidi="ar-SA"/>
        </w:rPr>
        <w:t>。</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3.完成结果</w:t>
      </w:r>
    </w:p>
    <w:p>
      <w:pPr>
        <w:spacing w:line="560" w:lineRule="exact"/>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（1）预算完成：</w:t>
      </w:r>
      <w:r>
        <w:rPr>
          <w:rFonts w:hint="eastAsia" w:ascii="仿宋_GB2312" w:hAnsi="仿宋_GB2312" w:eastAsia="仿宋_GB2312" w:cs="仿宋_GB2312"/>
          <w:b w:val="0"/>
          <w:bCs w:val="0"/>
          <w:color w:val="auto"/>
          <w:kern w:val="2"/>
          <w:sz w:val="32"/>
          <w:szCs w:val="32"/>
          <w:lang w:val="en-US" w:eastAsia="zh-CN" w:bidi="ar-SA"/>
        </w:rPr>
        <w:t>年底调整预算7854.94万元，</w:t>
      </w:r>
      <w:r>
        <w:rPr>
          <w:rFonts w:hint="eastAsia" w:ascii="仿宋_GB2312" w:hAnsi="仿宋_GB2312" w:cs="仿宋_GB2312"/>
          <w:b w:val="0"/>
          <w:bCs w:val="0"/>
          <w:color w:val="auto"/>
          <w:kern w:val="2"/>
          <w:sz w:val="32"/>
          <w:szCs w:val="32"/>
          <w:lang w:val="en-US" w:eastAsia="zh-CN" w:bidi="ar-SA"/>
        </w:rPr>
        <w:t>上年结转72.65万元，全年</w:t>
      </w:r>
      <w:r>
        <w:rPr>
          <w:rFonts w:hint="eastAsia" w:ascii="仿宋_GB2312" w:hAnsi="仿宋_GB2312" w:eastAsia="仿宋_GB2312" w:cs="仿宋_GB2312"/>
          <w:b w:val="0"/>
          <w:bCs w:val="0"/>
          <w:color w:val="auto"/>
          <w:kern w:val="2"/>
          <w:sz w:val="32"/>
          <w:szCs w:val="32"/>
          <w:lang w:val="en-US" w:eastAsia="zh-CN" w:bidi="ar-SA"/>
        </w:rPr>
        <w:t>实际支付7927.59</w:t>
      </w:r>
      <w:r>
        <w:rPr>
          <w:rFonts w:hint="eastAsia" w:ascii="仿宋_GB2312" w:hAnsi="仿宋_GB2312" w:cs="仿宋_GB2312"/>
          <w:b w:val="0"/>
          <w:bCs w:val="0"/>
          <w:color w:val="auto"/>
          <w:kern w:val="2"/>
          <w:sz w:val="32"/>
          <w:szCs w:val="32"/>
          <w:lang w:val="en-US" w:eastAsia="zh-CN" w:bidi="ar-SA"/>
        </w:rPr>
        <w:t>万元</w:t>
      </w:r>
      <w:r>
        <w:rPr>
          <w:rFonts w:hint="eastAsia" w:ascii="仿宋_GB2312" w:hAnsi="仿宋_GB2312" w:eastAsia="仿宋_GB2312" w:cs="仿宋_GB2312"/>
          <w:b w:val="0"/>
          <w:bCs w:val="0"/>
          <w:color w:val="auto"/>
          <w:kern w:val="2"/>
          <w:sz w:val="32"/>
          <w:szCs w:val="32"/>
          <w:lang w:val="en-US" w:eastAsia="zh-CN" w:bidi="ar-SA"/>
        </w:rPr>
        <w:t>，预算完成率为</w:t>
      </w:r>
      <w:r>
        <w:rPr>
          <w:rFonts w:hint="eastAsia" w:ascii="仿宋_GB2312" w:hAnsi="仿宋_GB2312" w:cs="仿宋_GB2312"/>
          <w:b w:val="0"/>
          <w:bCs w:val="0"/>
          <w:color w:val="auto"/>
          <w:kern w:val="2"/>
          <w:sz w:val="32"/>
          <w:szCs w:val="32"/>
          <w:lang w:val="en-US" w:eastAsia="zh-CN" w:bidi="ar-SA"/>
        </w:rPr>
        <w:t>100</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cs="仿宋_GB2312"/>
          <w:b w:val="0"/>
          <w:bCs w:val="0"/>
          <w:color w:val="auto"/>
          <w:kern w:val="2"/>
          <w:sz w:val="32"/>
          <w:szCs w:val="32"/>
          <w:lang w:val="en-US" w:eastAsia="zh-CN" w:bidi="ar-SA"/>
        </w:rPr>
        <w:t>。</w:t>
      </w:r>
    </w:p>
    <w:p>
      <w:pPr>
        <w:spacing w:line="56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（2）资金结余率（低效无效率）：</w:t>
      </w:r>
      <w:r>
        <w:rPr>
          <w:rFonts w:hint="eastAsia" w:ascii="仿宋_GB2312" w:hAnsi="仿宋_GB2312" w:eastAsia="仿宋_GB2312" w:cs="仿宋_GB2312"/>
          <w:color w:val="auto"/>
          <w:kern w:val="2"/>
          <w:sz w:val="32"/>
          <w:szCs w:val="32"/>
          <w:lang w:val="en-US" w:eastAsia="zh-CN" w:bidi="ar-SA"/>
        </w:rPr>
        <w:t>根据统计，列入部门项目总计</w:t>
      </w:r>
      <w:r>
        <w:rPr>
          <w:rFonts w:hint="eastAsia" w:ascii="仿宋_GB2312" w:hAnsi="仿宋_GB2312" w:cs="仿宋_GB2312"/>
          <w:color w:val="auto"/>
          <w:kern w:val="2"/>
          <w:sz w:val="32"/>
          <w:szCs w:val="32"/>
          <w:lang w:val="en-US" w:eastAsia="zh-CN" w:bidi="ar-SA"/>
        </w:rPr>
        <w:t>10</w:t>
      </w:r>
      <w:r>
        <w:rPr>
          <w:rFonts w:hint="eastAsia" w:ascii="仿宋_GB2312" w:hAnsi="仿宋_GB2312" w:eastAsia="仿宋_GB2312" w:cs="仿宋_GB2312"/>
          <w:color w:val="auto"/>
          <w:kern w:val="2"/>
          <w:sz w:val="32"/>
          <w:szCs w:val="32"/>
          <w:lang w:val="en-US" w:eastAsia="zh-CN" w:bidi="ar-SA"/>
        </w:rPr>
        <w:t>个，资金</w:t>
      </w:r>
      <w:r>
        <w:rPr>
          <w:rFonts w:hint="eastAsia" w:ascii="仿宋_GB2312" w:hAnsi="仿宋_GB2312" w:cs="仿宋_GB2312"/>
          <w:color w:val="auto"/>
          <w:kern w:val="2"/>
          <w:sz w:val="32"/>
          <w:szCs w:val="32"/>
          <w:lang w:val="en-US" w:eastAsia="zh-CN" w:bidi="ar-SA"/>
        </w:rPr>
        <w:t>无</w:t>
      </w:r>
      <w:r>
        <w:rPr>
          <w:rFonts w:hint="eastAsia" w:ascii="仿宋_GB2312" w:hAnsi="仿宋_GB2312" w:eastAsia="仿宋_GB2312" w:cs="仿宋_GB2312"/>
          <w:color w:val="auto"/>
          <w:kern w:val="2"/>
          <w:sz w:val="32"/>
          <w:szCs w:val="32"/>
          <w:lang w:val="en-US" w:eastAsia="zh-CN" w:bidi="ar-SA"/>
        </w:rPr>
        <w:t>结</w:t>
      </w:r>
      <w:r>
        <w:rPr>
          <w:rFonts w:hint="eastAsia" w:ascii="仿宋_GB2312" w:hAnsi="仿宋_GB2312" w:cs="仿宋_GB2312"/>
          <w:color w:val="auto"/>
          <w:kern w:val="2"/>
          <w:sz w:val="32"/>
          <w:szCs w:val="32"/>
          <w:lang w:val="en-US" w:eastAsia="zh-CN" w:bidi="ar-SA"/>
        </w:rPr>
        <w:t>余</w:t>
      </w:r>
      <w:r>
        <w:rPr>
          <w:rFonts w:hint="eastAsia" w:ascii="仿宋_GB2312" w:hAnsi="仿宋_GB2312" w:eastAsia="仿宋_GB2312" w:cs="仿宋_GB2312"/>
          <w:color w:val="auto"/>
          <w:kern w:val="2"/>
          <w:sz w:val="32"/>
          <w:szCs w:val="32"/>
          <w:lang w:val="en-US" w:eastAsia="zh-CN" w:bidi="ar-SA"/>
        </w:rPr>
        <w:t>。</w:t>
      </w:r>
    </w:p>
    <w:p>
      <w:pPr>
        <w:numPr>
          <w:ilvl w:val="0"/>
          <w:numId w:val="0"/>
        </w:numPr>
        <w:spacing w:line="560" w:lineRule="exact"/>
        <w:ind w:leftChars="200" w:firstLine="320" w:firstLineChars="1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（3）违规记录：</w:t>
      </w:r>
      <w:r>
        <w:rPr>
          <w:rFonts w:hint="eastAsia" w:ascii="仿宋_GB2312" w:hAnsi="仿宋_GB2312" w:eastAsia="仿宋_GB2312" w:cs="仿宋_GB2312"/>
          <w:b w:val="0"/>
          <w:bCs w:val="0"/>
          <w:color w:val="auto"/>
          <w:kern w:val="2"/>
          <w:sz w:val="32"/>
          <w:szCs w:val="32"/>
          <w:lang w:val="en-US" w:eastAsia="zh-CN" w:bidi="ar-SA"/>
        </w:rPr>
        <w:t>区人力资源和社会保障局2022年无资金使用违规记录。</w:t>
      </w:r>
    </w:p>
    <w:p>
      <w:pPr>
        <w:widowControl/>
        <w:autoSpaceDE w:val="0"/>
        <w:adjustRightInd w:val="0"/>
        <w:snapToGrid w:val="0"/>
        <w:spacing w:line="500" w:lineRule="exact"/>
        <w:ind w:firstLine="640" w:firstLineChars="200"/>
        <w:contextualSpacing/>
        <w:jc w:val="left"/>
        <w:rPr>
          <w:rFonts w:hint="default" w:ascii="楷体_GB2312" w:hAnsi="Times New Roman" w:eastAsia="楷体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lang w:val="en-US" w:eastAsia="zh-CN"/>
        </w:rPr>
        <w:t>（二）结果应用情况。</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1.内部应用</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按预算完成</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支出，主要用于完成特定的工作任务和事业发展目标，用于专项业务工作的经费支出。在资金的使用过程中，</w:t>
      </w:r>
      <w:r>
        <w:rPr>
          <w:rFonts w:hint="eastAsia" w:ascii="仿宋_GB2312" w:hAnsi="仿宋_GB2312" w:eastAsia="仿宋_GB2312" w:cs="仿宋_GB2312"/>
          <w:sz w:val="32"/>
          <w:szCs w:val="32"/>
          <w:lang w:val="en-US" w:eastAsia="zh-CN"/>
        </w:rPr>
        <w:t>我中心</w:t>
      </w:r>
      <w:r>
        <w:rPr>
          <w:rFonts w:hint="eastAsia" w:ascii="仿宋_GB2312" w:hAnsi="仿宋_GB2312" w:eastAsia="仿宋_GB2312" w:cs="仿宋_GB2312"/>
          <w:sz w:val="32"/>
          <w:szCs w:val="32"/>
        </w:rPr>
        <w:t>严格按照相关财经法规、财务管理制度，严格按照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财政资金管理办法建帐，审核支出，开支范围和票据合法合规，确保资金合规使用。</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2.信息公开</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严格按照上级文件要求，积极进行2022年度预算绩效信息公开。</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3.整改反馈</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在绩效管理的过程中，严格按照区财政局要求积极整改年初绩效目标设置不合理不细化的地方。</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default" w:ascii="楷体_GB2312" w:hAnsi="Times New Roman" w:eastAsia="楷体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lang w:val="en-US" w:eastAsia="zh-CN"/>
        </w:rPr>
        <w:t>（三）自评质量</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通过单位整体支出的自评，单位各项支出较规范、合理，基本实现预算绩效目标。。</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lang w:val="en-US" w:eastAsia="zh-CN"/>
        </w:rPr>
        <w:t>三、</w:t>
      </w:r>
      <w:r>
        <w:rPr>
          <w:rFonts w:hint="eastAsia" w:ascii="黑体" w:hAnsi="黑体" w:eastAsia="黑体" w:cs="Times New Roman"/>
          <w:color w:val="000000"/>
          <w:kern w:val="0"/>
          <w:sz w:val="32"/>
          <w:szCs w:val="32"/>
          <w:shd w:val="clear" w:color="auto" w:fill="FFFFFF"/>
        </w:rPr>
        <w:t>自评结论及建议</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 w:hAnsi="仿宋" w:eastAsia="仿宋" w:cs="仿宋"/>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（一）</w:t>
      </w:r>
      <w:r>
        <w:rPr>
          <w:rFonts w:hint="eastAsia" w:ascii="仿宋" w:hAnsi="仿宋" w:eastAsia="仿宋" w:cs="仿宋"/>
          <w:color w:val="000000"/>
          <w:kern w:val="0"/>
          <w:sz w:val="32"/>
          <w:szCs w:val="32"/>
          <w:shd w:val="clear" w:color="auto" w:fill="FFFFFF"/>
        </w:rPr>
        <w:t>自评结论</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 w:hAnsi="仿宋" w:eastAsia="仿宋" w:cs="仿宋"/>
          <w:i w:val="0"/>
          <w:caps w:val="0"/>
          <w:color w:val="444444"/>
          <w:spacing w:val="0"/>
          <w:kern w:val="0"/>
          <w:sz w:val="32"/>
          <w:szCs w:val="32"/>
          <w:u w:val="none"/>
          <w:shd w:val="clear" w:color="auto" w:fill="FFFFFF"/>
          <w:lang w:val="en-US" w:eastAsia="zh-CN" w:bidi="ar"/>
        </w:rPr>
      </w:pPr>
      <w:r>
        <w:rPr>
          <w:rFonts w:hint="eastAsia" w:ascii="仿宋" w:hAnsi="仿宋" w:eastAsia="仿宋" w:cs="仿宋"/>
          <w:i w:val="0"/>
          <w:caps w:val="0"/>
          <w:color w:val="444444"/>
          <w:spacing w:val="0"/>
          <w:kern w:val="0"/>
          <w:sz w:val="32"/>
          <w:szCs w:val="32"/>
          <w:u w:val="none"/>
          <w:shd w:val="clear" w:color="auto" w:fill="FFFFFF"/>
          <w:lang w:val="en-US" w:eastAsia="zh-CN" w:bidi="ar"/>
        </w:rPr>
        <w:t>区人力资源和社会保障局围绕区委、区政府的中心工作大局，履行好人社工作职责，做好相关工作，2022年全面完成市、区下达的目标任务。通过对单位整体自评评分，评价结果93分。</w:t>
      </w:r>
    </w:p>
    <w:p>
      <w:pPr>
        <w:keepNext w:val="0"/>
        <w:keepLines w:val="0"/>
        <w:pageBreakBefore w:val="0"/>
        <w:widowControl w:val="0"/>
        <w:numPr>
          <w:ilvl w:val="0"/>
          <w:numId w:val="3"/>
        </w:numPr>
        <w:pBdr>
          <w:bottom w:val="single" w:color="FFFFFF" w:sz="4" w:space="15"/>
        </w:pBdr>
        <w:tabs>
          <w:tab w:val="left" w:pos="1440"/>
        </w:tabs>
        <w:kinsoku/>
        <w:wordWrap/>
        <w:overflowPunct/>
        <w:topLinePunct w:val="0"/>
        <w:autoSpaceDE w:val="0"/>
        <w:autoSpaceDN w:val="0"/>
        <w:bidi w:val="0"/>
        <w:adjustRightInd w:val="0"/>
        <w:snapToGrid/>
        <w:spacing w:line="540" w:lineRule="exact"/>
        <w:ind w:left="0" w:leftChars="0" w:firstLine="640" w:firstLineChars="200"/>
        <w:contextualSpacing/>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存在问题</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 w:hAnsi="仿宋" w:eastAsia="仿宋" w:cs="仿宋"/>
          <w:i w:val="0"/>
          <w:caps w:val="0"/>
          <w:color w:val="444444"/>
          <w:spacing w:val="0"/>
          <w:kern w:val="0"/>
          <w:sz w:val="32"/>
          <w:szCs w:val="32"/>
          <w:u w:val="none"/>
          <w:shd w:val="clear" w:color="auto" w:fill="FFFFFF"/>
          <w:lang w:val="en-US" w:eastAsia="zh-CN" w:bidi="ar"/>
        </w:rPr>
      </w:pPr>
      <w:r>
        <w:rPr>
          <w:rFonts w:hint="eastAsia" w:ascii="仿宋" w:hAnsi="仿宋" w:eastAsia="仿宋" w:cs="仿宋"/>
          <w:i w:val="0"/>
          <w:caps w:val="0"/>
          <w:color w:val="444444"/>
          <w:spacing w:val="0"/>
          <w:kern w:val="0"/>
          <w:sz w:val="32"/>
          <w:szCs w:val="32"/>
          <w:u w:val="none"/>
          <w:shd w:val="clear" w:color="auto" w:fill="FFFFFF"/>
          <w:lang w:val="en-US" w:eastAsia="zh-CN" w:bidi="ar"/>
        </w:rPr>
        <w:t>1.分析预算执行存在偏差。编制预算时难以精确预计，年末追加了预算，在预算执行中造成预算出现偏差现象。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i w:val="0"/>
          <w:caps w:val="0"/>
          <w:color w:val="535353"/>
          <w:spacing w:val="0"/>
          <w:kern w:val="0"/>
          <w:sz w:val="32"/>
          <w:szCs w:val="32"/>
          <w:u w:val="none"/>
          <w:shd w:val="clear" w:color="auto" w:fill="FFFFFF"/>
          <w:lang w:val="en-US" w:eastAsia="zh-CN" w:bidi="ar"/>
        </w:rPr>
        <w:t>2.绩效目标设立不够明确、细化和量化，</w:t>
      </w:r>
      <w:r>
        <w:rPr>
          <w:rFonts w:hint="eastAsia" w:ascii="仿宋" w:hAnsi="仿宋" w:eastAsia="仿宋" w:cs="仿宋"/>
          <w:sz w:val="32"/>
          <w:szCs w:val="32"/>
          <w:lang w:val="en-US" w:eastAsia="zh-CN"/>
        </w:rPr>
        <w:t>目前本单位的整体支出绩效还有细化的空间，需要加以改进。</w:t>
      </w:r>
    </w:p>
    <w:p>
      <w:pPr>
        <w:widowControl/>
        <w:numPr>
          <w:ilvl w:val="0"/>
          <w:numId w:val="0"/>
        </w:numPr>
        <w:autoSpaceDE w:val="0"/>
        <w:adjustRightInd w:val="0"/>
        <w:snapToGrid w:val="0"/>
        <w:spacing w:line="500" w:lineRule="exact"/>
        <w:ind w:firstLine="640" w:firstLineChars="200"/>
        <w:contextualSpacing/>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三</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改进建议</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444444"/>
          <w:spacing w:val="0"/>
          <w:kern w:val="0"/>
          <w:sz w:val="32"/>
          <w:szCs w:val="32"/>
          <w:u w:val="none"/>
          <w:shd w:val="clear" w:color="auto" w:fill="FFFFFF"/>
          <w:lang w:val="en-US" w:eastAsia="zh-CN" w:bidi="ar"/>
        </w:rPr>
        <w:t>1.</w:t>
      </w:r>
      <w:r>
        <w:rPr>
          <w:rFonts w:hint="eastAsia" w:ascii="仿宋" w:hAnsi="仿宋" w:eastAsia="仿宋" w:cs="仿宋"/>
          <w:sz w:val="32"/>
          <w:szCs w:val="32"/>
          <w:lang w:val="en-US" w:eastAsia="zh-CN"/>
        </w:rPr>
        <w:t>进一步健全和完善财务管理制度及内部控制制度，创新管理手段，用新思路、新方法，改进完善财务管理方法。</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2.按照财政支出绩效管理的要求，建立科学的财政资金效益考评制度体系，不断提高财政资金使用管理的水平和效率。</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加强新行政单位会计制度和新预算法学习培训。加强新《预算法》、《政府会计制度》等制度法规的学习培训，规范部门预算收支核算。一是制定和完善基本支出、项目支出等各项支出标准，严格按照项目和进度执行预算，增强预算的约束力和严肃性。二是落实预算执行分析，及时了解预算执行差异，合理调整、纠正预算执行偏差，切实提高部门预算收支管理水平。</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黑体" w:hAnsi="黑体" w:eastAsia="黑体"/>
          <w:color w:val="auto"/>
          <w:sz w:val="44"/>
          <w:szCs w:val="44"/>
          <w:highlight w:val="none"/>
        </w:rPr>
      </w:pPr>
      <w:r>
        <w:rPr>
          <w:rFonts w:hint="eastAsia" w:ascii="仿宋" w:hAnsi="仿宋" w:eastAsia="仿宋" w:cs="仿宋"/>
          <w:sz w:val="32"/>
          <w:szCs w:val="32"/>
          <w:lang w:val="en-US" w:eastAsia="zh-CN"/>
        </w:rPr>
        <w:t>下一步，将对照本单位整体支出绩效评价内容，逐项梳理，逐项对标，强化财政支出绩效理念和责任意识，提高财政资金的使用效益。</w:t>
      </w:r>
      <w:bookmarkStart w:id="83" w:name="_Toc15396618"/>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both"/>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both"/>
        <w:outlineLvl w:val="9"/>
        <w:rPr>
          <w:rFonts w:hint="eastAsia" w:ascii="黑体" w:hAnsi="黑体" w:eastAsia="黑体"/>
          <w:color w:val="auto"/>
          <w:sz w:val="44"/>
          <w:szCs w:val="44"/>
          <w:highlight w:val="none"/>
        </w:rPr>
      </w:pPr>
    </w:p>
    <w:tbl>
      <w:tblPr>
        <w:tblStyle w:val="16"/>
        <w:tblW w:w="86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828"/>
        <w:gridCol w:w="921"/>
        <w:gridCol w:w="1206"/>
        <w:gridCol w:w="716"/>
        <w:gridCol w:w="646"/>
        <w:gridCol w:w="590"/>
        <w:gridCol w:w="846"/>
        <w:gridCol w:w="770"/>
        <w:gridCol w:w="761"/>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严格执行相关政策，保障定补人员工资及时发放、足额发放，预算编制科学合理，减少结余资金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保障全局5个定补人员工资及时发放、足额发放，保险按时足额缴纳。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严格执行相关政策，保障退休人员生活补助及公务员奖励金及时、足额发放或社保及时、足额缴纳，预算编制科学合理，减少结余资金。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确保退休人员生活补助及公务员年度考核奖励金的足额发放。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根据文件要求进行预算调整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按时足额发放单位职工独子奖励金。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按时足额发放单位一名遗属人员生活补助。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根据绩效评价小组设定的本项目支出绩效评价指标体系自评分为99分。资金使用效益明显。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严格执行相关政策，保障目标绩效奖及时发放、足额发放，预算编制科学合理，减少结余资金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按时足额按标准发放单位34名公务员目标绩效奖。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112.95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112.95</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112.95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112.95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112.95</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112.95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严格执行相关政策，保障工公务员车补及时发放、足额发放公务员交通补贴，预算编制科学合理。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按时足额发放34名公务员交通补贴。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29.89</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因人员增减变化对预算进行调整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29.89</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根据绩效评价小组设定的本项目支出绩效评价指标体系自评分为98分。保障公务活动的开展，资金使用效益明显。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严格执行相关政策，保障05年以前退休人员医疗保险及时发放、足额发放，预算编制科学合理，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足额发放4名05年以前退休人员医疗保险，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根据绩效评价小组设定的本项目支出绩效评价指标体系自评分为99分。资金使用效益明显。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保障单位金财网日常运转，，严格执行预算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保障单位金财网日常运转，，严格执行预算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根据绩效评价小组设定的本项目支出绩效评价指标体系自评分为98分。保障金财网正常运行，资金使用效益明显。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51081222R000000334276-区国土局退休人员工资补差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严格执行相关政策，保障国土局1人退休金补差及时发放、足额发放，预算编制科学合理</w:t>
            </w:r>
            <w:r>
              <w:rPr>
                <w:rFonts w:hint="eastAsia" w:ascii="黑体" w:hAnsi="黑体" w:eastAsia="黑体" w:cs="黑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保障国土局1人退休金补差及时发放、足额发放，预算编制科学合理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根据绩效评价小组设定的本项目支出绩效评价指标体系自评分为99分。资金使用效益明显。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严格执行相关政策，保障全局34名行政人员工资及时、足额发放，社保及时、足额缴纳，预算编制科学合理。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严格执行相关政策，按月保障全局34名行政人员工资及时、足额发放，社保及时、足额缴纳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258.46</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258.46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258.46</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258.46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严格执行相关政策，保障全局20名事业人员工资及时、足额发放或社保及时、足额缴纳，预算编制科学合理。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按月保障全局20名事业人员工资及时、足额发放或社保及时、足额缴纳。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149.89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165.32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149.89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165.32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严格执行相关政策，保障全局34名行政人员社保及时、足额缴纳，预算编制科学合理。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按月保障全局34名行政人员养老保险及时、足额缴纳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严格执行相关政策，保障全局20名事业人员养老保险及时、足额缴纳，预算编制科学合理。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按月保障全局20名事业人员养老保险及时、足额缴纳。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25.07</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25.07</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严格执行相关政策，保障全局34名行政人员社保及时、足额缴纳，预算编制科学合理。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按月保障全局34名行政人员医疗保险及时、足额缴纳，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严格执行相关政策，保障全局20名事业人员社保及时、足额缴纳，预算编制科学合理。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按月保障全局20名事业人员医疗保险的及时、足额缴纳。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严格执行国家相关政策，确实保障干部职工住房公积金足额缴纳，保障干部权益，预算编制科学合理，减少结余资金。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严格执行相关政策，保障全局34名行政人员住房公积金及时、足额缴纳，预算编制科学合理。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按月保障全局34名行政人员住房公积金及时、足额缴纳，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根据绩效评价小组设定的本项目支出绩效评价指标体系自评分为99分。资金使用效益明显。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严格执行相关政策，保障全局20名事业人员住房公积金及时、足额缴纳，预算编制科学合理。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按月保障全局20名事业人员住房公积金的及时、足额缴纳。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26.23</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26.23</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根据绩效评价小组设定的本项目支出绩效评价指标体系自评分为99分。资金使用效益明显。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严格执行相关政策，保障记实职业年金及时足额缴纳，预算编制科学合理，减少结余资金。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严格执行相关政策，保障全局34名行政人员职业年金及时、足额缴纳，预算编制科学合理。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按月保障全局34名行政人员职业年金及时、足额缴纳，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根据文件要求调整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严格执行相关政策，保障全局20名事业人员目标绩效奖及时发放、足额发放，预算编制科学合理，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保障全局20名事业人员目标绩效奖及时发放、足额发放，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73.95</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73.95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根据人员增减变化对预算进行调整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73.95</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73.95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保障单位行政工人目标绩效奖及时发放、足额发放，预算编制科学合理，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保障单位一名行政工人目标绩效奖及时发放、足额发放，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51081222R000005557723-公务员车贴调标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严格执行相关政策，保障工资及时发放、足额发放公务员交通补贴，预算编制科学合理。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按时足额发放34名公务员交通补贴。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根据文件要求进行预算调整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51081222T000006840655-退休干部尹正发困难补助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严格执行相关政策，保障一人困难补助及时发放、足额发放，预算编制科学合理</w:t>
            </w:r>
            <w:r>
              <w:rPr>
                <w:rFonts w:hint="eastAsia" w:ascii="黑体" w:hAnsi="黑体" w:eastAsia="黑体" w:cs="黑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保障一人困难补助及时发放、足额发放，预算编制科学合理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根据文件要求进行预算调整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保障全局正常运转，严格执行预算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保障全局正常运转，严格执行预算。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30.67</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30.67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根据工作实际需要调整预算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30.67</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30.67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根据绩效评价小组设定的本项目支出绩效评价指标体系自评分为96分。资金使用效益明显。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保障全局正常运转，严格执行预算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保障全局正常运转，严格执行预算。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21.57</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根据工作实际需要调整预算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21.57</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根据绩效评价小组设定的本项目支出绩效评价指标体系自评分为97分。资金使用效益明显。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保障单位日常运转，驻村工作队日常工作开展，提高预算编制质量，严格执行预算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保障单位日常运转，保障驻村工作队日常工作开展，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根据绩效评价小组设定的本项目支出绩效评价指标体系自评分为98分。资金使用效益明显。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bl>
    <w:p>
      <w:pPr>
        <w:spacing w:line="600" w:lineRule="exact"/>
        <w:jc w:val="center"/>
        <w:outlineLvl w:val="9"/>
        <w:rPr>
          <w:rFonts w:hint="eastAsia" w:ascii="黑体" w:hAnsi="黑体" w:eastAsia="黑体"/>
          <w:color w:val="auto"/>
          <w:sz w:val="44"/>
          <w:szCs w:val="44"/>
          <w:highlight w:val="none"/>
        </w:rPr>
      </w:pPr>
    </w:p>
    <w:tbl>
      <w:tblPr>
        <w:tblStyle w:val="16"/>
        <w:tblW w:w="94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864"/>
        <w:gridCol w:w="972"/>
        <w:gridCol w:w="972"/>
        <w:gridCol w:w="804"/>
        <w:gridCol w:w="876"/>
        <w:gridCol w:w="768"/>
        <w:gridCol w:w="972"/>
        <w:gridCol w:w="816"/>
        <w:gridCol w:w="780"/>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4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51081222T000005935387-档案数字化建设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9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完成全区3700余名事业干部人事档案审核、整理、扫描、装订等日常数字化工作，并按要求保管档案。</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全年完成3700余名事业人员档案数字化工作，做到规范、完整清晰，方便查询的目标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完成全区3700余名事业人员的档案数字化工作，新增事业人员的档案归档工作及现有档案的日常维护全年为860人次提供查询服务。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档案数字化管理人数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3700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档案扫描清晰度、完整性，档案装卷规范性、查询便捷度</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12月31日</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12月10日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新增档案成本</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档案管理规范，方便查阅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iCs/>
                <w:color w:val="000000"/>
                <w:sz w:val="16"/>
                <w:szCs w:val="16"/>
                <w:u w:val="none"/>
              </w:rPr>
            </w:pPr>
            <w:r>
              <w:rPr>
                <w:rFonts w:hint="eastAsia" w:ascii="新宋体" w:hAnsi="新宋体" w:eastAsia="新宋体" w:cs="新宋体"/>
                <w:i/>
                <w:iCs/>
                <w:color w:val="000000"/>
                <w:kern w:val="0"/>
                <w:sz w:val="16"/>
                <w:szCs w:val="16"/>
                <w:u w:val="none"/>
                <w:lang w:val="en-US" w:eastAsia="zh-CN" w:bidi="ar"/>
              </w:rPr>
              <w:t>事业人员档案实现数字化管理更加规范，方便查阅，减少不必要纸张浪费，保证档案存放环境安全，长期有效保存，减少遗失破损风险，为广大事业人员的档案查阅提供高效便捷的服务，全年为860人次提供查询服务，服务对象满意度测评为98%，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iCs/>
                <w:color w:val="000000"/>
                <w:sz w:val="16"/>
                <w:szCs w:val="16"/>
                <w:u w:val="none"/>
              </w:rPr>
            </w:pPr>
            <w:r>
              <w:rPr>
                <w:rFonts w:hint="eastAsia" w:ascii="新宋体" w:hAnsi="新宋体" w:eastAsia="新宋体" w:cs="新宋体"/>
                <w:i/>
                <w:iCs/>
                <w:color w:val="000000"/>
                <w:kern w:val="0"/>
                <w:sz w:val="16"/>
                <w:szCs w:val="16"/>
                <w:u w:val="none"/>
                <w:lang w:val="en-US" w:eastAsia="zh-CN" w:bidi="ar"/>
              </w:rPr>
              <w:t>事业人员档案管理事务资金投入不足，严重影响事业人员人事档案规范化建设。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iCs/>
                <w:color w:val="000000"/>
                <w:sz w:val="16"/>
                <w:szCs w:val="16"/>
                <w:u w:val="none"/>
              </w:rPr>
            </w:pPr>
            <w:r>
              <w:rPr>
                <w:rFonts w:hint="eastAsia" w:ascii="新宋体" w:hAnsi="新宋体" w:eastAsia="新宋体" w:cs="新宋体"/>
                <w:i/>
                <w:iCs/>
                <w:color w:val="000000"/>
                <w:kern w:val="0"/>
                <w:sz w:val="16"/>
                <w:szCs w:val="16"/>
                <w:u w:val="none"/>
                <w:lang w:val="en-US" w:eastAsia="zh-CN" w:bidi="ar"/>
              </w:rPr>
              <w:t>进一步加大经费投入，规范档案管理工作。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bl>
    <w:p>
      <w:pPr>
        <w:spacing w:line="600" w:lineRule="exact"/>
        <w:jc w:val="center"/>
        <w:outlineLvl w:val="9"/>
        <w:rPr>
          <w:rFonts w:hint="eastAsia" w:ascii="黑体" w:hAnsi="黑体" w:eastAsia="黑体"/>
          <w:color w:val="auto"/>
          <w:sz w:val="44"/>
          <w:szCs w:val="44"/>
          <w:highlight w:val="none"/>
        </w:rPr>
      </w:pPr>
    </w:p>
    <w:tbl>
      <w:tblPr>
        <w:tblStyle w:val="16"/>
        <w:tblW w:w="96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970"/>
        <w:gridCol w:w="887"/>
        <w:gridCol w:w="970"/>
        <w:gridCol w:w="766"/>
        <w:gridCol w:w="840"/>
        <w:gridCol w:w="826"/>
        <w:gridCol w:w="846"/>
        <w:gridCol w:w="969"/>
        <w:gridCol w:w="969"/>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51081222T000005935396-信息化建设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82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目标：加强基层平台信息化建设，保障人社局政务中心前台窗口及后台金保网络正常运行。</w:t>
            </w:r>
          </w:p>
        </w:tc>
        <w:tc>
          <w:tcPr>
            <w:tcW w:w="3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全年基层平台正常运行，人社局政务中心前台窗口及后台金保网络正常运行及维护，全力方便群众办事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一是保障政务中心12个窗口、社保事务中心各办公室网络运行，二是网络平台故障的及时处理，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专网用户个数、网络系统升级、维护</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网络正常运行、安全稳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网络系统升级、维护</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200000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老百姓办事方便、快捷</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全年有力保障区政务中心12个窗口、局社保事务中心各办公室网络正常运行，处理各类网络故障90余次，确保社保业务的开展，2022年做到了资金规范使用，专款专用，较好完成任务目标，项目自评得分95分。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52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bl>
    <w:p>
      <w:pPr>
        <w:spacing w:line="600" w:lineRule="exact"/>
        <w:jc w:val="center"/>
        <w:outlineLvl w:val="9"/>
        <w:rPr>
          <w:rFonts w:hint="eastAsia" w:ascii="黑体" w:hAnsi="黑体" w:eastAsia="黑体"/>
          <w:color w:val="auto"/>
          <w:sz w:val="44"/>
          <w:szCs w:val="44"/>
          <w:highlight w:val="none"/>
        </w:rPr>
      </w:pPr>
    </w:p>
    <w:tbl>
      <w:tblPr>
        <w:tblStyle w:val="16"/>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36"/>
        <w:gridCol w:w="21"/>
        <w:gridCol w:w="49"/>
        <w:gridCol w:w="613"/>
        <w:gridCol w:w="133"/>
        <w:gridCol w:w="88"/>
        <w:gridCol w:w="122"/>
        <w:gridCol w:w="593"/>
        <w:gridCol w:w="37"/>
        <w:gridCol w:w="204"/>
        <w:gridCol w:w="28"/>
        <w:gridCol w:w="608"/>
        <w:gridCol w:w="278"/>
        <w:gridCol w:w="42"/>
        <w:gridCol w:w="640"/>
        <w:gridCol w:w="178"/>
        <w:gridCol w:w="132"/>
        <w:gridCol w:w="229"/>
        <w:gridCol w:w="421"/>
        <w:gridCol w:w="176"/>
        <w:gridCol w:w="14"/>
        <w:gridCol w:w="116"/>
        <w:gridCol w:w="546"/>
        <w:gridCol w:w="111"/>
        <w:gridCol w:w="49"/>
        <w:gridCol w:w="79"/>
        <w:gridCol w:w="489"/>
        <w:gridCol w:w="232"/>
        <w:gridCol w:w="46"/>
        <w:gridCol w:w="79"/>
        <w:gridCol w:w="522"/>
        <w:gridCol w:w="73"/>
        <w:gridCol w:w="175"/>
        <w:gridCol w:w="5"/>
        <w:gridCol w:w="385"/>
        <w:gridCol w:w="155"/>
        <w:gridCol w:w="210"/>
        <w:gridCol w:w="21"/>
        <w:gridCol w:w="207"/>
        <w:gridCol w:w="319"/>
        <w:gridCol w:w="192"/>
        <w:gridCol w:w="11"/>
        <w:gridCol w:w="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42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29"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51081222R000005430443-退休人员地区差异性生活补助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1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879"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1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1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1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严格执行相关政策，保障全区退休人员地区差异化生活补助及时足额发放</w:t>
            </w:r>
          </w:p>
        </w:tc>
        <w:tc>
          <w:tcPr>
            <w:tcW w:w="271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严格执行相关政策，按时足额发放全区1717人全区退休人员地区差异化生活补助发放。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2"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29"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2022年该资金通过“社保卡”工资系统系统进行了打卡直发，在12月31日前按人均月标准1723元标准准确及时的发放到全区每位离退休人员个人手中，把党和政府的关心关爱政策落实到实处。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3,540.32</w:t>
            </w: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3,540.32</w:t>
            </w:r>
          </w:p>
        </w:tc>
        <w:tc>
          <w:tcPr>
            <w:tcW w:w="20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3,540.32</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0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3,540.32</w:t>
            </w: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3,540.32</w:t>
            </w:r>
          </w:p>
        </w:tc>
        <w:tc>
          <w:tcPr>
            <w:tcW w:w="20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3,540.32</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全区退休人员</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1717</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1717</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76" w:type="dxa"/>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退休人员生活补助发放率</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100</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76" w:type="dxa"/>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12月31日</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376" w:type="dxa"/>
            <w:gridSpan w:val="10"/>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生活补助标准（元/人/月）</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1723</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1723</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大幅提高离退休人员待遇</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提高离退休人员待遇，</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增强广大退休人员获得感，幸福感，确保社会和谐稳定</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全区离退休人员</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98</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58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48"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定量分析及定性分析，综合绩效评价打分，确定相应绩效评价级次。根据绩效评价小组设定的本项目综合绩效考评得分为98分。提高离退休人员待遇，增强广大退休人员获得感，幸福感，提高生活质量，确保社会和谐稳定，把党和政府的关心关爱落到了实处，受到广大离退休人员的一致好评</w:t>
            </w:r>
            <w:r>
              <w:rPr>
                <w:rStyle w:val="43"/>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48"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48"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31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1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384" w:hRule="atLeast"/>
        </w:trPr>
        <w:tc>
          <w:tcPr>
            <w:tcW w:w="9336"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17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0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51081222T000005935405-人事人才工作经费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432" w:hRule="atLeast"/>
        </w:trPr>
        <w:tc>
          <w:tcPr>
            <w:tcW w:w="17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0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846"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77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0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0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020"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0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通过人事招考、人才引进，一方面为高校毕业生提供就业途径，缓解就业压力；另一方面建设高素质的事业单位工作人员队伍，促进地方公共服务事业发展。</w:t>
            </w:r>
          </w:p>
        </w:tc>
        <w:tc>
          <w:tcPr>
            <w:tcW w:w="320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引进高层次人才15名；创新实施“青年优秀人才引进计划”，陆续引进成熟型党政事业人才14名；认真组织事业单位招聘、三支一扶招募、农村义务教育特岗教师招聘等，公开考试招聘26人，三支一扶考核招聘10人，特岗教师考核招聘13人，公费师范生6人，定向医学生7人，退役士兵安置8人。另编制外招募三支一扶15人，特岗教师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840"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0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预算目标2022年全年引进高层次人才15名；创新实施“青年优秀人才引进计划”，陆续引进成熟型党政事业人才14名；认真组织事业单位招聘、三支一扶招募、农村义务教育特岗教师招聘等，公开考试招聘26人，三支一扶考核招聘10人，特岗教师考核招聘13人，公费师范生6人，定向医学生7人，退役士兵安置8人。另编制外招募三支一扶15人，特岗教师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432" w:hRule="atLeast"/>
        </w:trPr>
        <w:tc>
          <w:tcPr>
            <w:tcW w:w="77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26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432"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26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432"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6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432" w:hRule="atLeast"/>
        </w:trPr>
        <w:tc>
          <w:tcPr>
            <w:tcW w:w="77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432"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公招次数及人数</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人才引进</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招考要求</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432"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12月31日</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12月31日</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432"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招考工作费用</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450000</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360"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稳定社会就业，发展事业干部队伍</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通过人事招考，人才引进，为高校毕业生提供就业机会，增加就业岗位，促进地方公共服务事业发展</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稳定社会就业，通过人事招考，人才引进，为高校毕业生提供就业机会，建立高素质的事业单位工作人员队伍，促进地方公共服务事业发展</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432" w:hRule="atLeast"/>
        </w:trPr>
        <w:tc>
          <w:tcPr>
            <w:tcW w:w="77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698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580" w:hRule="atLeast"/>
        </w:trPr>
        <w:tc>
          <w:tcPr>
            <w:tcW w:w="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58"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2022年做到了资金规范使用，专款专用，较好完成任务目标，该项目自评得分96分，稳定社会就业，通过人事招考，人才引进，为高校毕业生提供就业机会，增加就业岗位，建立高素质的事业单位工作人员队伍，促进地方公共服务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58"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58"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 w:type="dxa"/>
          <w:trHeight w:val="288" w:hRule="atLeast"/>
        </w:trPr>
        <w:tc>
          <w:tcPr>
            <w:tcW w:w="434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99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384" w:hRule="atLeast"/>
        </w:trPr>
        <w:tc>
          <w:tcPr>
            <w:tcW w:w="9133"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288" w:hRule="atLeast"/>
        </w:trPr>
        <w:tc>
          <w:tcPr>
            <w:tcW w:w="15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09"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51081223T000008614178-2022年省级财政社保公共服务能力建设资金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432" w:hRule="atLeast"/>
        </w:trPr>
        <w:tc>
          <w:tcPr>
            <w:tcW w:w="15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5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96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9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288" w:hRule="atLeast"/>
        </w:trPr>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5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620"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5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提升全区社保公共服务软硬件环境建设。</w:t>
            </w:r>
          </w:p>
        </w:tc>
        <w:tc>
          <w:tcPr>
            <w:tcW w:w="315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开展社会保险宣传工作，提高参保率，社保档案资料的收集归档工作。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64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09"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2022年该资金用于开展社保政策宣传2次，整理归档2020年以来的社保档案。基本实现社会保险应保尽保，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432" w:hRule="atLeast"/>
        </w:trPr>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28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27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27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28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28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432" w:hRule="atLeast"/>
        </w:trPr>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4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开展宣传活动</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2</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质量要求</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符合档案管理要求</w:t>
            </w: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质量验收合格</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12月31日前</w:t>
            </w: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12月10日</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用于社保业务支出</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5.54</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960"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全区享受社保人员</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更好的为参保人员提供高效便捷服务</w:t>
            </w: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更好的为参保人员提供高效便捷服务，完成较好</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64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全区参加社保人员满意度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95</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288" w:hRule="atLeast"/>
        </w:trPr>
        <w:tc>
          <w:tcPr>
            <w:tcW w:w="693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w:t>
            </w:r>
          </w:p>
        </w:tc>
        <w:tc>
          <w:tcPr>
            <w:tcW w:w="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84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25"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定量分析及定性分析，综合绩效评价打分，确定相应绩效评价级次。根据绩效评价小组设定的本项目综合绩效考评得分为94分，极大改善基层社保公共服务能力，提供更加高效便捷的服务，促进社会和谐稳定，把党和政府的关心关爱落到了实处，受到广大基层群众的一致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288"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25"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288"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25"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87" w:type="dxa"/>
          <w:trHeight w:val="288" w:hRule="atLeast"/>
        </w:trPr>
        <w:tc>
          <w:tcPr>
            <w:tcW w:w="416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96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384" w:hRule="atLeast"/>
        </w:trPr>
        <w:tc>
          <w:tcPr>
            <w:tcW w:w="932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288" w:hRule="atLeast"/>
        </w:trPr>
        <w:tc>
          <w:tcPr>
            <w:tcW w:w="16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1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51081222T000007175540-三支一扶项目中央、省级地方配套资金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432" w:hRule="atLeast"/>
        </w:trPr>
        <w:tc>
          <w:tcPr>
            <w:tcW w:w="16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0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846"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288" w:hRule="atLeast"/>
        </w:trPr>
        <w:tc>
          <w:tcPr>
            <w:tcW w:w="7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0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1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1000"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保障全区38名“三支一扶”人员工资及时发放，足额缴纳“五险一金”，确保全区支农、支医、支教工作的顺利开展。</w:t>
            </w:r>
          </w:p>
        </w:tc>
        <w:tc>
          <w:tcPr>
            <w:tcW w:w="311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及时按月兑现工资及各类保险补助资金，全年共发放247.98万元，有力确保三支一扶各项工作开展，有力促进大学就业工作。预算执行效果好</w:t>
            </w:r>
            <w:r>
              <w:rPr>
                <w:rFonts w:hint="eastAsia" w:ascii="黑体" w:hAnsi="黑体" w:eastAsia="黑体" w:cs="黑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648"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1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2022年该资金通过“社保卡”进行了打卡直发，确保全区38名“三支一扶”人员逐月发放生活补助及五险一金的缴纳，按本科每月5700元（含保险），专科5400元（含保险）标准发放。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432" w:hRule="atLeast"/>
        </w:trPr>
        <w:tc>
          <w:tcPr>
            <w:tcW w:w="7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288"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147.98</w:t>
            </w:r>
          </w:p>
        </w:tc>
        <w:tc>
          <w:tcPr>
            <w:tcW w:w="26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247.98</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根据中央省级补助资金额度年中追加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432"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147.98</w:t>
            </w:r>
          </w:p>
        </w:tc>
        <w:tc>
          <w:tcPr>
            <w:tcW w:w="26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247.98</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432"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288"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240"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6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540" w:hRule="atLeast"/>
        </w:trPr>
        <w:tc>
          <w:tcPr>
            <w:tcW w:w="7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432"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全区三支一扶本科人数</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38</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720"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工作生活补贴发放、保险缴纳准确率</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100</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432"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补助发放时间</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按月发放</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按月足额发放</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520"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95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三支一扶全年兑现金额（万元）</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247.98</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247.98</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1344"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鼓励高校毕业生到基层就业</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高校毕业生到基层就业，确保基层农业、医疗、教育技术人才需求</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全区三支一扶人员在基层农业、医疗、教育各领域发挥所长，作出了较大贡献</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648"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全区三支一扶人员满意度</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98</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432" w:hRule="atLeast"/>
        </w:trPr>
        <w:tc>
          <w:tcPr>
            <w:tcW w:w="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用人单位满意度</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98</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288" w:hRule="atLeast"/>
        </w:trPr>
        <w:tc>
          <w:tcPr>
            <w:tcW w:w="70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1020" w:hRule="atLeast"/>
        </w:trPr>
        <w:tc>
          <w:tcPr>
            <w:tcW w:w="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96"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综合绩效评价打分，确定相应绩效评价级次。根据绩效评价小组设定的本项目综合绩效考评得分为98分，扩大大学生就业渠道，鼓励高校毕业生到基层就业，确保基层农业、医疗、教育技术人才需求，解决就业问题，稳定就业给基层农业、医疗、教育注入新活力。确保社会和谐稳定，把党和政府对大学生关心关爱落到了实处，受到广大“三支一扶”人员的一致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432" w:hRule="atLeast"/>
        </w:trPr>
        <w:tc>
          <w:tcPr>
            <w:tcW w:w="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96"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288" w:hRule="atLeast"/>
        </w:trPr>
        <w:tc>
          <w:tcPr>
            <w:tcW w:w="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96"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 w:type="dxa"/>
          <w:trHeight w:val="288" w:hRule="atLeast"/>
        </w:trPr>
        <w:tc>
          <w:tcPr>
            <w:tcW w:w="447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485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bl>
    <w:p>
      <w:pPr>
        <w:spacing w:line="600" w:lineRule="exact"/>
        <w:jc w:val="center"/>
        <w:outlineLvl w:val="9"/>
        <w:rPr>
          <w:rFonts w:hint="eastAsia" w:ascii="黑体" w:hAnsi="黑体" w:eastAsia="黑体"/>
          <w:color w:val="auto"/>
          <w:sz w:val="44"/>
          <w:szCs w:val="44"/>
          <w:highlight w:val="none"/>
        </w:rPr>
      </w:pPr>
    </w:p>
    <w:tbl>
      <w:tblPr>
        <w:tblStyle w:val="16"/>
        <w:tblW w:w="94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2"/>
        <w:gridCol w:w="659"/>
        <w:gridCol w:w="145"/>
        <w:gridCol w:w="156"/>
        <w:gridCol w:w="538"/>
        <w:gridCol w:w="266"/>
        <w:gridCol w:w="72"/>
        <w:gridCol w:w="621"/>
        <w:gridCol w:w="267"/>
        <w:gridCol w:w="72"/>
        <w:gridCol w:w="501"/>
        <w:gridCol w:w="183"/>
        <w:gridCol w:w="144"/>
        <w:gridCol w:w="525"/>
        <w:gridCol w:w="315"/>
        <w:gridCol w:w="36"/>
        <w:gridCol w:w="381"/>
        <w:gridCol w:w="411"/>
        <w:gridCol w:w="60"/>
        <w:gridCol w:w="669"/>
        <w:gridCol w:w="147"/>
        <w:gridCol w:w="60"/>
        <w:gridCol w:w="633"/>
        <w:gridCol w:w="99"/>
        <w:gridCol w:w="168"/>
        <w:gridCol w:w="565"/>
        <w:gridCol w:w="47"/>
        <w:gridCol w:w="192"/>
        <w:gridCol w:w="565"/>
        <w:gridCol w:w="60"/>
        <w:gridCol w:w="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384" w:hRule="atLeast"/>
        </w:trPr>
        <w:tc>
          <w:tcPr>
            <w:tcW w:w="9265"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288" w:hRule="atLeast"/>
        </w:trPr>
        <w:tc>
          <w:tcPr>
            <w:tcW w:w="1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53"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51081223T000007528342-2022就业创业补助资金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1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87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288" w:hRule="atLeast"/>
        </w:trPr>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1980"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1.资金按规定用于职业培训补贴，职业技能鉴定补贴，                社会保险补贴，公益性岗位补贴，就业见习补贴，求职创业补贴，就业创业服务补贴，高技能人才培养补贴等以及就业扶贫招聘会和人力资源市场建设支出。                                                       2.确保完成年度城镇新增就业目标任务。                           3.确保年末城镇登记失业率保持在目标范围内。</w:t>
            </w:r>
          </w:p>
        </w:tc>
        <w:tc>
          <w:tcPr>
            <w:tcW w:w="32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资金按规定用于职业培训补贴234.39万元，职业技能鉴定补贴13.36万元，社会保险补贴91.52万元，公益性岗位补贴1352.98万元，就业见习补贴108.97万元，求职创业补贴0.06万元，就业创业服务补贴159万元，以及就业扶贫招聘会和人力资源市场建设支出340.72万元。                          2.完成年度城镇新增就业人数1647人。                   3.年末城镇登记失业率保持在4%以内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1220"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53"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深入实施“全民兴商、全民经商”战略，依托全区农旅文等优势资源禀赋，聚焦全区经济社会发展布局，重点围绕一、二、三产业和特色产品开展适需对路的职业技能培训，积极支持符合条件的企业面向职工大力开展在岗培训、以工代训，以满足劳动者多元化的技能提升需求。同时，积极开展就业培训领域突出问题系统治理工作，规范就业培训资金管理。实现零就业家庭动态清零，就业局势总体稳定。把党和政府保民生，保就业工作做得更实，各项民生优惠政策关心关爱落实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648" w:hRule="atLeast"/>
        </w:trPr>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28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2,323.00</w:t>
            </w:r>
          </w:p>
        </w:tc>
        <w:tc>
          <w:tcPr>
            <w:tcW w:w="26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2,323.00</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按上级下达补助资金年中追加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2,323.00</w:t>
            </w:r>
          </w:p>
        </w:tc>
        <w:tc>
          <w:tcPr>
            <w:tcW w:w="26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2,323.00</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28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28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6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职业技能培训补贴人数</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职业技能鉴定补贴人数</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社会保险补贴人数</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公益性岗位补贴人数</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1587</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1606</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就业见习补贴人数</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城镇新增就业人数</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保障企业用工个数</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创业孵化基地建设个数</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64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职业培训补贴发放准确率</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864"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接受职业培训后取得职业资格证书人员的比率</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60"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社会保险补贴发放准确率</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864"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就业补贴资金在规定时间内支付到位率　</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职业技能培训补贴资金</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234.39</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职业技能鉴定补贴资金</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社会保险补贴资金</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91.52</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91.52</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公益性岗位补贴资金</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1340.64</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就业见习补贴资金</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108.97</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64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就业创业奖补及服务补贴资金</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534.12</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534.12</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年末城镇登记失业率</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零就业家庭帮扶率</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864"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因就业问题发生重大群体性事件数量</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公共就业服务满意度</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64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就业创业扶持对象满意度</w:t>
            </w:r>
          </w:p>
        </w:tc>
        <w:tc>
          <w:tcPr>
            <w:tcW w:w="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288" w:hRule="atLeast"/>
        </w:trPr>
        <w:tc>
          <w:tcPr>
            <w:tcW w:w="693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7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5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根据定量分析及定性分析，综合绩效评价打分，确定相应绩效评价级次。根据绩效评价小组设定的本项目综合绩效考评得分为93分。通过就业创业项目实施大幅提高群众就业能力，稳岗就业、创业成效显著，形成大众创业、万众创新局面，增强广大群众获得感，幸福感，提高生活质量，确保社会和谐稳定，把党和政府的关心关爱落到了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288"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5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288"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5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288" w:hRule="atLeast"/>
        </w:trPr>
        <w:tc>
          <w:tcPr>
            <w:tcW w:w="41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507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384" w:hRule="atLeast"/>
        </w:trPr>
        <w:tc>
          <w:tcPr>
            <w:tcW w:w="9205"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288" w:hRule="atLeast"/>
        </w:trPr>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51081222T000006671841-推进乡村振兴补助资金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2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114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28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2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1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8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2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用于全区乡村振兴农村公益性岗位补助资金，脱贫劳动力省外务工交通补贴，建就业帮扶车间1个</w:t>
            </w:r>
          </w:p>
        </w:tc>
        <w:tc>
          <w:tcPr>
            <w:tcW w:w="361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补贴农村公益性岗位802人，400.8万元，补贴脱贫劳动力省外务工单程交通费1200余人，29.2万元，新建就业帮扶车间1个，补助资金70万元</w:t>
            </w:r>
            <w:r>
              <w:rPr>
                <w:rFonts w:hint="eastAsia" w:ascii="黑体" w:hAnsi="黑体" w:eastAsia="黑体" w:cs="黑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9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农村公益性岗位补贴资金按提标每人每月500元兑现到用人单位，脱贫劳动力省外务工交通补贴按单程费用补贴1200余人，通过社保卡发放到务工人员手中，确保全区补助资金在12月31日前足额兑现到补助对象人员手中，就业帮扶车间建成并投产，就近吸纳劳动力30人，全年实现产值260万元，把党和政府的关心关爱政策落实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2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根据上级下达补助资金年中追加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2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64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59"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全区安排农村公益性岗位</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802</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建就业帮扶车间</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1</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64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补贴对象的公平、公开性</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确保程序公开透明，补助准确发放</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实现程序公开透明，补助准确发放</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12月31日</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12月20日</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公益性岗位补助资金</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400.8</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8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脱贫劳动力省外务工交通补贴资金</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64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建就业帮扶车间补助资金</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帮扶车间实现产值</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260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10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推进乡村振兴，解决农村就业困难人员就业</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推进乡村振兴，解决农村就业困难人员，实现稳步增收</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解决农村就业困难人员就业30余人，实现稳步增收</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3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帮扶人员满意度</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95</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360" w:hRule="atLeast"/>
        </w:trPr>
        <w:tc>
          <w:tcPr>
            <w:tcW w:w="67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综合绩效评价打分，确定相应绩效评价级次。根据绩效评价小组设定的本项目综合绩效考评得分为96分，通过该项目实施，推进乡村振兴，解决农村就业困难人员就业30余人，实现稳步增收，增强广大受助脱贫人口获得感，幸福感，提高生活质量，确保社会和谐稳定，把党和政府对脱贫人口的关爱政策落到了实处，受到广大脱贫人口的一致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3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4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5" w:type="dxa"/>
          <w:trHeight w:val="288" w:hRule="atLeast"/>
        </w:trPr>
        <w:tc>
          <w:tcPr>
            <w:tcW w:w="400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520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48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1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51081222T000006380369-普惠金融发展专项资金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3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87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3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3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支持全区重点就业群体、小微企业、“三农”融资发展，担保贷款贴息资金，增强金融普惠性，推动普惠金融高质量发展</w:t>
            </w:r>
          </w:p>
        </w:tc>
        <w:tc>
          <w:tcPr>
            <w:tcW w:w="34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全年共完成213个经营实体的贷款贴息任务，共补贴资金132.03万元。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1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2022年共发放担保贷款2178余万元，享受贴息经营实体213个，共发放贴息补贴资金132.03万元，确保全区补助资金在12月31日前足额兑现到补助对象人员手中，把党和政府的关心关爱政策落实到实处。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132.03</w:t>
            </w:r>
          </w:p>
        </w:tc>
        <w:tc>
          <w:tcPr>
            <w:tcW w:w="2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132.03</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根据上级下达补助资金年中追加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132.03</w:t>
            </w:r>
          </w:p>
        </w:tc>
        <w:tc>
          <w:tcPr>
            <w:tcW w:w="2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132.03</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贴息经营实体个数</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发放担保贷款总额</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2146</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2178</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补贴资金使用合规率</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补贴资金发放及时率</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发放贴息总金额</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132.03</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全年新创办经营实体数量</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比上年增长15%</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比上年增长15%</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创业担保贷款经营实体满意度</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7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综合绩效评价打分，确定相应绩效评价级次。根据绩效评价小组设定的本项目综合绩效考评得分为94分，极大增强了广大创业实体干事创业信心，实现稳步增收，增强全区广大实体经营者的获得感、幸福感。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3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514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bl>
    <w:p>
      <w:pPr>
        <w:spacing w:line="600" w:lineRule="exact"/>
        <w:jc w:val="center"/>
        <w:outlineLvl w:val="9"/>
        <w:rPr>
          <w:rFonts w:hint="eastAsia" w:ascii="黑体" w:hAnsi="黑体" w:eastAsia="黑体"/>
          <w:color w:val="auto"/>
          <w:sz w:val="44"/>
          <w:szCs w:val="44"/>
          <w:highlight w:val="none"/>
        </w:rPr>
      </w:pPr>
    </w:p>
    <w:tbl>
      <w:tblPr>
        <w:tblStyle w:val="16"/>
        <w:tblW w:w="93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838"/>
        <w:gridCol w:w="827"/>
        <w:gridCol w:w="959"/>
        <w:gridCol w:w="814"/>
        <w:gridCol w:w="827"/>
        <w:gridCol w:w="957"/>
        <w:gridCol w:w="846"/>
        <w:gridCol w:w="802"/>
        <w:gridCol w:w="802"/>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51081222T000007120554-东西部协作项目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广元市朝天区人力资源和社会保障局部门</w:t>
            </w:r>
          </w:p>
        </w:tc>
        <w:tc>
          <w:tcPr>
            <w:tcW w:w="82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建就业车间一个1700平方米，就业培训1000人，，招聘会20场次，劳务协作转移安置300人，劳务工作站的日常服务管理，建好零工市场，补贴到位资金170万元。</w:t>
            </w:r>
          </w:p>
        </w:tc>
        <w:tc>
          <w:tcPr>
            <w:tcW w:w="3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全年实际建成羊木金顶村帮扶车间1个1720平方米，开展就业培训1200余人，举办劳务协作专场招聘会20场次，劳务协作转移安置380人，劳务工作站的日常服务管理服务工作，建零工市场1个，补贴到位资金170万元。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聚焦全区经济社会发展布局，重点围绕一、二、三产业和特色产品开展适需对路的职业技能培训，积极开展东西部劳务协作，不断拓展合作领域。全年实际建成羊木金顶村帮扶车间1个1720平方米，开展就业培训1200余人，举办劳务协作专场招聘会20场次，劳务协作转移安置380人，劳务工作站的日常服务管理服务工作，建零工市场1个，解决就近就业120人，劳务工作站、零工市场有序运转把党和政府保民生，保就业工作做得更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170.00</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根据上级下达补助资金年中追加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170.00</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新建就业车间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开展就业培训</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举办招聘会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开展东西部劳务协作转移输出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就业帮扶车间建设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建设质量合格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建设质量符合相关技术要求，验收合格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就业帮扶车间建设补助资金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技能培训补助资金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招聘会及劳务工作站日常管理费用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劳务输出及零工市场补助资金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就近解决就业，提高劳动力就业能力</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就业60人，培训提能1000人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解决就近就业120人完成技能培训1200人，劳务工作站、零工市场有序运转</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就业对象及培训人员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定量分析及定性分析，综合绩效评价打分，确定相应绩效评价级次。根据绩效评价小组设定的本项目支出绩效评价指标体系自评分为95分，通过东西部劳务协作项目实施，培训大幅提高群众就业能力，就近就业岗位不断增加，稳岗就业、创业成效显著，增强广大群众获得感，幸福感，提高生活质量，确保社会和谐稳定，把党和政府的关心关爱落到了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项目负责人：张绍军</w:t>
            </w:r>
          </w:p>
        </w:tc>
        <w:tc>
          <w:tcPr>
            <w:tcW w:w="50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财务负责人：马俊</w:t>
            </w:r>
          </w:p>
        </w:tc>
      </w:tr>
    </w:tbl>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576" w:lineRule="exact"/>
        <w:ind w:firstLine="859" w:firstLineChars="200"/>
        <w:jc w:val="both"/>
        <w:textAlignment w:val="auto"/>
        <w:rPr>
          <w:rFonts w:hint="eastAsia" w:ascii="方正小标宋简体" w:hAnsi="方正小标宋简体" w:eastAsia="方正小标宋简体" w:cs="方正小标宋简体"/>
          <w:b/>
          <w:color w:val="000000"/>
          <w:spacing w:val="-6"/>
          <w:kern w:val="0"/>
          <w:sz w:val="44"/>
          <w:szCs w:val="44"/>
          <w:lang w:eastAsia="zh-CN"/>
        </w:rPr>
      </w:pPr>
      <w:r>
        <w:rPr>
          <w:rFonts w:hint="eastAsia" w:ascii="方正小标宋简体" w:hAnsi="方正小标宋简体" w:eastAsia="方正小标宋简体" w:cs="方正小标宋简体"/>
          <w:b/>
          <w:color w:val="000000"/>
          <w:spacing w:val="-6"/>
          <w:kern w:val="0"/>
          <w:sz w:val="44"/>
          <w:szCs w:val="44"/>
          <w:lang w:val="en-US" w:eastAsia="zh-CN"/>
        </w:rPr>
        <w:t>2022年度</w:t>
      </w:r>
      <w:r>
        <w:rPr>
          <w:rFonts w:hint="eastAsia" w:ascii="方正小标宋简体" w:hAnsi="方正小标宋简体" w:eastAsia="方正小标宋简体" w:cs="方正小标宋简体"/>
          <w:b/>
          <w:color w:val="000000"/>
          <w:spacing w:val="-6"/>
          <w:kern w:val="0"/>
          <w:sz w:val="44"/>
          <w:szCs w:val="44"/>
        </w:rPr>
        <w:t>预算项目</w:t>
      </w:r>
      <w:r>
        <w:rPr>
          <w:rFonts w:hint="eastAsia" w:ascii="方正小标宋简体" w:hAnsi="方正小标宋简体" w:eastAsia="方正小标宋简体" w:cs="方正小标宋简体"/>
          <w:b/>
          <w:color w:val="000000"/>
          <w:spacing w:val="-6"/>
          <w:kern w:val="0"/>
          <w:sz w:val="44"/>
          <w:szCs w:val="44"/>
          <w:lang w:eastAsia="zh-CN"/>
        </w:rPr>
        <w:t>档案数字化建设</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宋体" w:hAnsi="Times New Roman" w:eastAsia="宋体" w:cs="Times New Roman"/>
          <w:spacing w:val="-6"/>
          <w:szCs w:val="21"/>
        </w:rPr>
      </w:pPr>
      <w:r>
        <w:rPr>
          <w:rFonts w:hint="eastAsia" w:ascii="方正小标宋简体" w:hAnsi="方正小标宋简体" w:eastAsia="方正小标宋简体" w:cs="方正小标宋简体"/>
          <w:b/>
          <w:color w:val="000000"/>
          <w:spacing w:val="-6"/>
          <w:kern w:val="0"/>
          <w:sz w:val="44"/>
          <w:szCs w:val="44"/>
        </w:rPr>
        <w:t>支出绩效自评报告</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numPr>
          <w:ilvl w:val="0"/>
          <w:numId w:val="6"/>
        </w:numPr>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项目资金申报及批复情况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default" w:ascii="仿宋_GB2312" w:hAnsi="Times New Roman" w:eastAsia="仿宋_GB2312" w:cs="Times New Roman"/>
          <w:spacing w:val="-6"/>
          <w:sz w:val="32"/>
          <w:szCs w:val="32"/>
          <w:lang w:val="en-US"/>
        </w:rPr>
      </w:pPr>
      <w:r>
        <w:rPr>
          <w:rFonts w:hint="eastAsia" w:ascii="仿宋_GB2312" w:hAnsi="仿宋_GB2312" w:eastAsia="仿宋_GB2312" w:cs="仿宋_GB2312"/>
          <w:color w:val="333333"/>
          <w:spacing w:val="0"/>
          <w:sz w:val="32"/>
          <w:szCs w:val="32"/>
          <w:shd w:val="clear" w:color="auto" w:fill="FFFFFF"/>
          <w:lang w:val="en-US" w:eastAsia="zh-CN"/>
        </w:rPr>
        <w:t>按照广元市朝天区财政局《关于批复2022年部门综合预算及绩效目标的通知》（广朝财发〔2022〕号），批复我单位就业服务管理项目预算10万元。我单位结合年度工作实际，牢固树立过“紧日子”的思想，按项目管理要求认真组织实施。</w:t>
      </w:r>
    </w:p>
    <w:p>
      <w:pPr>
        <w:keepNext w:val="0"/>
        <w:keepLines w:val="0"/>
        <w:pageBreakBefore w:val="0"/>
        <w:numPr>
          <w:ilvl w:val="0"/>
          <w:numId w:val="6"/>
        </w:numPr>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项目绩效目标</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1.项目计划实现的具体目标为：完成全区3700余名事业人员的档案数字化工作，新增事业人员的档案归档工作及现有档案的日常维护。</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仿宋_GB2312" w:hAnsi="Times New Roman" w:eastAsia="仿宋_GB2312" w:cs="Times New Roman"/>
          <w:spacing w:val="-6"/>
          <w:sz w:val="32"/>
          <w:szCs w:val="32"/>
          <w:lang w:val="en-US" w:eastAsia="zh-CN"/>
        </w:rPr>
        <w:t>2.项目实施进度计划为：12月底前完成改项目实施及资金拨付使用。</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lang w:val="en-US" w:eastAsia="zh-CN"/>
        </w:rPr>
        <w:t>根据2022年工作重点，2022年档案数字化建设</w:t>
      </w:r>
      <w:r>
        <w:rPr>
          <w:rFonts w:hint="eastAsia" w:ascii="仿宋_GB2312" w:hAnsi="Times New Roman" w:eastAsia="仿宋_GB2312" w:cs="Times New Roman"/>
          <w:spacing w:val="-6"/>
          <w:sz w:val="32"/>
          <w:szCs w:val="32"/>
        </w:rPr>
        <w:t>项目申报内容与具体实施内容</w:t>
      </w:r>
      <w:r>
        <w:rPr>
          <w:rFonts w:hint="eastAsia" w:ascii="仿宋_GB2312" w:hAnsi="Times New Roman" w:eastAsia="仿宋_GB2312" w:cs="Times New Roman"/>
          <w:spacing w:val="-6"/>
          <w:sz w:val="32"/>
          <w:szCs w:val="32"/>
          <w:lang w:val="en-US" w:eastAsia="zh-CN"/>
        </w:rPr>
        <w:t>基本</w:t>
      </w:r>
      <w:r>
        <w:rPr>
          <w:rFonts w:hint="eastAsia" w:ascii="仿宋_GB2312" w:hAnsi="Times New Roman" w:eastAsia="仿宋_GB2312" w:cs="Times New Roman"/>
          <w:spacing w:val="-6"/>
          <w:sz w:val="32"/>
          <w:szCs w:val="32"/>
        </w:rPr>
        <w:t>相符、申报目标</w:t>
      </w:r>
      <w:r>
        <w:rPr>
          <w:rFonts w:hint="eastAsia" w:ascii="仿宋_GB2312" w:hAnsi="Times New Roman" w:eastAsia="仿宋_GB2312" w:cs="Times New Roman"/>
          <w:spacing w:val="-6"/>
          <w:sz w:val="32"/>
          <w:szCs w:val="32"/>
          <w:lang w:val="en-US" w:eastAsia="zh-CN"/>
        </w:rPr>
        <w:t>较为合理具有较强的可操作性，申报指标清晰明确，为就业促进工作作出贡献。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rPr>
        <w:t>1</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资金计划及到位</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2022年度广元市朝天区财政局拨付我单位项目资金10万元与计划一致，资金到位率100%，并在项目资金使用时较为及时，不存在资金不到位和资金到位不及时的情况。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资金使用</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2022年改项目资金主要用于：一是</w:t>
      </w:r>
      <w:r>
        <w:rPr>
          <w:rFonts w:hint="eastAsia" w:ascii="仿宋_GB2312" w:hAnsi="Times New Roman" w:eastAsia="仿宋_GB2312" w:cs="Times New Roman"/>
          <w:spacing w:val="-6"/>
          <w:sz w:val="32"/>
          <w:szCs w:val="32"/>
          <w:lang w:val="en-US" w:eastAsia="zh-CN"/>
        </w:rPr>
        <w:t>3700余名事业人员的档案数字化工作</w:t>
      </w:r>
      <w:r>
        <w:rPr>
          <w:rFonts w:hint="eastAsia" w:ascii="仿宋_GB2312" w:hAnsi="仿宋_GB2312" w:eastAsia="仿宋_GB2312" w:cs="仿宋_GB2312"/>
          <w:color w:val="333333"/>
          <w:spacing w:val="0"/>
          <w:sz w:val="32"/>
          <w:szCs w:val="32"/>
          <w:shd w:val="clear" w:color="auto" w:fill="FFFFFF"/>
          <w:lang w:val="en-US" w:eastAsia="zh-CN"/>
        </w:rPr>
        <w:t>，二是</w:t>
      </w:r>
      <w:r>
        <w:rPr>
          <w:rFonts w:hint="eastAsia" w:ascii="仿宋_GB2312" w:hAnsi="Times New Roman" w:eastAsia="仿宋_GB2312" w:cs="Times New Roman"/>
          <w:spacing w:val="-6"/>
          <w:sz w:val="32"/>
          <w:szCs w:val="32"/>
          <w:lang w:val="en-US" w:eastAsia="zh-CN"/>
        </w:rPr>
        <w:t>新增事业人员的档案归档工作及现有档案的日常维护。</w:t>
      </w:r>
      <w:r>
        <w:rPr>
          <w:rFonts w:hint="eastAsia" w:ascii="仿宋_GB2312" w:hAnsi="仿宋_GB2312" w:eastAsia="仿宋_GB2312" w:cs="仿宋_GB2312"/>
          <w:color w:val="333333"/>
          <w:spacing w:val="0"/>
          <w:sz w:val="32"/>
          <w:szCs w:val="32"/>
          <w:shd w:val="clear" w:color="auto" w:fill="FFFFFF"/>
          <w:lang w:val="en-US" w:eastAsia="zh-CN"/>
        </w:rPr>
        <w:t>所支付的项目资金依据均合规合法，与项目预算总数一致。</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color w:val="333333"/>
          <w:spacing w:val="0"/>
          <w:sz w:val="32"/>
          <w:szCs w:val="32"/>
          <w:shd w:val="clear" w:color="auto" w:fill="FFFFFF"/>
          <w:lang w:val="en-US" w:eastAsia="zh-CN"/>
        </w:rPr>
        <w:t>我单位就业服务管理项目资金使用，严格按照“三重一大”制度、财务管理制度、支付过程中严格接受纪委监委驻单位纪检组监督。资金使用标准依照年度预算目标执行，严格按照《政府会计制度》科学设立和登记会计账簿，准确办理经费收支核算，做到专款专用，无截留、滞留、挪用等现象；切实做到账实相符财务账务处理及时，会计核算规范、严谨。</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宋体" w:eastAsia="仿宋_GB2312" w:cs="Times New Roman"/>
          <w:spacing w:val="-6"/>
          <w:sz w:val="32"/>
          <w:szCs w:val="32"/>
          <w:lang w:eastAsia="zh-CN"/>
        </w:rPr>
        <w:t>档案数字化建设</w:t>
      </w:r>
      <w:r>
        <w:rPr>
          <w:rFonts w:hint="eastAsia" w:ascii="仿宋_GB2312" w:hAnsi="仿宋_GB2312" w:eastAsia="仿宋_GB2312" w:cs="仿宋_GB2312"/>
          <w:color w:val="333333"/>
          <w:spacing w:val="0"/>
          <w:sz w:val="32"/>
          <w:szCs w:val="32"/>
          <w:shd w:val="clear" w:color="auto" w:fill="FFFFFF"/>
          <w:lang w:val="en-US" w:eastAsia="zh-CN"/>
        </w:rPr>
        <w:t>项目是一项经常性项目，对该项目的实施，2022年调整并充实了相应的项目小组成员，对项目实施前、实施中、实施后均有研判、分析和回访。所有目标项目实施前和实施过程中均接受纪检组和内部经审机构的监督，同时，在项目实施过程中严格按照相关制度规定进行公开、公示。</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按照预算目标2022年</w:t>
      </w:r>
      <w:r>
        <w:rPr>
          <w:rFonts w:hint="eastAsia" w:ascii="仿宋_GB2312" w:hAnsi="Times New Roman" w:eastAsia="仿宋_GB2312" w:cs="Times New Roman"/>
          <w:spacing w:val="-6"/>
          <w:sz w:val="32"/>
          <w:szCs w:val="32"/>
          <w:lang w:val="en-US" w:eastAsia="zh-CN"/>
        </w:rPr>
        <w:t>全年完成3700余名事业人员的档案数字化工作经费8万元</w:t>
      </w:r>
      <w:r>
        <w:rPr>
          <w:rFonts w:hint="eastAsia" w:ascii="仿宋_GB2312" w:hAnsi="仿宋_GB2312" w:eastAsia="仿宋_GB2312" w:cs="仿宋_GB2312"/>
          <w:color w:val="333333"/>
          <w:spacing w:val="0"/>
          <w:sz w:val="32"/>
          <w:szCs w:val="32"/>
          <w:shd w:val="clear" w:color="auto" w:fill="FFFFFF"/>
          <w:lang w:val="en-US" w:eastAsia="zh-CN"/>
        </w:rPr>
        <w:t>，</w:t>
      </w:r>
      <w:r>
        <w:rPr>
          <w:rFonts w:hint="eastAsia" w:ascii="仿宋_GB2312" w:hAnsi="Times New Roman" w:eastAsia="仿宋_GB2312" w:cs="Times New Roman"/>
          <w:spacing w:val="-6"/>
          <w:sz w:val="32"/>
          <w:szCs w:val="32"/>
          <w:lang w:val="en-US" w:eastAsia="zh-CN"/>
        </w:rPr>
        <w:t>新增事业人员的档案归档工作，现有档案的日常维护费用2万元，</w:t>
      </w:r>
      <w:r>
        <w:rPr>
          <w:rFonts w:hint="eastAsia" w:ascii="仿宋_GB2312" w:hAnsi="仿宋_GB2312" w:eastAsia="仿宋_GB2312" w:cs="仿宋_GB2312"/>
          <w:color w:val="333333"/>
          <w:spacing w:val="0"/>
          <w:sz w:val="32"/>
          <w:szCs w:val="32"/>
          <w:shd w:val="clear" w:color="auto" w:fill="FFFFFF"/>
          <w:lang w:val="en-US" w:eastAsia="zh-CN"/>
        </w:rPr>
        <w:t>各类项目开支严格按照“三重一大”制度，财务会计等相关规定执行，2022年做到了资金规范使用，专款专用，较好完成任务目标。</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事业人员档案实现数字化管理更加规范，方便查阅，减少不必要纸张浪费，保证档案存放环境安全，长期有效保存，减少遗失破损风险，为广大事业人员的档案查阅提供高效便捷的服务，全年为860人次提供查询服务，服务对象满意度测评为98%。</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lang w:val="en-US" w:eastAsia="zh-CN"/>
        </w:rPr>
      </w:pPr>
      <w:r>
        <w:rPr>
          <w:rFonts w:hint="eastAsia" w:ascii="黑体" w:hAnsi="黑体" w:eastAsia="黑体" w:cs="Times New Roman"/>
          <w:spacing w:val="-6"/>
          <w:sz w:val="32"/>
          <w:szCs w:val="32"/>
          <w:lang w:val="en-US" w:eastAsia="zh-CN"/>
        </w:rPr>
        <w:t>四、问题及建议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（一）存在的问题</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事业人员档案管理事务资金投入不足，严重影响事业人员人事档案规范化建设。</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（二）相关建议</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在接下来的工作中，将严格按照部门预算支出的绩效目标做好以下工作：全面按照预算的预期目标积极主动配合协调做好项目经费的规范管理和使用；坚持问题导向，不断完善内部控制制度，全面、真实、准确的反映部门预算项目支出绩效目标。</w:t>
      </w:r>
    </w:p>
    <w:p>
      <w:pPr>
        <w:spacing w:line="600" w:lineRule="exact"/>
        <w:jc w:val="both"/>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both"/>
        <w:outlineLvl w:val="9"/>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576" w:lineRule="exact"/>
        <w:jc w:val="both"/>
        <w:textAlignment w:val="auto"/>
        <w:rPr>
          <w:rFonts w:hint="eastAsia" w:ascii="方正小标宋简体" w:hAnsi="方正小标宋简体" w:eastAsia="方正小标宋简体" w:cs="方正小标宋简体"/>
          <w:b/>
          <w:color w:val="000000"/>
          <w:spacing w:val="-6"/>
          <w:kern w:val="0"/>
          <w:sz w:val="44"/>
          <w:szCs w:val="44"/>
          <w:lang w:val="en-US" w:eastAsia="zh-CN"/>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color w:val="000000"/>
          <w:spacing w:val="-6"/>
          <w:kern w:val="0"/>
          <w:sz w:val="44"/>
          <w:szCs w:val="44"/>
          <w:lang w:eastAsia="zh-CN"/>
        </w:rPr>
      </w:pPr>
      <w:r>
        <w:rPr>
          <w:rFonts w:hint="eastAsia" w:ascii="方正小标宋简体" w:hAnsi="方正小标宋简体" w:eastAsia="方正小标宋简体" w:cs="方正小标宋简体"/>
          <w:b/>
          <w:color w:val="000000"/>
          <w:spacing w:val="-6"/>
          <w:kern w:val="0"/>
          <w:sz w:val="44"/>
          <w:szCs w:val="44"/>
          <w:lang w:val="en-US" w:eastAsia="zh-CN"/>
        </w:rPr>
        <w:t>2022年度</w:t>
      </w:r>
      <w:r>
        <w:rPr>
          <w:rFonts w:hint="eastAsia" w:ascii="方正小标宋简体" w:hAnsi="方正小标宋简体" w:eastAsia="方正小标宋简体" w:cs="方正小标宋简体"/>
          <w:b/>
          <w:color w:val="000000"/>
          <w:spacing w:val="-6"/>
          <w:kern w:val="0"/>
          <w:sz w:val="44"/>
          <w:szCs w:val="44"/>
        </w:rPr>
        <w:t>预算项目</w:t>
      </w:r>
      <w:r>
        <w:rPr>
          <w:rFonts w:hint="eastAsia" w:ascii="方正小标宋简体" w:hAnsi="方正小标宋简体" w:eastAsia="方正小标宋简体" w:cs="方正小标宋简体"/>
          <w:b/>
          <w:color w:val="000000"/>
          <w:spacing w:val="-6"/>
          <w:kern w:val="0"/>
          <w:sz w:val="44"/>
          <w:szCs w:val="44"/>
          <w:lang w:eastAsia="zh-CN"/>
        </w:rPr>
        <w:t>信息化建设</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color w:val="000000"/>
          <w:spacing w:val="-6"/>
          <w:kern w:val="0"/>
          <w:sz w:val="44"/>
          <w:szCs w:val="44"/>
        </w:rPr>
      </w:pPr>
      <w:r>
        <w:rPr>
          <w:rFonts w:hint="eastAsia" w:ascii="方正小标宋简体" w:hAnsi="方正小标宋简体" w:eastAsia="方正小标宋简体" w:cs="方正小标宋简体"/>
          <w:b/>
          <w:color w:val="000000"/>
          <w:spacing w:val="-6"/>
          <w:kern w:val="0"/>
          <w:sz w:val="44"/>
          <w:szCs w:val="44"/>
        </w:rPr>
        <w:t>支出绩效自评报告</w:t>
      </w:r>
    </w:p>
    <w:p>
      <w:pPr>
        <w:keepNext w:val="0"/>
        <w:keepLines w:val="0"/>
        <w:pageBreakBefore w:val="0"/>
        <w:kinsoku/>
        <w:wordWrap/>
        <w:overflowPunct/>
        <w:topLinePunct w:val="0"/>
        <w:autoSpaceDE w:val="0"/>
        <w:autoSpaceDN/>
        <w:bidi w:val="0"/>
        <w:adjustRightInd/>
        <w:snapToGrid/>
        <w:spacing w:line="576" w:lineRule="exact"/>
        <w:jc w:val="center"/>
        <w:textAlignment w:val="auto"/>
        <w:rPr>
          <w:rFonts w:hint="eastAsia" w:ascii="宋体" w:hAnsi="Times New Roman" w:eastAsia="宋体" w:cs="Times New Roman"/>
          <w:spacing w:val="-6"/>
          <w:szCs w:val="21"/>
        </w:rPr>
      </w:pP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numPr>
          <w:ilvl w:val="0"/>
          <w:numId w:val="6"/>
        </w:numPr>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项目资金申报及批复情况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default" w:ascii="仿宋_GB2312" w:hAnsi="Times New Roman" w:eastAsia="仿宋_GB2312" w:cs="Times New Roman"/>
          <w:spacing w:val="-6"/>
          <w:sz w:val="32"/>
          <w:szCs w:val="32"/>
          <w:lang w:val="en-US"/>
        </w:rPr>
      </w:pPr>
      <w:r>
        <w:rPr>
          <w:rFonts w:hint="eastAsia" w:ascii="仿宋_GB2312" w:hAnsi="仿宋_GB2312" w:eastAsia="仿宋_GB2312" w:cs="仿宋_GB2312"/>
          <w:color w:val="333333"/>
          <w:spacing w:val="0"/>
          <w:sz w:val="32"/>
          <w:szCs w:val="32"/>
          <w:shd w:val="clear" w:color="auto" w:fill="FFFFFF"/>
          <w:lang w:val="en-US" w:eastAsia="zh-CN"/>
        </w:rPr>
        <w:t>按照广元市朝天区财政局《关于批复2022年部门综合预算及绩效目标的通知》（广朝财发〔2022〕9号），批复我单位信息化建设项目预算20万元。我单位结合年度工作实际，牢固树立过“紧日子”的思想，按项目管理要求认真组织实施。</w:t>
      </w:r>
    </w:p>
    <w:p>
      <w:pPr>
        <w:keepNext w:val="0"/>
        <w:keepLines w:val="0"/>
        <w:pageBreakBefore w:val="0"/>
        <w:numPr>
          <w:ilvl w:val="0"/>
          <w:numId w:val="6"/>
        </w:numPr>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项目绩效目标</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1.项目计划实现的具体目标为：加强基层平台信息化建设，保障人社局政务中心前台窗口及后台金保网络正常运行。提高群众办事效率。</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rPr>
      </w:pPr>
      <w:r>
        <w:rPr>
          <w:rFonts w:hint="eastAsia" w:ascii="仿宋_GB2312" w:hAnsi="Times New Roman" w:eastAsia="仿宋_GB2312" w:cs="Times New Roman"/>
          <w:spacing w:val="-6"/>
          <w:sz w:val="32"/>
          <w:szCs w:val="32"/>
          <w:lang w:val="en-US" w:eastAsia="zh-CN"/>
        </w:rPr>
        <w:t>2.项目实施进度计划为：按月缴纳网络服务费，网络故障及时解决，12月底前完成改项目实施及资金拨付。</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lang w:val="en-US" w:eastAsia="zh-CN"/>
        </w:rPr>
        <w:t>根据2022年工作重点，2022年</w:t>
      </w:r>
      <w:r>
        <w:rPr>
          <w:rFonts w:hint="eastAsia" w:ascii="仿宋_GB2312" w:hAnsi="宋体" w:eastAsia="仿宋_GB2312" w:cs="Times New Roman"/>
          <w:spacing w:val="-6"/>
          <w:sz w:val="32"/>
          <w:szCs w:val="32"/>
          <w:lang w:eastAsia="zh-CN"/>
        </w:rPr>
        <w:t>人社信息化建设</w:t>
      </w:r>
      <w:r>
        <w:rPr>
          <w:rFonts w:hint="eastAsia" w:ascii="仿宋_GB2312" w:hAnsi="Times New Roman" w:eastAsia="仿宋_GB2312" w:cs="Times New Roman"/>
          <w:spacing w:val="-6"/>
          <w:sz w:val="32"/>
          <w:szCs w:val="32"/>
        </w:rPr>
        <w:t>项目申报内容与具体实施内容</w:t>
      </w:r>
      <w:r>
        <w:rPr>
          <w:rFonts w:hint="eastAsia" w:ascii="仿宋_GB2312" w:hAnsi="Times New Roman" w:eastAsia="仿宋_GB2312" w:cs="Times New Roman"/>
          <w:spacing w:val="-6"/>
          <w:sz w:val="32"/>
          <w:szCs w:val="32"/>
          <w:lang w:val="en-US" w:eastAsia="zh-CN"/>
        </w:rPr>
        <w:t>基本</w:t>
      </w:r>
      <w:r>
        <w:rPr>
          <w:rFonts w:hint="eastAsia" w:ascii="仿宋_GB2312" w:hAnsi="Times New Roman" w:eastAsia="仿宋_GB2312" w:cs="Times New Roman"/>
          <w:spacing w:val="-6"/>
          <w:sz w:val="32"/>
          <w:szCs w:val="32"/>
        </w:rPr>
        <w:t>相符、申报目标</w:t>
      </w:r>
      <w:r>
        <w:rPr>
          <w:rFonts w:hint="eastAsia" w:ascii="仿宋_GB2312" w:hAnsi="Times New Roman" w:eastAsia="仿宋_GB2312" w:cs="Times New Roman"/>
          <w:spacing w:val="-6"/>
          <w:sz w:val="32"/>
          <w:szCs w:val="32"/>
          <w:lang w:val="en-US" w:eastAsia="zh-CN"/>
        </w:rPr>
        <w:t>较为合理具有较强的可操作性，申报指标清晰明确，为就业促进工作作出贡献。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rPr>
        <w:t>1</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资金计划及到位</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2022年度广元市朝天区财政局拨付我单位项目资金20万元与计划一致，资金到位率100%，并在项目资金使用时较为及时，不存在资金不到位和资金到位不及时的情况。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资金使用</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2022年该项目资金主要用于：一是保障政务中心12个窗口、社保事务中心各办公室网络运行，二是网络平台故障的及时处理，所支付的项目资金依据均合规合法，与项目预算总数一致。</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color w:val="333333"/>
          <w:spacing w:val="0"/>
          <w:sz w:val="32"/>
          <w:szCs w:val="32"/>
          <w:shd w:val="clear" w:color="auto" w:fill="FFFFFF"/>
          <w:lang w:val="en-US" w:eastAsia="zh-CN"/>
        </w:rPr>
        <w:t>我单位就业服务管理项目资金使用，严格按照“三重一大”制度、财务管理制度、支付过程中严格接受纪委监委驻单位纪检组监督。资金使用标准依照年度预算目标执行，严格按照《政府会计制度》科学设立和登记会计账簿，准确办理经费收支核算，做到专款专用，无截留、滞留、挪用等现象；切实做到账实相符财务账务处理及时，会计核算规范、严谨。</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宋体" w:eastAsia="仿宋_GB2312" w:cs="Times New Roman"/>
          <w:spacing w:val="-6"/>
          <w:sz w:val="32"/>
          <w:szCs w:val="32"/>
          <w:lang w:eastAsia="zh-CN"/>
        </w:rPr>
        <w:t>人社信息化建设</w:t>
      </w:r>
      <w:r>
        <w:rPr>
          <w:rFonts w:hint="eastAsia" w:ascii="仿宋_GB2312" w:hAnsi="仿宋_GB2312" w:eastAsia="仿宋_GB2312" w:cs="仿宋_GB2312"/>
          <w:color w:val="333333"/>
          <w:spacing w:val="0"/>
          <w:sz w:val="32"/>
          <w:szCs w:val="32"/>
          <w:shd w:val="clear" w:color="auto" w:fill="FFFFFF"/>
          <w:lang w:val="en-US" w:eastAsia="zh-CN"/>
        </w:rPr>
        <w:t>项目是经常延续性项目，对该项目的实施，我单位2022年调整并充实了相应的项目小组成员，对项目实施前、实施中、实施后均有研判、分析和回访。所有目标项目实施前和实施过程中均接受纪检组和内部经审机构的监督。</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按照预算目标2022年</w:t>
      </w:r>
      <w:r>
        <w:rPr>
          <w:rFonts w:hint="eastAsia" w:ascii="仿宋_GB2312" w:hAnsi="Times New Roman" w:eastAsia="仿宋_GB2312" w:cs="Times New Roman"/>
          <w:spacing w:val="-6"/>
          <w:sz w:val="32"/>
          <w:szCs w:val="32"/>
          <w:lang w:val="en-US" w:eastAsia="zh-CN"/>
        </w:rPr>
        <w:t>全年有力保障区政务中心12个窗口、局社保事务中心各办公室网络正常运行，处理各类网络故障90余次，确保社保业务的开展</w:t>
      </w:r>
      <w:r>
        <w:rPr>
          <w:rFonts w:hint="eastAsia" w:ascii="仿宋_GB2312" w:hAnsi="仿宋_GB2312" w:eastAsia="仿宋_GB2312" w:cs="仿宋_GB2312"/>
          <w:color w:val="333333"/>
          <w:spacing w:val="0"/>
          <w:sz w:val="32"/>
          <w:szCs w:val="32"/>
          <w:shd w:val="clear" w:color="auto" w:fill="FFFFFF"/>
          <w:lang w:val="en-US" w:eastAsia="zh-CN"/>
        </w:rPr>
        <w:t>各类项目开支严格按照“三重一大”制度，财务会计和工会会计制度等相关规定执行，2022年做到了资金规范使用，专款专用，较好完成任务目标。</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2022年社保网络通畅，网速迅捷，保障有力，广大参保群众办事更方便、快捷，更好的服务广大职工和参保群众，全年服务对象满意度测评为98%。</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lang w:val="en-US" w:eastAsia="zh-CN"/>
        </w:rPr>
      </w:pPr>
      <w:r>
        <w:rPr>
          <w:rFonts w:hint="eastAsia" w:ascii="黑体" w:hAnsi="黑体" w:eastAsia="黑体" w:cs="Times New Roman"/>
          <w:spacing w:val="-6"/>
          <w:sz w:val="32"/>
          <w:szCs w:val="32"/>
          <w:lang w:val="en-US" w:eastAsia="zh-CN"/>
        </w:rPr>
        <w:t>四、问题及建议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（一）存在的问题</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社保业务由于政策性强，涉及到广大群众切身利益，应加强政策宣传力度和业务人员能力的提升工作。</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（二）相关建议</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在接下来的工作中，将严格按照部门预算支出的绩效目标做好以下工作：全面按照预算的预期目标积极主动配合协调做好项目经费的规范管理和使用；坚持问题导向，不断完善内部控制制度，全面、真实、准确的反映部门预算项目支出绩效目标。</w:t>
      </w:r>
    </w:p>
    <w:p>
      <w:pPr>
        <w:spacing w:line="600" w:lineRule="exact"/>
        <w:jc w:val="both"/>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全区退休人员地区差异性生活补助</w:t>
      </w:r>
      <w:r>
        <w:rPr>
          <w:rFonts w:hint="eastAsia" w:ascii="方正小标宋简体" w:hAnsi="方正小标宋简体" w:eastAsia="方正小标宋简体" w:cs="方正小标宋简体"/>
          <w:b w:val="0"/>
          <w:bCs w:val="0"/>
          <w:color w:val="000000"/>
          <w:kern w:val="0"/>
          <w:sz w:val="44"/>
          <w:szCs w:val="44"/>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948" w:firstLineChars="30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按照我单位的职能职责：2022年度全区退休人员地区差异性生活补助专项预算项目，一是对全区应享受生活补助人员的核实工作，二是及时足额发放到位</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此项目依据广元市朝天区财政局《关于下达2022年部门综合预算及绩效目标的通知》(广朝财发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〕9</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参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我单位对专项资金的管理按照各级财政的相关要求规定执行，对上级财政的各类专项资金不能另外制定制度办法。因此在资金分配方面，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default"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根据广元市朝天区财政局《关于下达2022年部门综合预算及绩效目标的通知》(广朝财发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〕9</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要求，全区应享受离退休人员，人均月标准1723元，</w:t>
      </w:r>
      <w:r>
        <w:rPr>
          <w:rFonts w:hint="eastAsia" w:ascii="仿宋_GB2312" w:hAnsi="仿宋_GB2312" w:eastAsia="仿宋_GB2312" w:cs="仿宋_GB2312"/>
          <w:sz w:val="32"/>
          <w:szCs w:val="32"/>
          <w:lang w:val="en-US" w:eastAsia="zh-CN"/>
        </w:rPr>
        <w:t>该资金通过“社保卡”工资系统系统进行了打卡直发，确保全区补助资金在12月31日前足额兑现到退休人员手中，增强全区退休人员的获得感、幸福感。</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项目实施情况评价：按照该专项资金要求，全区在12月31日前已将</w:t>
      </w:r>
      <w:r>
        <w:rPr>
          <w:rFonts w:hint="eastAsia" w:ascii="仿宋" w:hAnsi="仿宋" w:eastAsia="仿宋" w:cs="仿宋"/>
          <w:color w:val="000000"/>
          <w:sz w:val="32"/>
          <w:szCs w:val="32"/>
          <w:lang w:val="en-US" w:eastAsia="zh-CN"/>
        </w:rPr>
        <w:t>3540.32</w:t>
      </w:r>
      <w:r>
        <w:rPr>
          <w:rFonts w:hint="eastAsia" w:eastAsia="仿宋_GB2312"/>
          <w:color w:val="000000"/>
          <w:sz w:val="32"/>
          <w:szCs w:val="32"/>
          <w:lang w:val="en-US" w:eastAsia="zh-CN"/>
        </w:rPr>
        <w:t>万元，足额兑现到</w:t>
      </w:r>
      <w:r>
        <w:rPr>
          <w:rFonts w:hint="eastAsia" w:ascii="仿宋" w:hAnsi="仿宋" w:eastAsia="仿宋" w:cs="仿宋"/>
          <w:b w:val="0"/>
          <w:bCs w:val="0"/>
          <w:color w:val="000000"/>
          <w:sz w:val="32"/>
          <w:szCs w:val="32"/>
          <w:lang w:val="en-US" w:eastAsia="zh-CN"/>
        </w:rPr>
        <w:t>1717</w:t>
      </w:r>
      <w:r>
        <w:rPr>
          <w:rFonts w:hint="eastAsia" w:eastAsia="仿宋_GB2312"/>
          <w:color w:val="000000"/>
          <w:sz w:val="32"/>
          <w:szCs w:val="32"/>
          <w:lang w:val="en-US" w:eastAsia="zh-CN"/>
        </w:rPr>
        <w:t>名退休人员手中。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2023年部门、政策和项目支出绩效自评工作的通知》（广朝财发〔2023〕19号）文件要求，我局高度重视2022年度预算项目支出绩效评价工作，并全面进行了自查评价，对照项目绩效目标的各项工作任务开展了自评。</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2.资料及数据收集。目标绩效评价领导小组通过查阅归档资料和系统录入情况，就2022年度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对2022年度的专项资金绩效情况进行自我评价，并填报2022年度专项资金绩效自评表和自评评分表，根据自评结果撰写了2022年度专项预算项目支出资金绩效自评报告。</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4.自评所采取的方法。我单位对2022年</w:t>
      </w:r>
      <w:r>
        <w:rPr>
          <w:rFonts w:hint="eastAsia" w:ascii="仿宋_GB2312" w:hAnsi="黑体" w:eastAsia="仿宋_GB2312" w:cs="宋体"/>
          <w:color w:val="auto"/>
          <w:kern w:val="0"/>
          <w:sz w:val="32"/>
          <w:szCs w:val="32"/>
          <w:lang w:val="en-US" w:eastAsia="zh-CN" w:bidi="ar-SA"/>
        </w:rPr>
        <w:t>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对该项目进行了自评，确保了2022年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（一）资金申报及批复情况。根据广元市朝天区财政局</w:t>
      </w:r>
      <w:r>
        <w:rPr>
          <w:rFonts w:hint="eastAsia" w:ascii="仿宋_GB2312" w:hAnsi="宋体" w:eastAsia="仿宋_GB2312" w:cs="Times New Roman"/>
          <w:w w:val="99"/>
          <w:sz w:val="32"/>
          <w:szCs w:val="32"/>
          <w:lang w:val="en-US" w:eastAsia="zh-CN"/>
        </w:rPr>
        <w:t>《关于下达2022年部门综合预算及绩效目标的通知》(广朝财发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〕9</w:t>
      </w:r>
      <w:r>
        <w:rPr>
          <w:rFonts w:hint="eastAsia" w:ascii="仿宋_GB2312" w:hAnsi="宋体" w:eastAsia="仿宋_GB2312" w:cs="Times New Roman"/>
          <w:w w:val="99"/>
          <w:sz w:val="32"/>
          <w:szCs w:val="32"/>
          <w:lang w:val="en-US" w:eastAsia="zh-CN"/>
        </w:rPr>
        <w:t>号)文件批复</w:t>
      </w:r>
      <w:r>
        <w:rPr>
          <w:rFonts w:hint="eastAsia" w:ascii="仿宋_GB2312" w:hAnsi="仿宋_GB2312" w:eastAsia="仿宋_GB2312" w:cs="仿宋_GB2312"/>
          <w:kern w:val="0"/>
          <w:sz w:val="32"/>
          <w:szCs w:val="32"/>
          <w:lang w:val="en-US" w:eastAsia="zh-CN" w:bidi="ar-SA"/>
        </w:rPr>
        <w:t>专项资金3540.32万元。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（二）资金到位。专项资金3540.32万元于2022年12月全部划拨到位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（三）资金使用。2022年</w:t>
      </w:r>
      <w:r>
        <w:rPr>
          <w:rFonts w:hint="eastAsia" w:ascii="仿宋_GB2312" w:hAnsi="仿宋_GB2312" w:eastAsia="仿宋_GB2312" w:cs="仿宋_GB2312"/>
          <w:sz w:val="32"/>
          <w:szCs w:val="32"/>
          <w:lang w:val="en-US" w:eastAsia="zh-CN"/>
        </w:rPr>
        <w:t>该资金通过“社保卡”工资系统系统进行了打卡直发，确保全区补助资金在12月31日前足额兑现到退休人员手中，增强全区退休人员的获得感、幸福感。</w:t>
      </w:r>
      <w:r>
        <w:rPr>
          <w:rFonts w:hint="eastAsia" w:ascii="仿宋_GB2312" w:hAnsi="仿宋_GB2312" w:eastAsia="仿宋_GB2312" w:cs="仿宋_GB2312"/>
          <w:kern w:val="0"/>
          <w:sz w:val="32"/>
          <w:szCs w:val="32"/>
          <w:lang w:val="en-US" w:eastAsia="zh-CN" w:bidi="ar-SA"/>
        </w:rPr>
        <w:t>在整个专项项目支出过程中，对支付标准、支付进度、支付依据进行了严格的合规审查，确保了资金使用过程的安全性、规范性及有效性。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项目财务管理情况。我单位严格按照内控等相关制度规定，按照项目预算安排使用资金，资金预决算报表做到内容真实完整、数据准确无误、上报数据与存档数据一致，我局做到专户管理，按照有关规定建立财务监督制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资金使用要求，结合我区实际情况开展相关工作。一是严格按照对象、条件、程序和相关要求开展工作，二是规范档案管理工作，确保资料完整备查。</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（二）我单位在资金使用过程中严格进行监督。监督专项资金是否按时足额发放到离退休人员手中。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w:t>
      </w:r>
      <w:r>
        <w:rPr>
          <w:rFonts w:hint="eastAsia" w:ascii="仿宋_GB2312" w:hAnsi="宋体" w:eastAsia="仿宋_GB2312" w:cs="Times New Roman"/>
          <w:w w:val="99"/>
          <w:sz w:val="32"/>
          <w:szCs w:val="32"/>
          <w:lang w:val="en-US" w:eastAsia="zh-CN"/>
        </w:rPr>
        <w:t>2022年</w:t>
      </w:r>
      <w:r>
        <w:rPr>
          <w:rFonts w:hint="eastAsia" w:ascii="仿宋_GB2312" w:hAnsi="仿宋_GB2312" w:eastAsia="仿宋_GB2312" w:cs="仿宋_GB2312"/>
          <w:sz w:val="32"/>
          <w:szCs w:val="32"/>
          <w:lang w:val="en-US" w:eastAsia="zh-CN"/>
        </w:rPr>
        <w:t>该资金通过“社保卡”工资系统系统进行了打卡直发，在12月31日前按人均月标准1723元标准</w:t>
      </w:r>
      <w:r>
        <w:rPr>
          <w:rFonts w:hint="eastAsia" w:ascii="仿宋_GB2312" w:hAnsi="仿宋" w:eastAsia="仿宋_GB2312"/>
          <w:sz w:val="32"/>
          <w:szCs w:val="32"/>
          <w:lang w:val="en-US" w:eastAsia="zh-CN"/>
        </w:rPr>
        <w:t>准确及时的发放到全区每位</w:t>
      </w:r>
      <w:r>
        <w:rPr>
          <w:rFonts w:hint="eastAsia" w:ascii="仿宋_GB2312" w:hAnsi="仿宋_GB2312" w:eastAsia="仿宋_GB2312" w:cs="仿宋_GB2312"/>
          <w:kern w:val="0"/>
          <w:sz w:val="32"/>
          <w:szCs w:val="32"/>
          <w:lang w:val="en-US" w:eastAsia="zh-CN" w:bidi="ar-SA"/>
        </w:rPr>
        <w:t>离退休人员</w:t>
      </w:r>
      <w:r>
        <w:rPr>
          <w:rFonts w:hint="eastAsia" w:ascii="仿宋_GB2312" w:hAnsi="仿宋" w:eastAsia="仿宋_GB2312"/>
          <w:sz w:val="32"/>
          <w:szCs w:val="32"/>
          <w:lang w:val="en-US" w:eastAsia="zh-CN"/>
        </w:rPr>
        <w:t>个人手中，把党和政府的关心关爱政策落实到实处。</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default" w:ascii="黑体" w:hAnsi="黑体" w:eastAsia="仿宋_GB2312" w:cs="Times New Roman"/>
          <w:w w:val="99"/>
          <w:sz w:val="32"/>
          <w:szCs w:val="32"/>
          <w:lang w:val="en-US" w:eastAsia="zh-CN"/>
        </w:rPr>
      </w:pPr>
      <w:r>
        <w:rPr>
          <w:rFonts w:hint="eastAsia" w:ascii="仿宋_GB2312" w:hAnsi="仿宋_GB2312" w:eastAsia="仿宋_GB2312" w:cs="仿宋_GB2312"/>
          <w:kern w:val="0"/>
          <w:sz w:val="32"/>
          <w:szCs w:val="32"/>
          <w:lang w:val="en-US" w:eastAsia="zh-CN" w:bidi="ar-SA"/>
        </w:rPr>
        <w:t>（二）项目效益情况。</w:t>
      </w:r>
      <w:r>
        <w:rPr>
          <w:rFonts w:hint="eastAsia" w:ascii="仿宋_GB2312" w:hAnsi="宋体" w:eastAsia="仿宋_GB2312" w:cs="Times New Roman"/>
          <w:w w:val="99"/>
          <w:sz w:val="32"/>
          <w:szCs w:val="32"/>
        </w:rPr>
        <w:t>通过</w:t>
      </w:r>
      <w:r>
        <w:rPr>
          <w:rFonts w:hint="eastAsia" w:ascii="仿宋_GB2312" w:hAnsi="宋体" w:eastAsia="仿宋_GB2312" w:cs="Times New Roman"/>
          <w:w w:val="99"/>
          <w:sz w:val="32"/>
          <w:szCs w:val="32"/>
          <w:lang w:eastAsia="zh-CN"/>
        </w:rPr>
        <w:t>该项生活补助的发放，提高离退休人员待遇，增强广大退休人员获得感，幸福感，提高生活质量，确保社会和谐稳定</w:t>
      </w:r>
      <w:r>
        <w:rPr>
          <w:rFonts w:hint="eastAsia" w:ascii="仿宋_GB2312" w:hAnsi="宋体" w:eastAsia="仿宋_GB2312" w:cs="Times New Roman"/>
          <w:w w:val="99"/>
          <w:sz w:val="32"/>
          <w:szCs w:val="32"/>
          <w:lang w:val="en-US" w:eastAsia="zh-CN"/>
        </w:rPr>
        <w:t>，把党和政府的关心关爱落到了实处，受到广大离退休人员的一致好评。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楷体_GB2312" w:hAnsi="宋体" w:eastAsia="楷体_GB2312" w:cs="Times New Roman"/>
          <w:b/>
          <w:w w:val="99"/>
          <w:sz w:val="32"/>
          <w:szCs w:val="32"/>
          <w:lang w:eastAsia="zh-CN"/>
        </w:rPr>
        <w:t>。</w:t>
      </w:r>
      <w:r>
        <w:rPr>
          <w:rFonts w:hint="eastAsia" w:ascii="仿宋_GB2312" w:hAnsi="宋体" w:eastAsia="仿宋_GB2312" w:cs="Times New Roman"/>
          <w:w w:val="99"/>
          <w:kern w:val="2"/>
          <w:sz w:val="32"/>
          <w:szCs w:val="32"/>
          <w:lang w:val="en-US" w:eastAsia="zh-CN" w:bidi="ar-SA"/>
        </w:rPr>
        <w:t>2022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综合绩效考评得分为98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w:t>
      </w:r>
      <w:r>
        <w:rPr>
          <w:rFonts w:hint="eastAsia" w:ascii="仿宋_GB2312" w:hAnsi="宋体" w:eastAsia="仿宋_GB2312" w:cs="Times New Roman"/>
          <w:w w:val="99"/>
          <w:kern w:val="2"/>
          <w:sz w:val="32"/>
          <w:szCs w:val="32"/>
          <w:lang w:val="en-US" w:eastAsia="zh-CN" w:bidi="ar-SA"/>
        </w:rPr>
        <w:tab/>
      </w:r>
    </w:p>
    <w:p>
      <w:pPr>
        <w:spacing w:line="600" w:lineRule="exact"/>
        <w:ind w:firstLine="640" w:firstLineChars="200"/>
        <w:jc w:val="both"/>
        <w:outlineLvl w:val="0"/>
        <w:rPr>
          <w:rFonts w:hint="eastAsia" w:ascii="黑体" w:hAnsi="黑体" w:eastAsia="黑体"/>
          <w:color w:val="auto"/>
          <w:sz w:val="44"/>
          <w:szCs w:val="44"/>
          <w:highlight w:val="none"/>
        </w:rPr>
      </w:pPr>
      <w:bookmarkStart w:id="84" w:name="_Toc30506"/>
      <w:r>
        <w:rPr>
          <w:rFonts w:hint="eastAsia" w:ascii="仿宋_GB2312" w:hAnsi="仿宋_GB2312" w:eastAsia="仿宋_GB2312" w:cs="仿宋_GB2312"/>
          <w:kern w:val="0"/>
          <w:sz w:val="32"/>
          <w:szCs w:val="32"/>
          <w:lang w:val="en-US" w:eastAsia="zh-CN" w:bidi="ar-SA"/>
        </w:rPr>
        <w:t>（三）相关建议。</w:t>
      </w:r>
      <w:r>
        <w:rPr>
          <w:rFonts w:hint="eastAsia" w:ascii="仿宋_GB2312" w:hAnsi="宋体" w:eastAsia="仿宋_GB2312" w:cs="Times New Roman"/>
          <w:w w:val="99"/>
          <w:kern w:val="2"/>
          <w:sz w:val="32"/>
          <w:szCs w:val="32"/>
          <w:lang w:val="en-US" w:eastAsia="zh-CN" w:bidi="ar-SA"/>
        </w:rPr>
        <w:t>进一步健全和完善财务管理制度和内部控制制度，创新管理手段，用新思路、新方法，改进完善财务管理方法，加强核算分类正确性，账务处理准确性。</w:t>
      </w:r>
      <w:bookmarkEnd w:id="84"/>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color w:val="000000"/>
          <w:spacing w:val="-6"/>
          <w:kern w:val="0"/>
          <w:sz w:val="44"/>
          <w:szCs w:val="44"/>
        </w:rPr>
      </w:pPr>
      <w:r>
        <w:rPr>
          <w:rFonts w:hint="eastAsia" w:ascii="方正小标宋简体" w:hAnsi="方正小标宋简体" w:eastAsia="方正小标宋简体" w:cs="方正小标宋简体"/>
          <w:b/>
          <w:color w:val="000000"/>
          <w:spacing w:val="-6"/>
          <w:kern w:val="0"/>
          <w:sz w:val="44"/>
          <w:szCs w:val="44"/>
          <w:lang w:val="en-US" w:eastAsia="zh-CN"/>
        </w:rPr>
        <w:t>2022年度</w:t>
      </w:r>
      <w:r>
        <w:rPr>
          <w:rFonts w:hint="eastAsia" w:ascii="方正小标宋简体" w:hAnsi="方正小标宋简体" w:eastAsia="方正小标宋简体" w:cs="方正小标宋简体"/>
          <w:b/>
          <w:color w:val="000000"/>
          <w:spacing w:val="-6"/>
          <w:kern w:val="0"/>
          <w:sz w:val="44"/>
          <w:szCs w:val="44"/>
        </w:rPr>
        <w:t>预算项目</w:t>
      </w:r>
      <w:r>
        <w:rPr>
          <w:rFonts w:hint="eastAsia" w:ascii="方正小标宋简体" w:hAnsi="方正小标宋简体" w:eastAsia="方正小标宋简体" w:cs="方正小标宋简体"/>
          <w:b/>
          <w:color w:val="000000"/>
          <w:spacing w:val="-6"/>
          <w:kern w:val="0"/>
          <w:sz w:val="44"/>
          <w:szCs w:val="44"/>
          <w:lang w:eastAsia="zh-CN"/>
        </w:rPr>
        <w:t>人事人才工作经费</w:t>
      </w:r>
      <w:r>
        <w:rPr>
          <w:rFonts w:hint="eastAsia" w:ascii="方正小标宋简体" w:hAnsi="方正小标宋简体" w:eastAsia="方正小标宋简体" w:cs="方正小标宋简体"/>
          <w:b/>
          <w:color w:val="000000"/>
          <w:spacing w:val="-6"/>
          <w:kern w:val="0"/>
          <w:sz w:val="44"/>
          <w:szCs w:val="44"/>
          <w:lang w:val="en-US" w:eastAsia="zh-CN"/>
        </w:rPr>
        <w:t xml:space="preserve">     </w:t>
      </w:r>
      <w:r>
        <w:rPr>
          <w:rFonts w:hint="eastAsia" w:ascii="方正小标宋简体" w:hAnsi="方正小标宋简体" w:eastAsia="方正小标宋简体" w:cs="方正小标宋简体"/>
          <w:b/>
          <w:color w:val="000000"/>
          <w:spacing w:val="-6"/>
          <w:kern w:val="0"/>
          <w:sz w:val="44"/>
          <w:szCs w:val="44"/>
        </w:rPr>
        <w:t>支出绩效自评报告</w:t>
      </w:r>
    </w:p>
    <w:p>
      <w:pPr>
        <w:keepNext w:val="0"/>
        <w:keepLines w:val="0"/>
        <w:pageBreakBefore w:val="0"/>
        <w:kinsoku/>
        <w:wordWrap/>
        <w:overflowPunct/>
        <w:topLinePunct w:val="0"/>
        <w:autoSpaceDE w:val="0"/>
        <w:autoSpaceDN/>
        <w:bidi w:val="0"/>
        <w:adjustRightInd/>
        <w:snapToGrid/>
        <w:spacing w:line="576" w:lineRule="exact"/>
        <w:jc w:val="center"/>
        <w:textAlignment w:val="auto"/>
        <w:rPr>
          <w:rFonts w:hint="eastAsia" w:ascii="宋体" w:hAnsi="Times New Roman" w:eastAsia="宋体" w:cs="Times New Roman"/>
          <w:spacing w:val="-6"/>
          <w:szCs w:val="21"/>
        </w:rPr>
      </w:pP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numPr>
          <w:ilvl w:val="0"/>
          <w:numId w:val="6"/>
        </w:numPr>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项目资金申报及批复情况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default" w:ascii="仿宋_GB2312" w:hAnsi="Times New Roman" w:eastAsia="仿宋_GB2312" w:cs="Times New Roman"/>
          <w:spacing w:val="-6"/>
          <w:sz w:val="32"/>
          <w:szCs w:val="32"/>
          <w:lang w:val="en-US"/>
        </w:rPr>
      </w:pPr>
      <w:r>
        <w:rPr>
          <w:rFonts w:hint="eastAsia" w:ascii="仿宋_GB2312" w:hAnsi="仿宋_GB2312" w:eastAsia="仿宋_GB2312" w:cs="仿宋_GB2312"/>
          <w:color w:val="333333"/>
          <w:spacing w:val="0"/>
          <w:sz w:val="32"/>
          <w:szCs w:val="32"/>
          <w:shd w:val="clear" w:color="auto" w:fill="FFFFFF"/>
          <w:lang w:val="en-US" w:eastAsia="zh-CN"/>
        </w:rPr>
        <w:t>按照广元市朝天区财政局《关于批复2022年部门综合预算及绩效目标的通知》（广朝财发〔2022〕9号）文件，批复我局人事人才工作经费项目10万元。上年结转项目资金35万元，我单位结合年度工作实际，牢固树立过“紧日子”的思想，按项目管理要求认真组织实施。</w:t>
      </w:r>
    </w:p>
    <w:p>
      <w:pPr>
        <w:keepNext w:val="0"/>
        <w:keepLines w:val="0"/>
        <w:pageBreakBefore w:val="0"/>
        <w:numPr>
          <w:ilvl w:val="0"/>
          <w:numId w:val="6"/>
        </w:numPr>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项目绩效目标</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1.项目计划实现的具体目标：为全区事业人员人事招考3次以上，及完成三支一扶及特岗教师的招募计划，招引高层次人才不少于10人，流动人员人事档案管理工作。</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仿宋_GB2312" w:hAnsi="Times New Roman" w:eastAsia="仿宋_GB2312" w:cs="Times New Roman"/>
          <w:spacing w:val="-6"/>
          <w:sz w:val="32"/>
          <w:szCs w:val="32"/>
          <w:lang w:val="en-US" w:eastAsia="zh-CN"/>
        </w:rPr>
        <w:t>2.项目实施进度计划为：上半年开展一次事业人员公招，8月底完成“三支一扶”人员及特岗教师招募计划，12月底前完成全年人事招考任务。</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lang w:val="en-US" w:eastAsia="zh-CN"/>
        </w:rPr>
        <w:t>根据2022年工作重点，2022年人事人才工作</w:t>
      </w:r>
      <w:r>
        <w:rPr>
          <w:rFonts w:hint="eastAsia" w:ascii="仿宋_GB2312" w:hAnsi="Times New Roman" w:eastAsia="仿宋_GB2312" w:cs="Times New Roman"/>
          <w:spacing w:val="-6"/>
          <w:sz w:val="32"/>
          <w:szCs w:val="32"/>
        </w:rPr>
        <w:t>项目申报内容与具体实施内容</w:t>
      </w:r>
      <w:r>
        <w:rPr>
          <w:rFonts w:hint="eastAsia" w:ascii="仿宋_GB2312" w:hAnsi="Times New Roman" w:eastAsia="仿宋_GB2312" w:cs="Times New Roman"/>
          <w:spacing w:val="-6"/>
          <w:sz w:val="32"/>
          <w:szCs w:val="32"/>
          <w:lang w:val="en-US" w:eastAsia="zh-CN"/>
        </w:rPr>
        <w:t>基本</w:t>
      </w:r>
      <w:r>
        <w:rPr>
          <w:rFonts w:hint="eastAsia" w:ascii="仿宋_GB2312" w:hAnsi="Times New Roman" w:eastAsia="仿宋_GB2312" w:cs="Times New Roman"/>
          <w:spacing w:val="-6"/>
          <w:sz w:val="32"/>
          <w:szCs w:val="32"/>
        </w:rPr>
        <w:t>相符、申报目标</w:t>
      </w:r>
      <w:r>
        <w:rPr>
          <w:rFonts w:hint="eastAsia" w:ascii="仿宋_GB2312" w:hAnsi="Times New Roman" w:eastAsia="仿宋_GB2312" w:cs="Times New Roman"/>
          <w:spacing w:val="-6"/>
          <w:sz w:val="32"/>
          <w:szCs w:val="32"/>
          <w:lang w:val="en-US" w:eastAsia="zh-CN"/>
        </w:rPr>
        <w:t>较为合理具有较强的可操作性，申报指标清晰明确，为我区人事人才事业发展作出贡献。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rPr>
        <w:t>1</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资金计划及到位</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2022年度广元市朝天区财政局拨付我单位项目资金45万元与计划一致，资金到位率100%，并在项目资金使用时较为及时，不存在资金不到位和资金到位不及时的情况。</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资金使用</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2022年改项目资金主要用于：一是开展人事招考及人才引进费用，二是开展流动人员档案管理经费，所支付的项目资金依据均合规合法，与项目预算总数基本一致。</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color w:val="333333"/>
          <w:spacing w:val="0"/>
          <w:sz w:val="32"/>
          <w:szCs w:val="32"/>
          <w:shd w:val="clear" w:color="auto" w:fill="FFFFFF"/>
          <w:lang w:val="en-US" w:eastAsia="zh-CN"/>
        </w:rPr>
        <w:t>我单位人事人才管理项目资金使用，严格按照“三重一大”制度、财务管理制度、支付过程中严格接受纪委监委驻单位纪检组监督。资金使用标准依照年度预算目标执行，严格按照《政府会计制度》科学设立和登记会计账簿，准确办理经费收支核算，做到专款专用，无截留、滞留、挪用等现象；切实做到账实相符财务账务处理及时，会计核算规范、严谨。</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人事人才管理项目是一项经常性项目，对该项目的实施，我单位2022年调整并充实了相应的项目小组成员，对项目实施前、实施中、实施后均有研判、分析和回访。所有目标项目实施前和实施过程中均接受纪检组和内部经审机构的监督，同时，在项目实施过程中严格按照相关制度规定进行公开、公示、宣传报道。</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按照预算目标2022年全年引进高层次人才15名；创新实施“青年优秀人才引进计划”，陆续引进成熟型党政事业人才14名；认真组织事业单位招聘、三支一扶招募、农村义务教育特岗教师招聘等，公开考试招聘26人，三支一扶考核招聘10人，特岗教师考核招聘13人，公费师范生6人，定向医学生7人，退役士兵安置8人。另编制外招募三支一扶15人，特岗教师15人。共接收流动人员档1373份，转递280份，档案电子化292份；共接收人事档案70份，转出干部人事档案30份，2022年做到了资金规范使用，专款专用，较好完成任务目标。</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2022年我单位</w:t>
      </w:r>
      <w:r>
        <w:rPr>
          <w:rFonts w:hint="eastAsia" w:ascii="仿宋_GB2312" w:eastAsia="仿宋_GB2312"/>
          <w:sz w:val="32"/>
          <w:szCs w:val="32"/>
        </w:rPr>
        <w:t>聚焦全区经济社会发展布局，稳定社会就业，通过人事招考，人才引进，为高校毕业生提供就业机会，增加就业岗位，建立高素质的事业单位工作人员队伍，促进地方公共服务事业发展</w:t>
      </w:r>
      <w:r>
        <w:rPr>
          <w:rFonts w:hint="eastAsia" w:ascii="仿宋_GB2312" w:eastAsia="仿宋_GB2312"/>
          <w:sz w:val="32"/>
          <w:szCs w:val="32"/>
          <w:lang w:eastAsia="zh-CN"/>
        </w:rPr>
        <w:t>，</w:t>
      </w:r>
      <w:r>
        <w:rPr>
          <w:rFonts w:hint="eastAsia" w:ascii="仿宋_GB2312" w:hAnsi="仿宋_GB2312" w:eastAsia="仿宋_GB2312" w:cs="仿宋_GB2312"/>
          <w:color w:val="333333"/>
          <w:spacing w:val="0"/>
          <w:sz w:val="32"/>
          <w:szCs w:val="32"/>
          <w:shd w:val="clear" w:color="auto" w:fill="FFFFFF"/>
          <w:lang w:val="en-US" w:eastAsia="zh-CN"/>
        </w:rPr>
        <w:t>更好的服务广大干部群众，全年服务对象满意度测评为98%。</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lang w:val="en-US" w:eastAsia="zh-CN"/>
        </w:rPr>
      </w:pPr>
      <w:r>
        <w:rPr>
          <w:rFonts w:hint="eastAsia" w:ascii="黑体" w:hAnsi="黑体" w:eastAsia="黑体" w:cs="Times New Roman"/>
          <w:spacing w:val="-6"/>
          <w:sz w:val="32"/>
          <w:szCs w:val="32"/>
          <w:lang w:val="en-US" w:eastAsia="zh-CN"/>
        </w:rPr>
        <w:t>四、问题及建议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（一）存在的问题</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default"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逐步建立完善人才引进、培养、管理、激励一整套机制，不断激发广大干部干事创业激情，为美丽幸福和谐新朝天建设作出更大贡献。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lang w:val="en-US" w:eastAsia="zh-CN"/>
        </w:rPr>
        <w:t>（二）相关建议</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在接下来的工作中，将严格按照部门预算支出的绩效目标做好以下工作：全面按照预算的预期目标积极主动配合协调做好项目经费的规范管理和使用；坚持问题导向，不断完善内部控制制度，全面、真实、准确的反映部门预算项目支出绩效目标。</w:t>
      </w:r>
    </w:p>
    <w:p>
      <w:pPr>
        <w:keepNext w:val="0"/>
        <w:keepLines w:val="0"/>
        <w:pageBreakBefore w:val="0"/>
        <w:kinsoku/>
        <w:wordWrap/>
        <w:overflowPunct/>
        <w:topLinePunct w:val="0"/>
        <w:autoSpaceDE w:val="0"/>
        <w:autoSpaceDN/>
        <w:bidi w:val="0"/>
        <w:adjustRightInd/>
        <w:snapToGrid/>
        <w:spacing w:line="576" w:lineRule="exact"/>
        <w:ind w:firstLine="604"/>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建议区政府加大对人事人才工作重视及投入，不断增强广大干部群众群众幸福感，获得感，为建设幸福美丽和谐新朝天贡献人社力量。</w:t>
      </w:r>
    </w:p>
    <w:p>
      <w:pPr>
        <w:spacing w:line="600" w:lineRule="exact"/>
        <w:jc w:val="both"/>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lang w:eastAsia="zh-CN"/>
        </w:rPr>
        <w:t>省级财政社保公共服务能力建设</w:t>
      </w:r>
      <w:r>
        <w:rPr>
          <w:rFonts w:hint="eastAsia" w:ascii="方正小标宋简体" w:hAnsi="方正小标宋简体" w:eastAsia="方正小标宋简体" w:cs="方正小标宋简体"/>
          <w:b w:val="0"/>
          <w:bCs w:val="0"/>
          <w:color w:val="000000"/>
          <w:kern w:val="0"/>
          <w:sz w:val="44"/>
          <w:szCs w:val="44"/>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按照我单位的职能职责：2022年度省级财政社保公共服务能力建设资金专项预算项目，一结合工作实际需求，用好用活项目资金，二是做好实施过程的监督工作，三是做好项目资金的申请拨付工作</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此项目依据广元市朝天区财政局《关于下达2022年省级财政社保公共服务能力建设资金的通知》(广朝财社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〕63</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参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我单位对专项资金的管理按照各级财政的相关要求规定执行，对上级财政的各类专项资金不能另外制定制度办法。因此在资金分配方面，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default"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根据广元市朝天区财政局《关于下达2022年省级财政社保公共服务能力建设资金的通知》(广朝财社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〕63</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要求，用于增强社保公共服务能力建设，为更好服务广大参保群众，加强软硬条件改善，不断</w:t>
      </w:r>
      <w:r>
        <w:rPr>
          <w:rFonts w:hint="eastAsia" w:ascii="仿宋_GB2312" w:hAnsi="仿宋_GB2312" w:eastAsia="仿宋_GB2312" w:cs="仿宋_GB2312"/>
          <w:sz w:val="32"/>
          <w:szCs w:val="32"/>
          <w:lang w:val="en-US" w:eastAsia="zh-CN"/>
        </w:rPr>
        <w:t>增强增强广大参保群众的获得感、幸福感。</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项目实施情况评价：按照该专项资金使用要求，该资金用于提高社保公共服务能力，开展社会保险宣传工作，对2020年以来的社保档案收集归档，更好服务基层群众。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2023年部门、政策和项目支出绩效自评工作的通知》（广朝财发〔2023〕19号）文件要求，我局高度重视2022年度专项预算项目支出绩效评价工作，并全面进行了自查评价，对照项目绩效目标的各项工作任务开展了自评。</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2.资料及数据收集。目标绩效评价领导小组通过查阅归档资料和系统录入情况，就2022年度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2022年度的专项资金绩效情况进行自我评价，并填报2022年度专项资金绩效自评表和自评评分表，根据自评结果撰写了2022年度专项预算项目支出资金绩效自评报告。</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4.自评所采取的方法。我单位对2022年</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对该项目进行了自评，确保了2022年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（一）资金申报及批复情况。根据广元市朝天区财政局</w:t>
      </w:r>
      <w:r>
        <w:rPr>
          <w:rFonts w:hint="eastAsia" w:ascii="仿宋_GB2312" w:hAnsi="宋体" w:eastAsia="仿宋_GB2312" w:cs="Times New Roman"/>
          <w:w w:val="99"/>
          <w:sz w:val="32"/>
          <w:szCs w:val="32"/>
          <w:lang w:val="en-US" w:eastAsia="zh-CN"/>
        </w:rPr>
        <w:t>《关于下达2022年省级财政社保公共服务能力建设资金的通知》(广朝财社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〕63</w:t>
      </w:r>
      <w:r>
        <w:rPr>
          <w:rFonts w:hint="eastAsia" w:ascii="仿宋_GB2312" w:hAnsi="宋体" w:eastAsia="仿宋_GB2312" w:cs="Times New Roman"/>
          <w:w w:val="99"/>
          <w:sz w:val="32"/>
          <w:szCs w:val="32"/>
          <w:lang w:val="en-US" w:eastAsia="zh-CN"/>
        </w:rPr>
        <w:t>号)文件批复</w:t>
      </w:r>
      <w:r>
        <w:rPr>
          <w:rFonts w:hint="eastAsia" w:ascii="仿宋_GB2312" w:hAnsi="仿宋_GB2312" w:eastAsia="仿宋_GB2312" w:cs="仿宋_GB2312"/>
          <w:kern w:val="0"/>
          <w:sz w:val="32"/>
          <w:szCs w:val="32"/>
          <w:lang w:val="en-US" w:eastAsia="zh-CN" w:bidi="ar-SA"/>
        </w:rPr>
        <w:t>专项资金5.54万元。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（二）资金到位。专项资金5.54万元于2022年12月全部划拨到位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（三）资金使用。2022年</w:t>
      </w:r>
      <w:r>
        <w:rPr>
          <w:rFonts w:hint="eastAsia" w:ascii="仿宋_GB2312" w:hAnsi="仿宋_GB2312" w:eastAsia="仿宋_GB2312" w:cs="仿宋_GB2312"/>
          <w:sz w:val="32"/>
          <w:szCs w:val="32"/>
          <w:lang w:val="en-US" w:eastAsia="zh-CN"/>
        </w:rPr>
        <w:t>该资金用于开展社保政策宣传2次，整理归档2020年以来的社保档案。基本实现社会保险应保尽保，</w:t>
      </w:r>
      <w:r>
        <w:rPr>
          <w:rFonts w:hint="eastAsia" w:ascii="仿宋_GB2312" w:hAnsi="仿宋_GB2312" w:eastAsia="仿宋_GB2312" w:cs="仿宋_GB2312"/>
          <w:kern w:val="0"/>
          <w:sz w:val="32"/>
          <w:szCs w:val="32"/>
          <w:lang w:val="en-US" w:eastAsia="zh-CN" w:bidi="ar-SA"/>
        </w:rPr>
        <w:t>在整个专项项目支出过程中，对支付标准、支付进度、支付依据进行了严格的合规审查，确保了资金使用过程的安全性、规范性及有效性。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项目财务管理情况。我单位严格按照内控等相关制度规定，按照项目预算安排使用资金，资金预决算报表做到内容真实完整、数据准确无误、上报数据与存档数据一致，做到专户管理，按照有关规定建立财务监督制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资金使用要求，结合我区实际情况开展相关工作。一是严格按照对象、条件、程序和相关要求开展工作，二是规范档案管理工作，确保资料完整备查。</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（二）我单位在资金使用过程中严格进行监督。资金使用程序规范。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w:t>
      </w:r>
      <w:r>
        <w:rPr>
          <w:rFonts w:hint="eastAsia" w:ascii="仿宋_GB2312" w:hAnsi="宋体" w:eastAsia="仿宋_GB2312" w:cs="Times New Roman"/>
          <w:w w:val="99"/>
          <w:sz w:val="32"/>
          <w:szCs w:val="32"/>
          <w:lang w:val="en-US" w:eastAsia="zh-CN"/>
        </w:rPr>
        <w:t>2022年</w:t>
      </w:r>
      <w:r>
        <w:rPr>
          <w:rFonts w:hint="eastAsia" w:ascii="仿宋_GB2312" w:hAnsi="仿宋_GB2312" w:eastAsia="仿宋_GB2312" w:cs="仿宋_GB2312"/>
          <w:sz w:val="32"/>
          <w:szCs w:val="32"/>
          <w:lang w:val="en-US" w:eastAsia="zh-CN"/>
        </w:rPr>
        <w:t>该资金用于开展社保政策宣传2次，整理归档2020年以来的社保档案。基本实现社会保险应保尽保，项目资金在12月31日前支付到位，方便了广大群众业务办理，</w:t>
      </w:r>
      <w:r>
        <w:rPr>
          <w:rFonts w:hint="eastAsia" w:ascii="仿宋_GB2312" w:hAnsi="仿宋" w:eastAsia="仿宋_GB2312"/>
          <w:sz w:val="32"/>
          <w:szCs w:val="32"/>
          <w:lang w:val="en-US" w:eastAsia="zh-CN"/>
        </w:rPr>
        <w:t>把党和政府的关心关爱政策落实到实处。</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default" w:ascii="黑体" w:hAnsi="黑体" w:eastAsia="仿宋_GB2312" w:cs="Times New Roman"/>
          <w:w w:val="99"/>
          <w:sz w:val="32"/>
          <w:szCs w:val="32"/>
          <w:lang w:val="en-US" w:eastAsia="zh-CN"/>
        </w:rPr>
      </w:pPr>
      <w:r>
        <w:rPr>
          <w:rFonts w:hint="eastAsia" w:ascii="仿宋_GB2312" w:hAnsi="仿宋_GB2312" w:eastAsia="仿宋_GB2312" w:cs="仿宋_GB2312"/>
          <w:kern w:val="0"/>
          <w:sz w:val="32"/>
          <w:szCs w:val="32"/>
          <w:lang w:val="en-US" w:eastAsia="zh-CN" w:bidi="ar-SA"/>
        </w:rPr>
        <w:t>（二）项目效益情况。</w:t>
      </w:r>
      <w:r>
        <w:rPr>
          <w:rFonts w:hint="eastAsia" w:ascii="仿宋_GB2312" w:hAnsi="宋体" w:eastAsia="仿宋_GB2312" w:cs="Times New Roman"/>
          <w:w w:val="99"/>
          <w:sz w:val="32"/>
          <w:szCs w:val="32"/>
        </w:rPr>
        <w:t>通过</w:t>
      </w:r>
      <w:r>
        <w:rPr>
          <w:rFonts w:hint="eastAsia" w:ascii="仿宋_GB2312" w:hAnsi="宋体" w:eastAsia="仿宋_GB2312" w:cs="Times New Roman"/>
          <w:w w:val="99"/>
          <w:sz w:val="32"/>
          <w:szCs w:val="32"/>
          <w:lang w:eastAsia="zh-CN"/>
        </w:rPr>
        <w:t>该项目实施，极大</w:t>
      </w:r>
      <w:r>
        <w:rPr>
          <w:rFonts w:hint="eastAsia" w:ascii="仿宋_GB2312" w:hAnsi="仿宋_GB2312" w:eastAsia="仿宋_GB2312" w:cs="仿宋_GB2312"/>
          <w:sz w:val="32"/>
          <w:szCs w:val="32"/>
          <w:lang w:val="en-US" w:eastAsia="zh-CN"/>
        </w:rPr>
        <w:t>改善基层社保公共服务能力，提供更加高效便捷的服务，促进</w:t>
      </w:r>
      <w:r>
        <w:rPr>
          <w:rFonts w:hint="eastAsia" w:ascii="仿宋_GB2312" w:hAnsi="宋体" w:eastAsia="仿宋_GB2312" w:cs="Times New Roman"/>
          <w:w w:val="99"/>
          <w:sz w:val="32"/>
          <w:szCs w:val="32"/>
          <w:lang w:eastAsia="zh-CN"/>
        </w:rPr>
        <w:t>社会和谐稳定</w:t>
      </w:r>
      <w:r>
        <w:rPr>
          <w:rFonts w:hint="eastAsia" w:ascii="仿宋_GB2312" w:hAnsi="宋体" w:eastAsia="仿宋_GB2312" w:cs="Times New Roman"/>
          <w:w w:val="99"/>
          <w:sz w:val="32"/>
          <w:szCs w:val="32"/>
          <w:lang w:val="en-US" w:eastAsia="zh-CN"/>
        </w:rPr>
        <w:t>，把党和政府的关心关爱落到了实处，受到广大基层群众的一致好评。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仿宋_GB2312" w:hAnsi="宋体" w:eastAsia="仿宋_GB2312" w:cs="Times New Roman"/>
          <w:w w:val="99"/>
          <w:kern w:val="2"/>
          <w:sz w:val="32"/>
          <w:szCs w:val="32"/>
          <w:lang w:val="en-US" w:eastAsia="zh-CN" w:bidi="ar-SA"/>
        </w:rPr>
        <w:t>2022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综合绩效考评得分为94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楷体_GB2312" w:hAnsi="宋体" w:eastAsia="楷体_GB2312" w:cs="Times New Roman"/>
          <w:b/>
          <w:w w:val="99"/>
          <w:sz w:val="32"/>
          <w:szCs w:val="32"/>
          <w:lang w:eastAsia="zh-CN"/>
        </w:rPr>
        <w:t>。</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w:t>
      </w:r>
      <w:r>
        <w:rPr>
          <w:rFonts w:hint="eastAsia" w:ascii="仿宋_GB2312" w:hAnsi="宋体" w:eastAsia="仿宋_GB2312" w:cs="Times New Roman"/>
          <w:w w:val="99"/>
          <w:kern w:val="2"/>
          <w:sz w:val="32"/>
          <w:szCs w:val="32"/>
          <w:lang w:val="en-US" w:eastAsia="zh-CN" w:bidi="ar-SA"/>
        </w:rPr>
        <w:tab/>
      </w:r>
    </w:p>
    <w:p>
      <w:pPr>
        <w:spacing w:line="600" w:lineRule="exact"/>
        <w:ind w:firstLine="640" w:firstLineChars="200"/>
        <w:jc w:val="both"/>
        <w:outlineLvl w:val="0"/>
        <w:rPr>
          <w:rFonts w:hint="eastAsia" w:ascii="仿宋_GB2312" w:hAnsi="宋体" w:eastAsia="仿宋_GB2312" w:cs="Times New Roman"/>
          <w:w w:val="99"/>
          <w:kern w:val="2"/>
          <w:sz w:val="32"/>
          <w:szCs w:val="32"/>
          <w:lang w:val="en-US" w:eastAsia="zh-CN" w:bidi="ar-SA"/>
        </w:rPr>
      </w:pPr>
      <w:bookmarkStart w:id="85" w:name="_Toc7693"/>
      <w:r>
        <w:rPr>
          <w:rFonts w:hint="eastAsia" w:ascii="仿宋_GB2312" w:hAnsi="仿宋_GB2312" w:eastAsia="仿宋_GB2312" w:cs="仿宋_GB2312"/>
          <w:kern w:val="0"/>
          <w:sz w:val="32"/>
          <w:szCs w:val="32"/>
          <w:lang w:val="en-US" w:eastAsia="zh-CN" w:bidi="ar-SA"/>
        </w:rPr>
        <w:t>（三）相关建议</w:t>
      </w:r>
      <w:r>
        <w:rPr>
          <w:rFonts w:hint="eastAsia" w:ascii="楷体_GB2312" w:hAnsi="宋体" w:eastAsia="楷体_GB2312" w:cs="Times New Roman"/>
          <w:b/>
          <w:w w:val="99"/>
          <w:sz w:val="32"/>
          <w:szCs w:val="32"/>
          <w:lang w:eastAsia="zh-CN"/>
        </w:rPr>
        <w:t>。</w:t>
      </w:r>
      <w:r>
        <w:rPr>
          <w:rFonts w:hint="eastAsia" w:ascii="仿宋_GB2312" w:hAnsi="宋体" w:eastAsia="仿宋_GB2312" w:cs="Times New Roman"/>
          <w:w w:val="99"/>
          <w:kern w:val="2"/>
          <w:sz w:val="32"/>
          <w:szCs w:val="32"/>
          <w:lang w:val="en-US" w:eastAsia="zh-CN" w:bidi="ar-SA"/>
        </w:rPr>
        <w:t>进一步健全和完善财务管理制度和内部控制制度，创新管理手段，用新思路、新方法，改进完善财务管理方法，不断完善项目绩效评价机制。</w:t>
      </w:r>
      <w:bookmarkEnd w:id="85"/>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“三支一扶”项目中央和省级地方</w:t>
      </w:r>
    </w:p>
    <w:p>
      <w:pPr>
        <w:keepNext w:val="0"/>
        <w:keepLines w:val="0"/>
        <w:pageBreakBefore w:val="0"/>
        <w:widowControl w:val="0"/>
        <w:kinsoku/>
        <w:wordWrap/>
        <w:overflowPunct/>
        <w:topLinePunct w:val="0"/>
        <w:autoSpaceDE/>
        <w:autoSpaceDN/>
        <w:bidi w:val="0"/>
        <w:adjustRightInd/>
        <w:snapToGrid/>
        <w:spacing w:line="576" w:lineRule="exact"/>
        <w:ind w:left="320" w:right="0" w:rightChars="0" w:hanging="440" w:hangingChars="100"/>
        <w:jc w:val="center"/>
        <w:textAlignment w:val="auto"/>
        <w:outlineLvl w:val="9"/>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补助资金</w:t>
      </w:r>
      <w:r>
        <w:rPr>
          <w:rFonts w:hint="eastAsia" w:ascii="方正小标宋简体" w:hAnsi="方正小标宋简体" w:eastAsia="方正小标宋简体" w:cs="方正小标宋简体"/>
          <w:b w:val="0"/>
          <w:bCs w:val="0"/>
          <w:color w:val="000000"/>
          <w:kern w:val="0"/>
          <w:sz w:val="44"/>
          <w:szCs w:val="44"/>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center"/>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按照我单位的职能职责：2022年度高校毕业生“三支一扶”中央和省级补助及配套资金专项预算项目，一是对全区高校毕业生“三支一扶”人员招录工作及动态管理，二是按标准逐月发放生活补助</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此项目依据广元市朝天区财政局《关于下达2022年高校毕业生“三支一扶”中央和省级补助及配套资金的通知》(广朝财社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〕33</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参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对专项资金的管理按照各级财政的相关要求规定执行，对上级财政的各类专项资金不能另外制定制度办法。因此在资金分配方面，我单位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default"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根据广元市朝天区财政局《关于下达2022年高校毕业生“三支一扶”中央和省级补助及配套资金的通知》(广朝财社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〕33</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要求，保障全区38名“三支一扶”人员逐月发放生活补助及五险一金的缴纳，按本科每月5700元（含保险），专科5400元（含保险）标准发放，</w:t>
      </w:r>
      <w:r>
        <w:rPr>
          <w:rFonts w:hint="eastAsia" w:ascii="仿宋_GB2312" w:hAnsi="仿宋_GB2312" w:eastAsia="仿宋_GB2312" w:cs="仿宋_GB2312"/>
          <w:sz w:val="32"/>
          <w:szCs w:val="32"/>
          <w:lang w:val="en-US" w:eastAsia="zh-CN"/>
        </w:rPr>
        <w:t>该资金通过本人“社保卡”进行了打卡直发，确保每月足额发放。</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项目实施情况评价：按照该专项资金要求，全区在12月31日前已将247.98万元，逐月足额兑现到38名“三支一扶”人员手中，。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2023年部门、政策和项目支出绩效自评工作的通知》（广朝财发〔2023〕19号）文件要求，我单位高度重视2022年度专项预算项目支出绩效评价工作，并全面进行了自查评价，对照项目绩效目标的各项工作任务开展了自评。</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2.资料及数据收集。目标绩效评价领导小组通过查阅归档资料和系统录入情况，就2022年度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对2022年度的专项资金绩效情况进行自我评价，并填报2022年度专项资金绩效自评表和自评评分表，根据自评结果撰写了2022年度专项预算项目支出资金绩效自评报告。</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4.自评所采取的方法。对2022年</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对该项目进行了自评，确保了2022年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（一）资金申报及批复情况。根据</w:t>
      </w:r>
      <w:r>
        <w:rPr>
          <w:rFonts w:hint="eastAsia" w:ascii="仿宋_GB2312" w:hAnsi="黑体" w:eastAsia="仿宋_GB2312" w:cs="宋体"/>
          <w:color w:val="auto"/>
          <w:kern w:val="0"/>
          <w:sz w:val="32"/>
          <w:szCs w:val="32"/>
          <w:lang w:val="en-US" w:eastAsia="zh-CN"/>
        </w:rPr>
        <w:t>广元市朝天区财政局《关于开展2023年部门、政策和项目支出绩效自评工作的通知》（广朝财发〔2022〕33号）文件</w:t>
      </w:r>
      <w:r>
        <w:rPr>
          <w:rFonts w:hint="eastAsia" w:ascii="仿宋_GB2312" w:hAnsi="宋体" w:eastAsia="仿宋_GB2312" w:cs="Times New Roman"/>
          <w:w w:val="99"/>
          <w:sz w:val="32"/>
          <w:szCs w:val="32"/>
          <w:lang w:val="en-US" w:eastAsia="zh-CN"/>
        </w:rPr>
        <w:t>批复</w:t>
      </w:r>
      <w:r>
        <w:rPr>
          <w:rFonts w:hint="eastAsia" w:ascii="仿宋_GB2312" w:hAnsi="仿宋_GB2312" w:eastAsia="仿宋_GB2312" w:cs="仿宋_GB2312"/>
          <w:kern w:val="0"/>
          <w:sz w:val="32"/>
          <w:szCs w:val="32"/>
          <w:lang w:val="en-US" w:eastAsia="zh-CN" w:bidi="ar-SA"/>
        </w:rPr>
        <w:t>专项资金247.98万元。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（二）资金到位。专项资金247.98万元于2022年12月全部划拨到位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（三）资金使用。2022年</w:t>
      </w:r>
      <w:r>
        <w:rPr>
          <w:rFonts w:hint="eastAsia" w:ascii="仿宋_GB2312" w:hAnsi="仿宋_GB2312" w:eastAsia="仿宋_GB2312" w:cs="仿宋_GB2312"/>
          <w:sz w:val="32"/>
          <w:szCs w:val="32"/>
          <w:lang w:val="en-US" w:eastAsia="zh-CN"/>
        </w:rPr>
        <w:t>该资金通过“社保卡”进行了打卡直发，确保</w:t>
      </w:r>
      <w:r>
        <w:rPr>
          <w:rFonts w:hint="eastAsia" w:ascii="仿宋_GB2312" w:hAnsi="仿宋_GB2312" w:eastAsia="仿宋_GB2312" w:cs="仿宋_GB2312"/>
          <w:w w:val="99"/>
          <w:sz w:val="32"/>
          <w:szCs w:val="32"/>
          <w:lang w:val="en-US" w:eastAsia="zh-CN"/>
        </w:rPr>
        <w:t>全区38名“三支一扶”人员逐月发放生活补助及五险一金的缴纳，按本科每月5700元（含保险），专科5400元（含保险）标准发放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bidi="ar-SA"/>
        </w:rPr>
        <w:t>在整个专项项目支出过程中，对支付标准、支付进度、支付依据进行了严格的合规审查，确保了资金使用过程的安全性、规范性及有效性。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项目财务管理情况。我单位严格按照内控等相关制度规定，按照项目预算安排使用资金，资金预决算报表做到内容真实完整、数据准确无误、上报数据与存档数据一致，我单位做到专户管理，按照有关规定建立财务监督制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资金使用要求，结合我区实际情况开展相关工作。一是严格按照对象、标准、条件、程序和相关要求开展工作，二是规范档案管理工作，确保资料完整备查。</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（二）我单位在资金使用过程中严格进行监督。监督专项资金是否按时足额发放到“三支一扶”人员手中。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w:t>
      </w:r>
      <w:r>
        <w:rPr>
          <w:rFonts w:hint="eastAsia" w:ascii="仿宋_GB2312" w:hAnsi="宋体" w:eastAsia="仿宋_GB2312" w:cs="Times New Roman"/>
          <w:w w:val="99"/>
          <w:sz w:val="32"/>
          <w:szCs w:val="32"/>
          <w:lang w:val="en-US" w:eastAsia="zh-CN"/>
        </w:rPr>
        <w:t>2022年</w:t>
      </w:r>
      <w:r>
        <w:rPr>
          <w:rFonts w:hint="eastAsia" w:ascii="仿宋_GB2312" w:hAnsi="仿宋_GB2312" w:eastAsia="仿宋_GB2312" w:cs="仿宋_GB2312"/>
          <w:sz w:val="32"/>
          <w:szCs w:val="32"/>
          <w:lang w:val="en-US" w:eastAsia="zh-CN"/>
        </w:rPr>
        <w:t>该资金逐月通过“社保卡”进行了打卡直发，</w:t>
      </w:r>
      <w:r>
        <w:rPr>
          <w:rFonts w:hint="eastAsia" w:eastAsia="仿宋_GB2312"/>
          <w:color w:val="000000"/>
          <w:sz w:val="32"/>
          <w:szCs w:val="32"/>
          <w:lang w:val="en-US" w:eastAsia="zh-CN"/>
        </w:rPr>
        <w:t>12月31日前已将247.98元，逐月足额兑现到38名“三支一扶”人员手中，全年共发放资金247.98万元（含保险）</w:t>
      </w:r>
      <w:r>
        <w:rPr>
          <w:rFonts w:hint="eastAsia" w:ascii="仿宋_GB2312" w:hAnsi="仿宋" w:eastAsia="仿宋_GB2312"/>
          <w:sz w:val="32"/>
          <w:szCs w:val="32"/>
          <w:lang w:val="en-US" w:eastAsia="zh-CN"/>
        </w:rPr>
        <w:t>，住房公积金按人均每月198元缴纳，把党和政府对大学生关心关爱政策落实到实处。</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left="630" w:leftChars="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（二）项目效益情况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黑体" w:hAnsi="黑体" w:eastAsia="仿宋_GB2312" w:cs="Times New Roman"/>
          <w:w w:val="99"/>
          <w:sz w:val="32"/>
          <w:szCs w:val="32"/>
          <w:lang w:val="en-US" w:eastAsia="zh-CN"/>
        </w:rPr>
      </w:pPr>
      <w:r>
        <w:rPr>
          <w:rFonts w:hint="eastAsia" w:ascii="仿宋_GB2312" w:hAnsi="宋体" w:eastAsia="仿宋_GB2312" w:cs="Times New Roman"/>
          <w:w w:val="99"/>
          <w:sz w:val="32"/>
          <w:szCs w:val="32"/>
        </w:rPr>
        <w:t>通过</w:t>
      </w:r>
      <w:r>
        <w:rPr>
          <w:rFonts w:hint="eastAsia" w:ascii="仿宋_GB2312" w:hAnsi="宋体" w:eastAsia="仿宋_GB2312" w:cs="Times New Roman"/>
          <w:w w:val="99"/>
          <w:sz w:val="32"/>
          <w:szCs w:val="32"/>
          <w:lang w:eastAsia="zh-CN"/>
        </w:rPr>
        <w:t>该项专项资金的使用，扩大大学生就业渠道，鼓励高校毕业生到基层就业，确保基层农业、医疗、教育技术人才需求，解决就业问题，稳定就业给基层农业、医疗、教育注入新活力。确保社会和谐稳定</w:t>
      </w:r>
      <w:r>
        <w:rPr>
          <w:rFonts w:hint="eastAsia" w:ascii="仿宋_GB2312" w:hAnsi="宋体" w:eastAsia="仿宋_GB2312" w:cs="Times New Roman"/>
          <w:w w:val="99"/>
          <w:sz w:val="32"/>
          <w:szCs w:val="32"/>
          <w:lang w:val="en-US" w:eastAsia="zh-CN"/>
        </w:rPr>
        <w:t>，把党和政府对大学生关心关爱落到了实处，受到广大“三支一扶”人员的一致好评。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仿宋_GB2312" w:hAnsi="宋体" w:eastAsia="仿宋_GB2312" w:cs="Times New Roman"/>
          <w:w w:val="99"/>
          <w:kern w:val="2"/>
          <w:sz w:val="32"/>
          <w:szCs w:val="32"/>
          <w:lang w:val="en-US" w:eastAsia="zh-CN" w:bidi="ar-SA"/>
        </w:rPr>
        <w:t>2022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综合绩效考评得分为98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w:t>
      </w:r>
      <w:r>
        <w:rPr>
          <w:rFonts w:hint="eastAsia" w:ascii="仿宋_GB2312" w:hAnsi="宋体" w:eastAsia="仿宋_GB2312" w:cs="Times New Roman"/>
          <w:w w:val="99"/>
          <w:kern w:val="2"/>
          <w:sz w:val="32"/>
          <w:szCs w:val="32"/>
          <w:lang w:val="en-US" w:eastAsia="zh-CN" w:bidi="ar-SA"/>
        </w:rPr>
        <w:tab/>
      </w:r>
    </w:p>
    <w:p>
      <w:pPr>
        <w:spacing w:line="600" w:lineRule="exact"/>
        <w:ind w:firstLine="640" w:firstLineChars="200"/>
        <w:jc w:val="both"/>
        <w:outlineLvl w:val="0"/>
        <w:rPr>
          <w:rFonts w:hint="eastAsia" w:ascii="黑体" w:hAnsi="黑体" w:eastAsia="黑体"/>
          <w:color w:val="auto"/>
          <w:sz w:val="44"/>
          <w:szCs w:val="44"/>
          <w:highlight w:val="none"/>
        </w:rPr>
      </w:pPr>
      <w:bookmarkStart w:id="86" w:name="_Toc17056"/>
      <w:r>
        <w:rPr>
          <w:rFonts w:hint="eastAsia" w:ascii="仿宋_GB2312" w:hAnsi="仿宋_GB2312" w:eastAsia="仿宋_GB2312" w:cs="仿宋_GB2312"/>
          <w:kern w:val="0"/>
          <w:sz w:val="32"/>
          <w:szCs w:val="32"/>
          <w:lang w:val="en-US" w:eastAsia="zh-CN" w:bidi="ar-SA"/>
        </w:rPr>
        <w:t>（三）相关建议。</w:t>
      </w:r>
      <w:r>
        <w:rPr>
          <w:rFonts w:hint="eastAsia" w:ascii="仿宋_GB2312" w:hAnsi="宋体" w:eastAsia="仿宋_GB2312" w:cs="Times New Roman"/>
          <w:w w:val="99"/>
          <w:kern w:val="2"/>
          <w:sz w:val="32"/>
          <w:szCs w:val="32"/>
          <w:lang w:val="en-US" w:eastAsia="zh-CN" w:bidi="ar-SA"/>
        </w:rPr>
        <w:t>进一步健全和完善财务管理制度和内部控制制度，创新管理手段，用新思路、新方法，改进完善财务管理方法，账务处理准确性。</w:t>
      </w:r>
      <w:bookmarkEnd w:id="86"/>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both"/>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pStyle w:val="20"/>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lang w:val="en-US" w:eastAsia="zh-CN"/>
        </w:rPr>
        <w:t xml:space="preserve">   </w:t>
      </w: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就业创业补助资金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center"/>
        <w:textAlignment w:val="auto"/>
        <w:outlineLvl w:val="9"/>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2022年度中央和省级财政就业创业补助资金专项预算项目，一是结合朝天实际开展就业创业培训和技能提升培训，二是落实公益性岗位补贴及见习生补贴工作，三是开展就业创业奖补工作，四是开展农民工服务及公共就业创业补助工作</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此项目依据广元市朝天区财政局《关于下达2022年度中央和省级财政就业创业补助资金预算指标的通知》(广朝财社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〕3</w:t>
      </w:r>
      <w:r>
        <w:rPr>
          <w:rFonts w:hint="eastAsia" w:ascii="仿宋_GB2312" w:hAnsi="宋体" w:eastAsia="仿宋_GB2312" w:cs="Times New Roman"/>
          <w:w w:val="99"/>
          <w:sz w:val="32"/>
          <w:szCs w:val="32"/>
          <w:lang w:val="en-US" w:eastAsia="zh-CN"/>
        </w:rPr>
        <w:t>号)(广朝财社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〕45</w:t>
      </w:r>
      <w:r>
        <w:rPr>
          <w:rFonts w:hint="eastAsia" w:ascii="仿宋_GB2312" w:hAnsi="宋体" w:eastAsia="仿宋_GB2312" w:cs="Times New Roman"/>
          <w:w w:val="99"/>
          <w:sz w:val="32"/>
          <w:szCs w:val="32"/>
          <w:lang w:val="en-US" w:eastAsia="zh-CN"/>
        </w:rPr>
        <w:t>号)(广朝财社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〕46</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广元市朝天区人力资源和社会保障局《关于下达朝天区2022年就业创业补助资金使用方案的通知》(广朝人社发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〕8</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我会参照省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我单位对专项资金的管理按照各级财政的相关要求规定执行，对上级财政的各类专项资金不能另外制定制度办法。因此在资金分配方面，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根据广元市朝天区财政局《关于下达2022年度中央和省级财政就业创业补助资金预算指标的通知》(广朝财社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〕3</w:t>
      </w:r>
      <w:r>
        <w:rPr>
          <w:rFonts w:hint="eastAsia" w:ascii="仿宋_GB2312" w:hAnsi="宋体" w:eastAsia="仿宋_GB2312" w:cs="Times New Roman"/>
          <w:w w:val="99"/>
          <w:sz w:val="32"/>
          <w:szCs w:val="32"/>
          <w:lang w:val="en-US" w:eastAsia="zh-CN"/>
        </w:rPr>
        <w:t>号)(广朝财社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〕45</w:t>
      </w:r>
      <w:r>
        <w:rPr>
          <w:rFonts w:hint="eastAsia" w:ascii="仿宋_GB2312" w:hAnsi="宋体" w:eastAsia="仿宋_GB2312" w:cs="Times New Roman"/>
          <w:w w:val="99"/>
          <w:sz w:val="32"/>
          <w:szCs w:val="32"/>
          <w:lang w:val="en-US" w:eastAsia="zh-CN"/>
        </w:rPr>
        <w:t>号)(广朝财社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〕46</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广元市朝天区人力资源和社会保障局《关于下达朝天区2022年就业创业补助资金使用方案的通知》(广朝人社发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〕8</w:t>
      </w:r>
      <w:r>
        <w:rPr>
          <w:rFonts w:hint="eastAsia" w:ascii="仿宋_GB2312" w:hAnsi="宋体" w:eastAsia="仿宋_GB2312" w:cs="Times New Roman"/>
          <w:w w:val="99"/>
          <w:sz w:val="32"/>
          <w:szCs w:val="32"/>
          <w:lang w:val="en-US" w:eastAsia="zh-CN"/>
        </w:rPr>
        <w:t>号)等文件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一是开展就业创业培训和技能提升培训行动全年培训4000人以上，二是落实公益性岗位补贴1500人以上，落实就业见习生110人以上，新增就业1600人以上。三是采取以奖代补方式鼓励大众创业，万众创新，四是深入实施</w:t>
      </w:r>
      <w:r>
        <w:rPr>
          <w:rFonts w:hint="eastAsia" w:ascii="仿宋_GB2312" w:hAnsi="仿宋" w:eastAsia="仿宋_GB2312"/>
          <w:sz w:val="32"/>
          <w:szCs w:val="32"/>
        </w:rPr>
        <w:t>《</w:t>
      </w:r>
      <w:r>
        <w:rPr>
          <w:rFonts w:hint="eastAsia" w:ascii="仿宋_GB2312" w:eastAsia="仿宋_GB2312"/>
          <w:sz w:val="32"/>
          <w:szCs w:val="32"/>
        </w:rPr>
        <w:t>朝天区促进返乡下乡创业二十二条措施》</w:t>
      </w:r>
      <w:r>
        <w:rPr>
          <w:rFonts w:hint="eastAsia" w:ascii="仿宋_GB2312" w:hAnsi="仿宋" w:eastAsia="仿宋_GB2312"/>
          <w:sz w:val="32"/>
          <w:szCs w:val="32"/>
        </w:rPr>
        <w:t>等优惠政策，</w:t>
      </w:r>
      <w:r>
        <w:rPr>
          <w:rFonts w:hint="eastAsia" w:ascii="仿宋_GB2312" w:hAnsi="黑体" w:eastAsia="仿宋_GB2312" w:cstheme="minorBidi"/>
          <w:sz w:val="32"/>
          <w:szCs w:val="32"/>
        </w:rPr>
        <w:t>在融资贷款、人才</w:t>
      </w:r>
      <w:r>
        <w:rPr>
          <w:rFonts w:hint="eastAsia" w:ascii="仿宋_GB2312" w:hAnsi="黑体" w:eastAsia="仿宋_GB2312" w:cstheme="minorBidi"/>
          <w:sz w:val="32"/>
          <w:szCs w:val="32"/>
          <w:lang w:eastAsia="zh-CN"/>
        </w:rPr>
        <w:t>回引</w:t>
      </w:r>
      <w:r>
        <w:rPr>
          <w:rFonts w:hint="eastAsia" w:ascii="仿宋_GB2312" w:hAnsi="黑体" w:eastAsia="仿宋_GB2312" w:cstheme="minorBidi"/>
          <w:sz w:val="32"/>
          <w:szCs w:val="32"/>
        </w:rPr>
        <w:t>、土地使用等配套措施上</w:t>
      </w:r>
      <w:r>
        <w:rPr>
          <w:rFonts w:hint="eastAsia" w:ascii="仿宋_GB2312" w:hAnsi="仿宋" w:eastAsia="仿宋_GB2312"/>
          <w:sz w:val="32"/>
          <w:szCs w:val="32"/>
        </w:rPr>
        <w:t>大力支持农民工返乡创业</w:t>
      </w:r>
      <w:r>
        <w:rPr>
          <w:rFonts w:hint="eastAsia" w:ascii="仿宋_GB2312" w:hAnsi="宋体" w:eastAsia="仿宋_GB2312" w:cs="宋体"/>
          <w:color w:val="000000"/>
          <w:kern w:val="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项目实施情况评价。按照该专项资金要求，按照实施内容已分期分批实施完成，项目资金在12月31日前已将2323万元全部划拨到位。</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2023年部门、政策和项目支出绩效自评工作的通知》（广朝财发〔2023〕19号）文件要求，高度重视2022年度专项预算项目支出绩效评价工作，并全面进行了自查评价，对照项目绩效目标的各项工作任务开展了自评。</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2、资料及数据收集。目标绩效评价领导小组通过查阅归档资料和系统录入情况，就2022年度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对我单位2022年度的专项资金绩效情况进行自我评价，并填报2022年度专项资金绩效自评表和自评评分表，根据自评结果撰写了2022年度专项预算项目支出资金绩效自评报告。</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4、自评所采取的方法。对2022年</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对该项目进行了自评，确保了2022年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w:t>
      </w:r>
      <w:r>
        <w:rPr>
          <w:rFonts w:hint="eastAsia" w:ascii="仿宋_GB2312" w:hAnsi="宋体" w:eastAsia="仿宋_GB2312" w:cs="Times New Roman"/>
          <w:w w:val="99"/>
          <w:sz w:val="32"/>
          <w:szCs w:val="32"/>
          <w:lang w:val="en-US" w:eastAsia="zh-CN"/>
        </w:rPr>
        <w:t>根据广元市朝天区财政局《关于下达2022年度中央和省级财政就业创业补助资金预算指标的通知》(广朝财社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〕3</w:t>
      </w:r>
      <w:r>
        <w:rPr>
          <w:rFonts w:hint="eastAsia" w:ascii="仿宋_GB2312" w:hAnsi="宋体" w:eastAsia="仿宋_GB2312" w:cs="Times New Roman"/>
          <w:w w:val="99"/>
          <w:sz w:val="32"/>
          <w:szCs w:val="32"/>
          <w:lang w:val="en-US" w:eastAsia="zh-CN"/>
        </w:rPr>
        <w:t>号)、(广朝财社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〕45</w:t>
      </w:r>
      <w:r>
        <w:rPr>
          <w:rFonts w:hint="eastAsia" w:ascii="仿宋_GB2312" w:hAnsi="宋体" w:eastAsia="仿宋_GB2312" w:cs="Times New Roman"/>
          <w:w w:val="99"/>
          <w:sz w:val="32"/>
          <w:szCs w:val="32"/>
          <w:lang w:val="en-US" w:eastAsia="zh-CN"/>
        </w:rPr>
        <w:t>号)、(广朝财社</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〕46</w:t>
      </w:r>
      <w:r>
        <w:rPr>
          <w:rFonts w:hint="eastAsia" w:ascii="仿宋_GB2312" w:hAnsi="宋体" w:eastAsia="仿宋_GB2312" w:cs="Times New Roman"/>
          <w:w w:val="99"/>
          <w:sz w:val="32"/>
          <w:szCs w:val="32"/>
          <w:lang w:val="en-US" w:eastAsia="zh-CN"/>
        </w:rPr>
        <w:t>号)</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广元市朝天区人力资源和社会保障局《关于下达朝天区2022年就业创业补助资金使用方案的通知》(广朝人社发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〕8</w:t>
      </w:r>
      <w:r>
        <w:rPr>
          <w:rFonts w:hint="eastAsia" w:ascii="仿宋_GB2312" w:hAnsi="宋体" w:eastAsia="仿宋_GB2312" w:cs="Times New Roman"/>
          <w:w w:val="99"/>
          <w:sz w:val="32"/>
          <w:szCs w:val="32"/>
          <w:lang w:val="en-US" w:eastAsia="zh-CN"/>
        </w:rPr>
        <w:t>号)等文件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文件共批复</w:t>
      </w:r>
      <w:r>
        <w:rPr>
          <w:rFonts w:hint="eastAsia" w:ascii="仿宋_GB2312" w:hAnsi="仿宋_GB2312" w:eastAsia="仿宋_GB2312" w:cs="仿宋_GB2312"/>
          <w:kern w:val="0"/>
          <w:sz w:val="32"/>
          <w:szCs w:val="32"/>
          <w:lang w:val="en-US" w:eastAsia="zh-CN" w:bidi="ar-SA"/>
        </w:rPr>
        <w:t>专项资金2323万元。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（二）资金到位。专项资金2323万元于2021年12月全部划拨到位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（三）资金使用。2022年</w:t>
      </w:r>
      <w:r>
        <w:rPr>
          <w:rFonts w:hint="eastAsia" w:ascii="仿宋_GB2312" w:hAnsi="仿宋_GB2312" w:eastAsia="仿宋_GB2312" w:cs="仿宋_GB2312"/>
          <w:sz w:val="32"/>
          <w:szCs w:val="32"/>
          <w:lang w:val="en-US" w:eastAsia="zh-CN"/>
        </w:rPr>
        <w:t>该专项资金，创业就业培训及技能提升补助根据提供项目资料全部兑现到第三方培训机构，公益性岗位和见习补贴足额兑现用工单位对象，创业奖补资金按政策规定补助到企业和经济实体，</w:t>
      </w:r>
      <w:r>
        <w:rPr>
          <w:rFonts w:hint="eastAsia" w:ascii="仿宋_GB2312" w:hAnsi="仿宋_GB2312" w:eastAsia="仿宋_GB2312" w:cs="仿宋_GB2312"/>
          <w:kern w:val="0"/>
          <w:sz w:val="32"/>
          <w:szCs w:val="32"/>
          <w:lang w:val="en-US" w:eastAsia="zh-CN" w:bidi="ar-SA"/>
        </w:rPr>
        <w:t>在整个项目实施过程前、中、后全过程监督，支出过程中，对支付标准、支付进度、支付依据进行了严格的合规审查，确保了资金使用过程的安全性、规范性及有效性。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（四）项目财务管理情况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单位严格按照内控等相关制度规定，要求存档的项目资料和补助资金会计资料完备，按照项目预算安排使用资金，资金预决算报表做到内容真实完整、数据准确无误、上报数据与存档数据一致；我单位做到专户管理，按照有关规定建立财务监督制度。严格监督执行打卡直发程序，对创业就业及技能提升培训开展情况，奖补对象确定等进行全程监督。</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资金使用要求，结合我区实际情况开展相关工作。一是严格按照对象、条件、程序和相关要求开展工作，二是规范档案管理工作，确保资料完整备查。</w:t>
      </w:r>
    </w:p>
    <w:p>
      <w:pPr>
        <w:pStyle w:val="20"/>
        <w:keepNext w:val="0"/>
        <w:keepLines w:val="0"/>
        <w:pageBreakBefore w:val="0"/>
        <w:widowControl w:val="0"/>
        <w:kinsoku/>
        <w:wordWrap/>
        <w:overflowPunct/>
        <w:topLinePunct w:val="0"/>
        <w:autoSpaceDN/>
        <w:bidi w:val="0"/>
        <w:spacing w:line="576" w:lineRule="exact"/>
        <w:jc w:val="both"/>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（二）我单位在资金使用过程中严格进行监督。公益性岗位补贴严格通过“一卡通”阳光审批系统和发放系统进行审批、发放，确保各专项资金及时足额发放到补贴对象手中。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w:t>
      </w:r>
      <w:r>
        <w:rPr>
          <w:rFonts w:hint="eastAsia" w:ascii="仿宋_GB2312" w:hAnsi="宋体" w:eastAsia="仿宋_GB2312" w:cs="Times New Roman"/>
          <w:w w:val="99"/>
          <w:sz w:val="32"/>
          <w:szCs w:val="32"/>
          <w:lang w:val="en-US" w:eastAsia="zh-CN"/>
        </w:rPr>
        <w:t>2022年</w:t>
      </w:r>
      <w:r>
        <w:rPr>
          <w:rFonts w:hint="eastAsia" w:ascii="仿宋_GB2312" w:eastAsia="仿宋_GB2312"/>
          <w:sz w:val="32"/>
          <w:szCs w:val="32"/>
        </w:rPr>
        <w:t>深入实施“全民兴商、全民经商”战略，依托全区农旅文等优势资源禀赋，聚焦全区经济社会发展布局，重点围绕一、二、三产业和特色产品开展适需对路的职业技能培训，积极支持符合条件的企业面向职工</w:t>
      </w:r>
      <w:r>
        <w:rPr>
          <w:rFonts w:hint="eastAsia" w:ascii="仿宋_GB2312" w:hAnsi="仿宋_GB2312" w:eastAsia="仿宋_GB2312" w:cs="仿宋_GB2312"/>
          <w:sz w:val="32"/>
          <w:szCs w:val="32"/>
          <w:lang w:val="en-US" w:eastAsia="zh-CN"/>
        </w:rPr>
        <w:t>大力开展</w:t>
      </w:r>
      <w:r>
        <w:rPr>
          <w:rFonts w:hint="eastAsia" w:ascii="仿宋_GB2312" w:eastAsia="仿宋_GB2312"/>
          <w:sz w:val="32"/>
          <w:szCs w:val="32"/>
        </w:rPr>
        <w:t>在岗培训、</w:t>
      </w:r>
      <w:r>
        <w:rPr>
          <w:rFonts w:hint="eastAsia" w:ascii="仿宋_GB2312" w:eastAsia="仿宋_GB2312"/>
          <w:sz w:val="32"/>
          <w:szCs w:val="32"/>
          <w:lang w:eastAsia="zh-CN"/>
        </w:rPr>
        <w:t>以工代训</w:t>
      </w:r>
      <w:r>
        <w:rPr>
          <w:rFonts w:hint="eastAsia" w:ascii="仿宋_GB2312" w:eastAsia="仿宋_GB2312"/>
          <w:sz w:val="32"/>
          <w:szCs w:val="32"/>
        </w:rPr>
        <w:t>，以满足劳动者多元化的技能提升需求。同时，积极开展就业培训领域突出问题系统治理工作，规范就业培训资金管理。</w:t>
      </w:r>
      <w:r>
        <w:rPr>
          <w:rFonts w:hint="eastAsia" w:ascii="仿宋_GB2312" w:eastAsia="仿宋_GB2312"/>
          <w:sz w:val="32"/>
          <w:szCs w:val="32"/>
          <w:lang w:eastAsia="zh-CN"/>
        </w:rPr>
        <w:t>一年来</w:t>
      </w:r>
      <w:r>
        <w:rPr>
          <w:rFonts w:hint="eastAsia" w:ascii="仿宋_GB2312" w:eastAsia="仿宋_GB2312"/>
          <w:sz w:val="32"/>
          <w:szCs w:val="32"/>
        </w:rPr>
        <w:t>，开展职业技能培训</w:t>
      </w:r>
      <w:r>
        <w:rPr>
          <w:rFonts w:hint="eastAsia" w:ascii="仿宋_GB2312" w:eastAsia="仿宋_GB2312"/>
          <w:sz w:val="32"/>
          <w:szCs w:val="32"/>
          <w:lang w:eastAsia="zh-CN"/>
        </w:rPr>
        <w:t>百余场次，共</w:t>
      </w:r>
      <w:r>
        <w:rPr>
          <w:rFonts w:hint="eastAsia" w:ascii="仿宋_GB2312" w:eastAsia="仿宋_GB2312"/>
          <w:sz w:val="32"/>
          <w:szCs w:val="32"/>
          <w:lang w:val="en-US" w:eastAsia="zh-CN"/>
        </w:rPr>
        <w:t>4040</w:t>
      </w:r>
      <w:r>
        <w:rPr>
          <w:rFonts w:hint="eastAsia" w:ascii="仿宋_GB2312" w:eastAsia="仿宋_GB2312"/>
          <w:sz w:val="32"/>
          <w:szCs w:val="32"/>
        </w:rPr>
        <w:t>人</w:t>
      </w:r>
      <w:r>
        <w:rPr>
          <w:rFonts w:hint="eastAsia" w:ascii="仿宋_GB2312" w:hAnsi="仿宋_GB2312" w:eastAsia="仿宋_GB2312" w:cs="仿宋_GB2312"/>
          <w:sz w:val="32"/>
          <w:szCs w:val="32"/>
          <w:lang w:val="en-US" w:eastAsia="zh-CN"/>
        </w:rPr>
        <w:t>补贴资金234.39万元</w:t>
      </w:r>
      <w:r>
        <w:rPr>
          <w:rFonts w:ascii="仿宋_GB2312" w:eastAsia="仿宋_GB2312"/>
          <w:sz w:val="32"/>
          <w:szCs w:val="32"/>
        </w:rPr>
        <w:t>,</w:t>
      </w:r>
      <w:r>
        <w:rPr>
          <w:rFonts w:hint="eastAsia" w:ascii="仿宋_GB2312" w:eastAsia="仿宋_GB2312"/>
          <w:sz w:val="32"/>
          <w:szCs w:val="32"/>
        </w:rPr>
        <w:t>完成目标任务</w:t>
      </w:r>
      <w:r>
        <w:rPr>
          <w:rFonts w:hint="eastAsia" w:ascii="仿宋_GB2312" w:eastAsia="仿宋_GB2312"/>
          <w:sz w:val="32"/>
          <w:szCs w:val="32"/>
          <w:lang w:val="en-US" w:eastAsia="zh-CN"/>
        </w:rPr>
        <w:t>4000</w:t>
      </w:r>
      <w:r>
        <w:rPr>
          <w:rFonts w:hint="eastAsia" w:ascii="仿宋_GB2312" w:eastAsia="仿宋_GB2312"/>
          <w:sz w:val="32"/>
          <w:szCs w:val="32"/>
        </w:rPr>
        <w:t>人的</w:t>
      </w:r>
      <w:r>
        <w:rPr>
          <w:rFonts w:hint="eastAsia" w:ascii="仿宋_GB2312" w:eastAsia="仿宋_GB2312"/>
          <w:sz w:val="32"/>
          <w:szCs w:val="32"/>
          <w:lang w:val="en-US" w:eastAsia="zh-CN"/>
        </w:rPr>
        <w:t>101</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公益性岗位兜底安置</w:t>
      </w:r>
      <w:r>
        <w:rPr>
          <w:rFonts w:hint="eastAsia" w:ascii="仿宋_GB2312" w:eastAsia="仿宋_GB2312"/>
          <w:sz w:val="32"/>
          <w:szCs w:val="32"/>
          <w:lang w:val="en-US" w:eastAsia="zh-CN"/>
        </w:rPr>
        <w:t>1606</w:t>
      </w:r>
      <w:r>
        <w:rPr>
          <w:rFonts w:hint="eastAsia" w:ascii="仿宋_GB2312" w:eastAsia="仿宋_GB2312"/>
          <w:sz w:val="32"/>
          <w:szCs w:val="32"/>
          <w:lang w:eastAsia="zh-CN"/>
        </w:rPr>
        <w:t>人，分别按</w:t>
      </w:r>
      <w:r>
        <w:rPr>
          <w:rFonts w:hint="eastAsia" w:ascii="仿宋_GB2312" w:eastAsia="仿宋_GB2312"/>
          <w:sz w:val="32"/>
          <w:szCs w:val="32"/>
          <w:lang w:val="en-US" w:eastAsia="zh-CN"/>
        </w:rPr>
        <w:t>500元标准，800元标准，1650元标准足额</w:t>
      </w:r>
      <w:r>
        <w:rPr>
          <w:rFonts w:hint="eastAsia" w:ascii="仿宋_GB2312" w:eastAsia="仿宋_GB2312"/>
          <w:sz w:val="32"/>
          <w:szCs w:val="32"/>
          <w:lang w:eastAsia="zh-CN"/>
        </w:rPr>
        <w:t>兑现补助对象</w:t>
      </w:r>
      <w:r>
        <w:rPr>
          <w:rFonts w:hint="eastAsia" w:ascii="仿宋_GB2312" w:hAnsi="仿宋" w:eastAsia="仿宋_GB2312"/>
          <w:sz w:val="32"/>
          <w:szCs w:val="32"/>
          <w:lang w:val="en-US" w:eastAsia="zh-CN"/>
        </w:rPr>
        <w:t>，共兑现1352.98万元，见习生补贴121人共兑现108.97万元，</w:t>
      </w:r>
      <w:r>
        <w:rPr>
          <w:rFonts w:hint="eastAsia" w:ascii="仿宋_GB2312" w:hAnsi="宋体" w:eastAsia="仿宋_GB2312" w:cs="宋体"/>
          <w:color w:val="000000"/>
          <w:kern w:val="0"/>
          <w:sz w:val="32"/>
          <w:szCs w:val="32"/>
        </w:rPr>
        <w:t>全区</w:t>
      </w:r>
      <w:r>
        <w:rPr>
          <w:rFonts w:hint="eastAsia" w:ascii="仿宋_GB2312" w:hAnsi="宋体" w:eastAsia="仿宋_GB2312" w:cs="宋体"/>
          <w:color w:val="000000"/>
          <w:kern w:val="0"/>
          <w:sz w:val="32"/>
          <w:szCs w:val="32"/>
          <w:lang w:eastAsia="zh-CN"/>
        </w:rPr>
        <w:t>现有</w:t>
      </w:r>
      <w:r>
        <w:rPr>
          <w:rFonts w:hint="eastAsia" w:ascii="仿宋_GB2312" w:hAnsi="宋体" w:eastAsia="仿宋_GB2312" w:cs="宋体"/>
          <w:color w:val="000000"/>
          <w:kern w:val="0"/>
          <w:sz w:val="32"/>
          <w:szCs w:val="32"/>
          <w:lang w:val="en-US" w:eastAsia="zh-CN"/>
        </w:rPr>
        <w:t>6421</w:t>
      </w:r>
      <w:r>
        <w:rPr>
          <w:rFonts w:hint="eastAsia" w:ascii="仿宋_GB2312" w:hAnsi="宋体" w:eastAsia="仿宋_GB2312" w:cs="宋体"/>
          <w:color w:val="000000"/>
          <w:kern w:val="0"/>
          <w:sz w:val="32"/>
          <w:szCs w:val="32"/>
        </w:rPr>
        <w:t>名返乡创业主体创办经济实体</w:t>
      </w:r>
      <w:r>
        <w:rPr>
          <w:rFonts w:hint="eastAsia" w:ascii="仿宋_GB2312" w:hAnsi="宋体" w:eastAsia="仿宋_GB2312" w:cs="宋体"/>
          <w:color w:val="000000"/>
          <w:kern w:val="0"/>
          <w:sz w:val="32"/>
          <w:szCs w:val="32"/>
          <w:lang w:val="en-US" w:eastAsia="zh-CN"/>
        </w:rPr>
        <w:t>5834</w:t>
      </w:r>
      <w:r>
        <w:rPr>
          <w:rFonts w:hint="eastAsia" w:ascii="仿宋_GB2312" w:hAnsi="宋体" w:eastAsia="仿宋_GB2312" w:cs="宋体"/>
          <w:color w:val="000000"/>
          <w:kern w:val="0"/>
          <w:sz w:val="32"/>
          <w:szCs w:val="32"/>
        </w:rPr>
        <w:t>个，带动就业</w:t>
      </w:r>
      <w:r>
        <w:rPr>
          <w:rFonts w:hint="eastAsia" w:ascii="仿宋_GB2312" w:hAnsi="宋体" w:eastAsia="仿宋_GB2312" w:cs="宋体"/>
          <w:color w:val="000000"/>
          <w:kern w:val="0"/>
          <w:sz w:val="32"/>
          <w:szCs w:val="32"/>
          <w:lang w:val="en-US" w:eastAsia="zh-CN"/>
        </w:rPr>
        <w:t>1.8</w:t>
      </w:r>
      <w:r>
        <w:rPr>
          <w:rFonts w:hint="eastAsia" w:ascii="仿宋_GB2312" w:hAnsi="宋体" w:eastAsia="仿宋_GB2312" w:cs="宋体"/>
          <w:color w:val="000000"/>
          <w:kern w:val="0"/>
          <w:sz w:val="32"/>
          <w:szCs w:val="32"/>
        </w:rPr>
        <w:t>万余人，其中脱贫劳动力就业5</w:t>
      </w:r>
      <w:r>
        <w:rPr>
          <w:rFonts w:hint="eastAsia" w:ascii="仿宋_GB2312" w:hAnsi="宋体" w:eastAsia="仿宋_GB2312" w:cs="宋体"/>
          <w:color w:val="000000"/>
          <w:kern w:val="0"/>
          <w:sz w:val="32"/>
          <w:szCs w:val="32"/>
          <w:lang w:val="en-US" w:eastAsia="zh-CN"/>
        </w:rPr>
        <w:t>400</w:t>
      </w:r>
      <w:r>
        <w:rPr>
          <w:rFonts w:hint="eastAsia" w:ascii="仿宋_GB2312" w:hAnsi="宋体" w:eastAsia="仿宋_GB2312" w:cs="宋体"/>
          <w:color w:val="000000"/>
          <w:kern w:val="0"/>
          <w:sz w:val="32"/>
          <w:szCs w:val="32"/>
        </w:rPr>
        <w:t>余人</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sz w:val="32"/>
          <w:szCs w:val="32"/>
        </w:rPr>
        <w:t>全区城镇新增就业1646人，完成目标任务的102.87%；城镇失业人员再就业874人，完成目标任务的158.9%；就业困难人员就业332人，完成目标任务的189.7%；脱贫人口就业12121人，完成目标任务的111.20%；城镇登记失业率3.69%，控制在4%以内；</w:t>
      </w:r>
      <w:r>
        <w:rPr>
          <w:rFonts w:hint="eastAsia" w:ascii="仿宋_GB2312" w:hAnsi="仿宋_GB2312" w:eastAsia="仿宋_GB2312" w:cs="仿宋_GB2312"/>
          <w:color w:val="000000"/>
          <w:kern w:val="0"/>
          <w:sz w:val="32"/>
          <w:szCs w:val="32"/>
        </w:rPr>
        <w:t>公益性岗位兜底安置就业1596人，易地搬迁集中安置点有劳动能力、有就业意愿342人全部就业，实现零就业家庭动态清零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就业局势总体稳定</w:t>
      </w:r>
      <w:r>
        <w:rPr>
          <w:rFonts w:hint="eastAsia" w:ascii="仿宋_GB2312" w:hAnsi="仿宋_GB2312" w:eastAsia="仿宋_GB2312" w:cs="仿宋_GB2312"/>
          <w:color w:val="000000"/>
          <w:kern w:val="0"/>
          <w:sz w:val="32"/>
          <w:szCs w:val="32"/>
          <w:lang w:eastAsia="zh-CN"/>
        </w:rPr>
        <w:t>。</w:t>
      </w:r>
      <w:r>
        <w:rPr>
          <w:rFonts w:hint="eastAsia" w:ascii="仿宋_GB2312" w:hAnsi="宋体" w:eastAsia="仿宋_GB2312" w:cs="宋体"/>
          <w:color w:val="000000"/>
          <w:kern w:val="0"/>
          <w:sz w:val="32"/>
          <w:szCs w:val="32"/>
          <w:lang w:val="en-US" w:eastAsia="zh-CN"/>
        </w:rPr>
        <w:t>把党和政府保民生，保就业工作做得更实，各项民生优惠政策</w:t>
      </w:r>
      <w:r>
        <w:rPr>
          <w:rFonts w:hint="eastAsia" w:ascii="仿宋_GB2312" w:hAnsi="仿宋" w:eastAsia="仿宋_GB2312"/>
          <w:sz w:val="32"/>
          <w:szCs w:val="32"/>
          <w:lang w:val="en-US" w:eastAsia="zh-CN"/>
        </w:rPr>
        <w:t>关心关爱落实到实处。</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default" w:ascii="黑体" w:hAnsi="黑体" w:eastAsia="仿宋_GB2312" w:cs="Times New Roman"/>
          <w:w w:val="99"/>
          <w:sz w:val="32"/>
          <w:szCs w:val="32"/>
          <w:lang w:val="en-US" w:eastAsia="zh-CN"/>
        </w:rPr>
      </w:pPr>
      <w:r>
        <w:rPr>
          <w:rFonts w:hint="eastAsia" w:ascii="仿宋_GB2312" w:hAnsi="仿宋_GB2312" w:eastAsia="仿宋_GB2312" w:cs="仿宋_GB2312"/>
          <w:kern w:val="0"/>
          <w:sz w:val="32"/>
          <w:szCs w:val="32"/>
          <w:lang w:val="en-US" w:eastAsia="zh-CN" w:bidi="ar-SA"/>
        </w:rPr>
        <w:t>（二）项目效益情况。</w:t>
      </w:r>
      <w:r>
        <w:rPr>
          <w:rFonts w:hint="eastAsia" w:ascii="仿宋_GB2312" w:hAnsi="宋体" w:eastAsia="仿宋_GB2312" w:cs="Times New Roman"/>
          <w:w w:val="99"/>
          <w:sz w:val="32"/>
          <w:szCs w:val="32"/>
        </w:rPr>
        <w:t>通过培训大幅提高群众就业能力</w:t>
      </w:r>
      <w:r>
        <w:rPr>
          <w:rFonts w:hint="eastAsia" w:ascii="仿宋_GB2312" w:hAnsi="宋体" w:eastAsia="仿宋_GB2312" w:cs="Times New Roman"/>
          <w:w w:val="99"/>
          <w:sz w:val="32"/>
          <w:szCs w:val="32"/>
          <w:lang w:eastAsia="zh-CN"/>
        </w:rPr>
        <w:t>，稳岗就业、创业成效显著，形成大众创业、万众创新局面，增强广大群众获得感，幸福感，提高生活质量，确保社会和谐稳定</w:t>
      </w:r>
      <w:r>
        <w:rPr>
          <w:rFonts w:hint="eastAsia" w:ascii="仿宋_GB2312" w:hAnsi="宋体" w:eastAsia="仿宋_GB2312" w:cs="Times New Roman"/>
          <w:w w:val="99"/>
          <w:sz w:val="32"/>
          <w:szCs w:val="32"/>
          <w:lang w:val="en-US" w:eastAsia="zh-CN"/>
        </w:rPr>
        <w:t>，把党和政府的关心关爱落到了实处。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仿宋_GB2312" w:hAnsi="宋体" w:eastAsia="仿宋_GB2312" w:cs="Times New Roman"/>
          <w:w w:val="99"/>
          <w:kern w:val="2"/>
          <w:sz w:val="32"/>
          <w:szCs w:val="32"/>
          <w:lang w:val="en-US" w:eastAsia="zh-CN" w:bidi="ar-SA"/>
        </w:rPr>
        <w:t>2022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综合绩效考评得分为93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一是对于绩效评价的认识不够深入，把预算绩效简单等同于工作目标、工作考核和业务管理。二是绩效管理经验不足，部分成果无法用指标量化，三是绩效管理项目的措施办法还有待完善。</w:t>
      </w:r>
      <w:r>
        <w:rPr>
          <w:rFonts w:hint="eastAsia" w:ascii="仿宋_GB2312" w:hAnsi="宋体" w:eastAsia="仿宋_GB2312" w:cs="Times New Roman"/>
          <w:w w:val="99"/>
          <w:kern w:val="2"/>
          <w:sz w:val="32"/>
          <w:szCs w:val="32"/>
          <w:lang w:val="en-US" w:eastAsia="zh-CN" w:bidi="ar-SA"/>
        </w:rPr>
        <w:tab/>
      </w:r>
    </w:p>
    <w:p>
      <w:pPr>
        <w:pStyle w:val="20"/>
        <w:ind w:left="0" w:leftChars="0" w:firstLine="0" w:firstLineChars="0"/>
        <w:jc w:val="both"/>
        <w:rPr>
          <w:rFonts w:hint="eastAsia"/>
        </w:rPr>
      </w:pPr>
      <w:r>
        <w:rPr>
          <w:rFonts w:hint="eastAsia" w:ascii="仿宋_GB2312" w:hAnsi="仿宋_GB2312" w:eastAsia="仿宋_GB2312" w:cs="仿宋_GB2312"/>
          <w:kern w:val="0"/>
          <w:sz w:val="32"/>
          <w:szCs w:val="32"/>
          <w:lang w:val="en-US" w:eastAsia="zh-CN" w:bidi="ar-SA"/>
        </w:rPr>
        <w:t>（三）相关建议。</w:t>
      </w:r>
      <w:r>
        <w:rPr>
          <w:rFonts w:hint="eastAsia" w:ascii="仿宋_GB2312" w:hAnsi="宋体" w:eastAsia="仿宋_GB2312" w:cs="Times New Roman"/>
          <w:w w:val="99"/>
          <w:kern w:val="2"/>
          <w:sz w:val="32"/>
          <w:szCs w:val="32"/>
          <w:lang w:val="en-US" w:eastAsia="zh-CN" w:bidi="ar-SA"/>
        </w:rPr>
        <w:t>进一步健全和完善财务管理制度和内部控制制度，创新管理手段，用新思路、新方法，改进完善财务管理方法，加强核算分类正确性，账务处理准确性，绩效管理针对不同项目科学制定目标，制定政策措施。</w:t>
      </w: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推进乡村振兴补助资金</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center"/>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按照我单位的职能职责：2022年度推进乡村振兴专项预算项目，一是全区农村公益性岗位补贴资金发放，二是脱贫劳动力省外务工交通补贴发放，三是建就业帮扶车间1个</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此项目依据广元市朝天区财政局《关于下达2022年中央和省级财政衔接推进乡村振兴补助资金的通知》(广朝财农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〕6</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广元市朝天区财政局《关于下达2022年市级财政衔接推进乡村振兴补助资金的通知》(广朝财农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〕49</w:t>
      </w:r>
      <w:r>
        <w:rPr>
          <w:rFonts w:hint="eastAsia" w:ascii="仿宋_GB2312" w:hAnsi="宋体" w:eastAsia="仿宋_GB2312" w:cs="Times New Roman"/>
          <w:w w:val="99"/>
          <w:sz w:val="32"/>
          <w:szCs w:val="32"/>
          <w:lang w:val="en-US" w:eastAsia="zh-CN"/>
        </w:rPr>
        <w:t>号)、(广朝财农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〕66</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参照省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我单位对专项资金的管理按照各级财政的相关要求规定执行，对上级财政的各类专项资金不能另外制定制度办法。因此在资金分配方面，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default"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根据广元市朝天区财政局《关于下达2022年中央和省级财政衔接推进乡村振兴补助资金的通知》(广朝财农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〕6</w:t>
      </w:r>
      <w:r>
        <w:rPr>
          <w:rFonts w:hint="eastAsia" w:ascii="仿宋_GB2312" w:hAnsi="宋体" w:eastAsia="仿宋_GB2312" w:cs="Times New Roman"/>
          <w:w w:val="99"/>
          <w:sz w:val="32"/>
          <w:szCs w:val="32"/>
          <w:lang w:val="en-US" w:eastAsia="zh-CN"/>
        </w:rPr>
        <w:t>号)</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广元市朝天区财政局《关于下达2022年市级财政衔接推进乡村振兴补助资金的通知》(广朝财农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〕49</w:t>
      </w:r>
      <w:r>
        <w:rPr>
          <w:rFonts w:hint="eastAsia" w:ascii="仿宋_GB2312" w:hAnsi="宋体" w:eastAsia="仿宋_GB2312" w:cs="Times New Roman"/>
          <w:w w:val="99"/>
          <w:sz w:val="32"/>
          <w:szCs w:val="32"/>
          <w:lang w:val="en-US" w:eastAsia="zh-CN"/>
        </w:rPr>
        <w:t>号)、(广朝财农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〕66</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w:t>
      </w:r>
      <w:r>
        <w:rPr>
          <w:rFonts w:hint="eastAsia" w:ascii="仿宋_GB2312" w:hAnsi="仿宋_GB2312" w:eastAsia="仿宋_GB2312" w:cs="仿宋_GB2312"/>
          <w:sz w:val="32"/>
          <w:szCs w:val="32"/>
          <w:lang w:val="en-US" w:eastAsia="zh-CN"/>
        </w:rPr>
        <w:t>确保全区农村公益性岗位补贴、脱贫劳动力省外务工交通补贴、就业帮扶车间建成并投产，在12月31日前足额兑现到补助对象手中，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项目实施情况评价：按照该专项资金要求，全区按政策要求识别脱贫人口省外务工人员交通补贴及农村公益性岗位补贴资金，在12月31日前足额兑现到补助对象手中，就业帮扶车间建成并投产实现产值260万元。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2023年部门、政策和项目支出绩效自评工作的通知》（广朝财发〔2023〕19号）文件要求，高度重视2022年度专项预算项目支出绩效评价工作，并全面进行了自查评价，对照项目绩效目标的各项工作任务开展了自评。</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2.资料及数据收集。目标绩效评价领导小组通过查阅归档资料和系统录入情况，就2022年度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对我单位2022年度的专项资金绩效情况进行自我评价，并填报2022年度专项资金绩效自评表和自评评分表，根据自评结果撰写了2022年度专项预算项目支出资金绩效自评报告。</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4.自评所采取的方法。我单位对2022年</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对该项目进行了自评，确保了2022年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（一）资金申报及批复情况。根据</w:t>
      </w:r>
      <w:r>
        <w:rPr>
          <w:rFonts w:hint="eastAsia" w:ascii="仿宋_GB2312" w:hAnsi="宋体" w:eastAsia="仿宋_GB2312" w:cs="Times New Roman"/>
          <w:w w:val="99"/>
          <w:sz w:val="32"/>
          <w:szCs w:val="32"/>
          <w:lang w:val="en-US" w:eastAsia="zh-CN"/>
        </w:rPr>
        <w:t>广元市朝天区财政局《关于下达2022年中央和省级财政衔接推进乡村振兴补助资金的通知》(广朝财农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〕6</w:t>
      </w:r>
      <w:r>
        <w:rPr>
          <w:rFonts w:hint="eastAsia" w:ascii="仿宋_GB2312" w:hAnsi="宋体" w:eastAsia="仿宋_GB2312" w:cs="Times New Roman"/>
          <w:w w:val="99"/>
          <w:sz w:val="32"/>
          <w:szCs w:val="32"/>
          <w:lang w:val="en-US" w:eastAsia="zh-CN"/>
        </w:rPr>
        <w:t>号)</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广元市朝天区财政局《关于下达2022年市级财政衔接推进乡村振兴补助资金的通知》(广朝财农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〕49</w:t>
      </w:r>
      <w:r>
        <w:rPr>
          <w:rFonts w:hint="eastAsia" w:ascii="仿宋_GB2312" w:hAnsi="宋体" w:eastAsia="仿宋_GB2312" w:cs="Times New Roman"/>
          <w:w w:val="99"/>
          <w:sz w:val="32"/>
          <w:szCs w:val="32"/>
          <w:lang w:val="en-US" w:eastAsia="zh-CN"/>
        </w:rPr>
        <w:t>号)、(广朝财农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〕66</w:t>
      </w:r>
      <w:r>
        <w:rPr>
          <w:rFonts w:hint="eastAsia" w:ascii="仿宋_GB2312" w:hAnsi="宋体" w:eastAsia="仿宋_GB2312" w:cs="Times New Roman"/>
          <w:w w:val="99"/>
          <w:sz w:val="32"/>
          <w:szCs w:val="32"/>
          <w:lang w:val="en-US" w:eastAsia="zh-CN"/>
        </w:rPr>
        <w:t>号)文件共批复</w:t>
      </w:r>
      <w:r>
        <w:rPr>
          <w:rFonts w:hint="eastAsia" w:ascii="仿宋_GB2312" w:hAnsi="仿宋_GB2312" w:eastAsia="仿宋_GB2312" w:cs="仿宋_GB2312"/>
          <w:kern w:val="0"/>
          <w:sz w:val="32"/>
          <w:szCs w:val="32"/>
          <w:lang w:val="en-US" w:eastAsia="zh-CN" w:bidi="ar-SA"/>
        </w:rPr>
        <w:t>专项资金500万元。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（二）资金到位。专项资金500万元于2021年12月全部划拨到位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（三）资金使用。2022年农村公益性岗位补贴资金兑现到用人单位</w:t>
      </w:r>
      <w:r>
        <w:rPr>
          <w:rFonts w:hint="eastAsia" w:ascii="仿宋_GB2312" w:hAnsi="仿宋_GB2312" w:eastAsia="仿宋_GB2312" w:cs="仿宋_GB2312"/>
          <w:sz w:val="32"/>
          <w:szCs w:val="32"/>
          <w:lang w:val="en-US" w:eastAsia="zh-CN"/>
        </w:rPr>
        <w:t>，脱贫劳动力省外务工交通补贴通过社保卡发放到务工人员手中，确保全区补助资金在12月31日前足额兑现到补助对象人员手中，就业帮扶车间建成并投产，全年实现产值260万元，增强全区脱贫人口的获得感、幸福感。</w:t>
      </w:r>
      <w:r>
        <w:rPr>
          <w:rFonts w:hint="eastAsia" w:ascii="仿宋_GB2312" w:hAnsi="仿宋_GB2312" w:eastAsia="仿宋_GB2312" w:cs="仿宋_GB2312"/>
          <w:kern w:val="0"/>
          <w:sz w:val="32"/>
          <w:szCs w:val="32"/>
          <w:lang w:val="en-US" w:eastAsia="zh-CN" w:bidi="ar-SA"/>
        </w:rPr>
        <w:t>在整个专项项目支出过程中，对支付标准、支付进度、支付依据进行了严格的合规审查，确保了资金使用过程的安全性、规范性及有效性。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项目财务管理情况。我单位严格按照内控等相关制度规定，按照项目预算安排使用资金，资金预决算报表做到内容真实完整、数据准确无误、上报数据与存档数据一致，做到专户管理，按照有关规定建立财务监督制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资金使用要求，结合我区实际情况开展相关工作。一是严格按照对象、条件、程序和相关要求开展工作，二是规范档案管理工作，确保资料完整备查。</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（二）我单位在资金使用过程中严格进行监督。监督专项资金是否按时足额发放到脱贫人口受助对象手中。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（一）项目完成情况。2022年农村公益性岗位补贴资金按提标每人每月500元兑现到用人单位</w:t>
      </w:r>
      <w:r>
        <w:rPr>
          <w:rFonts w:hint="eastAsia" w:ascii="仿宋_GB2312" w:hAnsi="仿宋_GB2312" w:eastAsia="仿宋_GB2312" w:cs="仿宋_GB2312"/>
          <w:sz w:val="32"/>
          <w:szCs w:val="32"/>
          <w:lang w:val="en-US" w:eastAsia="zh-CN"/>
        </w:rPr>
        <w:t>，脱贫劳动力省外务工交通补贴按单程费用补贴1200余人，通过社保卡发放到务工人员手中，确保全区补助资金在12月31日前足额兑现到补助对象人员手中，就业帮扶车间建成并投产，就近吸纳劳动力30人，全年实现产值260万元，</w:t>
      </w:r>
      <w:r>
        <w:rPr>
          <w:rFonts w:hint="eastAsia" w:ascii="仿宋_GB2312" w:hAnsi="仿宋" w:eastAsia="仿宋_GB2312"/>
          <w:sz w:val="32"/>
          <w:szCs w:val="32"/>
          <w:lang w:val="en-US" w:eastAsia="zh-CN"/>
        </w:rPr>
        <w:t>把党和政府的关心关爱政策落实到实处。</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default" w:ascii="黑体" w:hAnsi="黑体" w:eastAsia="仿宋_GB2312" w:cs="Times New Roman"/>
          <w:w w:val="99"/>
          <w:sz w:val="32"/>
          <w:szCs w:val="32"/>
          <w:lang w:val="en-US" w:eastAsia="zh-CN"/>
        </w:rPr>
      </w:pPr>
      <w:r>
        <w:rPr>
          <w:rFonts w:hint="eastAsia" w:ascii="仿宋_GB2312" w:hAnsi="仿宋_GB2312" w:eastAsia="仿宋_GB2312" w:cs="仿宋_GB2312"/>
          <w:kern w:val="0"/>
          <w:sz w:val="32"/>
          <w:szCs w:val="32"/>
          <w:lang w:val="en-US" w:eastAsia="zh-CN" w:bidi="ar-SA"/>
        </w:rPr>
        <w:t>（一）项目效益情况。</w:t>
      </w:r>
      <w:r>
        <w:rPr>
          <w:rFonts w:hint="eastAsia" w:ascii="仿宋_GB2312" w:hAnsi="宋体" w:eastAsia="仿宋_GB2312" w:cs="Times New Roman"/>
          <w:w w:val="99"/>
          <w:sz w:val="32"/>
          <w:szCs w:val="32"/>
        </w:rPr>
        <w:t>通</w:t>
      </w:r>
      <w:r>
        <w:rPr>
          <w:rFonts w:hint="eastAsia" w:ascii="仿宋_GB2312" w:hAnsi="宋体" w:eastAsia="仿宋_GB2312" w:cs="Times New Roman"/>
          <w:w w:val="99"/>
          <w:sz w:val="32"/>
          <w:szCs w:val="32"/>
          <w:lang w:eastAsia="zh-CN"/>
        </w:rPr>
        <w:t>过该项目实施，推进乡村振兴，解决农村就业困难人员就业30余人，实现稳步增收，增强广大受助脱贫人口获得感，幸福感，提高生活质量，确保社会和谐稳定</w:t>
      </w:r>
      <w:r>
        <w:rPr>
          <w:rFonts w:hint="eastAsia" w:ascii="仿宋_GB2312" w:hAnsi="宋体" w:eastAsia="仿宋_GB2312" w:cs="Times New Roman"/>
          <w:w w:val="99"/>
          <w:sz w:val="32"/>
          <w:szCs w:val="32"/>
          <w:lang w:val="en-US" w:eastAsia="zh-CN"/>
        </w:rPr>
        <w:t>，把党和政府对脱贫人口的关爱政策落到了实处，受到广大脱贫人口的一致好评。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仿宋_GB2312" w:hAnsi="宋体" w:eastAsia="仿宋_GB2312" w:cs="Times New Roman"/>
          <w:w w:val="99"/>
          <w:kern w:val="2"/>
          <w:sz w:val="32"/>
          <w:szCs w:val="32"/>
          <w:lang w:val="en-US" w:eastAsia="zh-CN" w:bidi="ar-SA"/>
        </w:rPr>
        <w:t>2022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综合绩效考评得分为96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（三）相关建议。</w:t>
      </w:r>
      <w:r>
        <w:rPr>
          <w:rFonts w:hint="eastAsia" w:ascii="仿宋_GB2312" w:hAnsi="宋体" w:eastAsia="仿宋_GB2312" w:cs="Times New Roman"/>
          <w:w w:val="99"/>
          <w:kern w:val="2"/>
          <w:sz w:val="32"/>
          <w:szCs w:val="32"/>
          <w:lang w:val="en-US" w:eastAsia="zh-CN" w:bidi="ar-SA"/>
        </w:rPr>
        <w:t>进一步健全和完善财务管理制度和内部控制制度，创新管理手段，用新思路、新方法，建立更加完善科学的项目绩效评价体系机制。</w:t>
      </w:r>
    </w:p>
    <w:p>
      <w:pPr>
        <w:spacing w:line="600" w:lineRule="exact"/>
        <w:jc w:val="both"/>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普惠金融发展专项资金</w:t>
      </w:r>
      <w:r>
        <w:rPr>
          <w:rFonts w:hint="eastAsia" w:ascii="方正小标宋简体" w:hAnsi="方正小标宋简体" w:eastAsia="方正小标宋简体" w:cs="方正小标宋简体"/>
          <w:b w:val="0"/>
          <w:bCs w:val="0"/>
          <w:color w:val="000000"/>
          <w:kern w:val="0"/>
          <w:sz w:val="44"/>
          <w:szCs w:val="44"/>
        </w:rPr>
        <w:t>支出绩效</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center"/>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按照我单位的职能职责：2022年普惠金融发展资金专项预算项目，主要用于支持全区重点就业群体、小微企业、“三农”融资发展，担保贷款贴息资金，增强金融普惠性，推动普惠金融高质量发展</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此项目依据广元市朝天区财政局《关于下达2022年普惠金融发展专项资金预算指标的通知》(广朝财金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〕9</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参照省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我单位对专项资金的管理按照各级财政的相关要求规定执行，对上级财政的各类专项资金不能另外制定制度办法。因此在资金分配方面，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default"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根据广元市朝天区财政局《关于下达2022年普惠金融发展专项资金预算指标的通知》(广朝财金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〕9</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w:t>
      </w:r>
      <w:r>
        <w:rPr>
          <w:rFonts w:hint="eastAsia" w:ascii="仿宋_GB2312" w:hAnsi="仿宋_GB2312" w:eastAsia="仿宋_GB2312" w:cs="仿宋_GB2312"/>
          <w:sz w:val="32"/>
          <w:szCs w:val="32"/>
          <w:lang w:val="en-US" w:eastAsia="zh-CN"/>
        </w:rPr>
        <w:t>确保全区创业担保贷款经营实体，在12月31日前足额兑现担保贷款贴息资金，</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项目实施情况评价：按照该专项资金要求，全区按相关政策符合享受担保贷款贴息条件经营实体，将贴息资金在12月31日前足额兑现到补助对象手中，。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2023年部门、政策和项目支出绩效自评工作的通知》（广朝财发〔2023〕19号）文件要求，高度重视2022年度专项预算项目支出绩效评价工作，并全面进行了自查评价，对照项目绩效目标的各项工作任务开展了自评。</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2.资料及数据收集。目标绩效评价领导小组通过查阅归档资料和系统录入情况，就2022年度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对我单位2022年度的专项资金绩效情况进行自我评价，并填报2022年度专项资金绩效自评表和自评评分表，根据自评结果撰写了2022年度专项预算项目支出资金绩效自评报告。</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4.自评所采取的方法。我单位对2022年</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对该项目进行了自评，确保了2022年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（一）资金申报及批复情况。根据</w:t>
      </w:r>
      <w:r>
        <w:rPr>
          <w:rFonts w:hint="eastAsia" w:ascii="仿宋_GB2312" w:hAnsi="宋体" w:eastAsia="仿宋_GB2312" w:cs="Times New Roman"/>
          <w:w w:val="99"/>
          <w:sz w:val="32"/>
          <w:szCs w:val="32"/>
          <w:lang w:val="en-US" w:eastAsia="zh-CN"/>
        </w:rPr>
        <w:t>广元市朝天区财政局《关于下达2022年普惠金融发展专项资金预算指标的通知》(广朝财金</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〕9</w:t>
      </w:r>
      <w:r>
        <w:rPr>
          <w:rFonts w:hint="eastAsia" w:ascii="仿宋_GB2312" w:hAnsi="宋体" w:eastAsia="仿宋_GB2312" w:cs="Times New Roman"/>
          <w:w w:val="99"/>
          <w:sz w:val="32"/>
          <w:szCs w:val="32"/>
          <w:lang w:val="en-US" w:eastAsia="zh-CN"/>
        </w:rPr>
        <w:t>号)文件共批复</w:t>
      </w:r>
      <w:r>
        <w:rPr>
          <w:rFonts w:hint="eastAsia" w:ascii="仿宋_GB2312" w:hAnsi="仿宋_GB2312" w:eastAsia="仿宋_GB2312" w:cs="仿宋_GB2312"/>
          <w:kern w:val="0"/>
          <w:sz w:val="32"/>
          <w:szCs w:val="32"/>
          <w:lang w:val="en-US" w:eastAsia="zh-CN" w:bidi="ar-SA"/>
        </w:rPr>
        <w:t>专项资金132.03万元。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（二）资金到位。专项资金132.03万元，于2021年12月全部划拨到位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w:t>
      </w:r>
      <w:r>
        <w:rPr>
          <w:rFonts w:hint="eastAsia" w:ascii="仿宋_GB2312" w:hAnsi="仿宋_GB2312" w:eastAsia="仿宋_GB2312" w:cs="仿宋_GB2312"/>
          <w:sz w:val="32"/>
          <w:szCs w:val="32"/>
          <w:lang w:val="en-US" w:eastAsia="zh-CN"/>
        </w:rPr>
        <w:t>确保全区享受担保贷款贴息政策的经营实体补助资金在12月31日前足额兑现到补助对象人员手中，增强全区广大实体经营者的获得感、幸福感。</w:t>
      </w:r>
      <w:r>
        <w:rPr>
          <w:rFonts w:hint="eastAsia" w:ascii="仿宋_GB2312" w:hAnsi="仿宋_GB2312" w:eastAsia="仿宋_GB2312" w:cs="仿宋_GB2312"/>
          <w:kern w:val="0"/>
          <w:sz w:val="32"/>
          <w:szCs w:val="32"/>
          <w:lang w:val="en-US" w:eastAsia="zh-CN" w:bidi="ar-SA"/>
        </w:rPr>
        <w:t>在整个专项项目支出过程中，对支付标准、支付进度、支付依据进行了严格的合规审查，确保了资金使用过程的安全性、规范性及有效性。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项目财务管理情况。我单位严格按照内控等相关制度规定，按照项目预算安排使用资金，资金预决算报表做到内容真实完整、数据准确无误、上报数据与存档数据一致，做到专户管理，按照有关规定建立财务监督制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资金使用要求，结合我区实际情况开展相关工作。一是严格按照对象、条件、程序和相关要求开展工作，二是规范档案管理工作，确保资料完整备查。</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（二）我单位在资金使用过程中严格进行监督。监督专项资金是否按时足额发放到贴息对象手中。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（一）项目完成情况。2022年共发放担保贷款2178余万元，享受贴息经营实体213个，共发放贴息补贴资金132.03万元</w:t>
      </w:r>
      <w:r>
        <w:rPr>
          <w:rFonts w:hint="eastAsia" w:ascii="仿宋_GB2312" w:hAnsi="仿宋_GB2312" w:eastAsia="仿宋_GB2312" w:cs="仿宋_GB2312"/>
          <w:sz w:val="32"/>
          <w:szCs w:val="32"/>
          <w:lang w:val="en-US" w:eastAsia="zh-CN"/>
        </w:rPr>
        <w:t>，确保全区补助资金在12月31日前足额兑现到补助对象人员手中，</w:t>
      </w:r>
      <w:r>
        <w:rPr>
          <w:rFonts w:hint="eastAsia" w:ascii="仿宋_GB2312" w:hAnsi="仿宋" w:eastAsia="仿宋_GB2312"/>
          <w:sz w:val="32"/>
          <w:szCs w:val="32"/>
          <w:lang w:val="en-US" w:eastAsia="zh-CN"/>
        </w:rPr>
        <w:t>把党和政府的关心关爱政策落实到实处。</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default" w:ascii="黑体" w:hAnsi="黑体" w:eastAsia="仿宋_GB2312" w:cs="Times New Roman"/>
          <w:w w:val="99"/>
          <w:sz w:val="32"/>
          <w:szCs w:val="32"/>
          <w:lang w:val="en-US" w:eastAsia="zh-CN"/>
        </w:rPr>
      </w:pPr>
      <w:r>
        <w:rPr>
          <w:rFonts w:hint="eastAsia" w:ascii="仿宋_GB2312" w:hAnsi="仿宋_GB2312" w:eastAsia="仿宋_GB2312" w:cs="仿宋_GB2312"/>
          <w:kern w:val="0"/>
          <w:sz w:val="32"/>
          <w:szCs w:val="32"/>
          <w:lang w:val="en-US" w:eastAsia="zh-CN" w:bidi="ar-SA"/>
        </w:rPr>
        <w:t>（一）项目效益情况。</w:t>
      </w:r>
      <w:r>
        <w:rPr>
          <w:rFonts w:hint="eastAsia" w:ascii="仿宋_GB2312" w:hAnsi="宋体" w:eastAsia="仿宋_GB2312" w:cs="Times New Roman"/>
          <w:w w:val="99"/>
          <w:sz w:val="32"/>
          <w:szCs w:val="32"/>
        </w:rPr>
        <w:t>通</w:t>
      </w:r>
      <w:r>
        <w:rPr>
          <w:rFonts w:hint="eastAsia" w:ascii="仿宋_GB2312" w:hAnsi="宋体" w:eastAsia="仿宋_GB2312" w:cs="Times New Roman"/>
          <w:w w:val="99"/>
          <w:sz w:val="32"/>
          <w:szCs w:val="32"/>
          <w:lang w:eastAsia="zh-CN"/>
        </w:rPr>
        <w:t>过该项目实施，极大增强了广大创业实体干事创业信心，实现稳步增收，增强广大群众获得感，幸福感，提高生活质量，确保社会和谐稳定</w:t>
      </w:r>
      <w:r>
        <w:rPr>
          <w:rFonts w:hint="eastAsia" w:ascii="仿宋_GB2312" w:hAnsi="宋体" w:eastAsia="仿宋_GB2312" w:cs="Times New Roman"/>
          <w:w w:val="99"/>
          <w:sz w:val="32"/>
          <w:szCs w:val="32"/>
          <w:lang w:val="en-US" w:eastAsia="zh-CN"/>
        </w:rPr>
        <w:t>，把党和政府对脱贫人口的关爱政策落到了实处，受到广大群众的一致好评。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仿宋_GB2312" w:hAnsi="宋体" w:eastAsia="仿宋_GB2312" w:cs="Times New Roman"/>
          <w:w w:val="99"/>
          <w:kern w:val="2"/>
          <w:sz w:val="32"/>
          <w:szCs w:val="32"/>
          <w:lang w:val="en-US" w:eastAsia="zh-CN" w:bidi="ar-SA"/>
        </w:rPr>
        <w:t>2022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综合绩效考评得分为94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w:t>
      </w:r>
      <w:r>
        <w:rPr>
          <w:rFonts w:hint="eastAsia" w:ascii="仿宋_GB2312" w:hAnsi="宋体" w:eastAsia="仿宋_GB2312" w:cs="Times New Roman"/>
          <w:w w:val="99"/>
          <w:kern w:val="2"/>
          <w:sz w:val="32"/>
          <w:szCs w:val="32"/>
          <w:lang w:val="en-US" w:eastAsia="zh-CN" w:bidi="ar-SA"/>
        </w:rPr>
        <w:tab/>
      </w:r>
    </w:p>
    <w:p>
      <w:pPr>
        <w:spacing w:line="600" w:lineRule="exact"/>
        <w:jc w:val="both"/>
        <w:outlineLvl w:val="0"/>
        <w:rPr>
          <w:rFonts w:hint="eastAsia" w:ascii="黑体" w:hAnsi="黑体" w:eastAsia="黑体"/>
          <w:color w:val="auto"/>
          <w:sz w:val="44"/>
          <w:szCs w:val="44"/>
          <w:highlight w:val="none"/>
        </w:rPr>
      </w:pPr>
      <w:bookmarkStart w:id="87" w:name="_Toc20966"/>
      <w:r>
        <w:rPr>
          <w:rFonts w:hint="eastAsia" w:ascii="仿宋_GB2312" w:hAnsi="仿宋_GB2312" w:eastAsia="仿宋_GB2312" w:cs="仿宋_GB2312"/>
          <w:kern w:val="0"/>
          <w:sz w:val="32"/>
          <w:szCs w:val="32"/>
          <w:lang w:val="en-US" w:eastAsia="zh-CN" w:bidi="ar-SA"/>
        </w:rPr>
        <w:t>（三）相关建议。</w:t>
      </w:r>
      <w:r>
        <w:rPr>
          <w:rFonts w:hint="eastAsia" w:ascii="仿宋_GB2312" w:hAnsi="宋体" w:eastAsia="仿宋_GB2312" w:cs="Times New Roman"/>
          <w:w w:val="99"/>
          <w:kern w:val="2"/>
          <w:sz w:val="32"/>
          <w:szCs w:val="32"/>
          <w:lang w:val="en-US" w:eastAsia="zh-CN" w:bidi="ar-SA"/>
        </w:rPr>
        <w:t>进一步健全和完善财务管理制度和内部控制制度，创新管理手段，用新思路、新方法，改进完善财务管理方法，账务处理准确性，建立更加完善科学的绩效评价体系。</w:t>
      </w:r>
      <w:bookmarkEnd w:id="87"/>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东西部协作项目补助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center"/>
        <w:textAlignment w:val="auto"/>
        <w:outlineLvl w:val="9"/>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center"/>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说明项目主管单位在该项目管理中的职能</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按照我单位的职能职责：2022年度东西部协作项目专项预算项目，一是结合朝天实际开展就业创业培训和技能提升培训，二建就业帮扶车间1个、就近就业零工市场1个，三是举办劳务协作专场招聘会，四是劳动力有序输出转移</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项目立项、资金申报的依据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此项目依据广元市朝天区财政局《关于下达2022年东西部协作项目资金的通知》(广朝财农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〕43</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加强资金监管，确保资金按时足额到位，确保资金使用安全和专款专用。为进一步加强预算绩效管理，切实提高财政资金使用效益，我会参照省级整体绩效目标表，科学合理确定绩效目标，做好绩效监控，确保年度绩效目标如期实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管理办法及使用过程。我单位对专项资金的管理按照各级财政的相关要求规定执行，对上级财政的各类专项资金不能另外制定制度办法。因此在资金分配方面，严格按照财政下拨的资金文件执行，无截留、挪用和资金滞留等现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val="en-US" w:eastAsia="zh-CN"/>
        </w:rPr>
        <w:t>项目主要内容及具体绩效目标：</w:t>
      </w:r>
      <w:r>
        <w:rPr>
          <w:rFonts w:hint="eastAsia" w:ascii="仿宋_GB2312" w:hAnsi="宋体" w:eastAsia="仿宋_GB2312" w:cs="Times New Roman"/>
          <w:w w:val="99"/>
          <w:sz w:val="32"/>
          <w:szCs w:val="32"/>
          <w:lang w:val="en-US" w:eastAsia="zh-CN"/>
        </w:rPr>
        <w:t>根据广元市朝天区财政局《关于下达2022年东西部协作项目资金的通知》(广朝财农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〕43</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一是开展就业创业培训和技能提升培训行动全年培训1000人以上，二是建就业帮扶车间1个、零工市场1个。三是举办东西部劳务协作专场招聘会20场次，四是有序输出转移劳动力300人以上。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val="en-US" w:eastAsia="zh-CN"/>
        </w:rPr>
        <w:t>项目实施情况评价。按照该专项资金要求，按照实施内容已分期分批实施完成，项目资金在12月31日前已将170万元全部划拨到位。</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根据广元市朝天区财政局《关于开展2023年部门、政策和项目支出绩效自评工作的通知》（广朝财发〔2023〕19号）文件要求，高度重视2022年度专项预算项目支出绩效评价工作，并全面进行了自查评价，对照项目绩效目标的各项工作任务开展了自评。</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1.成立目标绩效评价领导小组。为保证专项预算项目支出绩效评价工作顺利开展，我单位成立了以党组书记、局长为组长，党组成员、分管副局长为副组长，办公室、规划财务股、相关股室为成员的目标绩效评价工作领导小组，负责该项目绩效评价的组织管理和工作实施。</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黑体" w:eastAsia="仿宋_GB2312" w:cs="宋体"/>
          <w:color w:val="auto"/>
          <w:kern w:val="0"/>
          <w:szCs w:val="32"/>
          <w:lang w:val="en-US" w:eastAsia="zh-CN"/>
        </w:rPr>
      </w:pPr>
      <w:r>
        <w:rPr>
          <w:rFonts w:hint="eastAsia" w:ascii="仿宋_GB2312" w:hAnsi="黑体" w:eastAsia="仿宋_GB2312" w:cs="宋体"/>
          <w:color w:val="auto"/>
          <w:kern w:val="0"/>
          <w:szCs w:val="32"/>
          <w:lang w:val="en-US" w:eastAsia="zh-CN"/>
        </w:rPr>
        <w:t>2、资料及数据收集。目标绩效评价领导小组通过查阅归档资料和系统录入情况，就2022年度</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黑体" w:eastAsia="仿宋_GB2312" w:cs="宋体"/>
          <w:color w:val="auto"/>
          <w:kern w:val="0"/>
          <w:szCs w:val="32"/>
          <w:lang w:val="en-US" w:eastAsia="zh-CN"/>
        </w:rPr>
        <w:t>实施情况的相关数据及资料进行查漏补缺，并认真对相关数据资料进行核实，确保绩效评价的真实性、准确性。</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黑体" w:eastAsia="仿宋_GB2312" w:cs="宋体"/>
          <w:color w:val="auto"/>
          <w:kern w:val="0"/>
          <w:sz w:val="32"/>
          <w:szCs w:val="32"/>
          <w:lang w:val="en-US" w:eastAsia="zh-CN" w:bidi="ar-SA"/>
        </w:rPr>
        <w:t>3、组织开展自评。根据专项预算项目资金绩效评价所需的相关数据和资料，对我单位2022年度的专项资金绩效情况进行自我评价，并填报2022年度专项资金绩效自评表和自评评分表，根据自评结果撰写了2022年度专项预算项目支出资金绩效自评报告。</w:t>
      </w:r>
    </w:p>
    <w:p>
      <w:pPr>
        <w:pStyle w:val="20"/>
        <w:keepNext w:val="0"/>
        <w:keepLines w:val="0"/>
        <w:pageBreakBefore w:val="0"/>
        <w:widowControl w:val="0"/>
        <w:kinsoku/>
        <w:wordWrap/>
        <w:overflowPunct/>
        <w:topLinePunct w:val="0"/>
        <w:autoSpaceDN/>
        <w:bidi w:val="0"/>
        <w:spacing w:beforeLines="0" w:after="0" w:afterLines="0" w:line="576"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4、自评所采取的方法。对2022年</w:t>
      </w:r>
      <w:r>
        <w:rPr>
          <w:rFonts w:hint="eastAsia" w:ascii="仿宋_GB2312" w:hAnsi="黑体" w:eastAsia="仿宋_GB2312" w:cs="宋体"/>
          <w:color w:val="auto"/>
          <w:kern w:val="0"/>
          <w:sz w:val="32"/>
          <w:szCs w:val="32"/>
          <w:lang w:val="en-US" w:eastAsia="zh-CN" w:bidi="ar-SA"/>
        </w:rPr>
        <w:t>专项预算项目资金</w:t>
      </w:r>
      <w:r>
        <w:rPr>
          <w:rFonts w:hint="eastAsia" w:ascii="仿宋_GB2312" w:hAnsi="仿宋_GB2312" w:eastAsia="仿宋_GB2312" w:cs="仿宋_GB2312"/>
          <w:szCs w:val="32"/>
          <w:lang w:val="en-US" w:eastAsia="zh-CN"/>
        </w:rPr>
        <w:t>采用</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分析法</w:t>
      </w:r>
      <w:r>
        <w:rPr>
          <w:rFonts w:hint="eastAsia" w:ascii="仿宋_GB2312" w:hAnsi="仿宋_GB2312" w:eastAsia="仿宋_GB2312" w:cs="仿宋_GB2312"/>
          <w:szCs w:val="32"/>
          <w:lang w:val="en-US" w:eastAsia="zh-CN"/>
        </w:rPr>
        <w:t>对该项目进行了自评，确保了2022年</w:t>
      </w:r>
      <w:r>
        <w:rPr>
          <w:rFonts w:hint="eastAsia" w:ascii="仿宋_GB2312" w:hAnsi="黑体" w:eastAsia="仿宋_GB2312" w:cs="宋体"/>
          <w:color w:val="auto"/>
          <w:kern w:val="0"/>
          <w:sz w:val="32"/>
          <w:szCs w:val="32"/>
          <w:lang w:val="en-US" w:eastAsia="zh-CN" w:bidi="ar-SA"/>
        </w:rPr>
        <w:t>专项</w:t>
      </w:r>
      <w:r>
        <w:rPr>
          <w:rFonts w:hint="eastAsia" w:ascii="仿宋_GB2312" w:hAnsi="仿宋_GB2312" w:eastAsia="仿宋_GB2312" w:cs="仿宋_GB2312"/>
          <w:szCs w:val="32"/>
          <w:lang w:val="en-US" w:eastAsia="zh-CN"/>
        </w:rPr>
        <w:t>资金实行专款专用，专账核算，并在规定的时限内完成，资金支出严格按照上级要求，由业务室提出申请、财务核实、分管领导初审，主要领导审批的程序，并遵照“三重一大”的管理流程，确保资金专款专用，及时高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（一）资金申报及批复情况。</w:t>
      </w:r>
      <w:r>
        <w:rPr>
          <w:rFonts w:hint="eastAsia" w:ascii="仿宋_GB2312" w:hAnsi="宋体" w:eastAsia="仿宋_GB2312" w:cs="Times New Roman"/>
          <w:w w:val="99"/>
          <w:sz w:val="32"/>
          <w:szCs w:val="32"/>
          <w:lang w:val="en-US" w:eastAsia="zh-CN"/>
        </w:rPr>
        <w:t>根据广元市朝天区财政局《关于下达2022年东西部协作项目资金的通知》(广朝财农</w:t>
      </w:r>
      <w:r>
        <w:rPr>
          <w:rFonts w:hint="eastAsia" w:ascii="仿宋_GB2312" w:hAnsi="仿宋_GB2312" w:eastAsia="仿宋_GB2312" w:cs="仿宋_GB2312"/>
          <w:w w:val="99"/>
          <w:sz w:val="32"/>
          <w:szCs w:val="32"/>
          <w:lang w:val="en-US" w:eastAsia="zh-CN"/>
        </w:rPr>
        <w:t>〔</w:t>
      </w:r>
      <w:r>
        <w:rPr>
          <w:rFonts w:hint="eastAsia" w:ascii="仿宋_GB2312" w:hAnsi="宋体" w:eastAsia="仿宋_GB2312" w:cs="Times New Roman"/>
          <w:w w:val="99"/>
          <w:sz w:val="32"/>
          <w:szCs w:val="32"/>
          <w:lang w:val="en-US" w:eastAsia="zh-CN"/>
        </w:rPr>
        <w:t>2022</w:t>
      </w:r>
      <w:r>
        <w:rPr>
          <w:rFonts w:hint="eastAsia" w:ascii="仿宋_GB2312" w:hAnsi="仿宋_GB2312" w:eastAsia="仿宋_GB2312" w:cs="仿宋_GB2312"/>
          <w:w w:val="99"/>
          <w:sz w:val="32"/>
          <w:szCs w:val="32"/>
          <w:lang w:val="en-US" w:eastAsia="zh-CN"/>
        </w:rPr>
        <w:t>〕43</w:t>
      </w:r>
      <w:r>
        <w:rPr>
          <w:rFonts w:hint="eastAsia" w:ascii="仿宋_GB2312" w:hAnsi="宋体" w:eastAsia="仿宋_GB2312" w:cs="Times New Roman"/>
          <w:w w:val="99"/>
          <w:sz w:val="32"/>
          <w:szCs w:val="32"/>
          <w:lang w:val="en-US" w:eastAsia="zh-CN"/>
        </w:rPr>
        <w:t>号)文件</w:t>
      </w:r>
      <w:r>
        <w:rPr>
          <w:rFonts w:hint="eastAsia" w:ascii="仿宋_GB2312" w:hAnsi="仿宋_GB2312" w:eastAsia="仿宋_GB2312" w:cs="仿宋_GB2312"/>
          <w:w w:val="99"/>
          <w:sz w:val="32"/>
          <w:szCs w:val="32"/>
          <w:lang w:val="en-US" w:eastAsia="zh-CN"/>
        </w:rPr>
        <w:t>要求，</w:t>
      </w:r>
      <w:r>
        <w:rPr>
          <w:rFonts w:hint="eastAsia" w:ascii="仿宋_GB2312" w:hAnsi="宋体" w:eastAsia="仿宋_GB2312" w:cs="Times New Roman"/>
          <w:w w:val="99"/>
          <w:sz w:val="32"/>
          <w:szCs w:val="32"/>
          <w:lang w:val="en-US" w:eastAsia="zh-CN"/>
        </w:rPr>
        <w:t>文件共批复</w:t>
      </w:r>
      <w:r>
        <w:rPr>
          <w:rFonts w:hint="eastAsia" w:ascii="仿宋_GB2312" w:hAnsi="仿宋_GB2312" w:eastAsia="仿宋_GB2312" w:cs="仿宋_GB2312"/>
          <w:kern w:val="0"/>
          <w:sz w:val="32"/>
          <w:szCs w:val="32"/>
          <w:lang w:val="en-US" w:eastAsia="zh-CN" w:bidi="ar-SA"/>
        </w:rPr>
        <w:t>专项资金170万元。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（二）资金到位。专项资金170万元于2021年12月全部划拨到位</w:t>
      </w:r>
      <w:r>
        <w:rPr>
          <w:rFonts w:hint="eastAsia" w:ascii="仿宋_GB2312" w:hAnsi="仿宋_GB2312" w:eastAsia="仿宋_GB2312" w:cs="仿宋_GB2312"/>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（三）资金使用。2022年</w:t>
      </w:r>
      <w:r>
        <w:rPr>
          <w:rFonts w:hint="eastAsia" w:ascii="仿宋_GB2312" w:hAnsi="仿宋_GB2312" w:eastAsia="仿宋_GB2312" w:cs="仿宋_GB2312"/>
          <w:sz w:val="32"/>
          <w:szCs w:val="32"/>
          <w:lang w:val="en-US" w:eastAsia="zh-CN"/>
        </w:rPr>
        <w:t>该专项资金，创业就业培训及技能提升补助根据提供项目资料全部兑现到第三方培训机构，就业帮扶车间，零工市场建设，招聘会议均采取市场化政府购买服务方式实施。</w:t>
      </w:r>
      <w:r>
        <w:rPr>
          <w:rFonts w:hint="eastAsia" w:ascii="仿宋_GB2312" w:hAnsi="仿宋_GB2312" w:eastAsia="仿宋_GB2312" w:cs="仿宋_GB2312"/>
          <w:kern w:val="0"/>
          <w:sz w:val="32"/>
          <w:szCs w:val="32"/>
          <w:lang w:val="en-US" w:eastAsia="zh-CN" w:bidi="ar-SA"/>
        </w:rPr>
        <w:t>在整个项目实施过程前、中、后全过程监督，支出过程中，对支付标准、支付进度、支付依据进行了严格的合规审查，确保了资金使用过程的安全性、规范性及有效性。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（四）项目财务管理情况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单位严格按照内控等相关制度规定，要求存档的项目资料和补助资金会计资料完备，按照项目预算安排使用资金，资金预决算报表做到内容真实完整、数据准确无误、上报数据与存档数据一致；我单位做到专户管理，按照有关规定建立财务监督制度。严格监督执行打卡直发程序，对创业就业及技能提升培训开展情况，奖补对象确定等进行全程监督。</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73"/>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（一）我单位严格按照</w:t>
      </w:r>
      <w:r>
        <w:rPr>
          <w:rFonts w:hint="eastAsia" w:ascii="仿宋_GB2312" w:hAnsi="黑体" w:eastAsia="仿宋_GB2312" w:cs="宋体"/>
          <w:color w:val="auto"/>
          <w:kern w:val="0"/>
          <w:sz w:val="32"/>
          <w:szCs w:val="32"/>
          <w:lang w:val="en-US" w:eastAsia="zh-CN" w:bidi="ar-SA"/>
        </w:rPr>
        <w:t>财政专项</w:t>
      </w:r>
      <w:r>
        <w:rPr>
          <w:rFonts w:hint="eastAsia" w:ascii="仿宋_GB2312" w:hAnsi="仿宋_GB2312" w:eastAsia="仿宋_GB2312" w:cs="仿宋_GB2312"/>
          <w:kern w:val="0"/>
          <w:sz w:val="32"/>
          <w:szCs w:val="32"/>
          <w:lang w:val="en-US" w:eastAsia="zh-CN" w:bidi="ar-SA"/>
        </w:rPr>
        <w:t>资金使用要求，结合我区实际情况开展相关工作。一是严格按照对象、条件、程序和相关要求开展工作，二是规范档案管理工作，确保资料完整备查。</w:t>
      </w:r>
    </w:p>
    <w:p>
      <w:pPr>
        <w:pStyle w:val="20"/>
        <w:keepNext w:val="0"/>
        <w:keepLines w:val="0"/>
        <w:pageBreakBefore w:val="0"/>
        <w:widowControl w:val="0"/>
        <w:kinsoku/>
        <w:wordWrap/>
        <w:overflowPunct/>
        <w:topLinePunct w:val="0"/>
        <w:autoSpaceDN/>
        <w:bidi w:val="0"/>
        <w:spacing w:line="576" w:lineRule="exact"/>
        <w:jc w:val="both"/>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（二）我单位在资金使用过程中严格进行监督。确保各专项资金及时足额发放到补贴对象手中。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（一）项目完成情况。</w:t>
      </w:r>
      <w:r>
        <w:rPr>
          <w:rFonts w:hint="eastAsia" w:ascii="仿宋_GB2312" w:hAnsi="宋体" w:eastAsia="仿宋_GB2312" w:cs="Times New Roman"/>
          <w:w w:val="99"/>
          <w:sz w:val="32"/>
          <w:szCs w:val="32"/>
          <w:lang w:val="en-US" w:eastAsia="zh-CN"/>
        </w:rPr>
        <w:t>2022年</w:t>
      </w:r>
      <w:r>
        <w:rPr>
          <w:rFonts w:hint="eastAsia" w:ascii="仿宋_GB2312" w:eastAsia="仿宋_GB2312"/>
          <w:sz w:val="32"/>
          <w:szCs w:val="32"/>
        </w:rPr>
        <w:t>聚焦全区经济社会发展布局，重点围绕一、二、三产业和特色产品开展适需对路的职业技能培训，积极</w:t>
      </w:r>
      <w:r>
        <w:rPr>
          <w:rFonts w:hint="eastAsia" w:ascii="仿宋_GB2312" w:eastAsia="仿宋_GB2312"/>
          <w:sz w:val="32"/>
          <w:szCs w:val="32"/>
          <w:lang w:eastAsia="zh-CN"/>
        </w:rPr>
        <w:t>开展东西部劳务协作，不断拓展合作领域</w:t>
      </w:r>
      <w:r>
        <w:rPr>
          <w:rFonts w:hint="eastAsia" w:ascii="仿宋_GB2312" w:eastAsia="仿宋_GB2312"/>
          <w:sz w:val="32"/>
          <w:szCs w:val="32"/>
        </w:rPr>
        <w:t>。全年实际建成羊木金顶村帮扶车间1个1720平方米，开展就业培训1200余人，举办劳务协作专场招聘会20场次，劳务协作转移安置380人，劳务工作站的日常服务管理服务工作，建零工市场1个，解决就近</w:t>
      </w:r>
      <w:r>
        <w:rPr>
          <w:rFonts w:hint="eastAsia" w:ascii="仿宋_GB2312" w:eastAsia="仿宋_GB2312"/>
          <w:sz w:val="32"/>
          <w:szCs w:val="32"/>
          <w:lang w:eastAsia="zh-CN"/>
        </w:rPr>
        <w:t>就业</w:t>
      </w:r>
      <w:r>
        <w:rPr>
          <w:rFonts w:hint="eastAsia" w:ascii="仿宋_GB2312" w:eastAsia="仿宋_GB2312"/>
          <w:sz w:val="32"/>
          <w:szCs w:val="32"/>
        </w:rPr>
        <w:t>120人</w:t>
      </w:r>
      <w:r>
        <w:rPr>
          <w:rFonts w:hint="eastAsia" w:ascii="仿宋_GB2312" w:eastAsia="仿宋_GB2312"/>
          <w:sz w:val="32"/>
          <w:szCs w:val="32"/>
          <w:lang w:eastAsia="zh-CN"/>
        </w:rPr>
        <w:t>，</w:t>
      </w:r>
      <w:r>
        <w:rPr>
          <w:rFonts w:hint="eastAsia" w:ascii="仿宋_GB2312" w:eastAsia="仿宋_GB2312"/>
          <w:sz w:val="32"/>
          <w:szCs w:val="32"/>
        </w:rPr>
        <w:t>劳务工作站、零工市场有序运转</w:t>
      </w:r>
      <w:r>
        <w:rPr>
          <w:rFonts w:hint="eastAsia" w:ascii="仿宋_GB2312" w:hAnsi="宋体" w:eastAsia="仿宋_GB2312" w:cs="宋体"/>
          <w:color w:val="000000"/>
          <w:kern w:val="0"/>
          <w:sz w:val="32"/>
          <w:szCs w:val="32"/>
          <w:lang w:val="en-US" w:eastAsia="zh-CN"/>
        </w:rPr>
        <w:t>把党和政府保民生，保就业工作做得更实，各项民生优惠政策</w:t>
      </w:r>
      <w:r>
        <w:rPr>
          <w:rFonts w:hint="eastAsia" w:ascii="仿宋_GB2312" w:hAnsi="仿宋" w:eastAsia="仿宋_GB2312"/>
          <w:sz w:val="32"/>
          <w:szCs w:val="32"/>
          <w:lang w:val="en-US" w:eastAsia="zh-CN"/>
        </w:rPr>
        <w:t>关心关爱落实到实处。</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default" w:ascii="黑体" w:hAnsi="黑体" w:eastAsia="仿宋_GB2312" w:cs="Times New Roman"/>
          <w:w w:val="99"/>
          <w:sz w:val="32"/>
          <w:szCs w:val="32"/>
          <w:lang w:val="en-US" w:eastAsia="zh-CN"/>
        </w:rPr>
      </w:pPr>
      <w:r>
        <w:rPr>
          <w:rFonts w:hint="eastAsia" w:ascii="仿宋_GB2312" w:hAnsi="仿宋_GB2312" w:eastAsia="仿宋_GB2312" w:cs="仿宋_GB2312"/>
          <w:kern w:val="0"/>
          <w:sz w:val="32"/>
          <w:szCs w:val="32"/>
          <w:lang w:val="en-US" w:eastAsia="zh-CN" w:bidi="ar-SA"/>
        </w:rPr>
        <w:t>（二）项目效益情况。</w:t>
      </w:r>
      <w:r>
        <w:rPr>
          <w:rFonts w:hint="eastAsia" w:ascii="仿宋_GB2312" w:hAnsi="宋体" w:eastAsia="仿宋_GB2312" w:cs="Times New Roman"/>
          <w:w w:val="99"/>
          <w:sz w:val="32"/>
          <w:szCs w:val="32"/>
        </w:rPr>
        <w:t>通过</w:t>
      </w:r>
      <w:r>
        <w:rPr>
          <w:rFonts w:hint="eastAsia" w:ascii="仿宋_GB2312" w:hAnsi="宋体" w:eastAsia="仿宋_GB2312" w:cs="Times New Roman"/>
          <w:w w:val="99"/>
          <w:sz w:val="32"/>
          <w:szCs w:val="32"/>
          <w:lang w:eastAsia="zh-CN"/>
        </w:rPr>
        <w:t>东西部劳务协作项目实施，</w:t>
      </w:r>
      <w:r>
        <w:rPr>
          <w:rFonts w:hint="eastAsia" w:ascii="仿宋_GB2312" w:hAnsi="宋体" w:eastAsia="仿宋_GB2312" w:cs="Times New Roman"/>
          <w:w w:val="99"/>
          <w:sz w:val="32"/>
          <w:szCs w:val="32"/>
        </w:rPr>
        <w:t>培训大幅提高群众就业能力</w:t>
      </w:r>
      <w:r>
        <w:rPr>
          <w:rFonts w:hint="eastAsia" w:ascii="仿宋_GB2312" w:hAnsi="宋体" w:eastAsia="仿宋_GB2312" w:cs="Times New Roman"/>
          <w:w w:val="99"/>
          <w:sz w:val="32"/>
          <w:szCs w:val="32"/>
          <w:lang w:eastAsia="zh-CN"/>
        </w:rPr>
        <w:t>，就近就业岗位不断增加，稳岗就业、创业成效显著，增强广大群众获得感，幸福感，提高生活质量，确保社会和谐稳定</w:t>
      </w:r>
      <w:r>
        <w:rPr>
          <w:rFonts w:hint="eastAsia" w:ascii="仿宋_GB2312" w:hAnsi="宋体" w:eastAsia="仿宋_GB2312" w:cs="Times New Roman"/>
          <w:w w:val="99"/>
          <w:sz w:val="32"/>
          <w:szCs w:val="32"/>
          <w:lang w:val="en-US" w:eastAsia="zh-CN"/>
        </w:rPr>
        <w:t>，把党和政府的关心关爱落到了实处。</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评价结论及建议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kern w:val="0"/>
          <w:sz w:val="32"/>
          <w:szCs w:val="32"/>
          <w:lang w:val="en-US" w:eastAsia="zh-CN" w:bidi="ar-SA"/>
        </w:rPr>
        <w:t>（一）评价结论。</w:t>
      </w:r>
      <w:r>
        <w:rPr>
          <w:rFonts w:hint="eastAsia" w:ascii="仿宋_GB2312" w:hAnsi="宋体" w:eastAsia="仿宋_GB2312" w:cs="Times New Roman"/>
          <w:w w:val="99"/>
          <w:kern w:val="2"/>
          <w:sz w:val="32"/>
          <w:szCs w:val="32"/>
          <w:lang w:val="en-US" w:eastAsia="zh-CN" w:bidi="ar-SA"/>
        </w:rPr>
        <w:t>2022年本单位严格按照文件要求和相关会计制度进行会计核算、财务处理，做到财务处理及时、会计核算规范。对专项资金严把审批关，杜绝了弄虚作假、截留、挤占、挪用专项资金的情况发生。专项资金严格按照财务管理规定执行，使用科目合理，程序合法，确保了项目的顺利完成。根据定量分析及定性分析，综合绩效评价打分，确定相应绩效评价级次。根据绩效评价小组设定的本项目支出绩效评价指标体系自评分为95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kern w:val="2"/>
          <w:sz w:val="32"/>
          <w:szCs w:val="32"/>
          <w:lang w:val="en-US" w:eastAsia="zh-CN" w:bidi="ar-SA"/>
        </w:rPr>
      </w:pPr>
      <w:r>
        <w:rPr>
          <w:rFonts w:hint="eastAsia" w:ascii="仿宋_GB2312" w:hAnsi="仿宋_GB2312" w:eastAsia="仿宋_GB2312" w:cs="仿宋_GB2312"/>
          <w:kern w:val="0"/>
          <w:sz w:val="32"/>
          <w:szCs w:val="32"/>
          <w:lang w:val="en-US" w:eastAsia="zh-CN" w:bidi="ar-SA"/>
        </w:rPr>
        <w:t>（二）存在的问题。</w:t>
      </w:r>
      <w:r>
        <w:rPr>
          <w:rFonts w:hint="eastAsia" w:ascii="仿宋_GB2312" w:hAnsi="宋体" w:eastAsia="仿宋_GB2312" w:cs="Times New Roman"/>
          <w:w w:val="99"/>
          <w:kern w:val="2"/>
          <w:sz w:val="32"/>
          <w:szCs w:val="32"/>
          <w:lang w:val="en-US" w:eastAsia="zh-CN" w:bidi="ar-SA"/>
        </w:rPr>
        <w:t>一是对于绩效评价的认识不够深入，把预算绩效简单等同于工作目标、工作考核和业务管理。二是绩效管理经验不足，部分成果无法用指标量化，三是绩效管理项目的措施办法还有待完善。</w:t>
      </w:r>
      <w:r>
        <w:rPr>
          <w:rFonts w:hint="eastAsia" w:ascii="仿宋_GB2312" w:hAnsi="宋体" w:eastAsia="仿宋_GB2312" w:cs="Times New Roman"/>
          <w:w w:val="99"/>
          <w:kern w:val="2"/>
          <w:sz w:val="32"/>
          <w:szCs w:val="32"/>
          <w:lang w:val="en-US" w:eastAsia="zh-CN" w:bidi="ar-SA"/>
        </w:rPr>
        <w:tab/>
      </w:r>
    </w:p>
    <w:p>
      <w:pPr>
        <w:spacing w:line="600" w:lineRule="exact"/>
        <w:jc w:val="both"/>
        <w:outlineLvl w:val="0"/>
        <w:rPr>
          <w:rFonts w:hint="eastAsia" w:ascii="仿宋_GB2312" w:hAnsi="宋体" w:eastAsia="仿宋_GB2312" w:cs="Times New Roman"/>
          <w:w w:val="99"/>
          <w:kern w:val="2"/>
          <w:sz w:val="32"/>
          <w:szCs w:val="32"/>
          <w:lang w:val="en-US" w:eastAsia="zh-CN" w:bidi="ar-SA"/>
        </w:rPr>
      </w:pPr>
      <w:bookmarkStart w:id="88" w:name="_Toc4865"/>
      <w:r>
        <w:rPr>
          <w:rFonts w:hint="eastAsia" w:ascii="仿宋_GB2312" w:hAnsi="仿宋_GB2312" w:eastAsia="仿宋_GB2312" w:cs="仿宋_GB2312"/>
          <w:kern w:val="0"/>
          <w:sz w:val="32"/>
          <w:szCs w:val="32"/>
          <w:lang w:val="en-US" w:eastAsia="zh-CN" w:bidi="ar-SA"/>
        </w:rPr>
        <w:t>（三）相关建议。</w:t>
      </w:r>
      <w:r>
        <w:rPr>
          <w:rFonts w:hint="eastAsia" w:ascii="仿宋_GB2312" w:hAnsi="宋体" w:eastAsia="仿宋_GB2312" w:cs="Times New Roman"/>
          <w:w w:val="99"/>
          <w:kern w:val="2"/>
          <w:sz w:val="32"/>
          <w:szCs w:val="32"/>
          <w:lang w:val="en-US" w:eastAsia="zh-CN" w:bidi="ar-SA"/>
        </w:rPr>
        <w:t>进一步健全和完善财务管理制度和内部控制制度，创新管理手段，用新思路、新方法，改进完善财务管理方法，加强核算分类正确性，账务处理准确性，绩效管理针对不同项目科学制定目标，制定政策措施。</w:t>
      </w:r>
      <w:bookmarkEnd w:id="88"/>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pStyle w:val="20"/>
        <w:rPr>
          <w:rFonts w:hint="eastAsia" w:ascii="仿宋_GB2312" w:hAnsi="宋体" w:eastAsia="仿宋_GB2312" w:cs="Times New Roman"/>
          <w:w w:val="99"/>
          <w:kern w:val="2"/>
          <w:sz w:val="32"/>
          <w:szCs w:val="32"/>
          <w:lang w:val="en-US" w:eastAsia="zh-CN" w:bidi="ar-SA"/>
        </w:rPr>
      </w:pPr>
    </w:p>
    <w:p>
      <w:pPr>
        <w:rPr>
          <w:rFonts w:hint="eastAsia" w:ascii="仿宋_GB2312" w:hAnsi="宋体" w:eastAsia="仿宋_GB2312" w:cs="Times New Roman"/>
          <w:w w:val="99"/>
          <w:kern w:val="2"/>
          <w:sz w:val="32"/>
          <w:szCs w:val="32"/>
          <w:lang w:val="en-US" w:eastAsia="zh-CN" w:bidi="ar-SA"/>
        </w:rPr>
      </w:pPr>
    </w:p>
    <w:p>
      <w:pPr>
        <w:rPr>
          <w:rFonts w:hint="eastAsia"/>
        </w:rPr>
      </w:pPr>
    </w:p>
    <w:p>
      <w:pPr>
        <w:spacing w:line="600" w:lineRule="exact"/>
        <w:jc w:val="center"/>
        <w:outlineLvl w:val="9"/>
        <w:rPr>
          <w:rFonts w:hint="eastAsia" w:ascii="黑体" w:hAnsi="黑体" w:eastAsia="黑体"/>
          <w:color w:val="auto"/>
          <w:sz w:val="44"/>
          <w:szCs w:val="44"/>
          <w:highlight w:val="none"/>
        </w:rPr>
      </w:pPr>
    </w:p>
    <w:bookmarkEnd w:id="82"/>
    <w:bookmarkEnd w:id="83"/>
    <w:p>
      <w:pPr>
        <w:spacing w:line="600" w:lineRule="exact"/>
        <w:ind w:firstLine="2200" w:firstLineChars="500"/>
        <w:jc w:val="both"/>
        <w:outlineLvl w:val="0"/>
        <w:rPr>
          <w:rFonts w:hint="eastAsia" w:ascii="仿宋" w:hAnsi="仿宋" w:eastAsia="仿宋"/>
          <w:b w:val="0"/>
          <w:color w:val="auto"/>
          <w:highlight w:val="none"/>
        </w:rPr>
      </w:pPr>
      <w:bookmarkStart w:id="89" w:name="_Toc4376"/>
      <w:bookmarkStart w:id="90" w:name="_Toc15396619"/>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89"/>
    </w:p>
    <w:p>
      <w:pPr>
        <w:pStyle w:val="4"/>
        <w:rPr>
          <w:rFonts w:ascii="仿宋" w:hAnsi="仿宋" w:eastAsia="仿宋"/>
          <w:color w:val="auto"/>
          <w:highlight w:val="none"/>
        </w:rPr>
      </w:pPr>
      <w:bookmarkStart w:id="91" w:name="_Toc26639"/>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91"/>
    </w:p>
    <w:p>
      <w:pPr>
        <w:pStyle w:val="4"/>
        <w:rPr>
          <w:rFonts w:ascii="仿宋" w:hAnsi="仿宋" w:eastAsia="仿宋"/>
          <w:color w:val="auto"/>
          <w:highlight w:val="none"/>
        </w:rPr>
      </w:pPr>
      <w:bookmarkStart w:id="92" w:name="_Toc28452"/>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92"/>
    </w:p>
    <w:p>
      <w:pPr>
        <w:pStyle w:val="4"/>
        <w:rPr>
          <w:rFonts w:ascii="仿宋" w:hAnsi="仿宋" w:eastAsia="仿宋"/>
          <w:color w:val="auto"/>
          <w:highlight w:val="none"/>
        </w:rPr>
      </w:pPr>
      <w:bookmarkStart w:id="93" w:name="_Toc30435"/>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93"/>
    </w:p>
    <w:p>
      <w:pPr>
        <w:pStyle w:val="4"/>
        <w:rPr>
          <w:rFonts w:ascii="仿宋" w:hAnsi="仿宋" w:eastAsia="仿宋"/>
          <w:b w:val="0"/>
          <w:color w:val="auto"/>
          <w:highlight w:val="none"/>
        </w:rPr>
      </w:pPr>
      <w:bookmarkStart w:id="94" w:name="_Toc1504"/>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94"/>
    </w:p>
    <w:p>
      <w:pPr>
        <w:pStyle w:val="4"/>
        <w:rPr>
          <w:rStyle w:val="30"/>
          <w:rFonts w:ascii="仿宋" w:hAnsi="仿宋" w:eastAsia="仿宋"/>
          <w:b w:val="0"/>
          <w:bCs w:val="0"/>
          <w:color w:val="auto"/>
          <w:highlight w:val="none"/>
        </w:rPr>
      </w:pPr>
      <w:bookmarkStart w:id="95" w:name="_Toc11954"/>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95"/>
    </w:p>
    <w:p>
      <w:pPr>
        <w:pStyle w:val="4"/>
        <w:rPr>
          <w:rFonts w:ascii="仿宋" w:hAnsi="仿宋" w:eastAsia="仿宋"/>
          <w:color w:val="auto"/>
          <w:highlight w:val="none"/>
        </w:rPr>
      </w:pPr>
      <w:bookmarkStart w:id="96" w:name="_Toc6541"/>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96"/>
    </w:p>
    <w:p>
      <w:pPr>
        <w:pStyle w:val="4"/>
        <w:rPr>
          <w:rFonts w:ascii="仿宋" w:hAnsi="仿宋" w:eastAsia="仿宋"/>
          <w:color w:val="auto"/>
          <w:highlight w:val="none"/>
        </w:rPr>
      </w:pPr>
      <w:bookmarkStart w:id="97" w:name="_Toc13557"/>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97"/>
    </w:p>
    <w:p>
      <w:pPr>
        <w:pStyle w:val="4"/>
        <w:rPr>
          <w:rFonts w:ascii="仿宋" w:hAnsi="仿宋" w:eastAsia="仿宋"/>
          <w:color w:val="auto"/>
          <w:highlight w:val="none"/>
        </w:rPr>
      </w:pPr>
      <w:bookmarkStart w:id="98" w:name="_Toc27394"/>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98"/>
    </w:p>
    <w:p>
      <w:pPr>
        <w:pStyle w:val="4"/>
        <w:rPr>
          <w:rFonts w:ascii="仿宋" w:hAnsi="仿宋" w:eastAsia="仿宋"/>
          <w:color w:val="auto"/>
          <w:highlight w:val="none"/>
        </w:rPr>
      </w:pPr>
      <w:bookmarkStart w:id="99" w:name="_Toc7038"/>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99"/>
    </w:p>
    <w:p>
      <w:pPr>
        <w:pStyle w:val="4"/>
        <w:rPr>
          <w:rFonts w:ascii="仿宋" w:hAnsi="仿宋" w:eastAsia="仿宋"/>
          <w:color w:val="auto"/>
          <w:highlight w:val="none"/>
        </w:rPr>
      </w:pPr>
      <w:bookmarkStart w:id="100" w:name="_Toc4046"/>
      <w:r>
        <w:rPr>
          <w:rStyle w:val="30"/>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100"/>
    </w:p>
    <w:p>
      <w:pPr>
        <w:pStyle w:val="4"/>
        <w:rPr>
          <w:rFonts w:ascii="仿宋" w:hAnsi="仿宋" w:eastAsia="仿宋"/>
          <w:color w:val="auto"/>
          <w:highlight w:val="none"/>
        </w:rPr>
      </w:pPr>
      <w:bookmarkStart w:id="101" w:name="_Toc26751"/>
      <w:r>
        <w:rPr>
          <w:rStyle w:val="30"/>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101"/>
    </w:p>
    <w:p>
      <w:pPr>
        <w:pStyle w:val="4"/>
        <w:rPr>
          <w:rFonts w:ascii="仿宋" w:hAnsi="仿宋" w:eastAsia="仿宋"/>
          <w:color w:val="auto"/>
          <w:highlight w:val="none"/>
        </w:rPr>
      </w:pPr>
      <w:bookmarkStart w:id="102" w:name="_Toc10425"/>
      <w:r>
        <w:rPr>
          <w:rStyle w:val="30"/>
          <w:rFonts w:hint="eastAsia" w:ascii="仿宋" w:hAnsi="仿宋" w:eastAsia="仿宋"/>
          <w:b w:val="0"/>
          <w:bCs w:val="0"/>
          <w:color w:val="auto"/>
          <w:highlight w:val="none"/>
        </w:rPr>
        <w:t>十二、</w:t>
      </w:r>
      <w:r>
        <w:rPr>
          <w:rStyle w:val="30"/>
          <w:rFonts w:hint="eastAsia" w:ascii="仿宋" w:hAnsi="仿宋" w:eastAsia="仿宋"/>
          <w:b w:val="0"/>
          <w:bCs w:val="0"/>
          <w:color w:val="auto"/>
          <w:highlight w:val="none"/>
          <w:lang w:eastAsia="zh-CN"/>
        </w:rPr>
        <w:t>国有资本经营预算财政拨款支出决算表</w:t>
      </w:r>
      <w:bookmarkEnd w:id="102"/>
    </w:p>
    <w:p>
      <w:pPr>
        <w:pStyle w:val="4"/>
        <w:rPr>
          <w:rFonts w:hint="eastAsia" w:eastAsia="仿宋"/>
          <w:color w:val="auto"/>
          <w:highlight w:val="none"/>
          <w:lang w:eastAsia="zh-CN"/>
        </w:rPr>
      </w:pPr>
      <w:bookmarkStart w:id="103" w:name="_Toc1942"/>
      <w:r>
        <w:rPr>
          <w:rStyle w:val="30"/>
          <w:rFonts w:hint="eastAsia" w:ascii="仿宋" w:hAnsi="仿宋" w:eastAsia="仿宋"/>
          <w:b w:val="0"/>
          <w:bCs w:val="0"/>
          <w:color w:val="auto"/>
          <w:highlight w:val="none"/>
        </w:rPr>
        <w:t>十三、</w:t>
      </w:r>
      <w:r>
        <w:rPr>
          <w:rStyle w:val="30"/>
          <w:rFonts w:hint="eastAsia" w:ascii="仿宋" w:hAnsi="仿宋" w:eastAsia="仿宋"/>
          <w:b w:val="0"/>
          <w:bCs w:val="0"/>
          <w:color w:val="auto"/>
          <w:highlight w:val="none"/>
          <w:lang w:eastAsia="zh-CN"/>
        </w:rPr>
        <w:t>财政拨款“三公”经费支出决算表</w:t>
      </w:r>
      <w:bookmarkEnd w:id="103"/>
    </w:p>
    <w:p>
      <w:pPr>
        <w:numPr>
          <w:ilvl w:val="0"/>
          <w:numId w:val="0"/>
        </w:numPr>
        <w:spacing w:line="600" w:lineRule="exact"/>
        <w:jc w:val="both"/>
        <w:outlineLvl w:val="9"/>
        <w:rPr>
          <w:rStyle w:val="29"/>
          <w:rFonts w:hint="eastAsia" w:ascii="黑体" w:hAnsi="黑体" w:eastAsia="黑体"/>
          <w:b w:val="0"/>
          <w:color w:val="auto"/>
          <w:highlight w:val="none"/>
        </w:rPr>
      </w:pPr>
    </w:p>
    <w:bookmarkEnd w:id="90"/>
    <w:p>
      <w:pPr>
        <w:rPr>
          <w:rFonts w:hint="eastAsia" w:eastAsia="仿宋"/>
          <w:color w:val="auto"/>
          <w:highlight w:val="none"/>
          <w:lang w:eastAsia="zh-CN"/>
        </w:rPr>
      </w:pPr>
    </w:p>
    <w:sectPr>
      <w:headerReference r:id="rId3" w:type="default"/>
      <w:footerReference r:id="rId4" w:type="default"/>
      <w:pgSz w:w="11906" w:h="16838"/>
      <w:pgMar w:top="1440" w:right="1746"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44F80"/>
    <w:multiLevelType w:val="singleLevel"/>
    <w:tmpl w:val="BF544F80"/>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36397E1"/>
    <w:multiLevelType w:val="singleLevel"/>
    <w:tmpl w:val="E36397E1"/>
    <w:lvl w:ilvl="0" w:tentative="0">
      <w:start w:val="2"/>
      <w:numFmt w:val="chineseCounting"/>
      <w:suff w:val="nothing"/>
      <w:lvlText w:val="（%1）"/>
      <w:lvlJc w:val="left"/>
      <w:rPr>
        <w:rFonts w:hint="eastAsia"/>
      </w:rPr>
    </w:lvl>
  </w:abstractNum>
  <w:abstractNum w:abstractNumId="3">
    <w:nsid w:val="F6C35FAE"/>
    <w:multiLevelType w:val="singleLevel"/>
    <w:tmpl w:val="F6C35FAE"/>
    <w:lvl w:ilvl="0" w:tentative="0">
      <w:start w:val="5"/>
      <w:numFmt w:val="chineseCounting"/>
      <w:suff w:val="nothing"/>
      <w:lvlText w:val="%1、"/>
      <w:lvlJc w:val="left"/>
      <w:rPr>
        <w:rFonts w:hint="eastAsia"/>
      </w:rPr>
    </w:lvl>
  </w:abstractNum>
  <w:abstractNum w:abstractNumId="4">
    <w:nsid w:val="251A0FD5"/>
    <w:multiLevelType w:val="singleLevel"/>
    <w:tmpl w:val="251A0FD5"/>
    <w:lvl w:ilvl="0" w:tentative="0">
      <w:start w:val="1"/>
      <w:numFmt w:val="chineseCounting"/>
      <w:suff w:val="nothing"/>
      <w:lvlText w:val="（%1）"/>
      <w:lvlJc w:val="left"/>
      <w:rPr>
        <w:rFonts w:hint="eastAsia"/>
      </w:rPr>
    </w:lvl>
  </w:abstractNum>
  <w:abstractNum w:abstractNumId="5">
    <w:nsid w:val="37D70D6C"/>
    <w:multiLevelType w:val="singleLevel"/>
    <w:tmpl w:val="37D70D6C"/>
    <w:lvl w:ilvl="0" w:tentative="0">
      <w:start w:val="1"/>
      <w:numFmt w:val="decimal"/>
      <w:suff w:val="nothing"/>
      <w:lvlText w:val="（%1）"/>
      <w:lvlJc w:val="left"/>
    </w:lvl>
  </w:abstractNum>
  <w:abstractNum w:abstractNumId="6">
    <w:nsid w:val="57222708"/>
    <w:multiLevelType w:val="singleLevel"/>
    <w:tmpl w:val="57222708"/>
    <w:lvl w:ilvl="0" w:tentative="0">
      <w:start w:val="1"/>
      <w:numFmt w:val="decimal"/>
      <w:lvlText w:val="%1."/>
      <w:lvlJc w:val="left"/>
      <w:pPr>
        <w:tabs>
          <w:tab w:val="left" w:pos="312"/>
        </w:tabs>
      </w:p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54564"/>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64A6"/>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E172B"/>
    <w:rsid w:val="01BA3A20"/>
    <w:rsid w:val="02E531E2"/>
    <w:rsid w:val="030661AE"/>
    <w:rsid w:val="05390A32"/>
    <w:rsid w:val="0616717C"/>
    <w:rsid w:val="066E0107"/>
    <w:rsid w:val="074164D5"/>
    <w:rsid w:val="076254A4"/>
    <w:rsid w:val="07996F6E"/>
    <w:rsid w:val="08393BA7"/>
    <w:rsid w:val="0A2032A3"/>
    <w:rsid w:val="0A7F6E3F"/>
    <w:rsid w:val="0AAC0660"/>
    <w:rsid w:val="0AB87005"/>
    <w:rsid w:val="0AEC3153"/>
    <w:rsid w:val="0AF65D7F"/>
    <w:rsid w:val="0B326D7C"/>
    <w:rsid w:val="0BC55E7E"/>
    <w:rsid w:val="0C3113F5"/>
    <w:rsid w:val="0F4946D0"/>
    <w:rsid w:val="0FB37B6A"/>
    <w:rsid w:val="0FD71ACA"/>
    <w:rsid w:val="101860EC"/>
    <w:rsid w:val="1074414A"/>
    <w:rsid w:val="10C055FF"/>
    <w:rsid w:val="10E87A26"/>
    <w:rsid w:val="118107EC"/>
    <w:rsid w:val="11B72E82"/>
    <w:rsid w:val="12557610"/>
    <w:rsid w:val="13CA762C"/>
    <w:rsid w:val="13D50BC4"/>
    <w:rsid w:val="14263231"/>
    <w:rsid w:val="14537D9F"/>
    <w:rsid w:val="15AE34DE"/>
    <w:rsid w:val="15F54728"/>
    <w:rsid w:val="161672D6"/>
    <w:rsid w:val="16BB723D"/>
    <w:rsid w:val="172D0D7B"/>
    <w:rsid w:val="189D3F17"/>
    <w:rsid w:val="196D36B1"/>
    <w:rsid w:val="1A8B0292"/>
    <w:rsid w:val="1BE8440E"/>
    <w:rsid w:val="1D155CEE"/>
    <w:rsid w:val="1D217892"/>
    <w:rsid w:val="1D4F4780"/>
    <w:rsid w:val="1DBD14C5"/>
    <w:rsid w:val="1EFF229D"/>
    <w:rsid w:val="201C6823"/>
    <w:rsid w:val="20503FE2"/>
    <w:rsid w:val="209239FD"/>
    <w:rsid w:val="229C53D3"/>
    <w:rsid w:val="23860B96"/>
    <w:rsid w:val="23A83C63"/>
    <w:rsid w:val="240371BF"/>
    <w:rsid w:val="24163861"/>
    <w:rsid w:val="245C67FB"/>
    <w:rsid w:val="246856D2"/>
    <w:rsid w:val="24DD678A"/>
    <w:rsid w:val="25445C0D"/>
    <w:rsid w:val="257F09F3"/>
    <w:rsid w:val="26357304"/>
    <w:rsid w:val="26A843C4"/>
    <w:rsid w:val="274A79BB"/>
    <w:rsid w:val="275B0FEC"/>
    <w:rsid w:val="27B52105"/>
    <w:rsid w:val="28434896"/>
    <w:rsid w:val="29FD04D3"/>
    <w:rsid w:val="2AFA28CA"/>
    <w:rsid w:val="2C5652E6"/>
    <w:rsid w:val="2C8A61B5"/>
    <w:rsid w:val="2DF04E50"/>
    <w:rsid w:val="2ED40ADE"/>
    <w:rsid w:val="2F794705"/>
    <w:rsid w:val="2FDE1AB5"/>
    <w:rsid w:val="30AC4667"/>
    <w:rsid w:val="319F7F4E"/>
    <w:rsid w:val="32075FF9"/>
    <w:rsid w:val="32B52C43"/>
    <w:rsid w:val="331D6CE7"/>
    <w:rsid w:val="333418E9"/>
    <w:rsid w:val="34513041"/>
    <w:rsid w:val="357F6881"/>
    <w:rsid w:val="359F7AA1"/>
    <w:rsid w:val="35E67DAB"/>
    <w:rsid w:val="36AA5135"/>
    <w:rsid w:val="37354C43"/>
    <w:rsid w:val="37E16F03"/>
    <w:rsid w:val="380A4A95"/>
    <w:rsid w:val="38AF3E43"/>
    <w:rsid w:val="39C72511"/>
    <w:rsid w:val="39FC21BB"/>
    <w:rsid w:val="39FF3A59"/>
    <w:rsid w:val="3A0A3CEA"/>
    <w:rsid w:val="3A104D6D"/>
    <w:rsid w:val="3B912709"/>
    <w:rsid w:val="3CF71FAC"/>
    <w:rsid w:val="3D98207C"/>
    <w:rsid w:val="41112995"/>
    <w:rsid w:val="41CE134C"/>
    <w:rsid w:val="42EF14DC"/>
    <w:rsid w:val="4317498F"/>
    <w:rsid w:val="44394126"/>
    <w:rsid w:val="44A91191"/>
    <w:rsid w:val="44CA28FE"/>
    <w:rsid w:val="44E268DA"/>
    <w:rsid w:val="46FE1C32"/>
    <w:rsid w:val="470D19F1"/>
    <w:rsid w:val="47953DB5"/>
    <w:rsid w:val="480D045D"/>
    <w:rsid w:val="488E3FCC"/>
    <w:rsid w:val="48A00AFD"/>
    <w:rsid w:val="48BF2101"/>
    <w:rsid w:val="4A504286"/>
    <w:rsid w:val="4A627F82"/>
    <w:rsid w:val="4B063756"/>
    <w:rsid w:val="4B4F25DA"/>
    <w:rsid w:val="4BE068DB"/>
    <w:rsid w:val="4D577224"/>
    <w:rsid w:val="4EAB630A"/>
    <w:rsid w:val="4ECE2238"/>
    <w:rsid w:val="4F185045"/>
    <w:rsid w:val="4F605D6B"/>
    <w:rsid w:val="50927F4B"/>
    <w:rsid w:val="514F664F"/>
    <w:rsid w:val="537B41E0"/>
    <w:rsid w:val="53CB6784"/>
    <w:rsid w:val="551C150B"/>
    <w:rsid w:val="56020701"/>
    <w:rsid w:val="5625079F"/>
    <w:rsid w:val="56E64619"/>
    <w:rsid w:val="58631FE2"/>
    <w:rsid w:val="59686AB9"/>
    <w:rsid w:val="5A5B051B"/>
    <w:rsid w:val="5AF92295"/>
    <w:rsid w:val="5C304E3A"/>
    <w:rsid w:val="5C7F0CFE"/>
    <w:rsid w:val="5CD71FC4"/>
    <w:rsid w:val="5D270D7C"/>
    <w:rsid w:val="5D284A2A"/>
    <w:rsid w:val="5D6716B6"/>
    <w:rsid w:val="5F455FAB"/>
    <w:rsid w:val="5FF528E7"/>
    <w:rsid w:val="60B42F40"/>
    <w:rsid w:val="615D7292"/>
    <w:rsid w:val="621974FF"/>
    <w:rsid w:val="653D38E9"/>
    <w:rsid w:val="66046B94"/>
    <w:rsid w:val="66376316"/>
    <w:rsid w:val="678E1C09"/>
    <w:rsid w:val="68E106D3"/>
    <w:rsid w:val="6C4A05C8"/>
    <w:rsid w:val="6E344C48"/>
    <w:rsid w:val="6E7E3605"/>
    <w:rsid w:val="6FF5CC65"/>
    <w:rsid w:val="715C0E4B"/>
    <w:rsid w:val="726477B7"/>
    <w:rsid w:val="72734D90"/>
    <w:rsid w:val="72E1760E"/>
    <w:rsid w:val="73AD73D5"/>
    <w:rsid w:val="73B6EB34"/>
    <w:rsid w:val="73D70FC8"/>
    <w:rsid w:val="752979F3"/>
    <w:rsid w:val="7718792D"/>
    <w:rsid w:val="77AE3DED"/>
    <w:rsid w:val="79EE5BA4"/>
    <w:rsid w:val="7A894339"/>
    <w:rsid w:val="7AD51092"/>
    <w:rsid w:val="7B430CF1"/>
    <w:rsid w:val="7B7E3E42"/>
    <w:rsid w:val="7BC40576"/>
    <w:rsid w:val="7C3C5CA7"/>
    <w:rsid w:val="7D6C6B65"/>
    <w:rsid w:val="7D7B0C16"/>
    <w:rsid w:val="7EEF11D3"/>
    <w:rsid w:val="7F2118B2"/>
    <w:rsid w:val="7FA30C79"/>
    <w:rsid w:val="7FC96657"/>
    <w:rsid w:val="7FD06D3A"/>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6"/>
    <w:qFormat/>
    <w:uiPriority w:val="0"/>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Body Text First Indent"/>
    <w:basedOn w:val="2"/>
    <w:next w:val="1"/>
    <w:qFormat/>
    <w:uiPriority w:val="0"/>
    <w:pPr>
      <w:spacing w:after="0" w:afterLines="0" w:line="560" w:lineRule="exact"/>
      <w:ind w:firstLine="643" w:firstLineChars="200"/>
      <w:jc w:val="center"/>
    </w:pPr>
    <w:rPr>
      <w:rFonts w:ascii="Calibri" w:hAnsi="Calibri" w:eastAsia="仿宋" w:cs="Times New Roman"/>
      <w:sz w:val="32"/>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8"/>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font41"/>
    <w:basedOn w:val="17"/>
    <w:qFormat/>
    <w:uiPriority w:val="0"/>
    <w:rPr>
      <w:rFonts w:hint="default" w:ascii="Arial" w:hAnsi="Arial" w:cs="Arial"/>
      <w:color w:val="000000"/>
      <w:sz w:val="18"/>
      <w:szCs w:val="18"/>
      <w:u w:val="none"/>
    </w:rPr>
  </w:style>
  <w:style w:type="character" w:customStyle="1" w:styleId="36">
    <w:name w:val="font11"/>
    <w:basedOn w:val="17"/>
    <w:qFormat/>
    <w:uiPriority w:val="0"/>
    <w:rPr>
      <w:rFonts w:hint="eastAsia" w:ascii="宋体" w:hAnsi="宋体" w:eastAsia="宋体" w:cs="宋体"/>
      <w:color w:val="000000"/>
      <w:sz w:val="18"/>
      <w:szCs w:val="18"/>
      <w:u w:val="none"/>
    </w:rPr>
  </w:style>
  <w:style w:type="character" w:customStyle="1" w:styleId="37">
    <w:name w:val="font31"/>
    <w:basedOn w:val="17"/>
    <w:qFormat/>
    <w:uiPriority w:val="0"/>
    <w:rPr>
      <w:rFonts w:hint="default" w:ascii="Arial" w:hAnsi="Arial" w:cs="Arial"/>
      <w:color w:val="000000"/>
      <w:sz w:val="18"/>
      <w:szCs w:val="18"/>
      <w:u w:val="none"/>
    </w:rPr>
  </w:style>
  <w:style w:type="character" w:customStyle="1" w:styleId="38">
    <w:name w:val="font21"/>
    <w:basedOn w:val="17"/>
    <w:qFormat/>
    <w:uiPriority w:val="0"/>
    <w:rPr>
      <w:rFonts w:hint="default" w:ascii="Arial" w:hAnsi="Arial" w:cs="Arial"/>
      <w:color w:val="000000"/>
      <w:sz w:val="18"/>
      <w:szCs w:val="18"/>
      <w:u w:val="none"/>
    </w:rPr>
  </w:style>
  <w:style w:type="character" w:customStyle="1" w:styleId="39">
    <w:name w:val="font61"/>
    <w:basedOn w:val="17"/>
    <w:qFormat/>
    <w:uiPriority w:val="0"/>
    <w:rPr>
      <w:rFonts w:hint="default" w:ascii="Times New Roman" w:hAnsi="Times New Roman" w:cs="Times New Roman"/>
      <w:color w:val="000000"/>
      <w:sz w:val="24"/>
      <w:szCs w:val="24"/>
      <w:u w:val="none"/>
    </w:rPr>
  </w:style>
  <w:style w:type="character" w:customStyle="1" w:styleId="40">
    <w:name w:val="font71"/>
    <w:basedOn w:val="17"/>
    <w:qFormat/>
    <w:uiPriority w:val="0"/>
    <w:rPr>
      <w:rFonts w:hint="eastAsia" w:ascii="宋体" w:hAnsi="宋体" w:eastAsia="宋体" w:cs="宋体"/>
      <w:color w:val="000000"/>
      <w:sz w:val="16"/>
      <w:szCs w:val="16"/>
      <w:u w:val="none"/>
    </w:rPr>
  </w:style>
  <w:style w:type="character" w:customStyle="1" w:styleId="41">
    <w:name w:val="font51"/>
    <w:basedOn w:val="17"/>
    <w:qFormat/>
    <w:uiPriority w:val="0"/>
    <w:rPr>
      <w:rFonts w:hint="default" w:ascii="Arial" w:hAnsi="Arial" w:cs="Arial"/>
      <w:color w:val="000000"/>
      <w:sz w:val="18"/>
      <w:szCs w:val="18"/>
      <w:u w:val="none"/>
    </w:rPr>
  </w:style>
  <w:style w:type="character" w:customStyle="1" w:styleId="42">
    <w:name w:val="font81"/>
    <w:basedOn w:val="17"/>
    <w:qFormat/>
    <w:uiPriority w:val="0"/>
    <w:rPr>
      <w:rFonts w:hint="default" w:ascii="Arial" w:hAnsi="Arial" w:cs="Arial"/>
      <w:color w:val="000000"/>
      <w:sz w:val="18"/>
      <w:szCs w:val="18"/>
      <w:u w:val="none"/>
    </w:rPr>
  </w:style>
  <w:style w:type="character" w:customStyle="1" w:styleId="43">
    <w:name w:val="font91"/>
    <w:basedOn w:val="17"/>
    <w:qFormat/>
    <w:uiPriority w:val="0"/>
    <w:rPr>
      <w:rFonts w:hint="eastAsia" w:ascii="微软雅黑" w:hAnsi="微软雅黑" w:eastAsia="微软雅黑" w:cs="微软雅黑"/>
      <w:i/>
      <w:iCs/>
      <w:color w:val="000000"/>
      <w:sz w:val="18"/>
      <w:szCs w:val="18"/>
      <w:u w:val="none"/>
    </w:rPr>
  </w:style>
  <w:style w:type="paragraph" w:customStyle="1" w:styleId="44">
    <w:name w:val="WPSOffice手动目录 1"/>
    <w:uiPriority w:val="0"/>
    <w:pPr>
      <w:ind w:leftChars="0"/>
    </w:pPr>
    <w:rPr>
      <w:sz w:val="20"/>
      <w:szCs w:val="20"/>
    </w:rPr>
  </w:style>
  <w:style w:type="paragraph" w:customStyle="1" w:styleId="45">
    <w:name w:val="WPSOffice手动目录 2"/>
    <w:uiPriority w:val="0"/>
    <w:pPr>
      <w:ind w:leftChars="200"/>
    </w:pPr>
    <w:rPr>
      <w:sz w:val="20"/>
      <w:szCs w:val="20"/>
    </w:rPr>
  </w:style>
  <w:style w:type="paragraph" w:customStyle="1" w:styleId="46">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5826.84</c:v>
                </c:pt>
                <c:pt idx="1">
                  <c:v>7854.94</c:v>
                </c:pt>
              </c:numCache>
            </c:numRef>
          </c:val>
        </c:ser>
        <c:dLbls>
          <c:showLegendKey val="0"/>
          <c:showVal val="0"/>
          <c:showCatName val="0"/>
          <c:showSerName val="0"/>
          <c:showPercent val="0"/>
          <c:showBubbleSize val="0"/>
        </c:dLbls>
        <c:gapWidth val="150"/>
        <c:axId val="164636928"/>
        <c:axId val="52035968"/>
      </c:barChart>
      <c:catAx>
        <c:axId val="1646369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2035968"/>
        <c:crosses val="autoZero"/>
        <c:auto val="1"/>
        <c:lblAlgn val="ctr"/>
        <c:lblOffset val="100"/>
        <c:noMultiLvlLbl val="0"/>
      </c:catAx>
      <c:valAx>
        <c:axId val="52035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6369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7766266058848"/>
          <c:y val="0.242871541057368"/>
          <c:w val="0.680562725711915"/>
          <c:h val="0.603719235095614"/>
        </c:manualLayout>
      </c:layout>
      <c:barChart>
        <c:barDir val="col"/>
        <c:grouping val="clustered"/>
        <c:varyColors val="0"/>
        <c:ser>
          <c:idx val="0"/>
          <c:order val="0"/>
          <c:tx>
            <c:strRef>
              <c:f>Sheet1!$B$1</c:f>
              <c:strCache>
                <c:ptCount val="1"/>
                <c:pt idx="0">
                  <c:v>支出</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6299.76</c:v>
                </c:pt>
                <c:pt idx="1">
                  <c:v>7927.59</c:v>
                </c:pt>
              </c:numCache>
            </c:numRef>
          </c:val>
        </c:ser>
        <c:dLbls>
          <c:showLegendKey val="0"/>
          <c:showVal val="0"/>
          <c:showCatName val="0"/>
          <c:showSerName val="0"/>
          <c:showPercent val="0"/>
          <c:showBubbleSize val="0"/>
        </c:dLbls>
        <c:gapWidth val="150"/>
        <c:axId val="126590976"/>
        <c:axId val="126592512"/>
      </c:barChart>
      <c:catAx>
        <c:axId val="1265909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592512"/>
        <c:crosses val="autoZero"/>
        <c:auto val="1"/>
        <c:lblAlgn val="ctr"/>
        <c:lblOffset val="100"/>
        <c:noMultiLvlLbl val="0"/>
      </c:catAx>
      <c:valAx>
        <c:axId val="126592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5909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t>收入</a:t>
            </a:r>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Lbls>
            <c:delete val="1"/>
          </c:dLbls>
          <c:cat>
            <c:strRef>
              <c:f>Sheet1!$A$2</c:f>
              <c:strCache>
                <c:ptCount val="1"/>
                <c:pt idx="0">
                  <c:v>一般公共预算财政拨款收入</c:v>
                </c:pt>
              </c:strCache>
            </c:strRef>
          </c:cat>
          <c:val>
            <c:numRef>
              <c:f>Sheet1!$B$2</c:f>
              <c:numCache>
                <c:formatCode>General</c:formatCode>
                <c:ptCount val="1"/>
                <c:pt idx="0">
                  <c:v>5826.84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922.27</c:v>
                </c:pt>
                <c:pt idx="1">
                  <c:v>7005.32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6299.76</c:v>
                </c:pt>
                <c:pt idx="1">
                  <c:v>7927.59</c:v>
                </c:pt>
              </c:numCache>
            </c:numRef>
          </c:val>
        </c:ser>
        <c:dLbls>
          <c:showLegendKey val="0"/>
          <c:showVal val="0"/>
          <c:showCatName val="0"/>
          <c:showSerName val="0"/>
          <c:showPercent val="0"/>
          <c:showBubbleSize val="0"/>
        </c:dLbls>
        <c:gapWidth val="150"/>
        <c:axId val="146105472"/>
        <c:axId val="146107008"/>
      </c:barChart>
      <c:catAx>
        <c:axId val="1461054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107008"/>
        <c:crosses val="autoZero"/>
        <c:auto val="1"/>
        <c:lblAlgn val="ctr"/>
        <c:lblOffset val="100"/>
        <c:noMultiLvlLbl val="0"/>
      </c:catAx>
      <c:valAx>
        <c:axId val="1461070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105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7766266058848"/>
          <c:y val="0.242871541057368"/>
          <c:w val="0.680562725711914"/>
          <c:h val="0.603719235095614"/>
        </c:manualLayout>
      </c:layout>
      <c:barChart>
        <c:barDir val="col"/>
        <c:grouping val="clustered"/>
        <c:varyColors val="0"/>
        <c:ser>
          <c:idx val="0"/>
          <c:order val="0"/>
          <c:tx>
            <c:strRef>
              <c:f>Sheet1!$B$1</c:f>
              <c:strCache>
                <c:ptCount val="1"/>
                <c:pt idx="0">
                  <c:v>支出</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6299.76</c:v>
                </c:pt>
                <c:pt idx="1">
                  <c:v>7927.59</c:v>
                </c:pt>
              </c:numCache>
            </c:numRef>
          </c:val>
        </c:ser>
        <c:dLbls>
          <c:showLegendKey val="0"/>
          <c:showVal val="0"/>
          <c:showCatName val="0"/>
          <c:showSerName val="0"/>
          <c:showPercent val="0"/>
          <c:showBubbleSize val="0"/>
        </c:dLbls>
        <c:gapWidth val="150"/>
        <c:axId val="146520320"/>
        <c:axId val="126857216"/>
      </c:barChart>
      <c:catAx>
        <c:axId val="146520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857216"/>
        <c:crosses val="autoZero"/>
        <c:auto val="1"/>
        <c:lblAlgn val="ctr"/>
        <c:lblOffset val="100"/>
        <c:noMultiLvlLbl val="0"/>
      </c:catAx>
      <c:valAx>
        <c:axId val="1268572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5203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6299.76</c:v>
                </c:pt>
                <c:pt idx="1">
                  <c:v>7927.59</c:v>
                </c:pt>
              </c:numCache>
            </c:numRef>
          </c:val>
        </c:ser>
        <c:dLbls>
          <c:showLegendKey val="0"/>
          <c:showVal val="0"/>
          <c:showCatName val="0"/>
          <c:showSerName val="0"/>
          <c:showPercent val="0"/>
          <c:showBubbleSize val="0"/>
        </c:dLbls>
        <c:gapWidth val="150"/>
        <c:overlap val="0"/>
        <c:axId val="677548317"/>
        <c:axId val="766746406"/>
      </c:barChart>
      <c:catAx>
        <c:axId val="677548317"/>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6746406"/>
        <c:crosses val="autoZero"/>
        <c:auto val="1"/>
        <c:lblAlgn val="ctr"/>
        <c:lblOffset val="100"/>
        <c:noMultiLvlLbl val="0"/>
      </c:catAx>
      <c:valAx>
        <c:axId val="76674640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77548317"/>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教育支出</c:v>
                </c:pt>
                <c:pt idx="1">
                  <c:v>社会保障和就业</c:v>
                </c:pt>
                <c:pt idx="2">
                  <c:v>农林水支出</c:v>
                </c:pt>
                <c:pt idx="3">
                  <c:v>卫生健康支出</c:v>
                </c:pt>
                <c:pt idx="4">
                  <c:v>住房保障</c:v>
                </c:pt>
              </c:strCache>
            </c:strRef>
          </c:cat>
          <c:val>
            <c:numRef>
              <c:f>Sheet1!$B$2:$B$6</c:f>
              <c:numCache>
                <c:formatCode>General</c:formatCode>
                <c:ptCount val="5"/>
                <c:pt idx="0">
                  <c:v>224</c:v>
                </c:pt>
                <c:pt idx="1">
                  <c:v>6796.07</c:v>
                </c:pt>
                <c:pt idx="2">
                  <c:v>804.03</c:v>
                </c:pt>
                <c:pt idx="3">
                  <c:v>34.31</c:v>
                </c:pt>
                <c:pt idx="4">
                  <c:v>69.18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2021</c:v>
                </c:pt>
              </c:strCache>
            </c:strRef>
          </c:tx>
          <c:explosion val="0"/>
          <c:dPt>
            <c:idx val="0"/>
            <c:bubble3D val="0"/>
          </c:dPt>
          <c:dLbls>
            <c:delete val="1"/>
          </c:dLbls>
          <c:cat>
            <c:strRef>
              <c:f>Sheet1!$A$2</c:f>
              <c:strCache>
                <c:ptCount val="1"/>
                <c:pt idx="0">
                  <c:v>公务接待费</c:v>
                </c:pt>
              </c:strCache>
            </c:strRef>
          </c:cat>
          <c:val>
            <c:numRef>
              <c:f>Sheet1!$B$2</c:f>
              <c:numCache>
                <c:formatCode>General</c:formatCode>
                <c:ptCount val="1"/>
                <c:pt idx="0">
                  <c:v>1.16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120</Pages>
  <Words>52422</Words>
  <Characters>60698</Characters>
  <Lines>61</Lines>
  <Paragraphs>17</Paragraphs>
  <TotalTime>7</TotalTime>
  <ScaleCrop>false</ScaleCrop>
  <LinksUpToDate>false</LinksUpToDate>
  <CharactersWithSpaces>60925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2023-10-31T02:56:17Z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71EE4C5B63CC42F888BCD11980679D2B</vt:lpwstr>
  </property>
</Properties>
</file>