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both"/>
        <w:rPr>
          <w:rFonts w:hint="eastAsia" w:ascii="方正小标宋简体" w:hAnsi="方正小标宋简体" w:eastAsia="方正小标宋简体"/>
          <w:kern w:val="2"/>
          <w:sz w:val="72"/>
          <w:szCs w:val="24"/>
          <w:lang w:val="zh-CN"/>
        </w:rPr>
      </w:pPr>
    </w:p>
    <w:p>
      <w:pPr>
        <w:spacing w:line="360" w:lineRule="auto"/>
        <w:jc w:val="center"/>
        <w:rPr>
          <w:rFonts w:hint="eastAsia" w:ascii="方正小标宋简体" w:hAnsi="方正小标宋简体" w:eastAsia="方正小标宋简体"/>
          <w:kern w:val="2"/>
          <w:sz w:val="72"/>
          <w:szCs w:val="24"/>
          <w:lang w:val="zh-CN"/>
        </w:rPr>
      </w:pPr>
    </w:p>
    <w:p>
      <w:pPr>
        <w:spacing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2022年度</w:t>
      </w:r>
    </w:p>
    <w:p>
      <w:pPr>
        <w:spacing w:line="360" w:lineRule="auto"/>
        <w:jc w:val="center"/>
        <w:outlineLvl w:val="0"/>
        <w:rPr>
          <w:rFonts w:hint="eastAsia" w:ascii="方正小标宋简体" w:hAnsi="方正小标宋简体" w:eastAsia="方正小标宋简体"/>
          <w:kern w:val="2"/>
          <w:sz w:val="72"/>
          <w:szCs w:val="24"/>
          <w:lang w:val="zh-CN"/>
        </w:rPr>
      </w:pPr>
      <w:bookmarkStart w:id="0" w:name="_Toc7236"/>
      <w:r>
        <w:rPr>
          <w:rFonts w:hint="eastAsia" w:ascii="方正小标宋简体" w:hAnsi="方正小标宋简体" w:eastAsia="方正小标宋简体"/>
          <w:kern w:val="2"/>
          <w:sz w:val="72"/>
          <w:szCs w:val="24"/>
          <w:lang w:val="zh-CN"/>
        </w:rPr>
        <w:t>广元市朝天区中医医院</w:t>
      </w:r>
      <w:bookmarkEnd w:id="0"/>
    </w:p>
    <w:p>
      <w:pPr>
        <w:spacing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en-US" w:eastAsia="zh-CN"/>
        </w:rPr>
        <w:t>单位</w:t>
      </w:r>
      <w:r>
        <w:rPr>
          <w:rFonts w:hint="eastAsia" w:ascii="方正小标宋简体" w:hAnsi="方正小标宋简体" w:eastAsia="方正小标宋简体"/>
          <w:kern w:val="2"/>
          <w:sz w:val="72"/>
          <w:szCs w:val="24"/>
          <w:lang w:val="zh-CN"/>
        </w:rPr>
        <w:t>决算</w:t>
      </w:r>
    </w:p>
    <w:p>
      <w:pPr>
        <w:keepNext/>
        <w:keepLines/>
        <w:tabs>
          <w:tab w:val="right" w:leader="dot" w:pos="8296"/>
        </w:tabs>
        <w:spacing w:line="576" w:lineRule="exact"/>
        <w:rPr>
          <w:rFonts w:hint="eastAsia" w:ascii="黑体" w:hAnsi="黑体" w:eastAsia="黑体"/>
          <w:b/>
          <w:color w:val="FF0000"/>
          <w:kern w:val="2"/>
          <w:sz w:val="48"/>
          <w:szCs w:val="24"/>
          <w:lang w:val="zh-CN"/>
        </w:rPr>
      </w:pPr>
    </w:p>
    <w:p>
      <w:pPr>
        <w:keepNext/>
        <w:keepLines/>
        <w:tabs>
          <w:tab w:val="right" w:leader="dot" w:pos="8296"/>
        </w:tabs>
        <w:spacing w:line="576" w:lineRule="exact"/>
        <w:rPr>
          <w:rFonts w:hint="eastAsia" w:ascii="黑体" w:hAnsi="黑体" w:eastAsia="黑体"/>
          <w:b/>
          <w:color w:val="FF0000"/>
          <w:kern w:val="2"/>
          <w:sz w:val="48"/>
          <w:szCs w:val="24"/>
          <w:lang w:val="zh-CN"/>
        </w:rPr>
      </w:pPr>
    </w:p>
    <w:p>
      <w:pPr>
        <w:keepNext/>
        <w:keepLines/>
        <w:tabs>
          <w:tab w:val="right" w:leader="dot" w:pos="8296"/>
        </w:tabs>
        <w:spacing w:line="576" w:lineRule="exact"/>
        <w:rPr>
          <w:rFonts w:hint="eastAsia" w:ascii="黑体" w:hAnsi="黑体" w:eastAsia="黑体"/>
          <w:b/>
          <w:color w:val="FF0000"/>
          <w:kern w:val="2"/>
          <w:sz w:val="48"/>
          <w:szCs w:val="24"/>
          <w:lang w:val="zh-CN"/>
        </w:rPr>
      </w:pPr>
    </w:p>
    <w:p>
      <w:pPr>
        <w:keepNext/>
        <w:keepLines/>
        <w:tabs>
          <w:tab w:val="right" w:leader="dot" w:pos="8296"/>
        </w:tabs>
        <w:spacing w:line="576" w:lineRule="exact"/>
        <w:rPr>
          <w:rFonts w:hint="eastAsia" w:ascii="黑体" w:hAnsi="黑体" w:eastAsia="黑体"/>
          <w:b/>
          <w:color w:val="FF0000"/>
          <w:kern w:val="2"/>
          <w:sz w:val="48"/>
          <w:szCs w:val="24"/>
          <w:lang w:val="zh-CN"/>
        </w:rPr>
      </w:pPr>
    </w:p>
    <w:p>
      <w:pPr>
        <w:keepNext/>
        <w:keepLines/>
        <w:tabs>
          <w:tab w:val="right" w:leader="dot" w:pos="8296"/>
        </w:tabs>
        <w:spacing w:line="576" w:lineRule="exact"/>
        <w:rPr>
          <w:rFonts w:hint="eastAsia" w:ascii="黑体" w:hAnsi="黑体" w:eastAsia="黑体"/>
          <w:b/>
          <w:color w:val="FF0000"/>
          <w:kern w:val="2"/>
          <w:sz w:val="48"/>
          <w:szCs w:val="24"/>
          <w:lang w:val="zh-CN"/>
        </w:rPr>
      </w:pPr>
    </w:p>
    <w:p>
      <w:pPr>
        <w:keepNext/>
        <w:keepLines/>
        <w:tabs>
          <w:tab w:val="right" w:leader="dot" w:pos="8296"/>
        </w:tabs>
        <w:spacing w:line="576" w:lineRule="exact"/>
        <w:rPr>
          <w:rFonts w:hint="eastAsia" w:ascii="黑体" w:hAnsi="黑体" w:eastAsia="黑体"/>
          <w:b/>
          <w:color w:val="FF0000"/>
          <w:kern w:val="2"/>
          <w:sz w:val="48"/>
          <w:szCs w:val="24"/>
          <w:lang w:val="zh-CN"/>
        </w:rPr>
      </w:pPr>
    </w:p>
    <w:p>
      <w:pPr>
        <w:jc w:val="both"/>
        <w:rPr>
          <w:rFonts w:hint="eastAsia" w:ascii="黑体" w:hAnsi="黑体" w:eastAsia="黑体"/>
          <w:color w:val="auto"/>
          <w:kern w:val="2"/>
          <w:sz w:val="48"/>
          <w:szCs w:val="24"/>
          <w:lang w:val="zh-CN"/>
        </w:rPr>
      </w:pPr>
    </w:p>
    <w:p>
      <w:pPr>
        <w:jc w:val="both"/>
        <w:rPr>
          <w:rFonts w:hint="eastAsia" w:ascii="黑体" w:hAnsi="黑体" w:eastAsia="黑体"/>
          <w:color w:val="auto"/>
          <w:kern w:val="2"/>
          <w:sz w:val="48"/>
          <w:szCs w:val="24"/>
          <w:lang w:val="zh-CN"/>
        </w:rPr>
        <w:sectPr>
          <w:headerReference r:id="rId3" w:type="default"/>
          <w:footerReference r:id="rId4" w:type="default"/>
          <w:pgSz w:w="12240" w:h="15840"/>
          <w:pgMar w:top="1440" w:right="1800" w:bottom="1440" w:left="1800" w:header="720" w:footer="720" w:gutter="0"/>
          <w:lnNumType w:countBy="0" w:distance="360"/>
          <w:pgNumType w:fmt="decimal"/>
          <w:cols w:space="720" w:num="1"/>
        </w:sectPr>
      </w:pPr>
    </w:p>
    <w:p>
      <w:pPr>
        <w:jc w:val="center"/>
        <w:rPr>
          <w:rFonts w:hint="eastAsia" w:ascii="方正小标宋简体" w:hAnsi="方正小标宋简体" w:eastAsia="方正小标宋简体" w:cs="方正小标宋简体"/>
          <w:color w:val="auto"/>
          <w:kern w:val="2"/>
          <w:sz w:val="48"/>
          <w:szCs w:val="24"/>
          <w:lang w:val="zh-CN"/>
        </w:rPr>
      </w:pPr>
      <w:r>
        <w:rPr>
          <w:rFonts w:hint="eastAsia" w:ascii="方正小标宋简体" w:hAnsi="方正小标宋简体" w:eastAsia="方正小标宋简体" w:cs="方正小标宋简体"/>
          <w:color w:val="auto"/>
          <w:kern w:val="2"/>
          <w:sz w:val="48"/>
          <w:szCs w:val="24"/>
          <w:lang w:val="zh-CN"/>
        </w:rPr>
        <w:t>目</w:t>
      </w:r>
      <w:r>
        <w:rPr>
          <w:rFonts w:hint="eastAsia" w:ascii="方正小标宋简体" w:hAnsi="方正小标宋简体" w:eastAsia="方正小标宋简体" w:cs="方正小标宋简体"/>
          <w:color w:val="auto"/>
          <w:kern w:val="2"/>
          <w:sz w:val="48"/>
          <w:szCs w:val="24"/>
          <w:lang w:val="en-US" w:eastAsia="zh-CN"/>
        </w:rPr>
        <w:t xml:space="preserve">  </w:t>
      </w:r>
      <w:r>
        <w:rPr>
          <w:rFonts w:hint="eastAsia" w:ascii="方正小标宋简体" w:hAnsi="方正小标宋简体" w:eastAsia="方正小标宋简体" w:cs="方正小标宋简体"/>
          <w:color w:val="auto"/>
          <w:kern w:val="2"/>
          <w:sz w:val="48"/>
          <w:szCs w:val="24"/>
          <w:lang w:val="zh-CN"/>
        </w:rPr>
        <w:t>录</w:t>
      </w:r>
    </w:p>
    <w:p>
      <w:pPr>
        <w:jc w:val="center"/>
        <w:rPr>
          <w:rFonts w:hint="eastAsia" w:ascii="黑体" w:hAnsi="黑体" w:eastAsia="黑体"/>
          <w:color w:val="auto"/>
          <w:kern w:val="2"/>
          <w:sz w:val="28"/>
          <w:szCs w:val="24"/>
          <w:lang w:val="zh-CN"/>
        </w:rPr>
      </w:pPr>
    </w:p>
    <w:p>
      <w:pPr>
        <w:tabs>
          <w:tab w:val="right" w:leader="dot" w:pos="8296"/>
        </w:tabs>
        <w:spacing w:before="93"/>
        <w:jc w:val="center"/>
        <w:rPr>
          <w:rFonts w:hint="eastAsia" w:ascii="仿宋" w:hAnsi="仿宋" w:eastAsia="仿宋"/>
          <w:color w:val="auto"/>
          <w:kern w:val="2"/>
          <w:sz w:val="28"/>
          <w:szCs w:val="24"/>
          <w:lang w:val="zh-CN"/>
        </w:rPr>
      </w:pPr>
      <w:r>
        <w:rPr>
          <w:rFonts w:hint="eastAsia" w:ascii="仿宋" w:hAnsi="仿宋" w:eastAsia="仿宋"/>
          <w:color w:val="auto"/>
          <w:kern w:val="2"/>
          <w:sz w:val="28"/>
          <w:szCs w:val="24"/>
          <w:lang w:val="zh-CN"/>
        </w:rPr>
        <w:t xml:space="preserve">公开时间：2023年 </w:t>
      </w:r>
      <w:r>
        <w:rPr>
          <w:rFonts w:hint="eastAsia" w:ascii="仿宋" w:hAnsi="仿宋" w:eastAsia="仿宋"/>
          <w:color w:val="auto"/>
          <w:kern w:val="2"/>
          <w:sz w:val="28"/>
          <w:szCs w:val="24"/>
          <w:lang w:val="en-US" w:eastAsia="zh-CN"/>
        </w:rPr>
        <w:t>10</w:t>
      </w:r>
      <w:r>
        <w:rPr>
          <w:rFonts w:hint="eastAsia" w:ascii="仿宋" w:hAnsi="仿宋" w:eastAsia="仿宋"/>
          <w:color w:val="auto"/>
          <w:kern w:val="2"/>
          <w:sz w:val="28"/>
          <w:szCs w:val="24"/>
          <w:lang w:val="zh-CN"/>
        </w:rPr>
        <w:t xml:space="preserve"> 月 </w:t>
      </w:r>
      <w:r>
        <w:rPr>
          <w:rFonts w:hint="eastAsia" w:ascii="仿宋" w:hAnsi="仿宋" w:eastAsia="仿宋"/>
          <w:color w:val="auto"/>
          <w:kern w:val="2"/>
          <w:sz w:val="28"/>
          <w:szCs w:val="24"/>
          <w:lang w:val="en-US" w:eastAsia="zh-CN"/>
        </w:rPr>
        <w:t>18</w:t>
      </w:r>
      <w:r>
        <w:rPr>
          <w:rFonts w:hint="eastAsia" w:ascii="仿宋" w:hAnsi="仿宋" w:eastAsia="仿宋"/>
          <w:color w:val="auto"/>
          <w:kern w:val="2"/>
          <w:sz w:val="28"/>
          <w:szCs w:val="24"/>
          <w:lang w:val="zh-CN"/>
        </w:rPr>
        <w:t>日</w:t>
      </w:r>
    </w:p>
    <w:p>
      <w:pPr>
        <w:jc w:val="both"/>
        <w:rPr>
          <w:rFonts w:hint="eastAsia" w:ascii="Times New Roman" w:hAnsi="Times New Roman" w:eastAsia="Times New Roman"/>
          <w:color w:val="auto"/>
          <w:kern w:val="2"/>
          <w:sz w:val="21"/>
          <w:szCs w:val="24"/>
          <w:lang w:val="zh-CN"/>
        </w:rPr>
      </w:pPr>
    </w:p>
    <w:sdt>
      <w:sdtPr>
        <w:rPr>
          <w:rFonts w:hint="default" w:ascii="宋体" w:hAnsi="宋体" w:eastAsia="宋体" w:cs="Times New Roman"/>
          <w:sz w:val="21"/>
          <w:szCs w:val="24"/>
        </w:rPr>
        <w:id w:val="147464719"/>
        <w15:color w:val="DBDBDB"/>
        <w:docPartObj>
          <w:docPartGallery w:val="Table of Contents"/>
          <w:docPartUnique/>
        </w:docPartObj>
      </w:sdtPr>
      <w:sdtEndPr>
        <w:rPr>
          <w:rFonts w:hint="eastAsia" w:ascii="宋体" w:hAnsi="宋体" w:eastAsia="宋体" w:cs="Times New Roman"/>
          <w:b/>
          <w:color w:val="auto"/>
          <w:kern w:val="2"/>
          <w:sz w:val="24"/>
          <w:szCs w:val="24"/>
          <w:lang w:val="zh-CN"/>
        </w:rPr>
      </w:sdtEndPr>
      <w:sdtContent>
        <w:p>
          <w:pPr>
            <w:spacing w:before="0" w:beforeLines="0" w:after="0" w:afterLines="0" w:line="240" w:lineRule="auto"/>
            <w:ind w:left="0" w:leftChars="0" w:right="0" w:rightChars="0" w:firstLine="0" w:firstLineChars="0"/>
            <w:jc w:val="center"/>
            <w:rPr>
              <w:rFonts w:hint="eastAsia" w:ascii="仿宋" w:hAnsi="仿宋" w:eastAsia="仿宋"/>
              <w:color w:val="auto"/>
              <w:kern w:val="2"/>
              <w:sz w:val="24"/>
              <w:szCs w:val="24"/>
              <w:lang w:val="zh-CN"/>
            </w:rPr>
          </w:pPr>
          <w:r>
            <w:rPr>
              <w:rFonts w:hint="eastAsia" w:ascii="宋体" w:hAnsi="宋体" w:eastAsia="宋体"/>
              <w:color w:val="auto"/>
              <w:kern w:val="2"/>
              <w:sz w:val="24"/>
              <w:szCs w:val="24"/>
              <w:lang w:val="zh-CN"/>
            </w:rPr>
            <w:fldChar w:fldCharType="begin"/>
          </w:r>
          <w:r>
            <w:rPr>
              <w:rFonts w:hint="eastAsia" w:ascii="宋体" w:hAnsi="宋体" w:eastAsia="宋体"/>
              <w:color w:val="auto"/>
              <w:kern w:val="2"/>
              <w:sz w:val="24"/>
              <w:szCs w:val="24"/>
              <w:lang w:val="zh-CN"/>
            </w:rPr>
            <w:instrText xml:space="preserve">TOC \o "1-2" \h \u </w:instrText>
          </w:r>
          <w:r>
            <w:rPr>
              <w:rFonts w:hint="eastAsia" w:ascii="宋体" w:hAnsi="宋体" w:eastAsia="宋体"/>
              <w:color w:val="auto"/>
              <w:kern w:val="2"/>
              <w:sz w:val="24"/>
              <w:szCs w:val="24"/>
              <w:lang w:val="zh-CN"/>
            </w:rPr>
            <w:fldChar w:fldCharType="separate"/>
          </w:r>
        </w:p>
        <w:p>
          <w:pPr>
            <w:keepNext w:val="0"/>
            <w:keepLines w:val="0"/>
            <w:pageBreakBefore w:val="0"/>
            <w:tabs>
              <w:tab w:val="right" w:leader="dot" w:pos="8296"/>
            </w:tabs>
            <w:kinsoku/>
            <w:wordWrap/>
            <w:overflowPunct/>
            <w:topLinePunct w:val="0"/>
            <w:bidi w:val="0"/>
            <w:snapToGrid/>
            <w:spacing w:line="580" w:lineRule="exact"/>
            <w:textAlignment w:val="auto"/>
            <w:rPr>
              <w:rFonts w:hint="eastAsia" w:ascii="仿宋" w:hAnsi="仿宋" w:eastAsia="仿宋"/>
              <w:color w:val="auto"/>
              <w:kern w:val="2"/>
              <w:sz w:val="24"/>
              <w:szCs w:val="24"/>
              <w:lang w:val="zh-CN"/>
            </w:rPr>
          </w:pPr>
          <w:r>
            <w:rPr>
              <w:rFonts w:hint="eastAsia" w:ascii="仿宋" w:hAnsi="仿宋" w:eastAsia="仿宋"/>
              <w:color w:val="auto"/>
              <w:kern w:val="2"/>
              <w:sz w:val="24"/>
              <w:szCs w:val="24"/>
              <w:lang w:val="zh-CN"/>
            </w:rPr>
            <w:fldChar w:fldCharType="begin"/>
          </w:r>
          <w:r>
            <w:rPr>
              <w:rFonts w:hint="eastAsia" w:ascii="仿宋" w:hAnsi="仿宋" w:eastAsia="仿宋"/>
              <w:color w:val="auto"/>
              <w:kern w:val="2"/>
              <w:sz w:val="24"/>
              <w:szCs w:val="24"/>
              <w:lang w:val="zh-CN"/>
            </w:rPr>
            <w:instrText xml:space="preserve"> HYPERLINK \l _Toc9882 </w:instrText>
          </w:r>
          <w:r>
            <w:rPr>
              <w:rFonts w:hint="eastAsia" w:ascii="仿宋" w:hAnsi="仿宋" w:eastAsia="仿宋"/>
              <w:color w:val="auto"/>
              <w:kern w:val="2"/>
              <w:sz w:val="24"/>
              <w:szCs w:val="24"/>
              <w:lang w:val="zh-CN"/>
            </w:rPr>
            <w:fldChar w:fldCharType="separate"/>
          </w:r>
          <w:r>
            <w:rPr>
              <w:rFonts w:hint="eastAsia" w:ascii="仿宋" w:hAnsi="仿宋" w:eastAsia="仿宋"/>
              <w:color w:val="auto"/>
              <w:kern w:val="2"/>
              <w:sz w:val="24"/>
              <w:szCs w:val="24"/>
              <w:lang w:val="zh-CN"/>
            </w:rPr>
            <w:t>第一部分 单位概况</w:t>
          </w:r>
          <w:r>
            <w:rPr>
              <w:rFonts w:hint="eastAsia" w:ascii="仿宋" w:hAnsi="仿宋" w:eastAsia="仿宋"/>
              <w:color w:val="auto"/>
              <w:kern w:val="2"/>
              <w:sz w:val="24"/>
              <w:szCs w:val="24"/>
              <w:lang w:val="en-US" w:eastAsia="zh-CN"/>
            </w:rPr>
            <w:t xml:space="preserve"> .....................................................</w:t>
          </w:r>
          <w:r>
            <w:rPr>
              <w:rFonts w:hint="eastAsia" w:ascii="仿宋" w:hAnsi="仿宋" w:eastAsia="仿宋"/>
              <w:color w:val="auto"/>
              <w:kern w:val="2"/>
              <w:sz w:val="24"/>
              <w:szCs w:val="24"/>
              <w:lang w:val="zh-CN"/>
            </w:rPr>
            <w:fldChar w:fldCharType="begin"/>
          </w:r>
          <w:r>
            <w:rPr>
              <w:rFonts w:hint="eastAsia" w:ascii="仿宋" w:hAnsi="仿宋" w:eastAsia="仿宋"/>
              <w:color w:val="auto"/>
              <w:kern w:val="2"/>
              <w:sz w:val="24"/>
              <w:szCs w:val="24"/>
              <w:lang w:val="zh-CN"/>
            </w:rPr>
            <w:instrText xml:space="preserve"> PAGEREF _Toc9882 \h </w:instrText>
          </w:r>
          <w:r>
            <w:rPr>
              <w:rFonts w:hint="eastAsia" w:ascii="仿宋" w:hAnsi="仿宋" w:eastAsia="仿宋"/>
              <w:color w:val="auto"/>
              <w:kern w:val="2"/>
              <w:sz w:val="24"/>
              <w:szCs w:val="24"/>
              <w:lang w:val="zh-CN"/>
            </w:rPr>
            <w:fldChar w:fldCharType="separate"/>
          </w:r>
          <w:r>
            <w:rPr>
              <w:rFonts w:hint="eastAsia" w:ascii="仿宋" w:hAnsi="仿宋" w:eastAsia="仿宋"/>
              <w:color w:val="auto"/>
              <w:kern w:val="2"/>
              <w:sz w:val="24"/>
              <w:szCs w:val="24"/>
              <w:lang w:val="zh-CN"/>
            </w:rPr>
            <w:t>3</w:t>
          </w:r>
          <w:r>
            <w:rPr>
              <w:rFonts w:hint="eastAsia" w:ascii="仿宋" w:hAnsi="仿宋" w:eastAsia="仿宋"/>
              <w:color w:val="auto"/>
              <w:kern w:val="2"/>
              <w:sz w:val="24"/>
              <w:szCs w:val="24"/>
              <w:lang w:val="zh-CN"/>
            </w:rPr>
            <w:fldChar w:fldCharType="end"/>
          </w:r>
          <w:r>
            <w:rPr>
              <w:rFonts w:hint="eastAsia" w:ascii="仿宋" w:hAnsi="仿宋" w:eastAsia="仿宋"/>
              <w:color w:val="auto"/>
              <w:kern w:val="2"/>
              <w:sz w:val="24"/>
              <w:szCs w:val="24"/>
              <w:lang w:val="zh-CN"/>
            </w:rPr>
            <w:fldChar w:fldCharType="end"/>
          </w:r>
        </w:p>
        <w:p>
          <w:pPr>
            <w:pStyle w:val="14"/>
            <w:keepNext w:val="0"/>
            <w:keepLines w:val="0"/>
            <w:pageBreakBefore w:val="0"/>
            <w:tabs>
              <w:tab w:val="right" w:leader="dot" w:pos="8640"/>
            </w:tabs>
            <w:kinsoku/>
            <w:wordWrap/>
            <w:overflowPunct/>
            <w:topLinePunct w:val="0"/>
            <w:bidi w:val="0"/>
            <w:snapToGrid/>
            <w:spacing w:line="580" w:lineRule="exact"/>
            <w:textAlignment w:val="auto"/>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HYPERLINK \l _Toc19582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eastAsia="zh-CN"/>
            </w:rPr>
            <w:t>一、</w:t>
          </w:r>
          <w:r>
            <w:rPr>
              <w:rFonts w:hint="eastAsia" w:ascii="宋体" w:hAnsi="宋体" w:eastAsia="宋体" w:cs="Times New Roman"/>
              <w:color w:val="auto"/>
              <w:kern w:val="2"/>
              <w:sz w:val="24"/>
              <w:szCs w:val="24"/>
              <w:lang w:val="en-US" w:eastAsia="zh-CN"/>
            </w:rPr>
            <w:t>部门</w:t>
          </w:r>
          <w:r>
            <w:rPr>
              <w:rFonts w:hint="eastAsia" w:ascii="宋体" w:hAnsi="宋体" w:eastAsia="宋体" w:cs="Times New Roman"/>
              <w:color w:val="auto"/>
              <w:kern w:val="2"/>
              <w:sz w:val="24"/>
              <w:szCs w:val="24"/>
              <w:lang w:val="zh-CN"/>
            </w:rPr>
            <w:t>职责</w:t>
          </w:r>
          <w:r>
            <w:rPr>
              <w:rFonts w:hint="eastAsia" w:ascii="宋体" w:hAnsi="宋体" w:eastAsia="宋体" w:cs="Times New Roman"/>
              <w:color w:val="auto"/>
              <w:kern w:val="2"/>
              <w:sz w:val="24"/>
              <w:szCs w:val="24"/>
              <w:lang w:val="zh-CN"/>
            </w:rPr>
            <w:tab/>
          </w: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PAGEREF _Toc19582 \h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3</w:t>
          </w:r>
          <w:r>
            <w:rPr>
              <w:rFonts w:hint="eastAsia" w:ascii="宋体" w:hAnsi="宋体" w:eastAsia="宋体" w:cs="Times New Roman"/>
              <w:color w:val="auto"/>
              <w:kern w:val="2"/>
              <w:sz w:val="24"/>
              <w:szCs w:val="24"/>
              <w:lang w:val="zh-CN"/>
            </w:rPr>
            <w:fldChar w:fldCharType="end"/>
          </w:r>
          <w:r>
            <w:rPr>
              <w:rFonts w:hint="eastAsia" w:ascii="宋体" w:hAnsi="宋体" w:eastAsia="宋体" w:cs="Times New Roman"/>
              <w:color w:val="auto"/>
              <w:kern w:val="2"/>
              <w:sz w:val="24"/>
              <w:szCs w:val="24"/>
              <w:lang w:val="zh-CN"/>
            </w:rPr>
            <w:fldChar w:fldCharType="end"/>
          </w:r>
        </w:p>
        <w:p>
          <w:pPr>
            <w:pStyle w:val="14"/>
            <w:keepNext w:val="0"/>
            <w:keepLines w:val="0"/>
            <w:pageBreakBefore w:val="0"/>
            <w:tabs>
              <w:tab w:val="right" w:leader="dot" w:pos="8640"/>
            </w:tabs>
            <w:kinsoku/>
            <w:wordWrap/>
            <w:overflowPunct/>
            <w:topLinePunct w:val="0"/>
            <w:bidi w:val="0"/>
            <w:snapToGrid/>
            <w:spacing w:line="580" w:lineRule="exact"/>
            <w:textAlignment w:val="auto"/>
            <w:rPr>
              <w:rFonts w:hint="eastAsia" w:ascii="宋体" w:hAnsi="宋体" w:eastAsia="宋体" w:cs="Times New Roman"/>
              <w:color w:val="auto"/>
              <w:kern w:val="2"/>
              <w:sz w:val="24"/>
              <w:szCs w:val="24"/>
              <w:lang w:val="zh-CN" w:eastAsia="zh-CN"/>
            </w:rPr>
          </w:pPr>
          <w:r>
            <w:rPr>
              <w:rFonts w:hint="eastAsia" w:ascii="宋体" w:hAnsi="宋体" w:eastAsia="宋体" w:cs="Times New Roman"/>
              <w:color w:val="auto"/>
              <w:kern w:val="2"/>
              <w:sz w:val="24"/>
              <w:szCs w:val="24"/>
              <w:lang w:val="zh-CN" w:eastAsia="zh-CN"/>
            </w:rPr>
            <w:fldChar w:fldCharType="begin"/>
          </w:r>
          <w:r>
            <w:rPr>
              <w:rFonts w:hint="eastAsia" w:ascii="宋体" w:hAnsi="宋体" w:eastAsia="宋体" w:cs="Times New Roman"/>
              <w:color w:val="auto"/>
              <w:kern w:val="2"/>
              <w:sz w:val="24"/>
              <w:szCs w:val="24"/>
              <w:lang w:val="zh-CN" w:eastAsia="zh-CN"/>
            </w:rPr>
            <w:instrText xml:space="preserve"> HYPERLINK \l _Toc19673 </w:instrText>
          </w:r>
          <w:r>
            <w:rPr>
              <w:rFonts w:hint="eastAsia" w:ascii="宋体" w:hAnsi="宋体" w:eastAsia="宋体" w:cs="Times New Roman"/>
              <w:color w:val="auto"/>
              <w:kern w:val="2"/>
              <w:sz w:val="24"/>
              <w:szCs w:val="24"/>
              <w:lang w:val="zh-CN" w:eastAsia="zh-CN"/>
            </w:rPr>
            <w:fldChar w:fldCharType="separate"/>
          </w:r>
          <w:r>
            <w:rPr>
              <w:rFonts w:hint="default" w:ascii="宋体" w:hAnsi="宋体" w:eastAsia="宋体" w:cs="Times New Roman"/>
              <w:color w:val="auto"/>
              <w:kern w:val="2"/>
              <w:sz w:val="24"/>
              <w:szCs w:val="24"/>
              <w:lang w:val="zh-CN" w:eastAsia="zh-CN"/>
            </w:rPr>
            <w:t>二、</w:t>
          </w:r>
          <w:r>
            <w:rPr>
              <w:rFonts w:hint="eastAsia" w:ascii="宋体" w:hAnsi="宋体" w:eastAsia="宋体" w:cs="Times New Roman"/>
              <w:color w:val="auto"/>
              <w:kern w:val="2"/>
              <w:sz w:val="24"/>
              <w:szCs w:val="24"/>
              <w:lang w:val="zh-CN" w:eastAsia="zh-CN"/>
            </w:rPr>
            <w:t>机构设置</w:t>
          </w:r>
          <w:r>
            <w:rPr>
              <w:rFonts w:hint="eastAsia" w:ascii="宋体" w:hAnsi="宋体" w:eastAsia="宋体" w:cs="Times New Roman"/>
              <w:color w:val="auto"/>
              <w:kern w:val="2"/>
              <w:sz w:val="24"/>
              <w:szCs w:val="24"/>
              <w:lang w:val="zh-CN" w:eastAsia="zh-CN"/>
            </w:rPr>
            <w:tab/>
          </w:r>
          <w:r>
            <w:rPr>
              <w:rFonts w:hint="eastAsia" w:ascii="宋体" w:hAnsi="宋体" w:eastAsia="宋体" w:cs="Times New Roman"/>
              <w:color w:val="auto"/>
              <w:kern w:val="2"/>
              <w:sz w:val="24"/>
              <w:szCs w:val="24"/>
              <w:lang w:val="zh-CN" w:eastAsia="zh-CN"/>
            </w:rPr>
            <w:fldChar w:fldCharType="begin"/>
          </w:r>
          <w:r>
            <w:rPr>
              <w:rFonts w:hint="eastAsia" w:ascii="宋体" w:hAnsi="宋体" w:eastAsia="宋体" w:cs="Times New Roman"/>
              <w:color w:val="auto"/>
              <w:kern w:val="2"/>
              <w:sz w:val="24"/>
              <w:szCs w:val="24"/>
              <w:lang w:val="zh-CN" w:eastAsia="zh-CN"/>
            </w:rPr>
            <w:instrText xml:space="preserve"> PAGEREF _Toc19673 \h </w:instrText>
          </w:r>
          <w:r>
            <w:rPr>
              <w:rFonts w:hint="eastAsia" w:ascii="宋体" w:hAnsi="宋体" w:eastAsia="宋体" w:cs="Times New Roman"/>
              <w:color w:val="auto"/>
              <w:kern w:val="2"/>
              <w:sz w:val="24"/>
              <w:szCs w:val="24"/>
              <w:lang w:val="zh-CN" w:eastAsia="zh-CN"/>
            </w:rPr>
            <w:fldChar w:fldCharType="separate"/>
          </w:r>
          <w:r>
            <w:rPr>
              <w:rFonts w:hint="eastAsia" w:ascii="宋体" w:hAnsi="宋体" w:eastAsia="宋体" w:cs="Times New Roman"/>
              <w:color w:val="auto"/>
              <w:kern w:val="2"/>
              <w:sz w:val="24"/>
              <w:szCs w:val="24"/>
              <w:lang w:val="zh-CN" w:eastAsia="zh-CN"/>
            </w:rPr>
            <w:t>3</w:t>
          </w:r>
          <w:r>
            <w:rPr>
              <w:rFonts w:hint="eastAsia" w:ascii="宋体" w:hAnsi="宋体" w:eastAsia="宋体" w:cs="Times New Roman"/>
              <w:color w:val="auto"/>
              <w:kern w:val="2"/>
              <w:sz w:val="24"/>
              <w:szCs w:val="24"/>
              <w:lang w:val="zh-CN" w:eastAsia="zh-CN"/>
            </w:rPr>
            <w:fldChar w:fldCharType="end"/>
          </w:r>
          <w:r>
            <w:rPr>
              <w:rFonts w:hint="eastAsia" w:ascii="宋体" w:hAnsi="宋体" w:eastAsia="宋体" w:cs="Times New Roman"/>
              <w:color w:val="auto"/>
              <w:kern w:val="2"/>
              <w:sz w:val="24"/>
              <w:szCs w:val="24"/>
              <w:lang w:val="zh-CN" w:eastAsia="zh-CN"/>
            </w:rPr>
            <w:fldChar w:fldCharType="end"/>
          </w:r>
        </w:p>
        <w:p>
          <w:pPr>
            <w:pStyle w:val="13"/>
            <w:keepNext w:val="0"/>
            <w:keepLines w:val="0"/>
            <w:pageBreakBefore w:val="0"/>
            <w:tabs>
              <w:tab w:val="right" w:leader="dot" w:pos="8640"/>
            </w:tabs>
            <w:kinsoku/>
            <w:wordWrap/>
            <w:overflowPunct/>
            <w:topLinePunct w:val="0"/>
            <w:bidi w:val="0"/>
            <w:snapToGrid/>
            <w:spacing w:line="580" w:lineRule="exact"/>
            <w:textAlignment w:val="auto"/>
            <w:rPr>
              <w:rFonts w:hint="eastAsia" w:ascii="仿宋" w:hAnsi="仿宋" w:eastAsia="仿宋" w:cs="Times New Roman"/>
              <w:color w:val="auto"/>
              <w:kern w:val="2"/>
              <w:sz w:val="24"/>
              <w:szCs w:val="24"/>
              <w:lang w:val="zh-CN"/>
            </w:rPr>
          </w:pPr>
          <w:r>
            <w:rPr>
              <w:rFonts w:hint="eastAsia" w:ascii="仿宋" w:hAnsi="仿宋" w:eastAsia="仿宋" w:cs="Times New Roman"/>
              <w:color w:val="auto"/>
              <w:kern w:val="2"/>
              <w:sz w:val="24"/>
              <w:szCs w:val="24"/>
              <w:lang w:val="zh-CN"/>
            </w:rPr>
            <w:fldChar w:fldCharType="begin"/>
          </w:r>
          <w:r>
            <w:rPr>
              <w:rFonts w:hint="eastAsia" w:ascii="仿宋" w:hAnsi="仿宋" w:eastAsia="仿宋" w:cs="Times New Roman"/>
              <w:color w:val="auto"/>
              <w:kern w:val="2"/>
              <w:sz w:val="24"/>
              <w:szCs w:val="24"/>
              <w:lang w:val="zh-CN"/>
            </w:rPr>
            <w:instrText xml:space="preserve"> HYPERLINK \l _Toc20258 </w:instrText>
          </w:r>
          <w:r>
            <w:rPr>
              <w:rFonts w:hint="eastAsia" w:ascii="仿宋" w:hAnsi="仿宋" w:eastAsia="仿宋" w:cs="Times New Roman"/>
              <w:color w:val="auto"/>
              <w:kern w:val="2"/>
              <w:sz w:val="24"/>
              <w:szCs w:val="24"/>
              <w:lang w:val="zh-CN"/>
            </w:rPr>
            <w:fldChar w:fldCharType="separate"/>
          </w:r>
          <w:r>
            <w:rPr>
              <w:rFonts w:hint="eastAsia" w:ascii="仿宋" w:hAnsi="仿宋" w:eastAsia="仿宋" w:cs="Times New Roman"/>
              <w:color w:val="auto"/>
              <w:kern w:val="2"/>
              <w:sz w:val="24"/>
              <w:szCs w:val="24"/>
              <w:lang w:val="zh-CN"/>
            </w:rPr>
            <w:t>第二部分 2022年度单位决算情况说明</w:t>
          </w:r>
          <w:r>
            <w:rPr>
              <w:rFonts w:hint="eastAsia" w:ascii="仿宋" w:hAnsi="仿宋" w:eastAsia="仿宋" w:cs="Times New Roman"/>
              <w:color w:val="auto"/>
              <w:kern w:val="2"/>
              <w:sz w:val="24"/>
              <w:szCs w:val="24"/>
              <w:lang w:val="zh-CN"/>
            </w:rPr>
            <w:tab/>
          </w:r>
          <w:r>
            <w:rPr>
              <w:rFonts w:hint="eastAsia" w:ascii="仿宋" w:hAnsi="仿宋" w:eastAsia="仿宋" w:cs="Times New Roman"/>
              <w:color w:val="auto"/>
              <w:kern w:val="2"/>
              <w:sz w:val="24"/>
              <w:szCs w:val="24"/>
              <w:lang w:val="zh-CN"/>
            </w:rPr>
            <w:fldChar w:fldCharType="begin"/>
          </w:r>
          <w:r>
            <w:rPr>
              <w:rFonts w:hint="eastAsia" w:ascii="仿宋" w:hAnsi="仿宋" w:eastAsia="仿宋" w:cs="Times New Roman"/>
              <w:color w:val="auto"/>
              <w:kern w:val="2"/>
              <w:sz w:val="24"/>
              <w:szCs w:val="24"/>
              <w:lang w:val="zh-CN"/>
            </w:rPr>
            <w:instrText xml:space="preserve"> PAGEREF _Toc20258 \h </w:instrText>
          </w:r>
          <w:r>
            <w:rPr>
              <w:rFonts w:hint="eastAsia" w:ascii="仿宋" w:hAnsi="仿宋" w:eastAsia="仿宋" w:cs="Times New Roman"/>
              <w:color w:val="auto"/>
              <w:kern w:val="2"/>
              <w:sz w:val="24"/>
              <w:szCs w:val="24"/>
              <w:lang w:val="zh-CN"/>
            </w:rPr>
            <w:fldChar w:fldCharType="separate"/>
          </w:r>
          <w:r>
            <w:rPr>
              <w:rFonts w:hint="eastAsia" w:ascii="仿宋" w:hAnsi="仿宋" w:eastAsia="仿宋" w:cs="Times New Roman"/>
              <w:color w:val="auto"/>
              <w:kern w:val="2"/>
              <w:sz w:val="24"/>
              <w:szCs w:val="24"/>
              <w:lang w:val="zh-CN"/>
            </w:rPr>
            <w:t>4</w:t>
          </w:r>
          <w:r>
            <w:rPr>
              <w:rFonts w:hint="eastAsia" w:ascii="仿宋" w:hAnsi="仿宋" w:eastAsia="仿宋" w:cs="Times New Roman"/>
              <w:color w:val="auto"/>
              <w:kern w:val="2"/>
              <w:sz w:val="24"/>
              <w:szCs w:val="24"/>
              <w:lang w:val="zh-CN"/>
            </w:rPr>
            <w:fldChar w:fldCharType="end"/>
          </w:r>
          <w:r>
            <w:rPr>
              <w:rFonts w:hint="eastAsia" w:ascii="仿宋" w:hAnsi="仿宋" w:eastAsia="仿宋" w:cs="Times New Roman"/>
              <w:color w:val="auto"/>
              <w:kern w:val="2"/>
              <w:sz w:val="24"/>
              <w:szCs w:val="24"/>
              <w:lang w:val="zh-CN"/>
            </w:rPr>
            <w:fldChar w:fldCharType="end"/>
          </w:r>
        </w:p>
        <w:p>
          <w:pPr>
            <w:pStyle w:val="14"/>
            <w:keepNext w:val="0"/>
            <w:keepLines w:val="0"/>
            <w:pageBreakBefore w:val="0"/>
            <w:widowControl/>
            <w:tabs>
              <w:tab w:val="right" w:leader="dot" w:pos="8640"/>
            </w:tabs>
            <w:kinsoku/>
            <w:wordWrap/>
            <w:overflowPunct/>
            <w:topLinePunct w:val="0"/>
            <w:autoSpaceDE/>
            <w:autoSpaceDN/>
            <w:bidi w:val="0"/>
            <w:adjustRightInd/>
            <w:snapToGrid/>
            <w:spacing w:line="580" w:lineRule="exact"/>
            <w:textAlignment w:val="auto"/>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HYPERLINK \l _Toc29164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一、收入支出决算总体情况说明</w:t>
          </w:r>
          <w:r>
            <w:rPr>
              <w:rFonts w:hint="eastAsia" w:ascii="宋体" w:hAnsi="宋体" w:eastAsia="宋体" w:cs="Times New Roman"/>
              <w:color w:val="auto"/>
              <w:kern w:val="2"/>
              <w:sz w:val="24"/>
              <w:szCs w:val="24"/>
              <w:lang w:val="zh-CN"/>
            </w:rPr>
            <w:tab/>
          </w: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PAGEREF _Toc29164 \h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4</w:t>
          </w:r>
          <w:r>
            <w:rPr>
              <w:rFonts w:hint="eastAsia" w:ascii="宋体" w:hAnsi="宋体" w:eastAsia="宋体" w:cs="Times New Roman"/>
              <w:color w:val="auto"/>
              <w:kern w:val="2"/>
              <w:sz w:val="24"/>
              <w:szCs w:val="24"/>
              <w:lang w:val="zh-CN"/>
            </w:rPr>
            <w:fldChar w:fldCharType="end"/>
          </w:r>
          <w:r>
            <w:rPr>
              <w:rFonts w:hint="eastAsia" w:ascii="宋体" w:hAnsi="宋体" w:eastAsia="宋体" w:cs="Times New Roman"/>
              <w:color w:val="auto"/>
              <w:kern w:val="2"/>
              <w:sz w:val="24"/>
              <w:szCs w:val="24"/>
              <w:lang w:val="zh-CN"/>
            </w:rPr>
            <w:fldChar w:fldCharType="end"/>
          </w:r>
        </w:p>
        <w:p>
          <w:pPr>
            <w:pStyle w:val="14"/>
            <w:keepNext w:val="0"/>
            <w:keepLines w:val="0"/>
            <w:pageBreakBefore w:val="0"/>
            <w:tabs>
              <w:tab w:val="right" w:leader="dot" w:pos="8640"/>
            </w:tabs>
            <w:kinsoku/>
            <w:wordWrap/>
            <w:overflowPunct/>
            <w:topLinePunct w:val="0"/>
            <w:bidi w:val="0"/>
            <w:snapToGrid/>
            <w:spacing w:line="580" w:lineRule="exact"/>
            <w:textAlignment w:val="auto"/>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HYPERLINK \l _Toc12688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二、收入决算情况说明</w:t>
          </w:r>
          <w:r>
            <w:rPr>
              <w:rFonts w:hint="eastAsia" w:ascii="宋体" w:hAnsi="宋体" w:eastAsia="宋体" w:cs="Times New Roman"/>
              <w:color w:val="auto"/>
              <w:kern w:val="2"/>
              <w:sz w:val="24"/>
              <w:szCs w:val="24"/>
              <w:lang w:val="zh-CN"/>
            </w:rPr>
            <w:tab/>
          </w: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PAGEREF _Toc12688 \h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5</w:t>
          </w:r>
          <w:r>
            <w:rPr>
              <w:rFonts w:hint="eastAsia" w:ascii="宋体" w:hAnsi="宋体" w:eastAsia="宋体" w:cs="Times New Roman"/>
              <w:color w:val="auto"/>
              <w:kern w:val="2"/>
              <w:sz w:val="24"/>
              <w:szCs w:val="24"/>
              <w:lang w:val="zh-CN"/>
            </w:rPr>
            <w:fldChar w:fldCharType="end"/>
          </w:r>
          <w:r>
            <w:rPr>
              <w:rFonts w:hint="eastAsia" w:ascii="宋体" w:hAnsi="宋体" w:eastAsia="宋体" w:cs="Times New Roman"/>
              <w:color w:val="auto"/>
              <w:kern w:val="2"/>
              <w:sz w:val="24"/>
              <w:szCs w:val="24"/>
              <w:lang w:val="zh-CN"/>
            </w:rPr>
            <w:fldChar w:fldCharType="end"/>
          </w:r>
        </w:p>
        <w:p>
          <w:pPr>
            <w:pStyle w:val="14"/>
            <w:keepNext w:val="0"/>
            <w:keepLines w:val="0"/>
            <w:pageBreakBefore w:val="0"/>
            <w:tabs>
              <w:tab w:val="right" w:leader="dot" w:pos="8640"/>
            </w:tabs>
            <w:kinsoku/>
            <w:wordWrap/>
            <w:overflowPunct/>
            <w:topLinePunct w:val="0"/>
            <w:bidi w:val="0"/>
            <w:snapToGrid/>
            <w:spacing w:line="580" w:lineRule="exact"/>
            <w:textAlignment w:val="auto"/>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HYPERLINK \l _Toc19404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en-US" w:eastAsia="zh-CN"/>
            </w:rPr>
            <w:t>三、</w:t>
          </w:r>
          <w:r>
            <w:rPr>
              <w:rFonts w:hint="eastAsia" w:ascii="宋体" w:hAnsi="宋体" w:eastAsia="宋体" w:cs="Times New Roman"/>
              <w:color w:val="auto"/>
              <w:kern w:val="2"/>
              <w:sz w:val="24"/>
              <w:szCs w:val="24"/>
              <w:lang w:val="zh-CN"/>
            </w:rPr>
            <w:t>支出决算情况说明</w:t>
          </w:r>
          <w:r>
            <w:rPr>
              <w:rFonts w:hint="eastAsia" w:ascii="宋体" w:hAnsi="宋体" w:eastAsia="宋体" w:cs="Times New Roman"/>
              <w:color w:val="auto"/>
              <w:kern w:val="2"/>
              <w:sz w:val="24"/>
              <w:szCs w:val="24"/>
              <w:lang w:val="zh-CN"/>
            </w:rPr>
            <w:tab/>
          </w: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PAGEREF _Toc19404 \h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5</w:t>
          </w:r>
          <w:r>
            <w:rPr>
              <w:rFonts w:hint="eastAsia" w:ascii="宋体" w:hAnsi="宋体" w:eastAsia="宋体" w:cs="Times New Roman"/>
              <w:color w:val="auto"/>
              <w:kern w:val="2"/>
              <w:sz w:val="24"/>
              <w:szCs w:val="24"/>
              <w:lang w:val="zh-CN"/>
            </w:rPr>
            <w:fldChar w:fldCharType="end"/>
          </w:r>
          <w:r>
            <w:rPr>
              <w:rFonts w:hint="eastAsia" w:ascii="宋体" w:hAnsi="宋体" w:eastAsia="宋体" w:cs="Times New Roman"/>
              <w:color w:val="auto"/>
              <w:kern w:val="2"/>
              <w:sz w:val="24"/>
              <w:szCs w:val="24"/>
              <w:lang w:val="zh-CN"/>
            </w:rPr>
            <w:fldChar w:fldCharType="end"/>
          </w:r>
        </w:p>
        <w:p>
          <w:pPr>
            <w:pStyle w:val="14"/>
            <w:keepNext w:val="0"/>
            <w:keepLines w:val="0"/>
            <w:pageBreakBefore w:val="0"/>
            <w:tabs>
              <w:tab w:val="right" w:leader="dot" w:pos="8640"/>
            </w:tabs>
            <w:kinsoku/>
            <w:wordWrap/>
            <w:overflowPunct/>
            <w:topLinePunct w:val="0"/>
            <w:bidi w:val="0"/>
            <w:snapToGrid/>
            <w:spacing w:line="580" w:lineRule="exact"/>
            <w:textAlignment w:val="auto"/>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HYPERLINK \l _Toc15887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四、财政拨款收入支出决算总体情况说明</w:t>
          </w:r>
          <w:r>
            <w:rPr>
              <w:rFonts w:hint="eastAsia" w:ascii="宋体" w:hAnsi="宋体" w:eastAsia="宋体" w:cs="Times New Roman"/>
              <w:color w:val="auto"/>
              <w:kern w:val="2"/>
              <w:sz w:val="24"/>
              <w:szCs w:val="24"/>
              <w:lang w:val="zh-CN"/>
            </w:rPr>
            <w:tab/>
          </w: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PAGEREF _Toc15887 \h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6</w:t>
          </w:r>
          <w:r>
            <w:rPr>
              <w:rFonts w:hint="eastAsia" w:ascii="宋体" w:hAnsi="宋体" w:eastAsia="宋体" w:cs="Times New Roman"/>
              <w:color w:val="auto"/>
              <w:kern w:val="2"/>
              <w:sz w:val="24"/>
              <w:szCs w:val="24"/>
              <w:lang w:val="zh-CN"/>
            </w:rPr>
            <w:fldChar w:fldCharType="end"/>
          </w:r>
          <w:r>
            <w:rPr>
              <w:rFonts w:hint="eastAsia" w:ascii="宋体" w:hAnsi="宋体" w:eastAsia="宋体" w:cs="Times New Roman"/>
              <w:color w:val="auto"/>
              <w:kern w:val="2"/>
              <w:sz w:val="24"/>
              <w:szCs w:val="24"/>
              <w:lang w:val="zh-CN"/>
            </w:rPr>
            <w:fldChar w:fldCharType="end"/>
          </w:r>
        </w:p>
        <w:p>
          <w:pPr>
            <w:pStyle w:val="14"/>
            <w:keepNext w:val="0"/>
            <w:keepLines w:val="0"/>
            <w:pageBreakBefore w:val="0"/>
            <w:tabs>
              <w:tab w:val="right" w:leader="dot" w:pos="8640"/>
            </w:tabs>
            <w:kinsoku/>
            <w:wordWrap/>
            <w:overflowPunct/>
            <w:topLinePunct w:val="0"/>
            <w:bidi w:val="0"/>
            <w:snapToGrid/>
            <w:spacing w:line="580" w:lineRule="exact"/>
            <w:textAlignment w:val="auto"/>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HYPERLINK \l _Toc32530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en-US" w:eastAsia="zh-CN"/>
            </w:rPr>
            <w:t>五、</w:t>
          </w:r>
          <w:r>
            <w:rPr>
              <w:rFonts w:hint="eastAsia" w:ascii="宋体" w:hAnsi="宋体" w:eastAsia="宋体" w:cs="Times New Roman"/>
              <w:color w:val="auto"/>
              <w:kern w:val="2"/>
              <w:sz w:val="24"/>
              <w:szCs w:val="24"/>
              <w:lang w:val="zh-CN"/>
            </w:rPr>
            <w:t>一般公共预算财政拨款支出决算情况说明</w:t>
          </w:r>
          <w:r>
            <w:rPr>
              <w:rFonts w:hint="eastAsia" w:ascii="宋体" w:hAnsi="宋体" w:eastAsia="宋体" w:cs="Times New Roman"/>
              <w:color w:val="auto"/>
              <w:kern w:val="2"/>
              <w:sz w:val="24"/>
              <w:szCs w:val="24"/>
              <w:lang w:val="zh-CN"/>
            </w:rPr>
            <w:tab/>
          </w: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PAGEREF _Toc32530 \h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7</w:t>
          </w:r>
          <w:r>
            <w:rPr>
              <w:rFonts w:hint="eastAsia" w:ascii="宋体" w:hAnsi="宋体" w:eastAsia="宋体" w:cs="Times New Roman"/>
              <w:color w:val="auto"/>
              <w:kern w:val="2"/>
              <w:sz w:val="24"/>
              <w:szCs w:val="24"/>
              <w:lang w:val="zh-CN"/>
            </w:rPr>
            <w:fldChar w:fldCharType="end"/>
          </w:r>
          <w:r>
            <w:rPr>
              <w:rFonts w:hint="eastAsia" w:ascii="宋体" w:hAnsi="宋体" w:eastAsia="宋体" w:cs="Times New Roman"/>
              <w:color w:val="auto"/>
              <w:kern w:val="2"/>
              <w:sz w:val="24"/>
              <w:szCs w:val="24"/>
              <w:lang w:val="zh-CN"/>
            </w:rPr>
            <w:fldChar w:fldCharType="end"/>
          </w:r>
        </w:p>
        <w:p>
          <w:pPr>
            <w:pStyle w:val="14"/>
            <w:keepNext w:val="0"/>
            <w:keepLines w:val="0"/>
            <w:pageBreakBefore w:val="0"/>
            <w:tabs>
              <w:tab w:val="right" w:leader="dot" w:pos="8640"/>
            </w:tabs>
            <w:kinsoku/>
            <w:wordWrap/>
            <w:overflowPunct/>
            <w:topLinePunct w:val="0"/>
            <w:bidi w:val="0"/>
            <w:snapToGrid/>
            <w:spacing w:line="580" w:lineRule="exact"/>
            <w:textAlignment w:val="auto"/>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HYPERLINK \l _Toc9366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六、一般公共预算财政拨款基本支出决算情况说明</w:t>
          </w:r>
          <w:r>
            <w:rPr>
              <w:rFonts w:hint="eastAsia" w:ascii="宋体" w:hAnsi="宋体" w:eastAsia="宋体" w:cs="Times New Roman"/>
              <w:color w:val="auto"/>
              <w:kern w:val="2"/>
              <w:sz w:val="24"/>
              <w:szCs w:val="24"/>
              <w:lang w:val="zh-CN"/>
            </w:rPr>
            <w:tab/>
          </w: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PAGEREF _Toc9366 \h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8</w:t>
          </w:r>
          <w:r>
            <w:rPr>
              <w:rFonts w:hint="eastAsia" w:ascii="宋体" w:hAnsi="宋体" w:eastAsia="宋体" w:cs="Times New Roman"/>
              <w:color w:val="auto"/>
              <w:kern w:val="2"/>
              <w:sz w:val="24"/>
              <w:szCs w:val="24"/>
              <w:lang w:val="zh-CN"/>
            </w:rPr>
            <w:fldChar w:fldCharType="end"/>
          </w:r>
          <w:r>
            <w:rPr>
              <w:rFonts w:hint="eastAsia" w:ascii="宋体" w:hAnsi="宋体" w:eastAsia="宋体" w:cs="Times New Roman"/>
              <w:color w:val="auto"/>
              <w:kern w:val="2"/>
              <w:sz w:val="24"/>
              <w:szCs w:val="24"/>
              <w:lang w:val="zh-CN"/>
            </w:rPr>
            <w:fldChar w:fldCharType="end"/>
          </w:r>
        </w:p>
        <w:p>
          <w:pPr>
            <w:pStyle w:val="14"/>
            <w:keepNext w:val="0"/>
            <w:keepLines w:val="0"/>
            <w:pageBreakBefore w:val="0"/>
            <w:tabs>
              <w:tab w:val="right" w:leader="dot" w:pos="8640"/>
            </w:tabs>
            <w:kinsoku/>
            <w:wordWrap/>
            <w:overflowPunct/>
            <w:topLinePunct w:val="0"/>
            <w:bidi w:val="0"/>
            <w:snapToGrid/>
            <w:spacing w:line="580" w:lineRule="exact"/>
            <w:textAlignment w:val="auto"/>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HYPERLINK \l _Toc10895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七、 “三公”经费财政拨款支出决算情况说明</w:t>
          </w:r>
          <w:r>
            <w:rPr>
              <w:rFonts w:hint="eastAsia" w:ascii="宋体" w:hAnsi="宋体" w:eastAsia="宋体" w:cs="Times New Roman"/>
              <w:color w:val="auto"/>
              <w:kern w:val="2"/>
              <w:sz w:val="24"/>
              <w:szCs w:val="24"/>
              <w:lang w:val="zh-CN"/>
            </w:rPr>
            <w:tab/>
          </w: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PAGEREF _Toc10895 \h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9</w:t>
          </w:r>
          <w:r>
            <w:rPr>
              <w:rFonts w:hint="eastAsia" w:ascii="宋体" w:hAnsi="宋体" w:eastAsia="宋体" w:cs="Times New Roman"/>
              <w:color w:val="auto"/>
              <w:kern w:val="2"/>
              <w:sz w:val="24"/>
              <w:szCs w:val="24"/>
              <w:lang w:val="zh-CN"/>
            </w:rPr>
            <w:fldChar w:fldCharType="end"/>
          </w:r>
          <w:r>
            <w:rPr>
              <w:rFonts w:hint="eastAsia" w:ascii="宋体" w:hAnsi="宋体" w:eastAsia="宋体" w:cs="Times New Roman"/>
              <w:color w:val="auto"/>
              <w:kern w:val="2"/>
              <w:sz w:val="24"/>
              <w:szCs w:val="24"/>
              <w:lang w:val="zh-CN"/>
            </w:rPr>
            <w:fldChar w:fldCharType="end"/>
          </w:r>
        </w:p>
        <w:p>
          <w:pPr>
            <w:pStyle w:val="14"/>
            <w:keepNext w:val="0"/>
            <w:keepLines w:val="0"/>
            <w:pageBreakBefore w:val="0"/>
            <w:tabs>
              <w:tab w:val="right" w:leader="dot" w:pos="8640"/>
            </w:tabs>
            <w:kinsoku/>
            <w:wordWrap/>
            <w:overflowPunct/>
            <w:topLinePunct w:val="0"/>
            <w:bidi w:val="0"/>
            <w:snapToGrid/>
            <w:spacing w:line="580" w:lineRule="exact"/>
            <w:textAlignment w:val="auto"/>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HYPERLINK \l _Toc25734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八、政府性基金预算支出决算情况说明</w:t>
          </w:r>
          <w:r>
            <w:rPr>
              <w:rFonts w:hint="eastAsia" w:ascii="宋体" w:hAnsi="宋体" w:eastAsia="宋体" w:cs="Times New Roman"/>
              <w:color w:val="auto"/>
              <w:kern w:val="2"/>
              <w:sz w:val="24"/>
              <w:szCs w:val="24"/>
              <w:lang w:val="zh-CN"/>
            </w:rPr>
            <w:tab/>
          </w: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PAGEREF _Toc25734 \h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9</w:t>
          </w:r>
          <w:r>
            <w:rPr>
              <w:rFonts w:hint="eastAsia" w:ascii="宋体" w:hAnsi="宋体" w:eastAsia="宋体" w:cs="Times New Roman"/>
              <w:color w:val="auto"/>
              <w:kern w:val="2"/>
              <w:sz w:val="24"/>
              <w:szCs w:val="24"/>
              <w:lang w:val="zh-CN"/>
            </w:rPr>
            <w:fldChar w:fldCharType="end"/>
          </w:r>
          <w:r>
            <w:rPr>
              <w:rFonts w:hint="eastAsia" w:ascii="宋体" w:hAnsi="宋体" w:eastAsia="宋体" w:cs="Times New Roman"/>
              <w:color w:val="auto"/>
              <w:kern w:val="2"/>
              <w:sz w:val="24"/>
              <w:szCs w:val="24"/>
              <w:lang w:val="zh-CN"/>
            </w:rPr>
            <w:fldChar w:fldCharType="end"/>
          </w:r>
        </w:p>
        <w:p>
          <w:pPr>
            <w:pStyle w:val="14"/>
            <w:keepNext w:val="0"/>
            <w:keepLines w:val="0"/>
            <w:pageBreakBefore w:val="0"/>
            <w:tabs>
              <w:tab w:val="right" w:leader="dot" w:pos="8640"/>
            </w:tabs>
            <w:kinsoku/>
            <w:wordWrap/>
            <w:overflowPunct/>
            <w:topLinePunct w:val="0"/>
            <w:bidi w:val="0"/>
            <w:snapToGrid/>
            <w:spacing w:line="580" w:lineRule="exact"/>
            <w:textAlignment w:val="auto"/>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HYPERLINK \l _Toc1197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九、国有资本经营预算支出决算情况说明</w:t>
          </w:r>
          <w:r>
            <w:rPr>
              <w:rFonts w:hint="eastAsia" w:ascii="宋体" w:hAnsi="宋体" w:eastAsia="宋体" w:cs="Times New Roman"/>
              <w:color w:val="auto"/>
              <w:kern w:val="2"/>
              <w:sz w:val="24"/>
              <w:szCs w:val="24"/>
              <w:lang w:val="zh-CN"/>
            </w:rPr>
            <w:tab/>
          </w: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PAGEREF _Toc1197 \h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9</w:t>
          </w:r>
          <w:r>
            <w:rPr>
              <w:rFonts w:hint="eastAsia" w:ascii="宋体" w:hAnsi="宋体" w:eastAsia="宋体" w:cs="Times New Roman"/>
              <w:color w:val="auto"/>
              <w:kern w:val="2"/>
              <w:sz w:val="24"/>
              <w:szCs w:val="24"/>
              <w:lang w:val="zh-CN"/>
            </w:rPr>
            <w:fldChar w:fldCharType="end"/>
          </w:r>
          <w:r>
            <w:rPr>
              <w:rFonts w:hint="eastAsia" w:ascii="宋体" w:hAnsi="宋体" w:eastAsia="宋体" w:cs="Times New Roman"/>
              <w:color w:val="auto"/>
              <w:kern w:val="2"/>
              <w:sz w:val="24"/>
              <w:szCs w:val="24"/>
              <w:lang w:val="zh-CN"/>
            </w:rPr>
            <w:fldChar w:fldCharType="end"/>
          </w:r>
        </w:p>
        <w:p>
          <w:pPr>
            <w:pStyle w:val="14"/>
            <w:keepNext w:val="0"/>
            <w:keepLines w:val="0"/>
            <w:pageBreakBefore w:val="0"/>
            <w:tabs>
              <w:tab w:val="right" w:leader="dot" w:pos="8640"/>
            </w:tabs>
            <w:kinsoku/>
            <w:wordWrap/>
            <w:overflowPunct/>
            <w:topLinePunct w:val="0"/>
            <w:bidi w:val="0"/>
            <w:snapToGrid/>
            <w:spacing w:line="580" w:lineRule="exact"/>
            <w:textAlignment w:val="auto"/>
          </w:pP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HYPERLINK \l _Toc25855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十、其他重要事项的情况说明</w:t>
          </w:r>
          <w:r>
            <w:rPr>
              <w:rFonts w:hint="eastAsia" w:ascii="宋体" w:hAnsi="宋体" w:eastAsia="宋体" w:cs="Times New Roman"/>
              <w:color w:val="auto"/>
              <w:kern w:val="2"/>
              <w:sz w:val="24"/>
              <w:szCs w:val="24"/>
              <w:lang w:val="zh-CN"/>
            </w:rPr>
            <w:tab/>
          </w: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PAGEREF _Toc25855 \h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9</w:t>
          </w:r>
          <w:r>
            <w:rPr>
              <w:rFonts w:hint="eastAsia" w:ascii="宋体" w:hAnsi="宋体" w:eastAsia="宋体" w:cs="Times New Roman"/>
              <w:color w:val="auto"/>
              <w:kern w:val="2"/>
              <w:sz w:val="24"/>
              <w:szCs w:val="24"/>
              <w:lang w:val="zh-CN"/>
            </w:rPr>
            <w:fldChar w:fldCharType="end"/>
          </w:r>
          <w:r>
            <w:rPr>
              <w:rFonts w:hint="eastAsia" w:ascii="宋体" w:hAnsi="宋体" w:eastAsia="宋体" w:cs="Times New Roman"/>
              <w:color w:val="auto"/>
              <w:kern w:val="2"/>
              <w:sz w:val="24"/>
              <w:szCs w:val="24"/>
              <w:lang w:val="zh-CN"/>
            </w:rPr>
            <w:fldChar w:fldCharType="end"/>
          </w:r>
        </w:p>
        <w:p>
          <w:pPr>
            <w:pStyle w:val="13"/>
            <w:keepNext w:val="0"/>
            <w:keepLines w:val="0"/>
            <w:pageBreakBefore w:val="0"/>
            <w:tabs>
              <w:tab w:val="right" w:leader="dot" w:pos="8640"/>
            </w:tabs>
            <w:kinsoku/>
            <w:wordWrap/>
            <w:overflowPunct/>
            <w:topLinePunct w:val="0"/>
            <w:bidi w:val="0"/>
            <w:snapToGrid/>
            <w:spacing w:line="580" w:lineRule="exact"/>
            <w:textAlignment w:val="auto"/>
            <w:rPr>
              <w:rFonts w:hint="eastAsia" w:ascii="仿宋" w:hAnsi="仿宋" w:eastAsia="仿宋" w:cs="Times New Roman"/>
              <w:color w:val="auto"/>
              <w:kern w:val="2"/>
              <w:sz w:val="24"/>
              <w:szCs w:val="24"/>
              <w:lang w:val="zh-CN"/>
            </w:rPr>
          </w:pPr>
          <w:r>
            <w:rPr>
              <w:rFonts w:hint="eastAsia" w:ascii="仿宋" w:hAnsi="仿宋" w:eastAsia="仿宋" w:cs="Times New Roman"/>
              <w:color w:val="auto"/>
              <w:kern w:val="2"/>
              <w:sz w:val="24"/>
              <w:szCs w:val="24"/>
              <w:lang w:val="zh-CN"/>
            </w:rPr>
            <w:fldChar w:fldCharType="begin"/>
          </w:r>
          <w:r>
            <w:rPr>
              <w:rFonts w:hint="eastAsia" w:ascii="仿宋" w:hAnsi="仿宋" w:eastAsia="仿宋" w:cs="Times New Roman"/>
              <w:color w:val="auto"/>
              <w:kern w:val="2"/>
              <w:sz w:val="24"/>
              <w:szCs w:val="24"/>
              <w:lang w:val="zh-CN"/>
            </w:rPr>
            <w:instrText xml:space="preserve"> HYPERLINK \l _Toc16614 </w:instrText>
          </w:r>
          <w:r>
            <w:rPr>
              <w:rFonts w:hint="eastAsia" w:ascii="仿宋" w:hAnsi="仿宋" w:eastAsia="仿宋" w:cs="Times New Roman"/>
              <w:color w:val="auto"/>
              <w:kern w:val="2"/>
              <w:sz w:val="24"/>
              <w:szCs w:val="24"/>
              <w:lang w:val="zh-CN"/>
            </w:rPr>
            <w:fldChar w:fldCharType="separate"/>
          </w:r>
          <w:r>
            <w:rPr>
              <w:rFonts w:hint="eastAsia" w:ascii="仿宋" w:hAnsi="仿宋" w:eastAsia="仿宋" w:cs="Times New Roman"/>
              <w:color w:val="auto"/>
              <w:kern w:val="2"/>
              <w:sz w:val="24"/>
              <w:szCs w:val="24"/>
              <w:lang w:val="zh-CN"/>
            </w:rPr>
            <w:t>第三部分</w:t>
          </w:r>
          <w:r>
            <w:rPr>
              <w:rFonts w:hint="eastAsia" w:ascii="仿宋" w:hAnsi="仿宋" w:eastAsia="仿宋" w:cs="Times New Roman"/>
              <w:color w:val="auto"/>
              <w:kern w:val="2"/>
              <w:sz w:val="24"/>
              <w:szCs w:val="24"/>
              <w:lang w:val="en-US" w:eastAsia="zh-CN"/>
            </w:rPr>
            <w:t xml:space="preserve">  </w:t>
          </w:r>
          <w:r>
            <w:rPr>
              <w:rFonts w:hint="eastAsia" w:ascii="仿宋" w:hAnsi="仿宋" w:eastAsia="仿宋" w:cs="Times New Roman"/>
              <w:color w:val="auto"/>
              <w:kern w:val="2"/>
              <w:sz w:val="24"/>
              <w:szCs w:val="24"/>
              <w:lang w:val="zh-CN"/>
            </w:rPr>
            <w:t>名词解释</w:t>
          </w:r>
          <w:r>
            <w:rPr>
              <w:rFonts w:hint="eastAsia" w:ascii="仿宋" w:hAnsi="仿宋" w:eastAsia="仿宋" w:cs="Times New Roman"/>
              <w:color w:val="auto"/>
              <w:kern w:val="2"/>
              <w:sz w:val="24"/>
              <w:szCs w:val="24"/>
              <w:lang w:val="zh-CN"/>
            </w:rPr>
            <w:tab/>
          </w:r>
          <w:r>
            <w:rPr>
              <w:rFonts w:hint="eastAsia" w:ascii="仿宋" w:hAnsi="仿宋" w:eastAsia="仿宋" w:cs="Times New Roman"/>
              <w:color w:val="auto"/>
              <w:kern w:val="2"/>
              <w:sz w:val="24"/>
              <w:szCs w:val="24"/>
              <w:lang w:val="zh-CN"/>
            </w:rPr>
            <w:fldChar w:fldCharType="begin"/>
          </w:r>
          <w:r>
            <w:rPr>
              <w:rFonts w:hint="eastAsia" w:ascii="仿宋" w:hAnsi="仿宋" w:eastAsia="仿宋" w:cs="Times New Roman"/>
              <w:color w:val="auto"/>
              <w:kern w:val="2"/>
              <w:sz w:val="24"/>
              <w:szCs w:val="24"/>
              <w:lang w:val="zh-CN"/>
            </w:rPr>
            <w:instrText xml:space="preserve"> PAGEREF _Toc16614 \h </w:instrText>
          </w:r>
          <w:r>
            <w:rPr>
              <w:rFonts w:hint="eastAsia" w:ascii="仿宋" w:hAnsi="仿宋" w:eastAsia="仿宋" w:cs="Times New Roman"/>
              <w:color w:val="auto"/>
              <w:kern w:val="2"/>
              <w:sz w:val="24"/>
              <w:szCs w:val="24"/>
              <w:lang w:val="zh-CN"/>
            </w:rPr>
            <w:fldChar w:fldCharType="separate"/>
          </w:r>
          <w:r>
            <w:rPr>
              <w:rFonts w:hint="eastAsia" w:ascii="仿宋" w:hAnsi="仿宋" w:eastAsia="仿宋" w:cs="Times New Roman"/>
              <w:color w:val="auto"/>
              <w:kern w:val="2"/>
              <w:sz w:val="24"/>
              <w:szCs w:val="24"/>
              <w:lang w:val="zh-CN"/>
            </w:rPr>
            <w:t>10</w:t>
          </w:r>
          <w:r>
            <w:rPr>
              <w:rFonts w:hint="eastAsia" w:ascii="仿宋" w:hAnsi="仿宋" w:eastAsia="仿宋" w:cs="Times New Roman"/>
              <w:color w:val="auto"/>
              <w:kern w:val="2"/>
              <w:sz w:val="24"/>
              <w:szCs w:val="24"/>
              <w:lang w:val="zh-CN"/>
            </w:rPr>
            <w:fldChar w:fldCharType="end"/>
          </w:r>
          <w:r>
            <w:rPr>
              <w:rFonts w:hint="eastAsia" w:ascii="仿宋" w:hAnsi="仿宋" w:eastAsia="仿宋" w:cs="Times New Roman"/>
              <w:color w:val="auto"/>
              <w:kern w:val="2"/>
              <w:sz w:val="24"/>
              <w:szCs w:val="24"/>
              <w:lang w:val="zh-CN"/>
            </w:rPr>
            <w:fldChar w:fldCharType="end"/>
          </w:r>
        </w:p>
        <w:p>
          <w:pPr>
            <w:pStyle w:val="13"/>
            <w:keepNext w:val="0"/>
            <w:keepLines w:val="0"/>
            <w:pageBreakBefore w:val="0"/>
            <w:tabs>
              <w:tab w:val="right" w:leader="dot" w:pos="8640"/>
            </w:tabs>
            <w:kinsoku/>
            <w:wordWrap/>
            <w:overflowPunct/>
            <w:topLinePunct w:val="0"/>
            <w:bidi w:val="0"/>
            <w:snapToGrid/>
            <w:spacing w:line="580" w:lineRule="exact"/>
            <w:textAlignment w:val="auto"/>
            <w:rPr>
              <w:rFonts w:hint="eastAsia" w:ascii="仿宋" w:hAnsi="仿宋" w:eastAsia="仿宋" w:cs="Times New Roman"/>
              <w:color w:val="auto"/>
              <w:kern w:val="2"/>
              <w:sz w:val="24"/>
              <w:szCs w:val="24"/>
              <w:lang w:val="zh-CN"/>
            </w:rPr>
          </w:pPr>
          <w:r>
            <w:rPr>
              <w:rFonts w:hint="eastAsia" w:ascii="仿宋" w:hAnsi="仿宋" w:eastAsia="仿宋" w:cs="Times New Roman"/>
              <w:color w:val="auto"/>
              <w:kern w:val="2"/>
              <w:sz w:val="24"/>
              <w:szCs w:val="24"/>
              <w:lang w:val="zh-CN"/>
            </w:rPr>
            <w:fldChar w:fldCharType="begin"/>
          </w:r>
          <w:r>
            <w:rPr>
              <w:rFonts w:hint="eastAsia" w:ascii="仿宋" w:hAnsi="仿宋" w:eastAsia="仿宋" w:cs="Times New Roman"/>
              <w:color w:val="auto"/>
              <w:kern w:val="2"/>
              <w:sz w:val="24"/>
              <w:szCs w:val="24"/>
              <w:lang w:val="zh-CN"/>
            </w:rPr>
            <w:instrText xml:space="preserve"> HYPERLINK \l _Toc14601 </w:instrText>
          </w:r>
          <w:r>
            <w:rPr>
              <w:rFonts w:hint="eastAsia" w:ascii="仿宋" w:hAnsi="仿宋" w:eastAsia="仿宋" w:cs="Times New Roman"/>
              <w:color w:val="auto"/>
              <w:kern w:val="2"/>
              <w:sz w:val="24"/>
              <w:szCs w:val="24"/>
              <w:lang w:val="zh-CN"/>
            </w:rPr>
            <w:fldChar w:fldCharType="separate"/>
          </w:r>
          <w:r>
            <w:rPr>
              <w:rFonts w:hint="eastAsia" w:ascii="仿宋" w:hAnsi="仿宋" w:eastAsia="仿宋" w:cs="Times New Roman"/>
              <w:color w:val="auto"/>
              <w:kern w:val="2"/>
              <w:sz w:val="24"/>
              <w:szCs w:val="24"/>
              <w:lang w:val="en-US"/>
            </w:rPr>
            <w:t>第四部分 附件</w:t>
          </w:r>
          <w:r>
            <w:rPr>
              <w:rFonts w:hint="eastAsia" w:ascii="仿宋" w:hAnsi="仿宋" w:eastAsia="仿宋" w:cs="Times New Roman"/>
              <w:color w:val="auto"/>
              <w:kern w:val="2"/>
              <w:sz w:val="24"/>
              <w:szCs w:val="24"/>
              <w:lang w:val="zh-CN"/>
            </w:rPr>
            <w:tab/>
          </w:r>
          <w:r>
            <w:rPr>
              <w:rFonts w:hint="eastAsia" w:ascii="仿宋" w:hAnsi="仿宋" w:eastAsia="仿宋" w:cs="Times New Roman"/>
              <w:color w:val="auto"/>
              <w:kern w:val="2"/>
              <w:sz w:val="24"/>
              <w:szCs w:val="24"/>
              <w:lang w:val="zh-CN"/>
            </w:rPr>
            <w:fldChar w:fldCharType="begin"/>
          </w:r>
          <w:r>
            <w:rPr>
              <w:rFonts w:hint="eastAsia" w:ascii="仿宋" w:hAnsi="仿宋" w:eastAsia="仿宋" w:cs="Times New Roman"/>
              <w:color w:val="auto"/>
              <w:kern w:val="2"/>
              <w:sz w:val="24"/>
              <w:szCs w:val="24"/>
              <w:lang w:val="zh-CN"/>
            </w:rPr>
            <w:instrText xml:space="preserve"> PAGEREF _Toc14601 \h </w:instrText>
          </w:r>
          <w:r>
            <w:rPr>
              <w:rFonts w:hint="eastAsia" w:ascii="仿宋" w:hAnsi="仿宋" w:eastAsia="仿宋" w:cs="Times New Roman"/>
              <w:color w:val="auto"/>
              <w:kern w:val="2"/>
              <w:sz w:val="24"/>
              <w:szCs w:val="24"/>
              <w:lang w:val="zh-CN"/>
            </w:rPr>
            <w:fldChar w:fldCharType="separate"/>
          </w:r>
          <w:r>
            <w:rPr>
              <w:rFonts w:hint="eastAsia" w:ascii="仿宋" w:hAnsi="仿宋" w:eastAsia="仿宋" w:cs="Times New Roman"/>
              <w:color w:val="auto"/>
              <w:kern w:val="2"/>
              <w:sz w:val="24"/>
              <w:szCs w:val="24"/>
              <w:lang w:val="zh-CN"/>
            </w:rPr>
            <w:t>12</w:t>
          </w:r>
          <w:r>
            <w:rPr>
              <w:rFonts w:hint="eastAsia" w:ascii="仿宋" w:hAnsi="仿宋" w:eastAsia="仿宋" w:cs="Times New Roman"/>
              <w:color w:val="auto"/>
              <w:kern w:val="2"/>
              <w:sz w:val="24"/>
              <w:szCs w:val="24"/>
              <w:lang w:val="zh-CN"/>
            </w:rPr>
            <w:fldChar w:fldCharType="end"/>
          </w:r>
          <w:r>
            <w:rPr>
              <w:rFonts w:hint="eastAsia" w:ascii="仿宋" w:hAnsi="仿宋" w:eastAsia="仿宋" w:cs="Times New Roman"/>
              <w:color w:val="auto"/>
              <w:kern w:val="2"/>
              <w:sz w:val="24"/>
              <w:szCs w:val="24"/>
              <w:lang w:val="zh-CN"/>
            </w:rPr>
            <w:fldChar w:fldCharType="end"/>
          </w:r>
        </w:p>
        <w:p>
          <w:pPr>
            <w:pStyle w:val="14"/>
            <w:keepNext w:val="0"/>
            <w:keepLines w:val="0"/>
            <w:pageBreakBefore w:val="0"/>
            <w:tabs>
              <w:tab w:val="right" w:leader="dot" w:pos="8640"/>
            </w:tabs>
            <w:kinsoku/>
            <w:wordWrap/>
            <w:overflowPunct/>
            <w:topLinePunct w:val="0"/>
            <w:bidi w:val="0"/>
            <w:snapToGrid/>
            <w:spacing w:line="580" w:lineRule="exact"/>
            <w:ind w:left="0" w:leftChars="0" w:firstLine="0" w:firstLineChars="0"/>
            <w:textAlignment w:val="auto"/>
          </w:pPr>
          <w:r>
            <w:rPr>
              <w:rFonts w:hint="eastAsia" w:ascii="仿宋" w:hAnsi="仿宋" w:eastAsia="仿宋" w:cs="Times New Roman"/>
              <w:color w:val="auto"/>
              <w:kern w:val="2"/>
              <w:sz w:val="24"/>
              <w:szCs w:val="24"/>
              <w:lang w:val="zh-CN"/>
            </w:rPr>
            <w:fldChar w:fldCharType="begin"/>
          </w:r>
          <w:r>
            <w:rPr>
              <w:rFonts w:hint="eastAsia" w:ascii="仿宋" w:hAnsi="仿宋" w:eastAsia="仿宋" w:cs="Times New Roman"/>
              <w:color w:val="auto"/>
              <w:kern w:val="2"/>
              <w:sz w:val="24"/>
              <w:szCs w:val="24"/>
              <w:lang w:val="zh-CN"/>
            </w:rPr>
            <w:instrText xml:space="preserve"> HYPERLINK \l _Toc13807 </w:instrText>
          </w:r>
          <w:r>
            <w:rPr>
              <w:rFonts w:hint="eastAsia" w:ascii="仿宋" w:hAnsi="仿宋" w:eastAsia="仿宋" w:cs="Times New Roman"/>
              <w:color w:val="auto"/>
              <w:kern w:val="2"/>
              <w:sz w:val="24"/>
              <w:szCs w:val="24"/>
              <w:lang w:val="zh-CN"/>
            </w:rPr>
            <w:fldChar w:fldCharType="separate"/>
          </w:r>
          <w:r>
            <w:rPr>
              <w:rFonts w:hint="eastAsia" w:ascii="仿宋" w:hAnsi="仿宋" w:eastAsia="仿宋" w:cs="Times New Roman"/>
              <w:color w:val="auto"/>
              <w:kern w:val="2"/>
              <w:sz w:val="24"/>
              <w:szCs w:val="24"/>
              <w:lang w:val="en-US" w:eastAsia="zh-CN"/>
            </w:rPr>
            <w:t>第五部分 附表</w:t>
          </w:r>
          <w:r>
            <w:rPr>
              <w:rFonts w:hint="eastAsia" w:ascii="仿宋" w:hAnsi="仿宋" w:eastAsia="仿宋" w:cs="Times New Roman"/>
              <w:color w:val="auto"/>
              <w:kern w:val="2"/>
              <w:sz w:val="24"/>
              <w:szCs w:val="24"/>
              <w:lang w:val="zh-CN"/>
            </w:rPr>
            <w:tab/>
          </w:r>
          <w:r>
            <w:rPr>
              <w:rFonts w:hint="eastAsia" w:ascii="仿宋" w:hAnsi="仿宋" w:eastAsia="仿宋" w:cs="Times New Roman"/>
              <w:color w:val="auto"/>
              <w:kern w:val="2"/>
              <w:sz w:val="24"/>
              <w:szCs w:val="24"/>
              <w:lang w:val="zh-CN"/>
            </w:rPr>
            <w:fldChar w:fldCharType="begin"/>
          </w:r>
          <w:r>
            <w:rPr>
              <w:rFonts w:hint="eastAsia" w:ascii="仿宋" w:hAnsi="仿宋" w:eastAsia="仿宋" w:cs="Times New Roman"/>
              <w:color w:val="auto"/>
              <w:kern w:val="2"/>
              <w:sz w:val="24"/>
              <w:szCs w:val="24"/>
              <w:lang w:val="zh-CN"/>
            </w:rPr>
            <w:instrText xml:space="preserve"> PAGEREF _Toc13807 \h </w:instrText>
          </w:r>
          <w:r>
            <w:rPr>
              <w:rFonts w:hint="eastAsia" w:ascii="仿宋" w:hAnsi="仿宋" w:eastAsia="仿宋" w:cs="Times New Roman"/>
              <w:color w:val="auto"/>
              <w:kern w:val="2"/>
              <w:sz w:val="24"/>
              <w:szCs w:val="24"/>
              <w:lang w:val="zh-CN"/>
            </w:rPr>
            <w:fldChar w:fldCharType="separate"/>
          </w:r>
          <w:r>
            <w:rPr>
              <w:rFonts w:hint="eastAsia" w:ascii="仿宋" w:hAnsi="仿宋" w:eastAsia="仿宋" w:cs="Times New Roman"/>
              <w:color w:val="auto"/>
              <w:kern w:val="2"/>
              <w:sz w:val="24"/>
              <w:szCs w:val="24"/>
              <w:lang w:val="zh-CN"/>
            </w:rPr>
            <w:t>13</w:t>
          </w:r>
          <w:r>
            <w:rPr>
              <w:rFonts w:hint="eastAsia" w:ascii="仿宋" w:hAnsi="仿宋" w:eastAsia="仿宋" w:cs="Times New Roman"/>
              <w:color w:val="auto"/>
              <w:kern w:val="2"/>
              <w:sz w:val="24"/>
              <w:szCs w:val="24"/>
              <w:lang w:val="zh-CN"/>
            </w:rPr>
            <w:fldChar w:fldCharType="end"/>
          </w:r>
          <w:r>
            <w:rPr>
              <w:rFonts w:hint="eastAsia" w:ascii="仿宋" w:hAnsi="仿宋" w:eastAsia="仿宋" w:cs="Times New Roman"/>
              <w:color w:val="auto"/>
              <w:kern w:val="2"/>
              <w:sz w:val="24"/>
              <w:szCs w:val="24"/>
              <w:lang w:val="zh-CN"/>
            </w:rPr>
            <w:fldChar w:fldCharType="end"/>
          </w:r>
        </w:p>
        <w:p>
          <w:pPr>
            <w:pStyle w:val="14"/>
            <w:keepNext w:val="0"/>
            <w:keepLines w:val="0"/>
            <w:pageBreakBefore w:val="0"/>
            <w:tabs>
              <w:tab w:val="right" w:leader="dot" w:pos="8640"/>
            </w:tabs>
            <w:kinsoku/>
            <w:wordWrap/>
            <w:overflowPunct/>
            <w:topLinePunct w:val="0"/>
            <w:bidi w:val="0"/>
            <w:snapToGrid/>
            <w:spacing w:line="580" w:lineRule="exact"/>
            <w:textAlignment w:val="auto"/>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HYPERLINK \l _Toc16503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en-US"/>
            </w:rPr>
            <w:t>一、收入支出决算总表</w:t>
          </w:r>
          <w:r>
            <w:rPr>
              <w:rFonts w:hint="eastAsia" w:ascii="宋体" w:hAnsi="宋体" w:eastAsia="宋体" w:cs="Times New Roman"/>
              <w:color w:val="auto"/>
              <w:kern w:val="2"/>
              <w:sz w:val="24"/>
              <w:szCs w:val="24"/>
              <w:lang w:val="zh-CN"/>
            </w:rPr>
            <w:tab/>
          </w: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PAGEREF _Toc16503 \h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13</w:t>
          </w:r>
          <w:r>
            <w:rPr>
              <w:rFonts w:hint="eastAsia" w:ascii="宋体" w:hAnsi="宋体" w:eastAsia="宋体" w:cs="Times New Roman"/>
              <w:color w:val="auto"/>
              <w:kern w:val="2"/>
              <w:sz w:val="24"/>
              <w:szCs w:val="24"/>
              <w:lang w:val="zh-CN"/>
            </w:rPr>
            <w:fldChar w:fldCharType="end"/>
          </w:r>
          <w:r>
            <w:rPr>
              <w:rFonts w:hint="eastAsia" w:ascii="宋体" w:hAnsi="宋体" w:eastAsia="宋体" w:cs="Times New Roman"/>
              <w:color w:val="auto"/>
              <w:kern w:val="2"/>
              <w:sz w:val="24"/>
              <w:szCs w:val="24"/>
              <w:lang w:val="zh-CN"/>
            </w:rPr>
            <w:fldChar w:fldCharType="end"/>
          </w:r>
        </w:p>
        <w:p>
          <w:pPr>
            <w:pStyle w:val="14"/>
            <w:keepNext w:val="0"/>
            <w:keepLines w:val="0"/>
            <w:pageBreakBefore w:val="0"/>
            <w:tabs>
              <w:tab w:val="right" w:leader="dot" w:pos="8640"/>
            </w:tabs>
            <w:kinsoku/>
            <w:wordWrap/>
            <w:overflowPunct/>
            <w:topLinePunct w:val="0"/>
            <w:bidi w:val="0"/>
            <w:snapToGrid/>
            <w:spacing w:line="580" w:lineRule="exact"/>
            <w:textAlignment w:val="auto"/>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HYPERLINK \l _Toc30071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en-US"/>
            </w:rPr>
            <w:t>二、收入决算表</w:t>
          </w:r>
          <w:r>
            <w:rPr>
              <w:rFonts w:hint="eastAsia" w:ascii="宋体" w:hAnsi="宋体" w:eastAsia="宋体" w:cs="Times New Roman"/>
              <w:color w:val="auto"/>
              <w:kern w:val="2"/>
              <w:sz w:val="24"/>
              <w:szCs w:val="24"/>
              <w:lang w:val="zh-CN"/>
            </w:rPr>
            <w:tab/>
          </w: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PAGEREF _Toc30071 \h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13</w:t>
          </w:r>
          <w:r>
            <w:rPr>
              <w:rFonts w:hint="eastAsia" w:ascii="宋体" w:hAnsi="宋体" w:eastAsia="宋体" w:cs="Times New Roman"/>
              <w:color w:val="auto"/>
              <w:kern w:val="2"/>
              <w:sz w:val="24"/>
              <w:szCs w:val="24"/>
              <w:lang w:val="zh-CN"/>
            </w:rPr>
            <w:fldChar w:fldCharType="end"/>
          </w:r>
          <w:r>
            <w:rPr>
              <w:rFonts w:hint="eastAsia" w:ascii="宋体" w:hAnsi="宋体" w:eastAsia="宋体" w:cs="Times New Roman"/>
              <w:color w:val="auto"/>
              <w:kern w:val="2"/>
              <w:sz w:val="24"/>
              <w:szCs w:val="24"/>
              <w:lang w:val="zh-CN"/>
            </w:rPr>
            <w:fldChar w:fldCharType="end"/>
          </w:r>
        </w:p>
        <w:p>
          <w:pPr>
            <w:pStyle w:val="14"/>
            <w:keepNext w:val="0"/>
            <w:keepLines w:val="0"/>
            <w:pageBreakBefore w:val="0"/>
            <w:tabs>
              <w:tab w:val="right" w:leader="dot" w:pos="8640"/>
            </w:tabs>
            <w:kinsoku/>
            <w:wordWrap/>
            <w:overflowPunct/>
            <w:topLinePunct w:val="0"/>
            <w:bidi w:val="0"/>
            <w:snapToGrid/>
            <w:spacing w:line="580" w:lineRule="exact"/>
            <w:textAlignment w:val="auto"/>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HYPERLINK \l _Toc18527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en-US"/>
            </w:rPr>
            <w:t>三、支出决算表</w:t>
          </w:r>
          <w:r>
            <w:rPr>
              <w:rFonts w:hint="eastAsia" w:ascii="宋体" w:hAnsi="宋体" w:eastAsia="宋体" w:cs="Times New Roman"/>
              <w:color w:val="auto"/>
              <w:kern w:val="2"/>
              <w:sz w:val="24"/>
              <w:szCs w:val="24"/>
              <w:lang w:val="zh-CN"/>
            </w:rPr>
            <w:tab/>
          </w: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PAGEREF _Toc18527 \h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13</w:t>
          </w:r>
          <w:r>
            <w:rPr>
              <w:rFonts w:hint="eastAsia" w:ascii="宋体" w:hAnsi="宋体" w:eastAsia="宋体" w:cs="Times New Roman"/>
              <w:color w:val="auto"/>
              <w:kern w:val="2"/>
              <w:sz w:val="24"/>
              <w:szCs w:val="24"/>
              <w:lang w:val="zh-CN"/>
            </w:rPr>
            <w:fldChar w:fldCharType="end"/>
          </w:r>
          <w:r>
            <w:rPr>
              <w:rFonts w:hint="eastAsia" w:ascii="宋体" w:hAnsi="宋体" w:eastAsia="宋体" w:cs="Times New Roman"/>
              <w:color w:val="auto"/>
              <w:kern w:val="2"/>
              <w:sz w:val="24"/>
              <w:szCs w:val="24"/>
              <w:lang w:val="zh-CN"/>
            </w:rPr>
            <w:fldChar w:fldCharType="end"/>
          </w:r>
        </w:p>
        <w:p>
          <w:pPr>
            <w:pStyle w:val="14"/>
            <w:keepNext w:val="0"/>
            <w:keepLines w:val="0"/>
            <w:pageBreakBefore w:val="0"/>
            <w:tabs>
              <w:tab w:val="right" w:leader="dot" w:pos="8640"/>
            </w:tabs>
            <w:kinsoku/>
            <w:wordWrap/>
            <w:overflowPunct/>
            <w:topLinePunct w:val="0"/>
            <w:bidi w:val="0"/>
            <w:snapToGrid/>
            <w:spacing w:line="580" w:lineRule="exact"/>
            <w:textAlignment w:val="auto"/>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HYPERLINK \l _Toc27361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en-US"/>
            </w:rPr>
            <w:t>四、财政拨款收入支出决算总表</w:t>
          </w:r>
          <w:r>
            <w:rPr>
              <w:rFonts w:hint="eastAsia" w:ascii="宋体" w:hAnsi="宋体" w:eastAsia="宋体" w:cs="Times New Roman"/>
              <w:color w:val="auto"/>
              <w:kern w:val="2"/>
              <w:sz w:val="24"/>
              <w:szCs w:val="24"/>
              <w:lang w:val="zh-CN"/>
            </w:rPr>
            <w:tab/>
          </w: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PAGEREF _Toc27361 \h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13</w:t>
          </w:r>
          <w:r>
            <w:rPr>
              <w:rFonts w:hint="eastAsia" w:ascii="宋体" w:hAnsi="宋体" w:eastAsia="宋体" w:cs="Times New Roman"/>
              <w:color w:val="auto"/>
              <w:kern w:val="2"/>
              <w:sz w:val="24"/>
              <w:szCs w:val="24"/>
              <w:lang w:val="zh-CN"/>
            </w:rPr>
            <w:fldChar w:fldCharType="end"/>
          </w:r>
          <w:r>
            <w:rPr>
              <w:rFonts w:hint="eastAsia" w:ascii="宋体" w:hAnsi="宋体" w:eastAsia="宋体" w:cs="Times New Roman"/>
              <w:color w:val="auto"/>
              <w:kern w:val="2"/>
              <w:sz w:val="24"/>
              <w:szCs w:val="24"/>
              <w:lang w:val="zh-CN"/>
            </w:rPr>
            <w:fldChar w:fldCharType="end"/>
          </w:r>
        </w:p>
        <w:p>
          <w:pPr>
            <w:pStyle w:val="14"/>
            <w:keepNext w:val="0"/>
            <w:keepLines w:val="0"/>
            <w:pageBreakBefore w:val="0"/>
            <w:tabs>
              <w:tab w:val="right" w:leader="dot" w:pos="8640"/>
            </w:tabs>
            <w:kinsoku/>
            <w:wordWrap/>
            <w:overflowPunct/>
            <w:topLinePunct w:val="0"/>
            <w:bidi w:val="0"/>
            <w:snapToGrid/>
            <w:spacing w:line="580" w:lineRule="exact"/>
            <w:textAlignment w:val="auto"/>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HYPERLINK \l _Toc7900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en-US"/>
            </w:rPr>
            <w:t>五、财政拨款支出决算明细表</w:t>
          </w:r>
          <w:r>
            <w:rPr>
              <w:rFonts w:hint="eastAsia" w:ascii="宋体" w:hAnsi="宋体" w:eastAsia="宋体" w:cs="Times New Roman"/>
              <w:color w:val="auto"/>
              <w:kern w:val="2"/>
              <w:sz w:val="24"/>
              <w:szCs w:val="24"/>
              <w:lang w:val="zh-CN"/>
            </w:rPr>
            <w:tab/>
          </w: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PAGEREF _Toc7900 \h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13</w:t>
          </w:r>
          <w:r>
            <w:rPr>
              <w:rFonts w:hint="eastAsia" w:ascii="宋体" w:hAnsi="宋体" w:eastAsia="宋体" w:cs="Times New Roman"/>
              <w:color w:val="auto"/>
              <w:kern w:val="2"/>
              <w:sz w:val="24"/>
              <w:szCs w:val="24"/>
              <w:lang w:val="zh-CN"/>
            </w:rPr>
            <w:fldChar w:fldCharType="end"/>
          </w:r>
          <w:r>
            <w:rPr>
              <w:rFonts w:hint="eastAsia" w:ascii="宋体" w:hAnsi="宋体" w:eastAsia="宋体" w:cs="Times New Roman"/>
              <w:color w:val="auto"/>
              <w:kern w:val="2"/>
              <w:sz w:val="24"/>
              <w:szCs w:val="24"/>
              <w:lang w:val="zh-CN"/>
            </w:rPr>
            <w:fldChar w:fldCharType="end"/>
          </w:r>
        </w:p>
        <w:p>
          <w:pPr>
            <w:pStyle w:val="14"/>
            <w:keepNext w:val="0"/>
            <w:keepLines w:val="0"/>
            <w:pageBreakBefore w:val="0"/>
            <w:tabs>
              <w:tab w:val="right" w:leader="dot" w:pos="8640"/>
            </w:tabs>
            <w:kinsoku/>
            <w:wordWrap/>
            <w:overflowPunct/>
            <w:topLinePunct w:val="0"/>
            <w:bidi w:val="0"/>
            <w:snapToGrid/>
            <w:spacing w:line="580" w:lineRule="exact"/>
            <w:textAlignment w:val="auto"/>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HYPERLINK \l _Toc10450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en-US"/>
            </w:rPr>
            <w:t>六、一般公共预算财政拨款支出决算表</w:t>
          </w:r>
          <w:r>
            <w:rPr>
              <w:rFonts w:hint="eastAsia" w:ascii="宋体" w:hAnsi="宋体" w:eastAsia="宋体" w:cs="Times New Roman"/>
              <w:color w:val="auto"/>
              <w:kern w:val="2"/>
              <w:sz w:val="24"/>
              <w:szCs w:val="24"/>
              <w:lang w:val="zh-CN"/>
            </w:rPr>
            <w:tab/>
          </w: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PAGEREF _Toc10450 \h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13</w:t>
          </w:r>
          <w:r>
            <w:rPr>
              <w:rFonts w:hint="eastAsia" w:ascii="宋体" w:hAnsi="宋体" w:eastAsia="宋体" w:cs="Times New Roman"/>
              <w:color w:val="auto"/>
              <w:kern w:val="2"/>
              <w:sz w:val="24"/>
              <w:szCs w:val="24"/>
              <w:lang w:val="zh-CN"/>
            </w:rPr>
            <w:fldChar w:fldCharType="end"/>
          </w:r>
          <w:r>
            <w:rPr>
              <w:rFonts w:hint="eastAsia" w:ascii="宋体" w:hAnsi="宋体" w:eastAsia="宋体" w:cs="Times New Roman"/>
              <w:color w:val="auto"/>
              <w:kern w:val="2"/>
              <w:sz w:val="24"/>
              <w:szCs w:val="24"/>
              <w:lang w:val="zh-CN"/>
            </w:rPr>
            <w:fldChar w:fldCharType="end"/>
          </w:r>
        </w:p>
        <w:p>
          <w:pPr>
            <w:pStyle w:val="14"/>
            <w:keepNext w:val="0"/>
            <w:keepLines w:val="0"/>
            <w:pageBreakBefore w:val="0"/>
            <w:tabs>
              <w:tab w:val="right" w:leader="dot" w:pos="8640"/>
            </w:tabs>
            <w:kinsoku/>
            <w:wordWrap/>
            <w:overflowPunct/>
            <w:topLinePunct w:val="0"/>
            <w:bidi w:val="0"/>
            <w:snapToGrid/>
            <w:spacing w:line="580" w:lineRule="exact"/>
            <w:textAlignment w:val="auto"/>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HYPERLINK \l _Toc28654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en-US"/>
            </w:rPr>
            <w:t>七、一般公共预算财政拨款支出决算明细表</w:t>
          </w:r>
          <w:r>
            <w:rPr>
              <w:rFonts w:hint="eastAsia" w:ascii="宋体" w:hAnsi="宋体" w:eastAsia="宋体" w:cs="Times New Roman"/>
              <w:color w:val="auto"/>
              <w:kern w:val="2"/>
              <w:sz w:val="24"/>
              <w:szCs w:val="24"/>
              <w:lang w:val="zh-CN"/>
            </w:rPr>
            <w:tab/>
          </w: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PAGEREF _Toc28654 \h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13</w:t>
          </w:r>
          <w:r>
            <w:rPr>
              <w:rFonts w:hint="eastAsia" w:ascii="宋体" w:hAnsi="宋体" w:eastAsia="宋体" w:cs="Times New Roman"/>
              <w:color w:val="auto"/>
              <w:kern w:val="2"/>
              <w:sz w:val="24"/>
              <w:szCs w:val="24"/>
              <w:lang w:val="zh-CN"/>
            </w:rPr>
            <w:fldChar w:fldCharType="end"/>
          </w:r>
          <w:r>
            <w:rPr>
              <w:rFonts w:hint="eastAsia" w:ascii="宋体" w:hAnsi="宋体" w:eastAsia="宋体" w:cs="Times New Roman"/>
              <w:color w:val="auto"/>
              <w:kern w:val="2"/>
              <w:sz w:val="24"/>
              <w:szCs w:val="24"/>
              <w:lang w:val="zh-CN"/>
            </w:rPr>
            <w:fldChar w:fldCharType="end"/>
          </w:r>
        </w:p>
        <w:p>
          <w:pPr>
            <w:pStyle w:val="14"/>
            <w:keepNext w:val="0"/>
            <w:keepLines w:val="0"/>
            <w:pageBreakBefore w:val="0"/>
            <w:tabs>
              <w:tab w:val="right" w:leader="dot" w:pos="8640"/>
            </w:tabs>
            <w:kinsoku/>
            <w:wordWrap/>
            <w:overflowPunct/>
            <w:topLinePunct w:val="0"/>
            <w:bidi w:val="0"/>
            <w:snapToGrid/>
            <w:spacing w:line="580" w:lineRule="exact"/>
            <w:textAlignment w:val="auto"/>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HYPERLINK \l _Toc10129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en-US"/>
            </w:rPr>
            <w:t>八、一般公共预算财政拨款基本支出决算表</w:t>
          </w:r>
          <w:r>
            <w:rPr>
              <w:rFonts w:hint="eastAsia" w:ascii="宋体" w:hAnsi="宋体" w:eastAsia="宋体" w:cs="Times New Roman"/>
              <w:color w:val="auto"/>
              <w:kern w:val="2"/>
              <w:sz w:val="24"/>
              <w:szCs w:val="24"/>
              <w:lang w:val="zh-CN"/>
            </w:rPr>
            <w:tab/>
          </w: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PAGEREF _Toc10129 \h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13</w:t>
          </w:r>
          <w:r>
            <w:rPr>
              <w:rFonts w:hint="eastAsia" w:ascii="宋体" w:hAnsi="宋体" w:eastAsia="宋体" w:cs="Times New Roman"/>
              <w:color w:val="auto"/>
              <w:kern w:val="2"/>
              <w:sz w:val="24"/>
              <w:szCs w:val="24"/>
              <w:lang w:val="zh-CN"/>
            </w:rPr>
            <w:fldChar w:fldCharType="end"/>
          </w:r>
          <w:r>
            <w:rPr>
              <w:rFonts w:hint="eastAsia" w:ascii="宋体" w:hAnsi="宋体" w:eastAsia="宋体" w:cs="Times New Roman"/>
              <w:color w:val="auto"/>
              <w:kern w:val="2"/>
              <w:sz w:val="24"/>
              <w:szCs w:val="24"/>
              <w:lang w:val="zh-CN"/>
            </w:rPr>
            <w:fldChar w:fldCharType="end"/>
          </w:r>
        </w:p>
        <w:p>
          <w:pPr>
            <w:pStyle w:val="14"/>
            <w:keepNext w:val="0"/>
            <w:keepLines w:val="0"/>
            <w:pageBreakBefore w:val="0"/>
            <w:tabs>
              <w:tab w:val="right" w:leader="dot" w:pos="8640"/>
            </w:tabs>
            <w:kinsoku/>
            <w:wordWrap/>
            <w:overflowPunct/>
            <w:topLinePunct w:val="0"/>
            <w:bidi w:val="0"/>
            <w:snapToGrid/>
            <w:spacing w:line="580" w:lineRule="exact"/>
            <w:textAlignment w:val="auto"/>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HYPERLINK \l _Toc26103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en-US"/>
            </w:rPr>
            <w:t>九、一般公共预算财政拨款项目支出决算表</w:t>
          </w:r>
          <w:r>
            <w:rPr>
              <w:rFonts w:hint="eastAsia" w:ascii="宋体" w:hAnsi="宋体" w:eastAsia="宋体" w:cs="Times New Roman"/>
              <w:color w:val="auto"/>
              <w:kern w:val="2"/>
              <w:sz w:val="24"/>
              <w:szCs w:val="24"/>
              <w:lang w:val="zh-CN"/>
            </w:rPr>
            <w:tab/>
          </w: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PAGEREF _Toc26103 \h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13</w:t>
          </w:r>
          <w:r>
            <w:rPr>
              <w:rFonts w:hint="eastAsia" w:ascii="宋体" w:hAnsi="宋体" w:eastAsia="宋体" w:cs="Times New Roman"/>
              <w:color w:val="auto"/>
              <w:kern w:val="2"/>
              <w:sz w:val="24"/>
              <w:szCs w:val="24"/>
              <w:lang w:val="zh-CN"/>
            </w:rPr>
            <w:fldChar w:fldCharType="end"/>
          </w:r>
          <w:r>
            <w:rPr>
              <w:rFonts w:hint="eastAsia" w:ascii="宋体" w:hAnsi="宋体" w:eastAsia="宋体" w:cs="Times New Roman"/>
              <w:color w:val="auto"/>
              <w:kern w:val="2"/>
              <w:sz w:val="24"/>
              <w:szCs w:val="24"/>
              <w:lang w:val="zh-CN"/>
            </w:rPr>
            <w:fldChar w:fldCharType="end"/>
          </w:r>
        </w:p>
        <w:p>
          <w:pPr>
            <w:pStyle w:val="14"/>
            <w:keepNext w:val="0"/>
            <w:keepLines w:val="0"/>
            <w:pageBreakBefore w:val="0"/>
            <w:tabs>
              <w:tab w:val="right" w:leader="dot" w:pos="8640"/>
            </w:tabs>
            <w:kinsoku/>
            <w:wordWrap/>
            <w:overflowPunct/>
            <w:topLinePunct w:val="0"/>
            <w:bidi w:val="0"/>
            <w:snapToGrid/>
            <w:spacing w:line="580" w:lineRule="exact"/>
            <w:textAlignment w:val="auto"/>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HYPERLINK \l _Toc5701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en-US"/>
            </w:rPr>
            <w:t>十、政府性基金预算财政拨款收入支出决算表</w:t>
          </w:r>
          <w:r>
            <w:rPr>
              <w:rFonts w:hint="eastAsia" w:ascii="宋体" w:hAnsi="宋体" w:eastAsia="宋体" w:cs="Times New Roman"/>
              <w:color w:val="auto"/>
              <w:kern w:val="2"/>
              <w:sz w:val="24"/>
              <w:szCs w:val="24"/>
              <w:lang w:val="zh-CN"/>
            </w:rPr>
            <w:tab/>
          </w: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PAGEREF _Toc5701 \h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13</w:t>
          </w:r>
          <w:r>
            <w:rPr>
              <w:rFonts w:hint="eastAsia" w:ascii="宋体" w:hAnsi="宋体" w:eastAsia="宋体" w:cs="Times New Roman"/>
              <w:color w:val="auto"/>
              <w:kern w:val="2"/>
              <w:sz w:val="24"/>
              <w:szCs w:val="24"/>
              <w:lang w:val="zh-CN"/>
            </w:rPr>
            <w:fldChar w:fldCharType="end"/>
          </w:r>
          <w:r>
            <w:rPr>
              <w:rFonts w:hint="eastAsia" w:ascii="宋体" w:hAnsi="宋体" w:eastAsia="宋体" w:cs="Times New Roman"/>
              <w:color w:val="auto"/>
              <w:kern w:val="2"/>
              <w:sz w:val="24"/>
              <w:szCs w:val="24"/>
              <w:lang w:val="zh-CN"/>
            </w:rPr>
            <w:fldChar w:fldCharType="end"/>
          </w:r>
        </w:p>
        <w:p>
          <w:pPr>
            <w:pStyle w:val="14"/>
            <w:keepNext w:val="0"/>
            <w:keepLines w:val="0"/>
            <w:pageBreakBefore w:val="0"/>
            <w:tabs>
              <w:tab w:val="right" w:leader="dot" w:pos="8640"/>
            </w:tabs>
            <w:kinsoku/>
            <w:wordWrap/>
            <w:overflowPunct/>
            <w:topLinePunct w:val="0"/>
            <w:bidi w:val="0"/>
            <w:snapToGrid/>
            <w:spacing w:line="580" w:lineRule="exact"/>
            <w:textAlignment w:val="auto"/>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HYPERLINK \l _Toc12426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en-US"/>
            </w:rPr>
            <w:t>十一、国有资本经营预算财政拨款收入支出决算表</w:t>
          </w:r>
          <w:r>
            <w:rPr>
              <w:rFonts w:hint="eastAsia" w:ascii="宋体" w:hAnsi="宋体" w:eastAsia="宋体" w:cs="Times New Roman"/>
              <w:color w:val="auto"/>
              <w:kern w:val="2"/>
              <w:sz w:val="24"/>
              <w:szCs w:val="24"/>
              <w:lang w:val="zh-CN"/>
            </w:rPr>
            <w:tab/>
          </w: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PAGEREF _Toc12426 \h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13</w:t>
          </w:r>
          <w:r>
            <w:rPr>
              <w:rFonts w:hint="eastAsia" w:ascii="宋体" w:hAnsi="宋体" w:eastAsia="宋体" w:cs="Times New Roman"/>
              <w:color w:val="auto"/>
              <w:kern w:val="2"/>
              <w:sz w:val="24"/>
              <w:szCs w:val="24"/>
              <w:lang w:val="zh-CN"/>
            </w:rPr>
            <w:fldChar w:fldCharType="end"/>
          </w:r>
          <w:r>
            <w:rPr>
              <w:rFonts w:hint="eastAsia" w:ascii="宋体" w:hAnsi="宋体" w:eastAsia="宋体" w:cs="Times New Roman"/>
              <w:color w:val="auto"/>
              <w:kern w:val="2"/>
              <w:sz w:val="24"/>
              <w:szCs w:val="24"/>
              <w:lang w:val="zh-CN"/>
            </w:rPr>
            <w:fldChar w:fldCharType="end"/>
          </w:r>
        </w:p>
        <w:p>
          <w:pPr>
            <w:pStyle w:val="14"/>
            <w:keepNext w:val="0"/>
            <w:keepLines w:val="0"/>
            <w:pageBreakBefore w:val="0"/>
            <w:tabs>
              <w:tab w:val="right" w:leader="dot" w:pos="8640"/>
            </w:tabs>
            <w:kinsoku/>
            <w:wordWrap/>
            <w:overflowPunct/>
            <w:topLinePunct w:val="0"/>
            <w:bidi w:val="0"/>
            <w:snapToGrid/>
            <w:spacing w:line="580" w:lineRule="exact"/>
            <w:textAlignment w:val="auto"/>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HYPERLINK \l _Toc22297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en-US"/>
            </w:rPr>
            <w:t>十二、国有资本经营预算财政拨款支出决算表</w:t>
          </w:r>
          <w:r>
            <w:rPr>
              <w:rFonts w:hint="eastAsia" w:ascii="宋体" w:hAnsi="宋体" w:eastAsia="宋体" w:cs="Times New Roman"/>
              <w:color w:val="auto"/>
              <w:kern w:val="2"/>
              <w:sz w:val="24"/>
              <w:szCs w:val="24"/>
              <w:lang w:val="zh-CN"/>
            </w:rPr>
            <w:tab/>
          </w: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PAGEREF _Toc22297 \h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13</w:t>
          </w:r>
          <w:r>
            <w:rPr>
              <w:rFonts w:hint="eastAsia" w:ascii="宋体" w:hAnsi="宋体" w:eastAsia="宋体" w:cs="Times New Roman"/>
              <w:color w:val="auto"/>
              <w:kern w:val="2"/>
              <w:sz w:val="24"/>
              <w:szCs w:val="24"/>
              <w:lang w:val="zh-CN"/>
            </w:rPr>
            <w:fldChar w:fldCharType="end"/>
          </w:r>
          <w:r>
            <w:rPr>
              <w:rFonts w:hint="eastAsia" w:ascii="宋体" w:hAnsi="宋体" w:eastAsia="宋体" w:cs="Times New Roman"/>
              <w:color w:val="auto"/>
              <w:kern w:val="2"/>
              <w:sz w:val="24"/>
              <w:szCs w:val="24"/>
              <w:lang w:val="zh-CN"/>
            </w:rPr>
            <w:fldChar w:fldCharType="end"/>
          </w:r>
        </w:p>
        <w:p>
          <w:pPr>
            <w:pStyle w:val="14"/>
            <w:keepNext w:val="0"/>
            <w:keepLines w:val="0"/>
            <w:pageBreakBefore w:val="0"/>
            <w:tabs>
              <w:tab w:val="right" w:leader="dot" w:pos="8640"/>
            </w:tabs>
            <w:kinsoku/>
            <w:wordWrap/>
            <w:overflowPunct/>
            <w:topLinePunct w:val="0"/>
            <w:bidi w:val="0"/>
            <w:snapToGrid/>
            <w:spacing w:line="580" w:lineRule="exact"/>
            <w:textAlignment w:val="auto"/>
          </w:pP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HYPERLINK \l _Toc24197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en-US"/>
            </w:rPr>
            <w:t>十三、财政拨款“三公”经费支出决算表</w:t>
          </w:r>
          <w:r>
            <w:rPr>
              <w:rFonts w:hint="eastAsia" w:ascii="宋体" w:hAnsi="宋体" w:eastAsia="宋体" w:cs="Times New Roman"/>
              <w:color w:val="auto"/>
              <w:kern w:val="2"/>
              <w:sz w:val="24"/>
              <w:szCs w:val="24"/>
              <w:lang w:val="zh-CN"/>
            </w:rPr>
            <w:tab/>
          </w:r>
          <w:r>
            <w:rPr>
              <w:rFonts w:hint="eastAsia" w:ascii="宋体" w:hAnsi="宋体" w:eastAsia="宋体" w:cs="Times New Roman"/>
              <w:color w:val="auto"/>
              <w:kern w:val="2"/>
              <w:sz w:val="24"/>
              <w:szCs w:val="24"/>
              <w:lang w:val="zh-CN"/>
            </w:rPr>
            <w:fldChar w:fldCharType="begin"/>
          </w:r>
          <w:r>
            <w:rPr>
              <w:rFonts w:hint="eastAsia" w:ascii="宋体" w:hAnsi="宋体" w:eastAsia="宋体" w:cs="Times New Roman"/>
              <w:color w:val="auto"/>
              <w:kern w:val="2"/>
              <w:sz w:val="24"/>
              <w:szCs w:val="24"/>
              <w:lang w:val="zh-CN"/>
            </w:rPr>
            <w:instrText xml:space="preserve"> PAGEREF _Toc24197 \h </w:instrText>
          </w:r>
          <w:r>
            <w:rPr>
              <w:rFonts w:hint="eastAsia" w:ascii="宋体" w:hAnsi="宋体" w:eastAsia="宋体" w:cs="Times New Roman"/>
              <w:color w:val="auto"/>
              <w:kern w:val="2"/>
              <w:sz w:val="24"/>
              <w:szCs w:val="24"/>
              <w:lang w:val="zh-CN"/>
            </w:rPr>
            <w:fldChar w:fldCharType="separate"/>
          </w:r>
          <w:r>
            <w:rPr>
              <w:rFonts w:hint="eastAsia" w:ascii="宋体" w:hAnsi="宋体" w:eastAsia="宋体" w:cs="Times New Roman"/>
              <w:color w:val="auto"/>
              <w:kern w:val="2"/>
              <w:sz w:val="24"/>
              <w:szCs w:val="24"/>
              <w:lang w:val="zh-CN"/>
            </w:rPr>
            <w:t>13</w:t>
          </w:r>
          <w:r>
            <w:rPr>
              <w:rFonts w:hint="eastAsia" w:ascii="宋体" w:hAnsi="宋体" w:eastAsia="宋体" w:cs="Times New Roman"/>
              <w:color w:val="auto"/>
              <w:kern w:val="2"/>
              <w:sz w:val="24"/>
              <w:szCs w:val="24"/>
              <w:lang w:val="zh-CN"/>
            </w:rPr>
            <w:fldChar w:fldCharType="end"/>
          </w:r>
          <w:r>
            <w:rPr>
              <w:rFonts w:hint="eastAsia" w:ascii="宋体" w:hAnsi="宋体" w:eastAsia="宋体" w:cs="Times New Roman"/>
              <w:color w:val="auto"/>
              <w:kern w:val="2"/>
              <w:sz w:val="24"/>
              <w:szCs w:val="24"/>
              <w:lang w:val="zh-CN"/>
            </w:rPr>
            <w:fldChar w:fldCharType="end"/>
          </w:r>
        </w:p>
        <w:p>
          <w:pPr>
            <w:keepNext w:val="0"/>
            <w:keepLines w:val="0"/>
            <w:pageBreakBefore w:val="0"/>
            <w:tabs>
              <w:tab w:val="right" w:leader="dot" w:pos="8296"/>
            </w:tabs>
            <w:kinsoku/>
            <w:wordWrap/>
            <w:overflowPunct/>
            <w:topLinePunct w:val="0"/>
            <w:bidi w:val="0"/>
            <w:snapToGrid/>
            <w:spacing w:line="580" w:lineRule="exact"/>
            <w:ind w:left="420"/>
            <w:textAlignment w:val="auto"/>
            <w:rPr>
              <w:rFonts w:hint="eastAsia" w:ascii="宋体" w:hAnsi="宋体" w:eastAsia="宋体"/>
              <w:color w:val="auto"/>
              <w:kern w:val="2"/>
              <w:sz w:val="24"/>
              <w:szCs w:val="24"/>
              <w:lang w:val="zh-CN"/>
            </w:rPr>
          </w:pPr>
          <w:r>
            <w:rPr>
              <w:rFonts w:hint="eastAsia" w:ascii="宋体" w:hAnsi="宋体" w:eastAsia="宋体"/>
              <w:b/>
              <w:color w:val="auto"/>
              <w:kern w:val="2"/>
              <w:szCs w:val="24"/>
              <w:lang w:val="zh-CN"/>
            </w:rPr>
            <w:fldChar w:fldCharType="end"/>
          </w:r>
        </w:p>
      </w:sdtContent>
    </w:sdt>
    <w:p>
      <w:pPr>
        <w:pStyle w:val="5"/>
        <w:rPr>
          <w:rFonts w:hint="eastAsia" w:ascii="宋体" w:hAnsi="宋体"/>
          <w:color w:val="auto"/>
          <w:kern w:val="2"/>
          <w:sz w:val="24"/>
          <w:szCs w:val="24"/>
          <w:lang w:val="zh-CN"/>
        </w:rPr>
      </w:pPr>
    </w:p>
    <w:p>
      <w:pPr>
        <w:pStyle w:val="5"/>
        <w:rPr>
          <w:rFonts w:hint="eastAsia" w:ascii="宋体" w:hAnsi="宋体"/>
          <w:color w:val="auto"/>
          <w:kern w:val="2"/>
          <w:sz w:val="24"/>
          <w:szCs w:val="24"/>
          <w:lang w:val="zh-CN"/>
        </w:rPr>
      </w:pPr>
    </w:p>
    <w:p>
      <w:pPr>
        <w:pStyle w:val="5"/>
        <w:rPr>
          <w:rFonts w:hint="eastAsia" w:ascii="宋体" w:hAnsi="宋体"/>
          <w:color w:val="auto"/>
          <w:kern w:val="2"/>
          <w:sz w:val="24"/>
          <w:szCs w:val="24"/>
          <w:lang w:val="zh-CN"/>
        </w:rPr>
      </w:pPr>
    </w:p>
    <w:p>
      <w:pPr>
        <w:pStyle w:val="5"/>
        <w:rPr>
          <w:rFonts w:hint="eastAsia" w:ascii="宋体" w:hAnsi="宋体"/>
          <w:color w:val="auto"/>
          <w:kern w:val="2"/>
          <w:sz w:val="24"/>
          <w:szCs w:val="24"/>
          <w:lang w:val="zh-CN"/>
        </w:rPr>
      </w:pPr>
    </w:p>
    <w:p>
      <w:pPr>
        <w:pStyle w:val="5"/>
        <w:rPr>
          <w:rFonts w:hint="eastAsia" w:ascii="宋体" w:hAnsi="宋体"/>
          <w:color w:val="auto"/>
          <w:kern w:val="2"/>
          <w:sz w:val="24"/>
          <w:szCs w:val="24"/>
          <w:lang w:val="zh-CN"/>
        </w:rPr>
      </w:pPr>
    </w:p>
    <w:p>
      <w:pPr>
        <w:pStyle w:val="5"/>
        <w:rPr>
          <w:rFonts w:hint="eastAsia" w:ascii="宋体" w:hAnsi="宋体"/>
          <w:color w:val="auto"/>
          <w:kern w:val="2"/>
          <w:sz w:val="24"/>
          <w:szCs w:val="24"/>
          <w:lang w:val="zh-CN"/>
        </w:rPr>
      </w:pPr>
    </w:p>
    <w:p>
      <w:pPr>
        <w:pStyle w:val="5"/>
        <w:rPr>
          <w:rFonts w:hint="eastAsia" w:ascii="宋体" w:hAnsi="宋体"/>
          <w:color w:val="auto"/>
          <w:kern w:val="2"/>
          <w:sz w:val="24"/>
          <w:szCs w:val="24"/>
          <w:lang w:val="zh-CN"/>
        </w:rPr>
      </w:pPr>
    </w:p>
    <w:p>
      <w:pPr>
        <w:pStyle w:val="5"/>
        <w:rPr>
          <w:rFonts w:hint="eastAsia" w:ascii="宋体" w:hAnsi="宋体"/>
          <w:color w:val="auto"/>
          <w:kern w:val="2"/>
          <w:sz w:val="24"/>
          <w:szCs w:val="24"/>
          <w:lang w:val="zh-CN"/>
        </w:rPr>
      </w:pPr>
    </w:p>
    <w:p>
      <w:pPr>
        <w:pStyle w:val="5"/>
        <w:rPr>
          <w:rFonts w:hint="eastAsia" w:ascii="宋体" w:hAnsi="宋体"/>
          <w:color w:val="auto"/>
          <w:kern w:val="2"/>
          <w:sz w:val="24"/>
          <w:szCs w:val="24"/>
          <w:lang w:val="zh-CN"/>
        </w:rPr>
      </w:pPr>
    </w:p>
    <w:p>
      <w:pPr>
        <w:pStyle w:val="5"/>
        <w:rPr>
          <w:rFonts w:hint="eastAsia" w:ascii="宋体" w:hAnsi="宋体"/>
          <w:color w:val="auto"/>
          <w:kern w:val="2"/>
          <w:sz w:val="24"/>
          <w:szCs w:val="24"/>
          <w:lang w:val="zh-CN"/>
        </w:rPr>
      </w:pPr>
      <w:bookmarkStart w:id="34" w:name="_GoBack"/>
      <w:bookmarkEnd w:id="34"/>
    </w:p>
    <w:p>
      <w:pPr>
        <w:pStyle w:val="5"/>
        <w:rPr>
          <w:rFonts w:hint="eastAsia" w:ascii="宋体" w:hAnsi="宋体"/>
          <w:color w:val="auto"/>
          <w:kern w:val="2"/>
          <w:sz w:val="24"/>
          <w:szCs w:val="24"/>
          <w:lang w:val="zh-CN"/>
        </w:rPr>
      </w:pPr>
    </w:p>
    <w:p>
      <w:pPr>
        <w:pStyle w:val="5"/>
        <w:rPr>
          <w:rFonts w:hint="eastAsia" w:ascii="宋体" w:hAnsi="宋体"/>
          <w:color w:val="auto"/>
          <w:kern w:val="2"/>
          <w:sz w:val="24"/>
          <w:szCs w:val="24"/>
          <w:lang w:val="zh-CN"/>
        </w:rPr>
      </w:pPr>
    </w:p>
    <w:p>
      <w:pPr>
        <w:pStyle w:val="5"/>
        <w:rPr>
          <w:rFonts w:hint="eastAsia" w:ascii="宋体" w:hAnsi="宋体"/>
          <w:color w:val="auto"/>
          <w:kern w:val="2"/>
          <w:sz w:val="24"/>
          <w:szCs w:val="24"/>
          <w:lang w:val="zh-CN"/>
        </w:rPr>
      </w:pPr>
    </w:p>
    <w:p>
      <w:pPr>
        <w:pStyle w:val="5"/>
        <w:rPr>
          <w:rFonts w:hint="eastAsia" w:ascii="宋体" w:hAnsi="宋体"/>
          <w:color w:val="auto"/>
          <w:kern w:val="2"/>
          <w:sz w:val="24"/>
          <w:szCs w:val="24"/>
          <w:lang w:val="zh-CN"/>
        </w:rPr>
      </w:pPr>
    </w:p>
    <w:p>
      <w:pPr>
        <w:pStyle w:val="2"/>
        <w:keepNext/>
        <w:keepLines/>
        <w:numPr>
          <w:ilvl w:val="0"/>
          <w:numId w:val="1"/>
        </w:numPr>
        <w:spacing w:line="240" w:lineRule="auto"/>
        <w:jc w:val="center"/>
        <w:rPr>
          <w:rFonts w:hint="eastAsia" w:ascii="黑体" w:hAnsi="黑体" w:eastAsia="黑体"/>
          <w:color w:val="auto"/>
          <w:kern w:val="2"/>
          <w:sz w:val="32"/>
          <w:szCs w:val="24"/>
          <w:lang w:val="zh-CN"/>
        </w:rPr>
      </w:pPr>
      <w:bookmarkStart w:id="1" w:name="_Toc9882"/>
      <w:r>
        <w:rPr>
          <w:rFonts w:hint="eastAsia" w:ascii="黑体" w:hAnsi="黑体" w:eastAsia="黑体"/>
          <w:color w:val="auto"/>
          <w:kern w:val="44"/>
          <w:sz w:val="44"/>
          <w:szCs w:val="24"/>
          <w:lang w:val="zh-CN"/>
        </w:rPr>
        <w:t>单位概况</w:t>
      </w:r>
      <w:bookmarkEnd w:id="1"/>
    </w:p>
    <w:p>
      <w:pPr>
        <w:numPr>
          <w:ilvl w:val="0"/>
          <w:numId w:val="0"/>
        </w:numPr>
        <w:spacing w:line="600" w:lineRule="exact"/>
        <w:rPr>
          <w:rFonts w:hint="eastAsia" w:ascii="黑体" w:hAnsi="黑体" w:eastAsia="黑体"/>
          <w:color w:val="000000"/>
          <w:kern w:val="2"/>
          <w:sz w:val="32"/>
          <w:szCs w:val="24"/>
          <w:lang w:val="zh-CN"/>
        </w:rPr>
      </w:pPr>
    </w:p>
    <w:p>
      <w:pPr>
        <w:numPr>
          <w:ilvl w:val="0"/>
          <w:numId w:val="0"/>
        </w:numPr>
        <w:spacing w:line="600" w:lineRule="exact"/>
        <w:ind w:firstLine="640" w:firstLineChars="200"/>
        <w:outlineLvl w:val="1"/>
        <w:rPr>
          <w:rFonts w:hint="eastAsia" w:ascii="黑体" w:hAnsi="黑体" w:eastAsia="黑体"/>
          <w:color w:val="auto"/>
          <w:kern w:val="2"/>
          <w:sz w:val="32"/>
          <w:szCs w:val="24"/>
          <w:lang w:val="zh-CN"/>
        </w:rPr>
      </w:pPr>
      <w:bookmarkStart w:id="2" w:name="_Toc19582"/>
      <w:r>
        <w:rPr>
          <w:rFonts w:hint="eastAsia" w:ascii="黑体" w:hAnsi="黑体" w:eastAsia="黑体"/>
          <w:color w:val="000000"/>
          <w:kern w:val="2"/>
          <w:sz w:val="32"/>
          <w:szCs w:val="24"/>
          <w:lang w:val="zh-CN" w:eastAsia="zh-CN"/>
        </w:rPr>
        <w:t>一、</w:t>
      </w:r>
      <w:r>
        <w:rPr>
          <w:rFonts w:hint="eastAsia" w:ascii="黑体" w:hAnsi="黑体" w:eastAsia="黑体"/>
          <w:color w:val="000000"/>
          <w:kern w:val="2"/>
          <w:sz w:val="32"/>
          <w:szCs w:val="24"/>
          <w:lang w:val="zh-CN"/>
        </w:rPr>
        <w:t>主要</w:t>
      </w:r>
      <w:r>
        <w:rPr>
          <w:rFonts w:hint="eastAsia" w:ascii="黑体" w:hAnsi="黑体" w:eastAsia="黑体"/>
          <w:color w:val="auto"/>
          <w:kern w:val="2"/>
          <w:sz w:val="32"/>
          <w:szCs w:val="24"/>
          <w:lang w:val="zh-CN"/>
        </w:rPr>
        <w:t>职责</w:t>
      </w:r>
      <w:bookmarkEnd w:id="2"/>
      <w:bookmarkStart w:id="3" w:name="_Toc15378446"/>
      <w:bookmarkStart w:id="4" w:name="_Toc15377199"/>
    </w:p>
    <w:p>
      <w:pPr>
        <w:numPr>
          <w:ilvl w:val="0"/>
          <w:numId w:val="0"/>
        </w:numPr>
        <w:spacing w:line="600" w:lineRule="exact"/>
        <w:ind w:firstLine="640" w:firstLineChars="200"/>
        <w:rPr>
          <w:rFonts w:hint="eastAsia" w:ascii="黑体" w:hAnsi="黑体" w:eastAsia="黑体"/>
          <w:color w:val="auto"/>
          <w:kern w:val="2"/>
          <w:sz w:val="32"/>
          <w:szCs w:val="24"/>
          <w:lang w:val="zh-CN"/>
        </w:rPr>
      </w:pPr>
      <w:r>
        <w:rPr>
          <w:rFonts w:hint="eastAsia" w:ascii="仿宋_GB2312" w:hAnsi="Times New Roman" w:eastAsia="仿宋_GB2312" w:cs="Times New Roman"/>
          <w:color w:val="auto"/>
          <w:kern w:val="2"/>
          <w:sz w:val="32"/>
          <w:szCs w:val="32"/>
          <w:highlight w:val="none"/>
          <w:lang w:val="en-US" w:eastAsia="zh-CN" w:bidi="ar-SA"/>
        </w:rPr>
        <w:t>广元市朝天区中医医院是一家集医疗、教学、科研、预防、保健、康复为一体的国家“二级甲等”中医医院。是医疗保险及各类商业保险定点医疗机构，120急救网络医院，四川大学华西医院远程教学、会诊定点医院，国家中医适宜技术推广视频教学基地。医院占地面积6122.97㎡，现有业务用房6756.54㎡。医院编制床位100张，目前开放床位</w:t>
      </w:r>
      <w:r>
        <w:rPr>
          <w:rFonts w:hint="eastAsia" w:ascii="仿宋_GB2312" w:eastAsia="仿宋_GB2312" w:cs="Times New Roman"/>
          <w:color w:val="auto"/>
          <w:kern w:val="2"/>
          <w:sz w:val="32"/>
          <w:szCs w:val="32"/>
          <w:highlight w:val="none"/>
          <w:lang w:val="en-US" w:eastAsia="zh-CN" w:bidi="ar-SA"/>
        </w:rPr>
        <w:t>76</w:t>
      </w:r>
      <w:r>
        <w:rPr>
          <w:rFonts w:hint="eastAsia" w:ascii="仿宋_GB2312" w:hAnsi="Times New Roman" w:eastAsia="仿宋_GB2312" w:cs="Times New Roman"/>
          <w:color w:val="auto"/>
          <w:kern w:val="2"/>
          <w:sz w:val="32"/>
          <w:szCs w:val="32"/>
          <w:highlight w:val="none"/>
          <w:lang w:val="en-US" w:eastAsia="zh-CN" w:bidi="ar-SA"/>
        </w:rPr>
        <w:t>张。</w:t>
      </w:r>
    </w:p>
    <w:bookmarkEnd w:id="3"/>
    <w:bookmarkEnd w:id="4"/>
    <w:p>
      <w:pPr>
        <w:numPr>
          <w:ilvl w:val="0"/>
          <w:numId w:val="2"/>
        </w:numPr>
        <w:ind w:firstLine="579" w:firstLineChars="181"/>
        <w:outlineLvl w:val="1"/>
        <w:rPr>
          <w:rFonts w:hint="eastAsia" w:ascii="黑体" w:hAnsi="黑体" w:eastAsia="黑体"/>
          <w:color w:val="auto"/>
          <w:kern w:val="2"/>
          <w:sz w:val="32"/>
          <w:szCs w:val="24"/>
          <w:lang w:val="zh-CN"/>
        </w:rPr>
      </w:pPr>
      <w:bookmarkStart w:id="5" w:name="_Toc19673"/>
      <w:r>
        <w:rPr>
          <w:rFonts w:hint="eastAsia" w:ascii="黑体" w:hAnsi="黑体" w:eastAsia="黑体"/>
          <w:color w:val="000000"/>
          <w:kern w:val="2"/>
          <w:sz w:val="32"/>
          <w:szCs w:val="24"/>
          <w:lang w:val="zh-CN"/>
        </w:rPr>
        <w:t>机</w:t>
      </w:r>
      <w:r>
        <w:rPr>
          <w:rFonts w:hint="eastAsia" w:ascii="黑体" w:hAnsi="黑体" w:eastAsia="黑体"/>
          <w:color w:val="auto"/>
          <w:kern w:val="2"/>
          <w:sz w:val="32"/>
          <w:szCs w:val="24"/>
          <w:lang w:val="zh-CN"/>
        </w:rPr>
        <w:t>构设置</w:t>
      </w:r>
      <w:bookmarkEnd w:id="5"/>
    </w:p>
    <w:p>
      <w:pPr>
        <w:spacing w:line="600" w:lineRule="exact"/>
        <w:ind w:firstLine="640" w:firstLineChars="200"/>
        <w:rPr>
          <w:rFonts w:hint="eastAsia" w:ascii="黑体" w:hAnsi="黑体" w:eastAsia="黑体"/>
          <w:color w:val="auto"/>
          <w:kern w:val="2"/>
          <w:sz w:val="32"/>
          <w:szCs w:val="24"/>
          <w:lang w:val="zh-CN"/>
        </w:rPr>
      </w:pPr>
      <w:r>
        <w:rPr>
          <w:rFonts w:hint="eastAsia" w:ascii="仿宋_GB2312" w:hAnsi="Times New Roman" w:eastAsia="仿宋_GB2312" w:cs="Times New Roman"/>
          <w:color w:val="auto"/>
          <w:kern w:val="2"/>
          <w:sz w:val="32"/>
          <w:szCs w:val="32"/>
          <w:lang w:val="en-US" w:eastAsia="zh-CN" w:bidi="ar-SA"/>
        </w:rPr>
        <w:t>医院设有内科、外科、儿科、妇产科、骨伤科、康复理疗科等病区，门诊功能科室齐全。床位</w:t>
      </w:r>
      <w:r>
        <w:rPr>
          <w:rFonts w:hint="eastAsia" w:ascii="仿宋_GB2312" w:hAnsi="Times New Roman" w:eastAsia="仿宋_GB2312" w:cs="Times New Roman"/>
          <w:color w:val="auto"/>
          <w:kern w:val="2"/>
          <w:sz w:val="32"/>
          <w:szCs w:val="32"/>
          <w:lang w:val="en-GB" w:eastAsia="zh-CN" w:bidi="ar-SA"/>
        </w:rPr>
        <w:t>100</w:t>
      </w:r>
      <w:r>
        <w:rPr>
          <w:rFonts w:hint="eastAsia" w:ascii="仿宋_GB2312" w:hAnsi="Times New Roman" w:eastAsia="仿宋_GB2312" w:cs="Times New Roman"/>
          <w:color w:val="auto"/>
          <w:kern w:val="2"/>
          <w:sz w:val="32"/>
          <w:szCs w:val="32"/>
          <w:lang w:val="en-US" w:eastAsia="zh-CN" w:bidi="ar-SA"/>
        </w:rPr>
        <w:t>张。拥有CT、</w:t>
      </w:r>
      <w:r>
        <w:rPr>
          <w:rFonts w:hint="eastAsia" w:ascii="仿宋_GB2312" w:hAnsi="Times New Roman" w:eastAsia="仿宋_GB2312" w:cs="Times New Roman"/>
          <w:color w:val="auto"/>
          <w:kern w:val="2"/>
          <w:sz w:val="32"/>
          <w:szCs w:val="32"/>
          <w:lang w:val="en-GB" w:eastAsia="zh-CN" w:bidi="ar-SA"/>
        </w:rPr>
        <w:t>DR</w:t>
      </w:r>
      <w:r>
        <w:rPr>
          <w:rFonts w:hint="eastAsia" w:ascii="仿宋_GB2312" w:hAnsi="Times New Roman" w:eastAsia="仿宋_GB2312" w:cs="Times New Roman"/>
          <w:color w:val="auto"/>
          <w:kern w:val="2"/>
          <w:sz w:val="32"/>
          <w:szCs w:val="32"/>
          <w:lang w:val="en-US" w:eastAsia="zh-CN" w:bidi="ar-SA"/>
        </w:rPr>
        <w:t>、进口彩超、数字化</w:t>
      </w:r>
      <w:r>
        <w:rPr>
          <w:rFonts w:hint="eastAsia" w:ascii="仿宋_GB2312" w:hAnsi="Times New Roman" w:eastAsia="仿宋_GB2312" w:cs="Times New Roman"/>
          <w:color w:val="auto"/>
          <w:kern w:val="2"/>
          <w:sz w:val="32"/>
          <w:szCs w:val="32"/>
          <w:lang w:val="en-GB" w:eastAsia="zh-CN" w:bidi="ar-SA"/>
        </w:rPr>
        <w:t>500MA</w:t>
      </w:r>
      <w:r>
        <w:rPr>
          <w:rFonts w:hint="eastAsia" w:ascii="仿宋_GB2312" w:hAnsi="Times New Roman" w:eastAsia="仿宋_GB2312" w:cs="Times New Roman"/>
          <w:color w:val="auto"/>
          <w:kern w:val="2"/>
          <w:sz w:val="32"/>
          <w:szCs w:val="32"/>
          <w:lang w:val="en-US" w:eastAsia="zh-CN" w:bidi="ar-SA"/>
        </w:rPr>
        <w:t>拍片机、</w:t>
      </w:r>
      <w:r>
        <w:rPr>
          <w:rFonts w:hint="eastAsia" w:ascii="仿宋_GB2312" w:hAnsi="Times New Roman" w:eastAsia="仿宋_GB2312" w:cs="Times New Roman"/>
          <w:color w:val="auto"/>
          <w:kern w:val="2"/>
          <w:sz w:val="32"/>
          <w:szCs w:val="32"/>
          <w:lang w:val="en-GB" w:eastAsia="zh-CN" w:bidi="ar-SA"/>
        </w:rPr>
        <w:t>C</w:t>
      </w:r>
      <w:r>
        <w:rPr>
          <w:rFonts w:hint="eastAsia" w:ascii="仿宋_GB2312" w:hAnsi="Times New Roman" w:eastAsia="仿宋_GB2312" w:cs="Times New Roman"/>
          <w:color w:val="auto"/>
          <w:kern w:val="2"/>
          <w:sz w:val="32"/>
          <w:szCs w:val="32"/>
          <w:lang w:val="en-US" w:eastAsia="zh-CN" w:bidi="ar-SA"/>
        </w:rPr>
        <w:t xml:space="preserve">臂、牙科拍片机、数字电子胃镜、电视腹腔镜、全自动生化分析仪、酶标仪等大中型设备；配有多功能麻醉机、多功能呼吸机、除颤起搏仪、中心监护系统等急救设备；并拥有四维全电脑牵引床、熏蒸治疗机、电脑偏瘫治疗仪、骨质增生治疗仪、智能中药熏蒸治疗机、远红外按摩理疗床、射频温控疼痛治疗仪等全市领先的康复理疗设备。   </w:t>
      </w:r>
    </w:p>
    <w:p>
      <w:pPr>
        <w:pStyle w:val="2"/>
        <w:keepNext/>
        <w:keepLines/>
        <w:spacing w:before="340" w:after="330" w:line="576" w:lineRule="exact"/>
        <w:ind w:right="442" w:firstLine="880"/>
        <w:jc w:val="center"/>
        <w:outlineLvl w:val="9"/>
        <w:rPr>
          <w:rFonts w:hint="eastAsia" w:ascii="黑体" w:hAnsi="黑体" w:eastAsia="黑体"/>
          <w:color w:val="000000"/>
          <w:kern w:val="44"/>
          <w:sz w:val="44"/>
          <w:szCs w:val="24"/>
          <w:lang w:val="zh-CN"/>
        </w:rPr>
        <w:sectPr>
          <w:footerReference r:id="rId5" w:type="default"/>
          <w:pgSz w:w="12240" w:h="15840"/>
          <w:pgMar w:top="1440" w:right="1800" w:bottom="1440" w:left="1800" w:header="720" w:footer="720" w:gutter="0"/>
          <w:lnNumType w:countBy="0" w:distance="360"/>
          <w:pgNumType w:fmt="decimal" w:start="1"/>
          <w:cols w:space="720" w:num="1"/>
        </w:sectPr>
      </w:pPr>
    </w:p>
    <w:p>
      <w:pPr>
        <w:pStyle w:val="2"/>
        <w:keepNext/>
        <w:keepLines/>
        <w:spacing w:before="340" w:after="330" w:line="576" w:lineRule="exact"/>
        <w:ind w:right="442" w:firstLine="880"/>
        <w:jc w:val="center"/>
        <w:rPr>
          <w:rFonts w:hint="eastAsia" w:ascii="Times New Roman" w:hAnsi="Times New Roman" w:eastAsia="Times New Roman"/>
          <w:b/>
          <w:color w:val="auto"/>
          <w:kern w:val="44"/>
          <w:sz w:val="44"/>
          <w:szCs w:val="24"/>
          <w:lang w:val="zh-CN"/>
        </w:rPr>
      </w:pPr>
      <w:bookmarkStart w:id="6" w:name="_Toc20258"/>
      <w:r>
        <w:rPr>
          <w:rFonts w:hint="eastAsia" w:ascii="黑体" w:hAnsi="黑体" w:eastAsia="黑体"/>
          <w:color w:val="000000"/>
          <w:kern w:val="44"/>
          <w:sz w:val="44"/>
          <w:szCs w:val="24"/>
          <w:lang w:val="zh-CN"/>
        </w:rPr>
        <w:t>第二部分</w:t>
      </w:r>
      <w:r>
        <w:rPr>
          <w:rFonts w:hint="eastAsia" w:ascii="黑体" w:hAnsi="黑体" w:eastAsia="黑体"/>
          <w:b/>
          <w:color w:val="000000"/>
          <w:kern w:val="44"/>
          <w:sz w:val="44"/>
          <w:szCs w:val="24"/>
          <w:lang w:val="zh-CN"/>
        </w:rPr>
        <w:t xml:space="preserve"> </w:t>
      </w:r>
      <w:r>
        <w:rPr>
          <w:rFonts w:hint="eastAsia" w:ascii="黑体" w:hAnsi="黑体" w:eastAsia="黑体"/>
          <w:color w:val="auto"/>
          <w:kern w:val="44"/>
          <w:sz w:val="44"/>
          <w:szCs w:val="24"/>
          <w:lang w:val="zh-CN"/>
        </w:rPr>
        <w:t>2022年度单位决算情况说明</w:t>
      </w:r>
      <w:bookmarkEnd w:id="6"/>
    </w:p>
    <w:p>
      <w:pPr>
        <w:keepNext/>
        <w:keepLines/>
        <w:spacing w:line="576" w:lineRule="exact"/>
        <w:ind w:firstLine="640"/>
        <w:jc w:val="both"/>
        <w:outlineLvl w:val="1"/>
        <w:rPr>
          <w:rFonts w:hint="eastAsia" w:ascii="黑体" w:hAnsi="黑体" w:eastAsia="黑体"/>
          <w:color w:val="auto"/>
          <w:kern w:val="2"/>
          <w:sz w:val="32"/>
          <w:szCs w:val="24"/>
          <w:lang w:val="zh-CN"/>
        </w:rPr>
      </w:pPr>
      <w:bookmarkStart w:id="7" w:name="_Toc29164"/>
      <w:r>
        <w:rPr>
          <w:rFonts w:hint="eastAsia" w:ascii="黑体" w:hAnsi="黑体" w:eastAsia="黑体"/>
          <w:color w:val="000000"/>
          <w:kern w:val="2"/>
          <w:sz w:val="32"/>
          <w:szCs w:val="24"/>
          <w:lang w:val="zh-CN"/>
        </w:rPr>
        <w:t>一、收</w:t>
      </w:r>
      <w:r>
        <w:rPr>
          <w:rFonts w:hint="eastAsia" w:ascii="黑体" w:hAnsi="黑体" w:eastAsia="黑体"/>
          <w:color w:val="auto"/>
          <w:kern w:val="2"/>
          <w:sz w:val="32"/>
          <w:szCs w:val="24"/>
          <w:lang w:val="zh-CN"/>
        </w:rPr>
        <w:t>入支出决算总体情况说明</w:t>
      </w:r>
      <w:bookmarkEnd w:id="7"/>
    </w:p>
    <w:p>
      <w:pPr>
        <w:spacing w:line="600" w:lineRule="exact"/>
        <w:ind w:firstLine="640" w:firstLineChars="200"/>
        <w:rPr>
          <w:rFonts w:hint="eastAsia" w:ascii="仿宋" w:hAnsi="仿宋" w:eastAsia="仿宋"/>
          <w:color w:val="auto"/>
          <w:sz w:val="32"/>
          <w:szCs w:val="24"/>
          <w:lang w:eastAsia="zh-CN"/>
        </w:rPr>
      </w:pPr>
      <w:r>
        <w:rPr>
          <w:rFonts w:hint="eastAsia" w:ascii="仿宋" w:hAnsi="仿宋" w:eastAsia="仿宋"/>
          <w:color w:val="auto"/>
          <w:sz w:val="32"/>
          <w:szCs w:val="24"/>
        </w:rPr>
        <w:t>20</w:t>
      </w:r>
      <w:r>
        <w:rPr>
          <w:rFonts w:hint="eastAsia" w:ascii="仿宋" w:hAnsi="仿宋" w:eastAsia="仿宋"/>
          <w:color w:val="auto"/>
          <w:sz w:val="32"/>
          <w:szCs w:val="24"/>
          <w:lang w:val="en-US" w:eastAsia="zh-CN"/>
        </w:rPr>
        <w:t>22</w:t>
      </w:r>
      <w:r>
        <w:rPr>
          <w:rFonts w:hint="eastAsia" w:ascii="仿宋" w:hAnsi="仿宋" w:eastAsia="仿宋"/>
          <w:color w:val="auto"/>
          <w:sz w:val="32"/>
          <w:szCs w:val="24"/>
        </w:rPr>
        <w:t>年度收、支总计</w:t>
      </w:r>
      <w:r>
        <w:rPr>
          <w:rFonts w:hint="eastAsia" w:ascii="仿宋" w:hAnsi="仿宋" w:eastAsia="仿宋"/>
          <w:color w:val="auto"/>
          <w:sz w:val="32"/>
          <w:szCs w:val="24"/>
          <w:lang w:val="en-US" w:eastAsia="zh-CN"/>
        </w:rPr>
        <w:t>1477.24、1597.24</w:t>
      </w:r>
      <w:r>
        <w:rPr>
          <w:rFonts w:hint="eastAsia" w:ascii="仿宋" w:hAnsi="仿宋" w:eastAsia="仿宋"/>
          <w:color w:val="auto"/>
          <w:sz w:val="32"/>
          <w:szCs w:val="24"/>
        </w:rPr>
        <w:t>元。与20</w:t>
      </w:r>
      <w:r>
        <w:rPr>
          <w:rFonts w:hint="eastAsia" w:ascii="仿宋" w:hAnsi="仿宋" w:eastAsia="仿宋"/>
          <w:color w:val="auto"/>
          <w:sz w:val="32"/>
          <w:szCs w:val="24"/>
          <w:lang w:val="en-US" w:eastAsia="zh-CN"/>
        </w:rPr>
        <w:t>21</w:t>
      </w:r>
      <w:r>
        <w:rPr>
          <w:rFonts w:hint="eastAsia" w:ascii="仿宋" w:hAnsi="仿宋" w:eastAsia="仿宋"/>
          <w:color w:val="auto"/>
          <w:sz w:val="32"/>
          <w:szCs w:val="24"/>
        </w:rPr>
        <w:t>年相比，收、支总计各减少</w:t>
      </w:r>
      <w:r>
        <w:rPr>
          <w:rFonts w:hint="eastAsia" w:ascii="仿宋" w:hAnsi="仿宋" w:eastAsia="仿宋"/>
          <w:color w:val="auto"/>
          <w:sz w:val="32"/>
          <w:szCs w:val="24"/>
          <w:lang w:val="en-US" w:eastAsia="zh-CN"/>
        </w:rPr>
        <w:t>123.93、83.86</w:t>
      </w:r>
      <w:r>
        <w:rPr>
          <w:rFonts w:hint="eastAsia" w:ascii="仿宋" w:hAnsi="仿宋" w:eastAsia="仿宋"/>
          <w:color w:val="auto"/>
          <w:sz w:val="32"/>
          <w:szCs w:val="24"/>
        </w:rPr>
        <w:t>万元，</w:t>
      </w:r>
      <w:r>
        <w:rPr>
          <w:rFonts w:hint="eastAsia" w:ascii="仿宋" w:hAnsi="仿宋" w:eastAsia="仿宋"/>
          <w:color w:val="auto"/>
          <w:sz w:val="32"/>
          <w:szCs w:val="24"/>
          <w:lang w:val="en-US" w:eastAsia="zh-CN"/>
        </w:rPr>
        <w:t>收入下降4.98%，支出</w:t>
      </w:r>
      <w:r>
        <w:rPr>
          <w:rFonts w:hint="eastAsia" w:ascii="仿宋" w:hAnsi="仿宋" w:eastAsia="仿宋"/>
          <w:color w:val="auto"/>
          <w:sz w:val="32"/>
          <w:szCs w:val="24"/>
        </w:rPr>
        <w:t>下降</w:t>
      </w:r>
      <w:r>
        <w:rPr>
          <w:rFonts w:hint="eastAsia" w:ascii="仿宋" w:hAnsi="仿宋" w:eastAsia="仿宋"/>
          <w:color w:val="auto"/>
          <w:sz w:val="32"/>
          <w:szCs w:val="24"/>
          <w:lang w:val="en-US" w:eastAsia="zh-CN"/>
        </w:rPr>
        <w:t>7.73</w:t>
      </w:r>
      <w:r>
        <w:rPr>
          <w:rFonts w:hint="eastAsia" w:ascii="仿宋" w:hAnsi="仿宋" w:eastAsia="仿宋"/>
          <w:color w:val="auto"/>
          <w:sz w:val="32"/>
          <w:szCs w:val="24"/>
        </w:rPr>
        <w:t>%</w:t>
      </w:r>
      <w:r>
        <w:rPr>
          <w:rFonts w:hint="eastAsia" w:ascii="仿宋" w:hAnsi="仿宋" w:eastAsia="仿宋"/>
          <w:color w:val="auto"/>
          <w:sz w:val="32"/>
          <w:szCs w:val="24"/>
          <w:lang w:eastAsia="zh-CN"/>
        </w:rPr>
        <w:t>，</w:t>
      </w:r>
      <w:r>
        <w:rPr>
          <w:rFonts w:hint="eastAsia" w:ascii="仿宋" w:hAnsi="仿宋" w:eastAsia="仿宋"/>
          <w:color w:val="auto"/>
          <w:sz w:val="32"/>
          <w:szCs w:val="24"/>
        </w:rPr>
        <w:t>主要变动原因是</w:t>
      </w:r>
      <w:r>
        <w:rPr>
          <w:rFonts w:hint="eastAsia" w:ascii="仿宋" w:hAnsi="仿宋" w:eastAsia="仿宋"/>
          <w:color w:val="auto"/>
          <w:sz w:val="32"/>
          <w:szCs w:val="24"/>
          <w:lang w:eastAsia="zh-CN"/>
        </w:rPr>
        <w:t>：</w:t>
      </w:r>
    </w:p>
    <w:p>
      <w:pPr>
        <w:numPr>
          <w:ilvl w:val="0"/>
          <w:numId w:val="3"/>
        </w:numPr>
        <w:spacing w:line="600" w:lineRule="exact"/>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收入减少原因：医共体改革，专业整合，肛肠科病区返回原单位。</w:t>
      </w:r>
    </w:p>
    <w:p>
      <w:pPr>
        <w:numPr>
          <w:ilvl w:val="0"/>
          <w:numId w:val="3"/>
        </w:numPr>
        <w:spacing w:line="600" w:lineRule="exact"/>
        <w:ind w:left="0" w:leftChars="0" w:firstLine="640" w:firstLineChars="200"/>
        <w:rPr>
          <w:rFonts w:hint="eastAsia" w:ascii="仿宋_GB2312"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支出减少原因：医共体改革，专业整合，肛肠病区返回原单位，人员成本减少，费用减少。医疗业务收入减少</w:t>
      </w:r>
      <w:r>
        <w:rPr>
          <w:rFonts w:hint="eastAsia" w:ascii="仿宋_GB2312" w:eastAsia="仿宋_GB2312" w:cs="Times New Roman"/>
          <w:color w:val="auto"/>
          <w:kern w:val="2"/>
          <w:sz w:val="32"/>
          <w:szCs w:val="32"/>
          <w:lang w:val="en-US" w:eastAsia="zh-CN" w:bidi="ar-SA"/>
        </w:rPr>
        <w:t>。医疗成本下降。</w:t>
      </w:r>
    </w:p>
    <w:p>
      <w:pPr>
        <w:pStyle w:val="5"/>
        <w:widowControl w:val="0"/>
        <w:numPr>
          <w:ilvl w:val="0"/>
          <w:numId w:val="0"/>
        </w:numPr>
        <w:autoSpaceDE w:val="0"/>
        <w:autoSpaceDN w:val="0"/>
        <w:adjustRightInd w:val="0"/>
        <w:snapToGrid w:val="0"/>
        <w:rPr>
          <w:rFonts w:hint="default"/>
          <w:lang w:val="en-US"/>
        </w:rPr>
      </w:pPr>
    </w:p>
    <w:p>
      <w:pPr>
        <w:pStyle w:val="5"/>
        <w:widowControl w:val="0"/>
        <w:numPr>
          <w:ilvl w:val="0"/>
          <w:numId w:val="0"/>
        </w:numPr>
        <w:autoSpaceDE w:val="0"/>
        <w:autoSpaceDN w:val="0"/>
        <w:adjustRightInd w:val="0"/>
        <w:snapToGrid w:val="0"/>
        <w:rPr>
          <w:rFonts w:hint="default"/>
          <w:lang w:val="en-US"/>
        </w:rPr>
      </w:pPr>
    </w:p>
    <w:p>
      <w:pPr>
        <w:pStyle w:val="5"/>
        <w:widowControl w:val="0"/>
        <w:numPr>
          <w:ilvl w:val="0"/>
          <w:numId w:val="0"/>
        </w:numPr>
        <w:autoSpaceDE w:val="0"/>
        <w:autoSpaceDN w:val="0"/>
        <w:adjustRightInd w:val="0"/>
        <w:snapToGrid w:val="0"/>
        <w:rPr>
          <w:rFonts w:hint="default"/>
          <w:lang w:val="en-US"/>
        </w:rPr>
      </w:pPr>
    </w:p>
    <w:p>
      <w:pPr>
        <w:pStyle w:val="5"/>
        <w:widowControl w:val="0"/>
        <w:numPr>
          <w:ilvl w:val="0"/>
          <w:numId w:val="0"/>
        </w:numPr>
        <w:autoSpaceDE w:val="0"/>
        <w:autoSpaceDN w:val="0"/>
        <w:adjustRightInd w:val="0"/>
        <w:snapToGrid w:val="0"/>
        <w:rPr>
          <w:rFonts w:hint="default"/>
          <w:lang w:val="en-US"/>
        </w:rPr>
      </w:pPr>
    </w:p>
    <w:p>
      <w:pPr>
        <w:pStyle w:val="5"/>
        <w:rPr>
          <w:rFonts w:hint="eastAsia" w:ascii="仿宋" w:hAnsi="仿宋" w:eastAsia="仿宋"/>
          <w:color w:val="auto"/>
          <w:kern w:val="2"/>
          <w:sz w:val="32"/>
          <w:szCs w:val="24"/>
          <w:lang w:val="en-US"/>
        </w:rPr>
      </w:pPr>
      <w:r>
        <w:rPr>
          <w:rFonts w:hint="eastAsia" w:ascii="黑体" w:hAnsi="黑体" w:eastAsia="黑体"/>
          <w:color w:val="auto"/>
          <w:kern w:val="2"/>
          <w:sz w:val="32"/>
          <w:szCs w:val="24"/>
          <w:lang w:val="zh-CN"/>
        </w:rPr>
        <w:drawing>
          <wp:inline distT="0" distB="0" distL="114300" distR="114300">
            <wp:extent cx="5256530" cy="2988310"/>
            <wp:effectExtent l="5080" t="4445" r="15240" b="1714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（图1：收、支决算总计变动情况图）（柱状图）</w:t>
      </w:r>
    </w:p>
    <w:p>
      <w:pPr>
        <w:keepNext/>
        <w:keepLines/>
        <w:spacing w:line="576" w:lineRule="exact"/>
        <w:ind w:firstLine="640"/>
        <w:jc w:val="both"/>
        <w:outlineLvl w:val="1"/>
        <w:rPr>
          <w:rFonts w:hint="eastAsia" w:ascii="黑体" w:hAnsi="黑体" w:eastAsia="黑体"/>
          <w:color w:val="auto"/>
          <w:kern w:val="2"/>
          <w:sz w:val="32"/>
          <w:szCs w:val="24"/>
          <w:lang w:val="zh-CN"/>
        </w:rPr>
      </w:pPr>
      <w:bookmarkStart w:id="8" w:name="_Toc12688"/>
      <w:r>
        <w:rPr>
          <w:rFonts w:hint="eastAsia" w:ascii="黑体" w:hAnsi="黑体" w:eastAsia="黑体"/>
          <w:color w:val="000000"/>
          <w:kern w:val="2"/>
          <w:sz w:val="32"/>
          <w:szCs w:val="24"/>
          <w:lang w:val="zh-CN"/>
        </w:rPr>
        <w:t>二、收</w:t>
      </w:r>
      <w:r>
        <w:rPr>
          <w:rFonts w:hint="eastAsia" w:ascii="黑体" w:hAnsi="黑体" w:eastAsia="黑体"/>
          <w:color w:val="auto"/>
          <w:kern w:val="2"/>
          <w:sz w:val="32"/>
          <w:szCs w:val="24"/>
          <w:lang w:val="zh-CN"/>
        </w:rPr>
        <w:t>入决算情况说明</w:t>
      </w:r>
      <w:bookmarkEnd w:id="8"/>
    </w:p>
    <w:p>
      <w:pPr>
        <w:keepNext/>
        <w:keepLines/>
        <w:spacing w:line="576" w:lineRule="exact"/>
        <w:ind w:firstLine="640"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收入合计1,477.24万元，其中：一般公共预算财政拨款收入142万元，占9.6%；政府性基金预算财政拨款收入0万元，占0%；国有资本经营预算财政拨款收入0万元，占0%；上级补助收入0万元，占0%；事业收入1,324.92万元，占89.7%；经营收入0万元，占0%；附属单位上缴收入0万元，占0%；其他收入10.32万元，占0.7%。</w:t>
      </w:r>
    </w:p>
    <w:p>
      <w:pPr>
        <w:keepNext/>
        <w:keepLines/>
        <w:spacing w:line="576" w:lineRule="exact"/>
        <w:ind w:firstLine="643" w:firstLineChars="200"/>
        <w:jc w:val="both"/>
        <w:rPr>
          <w:rFonts w:hint="eastAsia" w:ascii="仿宋_GB2312" w:hAnsi="仿宋_GB2312" w:eastAsia="仿宋_GB2312"/>
          <w:color w:val="000000"/>
          <w:kern w:val="2"/>
          <w:sz w:val="32"/>
          <w:szCs w:val="24"/>
          <w:lang w:val="zh-CN"/>
        </w:rPr>
      </w:pPr>
      <w:r>
        <w:rPr>
          <w:rFonts w:hint="eastAsia" w:ascii="仿宋" w:hAnsi="仿宋" w:eastAsia="仿宋"/>
          <w:b/>
          <w:color w:val="auto"/>
          <w:kern w:val="2"/>
          <w:sz w:val="32"/>
          <w:szCs w:val="24"/>
          <w:lang w:val="en-US"/>
        </w:rPr>
        <w:t>（注：数据来源于财决01表，仅罗列本单位涉及的收入。）</w:t>
      </w:r>
    </w:p>
    <w:p>
      <w:pPr>
        <w:keepNext/>
        <w:keepLines/>
        <w:spacing w:line="240" w:lineRule="auto"/>
        <w:jc w:val="both"/>
        <w:rPr>
          <w:rFonts w:hint="eastAsia" w:ascii="仿宋_GB2312" w:hAnsi="仿宋_GB2312" w:eastAsia="仿宋_GB2312"/>
          <w:color w:val="000000"/>
          <w:kern w:val="2"/>
          <w:sz w:val="32"/>
          <w:szCs w:val="24"/>
          <w:lang w:val="zh-CN"/>
        </w:rPr>
      </w:pPr>
    </w:p>
    <w:p>
      <w:pPr>
        <w:keepNext/>
        <w:keepLines/>
        <w:spacing w:line="240" w:lineRule="auto"/>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drawing>
          <wp:inline distT="0" distB="0" distL="114300" distR="114300">
            <wp:extent cx="5168265" cy="2929890"/>
            <wp:effectExtent l="4445" t="4445" r="8890" b="56515"/>
            <wp:docPr id="3" name="图表 3"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3"/>
        <w:jc w:val="both"/>
        <w:rPr>
          <w:rFonts w:hint="eastAsia" w:ascii="仿宋" w:hAnsi="仿宋" w:eastAsia="仿宋"/>
          <w:b/>
          <w:color w:val="auto"/>
          <w:kern w:val="2"/>
          <w:sz w:val="32"/>
          <w:szCs w:val="24"/>
          <w:lang w:val="en-US"/>
        </w:rPr>
      </w:pPr>
    </w:p>
    <w:p>
      <w:pPr>
        <w:spacing w:line="600" w:lineRule="exact"/>
        <w:jc w:val="center"/>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（图2：收入决算结构图）（饼状图）</w:t>
      </w:r>
    </w:p>
    <w:p>
      <w:pPr>
        <w:numPr>
          <w:ilvl w:val="0"/>
          <w:numId w:val="0"/>
        </w:numPr>
        <w:spacing w:line="600" w:lineRule="exact"/>
        <w:ind w:firstLine="640" w:firstLineChars="200"/>
        <w:jc w:val="both"/>
        <w:outlineLvl w:val="1"/>
        <w:rPr>
          <w:rFonts w:hint="eastAsia" w:ascii="黑体" w:hAnsi="黑体" w:eastAsia="黑体"/>
          <w:color w:val="auto"/>
          <w:kern w:val="2"/>
          <w:sz w:val="32"/>
          <w:szCs w:val="24"/>
          <w:lang w:val="zh-CN"/>
        </w:rPr>
      </w:pPr>
      <w:bookmarkStart w:id="9" w:name="_Toc19404"/>
      <w:r>
        <w:rPr>
          <w:rFonts w:hint="eastAsia" w:ascii="黑体" w:hAnsi="黑体" w:eastAsia="黑体"/>
          <w:color w:val="000000"/>
          <w:kern w:val="2"/>
          <w:sz w:val="32"/>
          <w:szCs w:val="24"/>
          <w:lang w:val="en-US" w:eastAsia="zh-CN"/>
        </w:rPr>
        <w:t>三、</w:t>
      </w:r>
      <w:r>
        <w:rPr>
          <w:rFonts w:hint="eastAsia" w:ascii="黑体" w:hAnsi="黑体" w:eastAsia="黑体"/>
          <w:color w:val="000000"/>
          <w:kern w:val="2"/>
          <w:sz w:val="32"/>
          <w:szCs w:val="24"/>
          <w:lang w:val="zh-CN"/>
        </w:rPr>
        <w:t>支</w:t>
      </w:r>
      <w:r>
        <w:rPr>
          <w:rFonts w:hint="eastAsia" w:ascii="黑体" w:hAnsi="黑体" w:eastAsia="黑体"/>
          <w:color w:val="auto"/>
          <w:kern w:val="2"/>
          <w:sz w:val="32"/>
          <w:szCs w:val="24"/>
          <w:lang w:val="zh-CN"/>
        </w:rPr>
        <w:t>出决算情况说明</w:t>
      </w:r>
      <w:bookmarkEnd w:id="9"/>
    </w:p>
    <w:p>
      <w:pPr>
        <w:numPr>
          <w:ilvl w:val="0"/>
          <w:numId w:val="0"/>
        </w:numPr>
        <w:spacing w:line="600" w:lineRule="exact"/>
        <w:ind w:firstLine="640"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2022年本年支出合计1,597.24万元，其中：基本支出1,580.24万元，占98.9%；项目支出17万元，占1.1%。</w:t>
      </w:r>
    </w:p>
    <w:p>
      <w:pPr>
        <w:spacing w:line="600" w:lineRule="exact"/>
        <w:ind w:firstLine="643"/>
        <w:jc w:val="both"/>
        <w:rPr>
          <w:rFonts w:hint="eastAsia" w:ascii="仿宋" w:hAnsi="仿宋" w:eastAsia="仿宋"/>
          <w:b/>
          <w:color w:val="auto"/>
          <w:kern w:val="2"/>
          <w:sz w:val="32"/>
          <w:szCs w:val="24"/>
          <w:lang w:val="en-US"/>
        </w:rPr>
      </w:pPr>
      <w:r>
        <w:rPr>
          <w:rFonts w:hint="eastAsia" w:ascii="仿宋" w:hAnsi="仿宋" w:eastAsia="仿宋"/>
          <w:b/>
          <w:color w:val="auto"/>
          <w:kern w:val="2"/>
          <w:sz w:val="32"/>
          <w:szCs w:val="24"/>
          <w:lang w:val="en-US"/>
        </w:rPr>
        <w:t>（注：数据来源于财决04表，仅罗列本单位涉及的支出。）</w:t>
      </w:r>
    </w:p>
    <w:p>
      <w:pPr>
        <w:spacing w:line="600" w:lineRule="exact"/>
        <w:ind w:firstLine="643"/>
        <w:jc w:val="both"/>
        <w:rPr>
          <w:rFonts w:hint="eastAsia" w:ascii="仿宋" w:hAnsi="仿宋" w:eastAsia="仿宋"/>
          <w:b/>
          <w:color w:val="auto"/>
          <w:kern w:val="2"/>
          <w:sz w:val="32"/>
          <w:szCs w:val="24"/>
          <w:lang w:val="en-US"/>
        </w:rPr>
      </w:pPr>
      <w:r>
        <w:rPr>
          <w:rFonts w:hint="eastAsia" w:ascii="仿宋" w:hAnsi="仿宋" w:eastAsia="仿宋"/>
          <w:b/>
          <w:color w:val="auto"/>
          <w:kern w:val="2"/>
          <w:sz w:val="32"/>
          <w:szCs w:val="24"/>
          <w:lang w:val="en-US" w:eastAsia="zh-CN"/>
        </w:rPr>
        <w:drawing>
          <wp:anchor distT="0" distB="0" distL="114300" distR="114300" simplePos="0" relativeHeight="251660288" behindDoc="1" locked="0" layoutInCell="1" allowOverlap="1">
            <wp:simplePos x="0" y="0"/>
            <wp:positionH relativeFrom="column">
              <wp:posOffset>595630</wp:posOffset>
            </wp:positionH>
            <wp:positionV relativeFrom="paragraph">
              <wp:posOffset>170180</wp:posOffset>
            </wp:positionV>
            <wp:extent cx="4246245" cy="2100580"/>
            <wp:effectExtent l="5080" t="4445" r="15875" b="47625"/>
            <wp:wrapNone/>
            <wp:docPr id="4" name="图表 4"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3"/>
        <w:jc w:val="both"/>
        <w:rPr>
          <w:rFonts w:hint="eastAsia" w:ascii="仿宋" w:hAnsi="仿宋" w:eastAsia="仿宋"/>
          <w:b/>
          <w:color w:val="auto"/>
          <w:kern w:val="2"/>
          <w:sz w:val="32"/>
          <w:szCs w:val="24"/>
          <w:lang w:val="en-US"/>
        </w:rPr>
      </w:pPr>
    </w:p>
    <w:p>
      <w:pPr>
        <w:spacing w:line="600" w:lineRule="exact"/>
        <w:ind w:firstLine="643"/>
        <w:jc w:val="both"/>
        <w:rPr>
          <w:rFonts w:hint="eastAsia" w:ascii="仿宋" w:hAnsi="仿宋" w:eastAsia="仿宋"/>
          <w:b/>
          <w:color w:val="auto"/>
          <w:kern w:val="2"/>
          <w:sz w:val="32"/>
          <w:szCs w:val="24"/>
          <w:lang w:val="en-US" w:eastAsia="zh-CN"/>
        </w:rPr>
      </w:pPr>
    </w:p>
    <w:p>
      <w:pPr>
        <w:spacing w:line="600" w:lineRule="exact"/>
        <w:ind w:firstLine="643"/>
        <w:jc w:val="both"/>
        <w:rPr>
          <w:rFonts w:hint="eastAsia" w:ascii="仿宋" w:hAnsi="仿宋" w:eastAsia="仿宋"/>
          <w:b/>
          <w:color w:val="auto"/>
          <w:kern w:val="2"/>
          <w:sz w:val="32"/>
          <w:szCs w:val="24"/>
          <w:lang w:val="en-US"/>
        </w:rPr>
      </w:pPr>
    </w:p>
    <w:p>
      <w:pPr>
        <w:spacing w:line="600" w:lineRule="exact"/>
        <w:ind w:firstLine="643"/>
        <w:jc w:val="both"/>
        <w:rPr>
          <w:rFonts w:hint="eastAsia" w:ascii="仿宋" w:hAnsi="仿宋" w:eastAsia="仿宋"/>
          <w:b/>
          <w:color w:val="auto"/>
          <w:kern w:val="2"/>
          <w:sz w:val="32"/>
          <w:szCs w:val="24"/>
          <w:lang w:val="en-US"/>
        </w:rPr>
      </w:pPr>
    </w:p>
    <w:p>
      <w:pPr>
        <w:spacing w:line="600" w:lineRule="exact"/>
        <w:jc w:val="both"/>
        <w:rPr>
          <w:rFonts w:hint="eastAsia" w:ascii="仿宋" w:hAnsi="仿宋" w:eastAsia="仿宋"/>
          <w:color w:val="auto"/>
          <w:kern w:val="2"/>
          <w:sz w:val="32"/>
          <w:szCs w:val="24"/>
          <w:lang w:val="en-US"/>
        </w:rPr>
      </w:pPr>
    </w:p>
    <w:p>
      <w:pPr>
        <w:pageBreakBefore w:val="0"/>
        <w:widowControl w:val="0"/>
        <w:kinsoku/>
        <w:wordWrap/>
        <w:overflowPunct/>
        <w:topLinePunct w:val="0"/>
        <w:autoSpaceDE w:val="0"/>
        <w:autoSpaceDN w:val="0"/>
        <w:bidi w:val="0"/>
        <w:adjustRightInd w:val="0"/>
        <w:spacing w:line="520" w:lineRule="exact"/>
        <w:jc w:val="center"/>
        <w:textAlignment w:val="auto"/>
        <w:rPr>
          <w:rFonts w:hint="eastAsia"/>
          <w:lang w:val="en-US"/>
        </w:rPr>
      </w:pPr>
      <w:r>
        <w:rPr>
          <w:rFonts w:hint="eastAsia" w:ascii="仿宋" w:hAnsi="仿宋" w:eastAsia="仿宋"/>
          <w:color w:val="auto"/>
          <w:kern w:val="2"/>
          <w:sz w:val="32"/>
          <w:szCs w:val="24"/>
          <w:lang w:val="en-US"/>
        </w:rPr>
        <w:t>（图3：支出决算结构图）（饼状图）</w:t>
      </w:r>
    </w:p>
    <w:p>
      <w:pPr>
        <w:keepNext/>
        <w:keepLines/>
        <w:pageBreakBefore w:val="0"/>
        <w:widowControl w:val="0"/>
        <w:kinsoku/>
        <w:wordWrap/>
        <w:overflowPunct/>
        <w:topLinePunct w:val="0"/>
        <w:autoSpaceDE w:val="0"/>
        <w:autoSpaceDN w:val="0"/>
        <w:bidi w:val="0"/>
        <w:adjustRightInd w:val="0"/>
        <w:spacing w:line="520" w:lineRule="exact"/>
        <w:ind w:firstLine="640"/>
        <w:jc w:val="both"/>
        <w:textAlignment w:val="auto"/>
        <w:outlineLvl w:val="1"/>
        <w:rPr>
          <w:rFonts w:hint="eastAsia" w:ascii="黑体" w:hAnsi="黑体" w:eastAsia="黑体"/>
          <w:color w:val="auto"/>
          <w:kern w:val="2"/>
          <w:sz w:val="32"/>
          <w:szCs w:val="24"/>
          <w:lang w:val="zh-CN"/>
        </w:rPr>
      </w:pPr>
      <w:bookmarkStart w:id="10" w:name="_Toc15887"/>
      <w:r>
        <w:rPr>
          <w:rFonts w:hint="eastAsia" w:ascii="黑体" w:hAnsi="黑体" w:eastAsia="黑体"/>
          <w:color w:val="000000"/>
          <w:kern w:val="2"/>
          <w:sz w:val="32"/>
          <w:szCs w:val="24"/>
          <w:lang w:val="zh-CN"/>
        </w:rPr>
        <w:t>四、财</w:t>
      </w:r>
      <w:r>
        <w:rPr>
          <w:rFonts w:hint="eastAsia" w:ascii="黑体" w:hAnsi="黑体" w:eastAsia="黑体"/>
          <w:color w:val="auto"/>
          <w:kern w:val="2"/>
          <w:sz w:val="32"/>
          <w:szCs w:val="24"/>
          <w:lang w:val="zh-CN"/>
        </w:rPr>
        <w:t>政拨款收入支出决算总体情况说明</w:t>
      </w:r>
      <w:bookmarkEnd w:id="10"/>
    </w:p>
    <w:p>
      <w:pPr>
        <w:pageBreakBefore w:val="0"/>
        <w:widowControl w:val="0"/>
        <w:kinsoku/>
        <w:wordWrap/>
        <w:overflowPunct/>
        <w:topLinePunct w:val="0"/>
        <w:autoSpaceDE w:val="0"/>
        <w:autoSpaceDN w:val="0"/>
        <w:bidi w:val="0"/>
        <w:adjustRightInd w:val="0"/>
        <w:spacing w:line="520" w:lineRule="exact"/>
        <w:ind w:firstLine="640"/>
        <w:textAlignment w:val="auto"/>
        <w:rPr>
          <w:rFonts w:hint="eastAsia" w:ascii="仿宋_GB2312" w:hAnsi="仿宋_GB2312" w:eastAsia="仿宋_GB2312"/>
          <w:color w:val="000000"/>
          <w:kern w:val="2"/>
          <w:sz w:val="32"/>
          <w:szCs w:val="24"/>
          <w:lang w:val="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142、262</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35.32、</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19.92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财政拨款减少。</w:t>
      </w:r>
      <w:r>
        <w:rPr>
          <w:rFonts w:hint="eastAsia" w:ascii="仿宋" w:hAnsi="仿宋" w:eastAsia="仿宋"/>
          <w:color w:val="auto"/>
          <w:sz w:val="32"/>
          <w:szCs w:val="32"/>
          <w:highlight w:val="none"/>
        </w:rPr>
        <w:t>财政拨款</w:t>
      </w:r>
      <w:r>
        <w:rPr>
          <w:rFonts w:hint="eastAsia" w:ascii="仿宋" w:hAnsi="仿宋" w:eastAsia="仿宋"/>
          <w:color w:val="auto"/>
          <w:sz w:val="32"/>
          <w:szCs w:val="32"/>
          <w:highlight w:val="none"/>
          <w:lang w:val="en-US" w:eastAsia="zh-CN"/>
        </w:rPr>
        <w:t>支出增加4.74万元，增长1.84%。主要变动原因是医院事业收入下降，财政收入支付基本支出保障日常运转。</w:t>
      </w:r>
    </w:p>
    <w:p>
      <w:pPr>
        <w:pageBreakBefore w:val="0"/>
        <w:widowControl w:val="0"/>
        <w:kinsoku/>
        <w:wordWrap/>
        <w:overflowPunct/>
        <w:topLinePunct w:val="0"/>
        <w:autoSpaceDE w:val="0"/>
        <w:autoSpaceDN w:val="0"/>
        <w:bidi w:val="0"/>
        <w:adjustRightInd w:val="0"/>
        <w:spacing w:line="520" w:lineRule="exact"/>
        <w:ind w:firstLine="640"/>
        <w:jc w:val="both"/>
        <w:textAlignment w:val="auto"/>
        <w:rPr>
          <w:rFonts w:hint="eastAsia" w:ascii="仿宋" w:hAnsi="仿宋" w:eastAsia="仿宋"/>
          <w:b/>
          <w:color w:val="auto"/>
          <w:kern w:val="2"/>
          <w:sz w:val="32"/>
          <w:szCs w:val="24"/>
          <w:lang w:val="en-US"/>
        </w:rPr>
      </w:pPr>
      <w:r>
        <w:rPr>
          <w:rFonts w:hint="eastAsia" w:ascii="仿宋" w:hAnsi="仿宋" w:eastAsia="仿宋"/>
          <w:b/>
          <w:color w:val="auto"/>
          <w:kern w:val="2"/>
          <w:sz w:val="32"/>
          <w:szCs w:val="24"/>
          <w:lang w:val="en-US" w:eastAsia="zh-CN"/>
        </w:rPr>
        <w:drawing>
          <wp:anchor distT="0" distB="0" distL="114300" distR="114300" simplePos="0" relativeHeight="251661312" behindDoc="0" locked="0" layoutInCell="1" allowOverlap="1">
            <wp:simplePos x="0" y="0"/>
            <wp:positionH relativeFrom="column">
              <wp:posOffset>281305</wp:posOffset>
            </wp:positionH>
            <wp:positionV relativeFrom="paragraph">
              <wp:posOffset>426085</wp:posOffset>
            </wp:positionV>
            <wp:extent cx="4874895" cy="2157730"/>
            <wp:effectExtent l="4445" t="4445" r="16510" b="9525"/>
            <wp:wrapTopAndBottom/>
            <wp:docPr id="5" name="图表 5" descr="7b0a202020202263686172745265734964223a2022343631303335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b/>
          <w:color w:val="auto"/>
          <w:kern w:val="2"/>
          <w:sz w:val="32"/>
          <w:szCs w:val="24"/>
          <w:lang w:val="en-US"/>
        </w:rPr>
        <w:t>（注：数据来源于财决01-1表）</w:t>
      </w:r>
    </w:p>
    <w:p>
      <w:pPr>
        <w:spacing w:line="600" w:lineRule="exact"/>
        <w:jc w:val="both"/>
        <w:rPr>
          <w:rFonts w:hint="eastAsia" w:ascii="仿宋" w:hAnsi="仿宋" w:eastAsia="仿宋"/>
          <w:color w:val="auto"/>
          <w:kern w:val="2"/>
          <w:sz w:val="32"/>
          <w:szCs w:val="24"/>
          <w:lang w:val="en-US"/>
        </w:rPr>
      </w:pPr>
      <w:r>
        <w:rPr>
          <w:rFonts w:hint="eastAsia" w:ascii="仿宋" w:hAnsi="仿宋" w:eastAsia="仿宋"/>
          <w:b/>
          <w:color w:val="auto"/>
          <w:kern w:val="2"/>
          <w:sz w:val="32"/>
          <w:szCs w:val="24"/>
          <w:lang w:val="en-US" w:eastAsia="zh-CN"/>
        </w:rPr>
        <w:t xml:space="preserve">  </w:t>
      </w:r>
      <w:r>
        <w:rPr>
          <w:rFonts w:hint="eastAsia" w:ascii="仿宋" w:hAnsi="仿宋" w:eastAsia="仿宋"/>
          <w:color w:val="auto"/>
          <w:kern w:val="2"/>
          <w:sz w:val="32"/>
          <w:szCs w:val="24"/>
          <w:lang w:val="en-US"/>
        </w:rPr>
        <w:t>（图4：财政拨款收、支决算总计变动情况）（柱状图）</w:t>
      </w:r>
    </w:p>
    <w:p>
      <w:pPr>
        <w:numPr>
          <w:ilvl w:val="0"/>
          <w:numId w:val="0"/>
        </w:numPr>
        <w:spacing w:line="600" w:lineRule="exact"/>
        <w:ind w:firstLine="643" w:firstLineChars="200"/>
        <w:jc w:val="both"/>
        <w:outlineLvl w:val="1"/>
        <w:rPr>
          <w:rFonts w:hint="eastAsia" w:ascii="仿宋_GB2312" w:hAnsi="仿宋_GB2312" w:eastAsia="仿宋_GB2312"/>
          <w:b/>
          <w:color w:val="000000"/>
          <w:kern w:val="2"/>
          <w:sz w:val="32"/>
          <w:szCs w:val="24"/>
          <w:lang w:val="zh-CN"/>
        </w:rPr>
      </w:pPr>
      <w:bookmarkStart w:id="11" w:name="_Toc32530"/>
      <w:r>
        <w:rPr>
          <w:rFonts w:hint="eastAsia" w:ascii="黑体" w:hAnsi="黑体" w:eastAsia="黑体"/>
          <w:b/>
          <w:color w:val="000000"/>
          <w:kern w:val="2"/>
          <w:sz w:val="32"/>
          <w:szCs w:val="24"/>
          <w:lang w:val="en-US" w:eastAsia="zh-CN"/>
        </w:rPr>
        <w:t>五、</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般公共预算财政拨款支出决算情况说明</w:t>
      </w:r>
      <w:bookmarkEnd w:id="11"/>
    </w:p>
    <w:p>
      <w:pPr>
        <w:numPr>
          <w:ilvl w:val="0"/>
          <w:numId w:val="4"/>
        </w:numPr>
        <w:spacing w:line="600" w:lineRule="exact"/>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一般公共预算财政拨款支出决算总体情况。</w:t>
      </w:r>
    </w:p>
    <w:p>
      <w:pPr>
        <w:numPr>
          <w:ilvl w:val="0"/>
          <w:numId w:val="0"/>
        </w:numPr>
        <w:spacing w:line="240" w:lineRule="auto"/>
        <w:ind w:firstLine="640" w:firstLineChars="200"/>
        <w:jc w:val="both"/>
        <w:rPr>
          <w:rFonts w:hint="default" w:ascii="仿宋_GB2312" w:hAnsi="仿宋_GB2312" w:eastAsia="仿宋_GB2312"/>
          <w:color w:val="000000"/>
          <w:kern w:val="2"/>
          <w:sz w:val="32"/>
          <w:szCs w:val="24"/>
          <w:lang w:val="en-US" w:eastAsia="zh-CN"/>
        </w:rPr>
      </w:pPr>
      <w:r>
        <w:rPr>
          <w:rFonts w:hint="eastAsia" w:ascii="仿宋_GB2312" w:hAnsi="仿宋_GB2312" w:eastAsia="仿宋_GB2312"/>
          <w:color w:val="000000"/>
          <w:kern w:val="2"/>
          <w:sz w:val="32"/>
          <w:szCs w:val="24"/>
          <w:lang w:val="zh-CN"/>
        </w:rPr>
        <w:t>2022年一般公共预算财政拨款支出262万元，占本年支出合计的16.4%。与2021年相比，一般公共预算财政拨款支出增加4.74万元，主要变动原因是</w:t>
      </w:r>
      <w:r>
        <w:rPr>
          <w:rFonts w:hint="eastAsia" w:ascii="仿宋_GB2312" w:hAnsi="仿宋_GB2312" w:eastAsia="仿宋_GB2312"/>
          <w:color w:val="000000"/>
          <w:kern w:val="2"/>
          <w:sz w:val="32"/>
          <w:szCs w:val="24"/>
          <w:lang w:val="en-US" w:eastAsia="zh-CN"/>
        </w:rPr>
        <w:t>事业收入减少，财政拨款保障日常运转。</w:t>
      </w:r>
      <w:r>
        <w:rPr>
          <w:rFonts w:hint="eastAsia" w:ascii="仿宋_GB2312" w:hAnsi="仿宋_GB2312" w:eastAsia="仿宋_GB2312"/>
          <w:color w:val="000000"/>
          <w:kern w:val="2"/>
          <w:sz w:val="32"/>
          <w:szCs w:val="24"/>
          <w:lang w:val="en-US" w:eastAsia="zh-CN"/>
        </w:rPr>
        <w:drawing>
          <wp:anchor distT="0" distB="0" distL="114300" distR="114300" simplePos="0" relativeHeight="251662336" behindDoc="0" locked="0" layoutInCell="1" allowOverlap="1">
            <wp:simplePos x="0" y="0"/>
            <wp:positionH relativeFrom="column">
              <wp:posOffset>474345</wp:posOffset>
            </wp:positionH>
            <wp:positionV relativeFrom="paragraph">
              <wp:posOffset>228600</wp:posOffset>
            </wp:positionV>
            <wp:extent cx="4690745" cy="2820670"/>
            <wp:effectExtent l="4445" t="5080" r="10160" b="1270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jc w:val="both"/>
        <w:rPr>
          <w:rFonts w:hint="eastAsia" w:ascii="仿宋_GB2312" w:hAnsi="仿宋_GB2312" w:eastAsia="仿宋_GB2312"/>
          <w:b/>
          <w:color w:val="000000"/>
          <w:kern w:val="2"/>
          <w:sz w:val="32"/>
          <w:szCs w:val="24"/>
          <w:lang w:val="zh-CN"/>
        </w:rPr>
      </w:pPr>
      <w:r>
        <w:rPr>
          <w:rFonts w:hint="eastAsia" w:ascii="仿宋" w:hAnsi="仿宋" w:eastAsia="仿宋"/>
          <w:color w:val="auto"/>
          <w:kern w:val="2"/>
          <w:sz w:val="32"/>
          <w:szCs w:val="24"/>
          <w:lang w:val="en-US"/>
        </w:rPr>
        <w:t>（图5：一般公共预算财政拨款支出决算变动情况）（柱状图）</w:t>
      </w:r>
      <w:r>
        <w:rPr>
          <w:rFonts w:hint="eastAsia" w:ascii="仿宋_GB2312" w:hAnsi="仿宋_GB2312" w:eastAsia="仿宋_GB2312"/>
          <w:b/>
          <w:color w:val="000000"/>
          <w:kern w:val="2"/>
          <w:sz w:val="32"/>
          <w:szCs w:val="24"/>
          <w:lang w:val="zh-CN"/>
        </w:rPr>
        <w:t>（二）一般公共预算财政拨款支出决算结构情况。</w:t>
      </w:r>
    </w:p>
    <w:p>
      <w:pPr>
        <w:spacing w:line="600" w:lineRule="exact"/>
        <w:ind w:firstLine="640"/>
        <w:jc w:val="both"/>
        <w:rPr>
          <w:rFonts w:hint="eastAsia" w:ascii="仿宋_GB2312" w:hAnsi="仿宋_GB2312" w:eastAsia="仿宋_GB2312"/>
          <w:color w:val="000000"/>
          <w:kern w:val="2"/>
          <w:sz w:val="32"/>
          <w:szCs w:val="24"/>
          <w:lang w:val="en-US" w:eastAsia="zh-CN"/>
        </w:rPr>
      </w:pPr>
      <w:r>
        <w:rPr>
          <w:rFonts w:hint="eastAsia" w:ascii="仿宋_GB2312" w:hAnsi="仿宋_GB2312" w:eastAsia="仿宋_GB2312"/>
          <w:color w:val="000000"/>
          <w:kern w:val="2"/>
          <w:sz w:val="32"/>
          <w:szCs w:val="24"/>
          <w:lang w:val="zh-CN"/>
        </w:rPr>
        <w:t>2022年一般公共预算财政拨款支出262万元，主要用于以下方面:卫生健康支出262万元，占100%；</w:t>
      </w:r>
      <w:r>
        <w:rPr>
          <w:rFonts w:hint="eastAsia" w:ascii="仿宋_GB2312" w:hAnsi="仿宋_GB2312" w:eastAsia="仿宋_GB2312"/>
          <w:color w:val="000000"/>
          <w:kern w:val="2"/>
          <w:sz w:val="32"/>
          <w:szCs w:val="24"/>
          <w:lang w:val="en-US" w:eastAsia="zh-CN"/>
        </w:rPr>
        <w:t>其中</w:t>
      </w:r>
      <w:r>
        <w:rPr>
          <w:rFonts w:hint="eastAsia" w:ascii="仿宋_GB2312" w:eastAsia="仿宋_GB2312"/>
          <w:color w:val="auto"/>
          <w:sz w:val="32"/>
          <w:szCs w:val="32"/>
          <w:highlight w:val="none"/>
          <w:lang w:val="en-US" w:eastAsia="zh-CN"/>
        </w:rPr>
        <w:t>其中中医（民族）医院支出260万元，重大公共卫生服务2万元。</w:t>
      </w:r>
    </w:p>
    <w:p>
      <w:pPr>
        <w:spacing w:line="600" w:lineRule="exact"/>
        <w:ind w:firstLine="640"/>
        <w:jc w:val="both"/>
        <w:rPr>
          <w:rFonts w:hint="eastAsia" w:ascii="仿宋_GB2312" w:hAnsi="仿宋_GB2312" w:eastAsia="仿宋_GB2312"/>
          <w:b/>
          <w:bCs/>
          <w:color w:val="000000"/>
          <w:kern w:val="2"/>
          <w:sz w:val="32"/>
          <w:szCs w:val="24"/>
          <w:lang w:val="en-US"/>
        </w:rPr>
      </w:pPr>
      <w:r>
        <w:rPr>
          <w:rFonts w:hint="eastAsia" w:ascii="仿宋_GB2312" w:hAnsi="仿宋_GB2312" w:eastAsia="仿宋_GB2312"/>
          <w:b/>
          <w:bCs/>
          <w:color w:val="000000"/>
          <w:kern w:val="2"/>
          <w:sz w:val="32"/>
          <w:szCs w:val="24"/>
          <w:lang w:val="en-US"/>
        </w:rPr>
        <w:t>（注：数据来源于财决01-1表，仅罗列本单位涉及的全部功能分类科目，至类级。）</w:t>
      </w:r>
    </w:p>
    <w:p>
      <w:pPr>
        <w:spacing w:line="240" w:lineRule="auto"/>
        <w:jc w:val="both"/>
        <w:rPr>
          <w:rFonts w:hint="default" w:ascii="仿宋" w:hAnsi="仿宋" w:eastAsia="仿宋"/>
          <w:b/>
          <w:color w:val="auto"/>
          <w:kern w:val="2"/>
          <w:sz w:val="32"/>
          <w:szCs w:val="24"/>
          <w:lang w:val="en-US"/>
        </w:rPr>
      </w:pPr>
      <w:r>
        <w:rPr>
          <w:rFonts w:hint="eastAsia" w:ascii="仿宋" w:hAnsi="仿宋" w:eastAsia="仿宋"/>
          <w:b/>
          <w:color w:val="auto"/>
          <w:kern w:val="2"/>
          <w:sz w:val="32"/>
          <w:szCs w:val="24"/>
          <w:lang w:val="en-US" w:eastAsia="zh-CN"/>
        </w:rPr>
        <w:drawing>
          <wp:anchor distT="0" distB="0" distL="114300" distR="114300" simplePos="0" relativeHeight="251659264" behindDoc="0" locked="0" layoutInCell="1" allowOverlap="1">
            <wp:simplePos x="0" y="0"/>
            <wp:positionH relativeFrom="column">
              <wp:posOffset>330835</wp:posOffset>
            </wp:positionH>
            <wp:positionV relativeFrom="paragraph">
              <wp:posOffset>241300</wp:posOffset>
            </wp:positionV>
            <wp:extent cx="4743450" cy="2558415"/>
            <wp:effectExtent l="4445" t="4445" r="14605" b="46990"/>
            <wp:wrapTopAndBottom/>
            <wp:docPr id="7" name="图表 7"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b/>
          <w:color w:val="auto"/>
          <w:kern w:val="2"/>
          <w:sz w:val="28"/>
          <w:szCs w:val="22"/>
          <w:lang w:val="en-US" w:eastAsia="zh-CN"/>
        </w:rPr>
        <w:t xml:space="preserve">  </w:t>
      </w:r>
    </w:p>
    <w:p>
      <w:pPr>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仿宋" w:hAnsi="仿宋" w:eastAsia="仿宋"/>
          <w:color w:val="auto"/>
          <w:kern w:val="2"/>
          <w:sz w:val="32"/>
          <w:szCs w:val="24"/>
          <w:lang w:val="en-US" w:eastAsia="zh-CN"/>
        </w:rPr>
      </w:pPr>
      <w:r>
        <w:rPr>
          <w:rFonts w:hint="eastAsia" w:ascii="仿宋" w:hAnsi="仿宋" w:eastAsia="仿宋"/>
          <w:color w:val="auto"/>
          <w:kern w:val="2"/>
          <w:sz w:val="32"/>
          <w:szCs w:val="24"/>
          <w:lang w:val="en-US"/>
        </w:rPr>
        <w:t>（图6：一般公共预算财政拨款支出决算结构）（饼状</w:t>
      </w:r>
      <w:r>
        <w:rPr>
          <w:rFonts w:hint="eastAsia" w:ascii="仿宋" w:hAnsi="仿宋" w:eastAsia="仿宋"/>
          <w:color w:val="auto"/>
          <w:kern w:val="2"/>
          <w:sz w:val="32"/>
          <w:szCs w:val="24"/>
          <w:lang w:val="en-US" w:eastAsia="zh-CN"/>
        </w:rPr>
        <w:t>）</w:t>
      </w:r>
    </w:p>
    <w:p>
      <w:pPr>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（三）一般公共预算财政拨款支出决算具体情况。</w:t>
      </w:r>
    </w:p>
    <w:p>
      <w:pPr>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2022年一般公共预算支出决算数为262万元</w:t>
      </w:r>
      <w:r>
        <w:rPr>
          <w:rFonts w:hint="eastAsia" w:ascii="仿宋_GB2312" w:hAnsi="仿宋_GB2312" w:eastAsia="仿宋_GB2312"/>
          <w:color w:val="000000"/>
          <w:kern w:val="2"/>
          <w:sz w:val="32"/>
          <w:szCs w:val="24"/>
          <w:lang w:val="zh-CN"/>
        </w:rPr>
        <w:t>，</w:t>
      </w:r>
      <w:r>
        <w:rPr>
          <w:rFonts w:hint="eastAsia" w:ascii="仿宋_GB2312" w:hAnsi="仿宋_GB2312" w:eastAsia="仿宋_GB2312"/>
          <w:b/>
          <w:color w:val="000000"/>
          <w:kern w:val="2"/>
          <w:sz w:val="32"/>
          <w:szCs w:val="24"/>
          <w:lang w:val="zh-CN"/>
        </w:rPr>
        <w:t>完成预算100%。其中：</w:t>
      </w:r>
    </w:p>
    <w:p>
      <w:pPr>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eastAsia="仿宋_GB2312"/>
          <w:color w:val="auto"/>
          <w:sz w:val="32"/>
          <w:szCs w:val="32"/>
          <w:highlight w:val="none"/>
          <w:lang w:val="en-US" w:eastAsia="zh-CN"/>
        </w:rPr>
      </w:pPr>
      <w:r>
        <w:rPr>
          <w:rFonts w:hint="eastAsia" w:ascii="仿宋" w:hAnsi="仿宋" w:eastAsia="仿宋"/>
          <w:b/>
          <w:bCs/>
          <w:color w:val="auto"/>
          <w:sz w:val="32"/>
          <w:szCs w:val="32"/>
          <w:highlight w:val="none"/>
          <w:lang w:val="en-US" w:eastAsia="zh-CN"/>
        </w:rPr>
        <w:t>1.</w:t>
      </w:r>
      <w:r>
        <w:rPr>
          <w:rFonts w:hint="eastAsia" w:ascii="仿宋" w:hAnsi="仿宋" w:eastAsia="仿宋"/>
          <w:b/>
          <w:bCs/>
          <w:color w:val="auto"/>
          <w:sz w:val="32"/>
          <w:szCs w:val="32"/>
          <w:highlight w:val="none"/>
        </w:rPr>
        <w:t>卫生健康</w:t>
      </w:r>
      <w:r>
        <w:rPr>
          <w:rStyle w:val="10"/>
          <w:rFonts w:hint="eastAsia" w:ascii="仿宋" w:hAnsi="仿宋" w:eastAsia="仿宋"/>
          <w:bCs/>
          <w:color w:val="auto"/>
          <w:sz w:val="32"/>
          <w:szCs w:val="32"/>
          <w:highlight w:val="none"/>
        </w:rPr>
        <w:t>（类）</w:t>
      </w:r>
      <w:r>
        <w:rPr>
          <w:rStyle w:val="10"/>
          <w:rFonts w:hint="eastAsia" w:ascii="仿宋" w:hAnsi="仿宋" w:eastAsia="仿宋"/>
          <w:bCs/>
          <w:color w:val="auto"/>
          <w:sz w:val="32"/>
          <w:szCs w:val="32"/>
          <w:highlight w:val="none"/>
          <w:lang w:eastAsia="zh-CN"/>
        </w:rPr>
        <w:t>公立医院</w:t>
      </w:r>
      <w:r>
        <w:rPr>
          <w:rStyle w:val="10"/>
          <w:rFonts w:hint="eastAsia" w:ascii="仿宋" w:hAnsi="仿宋" w:eastAsia="仿宋"/>
          <w:bCs/>
          <w:color w:val="auto"/>
          <w:sz w:val="32"/>
          <w:szCs w:val="32"/>
          <w:highlight w:val="none"/>
        </w:rPr>
        <w:t>（款）</w:t>
      </w:r>
      <w:r>
        <w:rPr>
          <w:rStyle w:val="10"/>
          <w:rFonts w:hint="eastAsia" w:ascii="仿宋" w:hAnsi="仿宋" w:eastAsia="仿宋"/>
          <w:bCs/>
          <w:color w:val="auto"/>
          <w:sz w:val="32"/>
          <w:szCs w:val="32"/>
          <w:highlight w:val="none"/>
          <w:lang w:eastAsia="zh-CN"/>
        </w:rPr>
        <w:t>中医（民族）医院</w:t>
      </w:r>
      <w:r>
        <w:rPr>
          <w:rStyle w:val="10"/>
          <w:rFonts w:hint="eastAsia" w:ascii="仿宋" w:hAnsi="仿宋" w:eastAsia="仿宋"/>
          <w:bCs/>
          <w:color w:val="auto"/>
          <w:sz w:val="32"/>
          <w:szCs w:val="32"/>
          <w:highlight w:val="none"/>
        </w:rPr>
        <w:t>（项）</w:t>
      </w:r>
      <w:r>
        <w:rPr>
          <w:rStyle w:val="10"/>
          <w:rFonts w:ascii="仿宋" w:hAnsi="仿宋" w:eastAsia="仿宋"/>
          <w:bCs/>
          <w:color w:val="auto"/>
          <w:sz w:val="32"/>
          <w:szCs w:val="32"/>
          <w:highlight w:val="none"/>
        </w:rPr>
        <w:t>:</w:t>
      </w:r>
      <w:r>
        <w:rPr>
          <w:rFonts w:hint="eastAsia" w:ascii="仿宋_GB2312" w:eastAsia="仿宋_GB2312"/>
          <w:color w:val="auto"/>
          <w:sz w:val="32"/>
          <w:szCs w:val="32"/>
          <w:highlight w:val="none"/>
          <w:lang w:val="en-US" w:eastAsia="zh-CN"/>
        </w:rPr>
        <w:t>支出决算为260万元，完成预算185%。</w:t>
      </w:r>
    </w:p>
    <w:p>
      <w:pPr>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hAnsi="仿宋_GB2312" w:eastAsia="仿宋_GB2312"/>
          <w:b/>
          <w:color w:val="000000"/>
          <w:kern w:val="2"/>
          <w:sz w:val="32"/>
          <w:szCs w:val="24"/>
          <w:lang w:val="zh-CN"/>
        </w:rPr>
      </w:pPr>
      <w:r>
        <w:rPr>
          <w:rFonts w:hint="eastAsia" w:ascii="仿宋_GB2312" w:hAnsi="宋体" w:eastAsia="仿宋_GB2312" w:cs="Times New Roman"/>
          <w:b/>
          <w:bCs/>
          <w:color w:val="auto"/>
          <w:sz w:val="32"/>
          <w:szCs w:val="32"/>
          <w:highlight w:val="none"/>
          <w:lang w:val="en-US" w:eastAsia="zh-CN"/>
        </w:rPr>
        <w:t>2.</w:t>
      </w:r>
      <w:r>
        <w:rPr>
          <w:rFonts w:hint="eastAsia" w:ascii="仿宋" w:hAnsi="仿宋" w:eastAsia="仿宋"/>
          <w:b/>
          <w:bCs/>
          <w:color w:val="000000"/>
          <w:sz w:val="32"/>
          <w:szCs w:val="32"/>
        </w:rPr>
        <w:t>卫生健康</w:t>
      </w:r>
      <w:r>
        <w:rPr>
          <w:rStyle w:val="10"/>
          <w:rFonts w:hint="eastAsia" w:ascii="仿宋" w:hAnsi="仿宋" w:eastAsia="仿宋"/>
          <w:b/>
          <w:bCs w:val="0"/>
          <w:color w:val="000000"/>
          <w:sz w:val="32"/>
          <w:szCs w:val="32"/>
          <w:lang w:val="en-US" w:eastAsia="zh-CN"/>
        </w:rPr>
        <w:t>（类）公共卫生</w:t>
      </w:r>
      <w:r>
        <w:rPr>
          <w:rStyle w:val="10"/>
          <w:rFonts w:hint="eastAsia" w:ascii="仿宋" w:hAnsi="仿宋" w:eastAsia="仿宋"/>
          <w:b/>
          <w:bCs w:val="0"/>
          <w:color w:val="000000"/>
          <w:sz w:val="32"/>
          <w:szCs w:val="32"/>
        </w:rPr>
        <w:t>（</w:t>
      </w:r>
      <w:r>
        <w:rPr>
          <w:rStyle w:val="10"/>
          <w:rFonts w:hint="eastAsia" w:ascii="仿宋" w:hAnsi="仿宋" w:eastAsia="仿宋"/>
          <w:b/>
          <w:bCs w:val="0"/>
          <w:color w:val="000000"/>
          <w:sz w:val="32"/>
          <w:szCs w:val="32"/>
          <w:lang w:eastAsia="zh-CN"/>
        </w:rPr>
        <w:t>款</w:t>
      </w:r>
      <w:r>
        <w:rPr>
          <w:rStyle w:val="10"/>
          <w:rFonts w:hint="eastAsia" w:ascii="仿宋" w:hAnsi="仿宋" w:eastAsia="仿宋"/>
          <w:b/>
          <w:bCs w:val="0"/>
          <w:color w:val="000000"/>
          <w:sz w:val="32"/>
          <w:szCs w:val="32"/>
        </w:rPr>
        <w:t>）</w:t>
      </w:r>
      <w:r>
        <w:rPr>
          <w:rStyle w:val="10"/>
          <w:rFonts w:hint="eastAsia" w:ascii="仿宋" w:hAnsi="仿宋" w:eastAsia="仿宋"/>
          <w:b/>
          <w:bCs w:val="0"/>
          <w:color w:val="000000"/>
          <w:sz w:val="32"/>
          <w:szCs w:val="32"/>
          <w:lang w:val="en-US" w:eastAsia="zh-CN"/>
        </w:rPr>
        <w:t>重大公共卫生服务</w:t>
      </w:r>
      <w:r>
        <w:rPr>
          <w:rStyle w:val="10"/>
          <w:rFonts w:hint="eastAsia" w:ascii="仿宋" w:hAnsi="仿宋" w:eastAsia="仿宋"/>
          <w:b/>
          <w:bCs w:val="0"/>
          <w:color w:val="000000"/>
          <w:sz w:val="32"/>
          <w:szCs w:val="32"/>
        </w:rPr>
        <w:t>（项）</w:t>
      </w:r>
      <w:r>
        <w:rPr>
          <w:rStyle w:val="10"/>
          <w:rFonts w:ascii="仿宋" w:hAnsi="仿宋" w:eastAsia="仿宋"/>
          <w:bCs/>
          <w:color w:val="000000"/>
          <w:sz w:val="32"/>
          <w:szCs w:val="32"/>
        </w:rPr>
        <w:t>:</w:t>
      </w:r>
      <w:r>
        <w:rPr>
          <w:rFonts w:hint="eastAsia" w:ascii="仿宋_GB2312" w:eastAsia="仿宋_GB2312"/>
          <w:color w:val="auto"/>
          <w:sz w:val="32"/>
          <w:szCs w:val="32"/>
          <w:highlight w:val="none"/>
          <w:lang w:val="en-US" w:eastAsia="zh-CN"/>
        </w:rPr>
        <w:t>支出决算为2万元，完成预算100%。</w:t>
      </w:r>
    </w:p>
    <w:p>
      <w:pPr>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 w:hAnsi="仿宋" w:eastAsia="仿宋"/>
          <w:b/>
          <w:color w:val="auto"/>
          <w:kern w:val="2"/>
          <w:sz w:val="32"/>
          <w:szCs w:val="24"/>
          <w:lang w:val="en-US"/>
        </w:rPr>
      </w:pPr>
      <w:r>
        <w:rPr>
          <w:rFonts w:hint="eastAsia" w:ascii="仿宋" w:hAnsi="仿宋" w:eastAsia="仿宋"/>
          <w:b/>
          <w:color w:val="auto"/>
          <w:kern w:val="2"/>
          <w:sz w:val="32"/>
          <w:szCs w:val="24"/>
          <w:lang w:val="en-US"/>
        </w:rPr>
        <w:t>（注：数据来源于财决01-1表和财决08表，仅罗列本单位涉及的全部功能分类科目，至项级。上述“预算”口径为全年预算数。增减变动原因为决算数&lt;项级&gt;和全年预算数&lt;项级&gt;比较，与预算数持平可以不写原因。）</w:t>
      </w:r>
    </w:p>
    <w:p>
      <w:pPr>
        <w:keepNext/>
        <w:keepLines/>
        <w:pageBreakBefore w:val="0"/>
        <w:widowControl w:val="0"/>
        <w:tabs>
          <w:tab w:val="right" w:pos="8306"/>
        </w:tabs>
        <w:kinsoku/>
        <w:wordWrap/>
        <w:overflowPunct/>
        <w:topLinePunct w:val="0"/>
        <w:autoSpaceDE w:val="0"/>
        <w:autoSpaceDN w:val="0"/>
        <w:bidi w:val="0"/>
        <w:adjustRightInd w:val="0"/>
        <w:snapToGrid/>
        <w:spacing w:line="560" w:lineRule="exact"/>
        <w:ind w:firstLine="640" w:firstLineChars="200"/>
        <w:jc w:val="both"/>
        <w:textAlignment w:val="auto"/>
        <w:outlineLvl w:val="1"/>
        <w:rPr>
          <w:rFonts w:hint="default" w:ascii="Cambria" w:hAnsi="Cambria" w:eastAsia="Cambria"/>
          <w:b/>
          <w:color w:val="auto"/>
          <w:kern w:val="2"/>
          <w:sz w:val="32"/>
          <w:szCs w:val="24"/>
          <w:lang w:val="zh-CN"/>
        </w:rPr>
      </w:pPr>
      <w:bookmarkStart w:id="12" w:name="_Toc9366"/>
      <w:r>
        <w:rPr>
          <w:rFonts w:hint="eastAsia" w:ascii="黑体" w:hAnsi="黑体" w:eastAsia="黑体"/>
          <w:color w:val="000000"/>
          <w:kern w:val="2"/>
          <w:sz w:val="32"/>
          <w:szCs w:val="24"/>
          <w:lang w:val="zh-CN"/>
        </w:rPr>
        <w:t>六</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般公共预算财政拨款基本支出决算情况说明</w:t>
      </w:r>
      <w:bookmarkEnd w:id="12"/>
      <w:r>
        <w:rPr>
          <w:rFonts w:hint="eastAsia" w:ascii="黑体" w:hAnsi="黑体" w:eastAsia="黑体"/>
          <w:color w:val="auto"/>
          <w:kern w:val="2"/>
          <w:sz w:val="32"/>
          <w:szCs w:val="24"/>
          <w:lang w:val="zh-CN"/>
        </w:rPr>
        <w:tab/>
      </w:r>
    </w:p>
    <w:p>
      <w:pPr>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olor w:val="auto"/>
          <w:kern w:val="2"/>
          <w:sz w:val="32"/>
          <w:szCs w:val="24"/>
          <w:lang w:val="en-US" w:eastAsia="zh-CN"/>
        </w:rPr>
      </w:pPr>
      <w:r>
        <w:rPr>
          <w:rFonts w:hint="eastAsia" w:ascii="仿宋_GB2312" w:hAnsi="仿宋_GB2312" w:eastAsia="仿宋_GB2312"/>
          <w:color w:val="000000"/>
          <w:kern w:val="2"/>
          <w:sz w:val="32"/>
          <w:szCs w:val="24"/>
          <w:lang w:val="zh-CN"/>
        </w:rPr>
        <w:t>2022年一般公共预算财政拨款基本支出245万元，其中：</w:t>
      </w:r>
      <w:r>
        <w:rPr>
          <w:rFonts w:hint="eastAsia" w:ascii="仿宋_GB2312" w:hAnsi="仿宋_GB2312" w:eastAsia="仿宋_GB2312"/>
          <w:b/>
          <w:color w:val="000000"/>
          <w:kern w:val="2"/>
          <w:sz w:val="32"/>
          <w:szCs w:val="24"/>
          <w:lang w:val="zh-CN"/>
        </w:rPr>
        <w:t>人员经费：</w:t>
      </w:r>
      <w:r>
        <w:rPr>
          <w:rFonts w:hint="eastAsia" w:ascii="仿宋_GB2312" w:hAnsi="仿宋_GB2312" w:eastAsia="仿宋_GB2312"/>
          <w:color w:val="000000"/>
          <w:kern w:val="2"/>
          <w:sz w:val="32"/>
          <w:szCs w:val="24"/>
          <w:lang w:val="zh-CN"/>
        </w:rPr>
        <w:t>245万元，主要包括：</w:t>
      </w:r>
      <w:r>
        <w:rPr>
          <w:rFonts w:hint="eastAsia" w:ascii="仿宋" w:hAnsi="仿宋" w:eastAsia="仿宋"/>
          <w:color w:val="auto"/>
          <w:kern w:val="2"/>
          <w:sz w:val="32"/>
          <w:szCs w:val="24"/>
          <w:lang w:val="en-US"/>
        </w:rPr>
        <w:t>基本工资</w:t>
      </w:r>
      <w:r>
        <w:rPr>
          <w:rFonts w:hint="eastAsia" w:ascii="仿宋" w:hAnsi="仿宋" w:eastAsia="仿宋"/>
          <w:color w:val="auto"/>
          <w:kern w:val="2"/>
          <w:sz w:val="32"/>
          <w:szCs w:val="24"/>
          <w:lang w:val="en-US" w:eastAsia="zh-CN"/>
        </w:rPr>
        <w:t>245万元。</w:t>
      </w:r>
    </w:p>
    <w:p>
      <w:pPr>
        <w:keepNext/>
        <w:keepLines/>
        <w:pageBreakBefore w:val="0"/>
        <w:widowControl w:val="0"/>
        <w:numPr>
          <w:ilvl w:val="0"/>
          <w:numId w:val="5"/>
        </w:numPr>
        <w:kinsoku/>
        <w:wordWrap/>
        <w:overflowPunct/>
        <w:topLinePunct w:val="0"/>
        <w:autoSpaceDE w:val="0"/>
        <w:autoSpaceDN w:val="0"/>
        <w:bidi w:val="0"/>
        <w:adjustRightInd w:val="0"/>
        <w:snapToGrid/>
        <w:spacing w:line="560" w:lineRule="exact"/>
        <w:ind w:firstLine="643" w:firstLineChars="200"/>
        <w:jc w:val="both"/>
        <w:textAlignment w:val="auto"/>
        <w:outlineLvl w:val="1"/>
        <w:rPr>
          <w:rFonts w:hint="eastAsia" w:ascii="黑体" w:hAnsi="黑体" w:eastAsia="黑体"/>
          <w:color w:val="auto"/>
          <w:kern w:val="2"/>
          <w:sz w:val="32"/>
          <w:szCs w:val="24"/>
          <w:lang w:val="zh-CN"/>
        </w:rPr>
      </w:pPr>
      <w:bookmarkStart w:id="13" w:name="_Toc10895"/>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三公”经费财政拨款支出决算情况说明</w:t>
      </w:r>
      <w:bookmarkEnd w:id="13"/>
    </w:p>
    <w:p>
      <w:pPr>
        <w:keepNext/>
        <w:keepLines/>
        <w:pageBreakBefore w:val="0"/>
        <w:widowControl w:val="0"/>
        <w:numPr>
          <w:ilvl w:val="0"/>
          <w:numId w:val="0"/>
        </w:numPr>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（一）“三公”经费财政拨款支出决算总体情况说明</w:t>
      </w:r>
    </w:p>
    <w:p>
      <w:pPr>
        <w:keepNext/>
        <w:keepLines/>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2022年“三公”经费财政拨款支出决算为0万元。</w:t>
      </w:r>
    </w:p>
    <w:p>
      <w:pPr>
        <w:keepNext/>
        <w:keepLines/>
        <w:pageBreakBefore w:val="0"/>
        <w:widowControl w:val="0"/>
        <w:kinsoku/>
        <w:wordWrap/>
        <w:overflowPunct/>
        <w:topLinePunct w:val="0"/>
        <w:autoSpaceDE w:val="0"/>
        <w:autoSpaceDN w:val="0"/>
        <w:bidi w:val="0"/>
        <w:adjustRightInd w:val="0"/>
        <w:snapToGrid/>
        <w:spacing w:line="560" w:lineRule="exact"/>
        <w:ind w:firstLine="643"/>
        <w:jc w:val="both"/>
        <w:textAlignment w:val="auto"/>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（二）“三公”经费财政拨款支出决算具体情况说明</w:t>
      </w:r>
    </w:p>
    <w:p>
      <w:pPr>
        <w:keepNext/>
        <w:keepLines/>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2022年“三公”经费财政拨款支出决算</w:t>
      </w:r>
      <w:r>
        <w:rPr>
          <w:rFonts w:hint="eastAsia" w:ascii="仿宋_GB2312" w:hAnsi="仿宋_GB2312" w:eastAsia="仿宋_GB2312"/>
          <w:color w:val="000000"/>
          <w:kern w:val="2"/>
          <w:sz w:val="32"/>
          <w:szCs w:val="24"/>
          <w:lang w:val="en-US" w:eastAsia="zh-CN"/>
        </w:rPr>
        <w:t>为0元。</w:t>
      </w:r>
    </w:p>
    <w:p>
      <w:pPr>
        <w:keepNext/>
        <w:keepLines/>
        <w:pageBreakBefore w:val="0"/>
        <w:widowControl w:val="0"/>
        <w:kinsoku/>
        <w:wordWrap/>
        <w:overflowPunct/>
        <w:topLinePunct w:val="0"/>
        <w:autoSpaceDE w:val="0"/>
        <w:autoSpaceDN w:val="0"/>
        <w:bidi w:val="0"/>
        <w:adjustRightInd w:val="0"/>
        <w:snapToGrid/>
        <w:spacing w:line="560" w:lineRule="exact"/>
        <w:ind w:firstLine="640"/>
        <w:jc w:val="both"/>
        <w:textAlignment w:val="auto"/>
        <w:outlineLvl w:val="1"/>
        <w:rPr>
          <w:rFonts w:hint="eastAsia" w:ascii="黑体" w:hAnsi="黑体" w:eastAsia="黑体"/>
          <w:b/>
          <w:color w:val="auto"/>
          <w:kern w:val="2"/>
          <w:sz w:val="32"/>
          <w:szCs w:val="24"/>
          <w:lang w:val="zh-CN"/>
        </w:rPr>
      </w:pPr>
      <w:bookmarkStart w:id="14" w:name="_Toc25734"/>
      <w:r>
        <w:rPr>
          <w:rFonts w:hint="eastAsia" w:ascii="黑体" w:hAnsi="黑体" w:eastAsia="黑体"/>
          <w:color w:val="000000"/>
          <w:kern w:val="2"/>
          <w:sz w:val="32"/>
          <w:szCs w:val="24"/>
          <w:lang w:val="zh-CN"/>
        </w:rPr>
        <w:t>八、</w:t>
      </w:r>
      <w:r>
        <w:rPr>
          <w:rFonts w:hint="eastAsia" w:ascii="黑体" w:hAnsi="黑体" w:eastAsia="黑体"/>
          <w:color w:val="auto"/>
          <w:kern w:val="2"/>
          <w:sz w:val="32"/>
          <w:szCs w:val="24"/>
          <w:lang w:val="zh-CN"/>
        </w:rPr>
        <w:t>政府性基金预算支出决算情况说明</w:t>
      </w:r>
      <w:bookmarkEnd w:id="14"/>
    </w:p>
    <w:p>
      <w:pPr>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2022年政府性基金预算拨款支出0万元。</w:t>
      </w:r>
    </w:p>
    <w:p>
      <w:pPr>
        <w:keepNext/>
        <w:keepLines/>
        <w:pageBreakBefore w:val="0"/>
        <w:widowControl w:val="0"/>
        <w:kinsoku/>
        <w:wordWrap/>
        <w:overflowPunct/>
        <w:topLinePunct w:val="0"/>
        <w:autoSpaceDE w:val="0"/>
        <w:autoSpaceDN w:val="0"/>
        <w:bidi w:val="0"/>
        <w:adjustRightInd w:val="0"/>
        <w:snapToGrid/>
        <w:spacing w:line="560" w:lineRule="exact"/>
        <w:ind w:firstLine="640"/>
        <w:jc w:val="both"/>
        <w:textAlignment w:val="auto"/>
        <w:outlineLvl w:val="1"/>
        <w:rPr>
          <w:rFonts w:hint="eastAsia" w:ascii="黑体" w:hAnsi="黑体" w:eastAsia="黑体"/>
          <w:color w:val="auto"/>
          <w:kern w:val="2"/>
          <w:sz w:val="32"/>
          <w:szCs w:val="24"/>
          <w:lang w:val="zh-CN"/>
        </w:rPr>
      </w:pPr>
      <w:bookmarkStart w:id="15" w:name="_Toc1197"/>
      <w:r>
        <w:rPr>
          <w:rFonts w:hint="eastAsia" w:ascii="黑体" w:hAnsi="黑体" w:eastAsia="黑体"/>
          <w:color w:val="auto"/>
          <w:kern w:val="2"/>
          <w:sz w:val="32"/>
          <w:szCs w:val="24"/>
          <w:lang w:val="zh-CN"/>
        </w:rPr>
        <w:t>九、国有资本经营预算支出决算情况说明</w:t>
      </w:r>
      <w:bookmarkEnd w:id="15"/>
    </w:p>
    <w:p>
      <w:pPr>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2022年国有资本经营预算拨款支出0万元。</w:t>
      </w:r>
    </w:p>
    <w:p>
      <w:pPr>
        <w:keepNext/>
        <w:keepLines/>
        <w:pageBreakBefore w:val="0"/>
        <w:widowControl w:val="0"/>
        <w:kinsoku/>
        <w:wordWrap/>
        <w:overflowPunct/>
        <w:topLinePunct w:val="0"/>
        <w:autoSpaceDE w:val="0"/>
        <w:autoSpaceDN w:val="0"/>
        <w:bidi w:val="0"/>
        <w:adjustRightInd w:val="0"/>
        <w:snapToGrid/>
        <w:spacing w:line="560" w:lineRule="exact"/>
        <w:ind w:firstLine="640"/>
        <w:jc w:val="both"/>
        <w:textAlignment w:val="auto"/>
        <w:outlineLvl w:val="1"/>
        <w:rPr>
          <w:rFonts w:hint="eastAsia" w:ascii="黑体" w:hAnsi="黑体" w:eastAsia="黑体"/>
          <w:b/>
          <w:color w:val="auto"/>
          <w:kern w:val="2"/>
          <w:sz w:val="32"/>
          <w:szCs w:val="24"/>
          <w:lang w:val="zh-CN"/>
        </w:rPr>
      </w:pPr>
      <w:bookmarkStart w:id="16" w:name="_Toc25855"/>
      <w:r>
        <w:rPr>
          <w:rFonts w:hint="eastAsia" w:ascii="黑体" w:hAnsi="黑体" w:eastAsia="黑体"/>
          <w:color w:val="000000"/>
          <w:kern w:val="2"/>
          <w:sz w:val="32"/>
          <w:szCs w:val="24"/>
          <w:lang w:val="zh-CN"/>
        </w:rPr>
        <w:t>十</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其他重要事项的情况说明</w:t>
      </w:r>
      <w:bookmarkEnd w:id="16"/>
    </w:p>
    <w:p>
      <w:pPr>
        <w:keepNext/>
        <w:keepLines/>
        <w:pageBreakBefore w:val="0"/>
        <w:widowControl w:val="0"/>
        <w:kinsoku/>
        <w:wordWrap/>
        <w:overflowPunct/>
        <w:topLinePunct w:val="0"/>
        <w:autoSpaceDE w:val="0"/>
        <w:autoSpaceDN w:val="0"/>
        <w:bidi w:val="0"/>
        <w:adjustRightInd w:val="0"/>
        <w:snapToGrid/>
        <w:spacing w:line="560" w:lineRule="exact"/>
        <w:ind w:firstLine="643"/>
        <w:jc w:val="both"/>
        <w:textAlignment w:val="auto"/>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（一）机关运行经费支出情况</w:t>
      </w:r>
    </w:p>
    <w:p>
      <w:pPr>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default" w:eastAsia="仿宋_GB2312"/>
          <w:lang w:val="en-US" w:eastAsia="zh-CN"/>
        </w:rPr>
      </w:pPr>
      <w:r>
        <w:rPr>
          <w:rFonts w:hint="eastAsia" w:ascii="仿宋_GB2312" w:hAnsi="仿宋_GB2312" w:eastAsia="仿宋_GB2312"/>
          <w:b/>
          <w:color w:val="000000"/>
          <w:kern w:val="2"/>
          <w:sz w:val="32"/>
          <w:szCs w:val="24"/>
          <w:lang w:val="en-US" w:eastAsia="zh-CN"/>
        </w:rPr>
        <w:t xml:space="preserve"> </w:t>
      </w:r>
      <w:r>
        <w:rPr>
          <w:rFonts w:hint="eastAsia" w:ascii="仿宋_GB2312" w:eastAsia="仿宋_GB2312"/>
          <w:color w:val="auto"/>
          <w:sz w:val="32"/>
          <w:szCs w:val="32"/>
          <w:highlight w:val="none"/>
          <w:lang w:eastAsia="zh-CN"/>
        </w:rPr>
        <w:t>我院无机关运行经费支出。</w:t>
      </w:r>
    </w:p>
    <w:p>
      <w:pPr>
        <w:keepNext/>
        <w:keepLines/>
        <w:pageBreakBefore w:val="0"/>
        <w:widowControl w:val="0"/>
        <w:kinsoku/>
        <w:wordWrap/>
        <w:overflowPunct/>
        <w:topLinePunct w:val="0"/>
        <w:autoSpaceDE w:val="0"/>
        <w:autoSpaceDN w:val="0"/>
        <w:bidi w:val="0"/>
        <w:adjustRightInd w:val="0"/>
        <w:snapToGrid/>
        <w:spacing w:line="560" w:lineRule="exact"/>
        <w:ind w:firstLine="643"/>
        <w:jc w:val="both"/>
        <w:textAlignment w:val="auto"/>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（二）政府采购支出情况</w:t>
      </w:r>
    </w:p>
    <w:p>
      <w:pPr>
        <w:pageBreakBefore w:val="0"/>
        <w:widowControl w:val="0"/>
        <w:kinsoku/>
        <w:wordWrap/>
        <w:overflowPunct/>
        <w:topLinePunct w:val="0"/>
        <w:autoSpaceDE w:val="0"/>
        <w:autoSpaceDN w:val="0"/>
        <w:bidi w:val="0"/>
        <w:adjustRightInd w:val="0"/>
        <w:snapToGrid/>
        <w:spacing w:line="560" w:lineRule="exact"/>
        <w:ind w:firstLine="643"/>
        <w:jc w:val="both"/>
        <w:textAlignment w:val="auto"/>
        <w:rPr>
          <w:rFonts w:hint="eastAsia" w:ascii="仿宋" w:hAnsi="仿宋" w:eastAsia="仿宋"/>
          <w:b/>
          <w:color w:val="auto"/>
          <w:kern w:val="2"/>
          <w:sz w:val="32"/>
          <w:szCs w:val="24"/>
          <w:lang w:val="en-US"/>
        </w:rPr>
      </w:pPr>
      <w:r>
        <w:rPr>
          <w:rFonts w:hint="eastAsia" w:ascii="仿宋_GB2312" w:hAnsi="仿宋_GB2312" w:eastAsia="仿宋_GB2312"/>
          <w:color w:val="000000"/>
          <w:kern w:val="2"/>
          <w:sz w:val="32"/>
          <w:szCs w:val="24"/>
          <w:lang w:val="zh-CN"/>
        </w:rPr>
        <w:t>2022年，广元市朝天区中医医院政府采购支出总额0万元。</w:t>
      </w:r>
    </w:p>
    <w:p>
      <w:pPr>
        <w:keepNext/>
        <w:keepLines/>
        <w:pageBreakBefore w:val="0"/>
        <w:widowControl w:val="0"/>
        <w:kinsoku/>
        <w:wordWrap/>
        <w:overflowPunct/>
        <w:topLinePunct w:val="0"/>
        <w:autoSpaceDE w:val="0"/>
        <w:autoSpaceDN w:val="0"/>
        <w:bidi w:val="0"/>
        <w:adjustRightInd w:val="0"/>
        <w:snapToGrid/>
        <w:spacing w:line="560" w:lineRule="exact"/>
        <w:ind w:firstLine="643"/>
        <w:jc w:val="both"/>
        <w:textAlignment w:val="auto"/>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（三）国有资产占有使用情况</w:t>
      </w:r>
    </w:p>
    <w:p>
      <w:pPr>
        <w:pageBreakBefore w:val="0"/>
        <w:widowControl w:val="0"/>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b/>
          <w:color w:val="auto"/>
          <w:kern w:val="2"/>
          <w:sz w:val="32"/>
          <w:szCs w:val="24"/>
          <w:lang w:val="en-US"/>
        </w:rPr>
      </w:pPr>
      <w:r>
        <w:rPr>
          <w:rFonts w:hint="eastAsia" w:ascii="仿宋_GB2312" w:hAnsi="仿宋_GB2312" w:eastAsia="仿宋_GB2312"/>
          <w:color w:val="000000"/>
          <w:kern w:val="2"/>
          <w:sz w:val="32"/>
          <w:szCs w:val="24"/>
          <w:lang w:val="zh-CN"/>
        </w:rPr>
        <w:t>截至2022年12月31日，广元市朝天区中医医院共有车辆2辆，其中：特种专业技术用车2辆。单价100万元（含）以上设备1台（套)。</w:t>
      </w:r>
    </w:p>
    <w:p>
      <w:pPr>
        <w:keepNext/>
        <w:keepLines/>
        <w:pageBreakBefore w:val="0"/>
        <w:widowControl w:val="0"/>
        <w:kinsoku/>
        <w:wordWrap/>
        <w:overflowPunct/>
        <w:topLinePunct w:val="0"/>
        <w:autoSpaceDE w:val="0"/>
        <w:autoSpaceDN w:val="0"/>
        <w:bidi w:val="0"/>
        <w:adjustRightInd w:val="0"/>
        <w:snapToGrid/>
        <w:spacing w:line="560" w:lineRule="exact"/>
        <w:ind w:firstLine="643"/>
        <w:jc w:val="both"/>
        <w:textAlignment w:val="auto"/>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（四）预算绩效管理情况。</w:t>
      </w:r>
    </w:p>
    <w:p>
      <w:pPr>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2022年我单位未开展绩效自评项目。</w:t>
      </w:r>
    </w:p>
    <w:p>
      <w:pPr>
        <w:spacing w:line="576" w:lineRule="exact"/>
        <w:ind w:firstLine="643"/>
        <w:jc w:val="both"/>
        <w:rPr>
          <w:rFonts w:hint="eastAsia" w:ascii="仿宋_GB2312" w:hAnsi="仿宋_GB2312" w:eastAsia="仿宋_GB2312"/>
          <w:b/>
          <w:color w:val="000000"/>
          <w:kern w:val="2"/>
          <w:sz w:val="32"/>
          <w:szCs w:val="24"/>
          <w:lang w:val="zh-CN"/>
        </w:rPr>
      </w:pPr>
    </w:p>
    <w:p>
      <w:pPr>
        <w:pStyle w:val="5"/>
        <w:rPr>
          <w:rFonts w:hint="eastAsia" w:ascii="仿宋_GB2312" w:hAnsi="仿宋_GB2312" w:eastAsia="仿宋_GB2312"/>
          <w:b/>
          <w:color w:val="000000"/>
          <w:kern w:val="2"/>
          <w:sz w:val="32"/>
          <w:szCs w:val="24"/>
          <w:lang w:val="zh-CN"/>
        </w:rPr>
      </w:pPr>
    </w:p>
    <w:p>
      <w:pPr>
        <w:pStyle w:val="5"/>
        <w:rPr>
          <w:rFonts w:hint="eastAsia" w:ascii="仿宋_GB2312" w:hAnsi="仿宋_GB2312" w:eastAsia="仿宋_GB2312"/>
          <w:b/>
          <w:color w:val="000000"/>
          <w:kern w:val="2"/>
          <w:sz w:val="32"/>
          <w:szCs w:val="24"/>
          <w:lang w:val="zh-CN"/>
        </w:rPr>
      </w:pPr>
    </w:p>
    <w:p>
      <w:pPr>
        <w:keepNext/>
        <w:keepLines/>
        <w:numPr>
          <w:ilvl w:val="0"/>
          <w:numId w:val="0"/>
        </w:numPr>
        <w:spacing w:line="576" w:lineRule="exact"/>
        <w:ind w:leftChars="0"/>
        <w:jc w:val="center"/>
        <w:outlineLvl w:val="0"/>
        <w:rPr>
          <w:rFonts w:hint="eastAsia" w:ascii="黑体" w:hAnsi="黑体" w:eastAsia="黑体"/>
          <w:color w:val="auto"/>
          <w:kern w:val="44"/>
          <w:sz w:val="44"/>
          <w:szCs w:val="24"/>
          <w:lang w:val="zh-CN"/>
        </w:rPr>
      </w:pPr>
      <w:bookmarkStart w:id="17" w:name="_Toc16614"/>
      <w:r>
        <w:rPr>
          <w:rFonts w:hint="eastAsia" w:ascii="黑体" w:hAnsi="黑体" w:eastAsia="黑体"/>
          <w:color w:val="000000"/>
          <w:kern w:val="2"/>
          <w:sz w:val="44"/>
          <w:szCs w:val="24"/>
          <w:lang w:val="zh-CN"/>
        </w:rPr>
        <w:t>第三部分</w:t>
      </w:r>
      <w:r>
        <w:rPr>
          <w:rFonts w:hint="eastAsia" w:ascii="黑体" w:hAnsi="黑体" w:eastAsia="黑体"/>
          <w:color w:val="000000"/>
          <w:kern w:val="2"/>
          <w:sz w:val="44"/>
          <w:szCs w:val="24"/>
          <w:lang w:val="en-US" w:eastAsia="zh-CN"/>
        </w:rPr>
        <w:t xml:space="preserve">  </w:t>
      </w:r>
      <w:r>
        <w:rPr>
          <w:rFonts w:hint="eastAsia" w:ascii="黑体" w:hAnsi="黑体" w:eastAsia="黑体"/>
          <w:color w:val="000000"/>
          <w:kern w:val="2"/>
          <w:sz w:val="44"/>
          <w:szCs w:val="24"/>
          <w:lang w:val="zh-CN"/>
        </w:rPr>
        <w:t>名</w:t>
      </w:r>
      <w:r>
        <w:rPr>
          <w:rFonts w:hint="eastAsia" w:ascii="黑体" w:hAnsi="黑体" w:eastAsia="黑体"/>
          <w:color w:val="auto"/>
          <w:kern w:val="44"/>
          <w:sz w:val="44"/>
          <w:szCs w:val="24"/>
          <w:lang w:val="zh-CN"/>
        </w:rPr>
        <w:t>词解释</w:t>
      </w:r>
      <w:bookmarkEnd w:id="17"/>
    </w:p>
    <w:p>
      <w:pPr>
        <w:pStyle w:val="5"/>
        <w:rPr>
          <w:rFonts w:hint="eastAsia" w:ascii="黑体" w:hAnsi="黑体" w:eastAsia="黑体"/>
          <w:color w:val="auto"/>
          <w:kern w:val="44"/>
          <w:sz w:val="44"/>
          <w:szCs w:val="24"/>
          <w:lang w:val="zh-CN"/>
        </w:rPr>
      </w:pPr>
    </w:p>
    <w:p>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1.财政拨款收入：指单位从同级财政部门取得的财政预算资金。</w:t>
      </w:r>
    </w:p>
    <w:p>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2.事业收入：指事业单位开展专业业务活动及辅助活动取得的收入</w:t>
      </w:r>
      <w:r>
        <w:rPr>
          <w:rFonts w:hint="eastAsia" w:ascii="仿宋_GB2312" w:hAnsi="仿宋_GB2312" w:eastAsia="仿宋_GB2312"/>
          <w:color w:val="000000"/>
          <w:sz w:val="32"/>
          <w:szCs w:val="24"/>
          <w:lang w:val="en-US" w:eastAsia="zh-CN"/>
        </w:rPr>
        <w:t>。</w:t>
      </w:r>
      <w:r>
        <w:rPr>
          <w:rFonts w:hint="eastAsia" w:ascii="仿宋_GB2312" w:hAnsi="仿宋_GB2312" w:eastAsia="仿宋_GB2312"/>
          <w:color w:val="000000"/>
          <w:sz w:val="32"/>
          <w:szCs w:val="24"/>
          <w:lang w:val="en-US"/>
        </w:rPr>
        <w:t>如</w:t>
      </w:r>
      <w:r>
        <w:rPr>
          <w:rFonts w:hint="eastAsia" w:ascii="仿宋_GB2312" w:hAnsi="仿宋_GB2312" w:eastAsia="仿宋_GB2312"/>
          <w:color w:val="000000"/>
          <w:sz w:val="32"/>
          <w:szCs w:val="24"/>
          <w:lang w:val="en-US" w:eastAsia="zh-CN"/>
        </w:rPr>
        <w:t>医疗收入</w:t>
      </w:r>
      <w:r>
        <w:rPr>
          <w:rFonts w:hint="eastAsia" w:ascii="仿宋_GB2312" w:hAnsi="仿宋_GB2312" w:eastAsia="仿宋_GB2312"/>
          <w:color w:val="000000"/>
          <w:sz w:val="32"/>
          <w:szCs w:val="24"/>
          <w:lang w:val="en-US"/>
        </w:rPr>
        <w:t>。</w:t>
      </w:r>
    </w:p>
    <w:p>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3</w:t>
      </w:r>
      <w:r>
        <w:rPr>
          <w:rFonts w:hint="eastAsia" w:ascii="仿宋_GB2312" w:hAnsi="仿宋_GB2312" w:eastAsia="仿宋_GB2312"/>
          <w:color w:val="000000"/>
          <w:sz w:val="32"/>
          <w:szCs w:val="24"/>
          <w:lang w:val="en-US"/>
        </w:rPr>
        <w:t>.其他收入：指单位取得的除上述收入以外的各项收入。主要是</w:t>
      </w:r>
      <w:r>
        <w:rPr>
          <w:rFonts w:hint="eastAsia" w:ascii="仿宋_GB2312" w:hAnsi="仿宋_GB2312" w:eastAsia="仿宋_GB2312"/>
          <w:color w:val="auto"/>
          <w:kern w:val="2"/>
          <w:sz w:val="32"/>
          <w:szCs w:val="24"/>
          <w:lang w:val="en-US" w:eastAsia="zh-CN"/>
        </w:rPr>
        <w:t>利息收入</w:t>
      </w:r>
      <w:r>
        <w:rPr>
          <w:rFonts w:hint="eastAsia" w:ascii="仿宋_GB2312" w:hAnsi="仿宋_GB2312" w:eastAsia="仿宋_GB2312"/>
          <w:color w:val="000000"/>
          <w:sz w:val="32"/>
          <w:szCs w:val="24"/>
          <w:lang w:val="en-US"/>
        </w:rPr>
        <w:t>等。</w:t>
      </w:r>
    </w:p>
    <w:p>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4</w:t>
      </w:r>
      <w:r>
        <w:rPr>
          <w:rFonts w:hint="eastAsia" w:ascii="仿宋_GB2312" w:hAnsi="仿宋_GB2312" w:eastAsia="仿宋_GB2312"/>
          <w:color w:val="000000"/>
          <w:sz w:val="32"/>
          <w:szCs w:val="24"/>
          <w:lang w:val="en-US"/>
        </w:rPr>
        <w:t xml:space="preserve">.使用非财政拨款结余：指事业单位使用以前年度积累的非财政拨款结余弥补当年收支差额的金额。 </w:t>
      </w:r>
    </w:p>
    <w:p>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5</w:t>
      </w:r>
      <w:r>
        <w:rPr>
          <w:rFonts w:hint="eastAsia" w:ascii="仿宋_GB2312" w:hAnsi="仿宋_GB2312" w:eastAsia="仿宋_GB2312"/>
          <w:color w:val="000000"/>
          <w:sz w:val="32"/>
          <w:szCs w:val="24"/>
          <w:lang w:val="en-US"/>
        </w:rPr>
        <w:t xml:space="preserve">.年初结转和结余：指以前年度尚未完成、结转到本年按有关规定继续使用的资金。 </w:t>
      </w:r>
    </w:p>
    <w:p>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6</w:t>
      </w:r>
      <w:r>
        <w:rPr>
          <w:rFonts w:hint="eastAsia" w:ascii="仿宋_GB2312" w:hAnsi="仿宋_GB2312" w:eastAsia="仿宋_GB2312"/>
          <w:color w:val="000000"/>
          <w:sz w:val="32"/>
          <w:szCs w:val="24"/>
          <w:lang w:val="en-US"/>
        </w:rPr>
        <w:t>.结余分配：指事业单位按照会计制度规定缴纳的所得税、提取的专用结余以及转入非财政拨款结余的金额等。</w:t>
      </w:r>
    </w:p>
    <w:p>
      <w:pPr>
        <w:spacing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7</w:t>
      </w:r>
      <w:r>
        <w:rPr>
          <w:rFonts w:hint="eastAsia" w:ascii="仿宋_GB2312" w:hAnsi="仿宋_GB2312" w:eastAsia="仿宋_GB2312"/>
          <w:color w:val="000000"/>
          <w:sz w:val="32"/>
          <w:szCs w:val="24"/>
          <w:lang w:val="en-US"/>
        </w:rPr>
        <w:t>.年末结转和结余：指单位按有关规定结转到下年或以后年度继续使用的资金。</w:t>
      </w:r>
    </w:p>
    <w:p>
      <w:pPr>
        <w:pStyle w:val="12"/>
        <w:spacing w:line="560" w:lineRule="exact"/>
        <w:ind w:firstLine="640" w:firstLineChars="200"/>
        <w:rPr>
          <w:rFonts w:hint="eastAsia" w:ascii="仿宋_GB2312" w:eastAsia="仿宋_GB2312"/>
          <w:sz w:val="32"/>
          <w:szCs w:val="32"/>
        </w:rPr>
      </w:pPr>
      <w:r>
        <w:rPr>
          <w:rFonts w:hint="eastAsia" w:ascii="仿宋_GB2312" w:hAnsi="宋体" w:eastAsia="仿宋_GB2312" w:cs="Times New Roman"/>
          <w:color w:val="auto"/>
          <w:sz w:val="32"/>
          <w:szCs w:val="32"/>
          <w:highlight w:val="none"/>
          <w:lang w:val="en-US" w:eastAsia="zh-CN"/>
        </w:rPr>
        <w:t>8</w:t>
      </w:r>
      <w:r>
        <w:rPr>
          <w:rFonts w:hint="eastAsia" w:ascii="仿宋_GB2312" w:hAnsi="宋体" w:eastAsia="仿宋_GB2312" w:cs="Times New Roman"/>
          <w:color w:val="auto"/>
          <w:sz w:val="32"/>
          <w:szCs w:val="32"/>
          <w:highlight w:val="none"/>
          <w:lang w:val="zh-CN"/>
        </w:rPr>
        <w:t>．</w:t>
      </w:r>
      <w:r>
        <w:rPr>
          <w:rFonts w:hint="eastAsia" w:ascii="仿宋_GB2312" w:eastAsia="仿宋_GB2312"/>
          <w:sz w:val="32"/>
          <w:szCs w:val="32"/>
        </w:rPr>
        <w:t>卫生健康（类）公立医院（款）中医（民族）医院（项）：指反映卫生健康、中医部门所属的中医院、中西医结合医院、民族医院的支出。</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hAnsi="宋体" w:eastAsia="仿宋_GB2312" w:cs="Times New Roman"/>
          <w:color w:val="auto"/>
          <w:sz w:val="32"/>
          <w:szCs w:val="32"/>
          <w:highlight w:val="none"/>
          <w:lang w:val="zh-CN"/>
        </w:rPr>
        <w:t>．</w:t>
      </w:r>
      <w:r>
        <w:rPr>
          <w:rFonts w:hint="eastAsia" w:ascii="仿宋_GB2312" w:hAnsi="Calibri" w:eastAsia="仿宋_GB2312" w:cs="仿宋_GB2312"/>
          <w:color w:val="000000"/>
          <w:kern w:val="0"/>
          <w:sz w:val="32"/>
          <w:szCs w:val="32"/>
          <w:lang w:val="en-US" w:eastAsia="zh-CN" w:bidi="ar-SA"/>
        </w:rPr>
        <w:t>卫生健康支出（类）公共卫生（款）基本公共卫生服务（项）:指单位基本疾病预防控制等基本公共卫生服各项目支出。</w:t>
      </w:r>
    </w:p>
    <w:p>
      <w:pPr>
        <w:pStyle w:val="7"/>
        <w:keepNext w:val="0"/>
        <w:keepLines w:val="0"/>
        <w:widowControl/>
        <w:suppressLineNumbers w:val="0"/>
        <w:spacing w:before="0" w:beforeAutospacing="0" w:after="0" w:afterAutospacing="0"/>
        <w:ind w:right="0" w:firstLine="640" w:firstLineChars="200"/>
        <w:jc w:val="left"/>
        <w:rPr>
          <w:rFonts w:hint="eastAsia" w:ascii="仿宋_GB2312" w:hAnsi="Calibri" w:eastAsia="仿宋_GB2312" w:cs="仿宋_GB2312"/>
          <w:color w:val="000000"/>
          <w:kern w:val="0"/>
          <w:sz w:val="32"/>
          <w:szCs w:val="32"/>
          <w:lang w:val="en-US" w:eastAsia="zh-CN" w:bidi="ar-SA"/>
        </w:rPr>
      </w:pPr>
      <w:r>
        <w:rPr>
          <w:rFonts w:hint="eastAsia" w:ascii="仿宋_GB2312" w:eastAsia="仿宋_GB2312" w:cs="仿宋_GB2312"/>
          <w:color w:val="000000"/>
          <w:kern w:val="0"/>
          <w:sz w:val="32"/>
          <w:szCs w:val="32"/>
          <w:lang w:val="en-US" w:eastAsia="zh-CN" w:bidi="ar-SA"/>
        </w:rPr>
        <w:t>10</w:t>
      </w:r>
      <w:r>
        <w:rPr>
          <w:rFonts w:hint="eastAsia" w:ascii="仿宋_GB2312" w:hAnsi="Calibri" w:eastAsia="仿宋_GB2312" w:cs="仿宋_GB2312"/>
          <w:color w:val="000000"/>
          <w:kern w:val="0"/>
          <w:sz w:val="32"/>
          <w:szCs w:val="32"/>
          <w:lang w:val="zh-CN" w:eastAsia="zh-CN" w:bidi="ar-SA"/>
        </w:rPr>
        <w:t>．</w:t>
      </w:r>
      <w:r>
        <w:rPr>
          <w:rFonts w:hint="eastAsia" w:ascii="仿宋_GB2312" w:hAnsi="Calibri" w:eastAsia="仿宋_GB2312" w:cs="仿宋_GB2312"/>
          <w:color w:val="000000"/>
          <w:kern w:val="0"/>
          <w:sz w:val="32"/>
          <w:szCs w:val="32"/>
          <w:lang w:val="en-US" w:eastAsia="zh-CN" w:bidi="ar-SA"/>
        </w:rPr>
        <w:t>卫生健康（类）公共卫生（款）重大公共卫生服务（项）：指反映重大疾病、重大传染病预防控制等重大公共卫生服务项目支出。</w:t>
      </w:r>
    </w:p>
    <w:p>
      <w:pPr>
        <w:pStyle w:val="7"/>
        <w:keepNext w:val="0"/>
        <w:keepLines w:val="0"/>
        <w:widowControl/>
        <w:suppressLineNumbers w:val="0"/>
        <w:spacing w:before="0" w:beforeAutospacing="0" w:after="0" w:afterAutospacing="0"/>
        <w:ind w:right="0" w:firstLine="640" w:firstLineChars="200"/>
        <w:rPr>
          <w:rFonts w:hint="eastAsia" w:ascii="仿宋_GB2312" w:eastAsia="仿宋_GB2312" w:cs="仿宋_GB2312"/>
          <w:sz w:val="32"/>
          <w:szCs w:val="32"/>
        </w:rPr>
      </w:pPr>
      <w:r>
        <w:rPr>
          <w:rFonts w:hint="eastAsia" w:ascii="仿宋_GB2312" w:eastAsia="仿宋_GB2312"/>
          <w:color w:val="auto"/>
          <w:sz w:val="32"/>
          <w:szCs w:val="32"/>
          <w:highlight w:val="none"/>
          <w:lang w:val="en-US" w:eastAsia="zh-CN"/>
        </w:rPr>
        <w:t>11</w:t>
      </w:r>
      <w:r>
        <w:rPr>
          <w:rFonts w:hint="eastAsia" w:ascii="仿宋_GB2312" w:hAnsi="宋体" w:eastAsia="仿宋_GB2312" w:cs="Times New Roman"/>
          <w:color w:val="auto"/>
          <w:sz w:val="32"/>
          <w:szCs w:val="32"/>
          <w:highlight w:val="none"/>
          <w:lang w:val="zh-CN"/>
        </w:rPr>
        <w:t>．</w:t>
      </w:r>
      <w:r>
        <w:rPr>
          <w:rFonts w:hint="eastAsia" w:ascii="仿宋_GB2312" w:eastAsia="仿宋_GB2312" w:cs="仿宋_GB2312"/>
          <w:sz w:val="32"/>
          <w:szCs w:val="32"/>
        </w:rPr>
        <w:t>卫生健康</w:t>
      </w:r>
      <w:r>
        <w:rPr>
          <w:rFonts w:hint="eastAsia" w:ascii="仿宋_GB2312" w:eastAsia="仿宋_GB2312" w:cs="仿宋_GB2312"/>
          <w:sz w:val="32"/>
          <w:szCs w:val="32"/>
          <w:lang w:eastAsia="zh-CN"/>
        </w:rPr>
        <w:t>支出</w:t>
      </w:r>
      <w:r>
        <w:rPr>
          <w:rFonts w:hint="eastAsia" w:ascii="仿宋_GB2312" w:eastAsia="仿宋_GB2312" w:cs="仿宋_GB2312"/>
          <w:sz w:val="32"/>
          <w:szCs w:val="32"/>
        </w:rPr>
        <w:t>（类）</w:t>
      </w:r>
      <w:r>
        <w:rPr>
          <w:rFonts w:hint="eastAsia" w:ascii="仿宋_GB2312" w:eastAsia="仿宋_GB2312" w:cs="仿宋_GB2312"/>
          <w:sz w:val="32"/>
          <w:szCs w:val="32"/>
          <w:lang w:eastAsia="zh-CN"/>
        </w:rPr>
        <w:t>行政事业单位医疗</w:t>
      </w:r>
      <w:r>
        <w:rPr>
          <w:rFonts w:hint="eastAsia" w:ascii="仿宋_GB2312" w:eastAsia="仿宋_GB2312" w:cs="仿宋_GB2312"/>
          <w:sz w:val="32"/>
          <w:szCs w:val="32"/>
        </w:rPr>
        <w:t>（款）</w:t>
      </w:r>
      <w:r>
        <w:rPr>
          <w:rFonts w:hint="eastAsia" w:ascii="仿宋_GB2312" w:eastAsia="仿宋_GB2312" w:cs="仿宋_GB2312"/>
          <w:sz w:val="32"/>
          <w:szCs w:val="32"/>
          <w:lang w:eastAsia="zh-CN"/>
        </w:rPr>
        <w:t>事业单位医疗</w:t>
      </w:r>
      <w:r>
        <w:rPr>
          <w:rFonts w:hint="eastAsia" w:ascii="仿宋_GB2312" w:eastAsia="仿宋_GB2312" w:cs="仿宋_GB2312"/>
          <w:color w:val="000000"/>
          <w:sz w:val="32"/>
          <w:szCs w:val="32"/>
        </w:rPr>
        <w:t>（项）</w:t>
      </w:r>
      <w:r>
        <w:rPr>
          <w:rFonts w:ascii="仿宋_GB2312" w:eastAsia="仿宋_GB2312" w:cs="仿宋_GB2312"/>
          <w:color w:val="000000"/>
          <w:sz w:val="32"/>
          <w:szCs w:val="32"/>
        </w:rPr>
        <w:t>:</w:t>
      </w:r>
      <w:r>
        <w:rPr>
          <w:rFonts w:hint="eastAsia" w:ascii="仿宋_GB2312" w:eastAsia="仿宋_GB2312" w:cs="仿宋_GB2312"/>
          <w:sz w:val="32"/>
          <w:szCs w:val="32"/>
        </w:rPr>
        <w:t>指财政部门安排的事业部门基本医疗保险缴费经费。</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农林水支出（类）扶贫（款）其他扶贫支出（项）：</w:t>
      </w:r>
      <w:r>
        <w:rPr>
          <w:rFonts w:ascii="仿宋_GB2312" w:eastAsia="仿宋_GB2312" w:cs="仿宋_GB2312"/>
          <w:color w:val="000000"/>
          <w:sz w:val="32"/>
          <w:szCs w:val="32"/>
        </w:rPr>
        <w:t>指反映精准扶贫的项目支出</w:t>
      </w:r>
      <w:r>
        <w:rPr>
          <w:rFonts w:hint="eastAsia" w:ascii="仿宋_GB2312" w:eastAsia="仿宋_GB2312" w:cs="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_GB2312" w:eastAsia="仿宋_GB2312"/>
          <w:color w:val="auto"/>
          <w:sz w:val="32"/>
          <w:szCs w:val="32"/>
          <w:highlight w:val="none"/>
          <w:lang w:val="en-US" w:eastAsia="zh-CN"/>
        </w:rPr>
        <w:t>13</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住房保障（类）住房改革支出（款）住房公积金（项）：</w:t>
      </w:r>
      <w:r>
        <w:rPr>
          <w:rFonts w:ascii="仿宋_GB2312" w:eastAsia="仿宋_GB2312" w:cs="仿宋_GB2312"/>
          <w:color w:val="000000"/>
          <w:sz w:val="32"/>
          <w:szCs w:val="32"/>
        </w:rPr>
        <w:t>指行政事业单位按人力资源和社会保障部、财政部规定的基本工资和津贴补贴以及规定比例为职工缴纳的住房公积金。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12"/>
        <w:spacing w:line="560" w:lineRule="exact"/>
        <w:ind w:firstLine="640" w:firstLineChars="200"/>
        <w:rPr>
          <w:rFonts w:hint="eastAsia" w:ascii="黑体" w:hAnsi="黑体" w:eastAsia="黑体" w:cs="黑体"/>
          <w:b w:val="0"/>
          <w:color w:val="000000"/>
          <w:sz w:val="44"/>
          <w:szCs w:val="44"/>
          <w:lang w:val="en-US" w:eastAsia="zh-CN"/>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6" w:lineRule="exact"/>
        <w:jc w:val="both"/>
        <w:rPr>
          <w:rFonts w:hint="eastAsia" w:ascii="仿宋_GB2312" w:hAnsi="仿宋_GB2312" w:eastAsia="仿宋_GB2312"/>
          <w:color w:val="000000"/>
          <w:kern w:val="2"/>
          <w:sz w:val="32"/>
          <w:szCs w:val="24"/>
          <w:lang w:val="en-US"/>
        </w:rPr>
      </w:pPr>
    </w:p>
    <w:p>
      <w:pPr>
        <w:keepNext/>
        <w:keepLines/>
        <w:spacing w:line="576" w:lineRule="exact"/>
        <w:jc w:val="center"/>
        <w:rPr>
          <w:rFonts w:hint="eastAsia" w:ascii="黑体" w:hAnsi="黑体" w:eastAsia="黑体"/>
          <w:color w:val="auto"/>
          <w:kern w:val="44"/>
          <w:sz w:val="44"/>
          <w:szCs w:val="24"/>
          <w:lang w:val="zh-CN"/>
        </w:rPr>
      </w:pPr>
    </w:p>
    <w:p>
      <w:pPr>
        <w:pStyle w:val="5"/>
        <w:rPr>
          <w:rFonts w:hint="eastAsia" w:ascii="黑体" w:hAnsi="黑体" w:eastAsia="黑体"/>
          <w:color w:val="auto"/>
          <w:kern w:val="44"/>
          <w:sz w:val="44"/>
          <w:szCs w:val="24"/>
          <w:lang w:val="zh-CN"/>
        </w:rPr>
      </w:pPr>
    </w:p>
    <w:p>
      <w:pPr>
        <w:numPr>
          <w:ilvl w:val="0"/>
          <w:numId w:val="6"/>
        </w:numPr>
        <w:spacing w:line="600" w:lineRule="exact"/>
        <w:jc w:val="center"/>
        <w:outlineLvl w:val="0"/>
        <w:rPr>
          <w:rFonts w:hint="eastAsia" w:ascii="黑体" w:hAnsi="黑体" w:eastAsia="黑体"/>
          <w:color w:val="auto"/>
          <w:kern w:val="44"/>
          <w:sz w:val="44"/>
          <w:szCs w:val="24"/>
          <w:lang w:val="en-US"/>
        </w:rPr>
      </w:pPr>
      <w:bookmarkStart w:id="18" w:name="_Toc14601"/>
      <w:r>
        <w:rPr>
          <w:rFonts w:hint="eastAsia" w:ascii="黑体" w:hAnsi="黑体" w:eastAsia="黑体"/>
          <w:color w:val="auto"/>
          <w:kern w:val="44"/>
          <w:sz w:val="44"/>
          <w:szCs w:val="24"/>
          <w:lang w:val="en-US"/>
        </w:rPr>
        <w:t>附件</w:t>
      </w:r>
      <w:bookmarkEnd w:id="18"/>
    </w:p>
    <w:p>
      <w:pPr>
        <w:spacing w:line="600" w:lineRule="exact"/>
        <w:jc w:val="center"/>
        <w:rPr>
          <w:rFonts w:hint="eastAsia" w:ascii="宋体" w:hAnsi="宋体" w:eastAsia="宋体"/>
          <w:color w:val="auto"/>
          <w:sz w:val="32"/>
          <w:szCs w:val="24"/>
          <w:lang w:val="en-US"/>
        </w:rPr>
      </w:pPr>
      <w:r>
        <w:rPr>
          <w:rFonts w:hint="eastAsia" w:ascii="宋体" w:hAnsi="宋体" w:eastAsia="宋体"/>
          <w:color w:val="auto"/>
          <w:sz w:val="32"/>
          <w:szCs w:val="24"/>
          <w:lang w:val="en-US"/>
        </w:rPr>
        <w:t>部门预算项目支出绩效自评表（2022年度）</w:t>
      </w:r>
    </w:p>
    <w:p>
      <w:pPr>
        <w:spacing w:line="600" w:lineRule="exact"/>
        <w:ind w:firstLine="640" w:firstLineChars="200"/>
        <w:jc w:val="both"/>
        <w:rPr>
          <w:rFonts w:hint="default" w:ascii="宋体" w:hAnsi="宋体" w:eastAsia="宋体"/>
          <w:color w:val="auto"/>
          <w:sz w:val="32"/>
          <w:szCs w:val="24"/>
          <w:lang w:val="en-US" w:eastAsia="zh-CN"/>
        </w:rPr>
      </w:pPr>
      <w:r>
        <w:rPr>
          <w:rFonts w:hint="eastAsia" w:ascii="宋体" w:hAnsi="宋体"/>
          <w:color w:val="auto"/>
          <w:sz w:val="32"/>
          <w:szCs w:val="24"/>
          <w:lang w:val="en-US" w:eastAsia="zh-CN"/>
        </w:rPr>
        <w:t>2022年我单位无部门预算项目支出绩效自评表</w:t>
      </w:r>
    </w:p>
    <w:p>
      <w:pPr>
        <w:pStyle w:val="5"/>
        <w:numPr>
          <w:ilvl w:val="0"/>
          <w:numId w:val="0"/>
        </w:numPr>
        <w:ind w:firstLine="900" w:firstLineChars="500"/>
        <w:rPr>
          <w:rFonts w:hint="eastAsia"/>
          <w:lang w:val="en-US"/>
        </w:rPr>
      </w:pPr>
    </w:p>
    <w:p>
      <w:pPr>
        <w:spacing w:line="600" w:lineRule="exact"/>
        <w:ind w:firstLine="640" w:firstLineChars="200"/>
        <w:jc w:val="left"/>
        <w:outlineLvl w:val="0"/>
        <w:rPr>
          <w:rFonts w:hint="eastAsia" w:ascii="仿宋_GB2312" w:hAnsi="仿宋_GB2312" w:eastAsia="仿宋_GB2312"/>
          <w:color w:val="auto"/>
          <w:kern w:val="2"/>
          <w:sz w:val="32"/>
          <w:szCs w:val="24"/>
          <w:lang w:val="en-US"/>
        </w:rPr>
      </w:pPr>
      <w:bookmarkStart w:id="19" w:name="_Toc26059"/>
      <w:r>
        <w:rPr>
          <w:rFonts w:hint="eastAsia" w:ascii="仿宋_GB2312" w:hAnsi="Calibri" w:eastAsia="仿宋_GB2312" w:cs="仿宋"/>
          <w:color w:val="auto"/>
          <w:kern w:val="0"/>
          <w:sz w:val="32"/>
          <w:szCs w:val="32"/>
          <w:highlight w:val="none"/>
          <w:lang w:val="en-US" w:eastAsia="zh-CN" w:bidi="ar-SA"/>
        </w:rPr>
        <w:t>（备注：按照绩效自评工作安排，各单位可在预算管理一体化系统—综合报表查询—预算绩效报表模块中下载本单位“部门预算项目支出绩效自评表（2022年度）”，该表格应作为附件予以公开。）</w:t>
      </w:r>
      <w:bookmarkEnd w:id="19"/>
    </w:p>
    <w:p>
      <w:pPr>
        <w:spacing w:line="600" w:lineRule="exact"/>
        <w:rPr>
          <w:rFonts w:hint="eastAsia" w:ascii="仿宋_GB2312" w:hAnsi="仿宋_GB2312" w:eastAsia="仿宋_GB2312"/>
          <w:color w:val="auto"/>
          <w:sz w:val="32"/>
          <w:szCs w:val="24"/>
          <w:lang w:val="en-US"/>
        </w:rPr>
      </w:pPr>
    </w:p>
    <w:p>
      <w:pPr>
        <w:pStyle w:val="5"/>
        <w:rPr>
          <w:rFonts w:hint="eastAsia"/>
          <w:lang w:val="en-US"/>
        </w:rPr>
      </w:pPr>
    </w:p>
    <w:p>
      <w:pPr>
        <w:jc w:val="both"/>
        <w:rPr>
          <w:rFonts w:hint="eastAsia" w:ascii="仿宋_GB2312" w:hAnsi="仿宋_GB2312" w:eastAsia="仿宋_GB2312"/>
          <w:color w:val="auto"/>
          <w:sz w:val="32"/>
          <w:szCs w:val="24"/>
          <w:lang w:val="en-US"/>
        </w:rPr>
      </w:pPr>
    </w:p>
    <w:p>
      <w:pPr>
        <w:jc w:val="both"/>
        <w:rPr>
          <w:rFonts w:hint="eastAsia" w:ascii="仿宋_GB2312" w:hAnsi="仿宋_GB2312" w:eastAsia="仿宋_GB2312"/>
          <w:color w:val="auto"/>
          <w:sz w:val="32"/>
          <w:szCs w:val="24"/>
          <w:lang w:val="en-US"/>
        </w:rPr>
      </w:pPr>
    </w:p>
    <w:p>
      <w:pPr>
        <w:jc w:val="both"/>
        <w:rPr>
          <w:rFonts w:hint="eastAsia" w:ascii="仿宋_GB2312" w:hAnsi="仿宋_GB2312" w:eastAsia="仿宋_GB2312"/>
          <w:color w:val="auto"/>
          <w:sz w:val="32"/>
          <w:szCs w:val="24"/>
          <w:lang w:val="en-US"/>
        </w:rPr>
      </w:pPr>
    </w:p>
    <w:p>
      <w:pPr>
        <w:jc w:val="both"/>
        <w:rPr>
          <w:rFonts w:hint="eastAsia" w:ascii="仿宋_GB2312" w:hAnsi="仿宋_GB2312" w:eastAsia="仿宋_GB2312"/>
          <w:color w:val="auto"/>
          <w:sz w:val="32"/>
          <w:szCs w:val="24"/>
          <w:lang w:val="en-US"/>
        </w:rPr>
      </w:pPr>
    </w:p>
    <w:p>
      <w:pPr>
        <w:jc w:val="both"/>
        <w:rPr>
          <w:rFonts w:hint="eastAsia" w:ascii="仿宋_GB2312" w:hAnsi="仿宋_GB2312" w:eastAsia="仿宋_GB2312"/>
          <w:color w:val="auto"/>
          <w:sz w:val="32"/>
          <w:szCs w:val="24"/>
          <w:lang w:val="en-US"/>
        </w:rPr>
      </w:pPr>
    </w:p>
    <w:p>
      <w:pPr>
        <w:jc w:val="both"/>
        <w:rPr>
          <w:rFonts w:hint="eastAsia" w:ascii="仿宋_GB2312" w:hAnsi="仿宋_GB2312" w:eastAsia="仿宋_GB2312"/>
          <w:color w:val="auto"/>
          <w:sz w:val="32"/>
          <w:szCs w:val="24"/>
          <w:lang w:val="en-US"/>
        </w:rPr>
      </w:pPr>
    </w:p>
    <w:p>
      <w:pPr>
        <w:jc w:val="both"/>
        <w:rPr>
          <w:rFonts w:hint="eastAsia" w:ascii="仿宋_GB2312" w:hAnsi="仿宋_GB2312" w:eastAsia="仿宋_GB2312"/>
          <w:color w:val="auto"/>
          <w:sz w:val="32"/>
          <w:szCs w:val="24"/>
          <w:lang w:val="en-US"/>
        </w:rPr>
      </w:pPr>
    </w:p>
    <w:p>
      <w:pPr>
        <w:jc w:val="both"/>
        <w:rPr>
          <w:rFonts w:hint="eastAsia" w:ascii="仿宋_GB2312" w:hAnsi="仿宋_GB2312" w:eastAsia="仿宋_GB2312"/>
          <w:color w:val="auto"/>
          <w:sz w:val="32"/>
          <w:szCs w:val="24"/>
          <w:lang w:val="en-US"/>
        </w:rPr>
      </w:pPr>
    </w:p>
    <w:p>
      <w:pPr>
        <w:pStyle w:val="3"/>
        <w:keepNext/>
        <w:keepLines/>
        <w:spacing w:line="240" w:lineRule="auto"/>
        <w:ind w:firstLine="0" w:firstLineChars="0"/>
        <w:jc w:val="center"/>
        <w:outlineLvl w:val="0"/>
        <w:rPr>
          <w:rFonts w:hint="default" w:ascii="黑体" w:hAnsi="黑体" w:eastAsia="黑体" w:cs="Times New Roman"/>
          <w:color w:val="auto"/>
          <w:kern w:val="2"/>
          <w:sz w:val="44"/>
          <w:szCs w:val="24"/>
          <w:lang w:val="en-US" w:eastAsia="zh-CN"/>
        </w:rPr>
      </w:pPr>
      <w:bookmarkStart w:id="20" w:name="_Toc13807"/>
      <w:r>
        <w:rPr>
          <w:rFonts w:hint="eastAsia" w:ascii="黑体" w:hAnsi="黑体" w:eastAsia="黑体" w:cs="Times New Roman"/>
          <w:color w:val="auto"/>
          <w:kern w:val="2"/>
          <w:sz w:val="44"/>
          <w:szCs w:val="24"/>
          <w:lang w:val="en-US" w:eastAsia="zh-CN"/>
        </w:rPr>
        <w:t>第五部分 附表</w:t>
      </w:r>
      <w:bookmarkEnd w:id="20"/>
    </w:p>
    <w:p>
      <w:pPr>
        <w:pStyle w:val="3"/>
        <w:keepNext/>
        <w:keepLines/>
        <w:spacing w:before="260" w:after="260" w:line="408" w:lineRule="auto"/>
        <w:jc w:val="both"/>
        <w:rPr>
          <w:rFonts w:hint="eastAsia" w:ascii="仿宋" w:hAnsi="仿宋" w:eastAsia="仿宋"/>
          <w:b/>
          <w:color w:val="auto"/>
          <w:kern w:val="2"/>
          <w:sz w:val="32"/>
          <w:szCs w:val="24"/>
          <w:lang w:val="en-US"/>
        </w:rPr>
      </w:pPr>
      <w:bookmarkStart w:id="21" w:name="_Toc16503"/>
      <w:r>
        <w:rPr>
          <w:rFonts w:hint="eastAsia" w:ascii="仿宋" w:hAnsi="仿宋" w:eastAsia="仿宋"/>
          <w:color w:val="auto"/>
          <w:kern w:val="2"/>
          <w:sz w:val="32"/>
          <w:szCs w:val="24"/>
          <w:lang w:val="en-US"/>
        </w:rPr>
        <w:t>一、收入支出决算总表</w:t>
      </w:r>
      <w:bookmarkEnd w:id="21"/>
    </w:p>
    <w:p>
      <w:pPr>
        <w:pStyle w:val="3"/>
        <w:keepNext/>
        <w:keepLines/>
        <w:spacing w:before="260" w:after="260" w:line="408" w:lineRule="auto"/>
        <w:jc w:val="both"/>
        <w:rPr>
          <w:rFonts w:hint="eastAsia" w:ascii="仿宋" w:hAnsi="仿宋" w:eastAsia="仿宋"/>
          <w:b/>
          <w:color w:val="auto"/>
          <w:kern w:val="2"/>
          <w:sz w:val="32"/>
          <w:szCs w:val="24"/>
          <w:lang w:val="en-US"/>
        </w:rPr>
      </w:pPr>
      <w:bookmarkStart w:id="22" w:name="_Toc30071"/>
      <w:r>
        <w:rPr>
          <w:rFonts w:hint="eastAsia" w:ascii="仿宋" w:hAnsi="仿宋" w:eastAsia="仿宋"/>
          <w:color w:val="auto"/>
          <w:kern w:val="2"/>
          <w:sz w:val="32"/>
          <w:szCs w:val="24"/>
          <w:lang w:val="en-US"/>
        </w:rPr>
        <w:t>二、收入决算表</w:t>
      </w:r>
      <w:bookmarkEnd w:id="22"/>
    </w:p>
    <w:p>
      <w:pPr>
        <w:pStyle w:val="3"/>
        <w:keepNext/>
        <w:keepLines/>
        <w:spacing w:before="260" w:after="260" w:line="408" w:lineRule="auto"/>
        <w:jc w:val="both"/>
        <w:rPr>
          <w:rFonts w:hint="eastAsia" w:ascii="仿宋" w:hAnsi="仿宋" w:eastAsia="仿宋"/>
          <w:b/>
          <w:color w:val="auto"/>
          <w:kern w:val="2"/>
          <w:sz w:val="32"/>
          <w:szCs w:val="24"/>
          <w:lang w:val="en-US"/>
        </w:rPr>
      </w:pPr>
      <w:bookmarkStart w:id="23" w:name="_Toc18527"/>
      <w:r>
        <w:rPr>
          <w:rFonts w:hint="eastAsia" w:ascii="仿宋" w:hAnsi="仿宋" w:eastAsia="仿宋"/>
          <w:color w:val="auto"/>
          <w:kern w:val="2"/>
          <w:sz w:val="32"/>
          <w:szCs w:val="24"/>
          <w:lang w:val="en-US"/>
        </w:rPr>
        <w:t>三、支出决算表</w:t>
      </w:r>
      <w:bookmarkEnd w:id="23"/>
    </w:p>
    <w:p>
      <w:pPr>
        <w:pStyle w:val="3"/>
        <w:keepNext/>
        <w:keepLines/>
        <w:spacing w:before="260" w:after="260" w:line="408" w:lineRule="auto"/>
        <w:jc w:val="both"/>
        <w:rPr>
          <w:rFonts w:hint="eastAsia" w:ascii="仿宋" w:hAnsi="仿宋" w:eastAsia="仿宋"/>
          <w:color w:val="auto"/>
          <w:kern w:val="2"/>
          <w:sz w:val="32"/>
          <w:szCs w:val="24"/>
          <w:lang w:val="en-US"/>
        </w:rPr>
      </w:pPr>
      <w:bookmarkStart w:id="24" w:name="_Toc27361"/>
      <w:r>
        <w:rPr>
          <w:rFonts w:hint="eastAsia" w:ascii="仿宋" w:hAnsi="仿宋" w:eastAsia="仿宋"/>
          <w:color w:val="auto"/>
          <w:kern w:val="2"/>
          <w:sz w:val="32"/>
          <w:szCs w:val="24"/>
          <w:lang w:val="en-US"/>
        </w:rPr>
        <w:t>四、财政拨款收入支出决算总表</w:t>
      </w:r>
      <w:bookmarkEnd w:id="24"/>
    </w:p>
    <w:p>
      <w:pPr>
        <w:pStyle w:val="3"/>
        <w:keepNext/>
        <w:keepLines/>
        <w:spacing w:before="260" w:after="260" w:line="408" w:lineRule="auto"/>
        <w:jc w:val="both"/>
        <w:rPr>
          <w:rFonts w:hint="eastAsia" w:ascii="仿宋" w:hAnsi="仿宋" w:eastAsia="仿宋"/>
          <w:color w:val="auto"/>
          <w:kern w:val="2"/>
          <w:sz w:val="32"/>
          <w:szCs w:val="24"/>
          <w:lang w:val="en-US"/>
        </w:rPr>
      </w:pPr>
      <w:bookmarkStart w:id="25" w:name="_Toc7900"/>
      <w:r>
        <w:rPr>
          <w:rFonts w:hint="eastAsia" w:ascii="仿宋" w:hAnsi="仿宋" w:eastAsia="仿宋"/>
          <w:color w:val="auto"/>
          <w:kern w:val="2"/>
          <w:sz w:val="32"/>
          <w:szCs w:val="24"/>
          <w:lang w:val="en-US"/>
        </w:rPr>
        <w:t>五、财政拨款支出决算明细表</w:t>
      </w:r>
      <w:bookmarkEnd w:id="25"/>
    </w:p>
    <w:p>
      <w:pPr>
        <w:pStyle w:val="3"/>
        <w:keepNext/>
        <w:keepLines/>
        <w:spacing w:before="260" w:after="260" w:line="408" w:lineRule="auto"/>
        <w:jc w:val="both"/>
        <w:rPr>
          <w:rFonts w:hint="eastAsia" w:ascii="仿宋" w:hAnsi="仿宋" w:eastAsia="仿宋"/>
          <w:b/>
          <w:color w:val="auto"/>
          <w:kern w:val="2"/>
          <w:sz w:val="32"/>
          <w:szCs w:val="24"/>
          <w:lang w:val="en-US"/>
        </w:rPr>
      </w:pPr>
      <w:bookmarkStart w:id="26" w:name="_Toc10450"/>
      <w:r>
        <w:rPr>
          <w:rFonts w:hint="eastAsia" w:ascii="仿宋" w:hAnsi="仿宋" w:eastAsia="仿宋"/>
          <w:color w:val="auto"/>
          <w:kern w:val="2"/>
          <w:sz w:val="32"/>
          <w:szCs w:val="24"/>
          <w:lang w:val="en-US"/>
        </w:rPr>
        <w:t>六、一般公共预算财政拨款支出决算表</w:t>
      </w:r>
      <w:bookmarkEnd w:id="26"/>
    </w:p>
    <w:p>
      <w:pPr>
        <w:pStyle w:val="3"/>
        <w:keepNext/>
        <w:keepLines/>
        <w:spacing w:before="260" w:after="260" w:line="408" w:lineRule="auto"/>
        <w:jc w:val="both"/>
        <w:rPr>
          <w:rFonts w:hint="eastAsia" w:ascii="仿宋" w:hAnsi="仿宋" w:eastAsia="仿宋"/>
          <w:b/>
          <w:color w:val="auto"/>
          <w:kern w:val="2"/>
          <w:sz w:val="32"/>
          <w:szCs w:val="24"/>
          <w:lang w:val="en-US"/>
        </w:rPr>
      </w:pPr>
      <w:bookmarkStart w:id="27" w:name="_Toc28654"/>
      <w:r>
        <w:rPr>
          <w:rFonts w:hint="eastAsia" w:ascii="仿宋" w:hAnsi="仿宋" w:eastAsia="仿宋"/>
          <w:color w:val="auto"/>
          <w:kern w:val="2"/>
          <w:sz w:val="32"/>
          <w:szCs w:val="24"/>
          <w:lang w:val="en-US"/>
        </w:rPr>
        <w:t>七、一般公共预算财政拨款支出决算明细表</w:t>
      </w:r>
      <w:bookmarkEnd w:id="27"/>
    </w:p>
    <w:p>
      <w:pPr>
        <w:pStyle w:val="3"/>
        <w:keepNext/>
        <w:keepLines/>
        <w:spacing w:before="260" w:after="260" w:line="408" w:lineRule="auto"/>
        <w:jc w:val="both"/>
        <w:rPr>
          <w:rFonts w:hint="eastAsia" w:ascii="仿宋" w:hAnsi="仿宋" w:eastAsia="仿宋"/>
          <w:b/>
          <w:color w:val="auto"/>
          <w:kern w:val="2"/>
          <w:sz w:val="32"/>
          <w:szCs w:val="24"/>
          <w:lang w:val="en-US"/>
        </w:rPr>
      </w:pPr>
      <w:bookmarkStart w:id="28" w:name="_Toc10129"/>
      <w:r>
        <w:rPr>
          <w:rFonts w:hint="eastAsia" w:ascii="仿宋" w:hAnsi="仿宋" w:eastAsia="仿宋"/>
          <w:color w:val="auto"/>
          <w:kern w:val="2"/>
          <w:sz w:val="32"/>
          <w:szCs w:val="24"/>
          <w:lang w:val="en-US"/>
        </w:rPr>
        <w:t>八、一般公共预算财政拨款基本支出决算表</w:t>
      </w:r>
      <w:bookmarkEnd w:id="28"/>
    </w:p>
    <w:p>
      <w:pPr>
        <w:pStyle w:val="3"/>
        <w:keepNext/>
        <w:keepLines/>
        <w:spacing w:before="260" w:after="260" w:line="408" w:lineRule="auto"/>
        <w:jc w:val="both"/>
        <w:rPr>
          <w:rFonts w:hint="eastAsia" w:ascii="仿宋" w:hAnsi="仿宋" w:eastAsia="仿宋"/>
          <w:b/>
          <w:color w:val="auto"/>
          <w:kern w:val="2"/>
          <w:sz w:val="32"/>
          <w:szCs w:val="24"/>
          <w:lang w:val="en-US"/>
        </w:rPr>
      </w:pPr>
      <w:bookmarkStart w:id="29" w:name="_Toc26103"/>
      <w:r>
        <w:rPr>
          <w:rFonts w:hint="eastAsia" w:ascii="仿宋" w:hAnsi="仿宋" w:eastAsia="仿宋"/>
          <w:color w:val="auto"/>
          <w:kern w:val="2"/>
          <w:sz w:val="32"/>
          <w:szCs w:val="24"/>
          <w:lang w:val="en-US"/>
        </w:rPr>
        <w:t>九、一般公共预算财政拨款项目支出决算表</w:t>
      </w:r>
      <w:bookmarkEnd w:id="29"/>
    </w:p>
    <w:p>
      <w:pPr>
        <w:pStyle w:val="3"/>
        <w:keepNext/>
        <w:keepLines/>
        <w:spacing w:before="260" w:after="260" w:line="408" w:lineRule="auto"/>
        <w:jc w:val="both"/>
        <w:rPr>
          <w:rFonts w:hint="eastAsia" w:ascii="仿宋" w:hAnsi="仿宋" w:eastAsia="仿宋"/>
          <w:b/>
          <w:color w:val="auto"/>
          <w:kern w:val="2"/>
          <w:sz w:val="32"/>
          <w:szCs w:val="24"/>
          <w:lang w:val="en-US"/>
        </w:rPr>
      </w:pPr>
      <w:bookmarkStart w:id="30" w:name="_Toc5701"/>
      <w:r>
        <w:rPr>
          <w:rFonts w:hint="eastAsia" w:ascii="仿宋" w:hAnsi="仿宋" w:eastAsia="仿宋"/>
          <w:color w:val="auto"/>
          <w:kern w:val="2"/>
          <w:sz w:val="32"/>
          <w:szCs w:val="24"/>
          <w:lang w:val="en-US"/>
        </w:rPr>
        <w:t>十、政府性基金预算财政拨款收入支出决算表</w:t>
      </w:r>
      <w:bookmarkEnd w:id="30"/>
    </w:p>
    <w:p>
      <w:pPr>
        <w:pStyle w:val="3"/>
        <w:keepNext/>
        <w:keepLines/>
        <w:spacing w:before="260" w:after="260" w:line="408" w:lineRule="auto"/>
        <w:jc w:val="both"/>
        <w:rPr>
          <w:rFonts w:hint="eastAsia" w:ascii="仿宋" w:hAnsi="仿宋" w:eastAsia="仿宋"/>
          <w:b/>
          <w:color w:val="auto"/>
          <w:kern w:val="2"/>
          <w:sz w:val="32"/>
          <w:szCs w:val="24"/>
          <w:lang w:val="en-US"/>
        </w:rPr>
      </w:pPr>
      <w:bookmarkStart w:id="31" w:name="_Toc12426"/>
      <w:r>
        <w:rPr>
          <w:rFonts w:hint="eastAsia" w:ascii="仿宋" w:hAnsi="仿宋" w:eastAsia="仿宋"/>
          <w:color w:val="auto"/>
          <w:kern w:val="2"/>
          <w:sz w:val="32"/>
          <w:szCs w:val="24"/>
          <w:lang w:val="en-US"/>
        </w:rPr>
        <w:t>十一、国有资本经营预算财政拨款收入支出决算表</w:t>
      </w:r>
      <w:bookmarkEnd w:id="31"/>
    </w:p>
    <w:p>
      <w:pPr>
        <w:pStyle w:val="3"/>
        <w:keepNext/>
        <w:keepLines/>
        <w:spacing w:before="260" w:after="260" w:line="408" w:lineRule="auto"/>
        <w:jc w:val="both"/>
        <w:rPr>
          <w:rFonts w:hint="eastAsia" w:ascii="仿宋" w:hAnsi="仿宋" w:eastAsia="仿宋"/>
          <w:b/>
          <w:color w:val="auto"/>
          <w:kern w:val="2"/>
          <w:sz w:val="32"/>
          <w:szCs w:val="24"/>
          <w:lang w:val="en-US"/>
        </w:rPr>
      </w:pPr>
      <w:bookmarkStart w:id="32" w:name="_Toc22297"/>
      <w:r>
        <w:rPr>
          <w:rFonts w:hint="eastAsia" w:ascii="仿宋" w:hAnsi="仿宋" w:eastAsia="仿宋"/>
          <w:color w:val="auto"/>
          <w:kern w:val="2"/>
          <w:sz w:val="32"/>
          <w:szCs w:val="24"/>
          <w:lang w:val="en-US"/>
        </w:rPr>
        <w:t>十二、国有资本经营预算财政拨款支出决算表</w:t>
      </w:r>
      <w:bookmarkEnd w:id="32"/>
    </w:p>
    <w:p>
      <w:pPr>
        <w:pStyle w:val="3"/>
        <w:keepNext/>
        <w:keepLines/>
        <w:spacing w:before="260" w:after="260" w:line="408" w:lineRule="auto"/>
        <w:jc w:val="both"/>
        <w:rPr>
          <w:rFonts w:hint="eastAsia" w:ascii="华文中宋" w:hAnsi="华文中宋" w:eastAsia="华文中宋"/>
          <w:color w:val="auto"/>
          <w:kern w:val="2"/>
          <w:sz w:val="36"/>
          <w:szCs w:val="24"/>
          <w:lang w:val="en-US"/>
        </w:rPr>
      </w:pPr>
      <w:bookmarkStart w:id="33" w:name="_Toc24197"/>
      <w:r>
        <w:rPr>
          <w:rFonts w:hint="eastAsia" w:ascii="仿宋" w:hAnsi="仿宋" w:eastAsia="仿宋"/>
          <w:color w:val="auto"/>
          <w:kern w:val="2"/>
          <w:sz w:val="32"/>
          <w:szCs w:val="24"/>
          <w:lang w:val="en-US"/>
        </w:rPr>
        <w:t>十三、财政拨款“三公”经费支出决算表</w:t>
      </w:r>
      <w:bookmarkEnd w:id="33"/>
    </w:p>
    <w:sectPr>
      <w:footerReference r:id="rId6" w:type="default"/>
      <w:pgSz w:w="12240" w:h="15840"/>
      <w:pgMar w:top="1440" w:right="1800" w:bottom="1440" w:left="1800" w:header="720" w:footer="720" w:gutter="0"/>
      <w:lnNumType w:countBy="0" w:distance="36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DA997"/>
    <w:multiLevelType w:val="singleLevel"/>
    <w:tmpl w:val="845DA997"/>
    <w:lvl w:ilvl="0" w:tentative="0">
      <w:start w:val="7"/>
      <w:numFmt w:val="chineseCounting"/>
      <w:suff w:val="nothing"/>
      <w:lvlText w:val="%1、"/>
      <w:lvlJc w:val="left"/>
      <w:rPr>
        <w:rFonts w:hint="eastAsia"/>
      </w:rPr>
    </w:lvl>
  </w:abstractNum>
  <w:abstractNum w:abstractNumId="1">
    <w:nsid w:val="91D4A1CF"/>
    <w:multiLevelType w:val="singleLevel"/>
    <w:tmpl w:val="91D4A1CF"/>
    <w:lvl w:ilvl="0" w:tentative="0">
      <w:start w:val="4"/>
      <w:numFmt w:val="chineseCounting"/>
      <w:suff w:val="space"/>
      <w:lvlText w:val="第%1部分"/>
      <w:lvlJc w:val="left"/>
      <w:rPr>
        <w:rFonts w:hint="eastAsia"/>
      </w:rPr>
    </w:lvl>
  </w:abstractNum>
  <w:abstractNum w:abstractNumId="2">
    <w:nsid w:val="B3B9D6E8"/>
    <w:multiLevelType w:val="multilevel"/>
    <w:tmpl w:val="B3B9D6E8"/>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C32013A4"/>
    <w:multiLevelType w:val="multilevel"/>
    <w:tmpl w:val="C32013A4"/>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41F12278"/>
    <w:multiLevelType w:val="singleLevel"/>
    <w:tmpl w:val="41F12278"/>
    <w:lvl w:ilvl="0" w:tentative="0">
      <w:start w:val="1"/>
      <w:numFmt w:val="chineseCounting"/>
      <w:suff w:val="nothing"/>
      <w:lvlText w:val="（%1）"/>
      <w:lvlJc w:val="left"/>
      <w:rPr>
        <w:rFonts w:hint="eastAsia"/>
      </w:rPr>
    </w:lvl>
  </w:abstractNum>
  <w:abstractNum w:abstractNumId="5">
    <w:nsid w:val="7E5BBA6D"/>
    <w:multiLevelType w:val="multilevel"/>
    <w:tmpl w:val="7E5BBA6D"/>
    <w:lvl w:ilvl="0" w:tentative="0">
      <w:start w:val="1"/>
      <w:numFmt w:val="chineseCounting"/>
      <w:suff w:val="space"/>
      <w:lvlText w:val="第%1部分"/>
      <w:lvlJc w:val="left"/>
      <w:rPr>
        <w:rFonts w:hint="eastAsia" w:ascii="黑体" w:hAnsi="黑体" w:eastAsia="黑体" w:cs="黑体"/>
        <w:sz w:val="44"/>
        <w:szCs w:val="44"/>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OTI3MzJmNGY5YzdmMzQ4OWYwM2QxMTQ0MmJhMDQifQ=="/>
  </w:docVars>
  <w:rsids>
    <w:rsidRoot w:val="00172A27"/>
    <w:rsid w:val="019422A6"/>
    <w:rsid w:val="04E8596F"/>
    <w:rsid w:val="05ED01D7"/>
    <w:rsid w:val="07AC1C17"/>
    <w:rsid w:val="0A275576"/>
    <w:rsid w:val="0BB73761"/>
    <w:rsid w:val="0D2E1801"/>
    <w:rsid w:val="0D390FD5"/>
    <w:rsid w:val="0DAE46EF"/>
    <w:rsid w:val="0DD00B0A"/>
    <w:rsid w:val="0DFA0F36"/>
    <w:rsid w:val="0EF279EF"/>
    <w:rsid w:val="0F4C54B1"/>
    <w:rsid w:val="114710E3"/>
    <w:rsid w:val="117479FE"/>
    <w:rsid w:val="11D1389C"/>
    <w:rsid w:val="12EA441C"/>
    <w:rsid w:val="17872239"/>
    <w:rsid w:val="17B864E3"/>
    <w:rsid w:val="1C901B90"/>
    <w:rsid w:val="1D976F4E"/>
    <w:rsid w:val="1DEA3522"/>
    <w:rsid w:val="21BD21AA"/>
    <w:rsid w:val="222C235B"/>
    <w:rsid w:val="22426943"/>
    <w:rsid w:val="22FA4207"/>
    <w:rsid w:val="23BB3B1B"/>
    <w:rsid w:val="24C543A1"/>
    <w:rsid w:val="26EA6341"/>
    <w:rsid w:val="274C2B57"/>
    <w:rsid w:val="28F60FCD"/>
    <w:rsid w:val="2A80511A"/>
    <w:rsid w:val="2AC020FE"/>
    <w:rsid w:val="2B810D15"/>
    <w:rsid w:val="2DB31B82"/>
    <w:rsid w:val="2E2A1718"/>
    <w:rsid w:val="2F6D7C3B"/>
    <w:rsid w:val="2FCC0CD9"/>
    <w:rsid w:val="2FDE6C5E"/>
    <w:rsid w:val="3025663B"/>
    <w:rsid w:val="30634FB8"/>
    <w:rsid w:val="32024E86"/>
    <w:rsid w:val="324F174E"/>
    <w:rsid w:val="325C3658"/>
    <w:rsid w:val="3421711A"/>
    <w:rsid w:val="35BC70FA"/>
    <w:rsid w:val="36DF610C"/>
    <w:rsid w:val="37791D02"/>
    <w:rsid w:val="393A6C32"/>
    <w:rsid w:val="3C8D17F0"/>
    <w:rsid w:val="3EE31B9B"/>
    <w:rsid w:val="3EFD0095"/>
    <w:rsid w:val="3F4168C2"/>
    <w:rsid w:val="44801D3C"/>
    <w:rsid w:val="44C2683A"/>
    <w:rsid w:val="45850E1F"/>
    <w:rsid w:val="45905EAD"/>
    <w:rsid w:val="46E22739"/>
    <w:rsid w:val="47E50B5D"/>
    <w:rsid w:val="47FC5A7C"/>
    <w:rsid w:val="498E3224"/>
    <w:rsid w:val="501E2A33"/>
    <w:rsid w:val="51735001"/>
    <w:rsid w:val="53842532"/>
    <w:rsid w:val="5ADC59C5"/>
    <w:rsid w:val="5B9E0ECC"/>
    <w:rsid w:val="5C545A2F"/>
    <w:rsid w:val="5CB00EB7"/>
    <w:rsid w:val="5EB6477F"/>
    <w:rsid w:val="5F047C1E"/>
    <w:rsid w:val="605B55DE"/>
    <w:rsid w:val="614B5652"/>
    <w:rsid w:val="626544F2"/>
    <w:rsid w:val="64181A6B"/>
    <w:rsid w:val="646B1B68"/>
    <w:rsid w:val="646F3406"/>
    <w:rsid w:val="64A07A63"/>
    <w:rsid w:val="65E25712"/>
    <w:rsid w:val="66D6776C"/>
    <w:rsid w:val="68B7537B"/>
    <w:rsid w:val="695B7D5A"/>
    <w:rsid w:val="6BBE4C73"/>
    <w:rsid w:val="6C35427F"/>
    <w:rsid w:val="6E91041D"/>
    <w:rsid w:val="724A7260"/>
    <w:rsid w:val="72822E9E"/>
    <w:rsid w:val="72CF3B42"/>
    <w:rsid w:val="733B0348"/>
    <w:rsid w:val="7429230C"/>
    <w:rsid w:val="75265D63"/>
    <w:rsid w:val="75B415C0"/>
    <w:rsid w:val="77505319"/>
    <w:rsid w:val="78A84CE1"/>
    <w:rsid w:val="78E026CC"/>
    <w:rsid w:val="7BE407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3">
    <w:name w:val="heading 2"/>
    <w:basedOn w:val="1"/>
    <w:next w:val="1"/>
    <w:link w:val="11"/>
    <w:unhideWhenUsed/>
    <w:qFormat/>
    <w:uiPriority w:val="99"/>
    <w:rPr>
      <w:rFonts w:hint="default"/>
      <w:sz w:val="24"/>
      <w:szCs w:val="24"/>
    </w:rPr>
  </w:style>
  <w:style w:type="character" w:default="1" w:styleId="9">
    <w:name w:val="Default Paragraph Font"/>
    <w:unhideWhenUsed/>
    <w:qFormat/>
    <w:uiPriority w:val="1"/>
    <w:rPr>
      <w:rFonts w:hint="default"/>
      <w:sz w:val="24"/>
      <w:szCs w:val="24"/>
    </w:rPr>
  </w:style>
  <w:style w:type="table" w:default="1" w:styleId="8">
    <w:name w:val="Normal Table"/>
    <w:qFormat/>
    <w:uiPriority w:val="99"/>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30"/>
    </w:rPr>
  </w:style>
  <w:style w:type="paragraph" w:styleId="5">
    <w:name w:val="footer"/>
    <w:basedOn w:val="1"/>
    <w:unhideWhenUsed/>
    <w:qFormat/>
    <w:uiPriority w:val="99"/>
    <w:pPr>
      <w:tabs>
        <w:tab w:val="center" w:pos="4153"/>
        <w:tab w:val="right" w:pos="8306"/>
      </w:tabs>
      <w:snapToGrid w:val="0"/>
    </w:pPr>
    <w:rPr>
      <w:rFonts w:hint="default" w:ascii="Calibri" w:hAnsi="Calibri" w:eastAsia="宋体"/>
      <w:sz w:val="18"/>
      <w:szCs w:val="24"/>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rPr>
      <w:rFonts w:ascii="Calibri" w:hAnsi="Calibri"/>
      <w:sz w:val="24"/>
      <w:szCs w:val="22"/>
    </w:rPr>
  </w:style>
  <w:style w:type="character" w:styleId="10">
    <w:name w:val="Strong"/>
    <w:basedOn w:val="9"/>
    <w:qFormat/>
    <w:uiPriority w:val="99"/>
    <w:rPr>
      <w:b/>
    </w:rPr>
  </w:style>
  <w:style w:type="character" w:customStyle="1" w:styleId="11">
    <w:name w:val="标题 2 Char"/>
    <w:basedOn w:val="9"/>
    <w:link w:val="3"/>
    <w:unhideWhenUsed/>
    <w:qFormat/>
    <w:uiPriority w:val="9"/>
    <w:rPr>
      <w:rFonts w:hint="default"/>
      <w:sz w:val="24"/>
      <w:szCs w:val="24"/>
    </w:rPr>
  </w:style>
  <w:style w:type="paragraph" w:customStyle="1" w:styleId="1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3">
    <w:name w:val="WPSOffice手动目录 1"/>
    <w:uiPriority w:val="0"/>
    <w:pPr>
      <w:ind w:leftChars="0"/>
    </w:pPr>
    <w:rPr>
      <w:sz w:val="20"/>
      <w:szCs w:val="20"/>
    </w:rPr>
  </w:style>
  <w:style w:type="paragraph" w:customStyle="1" w:styleId="14">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收支决算</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1">
                  <c:v>2021</c:v>
                </c:pt>
                <c:pt idx="2">
                  <c:v>2022</c:v>
                </c:pt>
              </c:numCache>
            </c:numRef>
          </c:cat>
          <c:val>
            <c:numRef>
              <c:f>Sheet1!$B$2:$B$5</c:f>
              <c:numCache>
                <c:formatCode>General</c:formatCode>
                <c:ptCount val="4"/>
                <c:pt idx="1">
                  <c:v>1601.17</c:v>
                </c:pt>
                <c:pt idx="2">
                  <c:v>1477.24</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1">
                  <c:v>2021</c:v>
                </c:pt>
                <c:pt idx="2">
                  <c:v>2022</c:v>
                </c:pt>
              </c:numCache>
            </c:numRef>
          </c:cat>
          <c:val>
            <c:numRef>
              <c:f>Sheet1!$C$2:$C$5</c:f>
              <c:numCache>
                <c:formatCode>General</c:formatCode>
                <c:ptCount val="4"/>
              </c:numCache>
            </c:numRef>
          </c:val>
        </c:ser>
        <c:ser>
          <c:idx val="2"/>
          <c:order val="2"/>
          <c:tx>
            <c:strRef>
              <c:f>Sheet1!$D$1</c:f>
              <c:strCache>
                <c:ptCount val="1"/>
                <c:pt idx="0">
                  <c:v>支出</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1">
                  <c:v>2021</c:v>
                </c:pt>
                <c:pt idx="2">
                  <c:v>2022</c:v>
                </c:pt>
              </c:numCache>
            </c:numRef>
          </c:cat>
          <c:val>
            <c:numRef>
              <c:f>Sheet1!$D$2:$D$5</c:f>
              <c:numCache>
                <c:formatCode>General</c:formatCode>
                <c:ptCount val="4"/>
                <c:pt idx="1">
                  <c:v>1681.1</c:v>
                </c:pt>
                <c:pt idx="2">
                  <c:v>1597.24</c:v>
                </c:pt>
              </c:numCache>
            </c:numRef>
          </c:val>
        </c:ser>
        <c:dLbls>
          <c:showLegendKey val="0"/>
          <c:showVal val="1"/>
          <c:showCatName val="0"/>
          <c:showSerName val="0"/>
          <c:showPercent val="0"/>
          <c:showBubbleSize val="0"/>
        </c:dLbls>
        <c:gapWidth val="246"/>
        <c:overlap val="-28"/>
        <c:axId val="467978702"/>
        <c:axId val="471697005"/>
      </c:barChart>
      <c:catAx>
        <c:axId val="46797870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1697005"/>
        <c:crosses val="autoZero"/>
        <c:auto val="1"/>
        <c:lblAlgn val="ctr"/>
        <c:lblOffset val="100"/>
        <c:noMultiLvlLbl val="0"/>
      </c:catAx>
      <c:valAx>
        <c:axId val="471697005"/>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7978702"/>
        <c:crosses val="autoZero"/>
        <c:crossBetween val="between"/>
      </c:valAx>
      <c:spPr>
        <a:noFill/>
        <a:ln>
          <a:noFill/>
        </a:ln>
        <a:effectLst/>
      </c:spPr>
    </c:plotArea>
    <c:legend>
      <c:legendPos val="b"/>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8067413404152"/>
          <c:y val="0.199134199134199"/>
          <c:w val="0.411575273422998"/>
          <c:h val="0.693263804713804"/>
        </c:manualLayout>
      </c:layout>
      <c:pieChart>
        <c:varyColors val="1"/>
        <c:ser>
          <c:idx val="0"/>
          <c:order val="0"/>
          <c:tx>
            <c:strRef>
              <c:f>Sheet1!$B$1</c:f>
              <c:strCache>
                <c:ptCount val="1"/>
                <c:pt idx="0">
                  <c:v>列1</c:v>
                </c:pt>
              </c:strCache>
            </c:strRef>
          </c:tx>
          <c:spPr>
            <a:solidFill>
              <a:srgbClr val="63B1EF">
                <a:alpha val="67000"/>
              </a:srgbClr>
            </a:solidFill>
            <a:ln w="19050" cap="rnd">
              <a:noFill/>
              <a:round/>
            </a:ln>
            <a:effectLst/>
          </c:spPr>
          <c:explosion val="0"/>
          <c:dPt>
            <c:idx val="0"/>
            <c:bubble3D val="0"/>
            <c:spPr>
              <a:solidFill>
                <a:srgbClr val="63B1EF">
                  <a:alpha val="67000"/>
                </a:srgbClr>
              </a:solidFill>
              <a:ln w="19050" cap="rnd">
                <a:noFill/>
                <a:round/>
              </a:ln>
              <a:effectLst/>
            </c:spPr>
          </c:dPt>
          <c:dPt>
            <c:idx val="1"/>
            <c:bubble3D val="0"/>
            <c:spPr>
              <a:solidFill>
                <a:srgbClr val="75D890">
                  <a:alpha val="67000"/>
                </a:srgbClr>
              </a:solidFill>
              <a:ln w="19050" cap="rnd">
                <a:noFill/>
                <a:round/>
              </a:ln>
              <a:effectLst/>
            </c:spPr>
          </c:dPt>
          <c:dPt>
            <c:idx val="2"/>
            <c:bubble3D val="0"/>
            <c:spPr>
              <a:solidFill>
                <a:srgbClr val="FB7E72">
                  <a:alpha val="67000"/>
                </a:srgbClr>
              </a:solidFill>
              <a:ln w="19050" cap="rnd">
                <a:noFill/>
                <a:round/>
              </a:ln>
              <a:effectLst/>
            </c:spPr>
          </c:dPt>
          <c:dPt>
            <c:idx val="3"/>
            <c:bubble3D val="0"/>
            <c:spPr>
              <a:solidFill>
                <a:srgbClr val="F8AC41">
                  <a:alpha val="67000"/>
                </a:srgbClr>
              </a:solidFill>
              <a:ln w="19050" cap="rnd">
                <a:noFill/>
                <a:round/>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pt idx="1">
                  <c:v>其他收入</c:v>
                </c:pt>
                <c:pt idx="2">
                  <c:v>事业收入</c:v>
                </c:pt>
              </c:strCache>
            </c:strRef>
          </c:cat>
          <c:val>
            <c:numRef>
              <c:f>Sheet1!$B$2:$B$5</c:f>
              <c:numCache>
                <c:formatCode>General</c:formatCode>
                <c:ptCount val="4"/>
                <c:pt idx="0">
                  <c:v>142</c:v>
                </c:pt>
                <c:pt idx="1">
                  <c:v>10.2</c:v>
                </c:pt>
                <c:pt idx="2">
                  <c:v>1324.92</c:v>
                </c:pt>
              </c:numCache>
            </c:numRef>
          </c:val>
        </c:ser>
        <c:dLbls>
          <c:showLegendKey val="0"/>
          <c:showVal val="0"/>
          <c:showCatName val="1"/>
          <c:showSerName val="0"/>
          <c:showPercent val="1"/>
          <c:showBubbleSize val="0"/>
          <c:showLeaderLines val="1"/>
        </c:dLbls>
        <c:firstSliceAng val="0"/>
      </c:pieChart>
      <c:spPr>
        <a:pattFill prst="lgGrid">
          <a:fgClr>
            <a:srgbClr val="F8F8F8"/>
          </a:fgClr>
          <a:bgClr>
            <a:schemeClr val="bg1"/>
          </a:bgClr>
        </a:pattFill>
        <a:ln>
          <a:solidFill>
            <a:schemeClr val="bg1">
              <a:lumMod val="95000"/>
            </a:schemeClr>
          </a:solidFill>
        </a:ln>
        <a:effectLst/>
      </c:spPr>
    </c:plotArea>
    <c:legend>
      <c:legendPos val="r"/>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8067413404152"/>
          <c:y val="0.199134199134199"/>
          <c:w val="0.411575273422998"/>
          <c:h val="0.693263804713804"/>
        </c:manualLayout>
      </c:layout>
      <c:pieChart>
        <c:varyColors val="1"/>
        <c:ser>
          <c:idx val="0"/>
          <c:order val="0"/>
          <c:tx>
            <c:strRef>
              <c:f>Sheet1!$B$1</c:f>
              <c:strCache>
                <c:ptCount val="1"/>
                <c:pt idx="0">
                  <c:v>销售额</c:v>
                </c:pt>
              </c:strCache>
            </c:strRef>
          </c:tx>
          <c:spPr>
            <a:solidFill>
              <a:srgbClr val="63B1EF">
                <a:alpha val="67000"/>
              </a:srgbClr>
            </a:solidFill>
            <a:ln w="19050" cap="rnd">
              <a:noFill/>
              <a:round/>
            </a:ln>
            <a:effectLst/>
          </c:spPr>
          <c:explosion val="0"/>
          <c:dPt>
            <c:idx val="0"/>
            <c:bubble3D val="0"/>
            <c:spPr>
              <a:solidFill>
                <a:srgbClr val="63B1EF">
                  <a:alpha val="67000"/>
                </a:srgbClr>
              </a:solidFill>
              <a:ln w="19050" cap="rnd">
                <a:noFill/>
                <a:round/>
              </a:ln>
              <a:effectLst/>
            </c:spPr>
          </c:dPt>
          <c:dPt>
            <c:idx val="1"/>
            <c:bubble3D val="0"/>
            <c:spPr>
              <a:solidFill>
                <a:srgbClr val="75D890">
                  <a:alpha val="67000"/>
                </a:srgbClr>
              </a:solidFill>
              <a:ln w="19050" cap="rnd">
                <a:noFill/>
                <a:round/>
              </a:ln>
              <a:effectLst/>
            </c:spPr>
          </c:dPt>
          <c:dPt>
            <c:idx val="2"/>
            <c:bubble3D val="0"/>
            <c:spPr>
              <a:solidFill>
                <a:srgbClr val="FB7E72">
                  <a:alpha val="67000"/>
                </a:srgbClr>
              </a:solidFill>
              <a:ln w="19050" cap="rnd">
                <a:noFill/>
                <a:round/>
              </a:ln>
              <a:effectLst/>
            </c:spPr>
          </c:dPt>
          <c:dPt>
            <c:idx val="3"/>
            <c:bubble3D val="0"/>
            <c:spPr>
              <a:solidFill>
                <a:srgbClr val="F8AC41">
                  <a:alpha val="67000"/>
                </a:srgbClr>
              </a:solidFill>
              <a:ln w="19050" cap="rnd">
                <a:noFill/>
                <a:round/>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项目支出</c:v>
                </c:pt>
                <c:pt idx="3">
                  <c:v>基本支出</c:v>
                </c:pt>
              </c:strCache>
            </c:strRef>
          </c:cat>
          <c:val>
            <c:numRef>
              <c:f>Sheet1!$B$2:$B$5</c:f>
              <c:numCache>
                <c:formatCode>General</c:formatCode>
                <c:ptCount val="4"/>
                <c:pt idx="0">
                  <c:v>17</c:v>
                </c:pt>
                <c:pt idx="3">
                  <c:v>1580.24</c:v>
                </c:pt>
              </c:numCache>
            </c:numRef>
          </c:val>
        </c:ser>
        <c:dLbls>
          <c:showLegendKey val="0"/>
          <c:showVal val="0"/>
          <c:showCatName val="1"/>
          <c:showSerName val="0"/>
          <c:showPercent val="1"/>
          <c:showBubbleSize val="0"/>
          <c:showLeaderLines val="1"/>
        </c:dLbls>
        <c:firstSliceAng val="0"/>
      </c:pieChart>
      <c:spPr>
        <a:pattFill prst="lgGrid">
          <a:fgClr>
            <a:srgbClr val="F8F8F8"/>
          </a:fgClr>
          <a:bgClr>
            <a:schemeClr val="bg1"/>
          </a:bgClr>
        </a:pattFill>
        <a:ln>
          <a:solidFill>
            <a:schemeClr val="bg1">
              <a:lumMod val="95000"/>
            </a:schemeClr>
          </a:solidFill>
        </a:ln>
        <a:effectLst/>
      </c:spPr>
    </c:plotArea>
    <c:legend>
      <c:legendPos val="r"/>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287448559670782"/>
          <c:y val="0.233135763888889"/>
          <c:w val="0.942392592592593"/>
          <c:h val="0.669438541666667"/>
        </c:manualLayout>
      </c:layout>
      <c:barChart>
        <c:barDir val="col"/>
        <c:grouping val="clustered"/>
        <c:varyColors val="0"/>
        <c:ser>
          <c:idx val="1"/>
          <c:order val="0"/>
          <c:tx>
            <c:strRef>
              <c:f>Sheet1!$B$1</c:f>
              <c:strCache>
                <c:ptCount val="1"/>
                <c:pt idx="0">
                  <c:v>收入</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195" b="0" i="0" u="none" strike="noStrike" kern="1200" baseline="0">
                    <a:solidFill>
                      <a:schemeClr val="tx1">
                        <a:lumMod val="85000"/>
                        <a:lumOff val="1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Sheet1!$A$2:$A$5</c:f>
              <c:numCache>
                <c:formatCode>General</c:formatCode>
                <c:ptCount val="4"/>
                <c:pt idx="1">
                  <c:v>2021</c:v>
                </c:pt>
                <c:pt idx="2">
                  <c:v>2022</c:v>
                </c:pt>
              </c:numCache>
            </c:numRef>
          </c:cat>
          <c:val>
            <c:numRef>
              <c:f>Sheet1!$B$2:$B$5</c:f>
              <c:numCache>
                <c:formatCode>General</c:formatCode>
                <c:ptCount val="4"/>
                <c:pt idx="1">
                  <c:v>177.36</c:v>
                </c:pt>
                <c:pt idx="2">
                  <c:v>142</c:v>
                </c:pt>
              </c:numCache>
            </c:numRef>
          </c:val>
        </c:ser>
        <c:ser>
          <c:idx val="2"/>
          <c:order val="1"/>
          <c:tx>
            <c:strRef>
              <c:f>Sheet1!$C$1</c:f>
              <c:strCache>
                <c:ptCount val="1"/>
                <c:pt idx="0">
                  <c:v>支出</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195" b="0" i="0" u="none" strike="noStrike" kern="1200" baseline="0">
                    <a:solidFill>
                      <a:schemeClr val="tx1">
                        <a:lumMod val="85000"/>
                        <a:lumOff val="1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Sheet1!$A$2:$A$5</c:f>
              <c:numCache>
                <c:formatCode>General</c:formatCode>
                <c:ptCount val="4"/>
                <c:pt idx="1">
                  <c:v>2021</c:v>
                </c:pt>
                <c:pt idx="2">
                  <c:v>2022</c:v>
                </c:pt>
              </c:numCache>
            </c:numRef>
          </c:cat>
          <c:val>
            <c:numRef>
              <c:f>Sheet1!$C$2:$C$5</c:f>
              <c:numCache>
                <c:formatCode>General</c:formatCode>
                <c:ptCount val="4"/>
                <c:pt idx="1">
                  <c:v>257.36</c:v>
                </c:pt>
                <c:pt idx="2">
                  <c:v>262</c:v>
                </c:pt>
              </c:numCache>
            </c:numRef>
          </c:val>
        </c:ser>
        <c:ser>
          <c:idx val="3"/>
          <c:order val="2"/>
          <c:tx>
            <c:strRef>
              <c:f>Sheet1!$D$1</c:f>
              <c:strCache>
                <c:ptCount val="1"/>
                <c:pt idx="0">
                  <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195" b="0" i="0" u="none" strike="noStrike" kern="1200" baseline="0">
                    <a:solidFill>
                      <a:schemeClr val="tx1">
                        <a:lumMod val="85000"/>
                        <a:lumOff val="1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Sheet1!$A$2:$A$5</c:f>
              <c:numCache>
                <c:formatCode>General</c:formatCode>
                <c:ptCount val="4"/>
                <c:pt idx="1">
                  <c:v>2021</c:v>
                </c:pt>
                <c:pt idx="2">
                  <c:v>2022</c:v>
                </c:pt>
              </c:numCache>
            </c:numRef>
          </c:cat>
          <c:val>
            <c:numRef>
              <c:f>Sheet1!$D$2:$D$5</c:f>
              <c:numCache>
                <c:formatCode>General</c:formatCode>
                <c:ptCount val="4"/>
              </c:numCache>
            </c:numRef>
          </c:val>
        </c:ser>
        <c:dLbls>
          <c:showLegendKey val="0"/>
          <c:showVal val="1"/>
          <c:showCatName val="0"/>
          <c:showSerName val="0"/>
          <c:showPercent val="0"/>
          <c:showBubbleSize val="0"/>
        </c:dLbls>
        <c:gapWidth val="219"/>
        <c:overlap val="-27"/>
        <c:axId val="14892294"/>
        <c:axId val="739582388"/>
      </c:barChart>
      <c:catAx>
        <c:axId val="14892294"/>
        <c:scaling>
          <c:orientation val="minMax"/>
        </c:scaling>
        <c:delete val="0"/>
        <c:axPos val="b"/>
        <c:title>
          <c:layout/>
          <c:overlay val="0"/>
          <c:spPr>
            <a:noFill/>
            <a:ln>
              <a:noFill/>
            </a:ln>
            <a:effectLst/>
          </c:spPr>
          <c:tx>
            <c:rich>
              <a:bodyPr/>
              <a:lstStyle/>
              <a:p>
                <a:pPr>
                  <a:defRPr/>
                </a:pPr>
              </a:p>
            </c:rich>
          </c:tx>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800" b="0" i="0" u="none" strike="noStrike" kern="1200" baseline="0">
                <a:solidFill>
                  <a:schemeClr val="tx1">
                    <a:lumMod val="85000"/>
                    <a:lumOff val="15000"/>
                  </a:schemeClr>
                </a:solidFill>
                <a:latin typeface="+mn-lt"/>
                <a:ea typeface="+mn-ea"/>
                <a:cs typeface="+mn-cs"/>
              </a:defRPr>
            </a:pPr>
          </a:p>
        </c:txPr>
        <c:crossAx val="739582388"/>
        <c:crosses val="autoZero"/>
        <c:auto val="1"/>
        <c:lblAlgn val="ctr"/>
        <c:lblOffset val="100"/>
        <c:noMultiLvlLbl val="0"/>
      </c:catAx>
      <c:valAx>
        <c:axId val="739582388"/>
        <c:scaling>
          <c:orientation val="minMax"/>
        </c:scaling>
        <c:delete val="1"/>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1195" b="0" i="0" u="none" strike="noStrike" kern="1200" baseline="0">
                <a:solidFill>
                  <a:schemeClr val="tx1">
                    <a:lumMod val="85000"/>
                    <a:lumOff val="15000"/>
                  </a:schemeClr>
                </a:solidFill>
                <a:latin typeface="+mn-lt"/>
                <a:ea typeface="+mn-ea"/>
                <a:cs typeface="+mn-cs"/>
              </a:defRPr>
            </a:pPr>
          </a:p>
        </c:txPr>
        <c:crossAx val="14892294"/>
        <c:crosses val="autoZero"/>
        <c:crossBetween val="between"/>
      </c:valAx>
      <c:spPr>
        <a:noFill/>
        <a:ln>
          <a:noFill/>
        </a:ln>
        <a:effectLst/>
      </c:spPr>
    </c:plotArea>
    <c:legend>
      <c:legendPos val="r"/>
      <c:legendEntry>
        <c:idx val="2"/>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85000"/>
                  <a:lumOff val="1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chemeClr val="tx1">
              <a:lumMod val="85000"/>
              <a:lumOff val="15000"/>
            </a:schemeClr>
          </a:solidFill>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1">
                  <c:v>2021</c:v>
                </c:pt>
                <c:pt idx="2">
                  <c:v>2022</c:v>
                </c:pt>
              </c:numCache>
            </c:numRef>
          </c:cat>
          <c:val>
            <c:numRef>
              <c:f>Sheet1!$B$2:$B$5</c:f>
              <c:numCache>
                <c:formatCode>General</c:formatCode>
                <c:ptCount val="4"/>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1">
                  <c:v>2021</c:v>
                </c:pt>
                <c:pt idx="2">
                  <c:v>2022</c:v>
                </c:pt>
              </c:numCache>
            </c:numRef>
          </c:cat>
          <c:val>
            <c:numRef>
              <c:f>Sheet1!$C$2:$C$5</c:f>
              <c:numCache>
                <c:formatCode>General</c:formatCode>
                <c:ptCount val="4"/>
              </c:numCache>
            </c:numRef>
          </c:val>
        </c:ser>
        <c:ser>
          <c:idx val="2"/>
          <c:order val="2"/>
          <c:tx>
            <c:strRef>
              <c:f>Sheet1!$D$1</c:f>
              <c:strCache>
                <c:ptCount val="1"/>
                <c:pt idx="0">
                  <c:v>支出</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1">
                  <c:v>2021</c:v>
                </c:pt>
                <c:pt idx="2">
                  <c:v>2022</c:v>
                </c:pt>
              </c:numCache>
            </c:numRef>
          </c:cat>
          <c:val>
            <c:numRef>
              <c:f>Sheet1!$D$2:$D$5</c:f>
              <c:numCache>
                <c:formatCode>General</c:formatCode>
                <c:ptCount val="4"/>
                <c:pt idx="1">
                  <c:v>257.26</c:v>
                </c:pt>
                <c:pt idx="2">
                  <c:v>262</c:v>
                </c:pt>
              </c:numCache>
            </c:numRef>
          </c:val>
        </c:ser>
        <c:dLbls>
          <c:showLegendKey val="0"/>
          <c:showVal val="1"/>
          <c:showCatName val="0"/>
          <c:showSerName val="0"/>
          <c:showPercent val="0"/>
          <c:showBubbleSize val="0"/>
        </c:dLbls>
        <c:gapWidth val="246"/>
        <c:overlap val="-28"/>
        <c:axId val="775695854"/>
        <c:axId val="839133738"/>
      </c:barChart>
      <c:catAx>
        <c:axId val="77569585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9133738"/>
        <c:crosses val="autoZero"/>
        <c:auto val="1"/>
        <c:lblAlgn val="ctr"/>
        <c:lblOffset val="100"/>
        <c:noMultiLvlLbl val="0"/>
      </c:catAx>
      <c:valAx>
        <c:axId val="83913373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5695854"/>
        <c:crosses val="autoZero"/>
        <c:crossBetween val="between"/>
      </c:valAx>
      <c:spPr>
        <a:noFill/>
        <a:ln>
          <a:noFill/>
        </a:ln>
        <a:effectLst/>
      </c:spPr>
    </c:plotArea>
    <c:legend>
      <c:legendPos val="b"/>
      <c:legendEntry>
        <c:idx val="0"/>
        <c:delete val="1"/>
      </c:legendEntry>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title>
    <c:autoTitleDeleted val="0"/>
    <c:plotArea>
      <c:layout>
        <c:manualLayout>
          <c:layoutTarget val="inner"/>
          <c:xMode val="edge"/>
          <c:yMode val="edge"/>
          <c:x val="0.298067413404152"/>
          <c:y val="0.199134199134199"/>
          <c:w val="0.411575273422998"/>
          <c:h val="0.693263804713804"/>
        </c:manualLayout>
      </c:layout>
      <c:pieChart>
        <c:varyColors val="1"/>
        <c:ser>
          <c:idx val="0"/>
          <c:order val="0"/>
          <c:tx>
            <c:strRef>
              <c:f>Sheet1!$B$1</c:f>
              <c:strCache>
                <c:ptCount val="1"/>
                <c:pt idx="0">
                  <c:v>卫生健康支出</c:v>
                </c:pt>
              </c:strCache>
            </c:strRef>
          </c:tx>
          <c:spPr>
            <a:solidFill>
              <a:srgbClr val="63B1EF">
                <a:alpha val="67000"/>
              </a:srgbClr>
            </a:solidFill>
            <a:ln w="19050" cap="rnd">
              <a:noFill/>
              <a:round/>
            </a:ln>
            <a:effectLst/>
          </c:spPr>
          <c:explosion val="0"/>
          <c:dPt>
            <c:idx val="0"/>
            <c:bubble3D val="0"/>
            <c:spPr>
              <a:solidFill>
                <a:srgbClr val="63B1EF">
                  <a:alpha val="67000"/>
                </a:srgbClr>
              </a:solidFill>
              <a:ln w="19050" cap="rnd">
                <a:noFill/>
                <a:round/>
              </a:ln>
              <a:effectLst/>
            </c:spPr>
          </c:dPt>
          <c:dPt>
            <c:idx val="1"/>
            <c:bubble3D val="0"/>
            <c:spPr>
              <a:solidFill>
                <a:srgbClr val="75D890">
                  <a:alpha val="67000"/>
                </a:srgbClr>
              </a:solidFill>
              <a:ln w="19050" cap="rnd">
                <a:noFill/>
                <a:round/>
              </a:ln>
              <a:effectLst/>
            </c:spPr>
          </c:dPt>
          <c:dPt>
            <c:idx val="2"/>
            <c:bubble3D val="0"/>
            <c:spPr>
              <a:solidFill>
                <a:srgbClr val="FB7E72">
                  <a:alpha val="67000"/>
                </a:srgbClr>
              </a:solidFill>
              <a:ln w="19050" cap="rnd">
                <a:noFill/>
                <a:round/>
              </a:ln>
              <a:effectLst/>
            </c:spPr>
          </c:dPt>
          <c:dPt>
            <c:idx val="3"/>
            <c:bubble3D val="0"/>
            <c:spPr>
              <a:solidFill>
                <a:srgbClr val="F8AC41">
                  <a:alpha val="67000"/>
                </a:srgbClr>
              </a:solidFill>
              <a:ln w="19050" cap="rnd">
                <a:noFill/>
                <a:round/>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卫生健康支出</c:v>
                </c:pt>
              </c:strCache>
            </c:strRef>
          </c:cat>
          <c:val>
            <c:numRef>
              <c:f>Sheet1!$B$2:$B$5</c:f>
              <c:numCache>
                <c:formatCode>General</c:formatCode>
                <c:ptCount val="4"/>
                <c:pt idx="0">
                  <c:v>262</c:v>
                </c:pt>
              </c:numCache>
            </c:numRef>
          </c:val>
        </c:ser>
        <c:dLbls>
          <c:showLegendKey val="0"/>
          <c:showVal val="0"/>
          <c:showCatName val="1"/>
          <c:showSerName val="0"/>
          <c:showPercent val="1"/>
          <c:showBubbleSize val="0"/>
          <c:showLeaderLines val="1"/>
        </c:dLbls>
        <c:firstSliceAng val="0"/>
      </c:pieChart>
      <c:spPr>
        <a:pattFill prst="lgGrid">
          <a:fgClr>
            <a:srgbClr val="F8F8F8"/>
          </a:fgClr>
          <a:bgClr>
            <a:schemeClr val="bg1"/>
          </a:bgClr>
        </a:pattFill>
        <a:ln>
          <a:solidFill>
            <a:schemeClr val="bg1">
              <a:lumMod val="95000"/>
            </a:schemeClr>
          </a:solidFill>
        </a:ln>
        <a:effectLst/>
      </c:spPr>
    </c:plotArea>
    <c:legend>
      <c:legendPos val="r"/>
      <c:legendEntry>
        <c:idx val="1"/>
        <c:delete val="1"/>
      </c:legendEntry>
      <c:legendEntry>
        <c:idx val="2"/>
        <c:delete val="1"/>
      </c:legendEntry>
      <c:legendEntry>
        <c:idx val="3"/>
        <c:delete val="1"/>
      </c:legendEntry>
      <c:layout>
        <c:manualLayout>
          <c:xMode val="edge"/>
          <c:yMode val="edge"/>
          <c:x val="0.79656862745098"/>
          <c:y val="0.40379008746355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自定义 3">
    <a:dk1>
      <a:sysClr val="windowText" lastClr="000000"/>
    </a:dk1>
    <a:lt1>
      <a:sysClr val="window" lastClr="FFFFFF"/>
    </a:lt1>
    <a:dk2>
      <a:srgbClr val="44546A"/>
    </a:dk2>
    <a:lt2>
      <a:srgbClr val="E7E6E6"/>
    </a:lt2>
    <a:accent1>
      <a:srgbClr val="7DB964"/>
    </a:accent1>
    <a:accent2>
      <a:srgbClr val="36A29B"/>
    </a:accent2>
    <a:accent3>
      <a:srgbClr val="E9B229"/>
    </a:accent3>
    <a:accent4>
      <a:srgbClr val="E16247"/>
    </a:accent4>
    <a:accent5>
      <a:srgbClr val="9076B9"/>
    </a:accent5>
    <a:accent6>
      <a:srgbClr val="D9D9D9"/>
    </a:accent6>
    <a:hlink>
      <a:srgbClr val="0563C1"/>
    </a:hlink>
    <a:folHlink>
      <a:srgbClr val="954F72"/>
    </a:folHlink>
  </a:clrScheme>
  <a:fontScheme name="自定义 1">
    <a:majorFont>
      <a:latin typeface="Arial Black"/>
      <a:ea typeface="微软雅黑"/>
      <a:cs typeface=""/>
    </a:majorFont>
    <a:minorFont>
      <a:latin typeface="Arial"/>
      <a:ea typeface="微软雅黑 Ligh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2023-10-17T06:40:00Z</dcterms:created>
  <dc:creator>admin</dc:creator>
  <cp:lastModifiedBy>餁</cp:lastModifiedBy>
  <dcterms:modified xsi:type="dcterms:W3CDTF">2023-10-27T01:59:18Z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5A7BF8710CB649BE9D069BC2047C6F02_13</vt:lpwstr>
  </property>
</Properties>
</file>